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3072"/>
      </w:tblGrid>
      <w:tr w:rsidR="00963CBA" w:rsidRPr="00F60A3D" w:rsidTr="00632656">
        <w:trPr>
          <w:trHeight w:val="851"/>
        </w:trPr>
        <w:tc>
          <w:tcPr>
            <w:tcW w:w="1259" w:type="dxa"/>
            <w:tcBorders>
              <w:top w:val="nil"/>
              <w:left w:val="nil"/>
              <w:bottom w:val="single" w:sz="4" w:space="0" w:color="auto"/>
              <w:right w:val="nil"/>
            </w:tcBorders>
            <w:shd w:val="clear" w:color="auto" w:fill="auto"/>
          </w:tcPr>
          <w:p w:rsidR="00446DE4" w:rsidRPr="00F60A3D" w:rsidRDefault="00CB0E03" w:rsidP="00D46048">
            <w:pPr>
              <w:spacing w:after="80" w:line="340" w:lineRule="exact"/>
              <w:rPr>
                <w:lang w:val="fr-FR"/>
              </w:rPr>
            </w:pPr>
            <w:r w:rsidRPr="00F60A3D">
              <w:rPr>
                <w:lang w:val="fr-FR"/>
              </w:rPr>
              <w:t xml:space="preserve"> </w:t>
            </w:r>
          </w:p>
        </w:tc>
        <w:tc>
          <w:tcPr>
            <w:tcW w:w="2236" w:type="dxa"/>
            <w:tcBorders>
              <w:top w:val="nil"/>
              <w:left w:val="nil"/>
              <w:bottom w:val="single" w:sz="4" w:space="0" w:color="auto"/>
              <w:right w:val="nil"/>
            </w:tcBorders>
            <w:shd w:val="clear" w:color="auto" w:fill="auto"/>
            <w:vAlign w:val="bottom"/>
          </w:tcPr>
          <w:p w:rsidR="00446DE4" w:rsidRPr="00F60A3D" w:rsidRDefault="00B3317B" w:rsidP="00D46048">
            <w:pPr>
              <w:spacing w:after="80" w:line="340" w:lineRule="exact"/>
              <w:rPr>
                <w:sz w:val="28"/>
                <w:szCs w:val="28"/>
                <w:lang w:val="fr-FR"/>
              </w:rPr>
            </w:pPr>
            <w:r w:rsidRPr="00F60A3D">
              <w:rPr>
                <w:sz w:val="28"/>
                <w:szCs w:val="28"/>
                <w:lang w:val="fr-FR"/>
              </w:rPr>
              <w:t>Nations</w:t>
            </w:r>
            <w:r w:rsidR="00CC00BC" w:rsidRPr="00F60A3D">
              <w:rPr>
                <w:sz w:val="28"/>
                <w:szCs w:val="28"/>
                <w:lang w:val="fr-FR"/>
              </w:rPr>
              <w:t xml:space="preserve"> Unies</w:t>
            </w:r>
          </w:p>
        </w:tc>
        <w:tc>
          <w:tcPr>
            <w:tcW w:w="6286" w:type="dxa"/>
            <w:gridSpan w:val="2"/>
            <w:tcBorders>
              <w:top w:val="nil"/>
              <w:left w:val="nil"/>
              <w:bottom w:val="single" w:sz="4" w:space="0" w:color="auto"/>
              <w:right w:val="nil"/>
            </w:tcBorders>
            <w:shd w:val="clear" w:color="auto" w:fill="auto"/>
            <w:vAlign w:val="bottom"/>
          </w:tcPr>
          <w:p w:rsidR="00446DE4" w:rsidRPr="00F60A3D" w:rsidRDefault="00C775CC" w:rsidP="00632656">
            <w:pPr>
              <w:jc w:val="right"/>
              <w:rPr>
                <w:lang w:val="fr-FR"/>
              </w:rPr>
            </w:pPr>
            <w:r w:rsidRPr="00F60A3D">
              <w:rPr>
                <w:sz w:val="40"/>
                <w:lang w:val="fr-FR"/>
              </w:rPr>
              <w:t>HRI</w:t>
            </w:r>
            <w:r w:rsidR="00632656" w:rsidRPr="00F60A3D">
              <w:rPr>
                <w:lang w:val="fr-FR"/>
              </w:rPr>
              <w:t>/CORE/ITA/2016</w:t>
            </w:r>
          </w:p>
        </w:tc>
      </w:tr>
      <w:tr w:rsidR="003107FA" w:rsidRPr="00F60A3D" w:rsidTr="00632656">
        <w:trPr>
          <w:trHeight w:val="2835"/>
        </w:trPr>
        <w:tc>
          <w:tcPr>
            <w:tcW w:w="1259" w:type="dxa"/>
            <w:tcBorders>
              <w:top w:val="single" w:sz="4" w:space="0" w:color="auto"/>
              <w:left w:val="nil"/>
              <w:bottom w:val="single" w:sz="12" w:space="0" w:color="auto"/>
              <w:right w:val="nil"/>
            </w:tcBorders>
            <w:shd w:val="clear" w:color="auto" w:fill="auto"/>
          </w:tcPr>
          <w:p w:rsidR="003107FA" w:rsidRPr="00F60A3D" w:rsidRDefault="00A1015C" w:rsidP="00D46048">
            <w:pPr>
              <w:spacing w:before="120"/>
              <w:jc w:val="center"/>
              <w:rPr>
                <w:lang w:val="fr-FR"/>
              </w:rPr>
            </w:pPr>
            <w:r w:rsidRPr="00F60A3D">
              <w:rPr>
                <w:noProof/>
                <w:lang w:val="fr-FR" w:eastAsia="zh-CN"/>
              </w:rPr>
              <w:drawing>
                <wp:inline distT="0" distB="0" distL="0" distR="0" wp14:anchorId="6FD02983" wp14:editId="1FD588D1">
                  <wp:extent cx="711200" cy="592455"/>
                  <wp:effectExtent l="1905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srcRect/>
                          <a:stretch>
                            <a:fillRect/>
                          </a:stretch>
                        </pic:blipFill>
                        <pic:spPr bwMode="auto">
                          <a:xfrm>
                            <a:off x="0" y="0"/>
                            <a:ext cx="711200" cy="592455"/>
                          </a:xfrm>
                          <a:prstGeom prst="rect">
                            <a:avLst/>
                          </a:prstGeom>
                          <a:noFill/>
                          <a:ln w="9525">
                            <a:noFill/>
                            <a:miter lim="800000"/>
                            <a:headEnd/>
                            <a:tailEnd/>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F60A3D" w:rsidRDefault="003A1065" w:rsidP="00376143">
            <w:pPr>
              <w:spacing w:before="120" w:line="380" w:lineRule="exact"/>
              <w:rPr>
                <w:rFonts w:ascii="Times New Roman Bold" w:hAnsi="Times New Roman Bold"/>
                <w:b/>
                <w:sz w:val="34"/>
                <w:szCs w:val="40"/>
                <w:lang w:val="fr-FR"/>
              </w:rPr>
            </w:pPr>
            <w:r w:rsidRPr="00F60A3D">
              <w:rPr>
                <w:rFonts w:ascii="Times New Roman Bold" w:hAnsi="Times New Roman Bold"/>
                <w:b/>
                <w:sz w:val="34"/>
                <w:szCs w:val="40"/>
                <w:lang w:val="fr-FR"/>
              </w:rPr>
              <w:t>Instruments internationaux</w:t>
            </w:r>
            <w:r w:rsidR="00376143" w:rsidRPr="00F60A3D">
              <w:rPr>
                <w:rFonts w:ascii="Times New Roman Bold" w:hAnsi="Times New Roman Bold"/>
                <w:b/>
                <w:sz w:val="34"/>
                <w:szCs w:val="40"/>
                <w:lang w:val="fr-FR"/>
              </w:rPr>
              <w:t xml:space="preserve"> </w:t>
            </w:r>
            <w:r w:rsidR="00376143" w:rsidRPr="00F60A3D">
              <w:rPr>
                <w:rFonts w:ascii="Times New Roman Bold" w:hAnsi="Times New Roman Bold"/>
                <w:b/>
                <w:sz w:val="34"/>
                <w:szCs w:val="40"/>
                <w:lang w:val="fr-FR"/>
              </w:rPr>
              <w:br/>
            </w:r>
            <w:r w:rsidRPr="00F60A3D">
              <w:rPr>
                <w:rFonts w:ascii="Times New Roman Bold" w:hAnsi="Times New Roman Bold"/>
                <w:b/>
                <w:sz w:val="34"/>
                <w:szCs w:val="40"/>
                <w:lang w:val="fr-FR"/>
              </w:rPr>
              <w:t>relatifs aux droits de l</w:t>
            </w:r>
            <w:r w:rsidR="00B17AE1" w:rsidRPr="00F60A3D">
              <w:rPr>
                <w:rFonts w:ascii="Times New Roman Bold" w:hAnsi="Times New Roman Bold"/>
                <w:b/>
                <w:sz w:val="34"/>
                <w:szCs w:val="40"/>
                <w:lang w:val="fr-FR"/>
              </w:rPr>
              <w:t>’</w:t>
            </w:r>
            <w:r w:rsidRPr="00F60A3D">
              <w:rPr>
                <w:rFonts w:ascii="Times New Roman Bold" w:hAnsi="Times New Roman Bold"/>
                <w:b/>
                <w:sz w:val="34"/>
                <w:szCs w:val="40"/>
                <w:lang w:val="fr-FR"/>
              </w:rPr>
              <w:t>homme</w:t>
            </w:r>
          </w:p>
        </w:tc>
        <w:tc>
          <w:tcPr>
            <w:tcW w:w="3072" w:type="dxa"/>
            <w:tcBorders>
              <w:top w:val="single" w:sz="4" w:space="0" w:color="auto"/>
              <w:left w:val="nil"/>
              <w:bottom w:val="single" w:sz="12" w:space="0" w:color="auto"/>
              <w:right w:val="nil"/>
            </w:tcBorders>
            <w:shd w:val="clear" w:color="auto" w:fill="auto"/>
          </w:tcPr>
          <w:p w:rsidR="00BE2F38" w:rsidRPr="00F60A3D" w:rsidRDefault="003940C3" w:rsidP="00C775CC">
            <w:pPr>
              <w:spacing w:before="240" w:line="240" w:lineRule="exact"/>
              <w:rPr>
                <w:lang w:val="fr-FR"/>
              </w:rPr>
            </w:pPr>
            <w:r w:rsidRPr="00F60A3D">
              <w:rPr>
                <w:lang w:val="fr-FR"/>
              </w:rPr>
              <w:t>Distr.</w:t>
            </w:r>
            <w:r w:rsidR="00C775CC" w:rsidRPr="00F60A3D">
              <w:rPr>
                <w:lang w:val="fr-FR"/>
              </w:rPr>
              <w:t xml:space="preserve"> </w:t>
            </w:r>
            <w:r w:rsidR="00CC00BC" w:rsidRPr="00F60A3D">
              <w:rPr>
                <w:lang w:val="fr-FR"/>
              </w:rPr>
              <w:t>géné</w:t>
            </w:r>
            <w:r w:rsidR="00632656" w:rsidRPr="00F60A3D">
              <w:rPr>
                <w:lang w:val="fr-FR"/>
              </w:rPr>
              <w:t>ral</w:t>
            </w:r>
            <w:r w:rsidR="00CC00BC" w:rsidRPr="00F60A3D">
              <w:rPr>
                <w:lang w:val="fr-FR"/>
              </w:rPr>
              <w:t>e</w:t>
            </w:r>
          </w:p>
          <w:p w:rsidR="00C775CC" w:rsidRPr="00F60A3D" w:rsidRDefault="004F0FAA" w:rsidP="00C775CC">
            <w:pPr>
              <w:spacing w:line="240" w:lineRule="exact"/>
              <w:rPr>
                <w:lang w:val="fr-FR"/>
              </w:rPr>
            </w:pPr>
            <w:r w:rsidRPr="00F60A3D">
              <w:rPr>
                <w:lang w:val="fr-FR"/>
              </w:rPr>
              <w:t>2</w:t>
            </w:r>
            <w:r w:rsidR="004915F9" w:rsidRPr="00F60A3D">
              <w:rPr>
                <w:lang w:val="fr-FR"/>
              </w:rPr>
              <w:t>5</w:t>
            </w:r>
            <w:r w:rsidR="00CC00BC" w:rsidRPr="00F60A3D">
              <w:rPr>
                <w:lang w:val="fr-FR"/>
              </w:rPr>
              <w:t xml:space="preserve"> juillet</w:t>
            </w:r>
            <w:r w:rsidR="001D2CCC" w:rsidRPr="00F60A3D">
              <w:rPr>
                <w:lang w:val="fr-FR"/>
              </w:rPr>
              <w:t xml:space="preserve"> </w:t>
            </w:r>
            <w:r w:rsidR="00C775CC" w:rsidRPr="00F60A3D">
              <w:rPr>
                <w:lang w:val="fr-FR"/>
              </w:rPr>
              <w:t>2016</w:t>
            </w:r>
          </w:p>
          <w:p w:rsidR="00C775CC" w:rsidRPr="00F60A3D" w:rsidRDefault="00CC00BC" w:rsidP="00376143">
            <w:pPr>
              <w:spacing w:line="240" w:lineRule="exact"/>
              <w:rPr>
                <w:lang w:val="fr-FR"/>
              </w:rPr>
            </w:pPr>
            <w:r w:rsidRPr="00F60A3D">
              <w:rPr>
                <w:lang w:val="fr-FR"/>
              </w:rPr>
              <w:t>Français</w:t>
            </w:r>
          </w:p>
          <w:p w:rsidR="00376143" w:rsidRPr="00F60A3D" w:rsidRDefault="00CC00BC" w:rsidP="00764058">
            <w:pPr>
              <w:spacing w:line="240" w:lineRule="exact"/>
              <w:rPr>
                <w:lang w:val="fr-FR"/>
              </w:rPr>
            </w:pPr>
            <w:r w:rsidRPr="00F60A3D">
              <w:rPr>
                <w:lang w:val="fr-FR"/>
              </w:rPr>
              <w:t xml:space="preserve">Original: </w:t>
            </w:r>
            <w:r w:rsidR="00F44B2E" w:rsidRPr="00F60A3D">
              <w:rPr>
                <w:lang w:val="fr-FR"/>
              </w:rPr>
              <w:t>anglais</w:t>
            </w:r>
          </w:p>
        </w:tc>
      </w:tr>
    </w:tbl>
    <w:p w:rsidR="0081588D" w:rsidRPr="00F60A3D" w:rsidRDefault="00E618F4" w:rsidP="0081588D">
      <w:pPr>
        <w:pStyle w:val="HMG"/>
        <w:rPr>
          <w:lang w:val="fr-FR"/>
        </w:rPr>
      </w:pPr>
      <w:r w:rsidRPr="00F60A3D">
        <w:rPr>
          <w:lang w:val="fr-FR"/>
        </w:rPr>
        <w:tab/>
      </w:r>
      <w:r w:rsidRPr="00F60A3D">
        <w:rPr>
          <w:lang w:val="fr-FR"/>
        </w:rPr>
        <w:tab/>
      </w:r>
      <w:bookmarkStart w:id="0" w:name="_Toc286829782"/>
      <w:bookmarkStart w:id="1" w:name="_Toc286829942"/>
      <w:r w:rsidR="003A1065" w:rsidRPr="00F60A3D">
        <w:rPr>
          <w:lang w:val="fr-FR"/>
        </w:rPr>
        <w:t>D</w:t>
      </w:r>
      <w:r w:rsidR="0081588D" w:rsidRPr="00F60A3D">
        <w:rPr>
          <w:lang w:val="fr-FR"/>
        </w:rPr>
        <w:t xml:space="preserve">ocument </w:t>
      </w:r>
      <w:r w:rsidR="003A1065" w:rsidRPr="00F60A3D">
        <w:rPr>
          <w:lang w:val="fr-FR"/>
        </w:rPr>
        <w:t>de base faisant partie intégrante des rapports présentés par les États parties</w:t>
      </w:r>
      <w:bookmarkEnd w:id="0"/>
      <w:bookmarkEnd w:id="1"/>
    </w:p>
    <w:p w:rsidR="0081588D" w:rsidRPr="00F60A3D" w:rsidRDefault="003A1065" w:rsidP="00632656">
      <w:pPr>
        <w:ind w:left="567" w:firstLine="567"/>
        <w:rPr>
          <w:b/>
          <w:sz w:val="34"/>
          <w:szCs w:val="34"/>
          <w:lang w:val="fr-FR"/>
        </w:rPr>
      </w:pPr>
      <w:r w:rsidRPr="00F60A3D">
        <w:rPr>
          <w:b/>
          <w:sz w:val="34"/>
          <w:szCs w:val="34"/>
          <w:lang w:val="fr-FR"/>
        </w:rPr>
        <w:t>Italie</w:t>
      </w:r>
      <w:r w:rsidR="001A36F9" w:rsidRPr="00F60A3D">
        <w:rPr>
          <w:rStyle w:val="FootnoteReference"/>
          <w:sz w:val="20"/>
          <w:szCs w:val="20"/>
          <w:vertAlign w:val="baseline"/>
          <w:lang w:val="fr-FR"/>
        </w:rPr>
        <w:footnoteReference w:customMarkFollows="1" w:id="2"/>
        <w:t>*</w:t>
      </w:r>
    </w:p>
    <w:p w:rsidR="00E618F4" w:rsidRPr="00F60A3D" w:rsidRDefault="0081588D" w:rsidP="007A2F6E">
      <w:pPr>
        <w:pStyle w:val="SingleTxtG"/>
        <w:jc w:val="right"/>
        <w:rPr>
          <w:lang w:val="fr-FR"/>
        </w:rPr>
      </w:pPr>
      <w:r w:rsidRPr="00F60A3D">
        <w:rPr>
          <w:lang w:val="fr-FR"/>
        </w:rPr>
        <w:t>[</w:t>
      </w:r>
      <w:r w:rsidR="003A1065" w:rsidRPr="00F60A3D">
        <w:rPr>
          <w:lang w:val="fr-FR"/>
        </w:rPr>
        <w:t>Date de réception</w:t>
      </w:r>
      <w:r w:rsidR="009C33C5" w:rsidRPr="00F60A3D">
        <w:rPr>
          <w:lang w:val="fr-FR"/>
        </w:rPr>
        <w:t xml:space="preserve">: </w:t>
      </w:r>
      <w:r w:rsidR="003A1065" w:rsidRPr="00F60A3D">
        <w:rPr>
          <w:lang w:val="fr-FR"/>
        </w:rPr>
        <w:t>8 juin</w:t>
      </w:r>
      <w:r w:rsidR="00CF3FF2" w:rsidRPr="00F60A3D">
        <w:rPr>
          <w:lang w:val="fr-FR"/>
        </w:rPr>
        <w:t xml:space="preserve"> 201</w:t>
      </w:r>
      <w:r w:rsidR="00632656" w:rsidRPr="00F60A3D">
        <w:rPr>
          <w:lang w:val="fr-FR"/>
        </w:rPr>
        <w:t>6</w:t>
      </w:r>
      <w:r w:rsidR="00196A58" w:rsidRPr="00F60A3D">
        <w:rPr>
          <w:lang w:val="fr-FR"/>
        </w:rPr>
        <w:t>]</w:t>
      </w:r>
    </w:p>
    <w:p w:rsidR="00632656" w:rsidRPr="00F60A3D" w:rsidRDefault="00E618F4" w:rsidP="00652F35">
      <w:pPr>
        <w:spacing w:after="120"/>
        <w:rPr>
          <w:sz w:val="28"/>
          <w:lang w:val="fr-FR"/>
        </w:rPr>
      </w:pPr>
      <w:r w:rsidRPr="00F60A3D">
        <w:rPr>
          <w:lang w:val="fr-FR"/>
        </w:rPr>
        <w:br w:type="page"/>
      </w:r>
      <w:r w:rsidR="00FD0C29" w:rsidRPr="00F60A3D">
        <w:rPr>
          <w:sz w:val="28"/>
          <w:lang w:val="fr-FR"/>
        </w:rPr>
        <w:lastRenderedPageBreak/>
        <w:t>Table des matière</w:t>
      </w:r>
      <w:r w:rsidR="00652F35" w:rsidRPr="00F60A3D">
        <w:rPr>
          <w:sz w:val="28"/>
          <w:lang w:val="fr-FR"/>
        </w:rPr>
        <w:t>s</w:t>
      </w:r>
    </w:p>
    <w:p w:rsidR="00652F35" w:rsidRPr="00F60A3D" w:rsidRDefault="004915F9" w:rsidP="00652F35">
      <w:pPr>
        <w:tabs>
          <w:tab w:val="right" w:pos="8929"/>
          <w:tab w:val="right" w:pos="9638"/>
        </w:tabs>
        <w:spacing w:after="120"/>
        <w:ind w:left="283"/>
        <w:rPr>
          <w:lang w:val="fr-FR"/>
        </w:rPr>
      </w:pPr>
      <w:r w:rsidRPr="00F60A3D">
        <w:rPr>
          <w:i/>
          <w:sz w:val="18"/>
          <w:lang w:val="fr-FR"/>
        </w:rPr>
        <w:tab/>
      </w:r>
      <w:r w:rsidR="003940C3" w:rsidRPr="00F60A3D">
        <w:rPr>
          <w:i/>
          <w:sz w:val="18"/>
          <w:lang w:val="fr-FR"/>
        </w:rPr>
        <w:t>Paragraphes</w:t>
      </w:r>
      <w:r w:rsidR="00142FB7" w:rsidRPr="00F60A3D">
        <w:rPr>
          <w:i/>
          <w:sz w:val="18"/>
          <w:lang w:val="fr-FR"/>
        </w:rPr>
        <w:tab/>
      </w:r>
      <w:r w:rsidR="00652F35" w:rsidRPr="00F60A3D">
        <w:rPr>
          <w:i/>
          <w:sz w:val="18"/>
          <w:lang w:val="fr-FR"/>
        </w:rPr>
        <w:t>Page</w:t>
      </w:r>
    </w:p>
    <w:p w:rsidR="00652F35" w:rsidRPr="00F60A3D" w:rsidRDefault="00FD0C29" w:rsidP="00791E7C">
      <w:pPr>
        <w:tabs>
          <w:tab w:val="right" w:pos="850"/>
          <w:tab w:val="left" w:pos="1134"/>
          <w:tab w:val="left" w:pos="1559"/>
          <w:tab w:val="left" w:pos="1984"/>
          <w:tab w:val="left" w:leader="dot" w:pos="7654"/>
          <w:tab w:val="right" w:pos="8929"/>
          <w:tab w:val="right" w:pos="9638"/>
        </w:tabs>
        <w:spacing w:after="120"/>
        <w:ind w:left="1128" w:hanging="1128"/>
        <w:rPr>
          <w:rFonts w:eastAsia="Times New Roman"/>
          <w:lang w:val="fr-FR"/>
        </w:rPr>
      </w:pPr>
      <w:r w:rsidRPr="00F60A3D">
        <w:rPr>
          <w:rFonts w:eastAsia="Times New Roman"/>
          <w:lang w:val="fr-FR"/>
        </w:rPr>
        <w:tab/>
        <w:t>I.</w:t>
      </w:r>
      <w:r w:rsidRPr="00F60A3D">
        <w:rPr>
          <w:rFonts w:eastAsia="Times New Roman"/>
          <w:lang w:val="fr-FR"/>
        </w:rPr>
        <w:tab/>
        <w:t>Généralité</w:t>
      </w:r>
      <w:r w:rsidR="00476E7D" w:rsidRPr="00F60A3D">
        <w:rPr>
          <w:rFonts w:eastAsia="Times New Roman"/>
          <w:lang w:val="fr-FR"/>
        </w:rPr>
        <w:t>s</w:t>
      </w:r>
      <w:r w:rsidR="004915F9" w:rsidRPr="00F60A3D">
        <w:rPr>
          <w:rFonts w:eastAsia="Times New Roman"/>
          <w:lang w:val="fr-FR"/>
        </w:rPr>
        <w:tab/>
      </w:r>
      <w:r w:rsidR="004915F9" w:rsidRPr="00F60A3D">
        <w:rPr>
          <w:rFonts w:eastAsia="Times New Roman"/>
          <w:lang w:val="fr-FR"/>
        </w:rPr>
        <w:tab/>
      </w:r>
      <w:r w:rsidR="00142FB7" w:rsidRPr="00F60A3D">
        <w:rPr>
          <w:rFonts w:eastAsia="Times New Roman"/>
          <w:lang w:val="fr-FR"/>
        </w:rPr>
        <w:t>1–141</w:t>
      </w:r>
      <w:r w:rsidR="00652F35" w:rsidRPr="00F60A3D">
        <w:rPr>
          <w:rFonts w:eastAsia="Times New Roman"/>
          <w:lang w:val="fr-FR"/>
        </w:rPr>
        <w:tab/>
      </w:r>
      <w:r w:rsidR="007D5951" w:rsidRPr="00F60A3D">
        <w:rPr>
          <w:rFonts w:eastAsia="Times New Roman"/>
          <w:lang w:val="fr-FR"/>
        </w:rPr>
        <w:t>3</w:t>
      </w:r>
    </w:p>
    <w:p w:rsidR="00652F35" w:rsidRPr="00F60A3D" w:rsidRDefault="00791E7C" w:rsidP="00791E7C">
      <w:pPr>
        <w:tabs>
          <w:tab w:val="right" w:pos="850"/>
          <w:tab w:val="left" w:pos="1134"/>
          <w:tab w:val="left" w:pos="1559"/>
          <w:tab w:val="left" w:pos="1984"/>
          <w:tab w:val="left" w:leader="dot" w:pos="7654"/>
          <w:tab w:val="right" w:pos="8929"/>
          <w:tab w:val="right" w:pos="9638"/>
        </w:tabs>
        <w:spacing w:after="120"/>
        <w:ind w:left="1128" w:hanging="1128"/>
        <w:rPr>
          <w:rFonts w:eastAsia="Times New Roman"/>
          <w:lang w:val="fr-FR"/>
        </w:rPr>
      </w:pPr>
      <w:r w:rsidRPr="00F60A3D">
        <w:rPr>
          <w:rFonts w:eastAsia="Times New Roman"/>
          <w:lang w:val="fr-FR"/>
        </w:rPr>
        <w:tab/>
      </w:r>
      <w:r w:rsidRPr="00F60A3D">
        <w:rPr>
          <w:rFonts w:eastAsia="Times New Roman"/>
          <w:lang w:val="fr-FR"/>
        </w:rPr>
        <w:tab/>
      </w:r>
      <w:r w:rsidR="00652F35" w:rsidRPr="00F60A3D">
        <w:rPr>
          <w:rFonts w:eastAsia="Times New Roman"/>
          <w:lang w:val="fr-FR"/>
        </w:rPr>
        <w:t>Introduction</w:t>
      </w:r>
      <w:r w:rsidR="00731982" w:rsidRPr="00F60A3D">
        <w:rPr>
          <w:rFonts w:eastAsia="Times New Roman"/>
          <w:lang w:val="fr-FR"/>
        </w:rPr>
        <w:t xml:space="preserve"> </w:t>
      </w:r>
      <w:r w:rsidR="00B70424" w:rsidRPr="00F60A3D">
        <w:rPr>
          <w:rFonts w:eastAsia="Times New Roman"/>
          <w:lang w:val="fr-FR"/>
        </w:rPr>
        <w:t>(c</w:t>
      </w:r>
      <w:r w:rsidR="004915F9" w:rsidRPr="00F60A3D">
        <w:rPr>
          <w:rFonts w:eastAsia="Times New Roman"/>
          <w:lang w:val="fr-FR"/>
        </w:rPr>
        <w:t>ontexte historique)</w:t>
      </w:r>
      <w:r w:rsidR="004915F9" w:rsidRPr="00F60A3D">
        <w:rPr>
          <w:rFonts w:eastAsia="Times New Roman"/>
          <w:lang w:val="fr-FR"/>
        </w:rPr>
        <w:tab/>
      </w:r>
      <w:r w:rsidR="004915F9" w:rsidRPr="00F60A3D">
        <w:rPr>
          <w:rFonts w:eastAsia="Times New Roman"/>
          <w:lang w:val="fr-FR"/>
        </w:rPr>
        <w:tab/>
      </w:r>
      <w:r w:rsidR="00142FB7" w:rsidRPr="00F60A3D">
        <w:rPr>
          <w:rFonts w:eastAsia="Times New Roman"/>
          <w:lang w:val="fr-FR"/>
        </w:rPr>
        <w:t>1–23</w:t>
      </w:r>
      <w:r w:rsidR="004915F9" w:rsidRPr="00F60A3D">
        <w:rPr>
          <w:rFonts w:eastAsia="Times New Roman"/>
          <w:lang w:val="fr-FR"/>
        </w:rPr>
        <w:tab/>
      </w:r>
      <w:r w:rsidR="007D5951" w:rsidRPr="00F60A3D">
        <w:rPr>
          <w:rFonts w:eastAsia="Times New Roman"/>
          <w:lang w:val="fr-FR"/>
        </w:rPr>
        <w:t>3</w:t>
      </w:r>
    </w:p>
    <w:p w:rsidR="00652F35" w:rsidRPr="00F60A3D" w:rsidRDefault="00791E7C" w:rsidP="00791E7C">
      <w:pPr>
        <w:tabs>
          <w:tab w:val="right" w:pos="850"/>
          <w:tab w:val="left" w:pos="1134"/>
          <w:tab w:val="left" w:pos="1559"/>
          <w:tab w:val="left" w:pos="1984"/>
          <w:tab w:val="left" w:leader="dot" w:pos="7654"/>
          <w:tab w:val="right" w:pos="8929"/>
          <w:tab w:val="right" w:pos="9638"/>
        </w:tabs>
        <w:spacing w:after="120"/>
        <w:ind w:left="1128" w:hanging="1128"/>
        <w:rPr>
          <w:rFonts w:eastAsia="Times New Roman"/>
          <w:lang w:val="fr-FR"/>
        </w:rPr>
      </w:pPr>
      <w:r w:rsidRPr="00F60A3D">
        <w:rPr>
          <w:rFonts w:eastAsia="Times New Roman"/>
          <w:lang w:val="fr-FR"/>
        </w:rPr>
        <w:tab/>
      </w:r>
      <w:r w:rsidRPr="00F60A3D">
        <w:rPr>
          <w:rFonts w:eastAsia="Times New Roman"/>
          <w:lang w:val="fr-FR"/>
        </w:rPr>
        <w:tab/>
      </w:r>
      <w:r w:rsidR="00FD0C29" w:rsidRPr="00F60A3D">
        <w:rPr>
          <w:rFonts w:eastAsia="Times New Roman"/>
          <w:lang w:val="fr-FR"/>
        </w:rPr>
        <w:t>A.</w:t>
      </w:r>
      <w:r w:rsidR="00FD0C29" w:rsidRPr="00F60A3D">
        <w:rPr>
          <w:rFonts w:eastAsia="Times New Roman"/>
          <w:lang w:val="fr-FR"/>
        </w:rPr>
        <w:tab/>
        <w:t>Caractéristiques démographiques, économiques</w:t>
      </w:r>
      <w:r w:rsidR="00652F35" w:rsidRPr="00F60A3D">
        <w:rPr>
          <w:rFonts w:eastAsia="Times New Roman"/>
          <w:lang w:val="fr-FR"/>
        </w:rPr>
        <w:t>, social</w:t>
      </w:r>
      <w:r w:rsidR="00FD0C29" w:rsidRPr="00F60A3D">
        <w:rPr>
          <w:rFonts w:eastAsia="Times New Roman"/>
          <w:lang w:val="fr-FR"/>
        </w:rPr>
        <w:t>es et culturelles</w:t>
      </w:r>
      <w:r w:rsidR="004915F9" w:rsidRPr="00F60A3D">
        <w:rPr>
          <w:rFonts w:eastAsia="Times New Roman"/>
          <w:lang w:val="fr-FR"/>
        </w:rPr>
        <w:tab/>
      </w:r>
      <w:r w:rsidR="004915F9" w:rsidRPr="00F60A3D">
        <w:rPr>
          <w:rFonts w:eastAsia="Times New Roman"/>
          <w:lang w:val="fr-FR"/>
        </w:rPr>
        <w:tab/>
      </w:r>
      <w:r w:rsidR="00142FB7" w:rsidRPr="00F60A3D">
        <w:rPr>
          <w:rFonts w:eastAsia="Times New Roman"/>
          <w:lang w:val="fr-FR"/>
        </w:rPr>
        <w:t>24–60</w:t>
      </w:r>
      <w:r w:rsidR="00652F35" w:rsidRPr="00F60A3D">
        <w:rPr>
          <w:rFonts w:eastAsia="Times New Roman"/>
          <w:lang w:val="fr-FR"/>
        </w:rPr>
        <w:tab/>
      </w:r>
      <w:r w:rsidR="007D5951" w:rsidRPr="00F60A3D">
        <w:rPr>
          <w:rFonts w:eastAsia="Times New Roman"/>
          <w:lang w:val="fr-FR"/>
        </w:rPr>
        <w:t>7</w:t>
      </w:r>
    </w:p>
    <w:p w:rsidR="00652F35" w:rsidRPr="00F60A3D" w:rsidRDefault="00791E7C" w:rsidP="00791E7C">
      <w:pPr>
        <w:tabs>
          <w:tab w:val="right" w:pos="850"/>
          <w:tab w:val="left" w:pos="1134"/>
          <w:tab w:val="left" w:pos="1559"/>
          <w:tab w:val="left" w:pos="1984"/>
          <w:tab w:val="left" w:leader="dot" w:pos="7654"/>
          <w:tab w:val="right" w:pos="8929"/>
          <w:tab w:val="right" w:pos="9638"/>
        </w:tabs>
        <w:spacing w:after="120"/>
        <w:ind w:left="1128" w:hanging="1128"/>
        <w:rPr>
          <w:rFonts w:eastAsia="Times New Roman"/>
          <w:lang w:val="fr-FR"/>
        </w:rPr>
      </w:pPr>
      <w:r w:rsidRPr="00F60A3D">
        <w:rPr>
          <w:rFonts w:eastAsia="Times New Roman"/>
          <w:lang w:val="fr-FR"/>
        </w:rPr>
        <w:tab/>
      </w:r>
      <w:r w:rsidRPr="00F60A3D">
        <w:rPr>
          <w:rFonts w:eastAsia="Times New Roman"/>
          <w:lang w:val="fr-FR"/>
        </w:rPr>
        <w:tab/>
      </w:r>
      <w:r w:rsidR="00FD0C29" w:rsidRPr="00F60A3D">
        <w:rPr>
          <w:rFonts w:eastAsia="Times New Roman"/>
          <w:lang w:val="fr-FR"/>
        </w:rPr>
        <w:t>B.</w:t>
      </w:r>
      <w:r w:rsidR="00FD0C29" w:rsidRPr="00F60A3D">
        <w:rPr>
          <w:rFonts w:eastAsia="Times New Roman"/>
          <w:lang w:val="fr-FR"/>
        </w:rPr>
        <w:tab/>
        <w:t xml:space="preserve">Structure </w:t>
      </w:r>
      <w:r w:rsidR="00F60A3D" w:rsidRPr="00F60A3D">
        <w:rPr>
          <w:rFonts w:eastAsia="Times New Roman"/>
          <w:lang w:val="fr-FR"/>
        </w:rPr>
        <w:t>constitutionnelle</w:t>
      </w:r>
      <w:r w:rsidR="00FD0C29" w:rsidRPr="00F60A3D">
        <w:rPr>
          <w:rFonts w:eastAsia="Times New Roman"/>
          <w:lang w:val="fr-FR"/>
        </w:rPr>
        <w:t>, politique et juridique</w:t>
      </w:r>
      <w:r w:rsidR="004F0FAA" w:rsidRPr="00F60A3D">
        <w:rPr>
          <w:rFonts w:eastAsia="Times New Roman"/>
          <w:lang w:val="fr-FR"/>
        </w:rPr>
        <w:t xml:space="preserve"> de l</w:t>
      </w:r>
      <w:r w:rsidR="00B17AE1" w:rsidRPr="00F60A3D">
        <w:rPr>
          <w:rFonts w:eastAsia="Times New Roman"/>
          <w:lang w:val="fr-FR"/>
        </w:rPr>
        <w:t>’</w:t>
      </w:r>
      <w:r w:rsidR="004F0FAA" w:rsidRPr="00F60A3D">
        <w:rPr>
          <w:rFonts w:eastAsia="Times New Roman"/>
          <w:lang w:val="fr-FR"/>
        </w:rPr>
        <w:t>État</w:t>
      </w:r>
      <w:r w:rsidR="004915F9" w:rsidRPr="00F60A3D">
        <w:rPr>
          <w:rFonts w:eastAsia="Times New Roman"/>
          <w:lang w:val="fr-FR"/>
        </w:rPr>
        <w:tab/>
      </w:r>
      <w:r w:rsidR="004915F9" w:rsidRPr="00F60A3D">
        <w:rPr>
          <w:rFonts w:eastAsia="Times New Roman"/>
          <w:lang w:val="fr-FR"/>
        </w:rPr>
        <w:tab/>
      </w:r>
      <w:r w:rsidR="00142FB7" w:rsidRPr="00F60A3D">
        <w:rPr>
          <w:rFonts w:eastAsia="Times New Roman"/>
          <w:lang w:val="fr-FR"/>
        </w:rPr>
        <w:t>61–141</w:t>
      </w:r>
      <w:r w:rsidR="00652F35" w:rsidRPr="00F60A3D">
        <w:rPr>
          <w:rFonts w:eastAsia="Times New Roman"/>
          <w:lang w:val="fr-FR"/>
        </w:rPr>
        <w:tab/>
      </w:r>
      <w:r w:rsidR="009A3953" w:rsidRPr="00F60A3D">
        <w:rPr>
          <w:rFonts w:eastAsia="Times New Roman"/>
          <w:lang w:val="fr-FR"/>
        </w:rPr>
        <w:t>13</w:t>
      </w:r>
    </w:p>
    <w:p w:rsidR="00652F35" w:rsidRPr="00F60A3D" w:rsidRDefault="00652F35" w:rsidP="00126F0C">
      <w:pPr>
        <w:tabs>
          <w:tab w:val="right" w:pos="850"/>
          <w:tab w:val="left" w:pos="1134"/>
          <w:tab w:val="left" w:pos="1559"/>
          <w:tab w:val="left" w:pos="1984"/>
          <w:tab w:val="left" w:leader="dot" w:pos="7654"/>
          <w:tab w:val="right" w:pos="8929"/>
          <w:tab w:val="right" w:pos="9638"/>
        </w:tabs>
        <w:spacing w:after="120"/>
        <w:ind w:left="1128" w:hanging="1128"/>
        <w:rPr>
          <w:rFonts w:eastAsia="Times New Roman"/>
          <w:lang w:val="fr-FR"/>
        </w:rPr>
      </w:pPr>
      <w:r w:rsidRPr="00F60A3D">
        <w:rPr>
          <w:rFonts w:eastAsia="Times New Roman"/>
          <w:lang w:val="fr-FR"/>
        </w:rPr>
        <w:tab/>
        <w:t>II.</w:t>
      </w:r>
      <w:r w:rsidR="007D5951" w:rsidRPr="00F60A3D">
        <w:rPr>
          <w:rFonts w:eastAsia="Times New Roman"/>
          <w:lang w:val="fr-FR"/>
        </w:rPr>
        <w:tab/>
      </w:r>
      <w:r w:rsidR="00FD0C29" w:rsidRPr="00F60A3D">
        <w:rPr>
          <w:rFonts w:eastAsia="Times New Roman"/>
          <w:lang w:val="fr-FR"/>
        </w:rPr>
        <w:t xml:space="preserve">Cadre général de la protection et de la </w:t>
      </w:r>
      <w:r w:rsidR="00791E7C" w:rsidRPr="00F60A3D">
        <w:rPr>
          <w:rFonts w:eastAsia="Times New Roman"/>
          <w:lang w:val="fr-FR"/>
        </w:rPr>
        <w:t>promotion des droits de l</w:t>
      </w:r>
      <w:r w:rsidR="00B17AE1" w:rsidRPr="00F60A3D">
        <w:rPr>
          <w:rFonts w:eastAsia="Times New Roman"/>
          <w:lang w:val="fr-FR"/>
        </w:rPr>
        <w:t>’</w:t>
      </w:r>
      <w:r w:rsidR="00791E7C" w:rsidRPr="00F60A3D">
        <w:rPr>
          <w:rFonts w:eastAsia="Times New Roman"/>
          <w:lang w:val="fr-FR"/>
        </w:rPr>
        <w:t>homme</w:t>
      </w:r>
      <w:r w:rsidR="004915F9" w:rsidRPr="00F60A3D">
        <w:rPr>
          <w:rFonts w:eastAsia="Times New Roman"/>
          <w:lang w:val="fr-FR"/>
        </w:rPr>
        <w:tab/>
      </w:r>
      <w:r w:rsidR="004915F9" w:rsidRPr="00F60A3D">
        <w:rPr>
          <w:rFonts w:eastAsia="Times New Roman"/>
          <w:lang w:val="fr-FR"/>
        </w:rPr>
        <w:tab/>
      </w:r>
      <w:r w:rsidR="00142FB7" w:rsidRPr="00F60A3D">
        <w:rPr>
          <w:rFonts w:eastAsia="Times New Roman"/>
          <w:lang w:val="fr-FR"/>
        </w:rPr>
        <w:t>142–244</w:t>
      </w:r>
      <w:r w:rsidR="009A3953" w:rsidRPr="00F60A3D">
        <w:rPr>
          <w:rFonts w:eastAsia="Times New Roman"/>
          <w:lang w:val="fr-FR"/>
        </w:rPr>
        <w:tab/>
      </w:r>
      <w:r w:rsidR="008D206D" w:rsidRPr="00F60A3D">
        <w:rPr>
          <w:rFonts w:eastAsia="Times New Roman"/>
          <w:lang w:val="fr-FR"/>
        </w:rPr>
        <w:t>23</w:t>
      </w:r>
    </w:p>
    <w:p w:rsidR="00652F35" w:rsidRPr="00F60A3D" w:rsidRDefault="00791E7C" w:rsidP="00126F0C">
      <w:pPr>
        <w:tabs>
          <w:tab w:val="right" w:pos="850"/>
          <w:tab w:val="left" w:pos="1134"/>
          <w:tab w:val="left" w:pos="1559"/>
          <w:tab w:val="left" w:pos="1984"/>
          <w:tab w:val="left" w:leader="dot" w:pos="7654"/>
          <w:tab w:val="right" w:pos="8929"/>
          <w:tab w:val="right" w:pos="9638"/>
        </w:tabs>
        <w:spacing w:after="120"/>
        <w:ind w:left="1128" w:hanging="1128"/>
        <w:rPr>
          <w:rFonts w:eastAsia="Times New Roman"/>
          <w:lang w:val="fr-FR"/>
        </w:rPr>
      </w:pPr>
      <w:r w:rsidRPr="00F60A3D">
        <w:rPr>
          <w:rFonts w:eastAsia="Times New Roman"/>
          <w:lang w:val="fr-FR"/>
        </w:rPr>
        <w:tab/>
      </w:r>
      <w:r w:rsidRPr="00F60A3D">
        <w:rPr>
          <w:rFonts w:eastAsia="Times New Roman"/>
          <w:lang w:val="fr-FR"/>
        </w:rPr>
        <w:tab/>
      </w:r>
      <w:r w:rsidR="00142FB7" w:rsidRPr="00F60A3D">
        <w:rPr>
          <w:rFonts w:eastAsia="Times New Roman"/>
          <w:lang w:val="fr-FR"/>
        </w:rPr>
        <w:t>Introduction</w:t>
      </w:r>
      <w:r w:rsidR="00126F0C">
        <w:rPr>
          <w:rFonts w:eastAsia="Times New Roman"/>
          <w:lang w:val="fr-FR"/>
        </w:rPr>
        <w:tab/>
      </w:r>
      <w:r w:rsidR="001D2CCC" w:rsidRPr="00F60A3D">
        <w:rPr>
          <w:rFonts w:eastAsia="Times New Roman"/>
          <w:lang w:val="fr-FR"/>
        </w:rPr>
        <w:tab/>
      </w:r>
      <w:r w:rsidR="00142FB7" w:rsidRPr="00F60A3D">
        <w:rPr>
          <w:rFonts w:eastAsia="Times New Roman"/>
          <w:lang w:val="fr-FR"/>
        </w:rPr>
        <w:t>142–149</w:t>
      </w:r>
      <w:r w:rsidR="008D206D" w:rsidRPr="00F60A3D">
        <w:rPr>
          <w:rFonts w:eastAsia="Times New Roman"/>
          <w:lang w:val="fr-FR"/>
        </w:rPr>
        <w:tab/>
        <w:t>23</w:t>
      </w:r>
    </w:p>
    <w:p w:rsidR="00652F35" w:rsidRPr="00F60A3D" w:rsidRDefault="00791E7C" w:rsidP="00791E7C">
      <w:pPr>
        <w:tabs>
          <w:tab w:val="right" w:pos="850"/>
          <w:tab w:val="left" w:pos="1134"/>
          <w:tab w:val="left" w:pos="1559"/>
          <w:tab w:val="left" w:pos="1984"/>
          <w:tab w:val="left" w:leader="dot" w:pos="7654"/>
          <w:tab w:val="right" w:pos="8929"/>
          <w:tab w:val="right" w:pos="9638"/>
        </w:tabs>
        <w:spacing w:after="120"/>
        <w:ind w:left="1128" w:hanging="1128"/>
        <w:rPr>
          <w:rFonts w:eastAsia="Times New Roman"/>
          <w:lang w:val="fr-FR"/>
        </w:rPr>
      </w:pPr>
      <w:r w:rsidRPr="00F60A3D">
        <w:rPr>
          <w:rFonts w:eastAsia="Times New Roman"/>
          <w:lang w:val="fr-FR"/>
        </w:rPr>
        <w:tab/>
      </w:r>
      <w:r w:rsidRPr="00F60A3D">
        <w:rPr>
          <w:rFonts w:eastAsia="Times New Roman"/>
          <w:lang w:val="fr-FR"/>
        </w:rPr>
        <w:tab/>
      </w:r>
      <w:r w:rsidR="00006075" w:rsidRPr="00F60A3D">
        <w:rPr>
          <w:rFonts w:eastAsia="Times New Roman"/>
          <w:lang w:val="fr-FR"/>
        </w:rPr>
        <w:t>A.</w:t>
      </w:r>
      <w:r w:rsidR="00006075" w:rsidRPr="00F60A3D">
        <w:rPr>
          <w:rFonts w:eastAsia="Times New Roman"/>
          <w:lang w:val="fr-FR"/>
        </w:rPr>
        <w:tab/>
        <w:t>Adhésion aux normes internationales relative</w:t>
      </w:r>
      <w:r w:rsidR="00E8498C" w:rsidRPr="00F60A3D">
        <w:rPr>
          <w:rFonts w:eastAsia="Times New Roman"/>
          <w:lang w:val="fr-FR"/>
        </w:rPr>
        <w:t>s aux</w:t>
      </w:r>
      <w:r w:rsidR="00FD0C29" w:rsidRPr="00F60A3D">
        <w:rPr>
          <w:rFonts w:eastAsia="Times New Roman"/>
          <w:lang w:val="fr-FR"/>
        </w:rPr>
        <w:t xml:space="preserve"> droits de l</w:t>
      </w:r>
      <w:r w:rsidR="00B17AE1" w:rsidRPr="00F60A3D">
        <w:rPr>
          <w:rFonts w:eastAsia="Times New Roman"/>
          <w:lang w:val="fr-FR"/>
        </w:rPr>
        <w:t>’</w:t>
      </w:r>
      <w:r w:rsidR="00FD0C29" w:rsidRPr="00F60A3D">
        <w:rPr>
          <w:rFonts w:eastAsia="Times New Roman"/>
          <w:lang w:val="fr-FR"/>
        </w:rPr>
        <w:t>homme</w:t>
      </w:r>
      <w:r w:rsidR="004915F9" w:rsidRPr="00F60A3D">
        <w:rPr>
          <w:rFonts w:eastAsia="Times New Roman"/>
          <w:lang w:val="fr-FR"/>
        </w:rPr>
        <w:tab/>
      </w:r>
      <w:r w:rsidR="004915F9" w:rsidRPr="00F60A3D">
        <w:rPr>
          <w:rFonts w:eastAsia="Times New Roman"/>
          <w:lang w:val="fr-FR"/>
        </w:rPr>
        <w:tab/>
      </w:r>
      <w:r w:rsidR="00142FB7" w:rsidRPr="00F60A3D">
        <w:rPr>
          <w:rFonts w:eastAsia="Times New Roman"/>
          <w:lang w:val="fr-FR"/>
        </w:rPr>
        <w:t>150–152</w:t>
      </w:r>
      <w:r w:rsidR="008D206D" w:rsidRPr="00F60A3D">
        <w:rPr>
          <w:rFonts w:eastAsia="Times New Roman"/>
          <w:lang w:val="fr-FR"/>
        </w:rPr>
        <w:tab/>
        <w:t>25</w:t>
      </w:r>
    </w:p>
    <w:p w:rsidR="00652F35" w:rsidRPr="00F60A3D" w:rsidRDefault="00791E7C" w:rsidP="00791E7C">
      <w:pPr>
        <w:tabs>
          <w:tab w:val="right" w:pos="850"/>
          <w:tab w:val="left" w:pos="1134"/>
          <w:tab w:val="left" w:pos="1559"/>
          <w:tab w:val="left" w:pos="1984"/>
          <w:tab w:val="left" w:leader="dot" w:pos="7654"/>
          <w:tab w:val="right" w:pos="8929"/>
          <w:tab w:val="right" w:pos="9638"/>
        </w:tabs>
        <w:spacing w:after="120"/>
        <w:ind w:left="1128" w:hanging="1128"/>
        <w:rPr>
          <w:rFonts w:eastAsia="Times New Roman"/>
          <w:lang w:val="fr-FR"/>
        </w:rPr>
      </w:pPr>
      <w:r w:rsidRPr="00F60A3D">
        <w:rPr>
          <w:rFonts w:eastAsia="Times New Roman"/>
          <w:lang w:val="fr-FR"/>
        </w:rPr>
        <w:tab/>
      </w:r>
      <w:r w:rsidRPr="00F60A3D">
        <w:rPr>
          <w:rFonts w:eastAsia="Times New Roman"/>
          <w:lang w:val="fr-FR"/>
        </w:rPr>
        <w:tab/>
      </w:r>
      <w:r w:rsidR="00FD0C29" w:rsidRPr="00F60A3D">
        <w:rPr>
          <w:rFonts w:eastAsia="Times New Roman"/>
          <w:lang w:val="fr-FR"/>
        </w:rPr>
        <w:t>B.</w:t>
      </w:r>
      <w:r w:rsidR="00FD0C29" w:rsidRPr="00F60A3D">
        <w:rPr>
          <w:rFonts w:eastAsia="Times New Roman"/>
          <w:lang w:val="fr-FR"/>
        </w:rPr>
        <w:tab/>
        <w:t>Cadre juridique de la protection des droits de l</w:t>
      </w:r>
      <w:r w:rsidR="00B17AE1" w:rsidRPr="00F60A3D">
        <w:rPr>
          <w:rFonts w:eastAsia="Times New Roman"/>
          <w:lang w:val="fr-FR"/>
        </w:rPr>
        <w:t>’</w:t>
      </w:r>
      <w:r w:rsidR="00FD0C29" w:rsidRPr="00F60A3D">
        <w:rPr>
          <w:rFonts w:eastAsia="Times New Roman"/>
          <w:lang w:val="fr-FR"/>
        </w:rPr>
        <w:t>homme au niveau national</w:t>
      </w:r>
      <w:r w:rsidR="00995638" w:rsidRPr="00F60A3D">
        <w:rPr>
          <w:rFonts w:eastAsia="Times New Roman"/>
          <w:lang w:val="fr-FR"/>
        </w:rPr>
        <w:tab/>
      </w:r>
      <w:r w:rsidR="004915F9" w:rsidRPr="00F60A3D">
        <w:rPr>
          <w:rFonts w:eastAsia="Times New Roman"/>
          <w:lang w:val="fr-FR"/>
        </w:rPr>
        <w:tab/>
      </w:r>
      <w:r w:rsidR="00142FB7" w:rsidRPr="00F60A3D">
        <w:rPr>
          <w:rFonts w:eastAsia="Times New Roman"/>
          <w:lang w:val="fr-FR"/>
        </w:rPr>
        <w:t>153–232</w:t>
      </w:r>
      <w:r w:rsidR="00652F35" w:rsidRPr="00F60A3D">
        <w:rPr>
          <w:rFonts w:eastAsia="Times New Roman"/>
          <w:lang w:val="fr-FR"/>
        </w:rPr>
        <w:tab/>
      </w:r>
      <w:r w:rsidR="008D206D" w:rsidRPr="00F60A3D">
        <w:rPr>
          <w:rFonts w:eastAsia="Times New Roman"/>
          <w:lang w:val="fr-FR"/>
        </w:rPr>
        <w:t>30</w:t>
      </w:r>
    </w:p>
    <w:p w:rsidR="00652F35" w:rsidRPr="00F60A3D" w:rsidRDefault="00791E7C" w:rsidP="00B70424">
      <w:pPr>
        <w:tabs>
          <w:tab w:val="right" w:pos="850"/>
          <w:tab w:val="left" w:pos="1134"/>
          <w:tab w:val="left" w:pos="1559"/>
          <w:tab w:val="left" w:pos="1984"/>
          <w:tab w:val="left" w:leader="dot" w:pos="7654"/>
          <w:tab w:val="right" w:pos="8929"/>
          <w:tab w:val="right" w:pos="9638"/>
        </w:tabs>
        <w:spacing w:after="120"/>
        <w:ind w:left="1128" w:hanging="1128"/>
        <w:rPr>
          <w:rFonts w:eastAsia="Times New Roman"/>
          <w:lang w:val="fr-FR"/>
        </w:rPr>
      </w:pPr>
      <w:r w:rsidRPr="00F60A3D">
        <w:rPr>
          <w:rFonts w:eastAsia="Times New Roman"/>
          <w:lang w:val="fr-FR"/>
        </w:rPr>
        <w:tab/>
      </w:r>
      <w:r w:rsidRPr="00F60A3D">
        <w:rPr>
          <w:rFonts w:eastAsia="Times New Roman"/>
          <w:lang w:val="fr-FR"/>
        </w:rPr>
        <w:tab/>
      </w:r>
      <w:r w:rsidR="00E8498C" w:rsidRPr="00F60A3D">
        <w:rPr>
          <w:rFonts w:eastAsia="Times New Roman"/>
          <w:lang w:val="fr-FR"/>
        </w:rPr>
        <w:t>C.</w:t>
      </w:r>
      <w:r w:rsidR="00E8498C" w:rsidRPr="00F60A3D">
        <w:rPr>
          <w:rFonts w:eastAsia="Times New Roman"/>
          <w:lang w:val="fr-FR"/>
        </w:rPr>
        <w:tab/>
        <w:t>C</w:t>
      </w:r>
      <w:r w:rsidR="00E62A47" w:rsidRPr="00F60A3D">
        <w:rPr>
          <w:rFonts w:eastAsia="Times New Roman"/>
          <w:lang w:val="fr-FR"/>
        </w:rPr>
        <w:t>adre de la promotion des droits de l</w:t>
      </w:r>
      <w:r w:rsidR="00B17AE1" w:rsidRPr="00F60A3D">
        <w:rPr>
          <w:rFonts w:eastAsia="Times New Roman"/>
          <w:lang w:val="fr-FR"/>
        </w:rPr>
        <w:t>’</w:t>
      </w:r>
      <w:r w:rsidR="00E62A47" w:rsidRPr="00F60A3D">
        <w:rPr>
          <w:rFonts w:eastAsia="Times New Roman"/>
          <w:lang w:val="fr-FR"/>
        </w:rPr>
        <w:t xml:space="preserve">homme </w:t>
      </w:r>
      <w:r w:rsidR="00B70424" w:rsidRPr="00F60A3D">
        <w:rPr>
          <w:rFonts w:eastAsia="Times New Roman"/>
          <w:lang w:val="fr-FR"/>
        </w:rPr>
        <w:t>à l’échelon</w:t>
      </w:r>
      <w:r w:rsidR="00E62A47" w:rsidRPr="00F60A3D">
        <w:rPr>
          <w:rFonts w:eastAsia="Times New Roman"/>
          <w:lang w:val="fr-FR"/>
        </w:rPr>
        <w:t xml:space="preserve"> national</w:t>
      </w:r>
      <w:r w:rsidR="004915F9" w:rsidRPr="00F60A3D">
        <w:rPr>
          <w:rFonts w:eastAsia="Times New Roman"/>
          <w:lang w:val="fr-FR"/>
        </w:rPr>
        <w:tab/>
      </w:r>
      <w:r w:rsidR="004915F9" w:rsidRPr="00F60A3D">
        <w:rPr>
          <w:rFonts w:eastAsia="Times New Roman"/>
          <w:lang w:val="fr-FR"/>
        </w:rPr>
        <w:tab/>
      </w:r>
      <w:r w:rsidR="00142FB7" w:rsidRPr="00F60A3D">
        <w:rPr>
          <w:rFonts w:eastAsia="Times New Roman"/>
          <w:lang w:val="fr-FR"/>
        </w:rPr>
        <w:t>233–242</w:t>
      </w:r>
      <w:r w:rsidR="00652F35" w:rsidRPr="00F60A3D">
        <w:rPr>
          <w:rFonts w:eastAsia="Times New Roman"/>
          <w:lang w:val="fr-FR"/>
        </w:rPr>
        <w:tab/>
      </w:r>
      <w:r w:rsidR="008D206D" w:rsidRPr="00F60A3D">
        <w:rPr>
          <w:rFonts w:eastAsia="Times New Roman"/>
          <w:lang w:val="fr-FR"/>
        </w:rPr>
        <w:t>44</w:t>
      </w:r>
    </w:p>
    <w:p w:rsidR="00652F35" w:rsidRPr="00F60A3D" w:rsidRDefault="00791E7C" w:rsidP="00791E7C">
      <w:pPr>
        <w:tabs>
          <w:tab w:val="right" w:pos="850"/>
          <w:tab w:val="left" w:pos="1134"/>
          <w:tab w:val="left" w:pos="1559"/>
          <w:tab w:val="left" w:pos="1984"/>
          <w:tab w:val="left" w:leader="dot" w:pos="7654"/>
          <w:tab w:val="right" w:pos="8929"/>
          <w:tab w:val="right" w:pos="9638"/>
        </w:tabs>
        <w:spacing w:after="120"/>
        <w:ind w:left="1128" w:hanging="1128"/>
        <w:rPr>
          <w:rFonts w:eastAsia="Times New Roman"/>
          <w:lang w:val="fr-FR"/>
        </w:rPr>
      </w:pPr>
      <w:r w:rsidRPr="00F60A3D">
        <w:rPr>
          <w:rFonts w:eastAsia="Times New Roman"/>
          <w:lang w:val="fr-FR"/>
        </w:rPr>
        <w:tab/>
      </w:r>
      <w:r w:rsidRPr="00F60A3D">
        <w:rPr>
          <w:rFonts w:eastAsia="Times New Roman"/>
          <w:lang w:val="fr-FR"/>
        </w:rPr>
        <w:tab/>
      </w:r>
      <w:r w:rsidR="00A235F1" w:rsidRPr="00F60A3D">
        <w:rPr>
          <w:rFonts w:eastAsia="Times New Roman"/>
          <w:lang w:val="fr-FR"/>
        </w:rPr>
        <w:t>D.</w:t>
      </w:r>
      <w:r w:rsidR="00A235F1" w:rsidRPr="00F60A3D">
        <w:rPr>
          <w:rFonts w:eastAsia="Times New Roman"/>
          <w:lang w:val="fr-FR"/>
        </w:rPr>
        <w:tab/>
        <w:t>Élaboration du rapport à l</w:t>
      </w:r>
      <w:r w:rsidR="00B17AE1" w:rsidRPr="00F60A3D">
        <w:rPr>
          <w:rFonts w:eastAsia="Times New Roman"/>
          <w:lang w:val="fr-FR"/>
        </w:rPr>
        <w:t>’</w:t>
      </w:r>
      <w:r w:rsidR="00A235F1" w:rsidRPr="00F60A3D">
        <w:rPr>
          <w:rFonts w:eastAsia="Times New Roman"/>
          <w:lang w:val="fr-FR"/>
        </w:rPr>
        <w:t xml:space="preserve">échelon </w:t>
      </w:r>
      <w:r w:rsidR="00476E7D" w:rsidRPr="00F60A3D">
        <w:rPr>
          <w:rFonts w:eastAsia="Times New Roman"/>
          <w:lang w:val="fr-FR"/>
        </w:rPr>
        <w:t>national</w:t>
      </w:r>
      <w:r w:rsidR="004915F9" w:rsidRPr="00F60A3D">
        <w:rPr>
          <w:rFonts w:eastAsia="Times New Roman"/>
          <w:lang w:val="fr-FR"/>
        </w:rPr>
        <w:tab/>
      </w:r>
      <w:r w:rsidR="004915F9" w:rsidRPr="00F60A3D">
        <w:rPr>
          <w:rFonts w:eastAsia="Times New Roman"/>
          <w:lang w:val="fr-FR"/>
        </w:rPr>
        <w:tab/>
      </w:r>
      <w:r w:rsidR="00142FB7" w:rsidRPr="00F60A3D">
        <w:rPr>
          <w:rFonts w:eastAsia="Times New Roman"/>
          <w:lang w:val="fr-FR"/>
        </w:rPr>
        <w:t>243</w:t>
      </w:r>
      <w:r w:rsidR="00A235F1" w:rsidRPr="00F60A3D">
        <w:rPr>
          <w:rFonts w:eastAsia="Times New Roman"/>
          <w:lang w:val="fr-FR"/>
        </w:rPr>
        <w:tab/>
        <w:t>47</w:t>
      </w:r>
    </w:p>
    <w:p w:rsidR="00652F35" w:rsidRPr="00F60A3D" w:rsidRDefault="00791E7C" w:rsidP="00142FB7">
      <w:pPr>
        <w:tabs>
          <w:tab w:val="right" w:pos="850"/>
          <w:tab w:val="left" w:pos="1134"/>
          <w:tab w:val="left" w:pos="1559"/>
          <w:tab w:val="left" w:pos="1984"/>
          <w:tab w:val="left" w:leader="dot" w:pos="7654"/>
          <w:tab w:val="right" w:pos="8929"/>
          <w:tab w:val="right" w:pos="9638"/>
        </w:tabs>
        <w:spacing w:after="120"/>
        <w:ind w:left="1128" w:hanging="1128"/>
        <w:rPr>
          <w:rFonts w:eastAsia="Times New Roman"/>
          <w:lang w:val="fr-FR"/>
        </w:rPr>
      </w:pPr>
      <w:r w:rsidRPr="00F60A3D">
        <w:rPr>
          <w:rFonts w:eastAsia="Times New Roman"/>
          <w:lang w:val="fr-FR"/>
        </w:rPr>
        <w:tab/>
      </w:r>
      <w:r w:rsidRPr="00F60A3D">
        <w:rPr>
          <w:rFonts w:eastAsia="Times New Roman"/>
          <w:lang w:val="fr-FR"/>
        </w:rPr>
        <w:tab/>
      </w:r>
      <w:r w:rsidR="00476E7D" w:rsidRPr="00F60A3D">
        <w:rPr>
          <w:rFonts w:eastAsia="Times New Roman"/>
          <w:lang w:val="fr-FR"/>
        </w:rPr>
        <w:t>E.</w:t>
      </w:r>
      <w:r w:rsidR="00476E7D" w:rsidRPr="00F60A3D">
        <w:rPr>
          <w:rFonts w:eastAsia="Times New Roman"/>
          <w:lang w:val="fr-FR"/>
        </w:rPr>
        <w:tab/>
        <w:t>Autres informations relatives aux droits de l</w:t>
      </w:r>
      <w:r w:rsidR="00B17AE1" w:rsidRPr="00F60A3D">
        <w:rPr>
          <w:rFonts w:eastAsia="Times New Roman"/>
          <w:lang w:val="fr-FR"/>
        </w:rPr>
        <w:t>’</w:t>
      </w:r>
      <w:r w:rsidR="00476E7D" w:rsidRPr="00F60A3D">
        <w:rPr>
          <w:rFonts w:eastAsia="Times New Roman"/>
          <w:lang w:val="fr-FR"/>
        </w:rPr>
        <w:t>homme</w:t>
      </w:r>
      <w:r w:rsidR="004915F9" w:rsidRPr="00F60A3D">
        <w:rPr>
          <w:rFonts w:eastAsia="Times New Roman"/>
          <w:lang w:val="fr-FR"/>
        </w:rPr>
        <w:tab/>
      </w:r>
      <w:r w:rsidR="004915F9" w:rsidRPr="00F60A3D">
        <w:rPr>
          <w:rFonts w:eastAsia="Times New Roman"/>
          <w:lang w:val="fr-FR"/>
        </w:rPr>
        <w:tab/>
      </w:r>
      <w:r w:rsidR="00142FB7" w:rsidRPr="00F60A3D">
        <w:rPr>
          <w:rFonts w:eastAsia="Times New Roman"/>
          <w:lang w:val="fr-FR"/>
        </w:rPr>
        <w:t>244</w:t>
      </w:r>
      <w:r w:rsidR="009A3953" w:rsidRPr="00F60A3D">
        <w:rPr>
          <w:rFonts w:eastAsia="Times New Roman"/>
          <w:lang w:val="fr-FR"/>
        </w:rPr>
        <w:tab/>
        <w:t>4</w:t>
      </w:r>
      <w:r w:rsidR="00A235F1" w:rsidRPr="00F60A3D">
        <w:rPr>
          <w:rFonts w:eastAsia="Times New Roman"/>
          <w:lang w:val="fr-FR"/>
        </w:rPr>
        <w:t>7</w:t>
      </w:r>
    </w:p>
    <w:p w:rsidR="00652F35" w:rsidRPr="00F60A3D" w:rsidRDefault="00652F35" w:rsidP="00791E7C">
      <w:pPr>
        <w:tabs>
          <w:tab w:val="right" w:pos="850"/>
          <w:tab w:val="left" w:pos="1134"/>
          <w:tab w:val="left" w:pos="1559"/>
          <w:tab w:val="left" w:pos="1984"/>
          <w:tab w:val="left" w:leader="dot" w:pos="7654"/>
          <w:tab w:val="right" w:pos="8929"/>
          <w:tab w:val="right" w:pos="9638"/>
        </w:tabs>
        <w:spacing w:after="120"/>
        <w:ind w:left="1128" w:hanging="1128"/>
        <w:rPr>
          <w:rFonts w:eastAsia="Times New Roman"/>
          <w:lang w:val="fr-FR"/>
        </w:rPr>
      </w:pPr>
      <w:r w:rsidRPr="00F60A3D">
        <w:rPr>
          <w:rFonts w:eastAsia="Times New Roman"/>
          <w:lang w:val="fr-FR"/>
        </w:rPr>
        <w:tab/>
        <w:t>I</w:t>
      </w:r>
      <w:r w:rsidR="007D5951" w:rsidRPr="00F60A3D">
        <w:rPr>
          <w:rFonts w:eastAsia="Times New Roman"/>
          <w:lang w:val="fr-FR"/>
        </w:rPr>
        <w:t>II.</w:t>
      </w:r>
      <w:r w:rsidR="007D5951" w:rsidRPr="00F60A3D">
        <w:rPr>
          <w:rFonts w:eastAsia="Times New Roman"/>
          <w:lang w:val="fr-FR"/>
        </w:rPr>
        <w:tab/>
      </w:r>
      <w:r w:rsidR="004915F9" w:rsidRPr="00F60A3D">
        <w:rPr>
          <w:rFonts w:eastAsia="Times New Roman"/>
          <w:lang w:val="fr-FR"/>
        </w:rPr>
        <w:t>Information sur la non-discrimination et l</w:t>
      </w:r>
      <w:r w:rsidR="00B17AE1" w:rsidRPr="00F60A3D">
        <w:rPr>
          <w:rFonts w:eastAsia="Times New Roman"/>
          <w:lang w:val="fr-FR"/>
        </w:rPr>
        <w:t>’</w:t>
      </w:r>
      <w:r w:rsidR="004915F9" w:rsidRPr="00F60A3D">
        <w:rPr>
          <w:rFonts w:eastAsia="Times New Roman"/>
          <w:lang w:val="fr-FR"/>
        </w:rPr>
        <w:t xml:space="preserve">égalité </w:t>
      </w:r>
      <w:r w:rsidR="007C6E6B" w:rsidRPr="00F60A3D">
        <w:rPr>
          <w:rFonts w:eastAsia="Times New Roman"/>
          <w:lang w:val="fr-FR"/>
        </w:rPr>
        <w:t xml:space="preserve">ainsi que sur les recours </w:t>
      </w:r>
      <w:r w:rsidR="00791E7C" w:rsidRPr="00F60A3D">
        <w:rPr>
          <w:rFonts w:eastAsia="Times New Roman"/>
          <w:lang w:val="fr-FR"/>
        </w:rPr>
        <w:br/>
      </w:r>
      <w:r w:rsidR="007C6E6B" w:rsidRPr="00F60A3D">
        <w:rPr>
          <w:rFonts w:eastAsia="Times New Roman"/>
          <w:lang w:val="fr-FR"/>
        </w:rPr>
        <w:t>juridiques efficaces</w:t>
      </w:r>
      <w:r w:rsidR="00791E7C" w:rsidRPr="00F60A3D">
        <w:rPr>
          <w:rFonts w:eastAsia="Times New Roman"/>
          <w:lang w:val="fr-FR"/>
        </w:rPr>
        <w:tab/>
        <w:t>.</w:t>
      </w:r>
      <w:r w:rsidR="00371C85" w:rsidRPr="00F60A3D">
        <w:rPr>
          <w:rFonts w:eastAsia="Times New Roman"/>
          <w:lang w:val="fr-FR"/>
        </w:rPr>
        <w:tab/>
      </w:r>
      <w:r w:rsidR="00142FB7" w:rsidRPr="00F60A3D">
        <w:rPr>
          <w:rFonts w:eastAsia="Times New Roman"/>
          <w:lang w:val="fr-FR"/>
        </w:rPr>
        <w:t>245–286</w:t>
      </w:r>
      <w:r w:rsidR="00371C85" w:rsidRPr="00F60A3D">
        <w:rPr>
          <w:rFonts w:eastAsia="Times New Roman"/>
          <w:lang w:val="fr-FR"/>
        </w:rPr>
        <w:tab/>
      </w:r>
      <w:r w:rsidR="009A3953" w:rsidRPr="00F60A3D">
        <w:rPr>
          <w:rFonts w:eastAsia="Times New Roman"/>
          <w:lang w:val="fr-FR"/>
        </w:rPr>
        <w:t>4</w:t>
      </w:r>
      <w:r w:rsidR="008D206D" w:rsidRPr="00F60A3D">
        <w:rPr>
          <w:rFonts w:eastAsia="Times New Roman"/>
          <w:lang w:val="fr-FR"/>
        </w:rPr>
        <w:t>7</w:t>
      </w:r>
    </w:p>
    <w:p w:rsidR="00652F35" w:rsidRPr="00F60A3D" w:rsidRDefault="00791E7C" w:rsidP="00126F0C">
      <w:pPr>
        <w:tabs>
          <w:tab w:val="right" w:pos="850"/>
          <w:tab w:val="left" w:pos="1134"/>
          <w:tab w:val="left" w:pos="1559"/>
          <w:tab w:val="left" w:pos="1984"/>
          <w:tab w:val="left" w:leader="dot" w:pos="7654"/>
          <w:tab w:val="right" w:pos="8929"/>
          <w:tab w:val="right" w:pos="9638"/>
        </w:tabs>
        <w:spacing w:after="120"/>
        <w:ind w:left="1128" w:hanging="1128"/>
        <w:rPr>
          <w:rFonts w:eastAsia="Times New Roman"/>
          <w:lang w:val="fr-FR"/>
        </w:rPr>
      </w:pPr>
      <w:r w:rsidRPr="00F60A3D">
        <w:rPr>
          <w:rFonts w:eastAsia="Times New Roman"/>
          <w:lang w:val="fr-FR"/>
        </w:rPr>
        <w:tab/>
      </w:r>
      <w:r w:rsidRPr="00F60A3D">
        <w:rPr>
          <w:rFonts w:eastAsia="Times New Roman"/>
          <w:lang w:val="fr-FR"/>
        </w:rPr>
        <w:tab/>
        <w:t>Introduction</w:t>
      </w:r>
      <w:r w:rsidR="00126F0C">
        <w:rPr>
          <w:rFonts w:eastAsia="Times New Roman"/>
          <w:lang w:val="fr-FR"/>
        </w:rPr>
        <w:tab/>
      </w:r>
      <w:r w:rsidR="004915F9" w:rsidRPr="00F60A3D">
        <w:rPr>
          <w:rFonts w:eastAsia="Times New Roman"/>
          <w:lang w:val="fr-FR"/>
        </w:rPr>
        <w:tab/>
      </w:r>
      <w:r w:rsidR="00142FB7" w:rsidRPr="00F60A3D">
        <w:rPr>
          <w:rFonts w:eastAsia="Times New Roman"/>
          <w:lang w:val="fr-FR"/>
        </w:rPr>
        <w:t>245</w:t>
      </w:r>
      <w:r w:rsidR="009A3953" w:rsidRPr="00F60A3D">
        <w:rPr>
          <w:rFonts w:eastAsia="Times New Roman"/>
          <w:lang w:val="fr-FR"/>
        </w:rPr>
        <w:tab/>
        <w:t>4</w:t>
      </w:r>
      <w:r w:rsidR="008D206D" w:rsidRPr="00F60A3D">
        <w:rPr>
          <w:rFonts w:eastAsia="Times New Roman"/>
          <w:lang w:val="fr-FR"/>
        </w:rPr>
        <w:t>7</w:t>
      </w:r>
    </w:p>
    <w:p w:rsidR="00652F35" w:rsidRPr="00F60A3D" w:rsidRDefault="00791E7C" w:rsidP="00791E7C">
      <w:pPr>
        <w:tabs>
          <w:tab w:val="right" w:pos="850"/>
          <w:tab w:val="left" w:pos="1134"/>
          <w:tab w:val="left" w:pos="1559"/>
          <w:tab w:val="left" w:pos="1984"/>
          <w:tab w:val="left" w:leader="dot" w:pos="7654"/>
          <w:tab w:val="right" w:pos="8929"/>
          <w:tab w:val="right" w:pos="9638"/>
        </w:tabs>
        <w:spacing w:after="120"/>
        <w:ind w:left="1128" w:hanging="1128"/>
        <w:rPr>
          <w:rFonts w:eastAsia="Times New Roman"/>
          <w:lang w:val="fr-FR"/>
        </w:rPr>
      </w:pPr>
      <w:r w:rsidRPr="00F60A3D">
        <w:rPr>
          <w:rFonts w:eastAsia="Times New Roman"/>
          <w:lang w:val="fr-FR"/>
        </w:rPr>
        <w:tab/>
      </w:r>
      <w:r w:rsidRPr="00F60A3D">
        <w:rPr>
          <w:rFonts w:eastAsia="Times New Roman"/>
          <w:lang w:val="fr-FR"/>
        </w:rPr>
        <w:tab/>
      </w:r>
      <w:r w:rsidR="00476E7D" w:rsidRPr="00F60A3D">
        <w:rPr>
          <w:rFonts w:eastAsia="Times New Roman"/>
          <w:lang w:val="fr-FR"/>
        </w:rPr>
        <w:t>A.</w:t>
      </w:r>
      <w:r w:rsidR="00476E7D" w:rsidRPr="00F60A3D">
        <w:rPr>
          <w:rFonts w:eastAsia="Times New Roman"/>
          <w:lang w:val="fr-FR"/>
        </w:rPr>
        <w:tab/>
        <w:t>Protection de l</w:t>
      </w:r>
      <w:r w:rsidR="00B17AE1" w:rsidRPr="00F60A3D">
        <w:rPr>
          <w:rFonts w:eastAsia="Times New Roman"/>
          <w:lang w:val="fr-FR"/>
        </w:rPr>
        <w:t>’</w:t>
      </w:r>
      <w:r w:rsidR="00476E7D" w:rsidRPr="00F60A3D">
        <w:rPr>
          <w:rFonts w:eastAsia="Times New Roman"/>
          <w:lang w:val="fr-FR"/>
        </w:rPr>
        <w:t>égalité et de la</w:t>
      </w:r>
      <w:r w:rsidR="00652F35" w:rsidRPr="00F60A3D">
        <w:rPr>
          <w:rFonts w:eastAsia="Times New Roman"/>
          <w:lang w:val="fr-FR"/>
        </w:rPr>
        <w:t xml:space="preserve"> non-discrimination</w:t>
      </w:r>
      <w:r w:rsidR="004915F9" w:rsidRPr="00F60A3D">
        <w:rPr>
          <w:rFonts w:eastAsia="Times New Roman"/>
          <w:lang w:val="fr-FR"/>
        </w:rPr>
        <w:tab/>
      </w:r>
      <w:r w:rsidR="004915F9" w:rsidRPr="00F60A3D">
        <w:rPr>
          <w:rFonts w:eastAsia="Times New Roman"/>
          <w:lang w:val="fr-FR"/>
        </w:rPr>
        <w:tab/>
      </w:r>
      <w:r w:rsidR="00142FB7" w:rsidRPr="00F60A3D">
        <w:rPr>
          <w:rFonts w:eastAsia="Times New Roman"/>
          <w:lang w:val="fr-FR"/>
        </w:rPr>
        <w:t>246–255</w:t>
      </w:r>
      <w:r w:rsidR="008D206D" w:rsidRPr="00F60A3D">
        <w:rPr>
          <w:rFonts w:eastAsia="Times New Roman"/>
          <w:lang w:val="fr-FR"/>
        </w:rPr>
        <w:tab/>
        <w:t>47</w:t>
      </w:r>
    </w:p>
    <w:p w:rsidR="00652F35" w:rsidRPr="00F60A3D" w:rsidRDefault="00791E7C" w:rsidP="00791E7C">
      <w:pPr>
        <w:tabs>
          <w:tab w:val="right" w:pos="850"/>
          <w:tab w:val="left" w:pos="1134"/>
          <w:tab w:val="left" w:pos="1559"/>
          <w:tab w:val="left" w:pos="1984"/>
          <w:tab w:val="left" w:leader="dot" w:pos="7654"/>
          <w:tab w:val="right" w:pos="8929"/>
          <w:tab w:val="right" w:pos="9638"/>
        </w:tabs>
        <w:spacing w:after="120"/>
        <w:ind w:left="1128" w:hanging="1128"/>
        <w:rPr>
          <w:rFonts w:eastAsia="Times New Roman"/>
          <w:lang w:val="fr-FR"/>
        </w:rPr>
      </w:pPr>
      <w:r w:rsidRPr="00F60A3D">
        <w:rPr>
          <w:rFonts w:eastAsia="Times New Roman"/>
          <w:lang w:val="fr-FR"/>
        </w:rPr>
        <w:tab/>
      </w:r>
      <w:r w:rsidRPr="00F60A3D">
        <w:rPr>
          <w:rFonts w:eastAsia="Times New Roman"/>
          <w:lang w:val="fr-FR"/>
        </w:rPr>
        <w:tab/>
      </w:r>
      <w:r w:rsidR="00476E7D" w:rsidRPr="00F60A3D">
        <w:rPr>
          <w:rFonts w:eastAsia="Times New Roman"/>
          <w:lang w:val="fr-FR"/>
        </w:rPr>
        <w:t>B.</w:t>
      </w:r>
      <w:r w:rsidR="00476E7D" w:rsidRPr="00F60A3D">
        <w:rPr>
          <w:rFonts w:eastAsia="Times New Roman"/>
          <w:lang w:val="fr-FR"/>
        </w:rPr>
        <w:tab/>
        <w:t xml:space="preserve">Protection institutionnelle et </w:t>
      </w:r>
      <w:r w:rsidR="00E8498C" w:rsidRPr="00F60A3D">
        <w:rPr>
          <w:rFonts w:eastAsia="Times New Roman"/>
          <w:lang w:val="fr-FR"/>
        </w:rPr>
        <w:t>j</w:t>
      </w:r>
      <w:r w:rsidR="00476E7D" w:rsidRPr="00F60A3D">
        <w:rPr>
          <w:rFonts w:eastAsia="Times New Roman"/>
          <w:lang w:val="fr-FR"/>
        </w:rPr>
        <w:t>udiciaire de l</w:t>
      </w:r>
      <w:r w:rsidR="00B17AE1" w:rsidRPr="00F60A3D">
        <w:rPr>
          <w:rFonts w:eastAsia="Times New Roman"/>
          <w:lang w:val="fr-FR"/>
        </w:rPr>
        <w:t>’</w:t>
      </w:r>
      <w:r w:rsidR="00476E7D" w:rsidRPr="00F60A3D">
        <w:rPr>
          <w:rFonts w:eastAsia="Times New Roman"/>
          <w:lang w:val="fr-FR"/>
        </w:rPr>
        <w:t xml:space="preserve">égalité et de la </w:t>
      </w:r>
      <w:r w:rsidR="00654FAF" w:rsidRPr="00F60A3D">
        <w:rPr>
          <w:rFonts w:eastAsia="Times New Roman"/>
          <w:lang w:val="fr-FR"/>
        </w:rPr>
        <w:br/>
      </w:r>
      <w:r w:rsidR="00654FAF" w:rsidRPr="00F60A3D">
        <w:rPr>
          <w:rFonts w:eastAsia="Times New Roman"/>
          <w:lang w:val="fr-FR"/>
        </w:rPr>
        <w:tab/>
      </w:r>
      <w:r w:rsidR="00654FAF" w:rsidRPr="00F60A3D">
        <w:rPr>
          <w:rFonts w:eastAsia="Times New Roman"/>
          <w:lang w:val="fr-FR"/>
        </w:rPr>
        <w:tab/>
      </w:r>
      <w:r w:rsidR="00476E7D" w:rsidRPr="00F60A3D">
        <w:rPr>
          <w:rFonts w:eastAsia="Times New Roman"/>
          <w:lang w:val="fr-FR"/>
        </w:rPr>
        <w:t>non-discrimination</w:t>
      </w:r>
      <w:r w:rsidR="00476E7D" w:rsidRPr="00F60A3D">
        <w:rPr>
          <w:rFonts w:eastAsia="Times New Roman"/>
          <w:lang w:val="fr-FR"/>
        </w:rPr>
        <w:tab/>
      </w:r>
      <w:r w:rsidR="00654FAF" w:rsidRPr="00F60A3D">
        <w:rPr>
          <w:rFonts w:eastAsia="Times New Roman"/>
          <w:lang w:val="fr-FR"/>
        </w:rPr>
        <w:tab/>
      </w:r>
      <w:r w:rsidR="00142FB7" w:rsidRPr="00F60A3D">
        <w:rPr>
          <w:rFonts w:eastAsia="Times New Roman"/>
          <w:lang w:val="fr-FR"/>
        </w:rPr>
        <w:t>256–259</w:t>
      </w:r>
      <w:r w:rsidR="00216B8F" w:rsidRPr="00F60A3D">
        <w:rPr>
          <w:rFonts w:eastAsia="Times New Roman"/>
          <w:lang w:val="fr-FR"/>
        </w:rPr>
        <w:tab/>
      </w:r>
      <w:r w:rsidR="008D206D" w:rsidRPr="00F60A3D">
        <w:rPr>
          <w:rFonts w:eastAsia="Times New Roman"/>
          <w:lang w:val="fr-FR"/>
        </w:rPr>
        <w:t>49</w:t>
      </w:r>
    </w:p>
    <w:p w:rsidR="009851AC" w:rsidRPr="00F60A3D" w:rsidRDefault="00791E7C" w:rsidP="00791E7C">
      <w:pPr>
        <w:tabs>
          <w:tab w:val="right" w:pos="850"/>
          <w:tab w:val="left" w:pos="1134"/>
          <w:tab w:val="left" w:pos="1559"/>
          <w:tab w:val="left" w:pos="1984"/>
          <w:tab w:val="left" w:leader="dot" w:pos="7654"/>
          <w:tab w:val="right" w:pos="8929"/>
          <w:tab w:val="right" w:pos="9638"/>
        </w:tabs>
        <w:spacing w:after="120"/>
        <w:ind w:left="1128" w:hanging="1128"/>
        <w:rPr>
          <w:rFonts w:eastAsia="Times New Roman"/>
          <w:lang w:val="fr-FR"/>
        </w:rPr>
      </w:pPr>
      <w:r w:rsidRPr="00F60A3D">
        <w:rPr>
          <w:rFonts w:eastAsia="Times New Roman"/>
          <w:lang w:val="fr-FR"/>
        </w:rPr>
        <w:tab/>
      </w:r>
      <w:r w:rsidRPr="00F60A3D">
        <w:rPr>
          <w:rFonts w:eastAsia="Times New Roman"/>
          <w:lang w:val="fr-FR"/>
        </w:rPr>
        <w:tab/>
      </w:r>
      <w:r w:rsidR="00476E7D" w:rsidRPr="00F60A3D">
        <w:rPr>
          <w:rFonts w:eastAsia="Times New Roman"/>
          <w:lang w:val="fr-FR"/>
        </w:rPr>
        <w:t>C.</w:t>
      </w:r>
      <w:r w:rsidR="00476E7D" w:rsidRPr="00F60A3D">
        <w:rPr>
          <w:rFonts w:eastAsia="Times New Roman"/>
          <w:lang w:val="fr-FR"/>
        </w:rPr>
        <w:tab/>
        <w:t>Diver</w:t>
      </w:r>
      <w:r w:rsidRPr="00F60A3D">
        <w:rPr>
          <w:rFonts w:eastAsia="Times New Roman"/>
          <w:lang w:val="fr-FR"/>
        </w:rPr>
        <w:t>s</w:t>
      </w:r>
      <w:r w:rsidR="004915F9" w:rsidRPr="00F60A3D">
        <w:rPr>
          <w:rFonts w:eastAsia="Times New Roman"/>
          <w:lang w:val="fr-FR"/>
        </w:rPr>
        <w:tab/>
      </w:r>
      <w:r w:rsidR="00A235F1" w:rsidRPr="00F60A3D">
        <w:rPr>
          <w:rFonts w:eastAsia="Times New Roman"/>
          <w:lang w:val="fr-FR"/>
        </w:rPr>
        <w:tab/>
      </w:r>
      <w:r w:rsidR="00142FB7" w:rsidRPr="00F60A3D">
        <w:rPr>
          <w:rFonts w:eastAsia="Times New Roman"/>
          <w:lang w:val="fr-FR"/>
        </w:rPr>
        <w:t>260–286</w:t>
      </w:r>
      <w:r w:rsidRPr="00F60A3D">
        <w:rPr>
          <w:rFonts w:eastAsia="Times New Roman"/>
          <w:lang w:val="fr-FR"/>
        </w:rPr>
        <w:tab/>
      </w:r>
      <w:r w:rsidR="008D206D" w:rsidRPr="00F60A3D">
        <w:rPr>
          <w:rFonts w:eastAsia="Times New Roman"/>
          <w:lang w:val="fr-FR"/>
        </w:rPr>
        <w:t>50</w:t>
      </w:r>
    </w:p>
    <w:p w:rsidR="006A0DC0" w:rsidRPr="00F60A3D" w:rsidRDefault="00967169" w:rsidP="007D5951">
      <w:pPr>
        <w:pStyle w:val="HChG"/>
        <w:rPr>
          <w:lang w:val="fr-FR"/>
        </w:rPr>
      </w:pPr>
      <w:bookmarkStart w:id="2" w:name="_Toc72567223"/>
      <w:bookmarkStart w:id="3" w:name="_Toc72567483"/>
      <w:bookmarkStart w:id="4" w:name="_Toc73328509"/>
      <w:bookmarkStart w:id="5" w:name="_Toc133268777"/>
      <w:r w:rsidRPr="00F60A3D">
        <w:rPr>
          <w:lang w:val="fr-FR"/>
        </w:rPr>
        <w:br w:type="page"/>
      </w:r>
      <w:r w:rsidR="008301A4" w:rsidRPr="00F60A3D">
        <w:rPr>
          <w:lang w:val="fr-FR"/>
        </w:rPr>
        <w:lastRenderedPageBreak/>
        <w:tab/>
        <w:t>I.</w:t>
      </w:r>
      <w:r w:rsidR="001D2CCC" w:rsidRPr="00F60A3D">
        <w:rPr>
          <w:lang w:val="fr-FR"/>
        </w:rPr>
        <w:tab/>
      </w:r>
      <w:r w:rsidR="00E8498C" w:rsidRPr="00F60A3D">
        <w:rPr>
          <w:lang w:val="fr-FR"/>
        </w:rPr>
        <w:t>Généralités</w:t>
      </w:r>
    </w:p>
    <w:bookmarkEnd w:id="2"/>
    <w:bookmarkEnd w:id="3"/>
    <w:bookmarkEnd w:id="4"/>
    <w:bookmarkEnd w:id="5"/>
    <w:p w:rsidR="00675411" w:rsidRPr="00F60A3D" w:rsidRDefault="001D2CCC" w:rsidP="00675411">
      <w:pPr>
        <w:pStyle w:val="H1G"/>
        <w:rPr>
          <w:lang w:val="fr-FR"/>
        </w:rPr>
      </w:pPr>
      <w:r w:rsidRPr="00F60A3D">
        <w:rPr>
          <w:lang w:val="fr-FR"/>
        </w:rPr>
        <w:tab/>
      </w:r>
      <w:r w:rsidR="00196A58" w:rsidRPr="00F60A3D">
        <w:rPr>
          <w:lang w:val="fr-FR"/>
        </w:rPr>
        <w:tab/>
      </w:r>
      <w:r w:rsidR="00675411" w:rsidRPr="00F60A3D">
        <w:rPr>
          <w:lang w:val="fr-FR"/>
        </w:rPr>
        <w:t>Int</w:t>
      </w:r>
      <w:r w:rsidR="00764058" w:rsidRPr="00F60A3D">
        <w:rPr>
          <w:lang w:val="fr-FR"/>
        </w:rPr>
        <w:t>roduction (c</w:t>
      </w:r>
      <w:r w:rsidR="00E8498C" w:rsidRPr="00F60A3D">
        <w:rPr>
          <w:lang w:val="fr-FR"/>
        </w:rPr>
        <w:t>ontexte historique</w:t>
      </w:r>
      <w:r w:rsidR="00675411" w:rsidRPr="00F60A3D">
        <w:rPr>
          <w:lang w:val="fr-FR"/>
        </w:rPr>
        <w:t>)</w:t>
      </w:r>
    </w:p>
    <w:p w:rsidR="00675411" w:rsidRPr="00F60A3D" w:rsidRDefault="00791E7C" w:rsidP="00791E7C">
      <w:pPr>
        <w:pStyle w:val="SingleTxtG"/>
        <w:rPr>
          <w:lang w:val="fr-FR"/>
        </w:rPr>
      </w:pPr>
      <w:r w:rsidRPr="00F60A3D">
        <w:rPr>
          <w:lang w:val="fr-FR"/>
        </w:rPr>
        <w:t>1.</w:t>
      </w:r>
      <w:r w:rsidRPr="00F60A3D">
        <w:rPr>
          <w:lang w:val="fr-FR"/>
        </w:rPr>
        <w:tab/>
      </w:r>
      <w:r w:rsidR="00E8498C" w:rsidRPr="00F60A3D">
        <w:rPr>
          <w:lang w:val="fr-FR"/>
        </w:rPr>
        <w:t>L</w:t>
      </w:r>
      <w:r w:rsidR="00B17AE1" w:rsidRPr="00F60A3D">
        <w:rPr>
          <w:lang w:val="fr-FR"/>
        </w:rPr>
        <w:t>’</w:t>
      </w:r>
      <w:r w:rsidR="005F7494" w:rsidRPr="00F60A3D">
        <w:rPr>
          <w:lang w:val="fr-FR"/>
        </w:rPr>
        <w:t>adoption en 1848 par le roi Charles-Albert de Savoie de</w:t>
      </w:r>
      <w:r w:rsidR="009B020D" w:rsidRPr="00F60A3D">
        <w:rPr>
          <w:lang w:val="fr-FR"/>
        </w:rPr>
        <w:t xml:space="preserve"> la première Constitution, baptis</w:t>
      </w:r>
      <w:r w:rsidR="005F7494" w:rsidRPr="00F60A3D">
        <w:rPr>
          <w:lang w:val="fr-FR"/>
        </w:rPr>
        <w:t>ée</w:t>
      </w:r>
      <w:r w:rsidR="00675411" w:rsidRPr="00F60A3D">
        <w:rPr>
          <w:lang w:val="fr-FR"/>
        </w:rPr>
        <w:t xml:space="preserve"> </w:t>
      </w:r>
      <w:r w:rsidR="00675411" w:rsidRPr="00F60A3D">
        <w:rPr>
          <w:i/>
          <w:lang w:val="fr-FR"/>
        </w:rPr>
        <w:t>Statuto Albertino</w:t>
      </w:r>
      <w:r w:rsidR="00770A52" w:rsidRPr="00F60A3D">
        <w:rPr>
          <w:i/>
          <w:lang w:val="fr-FR"/>
        </w:rPr>
        <w:t xml:space="preserve"> </w:t>
      </w:r>
      <w:r w:rsidR="00A60026" w:rsidRPr="00F60A3D">
        <w:rPr>
          <w:lang w:val="fr-FR"/>
        </w:rPr>
        <w:t>(</w:t>
      </w:r>
      <w:r w:rsidR="00731982" w:rsidRPr="00F60A3D">
        <w:rPr>
          <w:lang w:val="fr-FR"/>
        </w:rPr>
        <w:t>art. </w:t>
      </w:r>
      <w:r w:rsidRPr="00F60A3D">
        <w:rPr>
          <w:lang w:val="fr-FR"/>
        </w:rPr>
        <w:t>1</w:t>
      </w:r>
      <w:r w:rsidRPr="00F60A3D">
        <w:rPr>
          <w:vertAlign w:val="superscript"/>
          <w:lang w:val="fr-FR"/>
        </w:rPr>
        <w:t>er</w:t>
      </w:r>
      <w:r w:rsidR="00A60026" w:rsidRPr="00F60A3D">
        <w:rPr>
          <w:lang w:val="fr-FR"/>
        </w:rPr>
        <w:t xml:space="preserve"> à </w:t>
      </w:r>
      <w:r w:rsidR="00675411" w:rsidRPr="00F60A3D">
        <w:rPr>
          <w:lang w:val="fr-FR"/>
        </w:rPr>
        <w:t>84</w:t>
      </w:r>
      <w:r w:rsidR="004F0FAA" w:rsidRPr="00F60A3D">
        <w:rPr>
          <w:i/>
          <w:lang w:val="fr-FR"/>
        </w:rPr>
        <w:t>),</w:t>
      </w:r>
      <w:r w:rsidR="005F7494" w:rsidRPr="00F60A3D">
        <w:rPr>
          <w:lang w:val="fr-FR"/>
        </w:rPr>
        <w:t xml:space="preserve"> marque le début de l</w:t>
      </w:r>
      <w:r w:rsidR="00B17AE1" w:rsidRPr="00F60A3D">
        <w:rPr>
          <w:lang w:val="fr-FR"/>
        </w:rPr>
        <w:t>’</w:t>
      </w:r>
      <w:r w:rsidR="005F7494" w:rsidRPr="00F60A3D">
        <w:rPr>
          <w:lang w:val="fr-FR"/>
        </w:rPr>
        <w:t>histoire de l</w:t>
      </w:r>
      <w:r w:rsidR="00B17AE1" w:rsidRPr="00F60A3D">
        <w:rPr>
          <w:lang w:val="fr-FR"/>
        </w:rPr>
        <w:t>’</w:t>
      </w:r>
      <w:r w:rsidR="005F7494" w:rsidRPr="00F60A3D">
        <w:rPr>
          <w:lang w:val="fr-FR"/>
        </w:rPr>
        <w:t>Italie en tant qu</w:t>
      </w:r>
      <w:r w:rsidR="00B17AE1" w:rsidRPr="00F60A3D">
        <w:rPr>
          <w:lang w:val="fr-FR"/>
        </w:rPr>
        <w:t>’</w:t>
      </w:r>
      <w:r w:rsidR="005F7494" w:rsidRPr="00F60A3D">
        <w:rPr>
          <w:lang w:val="fr-FR"/>
        </w:rPr>
        <w:t>État constitutionnel</w:t>
      </w:r>
      <w:r w:rsidR="008A3A77" w:rsidRPr="00F60A3D">
        <w:rPr>
          <w:lang w:val="fr-FR"/>
        </w:rPr>
        <w:t xml:space="preserve"> garant d</w:t>
      </w:r>
      <w:r w:rsidR="005F7494" w:rsidRPr="00F60A3D">
        <w:rPr>
          <w:lang w:val="fr-FR"/>
        </w:rPr>
        <w:t>es droits fondamentaux de ses citoyens.</w:t>
      </w:r>
      <w:r w:rsidR="00731982" w:rsidRPr="00F60A3D">
        <w:rPr>
          <w:lang w:val="fr-FR"/>
        </w:rPr>
        <w:t xml:space="preserve"> </w:t>
      </w:r>
    </w:p>
    <w:p w:rsidR="005F7494" w:rsidRPr="00F60A3D" w:rsidRDefault="00791E7C" w:rsidP="00791E7C">
      <w:pPr>
        <w:pStyle w:val="SingleTxtG"/>
        <w:rPr>
          <w:lang w:val="fr-FR"/>
        </w:rPr>
      </w:pPr>
      <w:r w:rsidRPr="00F60A3D">
        <w:rPr>
          <w:lang w:val="fr-FR"/>
        </w:rPr>
        <w:t>2.</w:t>
      </w:r>
      <w:r w:rsidRPr="00F60A3D">
        <w:rPr>
          <w:lang w:val="fr-FR"/>
        </w:rPr>
        <w:tab/>
      </w:r>
      <w:r w:rsidR="005F7494" w:rsidRPr="00F60A3D">
        <w:rPr>
          <w:lang w:val="fr-FR"/>
        </w:rPr>
        <w:t>De 1870 à 1922, l</w:t>
      </w:r>
      <w:r w:rsidR="00B17AE1" w:rsidRPr="00F60A3D">
        <w:rPr>
          <w:lang w:val="fr-FR"/>
        </w:rPr>
        <w:t>’</w:t>
      </w:r>
      <w:r w:rsidR="005F7494" w:rsidRPr="00F60A3D">
        <w:rPr>
          <w:lang w:val="fr-FR"/>
        </w:rPr>
        <w:t>I</w:t>
      </w:r>
      <w:r w:rsidR="00240FC9" w:rsidRPr="00F60A3D">
        <w:rPr>
          <w:lang w:val="fr-FR"/>
        </w:rPr>
        <w:t>talie a été</w:t>
      </w:r>
      <w:r w:rsidR="005F7494" w:rsidRPr="00F60A3D">
        <w:rPr>
          <w:lang w:val="fr-FR"/>
        </w:rPr>
        <w:t xml:space="preserve"> une monarchie constitutionnelle (</w:t>
      </w:r>
      <w:r w:rsidR="00731982" w:rsidRPr="00F60A3D">
        <w:rPr>
          <w:lang w:val="fr-FR"/>
        </w:rPr>
        <w:t>art. </w:t>
      </w:r>
      <w:r w:rsidR="00675411" w:rsidRPr="00F60A3D">
        <w:rPr>
          <w:lang w:val="fr-FR"/>
        </w:rPr>
        <w:t xml:space="preserve">2, </w:t>
      </w:r>
      <w:r w:rsidR="00675411" w:rsidRPr="00F60A3D">
        <w:rPr>
          <w:i/>
          <w:lang w:val="fr-FR"/>
        </w:rPr>
        <w:t>Statuto Albertino</w:t>
      </w:r>
      <w:r w:rsidR="00675411" w:rsidRPr="00F60A3D">
        <w:rPr>
          <w:lang w:val="fr-FR"/>
        </w:rPr>
        <w:t xml:space="preserve">) </w:t>
      </w:r>
      <w:r w:rsidR="005F7494" w:rsidRPr="00F60A3D">
        <w:rPr>
          <w:lang w:val="fr-FR"/>
        </w:rPr>
        <w:t>avec un Parlement élu au suffrage restreint (les femmes n</w:t>
      </w:r>
      <w:r w:rsidR="00B17AE1" w:rsidRPr="00F60A3D">
        <w:rPr>
          <w:lang w:val="fr-FR"/>
        </w:rPr>
        <w:t>’</w:t>
      </w:r>
      <w:r w:rsidR="00CC3C53" w:rsidRPr="00F60A3D">
        <w:rPr>
          <w:lang w:val="fr-FR"/>
        </w:rPr>
        <w:t>auront le droit</w:t>
      </w:r>
      <w:r w:rsidR="005F7494" w:rsidRPr="00F60A3D">
        <w:rPr>
          <w:lang w:val="fr-FR"/>
        </w:rPr>
        <w:t xml:space="preserve"> de vote qu</w:t>
      </w:r>
      <w:r w:rsidR="00B17AE1" w:rsidRPr="00F60A3D">
        <w:rPr>
          <w:lang w:val="fr-FR"/>
        </w:rPr>
        <w:t>’</w:t>
      </w:r>
      <w:r w:rsidR="005F7494" w:rsidRPr="00F60A3D">
        <w:rPr>
          <w:lang w:val="fr-FR"/>
        </w:rPr>
        <w:t xml:space="preserve">en 1946). </w:t>
      </w:r>
      <w:r w:rsidR="00CC3C53" w:rsidRPr="00F60A3D">
        <w:rPr>
          <w:lang w:val="fr-FR"/>
        </w:rPr>
        <w:t>Ce</w:t>
      </w:r>
      <w:r w:rsidR="008A3A77" w:rsidRPr="00F60A3D">
        <w:rPr>
          <w:lang w:val="fr-FR"/>
        </w:rPr>
        <w:t>tt</w:t>
      </w:r>
      <w:r w:rsidR="00006075" w:rsidRPr="00F60A3D">
        <w:rPr>
          <w:lang w:val="fr-FR"/>
        </w:rPr>
        <w:t>e forme de gouvernement reposait</w:t>
      </w:r>
      <w:r w:rsidR="00CC3C53" w:rsidRPr="00F60A3D">
        <w:rPr>
          <w:lang w:val="fr-FR"/>
        </w:rPr>
        <w:t xml:space="preserve"> sur un partage des pouvoirs entre le Roi et le </w:t>
      </w:r>
      <w:r w:rsidR="00DD739D" w:rsidRPr="00F60A3D">
        <w:rPr>
          <w:lang w:val="fr-FR"/>
        </w:rPr>
        <w:t xml:space="preserve">Parlement. En </w:t>
      </w:r>
      <w:r w:rsidR="009B020D" w:rsidRPr="00F60A3D">
        <w:rPr>
          <w:lang w:val="fr-FR"/>
        </w:rPr>
        <w:t xml:space="preserve">particulier, </w:t>
      </w:r>
      <w:r w:rsidR="00CC3C53" w:rsidRPr="00F60A3D">
        <w:rPr>
          <w:lang w:val="fr-FR"/>
        </w:rPr>
        <w:t>la Chambre des députés représen</w:t>
      </w:r>
      <w:r w:rsidR="00006075" w:rsidRPr="00F60A3D">
        <w:rPr>
          <w:lang w:val="fr-FR"/>
        </w:rPr>
        <w:t>tait</w:t>
      </w:r>
      <w:r w:rsidR="002A0A1D" w:rsidRPr="00F60A3D">
        <w:rPr>
          <w:lang w:val="fr-FR"/>
        </w:rPr>
        <w:t xml:space="preserve"> la volonté populaire tandi</w:t>
      </w:r>
      <w:r w:rsidR="00261196" w:rsidRPr="00F60A3D">
        <w:rPr>
          <w:lang w:val="fr-FR"/>
        </w:rPr>
        <w:t>s</w:t>
      </w:r>
      <w:r w:rsidR="00A45B87" w:rsidRPr="00F60A3D">
        <w:rPr>
          <w:lang w:val="fr-FR"/>
        </w:rPr>
        <w:t xml:space="preserve"> que</w:t>
      </w:r>
      <w:r w:rsidR="00CC3C53" w:rsidRPr="00F60A3D">
        <w:rPr>
          <w:lang w:val="fr-FR"/>
        </w:rPr>
        <w:t xml:space="preserve"> les membres du Sén</w:t>
      </w:r>
      <w:r w:rsidR="00006075" w:rsidRPr="00F60A3D">
        <w:rPr>
          <w:lang w:val="fr-FR"/>
        </w:rPr>
        <w:t>at étaien</w:t>
      </w:r>
      <w:r w:rsidR="00CC3C53" w:rsidRPr="00F60A3D">
        <w:rPr>
          <w:lang w:val="fr-FR"/>
        </w:rPr>
        <w:t xml:space="preserve">t choisis et nommés par le Roi. </w:t>
      </w:r>
    </w:p>
    <w:p w:rsidR="00675411" w:rsidRPr="00F60A3D" w:rsidRDefault="001D2CCC" w:rsidP="00B17AE1">
      <w:pPr>
        <w:pStyle w:val="SingleTxtG"/>
        <w:rPr>
          <w:lang w:val="fr-FR"/>
        </w:rPr>
      </w:pPr>
      <w:r w:rsidRPr="00F60A3D">
        <w:rPr>
          <w:lang w:val="fr-FR"/>
        </w:rPr>
        <w:t>3.</w:t>
      </w:r>
      <w:r w:rsidRPr="00F60A3D">
        <w:rPr>
          <w:lang w:val="fr-FR"/>
        </w:rPr>
        <w:tab/>
      </w:r>
      <w:r w:rsidR="00006075" w:rsidRPr="00F60A3D">
        <w:rPr>
          <w:lang w:val="fr-FR"/>
        </w:rPr>
        <w:t>Inspiré</w:t>
      </w:r>
      <w:r w:rsidR="00CC3C53" w:rsidRPr="00F60A3D">
        <w:rPr>
          <w:lang w:val="fr-FR"/>
        </w:rPr>
        <w:t xml:space="preserve"> de la </w:t>
      </w:r>
      <w:r w:rsidR="00675411" w:rsidRPr="00F60A3D">
        <w:rPr>
          <w:lang w:val="fr-FR"/>
        </w:rPr>
        <w:t xml:space="preserve">Constitution </w:t>
      </w:r>
      <w:r w:rsidR="00CC3C53" w:rsidRPr="00F60A3D">
        <w:rPr>
          <w:lang w:val="fr-FR"/>
        </w:rPr>
        <w:t xml:space="preserve">française de 1830 et de la </w:t>
      </w:r>
      <w:r w:rsidR="00675411" w:rsidRPr="00F60A3D">
        <w:rPr>
          <w:lang w:val="fr-FR"/>
        </w:rPr>
        <w:t>Constitution</w:t>
      </w:r>
      <w:r w:rsidR="008E6EFD" w:rsidRPr="00F60A3D">
        <w:rPr>
          <w:lang w:val="fr-FR"/>
        </w:rPr>
        <w:t xml:space="preserve"> belge de 1831, le</w:t>
      </w:r>
      <w:r w:rsidR="00CC3C53" w:rsidRPr="00F60A3D">
        <w:rPr>
          <w:lang w:val="fr-FR"/>
        </w:rPr>
        <w:t xml:space="preserve"> </w:t>
      </w:r>
      <w:r w:rsidR="00675411" w:rsidRPr="00F60A3D">
        <w:rPr>
          <w:i/>
          <w:lang w:val="fr-FR"/>
        </w:rPr>
        <w:t xml:space="preserve">Statuto </w:t>
      </w:r>
      <w:r w:rsidR="00CC3C53" w:rsidRPr="00F60A3D">
        <w:rPr>
          <w:lang w:val="fr-FR"/>
        </w:rPr>
        <w:t xml:space="preserve">italien </w:t>
      </w:r>
      <w:r w:rsidR="008D2A97" w:rsidRPr="00F60A3D">
        <w:rPr>
          <w:lang w:val="fr-FR"/>
        </w:rPr>
        <w:t>garantiss</w:t>
      </w:r>
      <w:r w:rsidR="00006075" w:rsidRPr="00F60A3D">
        <w:rPr>
          <w:lang w:val="fr-FR"/>
        </w:rPr>
        <w:t>ai</w:t>
      </w:r>
      <w:r w:rsidR="008A3A77" w:rsidRPr="00F60A3D">
        <w:rPr>
          <w:lang w:val="fr-FR"/>
        </w:rPr>
        <w:t>t</w:t>
      </w:r>
      <w:r w:rsidR="00CC3C53" w:rsidRPr="00F60A3D">
        <w:rPr>
          <w:lang w:val="fr-FR"/>
        </w:rPr>
        <w:t xml:space="preserve"> certains droits civils et </w:t>
      </w:r>
      <w:r w:rsidR="00A60026" w:rsidRPr="00F60A3D">
        <w:rPr>
          <w:lang w:val="fr-FR"/>
        </w:rPr>
        <w:t>politiques fondamentaux (</w:t>
      </w:r>
      <w:r w:rsidR="00731982" w:rsidRPr="00F60A3D">
        <w:rPr>
          <w:lang w:val="fr-FR"/>
        </w:rPr>
        <w:t>art. </w:t>
      </w:r>
      <w:r w:rsidR="00CC3C53" w:rsidRPr="00F60A3D">
        <w:rPr>
          <w:lang w:val="fr-FR"/>
        </w:rPr>
        <w:t>24 à</w:t>
      </w:r>
      <w:r w:rsidR="00006075" w:rsidRPr="00F60A3D">
        <w:rPr>
          <w:lang w:val="fr-FR"/>
        </w:rPr>
        <w:t xml:space="preserve"> 32) et </w:t>
      </w:r>
      <w:r w:rsidR="00912AF9" w:rsidRPr="00F60A3D">
        <w:rPr>
          <w:lang w:val="fr-FR"/>
        </w:rPr>
        <w:t>avait pour</w:t>
      </w:r>
      <w:r w:rsidR="008A3A77" w:rsidRPr="00F60A3D">
        <w:rPr>
          <w:lang w:val="fr-FR"/>
        </w:rPr>
        <w:t xml:space="preserve"> caractér</w:t>
      </w:r>
      <w:r w:rsidR="00912AF9" w:rsidRPr="00F60A3D">
        <w:rPr>
          <w:lang w:val="fr-FR"/>
        </w:rPr>
        <w:t>istiques</w:t>
      </w:r>
      <w:r w:rsidR="009D1CE7" w:rsidRPr="00F60A3D">
        <w:rPr>
          <w:lang w:val="fr-FR"/>
        </w:rPr>
        <w:t xml:space="preserve">: </w:t>
      </w:r>
      <w:r w:rsidR="00731982" w:rsidRPr="00F60A3D">
        <w:rPr>
          <w:lang w:val="fr-FR"/>
        </w:rPr>
        <w:t>1) </w:t>
      </w:r>
      <w:r w:rsidR="00912AF9" w:rsidRPr="00F60A3D">
        <w:rPr>
          <w:lang w:val="fr-FR"/>
        </w:rPr>
        <w:t>d</w:t>
      </w:r>
      <w:r w:rsidR="00B17AE1" w:rsidRPr="00F60A3D">
        <w:rPr>
          <w:lang w:val="fr-FR"/>
        </w:rPr>
        <w:t>’</w:t>
      </w:r>
      <w:r w:rsidR="00912AF9" w:rsidRPr="00F60A3D">
        <w:rPr>
          <w:lang w:val="fr-FR"/>
        </w:rPr>
        <w:t xml:space="preserve">être </w:t>
      </w:r>
      <w:r w:rsidR="00CC3C53" w:rsidRPr="00F60A3D">
        <w:rPr>
          <w:lang w:val="fr-FR"/>
        </w:rPr>
        <w:t xml:space="preserve">une </w:t>
      </w:r>
      <w:r w:rsidR="008A3A77" w:rsidRPr="00F60A3D">
        <w:rPr>
          <w:lang w:val="fr-FR"/>
        </w:rPr>
        <w:t>co</w:t>
      </w:r>
      <w:r w:rsidR="009D1CE7" w:rsidRPr="00F60A3D">
        <w:rPr>
          <w:lang w:val="fr-FR"/>
        </w:rPr>
        <w:t>nstitution écrite,</w:t>
      </w:r>
      <w:r w:rsidR="00731982" w:rsidRPr="00F60A3D">
        <w:rPr>
          <w:lang w:val="fr-FR"/>
        </w:rPr>
        <w:t xml:space="preserve"> </w:t>
      </w:r>
      <w:r w:rsidR="00AE49F4" w:rsidRPr="00F60A3D">
        <w:rPr>
          <w:lang w:val="fr-FR"/>
        </w:rPr>
        <w:t>2</w:t>
      </w:r>
      <w:r w:rsidR="00731982" w:rsidRPr="00F60A3D">
        <w:rPr>
          <w:lang w:val="fr-FR"/>
        </w:rPr>
        <w:t>) </w:t>
      </w:r>
      <w:r w:rsidR="00CC3C53" w:rsidRPr="00F60A3D">
        <w:rPr>
          <w:lang w:val="fr-FR"/>
        </w:rPr>
        <w:t>ac</w:t>
      </w:r>
      <w:r w:rsidR="008A3A77" w:rsidRPr="00F60A3D">
        <w:rPr>
          <w:lang w:val="fr-FR"/>
        </w:rPr>
        <w:t>co</w:t>
      </w:r>
      <w:r w:rsidR="00006075" w:rsidRPr="00F60A3D">
        <w:rPr>
          <w:lang w:val="fr-FR"/>
        </w:rPr>
        <w:t>rdée</w:t>
      </w:r>
      <w:r w:rsidR="009D1CE7" w:rsidRPr="00F60A3D">
        <w:rPr>
          <w:lang w:val="fr-FR"/>
        </w:rPr>
        <w:t xml:space="preserve"> par le Roi, et</w:t>
      </w:r>
      <w:r w:rsidR="009D491F">
        <w:rPr>
          <w:lang w:val="fr-FR"/>
        </w:rPr>
        <w:t> </w:t>
      </w:r>
      <w:r w:rsidR="00B17AE1" w:rsidRPr="00F60A3D">
        <w:rPr>
          <w:lang w:val="fr-FR"/>
        </w:rPr>
        <w:t>3) «</w:t>
      </w:r>
      <w:r w:rsidR="00CC3C53" w:rsidRPr="00F60A3D">
        <w:rPr>
          <w:lang w:val="fr-FR"/>
        </w:rPr>
        <w:t>souple</w:t>
      </w:r>
      <w:r w:rsidR="00B17AE1" w:rsidRPr="00F60A3D">
        <w:rPr>
          <w:lang w:val="fr-FR"/>
        </w:rPr>
        <w:t>»</w:t>
      </w:r>
      <w:r w:rsidR="00CC3C53" w:rsidRPr="00F60A3D">
        <w:rPr>
          <w:lang w:val="fr-FR"/>
        </w:rPr>
        <w:t>.</w:t>
      </w:r>
      <w:r w:rsidR="00B17AE1" w:rsidRPr="00F60A3D">
        <w:rPr>
          <w:lang w:val="fr-FR"/>
        </w:rPr>
        <w:t xml:space="preserve"> </w:t>
      </w:r>
    </w:p>
    <w:p w:rsidR="007565AE" w:rsidRPr="00F60A3D" w:rsidRDefault="001D2CCC" w:rsidP="001D2CCC">
      <w:pPr>
        <w:pStyle w:val="SingleTxtG"/>
        <w:rPr>
          <w:lang w:val="fr-FR"/>
        </w:rPr>
      </w:pPr>
      <w:r w:rsidRPr="00F60A3D">
        <w:rPr>
          <w:lang w:val="fr-FR"/>
        </w:rPr>
        <w:t>4.</w:t>
      </w:r>
      <w:r w:rsidRPr="00F60A3D">
        <w:rPr>
          <w:lang w:val="fr-FR"/>
        </w:rPr>
        <w:tab/>
      </w:r>
      <w:r w:rsidR="007565AE" w:rsidRPr="00F60A3D">
        <w:rPr>
          <w:lang w:val="fr-FR"/>
        </w:rPr>
        <w:t>Cette premièr</w:t>
      </w:r>
      <w:r w:rsidR="00006075" w:rsidRPr="00F60A3D">
        <w:rPr>
          <w:lang w:val="fr-FR"/>
        </w:rPr>
        <w:t>e forme de Constitution prévoyai</w:t>
      </w:r>
      <w:r w:rsidR="007565AE" w:rsidRPr="00F60A3D">
        <w:rPr>
          <w:lang w:val="fr-FR"/>
        </w:rPr>
        <w:t>t</w:t>
      </w:r>
      <w:r w:rsidR="00675411" w:rsidRPr="00F60A3D">
        <w:rPr>
          <w:lang w:val="fr-FR"/>
        </w:rPr>
        <w:t xml:space="preserve"> </w:t>
      </w:r>
      <w:r w:rsidR="007565AE" w:rsidRPr="00F60A3D">
        <w:rPr>
          <w:i/>
          <w:lang w:val="fr-FR"/>
        </w:rPr>
        <w:t>notamment</w:t>
      </w:r>
      <w:r w:rsidR="00675411" w:rsidRPr="00F60A3D">
        <w:rPr>
          <w:lang w:val="fr-FR"/>
        </w:rPr>
        <w:t>:</w:t>
      </w:r>
      <w:r w:rsidR="00675411" w:rsidRPr="00F60A3D">
        <w:rPr>
          <w:i/>
          <w:lang w:val="fr-FR"/>
        </w:rPr>
        <w:t xml:space="preserve"> </w:t>
      </w:r>
      <w:r w:rsidR="007565AE" w:rsidRPr="00F60A3D">
        <w:rPr>
          <w:lang w:val="fr-FR"/>
        </w:rPr>
        <w:t>le principe de non-discrimination, le droit à un jugement lé</w:t>
      </w:r>
      <w:r w:rsidR="00701A3A" w:rsidRPr="00F60A3D">
        <w:rPr>
          <w:lang w:val="fr-FR"/>
        </w:rPr>
        <w:t xml:space="preserve">gal, la liberté de conscience, de presse et </w:t>
      </w:r>
      <w:r w:rsidR="007565AE" w:rsidRPr="00F60A3D">
        <w:rPr>
          <w:lang w:val="fr-FR"/>
        </w:rPr>
        <w:t>de réunion, la sécurité de la personne et des biens</w:t>
      </w:r>
      <w:r w:rsidR="0000506C" w:rsidRPr="00F60A3D">
        <w:rPr>
          <w:lang w:val="fr-FR"/>
        </w:rPr>
        <w:t>,</w:t>
      </w:r>
      <w:r w:rsidR="007565AE" w:rsidRPr="00F60A3D">
        <w:rPr>
          <w:lang w:val="fr-FR"/>
        </w:rPr>
        <w:t xml:space="preserve"> et l</w:t>
      </w:r>
      <w:r w:rsidR="00B17AE1" w:rsidRPr="00F60A3D">
        <w:rPr>
          <w:lang w:val="fr-FR"/>
        </w:rPr>
        <w:t>’</w:t>
      </w:r>
      <w:r w:rsidR="007565AE" w:rsidRPr="00F60A3D">
        <w:rPr>
          <w:lang w:val="fr-FR"/>
        </w:rPr>
        <w:t xml:space="preserve">interdiction des persécutions </w:t>
      </w:r>
      <w:r w:rsidR="002A0A1D" w:rsidRPr="00F60A3D">
        <w:rPr>
          <w:lang w:val="fr-FR"/>
        </w:rPr>
        <w:t xml:space="preserve">et des arrestations illégales. Le </w:t>
      </w:r>
      <w:r w:rsidR="002A0A1D" w:rsidRPr="00F60A3D">
        <w:rPr>
          <w:i/>
          <w:lang w:val="fr-FR"/>
        </w:rPr>
        <w:t>Statuto</w:t>
      </w:r>
      <w:r w:rsidR="007565AE" w:rsidRPr="00F60A3D">
        <w:rPr>
          <w:lang w:val="fr-FR"/>
        </w:rPr>
        <w:t xml:space="preserve"> </w:t>
      </w:r>
      <w:r w:rsidR="0039336B" w:rsidRPr="00F60A3D">
        <w:rPr>
          <w:lang w:val="fr-FR"/>
        </w:rPr>
        <w:t>met</w:t>
      </w:r>
      <w:r w:rsidR="00006075" w:rsidRPr="00F60A3D">
        <w:rPr>
          <w:lang w:val="fr-FR"/>
        </w:rPr>
        <w:t>tait</w:t>
      </w:r>
      <w:r w:rsidR="007565AE" w:rsidRPr="00F60A3D">
        <w:rPr>
          <w:lang w:val="fr-FR"/>
        </w:rPr>
        <w:t xml:space="preserve"> également l</w:t>
      </w:r>
      <w:r w:rsidR="00B17AE1" w:rsidRPr="00F60A3D">
        <w:rPr>
          <w:lang w:val="fr-FR"/>
        </w:rPr>
        <w:t>’</w:t>
      </w:r>
      <w:r w:rsidR="007565AE" w:rsidRPr="00F60A3D">
        <w:rPr>
          <w:lang w:val="fr-FR"/>
        </w:rPr>
        <w:t>accent sur la primauté de la religion catholique romaine (</w:t>
      </w:r>
      <w:r w:rsidR="00731982" w:rsidRPr="00F60A3D">
        <w:rPr>
          <w:lang w:val="fr-FR"/>
        </w:rPr>
        <w:t>art. 1</w:t>
      </w:r>
      <w:r w:rsidR="00731982" w:rsidRPr="00F60A3D">
        <w:rPr>
          <w:vertAlign w:val="superscript"/>
          <w:lang w:val="fr-FR"/>
        </w:rPr>
        <w:t>er</w:t>
      </w:r>
      <w:r w:rsidR="0039336B" w:rsidRPr="00F60A3D">
        <w:rPr>
          <w:lang w:val="fr-FR"/>
        </w:rPr>
        <w:t xml:space="preserve">). </w:t>
      </w:r>
      <w:r w:rsidR="00DB4556" w:rsidRPr="00F60A3D">
        <w:rPr>
          <w:lang w:val="fr-FR"/>
        </w:rPr>
        <w:t>Il permettait néanmoins de restreindre l</w:t>
      </w:r>
      <w:r w:rsidR="0039336B" w:rsidRPr="00F60A3D">
        <w:rPr>
          <w:lang w:val="fr-FR"/>
        </w:rPr>
        <w:t>e</w:t>
      </w:r>
      <w:r w:rsidR="001A7CEE" w:rsidRPr="00F60A3D">
        <w:rPr>
          <w:lang w:val="fr-FR"/>
        </w:rPr>
        <w:t xml:space="preserve">s </w:t>
      </w:r>
      <w:r w:rsidR="00DB4556" w:rsidRPr="00F60A3D">
        <w:rPr>
          <w:lang w:val="fr-FR"/>
        </w:rPr>
        <w:t xml:space="preserve">libertés </w:t>
      </w:r>
      <w:r w:rsidR="007565AE" w:rsidRPr="00F60A3D">
        <w:rPr>
          <w:lang w:val="fr-FR"/>
        </w:rPr>
        <w:t xml:space="preserve">par les lois ordinaires (Constitution </w:t>
      </w:r>
      <w:r w:rsidR="007565AE" w:rsidRPr="00F60A3D">
        <w:rPr>
          <w:i/>
          <w:lang w:val="fr-FR"/>
        </w:rPr>
        <w:t>souple</w:t>
      </w:r>
      <w:r w:rsidR="007565AE" w:rsidRPr="00F60A3D">
        <w:rPr>
          <w:lang w:val="fr-FR"/>
        </w:rPr>
        <w:t>)</w:t>
      </w:r>
      <w:r w:rsidR="00453AD5" w:rsidRPr="00F60A3D">
        <w:rPr>
          <w:lang w:val="fr-FR"/>
        </w:rPr>
        <w:t xml:space="preserve"> et</w:t>
      </w:r>
      <w:r w:rsidR="00325359" w:rsidRPr="00F60A3D">
        <w:rPr>
          <w:lang w:val="fr-FR"/>
        </w:rPr>
        <w:t>,</w:t>
      </w:r>
      <w:r w:rsidR="00453AD5" w:rsidRPr="00F60A3D">
        <w:rPr>
          <w:lang w:val="fr-FR"/>
        </w:rPr>
        <w:t xml:space="preserve"> </w:t>
      </w:r>
      <w:r w:rsidR="004712D6" w:rsidRPr="00F60A3D">
        <w:rPr>
          <w:lang w:val="fr-FR"/>
        </w:rPr>
        <w:t>en particulier</w:t>
      </w:r>
      <w:r w:rsidR="00325359" w:rsidRPr="00F60A3D">
        <w:rPr>
          <w:lang w:val="fr-FR"/>
        </w:rPr>
        <w:t>,</w:t>
      </w:r>
      <w:r w:rsidR="004712D6" w:rsidRPr="00F60A3D">
        <w:rPr>
          <w:lang w:val="fr-FR"/>
        </w:rPr>
        <w:t xml:space="preserve"> </w:t>
      </w:r>
      <w:r w:rsidR="00DB4556" w:rsidRPr="00F60A3D">
        <w:rPr>
          <w:lang w:val="fr-FR"/>
        </w:rPr>
        <w:t xml:space="preserve">ne prévoyait </w:t>
      </w:r>
      <w:r w:rsidR="00453AD5" w:rsidRPr="00F60A3D">
        <w:rPr>
          <w:lang w:val="fr-FR"/>
        </w:rPr>
        <w:t>aucune intervention de l</w:t>
      </w:r>
      <w:r w:rsidR="00B17AE1" w:rsidRPr="00F60A3D">
        <w:rPr>
          <w:lang w:val="fr-FR"/>
        </w:rPr>
        <w:t>’</w:t>
      </w:r>
      <w:r w:rsidR="008A3A77" w:rsidRPr="00F60A3D">
        <w:rPr>
          <w:lang w:val="fr-FR"/>
        </w:rPr>
        <w:t>É</w:t>
      </w:r>
      <w:r w:rsidR="00DB4556" w:rsidRPr="00F60A3D">
        <w:rPr>
          <w:lang w:val="fr-FR"/>
        </w:rPr>
        <w:t xml:space="preserve">tat </w:t>
      </w:r>
      <w:r w:rsidR="00453AD5" w:rsidRPr="00F60A3D">
        <w:rPr>
          <w:lang w:val="fr-FR"/>
        </w:rPr>
        <w:t xml:space="preserve">pour garantir les droits sociaux. </w:t>
      </w:r>
    </w:p>
    <w:p w:rsidR="00675411" w:rsidRPr="00F60A3D" w:rsidRDefault="001D2CCC" w:rsidP="001D2CCC">
      <w:pPr>
        <w:pStyle w:val="SingleTxtG"/>
        <w:rPr>
          <w:lang w:val="fr-FR"/>
        </w:rPr>
      </w:pPr>
      <w:r w:rsidRPr="00F60A3D">
        <w:rPr>
          <w:lang w:val="fr-FR"/>
        </w:rPr>
        <w:t>5.</w:t>
      </w:r>
      <w:r w:rsidRPr="00F60A3D">
        <w:rPr>
          <w:lang w:val="fr-FR"/>
        </w:rPr>
        <w:tab/>
      </w:r>
      <w:r w:rsidR="00453AD5" w:rsidRPr="00F60A3D">
        <w:rPr>
          <w:lang w:val="fr-FR"/>
        </w:rPr>
        <w:t>Le systè</w:t>
      </w:r>
      <w:r w:rsidR="00675411" w:rsidRPr="00F60A3D">
        <w:rPr>
          <w:lang w:val="fr-FR"/>
        </w:rPr>
        <w:t>m</w:t>
      </w:r>
      <w:r w:rsidR="00453AD5" w:rsidRPr="00F60A3D">
        <w:rPr>
          <w:lang w:val="fr-FR"/>
        </w:rPr>
        <w:t>e institutionnel</w:t>
      </w:r>
      <w:r w:rsidR="00D8092D" w:rsidRPr="00F60A3D">
        <w:rPr>
          <w:rStyle w:val="FootnoteReference"/>
          <w:lang w:val="fr-FR"/>
        </w:rPr>
        <w:footnoteReference w:id="3"/>
      </w:r>
      <w:r w:rsidR="009D1CE7" w:rsidRPr="00F60A3D">
        <w:rPr>
          <w:lang w:val="fr-FR"/>
        </w:rPr>
        <w:t xml:space="preserve"> comport</w:t>
      </w:r>
      <w:r w:rsidR="00006075" w:rsidRPr="00F60A3D">
        <w:rPr>
          <w:lang w:val="fr-FR"/>
        </w:rPr>
        <w:t>ai</w:t>
      </w:r>
      <w:r w:rsidR="008A3A77" w:rsidRPr="00F60A3D">
        <w:rPr>
          <w:lang w:val="fr-FR"/>
        </w:rPr>
        <w:t xml:space="preserve">t un Parlement </w:t>
      </w:r>
      <w:r w:rsidR="00171542" w:rsidRPr="00F60A3D">
        <w:rPr>
          <w:lang w:val="fr-FR"/>
        </w:rPr>
        <w:t>composé</w:t>
      </w:r>
      <w:r w:rsidR="00A60026" w:rsidRPr="00F60A3D">
        <w:rPr>
          <w:lang w:val="fr-FR"/>
        </w:rPr>
        <w:t xml:space="preserve"> de deux chambres (</w:t>
      </w:r>
      <w:r w:rsidR="00731982" w:rsidRPr="00F60A3D">
        <w:rPr>
          <w:lang w:val="fr-FR"/>
        </w:rPr>
        <w:t>art. </w:t>
      </w:r>
      <w:r w:rsidR="008A3A77" w:rsidRPr="00F60A3D">
        <w:rPr>
          <w:lang w:val="fr-FR"/>
        </w:rPr>
        <w:t>3): le Sén</w:t>
      </w:r>
      <w:r w:rsidR="00A60026" w:rsidRPr="00F60A3D">
        <w:rPr>
          <w:lang w:val="fr-FR"/>
        </w:rPr>
        <w:t>at (</w:t>
      </w:r>
      <w:r w:rsidR="00731982" w:rsidRPr="00F60A3D">
        <w:rPr>
          <w:lang w:val="fr-FR"/>
        </w:rPr>
        <w:t>art. </w:t>
      </w:r>
      <w:r w:rsidR="008A3A77" w:rsidRPr="00F60A3D">
        <w:rPr>
          <w:lang w:val="fr-FR"/>
        </w:rPr>
        <w:t>33 à 38)</w:t>
      </w:r>
      <w:r w:rsidR="001E6A81" w:rsidRPr="00F60A3D">
        <w:rPr>
          <w:lang w:val="fr-FR"/>
        </w:rPr>
        <w:t>,</w:t>
      </w:r>
      <w:r w:rsidR="008A3A77" w:rsidRPr="00F60A3D">
        <w:rPr>
          <w:lang w:val="fr-FR"/>
        </w:rPr>
        <w:t xml:space="preserve"> </w:t>
      </w:r>
      <w:r w:rsidR="00171542" w:rsidRPr="00F60A3D">
        <w:rPr>
          <w:lang w:val="fr-FR"/>
        </w:rPr>
        <w:t>don</w:t>
      </w:r>
      <w:r w:rsidR="00006075" w:rsidRPr="00F60A3D">
        <w:rPr>
          <w:lang w:val="fr-FR"/>
        </w:rPr>
        <w:t>t les membres étaien</w:t>
      </w:r>
      <w:r w:rsidR="008A3A77" w:rsidRPr="00F60A3D">
        <w:rPr>
          <w:lang w:val="fr-FR"/>
        </w:rPr>
        <w:t>t nommés par le Roi</w:t>
      </w:r>
      <w:r w:rsidR="00006075" w:rsidRPr="00F60A3D">
        <w:rPr>
          <w:lang w:val="fr-FR"/>
        </w:rPr>
        <w:t>,</w:t>
      </w:r>
      <w:r w:rsidR="008A3A77" w:rsidRPr="00F60A3D">
        <w:rPr>
          <w:lang w:val="fr-FR"/>
        </w:rPr>
        <w:t xml:space="preserve"> et la Chambre des </w:t>
      </w:r>
      <w:r w:rsidR="00171542" w:rsidRPr="00F60A3D">
        <w:rPr>
          <w:lang w:val="fr-FR"/>
        </w:rPr>
        <w:t>député</w:t>
      </w:r>
      <w:r w:rsidR="00A60026" w:rsidRPr="00F60A3D">
        <w:rPr>
          <w:lang w:val="fr-FR"/>
        </w:rPr>
        <w:t>s (</w:t>
      </w:r>
      <w:r w:rsidR="00731982" w:rsidRPr="00F60A3D">
        <w:rPr>
          <w:lang w:val="fr-FR"/>
        </w:rPr>
        <w:t>art. </w:t>
      </w:r>
      <w:r w:rsidR="008A3A77" w:rsidRPr="00F60A3D">
        <w:rPr>
          <w:lang w:val="fr-FR"/>
        </w:rPr>
        <w:t>39 à 47)</w:t>
      </w:r>
      <w:r w:rsidR="001E6A81" w:rsidRPr="00F60A3D">
        <w:rPr>
          <w:lang w:val="fr-FR"/>
        </w:rPr>
        <w:t>,</w:t>
      </w:r>
      <w:r w:rsidR="008A3A77" w:rsidRPr="00F60A3D">
        <w:rPr>
          <w:lang w:val="fr-FR"/>
        </w:rPr>
        <w:t xml:space="preserve"> </w:t>
      </w:r>
      <w:r w:rsidR="00240FC9" w:rsidRPr="00F60A3D">
        <w:rPr>
          <w:lang w:val="fr-FR"/>
        </w:rPr>
        <w:t>avec des</w:t>
      </w:r>
      <w:r w:rsidR="00006075" w:rsidRPr="00F60A3D">
        <w:rPr>
          <w:lang w:val="fr-FR"/>
        </w:rPr>
        <w:t xml:space="preserve"> parlementaires </w:t>
      </w:r>
      <w:r w:rsidR="008A3A77" w:rsidRPr="00F60A3D">
        <w:rPr>
          <w:lang w:val="fr-FR"/>
        </w:rPr>
        <w:t xml:space="preserve">élus par les Italiens – ni les femmes ni les hommes </w:t>
      </w:r>
      <w:r w:rsidR="00006075" w:rsidRPr="00F60A3D">
        <w:rPr>
          <w:lang w:val="fr-FR"/>
        </w:rPr>
        <w:t>à faible revenu n</w:t>
      </w:r>
      <w:r w:rsidR="00B17AE1" w:rsidRPr="00F60A3D">
        <w:rPr>
          <w:lang w:val="fr-FR"/>
        </w:rPr>
        <w:t>’</w:t>
      </w:r>
      <w:r w:rsidR="00006075" w:rsidRPr="00F60A3D">
        <w:rPr>
          <w:lang w:val="fr-FR"/>
        </w:rPr>
        <w:t>avaien</w:t>
      </w:r>
      <w:r w:rsidR="00171542" w:rsidRPr="00F60A3D">
        <w:rPr>
          <w:lang w:val="fr-FR"/>
        </w:rPr>
        <w:t xml:space="preserve">t alors le droit de vote. </w:t>
      </w:r>
    </w:p>
    <w:p w:rsidR="00675411" w:rsidRPr="00F60A3D" w:rsidRDefault="001D2CCC" w:rsidP="001D2CCC">
      <w:pPr>
        <w:pStyle w:val="SingleTxtG"/>
        <w:rPr>
          <w:lang w:val="fr-FR"/>
        </w:rPr>
      </w:pPr>
      <w:r w:rsidRPr="00F60A3D">
        <w:rPr>
          <w:lang w:val="fr-FR"/>
        </w:rPr>
        <w:t>6.</w:t>
      </w:r>
      <w:r w:rsidRPr="00F60A3D">
        <w:rPr>
          <w:lang w:val="fr-FR"/>
        </w:rPr>
        <w:tab/>
      </w:r>
      <w:r w:rsidR="00A97A5F" w:rsidRPr="00F60A3D">
        <w:rPr>
          <w:lang w:val="fr-FR"/>
        </w:rPr>
        <w:t>L</w:t>
      </w:r>
      <w:r w:rsidR="00171542" w:rsidRPr="00F60A3D">
        <w:rPr>
          <w:lang w:val="fr-FR"/>
        </w:rPr>
        <w:t>e G</w:t>
      </w:r>
      <w:r w:rsidR="0039336B" w:rsidRPr="00F60A3D">
        <w:rPr>
          <w:lang w:val="fr-FR"/>
        </w:rPr>
        <w:t>ou</w:t>
      </w:r>
      <w:r w:rsidR="001F74AE" w:rsidRPr="00F60A3D">
        <w:rPr>
          <w:lang w:val="fr-FR"/>
        </w:rPr>
        <w:t>vernement parlementaire a pris</w:t>
      </w:r>
      <w:r w:rsidR="00171542" w:rsidRPr="00F60A3D">
        <w:rPr>
          <w:lang w:val="fr-FR"/>
        </w:rPr>
        <w:t xml:space="preserve"> fin au dé</w:t>
      </w:r>
      <w:r w:rsidR="0039336B" w:rsidRPr="00F60A3D">
        <w:rPr>
          <w:lang w:val="fr-FR"/>
        </w:rPr>
        <w:t>but des années 1920 avec l</w:t>
      </w:r>
      <w:r w:rsidR="00B17AE1" w:rsidRPr="00F60A3D">
        <w:rPr>
          <w:lang w:val="fr-FR"/>
        </w:rPr>
        <w:t>’</w:t>
      </w:r>
      <w:r w:rsidR="0039336B" w:rsidRPr="00F60A3D">
        <w:rPr>
          <w:lang w:val="fr-FR"/>
        </w:rPr>
        <w:t>instauration</w:t>
      </w:r>
      <w:r w:rsidR="008E6EFD" w:rsidRPr="00F60A3D">
        <w:rPr>
          <w:lang w:val="fr-FR"/>
        </w:rPr>
        <w:t xml:space="preserve"> d</w:t>
      </w:r>
      <w:r w:rsidR="00B17AE1" w:rsidRPr="00F60A3D">
        <w:rPr>
          <w:lang w:val="fr-FR"/>
        </w:rPr>
        <w:t>’</w:t>
      </w:r>
      <w:r w:rsidR="008E6EFD" w:rsidRPr="00F60A3D">
        <w:rPr>
          <w:lang w:val="fr-FR"/>
        </w:rPr>
        <w:t>une dictature fasci</w:t>
      </w:r>
      <w:r w:rsidR="00171542" w:rsidRPr="00F60A3D">
        <w:rPr>
          <w:lang w:val="fr-FR"/>
        </w:rPr>
        <w:t>ste par le</w:t>
      </w:r>
      <w:r w:rsidR="008E6EFD" w:rsidRPr="00F60A3D">
        <w:rPr>
          <w:lang w:val="fr-FR"/>
        </w:rPr>
        <w:t xml:space="preserve"> chef du Gouvernement d</w:t>
      </w:r>
      <w:r w:rsidR="00B17AE1" w:rsidRPr="00F60A3D">
        <w:rPr>
          <w:lang w:val="fr-FR"/>
        </w:rPr>
        <w:t>’</w:t>
      </w:r>
      <w:r w:rsidR="008E6EFD" w:rsidRPr="00F60A3D">
        <w:rPr>
          <w:lang w:val="fr-FR"/>
        </w:rPr>
        <w:t>alors, B</w:t>
      </w:r>
      <w:r w:rsidR="00171542" w:rsidRPr="00F60A3D">
        <w:rPr>
          <w:lang w:val="fr-FR"/>
        </w:rPr>
        <w:t>enito Mussol</w:t>
      </w:r>
      <w:r w:rsidR="009D1CE7" w:rsidRPr="00F60A3D">
        <w:rPr>
          <w:lang w:val="fr-FR"/>
        </w:rPr>
        <w:t>ini. Après la chute du fascisme</w:t>
      </w:r>
      <w:r w:rsidR="00171542" w:rsidRPr="00F60A3D">
        <w:rPr>
          <w:lang w:val="fr-FR"/>
        </w:rPr>
        <w:t xml:space="preserve"> à la fin de la Deuxième guerre mondiale</w:t>
      </w:r>
      <w:r w:rsidR="0039336B" w:rsidRPr="00F60A3D">
        <w:rPr>
          <w:lang w:val="fr-FR"/>
        </w:rPr>
        <w:t xml:space="preserve">, un processus politique </w:t>
      </w:r>
      <w:r w:rsidR="001F74AE" w:rsidRPr="00F60A3D">
        <w:rPr>
          <w:lang w:val="fr-FR"/>
        </w:rPr>
        <w:t>a donné</w:t>
      </w:r>
      <w:r w:rsidR="00171542" w:rsidRPr="00F60A3D">
        <w:rPr>
          <w:lang w:val="fr-FR"/>
        </w:rPr>
        <w:t xml:space="preserve"> lieu à la rédaction d</w:t>
      </w:r>
      <w:r w:rsidR="00B17AE1" w:rsidRPr="00F60A3D">
        <w:rPr>
          <w:lang w:val="fr-FR"/>
        </w:rPr>
        <w:t>’</w:t>
      </w:r>
      <w:r w:rsidR="00171542" w:rsidRPr="00F60A3D">
        <w:rPr>
          <w:lang w:val="fr-FR"/>
        </w:rPr>
        <w:t>une no</w:t>
      </w:r>
      <w:r w:rsidR="00AD6285" w:rsidRPr="00F60A3D">
        <w:rPr>
          <w:lang w:val="fr-FR"/>
        </w:rPr>
        <w:t>uvelle c</w:t>
      </w:r>
      <w:r w:rsidR="00FE1659" w:rsidRPr="00F60A3D">
        <w:rPr>
          <w:lang w:val="fr-FR"/>
        </w:rPr>
        <w:t>onstitution fondée sur le resp</w:t>
      </w:r>
      <w:r w:rsidR="00171542" w:rsidRPr="00F60A3D">
        <w:rPr>
          <w:lang w:val="fr-FR"/>
        </w:rPr>
        <w:t>ect des droits de l</w:t>
      </w:r>
      <w:r w:rsidR="00B17AE1" w:rsidRPr="00F60A3D">
        <w:rPr>
          <w:lang w:val="fr-FR"/>
        </w:rPr>
        <w:t>’</w:t>
      </w:r>
      <w:r w:rsidR="00FE1659" w:rsidRPr="00F60A3D">
        <w:rPr>
          <w:lang w:val="fr-FR"/>
        </w:rPr>
        <w:t>homme</w:t>
      </w:r>
      <w:r w:rsidR="00D8092D" w:rsidRPr="00F60A3D">
        <w:rPr>
          <w:rStyle w:val="FootnoteReference"/>
          <w:lang w:val="fr-FR"/>
        </w:rPr>
        <w:footnoteReference w:id="4"/>
      </w:r>
      <w:r w:rsidR="00BF1734" w:rsidRPr="00F60A3D">
        <w:rPr>
          <w:lang w:val="fr-FR"/>
        </w:rPr>
        <w:t>.</w:t>
      </w:r>
    </w:p>
    <w:p w:rsidR="00675411" w:rsidRPr="00F60A3D" w:rsidRDefault="00675411" w:rsidP="001A36F9">
      <w:pPr>
        <w:pStyle w:val="H23G"/>
        <w:rPr>
          <w:lang w:val="fr-FR"/>
        </w:rPr>
      </w:pPr>
      <w:r w:rsidRPr="00F60A3D">
        <w:rPr>
          <w:lang w:val="fr-FR"/>
        </w:rPr>
        <w:lastRenderedPageBreak/>
        <w:tab/>
      </w:r>
      <w:r w:rsidRPr="00F60A3D">
        <w:rPr>
          <w:lang w:val="fr-FR"/>
        </w:rPr>
        <w:tab/>
      </w:r>
      <w:r w:rsidR="009F5869" w:rsidRPr="00F60A3D">
        <w:rPr>
          <w:lang w:val="fr-FR"/>
        </w:rPr>
        <w:t>Évolution vers l</w:t>
      </w:r>
      <w:r w:rsidR="00B17AE1" w:rsidRPr="00F60A3D">
        <w:rPr>
          <w:lang w:val="fr-FR"/>
        </w:rPr>
        <w:t>’</w:t>
      </w:r>
      <w:r w:rsidR="009F5869" w:rsidRPr="00F60A3D">
        <w:rPr>
          <w:lang w:val="fr-FR"/>
        </w:rPr>
        <w:t>actuelle Constitution italienne</w:t>
      </w:r>
      <w:r w:rsidR="00731982" w:rsidRPr="00F60A3D">
        <w:rPr>
          <w:lang w:val="fr-FR"/>
        </w:rPr>
        <w:t xml:space="preserve"> </w:t>
      </w:r>
    </w:p>
    <w:p w:rsidR="00675411" w:rsidRPr="00F60A3D" w:rsidRDefault="001D2CCC" w:rsidP="00D26282">
      <w:pPr>
        <w:pStyle w:val="SingleTxtG"/>
        <w:rPr>
          <w:lang w:val="fr-FR"/>
        </w:rPr>
      </w:pPr>
      <w:r w:rsidRPr="00F60A3D">
        <w:rPr>
          <w:lang w:val="fr-FR"/>
        </w:rPr>
        <w:t>7.</w:t>
      </w:r>
      <w:r w:rsidRPr="00F60A3D">
        <w:rPr>
          <w:lang w:val="fr-FR"/>
        </w:rPr>
        <w:tab/>
      </w:r>
      <w:r w:rsidR="009F5869" w:rsidRPr="00F60A3D">
        <w:rPr>
          <w:lang w:val="fr-FR"/>
        </w:rPr>
        <w:t>En 1944, le décret</w:t>
      </w:r>
      <w:r w:rsidR="00551FBA" w:rsidRPr="00F60A3D">
        <w:rPr>
          <w:lang w:val="fr-FR"/>
        </w:rPr>
        <w:t xml:space="preserve"> </w:t>
      </w:r>
      <w:r w:rsidR="009F5869" w:rsidRPr="00F60A3D">
        <w:rPr>
          <w:lang w:val="fr-FR"/>
        </w:rPr>
        <w:t xml:space="preserve">législatif </w:t>
      </w:r>
      <w:r w:rsidR="00B17AE1" w:rsidRPr="00F60A3D">
        <w:rPr>
          <w:lang w:val="fr-FR"/>
        </w:rPr>
        <w:t>n</w:t>
      </w:r>
      <w:r w:rsidR="00B17AE1" w:rsidRPr="00F60A3D">
        <w:rPr>
          <w:vertAlign w:val="superscript"/>
          <w:lang w:val="fr-FR"/>
        </w:rPr>
        <w:t>o</w:t>
      </w:r>
      <w:r w:rsidR="00B17AE1" w:rsidRPr="00F60A3D">
        <w:rPr>
          <w:lang w:val="fr-FR"/>
        </w:rPr>
        <w:t> </w:t>
      </w:r>
      <w:r w:rsidR="00675411" w:rsidRPr="00F60A3D">
        <w:rPr>
          <w:lang w:val="fr-FR"/>
        </w:rPr>
        <w:t xml:space="preserve">151 </w:t>
      </w:r>
      <w:r w:rsidR="00006075" w:rsidRPr="00F60A3D">
        <w:rPr>
          <w:lang w:val="fr-FR"/>
        </w:rPr>
        <w:t xml:space="preserve">a mis </w:t>
      </w:r>
      <w:r w:rsidR="009F5869" w:rsidRPr="00F60A3D">
        <w:rPr>
          <w:lang w:val="fr-FR"/>
        </w:rPr>
        <w:t xml:space="preserve">en place un système juridique de transition. </w:t>
      </w:r>
      <w:r w:rsidR="00AE49F4" w:rsidRPr="00F60A3D">
        <w:rPr>
          <w:lang w:val="fr-FR"/>
        </w:rPr>
        <w:t xml:space="preserve">Son </w:t>
      </w:r>
      <w:r w:rsidR="00D26282" w:rsidRPr="00F60A3D">
        <w:rPr>
          <w:lang w:val="fr-FR"/>
        </w:rPr>
        <w:t>article 1</w:t>
      </w:r>
      <w:r w:rsidR="00A172F0" w:rsidRPr="00F60A3D">
        <w:rPr>
          <w:vertAlign w:val="superscript"/>
          <w:lang w:val="fr-FR"/>
        </w:rPr>
        <w:t>er</w:t>
      </w:r>
      <w:r w:rsidR="00C47750" w:rsidRPr="00F60A3D">
        <w:rPr>
          <w:vertAlign w:val="superscript"/>
          <w:lang w:val="fr-FR"/>
        </w:rPr>
        <w:t xml:space="preserve"> </w:t>
      </w:r>
      <w:r w:rsidR="00B96CD4" w:rsidRPr="00F60A3D">
        <w:rPr>
          <w:lang w:val="fr-FR"/>
        </w:rPr>
        <w:t>disposait</w:t>
      </w:r>
      <w:r w:rsidR="00AE49F4" w:rsidRPr="00F60A3D">
        <w:rPr>
          <w:lang w:val="fr-FR"/>
        </w:rPr>
        <w:t xml:space="preserve"> ce qui suit</w:t>
      </w:r>
      <w:r w:rsidR="00BF1734" w:rsidRPr="00F60A3D">
        <w:rPr>
          <w:lang w:val="fr-FR"/>
        </w:rPr>
        <w:t xml:space="preserve">: </w:t>
      </w:r>
      <w:r w:rsidR="00731982" w:rsidRPr="00F60A3D">
        <w:rPr>
          <w:lang w:val="fr-FR"/>
        </w:rPr>
        <w:t>«</w:t>
      </w:r>
      <w:r w:rsidR="009F5869" w:rsidRPr="00F60A3D">
        <w:rPr>
          <w:lang w:val="fr-FR"/>
        </w:rPr>
        <w:t>D</w:t>
      </w:r>
      <w:r w:rsidR="007F47DB" w:rsidRPr="00F60A3D">
        <w:rPr>
          <w:lang w:val="fr-FR"/>
        </w:rPr>
        <w:t>ès que le territoire national</w:t>
      </w:r>
      <w:r w:rsidR="009F5869" w:rsidRPr="00F60A3D">
        <w:rPr>
          <w:lang w:val="fr-FR"/>
        </w:rPr>
        <w:t xml:space="preserve"> sera libéré du fléau de la guerre, les organes institutionnels, notamment l</w:t>
      </w:r>
      <w:r w:rsidR="00B17AE1" w:rsidRPr="00F60A3D">
        <w:rPr>
          <w:lang w:val="fr-FR"/>
        </w:rPr>
        <w:t>’</w:t>
      </w:r>
      <w:r w:rsidR="007F47DB" w:rsidRPr="00F60A3D">
        <w:rPr>
          <w:lang w:val="fr-FR"/>
        </w:rPr>
        <w:t>A</w:t>
      </w:r>
      <w:r w:rsidR="009F5869" w:rsidRPr="00F60A3D">
        <w:rPr>
          <w:lang w:val="fr-FR"/>
        </w:rPr>
        <w:t>ssemblée constituante, chargés de rédiger une nouvelle constitution, seront élus au suff</w:t>
      </w:r>
      <w:r w:rsidR="00BF1734" w:rsidRPr="00F60A3D">
        <w:rPr>
          <w:lang w:val="fr-FR"/>
        </w:rPr>
        <w:t>rage universel par les citoyens</w:t>
      </w:r>
      <w:r w:rsidR="00731982" w:rsidRPr="00F60A3D">
        <w:rPr>
          <w:lang w:val="fr-FR"/>
        </w:rPr>
        <w:t>»</w:t>
      </w:r>
      <w:r w:rsidR="009F5869" w:rsidRPr="00F60A3D">
        <w:rPr>
          <w:lang w:val="fr-FR"/>
        </w:rPr>
        <w:t>. Ce décr</w:t>
      </w:r>
      <w:r w:rsidR="007F47DB" w:rsidRPr="00F60A3D">
        <w:rPr>
          <w:lang w:val="fr-FR"/>
        </w:rPr>
        <w:t>e</w:t>
      </w:r>
      <w:r w:rsidR="001F74AE" w:rsidRPr="00F60A3D">
        <w:rPr>
          <w:lang w:val="fr-FR"/>
        </w:rPr>
        <w:t>t a</w:t>
      </w:r>
      <w:r w:rsidR="0039336B" w:rsidRPr="00F60A3D">
        <w:rPr>
          <w:lang w:val="fr-FR"/>
        </w:rPr>
        <w:t xml:space="preserve"> ensuite</w:t>
      </w:r>
      <w:r w:rsidR="009F5869" w:rsidRPr="00F60A3D">
        <w:rPr>
          <w:lang w:val="fr-FR"/>
        </w:rPr>
        <w:t xml:space="preserve"> </w:t>
      </w:r>
      <w:r w:rsidR="001F74AE" w:rsidRPr="00F60A3D">
        <w:rPr>
          <w:lang w:val="fr-FR"/>
        </w:rPr>
        <w:t xml:space="preserve">été </w:t>
      </w:r>
      <w:r w:rsidR="009F5869" w:rsidRPr="00F60A3D">
        <w:rPr>
          <w:lang w:val="fr-FR"/>
        </w:rPr>
        <w:t xml:space="preserve">remplacé par le décret </w:t>
      </w:r>
      <w:r w:rsidR="00B17AE1" w:rsidRPr="00F60A3D">
        <w:rPr>
          <w:lang w:val="fr-FR"/>
        </w:rPr>
        <w:t>n</w:t>
      </w:r>
      <w:r w:rsidR="00B17AE1" w:rsidRPr="00F60A3D">
        <w:rPr>
          <w:vertAlign w:val="superscript"/>
          <w:lang w:val="fr-FR"/>
        </w:rPr>
        <w:t>o</w:t>
      </w:r>
      <w:r w:rsidR="00B17AE1" w:rsidRPr="00F60A3D">
        <w:rPr>
          <w:lang w:val="fr-FR"/>
        </w:rPr>
        <w:t> </w:t>
      </w:r>
      <w:r w:rsidR="009F5869" w:rsidRPr="00F60A3D">
        <w:rPr>
          <w:lang w:val="fr-FR"/>
        </w:rPr>
        <w:t xml:space="preserve">98 disposant que le peuple jouirait du droit </w:t>
      </w:r>
      <w:r w:rsidR="007F47DB" w:rsidRPr="00F60A3D">
        <w:rPr>
          <w:lang w:val="fr-FR"/>
        </w:rPr>
        <w:t xml:space="preserve">de choisir par référendum </w:t>
      </w:r>
      <w:r w:rsidR="009F5869" w:rsidRPr="00F60A3D">
        <w:rPr>
          <w:lang w:val="fr-FR"/>
        </w:rPr>
        <w:t>la forme de l</w:t>
      </w:r>
      <w:r w:rsidR="00B17AE1" w:rsidRPr="00F60A3D">
        <w:rPr>
          <w:lang w:val="fr-FR"/>
        </w:rPr>
        <w:t>’</w:t>
      </w:r>
      <w:r w:rsidR="009F5869" w:rsidRPr="00F60A3D">
        <w:rPr>
          <w:lang w:val="fr-FR"/>
        </w:rPr>
        <w:t>Éta</w:t>
      </w:r>
      <w:r w:rsidR="007F47DB" w:rsidRPr="00F60A3D">
        <w:rPr>
          <w:lang w:val="fr-FR"/>
        </w:rPr>
        <w:t>t entre république et monarchie</w:t>
      </w:r>
      <w:r w:rsidR="009F5869" w:rsidRPr="00F60A3D">
        <w:rPr>
          <w:lang w:val="fr-FR"/>
        </w:rPr>
        <w:t>.</w:t>
      </w:r>
      <w:r w:rsidR="00675411" w:rsidRPr="00F60A3D">
        <w:rPr>
          <w:lang w:val="fr-FR"/>
        </w:rPr>
        <w:t xml:space="preserve"> </w:t>
      </w:r>
    </w:p>
    <w:p w:rsidR="00675411" w:rsidRPr="00F60A3D" w:rsidRDefault="001D2CCC" w:rsidP="00B17AE1">
      <w:pPr>
        <w:pStyle w:val="SingleTxtG"/>
        <w:rPr>
          <w:lang w:val="fr-FR"/>
        </w:rPr>
      </w:pPr>
      <w:r w:rsidRPr="00F60A3D">
        <w:rPr>
          <w:lang w:val="fr-FR"/>
        </w:rPr>
        <w:t>8.</w:t>
      </w:r>
      <w:r w:rsidRPr="00F60A3D">
        <w:rPr>
          <w:lang w:val="fr-FR"/>
        </w:rPr>
        <w:tab/>
      </w:r>
      <w:r w:rsidR="00B96CD4" w:rsidRPr="00F60A3D">
        <w:rPr>
          <w:lang w:val="fr-FR"/>
        </w:rPr>
        <w:t xml:space="preserve">Le </w:t>
      </w:r>
      <w:r w:rsidR="001F74AE" w:rsidRPr="00F60A3D">
        <w:rPr>
          <w:lang w:val="fr-FR"/>
        </w:rPr>
        <w:t>référendum a été</w:t>
      </w:r>
      <w:r w:rsidR="007F47DB" w:rsidRPr="00F60A3D">
        <w:rPr>
          <w:lang w:val="fr-FR"/>
        </w:rPr>
        <w:t xml:space="preserve"> organisé</w:t>
      </w:r>
      <w:r w:rsidR="00B96CD4" w:rsidRPr="00F60A3D">
        <w:rPr>
          <w:lang w:val="fr-FR"/>
        </w:rPr>
        <w:t xml:space="preserve"> le 2</w:t>
      </w:r>
      <w:r w:rsidR="00B17AE1" w:rsidRPr="00F60A3D">
        <w:rPr>
          <w:lang w:val="fr-FR"/>
        </w:rPr>
        <w:t> </w:t>
      </w:r>
      <w:r w:rsidR="00B96CD4" w:rsidRPr="00F60A3D">
        <w:rPr>
          <w:lang w:val="fr-FR"/>
        </w:rPr>
        <w:t>juin 1946</w:t>
      </w:r>
      <w:r w:rsidR="007F47DB" w:rsidRPr="00F60A3D">
        <w:rPr>
          <w:lang w:val="fr-FR"/>
        </w:rPr>
        <w:t>, conjointement à l</w:t>
      </w:r>
      <w:r w:rsidR="00B17AE1" w:rsidRPr="00F60A3D">
        <w:rPr>
          <w:lang w:val="fr-FR"/>
        </w:rPr>
        <w:t>’</w:t>
      </w:r>
      <w:r w:rsidR="007F47DB" w:rsidRPr="00F60A3D">
        <w:rPr>
          <w:lang w:val="fr-FR"/>
        </w:rPr>
        <w:t>élection des membres de l</w:t>
      </w:r>
      <w:r w:rsidR="00B17AE1" w:rsidRPr="00F60A3D">
        <w:rPr>
          <w:lang w:val="fr-FR"/>
        </w:rPr>
        <w:t>’</w:t>
      </w:r>
      <w:r w:rsidR="007F47DB" w:rsidRPr="00F60A3D">
        <w:rPr>
          <w:lang w:val="fr-FR"/>
        </w:rPr>
        <w:t xml:space="preserve">Assemblée constituante </w:t>
      </w:r>
      <w:r w:rsidR="00675411" w:rsidRPr="00F60A3D">
        <w:rPr>
          <w:lang w:val="fr-FR"/>
        </w:rPr>
        <w:t>(</w:t>
      </w:r>
      <w:r w:rsidR="00675411" w:rsidRPr="00F60A3D">
        <w:rPr>
          <w:i/>
          <w:lang w:val="fr-FR"/>
        </w:rPr>
        <w:t>Assemblea Costituente</w:t>
      </w:r>
      <w:r w:rsidR="007F47DB" w:rsidRPr="00F60A3D">
        <w:rPr>
          <w:lang w:val="fr-FR"/>
        </w:rPr>
        <w:t>). Avec 12 717</w:t>
      </w:r>
      <w:r w:rsidR="00B17AE1" w:rsidRPr="00F60A3D">
        <w:rPr>
          <w:lang w:val="fr-FR"/>
        </w:rPr>
        <w:t> </w:t>
      </w:r>
      <w:r w:rsidR="007F47DB" w:rsidRPr="00F60A3D">
        <w:rPr>
          <w:lang w:val="fr-FR"/>
        </w:rPr>
        <w:t>923</w:t>
      </w:r>
      <w:r w:rsidR="00B17AE1" w:rsidRPr="00F60A3D">
        <w:rPr>
          <w:lang w:val="fr-FR"/>
        </w:rPr>
        <w:t> </w:t>
      </w:r>
      <w:r w:rsidR="007F47DB" w:rsidRPr="00F60A3D">
        <w:rPr>
          <w:lang w:val="fr-FR"/>
        </w:rPr>
        <w:t>votes favorables</w:t>
      </w:r>
      <w:r w:rsidR="00675411" w:rsidRPr="00F60A3D">
        <w:rPr>
          <w:lang w:val="fr-FR"/>
        </w:rPr>
        <w:t xml:space="preserve">, </w:t>
      </w:r>
      <w:r w:rsidR="0039336B" w:rsidRPr="00F60A3D">
        <w:rPr>
          <w:lang w:val="fr-FR"/>
        </w:rPr>
        <w:t xml:space="preserve">les Italiens </w:t>
      </w:r>
      <w:r w:rsidR="001F74AE" w:rsidRPr="00F60A3D">
        <w:rPr>
          <w:lang w:val="fr-FR"/>
        </w:rPr>
        <w:t xml:space="preserve">ont </w:t>
      </w:r>
      <w:r w:rsidR="00B96CD4" w:rsidRPr="00F60A3D">
        <w:rPr>
          <w:lang w:val="fr-FR"/>
        </w:rPr>
        <w:t xml:space="preserve">alors </w:t>
      </w:r>
      <w:r w:rsidR="001F74AE" w:rsidRPr="00F60A3D">
        <w:rPr>
          <w:lang w:val="fr-FR"/>
        </w:rPr>
        <w:t>opté</w:t>
      </w:r>
      <w:r w:rsidR="007F47DB" w:rsidRPr="00F60A3D">
        <w:rPr>
          <w:lang w:val="fr-FR"/>
        </w:rPr>
        <w:t xml:space="preserve"> en faveur de la République. </w:t>
      </w:r>
    </w:p>
    <w:p w:rsidR="00655F6B" w:rsidRPr="00F60A3D" w:rsidRDefault="001D2CCC" w:rsidP="00B17AE1">
      <w:pPr>
        <w:pStyle w:val="SingleTxtG"/>
        <w:rPr>
          <w:lang w:val="fr-FR"/>
        </w:rPr>
      </w:pPr>
      <w:r w:rsidRPr="00F60A3D">
        <w:rPr>
          <w:lang w:val="fr-FR"/>
        </w:rPr>
        <w:t>9.</w:t>
      </w:r>
      <w:r w:rsidRPr="00F60A3D">
        <w:rPr>
          <w:lang w:val="fr-FR"/>
        </w:rPr>
        <w:tab/>
      </w:r>
      <w:r w:rsidR="007F47DB" w:rsidRPr="00F60A3D">
        <w:rPr>
          <w:lang w:val="fr-FR"/>
        </w:rPr>
        <w:t>La première</w:t>
      </w:r>
      <w:r w:rsidR="00675411" w:rsidRPr="00F60A3D">
        <w:rPr>
          <w:lang w:val="fr-FR"/>
        </w:rPr>
        <w:t xml:space="preserve"> session </w:t>
      </w:r>
      <w:r w:rsidR="007F47DB" w:rsidRPr="00F60A3D">
        <w:rPr>
          <w:lang w:val="fr-FR"/>
        </w:rPr>
        <w:t>de l</w:t>
      </w:r>
      <w:r w:rsidR="00B17AE1" w:rsidRPr="00F60A3D">
        <w:rPr>
          <w:lang w:val="fr-FR"/>
        </w:rPr>
        <w:t>’</w:t>
      </w:r>
      <w:r w:rsidR="007F47DB" w:rsidRPr="00F60A3D">
        <w:rPr>
          <w:lang w:val="fr-FR"/>
        </w:rPr>
        <w:t>Assem</w:t>
      </w:r>
      <w:r w:rsidR="00C05F2E" w:rsidRPr="00F60A3D">
        <w:rPr>
          <w:lang w:val="fr-FR"/>
        </w:rPr>
        <w:t>blée constituante, qui compren</w:t>
      </w:r>
      <w:r w:rsidR="001F74AE" w:rsidRPr="00F60A3D">
        <w:rPr>
          <w:lang w:val="fr-FR"/>
        </w:rPr>
        <w:t>ait</w:t>
      </w:r>
      <w:r w:rsidR="00C05F2E" w:rsidRPr="00F60A3D">
        <w:rPr>
          <w:lang w:val="fr-FR"/>
        </w:rPr>
        <w:t xml:space="preserve"> 21</w:t>
      </w:r>
      <w:r w:rsidR="00B17AE1" w:rsidRPr="00F60A3D">
        <w:rPr>
          <w:lang w:val="fr-FR"/>
        </w:rPr>
        <w:t> </w:t>
      </w:r>
      <w:r w:rsidR="00C05F2E" w:rsidRPr="00F60A3D">
        <w:rPr>
          <w:lang w:val="fr-FR"/>
        </w:rPr>
        <w:t>femmes</w:t>
      </w:r>
      <w:r w:rsidR="00652F35" w:rsidRPr="00F60A3D">
        <w:rPr>
          <w:rStyle w:val="FootnoteReference"/>
          <w:lang w:val="fr-FR"/>
        </w:rPr>
        <w:footnoteReference w:id="5"/>
      </w:r>
      <w:r w:rsidR="00BF1734" w:rsidRPr="00F60A3D">
        <w:rPr>
          <w:lang w:val="fr-FR"/>
        </w:rPr>
        <w:t>,</w:t>
      </w:r>
      <w:r w:rsidR="001F74AE" w:rsidRPr="00F60A3D">
        <w:rPr>
          <w:lang w:val="fr-FR"/>
        </w:rPr>
        <w:t xml:space="preserve"> s</w:t>
      </w:r>
      <w:r w:rsidR="00B17AE1" w:rsidRPr="00F60A3D">
        <w:rPr>
          <w:lang w:val="fr-FR"/>
        </w:rPr>
        <w:t>’</w:t>
      </w:r>
      <w:r w:rsidR="001F74AE" w:rsidRPr="00F60A3D">
        <w:rPr>
          <w:lang w:val="fr-FR"/>
        </w:rPr>
        <w:t>est déroulée</w:t>
      </w:r>
      <w:r w:rsidR="007F47DB" w:rsidRPr="00F60A3D">
        <w:rPr>
          <w:lang w:val="fr-FR"/>
        </w:rPr>
        <w:t xml:space="preserve"> le 25</w:t>
      </w:r>
      <w:r w:rsidR="00B17AE1" w:rsidRPr="00F60A3D">
        <w:rPr>
          <w:lang w:val="fr-FR"/>
        </w:rPr>
        <w:t> </w:t>
      </w:r>
      <w:r w:rsidR="007F47DB" w:rsidRPr="00F60A3D">
        <w:rPr>
          <w:lang w:val="fr-FR"/>
        </w:rPr>
        <w:t>juin</w:t>
      </w:r>
      <w:r w:rsidR="00675411" w:rsidRPr="00F60A3D">
        <w:rPr>
          <w:lang w:val="fr-FR"/>
        </w:rPr>
        <w:t xml:space="preserve"> 1946.</w:t>
      </w:r>
    </w:p>
    <w:p w:rsidR="00127067" w:rsidRPr="00F60A3D" w:rsidRDefault="008E6EFD" w:rsidP="00184957">
      <w:pPr>
        <w:pStyle w:val="Bullet1G"/>
      </w:pPr>
      <w:r w:rsidRPr="00F60A3D">
        <w:t>Pour rédiger et pré</w:t>
      </w:r>
      <w:r w:rsidR="00E212F3" w:rsidRPr="00F60A3D">
        <w:t>senter un projet de c</w:t>
      </w:r>
      <w:r w:rsidR="00EF02C3" w:rsidRPr="00F60A3D">
        <w:t>onstitution dans les trois m</w:t>
      </w:r>
      <w:r w:rsidR="0039336B" w:rsidRPr="00F60A3D">
        <w:t>ois, l</w:t>
      </w:r>
      <w:r w:rsidR="00B17AE1" w:rsidRPr="00F60A3D">
        <w:t>’</w:t>
      </w:r>
      <w:r w:rsidR="0039336B" w:rsidRPr="00F60A3D">
        <w:t xml:space="preserve">Assemblée constituante </w:t>
      </w:r>
      <w:r w:rsidR="001F74AE" w:rsidRPr="00F60A3D">
        <w:t>a créé</w:t>
      </w:r>
      <w:r w:rsidRPr="00F60A3D">
        <w:t>,</w:t>
      </w:r>
      <w:r w:rsidR="007A4546" w:rsidRPr="00F60A3D">
        <w:t xml:space="preserve"> le 15</w:t>
      </w:r>
      <w:r w:rsidR="00B17AE1" w:rsidRPr="00F60A3D">
        <w:t> </w:t>
      </w:r>
      <w:r w:rsidR="007A4546" w:rsidRPr="00F60A3D">
        <w:t xml:space="preserve">juillet 1946, une </w:t>
      </w:r>
      <w:r w:rsidR="00731982" w:rsidRPr="00F60A3D">
        <w:t>«</w:t>
      </w:r>
      <w:r w:rsidR="00EF02C3" w:rsidRPr="00F60A3D">
        <w:t>Commission pour la Constitution (appelée au</w:t>
      </w:r>
      <w:r w:rsidR="007A4546" w:rsidRPr="00F60A3D">
        <w:t>ssi Commission des 75</w:t>
      </w:r>
      <w:r w:rsidR="00B17AE1" w:rsidRPr="00F60A3D">
        <w:t> </w:t>
      </w:r>
      <w:r w:rsidR="007A4546" w:rsidRPr="00F60A3D">
        <w:t>membres)</w:t>
      </w:r>
      <w:r w:rsidR="00731982" w:rsidRPr="00F60A3D">
        <w:t>»</w:t>
      </w:r>
      <w:r w:rsidR="00EF02C3" w:rsidRPr="00F60A3D">
        <w:t>, composée de 75</w:t>
      </w:r>
      <w:r w:rsidR="00B17AE1" w:rsidRPr="00F60A3D">
        <w:t> </w:t>
      </w:r>
      <w:r w:rsidR="00EF02C3" w:rsidRPr="00F60A3D">
        <w:t>membres choisis en fonction du critère d</w:t>
      </w:r>
      <w:r w:rsidR="00764058" w:rsidRPr="00F60A3D">
        <w:t>e la proportionnalité politique;</w:t>
      </w:r>
    </w:p>
    <w:p w:rsidR="00127067" w:rsidRPr="00F60A3D" w:rsidRDefault="00764058" w:rsidP="00184957">
      <w:pPr>
        <w:pStyle w:val="Bullet1G"/>
      </w:pPr>
      <w:r w:rsidRPr="00F60A3D">
        <w:t>La</w:t>
      </w:r>
      <w:r w:rsidR="00EF02C3" w:rsidRPr="00F60A3D">
        <w:t>dite</w:t>
      </w:r>
      <w:r w:rsidR="00127067" w:rsidRPr="00F60A3D">
        <w:t xml:space="preserve"> Commission </w:t>
      </w:r>
      <w:r w:rsidR="001F74AE" w:rsidRPr="00F60A3D">
        <w:t xml:space="preserve">a </w:t>
      </w:r>
      <w:r w:rsidR="0000506C" w:rsidRPr="00F60A3D">
        <w:t>ache</w:t>
      </w:r>
      <w:r w:rsidR="001F74AE" w:rsidRPr="00F60A3D">
        <w:t>vé</w:t>
      </w:r>
      <w:r w:rsidR="00EF02C3" w:rsidRPr="00F60A3D">
        <w:t xml:space="preserve"> son travail le 12</w:t>
      </w:r>
      <w:r w:rsidR="00B17AE1" w:rsidRPr="00F60A3D">
        <w:t> </w:t>
      </w:r>
      <w:r w:rsidR="00EF02C3" w:rsidRPr="00F60A3D">
        <w:t>janvier 1947. Peu après,</w:t>
      </w:r>
      <w:r w:rsidR="001F74AE" w:rsidRPr="00F60A3D">
        <w:t xml:space="preserve"> le projet de constitution a été</w:t>
      </w:r>
      <w:r w:rsidR="00EF02C3" w:rsidRPr="00F60A3D">
        <w:t xml:space="preserve"> soumis à un débat en séance plénière (à partir du 4</w:t>
      </w:r>
      <w:r w:rsidR="00B17AE1" w:rsidRPr="00F60A3D">
        <w:t> </w:t>
      </w:r>
      <w:r w:rsidR="00EF02C3" w:rsidRPr="00F60A3D">
        <w:t>mars 1947) pour être enfin adopté le 22</w:t>
      </w:r>
      <w:r w:rsidR="00B17AE1" w:rsidRPr="00F60A3D">
        <w:t> </w:t>
      </w:r>
      <w:r w:rsidR="00EF02C3" w:rsidRPr="00F60A3D">
        <w:t>décembre 1947. La</w:t>
      </w:r>
      <w:r w:rsidR="00DC0482" w:rsidRPr="00F60A3D">
        <w:t xml:space="preserve"> nouvelle C</w:t>
      </w:r>
      <w:r w:rsidR="00521505" w:rsidRPr="00F60A3D">
        <w:t xml:space="preserve">onstitution </w:t>
      </w:r>
      <w:r w:rsidR="001F74AE" w:rsidRPr="00F60A3D">
        <w:t xml:space="preserve">est </w:t>
      </w:r>
      <w:r w:rsidR="00521505" w:rsidRPr="00F60A3D">
        <w:t>entr</w:t>
      </w:r>
      <w:r w:rsidR="001F74AE" w:rsidRPr="00F60A3D">
        <w:t>é</w:t>
      </w:r>
      <w:r w:rsidR="00EF02C3" w:rsidRPr="00F60A3D">
        <w:t xml:space="preserve">e en vigueur le </w:t>
      </w:r>
      <w:r w:rsidR="00B17AE1" w:rsidRPr="00F60A3D">
        <w:t>1</w:t>
      </w:r>
      <w:r w:rsidR="00B17AE1" w:rsidRPr="00F60A3D">
        <w:rPr>
          <w:vertAlign w:val="superscript"/>
        </w:rPr>
        <w:t>er</w:t>
      </w:r>
      <w:r w:rsidR="00B17AE1" w:rsidRPr="00F60A3D">
        <w:t> </w:t>
      </w:r>
      <w:r w:rsidR="00EF02C3" w:rsidRPr="00F60A3D">
        <w:t xml:space="preserve">janvier </w:t>
      </w:r>
      <w:r w:rsidR="00BF1734" w:rsidRPr="00F60A3D">
        <w:t>1948</w:t>
      </w:r>
      <w:r w:rsidR="00652F35" w:rsidRPr="00F60A3D">
        <w:rPr>
          <w:rStyle w:val="FootnoteReference"/>
        </w:rPr>
        <w:footnoteReference w:id="6"/>
      </w:r>
      <w:r w:rsidR="00BF1734" w:rsidRPr="00F60A3D">
        <w:t>.</w:t>
      </w:r>
    </w:p>
    <w:p w:rsidR="00127067" w:rsidRPr="00F60A3D" w:rsidRDefault="004A1AC7" w:rsidP="001A36F9">
      <w:pPr>
        <w:pStyle w:val="H23G"/>
        <w:rPr>
          <w:lang w:val="fr-FR"/>
        </w:rPr>
      </w:pPr>
      <w:r w:rsidRPr="00F60A3D">
        <w:rPr>
          <w:lang w:val="fr-FR"/>
        </w:rPr>
        <w:tab/>
      </w:r>
      <w:r w:rsidRPr="00F60A3D">
        <w:rPr>
          <w:lang w:val="fr-FR"/>
        </w:rPr>
        <w:tab/>
      </w:r>
      <w:r w:rsidR="00D13F20" w:rsidRPr="00F60A3D">
        <w:rPr>
          <w:lang w:val="fr-FR"/>
        </w:rPr>
        <w:t>La</w:t>
      </w:r>
      <w:r w:rsidR="00127067" w:rsidRPr="00F60A3D">
        <w:rPr>
          <w:lang w:val="fr-FR"/>
        </w:rPr>
        <w:t xml:space="preserve"> Constitution </w:t>
      </w:r>
      <w:r w:rsidR="00D13F20" w:rsidRPr="00F60A3D">
        <w:rPr>
          <w:lang w:val="fr-FR"/>
        </w:rPr>
        <w:t>italienne de 1948</w:t>
      </w:r>
    </w:p>
    <w:p w:rsidR="00127067" w:rsidRPr="00F60A3D" w:rsidRDefault="001D2CCC" w:rsidP="000E4072">
      <w:pPr>
        <w:pStyle w:val="SingleTxtG"/>
        <w:rPr>
          <w:lang w:val="fr-FR"/>
        </w:rPr>
      </w:pPr>
      <w:r w:rsidRPr="00F60A3D">
        <w:rPr>
          <w:lang w:val="fr-FR"/>
        </w:rPr>
        <w:t>10.</w:t>
      </w:r>
      <w:r w:rsidRPr="00F60A3D">
        <w:rPr>
          <w:lang w:val="fr-FR"/>
        </w:rPr>
        <w:tab/>
      </w:r>
      <w:r w:rsidR="00C95B73" w:rsidRPr="00F60A3D">
        <w:rPr>
          <w:lang w:val="fr-FR"/>
        </w:rPr>
        <w:t>La</w:t>
      </w:r>
      <w:r w:rsidR="00127067" w:rsidRPr="00F60A3D">
        <w:rPr>
          <w:lang w:val="fr-FR"/>
        </w:rPr>
        <w:t xml:space="preserve"> Constitution</w:t>
      </w:r>
      <w:r w:rsidR="0030198E" w:rsidRPr="00F60A3D">
        <w:rPr>
          <w:lang w:val="fr-FR"/>
        </w:rPr>
        <w:t xml:space="preserve"> italienne consacre l</w:t>
      </w:r>
      <w:r w:rsidR="00B17AE1" w:rsidRPr="00F60A3D">
        <w:rPr>
          <w:lang w:val="fr-FR"/>
        </w:rPr>
        <w:t>’</w:t>
      </w:r>
      <w:r w:rsidR="0030198E" w:rsidRPr="00F60A3D">
        <w:rPr>
          <w:lang w:val="fr-FR"/>
        </w:rPr>
        <w:t>ensemble des droits fondamentaux. Comptant 139</w:t>
      </w:r>
      <w:r w:rsidR="00B17AE1" w:rsidRPr="00F60A3D">
        <w:rPr>
          <w:lang w:val="fr-FR"/>
        </w:rPr>
        <w:t> </w:t>
      </w:r>
      <w:r w:rsidR="0030198E" w:rsidRPr="00F60A3D">
        <w:rPr>
          <w:lang w:val="fr-FR"/>
        </w:rPr>
        <w:t>articles et 18</w:t>
      </w:r>
      <w:r w:rsidR="00B17AE1" w:rsidRPr="00F60A3D">
        <w:rPr>
          <w:lang w:val="fr-FR"/>
        </w:rPr>
        <w:t> </w:t>
      </w:r>
      <w:r w:rsidR="00C95B73" w:rsidRPr="00F60A3D">
        <w:rPr>
          <w:lang w:val="fr-FR"/>
        </w:rPr>
        <w:t>dispositio</w:t>
      </w:r>
      <w:r w:rsidR="0030198E" w:rsidRPr="00F60A3D">
        <w:rPr>
          <w:lang w:val="fr-FR"/>
        </w:rPr>
        <w:t>ns provisoires et permanentes, elle est divisée en</w:t>
      </w:r>
      <w:r w:rsidR="00C95B73" w:rsidRPr="00F60A3D">
        <w:rPr>
          <w:lang w:val="fr-FR"/>
        </w:rPr>
        <w:t xml:space="preserve"> trois</w:t>
      </w:r>
      <w:r w:rsidR="008933A9" w:rsidRPr="00F60A3D">
        <w:rPr>
          <w:lang w:val="fr-FR"/>
        </w:rPr>
        <w:t xml:space="preserve"> parties</w:t>
      </w:r>
      <w:r w:rsidR="008E174A" w:rsidRPr="00F60A3D">
        <w:rPr>
          <w:lang w:val="fr-FR"/>
        </w:rPr>
        <w:t xml:space="preserve">: la section des </w:t>
      </w:r>
      <w:r w:rsidR="00731982" w:rsidRPr="00F60A3D">
        <w:rPr>
          <w:lang w:val="fr-FR"/>
        </w:rPr>
        <w:t>«</w:t>
      </w:r>
      <w:r w:rsidR="00E212F3" w:rsidRPr="00F60A3D">
        <w:rPr>
          <w:lang w:val="fr-FR"/>
        </w:rPr>
        <w:t>P</w:t>
      </w:r>
      <w:r w:rsidR="008E174A" w:rsidRPr="00F60A3D">
        <w:rPr>
          <w:lang w:val="fr-FR"/>
        </w:rPr>
        <w:t>rincipes fondamentaux</w:t>
      </w:r>
      <w:r w:rsidR="00731982" w:rsidRPr="00F60A3D">
        <w:rPr>
          <w:lang w:val="fr-FR"/>
        </w:rPr>
        <w:t>»</w:t>
      </w:r>
      <w:r w:rsidR="00A60026" w:rsidRPr="00F60A3D">
        <w:rPr>
          <w:lang w:val="fr-FR"/>
        </w:rPr>
        <w:t xml:space="preserve"> (</w:t>
      </w:r>
      <w:r w:rsidR="00731982" w:rsidRPr="00F60A3D">
        <w:rPr>
          <w:lang w:val="fr-FR"/>
        </w:rPr>
        <w:t>art. </w:t>
      </w:r>
      <w:r w:rsidR="00B17AE1" w:rsidRPr="00F60A3D">
        <w:rPr>
          <w:lang w:val="fr-FR"/>
        </w:rPr>
        <w:t>1</w:t>
      </w:r>
      <w:r w:rsidR="00B17AE1" w:rsidRPr="00F60A3D">
        <w:rPr>
          <w:vertAlign w:val="superscript"/>
          <w:lang w:val="fr-FR"/>
        </w:rPr>
        <w:t>er</w:t>
      </w:r>
      <w:r w:rsidR="00C95B73" w:rsidRPr="00F60A3D">
        <w:rPr>
          <w:lang w:val="fr-FR"/>
        </w:rPr>
        <w:t xml:space="preserve"> à 12</w:t>
      </w:r>
      <w:r w:rsidR="00C857EE" w:rsidRPr="00F60A3D">
        <w:rPr>
          <w:lang w:val="fr-FR"/>
        </w:rPr>
        <w:t>)</w:t>
      </w:r>
      <w:r w:rsidR="00C95B73" w:rsidRPr="00F60A3D">
        <w:rPr>
          <w:lang w:val="fr-FR"/>
        </w:rPr>
        <w:t xml:space="preserve"> qui énonce le principe de l</w:t>
      </w:r>
      <w:r w:rsidR="00B17AE1" w:rsidRPr="00F60A3D">
        <w:rPr>
          <w:lang w:val="fr-FR"/>
        </w:rPr>
        <w:t>’</w:t>
      </w:r>
      <w:r w:rsidR="00C95B73" w:rsidRPr="00F60A3D">
        <w:rPr>
          <w:lang w:val="fr-FR"/>
        </w:rPr>
        <w:t xml:space="preserve">égalité formelle et </w:t>
      </w:r>
      <w:r w:rsidR="000E4072" w:rsidRPr="00F60A3D">
        <w:rPr>
          <w:lang w:val="fr-FR"/>
        </w:rPr>
        <w:t>substan</w:t>
      </w:r>
      <w:r w:rsidR="009C262F" w:rsidRPr="00F60A3D">
        <w:rPr>
          <w:lang w:val="fr-FR"/>
        </w:rPr>
        <w:t>tielle</w:t>
      </w:r>
      <w:r w:rsidR="00BC6348" w:rsidRPr="00F60A3D">
        <w:rPr>
          <w:lang w:val="fr-FR"/>
        </w:rPr>
        <w:t>,</w:t>
      </w:r>
      <w:r w:rsidR="00AA0F2C" w:rsidRPr="00F60A3D">
        <w:rPr>
          <w:lang w:val="fr-FR"/>
        </w:rPr>
        <w:t xml:space="preserve"> en application</w:t>
      </w:r>
      <w:r w:rsidR="00C857EE" w:rsidRPr="00F60A3D">
        <w:rPr>
          <w:lang w:val="fr-FR"/>
        </w:rPr>
        <w:t xml:space="preserve"> de l</w:t>
      </w:r>
      <w:r w:rsidR="00B17AE1" w:rsidRPr="00F60A3D">
        <w:rPr>
          <w:lang w:val="fr-FR"/>
        </w:rPr>
        <w:t>’</w:t>
      </w:r>
      <w:r w:rsidR="00D26282" w:rsidRPr="00F60A3D">
        <w:rPr>
          <w:lang w:val="fr-FR"/>
        </w:rPr>
        <w:t>article </w:t>
      </w:r>
      <w:r w:rsidR="00C857EE" w:rsidRPr="00F60A3D">
        <w:rPr>
          <w:lang w:val="fr-FR"/>
        </w:rPr>
        <w:t>3</w:t>
      </w:r>
      <w:r w:rsidR="00A60026" w:rsidRPr="00F60A3D">
        <w:rPr>
          <w:lang w:val="fr-FR"/>
        </w:rPr>
        <w:t>; la première partie (</w:t>
      </w:r>
      <w:r w:rsidR="00731982" w:rsidRPr="00F60A3D">
        <w:rPr>
          <w:lang w:val="fr-FR"/>
        </w:rPr>
        <w:t>art. </w:t>
      </w:r>
      <w:r w:rsidR="008E174A" w:rsidRPr="00F60A3D">
        <w:rPr>
          <w:lang w:val="fr-FR"/>
        </w:rPr>
        <w:t xml:space="preserve">13 à 54, intitulée </w:t>
      </w:r>
      <w:r w:rsidR="00731982" w:rsidRPr="00F60A3D">
        <w:rPr>
          <w:lang w:val="fr-FR"/>
        </w:rPr>
        <w:t>«</w:t>
      </w:r>
      <w:r w:rsidR="008E174A" w:rsidRPr="00F60A3D">
        <w:rPr>
          <w:lang w:val="fr-FR"/>
        </w:rPr>
        <w:t>Droits et devoirs des citoyens</w:t>
      </w:r>
      <w:r w:rsidR="00731982" w:rsidRPr="00F60A3D">
        <w:rPr>
          <w:lang w:val="fr-FR"/>
        </w:rPr>
        <w:t>»</w:t>
      </w:r>
      <w:r w:rsidR="000E4072" w:rsidRPr="00F60A3D">
        <w:rPr>
          <w:lang w:val="fr-FR"/>
        </w:rPr>
        <w:t>)</w:t>
      </w:r>
      <w:r w:rsidR="004538C6" w:rsidRPr="00F60A3D">
        <w:rPr>
          <w:lang w:val="fr-FR"/>
        </w:rPr>
        <w:t>,</w:t>
      </w:r>
      <w:r w:rsidR="000E4072" w:rsidRPr="00F60A3D">
        <w:rPr>
          <w:lang w:val="fr-FR"/>
        </w:rPr>
        <w:t xml:space="preserve"> principal</w:t>
      </w:r>
      <w:r w:rsidR="004538C6" w:rsidRPr="00F60A3D">
        <w:rPr>
          <w:lang w:val="fr-FR"/>
        </w:rPr>
        <w:t xml:space="preserve">ement consacrée aux </w:t>
      </w:r>
      <w:r w:rsidR="000E4072" w:rsidRPr="00F60A3D">
        <w:rPr>
          <w:lang w:val="fr-FR"/>
        </w:rPr>
        <w:t>droits fondamentaux</w:t>
      </w:r>
      <w:r w:rsidR="004538C6" w:rsidRPr="00F60A3D">
        <w:rPr>
          <w:lang w:val="fr-FR"/>
        </w:rPr>
        <w:t xml:space="preserve"> et aux libertés</w:t>
      </w:r>
      <w:r w:rsidR="000E4072" w:rsidRPr="00F60A3D">
        <w:rPr>
          <w:lang w:val="fr-FR"/>
        </w:rPr>
        <w:t>, et</w:t>
      </w:r>
      <w:r w:rsidR="008E174A" w:rsidRPr="00F60A3D">
        <w:rPr>
          <w:lang w:val="fr-FR"/>
        </w:rPr>
        <w:t xml:space="preserve"> la deuxième partie (</w:t>
      </w:r>
      <w:r w:rsidR="00731982" w:rsidRPr="00F60A3D">
        <w:rPr>
          <w:lang w:val="fr-FR"/>
        </w:rPr>
        <w:t>art. </w:t>
      </w:r>
      <w:r w:rsidR="00041F6F" w:rsidRPr="00F60A3D">
        <w:rPr>
          <w:lang w:val="fr-FR"/>
        </w:rPr>
        <w:t xml:space="preserve">55 à 139, </w:t>
      </w:r>
      <w:r w:rsidR="008E174A" w:rsidRPr="00F60A3D">
        <w:rPr>
          <w:lang w:val="fr-FR"/>
        </w:rPr>
        <w:t xml:space="preserve">intitulée </w:t>
      </w:r>
      <w:r w:rsidR="00731982" w:rsidRPr="00F60A3D">
        <w:rPr>
          <w:lang w:val="fr-FR"/>
        </w:rPr>
        <w:t>«</w:t>
      </w:r>
      <w:r w:rsidR="000E4072" w:rsidRPr="00F60A3D">
        <w:rPr>
          <w:lang w:val="fr-FR"/>
        </w:rPr>
        <w:t>Organis</w:t>
      </w:r>
      <w:r w:rsidR="008E174A" w:rsidRPr="00F60A3D">
        <w:rPr>
          <w:lang w:val="fr-FR"/>
        </w:rPr>
        <w:t>ation de la République</w:t>
      </w:r>
      <w:r w:rsidR="00731982" w:rsidRPr="00F60A3D">
        <w:rPr>
          <w:lang w:val="fr-FR"/>
        </w:rPr>
        <w:t>»</w:t>
      </w:r>
      <w:r w:rsidR="00D54497" w:rsidRPr="00F60A3D">
        <w:rPr>
          <w:lang w:val="fr-FR"/>
        </w:rPr>
        <w:t>) p</w:t>
      </w:r>
      <w:r w:rsidR="00C857EE" w:rsidRPr="00F60A3D">
        <w:rPr>
          <w:lang w:val="fr-FR"/>
        </w:rPr>
        <w:t xml:space="preserve">ortant essentiellement sur les </w:t>
      </w:r>
      <w:r w:rsidR="000E4072" w:rsidRPr="00F60A3D">
        <w:rPr>
          <w:lang w:val="fr-FR"/>
        </w:rPr>
        <w:t>aspects institutionnels et organisationnels</w:t>
      </w:r>
      <w:r w:rsidR="00D8092D" w:rsidRPr="00F60A3D">
        <w:rPr>
          <w:rStyle w:val="FootnoteReference"/>
          <w:lang w:val="fr-FR"/>
        </w:rPr>
        <w:footnoteReference w:id="7"/>
      </w:r>
      <w:r w:rsidR="00BF1734" w:rsidRPr="00F60A3D">
        <w:rPr>
          <w:lang w:val="fr-FR"/>
        </w:rPr>
        <w:t>.</w:t>
      </w:r>
      <w:r w:rsidR="00731982" w:rsidRPr="00F60A3D">
        <w:rPr>
          <w:lang w:val="fr-FR"/>
        </w:rPr>
        <w:t xml:space="preserve"> </w:t>
      </w:r>
    </w:p>
    <w:p w:rsidR="0086162F" w:rsidRPr="00F60A3D" w:rsidRDefault="001D2CCC" w:rsidP="001D2CCC">
      <w:pPr>
        <w:pStyle w:val="SingleTxtG"/>
        <w:rPr>
          <w:lang w:val="fr-FR"/>
        </w:rPr>
      </w:pPr>
      <w:r w:rsidRPr="00F60A3D">
        <w:rPr>
          <w:lang w:val="fr-FR"/>
        </w:rPr>
        <w:t>11.</w:t>
      </w:r>
      <w:r w:rsidRPr="00F60A3D">
        <w:rPr>
          <w:lang w:val="fr-FR"/>
        </w:rPr>
        <w:tab/>
      </w:r>
      <w:r w:rsidR="00C35924" w:rsidRPr="00F60A3D">
        <w:rPr>
          <w:lang w:val="fr-FR"/>
        </w:rPr>
        <w:t>L</w:t>
      </w:r>
      <w:r w:rsidR="00FE78AB" w:rsidRPr="00F60A3D">
        <w:rPr>
          <w:lang w:val="fr-FR"/>
        </w:rPr>
        <w:t>e statut de l</w:t>
      </w:r>
      <w:r w:rsidR="00B17AE1" w:rsidRPr="00F60A3D">
        <w:rPr>
          <w:lang w:val="fr-FR"/>
        </w:rPr>
        <w:t>’</w:t>
      </w:r>
      <w:r w:rsidR="0086162F" w:rsidRPr="00F60A3D">
        <w:rPr>
          <w:lang w:val="fr-FR"/>
        </w:rPr>
        <w:t>Église catholique romaine en Italie</w:t>
      </w:r>
      <w:r w:rsidR="00C35924" w:rsidRPr="00F60A3D">
        <w:rPr>
          <w:lang w:val="fr-FR"/>
        </w:rPr>
        <w:t xml:space="preserve"> dont les pouvoirs temporels ont pris fin en 1870, </w:t>
      </w:r>
      <w:r w:rsidR="00FE78AB" w:rsidRPr="00F60A3D">
        <w:rPr>
          <w:lang w:val="fr-FR"/>
        </w:rPr>
        <w:t>a été</w:t>
      </w:r>
      <w:r w:rsidR="00C35924" w:rsidRPr="00F60A3D">
        <w:rPr>
          <w:lang w:val="fr-FR"/>
        </w:rPr>
        <w:t xml:space="preserve"> établi par une série d</w:t>
      </w:r>
      <w:r w:rsidR="00B17AE1" w:rsidRPr="00F60A3D">
        <w:rPr>
          <w:lang w:val="fr-FR"/>
        </w:rPr>
        <w:t>’</w:t>
      </w:r>
      <w:r w:rsidR="00C35924" w:rsidRPr="00F60A3D">
        <w:rPr>
          <w:lang w:val="fr-FR"/>
        </w:rPr>
        <w:t>accords conclus avec le Gouvernement italien. E</w:t>
      </w:r>
      <w:r w:rsidR="00912AF9" w:rsidRPr="00F60A3D">
        <w:rPr>
          <w:lang w:val="fr-FR"/>
        </w:rPr>
        <w:t>n vertu du Traité</w:t>
      </w:r>
      <w:r w:rsidR="000E66B9" w:rsidRPr="00F60A3D">
        <w:rPr>
          <w:lang w:val="fr-FR"/>
        </w:rPr>
        <w:t xml:space="preserve"> du</w:t>
      </w:r>
      <w:r w:rsidR="00316D15" w:rsidRPr="00F60A3D">
        <w:rPr>
          <w:lang w:val="fr-FR"/>
        </w:rPr>
        <w:t xml:space="preserve"> Latran de 1929, </w:t>
      </w:r>
      <w:r w:rsidR="000A6586" w:rsidRPr="00F60A3D">
        <w:rPr>
          <w:lang w:val="fr-FR"/>
        </w:rPr>
        <w:t>ultérieureme</w:t>
      </w:r>
      <w:r w:rsidR="00901F0D" w:rsidRPr="00F60A3D">
        <w:rPr>
          <w:lang w:val="fr-FR"/>
        </w:rPr>
        <w:t>n</w:t>
      </w:r>
      <w:r w:rsidR="000A6586" w:rsidRPr="00F60A3D">
        <w:rPr>
          <w:lang w:val="fr-FR"/>
        </w:rPr>
        <w:t xml:space="preserve">t </w:t>
      </w:r>
      <w:r w:rsidR="00316D15" w:rsidRPr="00F60A3D">
        <w:rPr>
          <w:lang w:val="fr-FR"/>
        </w:rPr>
        <w:t xml:space="preserve">confirmé </w:t>
      </w:r>
      <w:r w:rsidR="000A6586" w:rsidRPr="00F60A3D">
        <w:rPr>
          <w:lang w:val="fr-FR"/>
        </w:rPr>
        <w:t>par l</w:t>
      </w:r>
      <w:r w:rsidR="00B17AE1" w:rsidRPr="00F60A3D">
        <w:rPr>
          <w:lang w:val="fr-FR"/>
        </w:rPr>
        <w:t>’</w:t>
      </w:r>
      <w:r w:rsidR="000A6586" w:rsidRPr="00F60A3D">
        <w:rPr>
          <w:lang w:val="fr-FR"/>
        </w:rPr>
        <w:t>actuelle</w:t>
      </w:r>
      <w:r w:rsidR="00C35924" w:rsidRPr="00F60A3D">
        <w:rPr>
          <w:lang w:val="fr-FR"/>
        </w:rPr>
        <w:t xml:space="preserve"> Constitution, l</w:t>
      </w:r>
      <w:r w:rsidR="00B17AE1" w:rsidRPr="00F60A3D">
        <w:rPr>
          <w:lang w:val="fr-FR"/>
        </w:rPr>
        <w:t>’</w:t>
      </w:r>
      <w:r w:rsidR="00C35924" w:rsidRPr="00F60A3D">
        <w:rPr>
          <w:lang w:val="fr-FR"/>
        </w:rPr>
        <w:t xml:space="preserve">Italie </w:t>
      </w:r>
      <w:r w:rsidR="00316D15" w:rsidRPr="00F60A3D">
        <w:rPr>
          <w:lang w:val="fr-FR"/>
        </w:rPr>
        <w:t>a reconnu</w:t>
      </w:r>
      <w:r w:rsidR="00C35924" w:rsidRPr="00F60A3D">
        <w:rPr>
          <w:lang w:val="fr-FR"/>
        </w:rPr>
        <w:t xml:space="preserve"> l</w:t>
      </w:r>
      <w:r w:rsidR="00B17AE1" w:rsidRPr="00F60A3D">
        <w:rPr>
          <w:lang w:val="fr-FR"/>
        </w:rPr>
        <w:t>’</w:t>
      </w:r>
      <w:r w:rsidR="00C35924" w:rsidRPr="00F60A3D">
        <w:rPr>
          <w:lang w:val="fr-FR"/>
        </w:rPr>
        <w:t>État d</w:t>
      </w:r>
      <w:r w:rsidR="00DC0482" w:rsidRPr="00F60A3D">
        <w:rPr>
          <w:lang w:val="fr-FR"/>
        </w:rPr>
        <w:t xml:space="preserve">e la Cité du Vatican comme une </w:t>
      </w:r>
      <w:r w:rsidR="00C35924" w:rsidRPr="00F60A3D">
        <w:rPr>
          <w:lang w:val="fr-FR"/>
        </w:rPr>
        <w:t>entité indépendante et souveraine.</w:t>
      </w:r>
      <w:r w:rsidR="00731982" w:rsidRPr="00F60A3D">
        <w:rPr>
          <w:lang w:val="fr-FR"/>
        </w:rPr>
        <w:t xml:space="preserve"> </w:t>
      </w:r>
      <w:r w:rsidR="00FE78AB" w:rsidRPr="00F60A3D">
        <w:rPr>
          <w:lang w:val="fr-FR"/>
        </w:rPr>
        <w:t>Tout en préservan</w:t>
      </w:r>
      <w:r w:rsidR="004538C6" w:rsidRPr="00F60A3D">
        <w:rPr>
          <w:lang w:val="fr-FR"/>
        </w:rPr>
        <w:t>t cette reconnaissance,</w:t>
      </w:r>
      <w:r w:rsidR="00FE78AB" w:rsidRPr="00F60A3D">
        <w:rPr>
          <w:lang w:val="fr-FR"/>
        </w:rPr>
        <w:t xml:space="preserve"> l</w:t>
      </w:r>
      <w:r w:rsidR="00B17AE1" w:rsidRPr="00F60A3D">
        <w:rPr>
          <w:lang w:val="fr-FR"/>
        </w:rPr>
        <w:t>’</w:t>
      </w:r>
      <w:r w:rsidR="00FE78AB" w:rsidRPr="00F60A3D">
        <w:rPr>
          <w:lang w:val="fr-FR"/>
        </w:rPr>
        <w:t>I</w:t>
      </w:r>
      <w:r w:rsidR="00DA3C64" w:rsidRPr="00F60A3D">
        <w:rPr>
          <w:lang w:val="fr-FR"/>
        </w:rPr>
        <w:t>talie et le Saint</w:t>
      </w:r>
      <w:r w:rsidR="00FE78AB" w:rsidRPr="00F60A3D">
        <w:rPr>
          <w:lang w:val="fr-FR"/>
        </w:rPr>
        <w:t>-Siè</w:t>
      </w:r>
      <w:r w:rsidR="00DA3C64" w:rsidRPr="00F60A3D">
        <w:rPr>
          <w:lang w:val="fr-FR"/>
        </w:rPr>
        <w:t xml:space="preserve">ge </w:t>
      </w:r>
      <w:r w:rsidR="00FE78AB" w:rsidRPr="00F60A3D">
        <w:rPr>
          <w:lang w:val="fr-FR"/>
        </w:rPr>
        <w:t xml:space="preserve">ont actualisé </w:t>
      </w:r>
      <w:r w:rsidR="004538C6" w:rsidRPr="00F60A3D">
        <w:rPr>
          <w:lang w:val="fr-FR"/>
        </w:rPr>
        <w:t xml:space="preserve">en 1984 </w:t>
      </w:r>
      <w:r w:rsidR="00FE78AB" w:rsidRPr="00F60A3D">
        <w:rPr>
          <w:lang w:val="fr-FR"/>
        </w:rPr>
        <w:t>pl</w:t>
      </w:r>
      <w:r w:rsidR="00912AF9" w:rsidRPr="00F60A3D">
        <w:rPr>
          <w:lang w:val="fr-FR"/>
        </w:rPr>
        <w:t>usieurs dispositions du traité</w:t>
      </w:r>
      <w:r w:rsidR="00FE78AB" w:rsidRPr="00F60A3D">
        <w:rPr>
          <w:lang w:val="fr-FR"/>
        </w:rPr>
        <w:t xml:space="preserve"> de 1929</w:t>
      </w:r>
      <w:r w:rsidR="00D26282" w:rsidRPr="00F60A3D">
        <w:rPr>
          <w:lang w:val="fr-FR"/>
        </w:rPr>
        <w:t xml:space="preserve"> – </w:t>
      </w:r>
      <w:r w:rsidR="00B82EB5" w:rsidRPr="00F60A3D">
        <w:rPr>
          <w:lang w:val="fr-FR"/>
        </w:rPr>
        <w:t xml:space="preserve">et ainsi </w:t>
      </w:r>
      <w:r w:rsidR="00D54497" w:rsidRPr="00F60A3D">
        <w:rPr>
          <w:lang w:val="fr-FR"/>
        </w:rPr>
        <w:t xml:space="preserve">mis </w:t>
      </w:r>
      <w:r w:rsidR="00B82EB5" w:rsidRPr="00F60A3D">
        <w:rPr>
          <w:lang w:val="fr-FR"/>
        </w:rPr>
        <w:t xml:space="preserve">également </w:t>
      </w:r>
      <w:r w:rsidR="00D54497" w:rsidRPr="00F60A3D">
        <w:rPr>
          <w:lang w:val="fr-FR"/>
        </w:rPr>
        <w:t>un terme</w:t>
      </w:r>
      <w:r w:rsidR="00FE78AB" w:rsidRPr="00F60A3D">
        <w:rPr>
          <w:lang w:val="fr-FR"/>
        </w:rPr>
        <w:t xml:space="preserve"> au catholicisme romain en tant que religion d</w:t>
      </w:r>
      <w:r w:rsidR="00B17AE1" w:rsidRPr="00F60A3D">
        <w:rPr>
          <w:lang w:val="fr-FR"/>
        </w:rPr>
        <w:t>’</w:t>
      </w:r>
      <w:r w:rsidR="00FE78AB" w:rsidRPr="00F60A3D">
        <w:rPr>
          <w:lang w:val="fr-FR"/>
        </w:rPr>
        <w:t xml:space="preserve">État. </w:t>
      </w:r>
    </w:p>
    <w:p w:rsidR="00FE78AB" w:rsidRPr="00F60A3D" w:rsidRDefault="001D2CCC" w:rsidP="00B17AE1">
      <w:pPr>
        <w:pStyle w:val="SingleTxtG"/>
        <w:rPr>
          <w:lang w:val="fr-FR"/>
        </w:rPr>
      </w:pPr>
      <w:r w:rsidRPr="00F60A3D">
        <w:rPr>
          <w:lang w:val="fr-FR"/>
        </w:rPr>
        <w:t>12.</w:t>
      </w:r>
      <w:r w:rsidRPr="00F60A3D">
        <w:rPr>
          <w:lang w:val="fr-FR"/>
        </w:rPr>
        <w:tab/>
      </w:r>
      <w:r w:rsidR="00FE78AB" w:rsidRPr="00F60A3D">
        <w:rPr>
          <w:lang w:val="fr-FR"/>
        </w:rPr>
        <w:t>Le 2</w:t>
      </w:r>
      <w:r w:rsidR="00B17AE1" w:rsidRPr="00F60A3D">
        <w:rPr>
          <w:lang w:val="fr-FR"/>
        </w:rPr>
        <w:t> </w:t>
      </w:r>
      <w:r w:rsidR="00FE78AB" w:rsidRPr="00F60A3D">
        <w:rPr>
          <w:lang w:val="fr-FR"/>
        </w:rPr>
        <w:t>juin 1946</w:t>
      </w:r>
      <w:r w:rsidR="000E66B9" w:rsidRPr="00F60A3D">
        <w:rPr>
          <w:lang w:val="fr-FR"/>
        </w:rPr>
        <w:t>, une R</w:t>
      </w:r>
      <w:r w:rsidR="00521505" w:rsidRPr="00F60A3D">
        <w:rPr>
          <w:lang w:val="fr-FR"/>
        </w:rPr>
        <w:t xml:space="preserve">épublique démocratique </w:t>
      </w:r>
      <w:r w:rsidR="000E66B9" w:rsidRPr="00F60A3D">
        <w:rPr>
          <w:lang w:val="fr-FR"/>
        </w:rPr>
        <w:t xml:space="preserve">a </w:t>
      </w:r>
      <w:r w:rsidR="00FE78AB" w:rsidRPr="00F60A3D">
        <w:rPr>
          <w:lang w:val="fr-FR"/>
        </w:rPr>
        <w:t>remplac</w:t>
      </w:r>
      <w:r w:rsidR="000E66B9" w:rsidRPr="00F60A3D">
        <w:rPr>
          <w:lang w:val="fr-FR"/>
        </w:rPr>
        <w:t>é la monarchie. La nouvelle C</w:t>
      </w:r>
      <w:r w:rsidR="00AA0F2C" w:rsidRPr="00F60A3D">
        <w:rPr>
          <w:lang w:val="fr-FR"/>
        </w:rPr>
        <w:t>onstitution es</w:t>
      </w:r>
      <w:r w:rsidR="00316D15" w:rsidRPr="00F60A3D">
        <w:rPr>
          <w:lang w:val="fr-FR"/>
        </w:rPr>
        <w:t>t</w:t>
      </w:r>
      <w:r w:rsidR="00FE78AB" w:rsidRPr="00F60A3D">
        <w:rPr>
          <w:lang w:val="fr-FR"/>
        </w:rPr>
        <w:t xml:space="preserve"> l</w:t>
      </w:r>
      <w:r w:rsidR="00B17AE1" w:rsidRPr="00F60A3D">
        <w:rPr>
          <w:lang w:val="fr-FR"/>
        </w:rPr>
        <w:t>’</w:t>
      </w:r>
      <w:r w:rsidR="00FE78AB" w:rsidRPr="00F60A3D">
        <w:rPr>
          <w:lang w:val="fr-FR"/>
        </w:rPr>
        <w:t>expression de la sou</w:t>
      </w:r>
      <w:r w:rsidR="00331D1A" w:rsidRPr="00F60A3D">
        <w:rPr>
          <w:lang w:val="fr-FR"/>
        </w:rPr>
        <w:t>vera</w:t>
      </w:r>
      <w:r w:rsidR="001349C4" w:rsidRPr="00F60A3D">
        <w:rPr>
          <w:lang w:val="fr-FR"/>
        </w:rPr>
        <w:t>ineté populaire (</w:t>
      </w:r>
      <w:r w:rsidR="00731982" w:rsidRPr="00F60A3D">
        <w:rPr>
          <w:lang w:val="fr-FR"/>
        </w:rPr>
        <w:t>art. </w:t>
      </w:r>
      <w:r w:rsidR="00B17AE1" w:rsidRPr="00F60A3D">
        <w:rPr>
          <w:lang w:val="fr-FR"/>
        </w:rPr>
        <w:t>1</w:t>
      </w:r>
      <w:r w:rsidR="00B17AE1" w:rsidRPr="00F60A3D">
        <w:rPr>
          <w:vertAlign w:val="superscript"/>
          <w:lang w:val="fr-FR"/>
        </w:rPr>
        <w:t>er</w:t>
      </w:r>
      <w:r w:rsidR="00FE78AB" w:rsidRPr="00F60A3D">
        <w:rPr>
          <w:lang w:val="fr-FR"/>
        </w:rPr>
        <w:t xml:space="preserve"> de la Loi fondamentale de 1948); </w:t>
      </w:r>
      <w:r w:rsidR="00B17AE1" w:rsidRPr="00F60A3D">
        <w:rPr>
          <w:lang w:val="fr-FR"/>
        </w:rPr>
        <w:t>M. </w:t>
      </w:r>
      <w:r w:rsidR="00EE5383" w:rsidRPr="00F60A3D">
        <w:rPr>
          <w:lang w:val="fr-FR"/>
        </w:rPr>
        <w:t>Alcide</w:t>
      </w:r>
      <w:r w:rsidR="000E66B9" w:rsidRPr="00F60A3D">
        <w:rPr>
          <w:lang w:val="fr-FR"/>
        </w:rPr>
        <w:t xml:space="preserve"> De Gasper</w:t>
      </w:r>
      <w:r w:rsidR="00AA0F2C" w:rsidRPr="00F60A3D">
        <w:rPr>
          <w:lang w:val="fr-FR"/>
        </w:rPr>
        <w:t>i a été</w:t>
      </w:r>
      <w:r w:rsidR="00CE0C8D" w:rsidRPr="00F60A3D">
        <w:rPr>
          <w:lang w:val="fr-FR"/>
        </w:rPr>
        <w:t xml:space="preserve"> le premier c</w:t>
      </w:r>
      <w:r w:rsidR="00C441B0" w:rsidRPr="00F60A3D">
        <w:rPr>
          <w:lang w:val="fr-FR"/>
        </w:rPr>
        <w:t xml:space="preserve">hef du Gouvernement. </w:t>
      </w:r>
    </w:p>
    <w:p w:rsidR="00127067" w:rsidRPr="00F60A3D" w:rsidRDefault="001D2CCC" w:rsidP="00ED79E6">
      <w:pPr>
        <w:pStyle w:val="SingleTxtG"/>
        <w:rPr>
          <w:lang w:val="fr-FR"/>
        </w:rPr>
      </w:pPr>
      <w:r w:rsidRPr="00F60A3D">
        <w:rPr>
          <w:lang w:val="fr-FR"/>
        </w:rPr>
        <w:lastRenderedPageBreak/>
        <w:t>13.</w:t>
      </w:r>
      <w:r w:rsidRPr="00F60A3D">
        <w:rPr>
          <w:lang w:val="fr-FR"/>
        </w:rPr>
        <w:tab/>
      </w:r>
      <w:r w:rsidR="00B82EB5" w:rsidRPr="00F60A3D">
        <w:rPr>
          <w:lang w:val="fr-FR"/>
        </w:rPr>
        <w:t>La L</w:t>
      </w:r>
      <w:r w:rsidR="00C441B0" w:rsidRPr="00F60A3D">
        <w:rPr>
          <w:lang w:val="fr-FR"/>
        </w:rPr>
        <w:t xml:space="preserve">oi fondamentale (1948) </w:t>
      </w:r>
      <w:r w:rsidR="00041F6F" w:rsidRPr="00F60A3D">
        <w:rPr>
          <w:lang w:val="fr-FR"/>
        </w:rPr>
        <w:t>résulte ainsi</w:t>
      </w:r>
      <w:r w:rsidR="008E6EFD" w:rsidRPr="00F60A3D">
        <w:rPr>
          <w:lang w:val="fr-FR"/>
        </w:rPr>
        <w:t xml:space="preserve"> d</w:t>
      </w:r>
      <w:r w:rsidR="00B17AE1" w:rsidRPr="00F60A3D">
        <w:rPr>
          <w:lang w:val="fr-FR"/>
        </w:rPr>
        <w:t>’</w:t>
      </w:r>
      <w:r w:rsidR="008E6EFD" w:rsidRPr="00F60A3D">
        <w:rPr>
          <w:lang w:val="fr-FR"/>
        </w:rPr>
        <w:t>une é</w:t>
      </w:r>
      <w:r w:rsidR="00C441B0" w:rsidRPr="00F60A3D">
        <w:rPr>
          <w:lang w:val="fr-FR"/>
        </w:rPr>
        <w:t xml:space="preserve">volution historique et </w:t>
      </w:r>
      <w:r w:rsidR="005C4E80" w:rsidRPr="00F60A3D">
        <w:rPr>
          <w:lang w:val="fr-FR"/>
        </w:rPr>
        <w:t>la R</w:t>
      </w:r>
      <w:r w:rsidR="008E6EFD" w:rsidRPr="00F60A3D">
        <w:rPr>
          <w:lang w:val="fr-FR"/>
        </w:rPr>
        <w:t>épub</w:t>
      </w:r>
      <w:r w:rsidR="005C4E80" w:rsidRPr="00F60A3D">
        <w:rPr>
          <w:lang w:val="fr-FR"/>
        </w:rPr>
        <w:t>l</w:t>
      </w:r>
      <w:r w:rsidR="00C441B0" w:rsidRPr="00F60A3D">
        <w:rPr>
          <w:lang w:val="fr-FR"/>
        </w:rPr>
        <w:t>ique italienne</w:t>
      </w:r>
      <w:r w:rsidR="001D6ECA" w:rsidRPr="00F60A3D">
        <w:rPr>
          <w:lang w:val="fr-FR"/>
        </w:rPr>
        <w:t>,</w:t>
      </w:r>
      <w:r w:rsidR="00C441B0" w:rsidRPr="00F60A3D">
        <w:rPr>
          <w:lang w:val="fr-FR"/>
        </w:rPr>
        <w:t xml:space="preserve"> fond</w:t>
      </w:r>
      <w:r w:rsidR="008E6EFD" w:rsidRPr="00F60A3D">
        <w:rPr>
          <w:lang w:val="fr-FR"/>
        </w:rPr>
        <w:t>ée en 1946</w:t>
      </w:r>
      <w:r w:rsidR="001D6ECA" w:rsidRPr="00F60A3D">
        <w:rPr>
          <w:lang w:val="fr-FR"/>
        </w:rPr>
        <w:t>,</w:t>
      </w:r>
      <w:r w:rsidR="00C441B0" w:rsidRPr="00F60A3D">
        <w:rPr>
          <w:lang w:val="fr-FR"/>
        </w:rPr>
        <w:t xml:space="preserve"> garantit l</w:t>
      </w:r>
      <w:r w:rsidR="005C4E80" w:rsidRPr="00F60A3D">
        <w:rPr>
          <w:lang w:val="fr-FR"/>
        </w:rPr>
        <w:t>es libertés individuelles et le droit</w:t>
      </w:r>
      <w:r w:rsidR="00C441B0" w:rsidRPr="00F60A3D">
        <w:rPr>
          <w:b/>
          <w:lang w:val="fr-FR"/>
        </w:rPr>
        <w:t xml:space="preserve"> </w:t>
      </w:r>
      <w:r w:rsidR="005C4E80" w:rsidRPr="00F60A3D">
        <w:rPr>
          <w:lang w:val="fr-FR"/>
        </w:rPr>
        <w:t>de se</w:t>
      </w:r>
      <w:r w:rsidR="005C4E80" w:rsidRPr="00F60A3D">
        <w:rPr>
          <w:b/>
          <w:lang w:val="fr-FR"/>
        </w:rPr>
        <w:t xml:space="preserve"> </w:t>
      </w:r>
      <w:r w:rsidR="003259F9" w:rsidRPr="00F60A3D">
        <w:rPr>
          <w:lang w:val="fr-FR"/>
        </w:rPr>
        <w:t xml:space="preserve">défendre </w:t>
      </w:r>
      <w:r w:rsidR="00EE5383" w:rsidRPr="00F60A3D">
        <w:rPr>
          <w:lang w:val="fr-FR"/>
        </w:rPr>
        <w:t>d</w:t>
      </w:r>
      <w:r w:rsidR="005C4E80" w:rsidRPr="00F60A3D">
        <w:rPr>
          <w:lang w:val="fr-FR"/>
        </w:rPr>
        <w:t>es pouvoirs de l</w:t>
      </w:r>
      <w:r w:rsidR="00B17AE1" w:rsidRPr="00F60A3D">
        <w:rPr>
          <w:lang w:val="fr-FR"/>
        </w:rPr>
        <w:t>’</w:t>
      </w:r>
      <w:r w:rsidR="005C4E80" w:rsidRPr="00F60A3D">
        <w:rPr>
          <w:lang w:val="fr-FR"/>
        </w:rPr>
        <w:t>État</w:t>
      </w:r>
      <w:r w:rsidR="000E66B9" w:rsidRPr="00F60A3D">
        <w:rPr>
          <w:lang w:val="fr-FR"/>
        </w:rPr>
        <w:t>,</w:t>
      </w:r>
      <w:r w:rsidR="00731982" w:rsidRPr="00F60A3D">
        <w:rPr>
          <w:lang w:val="fr-FR"/>
        </w:rPr>
        <w:t xml:space="preserve"> </w:t>
      </w:r>
      <w:r w:rsidR="00C26064" w:rsidRPr="00F60A3D">
        <w:rPr>
          <w:lang w:val="fr-FR"/>
        </w:rPr>
        <w:t>notamment grâce à</w:t>
      </w:r>
      <w:r w:rsidR="005C4E80" w:rsidRPr="00F60A3D">
        <w:rPr>
          <w:lang w:val="fr-FR"/>
        </w:rPr>
        <w:t xml:space="preserve"> l</w:t>
      </w:r>
      <w:r w:rsidR="00B17AE1" w:rsidRPr="00F60A3D">
        <w:rPr>
          <w:lang w:val="fr-FR"/>
        </w:rPr>
        <w:t>’</w:t>
      </w:r>
      <w:r w:rsidR="005C4E80" w:rsidRPr="00F60A3D">
        <w:rPr>
          <w:lang w:val="fr-FR"/>
        </w:rPr>
        <w:t>exercice du droit de</w:t>
      </w:r>
      <w:r w:rsidR="00A60026" w:rsidRPr="00F60A3D">
        <w:rPr>
          <w:lang w:val="fr-FR"/>
        </w:rPr>
        <w:t xml:space="preserve"> former un recours (</w:t>
      </w:r>
      <w:r w:rsidR="00731982" w:rsidRPr="00F60A3D">
        <w:rPr>
          <w:lang w:val="fr-FR"/>
        </w:rPr>
        <w:t>art. </w:t>
      </w:r>
      <w:r w:rsidR="006F1128" w:rsidRPr="00F60A3D">
        <w:rPr>
          <w:lang w:val="fr-FR"/>
        </w:rPr>
        <w:t>50),</w:t>
      </w:r>
      <w:r w:rsidR="005C4E80" w:rsidRPr="00F60A3D">
        <w:rPr>
          <w:lang w:val="fr-FR"/>
        </w:rPr>
        <w:t xml:space="preserve"> </w:t>
      </w:r>
      <w:r w:rsidR="00C26064" w:rsidRPr="00F60A3D">
        <w:rPr>
          <w:lang w:val="fr-FR"/>
        </w:rPr>
        <w:t xml:space="preserve">à </w:t>
      </w:r>
      <w:r w:rsidR="005C4E80" w:rsidRPr="00F60A3D">
        <w:rPr>
          <w:lang w:val="fr-FR"/>
        </w:rPr>
        <w:t xml:space="preserve">la possibilité de </w:t>
      </w:r>
      <w:r w:rsidR="00ED79E6" w:rsidRPr="00F60A3D">
        <w:rPr>
          <w:lang w:val="fr-FR"/>
        </w:rPr>
        <w:t>pré</w:t>
      </w:r>
      <w:r w:rsidR="005C4E80" w:rsidRPr="00F60A3D">
        <w:rPr>
          <w:lang w:val="fr-FR"/>
        </w:rPr>
        <w:t xml:space="preserve">senter </w:t>
      </w:r>
      <w:r w:rsidR="00BB1DCD" w:rsidRPr="00F60A3D">
        <w:rPr>
          <w:lang w:val="fr-FR"/>
        </w:rPr>
        <w:t>des</w:t>
      </w:r>
      <w:r w:rsidR="00ED79E6" w:rsidRPr="00F60A3D">
        <w:rPr>
          <w:lang w:val="fr-FR"/>
        </w:rPr>
        <w:t xml:space="preserve"> projet</w:t>
      </w:r>
      <w:r w:rsidR="00BB1DCD" w:rsidRPr="00F60A3D">
        <w:rPr>
          <w:lang w:val="fr-FR"/>
        </w:rPr>
        <w:t>s</w:t>
      </w:r>
      <w:r w:rsidR="00ED79E6" w:rsidRPr="00F60A3D">
        <w:rPr>
          <w:lang w:val="fr-FR"/>
        </w:rPr>
        <w:t xml:space="preserve"> d</w:t>
      </w:r>
      <w:r w:rsidR="005C4E80" w:rsidRPr="00F60A3D">
        <w:rPr>
          <w:lang w:val="fr-FR"/>
        </w:rPr>
        <w:t>e</w:t>
      </w:r>
      <w:r w:rsidR="00ED79E6" w:rsidRPr="00F60A3D">
        <w:rPr>
          <w:lang w:val="fr-FR"/>
        </w:rPr>
        <w:t xml:space="preserve"> </w:t>
      </w:r>
      <w:r w:rsidR="00BF1734" w:rsidRPr="00F60A3D">
        <w:rPr>
          <w:lang w:val="fr-FR"/>
        </w:rPr>
        <w:t>loi (</w:t>
      </w:r>
      <w:r w:rsidR="00731982" w:rsidRPr="00F60A3D">
        <w:rPr>
          <w:lang w:val="fr-FR"/>
        </w:rPr>
        <w:t>art. </w:t>
      </w:r>
      <w:r w:rsidR="001D6ECA" w:rsidRPr="00F60A3D">
        <w:rPr>
          <w:lang w:val="fr-FR"/>
        </w:rPr>
        <w:t>70</w:t>
      </w:r>
      <w:r w:rsidR="00E753FB" w:rsidRPr="00F60A3D">
        <w:rPr>
          <w:lang w:val="fr-FR"/>
        </w:rPr>
        <w:t xml:space="preserve">, </w:t>
      </w:r>
      <w:r w:rsidR="00B17AE1" w:rsidRPr="00F60A3D">
        <w:rPr>
          <w:lang w:val="fr-FR"/>
        </w:rPr>
        <w:t>par. </w:t>
      </w:r>
      <w:r w:rsidR="001D6ECA" w:rsidRPr="00F60A3D">
        <w:rPr>
          <w:lang w:val="fr-FR"/>
        </w:rPr>
        <w:t>1</w:t>
      </w:r>
      <w:r w:rsidR="00E753FB" w:rsidRPr="00F60A3D">
        <w:rPr>
          <w:lang w:val="fr-FR"/>
        </w:rPr>
        <w:t>,</w:t>
      </w:r>
      <w:r w:rsidR="001D6ECA" w:rsidRPr="00F60A3D">
        <w:rPr>
          <w:lang w:val="fr-FR"/>
        </w:rPr>
        <w:t xml:space="preserve"> et 71</w:t>
      </w:r>
      <w:r w:rsidR="00E753FB" w:rsidRPr="00F60A3D">
        <w:rPr>
          <w:lang w:val="fr-FR"/>
        </w:rPr>
        <w:t xml:space="preserve">, </w:t>
      </w:r>
      <w:r w:rsidR="00B17AE1" w:rsidRPr="00F60A3D">
        <w:rPr>
          <w:lang w:val="fr-FR"/>
        </w:rPr>
        <w:t>par. </w:t>
      </w:r>
      <w:r w:rsidR="005C4E80" w:rsidRPr="00F60A3D">
        <w:rPr>
          <w:lang w:val="fr-FR"/>
        </w:rPr>
        <w:t>2</w:t>
      </w:r>
      <w:r w:rsidR="00521505" w:rsidRPr="00F60A3D">
        <w:rPr>
          <w:lang w:val="fr-FR"/>
        </w:rPr>
        <w:t>)</w:t>
      </w:r>
      <w:r w:rsidR="006F1128" w:rsidRPr="00F60A3D">
        <w:rPr>
          <w:lang w:val="fr-FR"/>
        </w:rPr>
        <w:t>,</w:t>
      </w:r>
      <w:r w:rsidR="00C26064" w:rsidRPr="00F60A3D">
        <w:rPr>
          <w:lang w:val="fr-FR"/>
        </w:rPr>
        <w:t xml:space="preserve"> au</w:t>
      </w:r>
      <w:r w:rsidR="005C4E80" w:rsidRPr="00F60A3D">
        <w:rPr>
          <w:lang w:val="fr-FR"/>
        </w:rPr>
        <w:t xml:space="preserve"> rôle spécifique, entre autres, de la</w:t>
      </w:r>
      <w:r w:rsidR="00BF1734" w:rsidRPr="00F60A3D">
        <w:rPr>
          <w:lang w:val="fr-FR"/>
        </w:rPr>
        <w:t xml:space="preserve"> Cour constitutionnelle (</w:t>
      </w:r>
      <w:r w:rsidR="00731982" w:rsidRPr="00F60A3D">
        <w:rPr>
          <w:lang w:val="fr-FR"/>
        </w:rPr>
        <w:t>art. </w:t>
      </w:r>
      <w:r w:rsidR="005C4E80" w:rsidRPr="00F60A3D">
        <w:rPr>
          <w:lang w:val="fr-FR"/>
        </w:rPr>
        <w:t xml:space="preserve">134 et </w:t>
      </w:r>
      <w:proofErr w:type="spellStart"/>
      <w:r w:rsidR="0032758D">
        <w:rPr>
          <w:lang w:val="fr-FR"/>
        </w:rPr>
        <w:t>suiv</w:t>
      </w:r>
      <w:proofErr w:type="spellEnd"/>
      <w:r w:rsidR="0032758D">
        <w:rPr>
          <w:lang w:val="fr-FR"/>
        </w:rPr>
        <w:t>.</w:t>
      </w:r>
      <w:r w:rsidR="006F1128" w:rsidRPr="00F60A3D">
        <w:rPr>
          <w:lang w:val="fr-FR"/>
        </w:rPr>
        <w:t xml:space="preserve">) </w:t>
      </w:r>
      <w:r w:rsidR="00C26064" w:rsidRPr="00F60A3D">
        <w:rPr>
          <w:lang w:val="fr-FR"/>
        </w:rPr>
        <w:t>et au</w:t>
      </w:r>
      <w:r w:rsidR="00ED79E6" w:rsidRPr="00F60A3D">
        <w:rPr>
          <w:lang w:val="fr-FR"/>
        </w:rPr>
        <w:t xml:space="preserve"> droit de demander </w:t>
      </w:r>
      <w:r w:rsidR="008E6EFD" w:rsidRPr="00F60A3D">
        <w:rPr>
          <w:lang w:val="fr-FR"/>
        </w:rPr>
        <w:t>l</w:t>
      </w:r>
      <w:r w:rsidR="00B17AE1" w:rsidRPr="00F60A3D">
        <w:rPr>
          <w:lang w:val="fr-FR"/>
        </w:rPr>
        <w:t>’</w:t>
      </w:r>
      <w:r w:rsidR="008E6EFD" w:rsidRPr="00F60A3D">
        <w:rPr>
          <w:lang w:val="fr-FR"/>
        </w:rPr>
        <w:t>organisation d</w:t>
      </w:r>
      <w:r w:rsidR="00B17AE1" w:rsidRPr="00F60A3D">
        <w:rPr>
          <w:lang w:val="fr-FR"/>
        </w:rPr>
        <w:t>’</w:t>
      </w:r>
      <w:r w:rsidR="00ED79E6" w:rsidRPr="00F60A3D">
        <w:rPr>
          <w:lang w:val="fr-FR"/>
        </w:rPr>
        <w:t>un référendum</w:t>
      </w:r>
      <w:r w:rsidR="00CC00EB" w:rsidRPr="00F60A3D">
        <w:rPr>
          <w:rStyle w:val="FootnoteReference"/>
          <w:lang w:val="fr-FR"/>
        </w:rPr>
        <w:footnoteReference w:id="8"/>
      </w:r>
      <w:r w:rsidR="00A60026" w:rsidRPr="00F60A3D">
        <w:rPr>
          <w:lang w:val="fr-FR"/>
        </w:rPr>
        <w:t>.</w:t>
      </w:r>
      <w:r w:rsidR="00127067" w:rsidRPr="00F60A3D">
        <w:rPr>
          <w:lang w:val="fr-FR"/>
        </w:rPr>
        <w:t xml:space="preserve"> </w:t>
      </w:r>
    </w:p>
    <w:p w:rsidR="001E76F8" w:rsidRPr="00F60A3D" w:rsidRDefault="009D4758" w:rsidP="00B17AE1">
      <w:pPr>
        <w:pStyle w:val="SingleTxtG"/>
        <w:rPr>
          <w:lang w:val="fr-FR"/>
        </w:rPr>
      </w:pPr>
      <w:r w:rsidRPr="00F60A3D">
        <w:rPr>
          <w:lang w:val="fr-FR"/>
        </w:rPr>
        <w:t>14.</w:t>
      </w:r>
      <w:r w:rsidR="00B17AE1" w:rsidRPr="00F60A3D">
        <w:rPr>
          <w:lang w:val="fr-FR"/>
        </w:rPr>
        <w:tab/>
      </w:r>
      <w:r w:rsidR="001E76F8" w:rsidRPr="00F60A3D">
        <w:rPr>
          <w:lang w:val="fr-FR"/>
        </w:rPr>
        <w:t>La Constitution pr</w:t>
      </w:r>
      <w:r w:rsidR="007450FA" w:rsidRPr="00F60A3D">
        <w:rPr>
          <w:lang w:val="fr-FR"/>
        </w:rPr>
        <w:t>évoit plusieurs</w:t>
      </w:r>
      <w:r w:rsidR="00FC4E6C" w:rsidRPr="00F60A3D">
        <w:rPr>
          <w:lang w:val="fr-FR"/>
        </w:rPr>
        <w:t xml:space="preserve"> </w:t>
      </w:r>
      <w:r w:rsidR="007450FA" w:rsidRPr="00F60A3D">
        <w:rPr>
          <w:lang w:val="fr-FR"/>
        </w:rPr>
        <w:t xml:space="preserve">formes </w:t>
      </w:r>
      <w:r w:rsidR="008E6EFD" w:rsidRPr="00F60A3D">
        <w:rPr>
          <w:lang w:val="fr-FR"/>
        </w:rPr>
        <w:t>de référendum: le réfé</w:t>
      </w:r>
      <w:r w:rsidR="001E76F8" w:rsidRPr="00F60A3D">
        <w:rPr>
          <w:lang w:val="fr-FR"/>
        </w:rPr>
        <w:t xml:space="preserve">rendum visant à abroger des lois ou des textes ayant force de loi </w:t>
      </w:r>
      <w:r w:rsidR="00BF1734" w:rsidRPr="00F60A3D">
        <w:rPr>
          <w:lang w:val="fr-FR"/>
        </w:rPr>
        <w:t>(</w:t>
      </w:r>
      <w:r w:rsidR="00731982" w:rsidRPr="00F60A3D">
        <w:rPr>
          <w:lang w:val="fr-FR"/>
        </w:rPr>
        <w:t>art. </w:t>
      </w:r>
      <w:r w:rsidR="006F1128" w:rsidRPr="00F60A3D">
        <w:rPr>
          <w:lang w:val="fr-FR"/>
        </w:rPr>
        <w:t>75);</w:t>
      </w:r>
      <w:r w:rsidR="008E6EFD" w:rsidRPr="00F60A3D">
        <w:rPr>
          <w:lang w:val="fr-FR"/>
        </w:rPr>
        <w:t xml:space="preserve"> le réfé</w:t>
      </w:r>
      <w:r w:rsidR="001E76F8" w:rsidRPr="00F60A3D">
        <w:rPr>
          <w:lang w:val="fr-FR"/>
        </w:rPr>
        <w:t>rendum portant su</w:t>
      </w:r>
      <w:r w:rsidR="00BB38E3" w:rsidRPr="00F60A3D">
        <w:rPr>
          <w:lang w:val="fr-FR"/>
        </w:rPr>
        <w:t xml:space="preserve">r une loi constitutionnelle et </w:t>
      </w:r>
      <w:r w:rsidR="00341288" w:rsidRPr="00F60A3D">
        <w:rPr>
          <w:lang w:val="fr-FR"/>
        </w:rPr>
        <w:t xml:space="preserve">sur </w:t>
      </w:r>
      <w:r w:rsidR="00BB38E3" w:rsidRPr="00F60A3D">
        <w:rPr>
          <w:lang w:val="fr-FR"/>
        </w:rPr>
        <w:t>les modifications de la Constitution</w:t>
      </w:r>
      <w:r w:rsidR="00BF1734" w:rsidRPr="00F60A3D">
        <w:rPr>
          <w:lang w:val="fr-FR"/>
        </w:rPr>
        <w:t xml:space="preserve"> (</w:t>
      </w:r>
      <w:r w:rsidR="00731982" w:rsidRPr="00F60A3D">
        <w:rPr>
          <w:lang w:val="fr-FR"/>
        </w:rPr>
        <w:t>art. </w:t>
      </w:r>
      <w:r w:rsidR="006F1128" w:rsidRPr="00F60A3D">
        <w:rPr>
          <w:lang w:val="fr-FR"/>
        </w:rPr>
        <w:t>138);</w:t>
      </w:r>
      <w:r w:rsidR="001E76F8" w:rsidRPr="00F60A3D">
        <w:rPr>
          <w:lang w:val="fr-FR"/>
        </w:rPr>
        <w:t xml:space="preserve"> le référendum co</w:t>
      </w:r>
      <w:r w:rsidR="008E6EFD" w:rsidRPr="00F60A3D">
        <w:rPr>
          <w:lang w:val="fr-FR"/>
        </w:rPr>
        <w:t>ncernant une fusion entre des régions existantes ou la création de nouv</w:t>
      </w:r>
      <w:r w:rsidR="00BF1734" w:rsidRPr="00F60A3D">
        <w:rPr>
          <w:lang w:val="fr-FR"/>
        </w:rPr>
        <w:t>elles régions (</w:t>
      </w:r>
      <w:r w:rsidR="00731982" w:rsidRPr="00F60A3D">
        <w:rPr>
          <w:lang w:val="fr-FR"/>
        </w:rPr>
        <w:t>art. </w:t>
      </w:r>
      <w:r w:rsidR="001D6ECA" w:rsidRPr="00F60A3D">
        <w:rPr>
          <w:lang w:val="fr-FR"/>
        </w:rPr>
        <w:t>132</w:t>
      </w:r>
      <w:r w:rsidR="00E753FB" w:rsidRPr="00F60A3D">
        <w:rPr>
          <w:lang w:val="fr-FR"/>
        </w:rPr>
        <w:t xml:space="preserve">, </w:t>
      </w:r>
      <w:r w:rsidR="00B17AE1" w:rsidRPr="00F60A3D">
        <w:rPr>
          <w:lang w:val="fr-FR"/>
        </w:rPr>
        <w:t>par. </w:t>
      </w:r>
      <w:r w:rsidR="008F1B12" w:rsidRPr="00F60A3D">
        <w:rPr>
          <w:lang w:val="fr-FR"/>
        </w:rPr>
        <w:t>1) et</w:t>
      </w:r>
      <w:r w:rsidR="008E6EFD" w:rsidRPr="00F60A3D">
        <w:rPr>
          <w:lang w:val="fr-FR"/>
        </w:rPr>
        <w:t xml:space="preserve"> le réfé</w:t>
      </w:r>
      <w:r w:rsidR="001E76F8" w:rsidRPr="00F60A3D">
        <w:rPr>
          <w:lang w:val="fr-FR"/>
        </w:rPr>
        <w:t>rendum portant sur le passage de provin</w:t>
      </w:r>
      <w:r w:rsidR="00E212F3" w:rsidRPr="00F60A3D">
        <w:rPr>
          <w:lang w:val="fr-FR"/>
        </w:rPr>
        <w:t>ces ou de commune</w:t>
      </w:r>
      <w:r w:rsidR="008E6EFD" w:rsidRPr="00F60A3D">
        <w:rPr>
          <w:lang w:val="fr-FR"/>
        </w:rPr>
        <w:t>s d</w:t>
      </w:r>
      <w:r w:rsidR="00B17AE1" w:rsidRPr="00F60A3D">
        <w:rPr>
          <w:lang w:val="fr-FR"/>
        </w:rPr>
        <w:t>’</w:t>
      </w:r>
      <w:r w:rsidR="008E6EFD" w:rsidRPr="00F60A3D">
        <w:rPr>
          <w:lang w:val="fr-FR"/>
        </w:rPr>
        <w:t>une ré</w:t>
      </w:r>
      <w:r w:rsidR="001E76F8" w:rsidRPr="00F60A3D">
        <w:rPr>
          <w:lang w:val="fr-FR"/>
        </w:rPr>
        <w:t>gion à une autre (</w:t>
      </w:r>
      <w:r w:rsidR="00731982" w:rsidRPr="00F60A3D">
        <w:rPr>
          <w:lang w:val="fr-FR"/>
        </w:rPr>
        <w:t>art. </w:t>
      </w:r>
      <w:r w:rsidR="001D6ECA" w:rsidRPr="00F60A3D">
        <w:rPr>
          <w:lang w:val="fr-FR"/>
        </w:rPr>
        <w:t>132</w:t>
      </w:r>
      <w:r w:rsidR="00E753FB" w:rsidRPr="00F60A3D">
        <w:rPr>
          <w:lang w:val="fr-FR"/>
        </w:rPr>
        <w:t xml:space="preserve">, </w:t>
      </w:r>
      <w:r w:rsidR="00B17AE1" w:rsidRPr="00F60A3D">
        <w:rPr>
          <w:lang w:val="fr-FR"/>
        </w:rPr>
        <w:t>par. </w:t>
      </w:r>
      <w:r w:rsidR="001E76F8" w:rsidRPr="00F60A3D">
        <w:rPr>
          <w:lang w:val="fr-FR"/>
        </w:rPr>
        <w:t xml:space="preserve">2). </w:t>
      </w:r>
      <w:r w:rsidR="00F223D3" w:rsidRPr="00F60A3D">
        <w:rPr>
          <w:lang w:val="fr-FR"/>
        </w:rPr>
        <w:t>Des sources infraconstitutionnelle</w:t>
      </w:r>
      <w:r w:rsidR="006F1128" w:rsidRPr="00F60A3D">
        <w:rPr>
          <w:lang w:val="fr-FR"/>
        </w:rPr>
        <w:t xml:space="preserve">s </w:t>
      </w:r>
      <w:r w:rsidR="000B4582" w:rsidRPr="00F60A3D">
        <w:rPr>
          <w:lang w:val="fr-FR"/>
        </w:rPr>
        <w:t>prévoient d</w:t>
      </w:r>
      <w:r w:rsidR="00B17AE1" w:rsidRPr="00F60A3D">
        <w:rPr>
          <w:lang w:val="fr-FR"/>
        </w:rPr>
        <w:t>’</w:t>
      </w:r>
      <w:r w:rsidR="000B4582" w:rsidRPr="00F60A3D">
        <w:rPr>
          <w:lang w:val="fr-FR"/>
        </w:rPr>
        <w:t>autres formes de réfé</w:t>
      </w:r>
      <w:r w:rsidR="00F223D3" w:rsidRPr="00F60A3D">
        <w:rPr>
          <w:lang w:val="fr-FR"/>
        </w:rPr>
        <w:t>rendum au</w:t>
      </w:r>
      <w:r w:rsidR="000B4582" w:rsidRPr="00F60A3D">
        <w:rPr>
          <w:lang w:val="fr-FR"/>
        </w:rPr>
        <w:t>x</w:t>
      </w:r>
      <w:r w:rsidR="00F223D3" w:rsidRPr="00F60A3D">
        <w:rPr>
          <w:lang w:val="fr-FR"/>
        </w:rPr>
        <w:t xml:space="preserve"> niveaux municipaux et provinciaux. </w:t>
      </w:r>
    </w:p>
    <w:p w:rsidR="00F223D3" w:rsidRPr="00F60A3D" w:rsidRDefault="00280053" w:rsidP="001D2CCC">
      <w:pPr>
        <w:pStyle w:val="SingleTxtG"/>
        <w:rPr>
          <w:lang w:val="fr-FR"/>
        </w:rPr>
      </w:pPr>
      <w:r w:rsidRPr="00F60A3D">
        <w:rPr>
          <w:lang w:val="fr-FR"/>
        </w:rPr>
        <w:t>15</w:t>
      </w:r>
      <w:r w:rsidR="001D2CCC" w:rsidRPr="00F60A3D">
        <w:rPr>
          <w:lang w:val="fr-FR"/>
        </w:rPr>
        <w:t>.</w:t>
      </w:r>
      <w:r w:rsidR="001D2CCC" w:rsidRPr="00F60A3D">
        <w:rPr>
          <w:lang w:val="fr-FR"/>
        </w:rPr>
        <w:tab/>
      </w:r>
      <w:r w:rsidR="00801E9A" w:rsidRPr="00F60A3D">
        <w:rPr>
          <w:lang w:val="fr-FR"/>
        </w:rPr>
        <w:t>Par ailleurs, l</w:t>
      </w:r>
      <w:r w:rsidR="00B17AE1" w:rsidRPr="00F60A3D">
        <w:rPr>
          <w:lang w:val="fr-FR"/>
        </w:rPr>
        <w:t>’</w:t>
      </w:r>
      <w:r w:rsidR="00F223D3" w:rsidRPr="00F60A3D">
        <w:rPr>
          <w:lang w:val="fr-FR"/>
        </w:rPr>
        <w:t xml:space="preserve">actuelle </w:t>
      </w:r>
      <w:r w:rsidR="00127067" w:rsidRPr="00F60A3D">
        <w:rPr>
          <w:lang w:val="fr-FR"/>
        </w:rPr>
        <w:t xml:space="preserve">Constitution </w:t>
      </w:r>
      <w:r w:rsidR="00801E9A" w:rsidRPr="00F60A3D">
        <w:rPr>
          <w:lang w:val="fr-FR"/>
        </w:rPr>
        <w:t xml:space="preserve">ne peut </w:t>
      </w:r>
      <w:r w:rsidR="00F223D3" w:rsidRPr="00F60A3D">
        <w:rPr>
          <w:lang w:val="fr-FR"/>
        </w:rPr>
        <w:t xml:space="preserve">être modifiée que par une procédure </w:t>
      </w:r>
      <w:r w:rsidR="008626BC" w:rsidRPr="00F60A3D">
        <w:rPr>
          <w:lang w:val="fr-FR"/>
        </w:rPr>
        <w:t xml:space="preserve">spéciale </w:t>
      </w:r>
      <w:r w:rsidR="00AC547E" w:rsidRPr="00F60A3D">
        <w:rPr>
          <w:lang w:val="fr-FR"/>
        </w:rPr>
        <w:t xml:space="preserve">dite </w:t>
      </w:r>
      <w:r w:rsidR="00731982" w:rsidRPr="00F60A3D">
        <w:rPr>
          <w:lang w:val="fr-FR"/>
        </w:rPr>
        <w:t>«</w:t>
      </w:r>
      <w:r w:rsidR="00491C67" w:rsidRPr="00F60A3D">
        <w:rPr>
          <w:lang w:val="fr-FR"/>
        </w:rPr>
        <w:t>renforc</w:t>
      </w:r>
      <w:r w:rsidR="00BF1734" w:rsidRPr="00F60A3D">
        <w:rPr>
          <w:lang w:val="fr-FR"/>
        </w:rPr>
        <w:t>ée</w:t>
      </w:r>
      <w:r w:rsidR="00731982" w:rsidRPr="00F60A3D">
        <w:rPr>
          <w:lang w:val="fr-FR"/>
        </w:rPr>
        <w:t>»</w:t>
      </w:r>
      <w:r w:rsidR="00F223D3" w:rsidRPr="00F60A3D">
        <w:rPr>
          <w:lang w:val="fr-FR"/>
        </w:rPr>
        <w:t>, mentionnée</w:t>
      </w:r>
      <w:r w:rsidR="00BF1734" w:rsidRPr="00F60A3D">
        <w:rPr>
          <w:lang w:val="fr-FR"/>
        </w:rPr>
        <w:t xml:space="preserve"> à l</w:t>
      </w:r>
      <w:r w:rsidR="00B17AE1" w:rsidRPr="00F60A3D">
        <w:rPr>
          <w:lang w:val="fr-FR"/>
        </w:rPr>
        <w:t>’</w:t>
      </w:r>
      <w:r w:rsidR="00D26282" w:rsidRPr="00F60A3D">
        <w:rPr>
          <w:lang w:val="fr-FR"/>
        </w:rPr>
        <w:t>article </w:t>
      </w:r>
      <w:r w:rsidR="00BF1734" w:rsidRPr="00F60A3D">
        <w:rPr>
          <w:lang w:val="fr-FR"/>
        </w:rPr>
        <w:t xml:space="preserve">138, et intitulée </w:t>
      </w:r>
      <w:r w:rsidR="00731982" w:rsidRPr="00F60A3D">
        <w:rPr>
          <w:lang w:val="fr-FR"/>
        </w:rPr>
        <w:t>«</w:t>
      </w:r>
      <w:r w:rsidR="008626BC" w:rsidRPr="00F60A3D">
        <w:rPr>
          <w:lang w:val="fr-FR"/>
        </w:rPr>
        <w:t>P</w:t>
      </w:r>
      <w:r w:rsidR="0004395D" w:rsidRPr="00F60A3D">
        <w:rPr>
          <w:lang w:val="fr-FR"/>
        </w:rPr>
        <w:t>rocédure de révision c</w:t>
      </w:r>
      <w:r w:rsidR="00BB38E3" w:rsidRPr="00F60A3D">
        <w:rPr>
          <w:lang w:val="fr-FR"/>
        </w:rPr>
        <w:t>onstitution</w:t>
      </w:r>
      <w:r w:rsidR="0004395D" w:rsidRPr="00F60A3D">
        <w:rPr>
          <w:lang w:val="fr-FR"/>
        </w:rPr>
        <w:t>nelle</w:t>
      </w:r>
      <w:r w:rsidR="00731982" w:rsidRPr="00F60A3D">
        <w:rPr>
          <w:lang w:val="fr-FR"/>
        </w:rPr>
        <w:t>»</w:t>
      </w:r>
      <w:r w:rsidR="00F223D3" w:rsidRPr="00F60A3D">
        <w:rPr>
          <w:lang w:val="fr-FR"/>
        </w:rPr>
        <w:t xml:space="preserve">: </w:t>
      </w:r>
      <w:r w:rsidR="00731982" w:rsidRPr="00F60A3D">
        <w:rPr>
          <w:lang w:val="fr-FR"/>
        </w:rPr>
        <w:t>«</w:t>
      </w:r>
      <w:r w:rsidR="0004395D" w:rsidRPr="00F60A3D">
        <w:rPr>
          <w:lang w:val="fr-FR"/>
        </w:rPr>
        <w:t>Les lois de révision</w:t>
      </w:r>
      <w:r w:rsidR="00BB38E3" w:rsidRPr="00F60A3D">
        <w:rPr>
          <w:lang w:val="fr-FR"/>
        </w:rPr>
        <w:t xml:space="preserve"> de la Constitution et l</w:t>
      </w:r>
      <w:r w:rsidR="00CF2A34" w:rsidRPr="00F60A3D">
        <w:rPr>
          <w:lang w:val="fr-FR"/>
        </w:rPr>
        <w:t>es autres loi</w:t>
      </w:r>
      <w:r w:rsidR="00F223D3" w:rsidRPr="00F60A3D">
        <w:rPr>
          <w:lang w:val="fr-FR"/>
        </w:rPr>
        <w:t>s constitutionnel</w:t>
      </w:r>
      <w:r w:rsidR="00CF2A34" w:rsidRPr="00F60A3D">
        <w:rPr>
          <w:lang w:val="fr-FR"/>
        </w:rPr>
        <w:t>le</w:t>
      </w:r>
      <w:r w:rsidR="00F223D3" w:rsidRPr="00F60A3D">
        <w:rPr>
          <w:lang w:val="fr-FR"/>
        </w:rPr>
        <w:t>s sont</w:t>
      </w:r>
      <w:r w:rsidR="00BB38E3" w:rsidRPr="00F60A3D">
        <w:rPr>
          <w:lang w:val="fr-FR"/>
        </w:rPr>
        <w:t xml:space="preserve"> adopté</w:t>
      </w:r>
      <w:r w:rsidR="00CF2A34" w:rsidRPr="00F60A3D">
        <w:rPr>
          <w:lang w:val="fr-FR"/>
        </w:rPr>
        <w:t>es par chaque chambre au moyen de deux délibérations successives dans un délai de</w:t>
      </w:r>
      <w:r w:rsidR="00684C7C" w:rsidRPr="00F60A3D">
        <w:rPr>
          <w:lang w:val="fr-FR"/>
        </w:rPr>
        <w:t xml:space="preserve"> trois mois</w:t>
      </w:r>
      <w:r w:rsidR="00CF2A34" w:rsidRPr="00F60A3D">
        <w:rPr>
          <w:lang w:val="fr-FR"/>
        </w:rPr>
        <w:t xml:space="preserve"> au moins</w:t>
      </w:r>
      <w:r w:rsidR="00731982" w:rsidRPr="00F60A3D">
        <w:rPr>
          <w:lang w:val="fr-FR"/>
        </w:rPr>
        <w:t>;</w:t>
      </w:r>
      <w:r w:rsidR="00684C7C" w:rsidRPr="00F60A3D">
        <w:rPr>
          <w:lang w:val="fr-FR"/>
        </w:rPr>
        <w:t xml:space="preserve"> </w:t>
      </w:r>
      <w:r w:rsidR="008626BC" w:rsidRPr="00F60A3D">
        <w:rPr>
          <w:lang w:val="fr-FR"/>
        </w:rPr>
        <w:t xml:space="preserve">elles </w:t>
      </w:r>
      <w:r w:rsidR="00C3558D" w:rsidRPr="00F60A3D">
        <w:rPr>
          <w:lang w:val="fr-FR"/>
        </w:rPr>
        <w:t>sont approuvées,</w:t>
      </w:r>
      <w:r w:rsidR="00684C7C" w:rsidRPr="00F60A3D">
        <w:rPr>
          <w:lang w:val="fr-FR"/>
        </w:rPr>
        <w:t xml:space="preserve"> </w:t>
      </w:r>
      <w:r w:rsidR="00C3558D" w:rsidRPr="00F60A3D">
        <w:rPr>
          <w:lang w:val="fr-FR"/>
        </w:rPr>
        <w:t>au second tour de scrutin, à la</w:t>
      </w:r>
      <w:r w:rsidR="008626BC" w:rsidRPr="00F60A3D">
        <w:rPr>
          <w:lang w:val="fr-FR"/>
        </w:rPr>
        <w:t xml:space="preserve"> </w:t>
      </w:r>
      <w:r w:rsidR="00684C7C" w:rsidRPr="00F60A3D">
        <w:rPr>
          <w:lang w:val="fr-FR"/>
        </w:rPr>
        <w:t xml:space="preserve">majorité </w:t>
      </w:r>
      <w:r w:rsidR="00C3558D" w:rsidRPr="00F60A3D">
        <w:rPr>
          <w:lang w:val="fr-FR"/>
        </w:rPr>
        <w:t xml:space="preserve">absolue </w:t>
      </w:r>
      <w:r w:rsidR="00684C7C" w:rsidRPr="00F60A3D">
        <w:rPr>
          <w:lang w:val="fr-FR"/>
        </w:rPr>
        <w:t xml:space="preserve">des membres de chaque </w:t>
      </w:r>
      <w:r w:rsidR="00CF2A34" w:rsidRPr="00F60A3D">
        <w:rPr>
          <w:lang w:val="fr-FR"/>
        </w:rPr>
        <w:t>c</w:t>
      </w:r>
      <w:r w:rsidR="008626BC" w:rsidRPr="00F60A3D">
        <w:rPr>
          <w:lang w:val="fr-FR"/>
        </w:rPr>
        <w:t>hambre</w:t>
      </w:r>
      <w:r w:rsidR="00C3558D" w:rsidRPr="00F60A3D">
        <w:rPr>
          <w:lang w:val="fr-FR"/>
        </w:rPr>
        <w:t>. Ces lois sont</w:t>
      </w:r>
      <w:r w:rsidR="00684C7C" w:rsidRPr="00F60A3D">
        <w:rPr>
          <w:lang w:val="fr-FR"/>
        </w:rPr>
        <w:t xml:space="preserve"> soumises à un ré</w:t>
      </w:r>
      <w:r w:rsidR="008626BC" w:rsidRPr="00F60A3D">
        <w:rPr>
          <w:lang w:val="fr-FR"/>
        </w:rPr>
        <w:t>fé</w:t>
      </w:r>
      <w:r w:rsidR="00684C7C" w:rsidRPr="00F60A3D">
        <w:rPr>
          <w:lang w:val="fr-FR"/>
        </w:rPr>
        <w:t>rendum populaire si, dans les trois m</w:t>
      </w:r>
      <w:r w:rsidR="00C3558D" w:rsidRPr="00F60A3D">
        <w:rPr>
          <w:lang w:val="fr-FR"/>
        </w:rPr>
        <w:t xml:space="preserve">ois de leur publication, </w:t>
      </w:r>
      <w:r w:rsidR="00684C7C" w:rsidRPr="00F60A3D">
        <w:rPr>
          <w:lang w:val="fr-FR"/>
        </w:rPr>
        <w:t>un cinq</w:t>
      </w:r>
      <w:r w:rsidR="008626BC" w:rsidRPr="00F60A3D">
        <w:rPr>
          <w:lang w:val="fr-FR"/>
        </w:rPr>
        <w:t>uième de</w:t>
      </w:r>
      <w:r w:rsidR="00153FA0" w:rsidRPr="00F60A3D">
        <w:rPr>
          <w:lang w:val="fr-FR"/>
        </w:rPr>
        <w:t>s membres de chaque c</w:t>
      </w:r>
      <w:r w:rsidR="008626BC" w:rsidRPr="00F60A3D">
        <w:rPr>
          <w:lang w:val="fr-FR"/>
        </w:rPr>
        <w:t>ha</w:t>
      </w:r>
      <w:r w:rsidR="00B17AE1" w:rsidRPr="00F60A3D">
        <w:rPr>
          <w:lang w:val="fr-FR"/>
        </w:rPr>
        <w:t>mbre, ou 500 000 </w:t>
      </w:r>
      <w:r w:rsidR="00C3558D" w:rsidRPr="00F60A3D">
        <w:rPr>
          <w:lang w:val="fr-FR"/>
        </w:rPr>
        <w:t>électeurs, ou</w:t>
      </w:r>
      <w:r w:rsidR="00684C7C" w:rsidRPr="00F60A3D">
        <w:rPr>
          <w:lang w:val="fr-FR"/>
        </w:rPr>
        <w:t xml:space="preserve"> cinq conseils régionaux</w:t>
      </w:r>
      <w:r w:rsidR="00C3558D" w:rsidRPr="00F60A3D">
        <w:rPr>
          <w:lang w:val="fr-FR"/>
        </w:rPr>
        <w:t>, en font la demande</w:t>
      </w:r>
      <w:r w:rsidR="00684C7C" w:rsidRPr="00F60A3D">
        <w:rPr>
          <w:lang w:val="fr-FR"/>
        </w:rPr>
        <w:t xml:space="preserve">. La loi soumise à </w:t>
      </w:r>
      <w:r w:rsidR="008626BC" w:rsidRPr="00F60A3D">
        <w:rPr>
          <w:lang w:val="fr-FR"/>
        </w:rPr>
        <w:t>réfé</w:t>
      </w:r>
      <w:r w:rsidR="00684C7C" w:rsidRPr="00F60A3D">
        <w:rPr>
          <w:lang w:val="fr-FR"/>
        </w:rPr>
        <w:t>rendum n</w:t>
      </w:r>
      <w:r w:rsidR="00B17AE1" w:rsidRPr="00F60A3D">
        <w:rPr>
          <w:lang w:val="fr-FR"/>
        </w:rPr>
        <w:t>’</w:t>
      </w:r>
      <w:r w:rsidR="00684C7C" w:rsidRPr="00F60A3D">
        <w:rPr>
          <w:lang w:val="fr-FR"/>
        </w:rPr>
        <w:t>est pas promulguée si elle ne recueille pas la maj</w:t>
      </w:r>
      <w:r w:rsidR="000B4582" w:rsidRPr="00F60A3D">
        <w:rPr>
          <w:lang w:val="fr-FR"/>
        </w:rPr>
        <w:t>o</w:t>
      </w:r>
      <w:r w:rsidR="00684C7C" w:rsidRPr="00F60A3D">
        <w:rPr>
          <w:lang w:val="fr-FR"/>
        </w:rPr>
        <w:t>rit</w:t>
      </w:r>
      <w:r w:rsidR="00C3558D" w:rsidRPr="00F60A3D">
        <w:rPr>
          <w:lang w:val="fr-FR"/>
        </w:rPr>
        <w:t>é des suffrages valablement exprimés. Il n</w:t>
      </w:r>
      <w:r w:rsidR="00B17AE1" w:rsidRPr="00F60A3D">
        <w:rPr>
          <w:lang w:val="fr-FR"/>
        </w:rPr>
        <w:t>’</w:t>
      </w:r>
      <w:r w:rsidR="00C3558D" w:rsidRPr="00F60A3D">
        <w:rPr>
          <w:lang w:val="fr-FR"/>
        </w:rPr>
        <w:t>y a pas lieu de procéder à un</w:t>
      </w:r>
      <w:r w:rsidR="008626BC" w:rsidRPr="00F60A3D">
        <w:rPr>
          <w:lang w:val="fr-FR"/>
        </w:rPr>
        <w:t xml:space="preserve"> </w:t>
      </w:r>
      <w:r w:rsidR="00C3558D" w:rsidRPr="00F60A3D">
        <w:rPr>
          <w:lang w:val="fr-FR"/>
        </w:rPr>
        <w:t>référendum</w:t>
      </w:r>
      <w:r w:rsidR="00684C7C" w:rsidRPr="00F60A3D">
        <w:rPr>
          <w:lang w:val="fr-FR"/>
        </w:rPr>
        <w:t xml:space="preserve"> si</w:t>
      </w:r>
      <w:r w:rsidR="00C3558D" w:rsidRPr="00F60A3D">
        <w:rPr>
          <w:lang w:val="fr-FR"/>
        </w:rPr>
        <w:t xml:space="preserve"> </w:t>
      </w:r>
      <w:r w:rsidR="00684C7C" w:rsidRPr="00F60A3D">
        <w:rPr>
          <w:lang w:val="fr-FR"/>
        </w:rPr>
        <w:t>la l</w:t>
      </w:r>
      <w:r w:rsidR="008626BC" w:rsidRPr="00F60A3D">
        <w:rPr>
          <w:lang w:val="fr-FR"/>
        </w:rPr>
        <w:t>oi a été approuvée</w:t>
      </w:r>
      <w:r w:rsidR="00684C7C" w:rsidRPr="00F60A3D">
        <w:rPr>
          <w:lang w:val="fr-FR"/>
        </w:rPr>
        <w:t xml:space="preserve"> </w:t>
      </w:r>
      <w:r w:rsidR="00C3558D" w:rsidRPr="00F60A3D">
        <w:rPr>
          <w:lang w:val="fr-FR"/>
        </w:rPr>
        <w:t>au second tour de scrutin par chacune des deux chambres</w:t>
      </w:r>
      <w:r w:rsidR="001F74AE" w:rsidRPr="00F60A3D">
        <w:rPr>
          <w:lang w:val="fr-FR"/>
        </w:rPr>
        <w:t>,</w:t>
      </w:r>
      <w:r w:rsidR="00C3558D" w:rsidRPr="00F60A3D">
        <w:rPr>
          <w:lang w:val="fr-FR"/>
        </w:rPr>
        <w:t xml:space="preserve"> </w:t>
      </w:r>
      <w:r w:rsidR="00684C7C" w:rsidRPr="00F60A3D">
        <w:rPr>
          <w:lang w:val="fr-FR"/>
        </w:rPr>
        <w:t>à</w:t>
      </w:r>
      <w:r w:rsidR="008626BC" w:rsidRPr="00F60A3D">
        <w:rPr>
          <w:lang w:val="fr-FR"/>
        </w:rPr>
        <w:t xml:space="preserve"> la majorité des deux tie</w:t>
      </w:r>
      <w:r w:rsidR="00C3558D" w:rsidRPr="00F60A3D">
        <w:rPr>
          <w:lang w:val="fr-FR"/>
        </w:rPr>
        <w:t>rs de ses membres</w:t>
      </w:r>
      <w:r w:rsidR="008626BC" w:rsidRPr="00F60A3D">
        <w:rPr>
          <w:lang w:val="fr-FR"/>
        </w:rPr>
        <w:t>.</w:t>
      </w:r>
      <w:r w:rsidR="00731982" w:rsidRPr="00F60A3D">
        <w:rPr>
          <w:lang w:val="fr-FR"/>
        </w:rPr>
        <w:t>»</w:t>
      </w:r>
      <w:r w:rsidR="00684C7C" w:rsidRPr="00F60A3D">
        <w:rPr>
          <w:lang w:val="fr-FR"/>
        </w:rPr>
        <w:t xml:space="preserve"> </w:t>
      </w:r>
    </w:p>
    <w:p w:rsidR="008626BC" w:rsidRPr="00F60A3D" w:rsidRDefault="00280053" w:rsidP="001D2CCC">
      <w:pPr>
        <w:pStyle w:val="SingleTxtG"/>
        <w:rPr>
          <w:lang w:val="fr-FR"/>
        </w:rPr>
      </w:pPr>
      <w:r w:rsidRPr="00F60A3D">
        <w:rPr>
          <w:lang w:val="fr-FR"/>
        </w:rPr>
        <w:t>16</w:t>
      </w:r>
      <w:r w:rsidR="001D2CCC" w:rsidRPr="00F60A3D">
        <w:rPr>
          <w:lang w:val="fr-FR"/>
        </w:rPr>
        <w:t>.</w:t>
      </w:r>
      <w:r w:rsidR="001D2CCC" w:rsidRPr="00F60A3D">
        <w:rPr>
          <w:lang w:val="fr-FR"/>
        </w:rPr>
        <w:tab/>
      </w:r>
      <w:r w:rsidR="008626BC" w:rsidRPr="00F60A3D">
        <w:rPr>
          <w:lang w:val="fr-FR"/>
        </w:rPr>
        <w:t xml:space="preserve">Le système juridique italien vise à assurer un cadre efficace de </w:t>
      </w:r>
      <w:r w:rsidR="007B1ACA" w:rsidRPr="00F60A3D">
        <w:rPr>
          <w:lang w:val="fr-FR"/>
        </w:rPr>
        <w:t>g</w:t>
      </w:r>
      <w:r w:rsidR="008626BC" w:rsidRPr="00F60A3D">
        <w:rPr>
          <w:lang w:val="fr-FR"/>
        </w:rPr>
        <w:t>aranties</w:t>
      </w:r>
      <w:r w:rsidR="007B1ACA" w:rsidRPr="00F60A3D">
        <w:rPr>
          <w:lang w:val="fr-FR"/>
        </w:rPr>
        <w:t xml:space="preserve"> </w:t>
      </w:r>
      <w:r w:rsidR="00980FBD" w:rsidRPr="00F60A3D">
        <w:rPr>
          <w:lang w:val="fr-FR"/>
        </w:rPr>
        <w:t>et à offrir une protection complète d</w:t>
      </w:r>
      <w:r w:rsidR="008626BC" w:rsidRPr="00F60A3D">
        <w:rPr>
          <w:lang w:val="fr-FR"/>
        </w:rPr>
        <w:t>es dr</w:t>
      </w:r>
      <w:r w:rsidR="00980FBD" w:rsidRPr="00F60A3D">
        <w:rPr>
          <w:lang w:val="fr-FR"/>
        </w:rPr>
        <w:t>oits fondamentaux de l</w:t>
      </w:r>
      <w:r w:rsidR="00B17AE1" w:rsidRPr="00F60A3D">
        <w:rPr>
          <w:lang w:val="fr-FR"/>
        </w:rPr>
        <w:t>’</w:t>
      </w:r>
      <w:r w:rsidR="00980FBD" w:rsidRPr="00F60A3D">
        <w:rPr>
          <w:lang w:val="fr-FR"/>
        </w:rPr>
        <w:t>individu</w:t>
      </w:r>
      <w:r w:rsidR="008626BC" w:rsidRPr="00F60A3D">
        <w:rPr>
          <w:lang w:val="fr-FR"/>
        </w:rPr>
        <w:t xml:space="preserve">. De ce fait, </w:t>
      </w:r>
      <w:r w:rsidR="007B1ACA" w:rsidRPr="00F60A3D">
        <w:rPr>
          <w:lang w:val="fr-FR"/>
        </w:rPr>
        <w:t>comme l</w:t>
      </w:r>
      <w:r w:rsidR="00B17AE1" w:rsidRPr="00F60A3D">
        <w:rPr>
          <w:lang w:val="fr-FR"/>
        </w:rPr>
        <w:t>’</w:t>
      </w:r>
      <w:r w:rsidR="007B1ACA" w:rsidRPr="00F60A3D">
        <w:rPr>
          <w:lang w:val="fr-FR"/>
        </w:rPr>
        <w:t>énonce clairement l</w:t>
      </w:r>
      <w:r w:rsidR="00B17AE1" w:rsidRPr="00F60A3D">
        <w:rPr>
          <w:lang w:val="fr-FR"/>
        </w:rPr>
        <w:t>’</w:t>
      </w:r>
      <w:r w:rsidR="00D26282" w:rsidRPr="00F60A3D">
        <w:rPr>
          <w:lang w:val="fr-FR"/>
        </w:rPr>
        <w:t>article </w:t>
      </w:r>
      <w:r w:rsidR="007B1ACA" w:rsidRPr="00F60A3D">
        <w:rPr>
          <w:lang w:val="fr-FR"/>
        </w:rPr>
        <w:t>27 de la Constitution, aucun comportement ar</w:t>
      </w:r>
      <w:r w:rsidR="00114160" w:rsidRPr="00F60A3D">
        <w:rPr>
          <w:lang w:val="fr-FR"/>
        </w:rPr>
        <w:t>bitraire attentatoire</w:t>
      </w:r>
      <w:r w:rsidR="00980FBD" w:rsidRPr="00F60A3D">
        <w:rPr>
          <w:lang w:val="fr-FR"/>
        </w:rPr>
        <w:t xml:space="preserve"> aux</w:t>
      </w:r>
      <w:r w:rsidR="007B1ACA" w:rsidRPr="00F60A3D">
        <w:rPr>
          <w:lang w:val="fr-FR"/>
        </w:rPr>
        <w:t xml:space="preserve"> libertés fondamentales n</w:t>
      </w:r>
      <w:r w:rsidR="00B17AE1" w:rsidRPr="00F60A3D">
        <w:rPr>
          <w:lang w:val="fr-FR"/>
        </w:rPr>
        <w:t>’</w:t>
      </w:r>
      <w:r w:rsidR="007B1ACA" w:rsidRPr="00F60A3D">
        <w:rPr>
          <w:lang w:val="fr-FR"/>
        </w:rPr>
        <w:t>est autorisé. Cette disposition consacrée à la responsabilité individuelle, prévoyai</w:t>
      </w:r>
      <w:r w:rsidR="00764988" w:rsidRPr="00F60A3D">
        <w:rPr>
          <w:lang w:val="fr-FR"/>
        </w:rPr>
        <w:t>t à l</w:t>
      </w:r>
      <w:r w:rsidR="00B17AE1" w:rsidRPr="00F60A3D">
        <w:rPr>
          <w:lang w:val="fr-FR"/>
        </w:rPr>
        <w:t>’</w:t>
      </w:r>
      <w:r w:rsidR="00995638" w:rsidRPr="00F60A3D">
        <w:rPr>
          <w:lang w:val="fr-FR"/>
        </w:rPr>
        <w:t>alinéa </w:t>
      </w:r>
      <w:r w:rsidR="00BF1734" w:rsidRPr="00F60A3D">
        <w:rPr>
          <w:lang w:val="fr-FR"/>
        </w:rPr>
        <w:t xml:space="preserve">4: </w:t>
      </w:r>
      <w:r w:rsidR="00731982" w:rsidRPr="00F60A3D">
        <w:rPr>
          <w:lang w:val="fr-FR"/>
        </w:rPr>
        <w:t>«</w:t>
      </w:r>
      <w:r w:rsidR="007B1ACA" w:rsidRPr="00F60A3D">
        <w:rPr>
          <w:lang w:val="fr-FR"/>
        </w:rPr>
        <w:t xml:space="preserve">La peine de </w:t>
      </w:r>
      <w:r w:rsidR="000B4582" w:rsidRPr="00F60A3D">
        <w:rPr>
          <w:lang w:val="fr-FR"/>
        </w:rPr>
        <w:t>mort est proscrite excepté en vertu de</w:t>
      </w:r>
      <w:r w:rsidR="00980FBD" w:rsidRPr="00F60A3D">
        <w:rPr>
          <w:lang w:val="fr-FR"/>
        </w:rPr>
        <w:t xml:space="preserve"> la loi martial</w:t>
      </w:r>
      <w:r w:rsidR="00BF1734" w:rsidRPr="00F60A3D">
        <w:rPr>
          <w:lang w:val="fr-FR"/>
        </w:rPr>
        <w:t>e en temps de guerre</w:t>
      </w:r>
      <w:r w:rsidR="00731982" w:rsidRPr="00F60A3D">
        <w:rPr>
          <w:lang w:val="fr-FR"/>
        </w:rPr>
        <w:t>»</w:t>
      </w:r>
      <w:r w:rsidR="007B1ACA" w:rsidRPr="00F60A3D">
        <w:rPr>
          <w:lang w:val="fr-FR"/>
        </w:rPr>
        <w:t xml:space="preserve">. </w:t>
      </w:r>
      <w:r w:rsidR="003A76A9" w:rsidRPr="00F60A3D">
        <w:rPr>
          <w:lang w:val="fr-FR"/>
        </w:rPr>
        <w:t>Bien que cet</w:t>
      </w:r>
      <w:r w:rsidR="00521505" w:rsidRPr="00F60A3D">
        <w:rPr>
          <w:lang w:val="fr-FR"/>
        </w:rPr>
        <w:t>te dernière n</w:t>
      </w:r>
      <w:r w:rsidR="00B17AE1" w:rsidRPr="00F60A3D">
        <w:rPr>
          <w:lang w:val="fr-FR"/>
        </w:rPr>
        <w:t>’</w:t>
      </w:r>
      <w:r w:rsidR="00521505" w:rsidRPr="00F60A3D">
        <w:rPr>
          <w:lang w:val="fr-FR"/>
        </w:rPr>
        <w:t>ait</w:t>
      </w:r>
      <w:r w:rsidR="003A76A9" w:rsidRPr="00F60A3D">
        <w:rPr>
          <w:lang w:val="fr-FR"/>
        </w:rPr>
        <w:t xml:space="preserve"> jamais été appliquée, l</w:t>
      </w:r>
      <w:r w:rsidR="00B17AE1" w:rsidRPr="00F60A3D">
        <w:rPr>
          <w:lang w:val="fr-FR"/>
        </w:rPr>
        <w:t>’</w:t>
      </w:r>
      <w:r w:rsidR="00D26282" w:rsidRPr="00F60A3D">
        <w:rPr>
          <w:lang w:val="fr-FR"/>
        </w:rPr>
        <w:t>article </w:t>
      </w:r>
      <w:r w:rsidR="003A76A9" w:rsidRPr="00F60A3D">
        <w:rPr>
          <w:lang w:val="fr-FR"/>
        </w:rPr>
        <w:t>27 ci-dessus a été modifié par la l</w:t>
      </w:r>
      <w:r w:rsidR="00980FBD" w:rsidRPr="00F60A3D">
        <w:rPr>
          <w:lang w:val="fr-FR"/>
        </w:rPr>
        <w:t xml:space="preserve">oi constitutionnelle </w:t>
      </w:r>
      <w:r w:rsidR="00B17AE1" w:rsidRPr="00F60A3D">
        <w:rPr>
          <w:lang w:val="fr-FR"/>
        </w:rPr>
        <w:t>n</w:t>
      </w:r>
      <w:r w:rsidR="00B17AE1" w:rsidRPr="00F60A3D">
        <w:rPr>
          <w:vertAlign w:val="superscript"/>
          <w:lang w:val="fr-FR"/>
        </w:rPr>
        <w:t>o</w:t>
      </w:r>
      <w:r w:rsidR="00B17AE1" w:rsidRPr="00F60A3D">
        <w:rPr>
          <w:lang w:val="fr-FR"/>
        </w:rPr>
        <w:t> </w:t>
      </w:r>
      <w:r w:rsidR="00980FBD" w:rsidRPr="00F60A3D">
        <w:rPr>
          <w:lang w:val="fr-FR"/>
        </w:rPr>
        <w:t xml:space="preserve">1/2007 </w:t>
      </w:r>
      <w:r w:rsidR="003A76A9" w:rsidRPr="00F60A3D">
        <w:rPr>
          <w:lang w:val="fr-FR"/>
        </w:rPr>
        <w:t>pour interdire expressément, en toutes circonstances, l</w:t>
      </w:r>
      <w:r w:rsidR="00B17AE1" w:rsidRPr="00F60A3D">
        <w:rPr>
          <w:lang w:val="fr-FR"/>
        </w:rPr>
        <w:t>’</w:t>
      </w:r>
      <w:r w:rsidR="003A76A9" w:rsidRPr="00F60A3D">
        <w:rPr>
          <w:lang w:val="fr-FR"/>
        </w:rPr>
        <w:t>application de la peine de mort.</w:t>
      </w:r>
      <w:r w:rsidR="00496DC1" w:rsidRPr="00F60A3D">
        <w:rPr>
          <w:lang w:val="fr-FR"/>
        </w:rPr>
        <w:t xml:space="preserve"> Ainsi, l</w:t>
      </w:r>
      <w:r w:rsidR="00B17AE1" w:rsidRPr="00F60A3D">
        <w:rPr>
          <w:lang w:val="fr-FR"/>
        </w:rPr>
        <w:t>’</w:t>
      </w:r>
      <w:r w:rsidR="00D26282" w:rsidRPr="00F60A3D">
        <w:rPr>
          <w:lang w:val="fr-FR"/>
        </w:rPr>
        <w:t>article </w:t>
      </w:r>
      <w:r w:rsidR="00496DC1" w:rsidRPr="00F60A3D">
        <w:rPr>
          <w:lang w:val="fr-FR"/>
        </w:rPr>
        <w:t xml:space="preserve">27, </w:t>
      </w:r>
      <w:r w:rsidR="00995638" w:rsidRPr="00F60A3D">
        <w:rPr>
          <w:lang w:val="fr-FR"/>
        </w:rPr>
        <w:t>alinéa </w:t>
      </w:r>
      <w:r w:rsidR="003A76A9" w:rsidRPr="00F60A3D">
        <w:rPr>
          <w:lang w:val="fr-FR"/>
        </w:rPr>
        <w:t>4, est désormais libellé com</w:t>
      </w:r>
      <w:r w:rsidR="00521505" w:rsidRPr="00F60A3D">
        <w:rPr>
          <w:lang w:val="fr-FR"/>
        </w:rPr>
        <w:t>m</w:t>
      </w:r>
      <w:r w:rsidR="003A76A9" w:rsidRPr="00F60A3D">
        <w:rPr>
          <w:lang w:val="fr-FR"/>
        </w:rPr>
        <w:t>e suit:</w:t>
      </w:r>
      <w:r w:rsidR="00BF1734" w:rsidRPr="00F60A3D">
        <w:rPr>
          <w:lang w:val="fr-FR"/>
        </w:rPr>
        <w:t xml:space="preserve"> </w:t>
      </w:r>
      <w:r w:rsidR="00731982" w:rsidRPr="00F60A3D">
        <w:rPr>
          <w:lang w:val="fr-FR"/>
        </w:rPr>
        <w:t>«</w:t>
      </w:r>
      <w:r w:rsidR="0004395D" w:rsidRPr="00F60A3D">
        <w:rPr>
          <w:lang w:val="fr-FR"/>
        </w:rPr>
        <w:t>La peine de mort n</w:t>
      </w:r>
      <w:r w:rsidR="00B17AE1" w:rsidRPr="00F60A3D">
        <w:rPr>
          <w:lang w:val="fr-FR"/>
        </w:rPr>
        <w:t>’</w:t>
      </w:r>
      <w:r w:rsidR="0004395D" w:rsidRPr="00F60A3D">
        <w:rPr>
          <w:lang w:val="fr-FR"/>
        </w:rPr>
        <w:t>est pas admise</w:t>
      </w:r>
      <w:r w:rsidR="00731982" w:rsidRPr="00F60A3D">
        <w:rPr>
          <w:lang w:val="fr-FR"/>
        </w:rPr>
        <w:t>»</w:t>
      </w:r>
      <w:r w:rsidR="003A76A9" w:rsidRPr="00F60A3D">
        <w:rPr>
          <w:lang w:val="fr-FR"/>
        </w:rPr>
        <w:t xml:space="preserve"> – </w:t>
      </w:r>
      <w:r w:rsidR="00643AEE" w:rsidRPr="00F60A3D">
        <w:rPr>
          <w:lang w:val="fr-FR"/>
        </w:rPr>
        <w:t xml:space="preserve">à savoir, </w:t>
      </w:r>
      <w:r w:rsidR="003A76A9" w:rsidRPr="00F60A3D">
        <w:rPr>
          <w:lang w:val="fr-FR"/>
        </w:rPr>
        <w:t>quelles que soient</w:t>
      </w:r>
      <w:r w:rsidR="003A76A9" w:rsidRPr="00F60A3D">
        <w:rPr>
          <w:b/>
          <w:lang w:val="fr-FR"/>
        </w:rPr>
        <w:t xml:space="preserve"> </w:t>
      </w:r>
      <w:r w:rsidR="003A76A9" w:rsidRPr="00F60A3D">
        <w:rPr>
          <w:lang w:val="fr-FR"/>
        </w:rPr>
        <w:t xml:space="preserve">les circonstances (Voir Journal officiel </w:t>
      </w:r>
      <w:r w:rsidR="00B17AE1" w:rsidRPr="00F60A3D">
        <w:rPr>
          <w:lang w:val="fr-FR"/>
        </w:rPr>
        <w:t>n</w:t>
      </w:r>
      <w:r w:rsidR="00B17AE1" w:rsidRPr="00F60A3D">
        <w:rPr>
          <w:vertAlign w:val="superscript"/>
          <w:lang w:val="fr-FR"/>
        </w:rPr>
        <w:t>o</w:t>
      </w:r>
      <w:r w:rsidR="00B17AE1" w:rsidRPr="00F60A3D">
        <w:rPr>
          <w:lang w:val="fr-FR"/>
        </w:rPr>
        <w:t> </w:t>
      </w:r>
      <w:r w:rsidR="003A76A9" w:rsidRPr="00F60A3D">
        <w:rPr>
          <w:lang w:val="fr-FR"/>
        </w:rPr>
        <w:t xml:space="preserve">236 du 10 octobre 2007). </w:t>
      </w:r>
    </w:p>
    <w:p w:rsidR="00CC00EB" w:rsidRPr="00F60A3D" w:rsidRDefault="009D4758" w:rsidP="00B17AE1">
      <w:pPr>
        <w:pStyle w:val="SingleTxtG"/>
        <w:rPr>
          <w:lang w:val="fr-FR"/>
        </w:rPr>
      </w:pPr>
      <w:r w:rsidRPr="00F60A3D">
        <w:rPr>
          <w:lang w:val="fr-FR"/>
        </w:rPr>
        <w:t>17.</w:t>
      </w:r>
      <w:r w:rsidR="001D2CCC" w:rsidRPr="00F60A3D">
        <w:rPr>
          <w:lang w:val="fr-FR"/>
        </w:rPr>
        <w:tab/>
      </w:r>
      <w:r w:rsidR="003A76A9" w:rsidRPr="00F60A3D">
        <w:rPr>
          <w:lang w:val="fr-FR"/>
        </w:rPr>
        <w:t>Au niveau in</w:t>
      </w:r>
      <w:r w:rsidR="00F5528C" w:rsidRPr="00F60A3D">
        <w:rPr>
          <w:lang w:val="fr-FR"/>
        </w:rPr>
        <w:t>ternation</w:t>
      </w:r>
      <w:r w:rsidR="001349C4" w:rsidRPr="00F60A3D">
        <w:rPr>
          <w:lang w:val="fr-FR"/>
        </w:rPr>
        <w:t>al, au fil des an</w:t>
      </w:r>
      <w:r w:rsidR="00F5528C" w:rsidRPr="00F60A3D">
        <w:rPr>
          <w:lang w:val="fr-FR"/>
        </w:rPr>
        <w:t>s, l</w:t>
      </w:r>
      <w:r w:rsidR="00B17AE1" w:rsidRPr="00F60A3D">
        <w:rPr>
          <w:lang w:val="fr-FR"/>
        </w:rPr>
        <w:t>’</w:t>
      </w:r>
      <w:r w:rsidR="00F5528C" w:rsidRPr="00F60A3D">
        <w:rPr>
          <w:lang w:val="fr-FR"/>
        </w:rPr>
        <w:t>Italie a</w:t>
      </w:r>
      <w:r w:rsidR="003A76A9" w:rsidRPr="00F60A3D">
        <w:rPr>
          <w:lang w:val="fr-FR"/>
        </w:rPr>
        <w:t xml:space="preserve"> été</w:t>
      </w:r>
      <w:r w:rsidR="00CF6195" w:rsidRPr="00F60A3D">
        <w:rPr>
          <w:lang w:val="fr-FR"/>
        </w:rPr>
        <w:t xml:space="preserve"> à l</w:t>
      </w:r>
      <w:r w:rsidR="00B17AE1" w:rsidRPr="00F60A3D">
        <w:rPr>
          <w:lang w:val="fr-FR"/>
        </w:rPr>
        <w:t>’</w:t>
      </w:r>
      <w:r w:rsidR="00CF6195" w:rsidRPr="00F60A3D">
        <w:rPr>
          <w:lang w:val="fr-FR"/>
        </w:rPr>
        <w:t>avant-garde de la campagne relative au moratoire sur la peine de mort</w:t>
      </w:r>
      <w:r w:rsidR="005D1027" w:rsidRPr="00F60A3D">
        <w:rPr>
          <w:rStyle w:val="FootnoteReference"/>
          <w:lang w:val="fr-FR"/>
        </w:rPr>
        <w:footnoteReference w:id="9"/>
      </w:r>
      <w:r w:rsidR="00B54E73" w:rsidRPr="00F60A3D">
        <w:rPr>
          <w:lang w:val="fr-FR"/>
        </w:rPr>
        <w:t>.</w:t>
      </w:r>
    </w:p>
    <w:p w:rsidR="00CC00EB" w:rsidRPr="00F60A3D" w:rsidRDefault="00CC00EB" w:rsidP="001A36F9">
      <w:pPr>
        <w:pStyle w:val="H23G"/>
        <w:rPr>
          <w:lang w:val="fr-FR"/>
        </w:rPr>
      </w:pPr>
      <w:r w:rsidRPr="00F60A3D">
        <w:rPr>
          <w:lang w:val="fr-FR"/>
        </w:rPr>
        <w:lastRenderedPageBreak/>
        <w:tab/>
      </w:r>
      <w:r w:rsidRPr="00F60A3D">
        <w:rPr>
          <w:lang w:val="fr-FR"/>
        </w:rPr>
        <w:tab/>
      </w:r>
      <w:r w:rsidR="007B282A" w:rsidRPr="00F60A3D">
        <w:rPr>
          <w:lang w:val="fr-FR"/>
        </w:rPr>
        <w:t xml:space="preserve">Évolution politique récente </w:t>
      </w:r>
    </w:p>
    <w:p w:rsidR="00CC00EB" w:rsidRPr="00F60A3D" w:rsidRDefault="00280053" w:rsidP="0007768D">
      <w:pPr>
        <w:pStyle w:val="SingleTxtG"/>
        <w:rPr>
          <w:lang w:val="fr-FR"/>
        </w:rPr>
      </w:pPr>
      <w:r w:rsidRPr="00F60A3D">
        <w:rPr>
          <w:lang w:val="fr-FR"/>
        </w:rPr>
        <w:t>18</w:t>
      </w:r>
      <w:r w:rsidR="001D2CCC" w:rsidRPr="00F60A3D">
        <w:rPr>
          <w:lang w:val="fr-FR"/>
        </w:rPr>
        <w:t>.</w:t>
      </w:r>
      <w:r w:rsidR="001D2CCC" w:rsidRPr="00F60A3D">
        <w:rPr>
          <w:lang w:val="fr-FR"/>
        </w:rPr>
        <w:tab/>
      </w:r>
      <w:r w:rsidR="007B282A" w:rsidRPr="00F60A3D">
        <w:rPr>
          <w:lang w:val="fr-FR"/>
        </w:rPr>
        <w:t>L</w:t>
      </w:r>
      <w:r w:rsidR="00B17AE1" w:rsidRPr="00F60A3D">
        <w:rPr>
          <w:lang w:val="fr-FR"/>
        </w:rPr>
        <w:t>’</w:t>
      </w:r>
      <w:r w:rsidR="007300B8" w:rsidRPr="00F60A3D">
        <w:rPr>
          <w:lang w:val="fr-FR"/>
        </w:rPr>
        <w:t>I</w:t>
      </w:r>
      <w:r w:rsidR="007B282A" w:rsidRPr="00F60A3D">
        <w:rPr>
          <w:lang w:val="fr-FR"/>
        </w:rPr>
        <w:t xml:space="preserve">talie a connu plusieurs changements de gouvernement depuis 1945. </w:t>
      </w:r>
      <w:r w:rsidR="00F310D6" w:rsidRPr="00F60A3D">
        <w:rPr>
          <w:lang w:val="fr-FR"/>
        </w:rPr>
        <w:t>L</w:t>
      </w:r>
      <w:r w:rsidR="007F5547" w:rsidRPr="00F60A3D">
        <w:rPr>
          <w:lang w:val="fr-FR"/>
        </w:rPr>
        <w:t>e p</w:t>
      </w:r>
      <w:r w:rsidR="007B282A" w:rsidRPr="00F60A3D">
        <w:rPr>
          <w:lang w:val="fr-FR"/>
        </w:rPr>
        <w:t>arti démocrate</w:t>
      </w:r>
      <w:r w:rsidR="000104DD" w:rsidRPr="00F60A3D">
        <w:rPr>
          <w:lang w:val="fr-FR"/>
        </w:rPr>
        <w:t>-</w:t>
      </w:r>
      <w:r w:rsidR="007B282A" w:rsidRPr="00F60A3D">
        <w:rPr>
          <w:lang w:val="fr-FR"/>
        </w:rPr>
        <w:t xml:space="preserve">chrétien a joué un </w:t>
      </w:r>
      <w:r w:rsidR="003259F9" w:rsidRPr="00F60A3D">
        <w:rPr>
          <w:lang w:val="fr-FR"/>
        </w:rPr>
        <w:t>rôle central</w:t>
      </w:r>
      <w:r w:rsidR="007B282A" w:rsidRPr="00F60A3D">
        <w:rPr>
          <w:lang w:val="fr-FR"/>
        </w:rPr>
        <w:t xml:space="preserve"> dans le cadre politique et gouverne</w:t>
      </w:r>
      <w:r w:rsidR="000104DD" w:rsidRPr="00F60A3D">
        <w:rPr>
          <w:lang w:val="fr-FR"/>
        </w:rPr>
        <w:t>me</w:t>
      </w:r>
      <w:r w:rsidR="007B282A" w:rsidRPr="00F60A3D">
        <w:rPr>
          <w:lang w:val="fr-FR"/>
        </w:rPr>
        <w:t>ntal</w:t>
      </w:r>
      <w:r w:rsidR="00F310D6" w:rsidRPr="00F60A3D">
        <w:rPr>
          <w:lang w:val="fr-FR"/>
        </w:rPr>
        <w:t xml:space="preserve"> </w:t>
      </w:r>
      <w:r w:rsidR="003259F9" w:rsidRPr="00F60A3D">
        <w:rPr>
          <w:lang w:val="fr-FR"/>
        </w:rPr>
        <w:t>pendant une grande partie de l</w:t>
      </w:r>
      <w:r w:rsidR="00B17AE1" w:rsidRPr="00F60A3D">
        <w:rPr>
          <w:lang w:val="fr-FR"/>
        </w:rPr>
        <w:t>’</w:t>
      </w:r>
      <w:r w:rsidR="003259F9" w:rsidRPr="00F60A3D">
        <w:rPr>
          <w:lang w:val="fr-FR"/>
        </w:rPr>
        <w:t xml:space="preserve">après-guerre et </w:t>
      </w:r>
      <w:r w:rsidR="00F310D6" w:rsidRPr="00F60A3D">
        <w:rPr>
          <w:lang w:val="fr-FR"/>
        </w:rPr>
        <w:t>jusqu</w:t>
      </w:r>
      <w:r w:rsidR="00B17AE1" w:rsidRPr="00F60A3D">
        <w:rPr>
          <w:lang w:val="fr-FR"/>
        </w:rPr>
        <w:t>’</w:t>
      </w:r>
      <w:r w:rsidR="00F310D6" w:rsidRPr="00F60A3D">
        <w:rPr>
          <w:lang w:val="fr-FR"/>
        </w:rPr>
        <w:t>en 1994</w:t>
      </w:r>
      <w:r w:rsidR="007B282A" w:rsidRPr="00F60A3D">
        <w:rPr>
          <w:lang w:val="fr-FR"/>
        </w:rPr>
        <w:t>. De 1992 à 1997, l</w:t>
      </w:r>
      <w:r w:rsidR="000104DD" w:rsidRPr="00F60A3D">
        <w:rPr>
          <w:lang w:val="fr-FR"/>
        </w:rPr>
        <w:t>e pays</w:t>
      </w:r>
      <w:r w:rsidR="007B282A" w:rsidRPr="00F60A3D">
        <w:rPr>
          <w:lang w:val="fr-FR"/>
        </w:rPr>
        <w:t xml:space="preserve"> s</w:t>
      </w:r>
      <w:r w:rsidR="00B17AE1" w:rsidRPr="00F60A3D">
        <w:rPr>
          <w:lang w:val="fr-FR"/>
        </w:rPr>
        <w:t>’</w:t>
      </w:r>
      <w:r w:rsidR="007B282A" w:rsidRPr="00F60A3D">
        <w:rPr>
          <w:lang w:val="fr-FR"/>
        </w:rPr>
        <w:t xml:space="preserve">est </w:t>
      </w:r>
      <w:r w:rsidR="000104DD" w:rsidRPr="00F60A3D">
        <w:rPr>
          <w:lang w:val="fr-FR"/>
        </w:rPr>
        <w:t>trouvé confronté</w:t>
      </w:r>
      <w:r w:rsidR="007B282A" w:rsidRPr="00F60A3D">
        <w:rPr>
          <w:lang w:val="fr-FR"/>
        </w:rPr>
        <w:t xml:space="preserve"> à des difficultés </w:t>
      </w:r>
      <w:r w:rsidR="000A636F" w:rsidRPr="00F60A3D">
        <w:rPr>
          <w:lang w:val="fr-FR"/>
        </w:rPr>
        <w:t>notoires. P</w:t>
      </w:r>
      <w:r w:rsidR="001740BC" w:rsidRPr="00F60A3D">
        <w:rPr>
          <w:lang w:val="fr-FR"/>
        </w:rPr>
        <w:t xml:space="preserve">ar les référendums </w:t>
      </w:r>
      <w:r w:rsidR="000104DD" w:rsidRPr="00F60A3D">
        <w:rPr>
          <w:lang w:val="fr-FR"/>
        </w:rPr>
        <w:t>de 1993</w:t>
      </w:r>
      <w:r w:rsidR="000A636F" w:rsidRPr="00F60A3D">
        <w:rPr>
          <w:lang w:val="fr-FR"/>
        </w:rPr>
        <w:t xml:space="preserve">, la population a approuvé </w:t>
      </w:r>
      <w:r w:rsidR="001740BC" w:rsidRPr="00F60A3D">
        <w:rPr>
          <w:lang w:val="fr-FR"/>
        </w:rPr>
        <w:t>des change</w:t>
      </w:r>
      <w:r w:rsidR="000104DD" w:rsidRPr="00F60A3D">
        <w:rPr>
          <w:lang w:val="fr-FR"/>
        </w:rPr>
        <w:t>ments substantiels, not</w:t>
      </w:r>
      <w:r w:rsidR="001740BC" w:rsidRPr="00F60A3D">
        <w:rPr>
          <w:lang w:val="fr-FR"/>
        </w:rPr>
        <w:t>amment le passage d</w:t>
      </w:r>
      <w:r w:rsidR="00B17AE1" w:rsidRPr="00F60A3D">
        <w:rPr>
          <w:lang w:val="fr-FR"/>
        </w:rPr>
        <w:t>’</w:t>
      </w:r>
      <w:r w:rsidR="001740BC" w:rsidRPr="00F60A3D">
        <w:rPr>
          <w:lang w:val="fr-FR"/>
        </w:rPr>
        <w:t xml:space="preserve">un système </w:t>
      </w:r>
      <w:r w:rsidR="000104DD" w:rsidRPr="00F60A3D">
        <w:rPr>
          <w:lang w:val="fr-FR"/>
        </w:rPr>
        <w:t>élect</w:t>
      </w:r>
      <w:r w:rsidR="001740BC" w:rsidRPr="00F60A3D">
        <w:rPr>
          <w:lang w:val="fr-FR"/>
        </w:rPr>
        <w:t>o</w:t>
      </w:r>
      <w:r w:rsidR="000104DD" w:rsidRPr="00F60A3D">
        <w:rPr>
          <w:lang w:val="fr-FR"/>
        </w:rPr>
        <w:t>r</w:t>
      </w:r>
      <w:r w:rsidR="001740BC" w:rsidRPr="00F60A3D">
        <w:rPr>
          <w:lang w:val="fr-FR"/>
        </w:rPr>
        <w:t>al proportionnel à un systè</w:t>
      </w:r>
      <w:r w:rsidR="00071C73" w:rsidRPr="00F60A3D">
        <w:rPr>
          <w:lang w:val="fr-FR"/>
        </w:rPr>
        <w:t>m</w:t>
      </w:r>
      <w:r w:rsidR="001740BC" w:rsidRPr="00F60A3D">
        <w:rPr>
          <w:lang w:val="fr-FR"/>
        </w:rPr>
        <w:t>e majoritaire</w:t>
      </w:r>
      <w:r w:rsidR="00E94A58" w:rsidRPr="00F60A3D">
        <w:rPr>
          <w:lang w:val="fr-FR"/>
        </w:rPr>
        <w:t>,</w:t>
      </w:r>
      <w:r w:rsidR="00886F18" w:rsidRPr="00F60A3D">
        <w:rPr>
          <w:lang w:val="fr-FR"/>
        </w:rPr>
        <w:t xml:space="preserve"> et une</w:t>
      </w:r>
      <w:r w:rsidR="001740BC" w:rsidRPr="00F60A3D">
        <w:rPr>
          <w:lang w:val="fr-FR"/>
        </w:rPr>
        <w:t xml:space="preserve"> </w:t>
      </w:r>
      <w:r w:rsidR="00886F18" w:rsidRPr="00F60A3D">
        <w:rPr>
          <w:lang w:val="fr-FR"/>
        </w:rPr>
        <w:t xml:space="preserve">réduction </w:t>
      </w:r>
      <w:r w:rsidR="00C41D06" w:rsidRPr="00F60A3D">
        <w:rPr>
          <w:lang w:val="fr-FR"/>
        </w:rPr>
        <w:t>du nombre de</w:t>
      </w:r>
      <w:r w:rsidR="00071C73" w:rsidRPr="00F60A3D">
        <w:rPr>
          <w:lang w:val="fr-FR"/>
        </w:rPr>
        <w:t xml:space="preserve"> ministères. Un nouvel équilibre des pouvoirs </w:t>
      </w:r>
      <w:r w:rsidR="00941DFA" w:rsidRPr="00F60A3D">
        <w:rPr>
          <w:lang w:val="fr-FR"/>
        </w:rPr>
        <w:t>s</w:t>
      </w:r>
      <w:r w:rsidR="00B17AE1" w:rsidRPr="00F60A3D">
        <w:rPr>
          <w:lang w:val="fr-FR"/>
        </w:rPr>
        <w:t>’</w:t>
      </w:r>
      <w:r w:rsidR="00941DFA" w:rsidRPr="00F60A3D">
        <w:rPr>
          <w:lang w:val="fr-FR"/>
        </w:rPr>
        <w:t>est fait jour</w:t>
      </w:r>
      <w:r w:rsidR="00071C73" w:rsidRPr="00F60A3D">
        <w:rPr>
          <w:lang w:val="fr-FR"/>
        </w:rPr>
        <w:t xml:space="preserve"> aux élections na</w:t>
      </w:r>
      <w:r w:rsidR="003259F9" w:rsidRPr="00F60A3D">
        <w:rPr>
          <w:lang w:val="fr-FR"/>
        </w:rPr>
        <w:t xml:space="preserve">tionales de mars 1994. </w:t>
      </w:r>
      <w:r w:rsidR="00B17AE1" w:rsidRPr="00F60A3D">
        <w:rPr>
          <w:lang w:val="fr-FR"/>
        </w:rPr>
        <w:t>M. </w:t>
      </w:r>
      <w:r w:rsidR="00071C73" w:rsidRPr="00F60A3D">
        <w:rPr>
          <w:lang w:val="fr-FR"/>
        </w:rPr>
        <w:t>S</w:t>
      </w:r>
      <w:r w:rsidR="003259F9" w:rsidRPr="00F60A3D">
        <w:rPr>
          <w:lang w:val="fr-FR"/>
        </w:rPr>
        <w:t>ilvio</w:t>
      </w:r>
      <w:r w:rsidR="00071C73" w:rsidRPr="00F60A3D">
        <w:rPr>
          <w:lang w:val="fr-FR"/>
        </w:rPr>
        <w:t xml:space="preserve"> Berlusconi a </w:t>
      </w:r>
      <w:r w:rsidR="003259F9" w:rsidRPr="00F60A3D">
        <w:rPr>
          <w:lang w:val="fr-FR"/>
        </w:rPr>
        <w:t>pris les fonctions</w:t>
      </w:r>
      <w:r w:rsidR="00071C73" w:rsidRPr="00F60A3D">
        <w:rPr>
          <w:lang w:val="fr-FR"/>
        </w:rPr>
        <w:t xml:space="preserve"> de </w:t>
      </w:r>
      <w:r w:rsidR="0085576A" w:rsidRPr="00F60A3D">
        <w:rPr>
          <w:lang w:val="fr-FR"/>
        </w:rPr>
        <w:t>P</w:t>
      </w:r>
      <w:r w:rsidR="0007768D" w:rsidRPr="00F60A3D">
        <w:rPr>
          <w:lang w:val="fr-FR"/>
        </w:rPr>
        <w:t>ré</w:t>
      </w:r>
      <w:r w:rsidR="00071C73" w:rsidRPr="00F60A3D">
        <w:rPr>
          <w:lang w:val="fr-FR"/>
        </w:rPr>
        <w:t xml:space="preserve">sident </w:t>
      </w:r>
      <w:r w:rsidR="0007768D" w:rsidRPr="00F60A3D">
        <w:rPr>
          <w:lang w:val="fr-FR"/>
        </w:rPr>
        <w:t>du C</w:t>
      </w:r>
      <w:r w:rsidR="00071C73" w:rsidRPr="00F60A3D">
        <w:rPr>
          <w:lang w:val="fr-FR"/>
        </w:rPr>
        <w:t xml:space="preserve">onseil des Ministres </w:t>
      </w:r>
      <w:r w:rsidR="003259F9" w:rsidRPr="00F60A3D">
        <w:rPr>
          <w:lang w:val="fr-FR"/>
        </w:rPr>
        <w:t xml:space="preserve">en 1994 </w:t>
      </w:r>
      <w:r w:rsidR="00071C73" w:rsidRPr="00F60A3D">
        <w:rPr>
          <w:lang w:val="fr-FR"/>
        </w:rPr>
        <w:t>e</w:t>
      </w:r>
      <w:r w:rsidR="000104DD" w:rsidRPr="00F60A3D">
        <w:rPr>
          <w:lang w:val="fr-FR"/>
        </w:rPr>
        <w:t xml:space="preserve">t </w:t>
      </w:r>
      <w:r w:rsidR="005534EE" w:rsidRPr="00F60A3D">
        <w:rPr>
          <w:lang w:val="fr-FR"/>
        </w:rPr>
        <w:t xml:space="preserve">il </w:t>
      </w:r>
      <w:r w:rsidR="000104DD" w:rsidRPr="00F60A3D">
        <w:rPr>
          <w:lang w:val="fr-FR"/>
        </w:rPr>
        <w:t>a</w:t>
      </w:r>
      <w:r w:rsidR="00071C73" w:rsidRPr="00F60A3D">
        <w:rPr>
          <w:lang w:val="fr-FR"/>
        </w:rPr>
        <w:t xml:space="preserve"> dirigé le Gouv</w:t>
      </w:r>
      <w:r w:rsidR="00886F18" w:rsidRPr="00F60A3D">
        <w:rPr>
          <w:lang w:val="fr-FR"/>
        </w:rPr>
        <w:t xml:space="preserve">ernement </w:t>
      </w:r>
      <w:r w:rsidR="003259F9" w:rsidRPr="00F60A3D">
        <w:rPr>
          <w:lang w:val="fr-FR"/>
        </w:rPr>
        <w:t>jusqu</w:t>
      </w:r>
      <w:r w:rsidR="00B17AE1" w:rsidRPr="00F60A3D">
        <w:rPr>
          <w:lang w:val="fr-FR"/>
        </w:rPr>
        <w:t>’</w:t>
      </w:r>
      <w:r w:rsidR="003259F9" w:rsidRPr="00F60A3D">
        <w:rPr>
          <w:lang w:val="fr-FR"/>
        </w:rPr>
        <w:t>au début de 1995.</w:t>
      </w:r>
      <w:r w:rsidR="00731982" w:rsidRPr="00F60A3D">
        <w:rPr>
          <w:lang w:val="fr-FR"/>
        </w:rPr>
        <w:t xml:space="preserve"> </w:t>
      </w:r>
      <w:r w:rsidR="003259F9" w:rsidRPr="00F60A3D">
        <w:rPr>
          <w:lang w:val="fr-FR"/>
        </w:rPr>
        <w:t>U</w:t>
      </w:r>
      <w:r w:rsidR="00876B3F" w:rsidRPr="00F60A3D">
        <w:rPr>
          <w:lang w:val="fr-FR"/>
        </w:rPr>
        <w:t>n gouvernement technique</w:t>
      </w:r>
      <w:r w:rsidR="00A158A4" w:rsidRPr="00F60A3D">
        <w:rPr>
          <w:lang w:val="fr-FR"/>
        </w:rPr>
        <w:t xml:space="preserve"> conduit</w:t>
      </w:r>
      <w:r w:rsidR="00B17AE1" w:rsidRPr="00F60A3D">
        <w:rPr>
          <w:lang w:val="fr-FR"/>
        </w:rPr>
        <w:t xml:space="preserve"> par M. </w:t>
      </w:r>
      <w:r w:rsidR="003259F9" w:rsidRPr="00F60A3D">
        <w:rPr>
          <w:lang w:val="fr-FR"/>
        </w:rPr>
        <w:t>Lamberto</w:t>
      </w:r>
      <w:r w:rsidR="00071C73" w:rsidRPr="00F60A3D">
        <w:rPr>
          <w:lang w:val="fr-FR"/>
        </w:rPr>
        <w:t xml:space="preserve"> Dini est </w:t>
      </w:r>
      <w:r w:rsidR="003259F9" w:rsidRPr="00F60A3D">
        <w:rPr>
          <w:lang w:val="fr-FR"/>
        </w:rPr>
        <w:t>alors</w:t>
      </w:r>
      <w:r w:rsidR="00886F18" w:rsidRPr="00F60A3D">
        <w:rPr>
          <w:lang w:val="fr-FR"/>
        </w:rPr>
        <w:t xml:space="preserve"> </w:t>
      </w:r>
      <w:r w:rsidR="00071C73" w:rsidRPr="00F60A3D">
        <w:rPr>
          <w:lang w:val="fr-FR"/>
        </w:rPr>
        <w:t xml:space="preserve">entré en fonction. </w:t>
      </w:r>
      <w:r w:rsidR="0085576A" w:rsidRPr="00F60A3D">
        <w:rPr>
          <w:lang w:val="fr-FR"/>
        </w:rPr>
        <w:t>Il</w:t>
      </w:r>
      <w:r w:rsidR="003259F9" w:rsidRPr="00F60A3D">
        <w:rPr>
          <w:lang w:val="fr-FR"/>
        </w:rPr>
        <w:t xml:space="preserve"> est </w:t>
      </w:r>
      <w:r w:rsidR="00C41D06" w:rsidRPr="00F60A3D">
        <w:rPr>
          <w:lang w:val="fr-FR"/>
        </w:rPr>
        <w:t xml:space="preserve">tombé au début de </w:t>
      </w:r>
      <w:r w:rsidR="00BF1734" w:rsidRPr="00F60A3D">
        <w:rPr>
          <w:lang w:val="fr-FR"/>
        </w:rPr>
        <w:t>1996</w:t>
      </w:r>
      <w:r w:rsidR="005D1027" w:rsidRPr="00F60A3D">
        <w:rPr>
          <w:rStyle w:val="FootnoteReference"/>
          <w:lang w:val="fr-FR"/>
        </w:rPr>
        <w:footnoteReference w:id="10"/>
      </w:r>
      <w:r w:rsidR="00BF1734" w:rsidRPr="00F60A3D">
        <w:rPr>
          <w:lang w:val="fr-FR"/>
        </w:rPr>
        <w:t>.</w:t>
      </w:r>
    </w:p>
    <w:p w:rsidR="000104DD" w:rsidRPr="00F60A3D" w:rsidRDefault="00280053" w:rsidP="001D2CCC">
      <w:pPr>
        <w:pStyle w:val="SingleTxtG"/>
        <w:rPr>
          <w:lang w:val="fr-FR"/>
        </w:rPr>
      </w:pPr>
      <w:r w:rsidRPr="00F60A3D">
        <w:rPr>
          <w:lang w:val="fr-FR"/>
        </w:rPr>
        <w:lastRenderedPageBreak/>
        <w:t>19</w:t>
      </w:r>
      <w:r w:rsidR="001D2CCC" w:rsidRPr="00F60A3D">
        <w:rPr>
          <w:lang w:val="fr-FR"/>
        </w:rPr>
        <w:t>.</w:t>
      </w:r>
      <w:r w:rsidR="001D2CCC" w:rsidRPr="00F60A3D">
        <w:rPr>
          <w:lang w:val="fr-FR"/>
        </w:rPr>
        <w:tab/>
      </w:r>
      <w:r w:rsidR="000104DD" w:rsidRPr="00F60A3D">
        <w:rPr>
          <w:lang w:val="fr-FR"/>
        </w:rPr>
        <w:t xml:space="preserve">Une série de coalitions de centre-gauche </w:t>
      </w:r>
      <w:r w:rsidR="005534EE" w:rsidRPr="00F60A3D">
        <w:rPr>
          <w:lang w:val="fr-FR"/>
        </w:rPr>
        <w:t>a ensuite dominé</w:t>
      </w:r>
      <w:r w:rsidR="000104DD" w:rsidRPr="00F60A3D">
        <w:rPr>
          <w:lang w:val="fr-FR"/>
        </w:rPr>
        <w:t xml:space="preserve"> le paysage po</w:t>
      </w:r>
      <w:r w:rsidR="005534EE" w:rsidRPr="00F60A3D">
        <w:rPr>
          <w:lang w:val="fr-FR"/>
        </w:rPr>
        <w:t>litique italien (</w:t>
      </w:r>
      <w:r w:rsidR="00BF1734" w:rsidRPr="00F60A3D">
        <w:rPr>
          <w:lang w:val="fr-FR"/>
        </w:rPr>
        <w:t xml:space="preserve">de 1996 à </w:t>
      </w:r>
      <w:r w:rsidR="003259F9" w:rsidRPr="00F60A3D">
        <w:rPr>
          <w:lang w:val="fr-FR"/>
        </w:rPr>
        <w:t>2001). U</w:t>
      </w:r>
      <w:r w:rsidR="0033552E" w:rsidRPr="00F60A3D">
        <w:rPr>
          <w:lang w:val="fr-FR"/>
        </w:rPr>
        <w:t>ne coalition de</w:t>
      </w:r>
      <w:r w:rsidR="000E772C" w:rsidRPr="00F60A3D">
        <w:rPr>
          <w:lang w:val="fr-FR"/>
        </w:rPr>
        <w:t xml:space="preserve"> </w:t>
      </w:r>
      <w:r w:rsidR="000104DD" w:rsidRPr="00F60A3D">
        <w:rPr>
          <w:lang w:val="fr-FR"/>
        </w:rPr>
        <w:t>centre-droit</w:t>
      </w:r>
      <w:r w:rsidR="003259F9" w:rsidRPr="00F60A3D">
        <w:rPr>
          <w:lang w:val="fr-FR"/>
        </w:rPr>
        <w:t xml:space="preserve"> lui a succédé</w:t>
      </w:r>
      <w:r w:rsidR="000104DD" w:rsidRPr="00F60A3D">
        <w:rPr>
          <w:lang w:val="fr-FR"/>
        </w:rPr>
        <w:t>, s</w:t>
      </w:r>
      <w:r w:rsidR="003259F9" w:rsidRPr="00F60A3D">
        <w:rPr>
          <w:lang w:val="fr-FR"/>
        </w:rPr>
        <w:t xml:space="preserve">auf de 2006 à 2008, période pendant laquelle </w:t>
      </w:r>
      <w:r w:rsidR="00B17AE1" w:rsidRPr="00F60A3D">
        <w:rPr>
          <w:lang w:val="fr-FR"/>
        </w:rPr>
        <w:t>M. </w:t>
      </w:r>
      <w:r w:rsidR="003259F9" w:rsidRPr="00F60A3D">
        <w:rPr>
          <w:lang w:val="fr-FR"/>
        </w:rPr>
        <w:t>Romano</w:t>
      </w:r>
      <w:r w:rsidR="000104DD" w:rsidRPr="00F60A3D">
        <w:rPr>
          <w:lang w:val="fr-FR"/>
        </w:rPr>
        <w:t xml:space="preserve"> Prodi </w:t>
      </w:r>
      <w:r w:rsidR="008E054F" w:rsidRPr="00F60A3D">
        <w:rPr>
          <w:lang w:val="fr-FR"/>
        </w:rPr>
        <w:t xml:space="preserve">du </w:t>
      </w:r>
      <w:r w:rsidR="000E772C" w:rsidRPr="00F60A3D">
        <w:rPr>
          <w:lang w:val="fr-FR"/>
        </w:rPr>
        <w:t>centre-gauche</w:t>
      </w:r>
      <w:r w:rsidR="003259F9" w:rsidRPr="00F60A3D">
        <w:rPr>
          <w:lang w:val="fr-FR"/>
        </w:rPr>
        <w:t>,</w:t>
      </w:r>
      <w:r w:rsidR="000E772C" w:rsidRPr="00F60A3D">
        <w:rPr>
          <w:lang w:val="fr-FR"/>
        </w:rPr>
        <w:t xml:space="preserve"> </w:t>
      </w:r>
      <w:r w:rsidR="00801E9A" w:rsidRPr="00F60A3D">
        <w:rPr>
          <w:lang w:val="fr-FR"/>
        </w:rPr>
        <w:t>a conduit</w:t>
      </w:r>
      <w:r w:rsidR="000E772C" w:rsidRPr="00F60A3D">
        <w:rPr>
          <w:lang w:val="fr-FR"/>
        </w:rPr>
        <w:t xml:space="preserve"> le Gouvernement. </w:t>
      </w:r>
    </w:p>
    <w:p w:rsidR="003A6760" w:rsidRPr="00F60A3D" w:rsidRDefault="00224935" w:rsidP="00B17AE1">
      <w:pPr>
        <w:pStyle w:val="SingleTxtG"/>
        <w:rPr>
          <w:lang w:val="fr-FR"/>
        </w:rPr>
      </w:pPr>
      <w:r w:rsidRPr="00F60A3D">
        <w:rPr>
          <w:lang w:val="fr-FR"/>
        </w:rPr>
        <w:t>20.</w:t>
      </w:r>
      <w:r w:rsidR="001D2CCC" w:rsidRPr="00F60A3D">
        <w:rPr>
          <w:lang w:val="fr-FR"/>
        </w:rPr>
        <w:tab/>
      </w:r>
      <w:r w:rsidR="003A6760" w:rsidRPr="00F60A3D">
        <w:rPr>
          <w:lang w:val="fr-FR"/>
        </w:rPr>
        <w:t>En</w:t>
      </w:r>
      <w:r w:rsidR="00CC6F71" w:rsidRPr="00F60A3D">
        <w:rPr>
          <w:lang w:val="fr-FR"/>
        </w:rPr>
        <w:t xml:space="preserve"> 2011, </w:t>
      </w:r>
      <w:r w:rsidR="005F0CE6" w:rsidRPr="00F60A3D">
        <w:rPr>
          <w:lang w:val="fr-FR"/>
        </w:rPr>
        <w:t xml:space="preserve">un </w:t>
      </w:r>
      <w:r w:rsidR="00EE5383" w:rsidRPr="00F60A3D">
        <w:rPr>
          <w:lang w:val="fr-FR"/>
        </w:rPr>
        <w:t xml:space="preserve">nouveau </w:t>
      </w:r>
      <w:r w:rsidR="00876B3F" w:rsidRPr="00F60A3D">
        <w:rPr>
          <w:lang w:val="fr-FR"/>
        </w:rPr>
        <w:t>gouvernement technique</w:t>
      </w:r>
      <w:r w:rsidR="003A6760" w:rsidRPr="00F60A3D">
        <w:rPr>
          <w:lang w:val="fr-FR"/>
        </w:rPr>
        <w:t xml:space="preserve"> dirig</w:t>
      </w:r>
      <w:r w:rsidR="005534EE" w:rsidRPr="00F60A3D">
        <w:rPr>
          <w:lang w:val="fr-FR"/>
        </w:rPr>
        <w:t xml:space="preserve">é par </w:t>
      </w:r>
      <w:r w:rsidR="00B17AE1" w:rsidRPr="00F60A3D">
        <w:rPr>
          <w:lang w:val="fr-FR"/>
        </w:rPr>
        <w:t>M. </w:t>
      </w:r>
      <w:r w:rsidR="003259F9" w:rsidRPr="00F60A3D">
        <w:rPr>
          <w:lang w:val="fr-FR"/>
        </w:rPr>
        <w:t xml:space="preserve">Mario </w:t>
      </w:r>
      <w:r w:rsidR="005534EE" w:rsidRPr="00F60A3D">
        <w:rPr>
          <w:lang w:val="fr-FR"/>
        </w:rPr>
        <w:t xml:space="preserve">Monti </w:t>
      </w:r>
      <w:r w:rsidR="004B2645" w:rsidRPr="00F60A3D">
        <w:rPr>
          <w:lang w:val="fr-FR"/>
        </w:rPr>
        <w:t>a prêté</w:t>
      </w:r>
      <w:r w:rsidR="003259F9" w:rsidRPr="00F60A3D">
        <w:rPr>
          <w:lang w:val="fr-FR"/>
        </w:rPr>
        <w:t xml:space="preserve"> serment. U</w:t>
      </w:r>
      <w:r w:rsidR="005534EE" w:rsidRPr="00F60A3D">
        <w:rPr>
          <w:lang w:val="fr-FR"/>
        </w:rPr>
        <w:t>n</w:t>
      </w:r>
      <w:r w:rsidR="003259F9" w:rsidRPr="00F60A3D">
        <w:rPr>
          <w:lang w:val="fr-FR"/>
        </w:rPr>
        <w:t xml:space="preserve"> </w:t>
      </w:r>
      <w:r w:rsidR="00801E9A" w:rsidRPr="00F60A3D">
        <w:rPr>
          <w:lang w:val="fr-FR"/>
        </w:rPr>
        <w:t>gouvernement</w:t>
      </w:r>
      <w:r w:rsidR="003259F9" w:rsidRPr="00F60A3D">
        <w:rPr>
          <w:lang w:val="fr-FR"/>
        </w:rPr>
        <w:t xml:space="preserve"> de centre-gauche mené par </w:t>
      </w:r>
      <w:r w:rsidR="00B17AE1" w:rsidRPr="00F60A3D">
        <w:rPr>
          <w:lang w:val="fr-FR"/>
        </w:rPr>
        <w:t>M. </w:t>
      </w:r>
      <w:r w:rsidR="003259F9" w:rsidRPr="00F60A3D">
        <w:rPr>
          <w:lang w:val="fr-FR"/>
        </w:rPr>
        <w:t>Enrico</w:t>
      </w:r>
      <w:r w:rsidR="00A00C6A" w:rsidRPr="00F60A3D">
        <w:rPr>
          <w:lang w:val="fr-FR"/>
        </w:rPr>
        <w:t xml:space="preserve"> Letta lui </w:t>
      </w:r>
      <w:r w:rsidR="004B2645" w:rsidRPr="00F60A3D">
        <w:rPr>
          <w:lang w:val="fr-FR"/>
        </w:rPr>
        <w:t xml:space="preserve">a </w:t>
      </w:r>
      <w:r w:rsidR="006F1128" w:rsidRPr="00F60A3D">
        <w:rPr>
          <w:lang w:val="fr-FR"/>
        </w:rPr>
        <w:t>succé</w:t>
      </w:r>
      <w:r w:rsidR="003A6760" w:rsidRPr="00F60A3D">
        <w:rPr>
          <w:lang w:val="fr-FR"/>
        </w:rPr>
        <w:t>d</w:t>
      </w:r>
      <w:r w:rsidR="004B2645" w:rsidRPr="00F60A3D">
        <w:rPr>
          <w:lang w:val="fr-FR"/>
        </w:rPr>
        <w:t>é</w:t>
      </w:r>
      <w:r w:rsidR="00A158A4" w:rsidRPr="00F60A3D">
        <w:rPr>
          <w:lang w:val="fr-FR"/>
        </w:rPr>
        <w:t xml:space="preserve"> (jusqu</w:t>
      </w:r>
      <w:r w:rsidR="00B17AE1" w:rsidRPr="00F60A3D">
        <w:rPr>
          <w:lang w:val="fr-FR"/>
        </w:rPr>
        <w:t>’</w:t>
      </w:r>
      <w:r w:rsidR="003A6760" w:rsidRPr="00F60A3D">
        <w:rPr>
          <w:lang w:val="fr-FR"/>
        </w:rPr>
        <w:t xml:space="preserve">au 14 février 2014). </w:t>
      </w:r>
    </w:p>
    <w:p w:rsidR="00CC6F71" w:rsidRPr="00F60A3D" w:rsidRDefault="00280053" w:rsidP="00B17AE1">
      <w:pPr>
        <w:pStyle w:val="SingleTxtG"/>
        <w:rPr>
          <w:lang w:val="fr-FR"/>
        </w:rPr>
      </w:pPr>
      <w:r w:rsidRPr="00F60A3D">
        <w:rPr>
          <w:lang w:val="fr-FR"/>
        </w:rPr>
        <w:t>21</w:t>
      </w:r>
      <w:r w:rsidR="001D2CCC" w:rsidRPr="00F60A3D">
        <w:rPr>
          <w:lang w:val="fr-FR"/>
        </w:rPr>
        <w:t>.</w:t>
      </w:r>
      <w:r w:rsidR="001D2CCC" w:rsidRPr="00F60A3D">
        <w:rPr>
          <w:lang w:val="fr-FR"/>
        </w:rPr>
        <w:tab/>
      </w:r>
      <w:r w:rsidR="003A6760" w:rsidRPr="00F60A3D">
        <w:rPr>
          <w:lang w:val="fr-FR"/>
        </w:rPr>
        <w:t>Suite aux élections générales tenue</w:t>
      </w:r>
      <w:r w:rsidR="005534EE" w:rsidRPr="00F60A3D">
        <w:rPr>
          <w:lang w:val="fr-FR"/>
        </w:rPr>
        <w:t>s en février 2013, la XVII</w:t>
      </w:r>
      <w:r w:rsidR="00764058" w:rsidRPr="00F60A3D">
        <w:rPr>
          <w:vertAlign w:val="superscript"/>
          <w:lang w:val="fr-FR"/>
        </w:rPr>
        <w:t>e</w:t>
      </w:r>
      <w:r w:rsidR="007D0FAF" w:rsidRPr="00F60A3D">
        <w:rPr>
          <w:lang w:val="fr-FR"/>
        </w:rPr>
        <w:t> </w:t>
      </w:r>
      <w:r w:rsidR="004608AC" w:rsidRPr="00F60A3D">
        <w:rPr>
          <w:lang w:val="fr-FR"/>
        </w:rPr>
        <w:t>l</w:t>
      </w:r>
      <w:r w:rsidR="0085576A" w:rsidRPr="00F60A3D">
        <w:rPr>
          <w:lang w:val="fr-FR"/>
        </w:rPr>
        <w:t>égislature</w:t>
      </w:r>
      <w:r w:rsidR="00304A80" w:rsidRPr="00F60A3D">
        <w:rPr>
          <w:lang w:val="fr-FR"/>
        </w:rPr>
        <w:t xml:space="preserve"> a vu</w:t>
      </w:r>
      <w:r w:rsidR="00B17AE1" w:rsidRPr="00F60A3D">
        <w:rPr>
          <w:lang w:val="fr-FR"/>
        </w:rPr>
        <w:t xml:space="preserve"> le jour le 15 </w:t>
      </w:r>
      <w:r w:rsidR="003A6760" w:rsidRPr="00F60A3D">
        <w:rPr>
          <w:lang w:val="fr-FR"/>
        </w:rPr>
        <w:t>mars 2013</w:t>
      </w:r>
      <w:r w:rsidR="00731982" w:rsidRPr="00F60A3D">
        <w:rPr>
          <w:lang w:val="fr-FR"/>
        </w:rPr>
        <w:t>;</w:t>
      </w:r>
      <w:r w:rsidR="00A158A4" w:rsidRPr="00F60A3D">
        <w:rPr>
          <w:lang w:val="fr-FR"/>
        </w:rPr>
        <w:t xml:space="preserve"> le Gouvernement est </w:t>
      </w:r>
      <w:r w:rsidR="005534EE" w:rsidRPr="00F60A3D">
        <w:rPr>
          <w:lang w:val="fr-FR"/>
        </w:rPr>
        <w:t xml:space="preserve">à présent </w:t>
      </w:r>
      <w:r w:rsidR="003A6760" w:rsidRPr="00F60A3D">
        <w:rPr>
          <w:lang w:val="fr-FR"/>
        </w:rPr>
        <w:t xml:space="preserve">dirigé par une coalition de centre-gauche. </w:t>
      </w:r>
    </w:p>
    <w:p w:rsidR="003A6760" w:rsidRPr="00F60A3D" w:rsidRDefault="00224935" w:rsidP="00B17AE1">
      <w:pPr>
        <w:pStyle w:val="SingleTxtG"/>
        <w:rPr>
          <w:lang w:val="fr-FR"/>
        </w:rPr>
      </w:pPr>
      <w:r w:rsidRPr="00F60A3D">
        <w:rPr>
          <w:lang w:val="fr-FR"/>
        </w:rPr>
        <w:t>22.</w:t>
      </w:r>
      <w:r w:rsidR="001D2CCC" w:rsidRPr="00F60A3D">
        <w:rPr>
          <w:lang w:val="fr-FR"/>
        </w:rPr>
        <w:tab/>
      </w:r>
      <w:r w:rsidR="003A6760" w:rsidRPr="00F60A3D">
        <w:rPr>
          <w:lang w:val="fr-FR"/>
        </w:rPr>
        <w:t>Depuis le 22</w:t>
      </w:r>
      <w:r w:rsidR="00B17AE1" w:rsidRPr="00F60A3D">
        <w:rPr>
          <w:lang w:val="fr-FR"/>
        </w:rPr>
        <w:t> </w:t>
      </w:r>
      <w:r w:rsidR="003A6760" w:rsidRPr="00F60A3D">
        <w:rPr>
          <w:lang w:val="fr-FR"/>
        </w:rPr>
        <w:t xml:space="preserve">février </w:t>
      </w:r>
      <w:r w:rsidR="003259F9" w:rsidRPr="00F60A3D">
        <w:rPr>
          <w:lang w:val="fr-FR"/>
        </w:rPr>
        <w:t xml:space="preserve">2014, </w:t>
      </w:r>
      <w:r w:rsidR="00B17AE1" w:rsidRPr="00F60A3D">
        <w:rPr>
          <w:lang w:val="fr-FR"/>
        </w:rPr>
        <w:t>M. </w:t>
      </w:r>
      <w:r w:rsidR="003259F9" w:rsidRPr="00F60A3D">
        <w:rPr>
          <w:lang w:val="fr-FR"/>
        </w:rPr>
        <w:t>Ma</w:t>
      </w:r>
      <w:r w:rsidR="001349C4" w:rsidRPr="00F60A3D">
        <w:rPr>
          <w:lang w:val="fr-FR"/>
        </w:rPr>
        <w:t>t</w:t>
      </w:r>
      <w:r w:rsidR="003259F9" w:rsidRPr="00F60A3D">
        <w:rPr>
          <w:lang w:val="fr-FR"/>
        </w:rPr>
        <w:t xml:space="preserve">teo Renzi est </w:t>
      </w:r>
      <w:r w:rsidR="00083EB0" w:rsidRPr="00F60A3D">
        <w:rPr>
          <w:lang w:val="fr-FR"/>
        </w:rPr>
        <w:t>P</w:t>
      </w:r>
      <w:r w:rsidR="00A00C6A" w:rsidRPr="00F60A3D">
        <w:rPr>
          <w:lang w:val="fr-FR"/>
        </w:rPr>
        <w:t>ré</w:t>
      </w:r>
      <w:r w:rsidR="003A6760" w:rsidRPr="00F60A3D">
        <w:rPr>
          <w:lang w:val="fr-FR"/>
        </w:rPr>
        <w:t>sident du Conseil des ministres (</w:t>
      </w:r>
      <w:r w:rsidR="00B17AE1" w:rsidRPr="00F60A3D">
        <w:rPr>
          <w:lang w:val="fr-FR"/>
        </w:rPr>
        <w:t>M. </w:t>
      </w:r>
      <w:r w:rsidR="003A6760" w:rsidRPr="00F60A3D">
        <w:rPr>
          <w:lang w:val="fr-FR"/>
        </w:rPr>
        <w:t>Renzi est également l</w:t>
      </w:r>
      <w:r w:rsidR="00B17AE1" w:rsidRPr="00F60A3D">
        <w:rPr>
          <w:lang w:val="fr-FR"/>
        </w:rPr>
        <w:t>’</w:t>
      </w:r>
      <w:r w:rsidR="003A6760" w:rsidRPr="00F60A3D">
        <w:rPr>
          <w:lang w:val="fr-FR"/>
        </w:rPr>
        <w:t xml:space="preserve">actuel Secrétaire </w:t>
      </w:r>
      <w:r w:rsidR="00066C0E" w:rsidRPr="00F60A3D">
        <w:rPr>
          <w:lang w:val="fr-FR"/>
        </w:rPr>
        <w:t>du P</w:t>
      </w:r>
      <w:r w:rsidR="003A6760" w:rsidRPr="00F60A3D">
        <w:rPr>
          <w:lang w:val="fr-FR"/>
        </w:rPr>
        <w:t>arti démocrate).</w:t>
      </w:r>
      <w:r w:rsidR="00731982" w:rsidRPr="00F60A3D">
        <w:rPr>
          <w:lang w:val="fr-FR"/>
        </w:rPr>
        <w:t xml:space="preserve"> </w:t>
      </w:r>
    </w:p>
    <w:p w:rsidR="00CC6F71" w:rsidRPr="00F60A3D" w:rsidRDefault="00224935" w:rsidP="00B17AE1">
      <w:pPr>
        <w:pStyle w:val="SingleTxtG"/>
        <w:rPr>
          <w:lang w:val="fr-FR"/>
        </w:rPr>
      </w:pPr>
      <w:r w:rsidRPr="00F60A3D">
        <w:rPr>
          <w:lang w:val="fr-FR"/>
        </w:rPr>
        <w:t>23.</w:t>
      </w:r>
      <w:r w:rsidR="001D2CCC" w:rsidRPr="00F60A3D">
        <w:rPr>
          <w:lang w:val="fr-FR"/>
        </w:rPr>
        <w:tab/>
      </w:r>
      <w:r w:rsidR="003A6760" w:rsidRPr="00F60A3D">
        <w:rPr>
          <w:lang w:val="fr-FR"/>
        </w:rPr>
        <w:t>Par ailleurs, depuis le 3</w:t>
      </w:r>
      <w:r w:rsidR="00B17AE1" w:rsidRPr="00F60A3D">
        <w:rPr>
          <w:lang w:val="fr-FR"/>
        </w:rPr>
        <w:t> </w:t>
      </w:r>
      <w:r w:rsidR="003A6760" w:rsidRPr="00F60A3D">
        <w:rPr>
          <w:lang w:val="fr-FR"/>
        </w:rPr>
        <w:t xml:space="preserve">février 2015, </w:t>
      </w:r>
      <w:r w:rsidR="00B17AE1" w:rsidRPr="00F60A3D">
        <w:rPr>
          <w:lang w:val="fr-FR"/>
        </w:rPr>
        <w:t>M. </w:t>
      </w:r>
      <w:r w:rsidR="003259F9" w:rsidRPr="00F60A3D">
        <w:rPr>
          <w:lang w:val="fr-FR"/>
        </w:rPr>
        <w:t>Sergio Mattarella est le douzième</w:t>
      </w:r>
      <w:r w:rsidR="00CE0C8D" w:rsidRPr="00F60A3D">
        <w:rPr>
          <w:lang w:val="fr-FR"/>
        </w:rPr>
        <w:t xml:space="preserve"> c</w:t>
      </w:r>
      <w:r w:rsidR="003A6760" w:rsidRPr="00F60A3D">
        <w:rPr>
          <w:lang w:val="fr-FR"/>
        </w:rPr>
        <w:t>hef de l</w:t>
      </w:r>
      <w:r w:rsidR="00B17AE1" w:rsidRPr="00F60A3D">
        <w:rPr>
          <w:lang w:val="fr-FR"/>
        </w:rPr>
        <w:t>’</w:t>
      </w:r>
      <w:r w:rsidR="003A6760" w:rsidRPr="00F60A3D">
        <w:rPr>
          <w:lang w:val="fr-FR"/>
        </w:rPr>
        <w:t xml:space="preserve">État italien. </w:t>
      </w:r>
      <w:bookmarkStart w:id="6" w:name="_Toc73328510"/>
      <w:bookmarkStart w:id="7" w:name="_Toc73946162"/>
      <w:bookmarkStart w:id="8" w:name="_Toc133268778"/>
    </w:p>
    <w:p w:rsidR="00CC6F71" w:rsidRPr="00F60A3D" w:rsidRDefault="001A36F9" w:rsidP="00B17AE1">
      <w:pPr>
        <w:pStyle w:val="H1G"/>
        <w:rPr>
          <w:lang w:val="fr-FR"/>
        </w:rPr>
      </w:pPr>
      <w:r w:rsidRPr="00F60A3D">
        <w:rPr>
          <w:lang w:val="fr-FR"/>
        </w:rPr>
        <w:tab/>
      </w:r>
      <w:r w:rsidR="008301A4" w:rsidRPr="00F60A3D">
        <w:rPr>
          <w:lang w:val="fr-FR"/>
        </w:rPr>
        <w:t>A.</w:t>
      </w:r>
      <w:r w:rsidRPr="00F60A3D">
        <w:rPr>
          <w:lang w:val="fr-FR"/>
        </w:rPr>
        <w:tab/>
      </w:r>
      <w:r w:rsidR="004A140D" w:rsidRPr="00F60A3D">
        <w:rPr>
          <w:lang w:val="fr-FR"/>
        </w:rPr>
        <w:t>Caractéristiques démographiques, économiques, sociales et culturelles</w:t>
      </w:r>
      <w:r w:rsidR="00CC6F71" w:rsidRPr="00F60A3D">
        <w:rPr>
          <w:lang w:val="fr-FR"/>
        </w:rPr>
        <w:t xml:space="preserve"> </w:t>
      </w:r>
      <w:bookmarkEnd w:id="6"/>
      <w:bookmarkEnd w:id="7"/>
      <w:bookmarkEnd w:id="8"/>
    </w:p>
    <w:p w:rsidR="00CC6F71" w:rsidRPr="00F60A3D" w:rsidRDefault="006C3E29" w:rsidP="00B17AE1">
      <w:pPr>
        <w:pStyle w:val="H23G"/>
        <w:rPr>
          <w:lang w:val="fr-FR"/>
        </w:rPr>
      </w:pPr>
      <w:r w:rsidRPr="00F60A3D">
        <w:rPr>
          <w:lang w:val="fr-FR"/>
        </w:rPr>
        <w:tab/>
      </w:r>
      <w:r w:rsidRPr="00F60A3D">
        <w:rPr>
          <w:lang w:val="fr-FR"/>
        </w:rPr>
        <w:tab/>
      </w:r>
      <w:r w:rsidR="00A158A4" w:rsidRPr="00F60A3D">
        <w:rPr>
          <w:lang w:val="fr-FR"/>
        </w:rPr>
        <w:t>Géographie et</w:t>
      </w:r>
      <w:r w:rsidR="004A140D" w:rsidRPr="00F60A3D">
        <w:rPr>
          <w:lang w:val="fr-FR"/>
        </w:rPr>
        <w:t xml:space="preserve"> climat</w:t>
      </w:r>
    </w:p>
    <w:p w:rsidR="004A140D" w:rsidRPr="00F60A3D" w:rsidRDefault="00280053" w:rsidP="00764058">
      <w:pPr>
        <w:pStyle w:val="SingleTxtG"/>
        <w:rPr>
          <w:lang w:val="fr-FR"/>
        </w:rPr>
      </w:pPr>
      <w:r w:rsidRPr="00F60A3D">
        <w:rPr>
          <w:lang w:val="fr-FR"/>
        </w:rPr>
        <w:t>24</w:t>
      </w:r>
      <w:r w:rsidR="001D2CCC" w:rsidRPr="00F60A3D">
        <w:rPr>
          <w:lang w:val="fr-FR"/>
        </w:rPr>
        <w:t>.</w:t>
      </w:r>
      <w:r w:rsidR="001D2CCC" w:rsidRPr="00F60A3D">
        <w:rPr>
          <w:lang w:val="fr-FR"/>
        </w:rPr>
        <w:tab/>
      </w:r>
      <w:r w:rsidR="004A140D" w:rsidRPr="00F60A3D">
        <w:rPr>
          <w:lang w:val="fr-FR"/>
        </w:rPr>
        <w:t>La Républ</w:t>
      </w:r>
      <w:r w:rsidR="00EE5383" w:rsidRPr="00F60A3D">
        <w:rPr>
          <w:lang w:val="fr-FR"/>
        </w:rPr>
        <w:t>ique d</w:t>
      </w:r>
      <w:r w:rsidR="00B17AE1" w:rsidRPr="00F60A3D">
        <w:rPr>
          <w:lang w:val="fr-FR"/>
        </w:rPr>
        <w:t>’</w:t>
      </w:r>
      <w:r w:rsidR="00EE5383" w:rsidRPr="00F60A3D">
        <w:rPr>
          <w:lang w:val="fr-FR"/>
        </w:rPr>
        <w:t>Italie est un État d</w:t>
      </w:r>
      <w:r w:rsidR="00B17AE1" w:rsidRPr="00F60A3D">
        <w:rPr>
          <w:lang w:val="fr-FR"/>
        </w:rPr>
        <w:t>’</w:t>
      </w:r>
      <w:r w:rsidR="00D305B7" w:rsidRPr="00F60A3D">
        <w:rPr>
          <w:lang w:val="fr-FR"/>
        </w:rPr>
        <w:t>Europe du Sud</w:t>
      </w:r>
      <w:r w:rsidR="00F1779C" w:rsidRPr="00F60A3D">
        <w:rPr>
          <w:lang w:val="fr-FR"/>
        </w:rPr>
        <w:t>,</w:t>
      </w:r>
      <w:r w:rsidR="00D305B7" w:rsidRPr="00F60A3D">
        <w:rPr>
          <w:lang w:val="fr-FR"/>
        </w:rPr>
        <w:t xml:space="preserve"> doté d</w:t>
      </w:r>
      <w:r w:rsidR="00B17AE1" w:rsidRPr="00F60A3D">
        <w:rPr>
          <w:lang w:val="fr-FR"/>
        </w:rPr>
        <w:t>’</w:t>
      </w:r>
      <w:r w:rsidR="004A140D" w:rsidRPr="00F60A3D">
        <w:rPr>
          <w:lang w:val="fr-FR"/>
        </w:rPr>
        <w:t>une p</w:t>
      </w:r>
      <w:r w:rsidR="00066C0E" w:rsidRPr="00F60A3D">
        <w:rPr>
          <w:lang w:val="fr-FR"/>
        </w:rPr>
        <w:t>artie péninsulaire en</w:t>
      </w:r>
      <w:r w:rsidR="00D305B7" w:rsidRPr="00F60A3D">
        <w:rPr>
          <w:lang w:val="fr-FR"/>
        </w:rPr>
        <w:t xml:space="preserve"> mer M</w:t>
      </w:r>
      <w:r w:rsidR="00EA3502" w:rsidRPr="00F60A3D">
        <w:rPr>
          <w:lang w:val="fr-FR"/>
        </w:rPr>
        <w:t>édite</w:t>
      </w:r>
      <w:r w:rsidR="004A140D" w:rsidRPr="00F60A3D">
        <w:rPr>
          <w:lang w:val="fr-FR"/>
        </w:rPr>
        <w:t>rr</w:t>
      </w:r>
      <w:r w:rsidR="00D305B7" w:rsidRPr="00F60A3D">
        <w:rPr>
          <w:lang w:val="fr-FR"/>
        </w:rPr>
        <w:t>anée et de frontières avec la F</w:t>
      </w:r>
      <w:r w:rsidR="004A140D" w:rsidRPr="00F60A3D">
        <w:rPr>
          <w:lang w:val="fr-FR"/>
        </w:rPr>
        <w:t>rance, la Suisse, l</w:t>
      </w:r>
      <w:r w:rsidR="00B17AE1" w:rsidRPr="00F60A3D">
        <w:rPr>
          <w:lang w:val="fr-FR"/>
        </w:rPr>
        <w:t>’</w:t>
      </w:r>
      <w:r w:rsidR="004A140D" w:rsidRPr="00F60A3D">
        <w:rPr>
          <w:lang w:val="fr-FR"/>
        </w:rPr>
        <w:t>Autriche et la Slovénie</w:t>
      </w:r>
      <w:r w:rsidR="00A158A4" w:rsidRPr="00F60A3D">
        <w:rPr>
          <w:lang w:val="fr-FR"/>
        </w:rPr>
        <w:t>,</w:t>
      </w:r>
      <w:r w:rsidR="002B3590" w:rsidRPr="00F60A3D">
        <w:rPr>
          <w:lang w:val="fr-FR"/>
        </w:rPr>
        <w:t xml:space="preserve"> dans s</w:t>
      </w:r>
      <w:r w:rsidR="003259F9" w:rsidRPr="00F60A3D">
        <w:rPr>
          <w:lang w:val="fr-FR"/>
        </w:rPr>
        <w:t>a partie septentrionale</w:t>
      </w:r>
      <w:r w:rsidR="004A140D" w:rsidRPr="00F60A3D">
        <w:rPr>
          <w:lang w:val="fr-FR"/>
        </w:rPr>
        <w:t>. D</w:t>
      </w:r>
      <w:r w:rsidR="00B17AE1" w:rsidRPr="00F60A3D">
        <w:rPr>
          <w:lang w:val="fr-FR"/>
        </w:rPr>
        <w:t>’</w:t>
      </w:r>
      <w:r w:rsidR="004A140D" w:rsidRPr="00F60A3D">
        <w:rPr>
          <w:lang w:val="fr-FR"/>
        </w:rPr>
        <w:t>une superficie d</w:t>
      </w:r>
      <w:r w:rsidR="00764058" w:rsidRPr="00F60A3D">
        <w:rPr>
          <w:lang w:val="fr-FR"/>
        </w:rPr>
        <w:t>e 301 230 </w:t>
      </w:r>
      <w:r w:rsidR="004A140D" w:rsidRPr="00F60A3D">
        <w:rPr>
          <w:lang w:val="fr-FR"/>
        </w:rPr>
        <w:t>k</w:t>
      </w:r>
      <w:r w:rsidR="00764058" w:rsidRPr="00F60A3D">
        <w:rPr>
          <w:lang w:val="fr-FR"/>
        </w:rPr>
        <w:t>ilomètres carrés</w:t>
      </w:r>
      <w:r w:rsidR="004A140D" w:rsidRPr="00F60A3D">
        <w:rPr>
          <w:lang w:val="fr-FR"/>
        </w:rPr>
        <w:t>, elle s</w:t>
      </w:r>
      <w:r w:rsidR="00B17AE1" w:rsidRPr="00F60A3D">
        <w:rPr>
          <w:lang w:val="fr-FR"/>
        </w:rPr>
        <w:t>’</w:t>
      </w:r>
      <w:r w:rsidR="004A140D" w:rsidRPr="00F60A3D">
        <w:rPr>
          <w:lang w:val="fr-FR"/>
        </w:rPr>
        <w:t>étend des Alpes à la mer Méditer</w:t>
      </w:r>
      <w:r w:rsidR="00E45EB2" w:rsidRPr="00F60A3D">
        <w:rPr>
          <w:lang w:val="fr-FR"/>
        </w:rPr>
        <w:t>ranée au s</w:t>
      </w:r>
      <w:r w:rsidR="004A140D" w:rsidRPr="00F60A3D">
        <w:rPr>
          <w:lang w:val="fr-FR"/>
        </w:rPr>
        <w:t>ud. L</w:t>
      </w:r>
      <w:r w:rsidR="00B17AE1" w:rsidRPr="00F60A3D">
        <w:rPr>
          <w:lang w:val="fr-FR"/>
        </w:rPr>
        <w:t>’</w:t>
      </w:r>
      <w:r w:rsidR="004A140D" w:rsidRPr="00F60A3D">
        <w:rPr>
          <w:lang w:val="fr-FR"/>
        </w:rPr>
        <w:t>île de Lampedusa est</w:t>
      </w:r>
      <w:r w:rsidR="006447B2" w:rsidRPr="00F60A3D">
        <w:rPr>
          <w:lang w:val="fr-FR"/>
        </w:rPr>
        <w:t xml:space="preserve"> </w:t>
      </w:r>
      <w:r w:rsidR="003259F9" w:rsidRPr="00F60A3D">
        <w:rPr>
          <w:lang w:val="fr-FR"/>
        </w:rPr>
        <w:t xml:space="preserve">le point le </w:t>
      </w:r>
      <w:r w:rsidR="001A2C7C" w:rsidRPr="00F60A3D">
        <w:rPr>
          <w:lang w:val="fr-FR"/>
        </w:rPr>
        <w:t xml:space="preserve">plus </w:t>
      </w:r>
      <w:r w:rsidR="006447B2" w:rsidRPr="00F60A3D">
        <w:rPr>
          <w:lang w:val="fr-FR"/>
        </w:rPr>
        <w:t>au sud</w:t>
      </w:r>
      <w:r w:rsidR="003259F9" w:rsidRPr="00F60A3D">
        <w:rPr>
          <w:lang w:val="fr-FR"/>
        </w:rPr>
        <w:t xml:space="preserve"> du territoire italien</w:t>
      </w:r>
      <w:r w:rsidR="004A140D" w:rsidRPr="00F60A3D">
        <w:rPr>
          <w:lang w:val="fr-FR"/>
        </w:rPr>
        <w:t xml:space="preserve">. </w:t>
      </w:r>
    </w:p>
    <w:p w:rsidR="00CC6F71" w:rsidRPr="00F60A3D" w:rsidRDefault="00236F23" w:rsidP="001D2CCC">
      <w:pPr>
        <w:pStyle w:val="SingleTxtG"/>
        <w:rPr>
          <w:lang w:val="fr-FR"/>
        </w:rPr>
      </w:pPr>
      <w:r w:rsidRPr="00F60A3D">
        <w:rPr>
          <w:lang w:val="fr-FR"/>
        </w:rPr>
        <w:t>25</w:t>
      </w:r>
      <w:r w:rsidR="001D2CCC" w:rsidRPr="00F60A3D">
        <w:rPr>
          <w:lang w:val="fr-FR"/>
        </w:rPr>
        <w:t>.</w:t>
      </w:r>
      <w:r w:rsidR="001D2CCC" w:rsidRPr="00F60A3D">
        <w:rPr>
          <w:lang w:val="fr-FR"/>
        </w:rPr>
        <w:tab/>
      </w:r>
      <w:r w:rsidR="003C276A" w:rsidRPr="00F60A3D">
        <w:rPr>
          <w:lang w:val="fr-FR"/>
        </w:rPr>
        <w:t>L</w:t>
      </w:r>
      <w:r w:rsidR="00B17AE1" w:rsidRPr="00F60A3D">
        <w:rPr>
          <w:lang w:val="fr-FR"/>
        </w:rPr>
        <w:t>’</w:t>
      </w:r>
      <w:r w:rsidR="003C276A" w:rsidRPr="00F60A3D">
        <w:rPr>
          <w:lang w:val="fr-FR"/>
        </w:rPr>
        <w:t>altitude la plus basse</w:t>
      </w:r>
      <w:r w:rsidR="00A158A4" w:rsidRPr="00F60A3D">
        <w:rPr>
          <w:lang w:val="fr-FR"/>
        </w:rPr>
        <w:t xml:space="preserve"> se situe au niveau de la</w:t>
      </w:r>
      <w:r w:rsidR="004A140D" w:rsidRPr="00F60A3D">
        <w:rPr>
          <w:lang w:val="fr-FR"/>
        </w:rPr>
        <w:t xml:space="preserve"> M</w:t>
      </w:r>
      <w:r w:rsidR="00D305B7" w:rsidRPr="00F60A3D">
        <w:rPr>
          <w:lang w:val="fr-FR"/>
        </w:rPr>
        <w:t>éditerranée (0 m);</w:t>
      </w:r>
      <w:r w:rsidR="004A140D" w:rsidRPr="00F60A3D">
        <w:rPr>
          <w:lang w:val="fr-FR"/>
        </w:rPr>
        <w:t xml:space="preserve"> le </w:t>
      </w:r>
      <w:r w:rsidR="003C276A" w:rsidRPr="00F60A3D">
        <w:rPr>
          <w:lang w:val="fr-FR"/>
        </w:rPr>
        <w:t xml:space="preserve">massif italien le </w:t>
      </w:r>
      <w:r w:rsidR="004A140D" w:rsidRPr="00F60A3D">
        <w:rPr>
          <w:lang w:val="fr-FR"/>
        </w:rPr>
        <w:t>plus élevé est le Mont</w:t>
      </w:r>
      <w:r w:rsidR="003259F9" w:rsidRPr="00F60A3D">
        <w:rPr>
          <w:lang w:val="fr-FR"/>
        </w:rPr>
        <w:t>-</w:t>
      </w:r>
      <w:r w:rsidR="004A140D" w:rsidRPr="00F60A3D">
        <w:rPr>
          <w:lang w:val="fr-FR"/>
        </w:rPr>
        <w:t>Bla</w:t>
      </w:r>
      <w:r w:rsidR="008E174A" w:rsidRPr="00F60A3D">
        <w:rPr>
          <w:lang w:val="fr-FR"/>
        </w:rPr>
        <w:t>nc (4</w:t>
      </w:r>
      <w:r w:rsidR="00B17AE1" w:rsidRPr="00F60A3D">
        <w:rPr>
          <w:lang w:val="fr-FR"/>
        </w:rPr>
        <w:t> </w:t>
      </w:r>
      <w:r w:rsidR="008E174A" w:rsidRPr="00F60A3D">
        <w:rPr>
          <w:lang w:val="fr-FR"/>
        </w:rPr>
        <w:t xml:space="preserve">748 m), </w:t>
      </w:r>
      <w:r w:rsidR="00F700D2" w:rsidRPr="00F60A3D">
        <w:rPr>
          <w:lang w:val="fr-FR"/>
        </w:rPr>
        <w:t>dans les Alp</w:t>
      </w:r>
      <w:r w:rsidR="004A140D" w:rsidRPr="00F60A3D">
        <w:rPr>
          <w:lang w:val="fr-FR"/>
        </w:rPr>
        <w:t>es (NO).</w:t>
      </w:r>
      <w:r w:rsidR="00731982" w:rsidRPr="00F60A3D">
        <w:rPr>
          <w:lang w:val="fr-FR"/>
        </w:rPr>
        <w:t xml:space="preserve"> </w:t>
      </w:r>
    </w:p>
    <w:p w:rsidR="00CC6F71" w:rsidRPr="00F60A3D" w:rsidRDefault="00236F23" w:rsidP="001D2CCC">
      <w:pPr>
        <w:pStyle w:val="SingleTxtG"/>
        <w:rPr>
          <w:lang w:val="fr-FR"/>
        </w:rPr>
      </w:pPr>
      <w:r w:rsidRPr="00F60A3D">
        <w:rPr>
          <w:lang w:val="fr-FR"/>
        </w:rPr>
        <w:t>26</w:t>
      </w:r>
      <w:r w:rsidR="001D2CCC" w:rsidRPr="00F60A3D">
        <w:rPr>
          <w:lang w:val="fr-FR"/>
        </w:rPr>
        <w:t>.</w:t>
      </w:r>
      <w:r w:rsidR="001D2CCC" w:rsidRPr="00F60A3D">
        <w:rPr>
          <w:lang w:val="fr-FR"/>
        </w:rPr>
        <w:tab/>
      </w:r>
      <w:r w:rsidR="00D305B7" w:rsidRPr="00F60A3D">
        <w:rPr>
          <w:lang w:val="fr-FR"/>
        </w:rPr>
        <w:t>La position de l</w:t>
      </w:r>
      <w:r w:rsidR="00B17AE1" w:rsidRPr="00F60A3D">
        <w:rPr>
          <w:lang w:val="fr-FR"/>
        </w:rPr>
        <w:t>’</w:t>
      </w:r>
      <w:r w:rsidR="00D305B7" w:rsidRPr="00F60A3D">
        <w:rPr>
          <w:lang w:val="fr-FR"/>
        </w:rPr>
        <w:t xml:space="preserve">Italie dans la </w:t>
      </w:r>
      <w:r w:rsidR="00E45EB2" w:rsidRPr="00F60A3D">
        <w:rPr>
          <w:lang w:val="fr-FR"/>
        </w:rPr>
        <w:t>zone</w:t>
      </w:r>
      <w:r w:rsidR="00D305B7" w:rsidRPr="00F60A3D">
        <w:rPr>
          <w:lang w:val="fr-FR"/>
        </w:rPr>
        <w:t xml:space="preserve"> méditerranéenne détermine son climat. Du Nord au Sud</w:t>
      </w:r>
      <w:r w:rsidR="00083EB0" w:rsidRPr="00F60A3D">
        <w:rPr>
          <w:lang w:val="fr-FR"/>
        </w:rPr>
        <w:t>,</w:t>
      </w:r>
      <w:r w:rsidR="003259F9" w:rsidRPr="00F60A3D">
        <w:rPr>
          <w:lang w:val="fr-FR"/>
        </w:rPr>
        <w:t xml:space="preserve"> on constate </w:t>
      </w:r>
      <w:r w:rsidR="00D305B7" w:rsidRPr="00F60A3D">
        <w:rPr>
          <w:lang w:val="fr-FR"/>
        </w:rPr>
        <w:t xml:space="preserve">une transition progressive de températures plus fraîches à un climat méditerranéen tempéré. </w:t>
      </w:r>
    </w:p>
    <w:p w:rsidR="001E36E0" w:rsidRPr="00F60A3D" w:rsidRDefault="00236F23" w:rsidP="00B17AE1">
      <w:pPr>
        <w:pStyle w:val="SingleTxtG"/>
        <w:rPr>
          <w:lang w:val="fr-FR"/>
        </w:rPr>
      </w:pPr>
      <w:r w:rsidRPr="00F60A3D">
        <w:rPr>
          <w:lang w:val="fr-FR"/>
        </w:rPr>
        <w:t>27</w:t>
      </w:r>
      <w:r w:rsidR="001D2CCC" w:rsidRPr="00F60A3D">
        <w:rPr>
          <w:lang w:val="fr-FR"/>
        </w:rPr>
        <w:t>.</w:t>
      </w:r>
      <w:r w:rsidR="001D2CCC" w:rsidRPr="00F60A3D">
        <w:rPr>
          <w:lang w:val="fr-FR"/>
        </w:rPr>
        <w:tab/>
      </w:r>
      <w:r w:rsidR="00F700D2" w:rsidRPr="00F60A3D">
        <w:rPr>
          <w:lang w:val="fr-FR"/>
        </w:rPr>
        <w:t xml:space="preserve">Sur le plan géographique, </w:t>
      </w:r>
      <w:r w:rsidR="003259F9" w:rsidRPr="00F60A3D">
        <w:rPr>
          <w:lang w:val="fr-FR"/>
        </w:rPr>
        <w:t>l</w:t>
      </w:r>
      <w:r w:rsidR="00B17AE1" w:rsidRPr="00F60A3D">
        <w:rPr>
          <w:lang w:val="fr-FR"/>
        </w:rPr>
        <w:t>’</w:t>
      </w:r>
      <w:r w:rsidR="003259F9" w:rsidRPr="00F60A3D">
        <w:rPr>
          <w:lang w:val="fr-FR"/>
        </w:rPr>
        <w:t>Italie</w:t>
      </w:r>
      <w:r w:rsidR="001E36E0" w:rsidRPr="00F60A3D">
        <w:rPr>
          <w:lang w:val="fr-FR"/>
        </w:rPr>
        <w:t xml:space="preserve"> peut </w:t>
      </w:r>
      <w:r w:rsidR="0016551E" w:rsidRPr="00F60A3D">
        <w:rPr>
          <w:lang w:val="fr-FR"/>
        </w:rPr>
        <w:t xml:space="preserve">se diviser en trois zones: </w:t>
      </w:r>
      <w:r w:rsidR="002B3590" w:rsidRPr="00F60A3D">
        <w:rPr>
          <w:lang w:val="fr-FR"/>
        </w:rPr>
        <w:t>Nord, C</w:t>
      </w:r>
      <w:r w:rsidR="001E36E0" w:rsidRPr="00F60A3D">
        <w:rPr>
          <w:lang w:val="fr-FR"/>
        </w:rPr>
        <w:t>entre</w:t>
      </w:r>
      <w:r w:rsidR="002B3590" w:rsidRPr="00F60A3D">
        <w:rPr>
          <w:lang w:val="fr-FR"/>
        </w:rPr>
        <w:t xml:space="preserve"> et S</w:t>
      </w:r>
      <w:r w:rsidR="001E36E0" w:rsidRPr="00F60A3D">
        <w:rPr>
          <w:lang w:val="fr-FR"/>
        </w:rPr>
        <w:t xml:space="preserve">ud, composées respectivement </w:t>
      </w:r>
      <w:r w:rsidR="00F1779C" w:rsidRPr="00F60A3D">
        <w:rPr>
          <w:lang w:val="fr-FR"/>
        </w:rPr>
        <w:t xml:space="preserve">des régions suivantes: </w:t>
      </w:r>
      <w:r w:rsidR="0016551E" w:rsidRPr="00F60A3D">
        <w:rPr>
          <w:lang w:val="fr-FR"/>
        </w:rPr>
        <w:t>i)</w:t>
      </w:r>
      <w:r w:rsidR="00B17AE1" w:rsidRPr="00F60A3D">
        <w:rPr>
          <w:lang w:val="fr-FR"/>
        </w:rPr>
        <w:t> </w:t>
      </w:r>
      <w:r w:rsidR="00F1779C" w:rsidRPr="00F60A3D">
        <w:rPr>
          <w:lang w:val="fr-FR"/>
        </w:rPr>
        <w:t>Piedmont, Vallée d</w:t>
      </w:r>
      <w:r w:rsidR="00B17AE1" w:rsidRPr="00F60A3D">
        <w:rPr>
          <w:lang w:val="fr-FR"/>
        </w:rPr>
        <w:t>’</w:t>
      </w:r>
      <w:r w:rsidR="00F1779C" w:rsidRPr="00F60A3D">
        <w:rPr>
          <w:lang w:val="fr-FR"/>
        </w:rPr>
        <w:t>Aoste, Ligurie, Lombardie,</w:t>
      </w:r>
      <w:r w:rsidR="001E36E0" w:rsidRPr="00F60A3D">
        <w:rPr>
          <w:lang w:val="fr-FR"/>
        </w:rPr>
        <w:t xml:space="preserve"> Trenti</w:t>
      </w:r>
      <w:r w:rsidR="00EA5053" w:rsidRPr="00F60A3D">
        <w:rPr>
          <w:lang w:val="fr-FR"/>
        </w:rPr>
        <w:t>n</w:t>
      </w:r>
      <w:r w:rsidR="00D26282" w:rsidRPr="00F60A3D">
        <w:rPr>
          <w:lang w:val="fr-FR"/>
        </w:rPr>
        <w:t xml:space="preserve"> – </w:t>
      </w:r>
      <w:r w:rsidR="00F1779C" w:rsidRPr="00F60A3D">
        <w:rPr>
          <w:lang w:val="fr-FR"/>
        </w:rPr>
        <w:t>Haut-Adige,</w:t>
      </w:r>
      <w:r w:rsidR="00646DA4" w:rsidRPr="00F60A3D">
        <w:rPr>
          <w:lang w:val="fr-FR"/>
        </w:rPr>
        <w:t xml:space="preserve"> Frioul-Vén</w:t>
      </w:r>
      <w:r w:rsidR="00F700D2" w:rsidRPr="00F60A3D">
        <w:rPr>
          <w:lang w:val="fr-FR"/>
        </w:rPr>
        <w:t>ét</w:t>
      </w:r>
      <w:r w:rsidR="00F1779C" w:rsidRPr="00F60A3D">
        <w:rPr>
          <w:lang w:val="fr-FR"/>
        </w:rPr>
        <w:t>ie Julienne, Vénétie</w:t>
      </w:r>
      <w:r w:rsidR="00731982" w:rsidRPr="00F60A3D">
        <w:rPr>
          <w:lang w:val="fr-FR"/>
        </w:rPr>
        <w:t xml:space="preserve"> </w:t>
      </w:r>
      <w:r w:rsidR="005E445C" w:rsidRPr="00F60A3D">
        <w:rPr>
          <w:lang w:val="fr-FR"/>
        </w:rPr>
        <w:t xml:space="preserve">et Émilie-Romagne; </w:t>
      </w:r>
      <w:r w:rsidR="001E36E0" w:rsidRPr="00F60A3D">
        <w:rPr>
          <w:lang w:val="fr-FR"/>
        </w:rPr>
        <w:t>ii)</w:t>
      </w:r>
      <w:r w:rsidR="00B17AE1" w:rsidRPr="00F60A3D">
        <w:rPr>
          <w:lang w:val="fr-FR"/>
        </w:rPr>
        <w:t> </w:t>
      </w:r>
      <w:r w:rsidR="001E36E0" w:rsidRPr="00F60A3D">
        <w:rPr>
          <w:lang w:val="fr-FR"/>
        </w:rPr>
        <w:t>To</w:t>
      </w:r>
      <w:r w:rsidR="005E445C" w:rsidRPr="00F60A3D">
        <w:rPr>
          <w:lang w:val="fr-FR"/>
        </w:rPr>
        <w:t xml:space="preserve">scane, Latium, Ombrie, Marche; </w:t>
      </w:r>
      <w:r w:rsidR="001E36E0" w:rsidRPr="00F60A3D">
        <w:rPr>
          <w:lang w:val="fr-FR"/>
        </w:rPr>
        <w:t>iii)</w:t>
      </w:r>
      <w:r w:rsidR="00B17AE1" w:rsidRPr="00F60A3D">
        <w:rPr>
          <w:lang w:val="fr-FR"/>
        </w:rPr>
        <w:t> </w:t>
      </w:r>
      <w:r w:rsidR="001E36E0" w:rsidRPr="00F60A3D">
        <w:rPr>
          <w:lang w:val="fr-FR"/>
        </w:rPr>
        <w:t>Abruzzes, Molise, Campanie, Basilicate, Pouilles, Calab</w:t>
      </w:r>
      <w:r w:rsidR="005E445C" w:rsidRPr="00F60A3D">
        <w:rPr>
          <w:lang w:val="fr-FR"/>
        </w:rPr>
        <w:t>re, Sicile et Sardaigne (</w:t>
      </w:r>
      <w:r w:rsidR="00731982" w:rsidRPr="00F60A3D">
        <w:rPr>
          <w:lang w:val="fr-FR"/>
        </w:rPr>
        <w:t>art. </w:t>
      </w:r>
      <w:r w:rsidR="001E36E0" w:rsidRPr="00F60A3D">
        <w:rPr>
          <w:lang w:val="fr-FR"/>
        </w:rPr>
        <w:t xml:space="preserve">114 et suivants de la Loi fondamentale). </w:t>
      </w:r>
    </w:p>
    <w:p w:rsidR="00CC6F71" w:rsidRPr="00F60A3D" w:rsidRDefault="00236F23" w:rsidP="00B17AE1">
      <w:pPr>
        <w:pStyle w:val="SingleTxtG"/>
        <w:rPr>
          <w:lang w:val="fr-FR"/>
        </w:rPr>
      </w:pPr>
      <w:r w:rsidRPr="00F60A3D">
        <w:rPr>
          <w:lang w:val="fr-FR"/>
        </w:rPr>
        <w:t>28</w:t>
      </w:r>
      <w:r w:rsidR="001D2CCC" w:rsidRPr="00F60A3D">
        <w:rPr>
          <w:lang w:val="fr-FR"/>
        </w:rPr>
        <w:t>.</w:t>
      </w:r>
      <w:r w:rsidR="001D2CCC" w:rsidRPr="00F60A3D">
        <w:rPr>
          <w:lang w:val="fr-FR"/>
        </w:rPr>
        <w:tab/>
      </w:r>
      <w:r w:rsidR="00597645" w:rsidRPr="00F60A3D">
        <w:rPr>
          <w:lang w:val="fr-FR"/>
        </w:rPr>
        <w:t>Le territoire national comprend</w:t>
      </w:r>
      <w:r w:rsidR="001E36E0" w:rsidRPr="00F60A3D">
        <w:rPr>
          <w:lang w:val="fr-FR"/>
        </w:rPr>
        <w:t xml:space="preserve"> </w:t>
      </w:r>
      <w:r w:rsidR="00B17AE1" w:rsidRPr="00F60A3D">
        <w:rPr>
          <w:lang w:val="fr-FR"/>
        </w:rPr>
        <w:t>20 </w:t>
      </w:r>
      <w:r w:rsidR="007F39B0" w:rsidRPr="00F60A3D">
        <w:rPr>
          <w:lang w:val="fr-FR"/>
        </w:rPr>
        <w:t>ré</w:t>
      </w:r>
      <w:r w:rsidR="001E36E0" w:rsidRPr="00F60A3D">
        <w:rPr>
          <w:lang w:val="fr-FR"/>
        </w:rPr>
        <w:t>gions admi</w:t>
      </w:r>
      <w:r w:rsidR="005E445C" w:rsidRPr="00F60A3D">
        <w:rPr>
          <w:lang w:val="fr-FR"/>
        </w:rPr>
        <w:t>ni</w:t>
      </w:r>
      <w:r w:rsidR="003259F9" w:rsidRPr="00F60A3D">
        <w:rPr>
          <w:lang w:val="fr-FR"/>
        </w:rPr>
        <w:t xml:space="preserve">stratives </w:t>
      </w:r>
      <w:r w:rsidR="005E445C" w:rsidRPr="00F60A3D">
        <w:rPr>
          <w:lang w:val="fr-FR"/>
        </w:rPr>
        <w:t>(</w:t>
      </w:r>
      <w:r w:rsidR="00731982" w:rsidRPr="00F60A3D">
        <w:rPr>
          <w:lang w:val="fr-FR"/>
        </w:rPr>
        <w:t>art. </w:t>
      </w:r>
      <w:r w:rsidR="001E36E0" w:rsidRPr="00F60A3D">
        <w:rPr>
          <w:lang w:val="fr-FR"/>
        </w:rPr>
        <w:t xml:space="preserve">131). </w:t>
      </w:r>
      <w:r w:rsidR="00EA5053" w:rsidRPr="00F60A3D">
        <w:rPr>
          <w:lang w:val="fr-FR"/>
        </w:rPr>
        <w:t>Plus particulièrement, en application de</w:t>
      </w:r>
      <w:r w:rsidR="00D339C2" w:rsidRPr="00F60A3D">
        <w:rPr>
          <w:lang w:val="fr-FR"/>
        </w:rPr>
        <w:t xml:space="preserve"> l</w:t>
      </w:r>
      <w:r w:rsidR="00B17AE1" w:rsidRPr="00F60A3D">
        <w:rPr>
          <w:lang w:val="fr-FR"/>
        </w:rPr>
        <w:t>’</w:t>
      </w:r>
      <w:r w:rsidR="00D26282" w:rsidRPr="00F60A3D">
        <w:rPr>
          <w:lang w:val="fr-FR"/>
        </w:rPr>
        <w:t>article </w:t>
      </w:r>
      <w:r w:rsidR="00D339C2" w:rsidRPr="00F60A3D">
        <w:rPr>
          <w:lang w:val="fr-FR"/>
        </w:rPr>
        <w:t xml:space="preserve">5 de la Constitution italienne </w:t>
      </w:r>
      <w:r w:rsidR="00EA5053" w:rsidRPr="00F60A3D">
        <w:rPr>
          <w:lang w:val="fr-FR"/>
        </w:rPr>
        <w:t>(</w:t>
      </w:r>
      <w:r w:rsidR="00196D3B" w:rsidRPr="00F60A3D">
        <w:rPr>
          <w:lang w:val="fr-FR"/>
        </w:rPr>
        <w:t xml:space="preserve">qui dispose </w:t>
      </w:r>
      <w:r w:rsidR="00731982" w:rsidRPr="00F60A3D">
        <w:rPr>
          <w:lang w:val="fr-FR"/>
        </w:rPr>
        <w:t>«</w:t>
      </w:r>
      <w:r w:rsidR="00D339C2" w:rsidRPr="00F60A3D">
        <w:rPr>
          <w:lang w:val="fr-FR"/>
        </w:rPr>
        <w:t xml:space="preserve">la République est une et indivisible. Elle reconnaît et encourage les autonomies locales et applique au maximum la </w:t>
      </w:r>
      <w:r w:rsidR="007F39B0" w:rsidRPr="00F60A3D">
        <w:rPr>
          <w:lang w:val="fr-FR"/>
        </w:rPr>
        <w:t>dé</w:t>
      </w:r>
      <w:r w:rsidR="00D339C2" w:rsidRPr="00F60A3D">
        <w:rPr>
          <w:lang w:val="fr-FR"/>
        </w:rPr>
        <w:t xml:space="preserve">centralisation administrative dans les services qui </w:t>
      </w:r>
      <w:r w:rsidR="007F39B0" w:rsidRPr="00F60A3D">
        <w:rPr>
          <w:lang w:val="fr-FR"/>
        </w:rPr>
        <w:t>dé</w:t>
      </w:r>
      <w:r w:rsidR="00D339C2" w:rsidRPr="00F60A3D">
        <w:rPr>
          <w:lang w:val="fr-FR"/>
        </w:rPr>
        <w:t>pendent de l</w:t>
      </w:r>
      <w:r w:rsidR="00B17AE1" w:rsidRPr="00F60A3D">
        <w:rPr>
          <w:lang w:val="fr-FR"/>
        </w:rPr>
        <w:t>’</w:t>
      </w:r>
      <w:r w:rsidR="007F39B0" w:rsidRPr="00F60A3D">
        <w:rPr>
          <w:lang w:val="fr-FR"/>
        </w:rPr>
        <w:t>État</w:t>
      </w:r>
      <w:r w:rsidR="007F39B0" w:rsidRPr="00F60A3D">
        <w:rPr>
          <w:i/>
          <w:lang w:val="fr-FR"/>
        </w:rPr>
        <w:t xml:space="preserve">. </w:t>
      </w:r>
      <w:r w:rsidR="007F39B0" w:rsidRPr="00F60A3D">
        <w:rPr>
          <w:lang w:val="fr-FR"/>
        </w:rPr>
        <w:t>La R</w:t>
      </w:r>
      <w:r w:rsidR="00D339C2" w:rsidRPr="00F60A3D">
        <w:rPr>
          <w:lang w:val="fr-FR"/>
        </w:rPr>
        <w:t xml:space="preserve">épublique </w:t>
      </w:r>
      <w:r w:rsidR="00A00C6A" w:rsidRPr="00F60A3D">
        <w:rPr>
          <w:lang w:val="fr-FR"/>
        </w:rPr>
        <w:t>adapte les principes et les mé</w:t>
      </w:r>
      <w:r w:rsidR="00D339C2" w:rsidRPr="00F60A3D">
        <w:rPr>
          <w:lang w:val="fr-FR"/>
        </w:rPr>
        <w:t>thod</w:t>
      </w:r>
      <w:r w:rsidR="007F39B0" w:rsidRPr="00F60A3D">
        <w:rPr>
          <w:lang w:val="fr-FR"/>
        </w:rPr>
        <w:t>e</w:t>
      </w:r>
      <w:r w:rsidR="00D339C2" w:rsidRPr="00F60A3D">
        <w:rPr>
          <w:lang w:val="fr-FR"/>
        </w:rPr>
        <w:t xml:space="preserve">s de sa </w:t>
      </w:r>
      <w:r w:rsidR="007F39B0" w:rsidRPr="00F60A3D">
        <w:rPr>
          <w:lang w:val="fr-FR"/>
        </w:rPr>
        <w:t>lé</w:t>
      </w:r>
      <w:r w:rsidR="00D339C2" w:rsidRPr="00F60A3D">
        <w:rPr>
          <w:lang w:val="fr-FR"/>
        </w:rPr>
        <w:t>gislation aux exigences</w:t>
      </w:r>
      <w:r w:rsidR="00D339C2" w:rsidRPr="00F60A3D">
        <w:rPr>
          <w:i/>
          <w:lang w:val="fr-FR"/>
        </w:rPr>
        <w:t xml:space="preserve"> </w:t>
      </w:r>
      <w:r w:rsidR="00D339C2" w:rsidRPr="00F60A3D">
        <w:rPr>
          <w:lang w:val="fr-FR"/>
        </w:rPr>
        <w:t>d</w:t>
      </w:r>
      <w:r w:rsidR="00B17AE1" w:rsidRPr="00F60A3D">
        <w:rPr>
          <w:lang w:val="fr-FR"/>
        </w:rPr>
        <w:t>’</w:t>
      </w:r>
      <w:r w:rsidR="00D339C2" w:rsidRPr="00F60A3D">
        <w:rPr>
          <w:lang w:val="fr-FR"/>
        </w:rPr>
        <w:t xml:space="preserve">autonomie et de </w:t>
      </w:r>
      <w:r w:rsidR="007F39B0" w:rsidRPr="00F60A3D">
        <w:rPr>
          <w:lang w:val="fr-FR"/>
        </w:rPr>
        <w:t>dé</w:t>
      </w:r>
      <w:r w:rsidR="00196D3B" w:rsidRPr="00F60A3D">
        <w:rPr>
          <w:lang w:val="fr-FR"/>
        </w:rPr>
        <w:t>centralisation</w:t>
      </w:r>
      <w:r w:rsidR="00731982" w:rsidRPr="00F60A3D">
        <w:rPr>
          <w:lang w:val="fr-FR"/>
        </w:rPr>
        <w:t>»</w:t>
      </w:r>
      <w:r w:rsidR="00196D3B" w:rsidRPr="00F60A3D">
        <w:rPr>
          <w:lang w:val="fr-FR"/>
        </w:rPr>
        <w:t>), l</w:t>
      </w:r>
      <w:r w:rsidR="00B17AE1" w:rsidRPr="00F60A3D">
        <w:rPr>
          <w:lang w:val="fr-FR"/>
        </w:rPr>
        <w:t>’</w:t>
      </w:r>
      <w:r w:rsidR="00196D3B" w:rsidRPr="00F60A3D">
        <w:rPr>
          <w:lang w:val="fr-FR"/>
        </w:rPr>
        <w:t xml:space="preserve">Italie se compose de: </w:t>
      </w:r>
      <w:r w:rsidR="00D339C2" w:rsidRPr="00F60A3D">
        <w:rPr>
          <w:lang w:val="fr-FR"/>
        </w:rPr>
        <w:t>i)</w:t>
      </w:r>
      <w:r w:rsidR="00B17AE1" w:rsidRPr="00F60A3D">
        <w:rPr>
          <w:lang w:val="fr-FR"/>
        </w:rPr>
        <w:t> </w:t>
      </w:r>
      <w:r w:rsidR="00D339C2" w:rsidRPr="00F60A3D">
        <w:rPr>
          <w:lang w:val="fr-FR"/>
        </w:rPr>
        <w:t>20 ré</w:t>
      </w:r>
      <w:r w:rsidR="00CC6F71" w:rsidRPr="00F60A3D">
        <w:rPr>
          <w:lang w:val="fr-FR"/>
        </w:rPr>
        <w:t>gions</w:t>
      </w:r>
      <w:r w:rsidR="005D1027" w:rsidRPr="00F60A3D">
        <w:rPr>
          <w:rStyle w:val="FootnoteReference"/>
          <w:lang w:val="fr-FR"/>
        </w:rPr>
        <w:footnoteReference w:id="11"/>
      </w:r>
      <w:r w:rsidR="00731982" w:rsidRPr="00F60A3D">
        <w:rPr>
          <w:lang w:val="fr-FR"/>
        </w:rPr>
        <w:t xml:space="preserve"> </w:t>
      </w:r>
      <w:r w:rsidR="006F092E" w:rsidRPr="00F60A3D">
        <w:rPr>
          <w:lang w:val="fr-FR"/>
        </w:rPr>
        <w:t>dont</w:t>
      </w:r>
      <w:r w:rsidR="00CC6F71" w:rsidRPr="00F60A3D">
        <w:rPr>
          <w:lang w:val="fr-FR"/>
        </w:rPr>
        <w:t xml:space="preserve"> 15 </w:t>
      </w:r>
      <w:r w:rsidR="006F092E" w:rsidRPr="00F60A3D">
        <w:rPr>
          <w:lang w:val="fr-FR"/>
        </w:rPr>
        <w:t xml:space="preserve">ont un statut ordinaire et </w:t>
      </w:r>
      <w:r w:rsidR="00B17AE1" w:rsidRPr="00F60A3D">
        <w:rPr>
          <w:lang w:val="fr-FR"/>
        </w:rPr>
        <w:t>5</w:t>
      </w:r>
      <w:r w:rsidR="006F092E" w:rsidRPr="00F60A3D">
        <w:rPr>
          <w:lang w:val="fr-FR"/>
        </w:rPr>
        <w:t xml:space="preserve"> un statut </w:t>
      </w:r>
      <w:r w:rsidR="00F76DBB" w:rsidRPr="00F60A3D">
        <w:rPr>
          <w:lang w:val="fr-FR"/>
        </w:rPr>
        <w:t>spé</w:t>
      </w:r>
      <w:r w:rsidR="00196D3B" w:rsidRPr="00F60A3D">
        <w:rPr>
          <w:lang w:val="fr-FR"/>
        </w:rPr>
        <w:t xml:space="preserve">cial; </w:t>
      </w:r>
      <w:r w:rsidR="00CE0C8D" w:rsidRPr="00F60A3D">
        <w:rPr>
          <w:lang w:val="fr-FR"/>
        </w:rPr>
        <w:t>ii)</w:t>
      </w:r>
      <w:r w:rsidR="00B17AE1" w:rsidRPr="00F60A3D">
        <w:rPr>
          <w:lang w:val="fr-FR"/>
        </w:rPr>
        <w:t> </w:t>
      </w:r>
      <w:r w:rsidR="006F092E" w:rsidRPr="00F60A3D">
        <w:rPr>
          <w:lang w:val="fr-FR"/>
        </w:rPr>
        <w:t>110 p</w:t>
      </w:r>
      <w:r w:rsidR="005E445C" w:rsidRPr="00F60A3D">
        <w:rPr>
          <w:lang w:val="fr-FR"/>
        </w:rPr>
        <w:t>rovinces</w:t>
      </w:r>
      <w:r w:rsidR="005D1027" w:rsidRPr="00F60A3D">
        <w:rPr>
          <w:rStyle w:val="FootnoteReference"/>
          <w:lang w:val="fr-FR"/>
        </w:rPr>
        <w:footnoteReference w:id="12"/>
      </w:r>
      <w:r w:rsidR="00196D3B" w:rsidRPr="00F60A3D">
        <w:rPr>
          <w:lang w:val="fr-FR"/>
        </w:rPr>
        <w:t xml:space="preserve"> et </w:t>
      </w:r>
      <w:r w:rsidR="006F092E" w:rsidRPr="00F60A3D">
        <w:rPr>
          <w:lang w:val="fr-FR"/>
        </w:rPr>
        <w:t>iii)</w:t>
      </w:r>
      <w:r w:rsidR="00B17AE1" w:rsidRPr="00F60A3D">
        <w:rPr>
          <w:lang w:val="fr-FR"/>
        </w:rPr>
        <w:t> </w:t>
      </w:r>
      <w:r w:rsidR="007F39B0" w:rsidRPr="00F60A3D">
        <w:rPr>
          <w:lang w:val="fr-FR"/>
        </w:rPr>
        <w:t>8</w:t>
      </w:r>
      <w:r w:rsidR="00B17AE1" w:rsidRPr="00F60A3D">
        <w:rPr>
          <w:lang w:val="fr-FR"/>
        </w:rPr>
        <w:t> </w:t>
      </w:r>
      <w:r w:rsidR="002B3590" w:rsidRPr="00F60A3D">
        <w:rPr>
          <w:lang w:val="fr-FR"/>
        </w:rPr>
        <w:t>000 commune</w:t>
      </w:r>
      <w:r w:rsidR="006F092E" w:rsidRPr="00F60A3D">
        <w:rPr>
          <w:lang w:val="fr-FR"/>
        </w:rPr>
        <w:t>s (en</w:t>
      </w:r>
      <w:r w:rsidR="00CC6F71" w:rsidRPr="00F60A3D">
        <w:rPr>
          <w:lang w:val="fr-FR"/>
        </w:rPr>
        <w:t xml:space="preserve"> 2016). </w:t>
      </w:r>
    </w:p>
    <w:p w:rsidR="00F76DBB" w:rsidRPr="00F60A3D" w:rsidRDefault="00236F23" w:rsidP="007A5D08">
      <w:pPr>
        <w:pStyle w:val="SingleTxtG"/>
        <w:rPr>
          <w:lang w:val="fr-FR"/>
        </w:rPr>
      </w:pPr>
      <w:r w:rsidRPr="00F60A3D">
        <w:rPr>
          <w:lang w:val="fr-FR"/>
        </w:rPr>
        <w:lastRenderedPageBreak/>
        <w:t>29</w:t>
      </w:r>
      <w:r w:rsidR="001D2CCC" w:rsidRPr="00F60A3D">
        <w:rPr>
          <w:lang w:val="fr-FR"/>
        </w:rPr>
        <w:t>.</w:t>
      </w:r>
      <w:r w:rsidR="001D2CCC" w:rsidRPr="00F60A3D">
        <w:rPr>
          <w:lang w:val="fr-FR"/>
        </w:rPr>
        <w:tab/>
      </w:r>
      <w:r w:rsidR="0065260D" w:rsidRPr="00F60A3D">
        <w:rPr>
          <w:lang w:val="fr-FR"/>
        </w:rPr>
        <w:t>Suite</w:t>
      </w:r>
      <w:r w:rsidR="006F092E" w:rsidRPr="00F60A3D">
        <w:rPr>
          <w:lang w:val="fr-FR"/>
        </w:rPr>
        <w:t xml:space="preserve"> à </w:t>
      </w:r>
      <w:r w:rsidR="0018578B" w:rsidRPr="00F60A3D">
        <w:rPr>
          <w:lang w:val="fr-FR"/>
        </w:rPr>
        <w:t>l</w:t>
      </w:r>
      <w:r w:rsidR="00B17AE1" w:rsidRPr="00F60A3D">
        <w:rPr>
          <w:lang w:val="fr-FR"/>
        </w:rPr>
        <w:t>’</w:t>
      </w:r>
      <w:r w:rsidR="0018578B" w:rsidRPr="00F60A3D">
        <w:rPr>
          <w:lang w:val="fr-FR"/>
        </w:rPr>
        <w:t xml:space="preserve">adoption de </w:t>
      </w:r>
      <w:r w:rsidR="006F092E" w:rsidRPr="00F60A3D">
        <w:rPr>
          <w:lang w:val="fr-FR"/>
        </w:rPr>
        <w:t xml:space="preserve">la loi </w:t>
      </w:r>
      <w:r w:rsidR="00B17AE1" w:rsidRPr="00F60A3D">
        <w:rPr>
          <w:lang w:val="fr-FR"/>
        </w:rPr>
        <w:t>n</w:t>
      </w:r>
      <w:r w:rsidR="00B17AE1" w:rsidRPr="00F60A3D">
        <w:rPr>
          <w:vertAlign w:val="superscript"/>
          <w:lang w:val="fr-FR"/>
        </w:rPr>
        <w:t>o</w:t>
      </w:r>
      <w:r w:rsidR="00B17AE1" w:rsidRPr="00F60A3D">
        <w:rPr>
          <w:lang w:val="fr-FR"/>
        </w:rPr>
        <w:t> </w:t>
      </w:r>
      <w:r w:rsidR="006F092E" w:rsidRPr="00F60A3D">
        <w:rPr>
          <w:lang w:val="fr-FR"/>
        </w:rPr>
        <w:t>56/2014, les p</w:t>
      </w:r>
      <w:r w:rsidR="00CC6F71" w:rsidRPr="00F60A3D">
        <w:rPr>
          <w:lang w:val="fr-FR"/>
        </w:rPr>
        <w:t xml:space="preserve">rovinces </w:t>
      </w:r>
      <w:r w:rsidR="006F092E" w:rsidRPr="00F60A3D">
        <w:rPr>
          <w:lang w:val="fr-FR"/>
        </w:rPr>
        <w:t xml:space="preserve">des </w:t>
      </w:r>
      <w:r w:rsidR="007F39B0" w:rsidRPr="00F60A3D">
        <w:rPr>
          <w:lang w:val="fr-FR"/>
        </w:rPr>
        <w:t>ré</w:t>
      </w:r>
      <w:r w:rsidR="006F092E" w:rsidRPr="00F60A3D">
        <w:rPr>
          <w:lang w:val="fr-FR"/>
        </w:rPr>
        <w:t>gions italiennes dotées d</w:t>
      </w:r>
      <w:r w:rsidR="00B17AE1" w:rsidRPr="00F60A3D">
        <w:rPr>
          <w:lang w:val="fr-FR"/>
        </w:rPr>
        <w:t>’</w:t>
      </w:r>
      <w:r w:rsidR="006F092E" w:rsidRPr="00F60A3D">
        <w:rPr>
          <w:lang w:val="fr-FR"/>
        </w:rPr>
        <w:t>un statut ordinaire ont été modifiée</w:t>
      </w:r>
      <w:r w:rsidR="00F76DBB" w:rsidRPr="00F60A3D">
        <w:rPr>
          <w:lang w:val="fr-FR"/>
        </w:rPr>
        <w:t>s</w:t>
      </w:r>
      <w:r w:rsidR="006F092E" w:rsidRPr="00F60A3D">
        <w:rPr>
          <w:lang w:val="fr-FR"/>
        </w:rPr>
        <w:t xml:space="preserve"> en organes </w:t>
      </w:r>
      <w:r w:rsidR="00F76DBB" w:rsidRPr="00F60A3D">
        <w:rPr>
          <w:lang w:val="fr-FR"/>
        </w:rPr>
        <w:t>administratifs</w:t>
      </w:r>
      <w:r w:rsidR="006F092E" w:rsidRPr="00F60A3D">
        <w:rPr>
          <w:lang w:val="fr-FR"/>
        </w:rPr>
        <w:t xml:space="preserve"> de niveau secondaire.</w:t>
      </w:r>
      <w:r w:rsidR="00F76DBB" w:rsidRPr="00F60A3D">
        <w:rPr>
          <w:lang w:val="fr-FR"/>
        </w:rPr>
        <w:t xml:space="preserve"> Parallèlement, cette loi prévoit de transformer </w:t>
      </w:r>
      <w:r w:rsidR="007A5D08" w:rsidRPr="00F60A3D">
        <w:rPr>
          <w:lang w:val="fr-FR"/>
        </w:rPr>
        <w:t>10 </w:t>
      </w:r>
      <w:r w:rsidR="00F76DBB" w:rsidRPr="00F60A3D">
        <w:rPr>
          <w:lang w:val="fr-FR"/>
        </w:rPr>
        <w:t>provinces en métropoles. Dans un but de si</w:t>
      </w:r>
      <w:r w:rsidR="002143DB" w:rsidRPr="00F60A3D">
        <w:rPr>
          <w:lang w:val="fr-FR"/>
        </w:rPr>
        <w:t>mplification, elle</w:t>
      </w:r>
      <w:r w:rsidR="00F76DBB" w:rsidRPr="00F60A3D">
        <w:rPr>
          <w:lang w:val="fr-FR"/>
        </w:rPr>
        <w:t xml:space="preserve"> a spécifiquement aboli le</w:t>
      </w:r>
      <w:r w:rsidR="003D1303" w:rsidRPr="00F60A3D">
        <w:rPr>
          <w:lang w:val="fr-FR"/>
        </w:rPr>
        <w:t xml:space="preserve"> pouvoir exécutif des provinces</w:t>
      </w:r>
      <w:r w:rsidR="00F76DBB" w:rsidRPr="00F60A3D">
        <w:rPr>
          <w:lang w:val="fr-FR"/>
        </w:rPr>
        <w:t xml:space="preserve"> et t</w:t>
      </w:r>
      <w:r w:rsidR="00BF4215" w:rsidRPr="00F60A3D">
        <w:rPr>
          <w:lang w:val="fr-FR"/>
        </w:rPr>
        <w:t>ransféré leurs compétences aux c</w:t>
      </w:r>
      <w:r w:rsidR="00F76DBB" w:rsidRPr="00F60A3D">
        <w:rPr>
          <w:lang w:val="fr-FR"/>
        </w:rPr>
        <w:t>onseils provinciaux – dont la taille a toutef</w:t>
      </w:r>
      <w:r w:rsidR="003D1180" w:rsidRPr="00F60A3D">
        <w:rPr>
          <w:lang w:val="fr-FR"/>
        </w:rPr>
        <w:t>ois été réduite. U</w:t>
      </w:r>
      <w:r w:rsidR="00F76DBB" w:rsidRPr="00F60A3D">
        <w:rPr>
          <w:lang w:val="fr-FR"/>
        </w:rPr>
        <w:t>n nouvel o</w:t>
      </w:r>
      <w:r w:rsidR="003D1180" w:rsidRPr="00F60A3D">
        <w:rPr>
          <w:lang w:val="fr-FR"/>
        </w:rPr>
        <w:t>rgane a par ailleurs été cr</w:t>
      </w:r>
      <w:r w:rsidR="007B483A" w:rsidRPr="00F60A3D">
        <w:rPr>
          <w:lang w:val="fr-FR"/>
        </w:rPr>
        <w:t>éé</w:t>
      </w:r>
      <w:r w:rsidR="00F76DBB" w:rsidRPr="00F60A3D">
        <w:rPr>
          <w:lang w:val="fr-FR"/>
        </w:rPr>
        <w:t>, à savoir l</w:t>
      </w:r>
      <w:r w:rsidR="00B17AE1" w:rsidRPr="00F60A3D">
        <w:rPr>
          <w:lang w:val="fr-FR"/>
        </w:rPr>
        <w:t>’</w:t>
      </w:r>
      <w:r w:rsidR="00F76DBB" w:rsidRPr="00F60A3D">
        <w:rPr>
          <w:lang w:val="fr-FR"/>
        </w:rPr>
        <w:t>A</w:t>
      </w:r>
      <w:r w:rsidR="00F20EE4" w:rsidRPr="00F60A3D">
        <w:rPr>
          <w:lang w:val="fr-FR"/>
        </w:rPr>
        <w:t>ssemblée des maires,</w:t>
      </w:r>
      <w:r w:rsidR="00F76DBB" w:rsidRPr="00F60A3D">
        <w:rPr>
          <w:lang w:val="fr-FR"/>
        </w:rPr>
        <w:t xml:space="preserve"> chargée de débattre du budget et des éventuels amende</w:t>
      </w:r>
      <w:r w:rsidR="00332C62" w:rsidRPr="00F60A3D">
        <w:rPr>
          <w:lang w:val="fr-FR"/>
        </w:rPr>
        <w:t>ments statutaires. A</w:t>
      </w:r>
      <w:r w:rsidR="00F76DBB" w:rsidRPr="00F60A3D">
        <w:rPr>
          <w:lang w:val="fr-FR"/>
        </w:rPr>
        <w:t>u niveau provincial</w:t>
      </w:r>
      <w:r w:rsidR="007F5547" w:rsidRPr="00F60A3D">
        <w:rPr>
          <w:lang w:val="fr-FR"/>
        </w:rPr>
        <w:t>,</w:t>
      </w:r>
      <w:r w:rsidR="00F76DBB" w:rsidRPr="00F60A3D">
        <w:rPr>
          <w:lang w:val="fr-FR"/>
        </w:rPr>
        <w:t xml:space="preserve"> </w:t>
      </w:r>
      <w:r w:rsidR="00332C62" w:rsidRPr="00F60A3D">
        <w:rPr>
          <w:lang w:val="fr-FR"/>
        </w:rPr>
        <w:t xml:space="preserve">les organes </w:t>
      </w:r>
      <w:r w:rsidR="00F76DBB" w:rsidRPr="00F60A3D">
        <w:rPr>
          <w:lang w:val="fr-FR"/>
        </w:rPr>
        <w:t xml:space="preserve">sont donc les suivants: </w:t>
      </w:r>
      <w:r w:rsidR="00F20EE4" w:rsidRPr="00F60A3D">
        <w:rPr>
          <w:lang w:val="fr-FR"/>
        </w:rPr>
        <w:t>le Pré</w:t>
      </w:r>
      <w:r w:rsidR="003D1303" w:rsidRPr="00F60A3D">
        <w:rPr>
          <w:lang w:val="fr-FR"/>
        </w:rPr>
        <w:t>sident,</w:t>
      </w:r>
      <w:r w:rsidR="00F76DBB" w:rsidRPr="00F60A3D">
        <w:rPr>
          <w:lang w:val="fr-FR"/>
        </w:rPr>
        <w:t xml:space="preserve"> </w:t>
      </w:r>
      <w:r w:rsidR="00F20EE4" w:rsidRPr="00F60A3D">
        <w:rPr>
          <w:lang w:val="fr-FR"/>
        </w:rPr>
        <w:t xml:space="preserve">le </w:t>
      </w:r>
      <w:r w:rsidR="00F76DBB" w:rsidRPr="00F60A3D">
        <w:rPr>
          <w:lang w:val="fr-FR"/>
        </w:rPr>
        <w:t xml:space="preserve">Conseil provincial et </w:t>
      </w:r>
      <w:r w:rsidR="00F20EE4" w:rsidRPr="00F60A3D">
        <w:rPr>
          <w:lang w:val="fr-FR"/>
        </w:rPr>
        <w:t>l</w:t>
      </w:r>
      <w:r w:rsidR="00B17AE1" w:rsidRPr="00F60A3D">
        <w:rPr>
          <w:lang w:val="fr-FR"/>
        </w:rPr>
        <w:t>’</w:t>
      </w:r>
      <w:r w:rsidR="00F76DBB" w:rsidRPr="00F60A3D">
        <w:rPr>
          <w:lang w:val="fr-FR"/>
        </w:rPr>
        <w:t xml:space="preserve">Assemblée des maires. </w:t>
      </w:r>
    </w:p>
    <w:p w:rsidR="00CC6F71" w:rsidRPr="00F60A3D" w:rsidRDefault="006C3E29" w:rsidP="001D2CCC">
      <w:pPr>
        <w:pStyle w:val="H23G"/>
        <w:rPr>
          <w:lang w:val="fr-FR"/>
        </w:rPr>
      </w:pPr>
      <w:r w:rsidRPr="00F60A3D">
        <w:rPr>
          <w:lang w:val="fr-FR"/>
        </w:rPr>
        <w:tab/>
      </w:r>
      <w:r w:rsidRPr="00F60A3D">
        <w:rPr>
          <w:lang w:val="fr-FR"/>
        </w:rPr>
        <w:tab/>
      </w:r>
      <w:r w:rsidR="00F76DBB" w:rsidRPr="00F60A3D">
        <w:rPr>
          <w:lang w:val="fr-FR"/>
        </w:rPr>
        <w:t>Démographie</w:t>
      </w:r>
    </w:p>
    <w:p w:rsidR="00A6601D" w:rsidRPr="00F60A3D" w:rsidRDefault="00236F23" w:rsidP="00C47750">
      <w:pPr>
        <w:pStyle w:val="SingleTxtG"/>
        <w:rPr>
          <w:lang w:val="fr-FR"/>
        </w:rPr>
      </w:pPr>
      <w:r w:rsidRPr="00F60A3D">
        <w:rPr>
          <w:lang w:val="fr-FR"/>
        </w:rPr>
        <w:t>30</w:t>
      </w:r>
      <w:r w:rsidR="008301A4" w:rsidRPr="00F60A3D">
        <w:rPr>
          <w:lang w:val="fr-FR"/>
        </w:rPr>
        <w:t>.</w:t>
      </w:r>
      <w:r w:rsidR="00B17AE1" w:rsidRPr="00F60A3D">
        <w:rPr>
          <w:lang w:val="fr-FR"/>
        </w:rPr>
        <w:tab/>
      </w:r>
      <w:r w:rsidR="006E34DC" w:rsidRPr="00F60A3D">
        <w:rPr>
          <w:lang w:val="fr-FR"/>
        </w:rPr>
        <w:t>Selon l</w:t>
      </w:r>
      <w:r w:rsidR="00B17AE1" w:rsidRPr="00F60A3D">
        <w:rPr>
          <w:lang w:val="fr-FR"/>
        </w:rPr>
        <w:t>’</w:t>
      </w:r>
      <w:r w:rsidR="00801E9A" w:rsidRPr="00F60A3D">
        <w:rPr>
          <w:lang w:val="fr-FR"/>
        </w:rPr>
        <w:t xml:space="preserve">Institut national de </w:t>
      </w:r>
      <w:r w:rsidR="003272E7" w:rsidRPr="00F60A3D">
        <w:rPr>
          <w:lang w:val="fr-FR"/>
        </w:rPr>
        <w:t>s</w:t>
      </w:r>
      <w:r w:rsidR="006E34DC" w:rsidRPr="00F60A3D">
        <w:rPr>
          <w:lang w:val="fr-FR"/>
        </w:rPr>
        <w:t>tatistique</w:t>
      </w:r>
      <w:r w:rsidR="003272E7" w:rsidRPr="00F60A3D">
        <w:rPr>
          <w:lang w:val="fr-FR"/>
        </w:rPr>
        <w:t>, a</w:t>
      </w:r>
      <w:r w:rsidR="00A6601D" w:rsidRPr="00F60A3D">
        <w:rPr>
          <w:lang w:val="fr-FR"/>
        </w:rPr>
        <w:t xml:space="preserve">u </w:t>
      </w:r>
      <w:r w:rsidR="00C47750" w:rsidRPr="00F60A3D">
        <w:rPr>
          <w:lang w:val="fr-FR"/>
        </w:rPr>
        <w:t>1</w:t>
      </w:r>
      <w:r w:rsidR="00C47750" w:rsidRPr="00F60A3D">
        <w:rPr>
          <w:vertAlign w:val="superscript"/>
          <w:lang w:val="fr-FR"/>
        </w:rPr>
        <w:t>er</w:t>
      </w:r>
      <w:r w:rsidR="00C47750" w:rsidRPr="00F60A3D">
        <w:rPr>
          <w:lang w:val="fr-FR"/>
        </w:rPr>
        <w:t> </w:t>
      </w:r>
      <w:r w:rsidR="00A6601D" w:rsidRPr="00F60A3D">
        <w:rPr>
          <w:lang w:val="fr-FR"/>
        </w:rPr>
        <w:t>janvie</w:t>
      </w:r>
      <w:r w:rsidR="00921366" w:rsidRPr="00F60A3D">
        <w:rPr>
          <w:lang w:val="fr-FR"/>
        </w:rPr>
        <w:t>r 2016, l</w:t>
      </w:r>
      <w:r w:rsidR="00B17AE1" w:rsidRPr="00F60A3D">
        <w:rPr>
          <w:lang w:val="fr-FR"/>
        </w:rPr>
        <w:t>’</w:t>
      </w:r>
      <w:r w:rsidR="00921366" w:rsidRPr="00F60A3D">
        <w:rPr>
          <w:lang w:val="fr-FR"/>
        </w:rPr>
        <w:t>Italie comptait</w:t>
      </w:r>
      <w:r w:rsidR="00A6601D" w:rsidRPr="00F60A3D">
        <w:rPr>
          <w:lang w:val="fr-FR"/>
        </w:rPr>
        <w:t xml:space="preserve"> </w:t>
      </w:r>
      <w:r w:rsidR="00764058" w:rsidRPr="00F60A3D">
        <w:rPr>
          <w:lang w:val="fr-FR"/>
        </w:rPr>
        <w:t>60 656 000 </w:t>
      </w:r>
      <w:r w:rsidR="00CC6F71" w:rsidRPr="00F60A3D">
        <w:rPr>
          <w:lang w:val="fr-FR"/>
        </w:rPr>
        <w:t>habitants,</w:t>
      </w:r>
      <w:r w:rsidR="00731982" w:rsidRPr="00F60A3D">
        <w:rPr>
          <w:lang w:val="fr-FR"/>
        </w:rPr>
        <w:t xml:space="preserve"> </w:t>
      </w:r>
      <w:r w:rsidR="00BB2286" w:rsidRPr="00F60A3D">
        <w:rPr>
          <w:lang w:val="fr-FR"/>
        </w:rPr>
        <w:t xml:space="preserve">avec une densité </w:t>
      </w:r>
      <w:r w:rsidR="00A6601D" w:rsidRPr="00F60A3D">
        <w:rPr>
          <w:lang w:val="fr-FR"/>
        </w:rPr>
        <w:t>de 201</w:t>
      </w:r>
      <w:r w:rsidR="00B17AE1" w:rsidRPr="00F60A3D">
        <w:rPr>
          <w:lang w:val="fr-FR"/>
        </w:rPr>
        <w:t> </w:t>
      </w:r>
      <w:r w:rsidR="00A6601D" w:rsidRPr="00F60A3D">
        <w:rPr>
          <w:lang w:val="fr-FR"/>
        </w:rPr>
        <w:t xml:space="preserve">habitants au kilomètre carré. La </w:t>
      </w:r>
      <w:r w:rsidR="009C5F8F" w:rsidRPr="00F60A3D">
        <w:rPr>
          <w:lang w:val="fr-FR"/>
        </w:rPr>
        <w:t>ré</w:t>
      </w:r>
      <w:r w:rsidR="00A6601D" w:rsidRPr="00F60A3D">
        <w:rPr>
          <w:lang w:val="fr-FR"/>
        </w:rPr>
        <w:t xml:space="preserve">partition de la population reste toutefois inégale. Les </w:t>
      </w:r>
      <w:r w:rsidR="009C5F8F" w:rsidRPr="00F60A3D">
        <w:rPr>
          <w:lang w:val="fr-FR"/>
        </w:rPr>
        <w:t>ré</w:t>
      </w:r>
      <w:r w:rsidR="00A6601D" w:rsidRPr="00F60A3D">
        <w:rPr>
          <w:lang w:val="fr-FR"/>
        </w:rPr>
        <w:t xml:space="preserve">gions les plus densément peuplées sont les </w:t>
      </w:r>
      <w:r w:rsidR="00332C62" w:rsidRPr="00F60A3D">
        <w:rPr>
          <w:lang w:val="fr-FR"/>
        </w:rPr>
        <w:t xml:space="preserve">zones métropolitaines de Rome et de Naples et </w:t>
      </w:r>
      <w:r w:rsidR="00A6601D" w:rsidRPr="00F60A3D">
        <w:rPr>
          <w:lang w:val="fr-FR"/>
        </w:rPr>
        <w:t>la vallée du Po</w:t>
      </w:r>
      <w:r w:rsidR="00332C62" w:rsidRPr="00F60A3D">
        <w:rPr>
          <w:lang w:val="fr-FR"/>
        </w:rPr>
        <w:t>;</w:t>
      </w:r>
      <w:r w:rsidR="00921366" w:rsidRPr="00F60A3D">
        <w:rPr>
          <w:lang w:val="fr-FR"/>
        </w:rPr>
        <w:t xml:space="preserve"> plusieurs régions demeur</w:t>
      </w:r>
      <w:r w:rsidR="009C5F8F" w:rsidRPr="00F60A3D">
        <w:rPr>
          <w:lang w:val="fr-FR"/>
        </w:rPr>
        <w:t xml:space="preserve">ent peu peuplées. </w:t>
      </w:r>
    </w:p>
    <w:p w:rsidR="00CC6F71" w:rsidRPr="00F60A3D" w:rsidRDefault="00224935" w:rsidP="00B17AE1">
      <w:pPr>
        <w:pStyle w:val="SingleTxtG"/>
        <w:rPr>
          <w:lang w:val="fr-FR"/>
        </w:rPr>
      </w:pPr>
      <w:r w:rsidRPr="00F60A3D">
        <w:rPr>
          <w:lang w:val="fr-FR"/>
        </w:rPr>
        <w:t>31</w:t>
      </w:r>
      <w:r w:rsidR="008301A4" w:rsidRPr="00F60A3D">
        <w:rPr>
          <w:lang w:val="fr-FR"/>
        </w:rPr>
        <w:t>.</w:t>
      </w:r>
      <w:r w:rsidR="001D2CCC" w:rsidRPr="00F60A3D">
        <w:rPr>
          <w:lang w:val="fr-FR"/>
        </w:rPr>
        <w:tab/>
      </w:r>
      <w:r w:rsidR="009C5F8F" w:rsidRPr="00F60A3D">
        <w:rPr>
          <w:lang w:val="fr-FR"/>
        </w:rPr>
        <w:t>La population représente 12</w:t>
      </w:r>
      <w:r w:rsidR="00B17AE1" w:rsidRPr="00F60A3D">
        <w:rPr>
          <w:lang w:val="fr-FR"/>
        </w:rPr>
        <w:t> %</w:t>
      </w:r>
      <w:r w:rsidR="009C5F8F" w:rsidRPr="00F60A3D">
        <w:rPr>
          <w:lang w:val="fr-FR"/>
        </w:rPr>
        <w:t xml:space="preserve"> de la population totale de</w:t>
      </w:r>
      <w:r w:rsidR="00AE3FC3" w:rsidRPr="00F60A3D">
        <w:rPr>
          <w:lang w:val="fr-FR"/>
        </w:rPr>
        <w:t xml:space="preserve"> l</w:t>
      </w:r>
      <w:r w:rsidR="00B17AE1" w:rsidRPr="00F60A3D">
        <w:rPr>
          <w:lang w:val="fr-FR"/>
        </w:rPr>
        <w:t>’</w:t>
      </w:r>
      <w:r w:rsidR="00AE3FC3" w:rsidRPr="00F60A3D">
        <w:rPr>
          <w:lang w:val="fr-FR"/>
        </w:rPr>
        <w:t>Union européenne</w:t>
      </w:r>
      <w:r w:rsidR="00B42488" w:rsidRPr="00F60A3D">
        <w:rPr>
          <w:lang w:val="fr-FR"/>
        </w:rPr>
        <w:t xml:space="preserve"> (UE)</w:t>
      </w:r>
      <w:r w:rsidR="00AE3FC3" w:rsidRPr="00F60A3D">
        <w:rPr>
          <w:lang w:val="fr-FR"/>
        </w:rPr>
        <w:t xml:space="preserve"> (2014); le p</w:t>
      </w:r>
      <w:r w:rsidR="009C5F8F" w:rsidRPr="00F60A3D">
        <w:rPr>
          <w:lang w:val="fr-FR"/>
        </w:rPr>
        <w:t>ro</w:t>
      </w:r>
      <w:r w:rsidR="00646DA4" w:rsidRPr="00F60A3D">
        <w:rPr>
          <w:lang w:val="fr-FR"/>
        </w:rPr>
        <w:t xml:space="preserve">duit intérieur brut (PIB) </w:t>
      </w:r>
      <w:r w:rsidR="00A00C6A" w:rsidRPr="00F60A3D">
        <w:rPr>
          <w:lang w:val="fr-FR"/>
        </w:rPr>
        <w:t>est</w:t>
      </w:r>
      <w:r w:rsidR="0085576A" w:rsidRPr="00F60A3D">
        <w:rPr>
          <w:lang w:val="fr-FR"/>
        </w:rPr>
        <w:t xml:space="preserve"> de 1</w:t>
      </w:r>
      <w:r w:rsidR="00924C1B" w:rsidRPr="00F60A3D">
        <w:rPr>
          <w:lang w:val="fr-FR"/>
        </w:rPr>
        <w:t> 000</w:t>
      </w:r>
      <w:r w:rsidR="00B17AE1" w:rsidRPr="00F60A3D">
        <w:rPr>
          <w:lang w:val="fr-FR"/>
        </w:rPr>
        <w:t> </w:t>
      </w:r>
      <w:r w:rsidR="00924C1B" w:rsidRPr="00F60A3D">
        <w:rPr>
          <w:lang w:val="fr-FR"/>
        </w:rPr>
        <w:t>milliards 616</w:t>
      </w:r>
      <w:r w:rsidR="00B17AE1" w:rsidRPr="00F60A3D">
        <w:rPr>
          <w:lang w:val="fr-FR"/>
        </w:rPr>
        <w:t> </w:t>
      </w:r>
      <w:r w:rsidR="00924C1B" w:rsidRPr="00F60A3D">
        <w:rPr>
          <w:lang w:val="fr-FR"/>
        </w:rPr>
        <w:t>m</w:t>
      </w:r>
      <w:r w:rsidR="0085576A" w:rsidRPr="00F60A3D">
        <w:rPr>
          <w:lang w:val="fr-FR"/>
        </w:rPr>
        <w:t>illion</w:t>
      </w:r>
      <w:r w:rsidR="00924C1B" w:rsidRPr="00F60A3D">
        <w:rPr>
          <w:lang w:val="fr-FR"/>
        </w:rPr>
        <w:t>s d</w:t>
      </w:r>
      <w:r w:rsidR="00B17AE1" w:rsidRPr="00F60A3D">
        <w:rPr>
          <w:lang w:val="fr-FR"/>
        </w:rPr>
        <w:t>’</w:t>
      </w:r>
      <w:r w:rsidR="00924C1B" w:rsidRPr="00F60A3D">
        <w:rPr>
          <w:lang w:val="fr-FR"/>
        </w:rPr>
        <w:t>euros</w:t>
      </w:r>
      <w:r w:rsidR="009C5F8F" w:rsidRPr="00F60A3D">
        <w:rPr>
          <w:lang w:val="fr-FR"/>
        </w:rPr>
        <w:t xml:space="preserve"> </w:t>
      </w:r>
      <w:r w:rsidR="005E445C" w:rsidRPr="00F60A3D">
        <w:rPr>
          <w:lang w:val="fr-FR"/>
        </w:rPr>
        <w:t>(2014)</w:t>
      </w:r>
      <w:r w:rsidR="005D1027" w:rsidRPr="00F60A3D">
        <w:rPr>
          <w:rStyle w:val="FootnoteReference"/>
          <w:lang w:val="fr-FR"/>
        </w:rPr>
        <w:footnoteReference w:id="13"/>
      </w:r>
      <w:r w:rsidR="005E445C" w:rsidRPr="00F60A3D">
        <w:rPr>
          <w:lang w:val="fr-FR"/>
        </w:rPr>
        <w:t>.</w:t>
      </w:r>
    </w:p>
    <w:p w:rsidR="007D38CF" w:rsidRPr="00F60A3D" w:rsidRDefault="00236F23" w:rsidP="00B17AE1">
      <w:pPr>
        <w:pStyle w:val="SingleTxtG"/>
        <w:rPr>
          <w:lang w:val="fr-FR"/>
        </w:rPr>
      </w:pPr>
      <w:r w:rsidRPr="00F60A3D">
        <w:rPr>
          <w:lang w:val="fr-FR"/>
        </w:rPr>
        <w:t>32</w:t>
      </w:r>
      <w:r w:rsidR="001D2CCC" w:rsidRPr="00F60A3D">
        <w:rPr>
          <w:lang w:val="fr-FR"/>
        </w:rPr>
        <w:t>.</w:t>
      </w:r>
      <w:r w:rsidR="001D2CCC" w:rsidRPr="00F60A3D">
        <w:rPr>
          <w:lang w:val="fr-FR"/>
        </w:rPr>
        <w:tab/>
      </w:r>
      <w:r w:rsidR="007D38CF" w:rsidRPr="00F60A3D">
        <w:rPr>
          <w:lang w:val="fr-FR"/>
        </w:rPr>
        <w:t>La</w:t>
      </w:r>
      <w:r w:rsidR="00CC6F71" w:rsidRPr="00F60A3D">
        <w:rPr>
          <w:lang w:val="fr-FR"/>
        </w:rPr>
        <w:t xml:space="preserve"> population </w:t>
      </w:r>
      <w:r w:rsidR="007D38CF" w:rsidRPr="00F60A3D">
        <w:rPr>
          <w:lang w:val="fr-FR"/>
        </w:rPr>
        <w:t>de l</w:t>
      </w:r>
      <w:r w:rsidR="00B17AE1" w:rsidRPr="00F60A3D">
        <w:rPr>
          <w:lang w:val="fr-FR"/>
        </w:rPr>
        <w:t>’</w:t>
      </w:r>
      <w:r w:rsidR="007D38CF" w:rsidRPr="00F60A3D">
        <w:rPr>
          <w:lang w:val="fr-FR"/>
        </w:rPr>
        <w:t>Italie a presque doublé au XX</w:t>
      </w:r>
      <w:r w:rsidR="007D38CF" w:rsidRPr="00F60A3D">
        <w:rPr>
          <w:vertAlign w:val="superscript"/>
          <w:lang w:val="fr-FR"/>
        </w:rPr>
        <w:t>e</w:t>
      </w:r>
      <w:r w:rsidR="00B17AE1" w:rsidRPr="00F60A3D">
        <w:rPr>
          <w:lang w:val="fr-FR"/>
        </w:rPr>
        <w:t> </w:t>
      </w:r>
      <w:r w:rsidR="007D38CF" w:rsidRPr="00F60A3D">
        <w:rPr>
          <w:lang w:val="fr-FR"/>
        </w:rPr>
        <w:t>siècle, mais la structure de la croissance a été très inégale en raison de la forte migration interne entre le Sud rural et l</w:t>
      </w:r>
      <w:r w:rsidR="00646DA4" w:rsidRPr="00F60A3D">
        <w:rPr>
          <w:lang w:val="fr-FR"/>
        </w:rPr>
        <w:t>es villes industrielles du Nord,</w:t>
      </w:r>
      <w:r w:rsidR="00BB2286" w:rsidRPr="00F60A3D">
        <w:rPr>
          <w:lang w:val="fr-FR"/>
        </w:rPr>
        <w:t xml:space="preserve"> phénomène </w:t>
      </w:r>
      <w:r w:rsidR="00646DA4" w:rsidRPr="00F60A3D">
        <w:rPr>
          <w:lang w:val="fr-FR"/>
        </w:rPr>
        <w:t>apparu avec ce que l</w:t>
      </w:r>
      <w:r w:rsidR="00B17AE1" w:rsidRPr="00F60A3D">
        <w:rPr>
          <w:lang w:val="fr-FR"/>
        </w:rPr>
        <w:t>’</w:t>
      </w:r>
      <w:r w:rsidR="00646DA4" w:rsidRPr="00F60A3D">
        <w:rPr>
          <w:lang w:val="fr-FR"/>
        </w:rPr>
        <w:t>on a appel</w:t>
      </w:r>
      <w:r w:rsidR="007D38CF" w:rsidRPr="00F60A3D">
        <w:rPr>
          <w:lang w:val="fr-FR"/>
        </w:rPr>
        <w:t>é le Miracle économique et qui remonte aux années 1950-60. Après des siècle</w:t>
      </w:r>
      <w:r w:rsidR="00646DA4" w:rsidRPr="00F60A3D">
        <w:rPr>
          <w:lang w:val="fr-FR"/>
        </w:rPr>
        <w:t>s</w:t>
      </w:r>
      <w:r w:rsidR="007D38CF" w:rsidRPr="00F60A3D">
        <w:rPr>
          <w:lang w:val="fr-FR"/>
        </w:rPr>
        <w:t xml:space="preserve"> d</w:t>
      </w:r>
      <w:r w:rsidR="00B17AE1" w:rsidRPr="00F60A3D">
        <w:rPr>
          <w:lang w:val="fr-FR"/>
        </w:rPr>
        <w:t>’</w:t>
      </w:r>
      <w:r w:rsidR="007D38CF" w:rsidRPr="00F60A3D">
        <w:rPr>
          <w:lang w:val="fr-FR"/>
        </w:rPr>
        <w:t xml:space="preserve">émigration, depuis </w:t>
      </w:r>
      <w:r w:rsidR="00A00C6A" w:rsidRPr="00F60A3D">
        <w:rPr>
          <w:lang w:val="fr-FR"/>
        </w:rPr>
        <w:t>la fin des années 1980</w:t>
      </w:r>
      <w:r w:rsidR="007D38CF" w:rsidRPr="00F60A3D">
        <w:rPr>
          <w:lang w:val="fr-FR"/>
        </w:rPr>
        <w:t xml:space="preserve"> l</w:t>
      </w:r>
      <w:r w:rsidR="00B17AE1" w:rsidRPr="00F60A3D">
        <w:rPr>
          <w:lang w:val="fr-FR"/>
        </w:rPr>
        <w:t>’</w:t>
      </w:r>
      <w:r w:rsidR="007D38CF" w:rsidRPr="00F60A3D">
        <w:rPr>
          <w:lang w:val="fr-FR"/>
        </w:rPr>
        <w:t xml:space="preserve">Italie connaît une immigration à grande échelle. </w:t>
      </w:r>
    </w:p>
    <w:p w:rsidR="00CC6F71" w:rsidRPr="00F60A3D" w:rsidRDefault="00236F23" w:rsidP="00B17AE1">
      <w:pPr>
        <w:pStyle w:val="SingleTxtG"/>
        <w:rPr>
          <w:lang w:val="fr-FR"/>
        </w:rPr>
      </w:pPr>
      <w:r w:rsidRPr="00F60A3D">
        <w:rPr>
          <w:lang w:val="fr-FR"/>
        </w:rPr>
        <w:t>33</w:t>
      </w:r>
      <w:r w:rsidR="001D2CCC" w:rsidRPr="00F60A3D">
        <w:rPr>
          <w:lang w:val="fr-FR"/>
        </w:rPr>
        <w:t>.</w:t>
      </w:r>
      <w:r w:rsidR="001D2CCC" w:rsidRPr="00F60A3D">
        <w:rPr>
          <w:lang w:val="fr-FR"/>
        </w:rPr>
        <w:tab/>
      </w:r>
      <w:r w:rsidR="00B1461C" w:rsidRPr="00F60A3D">
        <w:rPr>
          <w:lang w:val="fr-FR"/>
        </w:rPr>
        <w:t>Des t</w:t>
      </w:r>
      <w:r w:rsidR="007B483A" w:rsidRPr="00F60A3D">
        <w:rPr>
          <w:lang w:val="fr-FR"/>
        </w:rPr>
        <w:t>aux de fertilité et de natalité</w:t>
      </w:r>
      <w:r w:rsidR="00B1461C" w:rsidRPr="00F60A3D">
        <w:rPr>
          <w:lang w:val="fr-FR"/>
        </w:rPr>
        <w:t xml:space="preserve"> élevés ont été enregistrés jusque dans les années 1970; ils ont ensuite diminué</w:t>
      </w:r>
      <w:r w:rsidR="00AE3FC3" w:rsidRPr="00F60A3D">
        <w:rPr>
          <w:lang w:val="fr-FR"/>
        </w:rPr>
        <w:t>, entraînant ainsi un net vieilli</w:t>
      </w:r>
      <w:r w:rsidR="00B1461C" w:rsidRPr="00F60A3D">
        <w:rPr>
          <w:lang w:val="fr-FR"/>
        </w:rPr>
        <w:t xml:space="preserve">ssement de la population. </w:t>
      </w:r>
    </w:p>
    <w:p w:rsidR="00B1461C" w:rsidRPr="00F60A3D" w:rsidRDefault="00224935" w:rsidP="00B17AE1">
      <w:pPr>
        <w:pStyle w:val="SingleTxtG"/>
        <w:rPr>
          <w:lang w:val="fr-FR"/>
        </w:rPr>
      </w:pPr>
      <w:r w:rsidRPr="00F60A3D">
        <w:rPr>
          <w:lang w:val="fr-FR"/>
        </w:rPr>
        <w:t>34.</w:t>
      </w:r>
      <w:r w:rsidR="001D2CCC" w:rsidRPr="00F60A3D">
        <w:rPr>
          <w:lang w:val="fr-FR"/>
        </w:rPr>
        <w:tab/>
      </w:r>
      <w:r w:rsidR="00236F23" w:rsidRPr="00F60A3D">
        <w:rPr>
          <w:lang w:val="fr-FR"/>
        </w:rPr>
        <w:t>À</w:t>
      </w:r>
      <w:r w:rsidR="00B1461C" w:rsidRPr="00F60A3D">
        <w:rPr>
          <w:lang w:val="fr-FR"/>
        </w:rPr>
        <w:t xml:space="preserve"> la fin des années 2010</w:t>
      </w:r>
      <w:r w:rsidR="00CC6F71" w:rsidRPr="00F60A3D">
        <w:rPr>
          <w:lang w:val="fr-FR"/>
        </w:rPr>
        <w:t>,</w:t>
      </w:r>
      <w:r w:rsidR="00B1461C" w:rsidRPr="00F60A3D">
        <w:rPr>
          <w:lang w:val="fr-FR"/>
        </w:rPr>
        <w:t xml:space="preserve"> un Italien</w:t>
      </w:r>
      <w:r w:rsidR="00CC6F71" w:rsidRPr="00F60A3D">
        <w:rPr>
          <w:lang w:val="fr-FR"/>
        </w:rPr>
        <w:t xml:space="preserve"> </w:t>
      </w:r>
      <w:r w:rsidR="00B1461C" w:rsidRPr="00F60A3D">
        <w:rPr>
          <w:lang w:val="fr-FR"/>
        </w:rPr>
        <w:t xml:space="preserve">sur cinq </w:t>
      </w:r>
      <w:r w:rsidR="00B17AE1" w:rsidRPr="00F60A3D">
        <w:rPr>
          <w:lang w:val="fr-FR"/>
        </w:rPr>
        <w:t>avait plus de 65 </w:t>
      </w:r>
      <w:r w:rsidR="00921366" w:rsidRPr="00F60A3D">
        <w:rPr>
          <w:lang w:val="fr-FR"/>
        </w:rPr>
        <w:t>ans. L</w:t>
      </w:r>
      <w:r w:rsidR="00B17AE1" w:rsidRPr="00F60A3D">
        <w:rPr>
          <w:lang w:val="fr-FR"/>
        </w:rPr>
        <w:t>’</w:t>
      </w:r>
      <w:r w:rsidR="00921366" w:rsidRPr="00F60A3D">
        <w:rPr>
          <w:lang w:val="fr-FR"/>
        </w:rPr>
        <w:t>indice</w:t>
      </w:r>
      <w:r w:rsidR="00731982" w:rsidRPr="00F60A3D">
        <w:rPr>
          <w:lang w:val="fr-FR"/>
        </w:rPr>
        <w:t xml:space="preserve"> </w:t>
      </w:r>
      <w:r w:rsidR="00B1461C" w:rsidRPr="00F60A3D">
        <w:rPr>
          <w:lang w:val="fr-FR"/>
        </w:rPr>
        <w:t>synthétique de fécondité</w:t>
      </w:r>
      <w:r w:rsidR="00BF4215" w:rsidRPr="00F60A3D">
        <w:rPr>
          <w:lang w:val="fr-FR"/>
        </w:rPr>
        <w:t xml:space="preserve"> </w:t>
      </w:r>
      <w:r w:rsidR="005E38AE" w:rsidRPr="00F60A3D">
        <w:rPr>
          <w:lang w:val="fr-FR"/>
        </w:rPr>
        <w:t>est passé</w:t>
      </w:r>
      <w:r w:rsidR="00AE3FC3" w:rsidRPr="00F60A3D">
        <w:rPr>
          <w:lang w:val="fr-FR"/>
        </w:rPr>
        <w:t xml:space="preserve"> </w:t>
      </w:r>
      <w:r w:rsidR="00B1461C" w:rsidRPr="00F60A3D">
        <w:rPr>
          <w:lang w:val="fr-FR"/>
        </w:rPr>
        <w:t>à 1,41 en 2008. Toutefois, suite aux flux migratoires des deux dernières décennies, l</w:t>
      </w:r>
      <w:r w:rsidR="00B17AE1" w:rsidRPr="00F60A3D">
        <w:rPr>
          <w:lang w:val="fr-FR"/>
        </w:rPr>
        <w:t>’</w:t>
      </w:r>
      <w:r w:rsidR="00B1461C" w:rsidRPr="00F60A3D">
        <w:rPr>
          <w:lang w:val="fr-FR"/>
        </w:rPr>
        <w:t xml:space="preserve">Italie </w:t>
      </w:r>
      <w:r w:rsidR="00AE41C5" w:rsidRPr="00F60A3D">
        <w:rPr>
          <w:lang w:val="fr-FR"/>
        </w:rPr>
        <w:t>a con</w:t>
      </w:r>
      <w:r w:rsidR="00646DA4" w:rsidRPr="00F60A3D">
        <w:rPr>
          <w:lang w:val="fr-FR"/>
        </w:rPr>
        <w:t>nu récemment</w:t>
      </w:r>
      <w:r w:rsidR="00AE41C5" w:rsidRPr="00F60A3D">
        <w:rPr>
          <w:lang w:val="fr-FR"/>
        </w:rPr>
        <w:t xml:space="preserve"> une croissance notable de</w:t>
      </w:r>
      <w:r w:rsidR="00533C6D" w:rsidRPr="00F60A3D">
        <w:rPr>
          <w:lang w:val="fr-FR"/>
        </w:rPr>
        <w:t xml:space="preserve"> se</w:t>
      </w:r>
      <w:r w:rsidR="00921366" w:rsidRPr="00F60A3D">
        <w:rPr>
          <w:lang w:val="fr-FR"/>
        </w:rPr>
        <w:t>s taux de natalité</w:t>
      </w:r>
      <w:r w:rsidR="00AE41C5" w:rsidRPr="00F60A3D">
        <w:rPr>
          <w:lang w:val="fr-FR"/>
        </w:rPr>
        <w:t xml:space="preserve">. </w:t>
      </w:r>
    </w:p>
    <w:p w:rsidR="00AE41C5" w:rsidRPr="00F60A3D" w:rsidRDefault="00236F23" w:rsidP="00B17AE1">
      <w:pPr>
        <w:pStyle w:val="SingleTxtG"/>
        <w:rPr>
          <w:lang w:val="fr-FR"/>
        </w:rPr>
      </w:pPr>
      <w:r w:rsidRPr="00F60A3D">
        <w:rPr>
          <w:lang w:val="fr-FR"/>
        </w:rPr>
        <w:t>35</w:t>
      </w:r>
      <w:r w:rsidR="001D2CCC" w:rsidRPr="00F60A3D">
        <w:rPr>
          <w:lang w:val="fr-FR"/>
        </w:rPr>
        <w:t>.</w:t>
      </w:r>
      <w:r w:rsidR="001D2CCC" w:rsidRPr="00F60A3D">
        <w:rPr>
          <w:lang w:val="fr-FR"/>
        </w:rPr>
        <w:tab/>
      </w:r>
      <w:r w:rsidR="00AE41C5" w:rsidRPr="00F60A3D">
        <w:rPr>
          <w:lang w:val="fr-FR"/>
        </w:rPr>
        <w:t xml:space="preserve">Depuis la </w:t>
      </w:r>
      <w:r w:rsidR="008D29B6" w:rsidRPr="00F60A3D">
        <w:rPr>
          <w:lang w:val="fr-FR"/>
        </w:rPr>
        <w:t>révision</w:t>
      </w:r>
      <w:r w:rsidR="00AE41C5" w:rsidRPr="00F60A3D">
        <w:rPr>
          <w:lang w:val="fr-FR"/>
        </w:rPr>
        <w:t xml:space="preserve"> </w:t>
      </w:r>
      <w:r w:rsidR="007E5B3A" w:rsidRPr="00F60A3D">
        <w:rPr>
          <w:lang w:val="fr-FR"/>
        </w:rPr>
        <w:t>du Traité</w:t>
      </w:r>
      <w:r w:rsidR="00645F64" w:rsidRPr="00F60A3D">
        <w:rPr>
          <w:lang w:val="fr-FR"/>
        </w:rPr>
        <w:t xml:space="preserve"> du L</w:t>
      </w:r>
      <w:r w:rsidR="00AE41C5" w:rsidRPr="00F60A3D">
        <w:rPr>
          <w:lang w:val="fr-FR"/>
        </w:rPr>
        <w:t>atran en 1984, l</w:t>
      </w:r>
      <w:r w:rsidR="00B17AE1" w:rsidRPr="00F60A3D">
        <w:rPr>
          <w:lang w:val="fr-FR"/>
        </w:rPr>
        <w:t>’</w:t>
      </w:r>
      <w:r w:rsidR="00645F64" w:rsidRPr="00F60A3D">
        <w:rPr>
          <w:lang w:val="fr-FR"/>
        </w:rPr>
        <w:t>I</w:t>
      </w:r>
      <w:r w:rsidR="00AE41C5" w:rsidRPr="00F60A3D">
        <w:rPr>
          <w:lang w:val="fr-FR"/>
        </w:rPr>
        <w:t>talie n</w:t>
      </w:r>
      <w:r w:rsidR="00B17AE1" w:rsidRPr="00F60A3D">
        <w:rPr>
          <w:lang w:val="fr-FR"/>
        </w:rPr>
        <w:t>’</w:t>
      </w:r>
      <w:r w:rsidR="00AE41C5" w:rsidRPr="00F60A3D">
        <w:rPr>
          <w:lang w:val="fr-FR"/>
        </w:rPr>
        <w:t>a plus de religion officielle. Toutefois, la majorité de l</w:t>
      </w:r>
      <w:r w:rsidR="006971AC" w:rsidRPr="00F60A3D">
        <w:rPr>
          <w:lang w:val="fr-FR"/>
        </w:rPr>
        <w:t xml:space="preserve">a population se reconnaît </w:t>
      </w:r>
      <w:r w:rsidR="00332C62" w:rsidRPr="00F60A3D">
        <w:rPr>
          <w:lang w:val="fr-FR"/>
        </w:rPr>
        <w:t xml:space="preserve">comme </w:t>
      </w:r>
      <w:r w:rsidR="00AE41C5" w:rsidRPr="00F60A3D">
        <w:rPr>
          <w:lang w:val="fr-FR"/>
        </w:rPr>
        <w:t>catholique romaine. Outre la principale confession chrétienne</w:t>
      </w:r>
      <w:r w:rsidR="00645F64" w:rsidRPr="00F60A3D">
        <w:rPr>
          <w:lang w:val="fr-FR"/>
        </w:rPr>
        <w:t xml:space="preserve"> qui</w:t>
      </w:r>
      <w:r w:rsidR="003D1180" w:rsidRPr="00F60A3D">
        <w:rPr>
          <w:lang w:val="fr-FR"/>
        </w:rPr>
        <w:t>,</w:t>
      </w:r>
      <w:r w:rsidR="00645F64" w:rsidRPr="00F60A3D">
        <w:rPr>
          <w:lang w:val="fr-FR"/>
        </w:rPr>
        <w:t xml:space="preserve"> en </w:t>
      </w:r>
      <w:r w:rsidR="003D1180" w:rsidRPr="00F60A3D">
        <w:rPr>
          <w:lang w:val="fr-FR"/>
        </w:rPr>
        <w:t>Italie,</w:t>
      </w:r>
      <w:r w:rsidR="00645F64" w:rsidRPr="00F60A3D">
        <w:rPr>
          <w:lang w:val="fr-FR"/>
        </w:rPr>
        <w:t xml:space="preserve"> demeure le catholicisme</w:t>
      </w:r>
      <w:r w:rsidR="006E1C3F" w:rsidRPr="00F60A3D">
        <w:rPr>
          <w:lang w:val="fr-FR"/>
        </w:rPr>
        <w:t xml:space="preserve"> romain, les autres confession</w:t>
      </w:r>
      <w:r w:rsidR="00645F64" w:rsidRPr="00F60A3D">
        <w:rPr>
          <w:lang w:val="fr-FR"/>
        </w:rPr>
        <w:t>s sont les suivant</w:t>
      </w:r>
      <w:r w:rsidR="006E1C3F" w:rsidRPr="00F60A3D">
        <w:rPr>
          <w:lang w:val="fr-FR"/>
        </w:rPr>
        <w:t>e</w:t>
      </w:r>
      <w:r w:rsidR="00645F64" w:rsidRPr="00F60A3D">
        <w:rPr>
          <w:lang w:val="fr-FR"/>
        </w:rPr>
        <w:t>s: musulman</w:t>
      </w:r>
      <w:r w:rsidR="006E1C3F" w:rsidRPr="00F60A3D">
        <w:rPr>
          <w:lang w:val="fr-FR"/>
        </w:rPr>
        <w:t>e</w:t>
      </w:r>
      <w:r w:rsidR="00645F64" w:rsidRPr="00F60A3D">
        <w:rPr>
          <w:lang w:val="fr-FR"/>
        </w:rPr>
        <w:t>, protestant</w:t>
      </w:r>
      <w:r w:rsidR="006E1C3F" w:rsidRPr="00F60A3D">
        <w:rPr>
          <w:lang w:val="fr-FR"/>
        </w:rPr>
        <w:t>e</w:t>
      </w:r>
      <w:r w:rsidR="00645F64" w:rsidRPr="00F60A3D">
        <w:rPr>
          <w:lang w:val="fr-FR"/>
        </w:rPr>
        <w:t>, orthodoxe oriental</w:t>
      </w:r>
      <w:r w:rsidR="006E1C3F" w:rsidRPr="00F60A3D">
        <w:rPr>
          <w:lang w:val="fr-FR"/>
        </w:rPr>
        <w:t>e et diverse</w:t>
      </w:r>
      <w:r w:rsidR="00BC7BEB" w:rsidRPr="00F60A3D">
        <w:rPr>
          <w:lang w:val="fr-FR"/>
        </w:rPr>
        <w:t>s églises chrétiennes. Au début du XXI</w:t>
      </w:r>
      <w:r w:rsidR="00BC7BEB" w:rsidRPr="00F60A3D">
        <w:rPr>
          <w:vertAlign w:val="superscript"/>
          <w:lang w:val="fr-FR"/>
        </w:rPr>
        <w:t>e</w:t>
      </w:r>
      <w:r w:rsidR="00B17AE1" w:rsidRPr="00F60A3D">
        <w:rPr>
          <w:lang w:val="fr-FR"/>
        </w:rPr>
        <w:t> </w:t>
      </w:r>
      <w:r w:rsidR="00645F64" w:rsidRPr="00F60A3D">
        <w:rPr>
          <w:lang w:val="fr-FR"/>
        </w:rPr>
        <w:t>siècle</w:t>
      </w:r>
      <w:r w:rsidR="00BC7BEB" w:rsidRPr="00F60A3D">
        <w:rPr>
          <w:lang w:val="fr-FR"/>
        </w:rPr>
        <w:t>, l</w:t>
      </w:r>
      <w:r w:rsidR="00B17AE1" w:rsidRPr="00F60A3D">
        <w:rPr>
          <w:lang w:val="fr-FR"/>
        </w:rPr>
        <w:t>’</w:t>
      </w:r>
      <w:r w:rsidR="00BC7BEB" w:rsidRPr="00F60A3D">
        <w:rPr>
          <w:lang w:val="fr-FR"/>
        </w:rPr>
        <w:t>immigration</w:t>
      </w:r>
      <w:r w:rsidR="00645F64" w:rsidRPr="00F60A3D">
        <w:rPr>
          <w:lang w:val="fr-FR"/>
        </w:rPr>
        <w:t xml:space="preserve"> a également accru la taille des autres communautés religieuses tels les baptistes et les anglicans. </w:t>
      </w:r>
    </w:p>
    <w:p w:rsidR="006E1C3F" w:rsidRPr="00F60A3D" w:rsidRDefault="00224935" w:rsidP="008301A4">
      <w:pPr>
        <w:pStyle w:val="SingleTxtG"/>
        <w:rPr>
          <w:lang w:val="fr-FR"/>
        </w:rPr>
      </w:pPr>
      <w:r w:rsidRPr="00F60A3D">
        <w:rPr>
          <w:lang w:val="fr-FR"/>
        </w:rPr>
        <w:t>3</w:t>
      </w:r>
      <w:r w:rsidR="008301A4" w:rsidRPr="00F60A3D">
        <w:rPr>
          <w:lang w:val="fr-FR"/>
        </w:rPr>
        <w:t>6</w:t>
      </w:r>
      <w:r w:rsidRPr="00F60A3D">
        <w:rPr>
          <w:lang w:val="fr-FR"/>
        </w:rPr>
        <w:t>.</w:t>
      </w:r>
      <w:r w:rsidR="001D2CCC" w:rsidRPr="00F60A3D">
        <w:rPr>
          <w:lang w:val="fr-FR"/>
        </w:rPr>
        <w:tab/>
      </w:r>
      <w:r w:rsidR="006E1C3F" w:rsidRPr="00F60A3D">
        <w:rPr>
          <w:lang w:val="fr-FR"/>
        </w:rPr>
        <w:t>L</w:t>
      </w:r>
      <w:r w:rsidR="00B17AE1" w:rsidRPr="00F60A3D">
        <w:rPr>
          <w:lang w:val="fr-FR"/>
        </w:rPr>
        <w:t>’</w:t>
      </w:r>
      <w:r w:rsidR="00D26282" w:rsidRPr="00F60A3D">
        <w:rPr>
          <w:lang w:val="fr-FR"/>
        </w:rPr>
        <w:t>article </w:t>
      </w:r>
      <w:r w:rsidR="006E1C3F" w:rsidRPr="00F60A3D">
        <w:rPr>
          <w:lang w:val="fr-FR"/>
        </w:rPr>
        <w:t>8 de la Constitution italienne (</w:t>
      </w:r>
      <w:r w:rsidR="00605642" w:rsidRPr="00F60A3D">
        <w:rPr>
          <w:lang w:val="fr-FR"/>
        </w:rPr>
        <w:t>concernant l</w:t>
      </w:r>
      <w:r w:rsidR="00B17AE1" w:rsidRPr="00F60A3D">
        <w:rPr>
          <w:lang w:val="fr-FR"/>
        </w:rPr>
        <w:t>’</w:t>
      </w:r>
      <w:r w:rsidR="00605642" w:rsidRPr="00F60A3D">
        <w:rPr>
          <w:lang w:val="fr-FR"/>
        </w:rPr>
        <w:t>établissement de</w:t>
      </w:r>
      <w:r w:rsidR="00924C1B" w:rsidRPr="00F60A3D">
        <w:rPr>
          <w:lang w:val="fr-FR"/>
        </w:rPr>
        <w:t xml:space="preserve"> rapport</w:t>
      </w:r>
      <w:r w:rsidR="00A40CE2" w:rsidRPr="00F60A3D">
        <w:rPr>
          <w:lang w:val="fr-FR"/>
        </w:rPr>
        <w:t xml:space="preserve">s </w:t>
      </w:r>
      <w:r w:rsidR="00924C1B" w:rsidRPr="00F60A3D">
        <w:rPr>
          <w:lang w:val="fr-FR"/>
        </w:rPr>
        <w:t xml:space="preserve">utiles </w:t>
      </w:r>
      <w:r w:rsidR="00A40CE2" w:rsidRPr="00F60A3D">
        <w:rPr>
          <w:lang w:val="fr-FR"/>
        </w:rPr>
        <w:t>entre l</w:t>
      </w:r>
      <w:r w:rsidR="00B17AE1" w:rsidRPr="00F60A3D">
        <w:rPr>
          <w:lang w:val="fr-FR"/>
        </w:rPr>
        <w:t>’</w:t>
      </w:r>
      <w:r w:rsidR="00A40CE2" w:rsidRPr="00F60A3D">
        <w:rPr>
          <w:lang w:val="fr-FR"/>
        </w:rPr>
        <w:t>État et les confessions religieuses</w:t>
      </w:r>
      <w:r w:rsidR="006E1C3F" w:rsidRPr="00F60A3D">
        <w:rPr>
          <w:lang w:val="fr-FR"/>
        </w:rPr>
        <w:t>) garantit la protection d</w:t>
      </w:r>
      <w:r w:rsidR="00A40CE2" w:rsidRPr="00F60A3D">
        <w:rPr>
          <w:lang w:val="fr-FR"/>
        </w:rPr>
        <w:t>e la liberté de religion, en particulier d</w:t>
      </w:r>
      <w:r w:rsidR="006E1C3F" w:rsidRPr="00F60A3D">
        <w:rPr>
          <w:lang w:val="fr-FR"/>
        </w:rPr>
        <w:t xml:space="preserve">es </w:t>
      </w:r>
      <w:r w:rsidR="00A40CE2" w:rsidRPr="00F60A3D">
        <w:rPr>
          <w:lang w:val="fr-FR"/>
        </w:rPr>
        <w:t>personnes, des associations et d</w:t>
      </w:r>
      <w:r w:rsidR="006E1C3F" w:rsidRPr="00F60A3D">
        <w:rPr>
          <w:lang w:val="fr-FR"/>
        </w:rPr>
        <w:t xml:space="preserve">es organisations religieuses. </w:t>
      </w:r>
      <w:r w:rsidR="005C0236" w:rsidRPr="00F60A3D">
        <w:rPr>
          <w:lang w:val="fr-FR"/>
        </w:rPr>
        <w:t>Il</w:t>
      </w:r>
      <w:r w:rsidR="00A40CE2" w:rsidRPr="00F60A3D">
        <w:rPr>
          <w:lang w:val="fr-FR"/>
        </w:rPr>
        <w:t xml:space="preserve"> dispose en particulier</w:t>
      </w:r>
      <w:r w:rsidR="005E445C" w:rsidRPr="00F60A3D">
        <w:rPr>
          <w:lang w:val="fr-FR"/>
        </w:rPr>
        <w:t xml:space="preserve"> ce qui suit: </w:t>
      </w:r>
      <w:r w:rsidR="00731982" w:rsidRPr="00F60A3D">
        <w:rPr>
          <w:lang w:val="fr-FR"/>
        </w:rPr>
        <w:t>«</w:t>
      </w:r>
      <w:r w:rsidR="006E1C3F" w:rsidRPr="00F60A3D">
        <w:rPr>
          <w:lang w:val="fr-FR"/>
        </w:rPr>
        <w:t>Toutes les confessions religieuses sont également libre</w:t>
      </w:r>
      <w:r w:rsidR="00320440" w:rsidRPr="00F60A3D">
        <w:rPr>
          <w:lang w:val="fr-FR"/>
        </w:rPr>
        <w:t>s</w:t>
      </w:r>
      <w:r w:rsidR="006E1C3F" w:rsidRPr="00F60A3D">
        <w:rPr>
          <w:lang w:val="fr-FR"/>
        </w:rPr>
        <w:t xml:space="preserve"> devant la loi. Les confessions religieuses autre</w:t>
      </w:r>
      <w:r w:rsidR="00320440" w:rsidRPr="00F60A3D">
        <w:rPr>
          <w:lang w:val="fr-FR"/>
        </w:rPr>
        <w:t>s</w:t>
      </w:r>
      <w:r w:rsidR="00A40CE2" w:rsidRPr="00F60A3D">
        <w:rPr>
          <w:lang w:val="fr-FR"/>
        </w:rPr>
        <w:t xml:space="preserve"> que le catholicisme romain</w:t>
      </w:r>
      <w:r w:rsidR="006E1C3F" w:rsidRPr="00F60A3D">
        <w:rPr>
          <w:lang w:val="fr-FR"/>
        </w:rPr>
        <w:t xml:space="preserve"> ont le droit de s</w:t>
      </w:r>
      <w:r w:rsidR="00B17AE1" w:rsidRPr="00F60A3D">
        <w:rPr>
          <w:lang w:val="fr-FR"/>
        </w:rPr>
        <w:t>’</w:t>
      </w:r>
      <w:r w:rsidR="006E1C3F" w:rsidRPr="00F60A3D">
        <w:rPr>
          <w:lang w:val="fr-FR"/>
        </w:rPr>
        <w:t>organiser selon leurs</w:t>
      </w:r>
      <w:r w:rsidR="00646DA4" w:rsidRPr="00F60A3D">
        <w:rPr>
          <w:lang w:val="fr-FR"/>
        </w:rPr>
        <w:t xml:space="preserve"> propres statuts, tant que ceux-ci</w:t>
      </w:r>
      <w:r w:rsidR="006E1C3F" w:rsidRPr="00F60A3D">
        <w:rPr>
          <w:lang w:val="fr-FR"/>
        </w:rPr>
        <w:t xml:space="preserve"> ne s</w:t>
      </w:r>
      <w:r w:rsidR="00B17AE1" w:rsidRPr="00F60A3D">
        <w:rPr>
          <w:lang w:val="fr-FR"/>
        </w:rPr>
        <w:t>’</w:t>
      </w:r>
      <w:r w:rsidR="006E1C3F" w:rsidRPr="00F60A3D">
        <w:rPr>
          <w:lang w:val="fr-FR"/>
        </w:rPr>
        <w:t>opposent pas à l</w:t>
      </w:r>
      <w:r w:rsidR="00B17AE1" w:rsidRPr="00F60A3D">
        <w:rPr>
          <w:lang w:val="fr-FR"/>
        </w:rPr>
        <w:t>’</w:t>
      </w:r>
      <w:r w:rsidR="006E1C3F" w:rsidRPr="00F60A3D">
        <w:rPr>
          <w:lang w:val="fr-FR"/>
        </w:rPr>
        <w:t>ordre juridique italien. L</w:t>
      </w:r>
      <w:r w:rsidR="00320440" w:rsidRPr="00F60A3D">
        <w:rPr>
          <w:lang w:val="fr-FR"/>
        </w:rPr>
        <w:t>e</w:t>
      </w:r>
      <w:r w:rsidR="006E1C3F" w:rsidRPr="00F60A3D">
        <w:rPr>
          <w:lang w:val="fr-FR"/>
        </w:rPr>
        <w:t>u</w:t>
      </w:r>
      <w:r w:rsidR="00320440" w:rsidRPr="00F60A3D">
        <w:rPr>
          <w:lang w:val="fr-FR"/>
        </w:rPr>
        <w:t>r</w:t>
      </w:r>
      <w:r w:rsidR="006E1C3F" w:rsidRPr="00F60A3D">
        <w:rPr>
          <w:lang w:val="fr-FR"/>
        </w:rPr>
        <w:t>s rapports avec l</w:t>
      </w:r>
      <w:r w:rsidR="00B17AE1" w:rsidRPr="00F60A3D">
        <w:rPr>
          <w:lang w:val="fr-FR"/>
        </w:rPr>
        <w:t>’</w:t>
      </w:r>
      <w:r w:rsidR="00320440" w:rsidRPr="00F60A3D">
        <w:rPr>
          <w:lang w:val="fr-FR"/>
        </w:rPr>
        <w:t>É</w:t>
      </w:r>
      <w:r w:rsidR="006E1C3F" w:rsidRPr="00F60A3D">
        <w:rPr>
          <w:lang w:val="fr-FR"/>
        </w:rPr>
        <w:t xml:space="preserve">tat sont régis </w:t>
      </w:r>
      <w:r w:rsidR="00320440" w:rsidRPr="00F60A3D">
        <w:rPr>
          <w:lang w:val="fr-FR"/>
        </w:rPr>
        <w:t>p</w:t>
      </w:r>
      <w:r w:rsidR="009A45A3" w:rsidRPr="00F60A3D">
        <w:rPr>
          <w:lang w:val="fr-FR"/>
        </w:rPr>
        <w:t>ar la loi</w:t>
      </w:r>
      <w:r w:rsidR="007E5B3A" w:rsidRPr="00F60A3D">
        <w:rPr>
          <w:lang w:val="fr-FR"/>
        </w:rPr>
        <w:t xml:space="preserve"> sur la base d</w:t>
      </w:r>
      <w:r w:rsidR="00B17AE1" w:rsidRPr="00F60A3D">
        <w:rPr>
          <w:lang w:val="fr-FR"/>
        </w:rPr>
        <w:t>’</w:t>
      </w:r>
      <w:r w:rsidR="007E5B3A" w:rsidRPr="00F60A3D">
        <w:rPr>
          <w:lang w:val="fr-FR"/>
        </w:rPr>
        <w:t>accord</w:t>
      </w:r>
      <w:r w:rsidR="00320440" w:rsidRPr="00F60A3D">
        <w:rPr>
          <w:lang w:val="fr-FR"/>
        </w:rPr>
        <w:t>s (Intese) avec</w:t>
      </w:r>
      <w:r w:rsidR="005E445C" w:rsidRPr="00F60A3D">
        <w:rPr>
          <w:lang w:val="fr-FR"/>
        </w:rPr>
        <w:t xml:space="preserve"> leurs représentants respectifs</w:t>
      </w:r>
      <w:r w:rsidR="00731982" w:rsidRPr="00F60A3D">
        <w:rPr>
          <w:lang w:val="fr-FR"/>
        </w:rPr>
        <w:t>»</w:t>
      </w:r>
      <w:r w:rsidR="00320440" w:rsidRPr="00F60A3D">
        <w:rPr>
          <w:lang w:val="fr-FR"/>
        </w:rPr>
        <w:t>.</w:t>
      </w:r>
      <w:r w:rsidR="00731982" w:rsidRPr="00F60A3D">
        <w:rPr>
          <w:lang w:val="fr-FR"/>
        </w:rPr>
        <w:t xml:space="preserve"> </w:t>
      </w:r>
    </w:p>
    <w:p w:rsidR="00CC6F71" w:rsidRPr="00F60A3D" w:rsidRDefault="00224935" w:rsidP="008301A4">
      <w:pPr>
        <w:pStyle w:val="SingleTxtG"/>
        <w:rPr>
          <w:lang w:val="fr-FR"/>
        </w:rPr>
      </w:pPr>
      <w:r w:rsidRPr="00F60A3D">
        <w:rPr>
          <w:lang w:val="fr-FR"/>
        </w:rPr>
        <w:t>3</w:t>
      </w:r>
      <w:r w:rsidR="008301A4" w:rsidRPr="00F60A3D">
        <w:rPr>
          <w:lang w:val="fr-FR"/>
        </w:rPr>
        <w:t>7</w:t>
      </w:r>
      <w:r w:rsidRPr="00F60A3D">
        <w:rPr>
          <w:lang w:val="fr-FR"/>
        </w:rPr>
        <w:t>.</w:t>
      </w:r>
      <w:r w:rsidR="001D2CCC" w:rsidRPr="00F60A3D">
        <w:rPr>
          <w:lang w:val="fr-FR"/>
        </w:rPr>
        <w:tab/>
      </w:r>
      <w:r w:rsidR="00320440" w:rsidRPr="00F60A3D">
        <w:rPr>
          <w:lang w:val="fr-FR"/>
        </w:rPr>
        <w:t>Les confes</w:t>
      </w:r>
      <w:r w:rsidR="009A45A3" w:rsidRPr="00F60A3D">
        <w:rPr>
          <w:lang w:val="fr-FR"/>
        </w:rPr>
        <w:t>sions religieuses sans accord</w:t>
      </w:r>
      <w:r w:rsidR="00320440" w:rsidRPr="00F60A3D">
        <w:rPr>
          <w:lang w:val="fr-FR"/>
        </w:rPr>
        <w:t xml:space="preserve"> (Intesa) jouissent du même traitement que les autres. </w:t>
      </w:r>
      <w:r w:rsidR="009A45A3" w:rsidRPr="00F60A3D">
        <w:rPr>
          <w:lang w:val="fr-FR"/>
        </w:rPr>
        <w:t>Toutefois, des négociations visant à conclure un accord ne sont entreprises qu</w:t>
      </w:r>
      <w:r w:rsidR="00B17AE1" w:rsidRPr="00F60A3D">
        <w:rPr>
          <w:lang w:val="fr-FR"/>
        </w:rPr>
        <w:t>’</w:t>
      </w:r>
      <w:r w:rsidR="009A45A3" w:rsidRPr="00F60A3D">
        <w:rPr>
          <w:lang w:val="fr-FR"/>
        </w:rPr>
        <w:t>avec les confessions dotées d</w:t>
      </w:r>
      <w:r w:rsidR="00B17AE1" w:rsidRPr="00F60A3D">
        <w:rPr>
          <w:lang w:val="fr-FR"/>
        </w:rPr>
        <w:t>’</w:t>
      </w:r>
      <w:r w:rsidR="009A45A3" w:rsidRPr="00F60A3D">
        <w:rPr>
          <w:lang w:val="fr-FR"/>
        </w:rPr>
        <w:t xml:space="preserve">une personnalité juridique, conformément à la loi </w:t>
      </w:r>
      <w:r w:rsidR="00B17AE1" w:rsidRPr="00F60A3D">
        <w:rPr>
          <w:lang w:val="fr-FR"/>
        </w:rPr>
        <w:t>n</w:t>
      </w:r>
      <w:r w:rsidR="00B17AE1" w:rsidRPr="00F60A3D">
        <w:rPr>
          <w:vertAlign w:val="superscript"/>
          <w:lang w:val="fr-FR"/>
        </w:rPr>
        <w:t>o</w:t>
      </w:r>
      <w:r w:rsidR="00B17AE1" w:rsidRPr="00F60A3D">
        <w:rPr>
          <w:lang w:val="fr-FR"/>
        </w:rPr>
        <w:t> </w:t>
      </w:r>
      <w:r w:rsidR="00CC6F71" w:rsidRPr="00F60A3D">
        <w:rPr>
          <w:lang w:val="fr-FR"/>
        </w:rPr>
        <w:t xml:space="preserve">1159/1929 </w:t>
      </w:r>
      <w:r w:rsidR="009A45A3" w:rsidRPr="00F60A3D">
        <w:rPr>
          <w:lang w:val="fr-FR"/>
        </w:rPr>
        <w:t>et avec l</w:t>
      </w:r>
      <w:r w:rsidR="00B17AE1" w:rsidRPr="00F60A3D">
        <w:rPr>
          <w:lang w:val="fr-FR"/>
        </w:rPr>
        <w:t>’</w:t>
      </w:r>
      <w:r w:rsidR="009A45A3" w:rsidRPr="00F60A3D">
        <w:rPr>
          <w:lang w:val="fr-FR"/>
        </w:rPr>
        <w:t>assentiment du Conseil d</w:t>
      </w:r>
      <w:r w:rsidR="00B17AE1" w:rsidRPr="00F60A3D">
        <w:rPr>
          <w:lang w:val="fr-FR"/>
        </w:rPr>
        <w:t>’</w:t>
      </w:r>
      <w:r w:rsidR="009A45A3" w:rsidRPr="00F60A3D">
        <w:rPr>
          <w:lang w:val="fr-FR"/>
        </w:rPr>
        <w:t>État.</w:t>
      </w:r>
      <w:r w:rsidR="00731982" w:rsidRPr="00F60A3D">
        <w:rPr>
          <w:lang w:val="fr-FR"/>
        </w:rPr>
        <w:t xml:space="preserve"> </w:t>
      </w:r>
    </w:p>
    <w:p w:rsidR="00B17AE1" w:rsidRPr="00F60A3D" w:rsidRDefault="00236F23" w:rsidP="00B17AE1">
      <w:pPr>
        <w:pStyle w:val="SingleTxtG"/>
        <w:rPr>
          <w:lang w:val="fr-FR"/>
        </w:rPr>
      </w:pPr>
      <w:r w:rsidRPr="00F60A3D">
        <w:rPr>
          <w:lang w:val="fr-FR"/>
        </w:rPr>
        <w:lastRenderedPageBreak/>
        <w:t>38</w:t>
      </w:r>
      <w:r w:rsidR="001D2CCC" w:rsidRPr="00F60A3D">
        <w:rPr>
          <w:lang w:val="fr-FR"/>
        </w:rPr>
        <w:t>.</w:t>
      </w:r>
      <w:r w:rsidR="001D2CCC" w:rsidRPr="00F60A3D">
        <w:rPr>
          <w:lang w:val="fr-FR"/>
        </w:rPr>
        <w:tab/>
      </w:r>
      <w:r w:rsidR="009A45A3" w:rsidRPr="00F60A3D">
        <w:rPr>
          <w:lang w:val="fr-FR"/>
        </w:rPr>
        <w:t>Outre l</w:t>
      </w:r>
      <w:r w:rsidR="00B17AE1" w:rsidRPr="00F60A3D">
        <w:rPr>
          <w:lang w:val="fr-FR"/>
        </w:rPr>
        <w:t>’</w:t>
      </w:r>
      <w:r w:rsidR="009A45A3" w:rsidRPr="00F60A3D">
        <w:rPr>
          <w:lang w:val="fr-FR"/>
        </w:rPr>
        <w:t xml:space="preserve">accord historique </w:t>
      </w:r>
      <w:r w:rsidR="007E5B3A" w:rsidRPr="00F60A3D">
        <w:rPr>
          <w:lang w:val="fr-FR"/>
        </w:rPr>
        <w:t xml:space="preserve">précité </w:t>
      </w:r>
      <w:r w:rsidR="009A45A3" w:rsidRPr="00F60A3D">
        <w:rPr>
          <w:lang w:val="fr-FR"/>
        </w:rPr>
        <w:t>conclu entre l</w:t>
      </w:r>
      <w:r w:rsidR="00B17AE1" w:rsidRPr="00F60A3D">
        <w:rPr>
          <w:lang w:val="fr-FR"/>
        </w:rPr>
        <w:t>’</w:t>
      </w:r>
      <w:r w:rsidR="009A45A3" w:rsidRPr="00F60A3D">
        <w:rPr>
          <w:lang w:val="fr-FR"/>
        </w:rPr>
        <w:t>Église catholique romaine et le Gouvernement, l</w:t>
      </w:r>
      <w:r w:rsidR="00B17AE1" w:rsidRPr="00F60A3D">
        <w:rPr>
          <w:lang w:val="fr-FR"/>
        </w:rPr>
        <w:t>’</w:t>
      </w:r>
      <w:r w:rsidR="009A45A3" w:rsidRPr="00F60A3D">
        <w:rPr>
          <w:bCs/>
          <w:lang w:val="fr-FR"/>
        </w:rPr>
        <w:t>Article</w:t>
      </w:r>
      <w:r w:rsidR="00B17AE1" w:rsidRPr="00F60A3D">
        <w:rPr>
          <w:bCs/>
          <w:lang w:val="fr-FR"/>
        </w:rPr>
        <w:t> </w:t>
      </w:r>
      <w:r w:rsidR="009A45A3" w:rsidRPr="00F60A3D">
        <w:rPr>
          <w:bCs/>
          <w:lang w:val="fr-FR"/>
        </w:rPr>
        <w:t>19 de la</w:t>
      </w:r>
      <w:r w:rsidR="00CC6F71" w:rsidRPr="00F60A3D">
        <w:rPr>
          <w:bCs/>
          <w:lang w:val="fr-FR"/>
        </w:rPr>
        <w:t xml:space="preserve"> Constitution</w:t>
      </w:r>
      <w:r w:rsidR="00CC6F71" w:rsidRPr="00F60A3D">
        <w:rPr>
          <w:lang w:val="fr-FR"/>
        </w:rPr>
        <w:t xml:space="preserve"> </w:t>
      </w:r>
      <w:r w:rsidR="009A45A3" w:rsidRPr="00F60A3D">
        <w:rPr>
          <w:lang w:val="fr-FR"/>
        </w:rPr>
        <w:t>italienne</w:t>
      </w:r>
      <w:r w:rsidR="009A45A3" w:rsidRPr="00F60A3D">
        <w:rPr>
          <w:b/>
          <w:lang w:val="fr-FR"/>
        </w:rPr>
        <w:t xml:space="preserve"> </w:t>
      </w:r>
      <w:r w:rsidR="00A40CE2" w:rsidRPr="00F60A3D">
        <w:rPr>
          <w:lang w:val="fr-FR"/>
        </w:rPr>
        <w:t>consacr</w:t>
      </w:r>
      <w:r w:rsidR="009A45A3" w:rsidRPr="00F60A3D">
        <w:rPr>
          <w:lang w:val="fr-FR"/>
        </w:rPr>
        <w:t>e le droit à la liberté de</w:t>
      </w:r>
      <w:r w:rsidR="004D23A4" w:rsidRPr="00F60A3D">
        <w:rPr>
          <w:lang w:val="fr-FR"/>
        </w:rPr>
        <w:t xml:space="preserve"> </w:t>
      </w:r>
      <w:r w:rsidR="00744E0F" w:rsidRPr="00F60A3D">
        <w:rPr>
          <w:lang w:val="fr-FR"/>
        </w:rPr>
        <w:t>religion et de conviction</w:t>
      </w:r>
      <w:r w:rsidR="009A45A3" w:rsidRPr="00F60A3D">
        <w:rPr>
          <w:lang w:val="fr-FR"/>
        </w:rPr>
        <w:t xml:space="preserve">. </w:t>
      </w:r>
    </w:p>
    <w:p w:rsidR="00CC6F71" w:rsidRPr="00F60A3D" w:rsidRDefault="008301A4" w:rsidP="007E45CE">
      <w:pPr>
        <w:pStyle w:val="SingleTxtG"/>
        <w:rPr>
          <w:lang w:val="fr-FR"/>
        </w:rPr>
      </w:pPr>
      <w:r w:rsidRPr="00F60A3D">
        <w:rPr>
          <w:lang w:val="fr-FR"/>
        </w:rPr>
        <w:t>39.</w:t>
      </w:r>
      <w:r w:rsidR="00CE0C8D" w:rsidRPr="00F60A3D">
        <w:rPr>
          <w:lang w:val="fr-FR"/>
        </w:rPr>
        <w:tab/>
        <w:t>Ceci est d</w:t>
      </w:r>
      <w:r w:rsidR="00B17AE1" w:rsidRPr="00F60A3D">
        <w:rPr>
          <w:lang w:val="fr-FR"/>
        </w:rPr>
        <w:t>’</w:t>
      </w:r>
      <w:r w:rsidR="00CE0C8D" w:rsidRPr="00F60A3D">
        <w:rPr>
          <w:lang w:val="fr-FR"/>
        </w:rPr>
        <w:t>autant plus important qu</w:t>
      </w:r>
      <w:r w:rsidR="00B17AE1" w:rsidRPr="00F60A3D">
        <w:rPr>
          <w:lang w:val="fr-FR"/>
        </w:rPr>
        <w:t>’</w:t>
      </w:r>
      <w:r w:rsidR="00CE0C8D" w:rsidRPr="00F60A3D">
        <w:rPr>
          <w:lang w:val="fr-FR"/>
        </w:rPr>
        <w:t xml:space="preserve">un nombre croissant </w:t>
      </w:r>
      <w:r w:rsidR="007B483A" w:rsidRPr="00F60A3D">
        <w:rPr>
          <w:lang w:val="fr-FR"/>
        </w:rPr>
        <w:t>d</w:t>
      </w:r>
      <w:r w:rsidR="00B17AE1" w:rsidRPr="00F60A3D">
        <w:rPr>
          <w:lang w:val="fr-FR"/>
        </w:rPr>
        <w:t>’</w:t>
      </w:r>
      <w:r w:rsidR="007B483A" w:rsidRPr="00F60A3D">
        <w:rPr>
          <w:lang w:val="fr-FR"/>
        </w:rPr>
        <w:t xml:space="preserve">immigrés vivent en Italie. À </w:t>
      </w:r>
      <w:r w:rsidR="00CE0C8D" w:rsidRPr="00F60A3D">
        <w:rPr>
          <w:lang w:val="fr-FR"/>
        </w:rPr>
        <w:t>cet égard, selon les estimations</w:t>
      </w:r>
      <w:r w:rsidR="005D1027" w:rsidRPr="00F60A3D">
        <w:rPr>
          <w:rStyle w:val="FootnoteReference"/>
          <w:lang w:val="fr-FR"/>
        </w:rPr>
        <w:footnoteReference w:id="14"/>
      </w:r>
      <w:r w:rsidR="004D23A4" w:rsidRPr="00F60A3D">
        <w:rPr>
          <w:lang w:val="fr-FR"/>
        </w:rPr>
        <w:t xml:space="preserve"> (pour l</w:t>
      </w:r>
      <w:r w:rsidR="00B17AE1" w:rsidRPr="00F60A3D">
        <w:rPr>
          <w:lang w:val="fr-FR"/>
        </w:rPr>
        <w:t>’</w:t>
      </w:r>
      <w:r w:rsidR="004D23A4" w:rsidRPr="00F60A3D">
        <w:rPr>
          <w:lang w:val="fr-FR"/>
        </w:rPr>
        <w:t>exercice biennal</w:t>
      </w:r>
      <w:r w:rsidR="00CC6F71" w:rsidRPr="00F60A3D">
        <w:rPr>
          <w:lang w:val="fr-FR"/>
        </w:rPr>
        <w:t xml:space="preserve"> 2011-2012) </w:t>
      </w:r>
      <w:r w:rsidR="004D23A4" w:rsidRPr="00F60A3D">
        <w:rPr>
          <w:lang w:val="fr-FR"/>
        </w:rPr>
        <w:t>re</w:t>
      </w:r>
      <w:r w:rsidR="00EE375F" w:rsidRPr="00F60A3D">
        <w:rPr>
          <w:lang w:val="fr-FR"/>
        </w:rPr>
        <w:t>l</w:t>
      </w:r>
      <w:r w:rsidR="004D23A4" w:rsidRPr="00F60A3D">
        <w:rPr>
          <w:lang w:val="fr-FR"/>
        </w:rPr>
        <w:t>atives à la religion des ressortissants étrangers résidant en Italie, la majorité d</w:t>
      </w:r>
      <w:r w:rsidR="00B17AE1" w:rsidRPr="00F60A3D">
        <w:rPr>
          <w:lang w:val="fr-FR"/>
        </w:rPr>
        <w:t>’</w:t>
      </w:r>
      <w:r w:rsidR="004D23A4" w:rsidRPr="00F60A3D">
        <w:rPr>
          <w:lang w:val="fr-FR"/>
        </w:rPr>
        <w:t xml:space="preserve">entre </w:t>
      </w:r>
      <w:r w:rsidR="00B17AE1" w:rsidRPr="00F60A3D">
        <w:rPr>
          <w:lang w:val="fr-FR"/>
        </w:rPr>
        <w:t>eux âgés de 6 </w:t>
      </w:r>
      <w:r w:rsidR="005E445C" w:rsidRPr="00F60A3D">
        <w:rPr>
          <w:lang w:val="fr-FR"/>
        </w:rPr>
        <w:t>ans et plus</w:t>
      </w:r>
      <w:r w:rsidR="004D23A4" w:rsidRPr="00F60A3D">
        <w:rPr>
          <w:lang w:val="fr-FR"/>
        </w:rPr>
        <w:t xml:space="preserve"> se sont </w:t>
      </w:r>
      <w:r w:rsidR="00EE375F" w:rsidRPr="00F60A3D">
        <w:rPr>
          <w:lang w:val="fr-FR"/>
        </w:rPr>
        <w:t>déclaré</w:t>
      </w:r>
      <w:r w:rsidR="004D23A4" w:rsidRPr="00F60A3D">
        <w:rPr>
          <w:lang w:val="fr-FR"/>
        </w:rPr>
        <w:t>s chrétiens (soit 56,4</w:t>
      </w:r>
      <w:r w:rsidR="00B17AE1" w:rsidRPr="00F60A3D">
        <w:rPr>
          <w:lang w:val="fr-FR"/>
        </w:rPr>
        <w:t> %</w:t>
      </w:r>
      <w:r w:rsidR="004D23A4" w:rsidRPr="00F60A3D">
        <w:rPr>
          <w:lang w:val="fr-FR"/>
        </w:rPr>
        <w:t xml:space="preserve">), </w:t>
      </w:r>
      <w:r w:rsidR="00EE375F" w:rsidRPr="00F60A3D">
        <w:rPr>
          <w:lang w:val="fr-FR"/>
        </w:rPr>
        <w:t>don</w:t>
      </w:r>
      <w:r w:rsidR="003D1180" w:rsidRPr="00F60A3D">
        <w:rPr>
          <w:lang w:val="fr-FR"/>
        </w:rPr>
        <w:t>t 27</w:t>
      </w:r>
      <w:r w:rsidR="00B17AE1" w:rsidRPr="00F60A3D">
        <w:rPr>
          <w:lang w:val="fr-FR"/>
        </w:rPr>
        <w:t> %</w:t>
      </w:r>
      <w:r w:rsidR="003D1180" w:rsidRPr="00F60A3D">
        <w:rPr>
          <w:lang w:val="fr-FR"/>
        </w:rPr>
        <w:t xml:space="preserve"> d</w:t>
      </w:r>
      <w:r w:rsidR="00B17AE1" w:rsidRPr="00F60A3D">
        <w:rPr>
          <w:lang w:val="fr-FR"/>
        </w:rPr>
        <w:t>’</w:t>
      </w:r>
      <w:r w:rsidR="003D1180" w:rsidRPr="00F60A3D">
        <w:rPr>
          <w:lang w:val="fr-FR"/>
        </w:rPr>
        <w:t>orthodoxe</w:t>
      </w:r>
      <w:r w:rsidR="00850598" w:rsidRPr="00F60A3D">
        <w:rPr>
          <w:lang w:val="fr-FR"/>
        </w:rPr>
        <w:t>s</w:t>
      </w:r>
      <w:r w:rsidR="003D1180" w:rsidRPr="00F60A3D">
        <w:rPr>
          <w:lang w:val="fr-FR"/>
        </w:rPr>
        <w:t>,</w:t>
      </w:r>
      <w:r w:rsidR="004D23A4" w:rsidRPr="00F60A3D">
        <w:rPr>
          <w:lang w:val="fr-FR"/>
        </w:rPr>
        <w:t xml:space="preserve"> 25,1</w:t>
      </w:r>
      <w:r w:rsidR="00B17AE1" w:rsidRPr="00F60A3D">
        <w:rPr>
          <w:lang w:val="fr-FR"/>
        </w:rPr>
        <w:t> %</w:t>
      </w:r>
      <w:r w:rsidR="004D23A4" w:rsidRPr="00F60A3D">
        <w:rPr>
          <w:lang w:val="fr-FR"/>
        </w:rPr>
        <w:t xml:space="preserve"> </w:t>
      </w:r>
      <w:r w:rsidR="00EE375F" w:rsidRPr="00F60A3D">
        <w:rPr>
          <w:lang w:val="fr-FR"/>
        </w:rPr>
        <w:t xml:space="preserve">de </w:t>
      </w:r>
      <w:r w:rsidR="004D23A4" w:rsidRPr="00F60A3D">
        <w:rPr>
          <w:lang w:val="fr-FR"/>
        </w:rPr>
        <w:t>catholiques romains et 2,7</w:t>
      </w:r>
      <w:r w:rsidR="00B17AE1" w:rsidRPr="00F60A3D">
        <w:rPr>
          <w:lang w:val="fr-FR"/>
        </w:rPr>
        <w:t> %</w:t>
      </w:r>
      <w:r w:rsidR="004D23A4" w:rsidRPr="00F60A3D">
        <w:rPr>
          <w:lang w:val="fr-FR"/>
        </w:rPr>
        <w:t xml:space="preserve"> </w:t>
      </w:r>
      <w:r w:rsidR="00EE375F" w:rsidRPr="00F60A3D">
        <w:rPr>
          <w:lang w:val="fr-FR"/>
        </w:rPr>
        <w:t xml:space="preserve">de </w:t>
      </w:r>
      <w:r w:rsidR="004D23A4" w:rsidRPr="00F60A3D">
        <w:rPr>
          <w:lang w:val="fr-FR"/>
        </w:rPr>
        <w:t xml:space="preserve">protestants. </w:t>
      </w:r>
      <w:r w:rsidR="006971AC" w:rsidRPr="00F60A3D">
        <w:rPr>
          <w:lang w:val="fr-FR"/>
        </w:rPr>
        <w:t xml:space="preserve">Environ </w:t>
      </w:r>
      <w:r w:rsidR="00B17AE1" w:rsidRPr="00F60A3D">
        <w:rPr>
          <w:lang w:val="fr-FR"/>
        </w:rPr>
        <w:t>un quart</w:t>
      </w:r>
      <w:r w:rsidR="006971AC" w:rsidRPr="00F60A3D">
        <w:rPr>
          <w:lang w:val="fr-FR"/>
        </w:rPr>
        <w:t xml:space="preserve"> sont musulmans (26,</w:t>
      </w:r>
      <w:r w:rsidR="00EE375F" w:rsidRPr="00F60A3D">
        <w:rPr>
          <w:lang w:val="fr-FR"/>
        </w:rPr>
        <w:t>3</w:t>
      </w:r>
      <w:r w:rsidR="00B17AE1" w:rsidRPr="00F60A3D">
        <w:rPr>
          <w:lang w:val="fr-FR"/>
        </w:rPr>
        <w:t> %</w:t>
      </w:r>
      <w:r w:rsidR="00EE375F" w:rsidRPr="00F60A3D">
        <w:rPr>
          <w:lang w:val="fr-FR"/>
        </w:rPr>
        <w:t xml:space="preserve">); les </w:t>
      </w:r>
      <w:r w:rsidR="00F9576F" w:rsidRPr="00F60A3D">
        <w:rPr>
          <w:lang w:val="fr-FR"/>
        </w:rPr>
        <w:t>bouddhistes représentent quelque</w:t>
      </w:r>
      <w:r w:rsidR="00EE375F" w:rsidRPr="00F60A3D">
        <w:rPr>
          <w:lang w:val="fr-FR"/>
        </w:rPr>
        <w:t xml:space="preserve"> 3</w:t>
      </w:r>
      <w:r w:rsidR="00B17AE1" w:rsidRPr="00F60A3D">
        <w:rPr>
          <w:lang w:val="fr-FR"/>
        </w:rPr>
        <w:t> %</w:t>
      </w:r>
      <w:r w:rsidR="00EE375F" w:rsidRPr="00F60A3D">
        <w:rPr>
          <w:lang w:val="fr-FR"/>
        </w:rPr>
        <w:t xml:space="preserve">; </w:t>
      </w:r>
      <w:r w:rsidR="006E34DC" w:rsidRPr="00F60A3D">
        <w:rPr>
          <w:lang w:val="fr-FR"/>
        </w:rPr>
        <w:t xml:space="preserve">et </w:t>
      </w:r>
      <w:r w:rsidR="00B71D21" w:rsidRPr="00F60A3D">
        <w:rPr>
          <w:lang w:val="fr-FR"/>
        </w:rPr>
        <w:t>7,1</w:t>
      </w:r>
      <w:r w:rsidR="00B17AE1" w:rsidRPr="00F60A3D">
        <w:rPr>
          <w:lang w:val="fr-FR"/>
        </w:rPr>
        <w:t> %</w:t>
      </w:r>
      <w:r w:rsidR="00B71D21" w:rsidRPr="00F60A3D">
        <w:rPr>
          <w:lang w:val="fr-FR"/>
        </w:rPr>
        <w:t xml:space="preserve"> se dis</w:t>
      </w:r>
      <w:r w:rsidR="00EE375F" w:rsidRPr="00F60A3D">
        <w:rPr>
          <w:lang w:val="fr-FR"/>
        </w:rPr>
        <w:t xml:space="preserve">ent </w:t>
      </w:r>
      <w:r w:rsidR="00FE4548" w:rsidRPr="00F60A3D">
        <w:rPr>
          <w:lang w:val="fr-FR"/>
        </w:rPr>
        <w:t>athées</w:t>
      </w:r>
      <w:r w:rsidR="005D1027" w:rsidRPr="00F60A3D">
        <w:rPr>
          <w:rStyle w:val="FootnoteReference"/>
          <w:lang w:val="fr-FR"/>
        </w:rPr>
        <w:footnoteReference w:id="15"/>
      </w:r>
      <w:r w:rsidR="007E45CE" w:rsidRPr="00F60A3D">
        <w:rPr>
          <w:lang w:val="fr-FR"/>
        </w:rPr>
        <w:t>.</w:t>
      </w:r>
      <w:r w:rsidR="00CC6F71" w:rsidRPr="00F60A3D">
        <w:rPr>
          <w:lang w:val="fr-FR"/>
        </w:rPr>
        <w:t xml:space="preserve"> </w:t>
      </w:r>
    </w:p>
    <w:p w:rsidR="00CC6F71" w:rsidRPr="00F60A3D" w:rsidRDefault="00224935" w:rsidP="007E45CE">
      <w:pPr>
        <w:pStyle w:val="SingleTxtG"/>
        <w:rPr>
          <w:lang w:val="fr-FR"/>
        </w:rPr>
      </w:pPr>
      <w:r w:rsidRPr="00F60A3D">
        <w:rPr>
          <w:lang w:val="fr-FR"/>
        </w:rPr>
        <w:t>40.</w:t>
      </w:r>
      <w:r w:rsidR="001D2CCC" w:rsidRPr="00F60A3D">
        <w:rPr>
          <w:lang w:val="fr-FR"/>
        </w:rPr>
        <w:tab/>
      </w:r>
      <w:r w:rsidR="00584530" w:rsidRPr="00F60A3D">
        <w:rPr>
          <w:lang w:val="fr-FR"/>
        </w:rPr>
        <w:t>L</w:t>
      </w:r>
      <w:r w:rsidR="00EE375F" w:rsidRPr="00F60A3D">
        <w:rPr>
          <w:lang w:val="fr-FR"/>
        </w:rPr>
        <w:t>es flux migratoires p</w:t>
      </w:r>
      <w:r w:rsidR="00B71D21" w:rsidRPr="00F60A3D">
        <w:rPr>
          <w:lang w:val="fr-FR"/>
        </w:rPr>
        <w:t>lus récents mentionnés ci-dessus</w:t>
      </w:r>
      <w:r w:rsidR="00EE375F" w:rsidRPr="00F60A3D">
        <w:rPr>
          <w:lang w:val="fr-FR"/>
        </w:rPr>
        <w:t xml:space="preserve"> ont a</w:t>
      </w:r>
      <w:r w:rsidR="00F9576F" w:rsidRPr="00F60A3D">
        <w:rPr>
          <w:lang w:val="fr-FR"/>
        </w:rPr>
        <w:t>ccru le nombre de religions non</w:t>
      </w:r>
      <w:r w:rsidR="005E38AE" w:rsidRPr="00F60A3D">
        <w:rPr>
          <w:lang w:val="fr-FR"/>
        </w:rPr>
        <w:t xml:space="preserve"> </w:t>
      </w:r>
      <w:r w:rsidR="00EE375F" w:rsidRPr="00F60A3D">
        <w:rPr>
          <w:lang w:val="fr-FR"/>
        </w:rPr>
        <w:t>chrétiennes</w:t>
      </w:r>
      <w:r w:rsidR="00367E5C" w:rsidRPr="00F60A3D">
        <w:rPr>
          <w:lang w:val="fr-FR"/>
        </w:rPr>
        <w:t>, notamment</w:t>
      </w:r>
      <w:r w:rsidR="006971AC" w:rsidRPr="00F60A3D">
        <w:rPr>
          <w:lang w:val="fr-FR"/>
        </w:rPr>
        <w:t xml:space="preserve"> les religions musulmane, </w:t>
      </w:r>
      <w:r w:rsidRPr="00F60A3D">
        <w:rPr>
          <w:lang w:val="fr-FR"/>
        </w:rPr>
        <w:t>bouddhiste</w:t>
      </w:r>
      <w:r w:rsidR="006971AC" w:rsidRPr="00F60A3D">
        <w:rPr>
          <w:lang w:val="fr-FR"/>
        </w:rPr>
        <w:t>, hindoue</w:t>
      </w:r>
      <w:r w:rsidR="00EE375F" w:rsidRPr="00F60A3D">
        <w:rPr>
          <w:lang w:val="fr-FR"/>
        </w:rPr>
        <w:t xml:space="preserve"> et sikh</w:t>
      </w:r>
      <w:r w:rsidR="005D1027" w:rsidRPr="00F60A3D">
        <w:rPr>
          <w:rStyle w:val="FootnoteReference"/>
          <w:lang w:val="fr-FR"/>
        </w:rPr>
        <w:footnoteReference w:id="16"/>
      </w:r>
      <w:r w:rsidR="007E45CE" w:rsidRPr="00F60A3D">
        <w:rPr>
          <w:lang w:val="fr-FR"/>
        </w:rPr>
        <w:t>.</w:t>
      </w:r>
    </w:p>
    <w:p w:rsidR="00CC6F71" w:rsidRPr="00F60A3D" w:rsidRDefault="00236F23" w:rsidP="00B17AE1">
      <w:pPr>
        <w:pStyle w:val="SingleTxtG"/>
        <w:rPr>
          <w:lang w:val="fr-FR"/>
        </w:rPr>
      </w:pPr>
      <w:r w:rsidRPr="00F60A3D">
        <w:rPr>
          <w:lang w:val="fr-FR"/>
        </w:rPr>
        <w:t>41</w:t>
      </w:r>
      <w:r w:rsidR="001D2CCC" w:rsidRPr="00F60A3D">
        <w:rPr>
          <w:lang w:val="fr-FR"/>
        </w:rPr>
        <w:t>.</w:t>
      </w:r>
      <w:r w:rsidR="001D2CCC" w:rsidRPr="00F60A3D">
        <w:rPr>
          <w:lang w:val="fr-FR"/>
        </w:rPr>
        <w:tab/>
      </w:r>
      <w:r w:rsidR="00584530" w:rsidRPr="00F60A3D">
        <w:rPr>
          <w:lang w:val="fr-FR"/>
        </w:rPr>
        <w:t>Historiquement</w:t>
      </w:r>
      <w:r w:rsidR="00CC6F71" w:rsidRPr="00F60A3D">
        <w:rPr>
          <w:lang w:val="fr-FR"/>
        </w:rPr>
        <w:t xml:space="preserve">, </w:t>
      </w:r>
      <w:r w:rsidR="005E38AE" w:rsidRPr="00F60A3D">
        <w:rPr>
          <w:lang w:val="fr-FR"/>
        </w:rPr>
        <w:t>le j</w:t>
      </w:r>
      <w:r w:rsidR="00584530" w:rsidRPr="00F60A3D">
        <w:rPr>
          <w:lang w:val="fr-FR"/>
        </w:rPr>
        <w:t>udaïsme est présent en Italie depuis l</w:t>
      </w:r>
      <w:r w:rsidR="00B17AE1" w:rsidRPr="00F60A3D">
        <w:rPr>
          <w:lang w:val="fr-FR"/>
        </w:rPr>
        <w:t>’</w:t>
      </w:r>
      <w:r w:rsidR="00584530" w:rsidRPr="00F60A3D">
        <w:rPr>
          <w:lang w:val="fr-FR"/>
        </w:rPr>
        <w:t>époque romaine.</w:t>
      </w:r>
      <w:r w:rsidR="00731982" w:rsidRPr="00F60A3D">
        <w:rPr>
          <w:lang w:val="fr-FR"/>
        </w:rPr>
        <w:t xml:space="preserve"> </w:t>
      </w:r>
    </w:p>
    <w:p w:rsidR="00CC6F71" w:rsidRPr="00F60A3D" w:rsidRDefault="00236F23" w:rsidP="001D2CCC">
      <w:pPr>
        <w:pStyle w:val="SingleTxtG"/>
        <w:rPr>
          <w:color w:val="1C1C1C"/>
          <w:lang w:val="fr-FR"/>
        </w:rPr>
      </w:pPr>
      <w:r w:rsidRPr="00F60A3D">
        <w:rPr>
          <w:color w:val="1C1C1C"/>
          <w:lang w:val="fr-FR"/>
        </w:rPr>
        <w:t>42</w:t>
      </w:r>
      <w:r w:rsidR="001D2CCC" w:rsidRPr="00F60A3D">
        <w:rPr>
          <w:color w:val="1C1C1C"/>
          <w:lang w:val="fr-FR"/>
        </w:rPr>
        <w:t>.</w:t>
      </w:r>
      <w:r w:rsidR="001D2CCC" w:rsidRPr="00F60A3D">
        <w:rPr>
          <w:color w:val="1C1C1C"/>
          <w:lang w:val="fr-FR"/>
        </w:rPr>
        <w:tab/>
      </w:r>
      <w:r w:rsidR="00584530" w:rsidRPr="00F60A3D">
        <w:rPr>
          <w:lang w:val="fr-FR"/>
        </w:rPr>
        <w:t>Environ 68</w:t>
      </w:r>
      <w:r w:rsidR="00B17AE1" w:rsidRPr="00F60A3D">
        <w:rPr>
          <w:lang w:val="fr-FR"/>
        </w:rPr>
        <w:t> %</w:t>
      </w:r>
      <w:r w:rsidR="00584530" w:rsidRPr="00F60A3D">
        <w:rPr>
          <w:lang w:val="fr-FR"/>
        </w:rPr>
        <w:t xml:space="preserve"> de la</w:t>
      </w:r>
      <w:r w:rsidR="00CC6F71" w:rsidRPr="00F60A3D">
        <w:rPr>
          <w:lang w:val="fr-FR"/>
        </w:rPr>
        <w:t xml:space="preserve"> population </w:t>
      </w:r>
      <w:r w:rsidR="00584530" w:rsidRPr="00F60A3D">
        <w:rPr>
          <w:lang w:val="fr-FR"/>
        </w:rPr>
        <w:t xml:space="preserve">italienne </w:t>
      </w:r>
      <w:r w:rsidR="006971AC" w:rsidRPr="00F60A3D">
        <w:rPr>
          <w:lang w:val="fr-FR"/>
        </w:rPr>
        <w:t>est urbanisée</w:t>
      </w:r>
      <w:r w:rsidR="00CC6F71" w:rsidRPr="00F60A3D">
        <w:rPr>
          <w:lang w:val="fr-FR"/>
        </w:rPr>
        <w:t xml:space="preserve"> </w:t>
      </w:r>
      <w:r w:rsidR="006D4B72" w:rsidRPr="00F60A3D">
        <w:rPr>
          <w:color w:val="1C1C1C"/>
          <w:lang w:val="fr-FR"/>
        </w:rPr>
        <w:t>(2010); le taux annuel d</w:t>
      </w:r>
      <w:r w:rsidR="00B17AE1" w:rsidRPr="00F60A3D">
        <w:rPr>
          <w:color w:val="1C1C1C"/>
          <w:lang w:val="fr-FR"/>
        </w:rPr>
        <w:t>’</w:t>
      </w:r>
      <w:r w:rsidR="006D4B72" w:rsidRPr="00F60A3D">
        <w:rPr>
          <w:color w:val="1C1C1C"/>
          <w:lang w:val="fr-FR"/>
        </w:rPr>
        <w:t>évolution de l</w:t>
      </w:r>
      <w:r w:rsidR="00B17AE1" w:rsidRPr="00F60A3D">
        <w:rPr>
          <w:color w:val="1C1C1C"/>
          <w:lang w:val="fr-FR"/>
        </w:rPr>
        <w:t>’</w:t>
      </w:r>
      <w:r w:rsidR="006D4B72" w:rsidRPr="00F60A3D">
        <w:rPr>
          <w:color w:val="1C1C1C"/>
          <w:lang w:val="fr-FR"/>
        </w:rPr>
        <w:t>urbanisation est de 0,5</w:t>
      </w:r>
      <w:r w:rsidR="00B17AE1" w:rsidRPr="00F60A3D">
        <w:rPr>
          <w:color w:val="1C1C1C"/>
          <w:lang w:val="fr-FR"/>
        </w:rPr>
        <w:t> %</w:t>
      </w:r>
      <w:r w:rsidR="006D4B72" w:rsidRPr="00F60A3D">
        <w:rPr>
          <w:color w:val="1C1C1C"/>
          <w:lang w:val="fr-FR"/>
        </w:rPr>
        <w:t xml:space="preserve"> (estimation 2010-2015).</w:t>
      </w:r>
      <w:r w:rsidR="00731982" w:rsidRPr="00F60A3D">
        <w:rPr>
          <w:color w:val="1C1C1C"/>
          <w:lang w:val="fr-FR"/>
        </w:rPr>
        <w:t xml:space="preserve"> </w:t>
      </w:r>
    </w:p>
    <w:p w:rsidR="00D74165" w:rsidRPr="00F60A3D" w:rsidRDefault="00236F23" w:rsidP="001D2CCC">
      <w:pPr>
        <w:pStyle w:val="SingleTxtG"/>
        <w:rPr>
          <w:lang w:val="fr-FR"/>
        </w:rPr>
      </w:pPr>
      <w:r w:rsidRPr="00F60A3D">
        <w:rPr>
          <w:lang w:val="fr-FR"/>
        </w:rPr>
        <w:t>43</w:t>
      </w:r>
      <w:r w:rsidR="001D2CCC" w:rsidRPr="00F60A3D">
        <w:rPr>
          <w:lang w:val="fr-FR"/>
        </w:rPr>
        <w:t>.</w:t>
      </w:r>
      <w:r w:rsidR="001D2CCC" w:rsidRPr="00F60A3D">
        <w:rPr>
          <w:lang w:val="fr-FR"/>
        </w:rPr>
        <w:tab/>
      </w:r>
      <w:r w:rsidR="00D74165" w:rsidRPr="00F60A3D">
        <w:rPr>
          <w:lang w:val="fr-FR"/>
        </w:rPr>
        <w:t>Suite aux profonds changements économiques et sociaux induits par l</w:t>
      </w:r>
      <w:r w:rsidR="00B17AE1" w:rsidRPr="00F60A3D">
        <w:rPr>
          <w:lang w:val="fr-FR"/>
        </w:rPr>
        <w:t>’</w:t>
      </w:r>
      <w:r w:rsidR="00D74165" w:rsidRPr="00F60A3D">
        <w:rPr>
          <w:lang w:val="fr-FR"/>
        </w:rPr>
        <w:t>industrialisation de l</w:t>
      </w:r>
      <w:r w:rsidR="00B17AE1" w:rsidRPr="00F60A3D">
        <w:rPr>
          <w:lang w:val="fr-FR"/>
        </w:rPr>
        <w:t>’</w:t>
      </w:r>
      <w:r w:rsidR="00D74165" w:rsidRPr="00F60A3D">
        <w:rPr>
          <w:lang w:val="fr-FR"/>
        </w:rPr>
        <w:t>a</w:t>
      </w:r>
      <w:r w:rsidR="0091530A" w:rsidRPr="00F60A3D">
        <w:rPr>
          <w:lang w:val="fr-FR"/>
        </w:rPr>
        <w:t>près-guerre, notamment</w:t>
      </w:r>
      <w:r w:rsidR="00D74165" w:rsidRPr="00F60A3D">
        <w:rPr>
          <w:lang w:val="fr-FR"/>
        </w:rPr>
        <w:t xml:space="preserve"> les faibles taux de natalité, le vieillissement de la population et partant</w:t>
      </w:r>
      <w:r w:rsidR="005E38AE" w:rsidRPr="00F60A3D">
        <w:rPr>
          <w:lang w:val="fr-FR"/>
        </w:rPr>
        <w:t>,</w:t>
      </w:r>
      <w:r w:rsidR="00D74165" w:rsidRPr="00F60A3D">
        <w:rPr>
          <w:lang w:val="fr-FR"/>
        </w:rPr>
        <w:t xml:space="preserve"> une dim</w:t>
      </w:r>
      <w:r w:rsidR="0091530A" w:rsidRPr="00F60A3D">
        <w:rPr>
          <w:lang w:val="fr-FR"/>
        </w:rPr>
        <w:t>inution de la main-d</w:t>
      </w:r>
      <w:r w:rsidR="00B17AE1" w:rsidRPr="00F60A3D">
        <w:rPr>
          <w:lang w:val="fr-FR"/>
        </w:rPr>
        <w:t>’</w:t>
      </w:r>
      <w:r w:rsidR="0091530A" w:rsidRPr="00F60A3D">
        <w:rPr>
          <w:lang w:val="fr-FR"/>
        </w:rPr>
        <w:t>œuvre, dur</w:t>
      </w:r>
      <w:r w:rsidR="007F5547" w:rsidRPr="00F60A3D">
        <w:rPr>
          <w:lang w:val="fr-FR"/>
        </w:rPr>
        <w:t xml:space="preserve">ant les années 1980, </w:t>
      </w:r>
      <w:r w:rsidR="00D74165" w:rsidRPr="00F60A3D">
        <w:rPr>
          <w:lang w:val="fr-FR"/>
        </w:rPr>
        <w:t>l</w:t>
      </w:r>
      <w:r w:rsidR="00B17AE1" w:rsidRPr="00F60A3D">
        <w:rPr>
          <w:lang w:val="fr-FR"/>
        </w:rPr>
        <w:t>’</w:t>
      </w:r>
      <w:r w:rsidR="00D74165" w:rsidRPr="00F60A3D">
        <w:rPr>
          <w:lang w:val="fr-FR"/>
        </w:rPr>
        <w:t>Italie a commencé à attirer des flux croissants d</w:t>
      </w:r>
      <w:r w:rsidR="00B17AE1" w:rsidRPr="00F60A3D">
        <w:rPr>
          <w:lang w:val="fr-FR"/>
        </w:rPr>
        <w:t>’</w:t>
      </w:r>
      <w:r w:rsidR="00D74165" w:rsidRPr="00F60A3D">
        <w:rPr>
          <w:lang w:val="fr-FR"/>
        </w:rPr>
        <w:t xml:space="preserve">immigrants étrangers. </w:t>
      </w:r>
    </w:p>
    <w:p w:rsidR="00D74165" w:rsidRPr="00F60A3D" w:rsidRDefault="00224935" w:rsidP="007E45CE">
      <w:pPr>
        <w:pStyle w:val="SingleTxtG"/>
        <w:rPr>
          <w:lang w:val="fr-FR"/>
        </w:rPr>
      </w:pPr>
      <w:r w:rsidRPr="00F60A3D">
        <w:rPr>
          <w:lang w:val="fr-FR"/>
        </w:rPr>
        <w:t>44.</w:t>
      </w:r>
      <w:r w:rsidR="001D2CCC" w:rsidRPr="00F60A3D">
        <w:rPr>
          <w:lang w:val="fr-FR"/>
        </w:rPr>
        <w:tab/>
      </w:r>
      <w:r w:rsidR="00D74165" w:rsidRPr="00F60A3D">
        <w:rPr>
          <w:lang w:val="fr-FR"/>
        </w:rPr>
        <w:t>Le chiffre actuel d</w:t>
      </w:r>
      <w:r w:rsidR="00B17AE1" w:rsidRPr="00F60A3D">
        <w:rPr>
          <w:lang w:val="fr-FR"/>
        </w:rPr>
        <w:t>’</w:t>
      </w:r>
      <w:r w:rsidR="00D74165" w:rsidRPr="00F60A3D">
        <w:rPr>
          <w:lang w:val="fr-FR"/>
        </w:rPr>
        <w:t>environ 5</w:t>
      </w:r>
      <w:r w:rsidR="007E45CE" w:rsidRPr="00F60A3D">
        <w:rPr>
          <w:lang w:val="fr-FR"/>
        </w:rPr>
        <w:t> </w:t>
      </w:r>
      <w:r w:rsidR="00D74165" w:rsidRPr="00F60A3D">
        <w:rPr>
          <w:lang w:val="fr-FR"/>
        </w:rPr>
        <w:t xml:space="preserve">millions de </w:t>
      </w:r>
      <w:r w:rsidR="00097A05" w:rsidRPr="00F60A3D">
        <w:rPr>
          <w:lang w:val="fr-FR"/>
        </w:rPr>
        <w:t>ré</w:t>
      </w:r>
      <w:r w:rsidR="00D74165" w:rsidRPr="00F60A3D">
        <w:rPr>
          <w:lang w:val="fr-FR"/>
        </w:rPr>
        <w:t>sidents étrangers, soit quelque 9</w:t>
      </w:r>
      <w:r w:rsidR="00B17AE1" w:rsidRPr="00F60A3D">
        <w:rPr>
          <w:lang w:val="fr-FR"/>
        </w:rPr>
        <w:t> %</w:t>
      </w:r>
      <w:r w:rsidR="00D74165" w:rsidRPr="00F60A3D">
        <w:rPr>
          <w:lang w:val="fr-FR"/>
        </w:rPr>
        <w:t xml:space="preserve"> de la population totale, inclut 97</w:t>
      </w:r>
      <w:r w:rsidR="007E45CE" w:rsidRPr="00F60A3D">
        <w:rPr>
          <w:lang w:val="fr-FR"/>
        </w:rPr>
        <w:t> </w:t>
      </w:r>
      <w:r w:rsidR="00D74165" w:rsidRPr="00F60A3D">
        <w:rPr>
          <w:lang w:val="fr-FR"/>
        </w:rPr>
        <w:t>000</w:t>
      </w:r>
      <w:r w:rsidR="007E45CE" w:rsidRPr="00F60A3D">
        <w:rPr>
          <w:lang w:val="fr-FR"/>
        </w:rPr>
        <w:t> </w:t>
      </w:r>
      <w:r w:rsidR="00097A05" w:rsidRPr="00F60A3D">
        <w:rPr>
          <w:lang w:val="fr-FR"/>
        </w:rPr>
        <w:t>enfants nés en I</w:t>
      </w:r>
      <w:r w:rsidR="00D74165" w:rsidRPr="00F60A3D">
        <w:rPr>
          <w:lang w:val="fr-FR"/>
        </w:rPr>
        <w:t>talie de ressortissants étrangers (soit 19</w:t>
      </w:r>
      <w:r w:rsidR="00B17AE1" w:rsidRPr="00F60A3D">
        <w:rPr>
          <w:lang w:val="fr-FR"/>
        </w:rPr>
        <w:t> %</w:t>
      </w:r>
      <w:r w:rsidR="00D74165" w:rsidRPr="00F60A3D">
        <w:rPr>
          <w:lang w:val="fr-FR"/>
        </w:rPr>
        <w:t xml:space="preserve"> de la totalité des naissance</w:t>
      </w:r>
      <w:r w:rsidR="00097A05" w:rsidRPr="00F60A3D">
        <w:rPr>
          <w:lang w:val="fr-FR"/>
        </w:rPr>
        <w:t>s</w:t>
      </w:r>
      <w:r w:rsidR="00D74165" w:rsidRPr="00F60A3D">
        <w:rPr>
          <w:lang w:val="fr-FR"/>
        </w:rPr>
        <w:t>) en 2014, mais exclut les ressortissants étrangers qui ont ensuite acquis la nationalité italienne.</w:t>
      </w:r>
      <w:r w:rsidR="00731982" w:rsidRPr="00F60A3D">
        <w:rPr>
          <w:lang w:val="fr-FR"/>
        </w:rPr>
        <w:t xml:space="preserve"> </w:t>
      </w:r>
    </w:p>
    <w:p w:rsidR="008728CF" w:rsidRPr="00F60A3D" w:rsidRDefault="00224935" w:rsidP="007E45CE">
      <w:pPr>
        <w:pStyle w:val="SingleTxtG"/>
        <w:rPr>
          <w:lang w:val="fr-FR"/>
        </w:rPr>
      </w:pPr>
      <w:r w:rsidRPr="00F60A3D">
        <w:rPr>
          <w:lang w:val="fr-FR"/>
        </w:rPr>
        <w:t>45.</w:t>
      </w:r>
      <w:r w:rsidR="001D2CCC" w:rsidRPr="00F60A3D">
        <w:rPr>
          <w:lang w:val="fr-FR"/>
        </w:rPr>
        <w:tab/>
      </w:r>
      <w:r w:rsidR="008728CF" w:rsidRPr="00F60A3D">
        <w:rPr>
          <w:lang w:val="fr-FR"/>
        </w:rPr>
        <w:t>Globalement, à la fin des années 2000, la population d</w:t>
      </w:r>
      <w:r w:rsidR="00B17AE1" w:rsidRPr="00F60A3D">
        <w:rPr>
          <w:lang w:val="fr-FR"/>
        </w:rPr>
        <w:t>’</w:t>
      </w:r>
      <w:r w:rsidR="008728CF" w:rsidRPr="00F60A3D">
        <w:rPr>
          <w:lang w:val="fr-FR"/>
        </w:rPr>
        <w:t>origine étrangère en Italie provenait: d</w:t>
      </w:r>
      <w:r w:rsidR="00B17AE1" w:rsidRPr="00F60A3D">
        <w:rPr>
          <w:lang w:val="fr-FR"/>
        </w:rPr>
        <w:t>’</w:t>
      </w:r>
      <w:r w:rsidR="008728CF" w:rsidRPr="00F60A3D">
        <w:rPr>
          <w:lang w:val="fr-FR"/>
        </w:rPr>
        <w:t>E</w:t>
      </w:r>
      <w:r w:rsidR="00097A05" w:rsidRPr="00F60A3D">
        <w:rPr>
          <w:lang w:val="fr-FR"/>
        </w:rPr>
        <w:t>u</w:t>
      </w:r>
      <w:r w:rsidR="008728CF" w:rsidRPr="00F60A3D">
        <w:rPr>
          <w:lang w:val="fr-FR"/>
        </w:rPr>
        <w:t>rope (54</w:t>
      </w:r>
      <w:r w:rsidR="00B17AE1" w:rsidRPr="00F60A3D">
        <w:rPr>
          <w:lang w:val="fr-FR"/>
        </w:rPr>
        <w:t> %</w:t>
      </w:r>
      <w:r w:rsidR="008728CF" w:rsidRPr="00F60A3D">
        <w:rPr>
          <w:lang w:val="fr-FR"/>
        </w:rPr>
        <w:t>), d</w:t>
      </w:r>
      <w:r w:rsidR="00B17AE1" w:rsidRPr="00F60A3D">
        <w:rPr>
          <w:lang w:val="fr-FR"/>
        </w:rPr>
        <w:t>’</w:t>
      </w:r>
      <w:r w:rsidR="008728CF" w:rsidRPr="00F60A3D">
        <w:rPr>
          <w:lang w:val="fr-FR"/>
        </w:rPr>
        <w:t>Afrique (22</w:t>
      </w:r>
      <w:r w:rsidR="00B17AE1" w:rsidRPr="00F60A3D">
        <w:rPr>
          <w:lang w:val="fr-FR"/>
        </w:rPr>
        <w:t> %</w:t>
      </w:r>
      <w:r w:rsidR="008728CF" w:rsidRPr="00F60A3D">
        <w:rPr>
          <w:lang w:val="fr-FR"/>
        </w:rPr>
        <w:t>), d</w:t>
      </w:r>
      <w:r w:rsidR="00B17AE1" w:rsidRPr="00F60A3D">
        <w:rPr>
          <w:lang w:val="fr-FR"/>
        </w:rPr>
        <w:t>’</w:t>
      </w:r>
      <w:r w:rsidR="008728CF" w:rsidRPr="00F60A3D">
        <w:rPr>
          <w:lang w:val="fr-FR"/>
        </w:rPr>
        <w:t>Asie (16</w:t>
      </w:r>
      <w:r w:rsidR="00B17AE1" w:rsidRPr="00F60A3D">
        <w:rPr>
          <w:lang w:val="fr-FR"/>
        </w:rPr>
        <w:t> %</w:t>
      </w:r>
      <w:r w:rsidR="008728CF" w:rsidRPr="00F60A3D">
        <w:rPr>
          <w:lang w:val="fr-FR"/>
        </w:rPr>
        <w:t>), des Amériques (8</w:t>
      </w:r>
      <w:r w:rsidR="00B17AE1" w:rsidRPr="00F60A3D">
        <w:rPr>
          <w:lang w:val="fr-FR"/>
        </w:rPr>
        <w:t> %</w:t>
      </w:r>
      <w:r w:rsidR="008728CF" w:rsidRPr="00F60A3D">
        <w:rPr>
          <w:lang w:val="fr-FR"/>
        </w:rPr>
        <w:t>) et d</w:t>
      </w:r>
      <w:r w:rsidR="00B17AE1" w:rsidRPr="00F60A3D">
        <w:rPr>
          <w:lang w:val="fr-FR"/>
        </w:rPr>
        <w:t>’</w:t>
      </w:r>
      <w:r w:rsidR="00097A05" w:rsidRPr="00F60A3D">
        <w:rPr>
          <w:lang w:val="fr-FR"/>
        </w:rPr>
        <w:t>O</w:t>
      </w:r>
      <w:r w:rsidR="008728CF" w:rsidRPr="00F60A3D">
        <w:rPr>
          <w:lang w:val="fr-FR"/>
        </w:rPr>
        <w:t>céanie (0,06</w:t>
      </w:r>
      <w:r w:rsidR="00B17AE1" w:rsidRPr="00F60A3D">
        <w:rPr>
          <w:lang w:val="fr-FR"/>
        </w:rPr>
        <w:t> %</w:t>
      </w:r>
      <w:r w:rsidR="008728CF" w:rsidRPr="00F60A3D">
        <w:rPr>
          <w:lang w:val="fr-FR"/>
        </w:rPr>
        <w:t xml:space="preserve">). La </w:t>
      </w:r>
      <w:r w:rsidR="00097A05" w:rsidRPr="00F60A3D">
        <w:rPr>
          <w:lang w:val="fr-FR"/>
        </w:rPr>
        <w:t>répartit</w:t>
      </w:r>
      <w:r w:rsidR="006C1123" w:rsidRPr="00F60A3D">
        <w:rPr>
          <w:lang w:val="fr-FR"/>
        </w:rPr>
        <w:t>i</w:t>
      </w:r>
      <w:r w:rsidR="00B71D21" w:rsidRPr="00F60A3D">
        <w:rPr>
          <w:lang w:val="fr-FR"/>
        </w:rPr>
        <w:t xml:space="preserve">on des immigrants </w:t>
      </w:r>
      <w:r w:rsidR="008728CF" w:rsidRPr="00F60A3D">
        <w:rPr>
          <w:lang w:val="fr-FR"/>
        </w:rPr>
        <w:t>est largement inégale: 84,9</w:t>
      </w:r>
      <w:r w:rsidR="00B17AE1" w:rsidRPr="00F60A3D">
        <w:rPr>
          <w:lang w:val="fr-FR"/>
        </w:rPr>
        <w:t> %</w:t>
      </w:r>
      <w:r w:rsidR="008728CF" w:rsidRPr="00F60A3D">
        <w:rPr>
          <w:lang w:val="fr-FR"/>
        </w:rPr>
        <w:t xml:space="preserve"> vivent au nord et au centre du pays (régions les plus développées sur le plan économique), et seuls 15,1</w:t>
      </w:r>
      <w:r w:rsidR="00B17AE1" w:rsidRPr="00F60A3D">
        <w:rPr>
          <w:lang w:val="fr-FR"/>
        </w:rPr>
        <w:t> %</w:t>
      </w:r>
      <w:r w:rsidR="008728CF" w:rsidRPr="00F60A3D">
        <w:rPr>
          <w:lang w:val="fr-FR"/>
        </w:rPr>
        <w:t xml:space="preserve"> vivent dans la moitié sud de la péninsule. </w:t>
      </w:r>
    </w:p>
    <w:p w:rsidR="00CC6F71" w:rsidRPr="00F60A3D" w:rsidRDefault="00236F23" w:rsidP="001D2CCC">
      <w:pPr>
        <w:pStyle w:val="SingleTxtG"/>
        <w:rPr>
          <w:b/>
          <w:lang w:val="fr-FR"/>
        </w:rPr>
      </w:pPr>
      <w:r w:rsidRPr="00F60A3D">
        <w:rPr>
          <w:lang w:val="fr-FR"/>
        </w:rPr>
        <w:t>46</w:t>
      </w:r>
      <w:r w:rsidR="001D2CCC" w:rsidRPr="00F60A3D">
        <w:rPr>
          <w:lang w:val="fr-FR"/>
        </w:rPr>
        <w:t>.</w:t>
      </w:r>
      <w:r w:rsidR="001D2CCC" w:rsidRPr="00F60A3D">
        <w:rPr>
          <w:b/>
          <w:lang w:val="fr-FR"/>
        </w:rPr>
        <w:tab/>
      </w:r>
      <w:r w:rsidR="0018578B" w:rsidRPr="00F60A3D">
        <w:rPr>
          <w:lang w:val="fr-FR"/>
        </w:rPr>
        <w:t>En ce qui concerne l</w:t>
      </w:r>
      <w:r w:rsidR="001A2C7C" w:rsidRPr="00F60A3D">
        <w:rPr>
          <w:lang w:val="fr-FR"/>
        </w:rPr>
        <w:t xml:space="preserve">es </w:t>
      </w:r>
      <w:r w:rsidR="0018578B" w:rsidRPr="00F60A3D">
        <w:rPr>
          <w:lang w:val="fr-FR"/>
        </w:rPr>
        <w:t xml:space="preserve">données relatives </w:t>
      </w:r>
      <w:r w:rsidR="00731982" w:rsidRPr="00F60A3D">
        <w:rPr>
          <w:lang w:val="fr-FR"/>
        </w:rPr>
        <w:t>«</w:t>
      </w:r>
      <w:r w:rsidR="0018578B" w:rsidRPr="00F60A3D">
        <w:rPr>
          <w:lang w:val="fr-FR"/>
        </w:rPr>
        <w:t>au</w:t>
      </w:r>
      <w:r w:rsidR="008728CF" w:rsidRPr="00F60A3D">
        <w:rPr>
          <w:lang w:val="fr-FR"/>
        </w:rPr>
        <w:t xml:space="preserve"> territoire, </w:t>
      </w:r>
      <w:r w:rsidR="0018578B" w:rsidRPr="00F60A3D">
        <w:rPr>
          <w:lang w:val="fr-FR"/>
        </w:rPr>
        <w:t xml:space="preserve">à </w:t>
      </w:r>
      <w:r w:rsidR="008728CF" w:rsidRPr="00F60A3D">
        <w:rPr>
          <w:lang w:val="fr-FR"/>
        </w:rPr>
        <w:t>l</w:t>
      </w:r>
      <w:r w:rsidR="00B17AE1" w:rsidRPr="00F60A3D">
        <w:rPr>
          <w:lang w:val="fr-FR"/>
        </w:rPr>
        <w:t>’</w:t>
      </w:r>
      <w:r w:rsidR="008728CF" w:rsidRPr="00F60A3D">
        <w:rPr>
          <w:lang w:val="fr-FR"/>
        </w:rPr>
        <w:t xml:space="preserve">environnement, </w:t>
      </w:r>
      <w:r w:rsidR="0018578B" w:rsidRPr="00F60A3D">
        <w:rPr>
          <w:lang w:val="fr-FR"/>
        </w:rPr>
        <w:t xml:space="preserve">à </w:t>
      </w:r>
      <w:r w:rsidR="008728CF" w:rsidRPr="00F60A3D">
        <w:rPr>
          <w:lang w:val="fr-FR"/>
        </w:rPr>
        <w:t xml:space="preserve">la population, </w:t>
      </w:r>
      <w:r w:rsidR="0018578B" w:rsidRPr="00F60A3D">
        <w:rPr>
          <w:lang w:val="fr-FR"/>
        </w:rPr>
        <w:t xml:space="preserve">à </w:t>
      </w:r>
      <w:r w:rsidR="008728CF" w:rsidRPr="00F60A3D">
        <w:rPr>
          <w:lang w:val="fr-FR"/>
        </w:rPr>
        <w:t>la santé,</w:t>
      </w:r>
      <w:r w:rsidR="0018578B" w:rsidRPr="00F60A3D">
        <w:rPr>
          <w:lang w:val="fr-FR"/>
        </w:rPr>
        <w:t xml:space="preserve"> à</w:t>
      </w:r>
      <w:r w:rsidR="008728CF" w:rsidRPr="00F60A3D">
        <w:rPr>
          <w:lang w:val="fr-FR"/>
        </w:rPr>
        <w:t xml:space="preserve"> la culture, </w:t>
      </w:r>
      <w:r w:rsidR="0018578B" w:rsidRPr="00F60A3D">
        <w:rPr>
          <w:lang w:val="fr-FR"/>
        </w:rPr>
        <w:t xml:space="preserve">à </w:t>
      </w:r>
      <w:r w:rsidR="008728CF" w:rsidRPr="00F60A3D">
        <w:rPr>
          <w:lang w:val="fr-FR"/>
        </w:rPr>
        <w:t>l</w:t>
      </w:r>
      <w:r w:rsidR="00B17AE1" w:rsidRPr="00F60A3D">
        <w:rPr>
          <w:lang w:val="fr-FR"/>
        </w:rPr>
        <w:t>’</w:t>
      </w:r>
      <w:r w:rsidR="008728CF" w:rsidRPr="00F60A3D">
        <w:rPr>
          <w:lang w:val="fr-FR"/>
        </w:rPr>
        <w:t>é</w:t>
      </w:r>
      <w:r w:rsidR="0018578B" w:rsidRPr="00F60A3D">
        <w:rPr>
          <w:lang w:val="fr-FR"/>
        </w:rPr>
        <w:t>ducation, au</w:t>
      </w:r>
      <w:r w:rsidR="008728CF" w:rsidRPr="00F60A3D">
        <w:rPr>
          <w:lang w:val="fr-FR"/>
        </w:rPr>
        <w:t xml:space="preserve"> marché du travail, </w:t>
      </w:r>
      <w:r w:rsidR="0018578B" w:rsidRPr="00F60A3D">
        <w:rPr>
          <w:lang w:val="fr-FR"/>
        </w:rPr>
        <w:t>à la justice, aux</w:t>
      </w:r>
      <w:r w:rsidR="008728CF" w:rsidRPr="00F60A3D">
        <w:rPr>
          <w:lang w:val="fr-FR"/>
        </w:rPr>
        <w:t xml:space="preserve"> conditions de vie, </w:t>
      </w:r>
      <w:r w:rsidR="0018578B" w:rsidRPr="00F60A3D">
        <w:rPr>
          <w:lang w:val="fr-FR"/>
        </w:rPr>
        <w:t>à l</w:t>
      </w:r>
      <w:r w:rsidR="00B17AE1" w:rsidRPr="00F60A3D">
        <w:rPr>
          <w:lang w:val="fr-FR"/>
        </w:rPr>
        <w:t>’</w:t>
      </w:r>
      <w:r w:rsidR="0018578B" w:rsidRPr="00F60A3D">
        <w:rPr>
          <w:lang w:val="fr-FR"/>
        </w:rPr>
        <w:t>économie, aux prix, au</w:t>
      </w:r>
      <w:r w:rsidR="008728CF" w:rsidRPr="00F60A3D">
        <w:rPr>
          <w:lang w:val="fr-FR"/>
        </w:rPr>
        <w:t xml:space="preserve"> commerce extérieur, </w:t>
      </w:r>
      <w:r w:rsidR="0018578B" w:rsidRPr="00F60A3D">
        <w:rPr>
          <w:lang w:val="fr-FR"/>
        </w:rPr>
        <w:t>à l</w:t>
      </w:r>
      <w:r w:rsidR="00B17AE1" w:rsidRPr="00F60A3D">
        <w:rPr>
          <w:lang w:val="fr-FR"/>
        </w:rPr>
        <w:t>’</w:t>
      </w:r>
      <w:r w:rsidR="0018578B" w:rsidRPr="00F60A3D">
        <w:rPr>
          <w:lang w:val="fr-FR"/>
        </w:rPr>
        <w:t>industrie et aux</w:t>
      </w:r>
      <w:r w:rsidR="008728CF" w:rsidRPr="00F60A3D">
        <w:rPr>
          <w:lang w:val="fr-FR"/>
        </w:rPr>
        <w:t xml:space="preserve"> service</w:t>
      </w:r>
      <w:r w:rsidR="00196D3B" w:rsidRPr="00F60A3D">
        <w:rPr>
          <w:lang w:val="fr-FR"/>
        </w:rPr>
        <w:t xml:space="preserve">s, </w:t>
      </w:r>
      <w:r w:rsidR="0018578B" w:rsidRPr="00F60A3D">
        <w:rPr>
          <w:lang w:val="fr-FR"/>
        </w:rPr>
        <w:t>à l</w:t>
      </w:r>
      <w:r w:rsidR="00B17AE1" w:rsidRPr="00F60A3D">
        <w:rPr>
          <w:lang w:val="fr-FR"/>
        </w:rPr>
        <w:t>’</w:t>
      </w:r>
      <w:r w:rsidR="0018578B" w:rsidRPr="00F60A3D">
        <w:rPr>
          <w:lang w:val="fr-FR"/>
        </w:rPr>
        <w:t>agriculture et au</w:t>
      </w:r>
      <w:r w:rsidR="00196D3B" w:rsidRPr="00F60A3D">
        <w:rPr>
          <w:lang w:val="fr-FR"/>
        </w:rPr>
        <w:t xml:space="preserve"> tourisme</w:t>
      </w:r>
      <w:r w:rsidR="00731982" w:rsidRPr="00F60A3D">
        <w:rPr>
          <w:lang w:val="fr-FR"/>
        </w:rPr>
        <w:t>»</w:t>
      </w:r>
      <w:r w:rsidR="008728CF" w:rsidRPr="00F60A3D">
        <w:rPr>
          <w:lang w:val="fr-FR"/>
        </w:rPr>
        <w:t xml:space="preserve">, </w:t>
      </w:r>
      <w:r w:rsidR="00921366" w:rsidRPr="00F60A3D">
        <w:rPr>
          <w:lang w:val="fr-FR"/>
        </w:rPr>
        <w:t xml:space="preserve">on </w:t>
      </w:r>
      <w:r w:rsidR="008728CF" w:rsidRPr="00F60A3D">
        <w:rPr>
          <w:lang w:val="fr-FR"/>
        </w:rPr>
        <w:t>se reporter</w:t>
      </w:r>
      <w:r w:rsidR="00921366" w:rsidRPr="00F60A3D">
        <w:rPr>
          <w:lang w:val="fr-FR"/>
        </w:rPr>
        <w:t>a</w:t>
      </w:r>
      <w:r w:rsidR="008728CF" w:rsidRPr="00F60A3D">
        <w:rPr>
          <w:lang w:val="fr-FR"/>
        </w:rPr>
        <w:t xml:space="preserve"> aux publications annuelles en anglais de l</w:t>
      </w:r>
      <w:r w:rsidR="00B17AE1" w:rsidRPr="00F60A3D">
        <w:rPr>
          <w:lang w:val="fr-FR"/>
        </w:rPr>
        <w:t>’</w:t>
      </w:r>
      <w:r w:rsidR="00097A05" w:rsidRPr="00F60A3D">
        <w:rPr>
          <w:lang w:val="fr-FR"/>
        </w:rPr>
        <w:t>Institut</w:t>
      </w:r>
      <w:r w:rsidR="008728CF" w:rsidRPr="00F60A3D">
        <w:rPr>
          <w:lang w:val="fr-FR"/>
        </w:rPr>
        <w:t xml:space="preserve"> national de</w:t>
      </w:r>
      <w:r w:rsidR="00731982" w:rsidRPr="00F60A3D">
        <w:rPr>
          <w:lang w:val="fr-FR"/>
        </w:rPr>
        <w:t xml:space="preserve"> </w:t>
      </w:r>
      <w:r w:rsidR="0091530A" w:rsidRPr="00F60A3D">
        <w:rPr>
          <w:lang w:val="fr-FR"/>
        </w:rPr>
        <w:t xml:space="preserve">statistique </w:t>
      </w:r>
      <w:r w:rsidR="008728CF" w:rsidRPr="00F60A3D">
        <w:rPr>
          <w:lang w:val="fr-FR"/>
        </w:rPr>
        <w:t xml:space="preserve">figurant en annexes, sur </w:t>
      </w:r>
      <w:r w:rsidR="00731982" w:rsidRPr="00F60A3D">
        <w:rPr>
          <w:lang w:val="fr-FR"/>
        </w:rPr>
        <w:t>«</w:t>
      </w:r>
      <w:r w:rsidR="00097A05" w:rsidRPr="00F60A3D">
        <w:rPr>
          <w:lang w:val="fr-FR"/>
        </w:rPr>
        <w:t>L</w:t>
      </w:r>
      <w:r w:rsidR="00B17AE1" w:rsidRPr="00F60A3D">
        <w:rPr>
          <w:lang w:val="fr-FR"/>
        </w:rPr>
        <w:t>’</w:t>
      </w:r>
      <w:r w:rsidR="00097A05" w:rsidRPr="00F60A3D">
        <w:rPr>
          <w:lang w:val="fr-FR"/>
        </w:rPr>
        <w:t>Italie en chiffr</w:t>
      </w:r>
      <w:r w:rsidR="00CC6F71" w:rsidRPr="00F60A3D">
        <w:rPr>
          <w:lang w:val="fr-FR"/>
        </w:rPr>
        <w:t>es</w:t>
      </w:r>
      <w:r w:rsidR="00731982" w:rsidRPr="00F60A3D">
        <w:rPr>
          <w:lang w:val="fr-FR"/>
        </w:rPr>
        <w:t>»</w:t>
      </w:r>
      <w:r w:rsidR="00097A05" w:rsidRPr="00F60A3D">
        <w:rPr>
          <w:lang w:val="fr-FR"/>
        </w:rPr>
        <w:t>, pour le</w:t>
      </w:r>
      <w:r w:rsidR="00CC6F71" w:rsidRPr="00F60A3D">
        <w:rPr>
          <w:lang w:val="fr-FR"/>
        </w:rPr>
        <w:t xml:space="preserve">s </w:t>
      </w:r>
      <w:r w:rsidR="00097A05" w:rsidRPr="00F60A3D">
        <w:rPr>
          <w:lang w:val="fr-FR"/>
        </w:rPr>
        <w:t xml:space="preserve">années </w:t>
      </w:r>
      <w:r w:rsidR="00CC6F71" w:rsidRPr="00F60A3D">
        <w:rPr>
          <w:lang w:val="fr-FR"/>
        </w:rPr>
        <w:t>2015, 2014, 2013 (Annexe</w:t>
      </w:r>
      <w:r w:rsidR="00097A05" w:rsidRPr="00F60A3D">
        <w:rPr>
          <w:lang w:val="fr-FR"/>
        </w:rPr>
        <w:t>s n</w:t>
      </w:r>
      <w:r w:rsidR="00B17AE1" w:rsidRPr="00F60A3D">
        <w:rPr>
          <w:vertAlign w:val="superscript"/>
          <w:lang w:val="fr-FR"/>
        </w:rPr>
        <w:t>o</w:t>
      </w:r>
      <w:r w:rsidR="007E45CE" w:rsidRPr="00F60A3D">
        <w:rPr>
          <w:lang w:val="fr-FR"/>
        </w:rPr>
        <w:t> </w:t>
      </w:r>
      <w:r w:rsidR="00097A05" w:rsidRPr="00F60A3D">
        <w:rPr>
          <w:lang w:val="fr-FR"/>
        </w:rPr>
        <w:t>1.1, 1.2, 1.3, respectivement</w:t>
      </w:r>
      <w:r w:rsidR="005E445C" w:rsidRPr="00F60A3D">
        <w:rPr>
          <w:lang w:val="fr-FR"/>
        </w:rPr>
        <w:t>)</w:t>
      </w:r>
      <w:r w:rsidR="003100D3" w:rsidRPr="00F60A3D">
        <w:rPr>
          <w:rStyle w:val="FootnoteReference"/>
          <w:lang w:val="fr-FR"/>
        </w:rPr>
        <w:footnoteReference w:id="17"/>
      </w:r>
      <w:r w:rsidR="00731982" w:rsidRPr="00F60A3D">
        <w:rPr>
          <w:bCs/>
          <w:lang w:val="fr-FR"/>
        </w:rPr>
        <w:t>:</w:t>
      </w:r>
    </w:p>
    <w:p w:rsidR="00CC6F71" w:rsidRPr="00F60A3D" w:rsidRDefault="00CC6F71" w:rsidP="007E45CE">
      <w:pPr>
        <w:pStyle w:val="SingleTxtG"/>
        <w:ind w:left="1701"/>
        <w:rPr>
          <w:lang w:val="fr-FR"/>
        </w:rPr>
      </w:pPr>
      <w:r w:rsidRPr="00F60A3D">
        <w:rPr>
          <w:lang w:val="fr-FR"/>
        </w:rPr>
        <w:t>http://www.istat.it/en/files/2015/09/ItalyinFigures2015.pdf; http://www.istat.it/en/files/2015/03/Italy-in-figures-2014-online.pdf</w:t>
      </w:r>
      <w:r w:rsidR="001A36F9" w:rsidRPr="00F60A3D">
        <w:rPr>
          <w:lang w:val="fr-FR"/>
        </w:rPr>
        <w:t>;</w:t>
      </w:r>
      <w:r w:rsidR="001A36F9" w:rsidRPr="00F60A3D">
        <w:rPr>
          <w:lang w:val="fr-FR"/>
        </w:rPr>
        <w:br/>
      </w:r>
      <w:r w:rsidRPr="00F60A3D">
        <w:rPr>
          <w:rStyle w:val="Hyperlink"/>
          <w:lang w:val="fr-FR"/>
        </w:rPr>
        <w:t>http</w:t>
      </w:r>
      <w:r w:rsidRPr="00F60A3D">
        <w:rPr>
          <w:lang w:val="fr-FR"/>
        </w:rPr>
        <w:t>://www.istat.it/en/files/2011/06/Italy-in-figures-2013.pdf.</w:t>
      </w:r>
    </w:p>
    <w:p w:rsidR="00CC6F71" w:rsidRPr="00F60A3D" w:rsidRDefault="00236F23" w:rsidP="001D2CCC">
      <w:pPr>
        <w:pStyle w:val="SingleTxtG"/>
        <w:rPr>
          <w:lang w:val="fr-FR"/>
        </w:rPr>
      </w:pPr>
      <w:r w:rsidRPr="00F60A3D">
        <w:rPr>
          <w:lang w:val="fr-FR"/>
        </w:rPr>
        <w:lastRenderedPageBreak/>
        <w:t>47</w:t>
      </w:r>
      <w:r w:rsidR="001D2CCC" w:rsidRPr="00F60A3D">
        <w:rPr>
          <w:lang w:val="fr-FR"/>
        </w:rPr>
        <w:t>.</w:t>
      </w:r>
      <w:r w:rsidR="001D2CCC" w:rsidRPr="00F60A3D">
        <w:rPr>
          <w:lang w:val="fr-FR"/>
        </w:rPr>
        <w:tab/>
      </w:r>
      <w:r w:rsidR="0018578B" w:rsidRPr="00F60A3D">
        <w:rPr>
          <w:lang w:val="fr-FR"/>
        </w:rPr>
        <w:t>Pour ce qui est</w:t>
      </w:r>
      <w:r w:rsidR="005C0236" w:rsidRPr="00F60A3D">
        <w:rPr>
          <w:lang w:val="fr-FR"/>
        </w:rPr>
        <w:t xml:space="preserve"> d</w:t>
      </w:r>
      <w:r w:rsidR="00CC2FDE" w:rsidRPr="00F60A3D">
        <w:rPr>
          <w:lang w:val="fr-FR"/>
        </w:rPr>
        <w:t>es données relatives à la politique</w:t>
      </w:r>
      <w:r w:rsidR="0091530A" w:rsidRPr="00F60A3D">
        <w:rPr>
          <w:lang w:val="fr-FR"/>
        </w:rPr>
        <w:t xml:space="preserve"> tirées des</w:t>
      </w:r>
      <w:r w:rsidR="00CC2FDE" w:rsidRPr="00F60A3D">
        <w:rPr>
          <w:lang w:val="fr-FR"/>
        </w:rPr>
        <w:t xml:space="preserve"> dernières éle</w:t>
      </w:r>
      <w:r w:rsidR="002B752A" w:rsidRPr="00F60A3D">
        <w:rPr>
          <w:lang w:val="fr-FR"/>
        </w:rPr>
        <w:t>ctions générales susmentionnées</w:t>
      </w:r>
      <w:r w:rsidR="00CC2FDE" w:rsidRPr="00F60A3D">
        <w:rPr>
          <w:lang w:val="fr-FR"/>
        </w:rPr>
        <w:t xml:space="preserve"> tenues à la fin février 2013: </w:t>
      </w:r>
    </w:p>
    <w:p w:rsidR="0067647A" w:rsidRPr="00F60A3D" w:rsidRDefault="00236F23" w:rsidP="001D2CCC">
      <w:pPr>
        <w:pStyle w:val="SingleTxtG"/>
        <w:rPr>
          <w:lang w:val="fr-FR"/>
        </w:rPr>
      </w:pPr>
      <w:r w:rsidRPr="00F60A3D">
        <w:rPr>
          <w:lang w:val="fr-FR"/>
        </w:rPr>
        <w:t>48</w:t>
      </w:r>
      <w:r w:rsidR="001D2CCC" w:rsidRPr="00F60A3D">
        <w:rPr>
          <w:lang w:val="fr-FR"/>
        </w:rPr>
        <w:t>.</w:t>
      </w:r>
      <w:r w:rsidR="001D2CCC" w:rsidRPr="00F60A3D">
        <w:rPr>
          <w:lang w:val="fr-FR"/>
        </w:rPr>
        <w:tab/>
      </w:r>
      <w:r w:rsidRPr="00F60A3D">
        <w:rPr>
          <w:lang w:val="fr-FR"/>
        </w:rPr>
        <w:t>Les I</w:t>
      </w:r>
      <w:r w:rsidR="0067647A" w:rsidRPr="00F60A3D">
        <w:rPr>
          <w:lang w:val="fr-FR"/>
        </w:rPr>
        <w:t>talie</w:t>
      </w:r>
      <w:r w:rsidR="00CC6F71" w:rsidRPr="00F60A3D">
        <w:rPr>
          <w:lang w:val="fr-FR"/>
        </w:rPr>
        <w:t xml:space="preserve">ns </w:t>
      </w:r>
      <w:r w:rsidR="005C0236" w:rsidRPr="00F60A3D">
        <w:rPr>
          <w:lang w:val="fr-FR"/>
        </w:rPr>
        <w:t>jouissant du droit de vote</w:t>
      </w:r>
      <w:r w:rsidR="007E45CE" w:rsidRPr="00F60A3D">
        <w:rPr>
          <w:lang w:val="fr-FR"/>
        </w:rPr>
        <w:t xml:space="preserve"> étaient 50 449 </w:t>
      </w:r>
      <w:r w:rsidR="0067647A" w:rsidRPr="00F60A3D">
        <w:rPr>
          <w:lang w:val="fr-FR"/>
        </w:rPr>
        <w:t>979, dont 26 088</w:t>
      </w:r>
      <w:r w:rsidR="00764058" w:rsidRPr="00F60A3D">
        <w:rPr>
          <w:lang w:val="fr-FR"/>
        </w:rPr>
        <w:t> 170 </w:t>
      </w:r>
      <w:r w:rsidRPr="00F60A3D">
        <w:rPr>
          <w:lang w:val="fr-FR"/>
        </w:rPr>
        <w:t>femmes et 24 361</w:t>
      </w:r>
      <w:r w:rsidR="007E45CE" w:rsidRPr="00F60A3D">
        <w:rPr>
          <w:lang w:val="fr-FR"/>
        </w:rPr>
        <w:t> </w:t>
      </w:r>
      <w:r w:rsidRPr="00F60A3D">
        <w:rPr>
          <w:lang w:val="fr-FR"/>
        </w:rPr>
        <w:t>809</w:t>
      </w:r>
      <w:r w:rsidR="007E45CE" w:rsidRPr="00F60A3D">
        <w:rPr>
          <w:lang w:val="fr-FR"/>
        </w:rPr>
        <w:t> </w:t>
      </w:r>
      <w:r w:rsidRPr="00F60A3D">
        <w:rPr>
          <w:lang w:val="fr-FR"/>
        </w:rPr>
        <w:t>hommes.</w:t>
      </w:r>
      <w:r w:rsidR="0067647A" w:rsidRPr="00F60A3D">
        <w:rPr>
          <w:lang w:val="fr-FR"/>
        </w:rPr>
        <w:t xml:space="preserve"> Selon les données du Ministère de l</w:t>
      </w:r>
      <w:r w:rsidR="00B17AE1" w:rsidRPr="00F60A3D">
        <w:rPr>
          <w:lang w:val="fr-FR"/>
        </w:rPr>
        <w:t>’</w:t>
      </w:r>
      <w:r w:rsidR="0067647A" w:rsidRPr="00F60A3D">
        <w:rPr>
          <w:lang w:val="fr-FR"/>
        </w:rPr>
        <w:t xml:space="preserve">intérieur, </w:t>
      </w:r>
      <w:r w:rsidR="006B66B8" w:rsidRPr="00F60A3D">
        <w:rPr>
          <w:lang w:val="fr-FR"/>
        </w:rPr>
        <w:t>le</w:t>
      </w:r>
      <w:r w:rsidR="0067647A" w:rsidRPr="00F60A3D">
        <w:rPr>
          <w:lang w:val="fr-FR"/>
        </w:rPr>
        <w:t xml:space="preserve"> nombre d</w:t>
      </w:r>
      <w:r w:rsidR="00B17AE1" w:rsidRPr="00F60A3D">
        <w:rPr>
          <w:lang w:val="fr-FR"/>
        </w:rPr>
        <w:t>’</w:t>
      </w:r>
      <w:r w:rsidR="0067647A" w:rsidRPr="00F60A3D">
        <w:rPr>
          <w:lang w:val="fr-FR"/>
        </w:rPr>
        <w:t xml:space="preserve">électeurs </w:t>
      </w:r>
      <w:r w:rsidR="00B157C5" w:rsidRPr="00F60A3D">
        <w:rPr>
          <w:lang w:val="fr-FR"/>
        </w:rPr>
        <w:t xml:space="preserve">aux élections législatives </w:t>
      </w:r>
      <w:r w:rsidR="0067647A" w:rsidRPr="00F60A3D">
        <w:rPr>
          <w:lang w:val="fr-FR"/>
        </w:rPr>
        <w:t>représentait 75,19</w:t>
      </w:r>
      <w:r w:rsidR="00B17AE1" w:rsidRPr="00F60A3D">
        <w:rPr>
          <w:lang w:val="fr-FR"/>
        </w:rPr>
        <w:t> %</w:t>
      </w:r>
      <w:r w:rsidR="0067647A" w:rsidRPr="00F60A3D">
        <w:rPr>
          <w:lang w:val="fr-FR"/>
        </w:rPr>
        <w:t xml:space="preserve"> de ceux en âge de voter – environ 5</w:t>
      </w:r>
      <w:r w:rsidR="00B17AE1" w:rsidRPr="00F60A3D">
        <w:rPr>
          <w:lang w:val="fr-FR"/>
        </w:rPr>
        <w:t> %</w:t>
      </w:r>
      <w:r w:rsidR="0067647A" w:rsidRPr="00F60A3D">
        <w:rPr>
          <w:lang w:val="fr-FR"/>
        </w:rPr>
        <w:t xml:space="preserve"> de moins qu</w:t>
      </w:r>
      <w:r w:rsidR="00B17AE1" w:rsidRPr="00F60A3D">
        <w:rPr>
          <w:lang w:val="fr-FR"/>
        </w:rPr>
        <w:t>’</w:t>
      </w:r>
      <w:r w:rsidR="0067647A" w:rsidRPr="00F60A3D">
        <w:rPr>
          <w:lang w:val="fr-FR"/>
        </w:rPr>
        <w:t>aux élections générales italiennes de 2008 (80,50</w:t>
      </w:r>
      <w:r w:rsidR="00B17AE1" w:rsidRPr="00F60A3D">
        <w:rPr>
          <w:lang w:val="fr-FR"/>
        </w:rPr>
        <w:t> %</w:t>
      </w:r>
      <w:r w:rsidR="0067647A" w:rsidRPr="00F60A3D">
        <w:rPr>
          <w:lang w:val="fr-FR"/>
        </w:rPr>
        <w:t>). Des résultats similaires s</w:t>
      </w:r>
      <w:r w:rsidR="00B17AE1" w:rsidRPr="00F60A3D">
        <w:rPr>
          <w:lang w:val="fr-FR"/>
        </w:rPr>
        <w:t>’</w:t>
      </w:r>
      <w:r w:rsidR="006B66B8" w:rsidRPr="00F60A3D">
        <w:rPr>
          <w:lang w:val="fr-FR"/>
        </w:rPr>
        <w:t>appliqu</w:t>
      </w:r>
      <w:r w:rsidR="002B752A" w:rsidRPr="00F60A3D">
        <w:rPr>
          <w:lang w:val="fr-FR"/>
        </w:rPr>
        <w:t>ai</w:t>
      </w:r>
      <w:r w:rsidR="006B66B8" w:rsidRPr="00F60A3D">
        <w:rPr>
          <w:lang w:val="fr-FR"/>
        </w:rPr>
        <w:t>ent au S</w:t>
      </w:r>
      <w:r w:rsidR="0067647A" w:rsidRPr="00F60A3D">
        <w:rPr>
          <w:lang w:val="fr-FR"/>
        </w:rPr>
        <w:t>énat avec un taux de participation de 75,11</w:t>
      </w:r>
      <w:r w:rsidR="00B17AE1" w:rsidRPr="00F60A3D">
        <w:rPr>
          <w:lang w:val="fr-FR"/>
        </w:rPr>
        <w:t> %</w:t>
      </w:r>
      <w:r w:rsidR="00731982" w:rsidRPr="00F60A3D">
        <w:rPr>
          <w:lang w:val="fr-FR"/>
        </w:rPr>
        <w:t xml:space="preserve"> </w:t>
      </w:r>
      <w:r w:rsidR="0067647A" w:rsidRPr="00F60A3D">
        <w:rPr>
          <w:lang w:val="fr-FR"/>
        </w:rPr>
        <w:t>(cont</w:t>
      </w:r>
      <w:r w:rsidR="0091530A" w:rsidRPr="00F60A3D">
        <w:rPr>
          <w:lang w:val="fr-FR"/>
        </w:rPr>
        <w:t>re 80,46</w:t>
      </w:r>
      <w:r w:rsidR="00B17AE1" w:rsidRPr="00F60A3D">
        <w:rPr>
          <w:lang w:val="fr-FR"/>
        </w:rPr>
        <w:t> %</w:t>
      </w:r>
      <w:r w:rsidR="0091530A" w:rsidRPr="00F60A3D">
        <w:rPr>
          <w:lang w:val="fr-FR"/>
        </w:rPr>
        <w:t xml:space="preserve"> lors des </w:t>
      </w:r>
      <w:r w:rsidR="0067647A" w:rsidRPr="00F60A3D">
        <w:rPr>
          <w:lang w:val="fr-FR"/>
        </w:rPr>
        <w:t>élections</w:t>
      </w:r>
      <w:r w:rsidR="0091530A" w:rsidRPr="00F60A3D">
        <w:rPr>
          <w:lang w:val="fr-FR"/>
        </w:rPr>
        <w:t xml:space="preserve"> précédentes</w:t>
      </w:r>
      <w:r w:rsidR="0067647A" w:rsidRPr="00F60A3D">
        <w:rPr>
          <w:lang w:val="fr-FR"/>
        </w:rPr>
        <w:t>).</w:t>
      </w:r>
      <w:r w:rsidR="00731982" w:rsidRPr="00F60A3D">
        <w:rPr>
          <w:lang w:val="fr-FR"/>
        </w:rPr>
        <w:t xml:space="preserve"> </w:t>
      </w:r>
    </w:p>
    <w:p w:rsidR="006B66B8" w:rsidRPr="00F60A3D" w:rsidRDefault="00236F23" w:rsidP="001D2CCC">
      <w:pPr>
        <w:pStyle w:val="SingleTxtG"/>
        <w:rPr>
          <w:lang w:val="fr-FR"/>
        </w:rPr>
      </w:pPr>
      <w:r w:rsidRPr="00F60A3D">
        <w:rPr>
          <w:lang w:val="fr-FR"/>
        </w:rPr>
        <w:t>49</w:t>
      </w:r>
      <w:r w:rsidR="001D2CCC" w:rsidRPr="00F60A3D">
        <w:rPr>
          <w:lang w:val="fr-FR"/>
        </w:rPr>
        <w:t>.</w:t>
      </w:r>
      <w:r w:rsidR="001D2CCC" w:rsidRPr="00F60A3D">
        <w:rPr>
          <w:lang w:val="fr-FR"/>
        </w:rPr>
        <w:tab/>
      </w:r>
      <w:r w:rsidR="00002323" w:rsidRPr="00F60A3D">
        <w:rPr>
          <w:lang w:val="fr-FR"/>
        </w:rPr>
        <w:t>Lors des élections à la Chambre des députés</w:t>
      </w:r>
      <w:r w:rsidR="00A058BD" w:rsidRPr="00F60A3D">
        <w:rPr>
          <w:lang w:val="fr-FR"/>
        </w:rPr>
        <w:t xml:space="preserve">, </w:t>
      </w:r>
      <w:r w:rsidR="006B66B8" w:rsidRPr="00F60A3D">
        <w:rPr>
          <w:lang w:val="fr-FR"/>
        </w:rPr>
        <w:t>on a recensé 395 286</w:t>
      </w:r>
      <w:r w:rsidR="007E45CE" w:rsidRPr="00F60A3D">
        <w:rPr>
          <w:lang w:val="fr-FR"/>
        </w:rPr>
        <w:t> </w:t>
      </w:r>
      <w:r w:rsidR="006B66B8" w:rsidRPr="00F60A3D">
        <w:rPr>
          <w:lang w:val="fr-FR"/>
        </w:rPr>
        <w:t>bulletins blancs (1,12</w:t>
      </w:r>
      <w:r w:rsidR="00B17AE1" w:rsidRPr="00F60A3D">
        <w:rPr>
          <w:lang w:val="fr-FR"/>
        </w:rPr>
        <w:t> %</w:t>
      </w:r>
      <w:r w:rsidR="006B66B8" w:rsidRPr="00F60A3D">
        <w:rPr>
          <w:lang w:val="fr-FR"/>
        </w:rPr>
        <w:t xml:space="preserve"> du total); 871 780</w:t>
      </w:r>
      <w:r w:rsidR="007E45CE" w:rsidRPr="00F60A3D">
        <w:rPr>
          <w:lang w:val="fr-FR"/>
        </w:rPr>
        <w:t> </w:t>
      </w:r>
      <w:r w:rsidR="006B66B8" w:rsidRPr="00F60A3D">
        <w:rPr>
          <w:lang w:val="fr-FR"/>
        </w:rPr>
        <w:t>bulletins nuls (2,47</w:t>
      </w:r>
      <w:r w:rsidR="00B17AE1" w:rsidRPr="00F60A3D">
        <w:rPr>
          <w:lang w:val="fr-FR"/>
        </w:rPr>
        <w:t> %</w:t>
      </w:r>
      <w:r w:rsidR="006B66B8" w:rsidRPr="00F60A3D">
        <w:rPr>
          <w:lang w:val="fr-FR"/>
        </w:rPr>
        <w:t xml:space="preserve"> du total); et 1 951</w:t>
      </w:r>
      <w:r w:rsidR="007E45CE" w:rsidRPr="00F60A3D">
        <w:rPr>
          <w:lang w:val="fr-FR"/>
        </w:rPr>
        <w:t> </w:t>
      </w:r>
      <w:r w:rsidR="006B66B8" w:rsidRPr="00F60A3D">
        <w:rPr>
          <w:lang w:val="fr-FR"/>
        </w:rPr>
        <w:t>vote</w:t>
      </w:r>
      <w:r w:rsidR="00876B3F" w:rsidRPr="00F60A3D">
        <w:rPr>
          <w:lang w:val="fr-FR"/>
        </w:rPr>
        <w:t>s contestés et non attribu</w:t>
      </w:r>
      <w:r w:rsidR="006B66B8" w:rsidRPr="00F60A3D">
        <w:rPr>
          <w:lang w:val="fr-FR"/>
        </w:rPr>
        <w:t xml:space="preserve">és. </w:t>
      </w:r>
      <w:r w:rsidR="00BD1207" w:rsidRPr="00F60A3D">
        <w:rPr>
          <w:lang w:val="fr-FR"/>
        </w:rPr>
        <w:t>Les élections s</w:t>
      </w:r>
      <w:r w:rsidR="002A1465" w:rsidRPr="00F60A3D">
        <w:rPr>
          <w:lang w:val="fr-FR"/>
        </w:rPr>
        <w:t>énat</w:t>
      </w:r>
      <w:r w:rsidR="00BD1207" w:rsidRPr="00F60A3D">
        <w:rPr>
          <w:lang w:val="fr-FR"/>
        </w:rPr>
        <w:t>oriales</w:t>
      </w:r>
      <w:r w:rsidR="002A1465" w:rsidRPr="00F60A3D">
        <w:rPr>
          <w:lang w:val="fr-FR"/>
        </w:rPr>
        <w:t xml:space="preserve"> ont compt</w:t>
      </w:r>
      <w:r w:rsidR="00A058BD" w:rsidRPr="00F60A3D">
        <w:rPr>
          <w:lang w:val="fr-FR"/>
        </w:rPr>
        <w:t>abilis</w:t>
      </w:r>
      <w:r w:rsidR="002A1465" w:rsidRPr="00F60A3D">
        <w:rPr>
          <w:lang w:val="fr-FR"/>
        </w:rPr>
        <w:t>é 369 301</w:t>
      </w:r>
      <w:r w:rsidR="007E45CE" w:rsidRPr="00F60A3D">
        <w:rPr>
          <w:lang w:val="fr-FR"/>
        </w:rPr>
        <w:t> </w:t>
      </w:r>
      <w:r w:rsidR="002A1465" w:rsidRPr="00F60A3D">
        <w:rPr>
          <w:lang w:val="fr-FR"/>
        </w:rPr>
        <w:t>votes blancs (1,16</w:t>
      </w:r>
      <w:r w:rsidR="00B17AE1" w:rsidRPr="00F60A3D">
        <w:rPr>
          <w:lang w:val="fr-FR"/>
        </w:rPr>
        <w:t> %</w:t>
      </w:r>
      <w:r w:rsidR="002A1465" w:rsidRPr="00F60A3D">
        <w:rPr>
          <w:lang w:val="fr-FR"/>
        </w:rPr>
        <w:t xml:space="preserve"> du total); 762 669</w:t>
      </w:r>
      <w:r w:rsidR="007E45CE" w:rsidRPr="00F60A3D">
        <w:rPr>
          <w:lang w:val="fr-FR"/>
        </w:rPr>
        <w:t> </w:t>
      </w:r>
      <w:r w:rsidR="002A1465" w:rsidRPr="00F60A3D">
        <w:rPr>
          <w:lang w:val="fr-FR"/>
        </w:rPr>
        <w:t>votes nuls (2,40</w:t>
      </w:r>
      <w:r w:rsidR="00B17AE1" w:rsidRPr="00F60A3D">
        <w:rPr>
          <w:lang w:val="fr-FR"/>
        </w:rPr>
        <w:t> %</w:t>
      </w:r>
      <w:r w:rsidR="002A1465" w:rsidRPr="00F60A3D">
        <w:rPr>
          <w:lang w:val="fr-FR"/>
        </w:rPr>
        <w:t xml:space="preserve"> du total) et 1 835</w:t>
      </w:r>
      <w:r w:rsidR="007E45CE" w:rsidRPr="00F60A3D">
        <w:rPr>
          <w:lang w:val="fr-FR"/>
        </w:rPr>
        <w:t> </w:t>
      </w:r>
      <w:r w:rsidR="002A1465" w:rsidRPr="00F60A3D">
        <w:rPr>
          <w:lang w:val="fr-FR"/>
        </w:rPr>
        <w:t xml:space="preserve">votes </w:t>
      </w:r>
      <w:r w:rsidR="00876B3F" w:rsidRPr="00F60A3D">
        <w:rPr>
          <w:lang w:val="fr-FR"/>
        </w:rPr>
        <w:t>contestés et non attribu</w:t>
      </w:r>
      <w:r w:rsidR="002A1465" w:rsidRPr="00F60A3D">
        <w:rPr>
          <w:lang w:val="fr-FR"/>
        </w:rPr>
        <w:t xml:space="preserve">és. </w:t>
      </w:r>
    </w:p>
    <w:p w:rsidR="001C1EA3" w:rsidRPr="00F60A3D" w:rsidRDefault="00236F23" w:rsidP="001D2CCC">
      <w:pPr>
        <w:pStyle w:val="SingleTxtG"/>
        <w:rPr>
          <w:lang w:val="fr-FR"/>
        </w:rPr>
      </w:pPr>
      <w:r w:rsidRPr="00F60A3D">
        <w:rPr>
          <w:lang w:val="fr-FR"/>
        </w:rPr>
        <w:t>50</w:t>
      </w:r>
      <w:r w:rsidR="001D2CCC" w:rsidRPr="00F60A3D">
        <w:rPr>
          <w:lang w:val="fr-FR"/>
        </w:rPr>
        <w:t>.</w:t>
      </w:r>
      <w:r w:rsidR="001D2CCC" w:rsidRPr="00F60A3D">
        <w:rPr>
          <w:lang w:val="fr-FR"/>
        </w:rPr>
        <w:tab/>
      </w:r>
      <w:r w:rsidR="00876B3F" w:rsidRPr="00F60A3D">
        <w:rPr>
          <w:lang w:val="fr-FR"/>
        </w:rPr>
        <w:t>La répartition des sièges</w:t>
      </w:r>
      <w:r w:rsidR="00CC6F71" w:rsidRPr="00F60A3D">
        <w:rPr>
          <w:lang w:val="fr-FR"/>
        </w:rPr>
        <w:t xml:space="preserve"> </w:t>
      </w:r>
      <w:r w:rsidR="00876B3F" w:rsidRPr="00F60A3D">
        <w:rPr>
          <w:lang w:val="fr-FR"/>
        </w:rPr>
        <w:t>s</w:t>
      </w:r>
      <w:r w:rsidR="00B17AE1" w:rsidRPr="00F60A3D">
        <w:rPr>
          <w:lang w:val="fr-FR"/>
        </w:rPr>
        <w:t>’</w:t>
      </w:r>
      <w:r w:rsidR="00876B3F" w:rsidRPr="00F60A3D">
        <w:rPr>
          <w:lang w:val="fr-FR"/>
        </w:rPr>
        <w:t xml:space="preserve">est </w:t>
      </w:r>
      <w:r w:rsidR="005E445C" w:rsidRPr="00F60A3D">
        <w:rPr>
          <w:lang w:val="fr-FR"/>
        </w:rPr>
        <w:t xml:space="preserve">opérée de la manière suivante: </w:t>
      </w:r>
      <w:r w:rsidR="007B483A" w:rsidRPr="00F60A3D">
        <w:rPr>
          <w:lang w:val="fr-FR"/>
        </w:rPr>
        <w:t>i)</w:t>
      </w:r>
      <w:r w:rsidR="007E45CE" w:rsidRPr="00F60A3D">
        <w:rPr>
          <w:lang w:val="fr-FR"/>
        </w:rPr>
        <w:t> </w:t>
      </w:r>
      <w:r w:rsidR="007B483A" w:rsidRPr="00F60A3D">
        <w:rPr>
          <w:lang w:val="fr-FR"/>
        </w:rPr>
        <w:t>au Sénat,</w:t>
      </w:r>
      <w:r w:rsidR="00876B3F" w:rsidRPr="00F60A3D">
        <w:rPr>
          <w:lang w:val="fr-FR"/>
        </w:rPr>
        <w:t xml:space="preserve"> </w:t>
      </w:r>
      <w:r w:rsidR="001C1EA3" w:rsidRPr="00F60A3D">
        <w:rPr>
          <w:lang w:val="fr-FR"/>
        </w:rPr>
        <w:t xml:space="preserve">le </w:t>
      </w:r>
      <w:r w:rsidR="00850598" w:rsidRPr="00F60A3D">
        <w:rPr>
          <w:lang w:val="fr-FR"/>
        </w:rPr>
        <w:t>Centre-gauche</w:t>
      </w:r>
      <w:r w:rsidR="0043615C" w:rsidRPr="00F60A3D">
        <w:rPr>
          <w:lang w:val="fr-FR"/>
        </w:rPr>
        <w:t xml:space="preserve"> a obtenu 113</w:t>
      </w:r>
      <w:r w:rsidR="007E45CE" w:rsidRPr="00F60A3D">
        <w:rPr>
          <w:lang w:val="fr-FR"/>
        </w:rPr>
        <w:t> </w:t>
      </w:r>
      <w:r w:rsidR="0043615C" w:rsidRPr="00F60A3D">
        <w:rPr>
          <w:lang w:val="fr-FR"/>
        </w:rPr>
        <w:t>sièges avec</w:t>
      </w:r>
      <w:r w:rsidR="001C1EA3" w:rsidRPr="00F60A3D">
        <w:rPr>
          <w:lang w:val="fr-FR"/>
        </w:rPr>
        <w:t xml:space="preserve"> le </w:t>
      </w:r>
      <w:r w:rsidR="00876B3F" w:rsidRPr="00F60A3D">
        <w:rPr>
          <w:lang w:val="fr-FR"/>
        </w:rPr>
        <w:t>P</w:t>
      </w:r>
      <w:r w:rsidR="001C1EA3" w:rsidRPr="00F60A3D">
        <w:rPr>
          <w:lang w:val="fr-FR"/>
        </w:rPr>
        <w:t>arti démocrate</w:t>
      </w:r>
      <w:r w:rsidR="00FD599B" w:rsidRPr="00F60A3D">
        <w:rPr>
          <w:lang w:val="fr-FR"/>
        </w:rPr>
        <w:t xml:space="preserve"> (105),</w:t>
      </w:r>
      <w:r w:rsidR="001C1EA3" w:rsidRPr="00F60A3D">
        <w:rPr>
          <w:lang w:val="fr-FR"/>
        </w:rPr>
        <w:t xml:space="preserve"> </w:t>
      </w:r>
      <w:r w:rsidR="002B752A" w:rsidRPr="00F60A3D">
        <w:rPr>
          <w:lang w:val="fr-FR"/>
        </w:rPr>
        <w:t>Gauche, é</w:t>
      </w:r>
      <w:r w:rsidR="00FD599B" w:rsidRPr="00F60A3D">
        <w:rPr>
          <w:lang w:val="fr-FR"/>
        </w:rPr>
        <w:t>cologie et liberté (7)</w:t>
      </w:r>
      <w:r w:rsidR="00876B3F" w:rsidRPr="00F60A3D">
        <w:rPr>
          <w:lang w:val="fr-FR"/>
        </w:rPr>
        <w:t xml:space="preserve"> et la liste Crocetta </w:t>
      </w:r>
      <w:r w:rsidR="00B17AE1" w:rsidRPr="00F60A3D">
        <w:rPr>
          <w:lang w:val="fr-FR"/>
        </w:rPr>
        <w:t>«</w:t>
      </w:r>
      <w:r w:rsidR="00876B3F" w:rsidRPr="00F60A3D">
        <w:rPr>
          <w:lang w:val="fr-FR"/>
        </w:rPr>
        <w:t>le Mé</w:t>
      </w:r>
      <w:r w:rsidR="0043615C" w:rsidRPr="00F60A3D">
        <w:rPr>
          <w:lang w:val="fr-FR"/>
        </w:rPr>
        <w:t>gaphone</w:t>
      </w:r>
      <w:r w:rsidR="00B17AE1" w:rsidRPr="00F60A3D">
        <w:rPr>
          <w:lang w:val="fr-FR"/>
        </w:rPr>
        <w:t>»</w:t>
      </w:r>
      <w:r w:rsidR="0043615C" w:rsidRPr="00F60A3D">
        <w:rPr>
          <w:lang w:val="fr-FR"/>
        </w:rPr>
        <w:t xml:space="preserve"> (1)</w:t>
      </w:r>
      <w:r w:rsidR="00CC6F71" w:rsidRPr="00F60A3D">
        <w:rPr>
          <w:lang w:val="fr-FR"/>
        </w:rPr>
        <w:t xml:space="preserve">. </w:t>
      </w:r>
      <w:r w:rsidR="00850598" w:rsidRPr="00F60A3D">
        <w:rPr>
          <w:lang w:val="fr-FR"/>
        </w:rPr>
        <w:t xml:space="preserve">Le Centre-droit </w:t>
      </w:r>
      <w:r w:rsidR="0043615C" w:rsidRPr="00F60A3D">
        <w:rPr>
          <w:lang w:val="fr-FR"/>
        </w:rPr>
        <w:t>a obtenu 116</w:t>
      </w:r>
      <w:r w:rsidR="007E45CE" w:rsidRPr="00F60A3D">
        <w:rPr>
          <w:lang w:val="fr-FR"/>
        </w:rPr>
        <w:t> </w:t>
      </w:r>
      <w:r w:rsidR="0043615C" w:rsidRPr="00F60A3D">
        <w:rPr>
          <w:lang w:val="fr-FR"/>
        </w:rPr>
        <w:t>sièges avec</w:t>
      </w:r>
      <w:r w:rsidR="001C1EA3" w:rsidRPr="00F60A3D">
        <w:rPr>
          <w:lang w:val="fr-FR"/>
        </w:rPr>
        <w:t xml:space="preserve"> le Peuple de la liberté (98), la </w:t>
      </w:r>
      <w:r w:rsidR="00A058BD" w:rsidRPr="00F60A3D">
        <w:rPr>
          <w:lang w:val="fr-FR"/>
        </w:rPr>
        <w:t>Ligue du N</w:t>
      </w:r>
      <w:r w:rsidR="001C1EA3" w:rsidRPr="00F60A3D">
        <w:rPr>
          <w:lang w:val="fr-FR"/>
        </w:rPr>
        <w:t>ord (17) et le Grand Su</w:t>
      </w:r>
      <w:r w:rsidR="0043615C" w:rsidRPr="00F60A3D">
        <w:rPr>
          <w:lang w:val="fr-FR"/>
        </w:rPr>
        <w:t>d (1)</w:t>
      </w:r>
      <w:r w:rsidR="001C1EA3" w:rsidRPr="00F60A3D">
        <w:rPr>
          <w:lang w:val="fr-FR"/>
        </w:rPr>
        <w:t>. Le Mouvement cinq étoile</w:t>
      </w:r>
      <w:r w:rsidR="00FD599B" w:rsidRPr="00F60A3D">
        <w:rPr>
          <w:lang w:val="fr-FR"/>
        </w:rPr>
        <w:t>s</w:t>
      </w:r>
      <w:r w:rsidR="00280665" w:rsidRPr="00F60A3D">
        <w:rPr>
          <w:lang w:val="fr-FR"/>
        </w:rPr>
        <w:t xml:space="preserve"> de Beppe Grillo </w:t>
      </w:r>
      <w:r w:rsidR="0043615C" w:rsidRPr="00F60A3D">
        <w:rPr>
          <w:lang w:val="fr-FR"/>
        </w:rPr>
        <w:t xml:space="preserve">en </w:t>
      </w:r>
      <w:r w:rsidR="00280665" w:rsidRPr="00F60A3D">
        <w:rPr>
          <w:lang w:val="fr-FR"/>
        </w:rPr>
        <w:t>a remporté</w:t>
      </w:r>
      <w:r w:rsidR="0043615C" w:rsidRPr="00F60A3D">
        <w:rPr>
          <w:lang w:val="fr-FR"/>
        </w:rPr>
        <w:t xml:space="preserve"> 5</w:t>
      </w:r>
      <w:r w:rsidR="001C1EA3" w:rsidRPr="00F60A3D">
        <w:rPr>
          <w:lang w:val="fr-FR"/>
        </w:rPr>
        <w:t xml:space="preserve"> et la list</w:t>
      </w:r>
      <w:r w:rsidR="0043615C" w:rsidRPr="00F60A3D">
        <w:rPr>
          <w:lang w:val="fr-FR"/>
        </w:rPr>
        <w:t xml:space="preserve">e de Mario Monti </w:t>
      </w:r>
      <w:r w:rsidR="00887B3D" w:rsidRPr="00F60A3D">
        <w:rPr>
          <w:lang w:val="fr-FR"/>
        </w:rPr>
        <w:t>18;</w:t>
      </w:r>
      <w:r w:rsidR="005E445C" w:rsidRPr="00F60A3D">
        <w:rPr>
          <w:lang w:val="fr-FR"/>
        </w:rPr>
        <w:t xml:space="preserve"> </w:t>
      </w:r>
      <w:r w:rsidR="001C1EA3" w:rsidRPr="00F60A3D">
        <w:rPr>
          <w:lang w:val="fr-FR"/>
        </w:rPr>
        <w:t>ii)</w:t>
      </w:r>
      <w:r w:rsidR="007E45CE" w:rsidRPr="00F60A3D">
        <w:rPr>
          <w:lang w:val="fr-FR"/>
        </w:rPr>
        <w:t> </w:t>
      </w:r>
      <w:r w:rsidR="001C1EA3" w:rsidRPr="00F60A3D">
        <w:rPr>
          <w:lang w:val="fr-FR"/>
        </w:rPr>
        <w:t xml:space="preserve">à la Chambre des </w:t>
      </w:r>
      <w:r w:rsidR="00BD1207" w:rsidRPr="00F60A3D">
        <w:rPr>
          <w:lang w:val="fr-FR"/>
        </w:rPr>
        <w:t>député</w:t>
      </w:r>
      <w:r w:rsidR="00850598" w:rsidRPr="00F60A3D">
        <w:rPr>
          <w:lang w:val="fr-FR"/>
        </w:rPr>
        <w:t>s,</w:t>
      </w:r>
      <w:r w:rsidR="001C1EA3" w:rsidRPr="00F60A3D">
        <w:rPr>
          <w:lang w:val="fr-FR"/>
        </w:rPr>
        <w:t xml:space="preserve"> le Ce</w:t>
      </w:r>
      <w:r w:rsidR="00FD599B" w:rsidRPr="00F60A3D">
        <w:rPr>
          <w:lang w:val="fr-FR"/>
        </w:rPr>
        <w:t>ntre-gauche</w:t>
      </w:r>
      <w:r w:rsidR="00850598" w:rsidRPr="00F60A3D">
        <w:rPr>
          <w:lang w:val="fr-FR"/>
        </w:rPr>
        <w:t xml:space="preserve"> </w:t>
      </w:r>
      <w:r w:rsidR="0043615C" w:rsidRPr="00F60A3D">
        <w:rPr>
          <w:lang w:val="fr-FR"/>
        </w:rPr>
        <w:t>a obtenu 340</w:t>
      </w:r>
      <w:r w:rsidR="007E45CE" w:rsidRPr="00F60A3D">
        <w:rPr>
          <w:lang w:val="fr-FR"/>
        </w:rPr>
        <w:t> </w:t>
      </w:r>
      <w:r w:rsidR="0043615C" w:rsidRPr="00F60A3D">
        <w:rPr>
          <w:lang w:val="fr-FR"/>
        </w:rPr>
        <w:t>sièges avec</w:t>
      </w:r>
      <w:r w:rsidR="002B752A" w:rsidRPr="00F60A3D">
        <w:rPr>
          <w:lang w:val="fr-FR"/>
        </w:rPr>
        <w:t xml:space="preserve"> le P</w:t>
      </w:r>
      <w:r w:rsidR="00147500" w:rsidRPr="00F60A3D">
        <w:rPr>
          <w:lang w:val="fr-FR"/>
        </w:rPr>
        <w:t>arti démocrate (292)</w:t>
      </w:r>
      <w:r w:rsidR="00FD599B" w:rsidRPr="00F60A3D">
        <w:rPr>
          <w:lang w:val="fr-FR"/>
        </w:rPr>
        <w:t>,</w:t>
      </w:r>
      <w:r w:rsidR="001C1EA3" w:rsidRPr="00F60A3D">
        <w:rPr>
          <w:lang w:val="fr-FR"/>
        </w:rPr>
        <w:t xml:space="preserve"> Gauche, </w:t>
      </w:r>
      <w:r w:rsidR="00147500" w:rsidRPr="00F60A3D">
        <w:rPr>
          <w:lang w:val="fr-FR"/>
        </w:rPr>
        <w:t>écologie et liberté (37), le Centre démocratique (6)</w:t>
      </w:r>
      <w:r w:rsidR="002B752A" w:rsidRPr="00F60A3D">
        <w:rPr>
          <w:lang w:val="fr-FR"/>
        </w:rPr>
        <w:t xml:space="preserve"> et le P</w:t>
      </w:r>
      <w:r w:rsidR="00FD599B" w:rsidRPr="00F60A3D">
        <w:rPr>
          <w:lang w:val="fr-FR"/>
        </w:rPr>
        <w:t>arti populaire du Tyrol du Sud</w:t>
      </w:r>
      <w:r w:rsidR="00147500" w:rsidRPr="00F60A3D">
        <w:rPr>
          <w:lang w:val="fr-FR"/>
        </w:rPr>
        <w:t xml:space="preserve"> (5)</w:t>
      </w:r>
      <w:r w:rsidR="006C1123" w:rsidRPr="00F60A3D">
        <w:rPr>
          <w:lang w:val="fr-FR"/>
        </w:rPr>
        <w:t>.</w:t>
      </w:r>
      <w:r w:rsidR="001C1EA3" w:rsidRPr="00F60A3D">
        <w:rPr>
          <w:lang w:val="fr-FR"/>
        </w:rPr>
        <w:t xml:space="preserve"> </w:t>
      </w:r>
      <w:r w:rsidR="006C1123" w:rsidRPr="00F60A3D">
        <w:rPr>
          <w:lang w:val="fr-FR"/>
        </w:rPr>
        <w:t>L</w:t>
      </w:r>
      <w:r w:rsidR="00280665" w:rsidRPr="00F60A3D">
        <w:rPr>
          <w:lang w:val="fr-FR"/>
        </w:rPr>
        <w:t>e Centre-droit a remporté</w:t>
      </w:r>
      <w:r w:rsidR="00002323" w:rsidRPr="00F60A3D">
        <w:rPr>
          <w:lang w:val="fr-FR"/>
        </w:rPr>
        <w:t xml:space="preserve"> 124</w:t>
      </w:r>
      <w:r w:rsidR="007E45CE" w:rsidRPr="00F60A3D">
        <w:rPr>
          <w:lang w:val="fr-FR"/>
        </w:rPr>
        <w:t> </w:t>
      </w:r>
      <w:r w:rsidR="00002323" w:rsidRPr="00F60A3D">
        <w:rPr>
          <w:lang w:val="fr-FR"/>
        </w:rPr>
        <w:t>sièges,</w:t>
      </w:r>
      <w:r w:rsidR="00147500" w:rsidRPr="00F60A3D">
        <w:rPr>
          <w:lang w:val="fr-FR"/>
        </w:rPr>
        <w:t xml:space="preserve"> </w:t>
      </w:r>
      <w:r w:rsidR="0043615C" w:rsidRPr="00F60A3D">
        <w:rPr>
          <w:lang w:val="fr-FR"/>
        </w:rPr>
        <w:t>avec</w:t>
      </w:r>
      <w:r w:rsidR="00BD1207" w:rsidRPr="00F60A3D">
        <w:rPr>
          <w:lang w:val="fr-FR"/>
        </w:rPr>
        <w:t xml:space="preserve"> </w:t>
      </w:r>
      <w:r w:rsidR="00887B3D" w:rsidRPr="00F60A3D">
        <w:rPr>
          <w:lang w:val="fr-FR"/>
        </w:rPr>
        <w:t xml:space="preserve">le </w:t>
      </w:r>
      <w:r w:rsidR="00BD1207" w:rsidRPr="00F60A3D">
        <w:rPr>
          <w:lang w:val="fr-FR"/>
        </w:rPr>
        <w:t xml:space="preserve">Peuple de la liberté (97), </w:t>
      </w:r>
      <w:r w:rsidR="00887B3D" w:rsidRPr="00F60A3D">
        <w:rPr>
          <w:lang w:val="fr-FR"/>
        </w:rPr>
        <w:t xml:space="preserve">la </w:t>
      </w:r>
      <w:r w:rsidR="00BD1207" w:rsidRPr="00F60A3D">
        <w:rPr>
          <w:lang w:val="fr-FR"/>
        </w:rPr>
        <w:t>Ligue du Nord (18) et Frères d</w:t>
      </w:r>
      <w:r w:rsidR="00B17AE1" w:rsidRPr="00F60A3D">
        <w:rPr>
          <w:lang w:val="fr-FR"/>
        </w:rPr>
        <w:t>’</w:t>
      </w:r>
      <w:r w:rsidR="00BD1207" w:rsidRPr="00F60A3D">
        <w:rPr>
          <w:lang w:val="fr-FR"/>
        </w:rPr>
        <w:t xml:space="preserve">Italie (9). Le Mouvement cinq étoiles de Beppe Grillo </w:t>
      </w:r>
      <w:r w:rsidR="0043615C" w:rsidRPr="00F60A3D">
        <w:rPr>
          <w:lang w:val="fr-FR"/>
        </w:rPr>
        <w:t xml:space="preserve">en </w:t>
      </w:r>
      <w:r w:rsidR="00BD1207" w:rsidRPr="00F60A3D">
        <w:rPr>
          <w:lang w:val="fr-FR"/>
        </w:rPr>
        <w:t>a obtenu 108</w:t>
      </w:r>
      <w:r w:rsidR="0043615C" w:rsidRPr="00F60A3D">
        <w:rPr>
          <w:lang w:val="fr-FR"/>
        </w:rPr>
        <w:t xml:space="preserve"> </w:t>
      </w:r>
      <w:r w:rsidR="00BD1207" w:rsidRPr="00F60A3D">
        <w:rPr>
          <w:lang w:val="fr-FR"/>
        </w:rPr>
        <w:t>et la liste de Mario Monti, 45. Le Choix civiqu</w:t>
      </w:r>
      <w:r w:rsidR="0043615C" w:rsidRPr="00F60A3D">
        <w:rPr>
          <w:lang w:val="fr-FR"/>
        </w:rPr>
        <w:t xml:space="preserve">e </w:t>
      </w:r>
      <w:r w:rsidR="00850598" w:rsidRPr="00F60A3D">
        <w:rPr>
          <w:lang w:val="fr-FR"/>
        </w:rPr>
        <w:t>a remporté 37</w:t>
      </w:r>
      <w:r w:rsidR="007E45CE" w:rsidRPr="00F60A3D">
        <w:rPr>
          <w:lang w:val="fr-FR"/>
        </w:rPr>
        <w:t> </w:t>
      </w:r>
      <w:r w:rsidR="0043615C" w:rsidRPr="00F60A3D">
        <w:rPr>
          <w:lang w:val="fr-FR"/>
        </w:rPr>
        <w:t xml:space="preserve">sièges </w:t>
      </w:r>
      <w:r w:rsidR="00850598" w:rsidRPr="00F60A3D">
        <w:rPr>
          <w:lang w:val="fr-FR"/>
        </w:rPr>
        <w:t>et l</w:t>
      </w:r>
      <w:r w:rsidR="00B17AE1" w:rsidRPr="00F60A3D">
        <w:rPr>
          <w:lang w:val="fr-FR"/>
        </w:rPr>
        <w:t>’</w:t>
      </w:r>
      <w:r w:rsidR="00850598" w:rsidRPr="00F60A3D">
        <w:rPr>
          <w:lang w:val="fr-FR"/>
        </w:rPr>
        <w:t>Union du</w:t>
      </w:r>
      <w:r w:rsidR="00BD1207" w:rsidRPr="00F60A3D">
        <w:rPr>
          <w:lang w:val="fr-FR"/>
        </w:rPr>
        <w:t xml:space="preserve"> centre</w:t>
      </w:r>
      <w:r w:rsidR="00887B3D" w:rsidRPr="00F60A3D">
        <w:rPr>
          <w:lang w:val="fr-FR"/>
        </w:rPr>
        <w:t>,</w:t>
      </w:r>
      <w:r w:rsidR="00BD1207" w:rsidRPr="00F60A3D">
        <w:rPr>
          <w:lang w:val="fr-FR"/>
        </w:rPr>
        <w:t xml:space="preserve"> 8. </w:t>
      </w:r>
    </w:p>
    <w:p w:rsidR="00CC6F71" w:rsidRPr="00F60A3D" w:rsidRDefault="00236F23" w:rsidP="007E45CE">
      <w:pPr>
        <w:pStyle w:val="SingleTxtG"/>
        <w:rPr>
          <w:lang w:val="fr-FR"/>
        </w:rPr>
      </w:pPr>
      <w:r w:rsidRPr="00F60A3D">
        <w:rPr>
          <w:lang w:val="fr-FR"/>
        </w:rPr>
        <w:t>51</w:t>
      </w:r>
      <w:r w:rsidR="001D2CCC" w:rsidRPr="00F60A3D">
        <w:rPr>
          <w:lang w:val="fr-FR"/>
        </w:rPr>
        <w:t>.</w:t>
      </w:r>
      <w:r w:rsidR="001D2CCC" w:rsidRPr="00F60A3D">
        <w:rPr>
          <w:lang w:val="fr-FR"/>
        </w:rPr>
        <w:tab/>
      </w:r>
      <w:r w:rsidR="00FD599B" w:rsidRPr="00F60A3D">
        <w:rPr>
          <w:lang w:val="fr-FR"/>
        </w:rPr>
        <w:t xml:space="preserve">Par rapport au passé, la nouvelle assemblée </w:t>
      </w:r>
      <w:r w:rsidR="00CA06EC" w:rsidRPr="00F60A3D">
        <w:rPr>
          <w:lang w:val="fr-FR"/>
        </w:rPr>
        <w:t>présente deux particularités qui méritent d</w:t>
      </w:r>
      <w:r w:rsidR="00B17AE1" w:rsidRPr="00F60A3D">
        <w:rPr>
          <w:lang w:val="fr-FR"/>
        </w:rPr>
        <w:t>’</w:t>
      </w:r>
      <w:r w:rsidR="00CA06EC" w:rsidRPr="00F60A3D">
        <w:rPr>
          <w:lang w:val="fr-FR"/>
        </w:rPr>
        <w:t>être signalée</w:t>
      </w:r>
      <w:r w:rsidR="00AB368E" w:rsidRPr="00F60A3D">
        <w:rPr>
          <w:lang w:val="fr-FR"/>
        </w:rPr>
        <w:t>s</w:t>
      </w:r>
      <w:r w:rsidR="00367E5C" w:rsidRPr="00F60A3D">
        <w:rPr>
          <w:lang w:val="fr-FR"/>
        </w:rPr>
        <w:t xml:space="preserve">: </w:t>
      </w:r>
      <w:r w:rsidR="00CA06EC" w:rsidRPr="00F60A3D">
        <w:rPr>
          <w:lang w:val="fr-FR"/>
        </w:rPr>
        <w:t>le pourcentag</w:t>
      </w:r>
      <w:r w:rsidR="00FA3B60" w:rsidRPr="00F60A3D">
        <w:rPr>
          <w:lang w:val="fr-FR"/>
        </w:rPr>
        <w:t xml:space="preserve">e global de femmes, </w:t>
      </w:r>
      <w:r w:rsidR="00CA06EC" w:rsidRPr="00F60A3D">
        <w:rPr>
          <w:lang w:val="fr-FR"/>
        </w:rPr>
        <w:t>passé à 31</w:t>
      </w:r>
      <w:r w:rsidR="00B17AE1" w:rsidRPr="00F60A3D">
        <w:rPr>
          <w:lang w:val="fr-FR"/>
        </w:rPr>
        <w:t> %</w:t>
      </w:r>
      <w:r w:rsidR="00887B3D" w:rsidRPr="00F60A3D">
        <w:rPr>
          <w:lang w:val="fr-FR"/>
        </w:rPr>
        <w:t xml:space="preserve"> (32</w:t>
      </w:r>
      <w:r w:rsidR="00B17AE1" w:rsidRPr="00F60A3D">
        <w:rPr>
          <w:lang w:val="fr-FR"/>
        </w:rPr>
        <w:t> %</w:t>
      </w:r>
      <w:r w:rsidR="00887B3D" w:rsidRPr="00F60A3D">
        <w:rPr>
          <w:lang w:val="fr-FR"/>
        </w:rPr>
        <w:t xml:space="preserve"> à la Chambre et 30</w:t>
      </w:r>
      <w:r w:rsidR="00B17AE1" w:rsidRPr="00F60A3D">
        <w:rPr>
          <w:lang w:val="fr-FR"/>
        </w:rPr>
        <w:t> %</w:t>
      </w:r>
      <w:r w:rsidR="00887B3D" w:rsidRPr="00F60A3D">
        <w:rPr>
          <w:lang w:val="fr-FR"/>
        </w:rPr>
        <w:t xml:space="preserve"> au S</w:t>
      </w:r>
      <w:r w:rsidR="008F759B" w:rsidRPr="00F60A3D">
        <w:rPr>
          <w:lang w:val="fr-FR"/>
        </w:rPr>
        <w:t>énat),</w:t>
      </w:r>
      <w:r w:rsidR="00CA06EC" w:rsidRPr="00F60A3D">
        <w:rPr>
          <w:lang w:val="fr-FR"/>
        </w:rPr>
        <w:t xml:space="preserve"> et l</w:t>
      </w:r>
      <w:r w:rsidR="00B17AE1" w:rsidRPr="00F60A3D">
        <w:rPr>
          <w:lang w:val="fr-FR"/>
        </w:rPr>
        <w:t>’</w:t>
      </w:r>
      <w:r w:rsidR="00CA06EC" w:rsidRPr="00F60A3D">
        <w:rPr>
          <w:lang w:val="fr-FR"/>
        </w:rPr>
        <w:t>abaissement de l</w:t>
      </w:r>
      <w:r w:rsidR="00B17AE1" w:rsidRPr="00F60A3D">
        <w:rPr>
          <w:lang w:val="fr-FR"/>
        </w:rPr>
        <w:t>’</w:t>
      </w:r>
      <w:r w:rsidR="00CA06EC" w:rsidRPr="00F60A3D">
        <w:rPr>
          <w:lang w:val="fr-FR"/>
        </w:rPr>
        <w:t>âge moyen global à 48</w:t>
      </w:r>
      <w:r w:rsidR="007E45CE" w:rsidRPr="00F60A3D">
        <w:rPr>
          <w:lang w:val="fr-FR"/>
        </w:rPr>
        <w:t> </w:t>
      </w:r>
      <w:r w:rsidR="00CA06EC" w:rsidRPr="00F60A3D">
        <w:rPr>
          <w:lang w:val="fr-FR"/>
        </w:rPr>
        <w:t>ans (45</w:t>
      </w:r>
      <w:r w:rsidR="007E45CE" w:rsidRPr="00F60A3D">
        <w:rPr>
          <w:lang w:val="fr-FR"/>
        </w:rPr>
        <w:t> </w:t>
      </w:r>
      <w:r w:rsidR="006C1123" w:rsidRPr="00F60A3D">
        <w:rPr>
          <w:lang w:val="fr-FR"/>
        </w:rPr>
        <w:t xml:space="preserve">ans </w:t>
      </w:r>
      <w:r w:rsidR="00CA06EC" w:rsidRPr="00F60A3D">
        <w:rPr>
          <w:lang w:val="fr-FR"/>
        </w:rPr>
        <w:t>à la Chambre et 53</w:t>
      </w:r>
      <w:r w:rsidR="007E45CE" w:rsidRPr="00F60A3D">
        <w:rPr>
          <w:lang w:val="fr-FR"/>
        </w:rPr>
        <w:t> </w:t>
      </w:r>
      <w:r w:rsidR="006C1123" w:rsidRPr="00F60A3D">
        <w:rPr>
          <w:lang w:val="fr-FR"/>
        </w:rPr>
        <w:t xml:space="preserve">ans </w:t>
      </w:r>
      <w:r w:rsidR="00CA06EC" w:rsidRPr="00F60A3D">
        <w:rPr>
          <w:lang w:val="fr-FR"/>
        </w:rPr>
        <w:t xml:space="preserve">au Sénat). </w:t>
      </w:r>
    </w:p>
    <w:p w:rsidR="00CC6F71" w:rsidRPr="00F60A3D" w:rsidRDefault="00236F23" w:rsidP="004170A2">
      <w:pPr>
        <w:pStyle w:val="SingleTxtG"/>
        <w:rPr>
          <w:lang w:val="fr-FR"/>
        </w:rPr>
      </w:pPr>
      <w:r w:rsidRPr="00F60A3D">
        <w:rPr>
          <w:lang w:val="fr-FR"/>
        </w:rPr>
        <w:t>52</w:t>
      </w:r>
      <w:r w:rsidR="001D2CCC" w:rsidRPr="00F60A3D">
        <w:rPr>
          <w:lang w:val="fr-FR"/>
        </w:rPr>
        <w:t>.</w:t>
      </w:r>
      <w:r w:rsidR="001D2CCC" w:rsidRPr="00F60A3D">
        <w:rPr>
          <w:lang w:val="fr-FR"/>
        </w:rPr>
        <w:tab/>
      </w:r>
      <w:r w:rsidR="00814D0E" w:rsidRPr="00F60A3D">
        <w:rPr>
          <w:lang w:val="fr-FR"/>
        </w:rPr>
        <w:t>L</w:t>
      </w:r>
      <w:r w:rsidR="00CA06EC" w:rsidRPr="00F60A3D">
        <w:rPr>
          <w:lang w:val="fr-FR"/>
        </w:rPr>
        <w:t xml:space="preserve">es élections politiques de 2013 ont été réglementées par la loi </w:t>
      </w:r>
      <w:r w:rsidR="004170A2" w:rsidRPr="00F60A3D">
        <w:rPr>
          <w:lang w:val="fr-FR"/>
        </w:rPr>
        <w:t>n</w:t>
      </w:r>
      <w:r w:rsidR="004170A2" w:rsidRPr="00F60A3D">
        <w:rPr>
          <w:vertAlign w:val="superscript"/>
          <w:lang w:val="fr-FR"/>
        </w:rPr>
        <w:t>o</w:t>
      </w:r>
      <w:r w:rsidR="004170A2" w:rsidRPr="00F60A3D">
        <w:rPr>
          <w:lang w:val="fr-FR"/>
        </w:rPr>
        <w:t> </w:t>
      </w:r>
      <w:r w:rsidR="005E445C" w:rsidRPr="00F60A3D">
        <w:rPr>
          <w:lang w:val="fr-FR"/>
        </w:rPr>
        <w:t>270/2005</w:t>
      </w:r>
      <w:r w:rsidR="003100D3" w:rsidRPr="00F60A3D">
        <w:rPr>
          <w:rStyle w:val="FootnoteReference"/>
          <w:lang w:val="fr-FR"/>
        </w:rPr>
        <w:footnoteReference w:id="18"/>
      </w:r>
      <w:r w:rsidR="003477B5" w:rsidRPr="00F60A3D">
        <w:rPr>
          <w:lang w:val="fr-FR"/>
        </w:rPr>
        <w:t xml:space="preserve"> qui prévoit: le sy</w:t>
      </w:r>
      <w:r w:rsidR="00467707" w:rsidRPr="00F60A3D">
        <w:rPr>
          <w:lang w:val="fr-FR"/>
        </w:rPr>
        <w:t>stème proporti</w:t>
      </w:r>
      <w:r w:rsidR="00E37671" w:rsidRPr="00F60A3D">
        <w:rPr>
          <w:lang w:val="fr-FR"/>
        </w:rPr>
        <w:t>onnel dit corrigé</w:t>
      </w:r>
      <w:r w:rsidR="00731982" w:rsidRPr="00F60A3D">
        <w:rPr>
          <w:lang w:val="fr-FR"/>
        </w:rPr>
        <w:t>;</w:t>
      </w:r>
      <w:r w:rsidR="00E37671" w:rsidRPr="00F60A3D">
        <w:rPr>
          <w:lang w:val="fr-FR"/>
        </w:rPr>
        <w:t xml:space="preserve"> en coalition</w:t>
      </w:r>
      <w:r w:rsidR="00731982" w:rsidRPr="00F60A3D">
        <w:rPr>
          <w:lang w:val="fr-FR"/>
        </w:rPr>
        <w:t>;</w:t>
      </w:r>
      <w:r w:rsidR="003477B5" w:rsidRPr="00F60A3D">
        <w:rPr>
          <w:lang w:val="fr-FR"/>
        </w:rPr>
        <w:t xml:space="preserve"> avec une prime majoritaire</w:t>
      </w:r>
      <w:r w:rsidR="00E37671" w:rsidRPr="00F60A3D">
        <w:rPr>
          <w:lang w:val="fr-FR"/>
        </w:rPr>
        <w:t>;</w:t>
      </w:r>
      <w:r w:rsidR="003477B5" w:rsidRPr="00F60A3D">
        <w:rPr>
          <w:lang w:val="fr-FR"/>
        </w:rPr>
        <w:t xml:space="preserve"> et la</w:t>
      </w:r>
      <w:r w:rsidR="005363D5" w:rsidRPr="00F60A3D">
        <w:rPr>
          <w:lang w:val="fr-FR"/>
        </w:rPr>
        <w:t xml:space="preserve"> </w:t>
      </w:r>
      <w:r w:rsidR="005363D5" w:rsidRPr="00F60A3D">
        <w:rPr>
          <w:lang w:val="fr-FR"/>
        </w:rPr>
        <w:lastRenderedPageBreak/>
        <w:t>possibilité</w:t>
      </w:r>
      <w:r w:rsidR="003477B5" w:rsidRPr="00F60A3D">
        <w:rPr>
          <w:lang w:val="fr-FR"/>
        </w:rPr>
        <w:t xml:space="preserve"> de voter pour</w:t>
      </w:r>
      <w:r w:rsidR="005363D5" w:rsidRPr="00F60A3D">
        <w:rPr>
          <w:lang w:val="fr-FR"/>
        </w:rPr>
        <w:t xml:space="preserve"> un plus grand nombre</w:t>
      </w:r>
      <w:r w:rsidR="003477B5" w:rsidRPr="00F60A3D">
        <w:rPr>
          <w:lang w:val="fr-FR"/>
        </w:rPr>
        <w:t xml:space="preserve"> de parleme</w:t>
      </w:r>
      <w:r w:rsidR="003954C8" w:rsidRPr="00F60A3D">
        <w:rPr>
          <w:lang w:val="fr-FR"/>
        </w:rPr>
        <w:t>ntaires dans des circonscription</w:t>
      </w:r>
      <w:r w:rsidR="003609E2" w:rsidRPr="00F60A3D">
        <w:rPr>
          <w:lang w:val="fr-FR"/>
        </w:rPr>
        <w:t>s élargi</w:t>
      </w:r>
      <w:r w:rsidR="003954C8" w:rsidRPr="00F60A3D">
        <w:rPr>
          <w:lang w:val="fr-FR"/>
        </w:rPr>
        <w:t>e</w:t>
      </w:r>
      <w:r w:rsidR="003477B5" w:rsidRPr="00F60A3D">
        <w:rPr>
          <w:lang w:val="fr-FR"/>
        </w:rPr>
        <w:t>s, sans possibilité d</w:t>
      </w:r>
      <w:r w:rsidR="00B17AE1" w:rsidRPr="00F60A3D">
        <w:rPr>
          <w:lang w:val="fr-FR"/>
        </w:rPr>
        <w:t>’</w:t>
      </w:r>
      <w:r w:rsidR="005363D5" w:rsidRPr="00F60A3D">
        <w:rPr>
          <w:lang w:val="fr-FR"/>
        </w:rPr>
        <w:t>exprimer une pr</w:t>
      </w:r>
      <w:r w:rsidR="003477B5" w:rsidRPr="00F60A3D">
        <w:rPr>
          <w:lang w:val="fr-FR"/>
        </w:rPr>
        <w:t>éférence. L</w:t>
      </w:r>
      <w:r w:rsidR="00B17AE1" w:rsidRPr="00F60A3D">
        <w:rPr>
          <w:lang w:val="fr-FR"/>
        </w:rPr>
        <w:t>’</w:t>
      </w:r>
      <w:r w:rsidR="003477B5" w:rsidRPr="00F60A3D">
        <w:rPr>
          <w:lang w:val="fr-FR"/>
        </w:rPr>
        <w:t xml:space="preserve">affectation de la prime de majorité concerne différentes </w:t>
      </w:r>
      <w:r w:rsidR="003609E2" w:rsidRPr="00F60A3D">
        <w:rPr>
          <w:lang w:val="fr-FR"/>
        </w:rPr>
        <w:t>zone</w:t>
      </w:r>
      <w:r w:rsidR="003477B5" w:rsidRPr="00F60A3D">
        <w:rPr>
          <w:lang w:val="fr-FR"/>
        </w:rPr>
        <w:t>s géographiques: la totalité du pays (à l</w:t>
      </w:r>
      <w:r w:rsidR="00B17AE1" w:rsidRPr="00F60A3D">
        <w:rPr>
          <w:lang w:val="fr-FR"/>
        </w:rPr>
        <w:t>’</w:t>
      </w:r>
      <w:r w:rsidR="003477B5" w:rsidRPr="00F60A3D">
        <w:rPr>
          <w:lang w:val="fr-FR"/>
        </w:rPr>
        <w:t>exception d</w:t>
      </w:r>
      <w:r w:rsidR="00B17AE1" w:rsidRPr="00F60A3D">
        <w:rPr>
          <w:lang w:val="fr-FR"/>
        </w:rPr>
        <w:t>’</w:t>
      </w:r>
      <w:r w:rsidR="003477B5" w:rsidRPr="00F60A3D">
        <w:rPr>
          <w:lang w:val="fr-FR"/>
        </w:rPr>
        <w:t xml:space="preserve">Aoste) pour la Chambre des </w:t>
      </w:r>
      <w:r w:rsidR="00EF425D" w:rsidRPr="00F60A3D">
        <w:rPr>
          <w:lang w:val="fr-FR"/>
        </w:rPr>
        <w:t>député</w:t>
      </w:r>
      <w:r w:rsidR="003477B5" w:rsidRPr="00F60A3D">
        <w:rPr>
          <w:lang w:val="fr-FR"/>
        </w:rPr>
        <w:t xml:space="preserve">s; </w:t>
      </w:r>
      <w:r w:rsidR="003609E2" w:rsidRPr="00F60A3D">
        <w:rPr>
          <w:lang w:val="fr-FR"/>
        </w:rPr>
        <w:t xml:space="preserve">la </w:t>
      </w:r>
      <w:r w:rsidR="003954C8" w:rsidRPr="00F60A3D">
        <w:rPr>
          <w:lang w:val="fr-FR"/>
        </w:rPr>
        <w:t xml:space="preserve">seule </w:t>
      </w:r>
      <w:r w:rsidR="003609E2" w:rsidRPr="00F60A3D">
        <w:rPr>
          <w:lang w:val="fr-FR"/>
        </w:rPr>
        <w:t>circonscription</w:t>
      </w:r>
      <w:r w:rsidR="00EF425D" w:rsidRPr="00F60A3D">
        <w:rPr>
          <w:lang w:val="fr-FR"/>
        </w:rPr>
        <w:t xml:space="preserve"> coïncidant avec le territoire d</w:t>
      </w:r>
      <w:r w:rsidR="00B17AE1" w:rsidRPr="00F60A3D">
        <w:rPr>
          <w:lang w:val="fr-FR"/>
        </w:rPr>
        <w:t>’</w:t>
      </w:r>
      <w:r w:rsidR="00EF425D" w:rsidRPr="00F60A3D">
        <w:rPr>
          <w:lang w:val="fr-FR"/>
        </w:rPr>
        <w:t xml:space="preserve">une </w:t>
      </w:r>
      <w:r w:rsidR="005363D5" w:rsidRPr="00F60A3D">
        <w:rPr>
          <w:lang w:val="fr-FR"/>
        </w:rPr>
        <w:t>ré</w:t>
      </w:r>
      <w:r w:rsidR="00EF425D" w:rsidRPr="00F60A3D">
        <w:rPr>
          <w:lang w:val="fr-FR"/>
        </w:rPr>
        <w:t>gion, pour le Sénat (à l</w:t>
      </w:r>
      <w:r w:rsidR="00B17AE1" w:rsidRPr="00F60A3D">
        <w:rPr>
          <w:lang w:val="fr-FR"/>
        </w:rPr>
        <w:t>’</w:t>
      </w:r>
      <w:r w:rsidR="00EF425D" w:rsidRPr="00F60A3D">
        <w:rPr>
          <w:lang w:val="fr-FR"/>
        </w:rPr>
        <w:t>exception de la Vallée d</w:t>
      </w:r>
      <w:r w:rsidR="00B17AE1" w:rsidRPr="00F60A3D">
        <w:rPr>
          <w:lang w:val="fr-FR"/>
        </w:rPr>
        <w:t>’</w:t>
      </w:r>
      <w:r w:rsidR="00EF425D" w:rsidRPr="00F60A3D">
        <w:rPr>
          <w:lang w:val="fr-FR"/>
        </w:rPr>
        <w:t>Aoste, de Mol</w:t>
      </w:r>
      <w:r w:rsidR="005363D5" w:rsidRPr="00F60A3D">
        <w:rPr>
          <w:lang w:val="fr-FR"/>
        </w:rPr>
        <w:t>ise et du Trentin-H</w:t>
      </w:r>
      <w:r w:rsidR="00EF425D" w:rsidRPr="00F60A3D">
        <w:rPr>
          <w:lang w:val="fr-FR"/>
        </w:rPr>
        <w:t>aut-Adige):</w:t>
      </w:r>
      <w:r w:rsidR="00731982" w:rsidRPr="00F60A3D">
        <w:rPr>
          <w:lang w:val="fr-FR"/>
        </w:rPr>
        <w:t xml:space="preserve"> </w:t>
      </w:r>
    </w:p>
    <w:p w:rsidR="00A82B7C" w:rsidRPr="00F60A3D" w:rsidRDefault="00092A34" w:rsidP="00D26282">
      <w:pPr>
        <w:pStyle w:val="SingleTxtG"/>
        <w:rPr>
          <w:lang w:val="fr-FR"/>
        </w:rPr>
      </w:pPr>
      <w:r w:rsidRPr="00F60A3D">
        <w:rPr>
          <w:lang w:val="fr-FR"/>
        </w:rPr>
        <w:tab/>
      </w:r>
      <w:r w:rsidR="00236F23" w:rsidRPr="00F60A3D">
        <w:rPr>
          <w:lang w:val="fr-FR"/>
        </w:rPr>
        <w:t>a</w:t>
      </w:r>
      <w:r w:rsidR="001D2CCC" w:rsidRPr="00F60A3D">
        <w:rPr>
          <w:lang w:val="fr-FR"/>
        </w:rPr>
        <w:t>)</w:t>
      </w:r>
      <w:r w:rsidR="001D2CCC" w:rsidRPr="00F60A3D">
        <w:rPr>
          <w:lang w:val="fr-FR"/>
        </w:rPr>
        <w:tab/>
      </w:r>
      <w:r w:rsidR="00A82B7C" w:rsidRPr="00F60A3D">
        <w:rPr>
          <w:lang w:val="fr-FR"/>
        </w:rPr>
        <w:t>S</w:t>
      </w:r>
      <w:r w:rsidR="00B17AE1" w:rsidRPr="00F60A3D">
        <w:rPr>
          <w:lang w:val="fr-FR"/>
        </w:rPr>
        <w:t>’</w:t>
      </w:r>
      <w:r w:rsidR="00A82B7C" w:rsidRPr="00F60A3D">
        <w:rPr>
          <w:lang w:val="fr-FR"/>
        </w:rPr>
        <w:t>agissant de la Chambre des députés, la</w:t>
      </w:r>
      <w:r w:rsidR="000D31FA" w:rsidRPr="00F60A3D">
        <w:rPr>
          <w:lang w:val="fr-FR"/>
        </w:rPr>
        <w:t xml:space="preserve"> </w:t>
      </w:r>
      <w:r w:rsidR="00070036" w:rsidRPr="00F60A3D">
        <w:rPr>
          <w:lang w:val="fr-FR"/>
        </w:rPr>
        <w:t>loi ci-dessus</w:t>
      </w:r>
      <w:r w:rsidR="00A82B7C" w:rsidRPr="00F60A3D">
        <w:rPr>
          <w:lang w:val="fr-FR"/>
        </w:rPr>
        <w:t xml:space="preserve"> prévoit que la liste ou la coalition de liste</w:t>
      </w:r>
      <w:r w:rsidR="000D31FA" w:rsidRPr="00F60A3D">
        <w:rPr>
          <w:lang w:val="fr-FR"/>
        </w:rPr>
        <w:t>s qui obti</w:t>
      </w:r>
      <w:r w:rsidR="00467707" w:rsidRPr="00F60A3D">
        <w:rPr>
          <w:lang w:val="fr-FR"/>
        </w:rPr>
        <w:t>ent le plus de suffrages</w:t>
      </w:r>
      <w:r w:rsidR="00D26282" w:rsidRPr="00F60A3D">
        <w:rPr>
          <w:lang w:val="fr-FR"/>
        </w:rPr>
        <w:t xml:space="preserve"> – </w:t>
      </w:r>
      <w:r w:rsidR="00A82B7C" w:rsidRPr="00F60A3D">
        <w:rPr>
          <w:lang w:val="fr-FR"/>
        </w:rPr>
        <w:t>sans obtenir les 340</w:t>
      </w:r>
      <w:r w:rsidR="007E45CE" w:rsidRPr="00F60A3D">
        <w:rPr>
          <w:lang w:val="fr-FR"/>
        </w:rPr>
        <w:t> </w:t>
      </w:r>
      <w:r w:rsidR="00A82B7C" w:rsidRPr="00F60A3D">
        <w:rPr>
          <w:lang w:val="fr-FR"/>
        </w:rPr>
        <w:t>sièges –</w:t>
      </w:r>
      <w:r w:rsidR="000D31FA" w:rsidRPr="00F60A3D">
        <w:rPr>
          <w:lang w:val="fr-FR"/>
        </w:rPr>
        <w:t xml:space="preserve"> se voit attribuer</w:t>
      </w:r>
      <w:r w:rsidR="00A82B7C" w:rsidRPr="00F60A3D">
        <w:rPr>
          <w:lang w:val="fr-FR"/>
        </w:rPr>
        <w:t xml:space="preserve"> de</w:t>
      </w:r>
      <w:r w:rsidR="000D31FA" w:rsidRPr="00F60A3D">
        <w:rPr>
          <w:lang w:val="fr-FR"/>
        </w:rPr>
        <w:t>s</w:t>
      </w:r>
      <w:r w:rsidR="00A82B7C" w:rsidRPr="00F60A3D">
        <w:rPr>
          <w:lang w:val="fr-FR"/>
        </w:rPr>
        <w:t xml:space="preserve"> </w:t>
      </w:r>
      <w:r w:rsidR="000D31FA" w:rsidRPr="00F60A3D">
        <w:rPr>
          <w:lang w:val="fr-FR"/>
        </w:rPr>
        <w:t>siè</w:t>
      </w:r>
      <w:r w:rsidR="00A82B7C" w:rsidRPr="00F60A3D">
        <w:rPr>
          <w:lang w:val="fr-FR"/>
        </w:rPr>
        <w:t>ges complémentaires outre ceux déjà obtenus (de manière à atteindre ce ch</w:t>
      </w:r>
      <w:r w:rsidR="00AC5247" w:rsidRPr="00F60A3D">
        <w:rPr>
          <w:lang w:val="fr-FR"/>
        </w:rPr>
        <w:t xml:space="preserve">iffre). Les </w:t>
      </w:r>
      <w:r w:rsidR="00D26282" w:rsidRPr="00F60A3D">
        <w:rPr>
          <w:lang w:val="fr-FR"/>
        </w:rPr>
        <w:t>12</w:t>
      </w:r>
      <w:r w:rsidR="00AC5247" w:rsidRPr="00F60A3D">
        <w:rPr>
          <w:lang w:val="fr-FR"/>
        </w:rPr>
        <w:t xml:space="preserve"> sièges réserv</w:t>
      </w:r>
      <w:r w:rsidR="00A82B7C" w:rsidRPr="00F60A3D">
        <w:rPr>
          <w:lang w:val="fr-FR"/>
        </w:rPr>
        <w:t>és aux circonscriptions d</w:t>
      </w:r>
      <w:r w:rsidR="00B17AE1" w:rsidRPr="00F60A3D">
        <w:rPr>
          <w:lang w:val="fr-FR"/>
        </w:rPr>
        <w:t>’</w:t>
      </w:r>
      <w:r w:rsidR="006D05A7" w:rsidRPr="00F60A3D">
        <w:rPr>
          <w:lang w:val="fr-FR"/>
        </w:rPr>
        <w:t>o</w:t>
      </w:r>
      <w:r w:rsidR="00A82B7C" w:rsidRPr="00F60A3D">
        <w:rPr>
          <w:lang w:val="fr-FR"/>
        </w:rPr>
        <w:t>utre</w:t>
      </w:r>
      <w:r w:rsidR="006D05A7" w:rsidRPr="00F60A3D">
        <w:rPr>
          <w:lang w:val="fr-FR"/>
        </w:rPr>
        <w:t>-</w:t>
      </w:r>
      <w:r w:rsidR="00965B9E" w:rsidRPr="00F60A3D">
        <w:rPr>
          <w:lang w:val="fr-FR"/>
        </w:rPr>
        <w:t>mer et le siè</w:t>
      </w:r>
      <w:r w:rsidR="00A82B7C" w:rsidRPr="00F60A3D">
        <w:rPr>
          <w:lang w:val="fr-FR"/>
        </w:rPr>
        <w:t>ge incombant à la Vallée d</w:t>
      </w:r>
      <w:r w:rsidR="00B17AE1" w:rsidRPr="00F60A3D">
        <w:rPr>
          <w:lang w:val="fr-FR"/>
        </w:rPr>
        <w:t>’</w:t>
      </w:r>
      <w:r w:rsidR="00A82B7C" w:rsidRPr="00F60A3D">
        <w:rPr>
          <w:lang w:val="fr-FR"/>
        </w:rPr>
        <w:t xml:space="preserve">Aoste </w:t>
      </w:r>
      <w:r w:rsidR="006D05A7" w:rsidRPr="00F60A3D">
        <w:rPr>
          <w:lang w:val="fr-FR"/>
        </w:rPr>
        <w:t>sont attribués selon d</w:t>
      </w:r>
      <w:r w:rsidR="00A82B7C" w:rsidRPr="00F60A3D">
        <w:rPr>
          <w:lang w:val="fr-FR"/>
        </w:rPr>
        <w:t>es règles</w:t>
      </w:r>
      <w:r w:rsidR="006D05A7" w:rsidRPr="00F60A3D">
        <w:rPr>
          <w:lang w:val="fr-FR"/>
        </w:rPr>
        <w:t xml:space="preserve"> différentes</w:t>
      </w:r>
      <w:r w:rsidR="00A82B7C" w:rsidRPr="00F60A3D">
        <w:rPr>
          <w:lang w:val="fr-FR"/>
        </w:rPr>
        <w:t>: les</w:t>
      </w:r>
      <w:r w:rsidR="006D05A7" w:rsidRPr="00F60A3D">
        <w:rPr>
          <w:lang w:val="fr-FR"/>
        </w:rPr>
        <w:t xml:space="preserve"> voix ne sont pas comptabilisées pour établir la liste ou la coalition de liste</w:t>
      </w:r>
      <w:r w:rsidR="007E1865" w:rsidRPr="00F60A3D">
        <w:rPr>
          <w:lang w:val="fr-FR"/>
        </w:rPr>
        <w:t>s</w:t>
      </w:r>
      <w:r w:rsidR="008301A4" w:rsidRPr="00F60A3D">
        <w:rPr>
          <w:lang w:val="fr-FR"/>
        </w:rPr>
        <w:t>;</w:t>
      </w:r>
    </w:p>
    <w:p w:rsidR="006D05A7" w:rsidRPr="00F60A3D" w:rsidRDefault="00092A34" w:rsidP="00D26282">
      <w:pPr>
        <w:pStyle w:val="SingleTxtG"/>
        <w:rPr>
          <w:lang w:val="fr-FR"/>
        </w:rPr>
      </w:pPr>
      <w:r w:rsidRPr="00F60A3D">
        <w:rPr>
          <w:lang w:val="fr-FR"/>
        </w:rPr>
        <w:tab/>
      </w:r>
      <w:r w:rsidR="00236F23" w:rsidRPr="00F60A3D">
        <w:rPr>
          <w:lang w:val="fr-FR"/>
        </w:rPr>
        <w:t>b</w:t>
      </w:r>
      <w:r w:rsidR="001D2CCC" w:rsidRPr="00F60A3D">
        <w:rPr>
          <w:lang w:val="fr-FR"/>
        </w:rPr>
        <w:t>)</w:t>
      </w:r>
      <w:r w:rsidR="001D2CCC" w:rsidRPr="00F60A3D">
        <w:rPr>
          <w:lang w:val="fr-FR"/>
        </w:rPr>
        <w:tab/>
      </w:r>
      <w:r w:rsidR="006D05A7" w:rsidRPr="00F60A3D">
        <w:rPr>
          <w:lang w:val="fr-FR"/>
        </w:rPr>
        <w:t>S</w:t>
      </w:r>
      <w:r w:rsidR="00B17AE1" w:rsidRPr="00F60A3D">
        <w:rPr>
          <w:lang w:val="fr-FR"/>
        </w:rPr>
        <w:t>’</w:t>
      </w:r>
      <w:r w:rsidR="006D05A7" w:rsidRPr="00F60A3D">
        <w:rPr>
          <w:lang w:val="fr-FR"/>
        </w:rPr>
        <w:t>agissant du Sénat, la loi prévoit que la liste ou la coalition de listes qui obtient le plus grand nombre de voix dans la région – mais sans atteindre 55</w:t>
      </w:r>
      <w:r w:rsidR="00B17AE1" w:rsidRPr="00F60A3D">
        <w:rPr>
          <w:lang w:val="fr-FR"/>
        </w:rPr>
        <w:t> %</w:t>
      </w:r>
      <w:r w:rsidR="006D05A7" w:rsidRPr="00F60A3D">
        <w:rPr>
          <w:lang w:val="fr-FR"/>
        </w:rPr>
        <w:t xml:space="preserve"> des </w:t>
      </w:r>
      <w:r w:rsidR="000D31FA" w:rsidRPr="00F60A3D">
        <w:rPr>
          <w:lang w:val="fr-FR"/>
        </w:rPr>
        <w:t>s</w:t>
      </w:r>
      <w:r w:rsidR="006D05A7" w:rsidRPr="00F60A3D">
        <w:rPr>
          <w:lang w:val="fr-FR"/>
        </w:rPr>
        <w:t>ièges à pourv</w:t>
      </w:r>
      <w:r w:rsidR="007678FC" w:rsidRPr="00F60A3D">
        <w:rPr>
          <w:lang w:val="fr-FR"/>
        </w:rPr>
        <w:t>oir – se voit attribuer une part complémentaire</w:t>
      </w:r>
      <w:r w:rsidR="000D31FA" w:rsidRPr="00F60A3D">
        <w:rPr>
          <w:lang w:val="fr-FR"/>
        </w:rPr>
        <w:t xml:space="preserve"> </w:t>
      </w:r>
      <w:r w:rsidR="006D05A7" w:rsidRPr="00F60A3D">
        <w:rPr>
          <w:lang w:val="fr-FR"/>
        </w:rPr>
        <w:t>de si</w:t>
      </w:r>
      <w:r w:rsidR="000D31FA" w:rsidRPr="00F60A3D">
        <w:rPr>
          <w:lang w:val="fr-FR"/>
        </w:rPr>
        <w:t>è</w:t>
      </w:r>
      <w:r w:rsidR="006D05A7" w:rsidRPr="00F60A3D">
        <w:rPr>
          <w:lang w:val="fr-FR"/>
        </w:rPr>
        <w:t xml:space="preserve">ges </w:t>
      </w:r>
      <w:r w:rsidR="000D31FA" w:rsidRPr="00F60A3D">
        <w:rPr>
          <w:lang w:val="fr-FR"/>
        </w:rPr>
        <w:t>pour a</w:t>
      </w:r>
      <w:r w:rsidR="007E1865" w:rsidRPr="00F60A3D">
        <w:rPr>
          <w:lang w:val="fr-FR"/>
        </w:rPr>
        <w:t>tteindre l</w:t>
      </w:r>
      <w:r w:rsidR="000D31FA" w:rsidRPr="00F60A3D">
        <w:rPr>
          <w:lang w:val="fr-FR"/>
        </w:rPr>
        <w:t>e chiffre</w:t>
      </w:r>
      <w:r w:rsidR="007E1865" w:rsidRPr="00F60A3D">
        <w:rPr>
          <w:lang w:val="fr-FR"/>
        </w:rPr>
        <w:t xml:space="preserve"> requis</w:t>
      </w:r>
      <w:r w:rsidR="006D05A7" w:rsidRPr="00F60A3D">
        <w:rPr>
          <w:lang w:val="fr-FR"/>
        </w:rPr>
        <w:t xml:space="preserve">. Les </w:t>
      </w:r>
      <w:r w:rsidR="00D26282" w:rsidRPr="00F60A3D">
        <w:rPr>
          <w:lang w:val="fr-FR"/>
        </w:rPr>
        <w:t>6 </w:t>
      </w:r>
      <w:r w:rsidR="006D05A7" w:rsidRPr="00F60A3D">
        <w:rPr>
          <w:lang w:val="fr-FR"/>
        </w:rPr>
        <w:t xml:space="preserve">sièges dévolus </w:t>
      </w:r>
      <w:r w:rsidR="000D31FA" w:rsidRPr="00F60A3D">
        <w:rPr>
          <w:lang w:val="fr-FR"/>
        </w:rPr>
        <w:t>aux circonscriptions d</w:t>
      </w:r>
      <w:r w:rsidR="00B17AE1" w:rsidRPr="00F60A3D">
        <w:rPr>
          <w:lang w:val="fr-FR"/>
        </w:rPr>
        <w:t>’</w:t>
      </w:r>
      <w:r w:rsidR="000D31FA" w:rsidRPr="00F60A3D">
        <w:rPr>
          <w:lang w:val="fr-FR"/>
        </w:rPr>
        <w:t>outre-mer, le siège incombant à la Vallée d</w:t>
      </w:r>
      <w:r w:rsidR="00B17AE1" w:rsidRPr="00F60A3D">
        <w:rPr>
          <w:lang w:val="fr-FR"/>
        </w:rPr>
        <w:t>’</w:t>
      </w:r>
      <w:r w:rsidR="000D31FA" w:rsidRPr="00F60A3D">
        <w:rPr>
          <w:lang w:val="fr-FR"/>
        </w:rPr>
        <w:t xml:space="preserve">Aoste, les deux sièges de Molise et les </w:t>
      </w:r>
      <w:r w:rsidR="00D26282" w:rsidRPr="00F60A3D">
        <w:rPr>
          <w:lang w:val="fr-FR"/>
        </w:rPr>
        <w:t>7 </w:t>
      </w:r>
      <w:r w:rsidR="000D31FA" w:rsidRPr="00F60A3D">
        <w:rPr>
          <w:lang w:val="fr-FR"/>
        </w:rPr>
        <w:t xml:space="preserve">sièges du Trentin-Haut-Adige sont attribués selon des règles différentes. </w:t>
      </w:r>
    </w:p>
    <w:p w:rsidR="000D31FA" w:rsidRPr="00F60A3D" w:rsidRDefault="00224935" w:rsidP="00D26282">
      <w:pPr>
        <w:pStyle w:val="SingleTxtG"/>
        <w:rPr>
          <w:lang w:val="fr-FR"/>
        </w:rPr>
      </w:pPr>
      <w:r w:rsidRPr="00F60A3D">
        <w:rPr>
          <w:lang w:val="fr-FR"/>
        </w:rPr>
        <w:t>53.</w:t>
      </w:r>
      <w:r w:rsidR="00092A34" w:rsidRPr="00F60A3D">
        <w:rPr>
          <w:lang w:val="fr-FR"/>
        </w:rPr>
        <w:tab/>
      </w:r>
      <w:r w:rsidR="00D17BA7" w:rsidRPr="00F60A3D">
        <w:rPr>
          <w:lang w:val="fr-FR"/>
        </w:rPr>
        <w:t xml:space="preserve">La loi fait obligation à chaque force politique de </w:t>
      </w:r>
      <w:r w:rsidR="000E020E" w:rsidRPr="00F60A3D">
        <w:rPr>
          <w:lang w:val="fr-FR"/>
        </w:rPr>
        <w:t>pré</w:t>
      </w:r>
      <w:r w:rsidR="00D17BA7" w:rsidRPr="00F60A3D">
        <w:rPr>
          <w:lang w:val="fr-FR"/>
        </w:rPr>
        <w:t xml:space="preserve">senter son </w:t>
      </w:r>
      <w:r w:rsidR="00200B61" w:rsidRPr="00F60A3D">
        <w:rPr>
          <w:lang w:val="fr-FR"/>
        </w:rPr>
        <w:t>symbole</w:t>
      </w:r>
      <w:r w:rsidR="00D17BA7" w:rsidRPr="00F60A3D">
        <w:rPr>
          <w:lang w:val="fr-FR"/>
        </w:rPr>
        <w:t xml:space="preserve">, de </w:t>
      </w:r>
      <w:r w:rsidR="000E020E" w:rsidRPr="00F60A3D">
        <w:rPr>
          <w:lang w:val="fr-FR"/>
        </w:rPr>
        <w:t>dé</w:t>
      </w:r>
      <w:r w:rsidR="00D17BA7" w:rsidRPr="00F60A3D">
        <w:rPr>
          <w:lang w:val="fr-FR"/>
        </w:rPr>
        <w:t>poser</w:t>
      </w:r>
      <w:r w:rsidR="00D26282" w:rsidRPr="00F60A3D">
        <w:rPr>
          <w:lang w:val="fr-FR"/>
        </w:rPr>
        <w:t xml:space="preserve"> son programme </w:t>
      </w:r>
      <w:r w:rsidR="0067115B" w:rsidRPr="00F60A3D">
        <w:rPr>
          <w:lang w:val="fr-FR"/>
        </w:rPr>
        <w:t>et d</w:t>
      </w:r>
      <w:r w:rsidR="00B17AE1" w:rsidRPr="00F60A3D">
        <w:rPr>
          <w:lang w:val="fr-FR"/>
        </w:rPr>
        <w:t>’</w:t>
      </w:r>
      <w:r w:rsidR="0067115B" w:rsidRPr="00F60A3D">
        <w:rPr>
          <w:lang w:val="fr-FR"/>
        </w:rPr>
        <w:t xml:space="preserve">indiquer sa tête </w:t>
      </w:r>
      <w:r w:rsidR="00D17BA7" w:rsidRPr="00F60A3D">
        <w:rPr>
          <w:lang w:val="fr-FR"/>
        </w:rPr>
        <w:t xml:space="preserve">de liste. </w:t>
      </w:r>
      <w:r w:rsidR="000E020E" w:rsidRPr="00F60A3D">
        <w:rPr>
          <w:lang w:val="fr-FR"/>
        </w:rPr>
        <w:t xml:space="preserve">Elle prévoit aussi la possibilité de coalitions. En cas de coalition, le programme </w:t>
      </w:r>
      <w:r w:rsidR="007566CE" w:rsidRPr="00F60A3D">
        <w:rPr>
          <w:lang w:val="fr-FR"/>
        </w:rPr>
        <w:t xml:space="preserve">présenté </w:t>
      </w:r>
      <w:r w:rsidR="000E020E" w:rsidRPr="00F60A3D">
        <w:rPr>
          <w:lang w:val="fr-FR"/>
        </w:rPr>
        <w:t>doit être celui du chef de la fo</w:t>
      </w:r>
      <w:r w:rsidR="0067115B" w:rsidRPr="00F60A3D">
        <w:rPr>
          <w:lang w:val="fr-FR"/>
        </w:rPr>
        <w:t>rce politique. Celui-ci ne peut</w:t>
      </w:r>
      <w:r w:rsidR="00041C94" w:rsidRPr="00F60A3D">
        <w:rPr>
          <w:lang w:val="fr-FR"/>
        </w:rPr>
        <w:t>,</w:t>
      </w:r>
      <w:r w:rsidR="0067115B" w:rsidRPr="00F60A3D">
        <w:rPr>
          <w:lang w:val="fr-FR"/>
        </w:rPr>
        <w:t xml:space="preserve"> </w:t>
      </w:r>
      <w:r w:rsidR="002F387A" w:rsidRPr="00F60A3D">
        <w:rPr>
          <w:lang w:val="fr-FR"/>
        </w:rPr>
        <w:t>selon la loi</w:t>
      </w:r>
      <w:r w:rsidR="00041C94" w:rsidRPr="00F60A3D">
        <w:rPr>
          <w:lang w:val="fr-FR"/>
        </w:rPr>
        <w:t>,</w:t>
      </w:r>
      <w:r w:rsidR="002F387A" w:rsidRPr="00F60A3D">
        <w:rPr>
          <w:lang w:val="fr-FR"/>
        </w:rPr>
        <w:t xml:space="preserve"> </w:t>
      </w:r>
      <w:r w:rsidR="0067115B" w:rsidRPr="00F60A3D">
        <w:rPr>
          <w:lang w:val="fr-FR"/>
        </w:rPr>
        <w:t>être</w:t>
      </w:r>
      <w:r w:rsidR="000E020E" w:rsidRPr="00F60A3D">
        <w:rPr>
          <w:lang w:val="fr-FR"/>
        </w:rPr>
        <w:t xml:space="preserve"> candidat à la prés</w:t>
      </w:r>
      <w:r w:rsidR="002F387A" w:rsidRPr="00F60A3D">
        <w:rPr>
          <w:lang w:val="fr-FR"/>
        </w:rPr>
        <w:t>idence du Conseil des ministres car</w:t>
      </w:r>
      <w:r w:rsidR="000E020E" w:rsidRPr="00F60A3D">
        <w:rPr>
          <w:lang w:val="fr-FR"/>
        </w:rPr>
        <w:t xml:space="preserve"> la nomination à ce poste incombe au Président de l</w:t>
      </w:r>
      <w:r w:rsidR="00CE0C8D" w:rsidRPr="00F60A3D">
        <w:rPr>
          <w:lang w:val="fr-FR"/>
        </w:rPr>
        <w:t>a République (c</w:t>
      </w:r>
      <w:r w:rsidR="002F387A" w:rsidRPr="00F60A3D">
        <w:rPr>
          <w:lang w:val="fr-FR"/>
        </w:rPr>
        <w:t>hef de l</w:t>
      </w:r>
      <w:r w:rsidR="00B17AE1" w:rsidRPr="00F60A3D">
        <w:rPr>
          <w:lang w:val="fr-FR"/>
        </w:rPr>
        <w:t>’</w:t>
      </w:r>
      <w:r w:rsidR="002F387A" w:rsidRPr="00F60A3D">
        <w:rPr>
          <w:lang w:val="fr-FR"/>
        </w:rPr>
        <w:t>État). À des fins électorales, l</w:t>
      </w:r>
      <w:r w:rsidR="000E020E" w:rsidRPr="00F60A3D">
        <w:rPr>
          <w:lang w:val="fr-FR"/>
        </w:rPr>
        <w:t>e territoire national a ét</w:t>
      </w:r>
      <w:r w:rsidR="002F387A" w:rsidRPr="00F60A3D">
        <w:rPr>
          <w:lang w:val="fr-FR"/>
        </w:rPr>
        <w:t xml:space="preserve">é divisé </w:t>
      </w:r>
      <w:r w:rsidR="000E020E" w:rsidRPr="00F60A3D">
        <w:rPr>
          <w:lang w:val="fr-FR"/>
        </w:rPr>
        <w:t>en 28</w:t>
      </w:r>
      <w:r w:rsidR="00D26282" w:rsidRPr="00F60A3D">
        <w:rPr>
          <w:lang w:val="fr-FR"/>
        </w:rPr>
        <w:t> </w:t>
      </w:r>
      <w:r w:rsidR="000E020E" w:rsidRPr="00F60A3D">
        <w:rPr>
          <w:lang w:val="fr-FR"/>
        </w:rPr>
        <w:t>circonscr</w:t>
      </w:r>
      <w:r w:rsidR="00C259BF" w:rsidRPr="00F60A3D">
        <w:rPr>
          <w:lang w:val="fr-FR"/>
        </w:rPr>
        <w:t>iptions à plusieurs sièges</w:t>
      </w:r>
      <w:r w:rsidR="000E020E" w:rsidRPr="00F60A3D">
        <w:rPr>
          <w:lang w:val="fr-FR"/>
        </w:rPr>
        <w:t xml:space="preserve"> pour la Chambre des </w:t>
      </w:r>
      <w:r w:rsidR="00824285" w:rsidRPr="00F60A3D">
        <w:rPr>
          <w:lang w:val="fr-FR"/>
        </w:rPr>
        <w:t>député</w:t>
      </w:r>
      <w:r w:rsidR="00986453" w:rsidRPr="00F60A3D">
        <w:rPr>
          <w:lang w:val="fr-FR"/>
        </w:rPr>
        <w:t>s,</w:t>
      </w:r>
      <w:r w:rsidR="000E020E" w:rsidRPr="00F60A3D">
        <w:rPr>
          <w:lang w:val="fr-FR"/>
        </w:rPr>
        <w:t xml:space="preserve"> et en 21 pour le Sénat. </w:t>
      </w:r>
    </w:p>
    <w:p w:rsidR="005E2E49" w:rsidRPr="00F60A3D" w:rsidRDefault="00224935" w:rsidP="00D26282">
      <w:pPr>
        <w:pStyle w:val="SingleTxtG"/>
        <w:rPr>
          <w:lang w:val="fr-FR"/>
        </w:rPr>
      </w:pPr>
      <w:r w:rsidRPr="00F60A3D">
        <w:rPr>
          <w:lang w:val="fr-FR"/>
        </w:rPr>
        <w:t>54.</w:t>
      </w:r>
      <w:r w:rsidR="00092A34" w:rsidRPr="00F60A3D">
        <w:rPr>
          <w:lang w:val="fr-FR"/>
        </w:rPr>
        <w:tab/>
      </w:r>
      <w:r w:rsidR="005E2E49" w:rsidRPr="00F60A3D">
        <w:rPr>
          <w:lang w:val="fr-FR"/>
        </w:rPr>
        <w:t xml:space="preserve">Le décret </w:t>
      </w:r>
      <w:r w:rsidR="001F74AE" w:rsidRPr="00F60A3D">
        <w:rPr>
          <w:lang w:val="fr-FR"/>
        </w:rPr>
        <w:t xml:space="preserve">législatif </w:t>
      </w:r>
      <w:r w:rsidR="005E2E49" w:rsidRPr="00F60A3D">
        <w:rPr>
          <w:lang w:val="fr-FR"/>
        </w:rPr>
        <w:t>n</w:t>
      </w:r>
      <w:r w:rsidR="00B17AE1" w:rsidRPr="00F60A3D">
        <w:rPr>
          <w:vertAlign w:val="superscript"/>
          <w:lang w:val="fr-FR"/>
        </w:rPr>
        <w:t>o</w:t>
      </w:r>
      <w:r w:rsidR="00A7108B" w:rsidRPr="00F60A3D">
        <w:rPr>
          <w:lang w:val="fr-FR"/>
        </w:rPr>
        <w:t> </w:t>
      </w:r>
      <w:r w:rsidR="005E2E49" w:rsidRPr="00F60A3D">
        <w:rPr>
          <w:lang w:val="fr-FR"/>
        </w:rPr>
        <w:t>190/2012 a introduit le critère d</w:t>
      </w:r>
      <w:r w:rsidR="00B17AE1" w:rsidRPr="00F60A3D">
        <w:rPr>
          <w:lang w:val="fr-FR"/>
        </w:rPr>
        <w:t>’</w:t>
      </w:r>
      <w:r w:rsidR="005E2E49" w:rsidRPr="00F60A3D">
        <w:rPr>
          <w:lang w:val="fr-FR"/>
        </w:rPr>
        <w:t>iné</w:t>
      </w:r>
      <w:r w:rsidR="00FE4548" w:rsidRPr="00F60A3D">
        <w:rPr>
          <w:lang w:val="fr-FR"/>
        </w:rPr>
        <w:t>li</w:t>
      </w:r>
      <w:r w:rsidR="005E2E49" w:rsidRPr="00F60A3D">
        <w:rPr>
          <w:lang w:val="fr-FR"/>
        </w:rPr>
        <w:t>gibilité concernant d</w:t>
      </w:r>
      <w:r w:rsidR="001C1E3B" w:rsidRPr="00F60A3D">
        <w:rPr>
          <w:lang w:val="fr-FR"/>
        </w:rPr>
        <w:t>iverses catégories de délits intentionnel</w:t>
      </w:r>
      <w:r w:rsidR="005E2E49" w:rsidRPr="00F60A3D">
        <w:rPr>
          <w:lang w:val="fr-FR"/>
        </w:rPr>
        <w:t xml:space="preserve">s, en particulier quand le condamné doit purger une peine de prison supérieure à </w:t>
      </w:r>
      <w:r w:rsidR="00D26282" w:rsidRPr="00F60A3D">
        <w:rPr>
          <w:lang w:val="fr-FR"/>
        </w:rPr>
        <w:t>deux-quatre ans</w:t>
      </w:r>
      <w:r w:rsidR="005E2E49" w:rsidRPr="00F60A3D">
        <w:rPr>
          <w:lang w:val="fr-FR"/>
        </w:rPr>
        <w:t xml:space="preserve">. </w:t>
      </w:r>
    </w:p>
    <w:p w:rsidR="006D0CE2" w:rsidRPr="00F60A3D" w:rsidRDefault="00236F23" w:rsidP="00D26282">
      <w:pPr>
        <w:pStyle w:val="SingleTxtG"/>
        <w:rPr>
          <w:lang w:val="fr-FR"/>
        </w:rPr>
      </w:pPr>
      <w:r w:rsidRPr="00F60A3D">
        <w:rPr>
          <w:lang w:val="fr-FR"/>
        </w:rPr>
        <w:t>55</w:t>
      </w:r>
      <w:r w:rsidR="001D2CCC" w:rsidRPr="00F60A3D">
        <w:rPr>
          <w:lang w:val="fr-FR"/>
        </w:rPr>
        <w:t>.</w:t>
      </w:r>
      <w:r w:rsidR="001D2CCC" w:rsidRPr="00F60A3D">
        <w:rPr>
          <w:lang w:val="fr-FR"/>
        </w:rPr>
        <w:tab/>
      </w:r>
      <w:r w:rsidR="005E2E49" w:rsidRPr="00F60A3D">
        <w:rPr>
          <w:lang w:val="fr-FR"/>
        </w:rPr>
        <w:t>Conformément à l</w:t>
      </w:r>
      <w:r w:rsidR="00B17AE1" w:rsidRPr="00F60A3D">
        <w:rPr>
          <w:lang w:val="fr-FR"/>
        </w:rPr>
        <w:t>’</w:t>
      </w:r>
      <w:r w:rsidR="00D26282" w:rsidRPr="00F60A3D">
        <w:rPr>
          <w:lang w:val="fr-FR"/>
        </w:rPr>
        <w:t>article </w:t>
      </w:r>
      <w:r w:rsidR="005E445C" w:rsidRPr="00F60A3D">
        <w:rPr>
          <w:lang w:val="fr-FR"/>
        </w:rPr>
        <w:t>49 de la Constitution (</w:t>
      </w:r>
      <w:r w:rsidR="00731982" w:rsidRPr="00F60A3D">
        <w:rPr>
          <w:lang w:val="fr-FR"/>
        </w:rPr>
        <w:t>«</w:t>
      </w:r>
      <w:r w:rsidR="005E2E49" w:rsidRPr="00F60A3D">
        <w:rPr>
          <w:lang w:val="fr-FR"/>
        </w:rPr>
        <w:t>Tous les citoyens ont le droi</w:t>
      </w:r>
      <w:r w:rsidR="000B7DB9" w:rsidRPr="00F60A3D">
        <w:rPr>
          <w:lang w:val="fr-FR"/>
        </w:rPr>
        <w:t>t de former librement des parti</w:t>
      </w:r>
      <w:r w:rsidR="005E2E49" w:rsidRPr="00F60A3D">
        <w:rPr>
          <w:lang w:val="fr-FR"/>
        </w:rPr>
        <w:t xml:space="preserve">s pour concourir, selon </w:t>
      </w:r>
      <w:r w:rsidR="002F387A" w:rsidRPr="00F60A3D">
        <w:rPr>
          <w:lang w:val="fr-FR"/>
        </w:rPr>
        <w:t>la méthode démocratique, à la dé</w:t>
      </w:r>
      <w:r w:rsidR="005E2E49" w:rsidRPr="00F60A3D">
        <w:rPr>
          <w:lang w:val="fr-FR"/>
        </w:rPr>
        <w:t>termin</w:t>
      </w:r>
      <w:r w:rsidR="005E445C" w:rsidRPr="00F60A3D">
        <w:rPr>
          <w:lang w:val="fr-FR"/>
        </w:rPr>
        <w:t>ation de la politique nationale</w:t>
      </w:r>
      <w:r w:rsidR="00731982" w:rsidRPr="00F60A3D">
        <w:rPr>
          <w:lang w:val="fr-FR"/>
        </w:rPr>
        <w:t>»</w:t>
      </w:r>
      <w:r w:rsidR="005E2E49" w:rsidRPr="00F60A3D">
        <w:rPr>
          <w:lang w:val="fr-FR"/>
        </w:rPr>
        <w:t>)</w:t>
      </w:r>
      <w:r w:rsidR="006D0CE2" w:rsidRPr="00F60A3D">
        <w:rPr>
          <w:lang w:val="fr-FR"/>
        </w:rPr>
        <w:t>, les partis politiques sont des associations libres</w:t>
      </w:r>
      <w:r w:rsidR="006D0CE2" w:rsidRPr="00F60A3D">
        <w:rPr>
          <w:b/>
          <w:lang w:val="fr-FR"/>
        </w:rPr>
        <w:t xml:space="preserve"> </w:t>
      </w:r>
      <w:r w:rsidR="00041C94" w:rsidRPr="00F60A3D">
        <w:rPr>
          <w:lang w:val="fr-FR"/>
        </w:rPr>
        <w:t>de citoyens. Depuis</w:t>
      </w:r>
      <w:r w:rsidR="006D0CE2" w:rsidRPr="00F60A3D">
        <w:rPr>
          <w:lang w:val="fr-FR"/>
        </w:rPr>
        <w:t xml:space="preserve"> les éle</w:t>
      </w:r>
      <w:r w:rsidR="00843EF7" w:rsidRPr="00F60A3D">
        <w:rPr>
          <w:lang w:val="fr-FR"/>
        </w:rPr>
        <w:t>ctions de 2013, le système</w:t>
      </w:r>
      <w:r w:rsidR="006D0CE2" w:rsidRPr="00F60A3D">
        <w:rPr>
          <w:lang w:val="fr-FR"/>
        </w:rPr>
        <w:t xml:space="preserve"> politique semble </w:t>
      </w:r>
      <w:r w:rsidR="00BC6348" w:rsidRPr="00F60A3D">
        <w:rPr>
          <w:lang w:val="fr-FR"/>
        </w:rPr>
        <w:t>davantage inspiré par la proportionnalité</w:t>
      </w:r>
      <w:r w:rsidR="006D0CE2" w:rsidRPr="00F60A3D">
        <w:rPr>
          <w:lang w:val="fr-FR"/>
        </w:rPr>
        <w:t>. Les principal</w:t>
      </w:r>
      <w:r w:rsidR="00BD7B3F" w:rsidRPr="00F60A3D">
        <w:rPr>
          <w:lang w:val="fr-FR"/>
        </w:rPr>
        <w:t>e</w:t>
      </w:r>
      <w:r w:rsidR="006D0CE2" w:rsidRPr="00F60A3D">
        <w:rPr>
          <w:lang w:val="fr-FR"/>
        </w:rPr>
        <w:t>s listes politiques sont les suivantes:</w:t>
      </w:r>
    </w:p>
    <w:p w:rsidR="00C30AD2" w:rsidRPr="00F60A3D" w:rsidRDefault="00D26282" w:rsidP="00D26282">
      <w:pPr>
        <w:pStyle w:val="SingleTxtG"/>
        <w:rPr>
          <w:lang w:val="fr-FR"/>
        </w:rPr>
      </w:pPr>
      <w:r w:rsidRPr="00F60A3D">
        <w:rPr>
          <w:lang w:val="fr-FR"/>
        </w:rPr>
        <w:tab/>
      </w:r>
      <w:r w:rsidR="000F75BF" w:rsidRPr="00F60A3D">
        <w:rPr>
          <w:lang w:val="fr-FR"/>
        </w:rPr>
        <w:t>a)</w:t>
      </w:r>
      <w:r w:rsidRPr="00F60A3D">
        <w:rPr>
          <w:lang w:val="fr-FR"/>
        </w:rPr>
        <w:tab/>
      </w:r>
      <w:r w:rsidR="000F75BF" w:rsidRPr="00F60A3D">
        <w:rPr>
          <w:lang w:val="fr-FR"/>
        </w:rPr>
        <w:t xml:space="preserve">La coalition de centre-gauche appelée </w:t>
      </w:r>
      <w:r w:rsidR="000F75BF" w:rsidRPr="00F60A3D">
        <w:rPr>
          <w:i/>
          <w:lang w:val="fr-FR"/>
        </w:rPr>
        <w:t>Italia bene comune</w:t>
      </w:r>
      <w:r w:rsidR="000F75BF" w:rsidRPr="00F60A3D">
        <w:rPr>
          <w:lang w:val="fr-FR"/>
        </w:rPr>
        <w:t xml:space="preserve"> </w:t>
      </w:r>
      <w:r w:rsidR="00C30AD2" w:rsidRPr="00F60A3D">
        <w:rPr>
          <w:lang w:val="fr-FR"/>
        </w:rPr>
        <w:t>(L</w:t>
      </w:r>
      <w:r w:rsidR="00B17AE1" w:rsidRPr="00F60A3D">
        <w:rPr>
          <w:lang w:val="fr-FR"/>
        </w:rPr>
        <w:t>’</w:t>
      </w:r>
      <w:r w:rsidR="00C30AD2" w:rsidRPr="00F60A3D">
        <w:rPr>
          <w:lang w:val="fr-FR"/>
        </w:rPr>
        <w:t>Ita</w:t>
      </w:r>
      <w:r w:rsidR="000F75BF" w:rsidRPr="00F60A3D">
        <w:rPr>
          <w:lang w:val="fr-FR"/>
        </w:rPr>
        <w:t>lie, bien commun), qui inclut les partis suivants</w:t>
      </w:r>
      <w:r w:rsidR="00BD7B3F" w:rsidRPr="00F60A3D">
        <w:rPr>
          <w:lang w:val="fr-FR"/>
        </w:rPr>
        <w:t>:</w:t>
      </w:r>
      <w:r w:rsidR="00731982" w:rsidRPr="00F60A3D">
        <w:rPr>
          <w:lang w:val="fr-FR"/>
        </w:rPr>
        <w:t xml:space="preserve"> </w:t>
      </w:r>
      <w:r w:rsidR="00C465DB" w:rsidRPr="00F60A3D">
        <w:rPr>
          <w:lang w:val="fr-FR"/>
        </w:rPr>
        <w:t>le P</w:t>
      </w:r>
      <w:r w:rsidR="000B6C38" w:rsidRPr="00F60A3D">
        <w:rPr>
          <w:lang w:val="fr-FR"/>
        </w:rPr>
        <w:t>arti démocrate (</w:t>
      </w:r>
      <w:r w:rsidR="00C30AD2" w:rsidRPr="00F60A3D">
        <w:rPr>
          <w:i/>
          <w:lang w:val="fr-FR"/>
        </w:rPr>
        <w:t>Partito democratico</w:t>
      </w:r>
      <w:r w:rsidR="000B6C38" w:rsidRPr="00F60A3D">
        <w:rPr>
          <w:i/>
          <w:lang w:val="fr-FR"/>
        </w:rPr>
        <w:t xml:space="preserve">), </w:t>
      </w:r>
      <w:r w:rsidR="000B6C38" w:rsidRPr="00F60A3D">
        <w:rPr>
          <w:lang w:val="fr-FR"/>
        </w:rPr>
        <w:t>Gauche écologie et liberté (</w:t>
      </w:r>
      <w:r w:rsidR="00C30AD2" w:rsidRPr="00F60A3D">
        <w:rPr>
          <w:i/>
          <w:lang w:val="fr-FR"/>
        </w:rPr>
        <w:t>Sinistra</w:t>
      </w:r>
      <w:r w:rsidR="00C30AD2" w:rsidRPr="00F60A3D">
        <w:rPr>
          <w:lang w:val="fr-FR"/>
        </w:rPr>
        <w:t xml:space="preserve">, </w:t>
      </w:r>
      <w:r w:rsidR="00C30AD2" w:rsidRPr="00F60A3D">
        <w:rPr>
          <w:i/>
          <w:lang w:val="fr-FR"/>
        </w:rPr>
        <w:t>Ecologica e Libertà</w:t>
      </w:r>
      <w:r w:rsidR="00C30AD2" w:rsidRPr="00F60A3D">
        <w:rPr>
          <w:lang w:val="fr-FR"/>
        </w:rPr>
        <w:t>),</w:t>
      </w:r>
      <w:r w:rsidR="000B6C38" w:rsidRPr="00F60A3D">
        <w:rPr>
          <w:lang w:val="fr-FR"/>
        </w:rPr>
        <w:t xml:space="preserve"> le Centre démocrate</w:t>
      </w:r>
      <w:r w:rsidR="00731982" w:rsidRPr="00F60A3D">
        <w:rPr>
          <w:lang w:val="fr-FR"/>
        </w:rPr>
        <w:t xml:space="preserve"> </w:t>
      </w:r>
      <w:r w:rsidR="000B6C38" w:rsidRPr="00F60A3D">
        <w:rPr>
          <w:lang w:val="fr-FR"/>
        </w:rPr>
        <w:t>(</w:t>
      </w:r>
      <w:r w:rsidR="00C30AD2" w:rsidRPr="00F60A3D">
        <w:rPr>
          <w:i/>
          <w:lang w:val="fr-FR"/>
        </w:rPr>
        <w:t>Centro Democratico</w:t>
      </w:r>
      <w:r w:rsidR="00C30AD2" w:rsidRPr="00F60A3D">
        <w:rPr>
          <w:lang w:val="fr-FR"/>
        </w:rPr>
        <w:t>), L</w:t>
      </w:r>
      <w:r w:rsidR="000B6C38" w:rsidRPr="00F60A3D">
        <w:rPr>
          <w:lang w:val="fr-FR"/>
        </w:rPr>
        <w:t>a Liste Crocetta le Mégaphone (</w:t>
      </w:r>
      <w:r w:rsidR="000B6C38" w:rsidRPr="00F60A3D">
        <w:rPr>
          <w:i/>
          <w:lang w:val="fr-FR"/>
        </w:rPr>
        <w:t>L</w:t>
      </w:r>
      <w:r w:rsidR="00C30AD2" w:rsidRPr="00F60A3D">
        <w:rPr>
          <w:i/>
          <w:lang w:val="fr-FR"/>
        </w:rPr>
        <w:t>ista Crocetta</w:t>
      </w:r>
      <w:r w:rsidR="00C30AD2" w:rsidRPr="00F60A3D">
        <w:rPr>
          <w:lang w:val="fr-FR"/>
        </w:rPr>
        <w:t xml:space="preserve"> </w:t>
      </w:r>
      <w:r w:rsidR="00C30AD2" w:rsidRPr="00F60A3D">
        <w:rPr>
          <w:i/>
          <w:lang w:val="fr-FR"/>
        </w:rPr>
        <w:t>– Il Megafono</w:t>
      </w:r>
      <w:r w:rsidR="001103F8" w:rsidRPr="00F60A3D">
        <w:rPr>
          <w:lang w:val="fr-FR"/>
        </w:rPr>
        <w:t>)</w:t>
      </w:r>
      <w:r w:rsidR="00C30AD2" w:rsidRPr="00F60A3D">
        <w:rPr>
          <w:lang w:val="fr-FR"/>
        </w:rPr>
        <w:t xml:space="preserve">, </w:t>
      </w:r>
      <w:r w:rsidR="000B6C38" w:rsidRPr="00F60A3D">
        <w:rPr>
          <w:lang w:val="fr-FR"/>
        </w:rPr>
        <w:t xml:space="preserve">Les Modérés </w:t>
      </w:r>
      <w:r w:rsidR="000B6C38" w:rsidRPr="00F60A3D">
        <w:rPr>
          <w:i/>
          <w:lang w:val="fr-FR"/>
        </w:rPr>
        <w:t>(I</w:t>
      </w:r>
      <w:r w:rsidR="000B6C38" w:rsidRPr="00F60A3D">
        <w:rPr>
          <w:lang w:val="fr-FR"/>
        </w:rPr>
        <w:t xml:space="preserve"> </w:t>
      </w:r>
      <w:r w:rsidR="000B6C38" w:rsidRPr="00F60A3D">
        <w:rPr>
          <w:i/>
          <w:lang w:val="fr-FR"/>
        </w:rPr>
        <w:t>Moderati</w:t>
      </w:r>
      <w:r w:rsidR="00C30AD2" w:rsidRPr="00F60A3D">
        <w:rPr>
          <w:i/>
          <w:lang w:val="fr-FR"/>
        </w:rPr>
        <w:t>)</w:t>
      </w:r>
      <w:r w:rsidR="00C30AD2" w:rsidRPr="00F60A3D">
        <w:rPr>
          <w:lang w:val="fr-FR"/>
        </w:rPr>
        <w:t>,</w:t>
      </w:r>
      <w:r w:rsidR="00C465DB" w:rsidRPr="00F60A3D">
        <w:rPr>
          <w:lang w:val="fr-FR"/>
        </w:rPr>
        <w:t xml:space="preserve"> le P</w:t>
      </w:r>
      <w:r w:rsidR="000B6C38" w:rsidRPr="00F60A3D">
        <w:rPr>
          <w:lang w:val="fr-FR"/>
        </w:rPr>
        <w:t>arti socialiste italien (</w:t>
      </w:r>
      <w:r w:rsidR="00C37308" w:rsidRPr="00F60A3D">
        <w:rPr>
          <w:i/>
          <w:lang w:val="fr-FR"/>
        </w:rPr>
        <w:t>il P</w:t>
      </w:r>
      <w:r w:rsidR="00C30AD2" w:rsidRPr="00F60A3D">
        <w:rPr>
          <w:i/>
          <w:lang w:val="fr-FR"/>
        </w:rPr>
        <w:t>ar</w:t>
      </w:r>
      <w:r w:rsidR="00BD7B3F" w:rsidRPr="00F60A3D">
        <w:rPr>
          <w:i/>
          <w:lang w:val="fr-FR"/>
        </w:rPr>
        <w:t>t</w:t>
      </w:r>
      <w:r w:rsidR="00C30AD2" w:rsidRPr="00F60A3D">
        <w:rPr>
          <w:i/>
          <w:lang w:val="fr-FR"/>
        </w:rPr>
        <w:t>ito Socialista Italiano</w:t>
      </w:r>
      <w:r w:rsidR="00C30AD2" w:rsidRPr="00F60A3D">
        <w:rPr>
          <w:lang w:val="fr-FR"/>
        </w:rPr>
        <w:t xml:space="preserve">), </w:t>
      </w:r>
      <w:r w:rsidR="00F60A3D">
        <w:rPr>
          <w:lang w:val="fr-FR"/>
        </w:rPr>
        <w:t>le Parti</w:t>
      </w:r>
      <w:r w:rsidR="00C465DB" w:rsidRPr="00F60A3D">
        <w:rPr>
          <w:lang w:val="fr-FR"/>
        </w:rPr>
        <w:t xml:space="preserve"> pop</w:t>
      </w:r>
      <w:r w:rsidR="000B6C38" w:rsidRPr="00F60A3D">
        <w:rPr>
          <w:lang w:val="fr-FR"/>
        </w:rPr>
        <w:t>ulaire sud-tyrolien (</w:t>
      </w:r>
      <w:r w:rsidR="003B6700" w:rsidRPr="00F60A3D">
        <w:rPr>
          <w:i/>
          <w:lang w:val="fr-FR"/>
        </w:rPr>
        <w:t>SVP Sudtiroler</w:t>
      </w:r>
      <w:r w:rsidR="003B6700" w:rsidRPr="00F60A3D">
        <w:rPr>
          <w:lang w:val="fr-FR"/>
        </w:rPr>
        <w:t xml:space="preserve"> </w:t>
      </w:r>
      <w:r w:rsidR="003B6700" w:rsidRPr="00F60A3D">
        <w:rPr>
          <w:i/>
          <w:lang w:val="fr-FR"/>
        </w:rPr>
        <w:t>Vol</w:t>
      </w:r>
      <w:r w:rsidR="00070036" w:rsidRPr="00F60A3D">
        <w:rPr>
          <w:i/>
          <w:lang w:val="fr-FR"/>
        </w:rPr>
        <w:t>k</w:t>
      </w:r>
      <w:r w:rsidR="003B6700" w:rsidRPr="00F60A3D">
        <w:rPr>
          <w:i/>
          <w:lang w:val="fr-FR"/>
        </w:rPr>
        <w:t>spartei</w:t>
      </w:r>
      <w:r w:rsidR="000B6C38" w:rsidRPr="00F60A3D">
        <w:rPr>
          <w:i/>
          <w:lang w:val="fr-FR"/>
        </w:rPr>
        <w:t>)</w:t>
      </w:r>
      <w:r w:rsidR="003B6700" w:rsidRPr="00F60A3D">
        <w:rPr>
          <w:lang w:val="fr-FR"/>
        </w:rPr>
        <w:t>,</w:t>
      </w:r>
      <w:r w:rsidR="00C465DB" w:rsidRPr="00F60A3D">
        <w:rPr>
          <w:lang w:val="fr-FR"/>
        </w:rPr>
        <w:t xml:space="preserve"> </w:t>
      </w:r>
      <w:r w:rsidR="000F75BF" w:rsidRPr="00F60A3D">
        <w:rPr>
          <w:lang w:val="fr-FR"/>
        </w:rPr>
        <w:t xml:space="preserve">le </w:t>
      </w:r>
      <w:r w:rsidR="000B6C38" w:rsidRPr="00F60A3D">
        <w:rPr>
          <w:lang w:val="fr-FR"/>
        </w:rPr>
        <w:t xml:space="preserve">Parti autonomiste du Trentin </w:t>
      </w:r>
      <w:r w:rsidR="000B6C38" w:rsidRPr="00F60A3D">
        <w:rPr>
          <w:lang w:val="fr-FR"/>
        </w:rPr>
        <w:lastRenderedPageBreak/>
        <w:t>tyrolien (</w:t>
      </w:r>
      <w:r w:rsidR="003B6700" w:rsidRPr="00F60A3D">
        <w:rPr>
          <w:i/>
          <w:lang w:val="fr-FR"/>
        </w:rPr>
        <w:t>Partito Autonomista Trentino Tirolese</w:t>
      </w:r>
      <w:r w:rsidR="000B6C38" w:rsidRPr="00F60A3D">
        <w:rPr>
          <w:lang w:val="fr-FR"/>
        </w:rPr>
        <w:t>)</w:t>
      </w:r>
      <w:r w:rsidR="003B6700" w:rsidRPr="00F60A3D">
        <w:rPr>
          <w:lang w:val="fr-FR"/>
        </w:rPr>
        <w:t xml:space="preserve">, </w:t>
      </w:r>
      <w:r w:rsidR="000B6C38" w:rsidRPr="00F60A3D">
        <w:rPr>
          <w:lang w:val="fr-FR"/>
        </w:rPr>
        <w:t>le Tyrol vert du Sud (</w:t>
      </w:r>
      <w:r w:rsidR="003B6700" w:rsidRPr="00F60A3D">
        <w:rPr>
          <w:i/>
          <w:lang w:val="fr-FR"/>
        </w:rPr>
        <w:t>Il Sud-Tirolo Verde</w:t>
      </w:r>
      <w:r w:rsidR="003B6700" w:rsidRPr="00F60A3D">
        <w:rPr>
          <w:lang w:val="fr-FR"/>
        </w:rPr>
        <w:t xml:space="preserve">) et </w:t>
      </w:r>
      <w:r w:rsidR="000B6C38" w:rsidRPr="00F60A3D">
        <w:rPr>
          <w:lang w:val="fr-FR"/>
        </w:rPr>
        <w:t>Auton</w:t>
      </w:r>
      <w:r w:rsidR="00C465DB" w:rsidRPr="00F60A3D">
        <w:rPr>
          <w:lang w:val="fr-FR"/>
        </w:rPr>
        <w:t>omie Liberté P</w:t>
      </w:r>
      <w:r w:rsidR="000B6C38" w:rsidRPr="00F60A3D">
        <w:rPr>
          <w:lang w:val="fr-FR"/>
        </w:rPr>
        <w:t>articipation</w:t>
      </w:r>
      <w:r w:rsidR="00C465DB" w:rsidRPr="00F60A3D">
        <w:rPr>
          <w:lang w:val="fr-FR"/>
        </w:rPr>
        <w:t xml:space="preserve"> Écologie (</w:t>
      </w:r>
      <w:r w:rsidR="003B6700" w:rsidRPr="00F60A3D">
        <w:rPr>
          <w:i/>
          <w:lang w:val="fr-FR"/>
        </w:rPr>
        <w:t>Autonomia, Libertà e</w:t>
      </w:r>
      <w:r w:rsidR="003B6700" w:rsidRPr="00F60A3D">
        <w:rPr>
          <w:lang w:val="fr-FR"/>
        </w:rPr>
        <w:t xml:space="preserve"> </w:t>
      </w:r>
      <w:r w:rsidR="003B6700" w:rsidRPr="00F60A3D">
        <w:rPr>
          <w:i/>
          <w:lang w:val="fr-FR"/>
        </w:rPr>
        <w:t>Democrazia</w:t>
      </w:r>
      <w:r w:rsidR="003B6700" w:rsidRPr="00F60A3D">
        <w:rPr>
          <w:lang w:val="fr-FR"/>
        </w:rPr>
        <w:t xml:space="preserve"> </w:t>
      </w:r>
      <w:r w:rsidR="003B6700" w:rsidRPr="00F60A3D">
        <w:rPr>
          <w:i/>
          <w:lang w:val="fr-FR"/>
        </w:rPr>
        <w:t>per la</w:t>
      </w:r>
      <w:r w:rsidR="003B6700" w:rsidRPr="00F60A3D">
        <w:rPr>
          <w:lang w:val="fr-FR"/>
        </w:rPr>
        <w:t xml:space="preserve"> </w:t>
      </w:r>
      <w:r w:rsidR="003B6700" w:rsidRPr="00F60A3D">
        <w:rPr>
          <w:i/>
          <w:lang w:val="fr-FR"/>
        </w:rPr>
        <w:t>Val d</w:t>
      </w:r>
      <w:r w:rsidR="00B17AE1" w:rsidRPr="00F60A3D">
        <w:rPr>
          <w:i/>
          <w:lang w:val="fr-FR"/>
        </w:rPr>
        <w:t>’</w:t>
      </w:r>
      <w:r w:rsidR="003B6700" w:rsidRPr="00F60A3D">
        <w:rPr>
          <w:i/>
          <w:lang w:val="fr-FR"/>
        </w:rPr>
        <w:t>Aosta</w:t>
      </w:r>
      <w:r w:rsidR="00764058" w:rsidRPr="00F60A3D">
        <w:rPr>
          <w:lang w:val="fr-FR"/>
        </w:rPr>
        <w:t>);</w:t>
      </w:r>
    </w:p>
    <w:p w:rsidR="00CC6F71" w:rsidRPr="00F60A3D" w:rsidRDefault="00092A34" w:rsidP="00D26282">
      <w:pPr>
        <w:pStyle w:val="SingleTxtG"/>
        <w:rPr>
          <w:lang w:val="fr-FR"/>
        </w:rPr>
      </w:pPr>
      <w:r w:rsidRPr="00F60A3D">
        <w:rPr>
          <w:lang w:val="fr-FR"/>
        </w:rPr>
        <w:tab/>
      </w:r>
      <w:r w:rsidR="00C07193" w:rsidRPr="00F60A3D">
        <w:rPr>
          <w:lang w:val="fr-FR"/>
        </w:rPr>
        <w:t>b</w:t>
      </w:r>
      <w:r w:rsidR="001D2CCC" w:rsidRPr="00F60A3D">
        <w:rPr>
          <w:lang w:val="fr-FR"/>
        </w:rPr>
        <w:t>)</w:t>
      </w:r>
      <w:r w:rsidR="001D2CCC" w:rsidRPr="00F60A3D">
        <w:rPr>
          <w:lang w:val="fr-FR"/>
        </w:rPr>
        <w:tab/>
      </w:r>
      <w:r w:rsidR="008E637C" w:rsidRPr="00F60A3D">
        <w:rPr>
          <w:lang w:val="fr-FR"/>
        </w:rPr>
        <w:t xml:space="preserve">La </w:t>
      </w:r>
      <w:r w:rsidR="00622735" w:rsidRPr="00F60A3D">
        <w:rPr>
          <w:lang w:val="fr-FR"/>
        </w:rPr>
        <w:t>c</w:t>
      </w:r>
      <w:r w:rsidR="001103F8" w:rsidRPr="00F60A3D">
        <w:rPr>
          <w:lang w:val="fr-FR"/>
        </w:rPr>
        <w:t xml:space="preserve">oalition de centre-droit </w:t>
      </w:r>
      <w:r w:rsidR="001103F8" w:rsidRPr="00F60A3D">
        <w:rPr>
          <w:i/>
          <w:lang w:val="fr-FR"/>
        </w:rPr>
        <w:t>(</w:t>
      </w:r>
      <w:r w:rsidR="00CC6F71" w:rsidRPr="00F60A3D">
        <w:rPr>
          <w:i/>
          <w:lang w:val="fr-FR"/>
        </w:rPr>
        <w:t>Coalizione di Centro-Destra</w:t>
      </w:r>
      <w:r w:rsidR="001103F8" w:rsidRPr="00F60A3D">
        <w:rPr>
          <w:i/>
          <w:lang w:val="fr-FR"/>
        </w:rPr>
        <w:t>)</w:t>
      </w:r>
      <w:r w:rsidR="00FD2F49" w:rsidRPr="00F60A3D">
        <w:rPr>
          <w:lang w:val="fr-FR"/>
        </w:rPr>
        <w:t xml:space="preserve"> qui inclut</w:t>
      </w:r>
      <w:r w:rsidR="00BD7B3F" w:rsidRPr="00F60A3D">
        <w:rPr>
          <w:lang w:val="fr-FR"/>
        </w:rPr>
        <w:t>:</w:t>
      </w:r>
      <w:r w:rsidR="00731982" w:rsidRPr="00F60A3D">
        <w:rPr>
          <w:lang w:val="fr-FR"/>
        </w:rPr>
        <w:t xml:space="preserve"> </w:t>
      </w:r>
      <w:r w:rsidR="008E637C" w:rsidRPr="00F60A3D">
        <w:rPr>
          <w:lang w:val="fr-FR"/>
        </w:rPr>
        <w:t>Peuple de la liberté</w:t>
      </w:r>
      <w:r w:rsidR="003100D3" w:rsidRPr="00F60A3D">
        <w:rPr>
          <w:rStyle w:val="FootnoteReference"/>
          <w:lang w:val="fr-FR"/>
        </w:rPr>
        <w:footnoteReference w:id="19"/>
      </w:r>
      <w:r w:rsidR="00622735" w:rsidRPr="00F60A3D">
        <w:rPr>
          <w:lang w:val="fr-FR"/>
        </w:rPr>
        <w:t xml:space="preserve"> (</w:t>
      </w:r>
      <w:r w:rsidR="00622735" w:rsidRPr="00F60A3D">
        <w:rPr>
          <w:i/>
          <w:lang w:val="fr-FR"/>
        </w:rPr>
        <w:t>Popolo delle Libertà</w:t>
      </w:r>
      <w:r w:rsidR="00622735" w:rsidRPr="00F60A3D">
        <w:rPr>
          <w:lang w:val="fr-FR"/>
        </w:rPr>
        <w:t>)</w:t>
      </w:r>
      <w:r w:rsidR="00D70154" w:rsidRPr="00F60A3D">
        <w:rPr>
          <w:lang w:val="fr-FR"/>
        </w:rPr>
        <w:t xml:space="preserve">, </w:t>
      </w:r>
      <w:r w:rsidR="008E637C" w:rsidRPr="00F60A3D">
        <w:rPr>
          <w:lang w:val="fr-FR"/>
        </w:rPr>
        <w:t xml:space="preserve">la </w:t>
      </w:r>
      <w:r w:rsidR="001103F8" w:rsidRPr="00F60A3D">
        <w:rPr>
          <w:lang w:val="fr-FR"/>
        </w:rPr>
        <w:t>Ligue du Nord (</w:t>
      </w:r>
      <w:r w:rsidR="00CC6F71" w:rsidRPr="00F60A3D">
        <w:rPr>
          <w:i/>
          <w:lang w:val="fr-FR"/>
        </w:rPr>
        <w:t>Lega Nord</w:t>
      </w:r>
      <w:r w:rsidR="00CC6F71" w:rsidRPr="00F60A3D">
        <w:rPr>
          <w:lang w:val="fr-FR"/>
        </w:rPr>
        <w:t xml:space="preserve">), </w:t>
      </w:r>
      <w:r w:rsidR="001103F8" w:rsidRPr="00F60A3D">
        <w:rPr>
          <w:lang w:val="fr-FR"/>
        </w:rPr>
        <w:t>Frères d</w:t>
      </w:r>
      <w:r w:rsidR="00B17AE1" w:rsidRPr="00F60A3D">
        <w:rPr>
          <w:lang w:val="fr-FR"/>
        </w:rPr>
        <w:t>’</w:t>
      </w:r>
      <w:r w:rsidR="00C465DB" w:rsidRPr="00F60A3D">
        <w:rPr>
          <w:lang w:val="fr-FR"/>
        </w:rPr>
        <w:t>I</w:t>
      </w:r>
      <w:r w:rsidR="001103F8" w:rsidRPr="00F60A3D">
        <w:rPr>
          <w:lang w:val="fr-FR"/>
        </w:rPr>
        <w:t>talie (</w:t>
      </w:r>
      <w:r w:rsidR="00CC6F71" w:rsidRPr="00F60A3D">
        <w:rPr>
          <w:i/>
          <w:lang w:val="fr-FR"/>
        </w:rPr>
        <w:t>Fratelli d</w:t>
      </w:r>
      <w:r w:rsidR="00B17AE1" w:rsidRPr="00F60A3D">
        <w:rPr>
          <w:i/>
          <w:lang w:val="fr-FR"/>
        </w:rPr>
        <w:t>’</w:t>
      </w:r>
      <w:r w:rsidR="00CC6F71" w:rsidRPr="00F60A3D">
        <w:rPr>
          <w:i/>
          <w:lang w:val="fr-FR"/>
        </w:rPr>
        <w:t>Italia</w:t>
      </w:r>
      <w:r w:rsidR="008E637C" w:rsidRPr="00F60A3D">
        <w:rPr>
          <w:lang w:val="fr-FR"/>
        </w:rPr>
        <w:t>)</w:t>
      </w:r>
      <w:r w:rsidR="00CC6F71" w:rsidRPr="00F60A3D">
        <w:rPr>
          <w:lang w:val="fr-FR"/>
        </w:rPr>
        <w:t xml:space="preserve">, </w:t>
      </w:r>
      <w:r w:rsidR="001103F8" w:rsidRPr="00F60A3D">
        <w:rPr>
          <w:lang w:val="fr-FR"/>
        </w:rPr>
        <w:t>le Centre-droit national (</w:t>
      </w:r>
      <w:r w:rsidR="00CC6F71" w:rsidRPr="00F60A3D">
        <w:rPr>
          <w:i/>
          <w:lang w:val="fr-FR"/>
        </w:rPr>
        <w:t>Centro-Destra Nazionale</w:t>
      </w:r>
      <w:r w:rsidR="001103F8" w:rsidRPr="00F60A3D">
        <w:rPr>
          <w:i/>
          <w:lang w:val="fr-FR"/>
        </w:rPr>
        <w:t>)</w:t>
      </w:r>
      <w:r w:rsidR="00CC6F71" w:rsidRPr="00F60A3D">
        <w:rPr>
          <w:lang w:val="fr-FR"/>
        </w:rPr>
        <w:t xml:space="preserve">, </w:t>
      </w:r>
      <w:r w:rsidR="00C465DB" w:rsidRPr="00F60A3D">
        <w:rPr>
          <w:lang w:val="fr-FR"/>
        </w:rPr>
        <w:t>la List</w:t>
      </w:r>
      <w:r w:rsidR="001103F8" w:rsidRPr="00F60A3D">
        <w:rPr>
          <w:lang w:val="fr-FR"/>
        </w:rPr>
        <w:t>e travail et liberté – liste des 3 L (</w:t>
      </w:r>
      <w:r w:rsidR="00CC6F71" w:rsidRPr="00F60A3D">
        <w:rPr>
          <w:i/>
          <w:lang w:val="fr-FR"/>
        </w:rPr>
        <w:t>Lista, Lavoro e Libertà-3L</w:t>
      </w:r>
      <w:r w:rsidR="00BD7B3F" w:rsidRPr="00F60A3D">
        <w:rPr>
          <w:lang w:val="fr-FR"/>
        </w:rPr>
        <w:t>)</w:t>
      </w:r>
      <w:r w:rsidR="00CC6F71" w:rsidRPr="00F60A3D">
        <w:rPr>
          <w:lang w:val="fr-FR"/>
        </w:rPr>
        <w:t xml:space="preserve">, </w:t>
      </w:r>
      <w:r w:rsidR="001103F8" w:rsidRPr="00F60A3D">
        <w:rPr>
          <w:lang w:val="fr-FR"/>
        </w:rPr>
        <w:t>la Droite (</w:t>
      </w:r>
      <w:r w:rsidR="001103F8" w:rsidRPr="00F60A3D">
        <w:rPr>
          <w:i/>
          <w:lang w:val="fr-FR"/>
        </w:rPr>
        <w:t>La Destra</w:t>
      </w:r>
      <w:r w:rsidR="00CC6F71" w:rsidRPr="00F60A3D">
        <w:rPr>
          <w:lang w:val="fr-FR"/>
        </w:rPr>
        <w:t xml:space="preserve">), </w:t>
      </w:r>
      <w:r w:rsidR="00C465DB" w:rsidRPr="00F60A3D">
        <w:rPr>
          <w:lang w:val="fr-FR"/>
        </w:rPr>
        <w:t>le P</w:t>
      </w:r>
      <w:r w:rsidR="001103F8" w:rsidRPr="00F60A3D">
        <w:rPr>
          <w:lang w:val="fr-FR"/>
        </w:rPr>
        <w:t>arti des retraités (</w:t>
      </w:r>
      <w:r w:rsidR="00CC6F71" w:rsidRPr="00F60A3D">
        <w:rPr>
          <w:i/>
          <w:lang w:val="fr-FR"/>
        </w:rPr>
        <w:t>I Pensionat</w:t>
      </w:r>
      <w:r w:rsidR="000B7DB9" w:rsidRPr="00F60A3D">
        <w:rPr>
          <w:i/>
          <w:lang w:val="fr-FR"/>
        </w:rPr>
        <w:t>i</w:t>
      </w:r>
      <w:r w:rsidR="00BD7B3F" w:rsidRPr="00F60A3D">
        <w:rPr>
          <w:lang w:val="fr-FR"/>
        </w:rPr>
        <w:t>)</w:t>
      </w:r>
      <w:r w:rsidR="00CC6F71" w:rsidRPr="00F60A3D">
        <w:rPr>
          <w:lang w:val="fr-FR"/>
        </w:rPr>
        <w:t xml:space="preserve">, </w:t>
      </w:r>
      <w:r w:rsidR="001103F8" w:rsidRPr="00F60A3D">
        <w:rPr>
          <w:lang w:val="fr-FR"/>
        </w:rPr>
        <w:t>Grand Sud (</w:t>
      </w:r>
      <w:r w:rsidR="00CC6F71" w:rsidRPr="00F60A3D">
        <w:rPr>
          <w:i/>
          <w:lang w:val="fr-FR"/>
        </w:rPr>
        <w:t>Il Grande Sud</w:t>
      </w:r>
      <w:r w:rsidR="00CC6F71" w:rsidRPr="00F60A3D">
        <w:rPr>
          <w:lang w:val="fr-FR"/>
        </w:rPr>
        <w:t>),</w:t>
      </w:r>
      <w:r w:rsidR="00622735" w:rsidRPr="00F60A3D">
        <w:rPr>
          <w:lang w:val="fr-FR"/>
        </w:rPr>
        <w:t xml:space="preserve"> l</w:t>
      </w:r>
      <w:r w:rsidR="000B6C38" w:rsidRPr="00F60A3D">
        <w:rPr>
          <w:lang w:val="fr-FR"/>
        </w:rPr>
        <w:t>es Modérés en révolution</w:t>
      </w:r>
      <w:r w:rsidR="00731982" w:rsidRPr="00F60A3D">
        <w:rPr>
          <w:lang w:val="fr-FR"/>
        </w:rPr>
        <w:t xml:space="preserve"> </w:t>
      </w:r>
      <w:r w:rsidR="000B6C38" w:rsidRPr="00F60A3D">
        <w:rPr>
          <w:i/>
          <w:lang w:val="fr-FR"/>
        </w:rPr>
        <w:t>(</w:t>
      </w:r>
      <w:r w:rsidR="00CC6F71" w:rsidRPr="00F60A3D">
        <w:rPr>
          <w:i/>
          <w:lang w:val="fr-FR"/>
        </w:rPr>
        <w:t>I</w:t>
      </w:r>
      <w:r w:rsidR="000B6C38" w:rsidRPr="00F60A3D">
        <w:rPr>
          <w:i/>
          <w:lang w:val="fr-FR"/>
        </w:rPr>
        <w:t>l</w:t>
      </w:r>
      <w:r w:rsidR="00CC6F71" w:rsidRPr="00F60A3D">
        <w:rPr>
          <w:i/>
          <w:lang w:val="fr-FR"/>
        </w:rPr>
        <w:t xml:space="preserve"> Moderati in Rivoluzione</w:t>
      </w:r>
      <w:r w:rsidR="00CC6F71" w:rsidRPr="00F60A3D">
        <w:rPr>
          <w:lang w:val="fr-FR"/>
        </w:rPr>
        <w:t>),</w:t>
      </w:r>
      <w:r w:rsidR="000B6C38" w:rsidRPr="00F60A3D">
        <w:rPr>
          <w:lang w:val="fr-FR"/>
        </w:rPr>
        <w:t xml:space="preserve"> Accord populaire (</w:t>
      </w:r>
      <w:r w:rsidR="000B6C38" w:rsidRPr="00F60A3D">
        <w:rPr>
          <w:i/>
          <w:lang w:val="fr-FR"/>
        </w:rPr>
        <w:t>Intesa Popolare</w:t>
      </w:r>
      <w:r w:rsidR="00CC6F71" w:rsidRPr="00F60A3D">
        <w:rPr>
          <w:lang w:val="fr-FR"/>
        </w:rPr>
        <w:t>),</w:t>
      </w:r>
      <w:r w:rsidR="00C465DB" w:rsidRPr="00F60A3D">
        <w:rPr>
          <w:lang w:val="fr-FR"/>
        </w:rPr>
        <w:t xml:space="preserve"> le M</w:t>
      </w:r>
      <w:r w:rsidR="000B6C38" w:rsidRPr="00F60A3D">
        <w:rPr>
          <w:lang w:val="fr-FR"/>
        </w:rPr>
        <w:t>ouvement pour l</w:t>
      </w:r>
      <w:r w:rsidR="00B17AE1" w:rsidRPr="00F60A3D">
        <w:rPr>
          <w:lang w:val="fr-FR"/>
        </w:rPr>
        <w:t>’</w:t>
      </w:r>
      <w:r w:rsidR="000B6C38" w:rsidRPr="00F60A3D">
        <w:rPr>
          <w:lang w:val="fr-FR"/>
        </w:rPr>
        <w:t>autonomie</w:t>
      </w:r>
      <w:r w:rsidR="00CC6F71" w:rsidRPr="00F60A3D">
        <w:rPr>
          <w:lang w:val="fr-FR"/>
        </w:rPr>
        <w:t xml:space="preserve"> </w:t>
      </w:r>
      <w:r w:rsidR="000B6C38" w:rsidRPr="00F60A3D">
        <w:rPr>
          <w:lang w:val="fr-FR"/>
        </w:rPr>
        <w:t>(</w:t>
      </w:r>
      <w:r w:rsidR="00CC6F71" w:rsidRPr="00F60A3D">
        <w:rPr>
          <w:i/>
          <w:lang w:val="fr-FR"/>
        </w:rPr>
        <w:t>Il Movimento per le Autonomie</w:t>
      </w:r>
      <w:r w:rsidR="00CC6F71" w:rsidRPr="00F60A3D">
        <w:rPr>
          <w:lang w:val="fr-FR"/>
        </w:rPr>
        <w:t xml:space="preserve">), </w:t>
      </w:r>
      <w:r w:rsidR="000B6C38" w:rsidRPr="00F60A3D">
        <w:rPr>
          <w:lang w:val="fr-FR"/>
        </w:rPr>
        <w:t>Chantier populaire (</w:t>
      </w:r>
      <w:r w:rsidR="00CC6F71" w:rsidRPr="00F60A3D">
        <w:rPr>
          <w:i/>
          <w:lang w:val="fr-FR"/>
        </w:rPr>
        <w:t>Cantiere Popolare</w:t>
      </w:r>
      <w:r w:rsidR="008064AE" w:rsidRPr="00F60A3D">
        <w:rPr>
          <w:lang w:val="fr-FR"/>
        </w:rPr>
        <w:t>), et</w:t>
      </w:r>
      <w:r w:rsidR="00CC6F71" w:rsidRPr="00F60A3D">
        <w:rPr>
          <w:lang w:val="fr-FR"/>
        </w:rPr>
        <w:t xml:space="preserve"> </w:t>
      </w:r>
      <w:r w:rsidR="000B6C38" w:rsidRPr="00F60A3D">
        <w:rPr>
          <w:lang w:val="fr-FR"/>
        </w:rPr>
        <w:t>Liberté pour l</w:t>
      </w:r>
      <w:r w:rsidR="00B17AE1" w:rsidRPr="00F60A3D">
        <w:rPr>
          <w:lang w:val="fr-FR"/>
        </w:rPr>
        <w:t>’</w:t>
      </w:r>
      <w:r w:rsidR="00C465DB" w:rsidRPr="00F60A3D">
        <w:rPr>
          <w:lang w:val="fr-FR"/>
        </w:rPr>
        <w:t>égalité en I</w:t>
      </w:r>
      <w:r w:rsidR="000B6C38" w:rsidRPr="00F60A3D">
        <w:rPr>
          <w:lang w:val="fr-FR"/>
        </w:rPr>
        <w:t>talie et pour une baisse des impôts (</w:t>
      </w:r>
      <w:r w:rsidR="00CC6F71" w:rsidRPr="00F60A3D">
        <w:rPr>
          <w:i/>
          <w:lang w:val="fr-FR"/>
        </w:rPr>
        <w:t>Liberi per un</w:t>
      </w:r>
      <w:r w:rsidR="00B17AE1" w:rsidRPr="00F60A3D">
        <w:rPr>
          <w:i/>
          <w:lang w:val="fr-FR"/>
        </w:rPr>
        <w:t>’</w:t>
      </w:r>
      <w:r w:rsidR="00CC6F71" w:rsidRPr="00F60A3D">
        <w:rPr>
          <w:i/>
          <w:lang w:val="fr-FR"/>
        </w:rPr>
        <w:t>Italia Equa e Basta Tasse</w:t>
      </w:r>
      <w:r w:rsidR="00AB0706" w:rsidRPr="00F60A3D">
        <w:rPr>
          <w:lang w:val="fr-FR"/>
        </w:rPr>
        <w:t>)</w:t>
      </w:r>
      <w:r w:rsidR="00764058" w:rsidRPr="00F60A3D">
        <w:rPr>
          <w:lang w:val="fr-FR"/>
        </w:rPr>
        <w:t>;</w:t>
      </w:r>
    </w:p>
    <w:p w:rsidR="00CC6F71" w:rsidRPr="00F60A3D" w:rsidRDefault="00092A34" w:rsidP="00D26282">
      <w:pPr>
        <w:pStyle w:val="SingleTxtG"/>
        <w:rPr>
          <w:lang w:val="fr-FR"/>
        </w:rPr>
      </w:pPr>
      <w:r w:rsidRPr="00F60A3D">
        <w:rPr>
          <w:lang w:val="fr-FR"/>
        </w:rPr>
        <w:tab/>
      </w:r>
      <w:r w:rsidR="00C07193" w:rsidRPr="00F60A3D">
        <w:rPr>
          <w:lang w:val="fr-FR"/>
        </w:rPr>
        <w:t>c</w:t>
      </w:r>
      <w:r w:rsidR="001D2CCC" w:rsidRPr="00F60A3D">
        <w:rPr>
          <w:lang w:val="fr-FR"/>
        </w:rPr>
        <w:t>)</w:t>
      </w:r>
      <w:r w:rsidR="001D2CCC" w:rsidRPr="00F60A3D">
        <w:rPr>
          <w:lang w:val="fr-FR"/>
        </w:rPr>
        <w:tab/>
      </w:r>
      <w:r w:rsidR="00C465DB" w:rsidRPr="00F60A3D">
        <w:rPr>
          <w:lang w:val="fr-FR"/>
        </w:rPr>
        <w:t>Le Mouvement cinq étoiles (</w:t>
      </w:r>
      <w:r w:rsidR="00A27C7B" w:rsidRPr="00F60A3D">
        <w:rPr>
          <w:i/>
          <w:lang w:val="fr-FR"/>
        </w:rPr>
        <w:t>Il</w:t>
      </w:r>
      <w:r w:rsidR="00CC6F71" w:rsidRPr="00F60A3D">
        <w:rPr>
          <w:i/>
          <w:lang w:val="fr-FR"/>
        </w:rPr>
        <w:t xml:space="preserve"> Movimento Cinque Stelle</w:t>
      </w:r>
      <w:r w:rsidR="00764058" w:rsidRPr="00F60A3D">
        <w:rPr>
          <w:lang w:val="fr-FR"/>
        </w:rPr>
        <w:t>);</w:t>
      </w:r>
    </w:p>
    <w:p w:rsidR="00CC6F71" w:rsidRPr="00F60A3D" w:rsidRDefault="00092A34" w:rsidP="00D26282">
      <w:pPr>
        <w:pStyle w:val="SingleTxtG"/>
        <w:rPr>
          <w:lang w:val="fr-FR"/>
        </w:rPr>
      </w:pPr>
      <w:r w:rsidRPr="00F60A3D">
        <w:rPr>
          <w:lang w:val="fr-FR"/>
        </w:rPr>
        <w:tab/>
      </w:r>
      <w:r w:rsidR="00C07193" w:rsidRPr="00F60A3D">
        <w:rPr>
          <w:lang w:val="fr-FR"/>
        </w:rPr>
        <w:t>d</w:t>
      </w:r>
      <w:r w:rsidR="001D2CCC" w:rsidRPr="00F60A3D">
        <w:rPr>
          <w:lang w:val="fr-FR"/>
        </w:rPr>
        <w:t>)</w:t>
      </w:r>
      <w:r w:rsidR="001D2CCC" w:rsidRPr="00F60A3D">
        <w:rPr>
          <w:lang w:val="fr-FR"/>
        </w:rPr>
        <w:tab/>
      </w:r>
      <w:r w:rsidR="00C465DB" w:rsidRPr="00F60A3D">
        <w:rPr>
          <w:lang w:val="fr-FR"/>
        </w:rPr>
        <w:t>Avec Monti pour l</w:t>
      </w:r>
      <w:r w:rsidR="00B17AE1" w:rsidRPr="00F60A3D">
        <w:rPr>
          <w:lang w:val="fr-FR"/>
        </w:rPr>
        <w:t>’</w:t>
      </w:r>
      <w:r w:rsidR="00C465DB" w:rsidRPr="00F60A3D">
        <w:rPr>
          <w:lang w:val="fr-FR"/>
        </w:rPr>
        <w:t>Italie –</w:t>
      </w:r>
      <w:r w:rsidR="00622735" w:rsidRPr="00F60A3D">
        <w:rPr>
          <w:lang w:val="fr-FR"/>
        </w:rPr>
        <w:t xml:space="preserve"> Coalition</w:t>
      </w:r>
      <w:r w:rsidR="00C465DB" w:rsidRPr="00F60A3D">
        <w:rPr>
          <w:lang w:val="fr-FR"/>
        </w:rPr>
        <w:t xml:space="preserve"> de centre-droit (</w:t>
      </w:r>
      <w:r w:rsidR="00C465DB" w:rsidRPr="00F60A3D">
        <w:rPr>
          <w:i/>
          <w:lang w:val="fr-FR"/>
        </w:rPr>
        <w:t>Con Monti per l</w:t>
      </w:r>
      <w:r w:rsidR="00B17AE1" w:rsidRPr="00F60A3D">
        <w:rPr>
          <w:i/>
          <w:lang w:val="fr-FR"/>
        </w:rPr>
        <w:t>’</w:t>
      </w:r>
      <w:r w:rsidR="00C465DB" w:rsidRPr="00F60A3D">
        <w:rPr>
          <w:i/>
          <w:lang w:val="fr-FR"/>
        </w:rPr>
        <w:t>Italia</w:t>
      </w:r>
      <w:r w:rsidR="00A27C7B" w:rsidRPr="00F60A3D">
        <w:rPr>
          <w:lang w:val="fr-FR"/>
        </w:rPr>
        <w:t xml:space="preserve">), comprenant </w:t>
      </w:r>
      <w:r w:rsidR="00C465DB" w:rsidRPr="00F60A3D">
        <w:rPr>
          <w:lang w:val="fr-FR"/>
        </w:rPr>
        <w:t>le Choix civique (</w:t>
      </w:r>
      <w:r w:rsidR="00CC6F71" w:rsidRPr="00F60A3D">
        <w:rPr>
          <w:i/>
          <w:lang w:val="fr-FR"/>
        </w:rPr>
        <w:t>Scelta Civica</w:t>
      </w:r>
      <w:r w:rsidR="00CC6F71" w:rsidRPr="00F60A3D">
        <w:rPr>
          <w:lang w:val="fr-FR"/>
        </w:rPr>
        <w:t xml:space="preserve">); </w:t>
      </w:r>
      <w:r w:rsidR="00C465DB" w:rsidRPr="00F60A3D">
        <w:rPr>
          <w:lang w:val="fr-FR"/>
        </w:rPr>
        <w:t>l</w:t>
      </w:r>
      <w:r w:rsidR="00B17AE1" w:rsidRPr="00F60A3D">
        <w:rPr>
          <w:lang w:val="fr-FR"/>
        </w:rPr>
        <w:t>’</w:t>
      </w:r>
      <w:r w:rsidR="00622735" w:rsidRPr="00F60A3D">
        <w:rPr>
          <w:lang w:val="fr-FR"/>
        </w:rPr>
        <w:t>Union du C</w:t>
      </w:r>
      <w:r w:rsidR="00C465DB" w:rsidRPr="00F60A3D">
        <w:rPr>
          <w:lang w:val="fr-FR"/>
        </w:rPr>
        <w:t>entre (</w:t>
      </w:r>
      <w:r w:rsidR="00CC6F71" w:rsidRPr="00F60A3D">
        <w:rPr>
          <w:i/>
          <w:lang w:val="fr-FR"/>
        </w:rPr>
        <w:t>Unione di Centro</w:t>
      </w:r>
      <w:r w:rsidR="00CC6F71" w:rsidRPr="00F60A3D">
        <w:rPr>
          <w:lang w:val="fr-FR"/>
        </w:rPr>
        <w:t xml:space="preserve">); </w:t>
      </w:r>
      <w:r w:rsidR="00C465DB" w:rsidRPr="00F60A3D">
        <w:rPr>
          <w:lang w:val="fr-FR"/>
        </w:rPr>
        <w:t>Futur et liberté pour l</w:t>
      </w:r>
      <w:r w:rsidR="00B17AE1" w:rsidRPr="00F60A3D">
        <w:rPr>
          <w:lang w:val="fr-FR"/>
        </w:rPr>
        <w:t>’</w:t>
      </w:r>
      <w:r w:rsidR="00C465DB" w:rsidRPr="00F60A3D">
        <w:rPr>
          <w:lang w:val="fr-FR"/>
        </w:rPr>
        <w:t>Italie (</w:t>
      </w:r>
      <w:r w:rsidR="00CC6F71" w:rsidRPr="00F60A3D">
        <w:rPr>
          <w:i/>
          <w:lang w:val="fr-FR"/>
        </w:rPr>
        <w:t>Futuro e Libertà per l</w:t>
      </w:r>
      <w:r w:rsidR="00B17AE1" w:rsidRPr="00F60A3D">
        <w:rPr>
          <w:i/>
          <w:lang w:val="fr-FR"/>
        </w:rPr>
        <w:t>’</w:t>
      </w:r>
      <w:r w:rsidR="00CC6F71" w:rsidRPr="00F60A3D">
        <w:rPr>
          <w:i/>
          <w:lang w:val="fr-FR"/>
        </w:rPr>
        <w:t>Italia</w:t>
      </w:r>
      <w:r w:rsidR="001D57C5" w:rsidRPr="00F60A3D">
        <w:rPr>
          <w:lang w:val="fr-FR"/>
        </w:rPr>
        <w:t>); et</w:t>
      </w:r>
      <w:r w:rsidR="00CC6F71" w:rsidRPr="00F60A3D">
        <w:rPr>
          <w:lang w:val="fr-FR"/>
        </w:rPr>
        <w:t xml:space="preserve"> </w:t>
      </w:r>
      <w:r w:rsidR="00C465DB" w:rsidRPr="00F60A3D">
        <w:rPr>
          <w:lang w:val="fr-FR"/>
        </w:rPr>
        <w:t>le Mouvement associatif des Italiens à l</w:t>
      </w:r>
      <w:r w:rsidR="00B17AE1" w:rsidRPr="00F60A3D">
        <w:rPr>
          <w:lang w:val="fr-FR"/>
        </w:rPr>
        <w:t>’</w:t>
      </w:r>
      <w:r w:rsidR="00C465DB" w:rsidRPr="00F60A3D">
        <w:rPr>
          <w:lang w:val="fr-FR"/>
        </w:rPr>
        <w:t>étranger (</w:t>
      </w:r>
      <w:r w:rsidR="00CC6F71" w:rsidRPr="00F60A3D">
        <w:rPr>
          <w:i/>
          <w:lang w:val="fr-FR"/>
        </w:rPr>
        <w:t>Il Movimento</w:t>
      </w:r>
      <w:r w:rsidR="00CC6F71" w:rsidRPr="00F60A3D">
        <w:rPr>
          <w:lang w:val="fr-FR"/>
        </w:rPr>
        <w:t xml:space="preserve"> </w:t>
      </w:r>
      <w:r w:rsidR="00CC6F71" w:rsidRPr="00F60A3D">
        <w:rPr>
          <w:i/>
          <w:lang w:val="fr-FR"/>
        </w:rPr>
        <w:t>Associativo Italiani all</w:t>
      </w:r>
      <w:r w:rsidR="00B17AE1" w:rsidRPr="00F60A3D">
        <w:rPr>
          <w:i/>
          <w:lang w:val="fr-FR"/>
        </w:rPr>
        <w:t>’</w:t>
      </w:r>
      <w:r w:rsidR="00CC6F71" w:rsidRPr="00F60A3D">
        <w:rPr>
          <w:i/>
          <w:lang w:val="fr-FR"/>
        </w:rPr>
        <w:t>Estero</w:t>
      </w:r>
      <w:r w:rsidR="00764058" w:rsidRPr="00F60A3D">
        <w:rPr>
          <w:lang w:val="fr-FR"/>
        </w:rPr>
        <w:t>);</w:t>
      </w:r>
    </w:p>
    <w:p w:rsidR="00CC6F71" w:rsidRPr="00F60A3D" w:rsidRDefault="00092A34" w:rsidP="00D26282">
      <w:pPr>
        <w:pStyle w:val="SingleTxtG"/>
        <w:rPr>
          <w:lang w:val="fr-FR"/>
        </w:rPr>
      </w:pPr>
      <w:r w:rsidRPr="00F60A3D">
        <w:rPr>
          <w:lang w:val="fr-FR"/>
        </w:rPr>
        <w:tab/>
      </w:r>
      <w:r w:rsidR="00C07193" w:rsidRPr="00F60A3D">
        <w:rPr>
          <w:lang w:val="fr-FR"/>
        </w:rPr>
        <w:t>e</w:t>
      </w:r>
      <w:r w:rsidR="001D2CCC" w:rsidRPr="00F60A3D">
        <w:rPr>
          <w:lang w:val="fr-FR"/>
        </w:rPr>
        <w:t>)</w:t>
      </w:r>
      <w:r w:rsidR="001D2CCC" w:rsidRPr="00F60A3D">
        <w:rPr>
          <w:lang w:val="fr-FR"/>
        </w:rPr>
        <w:tab/>
      </w:r>
      <w:r w:rsidR="00014300" w:rsidRPr="00F60A3D">
        <w:rPr>
          <w:lang w:val="fr-FR"/>
        </w:rPr>
        <w:t>La liste Révolution civile (</w:t>
      </w:r>
      <w:r w:rsidR="00CC6F71" w:rsidRPr="00F60A3D">
        <w:rPr>
          <w:i/>
          <w:lang w:val="fr-FR"/>
        </w:rPr>
        <w:t>Lista Rivoluzione Civile</w:t>
      </w:r>
      <w:r w:rsidR="00CC6F71" w:rsidRPr="00F60A3D">
        <w:rPr>
          <w:lang w:val="fr-FR"/>
        </w:rPr>
        <w:t xml:space="preserve">), </w:t>
      </w:r>
      <w:r w:rsidR="00FD2F49" w:rsidRPr="00F60A3D">
        <w:rPr>
          <w:lang w:val="fr-FR"/>
        </w:rPr>
        <w:t>incluant</w:t>
      </w:r>
      <w:r w:rsidR="00CC6F71" w:rsidRPr="00F60A3D">
        <w:rPr>
          <w:lang w:val="fr-FR"/>
        </w:rPr>
        <w:t xml:space="preserve"> </w:t>
      </w:r>
      <w:r w:rsidR="00014300" w:rsidRPr="00F60A3D">
        <w:rPr>
          <w:lang w:val="fr-FR"/>
        </w:rPr>
        <w:t>L</w:t>
      </w:r>
      <w:r w:rsidR="00B17AE1" w:rsidRPr="00F60A3D">
        <w:rPr>
          <w:lang w:val="fr-FR"/>
        </w:rPr>
        <w:t>’</w:t>
      </w:r>
      <w:r w:rsidR="00014300" w:rsidRPr="00F60A3D">
        <w:rPr>
          <w:lang w:val="fr-FR"/>
        </w:rPr>
        <w:t>Italie des valeurs (</w:t>
      </w:r>
      <w:r w:rsidR="00CC6F71" w:rsidRPr="00F60A3D">
        <w:rPr>
          <w:i/>
          <w:lang w:val="fr-FR"/>
        </w:rPr>
        <w:t>Italia dei Valori</w:t>
      </w:r>
      <w:r w:rsidR="00CC6F71" w:rsidRPr="00F60A3D">
        <w:rPr>
          <w:lang w:val="fr-FR"/>
        </w:rPr>
        <w:t xml:space="preserve">), </w:t>
      </w:r>
      <w:r w:rsidR="00014300" w:rsidRPr="00F60A3D">
        <w:rPr>
          <w:lang w:val="fr-FR"/>
        </w:rPr>
        <w:t>Refondation communiste (</w:t>
      </w:r>
      <w:r w:rsidR="00CC6F71" w:rsidRPr="00F60A3D">
        <w:rPr>
          <w:i/>
          <w:lang w:val="fr-FR"/>
        </w:rPr>
        <w:t>Rifondazione Comunista</w:t>
      </w:r>
      <w:r w:rsidR="00CC6F71" w:rsidRPr="00F60A3D">
        <w:rPr>
          <w:lang w:val="fr-FR"/>
        </w:rPr>
        <w:t xml:space="preserve">), </w:t>
      </w:r>
      <w:r w:rsidR="004608AC" w:rsidRPr="00F60A3D">
        <w:rPr>
          <w:lang w:val="fr-FR"/>
        </w:rPr>
        <w:t>l</w:t>
      </w:r>
      <w:r w:rsidR="00014300" w:rsidRPr="00F60A3D">
        <w:rPr>
          <w:lang w:val="fr-FR"/>
        </w:rPr>
        <w:t>es Verts (</w:t>
      </w:r>
      <w:r w:rsidR="00014300" w:rsidRPr="00F60A3D">
        <w:rPr>
          <w:i/>
          <w:lang w:val="fr-FR"/>
        </w:rPr>
        <w:t>I Verdi</w:t>
      </w:r>
      <w:r w:rsidR="00CC6F71" w:rsidRPr="00F60A3D">
        <w:rPr>
          <w:lang w:val="fr-FR"/>
        </w:rPr>
        <w:t xml:space="preserve">), </w:t>
      </w:r>
      <w:r w:rsidR="00622735" w:rsidRPr="00F60A3D">
        <w:rPr>
          <w:lang w:val="fr-FR"/>
        </w:rPr>
        <w:t>les C</w:t>
      </w:r>
      <w:r w:rsidR="00014300" w:rsidRPr="00F60A3D">
        <w:rPr>
          <w:lang w:val="fr-FR"/>
        </w:rPr>
        <w:t>ommunistes italiens (</w:t>
      </w:r>
      <w:r w:rsidR="00CC6F71" w:rsidRPr="00F60A3D">
        <w:rPr>
          <w:i/>
          <w:lang w:val="fr-FR"/>
        </w:rPr>
        <w:t>I Comunisti Italiani</w:t>
      </w:r>
      <w:r w:rsidR="001D57C5" w:rsidRPr="00F60A3D">
        <w:rPr>
          <w:lang w:val="fr-FR"/>
        </w:rPr>
        <w:t>)</w:t>
      </w:r>
      <w:r w:rsidR="00CC6F71" w:rsidRPr="00F60A3D">
        <w:rPr>
          <w:lang w:val="fr-FR"/>
        </w:rPr>
        <w:t xml:space="preserve">, </w:t>
      </w:r>
      <w:r w:rsidR="00014300" w:rsidRPr="00F60A3D">
        <w:rPr>
          <w:lang w:val="fr-FR"/>
        </w:rPr>
        <w:t>Action civile (</w:t>
      </w:r>
      <w:r w:rsidR="00CC6F71" w:rsidRPr="00F60A3D">
        <w:rPr>
          <w:i/>
          <w:lang w:val="fr-FR"/>
        </w:rPr>
        <w:t>Azione Civile</w:t>
      </w:r>
      <w:r w:rsidR="00CC6F71" w:rsidRPr="00F60A3D">
        <w:rPr>
          <w:lang w:val="fr-FR"/>
        </w:rPr>
        <w:t xml:space="preserve">), </w:t>
      </w:r>
      <w:r w:rsidR="00622735" w:rsidRPr="00F60A3D">
        <w:rPr>
          <w:lang w:val="fr-FR"/>
        </w:rPr>
        <w:t>le R</w:t>
      </w:r>
      <w:r w:rsidR="00014300" w:rsidRPr="00F60A3D">
        <w:rPr>
          <w:lang w:val="fr-FR"/>
        </w:rPr>
        <w:t>éseau 2018 (</w:t>
      </w:r>
      <w:r w:rsidR="00CC6F71" w:rsidRPr="00F60A3D">
        <w:rPr>
          <w:i/>
          <w:lang w:val="fr-FR"/>
        </w:rPr>
        <w:t>La Rete-2018</w:t>
      </w:r>
      <w:r w:rsidR="00CC6F71" w:rsidRPr="00F60A3D">
        <w:rPr>
          <w:lang w:val="fr-FR"/>
        </w:rPr>
        <w:t xml:space="preserve">), </w:t>
      </w:r>
      <w:r w:rsidR="00622735" w:rsidRPr="00F60A3D">
        <w:rPr>
          <w:lang w:val="fr-FR"/>
        </w:rPr>
        <w:t>le N</w:t>
      </w:r>
      <w:r w:rsidR="00014300" w:rsidRPr="00F60A3D">
        <w:rPr>
          <w:lang w:val="fr-FR"/>
        </w:rPr>
        <w:t>ouveau parti de l</w:t>
      </w:r>
      <w:r w:rsidR="00B17AE1" w:rsidRPr="00F60A3D">
        <w:rPr>
          <w:lang w:val="fr-FR"/>
        </w:rPr>
        <w:t>’</w:t>
      </w:r>
      <w:r w:rsidR="00014300" w:rsidRPr="00F60A3D">
        <w:rPr>
          <w:lang w:val="fr-FR"/>
        </w:rPr>
        <w:t>action (</w:t>
      </w:r>
      <w:r w:rsidR="00CC6F71" w:rsidRPr="00F60A3D">
        <w:rPr>
          <w:i/>
          <w:lang w:val="fr-FR"/>
        </w:rPr>
        <w:t>Nuovo Partito d</w:t>
      </w:r>
      <w:r w:rsidR="00B17AE1" w:rsidRPr="00F60A3D">
        <w:rPr>
          <w:i/>
          <w:lang w:val="fr-FR"/>
        </w:rPr>
        <w:t>’</w:t>
      </w:r>
      <w:r w:rsidR="00CC6F71" w:rsidRPr="00F60A3D">
        <w:rPr>
          <w:i/>
          <w:lang w:val="fr-FR"/>
        </w:rPr>
        <w:t>Azione</w:t>
      </w:r>
      <w:r w:rsidR="001D57C5" w:rsidRPr="00F60A3D">
        <w:rPr>
          <w:lang w:val="fr-FR"/>
        </w:rPr>
        <w:t>), et</w:t>
      </w:r>
      <w:r w:rsidR="00014300" w:rsidRPr="00F60A3D">
        <w:rPr>
          <w:lang w:val="fr-FR"/>
        </w:rPr>
        <w:t xml:space="preserve"> le Mouvement orange (</w:t>
      </w:r>
      <w:r w:rsidR="00CC6F71" w:rsidRPr="00F60A3D">
        <w:rPr>
          <w:i/>
          <w:lang w:val="fr-FR"/>
        </w:rPr>
        <w:t>Il Movimento Arancione</w:t>
      </w:r>
      <w:r w:rsidR="00764058" w:rsidRPr="00F60A3D">
        <w:rPr>
          <w:lang w:val="fr-FR"/>
        </w:rPr>
        <w:t>).</w:t>
      </w:r>
    </w:p>
    <w:p w:rsidR="00CC6F71" w:rsidRPr="00F60A3D" w:rsidRDefault="00C07193" w:rsidP="00894453">
      <w:pPr>
        <w:pStyle w:val="SingleTxtG"/>
        <w:rPr>
          <w:b/>
          <w:lang w:val="fr-FR"/>
        </w:rPr>
      </w:pPr>
      <w:r w:rsidRPr="00F60A3D">
        <w:rPr>
          <w:lang w:val="fr-FR"/>
        </w:rPr>
        <w:t>56</w:t>
      </w:r>
      <w:r w:rsidR="001D2CCC" w:rsidRPr="00F60A3D">
        <w:rPr>
          <w:lang w:val="fr-FR"/>
        </w:rPr>
        <w:t>.</w:t>
      </w:r>
      <w:r w:rsidR="001D2CCC" w:rsidRPr="00F60A3D">
        <w:rPr>
          <w:lang w:val="fr-FR"/>
        </w:rPr>
        <w:tab/>
      </w:r>
      <w:r w:rsidR="004D4B92" w:rsidRPr="00F60A3D">
        <w:rPr>
          <w:lang w:val="fr-FR"/>
        </w:rPr>
        <w:t>Jusqu</w:t>
      </w:r>
      <w:r w:rsidR="00B17AE1" w:rsidRPr="00F60A3D">
        <w:rPr>
          <w:lang w:val="fr-FR"/>
        </w:rPr>
        <w:t>’</w:t>
      </w:r>
      <w:r w:rsidR="004D4B92" w:rsidRPr="00F60A3D">
        <w:rPr>
          <w:lang w:val="fr-FR"/>
        </w:rPr>
        <w:t>en</w:t>
      </w:r>
      <w:r w:rsidR="00CC6F71" w:rsidRPr="00F60A3D">
        <w:rPr>
          <w:lang w:val="fr-FR"/>
        </w:rPr>
        <w:t xml:space="preserve"> 1992, </w:t>
      </w:r>
      <w:r w:rsidR="004D4B92" w:rsidRPr="00F60A3D">
        <w:rPr>
          <w:lang w:val="fr-FR"/>
        </w:rPr>
        <w:t>la nationalité</w:t>
      </w:r>
      <w:r w:rsidR="00D26282" w:rsidRPr="00F60A3D">
        <w:rPr>
          <w:lang w:val="fr-FR"/>
        </w:rPr>
        <w:t xml:space="preserve"> – </w:t>
      </w:r>
      <w:r w:rsidR="004D4B92" w:rsidRPr="00F60A3D">
        <w:rPr>
          <w:lang w:val="fr-FR"/>
        </w:rPr>
        <w:t>et donc le droit de vote – pouvai</w:t>
      </w:r>
      <w:r w:rsidR="00AB0706" w:rsidRPr="00F60A3D">
        <w:rPr>
          <w:lang w:val="fr-FR"/>
        </w:rPr>
        <w:t>en</w:t>
      </w:r>
      <w:r w:rsidR="004D4B92" w:rsidRPr="00F60A3D">
        <w:rPr>
          <w:lang w:val="fr-FR"/>
        </w:rPr>
        <w:t>t être obtenu</w:t>
      </w:r>
      <w:r w:rsidR="00764058" w:rsidRPr="00F60A3D">
        <w:rPr>
          <w:lang w:val="fr-FR"/>
        </w:rPr>
        <w:t>e</w:t>
      </w:r>
      <w:r w:rsidR="004D4B92" w:rsidRPr="00F60A3D">
        <w:rPr>
          <w:lang w:val="fr-FR"/>
        </w:rPr>
        <w:t xml:space="preserve"> après cinq ans de résidence permanente dans l</w:t>
      </w:r>
      <w:r w:rsidR="00B17AE1" w:rsidRPr="00F60A3D">
        <w:rPr>
          <w:lang w:val="fr-FR"/>
        </w:rPr>
        <w:t>’</w:t>
      </w:r>
      <w:r w:rsidR="004D4B92" w:rsidRPr="00F60A3D">
        <w:rPr>
          <w:lang w:val="fr-FR"/>
        </w:rPr>
        <w:t>État.</w:t>
      </w:r>
      <w:r w:rsidR="00731982" w:rsidRPr="00F60A3D">
        <w:rPr>
          <w:b/>
          <w:lang w:val="fr-FR"/>
        </w:rPr>
        <w:t xml:space="preserve"> </w:t>
      </w:r>
      <w:r w:rsidR="004D4B92" w:rsidRPr="00F60A3D">
        <w:rPr>
          <w:lang w:val="fr-FR"/>
        </w:rPr>
        <w:t xml:space="preserve">La loi </w:t>
      </w:r>
      <w:r w:rsidR="00B17AE1" w:rsidRPr="00F60A3D">
        <w:rPr>
          <w:lang w:val="fr-FR"/>
        </w:rPr>
        <w:t>n</w:t>
      </w:r>
      <w:r w:rsidR="00B17AE1" w:rsidRPr="00F60A3D">
        <w:rPr>
          <w:vertAlign w:val="superscript"/>
          <w:lang w:val="fr-FR"/>
        </w:rPr>
        <w:t>o</w:t>
      </w:r>
      <w:r w:rsidR="00B17AE1" w:rsidRPr="00F60A3D">
        <w:rPr>
          <w:lang w:val="fr-FR"/>
        </w:rPr>
        <w:t> </w:t>
      </w:r>
      <w:r w:rsidR="00F26547" w:rsidRPr="00F60A3D">
        <w:rPr>
          <w:lang w:val="fr-FR"/>
        </w:rPr>
        <w:t>91/1992</w:t>
      </w:r>
      <w:r w:rsidR="00CC6F71" w:rsidRPr="00F60A3D">
        <w:rPr>
          <w:lang w:val="fr-FR"/>
        </w:rPr>
        <w:t xml:space="preserve"> </w:t>
      </w:r>
      <w:r w:rsidR="004D4B92" w:rsidRPr="00F60A3D">
        <w:rPr>
          <w:lang w:val="fr-FR"/>
        </w:rPr>
        <w:t xml:space="preserve">porte cette obligation à </w:t>
      </w:r>
      <w:r w:rsidR="00894453" w:rsidRPr="00F60A3D">
        <w:rPr>
          <w:lang w:val="fr-FR"/>
        </w:rPr>
        <w:t>dix</w:t>
      </w:r>
      <w:r w:rsidR="004D4B92" w:rsidRPr="00F60A3D">
        <w:rPr>
          <w:lang w:val="fr-FR"/>
        </w:rPr>
        <w:t xml:space="preserve"> ans. </w:t>
      </w:r>
    </w:p>
    <w:p w:rsidR="00D44E02" w:rsidRPr="00F60A3D" w:rsidRDefault="00224935" w:rsidP="00D26282">
      <w:pPr>
        <w:pStyle w:val="SingleTxtG"/>
        <w:rPr>
          <w:lang w:val="fr-FR"/>
        </w:rPr>
      </w:pPr>
      <w:r w:rsidRPr="00F60A3D">
        <w:rPr>
          <w:lang w:val="fr-FR"/>
        </w:rPr>
        <w:t>57.</w:t>
      </w:r>
      <w:r w:rsidR="001D2CCC" w:rsidRPr="00F60A3D">
        <w:rPr>
          <w:lang w:val="fr-FR"/>
        </w:rPr>
        <w:tab/>
      </w:r>
      <w:r w:rsidR="00373B54" w:rsidRPr="00F60A3D">
        <w:rPr>
          <w:lang w:val="fr-FR"/>
        </w:rPr>
        <w:t>Les i</w:t>
      </w:r>
      <w:r w:rsidR="00CC6F71" w:rsidRPr="00F60A3D">
        <w:rPr>
          <w:lang w:val="fr-FR"/>
        </w:rPr>
        <w:t xml:space="preserve">mmigrants </w:t>
      </w:r>
      <w:r w:rsidR="00535778" w:rsidRPr="00F60A3D">
        <w:rPr>
          <w:lang w:val="fr-FR"/>
        </w:rPr>
        <w:t>en situation régulière</w:t>
      </w:r>
      <w:r w:rsidR="00D44E02" w:rsidRPr="00F60A3D">
        <w:rPr>
          <w:lang w:val="fr-FR"/>
        </w:rPr>
        <w:t xml:space="preserve"> en Italie peuvent participer aux référendums consultatifs locaux à Turin, Bologne et Rome. Les régions d</w:t>
      </w:r>
      <w:r w:rsidR="00E139E4" w:rsidRPr="00F60A3D">
        <w:rPr>
          <w:lang w:val="fr-FR"/>
        </w:rPr>
        <w:t>e Toscane et du Frioul-</w:t>
      </w:r>
      <w:r w:rsidR="00F26547" w:rsidRPr="00F60A3D">
        <w:rPr>
          <w:lang w:val="fr-FR"/>
        </w:rPr>
        <w:t>Vénétie J</w:t>
      </w:r>
      <w:r w:rsidR="00D44E02" w:rsidRPr="00F60A3D">
        <w:rPr>
          <w:lang w:val="fr-FR"/>
        </w:rPr>
        <w:t>ulienne prévoient d</w:t>
      </w:r>
      <w:r w:rsidR="00B17AE1" w:rsidRPr="00F60A3D">
        <w:rPr>
          <w:lang w:val="fr-FR"/>
        </w:rPr>
        <w:t>’</w:t>
      </w:r>
      <w:r w:rsidR="00D44E02" w:rsidRPr="00F60A3D">
        <w:rPr>
          <w:lang w:val="fr-FR"/>
        </w:rPr>
        <w:t>inclure dans leurs statu</w:t>
      </w:r>
      <w:r w:rsidR="00AB0706" w:rsidRPr="00F60A3D">
        <w:rPr>
          <w:lang w:val="fr-FR"/>
        </w:rPr>
        <w:t>t</w:t>
      </w:r>
      <w:r w:rsidR="00D44E02" w:rsidRPr="00F60A3D">
        <w:rPr>
          <w:lang w:val="fr-FR"/>
        </w:rPr>
        <w:t>s des dispositions qui donnent le droit de vote aux immigrants. Les citoyens adultes de l</w:t>
      </w:r>
      <w:r w:rsidR="00B17AE1" w:rsidRPr="00F60A3D">
        <w:rPr>
          <w:lang w:val="fr-FR"/>
        </w:rPr>
        <w:t>’</w:t>
      </w:r>
      <w:r w:rsidR="00D44E02" w:rsidRPr="00F60A3D">
        <w:rPr>
          <w:lang w:val="fr-FR"/>
        </w:rPr>
        <w:t>Union européenne qui sont ressortissants d</w:t>
      </w:r>
      <w:r w:rsidR="00B17AE1" w:rsidRPr="00F60A3D">
        <w:rPr>
          <w:lang w:val="fr-FR"/>
        </w:rPr>
        <w:t>’</w:t>
      </w:r>
      <w:r w:rsidR="00D44E02" w:rsidRPr="00F60A3D">
        <w:rPr>
          <w:lang w:val="fr-FR"/>
        </w:rPr>
        <w:t xml:space="preserve">un </w:t>
      </w:r>
      <w:r w:rsidR="00AB0706" w:rsidRPr="00F60A3D">
        <w:rPr>
          <w:lang w:val="fr-FR"/>
        </w:rPr>
        <w:t>État membre, peuvent,</w:t>
      </w:r>
      <w:r w:rsidR="00D44E02" w:rsidRPr="00F60A3D">
        <w:rPr>
          <w:lang w:val="fr-FR"/>
        </w:rPr>
        <w:t xml:space="preserve"> s</w:t>
      </w:r>
      <w:r w:rsidR="00B17AE1" w:rsidRPr="00F60A3D">
        <w:rPr>
          <w:lang w:val="fr-FR"/>
        </w:rPr>
        <w:t>’</w:t>
      </w:r>
      <w:r w:rsidR="00D44E02" w:rsidRPr="00F60A3D">
        <w:rPr>
          <w:lang w:val="fr-FR"/>
        </w:rPr>
        <w:t xml:space="preserve">ils le souhaitent, </w:t>
      </w:r>
      <w:r w:rsidR="00AB0706" w:rsidRPr="00F60A3D">
        <w:rPr>
          <w:lang w:val="fr-FR"/>
        </w:rPr>
        <w:t xml:space="preserve">être autorisés </w:t>
      </w:r>
      <w:r w:rsidR="00D44E02" w:rsidRPr="00F60A3D">
        <w:rPr>
          <w:lang w:val="fr-FR"/>
        </w:rPr>
        <w:t>à voter aux élections locales de l</w:t>
      </w:r>
      <w:r w:rsidR="00AB0706" w:rsidRPr="00F60A3D">
        <w:rPr>
          <w:lang w:val="fr-FR"/>
        </w:rPr>
        <w:t>a municipalité italienne dans la</w:t>
      </w:r>
      <w:r w:rsidR="00D44E02" w:rsidRPr="00F60A3D">
        <w:rPr>
          <w:lang w:val="fr-FR"/>
        </w:rPr>
        <w:t>quelle ils résident; en vertu du décret législatif du 12</w:t>
      </w:r>
      <w:r w:rsidR="00D26282" w:rsidRPr="00F60A3D">
        <w:rPr>
          <w:lang w:val="fr-FR"/>
        </w:rPr>
        <w:t> </w:t>
      </w:r>
      <w:r w:rsidR="00D44E02" w:rsidRPr="00F60A3D">
        <w:rPr>
          <w:lang w:val="fr-FR"/>
        </w:rPr>
        <w:t xml:space="preserve">avril 1996 </w:t>
      </w:r>
      <w:r w:rsidR="00B17AE1" w:rsidRPr="00F60A3D">
        <w:rPr>
          <w:lang w:val="fr-FR"/>
        </w:rPr>
        <w:t>n</w:t>
      </w:r>
      <w:r w:rsidR="00B17AE1" w:rsidRPr="00F60A3D">
        <w:rPr>
          <w:vertAlign w:val="superscript"/>
          <w:lang w:val="fr-FR"/>
        </w:rPr>
        <w:t>o</w:t>
      </w:r>
      <w:r w:rsidR="00B17AE1" w:rsidRPr="00F60A3D">
        <w:rPr>
          <w:lang w:val="fr-FR"/>
        </w:rPr>
        <w:t> </w:t>
      </w:r>
      <w:r w:rsidR="00D44E02" w:rsidRPr="00F60A3D">
        <w:rPr>
          <w:lang w:val="fr-FR"/>
        </w:rPr>
        <w:t>197, portant application de la Directive 94/80/</w:t>
      </w:r>
      <w:r w:rsidR="00E139E4" w:rsidRPr="00F60A3D">
        <w:rPr>
          <w:lang w:val="fr-FR"/>
        </w:rPr>
        <w:t>CEE</w:t>
      </w:r>
      <w:r w:rsidR="0012389B" w:rsidRPr="00F60A3D">
        <w:rPr>
          <w:lang w:val="fr-FR"/>
        </w:rPr>
        <w:t>:</w:t>
      </w:r>
      <w:r w:rsidR="00D44E02" w:rsidRPr="00F60A3D">
        <w:rPr>
          <w:lang w:val="fr-FR"/>
        </w:rPr>
        <w:t xml:space="preserve"> les citoyens de l</w:t>
      </w:r>
      <w:r w:rsidR="00B17AE1" w:rsidRPr="00F60A3D">
        <w:rPr>
          <w:lang w:val="fr-FR"/>
        </w:rPr>
        <w:t>’</w:t>
      </w:r>
      <w:r w:rsidR="00B42488" w:rsidRPr="00F60A3D">
        <w:rPr>
          <w:lang w:val="fr-FR"/>
        </w:rPr>
        <w:t>Union européenne</w:t>
      </w:r>
      <w:r w:rsidR="00D44E02" w:rsidRPr="00F60A3D">
        <w:rPr>
          <w:lang w:val="fr-FR"/>
        </w:rPr>
        <w:t xml:space="preserve"> peu</w:t>
      </w:r>
      <w:r w:rsidR="00AB0706" w:rsidRPr="00F60A3D">
        <w:rPr>
          <w:lang w:val="fr-FR"/>
        </w:rPr>
        <w:t>vent être autorisés à voter en I</w:t>
      </w:r>
      <w:r w:rsidR="0012389B" w:rsidRPr="00F60A3D">
        <w:rPr>
          <w:lang w:val="fr-FR"/>
        </w:rPr>
        <w:t>talie;</w:t>
      </w:r>
      <w:r w:rsidR="00D44E02" w:rsidRPr="00F60A3D">
        <w:rPr>
          <w:lang w:val="fr-FR"/>
        </w:rPr>
        <w:t xml:space="preserve"> ils sont e</w:t>
      </w:r>
      <w:r w:rsidR="00337768" w:rsidRPr="00F60A3D">
        <w:rPr>
          <w:lang w:val="fr-FR"/>
        </w:rPr>
        <w:t>nregistrés sur des listes élect</w:t>
      </w:r>
      <w:r w:rsidR="00D44E02" w:rsidRPr="00F60A3D">
        <w:rPr>
          <w:lang w:val="fr-FR"/>
        </w:rPr>
        <w:t>o</w:t>
      </w:r>
      <w:r w:rsidR="00337768" w:rsidRPr="00F60A3D">
        <w:rPr>
          <w:lang w:val="fr-FR"/>
        </w:rPr>
        <w:t>r</w:t>
      </w:r>
      <w:r w:rsidR="00D44E02" w:rsidRPr="00F60A3D">
        <w:rPr>
          <w:lang w:val="fr-FR"/>
        </w:rPr>
        <w:t xml:space="preserve">ales additionnelles spéciales et peuvent participer </w:t>
      </w:r>
      <w:r w:rsidR="0052269D" w:rsidRPr="00F60A3D">
        <w:rPr>
          <w:lang w:val="fr-FR"/>
        </w:rPr>
        <w:t>aux consulta</w:t>
      </w:r>
      <w:r w:rsidR="003A2F38" w:rsidRPr="00F60A3D">
        <w:rPr>
          <w:lang w:val="fr-FR"/>
        </w:rPr>
        <w:t xml:space="preserve">tions électorales municipales. Cet enregistrement </w:t>
      </w:r>
      <w:r w:rsidR="000F75BF" w:rsidRPr="00F60A3D">
        <w:rPr>
          <w:lang w:val="fr-FR"/>
        </w:rPr>
        <w:t xml:space="preserve">leur </w:t>
      </w:r>
      <w:r w:rsidR="0052269D" w:rsidRPr="00F60A3D">
        <w:rPr>
          <w:lang w:val="fr-FR"/>
        </w:rPr>
        <w:t>o</w:t>
      </w:r>
      <w:r w:rsidR="000F75BF" w:rsidRPr="00F60A3D">
        <w:rPr>
          <w:lang w:val="fr-FR"/>
        </w:rPr>
        <w:t>ffre</w:t>
      </w:r>
      <w:r w:rsidR="0052269D" w:rsidRPr="00F60A3D">
        <w:rPr>
          <w:lang w:val="fr-FR"/>
        </w:rPr>
        <w:t xml:space="preserve"> la possibilité de participer au </w:t>
      </w:r>
      <w:r w:rsidR="00E139E4" w:rsidRPr="00F60A3D">
        <w:rPr>
          <w:lang w:val="fr-FR"/>
        </w:rPr>
        <w:t>scrutin</w:t>
      </w:r>
      <w:r w:rsidR="00337768" w:rsidRPr="00F60A3D">
        <w:rPr>
          <w:lang w:val="fr-FR"/>
        </w:rPr>
        <w:t>,</w:t>
      </w:r>
      <w:r w:rsidR="0052269D" w:rsidRPr="00F60A3D">
        <w:rPr>
          <w:lang w:val="fr-FR"/>
        </w:rPr>
        <w:t xml:space="preserve"> mais également d</w:t>
      </w:r>
      <w:r w:rsidR="00B17AE1" w:rsidRPr="00F60A3D">
        <w:rPr>
          <w:lang w:val="fr-FR"/>
        </w:rPr>
        <w:t>’</w:t>
      </w:r>
      <w:r w:rsidR="0052269D" w:rsidRPr="00F60A3D">
        <w:rPr>
          <w:lang w:val="fr-FR"/>
        </w:rPr>
        <w:t>être élus à l</w:t>
      </w:r>
      <w:r w:rsidR="00B17AE1" w:rsidRPr="00F60A3D">
        <w:rPr>
          <w:lang w:val="fr-FR"/>
        </w:rPr>
        <w:t>’</w:t>
      </w:r>
      <w:r w:rsidR="0052269D" w:rsidRPr="00F60A3D">
        <w:rPr>
          <w:lang w:val="fr-FR"/>
        </w:rPr>
        <w:t>exécutif muni</w:t>
      </w:r>
      <w:r w:rsidR="003A2F38" w:rsidRPr="00F60A3D">
        <w:rPr>
          <w:lang w:val="fr-FR"/>
        </w:rPr>
        <w:t xml:space="preserve">cipal en tant que conseillers, </w:t>
      </w:r>
      <w:r w:rsidR="0052269D" w:rsidRPr="00F60A3D">
        <w:rPr>
          <w:lang w:val="fr-FR"/>
        </w:rPr>
        <w:t>e</w:t>
      </w:r>
      <w:r w:rsidR="00C6686F" w:rsidRPr="00F60A3D">
        <w:rPr>
          <w:lang w:val="fr-FR"/>
        </w:rPr>
        <w:t xml:space="preserve">xcepté au poste de </w:t>
      </w:r>
      <w:r w:rsidR="0052269D" w:rsidRPr="00F60A3D">
        <w:rPr>
          <w:lang w:val="fr-FR"/>
        </w:rPr>
        <w:t>maire</w:t>
      </w:r>
      <w:r w:rsidR="00C6686F" w:rsidRPr="00F60A3D">
        <w:rPr>
          <w:lang w:val="fr-FR"/>
        </w:rPr>
        <w:t xml:space="preserve"> adjoint.</w:t>
      </w:r>
      <w:r w:rsidR="00731982" w:rsidRPr="00F60A3D">
        <w:rPr>
          <w:lang w:val="fr-FR"/>
        </w:rPr>
        <w:t xml:space="preserve"> </w:t>
      </w:r>
    </w:p>
    <w:p w:rsidR="00CC6F71" w:rsidRPr="00F60A3D" w:rsidRDefault="00C07193" w:rsidP="001D2CCC">
      <w:pPr>
        <w:pStyle w:val="SingleTxtG"/>
        <w:rPr>
          <w:lang w:val="fr-FR"/>
        </w:rPr>
      </w:pPr>
      <w:r w:rsidRPr="00F60A3D">
        <w:rPr>
          <w:lang w:val="fr-FR"/>
        </w:rPr>
        <w:t>58</w:t>
      </w:r>
      <w:r w:rsidR="00C6686F" w:rsidRPr="00F60A3D">
        <w:rPr>
          <w:lang w:val="fr-FR"/>
        </w:rPr>
        <w:t>.</w:t>
      </w:r>
      <w:r w:rsidR="00C6686F" w:rsidRPr="00F60A3D">
        <w:rPr>
          <w:lang w:val="fr-FR"/>
        </w:rPr>
        <w:tab/>
        <w:t>Il n</w:t>
      </w:r>
      <w:r w:rsidR="00B17AE1" w:rsidRPr="00F60A3D">
        <w:rPr>
          <w:lang w:val="fr-FR"/>
        </w:rPr>
        <w:t>’</w:t>
      </w:r>
      <w:r w:rsidR="00C6686F" w:rsidRPr="00F60A3D">
        <w:rPr>
          <w:lang w:val="fr-FR"/>
        </w:rPr>
        <w:t>y a pas de</w:t>
      </w:r>
      <w:r w:rsidR="00C6686F" w:rsidRPr="00F60A3D">
        <w:rPr>
          <w:b/>
          <w:lang w:val="fr-FR"/>
        </w:rPr>
        <w:t xml:space="preserve"> </w:t>
      </w:r>
      <w:r w:rsidR="003A2F38" w:rsidRPr="00F60A3D">
        <w:rPr>
          <w:lang w:val="fr-FR"/>
        </w:rPr>
        <w:t>liste exhaustive des ONG.</w:t>
      </w:r>
      <w:r w:rsidR="00C6686F" w:rsidRPr="00F60A3D">
        <w:rPr>
          <w:lang w:val="fr-FR"/>
        </w:rPr>
        <w:t xml:space="preserve"> En </w:t>
      </w:r>
      <w:r w:rsidR="008F6591" w:rsidRPr="00F60A3D">
        <w:rPr>
          <w:lang w:val="fr-FR"/>
        </w:rPr>
        <w:t xml:space="preserve">règle </w:t>
      </w:r>
      <w:r w:rsidR="00C6686F" w:rsidRPr="00F60A3D">
        <w:rPr>
          <w:lang w:val="fr-FR"/>
        </w:rPr>
        <w:t>général</w:t>
      </w:r>
      <w:r w:rsidR="008F6591" w:rsidRPr="00F60A3D">
        <w:rPr>
          <w:lang w:val="fr-FR"/>
        </w:rPr>
        <w:t>e</w:t>
      </w:r>
      <w:r w:rsidR="00C6686F" w:rsidRPr="00F60A3D">
        <w:rPr>
          <w:lang w:val="fr-FR"/>
        </w:rPr>
        <w:t>, les a</w:t>
      </w:r>
      <w:r w:rsidR="00C104AB" w:rsidRPr="00F60A3D">
        <w:rPr>
          <w:lang w:val="fr-FR"/>
        </w:rPr>
        <w:t>ssociations, commission</w:t>
      </w:r>
      <w:r w:rsidR="00C6686F" w:rsidRPr="00F60A3D">
        <w:rPr>
          <w:lang w:val="fr-FR"/>
        </w:rPr>
        <w:t>s, fondations, coopératives et autres entités privées, avec ou sans personnalité juridique, bénéficient dans certaines conditions, d</w:t>
      </w:r>
      <w:r w:rsidR="00B17AE1" w:rsidRPr="00F60A3D">
        <w:rPr>
          <w:lang w:val="fr-FR"/>
        </w:rPr>
        <w:t>’</w:t>
      </w:r>
      <w:r w:rsidR="00C6686F" w:rsidRPr="00F60A3D">
        <w:rPr>
          <w:lang w:val="fr-FR"/>
        </w:rPr>
        <w:t xml:space="preserve">exemptions fiscales spécifiques. </w:t>
      </w:r>
    </w:p>
    <w:p w:rsidR="00CC6F71" w:rsidRPr="00F60A3D" w:rsidRDefault="00224935" w:rsidP="008301A4">
      <w:pPr>
        <w:pStyle w:val="SingleTxtG"/>
        <w:rPr>
          <w:lang w:val="fr-FR"/>
        </w:rPr>
      </w:pPr>
      <w:r w:rsidRPr="00F60A3D">
        <w:rPr>
          <w:lang w:val="fr-FR"/>
        </w:rPr>
        <w:t>59</w:t>
      </w:r>
      <w:r w:rsidR="008301A4" w:rsidRPr="00F60A3D">
        <w:rPr>
          <w:lang w:val="fr-FR"/>
        </w:rPr>
        <w:t>.</w:t>
      </w:r>
      <w:r w:rsidR="001D2CCC" w:rsidRPr="00F60A3D">
        <w:rPr>
          <w:lang w:val="fr-FR"/>
        </w:rPr>
        <w:tab/>
      </w:r>
      <w:r w:rsidR="00337768" w:rsidRPr="00F60A3D">
        <w:rPr>
          <w:lang w:val="fr-FR"/>
        </w:rPr>
        <w:t>Pour bénéficier du ré</w:t>
      </w:r>
      <w:r w:rsidR="00C6686F" w:rsidRPr="00F60A3D">
        <w:rPr>
          <w:lang w:val="fr-FR"/>
        </w:rPr>
        <w:t xml:space="preserve">gime </w:t>
      </w:r>
      <w:r w:rsidR="00C104AB" w:rsidRPr="00F60A3D">
        <w:rPr>
          <w:lang w:val="fr-FR"/>
        </w:rPr>
        <w:t>susmentionné, elle</w:t>
      </w:r>
      <w:r w:rsidR="00C6686F" w:rsidRPr="00F60A3D">
        <w:rPr>
          <w:lang w:val="fr-FR"/>
        </w:rPr>
        <w:t>s doivent être inscrit</w:t>
      </w:r>
      <w:r w:rsidR="00542DC0" w:rsidRPr="00F60A3D">
        <w:rPr>
          <w:lang w:val="fr-FR"/>
        </w:rPr>
        <w:t>e</w:t>
      </w:r>
      <w:r w:rsidR="00C6686F" w:rsidRPr="00F60A3D">
        <w:rPr>
          <w:lang w:val="fr-FR"/>
        </w:rPr>
        <w:t>s au registre des organisation</w:t>
      </w:r>
      <w:r w:rsidR="00542DC0" w:rsidRPr="00F60A3D">
        <w:rPr>
          <w:lang w:val="fr-FR"/>
        </w:rPr>
        <w:t>s</w:t>
      </w:r>
      <w:r w:rsidR="004F5328" w:rsidRPr="00F60A3D">
        <w:rPr>
          <w:lang w:val="fr-FR"/>
        </w:rPr>
        <w:t xml:space="preserve"> d</w:t>
      </w:r>
      <w:r w:rsidR="00B17AE1" w:rsidRPr="00F60A3D">
        <w:rPr>
          <w:lang w:val="fr-FR"/>
        </w:rPr>
        <w:t>’</w:t>
      </w:r>
      <w:r w:rsidR="004F5328" w:rsidRPr="00F60A3D">
        <w:rPr>
          <w:lang w:val="fr-FR"/>
        </w:rPr>
        <w:t xml:space="preserve">utilité sociale à but non </w:t>
      </w:r>
      <w:r w:rsidR="00542DC0" w:rsidRPr="00F60A3D">
        <w:rPr>
          <w:lang w:val="fr-FR"/>
        </w:rPr>
        <w:t>lucratif</w:t>
      </w:r>
      <w:r w:rsidR="00C6686F" w:rsidRPr="00F60A3D">
        <w:rPr>
          <w:lang w:val="fr-FR"/>
        </w:rPr>
        <w:t>, par une communication à l</w:t>
      </w:r>
      <w:r w:rsidR="00B17AE1" w:rsidRPr="00F60A3D">
        <w:rPr>
          <w:lang w:val="fr-FR"/>
        </w:rPr>
        <w:t>’</w:t>
      </w:r>
      <w:r w:rsidR="00C6686F" w:rsidRPr="00F60A3D">
        <w:rPr>
          <w:lang w:val="fr-FR"/>
        </w:rPr>
        <w:t>administration fiscale</w:t>
      </w:r>
      <w:r w:rsidR="00CC6F71" w:rsidRPr="00F60A3D">
        <w:rPr>
          <w:lang w:val="fr-FR"/>
        </w:rPr>
        <w:t xml:space="preserve"> (</w:t>
      </w:r>
      <w:r w:rsidR="00CC6F71" w:rsidRPr="00F60A3D">
        <w:rPr>
          <w:i/>
          <w:lang w:val="fr-FR"/>
        </w:rPr>
        <w:t>Agenzia delle Entrate</w:t>
      </w:r>
      <w:r w:rsidR="00CC6F71" w:rsidRPr="00F60A3D">
        <w:rPr>
          <w:lang w:val="fr-FR"/>
        </w:rPr>
        <w:t xml:space="preserve">). </w:t>
      </w:r>
    </w:p>
    <w:p w:rsidR="00CC6F71" w:rsidRPr="00F60A3D" w:rsidRDefault="00224935" w:rsidP="00D26282">
      <w:pPr>
        <w:pStyle w:val="SingleTxtG"/>
        <w:rPr>
          <w:lang w:val="fr-FR"/>
        </w:rPr>
      </w:pPr>
      <w:r w:rsidRPr="00F60A3D">
        <w:rPr>
          <w:lang w:val="fr-FR"/>
        </w:rPr>
        <w:t>60.</w:t>
      </w:r>
      <w:r w:rsidR="001D2CCC" w:rsidRPr="00F60A3D">
        <w:rPr>
          <w:lang w:val="fr-FR"/>
        </w:rPr>
        <w:tab/>
      </w:r>
      <w:r w:rsidR="00C104AB" w:rsidRPr="00F60A3D">
        <w:rPr>
          <w:lang w:val="fr-FR"/>
        </w:rPr>
        <w:t>Cett</w:t>
      </w:r>
      <w:r w:rsidR="000059AA" w:rsidRPr="00F60A3D">
        <w:rPr>
          <w:lang w:val="fr-FR"/>
        </w:rPr>
        <w:t>e condition ne s</w:t>
      </w:r>
      <w:r w:rsidR="00B17AE1" w:rsidRPr="00F60A3D">
        <w:rPr>
          <w:lang w:val="fr-FR"/>
        </w:rPr>
        <w:t>’</w:t>
      </w:r>
      <w:r w:rsidR="000059AA" w:rsidRPr="00F60A3D">
        <w:rPr>
          <w:lang w:val="fr-FR"/>
        </w:rPr>
        <w:t>applique ni</w:t>
      </w:r>
      <w:r w:rsidR="00731982" w:rsidRPr="00F60A3D">
        <w:rPr>
          <w:lang w:val="fr-FR"/>
        </w:rPr>
        <w:t xml:space="preserve"> </w:t>
      </w:r>
      <w:r w:rsidR="00FD0569" w:rsidRPr="00F60A3D">
        <w:rPr>
          <w:lang w:val="fr-FR"/>
        </w:rPr>
        <w:t>aux</w:t>
      </w:r>
      <w:r w:rsidR="00C104AB" w:rsidRPr="00F60A3D">
        <w:rPr>
          <w:lang w:val="fr-FR"/>
        </w:rPr>
        <w:t xml:space="preserve"> organismes </w:t>
      </w:r>
      <w:r w:rsidR="00FD0569" w:rsidRPr="00F60A3D">
        <w:rPr>
          <w:lang w:val="fr-FR"/>
        </w:rPr>
        <w:t xml:space="preserve">dits </w:t>
      </w:r>
      <w:r w:rsidR="00C104AB" w:rsidRPr="00F60A3D">
        <w:rPr>
          <w:lang w:val="fr-FR"/>
        </w:rPr>
        <w:t>à but non lucratif de droit (</w:t>
      </w:r>
      <w:r w:rsidR="00CC6F71" w:rsidRPr="00F60A3D">
        <w:rPr>
          <w:i/>
          <w:lang w:val="fr-FR"/>
        </w:rPr>
        <w:t>Onlus di diritto</w:t>
      </w:r>
      <w:r w:rsidR="00CC6F71" w:rsidRPr="00F60A3D">
        <w:rPr>
          <w:lang w:val="fr-FR"/>
        </w:rPr>
        <w:t xml:space="preserve">), </w:t>
      </w:r>
      <w:r w:rsidR="00C104AB" w:rsidRPr="00F60A3D">
        <w:rPr>
          <w:lang w:val="fr-FR"/>
        </w:rPr>
        <w:t xml:space="preserve">y compris </w:t>
      </w:r>
      <w:r w:rsidR="00FD0569" w:rsidRPr="00F60A3D">
        <w:rPr>
          <w:lang w:val="fr-FR"/>
        </w:rPr>
        <w:t>les</w:t>
      </w:r>
      <w:r w:rsidR="00C104AB" w:rsidRPr="00F60A3D">
        <w:rPr>
          <w:lang w:val="fr-FR"/>
        </w:rPr>
        <w:t xml:space="preserve"> organisations bénévoles inscrites au registre des </w:t>
      </w:r>
      <w:r w:rsidR="00542DC0" w:rsidRPr="00F60A3D">
        <w:rPr>
          <w:lang w:val="fr-FR"/>
        </w:rPr>
        <w:t>ré</w:t>
      </w:r>
      <w:r w:rsidR="00C104AB" w:rsidRPr="00F60A3D">
        <w:rPr>
          <w:lang w:val="fr-FR"/>
        </w:rPr>
        <w:t xml:space="preserve">gions et </w:t>
      </w:r>
      <w:r w:rsidR="00C104AB" w:rsidRPr="00F60A3D">
        <w:rPr>
          <w:lang w:val="fr-FR"/>
        </w:rPr>
        <w:lastRenderedPageBreak/>
        <w:t xml:space="preserve">des provinces autonomes (loi </w:t>
      </w:r>
      <w:r w:rsidR="00B17AE1" w:rsidRPr="00F60A3D">
        <w:rPr>
          <w:lang w:val="fr-FR"/>
        </w:rPr>
        <w:t>n</w:t>
      </w:r>
      <w:r w:rsidR="00B17AE1" w:rsidRPr="00F60A3D">
        <w:rPr>
          <w:vertAlign w:val="superscript"/>
          <w:lang w:val="fr-FR"/>
        </w:rPr>
        <w:t>o</w:t>
      </w:r>
      <w:r w:rsidR="00B17AE1" w:rsidRPr="00F60A3D">
        <w:rPr>
          <w:lang w:val="fr-FR"/>
        </w:rPr>
        <w:t> </w:t>
      </w:r>
      <w:r w:rsidR="000F75BF" w:rsidRPr="00F60A3D">
        <w:rPr>
          <w:lang w:val="fr-FR"/>
        </w:rPr>
        <w:t>266/1991)</w:t>
      </w:r>
      <w:r w:rsidR="00CC6F71" w:rsidRPr="00F60A3D">
        <w:rPr>
          <w:lang w:val="fr-FR"/>
        </w:rPr>
        <w:t xml:space="preserve"> </w:t>
      </w:r>
      <w:r w:rsidR="00FD0569" w:rsidRPr="00F60A3D">
        <w:rPr>
          <w:lang w:val="fr-FR"/>
        </w:rPr>
        <w:t>et les</w:t>
      </w:r>
      <w:r w:rsidR="00C104AB" w:rsidRPr="00F60A3D">
        <w:rPr>
          <w:lang w:val="fr-FR"/>
        </w:rPr>
        <w:t xml:space="preserve"> ON</w:t>
      </w:r>
      <w:r w:rsidR="00542DC0" w:rsidRPr="00F60A3D">
        <w:rPr>
          <w:lang w:val="fr-FR"/>
        </w:rPr>
        <w:t>G de</w:t>
      </w:r>
      <w:r w:rsidR="00C104AB" w:rsidRPr="00F60A3D">
        <w:rPr>
          <w:lang w:val="fr-FR"/>
        </w:rPr>
        <w:t xml:space="preserve"> </w:t>
      </w:r>
      <w:r w:rsidR="00542DC0" w:rsidRPr="00F60A3D">
        <w:rPr>
          <w:lang w:val="fr-FR"/>
        </w:rPr>
        <w:t>coopé</w:t>
      </w:r>
      <w:r w:rsidR="00C104AB" w:rsidRPr="00F60A3D">
        <w:rPr>
          <w:lang w:val="fr-FR"/>
        </w:rPr>
        <w:t xml:space="preserve">ration au développement en vertu de la loi </w:t>
      </w:r>
      <w:r w:rsidR="00B17AE1" w:rsidRPr="00F60A3D">
        <w:rPr>
          <w:lang w:val="fr-FR"/>
        </w:rPr>
        <w:t>n</w:t>
      </w:r>
      <w:r w:rsidR="00B17AE1" w:rsidRPr="00F60A3D">
        <w:rPr>
          <w:vertAlign w:val="superscript"/>
          <w:lang w:val="fr-FR"/>
        </w:rPr>
        <w:t>o</w:t>
      </w:r>
      <w:r w:rsidR="00B17AE1" w:rsidRPr="00F60A3D">
        <w:rPr>
          <w:lang w:val="fr-FR"/>
        </w:rPr>
        <w:t> </w:t>
      </w:r>
      <w:r w:rsidR="00CC6F71" w:rsidRPr="00F60A3D">
        <w:rPr>
          <w:lang w:val="fr-FR"/>
        </w:rPr>
        <w:t>49/19</w:t>
      </w:r>
      <w:r w:rsidR="00AD0313" w:rsidRPr="00F60A3D">
        <w:rPr>
          <w:lang w:val="fr-FR"/>
        </w:rPr>
        <w:t>87</w:t>
      </w:r>
      <w:r w:rsidR="002F3319" w:rsidRPr="00F60A3D">
        <w:rPr>
          <w:rStyle w:val="FootnoteReference"/>
          <w:lang w:val="fr-FR"/>
        </w:rPr>
        <w:footnoteReference w:id="20"/>
      </w:r>
      <w:r w:rsidR="00014300" w:rsidRPr="00F60A3D">
        <w:rPr>
          <w:lang w:val="fr-FR"/>
        </w:rPr>
        <w:t>,</w:t>
      </w:r>
      <w:r w:rsidR="00CC6F71" w:rsidRPr="00F60A3D">
        <w:rPr>
          <w:lang w:val="fr-FR"/>
        </w:rPr>
        <w:t xml:space="preserve"> </w:t>
      </w:r>
      <w:r w:rsidR="000059AA" w:rsidRPr="00F60A3D">
        <w:rPr>
          <w:lang w:val="fr-FR"/>
        </w:rPr>
        <w:t>ni</w:t>
      </w:r>
      <w:r w:rsidR="00FD0569" w:rsidRPr="00F60A3D">
        <w:rPr>
          <w:lang w:val="fr-FR"/>
        </w:rPr>
        <w:t xml:space="preserve"> aux</w:t>
      </w:r>
      <w:r w:rsidR="00C104AB" w:rsidRPr="00F60A3D">
        <w:rPr>
          <w:lang w:val="fr-FR"/>
        </w:rPr>
        <w:t xml:space="preserve"> </w:t>
      </w:r>
      <w:r w:rsidR="00542DC0" w:rsidRPr="00F60A3D">
        <w:rPr>
          <w:lang w:val="fr-FR"/>
        </w:rPr>
        <w:t>coopé</w:t>
      </w:r>
      <w:r w:rsidR="00C104AB" w:rsidRPr="00F60A3D">
        <w:rPr>
          <w:lang w:val="fr-FR"/>
        </w:rPr>
        <w:t>rati</w:t>
      </w:r>
      <w:r w:rsidR="00AD0313" w:rsidRPr="00F60A3D">
        <w:rPr>
          <w:lang w:val="fr-FR"/>
        </w:rPr>
        <w:t xml:space="preserve">ves sociales inscrites dans la </w:t>
      </w:r>
      <w:r w:rsidR="00731982" w:rsidRPr="00F60A3D">
        <w:rPr>
          <w:lang w:val="fr-FR"/>
        </w:rPr>
        <w:t>«</w:t>
      </w:r>
      <w:r w:rsidR="00C104AB" w:rsidRPr="00F60A3D">
        <w:rPr>
          <w:lang w:val="fr-FR"/>
        </w:rPr>
        <w:t xml:space="preserve">section </w:t>
      </w:r>
      <w:r w:rsidR="009D0F89" w:rsidRPr="00F60A3D">
        <w:rPr>
          <w:lang w:val="fr-FR"/>
        </w:rPr>
        <w:t xml:space="preserve">de la </w:t>
      </w:r>
      <w:r w:rsidR="00AD0313" w:rsidRPr="00F60A3D">
        <w:rPr>
          <w:lang w:val="fr-FR"/>
        </w:rPr>
        <w:t>coopération sociale</w:t>
      </w:r>
      <w:r w:rsidR="00731982" w:rsidRPr="00F60A3D">
        <w:rPr>
          <w:lang w:val="fr-FR"/>
        </w:rPr>
        <w:t>»</w:t>
      </w:r>
      <w:r w:rsidR="00C104AB" w:rsidRPr="00F60A3D">
        <w:rPr>
          <w:lang w:val="fr-FR"/>
        </w:rPr>
        <w:t xml:space="preserve"> du registre de chaque préfecture (loi </w:t>
      </w:r>
      <w:r w:rsidR="00B17AE1" w:rsidRPr="00F60A3D">
        <w:rPr>
          <w:lang w:val="fr-FR"/>
        </w:rPr>
        <w:t>n</w:t>
      </w:r>
      <w:r w:rsidR="00B17AE1" w:rsidRPr="00F60A3D">
        <w:rPr>
          <w:vertAlign w:val="superscript"/>
          <w:lang w:val="fr-FR"/>
        </w:rPr>
        <w:t>o</w:t>
      </w:r>
      <w:r w:rsidR="00B17AE1" w:rsidRPr="00F60A3D">
        <w:rPr>
          <w:lang w:val="fr-FR"/>
        </w:rPr>
        <w:t> </w:t>
      </w:r>
      <w:r w:rsidR="00CC6F71" w:rsidRPr="00F60A3D">
        <w:rPr>
          <w:lang w:val="fr-FR"/>
        </w:rPr>
        <w:t>381/1991).</w:t>
      </w:r>
    </w:p>
    <w:p w:rsidR="00CC6F71" w:rsidRPr="00F60A3D" w:rsidRDefault="00A711BA" w:rsidP="001D2CCC">
      <w:pPr>
        <w:pStyle w:val="H1G"/>
        <w:rPr>
          <w:lang w:val="fr-FR"/>
        </w:rPr>
      </w:pPr>
      <w:r w:rsidRPr="00F60A3D">
        <w:rPr>
          <w:lang w:val="fr-FR"/>
        </w:rPr>
        <w:tab/>
      </w:r>
      <w:r w:rsidR="009A3953" w:rsidRPr="00F60A3D">
        <w:rPr>
          <w:lang w:val="fr-FR"/>
        </w:rPr>
        <w:t>B.</w:t>
      </w:r>
      <w:r w:rsidRPr="00F60A3D">
        <w:rPr>
          <w:lang w:val="fr-FR"/>
        </w:rPr>
        <w:tab/>
      </w:r>
      <w:r w:rsidR="00542DC0" w:rsidRPr="00F60A3D">
        <w:rPr>
          <w:lang w:val="fr-FR"/>
        </w:rPr>
        <w:t>Structure constitution</w:t>
      </w:r>
      <w:r w:rsidR="00BA74A5" w:rsidRPr="00F60A3D">
        <w:rPr>
          <w:lang w:val="fr-FR"/>
        </w:rPr>
        <w:t>n</w:t>
      </w:r>
      <w:r w:rsidR="00542DC0" w:rsidRPr="00F60A3D">
        <w:rPr>
          <w:lang w:val="fr-FR"/>
        </w:rPr>
        <w:t>elle, politique et juridique de l</w:t>
      </w:r>
      <w:r w:rsidR="00B17AE1" w:rsidRPr="00F60A3D">
        <w:rPr>
          <w:lang w:val="fr-FR"/>
        </w:rPr>
        <w:t>’</w:t>
      </w:r>
      <w:r w:rsidR="00542DC0" w:rsidRPr="00F60A3D">
        <w:rPr>
          <w:lang w:val="fr-FR"/>
        </w:rPr>
        <w:t>État</w:t>
      </w:r>
      <w:r w:rsidR="00CC6F71" w:rsidRPr="00F60A3D">
        <w:rPr>
          <w:lang w:val="fr-FR"/>
        </w:rPr>
        <w:t xml:space="preserve"> </w:t>
      </w:r>
    </w:p>
    <w:p w:rsidR="00CC6F71" w:rsidRPr="00F60A3D" w:rsidRDefault="00B03B68" w:rsidP="001D2CCC">
      <w:pPr>
        <w:pStyle w:val="H23G"/>
        <w:rPr>
          <w:lang w:val="fr-FR"/>
        </w:rPr>
      </w:pPr>
      <w:r w:rsidRPr="00F60A3D">
        <w:rPr>
          <w:lang w:val="fr-FR"/>
        </w:rPr>
        <w:tab/>
      </w:r>
      <w:r w:rsidR="00A711BA" w:rsidRPr="00F60A3D">
        <w:rPr>
          <w:lang w:val="fr-FR"/>
        </w:rPr>
        <w:tab/>
      </w:r>
      <w:r w:rsidR="00542DC0" w:rsidRPr="00F60A3D">
        <w:rPr>
          <w:lang w:val="fr-FR"/>
        </w:rPr>
        <w:t>Développement constitutionnel</w:t>
      </w:r>
    </w:p>
    <w:p w:rsidR="00CC6F71" w:rsidRPr="00F60A3D" w:rsidRDefault="00C07193" w:rsidP="00D26282">
      <w:pPr>
        <w:pStyle w:val="SingleTxtG"/>
        <w:rPr>
          <w:lang w:val="fr-FR"/>
        </w:rPr>
      </w:pPr>
      <w:r w:rsidRPr="00F60A3D">
        <w:rPr>
          <w:lang w:val="fr-FR"/>
        </w:rPr>
        <w:t>61</w:t>
      </w:r>
      <w:r w:rsidR="001D2CCC" w:rsidRPr="00F60A3D">
        <w:rPr>
          <w:lang w:val="fr-FR"/>
        </w:rPr>
        <w:t>.</w:t>
      </w:r>
      <w:r w:rsidR="001D2CCC" w:rsidRPr="00F60A3D">
        <w:rPr>
          <w:lang w:val="fr-FR"/>
        </w:rPr>
        <w:tab/>
      </w:r>
      <w:r w:rsidR="00BA74A5" w:rsidRPr="00F60A3D">
        <w:rPr>
          <w:lang w:val="fr-FR"/>
        </w:rPr>
        <w:t>De</w:t>
      </w:r>
      <w:r w:rsidR="00697CDE" w:rsidRPr="00F60A3D">
        <w:rPr>
          <w:lang w:val="fr-FR"/>
        </w:rPr>
        <w:t xml:space="preserve"> </w:t>
      </w:r>
      <w:r w:rsidR="00BA74A5" w:rsidRPr="00F60A3D">
        <w:rPr>
          <w:lang w:val="fr-FR"/>
        </w:rPr>
        <w:t>1948 à</w:t>
      </w:r>
      <w:r w:rsidR="00CC6F71" w:rsidRPr="00F60A3D">
        <w:rPr>
          <w:lang w:val="fr-FR"/>
        </w:rPr>
        <w:t xml:space="preserve"> 2013, </w:t>
      </w:r>
      <w:r w:rsidR="00BA74A5" w:rsidRPr="00F60A3D">
        <w:rPr>
          <w:lang w:val="fr-FR"/>
        </w:rPr>
        <w:t>l</w:t>
      </w:r>
      <w:r w:rsidR="00B17AE1" w:rsidRPr="00F60A3D">
        <w:rPr>
          <w:lang w:val="fr-FR"/>
        </w:rPr>
        <w:t>’</w:t>
      </w:r>
      <w:r w:rsidR="00BA74A5" w:rsidRPr="00F60A3D">
        <w:rPr>
          <w:lang w:val="fr-FR"/>
        </w:rPr>
        <w:t>Italie a adopté 38</w:t>
      </w:r>
      <w:r w:rsidR="00D26282" w:rsidRPr="00F60A3D">
        <w:rPr>
          <w:lang w:val="fr-FR"/>
        </w:rPr>
        <w:t> </w:t>
      </w:r>
      <w:r w:rsidR="00BA74A5" w:rsidRPr="00F60A3D">
        <w:rPr>
          <w:lang w:val="fr-FR"/>
        </w:rPr>
        <w:t xml:space="preserve">lois de rang constitutionnel, dont 11 </w:t>
      </w:r>
      <w:r w:rsidR="00697CDE" w:rsidRPr="00F60A3D">
        <w:rPr>
          <w:lang w:val="fr-FR"/>
        </w:rPr>
        <w:t>relatives à l</w:t>
      </w:r>
      <w:r w:rsidR="00B17AE1" w:rsidRPr="00F60A3D">
        <w:rPr>
          <w:lang w:val="fr-FR"/>
        </w:rPr>
        <w:t>’</w:t>
      </w:r>
      <w:r w:rsidR="00697CDE" w:rsidRPr="00F60A3D">
        <w:rPr>
          <w:lang w:val="fr-FR"/>
        </w:rPr>
        <w:t>approbation ou à la modification de la législation des régions ayant un statut spécial (Vallée d</w:t>
      </w:r>
      <w:r w:rsidR="00B17AE1" w:rsidRPr="00F60A3D">
        <w:rPr>
          <w:lang w:val="fr-FR"/>
        </w:rPr>
        <w:t>’</w:t>
      </w:r>
      <w:r w:rsidR="00697CDE" w:rsidRPr="00F60A3D">
        <w:rPr>
          <w:lang w:val="fr-FR"/>
        </w:rPr>
        <w:t>Aoste, Trentin-Haut-Adige, Sar</w:t>
      </w:r>
      <w:r w:rsidR="00337768" w:rsidRPr="00F60A3D">
        <w:rPr>
          <w:lang w:val="fr-FR"/>
        </w:rPr>
        <w:t>daigne, Sicile, Frioul-Vén</w:t>
      </w:r>
      <w:r w:rsidR="005E1286" w:rsidRPr="00F60A3D">
        <w:rPr>
          <w:lang w:val="fr-FR"/>
        </w:rPr>
        <w:t>étie J</w:t>
      </w:r>
      <w:r w:rsidR="00697CDE" w:rsidRPr="00F60A3D">
        <w:rPr>
          <w:lang w:val="fr-FR"/>
        </w:rPr>
        <w:t>ulienne). Les cinq première</w:t>
      </w:r>
      <w:r w:rsidR="00337768" w:rsidRPr="00F60A3D">
        <w:rPr>
          <w:lang w:val="fr-FR"/>
        </w:rPr>
        <w:t>s</w:t>
      </w:r>
      <w:r w:rsidR="00697CDE" w:rsidRPr="00F60A3D">
        <w:rPr>
          <w:lang w:val="fr-FR"/>
        </w:rPr>
        <w:t xml:space="preserve"> lois n</w:t>
      </w:r>
      <w:r w:rsidR="00B17AE1" w:rsidRPr="00F60A3D">
        <w:rPr>
          <w:lang w:val="fr-FR"/>
        </w:rPr>
        <w:t>’</w:t>
      </w:r>
      <w:r w:rsidR="00697CDE" w:rsidRPr="00F60A3D">
        <w:rPr>
          <w:lang w:val="fr-FR"/>
        </w:rPr>
        <w:t xml:space="preserve">ont pas été approuvées selon la procédure </w:t>
      </w:r>
      <w:r w:rsidR="002678C7" w:rsidRPr="00F60A3D">
        <w:rPr>
          <w:lang w:val="fr-FR"/>
        </w:rPr>
        <w:t>mentionnée ci-dessous et prévue par l</w:t>
      </w:r>
      <w:r w:rsidR="00B17AE1" w:rsidRPr="00F60A3D">
        <w:rPr>
          <w:lang w:val="fr-FR"/>
        </w:rPr>
        <w:t>’</w:t>
      </w:r>
      <w:r w:rsidR="00D26282" w:rsidRPr="00F60A3D">
        <w:rPr>
          <w:lang w:val="fr-FR"/>
        </w:rPr>
        <w:t>article </w:t>
      </w:r>
      <w:r w:rsidR="002678C7" w:rsidRPr="00F60A3D">
        <w:rPr>
          <w:lang w:val="fr-FR"/>
        </w:rPr>
        <w:t>138 de la Cons</w:t>
      </w:r>
      <w:r w:rsidR="009D0F89" w:rsidRPr="00F60A3D">
        <w:rPr>
          <w:lang w:val="fr-FR"/>
        </w:rPr>
        <w:t>titution italienne, mais par l</w:t>
      </w:r>
      <w:r w:rsidR="00B17AE1" w:rsidRPr="00F60A3D">
        <w:rPr>
          <w:lang w:val="fr-FR"/>
        </w:rPr>
        <w:t>’</w:t>
      </w:r>
      <w:r w:rsidR="002678C7" w:rsidRPr="00F60A3D">
        <w:rPr>
          <w:i/>
          <w:lang w:val="fr-FR"/>
        </w:rPr>
        <w:t>A</w:t>
      </w:r>
      <w:r w:rsidR="00CC6F71" w:rsidRPr="00F60A3D">
        <w:rPr>
          <w:i/>
          <w:lang w:val="fr-FR"/>
        </w:rPr>
        <w:t>ssemblea Costituente</w:t>
      </w:r>
      <w:r w:rsidR="002678C7" w:rsidRPr="00F60A3D">
        <w:rPr>
          <w:lang w:val="fr-FR"/>
        </w:rPr>
        <w:t xml:space="preserve"> (Assemblée constituante) (en</w:t>
      </w:r>
      <w:r w:rsidR="00CC6F71" w:rsidRPr="00F60A3D">
        <w:rPr>
          <w:lang w:val="fr-FR"/>
        </w:rPr>
        <w:t xml:space="preserve"> 1948). </w:t>
      </w:r>
    </w:p>
    <w:p w:rsidR="00CC6F71" w:rsidRPr="00F60A3D" w:rsidRDefault="00224935" w:rsidP="006B154E">
      <w:pPr>
        <w:pStyle w:val="SingleTxtG"/>
        <w:rPr>
          <w:lang w:val="fr-FR"/>
        </w:rPr>
      </w:pPr>
      <w:r w:rsidRPr="00F60A3D">
        <w:rPr>
          <w:lang w:val="fr-FR"/>
        </w:rPr>
        <w:t>62</w:t>
      </w:r>
      <w:r w:rsidR="001D2CCC" w:rsidRPr="00F60A3D">
        <w:rPr>
          <w:lang w:val="fr-FR"/>
        </w:rPr>
        <w:tab/>
      </w:r>
      <w:r w:rsidR="002678C7" w:rsidRPr="00F60A3D">
        <w:rPr>
          <w:lang w:val="fr-FR"/>
        </w:rPr>
        <w:t xml:space="preserve">Les lois constitutionnelles les plus récentes sont les suivantes: la loi </w:t>
      </w:r>
      <w:r w:rsidR="00B17AE1" w:rsidRPr="00F60A3D">
        <w:rPr>
          <w:lang w:val="fr-FR"/>
        </w:rPr>
        <w:t>n</w:t>
      </w:r>
      <w:r w:rsidR="00B17AE1" w:rsidRPr="00F60A3D">
        <w:rPr>
          <w:vertAlign w:val="superscript"/>
          <w:lang w:val="fr-FR"/>
        </w:rPr>
        <w:t>o</w:t>
      </w:r>
      <w:r w:rsidR="00B17AE1" w:rsidRPr="00F60A3D">
        <w:rPr>
          <w:lang w:val="fr-FR"/>
        </w:rPr>
        <w:t> </w:t>
      </w:r>
      <w:r w:rsidR="00CC6F71" w:rsidRPr="00F60A3D">
        <w:rPr>
          <w:lang w:val="fr-FR"/>
        </w:rPr>
        <w:t xml:space="preserve">2/1999 </w:t>
      </w:r>
      <w:r w:rsidR="002678C7" w:rsidRPr="00F60A3D">
        <w:rPr>
          <w:lang w:val="fr-FR"/>
        </w:rPr>
        <w:t>relative à l</w:t>
      </w:r>
      <w:r w:rsidR="00B17AE1" w:rsidRPr="00F60A3D">
        <w:rPr>
          <w:lang w:val="fr-FR"/>
        </w:rPr>
        <w:t>’</w:t>
      </w:r>
      <w:r w:rsidR="002678C7" w:rsidRPr="00F60A3D">
        <w:rPr>
          <w:lang w:val="fr-FR"/>
        </w:rPr>
        <w:t>adoption du principe de procès équitable en application de l</w:t>
      </w:r>
      <w:r w:rsidR="00B17AE1" w:rsidRPr="00F60A3D">
        <w:rPr>
          <w:lang w:val="fr-FR"/>
        </w:rPr>
        <w:t>’</w:t>
      </w:r>
      <w:r w:rsidR="00D26282" w:rsidRPr="00F60A3D">
        <w:rPr>
          <w:lang w:val="fr-FR"/>
        </w:rPr>
        <w:t>article </w:t>
      </w:r>
      <w:r w:rsidR="002678C7" w:rsidRPr="00F60A3D">
        <w:rPr>
          <w:lang w:val="fr-FR"/>
        </w:rPr>
        <w:t>111 de la Constituti</w:t>
      </w:r>
      <w:r w:rsidR="00AD0313" w:rsidRPr="00F60A3D">
        <w:rPr>
          <w:lang w:val="fr-FR"/>
        </w:rPr>
        <w:t xml:space="preserve">on; la loi </w:t>
      </w:r>
      <w:r w:rsidR="00B17AE1" w:rsidRPr="00F60A3D">
        <w:rPr>
          <w:lang w:val="fr-FR"/>
        </w:rPr>
        <w:t>n</w:t>
      </w:r>
      <w:r w:rsidR="00B17AE1" w:rsidRPr="00F60A3D">
        <w:rPr>
          <w:vertAlign w:val="superscript"/>
          <w:lang w:val="fr-FR"/>
        </w:rPr>
        <w:t>o</w:t>
      </w:r>
      <w:r w:rsidR="00B17AE1" w:rsidRPr="00F60A3D">
        <w:rPr>
          <w:lang w:val="fr-FR"/>
        </w:rPr>
        <w:t> </w:t>
      </w:r>
      <w:r w:rsidR="00AD0313" w:rsidRPr="00F60A3D">
        <w:rPr>
          <w:lang w:val="fr-FR"/>
        </w:rPr>
        <w:t xml:space="preserve">1/2000 intitulée </w:t>
      </w:r>
      <w:r w:rsidR="00731982" w:rsidRPr="00F60A3D">
        <w:rPr>
          <w:lang w:val="fr-FR"/>
        </w:rPr>
        <w:t>«</w:t>
      </w:r>
      <w:r w:rsidR="002678C7" w:rsidRPr="00F60A3D">
        <w:rPr>
          <w:lang w:val="fr-FR"/>
        </w:rPr>
        <w:t>Modifications</w:t>
      </w:r>
      <w:r w:rsidR="00C53FFF" w:rsidRPr="00F60A3D">
        <w:rPr>
          <w:lang w:val="fr-FR"/>
        </w:rPr>
        <w:t xml:space="preserve"> de l</w:t>
      </w:r>
      <w:r w:rsidR="00B17AE1" w:rsidRPr="00F60A3D">
        <w:rPr>
          <w:lang w:val="fr-FR"/>
        </w:rPr>
        <w:t>’</w:t>
      </w:r>
      <w:r w:rsidR="00D26282" w:rsidRPr="00F60A3D">
        <w:rPr>
          <w:lang w:val="fr-FR"/>
        </w:rPr>
        <w:t>article </w:t>
      </w:r>
      <w:r w:rsidR="00C53FFF" w:rsidRPr="00F60A3D">
        <w:rPr>
          <w:lang w:val="fr-FR"/>
        </w:rPr>
        <w:t>48 de la Constitution italienne relatif à la création d</w:t>
      </w:r>
      <w:r w:rsidR="00B17AE1" w:rsidRPr="00F60A3D">
        <w:rPr>
          <w:lang w:val="fr-FR"/>
        </w:rPr>
        <w:t>’</w:t>
      </w:r>
      <w:r w:rsidR="00D70154" w:rsidRPr="00F60A3D">
        <w:rPr>
          <w:lang w:val="fr-FR"/>
        </w:rPr>
        <w:t xml:space="preserve">une circonscription </w:t>
      </w:r>
      <w:r w:rsidR="00731982" w:rsidRPr="00F60A3D">
        <w:rPr>
          <w:lang w:val="fr-FR"/>
        </w:rPr>
        <w:t>«</w:t>
      </w:r>
      <w:r w:rsidR="00D70154" w:rsidRPr="00F60A3D">
        <w:rPr>
          <w:lang w:val="fr-FR"/>
        </w:rPr>
        <w:t>Étranger</w:t>
      </w:r>
      <w:r w:rsidR="00731982" w:rsidRPr="00F60A3D">
        <w:rPr>
          <w:lang w:val="fr-FR"/>
        </w:rPr>
        <w:t>»</w:t>
      </w:r>
      <w:r w:rsidR="00C53FFF" w:rsidRPr="00F60A3D">
        <w:rPr>
          <w:lang w:val="fr-FR"/>
        </w:rPr>
        <w:t xml:space="preserve"> pour permettre aux Italiens résidant à l</w:t>
      </w:r>
      <w:r w:rsidR="00B17AE1" w:rsidRPr="00F60A3D">
        <w:rPr>
          <w:lang w:val="fr-FR"/>
        </w:rPr>
        <w:t>’</w:t>
      </w:r>
      <w:r w:rsidR="00C53FFF" w:rsidRPr="00F60A3D">
        <w:rPr>
          <w:lang w:val="fr-FR"/>
        </w:rPr>
        <w:t>étrang</w:t>
      </w:r>
      <w:r w:rsidR="00D70154" w:rsidRPr="00F60A3D">
        <w:rPr>
          <w:lang w:val="fr-FR"/>
        </w:rPr>
        <w:t>er d</w:t>
      </w:r>
      <w:r w:rsidR="00B17AE1" w:rsidRPr="00F60A3D">
        <w:rPr>
          <w:lang w:val="fr-FR"/>
        </w:rPr>
        <w:t>’</w:t>
      </w:r>
      <w:r w:rsidR="00D70154" w:rsidRPr="00F60A3D">
        <w:rPr>
          <w:lang w:val="fr-FR"/>
        </w:rPr>
        <w:t>exercer leur droit de vote</w:t>
      </w:r>
      <w:r w:rsidR="00731982" w:rsidRPr="00F60A3D">
        <w:rPr>
          <w:lang w:val="fr-FR"/>
        </w:rPr>
        <w:t>»</w:t>
      </w:r>
      <w:r w:rsidR="00C53FFF" w:rsidRPr="00F60A3D">
        <w:rPr>
          <w:lang w:val="fr-FR"/>
        </w:rPr>
        <w:t>;</w:t>
      </w:r>
      <w:r w:rsidR="00D70154" w:rsidRPr="00F60A3D">
        <w:rPr>
          <w:lang w:val="fr-FR"/>
        </w:rPr>
        <w:t xml:space="preserve"> la loi </w:t>
      </w:r>
      <w:r w:rsidR="00B17AE1" w:rsidRPr="00F60A3D">
        <w:rPr>
          <w:lang w:val="fr-FR"/>
        </w:rPr>
        <w:t>n</w:t>
      </w:r>
      <w:r w:rsidR="00B17AE1" w:rsidRPr="00F60A3D">
        <w:rPr>
          <w:vertAlign w:val="superscript"/>
          <w:lang w:val="fr-FR"/>
        </w:rPr>
        <w:t>o</w:t>
      </w:r>
      <w:r w:rsidR="00B17AE1" w:rsidRPr="00F60A3D">
        <w:rPr>
          <w:lang w:val="fr-FR"/>
        </w:rPr>
        <w:t> </w:t>
      </w:r>
      <w:r w:rsidR="00D70154" w:rsidRPr="00F60A3D">
        <w:rPr>
          <w:lang w:val="fr-FR"/>
        </w:rPr>
        <w:t xml:space="preserve">1/2001 relative aux </w:t>
      </w:r>
      <w:r w:rsidR="00731982" w:rsidRPr="00F60A3D">
        <w:rPr>
          <w:lang w:val="fr-FR"/>
        </w:rPr>
        <w:t>«</w:t>
      </w:r>
      <w:r w:rsidR="004608AC" w:rsidRPr="00F60A3D">
        <w:rPr>
          <w:lang w:val="fr-FR"/>
        </w:rPr>
        <w:t xml:space="preserve">modifications des </w:t>
      </w:r>
      <w:r w:rsidR="00D26282" w:rsidRPr="00F60A3D">
        <w:rPr>
          <w:lang w:val="fr-FR"/>
        </w:rPr>
        <w:t>articles </w:t>
      </w:r>
      <w:r w:rsidR="004608AC" w:rsidRPr="00F60A3D">
        <w:rPr>
          <w:lang w:val="fr-FR"/>
        </w:rPr>
        <w:t xml:space="preserve">56 et </w:t>
      </w:r>
      <w:r w:rsidR="00C53FFF" w:rsidRPr="00F60A3D">
        <w:rPr>
          <w:lang w:val="fr-FR"/>
        </w:rPr>
        <w:t>57 concernant le nombre de députés et de sénateurs repr</w:t>
      </w:r>
      <w:r w:rsidR="00AD0313" w:rsidRPr="00F60A3D">
        <w:rPr>
          <w:lang w:val="fr-FR"/>
        </w:rPr>
        <w:t>ésentant les Italiens expatriés</w:t>
      </w:r>
      <w:r w:rsidR="00731982" w:rsidRPr="00F60A3D">
        <w:rPr>
          <w:lang w:val="fr-FR"/>
        </w:rPr>
        <w:t>»</w:t>
      </w:r>
      <w:r w:rsidR="00D70154" w:rsidRPr="00F60A3D">
        <w:rPr>
          <w:lang w:val="fr-FR"/>
        </w:rPr>
        <w:t xml:space="preserve">; la loi </w:t>
      </w:r>
      <w:r w:rsidR="00B17AE1" w:rsidRPr="00F60A3D">
        <w:rPr>
          <w:lang w:val="fr-FR"/>
        </w:rPr>
        <w:t>n</w:t>
      </w:r>
      <w:r w:rsidR="00B17AE1" w:rsidRPr="00F60A3D">
        <w:rPr>
          <w:vertAlign w:val="superscript"/>
          <w:lang w:val="fr-FR"/>
        </w:rPr>
        <w:t>o</w:t>
      </w:r>
      <w:r w:rsidR="00B17AE1" w:rsidRPr="00F60A3D">
        <w:rPr>
          <w:lang w:val="fr-FR"/>
        </w:rPr>
        <w:t> </w:t>
      </w:r>
      <w:r w:rsidR="00D70154" w:rsidRPr="00F60A3D">
        <w:rPr>
          <w:lang w:val="fr-FR"/>
        </w:rPr>
        <w:t xml:space="preserve">3/2001, </w:t>
      </w:r>
      <w:r w:rsidR="00731982" w:rsidRPr="00F60A3D">
        <w:rPr>
          <w:lang w:val="fr-FR"/>
        </w:rPr>
        <w:t>«</w:t>
      </w:r>
      <w:r w:rsidR="00D26282" w:rsidRPr="00F60A3D">
        <w:rPr>
          <w:lang w:val="fr-FR"/>
        </w:rPr>
        <w:t>portant modification du Titre </w:t>
      </w:r>
      <w:r w:rsidR="00C53FFF" w:rsidRPr="00F60A3D">
        <w:rPr>
          <w:lang w:val="fr-FR"/>
        </w:rPr>
        <w:t xml:space="preserve">V de la deuxième partie de la </w:t>
      </w:r>
      <w:r w:rsidR="00D70154" w:rsidRPr="00F60A3D">
        <w:rPr>
          <w:lang w:val="fr-FR"/>
        </w:rPr>
        <w:t>Co</w:t>
      </w:r>
      <w:r w:rsidR="00AD0313" w:rsidRPr="00F60A3D">
        <w:rPr>
          <w:lang w:val="fr-FR"/>
        </w:rPr>
        <w:t>nstitutio</w:t>
      </w:r>
      <w:r w:rsidR="00D70154" w:rsidRPr="00F60A3D">
        <w:rPr>
          <w:lang w:val="fr-FR"/>
        </w:rPr>
        <w:t>n</w:t>
      </w:r>
      <w:r w:rsidR="006B154E" w:rsidRPr="00F60A3D">
        <w:rPr>
          <w:lang w:val="fr-FR"/>
        </w:rPr>
        <w:t>»</w:t>
      </w:r>
      <w:r w:rsidR="002F3319" w:rsidRPr="00F60A3D">
        <w:rPr>
          <w:rStyle w:val="FootnoteReference"/>
          <w:lang w:val="fr-FR"/>
        </w:rPr>
        <w:footnoteReference w:id="21"/>
      </w:r>
      <w:r w:rsidR="00731982" w:rsidRPr="00F60A3D">
        <w:rPr>
          <w:lang w:val="fr-FR"/>
        </w:rPr>
        <w:t>;</w:t>
      </w:r>
      <w:r w:rsidR="002C3EFF" w:rsidRPr="00F60A3D">
        <w:rPr>
          <w:lang w:val="fr-FR"/>
        </w:rPr>
        <w:t xml:space="preserve"> la loi </w:t>
      </w:r>
      <w:r w:rsidR="00B17AE1" w:rsidRPr="00F60A3D">
        <w:rPr>
          <w:lang w:val="fr-FR"/>
        </w:rPr>
        <w:t>n</w:t>
      </w:r>
      <w:r w:rsidR="00B17AE1" w:rsidRPr="00F60A3D">
        <w:rPr>
          <w:vertAlign w:val="superscript"/>
          <w:lang w:val="fr-FR"/>
        </w:rPr>
        <w:t>o</w:t>
      </w:r>
      <w:r w:rsidR="00B17AE1" w:rsidRPr="00F60A3D">
        <w:rPr>
          <w:lang w:val="fr-FR"/>
        </w:rPr>
        <w:t> </w:t>
      </w:r>
      <w:r w:rsidR="002C3EFF" w:rsidRPr="00F60A3D">
        <w:rPr>
          <w:lang w:val="fr-FR"/>
        </w:rPr>
        <w:t>1/2002 intitulée</w:t>
      </w:r>
      <w:r w:rsidR="00AD0313" w:rsidRPr="00F60A3D">
        <w:rPr>
          <w:lang w:val="fr-FR"/>
        </w:rPr>
        <w:t xml:space="preserve"> </w:t>
      </w:r>
      <w:r w:rsidR="00731982" w:rsidRPr="00F60A3D">
        <w:rPr>
          <w:lang w:val="fr-FR"/>
        </w:rPr>
        <w:t>«</w:t>
      </w:r>
      <w:r w:rsidR="00A323A9" w:rsidRPr="00F60A3D">
        <w:rPr>
          <w:lang w:val="fr-FR"/>
        </w:rPr>
        <w:t>L</w:t>
      </w:r>
      <w:r w:rsidR="002C3EFF" w:rsidRPr="00F60A3D">
        <w:rPr>
          <w:lang w:val="fr-FR"/>
        </w:rPr>
        <w:t>oi co</w:t>
      </w:r>
      <w:r w:rsidR="00AC5247" w:rsidRPr="00F60A3D">
        <w:rPr>
          <w:lang w:val="fr-FR"/>
        </w:rPr>
        <w:t>nstitutionnelle en fa</w:t>
      </w:r>
      <w:r w:rsidR="00A85D80" w:rsidRPr="00F60A3D">
        <w:rPr>
          <w:lang w:val="fr-FR"/>
        </w:rPr>
        <w:t xml:space="preserve">veur de la cessation des effets </w:t>
      </w:r>
      <w:r w:rsidR="002C3EFF" w:rsidRPr="00F60A3D">
        <w:rPr>
          <w:lang w:val="fr-FR"/>
        </w:rPr>
        <w:t>des premier et deuxième</w:t>
      </w:r>
      <w:r w:rsidR="00496DC1" w:rsidRPr="00F60A3D">
        <w:rPr>
          <w:lang w:val="fr-FR"/>
        </w:rPr>
        <w:t xml:space="preserve"> alinéa</w:t>
      </w:r>
      <w:r w:rsidR="004C4BB9" w:rsidRPr="00F60A3D">
        <w:rPr>
          <w:lang w:val="fr-FR"/>
        </w:rPr>
        <w:t>s de la disposition</w:t>
      </w:r>
      <w:r w:rsidR="002C3EFF" w:rsidRPr="00F60A3D">
        <w:rPr>
          <w:lang w:val="fr-FR"/>
        </w:rPr>
        <w:t xml:space="preserve"> </w:t>
      </w:r>
      <w:r w:rsidR="004C4BB9" w:rsidRPr="00F60A3D">
        <w:rPr>
          <w:lang w:val="fr-FR"/>
        </w:rPr>
        <w:t>transitoire</w:t>
      </w:r>
      <w:r w:rsidR="00A85D80" w:rsidRPr="00F60A3D">
        <w:rPr>
          <w:lang w:val="fr-FR"/>
        </w:rPr>
        <w:t xml:space="preserve"> et définitiv</w:t>
      </w:r>
      <w:r w:rsidR="004C4BB9" w:rsidRPr="00F60A3D">
        <w:rPr>
          <w:lang w:val="fr-FR"/>
        </w:rPr>
        <w:t>e</w:t>
      </w:r>
      <w:r w:rsidR="00AD0313" w:rsidRPr="00F60A3D">
        <w:rPr>
          <w:lang w:val="fr-FR"/>
        </w:rPr>
        <w:t xml:space="preserve"> XIII de la Constitution</w:t>
      </w:r>
      <w:r w:rsidR="00731982" w:rsidRPr="00F60A3D">
        <w:rPr>
          <w:lang w:val="fr-FR"/>
        </w:rPr>
        <w:t>»</w:t>
      </w:r>
      <w:r w:rsidR="00D70154" w:rsidRPr="00F60A3D">
        <w:rPr>
          <w:lang w:val="fr-FR"/>
        </w:rPr>
        <w:t xml:space="preserve">; la loi </w:t>
      </w:r>
      <w:r w:rsidR="00B17AE1" w:rsidRPr="00F60A3D">
        <w:rPr>
          <w:lang w:val="fr-FR"/>
        </w:rPr>
        <w:t>n</w:t>
      </w:r>
      <w:r w:rsidR="00B17AE1" w:rsidRPr="00F60A3D">
        <w:rPr>
          <w:vertAlign w:val="superscript"/>
          <w:lang w:val="fr-FR"/>
        </w:rPr>
        <w:t>o</w:t>
      </w:r>
      <w:r w:rsidR="00B17AE1" w:rsidRPr="00F60A3D">
        <w:rPr>
          <w:lang w:val="fr-FR"/>
        </w:rPr>
        <w:t> </w:t>
      </w:r>
      <w:r w:rsidR="00D70154" w:rsidRPr="00F60A3D">
        <w:rPr>
          <w:lang w:val="fr-FR"/>
        </w:rPr>
        <w:t xml:space="preserve">1/2003 </w:t>
      </w:r>
      <w:r w:rsidR="00731982" w:rsidRPr="00F60A3D">
        <w:rPr>
          <w:lang w:val="fr-FR"/>
        </w:rPr>
        <w:t>«</w:t>
      </w:r>
      <w:r w:rsidR="00774D41" w:rsidRPr="00F60A3D">
        <w:rPr>
          <w:lang w:val="fr-FR"/>
        </w:rPr>
        <w:t>portant modification de l</w:t>
      </w:r>
      <w:r w:rsidR="00B17AE1" w:rsidRPr="00F60A3D">
        <w:rPr>
          <w:lang w:val="fr-FR"/>
        </w:rPr>
        <w:t>’</w:t>
      </w:r>
      <w:r w:rsidR="00D26282" w:rsidRPr="00F60A3D">
        <w:rPr>
          <w:lang w:val="fr-FR"/>
        </w:rPr>
        <w:t>article </w:t>
      </w:r>
      <w:r w:rsidR="00774D41" w:rsidRPr="00F60A3D">
        <w:rPr>
          <w:lang w:val="fr-FR"/>
        </w:rPr>
        <w:t>51 de la C</w:t>
      </w:r>
      <w:r w:rsidR="00D70154" w:rsidRPr="00F60A3D">
        <w:rPr>
          <w:lang w:val="fr-FR"/>
        </w:rPr>
        <w:t>onstitution</w:t>
      </w:r>
      <w:r w:rsidR="00731982" w:rsidRPr="00F60A3D">
        <w:rPr>
          <w:lang w:val="fr-FR"/>
        </w:rPr>
        <w:t>»</w:t>
      </w:r>
      <w:r w:rsidR="00AD0313" w:rsidRPr="00F60A3D">
        <w:rPr>
          <w:lang w:val="fr-FR"/>
        </w:rPr>
        <w:t xml:space="preserve">; la loi </w:t>
      </w:r>
      <w:r w:rsidR="00B17AE1" w:rsidRPr="00F60A3D">
        <w:rPr>
          <w:lang w:val="fr-FR"/>
        </w:rPr>
        <w:t>n</w:t>
      </w:r>
      <w:r w:rsidR="00B17AE1" w:rsidRPr="00F60A3D">
        <w:rPr>
          <w:vertAlign w:val="superscript"/>
          <w:lang w:val="fr-FR"/>
        </w:rPr>
        <w:t>o</w:t>
      </w:r>
      <w:r w:rsidR="00B17AE1" w:rsidRPr="00F60A3D">
        <w:rPr>
          <w:lang w:val="fr-FR"/>
        </w:rPr>
        <w:t> </w:t>
      </w:r>
      <w:r w:rsidR="00AD0313" w:rsidRPr="00F60A3D">
        <w:rPr>
          <w:lang w:val="fr-FR"/>
        </w:rPr>
        <w:t xml:space="preserve">1/2007 </w:t>
      </w:r>
      <w:r w:rsidR="00731982" w:rsidRPr="00F60A3D">
        <w:rPr>
          <w:lang w:val="fr-FR"/>
        </w:rPr>
        <w:t>«</w:t>
      </w:r>
      <w:r w:rsidR="00774D41" w:rsidRPr="00F60A3D">
        <w:rPr>
          <w:lang w:val="fr-FR"/>
        </w:rPr>
        <w:t>portant modification de l</w:t>
      </w:r>
      <w:r w:rsidR="00B17AE1" w:rsidRPr="00F60A3D">
        <w:rPr>
          <w:lang w:val="fr-FR"/>
        </w:rPr>
        <w:t>’</w:t>
      </w:r>
      <w:r w:rsidR="00D26282" w:rsidRPr="00F60A3D">
        <w:rPr>
          <w:lang w:val="fr-FR"/>
        </w:rPr>
        <w:t>article </w:t>
      </w:r>
      <w:r w:rsidR="00A323A9" w:rsidRPr="00F60A3D">
        <w:rPr>
          <w:lang w:val="fr-FR"/>
        </w:rPr>
        <w:t>27 concernant</w:t>
      </w:r>
      <w:r w:rsidR="00774D41" w:rsidRPr="00F60A3D">
        <w:rPr>
          <w:lang w:val="fr-FR"/>
        </w:rPr>
        <w:t xml:space="preserve"> l</w:t>
      </w:r>
      <w:r w:rsidR="00B17AE1" w:rsidRPr="00F60A3D">
        <w:rPr>
          <w:lang w:val="fr-FR"/>
        </w:rPr>
        <w:t>’</w:t>
      </w:r>
      <w:r w:rsidR="00774D41" w:rsidRPr="00F60A3D">
        <w:rPr>
          <w:lang w:val="fr-FR"/>
        </w:rPr>
        <w:t xml:space="preserve">abolition de la peine de </w:t>
      </w:r>
      <w:r w:rsidR="00AD0313" w:rsidRPr="00F60A3D">
        <w:rPr>
          <w:lang w:val="fr-FR"/>
        </w:rPr>
        <w:t>mort</w:t>
      </w:r>
      <w:r w:rsidR="00731982" w:rsidRPr="00F60A3D">
        <w:rPr>
          <w:lang w:val="fr-FR"/>
        </w:rPr>
        <w:t>»</w:t>
      </w:r>
      <w:r w:rsidR="00774D41" w:rsidRPr="00F60A3D">
        <w:rPr>
          <w:lang w:val="fr-FR"/>
        </w:rPr>
        <w:t xml:space="preserve">, et la loi </w:t>
      </w:r>
      <w:r w:rsidR="00B17AE1" w:rsidRPr="00F60A3D">
        <w:rPr>
          <w:lang w:val="fr-FR"/>
        </w:rPr>
        <w:t>n</w:t>
      </w:r>
      <w:r w:rsidR="00B17AE1" w:rsidRPr="00F60A3D">
        <w:rPr>
          <w:vertAlign w:val="superscript"/>
          <w:lang w:val="fr-FR"/>
        </w:rPr>
        <w:t>o</w:t>
      </w:r>
      <w:r w:rsidR="00B17AE1" w:rsidRPr="00F60A3D">
        <w:rPr>
          <w:lang w:val="fr-FR"/>
        </w:rPr>
        <w:t> </w:t>
      </w:r>
      <w:r w:rsidR="00774D41" w:rsidRPr="00F60A3D">
        <w:rPr>
          <w:lang w:val="fr-FR"/>
        </w:rPr>
        <w:t>1/2012, vis</w:t>
      </w:r>
      <w:r w:rsidR="00AD0313" w:rsidRPr="00F60A3D">
        <w:rPr>
          <w:lang w:val="fr-FR"/>
        </w:rPr>
        <w:t xml:space="preserve">ant à </w:t>
      </w:r>
      <w:r w:rsidR="00731982" w:rsidRPr="00F60A3D">
        <w:rPr>
          <w:lang w:val="fr-FR"/>
        </w:rPr>
        <w:t>«</w:t>
      </w:r>
      <w:r w:rsidR="00E66B81" w:rsidRPr="00F60A3D">
        <w:rPr>
          <w:lang w:val="fr-FR"/>
        </w:rPr>
        <w:t>intégrer</w:t>
      </w:r>
      <w:r w:rsidR="004608AC" w:rsidRPr="00F60A3D">
        <w:rPr>
          <w:lang w:val="fr-FR"/>
        </w:rPr>
        <w:t xml:space="preserve"> à la Constitution</w:t>
      </w:r>
      <w:r w:rsidR="00F1640E" w:rsidRPr="00F60A3D">
        <w:rPr>
          <w:lang w:val="fr-FR"/>
        </w:rPr>
        <w:t xml:space="preserve"> le princi</w:t>
      </w:r>
      <w:r w:rsidR="00774D41" w:rsidRPr="00F60A3D">
        <w:rPr>
          <w:lang w:val="fr-FR"/>
        </w:rPr>
        <w:t>pe d</w:t>
      </w:r>
      <w:r w:rsidR="00B17AE1" w:rsidRPr="00F60A3D">
        <w:rPr>
          <w:lang w:val="fr-FR"/>
        </w:rPr>
        <w:t>’</w:t>
      </w:r>
      <w:r w:rsidR="00774D41" w:rsidRPr="00F60A3D">
        <w:rPr>
          <w:lang w:val="fr-FR"/>
        </w:rPr>
        <w:t>équilibre du budget</w:t>
      </w:r>
      <w:r w:rsidR="00CC6F71" w:rsidRPr="00F60A3D">
        <w:rPr>
          <w:lang w:val="fr-FR"/>
        </w:rPr>
        <w:t xml:space="preserve"> (</w:t>
      </w:r>
      <w:r w:rsidR="00CC6F71" w:rsidRPr="00F60A3D">
        <w:rPr>
          <w:i/>
          <w:lang w:val="fr-FR"/>
        </w:rPr>
        <w:t>Pareggio di bilancio</w:t>
      </w:r>
      <w:r w:rsidR="004608AC" w:rsidRPr="00F60A3D">
        <w:rPr>
          <w:lang w:val="fr-FR"/>
        </w:rPr>
        <w:t>)</w:t>
      </w:r>
      <w:r w:rsidR="00AD0313" w:rsidRPr="00F60A3D">
        <w:rPr>
          <w:lang w:val="fr-FR"/>
        </w:rPr>
        <w:t>»</w:t>
      </w:r>
      <w:r w:rsidR="00774D41" w:rsidRPr="00F60A3D">
        <w:rPr>
          <w:lang w:val="fr-FR"/>
        </w:rPr>
        <w:t xml:space="preserve"> (prenant effet en 2014</w:t>
      </w:r>
      <w:r w:rsidR="00CC6F71" w:rsidRPr="00F60A3D">
        <w:rPr>
          <w:lang w:val="fr-FR"/>
        </w:rPr>
        <w:t xml:space="preserve">). </w:t>
      </w:r>
    </w:p>
    <w:p w:rsidR="007F041D" w:rsidRPr="00F60A3D" w:rsidRDefault="00C07193" w:rsidP="00764058">
      <w:pPr>
        <w:pStyle w:val="SingleTxtG"/>
        <w:rPr>
          <w:lang w:val="fr-FR"/>
        </w:rPr>
      </w:pPr>
      <w:r w:rsidRPr="00F60A3D">
        <w:rPr>
          <w:lang w:val="fr-FR"/>
        </w:rPr>
        <w:t>63</w:t>
      </w:r>
      <w:r w:rsidR="007F041D" w:rsidRPr="00F60A3D">
        <w:rPr>
          <w:lang w:val="fr-FR"/>
        </w:rPr>
        <w:t>.</w:t>
      </w:r>
      <w:r w:rsidR="007F041D" w:rsidRPr="00F60A3D">
        <w:rPr>
          <w:lang w:val="fr-FR"/>
        </w:rPr>
        <w:tab/>
        <w:t xml:space="preserve">La Loi fondamentale du </w:t>
      </w:r>
      <w:r w:rsidR="006B154E" w:rsidRPr="00F60A3D">
        <w:rPr>
          <w:lang w:val="fr-FR"/>
        </w:rPr>
        <w:t>1</w:t>
      </w:r>
      <w:r w:rsidR="006B154E" w:rsidRPr="00F60A3D">
        <w:rPr>
          <w:vertAlign w:val="superscript"/>
          <w:lang w:val="fr-FR"/>
        </w:rPr>
        <w:t>er</w:t>
      </w:r>
      <w:r w:rsidR="006B154E" w:rsidRPr="00F60A3D">
        <w:rPr>
          <w:lang w:val="fr-FR"/>
        </w:rPr>
        <w:t> </w:t>
      </w:r>
      <w:r w:rsidR="007F041D" w:rsidRPr="00F60A3D">
        <w:rPr>
          <w:lang w:val="fr-FR"/>
        </w:rPr>
        <w:t>janvier 1948 demeure la C</w:t>
      </w:r>
      <w:r w:rsidR="00F1640E" w:rsidRPr="00F60A3D">
        <w:rPr>
          <w:lang w:val="fr-FR"/>
        </w:rPr>
        <w:t>onstitution de la République d</w:t>
      </w:r>
      <w:r w:rsidR="00B17AE1" w:rsidRPr="00F60A3D">
        <w:rPr>
          <w:lang w:val="fr-FR"/>
        </w:rPr>
        <w:t>’</w:t>
      </w:r>
      <w:r w:rsidR="00F1640E" w:rsidRPr="00F60A3D">
        <w:rPr>
          <w:lang w:val="fr-FR"/>
        </w:rPr>
        <w:t>It</w:t>
      </w:r>
      <w:r w:rsidR="007F041D" w:rsidRPr="00F60A3D">
        <w:rPr>
          <w:lang w:val="fr-FR"/>
        </w:rPr>
        <w:t>alie et les modifications se rapportent aux articles suivants</w:t>
      </w:r>
      <w:r w:rsidR="00CC6F71" w:rsidRPr="00F60A3D">
        <w:rPr>
          <w:lang w:val="fr-FR"/>
        </w:rPr>
        <w:t xml:space="preserve">: </w:t>
      </w:r>
      <w:r w:rsidR="00D26282" w:rsidRPr="00F60A3D">
        <w:rPr>
          <w:lang w:val="fr-FR"/>
        </w:rPr>
        <w:t>articles </w:t>
      </w:r>
      <w:r w:rsidR="00CC6F71" w:rsidRPr="00F60A3D">
        <w:rPr>
          <w:lang w:val="fr-FR"/>
        </w:rPr>
        <w:t>48</w:t>
      </w:r>
      <w:r w:rsidR="007F041D" w:rsidRPr="00F60A3D">
        <w:rPr>
          <w:lang w:val="fr-FR"/>
        </w:rPr>
        <w:t xml:space="preserve"> (vote par </w:t>
      </w:r>
      <w:r w:rsidR="007F041D" w:rsidRPr="00F60A3D">
        <w:rPr>
          <w:lang w:val="fr-FR"/>
        </w:rPr>
        <w:lastRenderedPageBreak/>
        <w:t>cou</w:t>
      </w:r>
      <w:r w:rsidR="00337768" w:rsidRPr="00F60A3D">
        <w:rPr>
          <w:lang w:val="fr-FR"/>
        </w:rPr>
        <w:t>r</w:t>
      </w:r>
      <w:r w:rsidR="007F041D" w:rsidRPr="00F60A3D">
        <w:rPr>
          <w:lang w:val="fr-FR"/>
        </w:rPr>
        <w:t xml:space="preserve">rier); 51 (participation des femmes aux fonctions publiques); 56, 57, 60 </w:t>
      </w:r>
      <w:r w:rsidR="00337768" w:rsidRPr="00F60A3D">
        <w:rPr>
          <w:lang w:val="fr-FR"/>
        </w:rPr>
        <w:t>(composition et durée du mandat</w:t>
      </w:r>
      <w:r w:rsidR="007F041D" w:rsidRPr="00F60A3D">
        <w:rPr>
          <w:lang w:val="fr-FR"/>
        </w:rPr>
        <w:t xml:space="preserve"> des deux Chambres); 68 (indemnité et immunité des membres du Parlement); 79 (amnistie et remise de peine)</w:t>
      </w:r>
      <w:r w:rsidR="000972EA" w:rsidRPr="00F60A3D">
        <w:rPr>
          <w:lang w:val="fr-FR"/>
        </w:rPr>
        <w:t>; 88 (dissolution des Chambres); 96 (mise e</w:t>
      </w:r>
      <w:r w:rsidR="007D25AB" w:rsidRPr="00F60A3D">
        <w:rPr>
          <w:lang w:val="fr-FR"/>
        </w:rPr>
        <w:t>n accusation); 114 à 132 (</w:t>
      </w:r>
      <w:r w:rsidR="000972EA" w:rsidRPr="00F60A3D">
        <w:rPr>
          <w:lang w:val="fr-FR"/>
        </w:rPr>
        <w:t xml:space="preserve">administrations locales); 134 et 135 </w:t>
      </w:r>
      <w:r w:rsidR="00337768" w:rsidRPr="00F60A3D">
        <w:rPr>
          <w:lang w:val="fr-FR"/>
        </w:rPr>
        <w:t>(composition et durée du mandat</w:t>
      </w:r>
      <w:r w:rsidR="000972EA" w:rsidRPr="00F60A3D">
        <w:rPr>
          <w:lang w:val="fr-FR"/>
        </w:rPr>
        <w:t xml:space="preserve"> de la Cour constitutionnelle). Quatre amendements ont </w:t>
      </w:r>
      <w:r w:rsidR="000059AA" w:rsidRPr="00F60A3D">
        <w:rPr>
          <w:lang w:val="fr-FR"/>
        </w:rPr>
        <w:t>été adoptés au cours de la</w:t>
      </w:r>
      <w:r w:rsidR="004608AC" w:rsidRPr="00F60A3D">
        <w:rPr>
          <w:lang w:val="fr-FR"/>
        </w:rPr>
        <w:t xml:space="preserve"> XIII</w:t>
      </w:r>
      <w:r w:rsidR="00764058" w:rsidRPr="00F60A3D">
        <w:rPr>
          <w:vertAlign w:val="superscript"/>
          <w:lang w:val="fr-FR"/>
        </w:rPr>
        <w:t>e</w:t>
      </w:r>
      <w:r w:rsidR="007D0FAF" w:rsidRPr="00F60A3D">
        <w:rPr>
          <w:lang w:val="fr-FR"/>
        </w:rPr>
        <w:t> </w:t>
      </w:r>
      <w:r w:rsidR="000972EA" w:rsidRPr="00F60A3D">
        <w:rPr>
          <w:lang w:val="fr-FR"/>
        </w:rPr>
        <w:t>lé</w:t>
      </w:r>
      <w:r w:rsidR="00014300" w:rsidRPr="00F60A3D">
        <w:rPr>
          <w:lang w:val="fr-FR"/>
        </w:rPr>
        <w:t>gislature (1996</w:t>
      </w:r>
      <w:r w:rsidR="00764058" w:rsidRPr="00F60A3D">
        <w:rPr>
          <w:lang w:val="fr-FR"/>
        </w:rPr>
        <w:t>-</w:t>
      </w:r>
      <w:r w:rsidR="00F1640E" w:rsidRPr="00F60A3D">
        <w:rPr>
          <w:lang w:val="fr-FR"/>
        </w:rPr>
        <w:t>2001). Ils concernaient la repré</w:t>
      </w:r>
      <w:r w:rsidR="000972EA" w:rsidRPr="00F60A3D">
        <w:rPr>
          <w:lang w:val="fr-FR"/>
        </w:rPr>
        <w:t>sentation parlementaire des It</w:t>
      </w:r>
      <w:r w:rsidR="00F1640E" w:rsidRPr="00F60A3D">
        <w:rPr>
          <w:lang w:val="fr-FR"/>
        </w:rPr>
        <w:t>aliens vivant à l</w:t>
      </w:r>
      <w:r w:rsidR="00B17AE1" w:rsidRPr="00F60A3D">
        <w:rPr>
          <w:lang w:val="fr-FR"/>
        </w:rPr>
        <w:t>’</w:t>
      </w:r>
      <w:r w:rsidR="00F1640E" w:rsidRPr="00F60A3D">
        <w:rPr>
          <w:lang w:val="fr-FR"/>
        </w:rPr>
        <w:t>ét</w:t>
      </w:r>
      <w:r w:rsidR="00E66B81" w:rsidRPr="00F60A3D">
        <w:rPr>
          <w:lang w:val="fr-FR"/>
        </w:rPr>
        <w:t>r</w:t>
      </w:r>
      <w:r w:rsidR="00F1640E" w:rsidRPr="00F60A3D">
        <w:rPr>
          <w:lang w:val="fr-FR"/>
        </w:rPr>
        <w:t>anger; la délé</w:t>
      </w:r>
      <w:r w:rsidR="000972EA" w:rsidRPr="00F60A3D">
        <w:rPr>
          <w:lang w:val="fr-FR"/>
        </w:rPr>
        <w:t>gation de responsabilités (complémentaires) aux régi</w:t>
      </w:r>
      <w:r w:rsidR="00F1640E" w:rsidRPr="00F60A3D">
        <w:rPr>
          <w:lang w:val="fr-FR"/>
        </w:rPr>
        <w:t>ons (</w:t>
      </w:r>
      <w:r w:rsidR="00707AB3" w:rsidRPr="00F60A3D">
        <w:rPr>
          <w:lang w:val="fr-FR"/>
        </w:rPr>
        <w:t xml:space="preserve">aux </w:t>
      </w:r>
      <w:r w:rsidR="00F1640E" w:rsidRPr="00F60A3D">
        <w:rPr>
          <w:lang w:val="fr-FR"/>
        </w:rPr>
        <w:t>gouvernement</w:t>
      </w:r>
      <w:r w:rsidR="00707AB3" w:rsidRPr="00F60A3D">
        <w:rPr>
          <w:lang w:val="fr-FR"/>
        </w:rPr>
        <w:t>s</w:t>
      </w:r>
      <w:r w:rsidR="00F1640E" w:rsidRPr="00F60A3D">
        <w:rPr>
          <w:lang w:val="fr-FR"/>
        </w:rPr>
        <w:t xml:space="preserve"> administratif</w:t>
      </w:r>
      <w:r w:rsidR="00707AB3" w:rsidRPr="00F60A3D">
        <w:rPr>
          <w:lang w:val="fr-FR"/>
        </w:rPr>
        <w:t>s</w:t>
      </w:r>
      <w:r w:rsidR="004608AC" w:rsidRPr="00F60A3D">
        <w:rPr>
          <w:lang w:val="fr-FR"/>
        </w:rPr>
        <w:t xml:space="preserve"> </w:t>
      </w:r>
      <w:r w:rsidR="00707AB3" w:rsidRPr="00F60A3D">
        <w:rPr>
          <w:lang w:val="fr-FR"/>
        </w:rPr>
        <w:t>locaux</w:t>
      </w:r>
      <w:r w:rsidR="000972EA" w:rsidRPr="00F60A3D">
        <w:rPr>
          <w:lang w:val="fr-FR"/>
        </w:rPr>
        <w:t>); les élections direc</w:t>
      </w:r>
      <w:r w:rsidR="00A3122C" w:rsidRPr="00F60A3D">
        <w:rPr>
          <w:lang w:val="fr-FR"/>
        </w:rPr>
        <w:t>tes du P</w:t>
      </w:r>
      <w:r w:rsidR="00AF4EB1" w:rsidRPr="00F60A3D">
        <w:rPr>
          <w:lang w:val="fr-FR"/>
        </w:rPr>
        <w:t>résident des régions</w:t>
      </w:r>
      <w:r w:rsidR="00731982" w:rsidRPr="00F60A3D">
        <w:rPr>
          <w:lang w:val="fr-FR"/>
        </w:rPr>
        <w:t>;</w:t>
      </w:r>
      <w:r w:rsidR="00F1640E" w:rsidRPr="00F60A3D">
        <w:rPr>
          <w:lang w:val="fr-FR"/>
        </w:rPr>
        <w:t xml:space="preserve"> une </w:t>
      </w:r>
      <w:r w:rsidR="000972EA" w:rsidRPr="00F60A3D">
        <w:rPr>
          <w:lang w:val="fr-FR"/>
        </w:rPr>
        <w:t xml:space="preserve">application plus efficace du principe de </w:t>
      </w:r>
      <w:r w:rsidR="00234A9A" w:rsidRPr="00F60A3D">
        <w:rPr>
          <w:lang w:val="fr-FR"/>
        </w:rPr>
        <w:t xml:space="preserve">procédure régulière et une reconnaissance effective du droit à un procès équitable. En 1967, les </w:t>
      </w:r>
      <w:r w:rsidR="00D26282" w:rsidRPr="00F60A3D">
        <w:rPr>
          <w:lang w:val="fr-FR"/>
        </w:rPr>
        <w:t>articles </w:t>
      </w:r>
      <w:r w:rsidR="00321588" w:rsidRPr="00F60A3D">
        <w:rPr>
          <w:lang w:val="fr-FR"/>
        </w:rPr>
        <w:t>10 et 26 ont été harmonis</w:t>
      </w:r>
      <w:r w:rsidR="00234A9A" w:rsidRPr="00F60A3D">
        <w:rPr>
          <w:lang w:val="fr-FR"/>
        </w:rPr>
        <w:t>és par une disposition constitutionnelle selon laquelle leurs dern</w:t>
      </w:r>
      <w:r w:rsidR="00496DC1" w:rsidRPr="00F60A3D">
        <w:rPr>
          <w:lang w:val="fr-FR"/>
        </w:rPr>
        <w:t>iers alinéa</w:t>
      </w:r>
      <w:r w:rsidR="00234A9A" w:rsidRPr="00F60A3D">
        <w:rPr>
          <w:lang w:val="fr-FR"/>
        </w:rPr>
        <w:t>s respectifs (qui interdisent l</w:t>
      </w:r>
      <w:r w:rsidR="00B17AE1" w:rsidRPr="00F60A3D">
        <w:rPr>
          <w:lang w:val="fr-FR"/>
        </w:rPr>
        <w:t>’</w:t>
      </w:r>
      <w:r w:rsidR="00234A9A" w:rsidRPr="00F60A3D">
        <w:rPr>
          <w:lang w:val="fr-FR"/>
        </w:rPr>
        <w:t>extradition d</w:t>
      </w:r>
      <w:r w:rsidR="00B17AE1" w:rsidRPr="00F60A3D">
        <w:rPr>
          <w:lang w:val="fr-FR"/>
        </w:rPr>
        <w:t>’</w:t>
      </w:r>
      <w:r w:rsidR="00234A9A" w:rsidRPr="00F60A3D">
        <w:rPr>
          <w:lang w:val="fr-FR"/>
        </w:rPr>
        <w:t>un étranger pour des infractions politiques), ne s</w:t>
      </w:r>
      <w:r w:rsidR="00B17AE1" w:rsidRPr="00F60A3D">
        <w:rPr>
          <w:lang w:val="fr-FR"/>
        </w:rPr>
        <w:t>’</w:t>
      </w:r>
      <w:r w:rsidR="00234A9A" w:rsidRPr="00F60A3D">
        <w:rPr>
          <w:lang w:val="fr-FR"/>
        </w:rPr>
        <w:t xml:space="preserve">appliquent pas en cas de crime de génocide. </w:t>
      </w:r>
    </w:p>
    <w:p w:rsidR="00CC6F71" w:rsidRPr="00F60A3D" w:rsidRDefault="00C07193" w:rsidP="00764058">
      <w:pPr>
        <w:pStyle w:val="SingleTxtG"/>
        <w:rPr>
          <w:lang w:val="fr-FR"/>
        </w:rPr>
      </w:pPr>
      <w:r w:rsidRPr="00F60A3D">
        <w:rPr>
          <w:lang w:val="fr-FR"/>
        </w:rPr>
        <w:t>64</w:t>
      </w:r>
      <w:r w:rsidR="00234A9A" w:rsidRPr="00F60A3D">
        <w:rPr>
          <w:lang w:val="fr-FR"/>
        </w:rPr>
        <w:t>.</w:t>
      </w:r>
      <w:r w:rsidR="00234A9A" w:rsidRPr="00F60A3D">
        <w:rPr>
          <w:lang w:val="fr-FR"/>
        </w:rPr>
        <w:tab/>
        <w:t xml:space="preserve">Durant la </w:t>
      </w:r>
      <w:r w:rsidR="00DA6F74" w:rsidRPr="00F60A3D">
        <w:rPr>
          <w:lang w:val="fr-FR"/>
        </w:rPr>
        <w:t>XIV</w:t>
      </w:r>
      <w:r w:rsidR="00764058" w:rsidRPr="00F60A3D">
        <w:rPr>
          <w:vertAlign w:val="superscript"/>
          <w:lang w:val="fr-FR"/>
        </w:rPr>
        <w:t>e</w:t>
      </w:r>
      <w:r w:rsidR="00912DA5" w:rsidRPr="00F60A3D">
        <w:rPr>
          <w:szCs w:val="18"/>
          <w:lang w:val="fr-FR"/>
        </w:rPr>
        <w:t> </w:t>
      </w:r>
      <w:r w:rsidR="00234A9A" w:rsidRPr="00F60A3D">
        <w:rPr>
          <w:lang w:val="fr-FR"/>
        </w:rPr>
        <w:t xml:space="preserve">législature </w:t>
      </w:r>
      <w:r w:rsidR="00AD0313" w:rsidRPr="00F60A3D">
        <w:rPr>
          <w:lang w:val="fr-FR"/>
        </w:rPr>
        <w:t xml:space="preserve">(2001 à </w:t>
      </w:r>
      <w:r w:rsidR="00CC6F71" w:rsidRPr="00F60A3D">
        <w:rPr>
          <w:lang w:val="fr-FR"/>
        </w:rPr>
        <w:t xml:space="preserve">2006), </w:t>
      </w:r>
      <w:r w:rsidR="00D70154" w:rsidRPr="00F60A3D">
        <w:rPr>
          <w:lang w:val="fr-FR"/>
        </w:rPr>
        <w:t xml:space="preserve">le Parlement a approuvé: </w:t>
      </w:r>
      <w:r w:rsidR="00234A9A" w:rsidRPr="00F60A3D">
        <w:rPr>
          <w:lang w:val="fr-FR"/>
        </w:rPr>
        <w:t>i)</w:t>
      </w:r>
      <w:r w:rsidR="00912DA5" w:rsidRPr="00F60A3D">
        <w:rPr>
          <w:szCs w:val="18"/>
          <w:lang w:val="fr-FR"/>
        </w:rPr>
        <w:t> </w:t>
      </w:r>
      <w:r w:rsidR="00234A9A" w:rsidRPr="00F60A3D">
        <w:rPr>
          <w:lang w:val="fr-FR"/>
        </w:rPr>
        <w:t>l</w:t>
      </w:r>
      <w:r w:rsidR="00B17AE1" w:rsidRPr="00F60A3D">
        <w:rPr>
          <w:lang w:val="fr-FR"/>
        </w:rPr>
        <w:t>’</w:t>
      </w:r>
      <w:r w:rsidR="00FE4548" w:rsidRPr="00F60A3D">
        <w:rPr>
          <w:lang w:val="fr-FR"/>
        </w:rPr>
        <w:t>abrogation</w:t>
      </w:r>
      <w:r w:rsidR="008B1BD1" w:rsidRPr="00F60A3D">
        <w:rPr>
          <w:lang w:val="fr-FR"/>
        </w:rPr>
        <w:t xml:space="preserve"> de la disposition transit</w:t>
      </w:r>
      <w:r w:rsidR="00234A9A" w:rsidRPr="00F60A3D">
        <w:rPr>
          <w:lang w:val="fr-FR"/>
        </w:rPr>
        <w:t>oire XIII qui limitait le</w:t>
      </w:r>
      <w:r w:rsidR="00524C6C" w:rsidRPr="00F60A3D">
        <w:rPr>
          <w:lang w:val="fr-FR"/>
        </w:rPr>
        <w:t xml:space="preserve">s droits civils </w:t>
      </w:r>
      <w:r w:rsidR="00AC5247" w:rsidRPr="00F60A3D">
        <w:rPr>
          <w:lang w:val="fr-FR"/>
        </w:rPr>
        <w:t xml:space="preserve">des </w:t>
      </w:r>
      <w:r w:rsidR="001D2B2E" w:rsidRPr="00F60A3D">
        <w:rPr>
          <w:lang w:val="fr-FR"/>
        </w:rPr>
        <w:t>membres et descendants masculin</w:t>
      </w:r>
      <w:r w:rsidR="0070030A" w:rsidRPr="00F60A3D">
        <w:rPr>
          <w:lang w:val="fr-FR"/>
        </w:rPr>
        <w:t>s</w:t>
      </w:r>
      <w:r w:rsidR="004F7CD6" w:rsidRPr="00F60A3D">
        <w:rPr>
          <w:lang w:val="fr-FR"/>
        </w:rPr>
        <w:t xml:space="preserve"> </w:t>
      </w:r>
      <w:r w:rsidR="00234A9A" w:rsidRPr="00F60A3D">
        <w:rPr>
          <w:lang w:val="fr-FR"/>
        </w:rPr>
        <w:t>de la Maison de Sav</w:t>
      </w:r>
      <w:r w:rsidR="00F1640E" w:rsidRPr="00F60A3D">
        <w:rPr>
          <w:lang w:val="fr-FR"/>
        </w:rPr>
        <w:t>oie (famille royale italienne jusqu</w:t>
      </w:r>
      <w:r w:rsidR="00B17AE1" w:rsidRPr="00F60A3D">
        <w:rPr>
          <w:lang w:val="fr-FR"/>
        </w:rPr>
        <w:t>’</w:t>
      </w:r>
      <w:r w:rsidR="00F1640E" w:rsidRPr="00F60A3D">
        <w:rPr>
          <w:lang w:val="fr-FR"/>
        </w:rPr>
        <w:t>en 19</w:t>
      </w:r>
      <w:r w:rsidR="00D70154" w:rsidRPr="00F60A3D">
        <w:rPr>
          <w:lang w:val="fr-FR"/>
        </w:rPr>
        <w:t xml:space="preserve">46); et </w:t>
      </w:r>
      <w:r w:rsidR="00234A9A" w:rsidRPr="00F60A3D">
        <w:rPr>
          <w:lang w:val="fr-FR"/>
        </w:rPr>
        <w:t>ii)</w:t>
      </w:r>
      <w:r w:rsidR="00912DA5" w:rsidRPr="00F60A3D">
        <w:rPr>
          <w:szCs w:val="18"/>
          <w:lang w:val="fr-FR"/>
        </w:rPr>
        <w:t> </w:t>
      </w:r>
      <w:r w:rsidR="00234A9A" w:rsidRPr="00F60A3D">
        <w:rPr>
          <w:lang w:val="fr-FR"/>
        </w:rPr>
        <w:t>une nouvelle disposition visant à encourager une meilleure participation des femmes aux fonctions publiq</w:t>
      </w:r>
      <w:r w:rsidR="00AE69FB" w:rsidRPr="00F60A3D">
        <w:rPr>
          <w:lang w:val="fr-FR"/>
        </w:rPr>
        <w:t>ues, en particulier aux charges électives</w:t>
      </w:r>
      <w:r w:rsidR="00DA6F74" w:rsidRPr="00F60A3D">
        <w:rPr>
          <w:lang w:val="fr-FR"/>
        </w:rPr>
        <w:t xml:space="preserve"> (</w:t>
      </w:r>
      <w:r w:rsidR="00731982" w:rsidRPr="00F60A3D">
        <w:rPr>
          <w:lang w:val="fr-FR"/>
        </w:rPr>
        <w:t>art. </w:t>
      </w:r>
      <w:r w:rsidR="00B04C56" w:rsidRPr="00F60A3D">
        <w:rPr>
          <w:lang w:val="fr-FR"/>
        </w:rPr>
        <w:t>51</w:t>
      </w:r>
      <w:r w:rsidR="00EE21DC" w:rsidRPr="00F60A3D">
        <w:rPr>
          <w:lang w:val="fr-FR"/>
        </w:rPr>
        <w:t xml:space="preserve"> et</w:t>
      </w:r>
      <w:r w:rsidR="00B04C56" w:rsidRPr="00F60A3D">
        <w:rPr>
          <w:lang w:val="fr-FR"/>
        </w:rPr>
        <w:t xml:space="preserve"> 117</w:t>
      </w:r>
      <w:r w:rsidR="00EE21DC" w:rsidRPr="00F60A3D">
        <w:rPr>
          <w:lang w:val="fr-FR"/>
        </w:rPr>
        <w:t xml:space="preserve">, </w:t>
      </w:r>
      <w:r w:rsidR="00B17AE1" w:rsidRPr="00F60A3D">
        <w:rPr>
          <w:lang w:val="fr-FR"/>
        </w:rPr>
        <w:t>par. </w:t>
      </w:r>
      <w:r w:rsidR="00234A9A" w:rsidRPr="00F60A3D">
        <w:rPr>
          <w:lang w:val="fr-FR"/>
        </w:rPr>
        <w:t>7</w:t>
      </w:r>
      <w:r w:rsidR="0065419F" w:rsidRPr="00F60A3D">
        <w:rPr>
          <w:lang w:val="fr-FR"/>
        </w:rPr>
        <w:t xml:space="preserve">). </w:t>
      </w:r>
      <w:r w:rsidR="00DA6F74" w:rsidRPr="00F60A3D">
        <w:rPr>
          <w:lang w:val="fr-FR"/>
        </w:rPr>
        <w:t>Plus récemment, sous la XVI</w:t>
      </w:r>
      <w:r w:rsidR="00764058" w:rsidRPr="00F60A3D">
        <w:rPr>
          <w:vertAlign w:val="superscript"/>
          <w:lang w:val="fr-FR"/>
        </w:rPr>
        <w:t>e</w:t>
      </w:r>
      <w:r w:rsidR="00764058" w:rsidRPr="00F60A3D">
        <w:rPr>
          <w:lang w:val="fr-FR"/>
        </w:rPr>
        <w:t> </w:t>
      </w:r>
      <w:r w:rsidR="004F5C58" w:rsidRPr="00F60A3D">
        <w:rPr>
          <w:lang w:val="fr-FR"/>
        </w:rPr>
        <w:t>l</w:t>
      </w:r>
      <w:r w:rsidR="00234A9A" w:rsidRPr="00F60A3D">
        <w:rPr>
          <w:lang w:val="fr-FR"/>
        </w:rPr>
        <w:t xml:space="preserve">égislature, </w:t>
      </w:r>
      <w:r w:rsidR="008B5DC2" w:rsidRPr="00F60A3D">
        <w:rPr>
          <w:lang w:val="fr-FR"/>
        </w:rPr>
        <w:t>le principe d</w:t>
      </w:r>
      <w:r w:rsidR="00B17AE1" w:rsidRPr="00F60A3D">
        <w:rPr>
          <w:lang w:val="fr-FR"/>
        </w:rPr>
        <w:t>’</w:t>
      </w:r>
      <w:r w:rsidR="008B5DC2" w:rsidRPr="00F60A3D">
        <w:rPr>
          <w:lang w:val="fr-FR"/>
        </w:rPr>
        <w:t xml:space="preserve">équilibre du </w:t>
      </w:r>
      <w:r w:rsidR="00CC6F71" w:rsidRPr="00F60A3D">
        <w:rPr>
          <w:lang w:val="fr-FR"/>
        </w:rPr>
        <w:t>budget (</w:t>
      </w:r>
      <w:r w:rsidR="00CC6F71" w:rsidRPr="00F60A3D">
        <w:rPr>
          <w:i/>
          <w:lang w:val="fr-FR"/>
        </w:rPr>
        <w:t>Pareggio di bilancio</w:t>
      </w:r>
      <w:r w:rsidR="00F1640E" w:rsidRPr="00F60A3D">
        <w:rPr>
          <w:lang w:val="fr-FR"/>
        </w:rPr>
        <w:t xml:space="preserve">) a </w:t>
      </w:r>
      <w:r w:rsidR="008B5DC2" w:rsidRPr="00F60A3D">
        <w:rPr>
          <w:lang w:val="fr-FR"/>
        </w:rPr>
        <w:t xml:space="preserve">également été adopté </w:t>
      </w:r>
      <w:r w:rsidR="00CC6F71" w:rsidRPr="00F60A3D">
        <w:rPr>
          <w:lang w:val="fr-FR"/>
        </w:rPr>
        <w:t>(</w:t>
      </w:r>
      <w:r w:rsidR="00731982" w:rsidRPr="00F60A3D">
        <w:rPr>
          <w:color w:val="1C1C1C"/>
          <w:lang w:val="fr-FR"/>
        </w:rPr>
        <w:t>art. </w:t>
      </w:r>
      <w:r w:rsidR="008B5DC2" w:rsidRPr="00F60A3D">
        <w:rPr>
          <w:color w:val="1C1C1C"/>
          <w:lang w:val="fr-FR"/>
        </w:rPr>
        <w:t>81, 97, 117 et</w:t>
      </w:r>
      <w:r w:rsidR="00FE4548" w:rsidRPr="00F60A3D">
        <w:rPr>
          <w:color w:val="1C1C1C"/>
          <w:lang w:val="fr-FR"/>
        </w:rPr>
        <w:t xml:space="preserve"> </w:t>
      </w:r>
      <w:r w:rsidR="00CC6F71" w:rsidRPr="00F60A3D">
        <w:rPr>
          <w:color w:val="1C1C1C"/>
          <w:lang w:val="fr-FR"/>
        </w:rPr>
        <w:t xml:space="preserve">119). </w:t>
      </w:r>
    </w:p>
    <w:p w:rsidR="00CC6F71" w:rsidRPr="00F60A3D" w:rsidRDefault="00C07193" w:rsidP="008B5DC2">
      <w:pPr>
        <w:pStyle w:val="SingleTxtG"/>
        <w:rPr>
          <w:lang w:val="fr-FR"/>
        </w:rPr>
      </w:pPr>
      <w:r w:rsidRPr="00F60A3D">
        <w:rPr>
          <w:lang w:val="fr-FR"/>
        </w:rPr>
        <w:t>65</w:t>
      </w:r>
      <w:r w:rsidR="008A3E15" w:rsidRPr="00F60A3D">
        <w:rPr>
          <w:lang w:val="fr-FR"/>
        </w:rPr>
        <w:t>.</w:t>
      </w:r>
      <w:r w:rsidR="008A3E15" w:rsidRPr="00F60A3D">
        <w:rPr>
          <w:lang w:val="fr-FR"/>
        </w:rPr>
        <w:tab/>
        <w:t>Trois commissions</w:t>
      </w:r>
      <w:r w:rsidR="008B5DC2" w:rsidRPr="00F60A3D">
        <w:rPr>
          <w:lang w:val="fr-FR"/>
        </w:rPr>
        <w:t xml:space="preserve"> pa</w:t>
      </w:r>
      <w:r w:rsidR="004608AC" w:rsidRPr="00F60A3D">
        <w:rPr>
          <w:lang w:val="fr-FR"/>
        </w:rPr>
        <w:t>rlementaires ont été réunies de 1983 à</w:t>
      </w:r>
      <w:r w:rsidR="00DA6F74" w:rsidRPr="00F60A3D">
        <w:rPr>
          <w:lang w:val="fr-FR"/>
        </w:rPr>
        <w:t xml:space="preserve"> 19</w:t>
      </w:r>
      <w:r w:rsidR="004608AC" w:rsidRPr="00F60A3D">
        <w:rPr>
          <w:lang w:val="fr-FR"/>
        </w:rPr>
        <w:t>85, 1992 à</w:t>
      </w:r>
      <w:r w:rsidR="00AD0313" w:rsidRPr="00F60A3D">
        <w:rPr>
          <w:lang w:val="fr-FR"/>
        </w:rPr>
        <w:t xml:space="preserve"> </w:t>
      </w:r>
      <w:r w:rsidR="004608AC" w:rsidRPr="00F60A3D">
        <w:rPr>
          <w:lang w:val="fr-FR"/>
        </w:rPr>
        <w:t>19</w:t>
      </w:r>
      <w:r w:rsidR="008B5DC2" w:rsidRPr="00F60A3D">
        <w:rPr>
          <w:lang w:val="fr-FR"/>
        </w:rPr>
        <w:t>94 et</w:t>
      </w:r>
      <w:r w:rsidR="004608AC" w:rsidRPr="00F60A3D">
        <w:rPr>
          <w:lang w:val="fr-FR"/>
        </w:rPr>
        <w:t xml:space="preserve"> 1997 à</w:t>
      </w:r>
      <w:r w:rsidR="00AD0313" w:rsidRPr="00F60A3D">
        <w:rPr>
          <w:lang w:val="fr-FR"/>
        </w:rPr>
        <w:t xml:space="preserve"> </w:t>
      </w:r>
      <w:r w:rsidR="004608AC" w:rsidRPr="00F60A3D">
        <w:rPr>
          <w:lang w:val="fr-FR"/>
        </w:rPr>
        <w:t>19</w:t>
      </w:r>
      <w:r w:rsidR="00CC6F71" w:rsidRPr="00F60A3D">
        <w:rPr>
          <w:lang w:val="fr-FR"/>
        </w:rPr>
        <w:t>98</w:t>
      </w:r>
      <w:r w:rsidR="003A40FF" w:rsidRPr="00F60A3D">
        <w:rPr>
          <w:lang w:val="fr-FR"/>
        </w:rPr>
        <w:t>,</w:t>
      </w:r>
      <w:r w:rsidR="00CC6F71" w:rsidRPr="00F60A3D">
        <w:rPr>
          <w:lang w:val="fr-FR"/>
        </w:rPr>
        <w:t xml:space="preserve"> </w:t>
      </w:r>
      <w:r w:rsidR="008B5DC2" w:rsidRPr="00F60A3D">
        <w:rPr>
          <w:lang w:val="fr-FR"/>
        </w:rPr>
        <w:t xml:space="preserve">en vue de rédiger des propositions en réponse aux questions portant sur les modifications et les </w:t>
      </w:r>
      <w:r w:rsidR="003A40FF" w:rsidRPr="00F60A3D">
        <w:rPr>
          <w:lang w:val="fr-FR"/>
        </w:rPr>
        <w:t>complé</w:t>
      </w:r>
      <w:r w:rsidR="008B5DC2" w:rsidRPr="00F60A3D">
        <w:rPr>
          <w:lang w:val="fr-FR"/>
        </w:rPr>
        <w:t>ments apportés à la Loi fondamen</w:t>
      </w:r>
      <w:r w:rsidR="003A40FF" w:rsidRPr="00F60A3D">
        <w:rPr>
          <w:lang w:val="fr-FR"/>
        </w:rPr>
        <w:t>tale de 1948 (en particulier à sa P</w:t>
      </w:r>
      <w:r w:rsidR="008B5DC2" w:rsidRPr="00F60A3D">
        <w:rPr>
          <w:lang w:val="fr-FR"/>
        </w:rPr>
        <w:t>artie II c</w:t>
      </w:r>
      <w:r w:rsidR="00F1640E" w:rsidRPr="00F60A3D">
        <w:rPr>
          <w:lang w:val="fr-FR"/>
        </w:rPr>
        <w:t>oncernant l</w:t>
      </w:r>
      <w:r w:rsidR="00B17AE1" w:rsidRPr="00F60A3D">
        <w:rPr>
          <w:lang w:val="fr-FR"/>
        </w:rPr>
        <w:t>’</w:t>
      </w:r>
      <w:r w:rsidR="00F1640E" w:rsidRPr="00F60A3D">
        <w:rPr>
          <w:lang w:val="fr-FR"/>
        </w:rPr>
        <w:t>organisation de la R</w:t>
      </w:r>
      <w:r w:rsidR="008B5DC2" w:rsidRPr="00F60A3D">
        <w:rPr>
          <w:lang w:val="fr-FR"/>
        </w:rPr>
        <w:t xml:space="preserve">épublique, </w:t>
      </w:r>
      <w:r w:rsidR="003A40FF" w:rsidRPr="00F60A3D">
        <w:rPr>
          <w:lang w:val="fr-FR"/>
        </w:rPr>
        <w:t>le P</w:t>
      </w:r>
      <w:r w:rsidR="00CE0C8D" w:rsidRPr="00F60A3D">
        <w:rPr>
          <w:lang w:val="fr-FR"/>
        </w:rPr>
        <w:t>arlement, le c</w:t>
      </w:r>
      <w:r w:rsidR="008B5DC2" w:rsidRPr="00F60A3D">
        <w:rPr>
          <w:lang w:val="fr-FR"/>
        </w:rPr>
        <w:t>hef de l</w:t>
      </w:r>
      <w:r w:rsidR="00B17AE1" w:rsidRPr="00F60A3D">
        <w:rPr>
          <w:lang w:val="fr-FR"/>
        </w:rPr>
        <w:t>’</w:t>
      </w:r>
      <w:r w:rsidR="008B5DC2" w:rsidRPr="00F60A3D">
        <w:rPr>
          <w:lang w:val="fr-FR"/>
        </w:rPr>
        <w:t xml:space="preserve">État, le Gouvernement, le pouvoir judiciaire, les régions et les municipalités, la Cour constitutionnelle et la </w:t>
      </w:r>
      <w:r w:rsidR="003A40FF" w:rsidRPr="00F60A3D">
        <w:rPr>
          <w:lang w:val="fr-FR"/>
        </w:rPr>
        <w:t>ré</w:t>
      </w:r>
      <w:r w:rsidR="008B5DC2" w:rsidRPr="00F60A3D">
        <w:rPr>
          <w:lang w:val="fr-FR"/>
        </w:rPr>
        <w:t>vision constitutionnelle), mais elles n</w:t>
      </w:r>
      <w:r w:rsidR="00B17AE1" w:rsidRPr="00F60A3D">
        <w:rPr>
          <w:lang w:val="fr-FR"/>
        </w:rPr>
        <w:t>’</w:t>
      </w:r>
      <w:r w:rsidR="008B5DC2" w:rsidRPr="00F60A3D">
        <w:rPr>
          <w:lang w:val="fr-FR"/>
        </w:rPr>
        <w:t xml:space="preserve">ont pu remplir leur </w:t>
      </w:r>
      <w:r w:rsidR="003A40FF" w:rsidRPr="00F60A3D">
        <w:rPr>
          <w:lang w:val="fr-FR"/>
        </w:rPr>
        <w:t>mandat</w:t>
      </w:r>
      <w:r w:rsidR="008B5DC2" w:rsidRPr="00F60A3D">
        <w:rPr>
          <w:lang w:val="fr-FR"/>
        </w:rPr>
        <w:t xml:space="preserve"> suite à l</w:t>
      </w:r>
      <w:r w:rsidR="00B17AE1" w:rsidRPr="00F60A3D">
        <w:rPr>
          <w:lang w:val="fr-FR"/>
        </w:rPr>
        <w:t>’</w:t>
      </w:r>
      <w:r w:rsidR="008B5DC2" w:rsidRPr="00F60A3D">
        <w:rPr>
          <w:lang w:val="fr-FR"/>
        </w:rPr>
        <w:t>absence de consensus politique.</w:t>
      </w:r>
      <w:r w:rsidR="00731982" w:rsidRPr="00F60A3D">
        <w:rPr>
          <w:lang w:val="fr-FR"/>
        </w:rPr>
        <w:t xml:space="preserve"> </w:t>
      </w:r>
    </w:p>
    <w:p w:rsidR="00CC6F71" w:rsidRPr="00F60A3D" w:rsidRDefault="00224935" w:rsidP="00912DA5">
      <w:pPr>
        <w:pStyle w:val="SingleTxtG"/>
        <w:rPr>
          <w:lang w:val="fr-FR"/>
        </w:rPr>
      </w:pPr>
      <w:r w:rsidRPr="00F60A3D">
        <w:rPr>
          <w:lang w:val="fr-FR"/>
        </w:rPr>
        <w:t>66.</w:t>
      </w:r>
      <w:r w:rsidR="001D2CCC" w:rsidRPr="00F60A3D">
        <w:rPr>
          <w:lang w:val="fr-FR"/>
        </w:rPr>
        <w:tab/>
      </w:r>
      <w:r w:rsidR="003A40FF" w:rsidRPr="00F60A3D">
        <w:rPr>
          <w:lang w:val="fr-FR"/>
        </w:rPr>
        <w:t>Dans le cadre de</w:t>
      </w:r>
      <w:r w:rsidR="00A3122C" w:rsidRPr="00F60A3D">
        <w:rPr>
          <w:lang w:val="fr-FR"/>
        </w:rPr>
        <w:t xml:space="preserve"> l</w:t>
      </w:r>
      <w:r w:rsidR="00B17AE1" w:rsidRPr="00F60A3D">
        <w:rPr>
          <w:lang w:val="fr-FR"/>
        </w:rPr>
        <w:t>’</w:t>
      </w:r>
      <w:r w:rsidR="00A3122C" w:rsidRPr="00F60A3D">
        <w:rPr>
          <w:lang w:val="fr-FR"/>
        </w:rPr>
        <w:t>actuelle Assemblée législative</w:t>
      </w:r>
      <w:r w:rsidR="00274A04" w:rsidRPr="00F60A3D">
        <w:rPr>
          <w:lang w:val="fr-FR"/>
        </w:rPr>
        <w:t>, il convient de</w:t>
      </w:r>
      <w:r w:rsidR="003A40FF" w:rsidRPr="00F60A3D">
        <w:rPr>
          <w:lang w:val="fr-FR"/>
        </w:rPr>
        <w:t xml:space="preserve"> mentionner le</w:t>
      </w:r>
      <w:r w:rsidR="00152B78" w:rsidRPr="00F60A3D">
        <w:rPr>
          <w:lang w:val="fr-FR"/>
        </w:rPr>
        <w:t xml:space="preserve"> projet de loi constitutionnel</w:t>
      </w:r>
      <w:r w:rsidR="001D2B2E" w:rsidRPr="00F60A3D">
        <w:rPr>
          <w:lang w:val="fr-FR"/>
        </w:rPr>
        <w:t>le</w:t>
      </w:r>
      <w:r w:rsidR="00274A04" w:rsidRPr="00F60A3D">
        <w:rPr>
          <w:lang w:val="fr-FR"/>
        </w:rPr>
        <w:t xml:space="preserve"> </w:t>
      </w:r>
      <w:r w:rsidR="00B17AE1" w:rsidRPr="00F60A3D">
        <w:rPr>
          <w:lang w:val="fr-FR"/>
        </w:rPr>
        <w:t>n</w:t>
      </w:r>
      <w:r w:rsidR="00B17AE1" w:rsidRPr="00F60A3D">
        <w:rPr>
          <w:vertAlign w:val="superscript"/>
          <w:lang w:val="fr-FR"/>
        </w:rPr>
        <w:t>o</w:t>
      </w:r>
      <w:r w:rsidR="00B17AE1" w:rsidRPr="00F60A3D">
        <w:rPr>
          <w:lang w:val="fr-FR"/>
        </w:rPr>
        <w:t> </w:t>
      </w:r>
      <w:r w:rsidR="00912DA5" w:rsidRPr="00F60A3D">
        <w:rPr>
          <w:lang w:val="fr-FR"/>
        </w:rPr>
        <w:t>S. </w:t>
      </w:r>
      <w:r w:rsidR="003A40FF" w:rsidRPr="00F60A3D">
        <w:rPr>
          <w:lang w:val="fr-FR"/>
        </w:rPr>
        <w:t>1429</w:t>
      </w:r>
      <w:r w:rsidR="005D7A71" w:rsidRPr="00F60A3D">
        <w:rPr>
          <w:lang w:val="fr-FR"/>
        </w:rPr>
        <w:t xml:space="preserve"> portant sur les</w:t>
      </w:r>
      <w:r w:rsidR="00AD0313" w:rsidRPr="00F60A3D">
        <w:rPr>
          <w:lang w:val="fr-FR"/>
        </w:rPr>
        <w:t xml:space="preserve"> </w:t>
      </w:r>
      <w:r w:rsidR="00731982" w:rsidRPr="00F60A3D">
        <w:rPr>
          <w:lang w:val="fr-FR"/>
        </w:rPr>
        <w:t>«</w:t>
      </w:r>
      <w:r w:rsidR="005D7A71" w:rsidRPr="00F60A3D">
        <w:rPr>
          <w:lang w:val="fr-FR"/>
        </w:rPr>
        <w:t>D</w:t>
      </w:r>
      <w:r w:rsidR="00E54916" w:rsidRPr="00F60A3D">
        <w:rPr>
          <w:lang w:val="fr-FR"/>
        </w:rPr>
        <w:t>ispositions visant à lutt</w:t>
      </w:r>
      <w:r w:rsidR="005D7A71" w:rsidRPr="00F60A3D">
        <w:rPr>
          <w:lang w:val="fr-FR"/>
        </w:rPr>
        <w:t xml:space="preserve">er </w:t>
      </w:r>
      <w:r w:rsidR="00E54916" w:rsidRPr="00F60A3D">
        <w:rPr>
          <w:lang w:val="fr-FR"/>
        </w:rPr>
        <w:t xml:space="preserve">contre </w:t>
      </w:r>
      <w:r w:rsidR="005D7A71" w:rsidRPr="00F60A3D">
        <w:rPr>
          <w:lang w:val="fr-FR"/>
        </w:rPr>
        <w:t>le bicaméralisme parfait</w:t>
      </w:r>
      <w:r w:rsidR="00EB3B02" w:rsidRPr="00F60A3D">
        <w:rPr>
          <w:lang w:val="fr-FR"/>
        </w:rPr>
        <w:t>,</w:t>
      </w:r>
      <w:r w:rsidR="00274A04" w:rsidRPr="00F60A3D">
        <w:rPr>
          <w:lang w:val="fr-FR"/>
        </w:rPr>
        <w:t xml:space="preserve"> à</w:t>
      </w:r>
      <w:r w:rsidR="00EB3B02" w:rsidRPr="00F60A3D">
        <w:rPr>
          <w:lang w:val="fr-FR"/>
        </w:rPr>
        <w:t xml:space="preserve"> réduire</w:t>
      </w:r>
      <w:r w:rsidR="003A40FF" w:rsidRPr="00F60A3D">
        <w:rPr>
          <w:lang w:val="fr-FR"/>
        </w:rPr>
        <w:t xml:space="preserve"> le nombre de parlementaires,</w:t>
      </w:r>
      <w:r w:rsidR="00EB3B02" w:rsidRPr="00F60A3D">
        <w:rPr>
          <w:lang w:val="fr-FR"/>
        </w:rPr>
        <w:t xml:space="preserve"> </w:t>
      </w:r>
      <w:r w:rsidR="00274A04" w:rsidRPr="00F60A3D">
        <w:rPr>
          <w:lang w:val="fr-FR"/>
        </w:rPr>
        <w:t>à abaisser le</w:t>
      </w:r>
      <w:r w:rsidR="003A40FF" w:rsidRPr="00F60A3D">
        <w:rPr>
          <w:lang w:val="fr-FR"/>
        </w:rPr>
        <w:t xml:space="preserve"> </w:t>
      </w:r>
      <w:r w:rsidR="005D7A71" w:rsidRPr="00F60A3D">
        <w:rPr>
          <w:lang w:val="fr-FR"/>
        </w:rPr>
        <w:t>co</w:t>
      </w:r>
      <w:r w:rsidR="004B43B2" w:rsidRPr="00F60A3D">
        <w:rPr>
          <w:lang w:val="fr-FR"/>
        </w:rPr>
        <w:t>ût</w:t>
      </w:r>
      <w:r w:rsidR="003A40FF" w:rsidRPr="00F60A3D">
        <w:rPr>
          <w:lang w:val="fr-FR"/>
        </w:rPr>
        <w:t xml:space="preserve"> des institutions, </w:t>
      </w:r>
      <w:r w:rsidR="00274A04" w:rsidRPr="00F60A3D">
        <w:rPr>
          <w:lang w:val="fr-FR"/>
        </w:rPr>
        <w:t xml:space="preserve">à </w:t>
      </w:r>
      <w:r w:rsidR="00EB3B02" w:rsidRPr="00F60A3D">
        <w:rPr>
          <w:lang w:val="fr-FR"/>
        </w:rPr>
        <w:t xml:space="preserve">supprimer le </w:t>
      </w:r>
      <w:r w:rsidR="003A40FF" w:rsidRPr="00F60A3D">
        <w:rPr>
          <w:lang w:val="fr-FR"/>
        </w:rPr>
        <w:t>Conseil national de l</w:t>
      </w:r>
      <w:r w:rsidR="00B17AE1" w:rsidRPr="00F60A3D">
        <w:rPr>
          <w:lang w:val="fr-FR"/>
        </w:rPr>
        <w:t>’</w:t>
      </w:r>
      <w:r w:rsidR="003A40FF" w:rsidRPr="00F60A3D">
        <w:rPr>
          <w:lang w:val="fr-FR"/>
        </w:rPr>
        <w:t xml:space="preserve">économie et du travail et </w:t>
      </w:r>
      <w:r w:rsidR="00274A04" w:rsidRPr="00F60A3D">
        <w:rPr>
          <w:lang w:val="fr-FR"/>
        </w:rPr>
        <w:t xml:space="preserve">à </w:t>
      </w:r>
      <w:r w:rsidR="005D7A71" w:rsidRPr="00F60A3D">
        <w:rPr>
          <w:lang w:val="fr-FR"/>
        </w:rPr>
        <w:t>ré</w:t>
      </w:r>
      <w:r w:rsidR="00EB3B02" w:rsidRPr="00F60A3D">
        <w:rPr>
          <w:lang w:val="fr-FR"/>
        </w:rPr>
        <w:t>viser le</w:t>
      </w:r>
      <w:r w:rsidR="00764058" w:rsidRPr="00F60A3D">
        <w:rPr>
          <w:lang w:val="fr-FR"/>
        </w:rPr>
        <w:t xml:space="preserve"> Titre </w:t>
      </w:r>
      <w:r w:rsidR="00AD0313" w:rsidRPr="00F60A3D">
        <w:rPr>
          <w:lang w:val="fr-FR"/>
        </w:rPr>
        <w:t>V, partie</w:t>
      </w:r>
      <w:r w:rsidR="00764058" w:rsidRPr="00F60A3D">
        <w:rPr>
          <w:lang w:val="fr-FR"/>
        </w:rPr>
        <w:t> </w:t>
      </w:r>
      <w:r w:rsidR="00AD0313" w:rsidRPr="00F60A3D">
        <w:rPr>
          <w:lang w:val="fr-FR"/>
        </w:rPr>
        <w:t>II de la Constitution</w:t>
      </w:r>
      <w:r w:rsidR="00731982" w:rsidRPr="00F60A3D">
        <w:rPr>
          <w:lang w:val="fr-FR"/>
        </w:rPr>
        <w:t>»</w:t>
      </w:r>
      <w:r w:rsidR="003A40FF" w:rsidRPr="00F60A3D">
        <w:rPr>
          <w:lang w:val="fr-FR"/>
        </w:rPr>
        <w:t xml:space="preserve">, </w:t>
      </w:r>
      <w:r w:rsidR="00152B78" w:rsidRPr="00F60A3D">
        <w:rPr>
          <w:lang w:val="fr-FR"/>
        </w:rPr>
        <w:t xml:space="preserve">qui </w:t>
      </w:r>
      <w:r w:rsidR="003A40FF" w:rsidRPr="00F60A3D">
        <w:rPr>
          <w:lang w:val="fr-FR"/>
        </w:rPr>
        <w:t>a été approuvé en première lecture par le Sénat (son examen est en cours et un référendum est prévu en octobre</w:t>
      </w:r>
      <w:r w:rsidR="00AD0313" w:rsidRPr="00F60A3D">
        <w:rPr>
          <w:lang w:val="fr-FR"/>
        </w:rPr>
        <w:t xml:space="preserve"> 2016)</w:t>
      </w:r>
      <w:r w:rsidR="002F3319" w:rsidRPr="00F60A3D">
        <w:rPr>
          <w:rStyle w:val="FootnoteReference"/>
          <w:lang w:val="fr-FR"/>
        </w:rPr>
        <w:footnoteReference w:id="22"/>
      </w:r>
      <w:r w:rsidR="00AD0313" w:rsidRPr="00F60A3D">
        <w:rPr>
          <w:lang w:val="fr-FR"/>
        </w:rPr>
        <w:t>.</w:t>
      </w:r>
    </w:p>
    <w:p w:rsidR="00CC6F71" w:rsidRPr="00F60A3D" w:rsidRDefault="00B03B68" w:rsidP="00B03B68">
      <w:pPr>
        <w:pStyle w:val="H23G"/>
        <w:rPr>
          <w:lang w:val="fr-FR"/>
        </w:rPr>
      </w:pPr>
      <w:r w:rsidRPr="00F60A3D">
        <w:rPr>
          <w:lang w:val="fr-FR"/>
        </w:rPr>
        <w:tab/>
      </w:r>
      <w:r w:rsidR="00A711BA" w:rsidRPr="00F60A3D">
        <w:rPr>
          <w:lang w:val="fr-FR"/>
        </w:rPr>
        <w:tab/>
      </w:r>
      <w:r w:rsidR="005D7A71" w:rsidRPr="00F60A3D">
        <w:rPr>
          <w:lang w:val="fr-FR"/>
        </w:rPr>
        <w:t xml:space="preserve">Principes </w:t>
      </w:r>
      <w:r w:rsidR="00E54916" w:rsidRPr="00F60A3D">
        <w:rPr>
          <w:lang w:val="fr-FR"/>
        </w:rPr>
        <w:t xml:space="preserve">fondamentaux </w:t>
      </w:r>
      <w:r w:rsidR="005D7A71" w:rsidRPr="00F60A3D">
        <w:rPr>
          <w:lang w:val="fr-FR"/>
        </w:rPr>
        <w:t>de la</w:t>
      </w:r>
      <w:r w:rsidR="00CC6F71" w:rsidRPr="00F60A3D">
        <w:rPr>
          <w:lang w:val="fr-FR"/>
        </w:rPr>
        <w:t xml:space="preserve"> Constitution</w:t>
      </w:r>
      <w:r w:rsidR="005D7A71" w:rsidRPr="00F60A3D">
        <w:rPr>
          <w:lang w:val="fr-FR"/>
        </w:rPr>
        <w:t xml:space="preserve"> italienne</w:t>
      </w:r>
      <w:r w:rsidR="002F3319" w:rsidRPr="00F60A3D">
        <w:rPr>
          <w:rStyle w:val="FootnoteReference"/>
          <w:b w:val="0"/>
          <w:bCs/>
          <w:lang w:val="fr-FR"/>
        </w:rPr>
        <w:footnoteReference w:id="23"/>
      </w:r>
    </w:p>
    <w:p w:rsidR="00CC6F71" w:rsidRPr="00F60A3D" w:rsidRDefault="00C07193" w:rsidP="005D7A71">
      <w:pPr>
        <w:pStyle w:val="SingleTxtG"/>
        <w:rPr>
          <w:lang w:val="fr-FR"/>
        </w:rPr>
      </w:pPr>
      <w:r w:rsidRPr="00F60A3D">
        <w:rPr>
          <w:lang w:val="fr-FR"/>
        </w:rPr>
        <w:t>6</w:t>
      </w:r>
      <w:r w:rsidR="005D7A71" w:rsidRPr="00F60A3D">
        <w:rPr>
          <w:lang w:val="fr-FR"/>
        </w:rPr>
        <w:t>7.</w:t>
      </w:r>
      <w:r w:rsidR="005D7A71" w:rsidRPr="00F60A3D">
        <w:rPr>
          <w:lang w:val="fr-FR"/>
        </w:rPr>
        <w:tab/>
        <w:t>La Loi fondamentale détermine le cadre politique de l</w:t>
      </w:r>
      <w:r w:rsidR="00B17AE1" w:rsidRPr="00F60A3D">
        <w:rPr>
          <w:lang w:val="fr-FR"/>
        </w:rPr>
        <w:t>’</w:t>
      </w:r>
      <w:r w:rsidR="005D7A71" w:rsidRPr="00F60A3D">
        <w:rPr>
          <w:lang w:val="fr-FR"/>
        </w:rPr>
        <w:t>action et de l</w:t>
      </w:r>
      <w:r w:rsidR="00B17AE1" w:rsidRPr="00F60A3D">
        <w:rPr>
          <w:lang w:val="fr-FR"/>
        </w:rPr>
        <w:t>’</w:t>
      </w:r>
      <w:r w:rsidR="005D7A71" w:rsidRPr="00F60A3D">
        <w:rPr>
          <w:lang w:val="fr-FR"/>
        </w:rPr>
        <w:t>organisation de l</w:t>
      </w:r>
      <w:r w:rsidR="00B17AE1" w:rsidRPr="00F60A3D">
        <w:rPr>
          <w:lang w:val="fr-FR"/>
        </w:rPr>
        <w:t>’</w:t>
      </w:r>
      <w:r w:rsidR="005D7A71" w:rsidRPr="00F60A3D">
        <w:rPr>
          <w:lang w:val="fr-FR"/>
        </w:rPr>
        <w:t>État. Les éléments fondamentaux ou les</w:t>
      </w:r>
      <w:r w:rsidR="004F5C58" w:rsidRPr="00F60A3D">
        <w:rPr>
          <w:lang w:val="fr-FR"/>
        </w:rPr>
        <w:t xml:space="preserve"> principes structurels du droit constitutionnel</w:t>
      </w:r>
      <w:r w:rsidR="005D7A71" w:rsidRPr="00F60A3D">
        <w:rPr>
          <w:lang w:val="fr-FR"/>
        </w:rPr>
        <w:t xml:space="preserve"> qui régissent l</w:t>
      </w:r>
      <w:r w:rsidR="00B17AE1" w:rsidRPr="00F60A3D">
        <w:rPr>
          <w:lang w:val="fr-FR"/>
        </w:rPr>
        <w:t>’</w:t>
      </w:r>
      <w:r w:rsidR="005D7A71" w:rsidRPr="00F60A3D">
        <w:rPr>
          <w:lang w:val="fr-FR"/>
        </w:rPr>
        <w:t>organisation de l</w:t>
      </w:r>
      <w:r w:rsidR="00B17AE1" w:rsidRPr="00F60A3D">
        <w:rPr>
          <w:lang w:val="fr-FR"/>
        </w:rPr>
        <w:t>’</w:t>
      </w:r>
      <w:r w:rsidR="005D7A71" w:rsidRPr="00F60A3D">
        <w:rPr>
          <w:lang w:val="fr-FR"/>
        </w:rPr>
        <w:t xml:space="preserve">État sont les suivants: </w:t>
      </w:r>
    </w:p>
    <w:p w:rsidR="00131114" w:rsidRPr="00F60A3D" w:rsidRDefault="00AD0313" w:rsidP="00184957">
      <w:pPr>
        <w:pStyle w:val="Bullet1G"/>
      </w:pPr>
      <w:r w:rsidRPr="00F60A3D">
        <w:t>La démocratie, (</w:t>
      </w:r>
      <w:r w:rsidR="00731982" w:rsidRPr="00F60A3D">
        <w:t>art. </w:t>
      </w:r>
      <w:r w:rsidR="001303B2" w:rsidRPr="00F60A3D">
        <w:t>1)</w:t>
      </w:r>
      <w:r w:rsidR="00EB3B02" w:rsidRPr="00F60A3D">
        <w:t>; l</w:t>
      </w:r>
      <w:r w:rsidR="00B17AE1" w:rsidRPr="00F60A3D">
        <w:t>’</w:t>
      </w:r>
      <w:r w:rsidR="001303B2" w:rsidRPr="00F60A3D">
        <w:t>individualité (</w:t>
      </w:r>
      <w:r w:rsidR="00731982" w:rsidRPr="00F60A3D">
        <w:t>art. </w:t>
      </w:r>
      <w:r w:rsidR="00152B78" w:rsidRPr="00F60A3D">
        <w:t>2</w:t>
      </w:r>
      <w:r w:rsidR="001303B2" w:rsidRPr="00F60A3D">
        <w:t>), qui garantit le respect plein</w:t>
      </w:r>
      <w:r w:rsidR="00131114" w:rsidRPr="00F60A3D">
        <w:t xml:space="preserve"> et effectif des</w:t>
      </w:r>
      <w:r w:rsidR="001303B2" w:rsidRPr="00F60A3D">
        <w:t xml:space="preserve"> droits de l</w:t>
      </w:r>
      <w:r w:rsidR="00B17AE1" w:rsidRPr="00F60A3D">
        <w:t>’</w:t>
      </w:r>
      <w:r w:rsidR="001303B2" w:rsidRPr="00F60A3D">
        <w:t>homme; le pluralisme, qui constitue l</w:t>
      </w:r>
      <w:r w:rsidR="00B17AE1" w:rsidRPr="00F60A3D">
        <w:t>’</w:t>
      </w:r>
      <w:r w:rsidR="001303B2" w:rsidRPr="00F60A3D">
        <w:t>une des valeurs de la démocratie</w:t>
      </w:r>
      <w:r w:rsidRPr="00F60A3D">
        <w:t xml:space="preserve"> (</w:t>
      </w:r>
      <w:r w:rsidR="00731982" w:rsidRPr="00F60A3D">
        <w:t>art. </w:t>
      </w:r>
      <w:r w:rsidR="00131114" w:rsidRPr="00F60A3D">
        <w:t>2 et 5); l</w:t>
      </w:r>
      <w:r w:rsidR="00B17AE1" w:rsidRPr="00F60A3D">
        <w:t>’</w:t>
      </w:r>
      <w:r w:rsidR="00131114" w:rsidRPr="00F60A3D">
        <w:t>i</w:t>
      </w:r>
      <w:r w:rsidR="001303B2" w:rsidRPr="00F60A3D">
        <w:t>mportance du travail,</w:t>
      </w:r>
      <w:r w:rsidR="00131114" w:rsidRPr="00F60A3D">
        <w:t xml:space="preserve"> valeur centrale de la c</w:t>
      </w:r>
      <w:r w:rsidRPr="00F60A3D">
        <w:t>ommunauté italienne (</w:t>
      </w:r>
      <w:r w:rsidR="00731982" w:rsidRPr="00F60A3D">
        <w:t>art. </w:t>
      </w:r>
      <w:r w:rsidR="001303B2" w:rsidRPr="00F60A3D">
        <w:t>1</w:t>
      </w:r>
      <w:r w:rsidR="00131114" w:rsidRPr="00F60A3D">
        <w:t xml:space="preserve"> et 4);</w:t>
      </w:r>
      <w:r w:rsidR="001303B2" w:rsidRPr="00F60A3D">
        <w:t xml:space="preserve"> la</w:t>
      </w:r>
      <w:r w:rsidRPr="00F60A3D">
        <w:t xml:space="preserve"> solidarité (</w:t>
      </w:r>
      <w:r w:rsidR="00731982" w:rsidRPr="00F60A3D">
        <w:t>art. </w:t>
      </w:r>
      <w:r w:rsidR="00F2759B" w:rsidRPr="00F60A3D">
        <w:t xml:space="preserve">2); </w:t>
      </w:r>
      <w:r w:rsidR="001303B2" w:rsidRPr="00F60A3D">
        <w:t>l</w:t>
      </w:r>
      <w:r w:rsidR="00B17AE1" w:rsidRPr="00F60A3D">
        <w:t>’</w:t>
      </w:r>
      <w:r w:rsidR="00F2759B" w:rsidRPr="00F60A3D">
        <w:t>égalité formel</w:t>
      </w:r>
      <w:r w:rsidR="001303B2" w:rsidRPr="00F60A3D">
        <w:t>le et substantielle</w:t>
      </w:r>
      <w:r w:rsidR="001303B2" w:rsidRPr="00F60A3D">
        <w:rPr>
          <w:b/>
        </w:rPr>
        <w:t xml:space="preserve">, </w:t>
      </w:r>
      <w:r w:rsidR="001303B2" w:rsidRPr="00F60A3D">
        <w:t>(</w:t>
      </w:r>
      <w:r w:rsidR="00731982" w:rsidRPr="00F60A3D">
        <w:t>art. </w:t>
      </w:r>
      <w:r w:rsidR="00F2759B" w:rsidRPr="00F60A3D">
        <w:t>3</w:t>
      </w:r>
      <w:r w:rsidR="001303B2" w:rsidRPr="00F60A3D">
        <w:t>)</w:t>
      </w:r>
      <w:r w:rsidR="00F2759B" w:rsidRPr="00F60A3D">
        <w:rPr>
          <w:bCs/>
        </w:rPr>
        <w:t xml:space="preserve"> – </w:t>
      </w:r>
      <w:r w:rsidR="00F2759B" w:rsidRPr="00F60A3D">
        <w:t>c</w:t>
      </w:r>
      <w:r w:rsidR="00B17AE1" w:rsidRPr="00F60A3D">
        <w:t>’</w:t>
      </w:r>
      <w:r w:rsidR="00F2759B" w:rsidRPr="00F60A3D">
        <w:t xml:space="preserve">est </w:t>
      </w:r>
      <w:r w:rsidR="001303B2" w:rsidRPr="00F60A3D">
        <w:t xml:space="preserve">aussi </w:t>
      </w:r>
      <w:r w:rsidR="00F2759B" w:rsidRPr="00F60A3D">
        <w:t xml:space="preserve">le critère essentiel qui doit </w:t>
      </w:r>
      <w:r w:rsidR="005C1068" w:rsidRPr="00F60A3D">
        <w:t>être appliqué par le système judic</w:t>
      </w:r>
      <w:r w:rsidR="00F2759B" w:rsidRPr="00F60A3D">
        <w:t xml:space="preserve">iaire comme par les </w:t>
      </w:r>
      <w:r w:rsidR="001303B2" w:rsidRPr="00F60A3D">
        <w:t>autres pouvoirs; l</w:t>
      </w:r>
      <w:r w:rsidR="00B17AE1" w:rsidRPr="00F60A3D">
        <w:t>’</w:t>
      </w:r>
      <w:r w:rsidR="00F2759B" w:rsidRPr="00F60A3D">
        <w:t xml:space="preserve">unité </w:t>
      </w:r>
      <w:r w:rsidR="001303B2" w:rsidRPr="00F60A3D">
        <w:t>et l</w:t>
      </w:r>
      <w:r w:rsidR="00B17AE1" w:rsidRPr="00F60A3D">
        <w:t>’</w:t>
      </w:r>
      <w:r w:rsidRPr="00F60A3D">
        <w:t>intégrité territoriales (</w:t>
      </w:r>
      <w:r w:rsidR="00731982" w:rsidRPr="00F60A3D">
        <w:t>art. </w:t>
      </w:r>
      <w:r w:rsidR="00152B78" w:rsidRPr="00F60A3D">
        <w:t>5) et les princi</w:t>
      </w:r>
      <w:r w:rsidR="0000506C" w:rsidRPr="00F60A3D">
        <w:t>pes d</w:t>
      </w:r>
      <w:r w:rsidR="003941BD" w:rsidRPr="00F60A3D">
        <w:t>e l</w:t>
      </w:r>
      <w:r w:rsidR="00B17AE1" w:rsidRPr="00F60A3D">
        <w:t>’</w:t>
      </w:r>
      <w:r w:rsidR="0000506C" w:rsidRPr="00F60A3D">
        <w:t>État social</w:t>
      </w:r>
      <w:r w:rsidR="004F682D" w:rsidRPr="00F60A3D">
        <w:t xml:space="preserve"> </w:t>
      </w:r>
      <w:r w:rsidR="001303B2" w:rsidRPr="00F60A3D">
        <w:t xml:space="preserve">et de </w:t>
      </w:r>
      <w:r w:rsidR="003941BD" w:rsidRPr="00F60A3D">
        <w:t xml:space="preserve">la </w:t>
      </w:r>
      <w:r w:rsidR="001303B2" w:rsidRPr="00F60A3D">
        <w:t>suprématie du</w:t>
      </w:r>
      <w:r w:rsidR="00764058" w:rsidRPr="00F60A3D">
        <w:t xml:space="preserve"> droit;</w:t>
      </w:r>
    </w:p>
    <w:p w:rsidR="00CC6F71" w:rsidRPr="00F60A3D" w:rsidRDefault="00F2759B" w:rsidP="00184957">
      <w:pPr>
        <w:pStyle w:val="Bullet1G"/>
      </w:pPr>
      <w:r w:rsidRPr="00F60A3D">
        <w:lastRenderedPageBreak/>
        <w:t>L</w:t>
      </w:r>
      <w:r w:rsidR="00B17AE1" w:rsidRPr="00F60A3D">
        <w:t>’</w:t>
      </w:r>
      <w:r w:rsidR="00D26282" w:rsidRPr="00F60A3D">
        <w:t>article </w:t>
      </w:r>
      <w:r w:rsidRPr="00F60A3D">
        <w:t>3 en particulie</w:t>
      </w:r>
      <w:r w:rsidR="00496DC1" w:rsidRPr="00F60A3D">
        <w:t xml:space="preserve">r, dont les </w:t>
      </w:r>
      <w:r w:rsidR="00EE21DC" w:rsidRPr="00F60A3D">
        <w:t>paragraphes</w:t>
      </w:r>
      <w:r w:rsidR="00184957" w:rsidRPr="00F60A3D">
        <w:t> </w:t>
      </w:r>
      <w:r w:rsidR="00152B78" w:rsidRPr="00F60A3D">
        <w:t xml:space="preserve">1 et 2 </w:t>
      </w:r>
      <w:r w:rsidR="001A3305" w:rsidRPr="00F60A3D">
        <w:t>portent sur</w:t>
      </w:r>
      <w:r w:rsidRPr="00F60A3D">
        <w:t xml:space="preserve"> les principes d</w:t>
      </w:r>
      <w:r w:rsidR="00B17AE1" w:rsidRPr="00F60A3D">
        <w:t>’</w:t>
      </w:r>
      <w:r w:rsidRPr="00F60A3D">
        <w:t>égalité formelle et substantielle, dispose ce qui suit:</w:t>
      </w:r>
      <w:r w:rsidR="00CC6F71" w:rsidRPr="00F60A3D">
        <w:t xml:space="preserve"> </w:t>
      </w:r>
      <w:r w:rsidR="00731982" w:rsidRPr="00F60A3D">
        <w:t>«</w:t>
      </w:r>
      <w:r w:rsidRPr="00F60A3D">
        <w:t>1)</w:t>
      </w:r>
      <w:r w:rsidR="00184957" w:rsidRPr="00F60A3D">
        <w:t> </w:t>
      </w:r>
      <w:r w:rsidRPr="00F60A3D">
        <w:t xml:space="preserve">Tous les citoyens </w:t>
      </w:r>
      <w:r w:rsidR="00D643E6" w:rsidRPr="00F60A3D">
        <w:t>on</w:t>
      </w:r>
      <w:r w:rsidRPr="00F60A3D">
        <w:t>t</w:t>
      </w:r>
      <w:r w:rsidR="00D643E6" w:rsidRPr="00F60A3D">
        <w:t xml:space="preserve"> </w:t>
      </w:r>
      <w:r w:rsidRPr="00F60A3D">
        <w:t>une même dignité sociale et sont égaux devant la loi, sans distinction de sexe, de race, de langue, de religion, d</w:t>
      </w:r>
      <w:r w:rsidR="00B17AE1" w:rsidRPr="00F60A3D">
        <w:t>’</w:t>
      </w:r>
      <w:r w:rsidRPr="00F60A3D">
        <w:t>opinions politiques, de conditions</w:t>
      </w:r>
      <w:r w:rsidR="00B04C56" w:rsidRPr="00F60A3D">
        <w:t xml:space="preserve"> personnelles et sociales. </w:t>
      </w:r>
      <w:r w:rsidR="00D643E6" w:rsidRPr="00F60A3D">
        <w:t>2)</w:t>
      </w:r>
      <w:r w:rsidR="00184957" w:rsidRPr="00F60A3D">
        <w:t> </w:t>
      </w:r>
      <w:r w:rsidR="00D643E6" w:rsidRPr="00F60A3D">
        <w:t>Il appartient à la R</w:t>
      </w:r>
      <w:r w:rsidRPr="00F60A3D">
        <w:t>épublique d</w:t>
      </w:r>
      <w:r w:rsidR="00B17AE1" w:rsidRPr="00F60A3D">
        <w:t>’</w:t>
      </w:r>
      <w:r w:rsidRPr="00F60A3D">
        <w:t>éliminer les obstacl</w:t>
      </w:r>
      <w:r w:rsidR="00152B78" w:rsidRPr="00F60A3D">
        <w:t>es d</w:t>
      </w:r>
      <w:r w:rsidR="00B17AE1" w:rsidRPr="00F60A3D">
        <w:t>’</w:t>
      </w:r>
      <w:r w:rsidR="00152B78" w:rsidRPr="00F60A3D">
        <w:t>ordre économique et social</w:t>
      </w:r>
      <w:r w:rsidRPr="00F60A3D">
        <w:t xml:space="preserve"> qui</w:t>
      </w:r>
      <w:r w:rsidR="00152B78" w:rsidRPr="00F60A3D">
        <w:t>,</w:t>
      </w:r>
      <w:r w:rsidRPr="00F60A3D">
        <w:t xml:space="preserve"> en limitant de fait la liberté et l</w:t>
      </w:r>
      <w:r w:rsidR="00B17AE1" w:rsidRPr="00F60A3D">
        <w:t>’</w:t>
      </w:r>
      <w:r w:rsidRPr="00F60A3D">
        <w:t>égalité des citoyens, entravent le plein développement de la personne humaine et la participation effective de tous les travailleurs à l</w:t>
      </w:r>
      <w:r w:rsidR="00B17AE1" w:rsidRPr="00F60A3D">
        <w:t>’</w:t>
      </w:r>
      <w:r w:rsidRPr="00F60A3D">
        <w:t>organisation politique, économique et sociale du pays</w:t>
      </w:r>
      <w:r w:rsidR="00AD0313" w:rsidRPr="00F60A3D">
        <w:t>.</w:t>
      </w:r>
      <w:r w:rsidR="00731982" w:rsidRPr="00F60A3D">
        <w:t>»</w:t>
      </w:r>
    </w:p>
    <w:p w:rsidR="00CC6F71" w:rsidRPr="00F60A3D" w:rsidRDefault="00B03B68" w:rsidP="00B03B68">
      <w:pPr>
        <w:pStyle w:val="H23G"/>
        <w:rPr>
          <w:lang w:val="fr-FR"/>
        </w:rPr>
      </w:pPr>
      <w:r w:rsidRPr="00F60A3D">
        <w:rPr>
          <w:lang w:val="fr-FR"/>
        </w:rPr>
        <w:tab/>
      </w:r>
      <w:r w:rsidRPr="00F60A3D">
        <w:rPr>
          <w:lang w:val="fr-FR"/>
        </w:rPr>
        <w:tab/>
      </w:r>
      <w:r w:rsidR="00A153AC" w:rsidRPr="00F60A3D">
        <w:rPr>
          <w:lang w:val="fr-FR"/>
        </w:rPr>
        <w:t xml:space="preserve">La </w:t>
      </w:r>
      <w:r w:rsidR="00D643E6" w:rsidRPr="00F60A3D">
        <w:rPr>
          <w:lang w:val="fr-FR"/>
        </w:rPr>
        <w:t>République</w:t>
      </w:r>
      <w:r w:rsidR="00CC6F71" w:rsidRPr="00F60A3D">
        <w:rPr>
          <w:lang w:val="fr-FR"/>
        </w:rPr>
        <w:t xml:space="preserve"> </w:t>
      </w:r>
    </w:p>
    <w:p w:rsidR="00A153AC" w:rsidRPr="00F60A3D" w:rsidRDefault="00C07193" w:rsidP="008578E0">
      <w:pPr>
        <w:pStyle w:val="SingleTxtG"/>
        <w:rPr>
          <w:lang w:val="fr-FR"/>
        </w:rPr>
      </w:pPr>
      <w:r w:rsidRPr="00F60A3D">
        <w:rPr>
          <w:lang w:val="fr-FR"/>
        </w:rPr>
        <w:t>6</w:t>
      </w:r>
      <w:r w:rsidR="00CC6F71" w:rsidRPr="00F60A3D">
        <w:rPr>
          <w:lang w:val="fr-FR"/>
        </w:rPr>
        <w:t>8.</w:t>
      </w:r>
      <w:r w:rsidR="00CC6F71" w:rsidRPr="00F60A3D">
        <w:rPr>
          <w:lang w:val="fr-FR"/>
        </w:rPr>
        <w:tab/>
      </w:r>
      <w:r w:rsidR="00A153AC" w:rsidRPr="00F60A3D">
        <w:rPr>
          <w:lang w:val="fr-FR"/>
        </w:rPr>
        <w:t>L</w:t>
      </w:r>
      <w:r w:rsidR="00B17AE1" w:rsidRPr="00F60A3D">
        <w:rPr>
          <w:lang w:val="fr-FR"/>
        </w:rPr>
        <w:t>’</w:t>
      </w:r>
      <w:r w:rsidR="00A153AC" w:rsidRPr="00F60A3D">
        <w:rPr>
          <w:lang w:val="fr-FR"/>
        </w:rPr>
        <w:t>Italie est une République démocratique fondé</w:t>
      </w:r>
      <w:r w:rsidR="00E7189F" w:rsidRPr="00F60A3D">
        <w:rPr>
          <w:lang w:val="fr-FR"/>
        </w:rPr>
        <w:t>e sur le travail, selon les termes de</w:t>
      </w:r>
      <w:r w:rsidR="00180A38" w:rsidRPr="00F60A3D">
        <w:rPr>
          <w:lang w:val="fr-FR"/>
        </w:rPr>
        <w:t xml:space="preserve"> l</w:t>
      </w:r>
      <w:r w:rsidR="00B17AE1" w:rsidRPr="00F60A3D">
        <w:rPr>
          <w:lang w:val="fr-FR"/>
        </w:rPr>
        <w:t>’</w:t>
      </w:r>
      <w:r w:rsidR="00D26282" w:rsidRPr="00F60A3D">
        <w:rPr>
          <w:lang w:val="fr-FR"/>
        </w:rPr>
        <w:t>article 1</w:t>
      </w:r>
      <w:r w:rsidR="00A172F0" w:rsidRPr="00F60A3D">
        <w:rPr>
          <w:vertAlign w:val="superscript"/>
          <w:lang w:val="fr-FR"/>
        </w:rPr>
        <w:t>er</w:t>
      </w:r>
      <w:r w:rsidR="00180A38" w:rsidRPr="00F60A3D">
        <w:rPr>
          <w:lang w:val="fr-FR"/>
        </w:rPr>
        <w:t xml:space="preserve"> de la Constitution</w:t>
      </w:r>
      <w:r w:rsidR="00A153AC" w:rsidRPr="00F60A3D">
        <w:rPr>
          <w:lang w:val="fr-FR"/>
        </w:rPr>
        <w:t>. La</w:t>
      </w:r>
      <w:r w:rsidR="0070030A" w:rsidRPr="00F60A3D">
        <w:rPr>
          <w:lang w:val="fr-FR"/>
        </w:rPr>
        <w:t xml:space="preserve"> souveraineté appartient au</w:t>
      </w:r>
      <w:r w:rsidR="00152B78" w:rsidRPr="00F60A3D">
        <w:rPr>
          <w:lang w:val="fr-FR"/>
        </w:rPr>
        <w:t xml:space="preserve"> peu</w:t>
      </w:r>
      <w:r w:rsidR="00A153AC" w:rsidRPr="00F60A3D">
        <w:rPr>
          <w:lang w:val="fr-FR"/>
        </w:rPr>
        <w:t>ple</w:t>
      </w:r>
      <w:r w:rsidR="00152B78" w:rsidRPr="00F60A3D">
        <w:rPr>
          <w:lang w:val="fr-FR"/>
        </w:rPr>
        <w:t xml:space="preserve"> qui</w:t>
      </w:r>
      <w:r w:rsidR="00A153AC" w:rsidRPr="00F60A3D">
        <w:rPr>
          <w:lang w:val="fr-FR"/>
        </w:rPr>
        <w:t xml:space="preserve"> </w:t>
      </w:r>
      <w:r w:rsidR="00AA0E9B" w:rsidRPr="00F60A3D">
        <w:rPr>
          <w:lang w:val="fr-FR"/>
        </w:rPr>
        <w:t>l</w:t>
      </w:r>
      <w:r w:rsidR="00B17AE1" w:rsidRPr="00F60A3D">
        <w:rPr>
          <w:lang w:val="fr-FR"/>
        </w:rPr>
        <w:t>’</w:t>
      </w:r>
      <w:r w:rsidR="00AA0E9B" w:rsidRPr="00F60A3D">
        <w:rPr>
          <w:lang w:val="fr-FR"/>
        </w:rPr>
        <w:t>exerce dans les formes et</w:t>
      </w:r>
      <w:r w:rsidR="00A153AC" w:rsidRPr="00F60A3D">
        <w:rPr>
          <w:lang w:val="fr-FR"/>
        </w:rPr>
        <w:t xml:space="preserve"> les limites de la Constitution (</w:t>
      </w:r>
      <w:r w:rsidR="00731982" w:rsidRPr="00F60A3D">
        <w:rPr>
          <w:lang w:val="fr-FR"/>
        </w:rPr>
        <w:t>art. </w:t>
      </w:r>
      <w:r w:rsidR="00A45B87" w:rsidRPr="00F60A3D">
        <w:rPr>
          <w:lang w:val="fr-FR"/>
        </w:rPr>
        <w:t>1</w:t>
      </w:r>
      <w:r w:rsidR="003B07D7" w:rsidRPr="00F60A3D">
        <w:rPr>
          <w:vertAlign w:val="superscript"/>
          <w:lang w:val="fr-FR"/>
        </w:rPr>
        <w:t>er</w:t>
      </w:r>
      <w:r w:rsidR="0061482E" w:rsidRPr="00F60A3D">
        <w:rPr>
          <w:lang w:val="fr-FR"/>
        </w:rPr>
        <w:t xml:space="preserve">, </w:t>
      </w:r>
      <w:r w:rsidR="00B17AE1" w:rsidRPr="00F60A3D">
        <w:rPr>
          <w:lang w:val="fr-FR"/>
        </w:rPr>
        <w:t>par. </w:t>
      </w:r>
      <w:r w:rsidR="00A153AC" w:rsidRPr="00F60A3D">
        <w:rPr>
          <w:lang w:val="fr-FR"/>
        </w:rPr>
        <w:t xml:space="preserve">2). Le principe structurel républicain se caractérise par le rejet de la </w:t>
      </w:r>
      <w:r w:rsidR="00A85D80" w:rsidRPr="00F60A3D">
        <w:rPr>
          <w:lang w:val="fr-FR"/>
        </w:rPr>
        <w:t>monarchie en tant que régime d</w:t>
      </w:r>
      <w:r w:rsidR="00B17AE1" w:rsidRPr="00F60A3D">
        <w:rPr>
          <w:lang w:val="fr-FR"/>
        </w:rPr>
        <w:t>’</w:t>
      </w:r>
      <w:r w:rsidR="00A153AC" w:rsidRPr="00F60A3D">
        <w:rPr>
          <w:lang w:val="fr-FR"/>
        </w:rPr>
        <w:t>État: ceci est renforcé par l</w:t>
      </w:r>
      <w:r w:rsidR="00B17AE1" w:rsidRPr="00F60A3D">
        <w:rPr>
          <w:lang w:val="fr-FR"/>
        </w:rPr>
        <w:t>’</w:t>
      </w:r>
      <w:r w:rsidR="00D26282" w:rsidRPr="00F60A3D">
        <w:rPr>
          <w:lang w:val="fr-FR"/>
        </w:rPr>
        <w:t>article </w:t>
      </w:r>
      <w:r w:rsidR="00AA0E9B" w:rsidRPr="00F60A3D">
        <w:rPr>
          <w:lang w:val="fr-FR"/>
        </w:rPr>
        <w:t>139 en vertu duquel</w:t>
      </w:r>
      <w:r w:rsidR="00A85D80" w:rsidRPr="00F60A3D">
        <w:rPr>
          <w:lang w:val="fr-FR"/>
        </w:rPr>
        <w:t xml:space="preserve"> la forme républicaine </w:t>
      </w:r>
      <w:r w:rsidR="00A153AC" w:rsidRPr="00F60A3D">
        <w:rPr>
          <w:lang w:val="fr-FR"/>
        </w:rPr>
        <w:t>ne peut faire l</w:t>
      </w:r>
      <w:r w:rsidR="00B17AE1" w:rsidRPr="00F60A3D">
        <w:rPr>
          <w:lang w:val="fr-FR"/>
        </w:rPr>
        <w:t>’</w:t>
      </w:r>
      <w:r w:rsidR="00A153AC" w:rsidRPr="00F60A3D">
        <w:rPr>
          <w:lang w:val="fr-FR"/>
        </w:rPr>
        <w:t>objet d</w:t>
      </w:r>
      <w:r w:rsidR="00B17AE1" w:rsidRPr="00F60A3D">
        <w:rPr>
          <w:lang w:val="fr-FR"/>
        </w:rPr>
        <w:t>’</w:t>
      </w:r>
      <w:r w:rsidR="00A153AC" w:rsidRPr="00F60A3D">
        <w:rPr>
          <w:lang w:val="fr-FR"/>
        </w:rPr>
        <w:t xml:space="preserve">une révision constitutionnelle. </w:t>
      </w:r>
    </w:p>
    <w:p w:rsidR="00CC6F71" w:rsidRPr="00F60A3D" w:rsidRDefault="008578E0" w:rsidP="008578E0">
      <w:pPr>
        <w:pStyle w:val="H23G"/>
        <w:rPr>
          <w:u w:val="single"/>
          <w:lang w:val="fr-FR"/>
        </w:rPr>
      </w:pPr>
      <w:r w:rsidRPr="00F60A3D">
        <w:rPr>
          <w:lang w:val="fr-FR"/>
        </w:rPr>
        <w:tab/>
      </w:r>
      <w:r w:rsidRPr="00F60A3D">
        <w:rPr>
          <w:lang w:val="fr-FR"/>
        </w:rPr>
        <w:tab/>
      </w:r>
      <w:r w:rsidR="00A153AC" w:rsidRPr="00F60A3D">
        <w:rPr>
          <w:lang w:val="fr-FR"/>
        </w:rPr>
        <w:t>Le Pré</w:t>
      </w:r>
      <w:r w:rsidR="00CC6F71" w:rsidRPr="00F60A3D">
        <w:rPr>
          <w:lang w:val="fr-FR"/>
        </w:rPr>
        <w:t xml:space="preserve">sident </w:t>
      </w:r>
      <w:r w:rsidR="00A153AC" w:rsidRPr="00F60A3D">
        <w:rPr>
          <w:lang w:val="fr-FR"/>
        </w:rPr>
        <w:t>de l</w:t>
      </w:r>
      <w:r w:rsidR="00B17AE1" w:rsidRPr="00F60A3D">
        <w:rPr>
          <w:lang w:val="fr-FR"/>
        </w:rPr>
        <w:t>’</w:t>
      </w:r>
      <w:r w:rsidR="00A153AC" w:rsidRPr="00F60A3D">
        <w:rPr>
          <w:lang w:val="fr-FR"/>
        </w:rPr>
        <w:t xml:space="preserve">Italie </w:t>
      </w:r>
      <w:r w:rsidR="00AD0313" w:rsidRPr="00F60A3D">
        <w:rPr>
          <w:lang w:val="fr-FR"/>
        </w:rPr>
        <w:t>(</w:t>
      </w:r>
      <w:r w:rsidR="00731982" w:rsidRPr="00F60A3D">
        <w:rPr>
          <w:lang w:val="fr-FR"/>
        </w:rPr>
        <w:t>art. </w:t>
      </w:r>
      <w:r w:rsidR="00CC6F71" w:rsidRPr="00F60A3D">
        <w:rPr>
          <w:lang w:val="fr-FR"/>
        </w:rPr>
        <w:t>83-91</w:t>
      </w:r>
      <w:r w:rsidR="00A153AC" w:rsidRPr="00F60A3D">
        <w:rPr>
          <w:lang w:val="fr-FR"/>
        </w:rPr>
        <w:t xml:space="preserve"> de la</w:t>
      </w:r>
      <w:r w:rsidR="00CC6F71" w:rsidRPr="00F60A3D">
        <w:rPr>
          <w:lang w:val="fr-FR"/>
        </w:rPr>
        <w:t xml:space="preserve"> Constitution</w:t>
      </w:r>
      <w:r w:rsidR="00A153AC" w:rsidRPr="00F60A3D">
        <w:rPr>
          <w:lang w:val="fr-FR"/>
        </w:rPr>
        <w:t xml:space="preserve"> italienne</w:t>
      </w:r>
      <w:r w:rsidR="00CC6F71" w:rsidRPr="00F60A3D">
        <w:rPr>
          <w:lang w:val="fr-FR"/>
        </w:rPr>
        <w:t>)</w:t>
      </w:r>
    </w:p>
    <w:p w:rsidR="00A153AC" w:rsidRPr="00F60A3D" w:rsidRDefault="00C07193" w:rsidP="008578E0">
      <w:pPr>
        <w:pStyle w:val="SingleTxtG"/>
        <w:rPr>
          <w:lang w:val="fr-FR"/>
        </w:rPr>
      </w:pPr>
      <w:r w:rsidRPr="00F60A3D">
        <w:rPr>
          <w:lang w:val="fr-FR"/>
        </w:rPr>
        <w:t>6</w:t>
      </w:r>
      <w:r w:rsidR="00690B12" w:rsidRPr="00F60A3D">
        <w:rPr>
          <w:lang w:val="fr-FR"/>
        </w:rPr>
        <w:t>9.</w:t>
      </w:r>
      <w:r w:rsidR="00690B12" w:rsidRPr="00F60A3D">
        <w:rPr>
          <w:lang w:val="fr-FR"/>
        </w:rPr>
        <w:tab/>
      </w:r>
      <w:r w:rsidR="000A0D17" w:rsidRPr="00F60A3D">
        <w:rPr>
          <w:lang w:val="fr-FR"/>
        </w:rPr>
        <w:t xml:space="preserve">Le </w:t>
      </w:r>
      <w:r w:rsidR="00A153AC" w:rsidRPr="00F60A3D">
        <w:rPr>
          <w:lang w:val="fr-FR"/>
        </w:rPr>
        <w:t>P</w:t>
      </w:r>
      <w:r w:rsidR="007171B7" w:rsidRPr="00F60A3D">
        <w:rPr>
          <w:lang w:val="fr-FR"/>
        </w:rPr>
        <w:t>ré</w:t>
      </w:r>
      <w:r w:rsidR="00CE0C8D" w:rsidRPr="00F60A3D">
        <w:rPr>
          <w:lang w:val="fr-FR"/>
        </w:rPr>
        <w:t>sident est le c</w:t>
      </w:r>
      <w:r w:rsidR="00A153AC" w:rsidRPr="00F60A3D">
        <w:rPr>
          <w:lang w:val="fr-FR"/>
        </w:rPr>
        <w:t>hef de l</w:t>
      </w:r>
      <w:r w:rsidR="00B17AE1" w:rsidRPr="00F60A3D">
        <w:rPr>
          <w:lang w:val="fr-FR"/>
        </w:rPr>
        <w:t>’</w:t>
      </w:r>
      <w:r w:rsidR="00A153AC" w:rsidRPr="00F60A3D">
        <w:rPr>
          <w:lang w:val="fr-FR"/>
        </w:rPr>
        <w:t>État et il représente l</w:t>
      </w:r>
      <w:r w:rsidR="00B17AE1" w:rsidRPr="00F60A3D">
        <w:rPr>
          <w:lang w:val="fr-FR"/>
        </w:rPr>
        <w:t>’</w:t>
      </w:r>
      <w:r w:rsidR="00A153AC" w:rsidRPr="00F60A3D">
        <w:rPr>
          <w:lang w:val="fr-FR"/>
        </w:rPr>
        <w:t>unité nation</w:t>
      </w:r>
      <w:r w:rsidR="00690B12" w:rsidRPr="00F60A3D">
        <w:rPr>
          <w:lang w:val="fr-FR"/>
        </w:rPr>
        <w:t>ale</w:t>
      </w:r>
      <w:r w:rsidR="000A0D17" w:rsidRPr="00F60A3D">
        <w:rPr>
          <w:lang w:val="fr-FR"/>
        </w:rPr>
        <w:t>, comme établi à l</w:t>
      </w:r>
      <w:r w:rsidR="00B17AE1" w:rsidRPr="00F60A3D">
        <w:rPr>
          <w:lang w:val="fr-FR"/>
        </w:rPr>
        <w:t>’</w:t>
      </w:r>
      <w:r w:rsidR="00D26282" w:rsidRPr="00F60A3D">
        <w:rPr>
          <w:lang w:val="fr-FR"/>
        </w:rPr>
        <w:t>article </w:t>
      </w:r>
      <w:r w:rsidR="000A0D17" w:rsidRPr="00F60A3D">
        <w:rPr>
          <w:lang w:val="fr-FR"/>
        </w:rPr>
        <w:t>87</w:t>
      </w:r>
      <w:r w:rsidR="00A153AC" w:rsidRPr="00F60A3D">
        <w:rPr>
          <w:lang w:val="fr-FR"/>
        </w:rPr>
        <w:t xml:space="preserve">. </w:t>
      </w:r>
      <w:r w:rsidR="007171B7" w:rsidRPr="00F60A3D">
        <w:rPr>
          <w:lang w:val="fr-FR"/>
        </w:rPr>
        <w:t>Il est le plus haut représentant de</w:t>
      </w:r>
      <w:r w:rsidR="00DE439C" w:rsidRPr="00F60A3D">
        <w:rPr>
          <w:lang w:val="fr-FR"/>
        </w:rPr>
        <w:t xml:space="preserve"> la République italienne,</w:t>
      </w:r>
      <w:r w:rsidR="007171B7" w:rsidRPr="00F60A3D">
        <w:rPr>
          <w:lang w:val="fr-FR"/>
        </w:rPr>
        <w:t xml:space="preserve"> élu pour sept ans par un collè</w:t>
      </w:r>
      <w:r w:rsidR="004C0A41" w:rsidRPr="00F60A3D">
        <w:rPr>
          <w:lang w:val="fr-FR"/>
        </w:rPr>
        <w:t>ge électoral</w:t>
      </w:r>
      <w:r w:rsidR="007171B7" w:rsidRPr="00F60A3D">
        <w:rPr>
          <w:lang w:val="fr-FR"/>
        </w:rPr>
        <w:t xml:space="preserve"> composé des deux chambres du Parlem</w:t>
      </w:r>
      <w:r w:rsidR="00C54E9E" w:rsidRPr="00F60A3D">
        <w:rPr>
          <w:lang w:val="fr-FR"/>
        </w:rPr>
        <w:t>ent, y compris</w:t>
      </w:r>
      <w:r w:rsidR="00764058" w:rsidRPr="00F60A3D">
        <w:rPr>
          <w:lang w:val="fr-FR"/>
        </w:rPr>
        <w:t xml:space="preserve"> 58 </w:t>
      </w:r>
      <w:r w:rsidR="004C0A41" w:rsidRPr="00F60A3D">
        <w:rPr>
          <w:lang w:val="fr-FR"/>
        </w:rPr>
        <w:t xml:space="preserve">délégués régionaux, et qui se réunit en congrès </w:t>
      </w:r>
      <w:r w:rsidR="00AD0313" w:rsidRPr="00F60A3D">
        <w:rPr>
          <w:lang w:val="fr-FR"/>
        </w:rPr>
        <w:t>(</w:t>
      </w:r>
      <w:r w:rsidR="00731982" w:rsidRPr="00F60A3D">
        <w:rPr>
          <w:lang w:val="fr-FR"/>
        </w:rPr>
        <w:t>art. </w:t>
      </w:r>
      <w:r w:rsidR="00B04C56" w:rsidRPr="00F60A3D">
        <w:rPr>
          <w:lang w:val="fr-FR"/>
        </w:rPr>
        <w:t>55</w:t>
      </w:r>
      <w:r w:rsidR="0061482E" w:rsidRPr="00F60A3D">
        <w:rPr>
          <w:lang w:val="fr-FR"/>
        </w:rPr>
        <w:t xml:space="preserve">, </w:t>
      </w:r>
      <w:r w:rsidR="00B17AE1" w:rsidRPr="00F60A3D">
        <w:rPr>
          <w:lang w:val="fr-FR"/>
        </w:rPr>
        <w:t>par. </w:t>
      </w:r>
      <w:r w:rsidR="007171B7" w:rsidRPr="00F60A3D">
        <w:rPr>
          <w:lang w:val="fr-FR"/>
        </w:rPr>
        <w:t xml:space="preserve">2, </w:t>
      </w:r>
      <w:r w:rsidR="0061482E" w:rsidRPr="00F60A3D">
        <w:rPr>
          <w:lang w:val="fr-FR"/>
        </w:rPr>
        <w:t xml:space="preserve">et </w:t>
      </w:r>
      <w:r w:rsidR="007171B7" w:rsidRPr="00F60A3D">
        <w:rPr>
          <w:lang w:val="fr-FR"/>
        </w:rPr>
        <w:t>83).</w:t>
      </w:r>
      <w:r w:rsidR="00731982" w:rsidRPr="00F60A3D">
        <w:rPr>
          <w:lang w:val="fr-FR"/>
        </w:rPr>
        <w:t xml:space="preserve"> </w:t>
      </w:r>
    </w:p>
    <w:p w:rsidR="00041547" w:rsidRPr="00F60A3D" w:rsidRDefault="00C07193" w:rsidP="008578E0">
      <w:pPr>
        <w:pStyle w:val="SingleTxtG"/>
        <w:rPr>
          <w:lang w:val="fr-FR"/>
        </w:rPr>
      </w:pPr>
      <w:r w:rsidRPr="00F60A3D">
        <w:rPr>
          <w:lang w:val="fr-FR"/>
        </w:rPr>
        <w:t>7</w:t>
      </w:r>
      <w:r w:rsidR="00CC6F71" w:rsidRPr="00F60A3D">
        <w:rPr>
          <w:lang w:val="fr-FR"/>
        </w:rPr>
        <w:t>0.</w:t>
      </w:r>
      <w:r w:rsidR="00CC6F71" w:rsidRPr="00F60A3D">
        <w:rPr>
          <w:lang w:val="fr-FR"/>
        </w:rPr>
        <w:tab/>
      </w:r>
      <w:r w:rsidR="00041547" w:rsidRPr="00F60A3D">
        <w:rPr>
          <w:lang w:val="fr-FR"/>
        </w:rPr>
        <w:t xml:space="preserve">À la fin de son mandat présidentiel, </w:t>
      </w:r>
      <w:r w:rsidR="002B6BF9" w:rsidRPr="00F60A3D">
        <w:rPr>
          <w:lang w:val="fr-FR"/>
        </w:rPr>
        <w:t xml:space="preserve">le </w:t>
      </w:r>
      <w:r w:rsidR="00041547" w:rsidRPr="00F60A3D">
        <w:rPr>
          <w:lang w:val="fr-FR"/>
        </w:rPr>
        <w:t xml:space="preserve">Président </w:t>
      </w:r>
      <w:r w:rsidR="002B6BF9" w:rsidRPr="00F60A3D">
        <w:rPr>
          <w:lang w:val="fr-FR"/>
        </w:rPr>
        <w:t>sortant</w:t>
      </w:r>
      <w:r w:rsidR="00E7189F" w:rsidRPr="00F60A3D">
        <w:rPr>
          <w:lang w:val="fr-FR"/>
        </w:rPr>
        <w:t xml:space="preserve"> </w:t>
      </w:r>
      <w:r w:rsidR="002B6BF9" w:rsidRPr="00F60A3D">
        <w:rPr>
          <w:lang w:val="fr-FR"/>
        </w:rPr>
        <w:t>devient</w:t>
      </w:r>
      <w:r w:rsidR="00E7189F" w:rsidRPr="00F60A3D">
        <w:rPr>
          <w:lang w:val="fr-FR"/>
        </w:rPr>
        <w:t xml:space="preserve">, </w:t>
      </w:r>
      <w:r w:rsidR="002B6BF9" w:rsidRPr="00F60A3D">
        <w:rPr>
          <w:lang w:val="fr-FR"/>
        </w:rPr>
        <w:t>de droit</w:t>
      </w:r>
      <w:r w:rsidR="005C1068" w:rsidRPr="00F60A3D">
        <w:rPr>
          <w:lang w:val="fr-FR"/>
        </w:rPr>
        <w:t>, sénateur à vie</w:t>
      </w:r>
      <w:r w:rsidR="002B6BF9" w:rsidRPr="00F60A3D">
        <w:rPr>
          <w:lang w:val="fr-FR"/>
        </w:rPr>
        <w:t>, sauf s</w:t>
      </w:r>
      <w:r w:rsidR="00B17AE1" w:rsidRPr="00F60A3D">
        <w:rPr>
          <w:lang w:val="fr-FR"/>
        </w:rPr>
        <w:t>’</w:t>
      </w:r>
      <w:r w:rsidR="002B6BF9" w:rsidRPr="00F60A3D">
        <w:rPr>
          <w:lang w:val="fr-FR"/>
        </w:rPr>
        <w:t>il y renonce</w:t>
      </w:r>
      <w:r w:rsidR="005C1068" w:rsidRPr="00F60A3D">
        <w:rPr>
          <w:lang w:val="fr-FR"/>
        </w:rPr>
        <w:t xml:space="preserve"> </w:t>
      </w:r>
      <w:r w:rsidR="007A61E2" w:rsidRPr="00F60A3D">
        <w:rPr>
          <w:lang w:val="fr-FR"/>
        </w:rPr>
        <w:t>(</w:t>
      </w:r>
      <w:r w:rsidR="00731982" w:rsidRPr="00F60A3D">
        <w:rPr>
          <w:lang w:val="fr-FR"/>
        </w:rPr>
        <w:t>art. </w:t>
      </w:r>
      <w:r w:rsidR="00B04C56" w:rsidRPr="00F60A3D">
        <w:rPr>
          <w:lang w:val="fr-FR"/>
        </w:rPr>
        <w:t>59</w:t>
      </w:r>
      <w:r w:rsidR="0061482E" w:rsidRPr="00F60A3D">
        <w:rPr>
          <w:lang w:val="fr-FR"/>
        </w:rPr>
        <w:t xml:space="preserve">, </w:t>
      </w:r>
      <w:r w:rsidR="00B17AE1" w:rsidRPr="00F60A3D">
        <w:rPr>
          <w:lang w:val="fr-FR"/>
        </w:rPr>
        <w:t>par. </w:t>
      </w:r>
      <w:r w:rsidR="00041547" w:rsidRPr="00F60A3D">
        <w:rPr>
          <w:lang w:val="fr-FR"/>
        </w:rPr>
        <w:t xml:space="preserve">1). </w:t>
      </w:r>
    </w:p>
    <w:p w:rsidR="00CC6F71" w:rsidRPr="00F60A3D" w:rsidRDefault="00B03B68" w:rsidP="00184957">
      <w:pPr>
        <w:pStyle w:val="H4G"/>
        <w:rPr>
          <w:lang w:val="fr-FR"/>
        </w:rPr>
      </w:pPr>
      <w:r w:rsidRPr="00F60A3D">
        <w:rPr>
          <w:lang w:val="fr-FR"/>
        </w:rPr>
        <w:tab/>
      </w:r>
      <w:r w:rsidRPr="00F60A3D">
        <w:rPr>
          <w:lang w:val="fr-FR"/>
        </w:rPr>
        <w:tab/>
      </w:r>
      <w:r w:rsidR="00041547" w:rsidRPr="00F60A3D">
        <w:rPr>
          <w:lang w:val="fr-FR"/>
        </w:rPr>
        <w:t xml:space="preserve">Immunité et mise en accusation présidentielle </w:t>
      </w:r>
    </w:p>
    <w:p w:rsidR="00041547" w:rsidRPr="00F60A3D" w:rsidRDefault="00C07193" w:rsidP="008578E0">
      <w:pPr>
        <w:pStyle w:val="SingleTxtG"/>
        <w:rPr>
          <w:lang w:val="fr-FR"/>
        </w:rPr>
      </w:pPr>
      <w:r w:rsidRPr="00F60A3D">
        <w:rPr>
          <w:lang w:val="fr-FR"/>
        </w:rPr>
        <w:t>7</w:t>
      </w:r>
      <w:r w:rsidR="00041547" w:rsidRPr="00F60A3D">
        <w:rPr>
          <w:lang w:val="fr-FR"/>
        </w:rPr>
        <w:t>1.</w:t>
      </w:r>
      <w:r w:rsidR="00041547" w:rsidRPr="00F60A3D">
        <w:rPr>
          <w:lang w:val="fr-FR"/>
        </w:rPr>
        <w:tab/>
        <w:t>Le Président de la République n</w:t>
      </w:r>
      <w:r w:rsidR="00B17AE1" w:rsidRPr="00F60A3D">
        <w:rPr>
          <w:lang w:val="fr-FR"/>
        </w:rPr>
        <w:t>’</w:t>
      </w:r>
      <w:r w:rsidR="00041547" w:rsidRPr="00F60A3D">
        <w:rPr>
          <w:lang w:val="fr-FR"/>
        </w:rPr>
        <w:t>est pas responsable des actes accomplis dans l</w:t>
      </w:r>
      <w:r w:rsidR="00B17AE1" w:rsidRPr="00F60A3D">
        <w:rPr>
          <w:lang w:val="fr-FR"/>
        </w:rPr>
        <w:t>’</w:t>
      </w:r>
      <w:r w:rsidR="00041547" w:rsidRPr="00F60A3D">
        <w:rPr>
          <w:lang w:val="fr-FR"/>
        </w:rPr>
        <w:t xml:space="preserve">exercice de ses fonctions, hormis </w:t>
      </w:r>
      <w:r w:rsidR="002B6BF9" w:rsidRPr="00F60A3D">
        <w:rPr>
          <w:lang w:val="fr-FR"/>
        </w:rPr>
        <w:t xml:space="preserve">en </w:t>
      </w:r>
      <w:r w:rsidR="00041547" w:rsidRPr="00F60A3D">
        <w:rPr>
          <w:lang w:val="fr-FR"/>
        </w:rPr>
        <w:t>cas</w:t>
      </w:r>
      <w:r w:rsidR="00E7189F" w:rsidRPr="00F60A3D">
        <w:rPr>
          <w:lang w:val="fr-FR"/>
        </w:rPr>
        <w:t xml:space="preserve"> de haute trahison ou d</w:t>
      </w:r>
      <w:r w:rsidR="00B17AE1" w:rsidRPr="00F60A3D">
        <w:rPr>
          <w:lang w:val="fr-FR"/>
        </w:rPr>
        <w:t>’</w:t>
      </w:r>
      <w:r w:rsidR="00E7189F" w:rsidRPr="00F60A3D">
        <w:rPr>
          <w:lang w:val="fr-FR"/>
        </w:rPr>
        <w:t>atteinte</w:t>
      </w:r>
      <w:r w:rsidR="00041547" w:rsidRPr="00F60A3D">
        <w:rPr>
          <w:lang w:val="fr-FR"/>
        </w:rPr>
        <w:t xml:space="preserve"> à la Constitution. Dans ces cas, i</w:t>
      </w:r>
      <w:r w:rsidR="000C1655" w:rsidRPr="00F60A3D">
        <w:rPr>
          <w:lang w:val="fr-FR"/>
        </w:rPr>
        <w:t>l est mis en accusation par le Parlement réuni</w:t>
      </w:r>
      <w:r w:rsidR="00041547" w:rsidRPr="00F60A3D">
        <w:rPr>
          <w:lang w:val="fr-FR"/>
        </w:rPr>
        <w:t xml:space="preserve"> en congrès, à la majorité</w:t>
      </w:r>
      <w:r w:rsidR="007A61E2" w:rsidRPr="00F60A3D">
        <w:rPr>
          <w:lang w:val="fr-FR"/>
        </w:rPr>
        <w:t xml:space="preserve"> absolue de ses membres (</w:t>
      </w:r>
      <w:r w:rsidR="00731982" w:rsidRPr="00F60A3D">
        <w:rPr>
          <w:lang w:val="fr-FR"/>
        </w:rPr>
        <w:t>art. </w:t>
      </w:r>
      <w:r w:rsidR="00041547" w:rsidRPr="00F60A3D">
        <w:rPr>
          <w:lang w:val="fr-FR"/>
        </w:rPr>
        <w:t>90).</w:t>
      </w:r>
    </w:p>
    <w:p w:rsidR="00B13D90" w:rsidRPr="00F60A3D" w:rsidRDefault="00C07193" w:rsidP="005B36FD">
      <w:pPr>
        <w:pStyle w:val="SingleTxtG"/>
        <w:rPr>
          <w:lang w:val="fr-FR"/>
        </w:rPr>
      </w:pPr>
      <w:r w:rsidRPr="00F60A3D">
        <w:rPr>
          <w:lang w:val="fr-FR"/>
        </w:rPr>
        <w:t>7</w:t>
      </w:r>
      <w:r w:rsidR="00B13D90" w:rsidRPr="00F60A3D">
        <w:rPr>
          <w:lang w:val="fr-FR"/>
        </w:rPr>
        <w:t>2.</w:t>
      </w:r>
      <w:r w:rsidR="00B13D90" w:rsidRPr="00F60A3D">
        <w:rPr>
          <w:lang w:val="fr-FR"/>
        </w:rPr>
        <w:tab/>
        <w:t>D</w:t>
      </w:r>
      <w:r w:rsidR="00B17AE1" w:rsidRPr="00F60A3D">
        <w:rPr>
          <w:lang w:val="fr-FR"/>
        </w:rPr>
        <w:t>’</w:t>
      </w:r>
      <w:r w:rsidR="00B13D90" w:rsidRPr="00F60A3D">
        <w:rPr>
          <w:lang w:val="fr-FR"/>
        </w:rPr>
        <w:t>un point de vue procédural, la Cour constitutionnelle est habilitée à juger (</w:t>
      </w:r>
      <w:r w:rsidR="00731982" w:rsidRPr="00F60A3D">
        <w:rPr>
          <w:lang w:val="fr-FR"/>
        </w:rPr>
        <w:t>art. </w:t>
      </w:r>
      <w:r w:rsidR="00E7189F" w:rsidRPr="00F60A3D">
        <w:rPr>
          <w:lang w:val="fr-FR"/>
        </w:rPr>
        <w:t>134). Quand elle siège pour juger des</w:t>
      </w:r>
      <w:r w:rsidR="00B13D90" w:rsidRPr="00F60A3D">
        <w:rPr>
          <w:lang w:val="fr-FR"/>
        </w:rPr>
        <w:t xml:space="preserve"> accusation</w:t>
      </w:r>
      <w:r w:rsidR="00E7189F" w:rsidRPr="00F60A3D">
        <w:rPr>
          <w:lang w:val="fr-FR"/>
        </w:rPr>
        <w:t>s</w:t>
      </w:r>
      <w:r w:rsidR="00B13D90" w:rsidRPr="00F60A3D">
        <w:rPr>
          <w:lang w:val="fr-FR"/>
        </w:rPr>
        <w:t xml:space="preserve"> </w:t>
      </w:r>
      <w:r w:rsidR="00E7189F" w:rsidRPr="00F60A3D">
        <w:rPr>
          <w:lang w:val="fr-FR"/>
        </w:rPr>
        <w:t>portées contre le Président, elle se compos</w:t>
      </w:r>
      <w:r w:rsidR="00B13D90" w:rsidRPr="00F60A3D">
        <w:rPr>
          <w:lang w:val="fr-FR"/>
        </w:rPr>
        <w:t>e</w:t>
      </w:r>
      <w:r w:rsidR="002F4C82" w:rsidRPr="00F60A3D">
        <w:rPr>
          <w:lang w:val="fr-FR"/>
        </w:rPr>
        <w:t xml:space="preserve"> de trois groupes de </w:t>
      </w:r>
      <w:r w:rsidR="005B36FD" w:rsidRPr="00F60A3D">
        <w:rPr>
          <w:lang w:val="fr-FR"/>
        </w:rPr>
        <w:t>15</w:t>
      </w:r>
      <w:r w:rsidR="002B6BF9" w:rsidRPr="00F60A3D">
        <w:rPr>
          <w:lang w:val="fr-FR"/>
        </w:rPr>
        <w:t xml:space="preserve"> </w:t>
      </w:r>
      <w:r w:rsidR="002F4C82" w:rsidRPr="00F60A3D">
        <w:rPr>
          <w:lang w:val="fr-FR"/>
        </w:rPr>
        <w:t>juges</w:t>
      </w:r>
      <w:r w:rsidR="006E1F89" w:rsidRPr="00F60A3D">
        <w:rPr>
          <w:lang w:val="fr-FR"/>
        </w:rPr>
        <w:t xml:space="preserve"> </w:t>
      </w:r>
      <w:r w:rsidR="00B13D90" w:rsidRPr="00F60A3D">
        <w:rPr>
          <w:lang w:val="fr-FR"/>
        </w:rPr>
        <w:t xml:space="preserve">et de </w:t>
      </w:r>
      <w:r w:rsidR="005B36FD" w:rsidRPr="00F60A3D">
        <w:rPr>
          <w:lang w:val="fr-FR"/>
        </w:rPr>
        <w:t>16</w:t>
      </w:r>
      <w:r w:rsidR="00B13D90" w:rsidRPr="00F60A3D">
        <w:rPr>
          <w:lang w:val="fr-FR"/>
        </w:rPr>
        <w:t xml:space="preserve"> m</w:t>
      </w:r>
      <w:r w:rsidR="002F4C82" w:rsidRPr="00F60A3D">
        <w:rPr>
          <w:lang w:val="fr-FR"/>
        </w:rPr>
        <w:t xml:space="preserve">embres complémentaires </w:t>
      </w:r>
      <w:r w:rsidR="00B13D90" w:rsidRPr="00F60A3D">
        <w:rPr>
          <w:lang w:val="fr-FR"/>
        </w:rPr>
        <w:t>tirés au so</w:t>
      </w:r>
      <w:r w:rsidR="002F4C82" w:rsidRPr="00F60A3D">
        <w:rPr>
          <w:lang w:val="fr-FR"/>
        </w:rPr>
        <w:t>rt sur une liste de citoyens établie</w:t>
      </w:r>
      <w:r w:rsidR="00B13D90" w:rsidRPr="00F60A3D">
        <w:rPr>
          <w:lang w:val="fr-FR"/>
        </w:rPr>
        <w:t xml:space="preserve"> par le Parlement –</w:t>
      </w:r>
      <w:r w:rsidR="005C1068" w:rsidRPr="00F60A3D">
        <w:rPr>
          <w:lang w:val="fr-FR"/>
        </w:rPr>
        <w:t xml:space="preserve"> </w:t>
      </w:r>
      <w:r w:rsidR="002B6BF9" w:rsidRPr="00F60A3D">
        <w:rPr>
          <w:lang w:val="fr-FR"/>
        </w:rPr>
        <w:t>(</w:t>
      </w:r>
      <w:r w:rsidR="00731982" w:rsidRPr="00F60A3D">
        <w:rPr>
          <w:lang w:val="fr-FR"/>
        </w:rPr>
        <w:t>art. </w:t>
      </w:r>
      <w:r w:rsidR="00B04C56" w:rsidRPr="00F60A3D">
        <w:rPr>
          <w:lang w:val="fr-FR"/>
        </w:rPr>
        <w:t>135</w:t>
      </w:r>
      <w:r w:rsidR="0061482E" w:rsidRPr="00F60A3D">
        <w:rPr>
          <w:lang w:val="fr-FR"/>
        </w:rPr>
        <w:t xml:space="preserve">, </w:t>
      </w:r>
      <w:r w:rsidR="00B17AE1" w:rsidRPr="00F60A3D">
        <w:rPr>
          <w:lang w:val="fr-FR"/>
        </w:rPr>
        <w:t>par. </w:t>
      </w:r>
      <w:r w:rsidR="00B13D90" w:rsidRPr="00F60A3D">
        <w:rPr>
          <w:lang w:val="fr-FR"/>
        </w:rPr>
        <w:t xml:space="preserve">7). </w:t>
      </w:r>
    </w:p>
    <w:p w:rsidR="00CC6F71" w:rsidRPr="00F60A3D" w:rsidRDefault="00C07193" w:rsidP="008578E0">
      <w:pPr>
        <w:pStyle w:val="SingleTxtG"/>
        <w:rPr>
          <w:lang w:val="fr-FR"/>
        </w:rPr>
      </w:pPr>
      <w:r w:rsidRPr="00F60A3D">
        <w:rPr>
          <w:lang w:val="fr-FR"/>
        </w:rPr>
        <w:t>7</w:t>
      </w:r>
      <w:r w:rsidR="006E1F89" w:rsidRPr="00F60A3D">
        <w:rPr>
          <w:lang w:val="fr-FR"/>
        </w:rPr>
        <w:t>3.</w:t>
      </w:r>
      <w:r w:rsidR="006E1F89" w:rsidRPr="00F60A3D">
        <w:rPr>
          <w:lang w:val="fr-FR"/>
        </w:rPr>
        <w:tab/>
      </w:r>
      <w:r w:rsidR="00B17AE1" w:rsidRPr="00F60A3D">
        <w:rPr>
          <w:lang w:val="fr-FR"/>
        </w:rPr>
        <w:t>M. </w:t>
      </w:r>
      <w:r w:rsidR="00836779" w:rsidRPr="00F60A3D">
        <w:rPr>
          <w:lang w:val="fr-FR"/>
        </w:rPr>
        <w:t>Sergio</w:t>
      </w:r>
      <w:r w:rsidR="00CC6F71" w:rsidRPr="00F60A3D">
        <w:rPr>
          <w:lang w:val="fr-FR"/>
        </w:rPr>
        <w:t xml:space="preserve"> Mattarella</w:t>
      </w:r>
      <w:r w:rsidR="006E1F89" w:rsidRPr="00F60A3D">
        <w:rPr>
          <w:lang w:val="fr-FR"/>
        </w:rPr>
        <w:t xml:space="preserve"> est l</w:t>
      </w:r>
      <w:r w:rsidR="00B17AE1" w:rsidRPr="00F60A3D">
        <w:rPr>
          <w:lang w:val="fr-FR"/>
        </w:rPr>
        <w:t>’</w:t>
      </w:r>
      <w:r w:rsidR="00CE0C8D" w:rsidRPr="00F60A3D">
        <w:rPr>
          <w:lang w:val="fr-FR"/>
        </w:rPr>
        <w:t>actuel c</w:t>
      </w:r>
      <w:r w:rsidR="006E1F89" w:rsidRPr="00F60A3D">
        <w:rPr>
          <w:lang w:val="fr-FR"/>
        </w:rPr>
        <w:t>hef de l</w:t>
      </w:r>
      <w:r w:rsidR="00B17AE1" w:rsidRPr="00F60A3D">
        <w:rPr>
          <w:lang w:val="fr-FR"/>
        </w:rPr>
        <w:t>’</w:t>
      </w:r>
      <w:r w:rsidR="006E1F89" w:rsidRPr="00F60A3D">
        <w:rPr>
          <w:lang w:val="fr-FR"/>
        </w:rPr>
        <w:t xml:space="preserve">État; il a été élu en janvier 2015. </w:t>
      </w:r>
    </w:p>
    <w:p w:rsidR="00CC6F71" w:rsidRPr="00F60A3D" w:rsidRDefault="00B03B68" w:rsidP="00B03B68">
      <w:pPr>
        <w:pStyle w:val="H23G"/>
        <w:rPr>
          <w:b w:val="0"/>
          <w:i/>
          <w:lang w:val="fr-FR"/>
        </w:rPr>
      </w:pPr>
      <w:r w:rsidRPr="00F60A3D">
        <w:rPr>
          <w:lang w:val="fr-FR"/>
        </w:rPr>
        <w:tab/>
      </w:r>
      <w:r w:rsidRPr="00F60A3D">
        <w:rPr>
          <w:lang w:val="fr-FR"/>
        </w:rPr>
        <w:tab/>
      </w:r>
      <w:r w:rsidR="006E1F89" w:rsidRPr="00F60A3D">
        <w:rPr>
          <w:b w:val="0"/>
          <w:i/>
          <w:lang w:val="fr-FR"/>
        </w:rPr>
        <w:t xml:space="preserve">Fonctions présidentielles </w:t>
      </w:r>
    </w:p>
    <w:p w:rsidR="001E13AA" w:rsidRPr="00F60A3D" w:rsidRDefault="00C07193" w:rsidP="008578E0">
      <w:pPr>
        <w:pStyle w:val="SingleTxtG"/>
        <w:rPr>
          <w:lang w:val="fr-FR"/>
        </w:rPr>
      </w:pPr>
      <w:r w:rsidRPr="00F60A3D">
        <w:rPr>
          <w:lang w:val="fr-FR"/>
        </w:rPr>
        <w:t>7</w:t>
      </w:r>
      <w:r w:rsidR="006E1F89" w:rsidRPr="00F60A3D">
        <w:rPr>
          <w:lang w:val="fr-FR"/>
        </w:rPr>
        <w:t>4.</w:t>
      </w:r>
      <w:r w:rsidR="006E1F89" w:rsidRPr="00F60A3D">
        <w:rPr>
          <w:lang w:val="fr-FR"/>
        </w:rPr>
        <w:tab/>
        <w:t xml:space="preserve">Le </w:t>
      </w:r>
      <w:r w:rsidR="001E13AA" w:rsidRPr="00F60A3D">
        <w:rPr>
          <w:lang w:val="fr-FR"/>
        </w:rPr>
        <w:t>Pré</w:t>
      </w:r>
      <w:r w:rsidR="006E1F89" w:rsidRPr="00F60A3D">
        <w:rPr>
          <w:lang w:val="fr-FR"/>
        </w:rPr>
        <w:t xml:space="preserve">sident </w:t>
      </w:r>
      <w:r w:rsidR="001E13AA" w:rsidRPr="00F60A3D">
        <w:rPr>
          <w:lang w:val="fr-FR"/>
        </w:rPr>
        <w:t xml:space="preserve">est chargé </w:t>
      </w:r>
      <w:r w:rsidR="006E1F89" w:rsidRPr="00F60A3D">
        <w:rPr>
          <w:lang w:val="fr-FR"/>
        </w:rPr>
        <w:t xml:space="preserve">de </w:t>
      </w:r>
      <w:r w:rsidR="000C1655" w:rsidRPr="00F60A3D">
        <w:rPr>
          <w:lang w:val="fr-FR"/>
        </w:rPr>
        <w:t>surveiller</w:t>
      </w:r>
      <w:r w:rsidR="001E13AA" w:rsidRPr="00F60A3D">
        <w:rPr>
          <w:lang w:val="fr-FR"/>
        </w:rPr>
        <w:t xml:space="preserve"> la conformité avec la Constitution italienne et d</w:t>
      </w:r>
      <w:r w:rsidR="00B17AE1" w:rsidRPr="00F60A3D">
        <w:rPr>
          <w:lang w:val="fr-FR"/>
        </w:rPr>
        <w:t>’</w:t>
      </w:r>
      <w:r w:rsidR="006831BA" w:rsidRPr="00F60A3D">
        <w:rPr>
          <w:lang w:val="fr-FR"/>
        </w:rPr>
        <w:t>en garantir le respect. Outre certaine</w:t>
      </w:r>
      <w:r w:rsidR="001E13AA" w:rsidRPr="00F60A3D">
        <w:rPr>
          <w:lang w:val="fr-FR"/>
        </w:rPr>
        <w:t>s</w:t>
      </w:r>
      <w:r w:rsidR="006831BA" w:rsidRPr="00F60A3D">
        <w:rPr>
          <w:lang w:val="fr-FR"/>
        </w:rPr>
        <w:t xml:space="preserve"> prérogatives</w:t>
      </w:r>
      <w:r w:rsidR="001E13AA" w:rsidRPr="00F60A3D">
        <w:rPr>
          <w:lang w:val="fr-FR"/>
        </w:rPr>
        <w:t xml:space="preserve"> extraordinaires en cas de crises ou d</w:t>
      </w:r>
      <w:r w:rsidR="00B17AE1" w:rsidRPr="00F60A3D">
        <w:rPr>
          <w:lang w:val="fr-FR"/>
        </w:rPr>
        <w:t>’</w:t>
      </w:r>
      <w:r w:rsidR="001E13AA" w:rsidRPr="00F60A3D">
        <w:rPr>
          <w:lang w:val="fr-FR"/>
        </w:rPr>
        <w:t>état d</w:t>
      </w:r>
      <w:r w:rsidR="00B17AE1" w:rsidRPr="00F60A3D">
        <w:rPr>
          <w:lang w:val="fr-FR"/>
        </w:rPr>
        <w:t>’</w:t>
      </w:r>
      <w:r w:rsidR="001E13AA" w:rsidRPr="00F60A3D">
        <w:rPr>
          <w:lang w:val="fr-FR"/>
        </w:rPr>
        <w:t>urgence, ses fonction</w:t>
      </w:r>
      <w:r w:rsidR="006831BA" w:rsidRPr="00F60A3D">
        <w:rPr>
          <w:lang w:val="fr-FR"/>
        </w:rPr>
        <w:t>s</w:t>
      </w:r>
      <w:r w:rsidR="001E13AA" w:rsidRPr="00F60A3D">
        <w:rPr>
          <w:lang w:val="fr-FR"/>
        </w:rPr>
        <w:t xml:space="preserve"> en vertu du droit constitutionnel con</w:t>
      </w:r>
      <w:r w:rsidR="006831BA" w:rsidRPr="00F60A3D">
        <w:rPr>
          <w:lang w:val="fr-FR"/>
        </w:rPr>
        <w:t>s</w:t>
      </w:r>
      <w:r w:rsidR="001E13AA" w:rsidRPr="00F60A3D">
        <w:rPr>
          <w:lang w:val="fr-FR"/>
        </w:rPr>
        <w:t>iste</w:t>
      </w:r>
      <w:r w:rsidR="004C0A41" w:rsidRPr="00F60A3D">
        <w:rPr>
          <w:lang w:val="fr-FR"/>
        </w:rPr>
        <w:t>nt</w:t>
      </w:r>
      <w:r w:rsidR="001E13AA" w:rsidRPr="00F60A3D">
        <w:rPr>
          <w:lang w:val="fr-FR"/>
        </w:rPr>
        <w:t xml:space="preserve"> à représenter, intégrer et incarner l</w:t>
      </w:r>
      <w:r w:rsidR="00B17AE1" w:rsidRPr="00F60A3D">
        <w:rPr>
          <w:lang w:val="fr-FR"/>
        </w:rPr>
        <w:t>’</w:t>
      </w:r>
      <w:r w:rsidR="001E13AA" w:rsidRPr="00F60A3D">
        <w:rPr>
          <w:lang w:val="fr-FR"/>
        </w:rPr>
        <w:t xml:space="preserve">État. Le </w:t>
      </w:r>
      <w:r w:rsidR="006831BA" w:rsidRPr="00F60A3D">
        <w:rPr>
          <w:lang w:val="fr-FR"/>
        </w:rPr>
        <w:t>Pré</w:t>
      </w:r>
      <w:r w:rsidR="001E13AA" w:rsidRPr="00F60A3D">
        <w:rPr>
          <w:lang w:val="fr-FR"/>
        </w:rPr>
        <w:t xml:space="preserve">sident </w:t>
      </w:r>
      <w:r w:rsidR="006831BA" w:rsidRPr="00F60A3D">
        <w:rPr>
          <w:lang w:val="fr-FR"/>
        </w:rPr>
        <w:t>représente la R</w:t>
      </w:r>
      <w:r w:rsidR="001E13AA" w:rsidRPr="00F60A3D">
        <w:rPr>
          <w:lang w:val="fr-FR"/>
        </w:rPr>
        <w:t>épublique italienne sur place et à l</w:t>
      </w:r>
      <w:r w:rsidR="00B17AE1" w:rsidRPr="00F60A3D">
        <w:rPr>
          <w:lang w:val="fr-FR"/>
        </w:rPr>
        <w:t>’</w:t>
      </w:r>
      <w:r w:rsidR="001E13AA" w:rsidRPr="00F60A3D">
        <w:rPr>
          <w:lang w:val="fr-FR"/>
        </w:rPr>
        <w:t xml:space="preserve">étranger. </w:t>
      </w:r>
    </w:p>
    <w:p w:rsidR="006831BA" w:rsidRPr="00F60A3D" w:rsidRDefault="00C07193" w:rsidP="008578E0">
      <w:pPr>
        <w:pStyle w:val="SingleTxtG"/>
        <w:rPr>
          <w:lang w:val="fr-FR"/>
        </w:rPr>
      </w:pPr>
      <w:r w:rsidRPr="00F60A3D">
        <w:rPr>
          <w:lang w:val="fr-FR"/>
        </w:rPr>
        <w:t>7</w:t>
      </w:r>
      <w:r w:rsidR="000C1655" w:rsidRPr="00F60A3D">
        <w:rPr>
          <w:lang w:val="fr-FR"/>
        </w:rPr>
        <w:t>5.</w:t>
      </w:r>
      <w:r w:rsidR="000C1655" w:rsidRPr="00F60A3D">
        <w:rPr>
          <w:lang w:val="fr-FR"/>
        </w:rPr>
        <w:tab/>
      </w:r>
      <w:r w:rsidR="000A0D17" w:rsidRPr="00F60A3D">
        <w:rPr>
          <w:lang w:val="fr-FR"/>
        </w:rPr>
        <w:t xml:space="preserve">Le Président </w:t>
      </w:r>
      <w:r w:rsidR="000C1655" w:rsidRPr="00F60A3D">
        <w:rPr>
          <w:lang w:val="fr-FR"/>
        </w:rPr>
        <w:t>est</w:t>
      </w:r>
      <w:r w:rsidR="004B43B2" w:rsidRPr="00F60A3D">
        <w:rPr>
          <w:lang w:val="fr-FR"/>
        </w:rPr>
        <w:t>,</w:t>
      </w:r>
      <w:r w:rsidR="000C1655" w:rsidRPr="00F60A3D">
        <w:rPr>
          <w:lang w:val="fr-FR"/>
        </w:rPr>
        <w:t xml:space="preserve"> entre autres</w:t>
      </w:r>
      <w:r w:rsidR="004B43B2" w:rsidRPr="00F60A3D">
        <w:rPr>
          <w:lang w:val="fr-FR"/>
        </w:rPr>
        <w:t>,</w:t>
      </w:r>
      <w:r w:rsidR="000C1655" w:rsidRPr="00F60A3D">
        <w:rPr>
          <w:lang w:val="fr-FR"/>
        </w:rPr>
        <w:t xml:space="preserve"> habilité</w:t>
      </w:r>
      <w:r w:rsidR="006831BA" w:rsidRPr="00F60A3D">
        <w:rPr>
          <w:lang w:val="fr-FR"/>
        </w:rPr>
        <w:t xml:space="preserve"> à</w:t>
      </w:r>
      <w:r w:rsidR="00CC6F71" w:rsidRPr="00F60A3D">
        <w:rPr>
          <w:lang w:val="fr-FR"/>
        </w:rPr>
        <w:t xml:space="preserve"> exerc</w:t>
      </w:r>
      <w:r w:rsidR="006831BA" w:rsidRPr="00F60A3D">
        <w:rPr>
          <w:lang w:val="fr-FR"/>
        </w:rPr>
        <w:t>er son droit de veto,</w:t>
      </w:r>
      <w:r w:rsidR="000C1655" w:rsidRPr="00F60A3D">
        <w:rPr>
          <w:lang w:val="fr-FR"/>
        </w:rPr>
        <w:t xml:space="preserve"> signer les lois italiennes et </w:t>
      </w:r>
      <w:r w:rsidR="00540190" w:rsidRPr="00F60A3D">
        <w:rPr>
          <w:lang w:val="fr-FR"/>
        </w:rPr>
        <w:t>les promulguer,</w:t>
      </w:r>
      <w:r w:rsidR="006831BA" w:rsidRPr="00F60A3D">
        <w:rPr>
          <w:lang w:val="fr-FR"/>
        </w:rPr>
        <w:t xml:space="preserve"> nommer </w:t>
      </w:r>
      <w:r w:rsidR="005D5913" w:rsidRPr="00F60A3D">
        <w:rPr>
          <w:lang w:val="fr-FR"/>
        </w:rPr>
        <w:t xml:space="preserve">et limoger le Président </w:t>
      </w:r>
      <w:r w:rsidR="006831BA" w:rsidRPr="00F60A3D">
        <w:rPr>
          <w:lang w:val="fr-FR"/>
        </w:rPr>
        <w:t xml:space="preserve">du Conseil des Ministres et les ministres. </w:t>
      </w:r>
      <w:r w:rsidR="00B9423D" w:rsidRPr="00F60A3D">
        <w:rPr>
          <w:lang w:val="fr-FR"/>
        </w:rPr>
        <w:t>Il est aussi le chef de l</w:t>
      </w:r>
      <w:r w:rsidR="00B17AE1" w:rsidRPr="00F60A3D">
        <w:rPr>
          <w:lang w:val="fr-FR"/>
        </w:rPr>
        <w:t>’</w:t>
      </w:r>
      <w:r w:rsidR="00B9423D" w:rsidRPr="00F60A3D">
        <w:rPr>
          <w:lang w:val="fr-FR"/>
        </w:rPr>
        <w:t>organe indépendant garant de l</w:t>
      </w:r>
      <w:r w:rsidR="00B17AE1" w:rsidRPr="00F60A3D">
        <w:rPr>
          <w:lang w:val="fr-FR"/>
        </w:rPr>
        <w:t>’</w:t>
      </w:r>
      <w:r w:rsidR="00540190" w:rsidRPr="00F60A3D">
        <w:rPr>
          <w:lang w:val="fr-FR"/>
        </w:rPr>
        <w:t>autonomie du pouvoir judiciaire</w:t>
      </w:r>
      <w:r w:rsidR="004C0A41" w:rsidRPr="00F60A3D">
        <w:rPr>
          <w:lang w:val="fr-FR"/>
        </w:rPr>
        <w:t>:</w:t>
      </w:r>
      <w:r w:rsidR="00B9423D" w:rsidRPr="00F60A3D">
        <w:rPr>
          <w:lang w:val="fr-FR"/>
        </w:rPr>
        <w:t xml:space="preserve"> le Conse</w:t>
      </w:r>
      <w:r w:rsidR="00C51B5B" w:rsidRPr="00F60A3D">
        <w:rPr>
          <w:lang w:val="fr-FR"/>
        </w:rPr>
        <w:t>il supérieur de la magistrature</w:t>
      </w:r>
      <w:r w:rsidR="000C1655" w:rsidRPr="00F60A3D">
        <w:rPr>
          <w:lang w:val="fr-FR"/>
        </w:rPr>
        <w:t>. Il peut en out</w:t>
      </w:r>
      <w:r w:rsidR="00B9423D" w:rsidRPr="00F60A3D">
        <w:rPr>
          <w:lang w:val="fr-FR"/>
        </w:rPr>
        <w:t>re nommer sénateurs à vie cinq citoyens ayant ho</w:t>
      </w:r>
      <w:r w:rsidR="000C1655" w:rsidRPr="00F60A3D">
        <w:rPr>
          <w:lang w:val="fr-FR"/>
        </w:rPr>
        <w:t>noré la patrie par des réalisati</w:t>
      </w:r>
      <w:r w:rsidR="00B9423D" w:rsidRPr="00F60A3D">
        <w:rPr>
          <w:lang w:val="fr-FR"/>
        </w:rPr>
        <w:t>ons exceptionnelles dans le</w:t>
      </w:r>
      <w:r w:rsidR="00DA6F74" w:rsidRPr="00F60A3D">
        <w:rPr>
          <w:lang w:val="fr-FR"/>
        </w:rPr>
        <w:t>s</w:t>
      </w:r>
      <w:r w:rsidR="00B9423D" w:rsidRPr="00F60A3D">
        <w:rPr>
          <w:lang w:val="fr-FR"/>
        </w:rPr>
        <w:t xml:space="preserve"> domaine</w:t>
      </w:r>
      <w:r w:rsidR="00DA6F74" w:rsidRPr="00F60A3D">
        <w:rPr>
          <w:lang w:val="fr-FR"/>
        </w:rPr>
        <w:t xml:space="preserve">s </w:t>
      </w:r>
      <w:r w:rsidR="00B9423D" w:rsidRPr="00F60A3D">
        <w:rPr>
          <w:lang w:val="fr-FR"/>
        </w:rPr>
        <w:t xml:space="preserve">scientifique, </w:t>
      </w:r>
      <w:r w:rsidR="00DA6F74" w:rsidRPr="00F60A3D">
        <w:rPr>
          <w:lang w:val="fr-FR"/>
        </w:rPr>
        <w:t xml:space="preserve">social, </w:t>
      </w:r>
      <w:r w:rsidR="00B9423D" w:rsidRPr="00F60A3D">
        <w:rPr>
          <w:lang w:val="fr-FR"/>
        </w:rPr>
        <w:t>a</w:t>
      </w:r>
      <w:r w:rsidR="007A61E2" w:rsidRPr="00F60A3D">
        <w:rPr>
          <w:lang w:val="fr-FR"/>
        </w:rPr>
        <w:t>rt</w:t>
      </w:r>
      <w:r w:rsidR="00B04C56" w:rsidRPr="00F60A3D">
        <w:rPr>
          <w:lang w:val="fr-FR"/>
        </w:rPr>
        <w:t>istique et littéraire (</w:t>
      </w:r>
      <w:r w:rsidR="00731982" w:rsidRPr="00F60A3D">
        <w:rPr>
          <w:lang w:val="fr-FR"/>
        </w:rPr>
        <w:t>art. </w:t>
      </w:r>
      <w:r w:rsidR="00B04C56" w:rsidRPr="00F60A3D">
        <w:rPr>
          <w:lang w:val="fr-FR"/>
        </w:rPr>
        <w:t>59</w:t>
      </w:r>
      <w:r w:rsidR="0061482E" w:rsidRPr="00F60A3D">
        <w:rPr>
          <w:lang w:val="fr-FR"/>
        </w:rPr>
        <w:t xml:space="preserve">, </w:t>
      </w:r>
      <w:r w:rsidR="00B17AE1" w:rsidRPr="00F60A3D">
        <w:rPr>
          <w:lang w:val="fr-FR"/>
        </w:rPr>
        <w:t>par. </w:t>
      </w:r>
      <w:r w:rsidR="00B9423D" w:rsidRPr="00F60A3D">
        <w:rPr>
          <w:lang w:val="fr-FR"/>
        </w:rPr>
        <w:t xml:space="preserve">2). </w:t>
      </w:r>
      <w:r w:rsidR="000C1655" w:rsidRPr="00F60A3D">
        <w:rPr>
          <w:lang w:val="fr-FR"/>
        </w:rPr>
        <w:t xml:space="preserve">Il peut dissoudre le Parlement </w:t>
      </w:r>
      <w:r w:rsidR="00B9423D" w:rsidRPr="00F60A3D">
        <w:rPr>
          <w:lang w:val="fr-FR"/>
        </w:rPr>
        <w:lastRenderedPageBreak/>
        <w:t>dans des situa</w:t>
      </w:r>
      <w:r w:rsidR="000C1655" w:rsidRPr="00F60A3D">
        <w:rPr>
          <w:lang w:val="fr-FR"/>
        </w:rPr>
        <w:t>tions particulières, comme proclam</w:t>
      </w:r>
      <w:r w:rsidR="00B9423D" w:rsidRPr="00F60A3D">
        <w:rPr>
          <w:lang w:val="fr-FR"/>
        </w:rPr>
        <w:t>er l</w:t>
      </w:r>
      <w:r w:rsidR="00B17AE1" w:rsidRPr="00F60A3D">
        <w:rPr>
          <w:lang w:val="fr-FR"/>
        </w:rPr>
        <w:t>’</w:t>
      </w:r>
      <w:r w:rsidR="00B9423D" w:rsidRPr="00F60A3D">
        <w:rPr>
          <w:lang w:val="fr-FR"/>
        </w:rPr>
        <w:t>état d</w:t>
      </w:r>
      <w:r w:rsidR="00B17AE1" w:rsidRPr="00F60A3D">
        <w:rPr>
          <w:lang w:val="fr-FR"/>
        </w:rPr>
        <w:t>’</w:t>
      </w:r>
      <w:r w:rsidR="003B07D2" w:rsidRPr="00F60A3D">
        <w:rPr>
          <w:lang w:val="fr-FR"/>
        </w:rPr>
        <w:t xml:space="preserve">urgence. Le Président ne </w:t>
      </w:r>
      <w:r w:rsidR="00BD790D" w:rsidRPr="00F60A3D">
        <w:rPr>
          <w:lang w:val="fr-FR"/>
        </w:rPr>
        <w:t xml:space="preserve">représente pas un </w:t>
      </w:r>
      <w:r w:rsidR="003B07D2" w:rsidRPr="00F60A3D">
        <w:rPr>
          <w:lang w:val="fr-FR"/>
        </w:rPr>
        <w:t>c</w:t>
      </w:r>
      <w:r w:rsidR="00BD790D" w:rsidRPr="00F60A3D">
        <w:rPr>
          <w:lang w:val="fr-FR"/>
        </w:rPr>
        <w:t xml:space="preserve">ontrepoids </w:t>
      </w:r>
      <w:r w:rsidR="003B07D2" w:rsidRPr="00F60A3D">
        <w:rPr>
          <w:lang w:val="fr-FR"/>
        </w:rPr>
        <w:t>du Parlement ou de l</w:t>
      </w:r>
      <w:r w:rsidR="00B17AE1" w:rsidRPr="00F60A3D">
        <w:rPr>
          <w:lang w:val="fr-FR"/>
        </w:rPr>
        <w:t>’</w:t>
      </w:r>
      <w:r w:rsidR="003B07D2" w:rsidRPr="00F60A3D">
        <w:rPr>
          <w:lang w:val="fr-FR"/>
        </w:rPr>
        <w:t xml:space="preserve">exécutif. </w:t>
      </w:r>
    </w:p>
    <w:p w:rsidR="00CC6F71" w:rsidRPr="00F60A3D" w:rsidRDefault="00B03B68" w:rsidP="00A711BA">
      <w:pPr>
        <w:pStyle w:val="H23G"/>
        <w:rPr>
          <w:lang w:val="fr-FR"/>
        </w:rPr>
      </w:pPr>
      <w:r w:rsidRPr="00F60A3D">
        <w:rPr>
          <w:lang w:val="fr-FR"/>
        </w:rPr>
        <w:tab/>
      </w:r>
      <w:r w:rsidRPr="00F60A3D">
        <w:rPr>
          <w:lang w:val="fr-FR"/>
        </w:rPr>
        <w:tab/>
      </w:r>
      <w:r w:rsidR="003B07D2" w:rsidRPr="00F60A3D">
        <w:rPr>
          <w:lang w:val="fr-FR"/>
        </w:rPr>
        <w:t xml:space="preserve">La </w:t>
      </w:r>
      <w:r w:rsidR="00FE4548" w:rsidRPr="00F60A3D">
        <w:rPr>
          <w:lang w:val="fr-FR"/>
        </w:rPr>
        <w:t>démocratie</w:t>
      </w:r>
      <w:r w:rsidR="00BD790D" w:rsidRPr="00F60A3D">
        <w:rPr>
          <w:lang w:val="fr-FR"/>
        </w:rPr>
        <w:t xml:space="preserve"> </w:t>
      </w:r>
      <w:r w:rsidR="004C0A41" w:rsidRPr="00F60A3D">
        <w:rPr>
          <w:lang w:val="fr-FR"/>
        </w:rPr>
        <w:t>(l</w:t>
      </w:r>
      <w:r w:rsidR="00BD790D" w:rsidRPr="00F60A3D">
        <w:rPr>
          <w:lang w:val="fr-FR"/>
        </w:rPr>
        <w:t xml:space="preserve">a </w:t>
      </w:r>
      <w:r w:rsidR="003B07D2" w:rsidRPr="00F60A3D">
        <w:rPr>
          <w:lang w:val="fr-FR"/>
        </w:rPr>
        <w:t xml:space="preserve">démocratie représentative et </w:t>
      </w:r>
      <w:r w:rsidR="00E8222D" w:rsidRPr="00F60A3D">
        <w:rPr>
          <w:lang w:val="fr-FR"/>
        </w:rPr>
        <w:t>l</w:t>
      </w:r>
      <w:r w:rsidR="00B17AE1" w:rsidRPr="00F60A3D">
        <w:rPr>
          <w:lang w:val="fr-FR"/>
        </w:rPr>
        <w:t>’</w:t>
      </w:r>
      <w:r w:rsidR="00E8222D" w:rsidRPr="00F60A3D">
        <w:rPr>
          <w:lang w:val="fr-FR"/>
        </w:rPr>
        <w:t>exercice</w:t>
      </w:r>
      <w:r w:rsidR="003B07D2" w:rsidRPr="00F60A3D">
        <w:rPr>
          <w:lang w:val="fr-FR"/>
        </w:rPr>
        <w:t xml:space="preserve"> de la démocratie directe)</w:t>
      </w:r>
      <w:r w:rsidR="00731982" w:rsidRPr="00F60A3D">
        <w:rPr>
          <w:lang w:val="fr-FR"/>
        </w:rPr>
        <w:t xml:space="preserve"> </w:t>
      </w:r>
    </w:p>
    <w:p w:rsidR="003B07D2" w:rsidRPr="00F60A3D" w:rsidRDefault="00C07193" w:rsidP="008578E0">
      <w:pPr>
        <w:pStyle w:val="SingleTxtG"/>
        <w:rPr>
          <w:lang w:val="fr-FR"/>
        </w:rPr>
      </w:pPr>
      <w:r w:rsidRPr="00F60A3D">
        <w:rPr>
          <w:lang w:val="fr-FR"/>
        </w:rPr>
        <w:t>7</w:t>
      </w:r>
      <w:r w:rsidR="003B07D2" w:rsidRPr="00F60A3D">
        <w:rPr>
          <w:lang w:val="fr-FR"/>
        </w:rPr>
        <w:t>6.</w:t>
      </w:r>
      <w:r w:rsidR="003B07D2" w:rsidRPr="00F60A3D">
        <w:rPr>
          <w:lang w:val="fr-FR"/>
        </w:rPr>
        <w:tab/>
        <w:t>Dans la mesure où l</w:t>
      </w:r>
      <w:r w:rsidR="00B17AE1" w:rsidRPr="00F60A3D">
        <w:rPr>
          <w:lang w:val="fr-FR"/>
        </w:rPr>
        <w:t>’</w:t>
      </w:r>
      <w:r w:rsidR="003B07D2" w:rsidRPr="00F60A3D">
        <w:rPr>
          <w:lang w:val="fr-FR"/>
        </w:rPr>
        <w:t>autorité de l</w:t>
      </w:r>
      <w:r w:rsidR="00B17AE1" w:rsidRPr="00F60A3D">
        <w:rPr>
          <w:lang w:val="fr-FR"/>
        </w:rPr>
        <w:t>’</w:t>
      </w:r>
      <w:r w:rsidR="003B07D2" w:rsidRPr="00F60A3D">
        <w:rPr>
          <w:lang w:val="fr-FR"/>
        </w:rPr>
        <w:t xml:space="preserve">État émane du peuple et est soumise </w:t>
      </w:r>
      <w:r w:rsidR="00491C67" w:rsidRPr="00F60A3D">
        <w:rPr>
          <w:lang w:val="fr-FR"/>
        </w:rPr>
        <w:t xml:space="preserve">à son contrôle, </w:t>
      </w:r>
      <w:r w:rsidR="00C306A2" w:rsidRPr="00F60A3D">
        <w:rPr>
          <w:lang w:val="fr-FR"/>
        </w:rPr>
        <w:t>la L</w:t>
      </w:r>
      <w:r w:rsidR="00491C67" w:rsidRPr="00F60A3D">
        <w:rPr>
          <w:lang w:val="fr-FR"/>
        </w:rPr>
        <w:t>oi fondamentale consacre</w:t>
      </w:r>
      <w:r w:rsidR="00A93520" w:rsidRPr="00F60A3D">
        <w:rPr>
          <w:lang w:val="fr-FR"/>
        </w:rPr>
        <w:t xml:space="preserve"> un système démocratique</w:t>
      </w:r>
      <w:r w:rsidR="003B07D2" w:rsidRPr="00F60A3D">
        <w:rPr>
          <w:lang w:val="fr-FR"/>
        </w:rPr>
        <w:t xml:space="preserve"> parlementaire. </w:t>
      </w:r>
    </w:p>
    <w:p w:rsidR="003B07D2" w:rsidRPr="00F60A3D" w:rsidRDefault="00224935" w:rsidP="0005037B">
      <w:pPr>
        <w:pStyle w:val="SingleTxtG"/>
        <w:rPr>
          <w:lang w:val="fr-FR"/>
        </w:rPr>
      </w:pPr>
      <w:r w:rsidRPr="00F60A3D">
        <w:rPr>
          <w:lang w:val="fr-FR"/>
        </w:rPr>
        <w:t>77.</w:t>
      </w:r>
      <w:r w:rsidR="001D2CCC" w:rsidRPr="00F60A3D">
        <w:rPr>
          <w:lang w:val="fr-FR"/>
        </w:rPr>
        <w:tab/>
      </w:r>
      <w:r w:rsidR="003B07D2" w:rsidRPr="00F60A3D">
        <w:rPr>
          <w:lang w:val="fr-FR"/>
        </w:rPr>
        <w:t>La démocratie est un principe fondamental que le pe</w:t>
      </w:r>
      <w:r w:rsidR="000C1655" w:rsidRPr="00F60A3D">
        <w:rPr>
          <w:lang w:val="fr-FR"/>
        </w:rPr>
        <w:t>u</w:t>
      </w:r>
      <w:r w:rsidR="003B07D2" w:rsidRPr="00F60A3D">
        <w:rPr>
          <w:lang w:val="fr-FR"/>
        </w:rPr>
        <w:t xml:space="preserve">ple peut exprimer par des moyens spécifiques. </w:t>
      </w:r>
      <w:r w:rsidR="00984CE8" w:rsidRPr="00F60A3D">
        <w:rPr>
          <w:lang w:val="fr-FR"/>
        </w:rPr>
        <w:t>De fai</w:t>
      </w:r>
      <w:r w:rsidR="000C1655" w:rsidRPr="00F60A3D">
        <w:rPr>
          <w:lang w:val="fr-FR"/>
        </w:rPr>
        <w:t>t, tous les citoyens peuvent adresser des pé</w:t>
      </w:r>
      <w:r w:rsidR="00984CE8" w:rsidRPr="00F60A3D">
        <w:rPr>
          <w:lang w:val="fr-FR"/>
        </w:rPr>
        <w:t>titions aux Chambres pour demander d</w:t>
      </w:r>
      <w:r w:rsidR="00AA0E9B" w:rsidRPr="00F60A3D">
        <w:rPr>
          <w:lang w:val="fr-FR"/>
        </w:rPr>
        <w:t xml:space="preserve">es mesures législatives ou </w:t>
      </w:r>
      <w:r w:rsidR="00984CE8" w:rsidRPr="00F60A3D">
        <w:rPr>
          <w:lang w:val="fr-FR"/>
        </w:rPr>
        <w:t>expos</w:t>
      </w:r>
      <w:r w:rsidR="000C1655" w:rsidRPr="00F60A3D">
        <w:rPr>
          <w:lang w:val="fr-FR"/>
        </w:rPr>
        <w:t>er des besoins d</w:t>
      </w:r>
      <w:r w:rsidR="00B17AE1" w:rsidRPr="00F60A3D">
        <w:rPr>
          <w:lang w:val="fr-FR"/>
        </w:rPr>
        <w:t>’</w:t>
      </w:r>
      <w:r w:rsidR="000C1655" w:rsidRPr="00F60A3D">
        <w:rPr>
          <w:lang w:val="fr-FR"/>
        </w:rPr>
        <w:t>intérêt commun</w:t>
      </w:r>
      <w:r w:rsidR="00984CE8" w:rsidRPr="00F60A3D">
        <w:rPr>
          <w:lang w:val="fr-FR"/>
        </w:rPr>
        <w:t>, comme l</w:t>
      </w:r>
      <w:r w:rsidR="00B17AE1" w:rsidRPr="00F60A3D">
        <w:rPr>
          <w:lang w:val="fr-FR"/>
        </w:rPr>
        <w:t>’</w:t>
      </w:r>
      <w:r w:rsidR="00984CE8" w:rsidRPr="00F60A3D">
        <w:rPr>
          <w:lang w:val="fr-FR"/>
        </w:rPr>
        <w:t>énonce l</w:t>
      </w:r>
      <w:r w:rsidR="00B17AE1" w:rsidRPr="00F60A3D">
        <w:rPr>
          <w:lang w:val="fr-FR"/>
        </w:rPr>
        <w:t>’</w:t>
      </w:r>
      <w:r w:rsidR="00D26282" w:rsidRPr="00F60A3D">
        <w:rPr>
          <w:lang w:val="fr-FR"/>
        </w:rPr>
        <w:t>article </w:t>
      </w:r>
      <w:r w:rsidR="00984CE8" w:rsidRPr="00F60A3D">
        <w:rPr>
          <w:lang w:val="fr-FR"/>
        </w:rPr>
        <w:t xml:space="preserve">50. </w:t>
      </w:r>
    </w:p>
    <w:p w:rsidR="00984CE8" w:rsidRPr="00F60A3D" w:rsidRDefault="00C07193" w:rsidP="008578E0">
      <w:pPr>
        <w:pStyle w:val="SingleTxtG"/>
        <w:rPr>
          <w:lang w:val="fr-FR"/>
        </w:rPr>
      </w:pPr>
      <w:r w:rsidRPr="00F60A3D">
        <w:rPr>
          <w:lang w:val="fr-FR"/>
        </w:rPr>
        <w:t>78</w:t>
      </w:r>
      <w:r w:rsidR="00F5685E" w:rsidRPr="00F60A3D">
        <w:rPr>
          <w:lang w:val="fr-FR"/>
        </w:rPr>
        <w:t>.</w:t>
      </w:r>
      <w:r w:rsidR="00F5685E" w:rsidRPr="00F60A3D">
        <w:rPr>
          <w:lang w:val="fr-FR"/>
        </w:rPr>
        <w:tab/>
        <w:t>P</w:t>
      </w:r>
      <w:r w:rsidR="00984CE8" w:rsidRPr="00F60A3D">
        <w:rPr>
          <w:lang w:val="fr-FR"/>
        </w:rPr>
        <w:t xml:space="preserve">our exercer efficacement sa souveraineté, le peuple </w:t>
      </w:r>
      <w:r w:rsidR="00F5685E" w:rsidRPr="00F60A3D">
        <w:rPr>
          <w:lang w:val="fr-FR"/>
        </w:rPr>
        <w:t>peut également engager</w:t>
      </w:r>
      <w:r w:rsidR="00984CE8" w:rsidRPr="00F60A3D">
        <w:rPr>
          <w:lang w:val="fr-FR"/>
        </w:rPr>
        <w:t xml:space="preserve"> des initiativ</w:t>
      </w:r>
      <w:r w:rsidR="003501A8" w:rsidRPr="00F60A3D">
        <w:rPr>
          <w:lang w:val="fr-FR"/>
        </w:rPr>
        <w:t>es publiques sous forme de</w:t>
      </w:r>
      <w:r w:rsidR="00984CE8" w:rsidRPr="00F60A3D">
        <w:rPr>
          <w:lang w:val="fr-FR"/>
        </w:rPr>
        <w:t xml:space="preserve"> projets de lois rédigés en articles</w:t>
      </w:r>
      <w:r w:rsidR="0098552B" w:rsidRPr="00F60A3D">
        <w:rPr>
          <w:lang w:val="fr-FR"/>
        </w:rPr>
        <w:t>,</w:t>
      </w:r>
      <w:r w:rsidR="00984CE8" w:rsidRPr="00F60A3D">
        <w:rPr>
          <w:lang w:val="fr-FR"/>
        </w:rPr>
        <w:t xml:space="preserve"> et soutenu</w:t>
      </w:r>
      <w:r w:rsidR="000C1655" w:rsidRPr="00F60A3D">
        <w:rPr>
          <w:lang w:val="fr-FR"/>
        </w:rPr>
        <w:t>s</w:t>
      </w:r>
      <w:r w:rsidR="00984CE8" w:rsidRPr="00F60A3D">
        <w:rPr>
          <w:lang w:val="fr-FR"/>
        </w:rPr>
        <w:t xml:space="preserve"> par 50</w:t>
      </w:r>
      <w:r w:rsidR="00184957" w:rsidRPr="00F60A3D">
        <w:rPr>
          <w:lang w:val="fr-FR"/>
        </w:rPr>
        <w:t> 000 </w:t>
      </w:r>
      <w:r w:rsidR="007A61E2" w:rsidRPr="00F60A3D">
        <w:rPr>
          <w:lang w:val="fr-FR"/>
        </w:rPr>
        <w:t>électeurs au moins (</w:t>
      </w:r>
      <w:r w:rsidR="00731982" w:rsidRPr="00F60A3D">
        <w:rPr>
          <w:lang w:val="fr-FR"/>
        </w:rPr>
        <w:t>art. </w:t>
      </w:r>
      <w:r w:rsidR="00B04C56" w:rsidRPr="00F60A3D">
        <w:rPr>
          <w:lang w:val="fr-FR"/>
        </w:rPr>
        <w:t>71</w:t>
      </w:r>
      <w:r w:rsidR="0061482E" w:rsidRPr="00F60A3D">
        <w:rPr>
          <w:lang w:val="fr-FR"/>
        </w:rPr>
        <w:t xml:space="preserve">, </w:t>
      </w:r>
      <w:r w:rsidR="00B17AE1" w:rsidRPr="00F60A3D">
        <w:rPr>
          <w:lang w:val="fr-FR"/>
        </w:rPr>
        <w:t>par. </w:t>
      </w:r>
      <w:r w:rsidR="00984CE8" w:rsidRPr="00F60A3D">
        <w:rPr>
          <w:lang w:val="fr-FR"/>
        </w:rPr>
        <w:t xml:space="preserve">2); </w:t>
      </w:r>
      <w:r w:rsidR="00F5685E" w:rsidRPr="00F60A3D">
        <w:rPr>
          <w:lang w:val="fr-FR"/>
        </w:rPr>
        <w:t xml:space="preserve">ou exercer ses pouvoirs en encourageant </w:t>
      </w:r>
      <w:r w:rsidR="007A61E2" w:rsidRPr="00F60A3D">
        <w:rPr>
          <w:lang w:val="fr-FR"/>
        </w:rPr>
        <w:t>la tenue de référendums (</w:t>
      </w:r>
      <w:r w:rsidR="00731982" w:rsidRPr="00F60A3D">
        <w:rPr>
          <w:lang w:val="fr-FR"/>
        </w:rPr>
        <w:t>art. </w:t>
      </w:r>
      <w:r w:rsidR="00F5685E" w:rsidRPr="00F60A3D">
        <w:rPr>
          <w:lang w:val="fr-FR"/>
        </w:rPr>
        <w:t xml:space="preserve">75). </w:t>
      </w:r>
    </w:p>
    <w:p w:rsidR="00CC6F71" w:rsidRPr="00F60A3D" w:rsidRDefault="00C07193" w:rsidP="00184957">
      <w:pPr>
        <w:pStyle w:val="SingleTxtG"/>
        <w:rPr>
          <w:lang w:val="fr-FR"/>
        </w:rPr>
      </w:pPr>
      <w:r w:rsidRPr="00F60A3D">
        <w:rPr>
          <w:lang w:val="fr-FR"/>
        </w:rPr>
        <w:t>79</w:t>
      </w:r>
      <w:r w:rsidR="00F5685E" w:rsidRPr="00F60A3D">
        <w:rPr>
          <w:lang w:val="fr-FR"/>
        </w:rPr>
        <w:t>.</w:t>
      </w:r>
      <w:r w:rsidR="00F5685E" w:rsidRPr="00F60A3D">
        <w:rPr>
          <w:lang w:val="fr-FR"/>
        </w:rPr>
        <w:tab/>
        <w:t>Hormis les informatio</w:t>
      </w:r>
      <w:r w:rsidR="00332114" w:rsidRPr="00F60A3D">
        <w:rPr>
          <w:lang w:val="fr-FR"/>
        </w:rPr>
        <w:t>ns précitées au paragraphe 13,</w:t>
      </w:r>
      <w:r w:rsidR="00F5685E" w:rsidRPr="00F60A3D">
        <w:rPr>
          <w:lang w:val="fr-FR"/>
        </w:rPr>
        <w:t xml:space="preserve"> pour décider l</w:t>
      </w:r>
      <w:r w:rsidR="00B17AE1" w:rsidRPr="00F60A3D">
        <w:rPr>
          <w:lang w:val="fr-FR"/>
        </w:rPr>
        <w:t>’</w:t>
      </w:r>
      <w:r w:rsidR="00F5685E" w:rsidRPr="00F60A3D">
        <w:rPr>
          <w:lang w:val="fr-FR"/>
        </w:rPr>
        <w:t>abrogation totale ou partielle d</w:t>
      </w:r>
      <w:r w:rsidR="00B17AE1" w:rsidRPr="00F60A3D">
        <w:rPr>
          <w:lang w:val="fr-FR"/>
        </w:rPr>
        <w:t>’</w:t>
      </w:r>
      <w:r w:rsidR="00F5685E" w:rsidRPr="00F60A3D">
        <w:rPr>
          <w:lang w:val="fr-FR"/>
        </w:rPr>
        <w:t>une loi ou d</w:t>
      </w:r>
      <w:r w:rsidR="00B17AE1" w:rsidRPr="00F60A3D">
        <w:rPr>
          <w:lang w:val="fr-FR"/>
        </w:rPr>
        <w:t>’</w:t>
      </w:r>
      <w:r w:rsidR="00F5685E" w:rsidRPr="00F60A3D">
        <w:rPr>
          <w:lang w:val="fr-FR"/>
        </w:rPr>
        <w:t>un a</w:t>
      </w:r>
      <w:r w:rsidR="00332114" w:rsidRPr="00F60A3D">
        <w:rPr>
          <w:lang w:val="fr-FR"/>
        </w:rPr>
        <w:t xml:space="preserve">cte ayant valeur de loi, </w:t>
      </w:r>
      <w:r w:rsidR="00F5685E" w:rsidRPr="00F60A3D">
        <w:rPr>
          <w:lang w:val="fr-FR"/>
        </w:rPr>
        <w:t>500</w:t>
      </w:r>
      <w:r w:rsidR="00184957" w:rsidRPr="00F60A3D">
        <w:rPr>
          <w:lang w:val="fr-FR"/>
        </w:rPr>
        <w:t> </w:t>
      </w:r>
      <w:r w:rsidR="00F5685E" w:rsidRPr="00F60A3D">
        <w:rPr>
          <w:lang w:val="fr-FR"/>
        </w:rPr>
        <w:t>000</w:t>
      </w:r>
      <w:r w:rsidR="00184957" w:rsidRPr="00F60A3D">
        <w:rPr>
          <w:lang w:val="fr-FR"/>
        </w:rPr>
        <w:t> </w:t>
      </w:r>
      <w:r w:rsidR="00F5685E" w:rsidRPr="00F60A3D">
        <w:rPr>
          <w:lang w:val="fr-FR"/>
        </w:rPr>
        <w:t>électeurs ou cinq conseils régio</w:t>
      </w:r>
      <w:r w:rsidR="00332114" w:rsidRPr="00F60A3D">
        <w:rPr>
          <w:lang w:val="fr-FR"/>
        </w:rPr>
        <w:t>naux peuvent demander l</w:t>
      </w:r>
      <w:r w:rsidR="00B17AE1" w:rsidRPr="00F60A3D">
        <w:rPr>
          <w:lang w:val="fr-FR"/>
        </w:rPr>
        <w:t>’</w:t>
      </w:r>
      <w:r w:rsidR="00332114" w:rsidRPr="00F60A3D">
        <w:rPr>
          <w:lang w:val="fr-FR"/>
        </w:rPr>
        <w:t>organisation d</w:t>
      </w:r>
      <w:r w:rsidR="00B17AE1" w:rsidRPr="00F60A3D">
        <w:rPr>
          <w:lang w:val="fr-FR"/>
        </w:rPr>
        <w:t>’</w:t>
      </w:r>
      <w:r w:rsidR="00332114" w:rsidRPr="00F60A3D">
        <w:rPr>
          <w:lang w:val="fr-FR"/>
        </w:rPr>
        <w:t>un référendum populaire</w:t>
      </w:r>
      <w:r w:rsidR="007A61E2" w:rsidRPr="00F60A3D">
        <w:rPr>
          <w:lang w:val="fr-FR"/>
        </w:rPr>
        <w:t xml:space="preserve"> (</w:t>
      </w:r>
      <w:r w:rsidR="00731982" w:rsidRPr="00F60A3D">
        <w:rPr>
          <w:lang w:val="fr-FR"/>
        </w:rPr>
        <w:t>art. </w:t>
      </w:r>
      <w:r w:rsidR="00F5685E" w:rsidRPr="00F60A3D">
        <w:rPr>
          <w:lang w:val="fr-FR"/>
        </w:rPr>
        <w:t>75). L</w:t>
      </w:r>
      <w:r w:rsidR="002F33E8" w:rsidRPr="00F60A3D">
        <w:rPr>
          <w:lang w:val="fr-FR"/>
        </w:rPr>
        <w:t>a proposition soumise au</w:t>
      </w:r>
      <w:r w:rsidR="00F5685E" w:rsidRPr="00F60A3D">
        <w:rPr>
          <w:lang w:val="fr-FR"/>
        </w:rPr>
        <w:t xml:space="preserve"> référendum </w:t>
      </w:r>
      <w:r w:rsidR="002F33E8" w:rsidRPr="00F60A3D">
        <w:rPr>
          <w:lang w:val="fr-FR"/>
        </w:rPr>
        <w:t>est approuvée si une</w:t>
      </w:r>
      <w:r w:rsidR="000C1655" w:rsidRPr="00F60A3D">
        <w:rPr>
          <w:lang w:val="fr-FR"/>
        </w:rPr>
        <w:t xml:space="preserve"> majorité des électeurs a</w:t>
      </w:r>
      <w:r w:rsidR="00F5685E" w:rsidRPr="00F60A3D">
        <w:rPr>
          <w:lang w:val="fr-FR"/>
        </w:rPr>
        <w:t xml:space="preserve"> participé au </w:t>
      </w:r>
      <w:r w:rsidR="002F33E8" w:rsidRPr="00F60A3D">
        <w:rPr>
          <w:lang w:val="fr-FR"/>
        </w:rPr>
        <w:t>scrutin</w:t>
      </w:r>
      <w:r w:rsidR="00F5685E" w:rsidRPr="00F60A3D">
        <w:rPr>
          <w:lang w:val="fr-FR"/>
        </w:rPr>
        <w:t xml:space="preserve"> et si la majorité des suffrages valablement </w:t>
      </w:r>
      <w:r w:rsidR="007A61E2" w:rsidRPr="00F60A3D">
        <w:rPr>
          <w:lang w:val="fr-FR"/>
        </w:rPr>
        <w:t>exprimés a été atteinte (</w:t>
      </w:r>
      <w:r w:rsidR="00731982" w:rsidRPr="00F60A3D">
        <w:rPr>
          <w:lang w:val="fr-FR"/>
        </w:rPr>
        <w:t>art. </w:t>
      </w:r>
      <w:r w:rsidR="00B04C56" w:rsidRPr="00F60A3D">
        <w:rPr>
          <w:lang w:val="fr-FR"/>
        </w:rPr>
        <w:t>75</w:t>
      </w:r>
      <w:r w:rsidR="0061482E" w:rsidRPr="00F60A3D">
        <w:rPr>
          <w:lang w:val="fr-FR"/>
        </w:rPr>
        <w:t xml:space="preserve">, </w:t>
      </w:r>
      <w:r w:rsidR="00B17AE1" w:rsidRPr="00F60A3D">
        <w:rPr>
          <w:lang w:val="fr-FR"/>
        </w:rPr>
        <w:t>par. </w:t>
      </w:r>
      <w:r w:rsidR="00F5685E" w:rsidRPr="00F60A3D">
        <w:rPr>
          <w:lang w:val="fr-FR"/>
        </w:rPr>
        <w:t xml:space="preserve">4). </w:t>
      </w:r>
    </w:p>
    <w:p w:rsidR="002F33E8" w:rsidRPr="00F60A3D" w:rsidRDefault="00224935" w:rsidP="00184957">
      <w:pPr>
        <w:pStyle w:val="SingleTxtG"/>
        <w:rPr>
          <w:lang w:val="fr-FR"/>
        </w:rPr>
      </w:pPr>
      <w:r w:rsidRPr="00F60A3D">
        <w:rPr>
          <w:lang w:val="fr-FR"/>
        </w:rPr>
        <w:t>80.</w:t>
      </w:r>
      <w:r w:rsidR="001D2CCC" w:rsidRPr="00F60A3D">
        <w:rPr>
          <w:lang w:val="fr-FR"/>
        </w:rPr>
        <w:tab/>
      </w:r>
      <w:r w:rsidR="009D38A5" w:rsidRPr="00F60A3D">
        <w:rPr>
          <w:lang w:val="fr-FR"/>
        </w:rPr>
        <w:t>Soixante-et-onze</w:t>
      </w:r>
      <w:r w:rsidR="00CC6F71" w:rsidRPr="00F60A3D">
        <w:rPr>
          <w:lang w:val="fr-FR"/>
        </w:rPr>
        <w:t xml:space="preserve"> </w:t>
      </w:r>
      <w:r w:rsidR="002F33E8" w:rsidRPr="00F60A3D">
        <w:rPr>
          <w:lang w:val="fr-FR"/>
        </w:rPr>
        <w:t>questions référendaires d</w:t>
      </w:r>
      <w:r w:rsidR="00B17AE1" w:rsidRPr="00F60A3D">
        <w:rPr>
          <w:lang w:val="fr-FR"/>
        </w:rPr>
        <w:t>’</w:t>
      </w:r>
      <w:r w:rsidR="002F33E8" w:rsidRPr="00F60A3D">
        <w:rPr>
          <w:lang w:val="fr-FR"/>
        </w:rPr>
        <w:t>intérêt national ont été posée</w:t>
      </w:r>
      <w:r w:rsidR="000C1655" w:rsidRPr="00F60A3D">
        <w:rPr>
          <w:lang w:val="fr-FR"/>
        </w:rPr>
        <w:t>s depuis juin 1946</w:t>
      </w:r>
      <w:r w:rsidR="002F33E8" w:rsidRPr="00F60A3D">
        <w:rPr>
          <w:lang w:val="fr-FR"/>
        </w:rPr>
        <w:t>; 25</w:t>
      </w:r>
      <w:r w:rsidR="00184957" w:rsidRPr="00F60A3D">
        <w:rPr>
          <w:lang w:val="fr-FR"/>
        </w:rPr>
        <w:t> </w:t>
      </w:r>
      <w:r w:rsidR="002F33E8" w:rsidRPr="00F60A3D">
        <w:rPr>
          <w:lang w:val="fr-FR"/>
        </w:rPr>
        <w:t>ont été approuvées, 17</w:t>
      </w:r>
      <w:r w:rsidR="00184957" w:rsidRPr="00F60A3D">
        <w:rPr>
          <w:lang w:val="fr-FR"/>
        </w:rPr>
        <w:t> </w:t>
      </w:r>
      <w:r w:rsidR="002F33E8" w:rsidRPr="00F60A3D">
        <w:rPr>
          <w:lang w:val="fr-FR"/>
        </w:rPr>
        <w:t>rejetées et 28</w:t>
      </w:r>
      <w:r w:rsidR="00184957" w:rsidRPr="00F60A3D">
        <w:rPr>
          <w:lang w:val="fr-FR"/>
        </w:rPr>
        <w:t> </w:t>
      </w:r>
      <w:r w:rsidR="002F33E8" w:rsidRPr="00F60A3D">
        <w:rPr>
          <w:lang w:val="fr-FR"/>
        </w:rPr>
        <w:t>invalidées.</w:t>
      </w:r>
      <w:r w:rsidR="00B04C56" w:rsidRPr="00F60A3D">
        <w:rPr>
          <w:lang w:val="fr-FR"/>
        </w:rPr>
        <w:t xml:space="preserve"> La dernière portant sur </w:t>
      </w:r>
      <w:r w:rsidR="00731982" w:rsidRPr="00F60A3D">
        <w:rPr>
          <w:lang w:val="fr-FR"/>
        </w:rPr>
        <w:t>«</w:t>
      </w:r>
      <w:r w:rsidR="000C1655" w:rsidRPr="00F60A3D">
        <w:rPr>
          <w:lang w:val="fr-FR"/>
        </w:rPr>
        <w:t>l</w:t>
      </w:r>
      <w:r w:rsidR="00B17AE1" w:rsidRPr="00F60A3D">
        <w:rPr>
          <w:lang w:val="fr-FR"/>
        </w:rPr>
        <w:t>’</w:t>
      </w:r>
      <w:r w:rsidR="000C1655" w:rsidRPr="00F60A3D">
        <w:rPr>
          <w:lang w:val="fr-FR"/>
        </w:rPr>
        <w:t>in</w:t>
      </w:r>
      <w:r w:rsidR="002F33E8" w:rsidRPr="00F60A3D">
        <w:rPr>
          <w:lang w:val="fr-FR"/>
        </w:rPr>
        <w:t>terdiction de la prospection, l</w:t>
      </w:r>
      <w:r w:rsidR="00B17AE1" w:rsidRPr="00F60A3D">
        <w:rPr>
          <w:lang w:val="fr-FR"/>
        </w:rPr>
        <w:t>’</w:t>
      </w:r>
      <w:r w:rsidR="002F33E8" w:rsidRPr="00F60A3D">
        <w:rPr>
          <w:lang w:val="fr-FR"/>
        </w:rPr>
        <w:t>exploration et la production d</w:t>
      </w:r>
      <w:r w:rsidR="00B17AE1" w:rsidRPr="00F60A3D">
        <w:rPr>
          <w:lang w:val="fr-FR"/>
        </w:rPr>
        <w:t>’</w:t>
      </w:r>
      <w:r w:rsidR="002F33E8" w:rsidRPr="00F60A3D">
        <w:rPr>
          <w:lang w:val="fr-FR"/>
        </w:rPr>
        <w:t>hydrocarbures dans les zones maritimes situ</w:t>
      </w:r>
      <w:r w:rsidR="00B04C56" w:rsidRPr="00F60A3D">
        <w:rPr>
          <w:lang w:val="fr-FR"/>
        </w:rPr>
        <w:t>ées dans les douze miles marins</w:t>
      </w:r>
      <w:r w:rsidR="00731982" w:rsidRPr="00F60A3D">
        <w:rPr>
          <w:lang w:val="fr-FR"/>
        </w:rPr>
        <w:t>»</w:t>
      </w:r>
      <w:r w:rsidR="002F33E8" w:rsidRPr="00F60A3D">
        <w:rPr>
          <w:lang w:val="fr-FR"/>
        </w:rPr>
        <w:t xml:space="preserve"> </w:t>
      </w:r>
      <w:r w:rsidR="00042654" w:rsidRPr="00F60A3D">
        <w:rPr>
          <w:lang w:val="fr-FR"/>
        </w:rPr>
        <w:t>a été posée le 17</w:t>
      </w:r>
      <w:r w:rsidR="00184957" w:rsidRPr="00F60A3D">
        <w:rPr>
          <w:lang w:val="fr-FR"/>
        </w:rPr>
        <w:t> </w:t>
      </w:r>
      <w:r w:rsidR="00042654" w:rsidRPr="00F60A3D">
        <w:rPr>
          <w:lang w:val="fr-FR"/>
        </w:rPr>
        <w:t>avril 2016 (et n</w:t>
      </w:r>
      <w:r w:rsidR="00B17AE1" w:rsidRPr="00F60A3D">
        <w:rPr>
          <w:lang w:val="fr-FR"/>
        </w:rPr>
        <w:t>’</w:t>
      </w:r>
      <w:r w:rsidR="00042654" w:rsidRPr="00F60A3D">
        <w:rPr>
          <w:lang w:val="fr-FR"/>
        </w:rPr>
        <w:t xml:space="preserve">a pas </w:t>
      </w:r>
      <w:r w:rsidR="000C1655" w:rsidRPr="00F60A3D">
        <w:rPr>
          <w:lang w:val="fr-FR"/>
        </w:rPr>
        <w:t>atte</w:t>
      </w:r>
      <w:r w:rsidR="00042654" w:rsidRPr="00F60A3D">
        <w:rPr>
          <w:lang w:val="fr-FR"/>
        </w:rPr>
        <w:t xml:space="preserve">int le </w:t>
      </w:r>
      <w:r w:rsidR="00042654" w:rsidRPr="00F60A3D">
        <w:rPr>
          <w:i/>
          <w:lang w:val="fr-FR"/>
        </w:rPr>
        <w:t>quorum</w:t>
      </w:r>
      <w:r w:rsidR="00042654" w:rsidRPr="00F60A3D">
        <w:rPr>
          <w:lang w:val="fr-FR"/>
        </w:rPr>
        <w:t>). Un référendum constitutionnel port</w:t>
      </w:r>
      <w:r w:rsidR="005B36FD" w:rsidRPr="00F60A3D">
        <w:rPr>
          <w:lang w:val="fr-FR"/>
        </w:rPr>
        <w:t>ant sur la réforme de la partie </w:t>
      </w:r>
      <w:r w:rsidR="00042654" w:rsidRPr="00F60A3D">
        <w:rPr>
          <w:lang w:val="fr-FR"/>
        </w:rPr>
        <w:t xml:space="preserve">II de la Constitution, a également été prévu; il devrait se tenir en octobre 2016. </w:t>
      </w:r>
    </w:p>
    <w:p w:rsidR="00CC6F71" w:rsidRPr="00F60A3D" w:rsidRDefault="00B03B68" w:rsidP="00B03B68">
      <w:pPr>
        <w:pStyle w:val="H23G"/>
        <w:rPr>
          <w:b w:val="0"/>
          <w:i/>
          <w:lang w:val="fr-FR"/>
        </w:rPr>
      </w:pPr>
      <w:r w:rsidRPr="00F60A3D">
        <w:rPr>
          <w:lang w:val="fr-FR"/>
        </w:rPr>
        <w:tab/>
      </w:r>
      <w:r w:rsidRPr="00F60A3D">
        <w:rPr>
          <w:lang w:val="fr-FR"/>
        </w:rPr>
        <w:tab/>
      </w:r>
      <w:r w:rsidR="00042654" w:rsidRPr="00F60A3D">
        <w:rPr>
          <w:b w:val="0"/>
          <w:i/>
          <w:lang w:val="fr-FR"/>
        </w:rPr>
        <w:t>Les parti</w:t>
      </w:r>
      <w:r w:rsidR="00CC6F71" w:rsidRPr="00F60A3D">
        <w:rPr>
          <w:b w:val="0"/>
          <w:i/>
          <w:lang w:val="fr-FR"/>
        </w:rPr>
        <w:t>s</w:t>
      </w:r>
      <w:r w:rsidR="00042654" w:rsidRPr="00F60A3D">
        <w:rPr>
          <w:b w:val="0"/>
          <w:i/>
          <w:lang w:val="fr-FR"/>
        </w:rPr>
        <w:t xml:space="preserve"> politiques</w:t>
      </w:r>
      <w:r w:rsidR="00731982" w:rsidRPr="00F60A3D">
        <w:rPr>
          <w:b w:val="0"/>
          <w:i/>
          <w:lang w:val="fr-FR"/>
        </w:rPr>
        <w:t xml:space="preserve"> </w:t>
      </w:r>
    </w:p>
    <w:p w:rsidR="00042654" w:rsidRPr="00F60A3D" w:rsidRDefault="00C07193" w:rsidP="008578E0">
      <w:pPr>
        <w:pStyle w:val="SingleTxtG"/>
        <w:rPr>
          <w:lang w:val="fr-FR"/>
        </w:rPr>
      </w:pPr>
      <w:r w:rsidRPr="00F60A3D">
        <w:rPr>
          <w:lang w:val="fr-FR"/>
        </w:rPr>
        <w:t>81</w:t>
      </w:r>
      <w:r w:rsidR="00042654" w:rsidRPr="00F60A3D">
        <w:rPr>
          <w:lang w:val="fr-FR"/>
        </w:rPr>
        <w:t>.</w:t>
      </w:r>
      <w:r w:rsidR="00042654" w:rsidRPr="00F60A3D">
        <w:rPr>
          <w:lang w:val="fr-FR"/>
        </w:rPr>
        <w:tab/>
        <w:t>Les citoyens ont l</w:t>
      </w:r>
      <w:r w:rsidR="00CA1FC3" w:rsidRPr="00F60A3D">
        <w:rPr>
          <w:lang w:val="fr-FR"/>
        </w:rPr>
        <w:t>e droit de s</w:t>
      </w:r>
      <w:r w:rsidR="00B17AE1" w:rsidRPr="00F60A3D">
        <w:rPr>
          <w:lang w:val="fr-FR"/>
        </w:rPr>
        <w:t>’</w:t>
      </w:r>
      <w:r w:rsidR="00CA1FC3" w:rsidRPr="00F60A3D">
        <w:rPr>
          <w:lang w:val="fr-FR"/>
        </w:rPr>
        <w:t>associer librement et</w:t>
      </w:r>
      <w:r w:rsidR="00042654" w:rsidRPr="00F60A3D">
        <w:rPr>
          <w:lang w:val="fr-FR"/>
        </w:rPr>
        <w:t xml:space="preserve"> sans autorisation, dans des buts que la loi pénale n</w:t>
      </w:r>
      <w:r w:rsidR="00B17AE1" w:rsidRPr="00F60A3D">
        <w:rPr>
          <w:lang w:val="fr-FR"/>
        </w:rPr>
        <w:t>’</w:t>
      </w:r>
      <w:r w:rsidR="00042654" w:rsidRPr="00F60A3D">
        <w:rPr>
          <w:lang w:val="fr-FR"/>
        </w:rPr>
        <w:t>int</w:t>
      </w:r>
      <w:r w:rsidR="007A61E2" w:rsidRPr="00F60A3D">
        <w:rPr>
          <w:lang w:val="fr-FR"/>
        </w:rPr>
        <w:t>erdit pas aux individus (</w:t>
      </w:r>
      <w:r w:rsidR="00731982" w:rsidRPr="00F60A3D">
        <w:rPr>
          <w:lang w:val="fr-FR"/>
        </w:rPr>
        <w:t>art. </w:t>
      </w:r>
      <w:r w:rsidR="00042654" w:rsidRPr="00F60A3D">
        <w:rPr>
          <w:lang w:val="fr-FR"/>
        </w:rPr>
        <w:t>18). Ils ont aussi le droit de former librement des partis pour concourir, selon la</w:t>
      </w:r>
      <w:r w:rsidR="000C1655" w:rsidRPr="00F60A3D">
        <w:rPr>
          <w:lang w:val="fr-FR"/>
        </w:rPr>
        <w:t xml:space="preserve"> méthode démocratique, à la dé</w:t>
      </w:r>
      <w:r w:rsidR="00042654" w:rsidRPr="00F60A3D">
        <w:rPr>
          <w:lang w:val="fr-FR"/>
        </w:rPr>
        <w:t>termination de</w:t>
      </w:r>
      <w:r w:rsidR="007A61E2" w:rsidRPr="00F60A3D">
        <w:rPr>
          <w:lang w:val="fr-FR"/>
        </w:rPr>
        <w:t xml:space="preserve"> la politique nationale (</w:t>
      </w:r>
      <w:r w:rsidR="00731982" w:rsidRPr="00F60A3D">
        <w:rPr>
          <w:lang w:val="fr-FR"/>
        </w:rPr>
        <w:t>art. </w:t>
      </w:r>
      <w:r w:rsidR="00042654" w:rsidRPr="00F60A3D">
        <w:rPr>
          <w:lang w:val="fr-FR"/>
        </w:rPr>
        <w:t xml:space="preserve">49). </w:t>
      </w:r>
    </w:p>
    <w:p w:rsidR="00CC6F71" w:rsidRPr="00F60A3D" w:rsidRDefault="00C07193" w:rsidP="00B122DC">
      <w:pPr>
        <w:pStyle w:val="SingleTxtG"/>
        <w:rPr>
          <w:lang w:val="fr-FR"/>
        </w:rPr>
      </w:pPr>
      <w:r w:rsidRPr="00F60A3D">
        <w:rPr>
          <w:lang w:val="fr-FR"/>
        </w:rPr>
        <w:t>82</w:t>
      </w:r>
      <w:r w:rsidR="00B122DC" w:rsidRPr="00F60A3D">
        <w:rPr>
          <w:lang w:val="fr-FR"/>
        </w:rPr>
        <w:t>.</w:t>
      </w:r>
      <w:r w:rsidR="00B122DC" w:rsidRPr="00F60A3D">
        <w:rPr>
          <w:lang w:val="fr-FR"/>
        </w:rPr>
        <w:tab/>
        <w:t>Les partis politiques jouent un rôle décisif en façonnant la volonté politique et en sensibilisant la population aux questions constitutionnelles. Les pa</w:t>
      </w:r>
      <w:r w:rsidR="0000506C" w:rsidRPr="00F60A3D">
        <w:rPr>
          <w:lang w:val="fr-FR"/>
        </w:rPr>
        <w:t>rti</w:t>
      </w:r>
      <w:r w:rsidR="00B122DC" w:rsidRPr="00F60A3D">
        <w:rPr>
          <w:lang w:val="fr-FR"/>
        </w:rPr>
        <w:t>s</w:t>
      </w:r>
      <w:r w:rsidR="00A93520" w:rsidRPr="00F60A3D">
        <w:rPr>
          <w:lang w:val="fr-FR"/>
        </w:rPr>
        <w:t>,</w:t>
      </w:r>
      <w:r w:rsidR="00AA0E9B" w:rsidRPr="00F60A3D">
        <w:rPr>
          <w:lang w:val="fr-FR"/>
        </w:rPr>
        <w:t xml:space="preserve"> </w:t>
      </w:r>
      <w:r w:rsidR="00B122DC" w:rsidRPr="00F60A3D">
        <w:rPr>
          <w:lang w:val="fr-FR"/>
        </w:rPr>
        <w:t>intégrés à la structure de l</w:t>
      </w:r>
      <w:r w:rsidR="00B17AE1" w:rsidRPr="00F60A3D">
        <w:rPr>
          <w:lang w:val="fr-FR"/>
        </w:rPr>
        <w:t>’</w:t>
      </w:r>
      <w:r w:rsidR="009D38A5" w:rsidRPr="00F60A3D">
        <w:rPr>
          <w:lang w:val="fr-FR"/>
        </w:rPr>
        <w:t>État</w:t>
      </w:r>
      <w:r w:rsidR="00A93520" w:rsidRPr="00F60A3D">
        <w:rPr>
          <w:lang w:val="fr-FR"/>
        </w:rPr>
        <w:t>,</w:t>
      </w:r>
      <w:r w:rsidR="006762A4" w:rsidRPr="00F60A3D">
        <w:rPr>
          <w:lang w:val="fr-FR"/>
        </w:rPr>
        <w:t xml:space="preserve"> ne peuvent être assimilés à l</w:t>
      </w:r>
      <w:r w:rsidR="00B17AE1" w:rsidRPr="00F60A3D">
        <w:rPr>
          <w:lang w:val="fr-FR"/>
        </w:rPr>
        <w:t>’</w:t>
      </w:r>
      <w:r w:rsidR="006762A4" w:rsidRPr="00F60A3D">
        <w:rPr>
          <w:lang w:val="fr-FR"/>
        </w:rPr>
        <w:t>État ou au</w:t>
      </w:r>
      <w:r w:rsidR="000C1655" w:rsidRPr="00F60A3D">
        <w:rPr>
          <w:lang w:val="fr-FR"/>
        </w:rPr>
        <w:t xml:space="preserve"> peu</w:t>
      </w:r>
      <w:r w:rsidR="00B122DC" w:rsidRPr="00F60A3D">
        <w:rPr>
          <w:lang w:val="fr-FR"/>
        </w:rPr>
        <w:t xml:space="preserve">ple, mais ils sont des facteurs indépendants de la vie </w:t>
      </w:r>
      <w:r w:rsidR="00FE4548" w:rsidRPr="00F60A3D">
        <w:rPr>
          <w:lang w:val="fr-FR"/>
        </w:rPr>
        <w:t>constitutionnelle</w:t>
      </w:r>
      <w:r w:rsidR="00B122DC" w:rsidRPr="00F60A3D">
        <w:rPr>
          <w:lang w:val="fr-FR"/>
        </w:rPr>
        <w:t xml:space="preserve"> qui jouent un rôle d</w:t>
      </w:r>
      <w:r w:rsidR="00B17AE1" w:rsidRPr="00F60A3D">
        <w:rPr>
          <w:lang w:val="fr-FR"/>
        </w:rPr>
        <w:t>’</w:t>
      </w:r>
      <w:r w:rsidR="00B122DC" w:rsidRPr="00F60A3D">
        <w:rPr>
          <w:lang w:val="fr-FR"/>
        </w:rPr>
        <w:t>intermédiaire entre l</w:t>
      </w:r>
      <w:r w:rsidR="00B17AE1" w:rsidRPr="00F60A3D">
        <w:rPr>
          <w:lang w:val="fr-FR"/>
        </w:rPr>
        <w:t>’</w:t>
      </w:r>
      <w:r w:rsidR="00A93520" w:rsidRPr="00F60A3D">
        <w:rPr>
          <w:lang w:val="fr-FR"/>
        </w:rPr>
        <w:t>État et les citoyens. Ils</w:t>
      </w:r>
      <w:r w:rsidR="00B122DC" w:rsidRPr="00F60A3D">
        <w:rPr>
          <w:lang w:val="fr-FR"/>
        </w:rPr>
        <w:t xml:space="preserve"> n</w:t>
      </w:r>
      <w:r w:rsidR="00B17AE1" w:rsidRPr="00F60A3D">
        <w:rPr>
          <w:lang w:val="fr-FR"/>
        </w:rPr>
        <w:t>’</w:t>
      </w:r>
      <w:r w:rsidR="00B122DC" w:rsidRPr="00F60A3D">
        <w:rPr>
          <w:lang w:val="fr-FR"/>
        </w:rPr>
        <w:t>agissent pas seulement au niveau national. De fait, ils jouent aussi un rôle essentiel aux niveaux régional et local.</w:t>
      </w:r>
    </w:p>
    <w:p w:rsidR="00CC6F71" w:rsidRPr="00F60A3D" w:rsidRDefault="00B03B68" w:rsidP="00A711BA">
      <w:pPr>
        <w:pStyle w:val="H23G"/>
        <w:rPr>
          <w:u w:val="single"/>
          <w:lang w:val="fr-FR"/>
        </w:rPr>
      </w:pPr>
      <w:r w:rsidRPr="00F60A3D">
        <w:rPr>
          <w:lang w:val="fr-FR"/>
        </w:rPr>
        <w:tab/>
      </w:r>
      <w:r w:rsidRPr="00F60A3D">
        <w:rPr>
          <w:lang w:val="fr-FR"/>
        </w:rPr>
        <w:tab/>
      </w:r>
      <w:r w:rsidR="00B122DC" w:rsidRPr="00F60A3D">
        <w:rPr>
          <w:lang w:val="fr-FR"/>
        </w:rPr>
        <w:t>Le Parle</w:t>
      </w:r>
      <w:r w:rsidR="00CC6F71" w:rsidRPr="00F60A3D">
        <w:rPr>
          <w:lang w:val="fr-FR"/>
        </w:rPr>
        <w:t>men</w:t>
      </w:r>
      <w:r w:rsidR="007A61E2" w:rsidRPr="00F60A3D">
        <w:rPr>
          <w:lang w:val="fr-FR"/>
        </w:rPr>
        <w:t>t (</w:t>
      </w:r>
      <w:r w:rsidR="00731982" w:rsidRPr="00F60A3D">
        <w:rPr>
          <w:lang w:val="fr-FR"/>
        </w:rPr>
        <w:t>art. </w:t>
      </w:r>
      <w:r w:rsidR="00836779" w:rsidRPr="00F60A3D">
        <w:rPr>
          <w:lang w:val="fr-FR"/>
        </w:rPr>
        <w:t xml:space="preserve">55 à </w:t>
      </w:r>
      <w:r w:rsidR="00B122DC" w:rsidRPr="00F60A3D">
        <w:rPr>
          <w:lang w:val="fr-FR"/>
        </w:rPr>
        <w:t>82 de la</w:t>
      </w:r>
      <w:r w:rsidR="00CC6F71" w:rsidRPr="00F60A3D">
        <w:rPr>
          <w:lang w:val="fr-FR"/>
        </w:rPr>
        <w:t xml:space="preserve"> Constitution</w:t>
      </w:r>
      <w:r w:rsidR="00B122DC" w:rsidRPr="00F60A3D">
        <w:rPr>
          <w:lang w:val="fr-FR"/>
        </w:rPr>
        <w:t xml:space="preserve"> italienne</w:t>
      </w:r>
      <w:r w:rsidR="00CC6F71" w:rsidRPr="00F60A3D">
        <w:rPr>
          <w:lang w:val="fr-FR"/>
        </w:rPr>
        <w:t>)</w:t>
      </w:r>
    </w:p>
    <w:p w:rsidR="00CC6F71" w:rsidRPr="00F60A3D" w:rsidRDefault="00C07193" w:rsidP="00184957">
      <w:pPr>
        <w:pStyle w:val="SingleTxtG"/>
        <w:rPr>
          <w:lang w:val="fr-FR"/>
        </w:rPr>
      </w:pPr>
      <w:r w:rsidRPr="00F60A3D">
        <w:rPr>
          <w:lang w:val="fr-FR"/>
        </w:rPr>
        <w:t>83</w:t>
      </w:r>
      <w:r w:rsidR="00B122DC" w:rsidRPr="00F60A3D">
        <w:rPr>
          <w:lang w:val="fr-FR"/>
        </w:rPr>
        <w:t>.</w:t>
      </w:r>
      <w:r w:rsidR="00B122DC" w:rsidRPr="00F60A3D">
        <w:rPr>
          <w:lang w:val="fr-FR"/>
        </w:rPr>
        <w:tab/>
        <w:t xml:space="preserve">Le Parlement </w:t>
      </w:r>
      <w:r w:rsidR="006762A4" w:rsidRPr="00F60A3D">
        <w:rPr>
          <w:lang w:val="fr-FR"/>
        </w:rPr>
        <w:t xml:space="preserve">italien </w:t>
      </w:r>
      <w:r w:rsidR="00AA0E9B" w:rsidRPr="00F60A3D">
        <w:rPr>
          <w:lang w:val="fr-FR"/>
        </w:rPr>
        <w:t>(</w:t>
      </w:r>
      <w:r w:rsidR="00CC6F71" w:rsidRPr="00F60A3D">
        <w:rPr>
          <w:i/>
          <w:lang w:val="fr-FR"/>
        </w:rPr>
        <w:t>Parlamento</w:t>
      </w:r>
      <w:r w:rsidR="00AA0E9B" w:rsidRPr="00F60A3D">
        <w:rPr>
          <w:i/>
          <w:lang w:val="fr-FR"/>
        </w:rPr>
        <w:t>)</w:t>
      </w:r>
      <w:r w:rsidR="00B122DC" w:rsidRPr="00F60A3D">
        <w:rPr>
          <w:i/>
          <w:lang w:val="fr-FR"/>
        </w:rPr>
        <w:t xml:space="preserve"> </w:t>
      </w:r>
      <w:r w:rsidR="006762A4" w:rsidRPr="00F60A3D">
        <w:rPr>
          <w:lang w:val="fr-FR"/>
        </w:rPr>
        <w:t>représente</w:t>
      </w:r>
      <w:r w:rsidR="00B122DC" w:rsidRPr="00F60A3D">
        <w:rPr>
          <w:lang w:val="fr-FR"/>
        </w:rPr>
        <w:t xml:space="preserve"> l</w:t>
      </w:r>
      <w:r w:rsidR="00B17AE1" w:rsidRPr="00F60A3D">
        <w:rPr>
          <w:lang w:val="fr-FR"/>
        </w:rPr>
        <w:t>’</w:t>
      </w:r>
      <w:r w:rsidR="001A423E" w:rsidRPr="00F60A3D">
        <w:rPr>
          <w:lang w:val="fr-FR"/>
        </w:rPr>
        <w:t xml:space="preserve">ensemble de la population </w:t>
      </w:r>
      <w:r w:rsidR="00836779" w:rsidRPr="00F60A3D">
        <w:rPr>
          <w:lang w:val="fr-FR"/>
        </w:rPr>
        <w:t>(</w:t>
      </w:r>
      <w:r w:rsidR="00731982" w:rsidRPr="00F60A3D">
        <w:rPr>
          <w:lang w:val="fr-FR"/>
        </w:rPr>
        <w:t>art. </w:t>
      </w:r>
      <w:r w:rsidR="00A62C01" w:rsidRPr="00F60A3D">
        <w:rPr>
          <w:lang w:val="fr-FR"/>
        </w:rPr>
        <w:t xml:space="preserve">55) </w:t>
      </w:r>
      <w:r w:rsidR="001A423E" w:rsidRPr="00F60A3D">
        <w:rPr>
          <w:lang w:val="fr-FR"/>
        </w:rPr>
        <w:t xml:space="preserve">et </w:t>
      </w:r>
      <w:r w:rsidR="00836779" w:rsidRPr="00F60A3D">
        <w:rPr>
          <w:lang w:val="fr-FR"/>
        </w:rPr>
        <w:t>compte</w:t>
      </w:r>
      <w:r w:rsidR="00B122DC" w:rsidRPr="00F60A3D">
        <w:rPr>
          <w:lang w:val="fr-FR"/>
        </w:rPr>
        <w:t xml:space="preserve"> a</w:t>
      </w:r>
      <w:r w:rsidR="00A62C01" w:rsidRPr="00F60A3D">
        <w:rPr>
          <w:lang w:val="fr-FR"/>
        </w:rPr>
        <w:t>ctuellement 951</w:t>
      </w:r>
      <w:r w:rsidR="00184957" w:rsidRPr="00F60A3D">
        <w:rPr>
          <w:lang w:val="fr-FR"/>
        </w:rPr>
        <w:t> </w:t>
      </w:r>
      <w:r w:rsidR="00A62C01" w:rsidRPr="00F60A3D">
        <w:rPr>
          <w:lang w:val="fr-FR"/>
        </w:rPr>
        <w:t>représentants; il</w:t>
      </w:r>
      <w:r w:rsidR="00B122DC" w:rsidRPr="00F60A3D">
        <w:rPr>
          <w:lang w:val="fr-FR"/>
        </w:rPr>
        <w:t xml:space="preserve"> se compose du Sénat</w:t>
      </w:r>
      <w:r w:rsidR="00731982" w:rsidRPr="00F60A3D">
        <w:rPr>
          <w:lang w:val="fr-FR"/>
        </w:rPr>
        <w:t xml:space="preserve"> </w:t>
      </w:r>
      <w:r w:rsidR="00CC6F71" w:rsidRPr="00F60A3D">
        <w:rPr>
          <w:lang w:val="fr-FR"/>
        </w:rPr>
        <w:t>(</w:t>
      </w:r>
      <w:r w:rsidR="00CC6F71" w:rsidRPr="00F60A3D">
        <w:rPr>
          <w:i/>
          <w:lang w:val="fr-FR"/>
        </w:rPr>
        <w:t>Senato della Republica)</w:t>
      </w:r>
      <w:r w:rsidR="001D5E47" w:rsidRPr="00F60A3D">
        <w:rPr>
          <w:lang w:val="fr-FR"/>
        </w:rPr>
        <w:t xml:space="preserve"> et de la Chambre des députés</w:t>
      </w:r>
      <w:r w:rsidR="00CC6F71" w:rsidRPr="00F60A3D">
        <w:rPr>
          <w:lang w:val="fr-FR"/>
        </w:rPr>
        <w:t xml:space="preserve"> (</w:t>
      </w:r>
      <w:r w:rsidR="00CC6F71" w:rsidRPr="00F60A3D">
        <w:rPr>
          <w:i/>
          <w:lang w:val="fr-FR"/>
        </w:rPr>
        <w:t>Camera dei</w:t>
      </w:r>
      <w:r w:rsidR="00731982" w:rsidRPr="00F60A3D">
        <w:rPr>
          <w:i/>
          <w:lang w:val="fr-FR"/>
        </w:rPr>
        <w:t xml:space="preserve"> </w:t>
      </w:r>
      <w:r w:rsidR="00CC6F71" w:rsidRPr="00F60A3D">
        <w:rPr>
          <w:i/>
          <w:lang w:val="fr-FR"/>
        </w:rPr>
        <w:t>Deputati)</w:t>
      </w:r>
      <w:r w:rsidR="00CC6F71" w:rsidRPr="00F60A3D">
        <w:rPr>
          <w:lang w:val="fr-FR"/>
        </w:rPr>
        <w:t xml:space="preserve">. </w:t>
      </w:r>
    </w:p>
    <w:p w:rsidR="00CC6F71" w:rsidRPr="00F60A3D" w:rsidRDefault="00C07193" w:rsidP="005B36FD">
      <w:pPr>
        <w:pStyle w:val="SingleTxtG"/>
        <w:rPr>
          <w:lang w:val="fr-FR"/>
        </w:rPr>
      </w:pPr>
      <w:r w:rsidRPr="00F60A3D">
        <w:rPr>
          <w:lang w:val="fr-FR"/>
        </w:rPr>
        <w:t>84</w:t>
      </w:r>
      <w:r w:rsidR="001D5E47" w:rsidRPr="00F60A3D">
        <w:rPr>
          <w:lang w:val="fr-FR"/>
        </w:rPr>
        <w:t>.</w:t>
      </w:r>
      <w:r w:rsidR="001D5E47" w:rsidRPr="00F60A3D">
        <w:rPr>
          <w:lang w:val="fr-FR"/>
        </w:rPr>
        <w:tab/>
        <w:t>La Chambre des députés comprend 630</w:t>
      </w:r>
      <w:r w:rsidR="00184957" w:rsidRPr="00F60A3D">
        <w:rPr>
          <w:lang w:val="fr-FR"/>
        </w:rPr>
        <w:t> </w:t>
      </w:r>
      <w:r w:rsidR="001D5E47" w:rsidRPr="00F60A3D">
        <w:rPr>
          <w:lang w:val="fr-FR"/>
        </w:rPr>
        <w:t>membres dont 12</w:t>
      </w:r>
      <w:r w:rsidR="00184957" w:rsidRPr="00F60A3D">
        <w:rPr>
          <w:lang w:val="fr-FR"/>
        </w:rPr>
        <w:t> </w:t>
      </w:r>
      <w:r w:rsidR="001D5E47" w:rsidRPr="00F60A3D">
        <w:rPr>
          <w:lang w:val="fr-FR"/>
        </w:rPr>
        <w:t>élus par la circonscription des Italiens de l</w:t>
      </w:r>
      <w:r w:rsidR="00B17AE1" w:rsidRPr="00F60A3D">
        <w:rPr>
          <w:lang w:val="fr-FR"/>
        </w:rPr>
        <w:t>’</w:t>
      </w:r>
      <w:r w:rsidR="001D5E47" w:rsidRPr="00F60A3D">
        <w:rPr>
          <w:lang w:val="fr-FR"/>
        </w:rPr>
        <w:t>étr</w:t>
      </w:r>
      <w:r w:rsidR="007A61E2" w:rsidRPr="00F60A3D">
        <w:rPr>
          <w:lang w:val="fr-FR"/>
        </w:rPr>
        <w:t>anger (</w:t>
      </w:r>
      <w:r w:rsidR="00731982" w:rsidRPr="00F60A3D">
        <w:rPr>
          <w:lang w:val="fr-FR"/>
        </w:rPr>
        <w:t>art. </w:t>
      </w:r>
      <w:r w:rsidR="00B04C56" w:rsidRPr="00F60A3D">
        <w:rPr>
          <w:lang w:val="fr-FR"/>
        </w:rPr>
        <w:t>56</w:t>
      </w:r>
      <w:r w:rsidR="005018EC" w:rsidRPr="00F60A3D">
        <w:rPr>
          <w:lang w:val="fr-FR"/>
        </w:rPr>
        <w:t xml:space="preserve">, </w:t>
      </w:r>
      <w:r w:rsidR="00B17AE1" w:rsidRPr="00F60A3D">
        <w:rPr>
          <w:lang w:val="fr-FR"/>
        </w:rPr>
        <w:t>par. </w:t>
      </w:r>
      <w:r w:rsidR="001D5E47" w:rsidRPr="00F60A3D">
        <w:rPr>
          <w:lang w:val="fr-FR"/>
        </w:rPr>
        <w:t>2). Le Sénat compte 315</w:t>
      </w:r>
      <w:r w:rsidR="00184957" w:rsidRPr="00F60A3D">
        <w:rPr>
          <w:lang w:val="fr-FR"/>
        </w:rPr>
        <w:t> </w:t>
      </w:r>
      <w:r w:rsidR="001D5E47" w:rsidRPr="00F60A3D">
        <w:rPr>
          <w:lang w:val="fr-FR"/>
        </w:rPr>
        <w:t xml:space="preserve">membres, dont </w:t>
      </w:r>
      <w:r w:rsidR="00184957" w:rsidRPr="00F60A3D">
        <w:rPr>
          <w:lang w:val="fr-FR"/>
        </w:rPr>
        <w:t>6 </w:t>
      </w:r>
      <w:r w:rsidR="001D5E47" w:rsidRPr="00F60A3D">
        <w:rPr>
          <w:lang w:val="fr-FR"/>
        </w:rPr>
        <w:t>élus par la circonscription des Italiens de l</w:t>
      </w:r>
      <w:r w:rsidR="00B17AE1" w:rsidRPr="00F60A3D">
        <w:rPr>
          <w:lang w:val="fr-FR"/>
        </w:rPr>
        <w:t>’</w:t>
      </w:r>
      <w:r w:rsidR="001D5E47" w:rsidRPr="00F60A3D">
        <w:rPr>
          <w:lang w:val="fr-FR"/>
        </w:rPr>
        <w:t xml:space="preserve">étranger. En outre, </w:t>
      </w:r>
      <w:r w:rsidR="005018EC" w:rsidRPr="00F60A3D">
        <w:rPr>
          <w:lang w:val="fr-FR"/>
        </w:rPr>
        <w:t xml:space="preserve">le </w:t>
      </w:r>
      <w:r w:rsidR="006762A4" w:rsidRPr="00F60A3D">
        <w:rPr>
          <w:lang w:val="fr-FR"/>
        </w:rPr>
        <w:t>Président de la R</w:t>
      </w:r>
      <w:r w:rsidR="001D5E47" w:rsidRPr="00F60A3D">
        <w:rPr>
          <w:lang w:val="fr-FR"/>
        </w:rPr>
        <w:t>épublique</w:t>
      </w:r>
      <w:r w:rsidR="005018EC" w:rsidRPr="00F60A3D">
        <w:rPr>
          <w:lang w:val="fr-FR"/>
        </w:rPr>
        <w:t xml:space="preserve"> peut nommer jusqu</w:t>
      </w:r>
      <w:r w:rsidR="00B17AE1" w:rsidRPr="00F60A3D">
        <w:rPr>
          <w:lang w:val="fr-FR"/>
        </w:rPr>
        <w:t>’</w:t>
      </w:r>
      <w:r w:rsidR="005018EC" w:rsidRPr="00F60A3D">
        <w:rPr>
          <w:lang w:val="fr-FR"/>
        </w:rPr>
        <w:t xml:space="preserve">à </w:t>
      </w:r>
      <w:r w:rsidR="005B36FD" w:rsidRPr="00F60A3D">
        <w:rPr>
          <w:lang w:val="fr-FR"/>
        </w:rPr>
        <w:t xml:space="preserve">cinq </w:t>
      </w:r>
      <w:r w:rsidR="005018EC" w:rsidRPr="00F60A3D">
        <w:rPr>
          <w:lang w:val="fr-FR"/>
        </w:rPr>
        <w:t>sénateurs à vie</w:t>
      </w:r>
      <w:r w:rsidR="001D5E47" w:rsidRPr="00F60A3D">
        <w:rPr>
          <w:lang w:val="fr-FR"/>
        </w:rPr>
        <w:t>. Les anciens présidents de la République sont aussi sénateurs à vie.</w:t>
      </w:r>
      <w:r w:rsidR="00731982" w:rsidRPr="00F60A3D">
        <w:rPr>
          <w:lang w:val="fr-FR"/>
        </w:rPr>
        <w:t xml:space="preserve"> </w:t>
      </w:r>
    </w:p>
    <w:p w:rsidR="005B297A" w:rsidRPr="00F60A3D" w:rsidRDefault="00224935" w:rsidP="00184957">
      <w:pPr>
        <w:pStyle w:val="SingleTxtG"/>
        <w:rPr>
          <w:lang w:val="fr-FR"/>
        </w:rPr>
      </w:pPr>
      <w:r w:rsidRPr="00F60A3D">
        <w:rPr>
          <w:lang w:val="fr-FR"/>
        </w:rPr>
        <w:lastRenderedPageBreak/>
        <w:t>85.</w:t>
      </w:r>
      <w:r w:rsidR="001D2CCC" w:rsidRPr="00F60A3D">
        <w:rPr>
          <w:lang w:val="fr-FR"/>
        </w:rPr>
        <w:tab/>
      </w:r>
      <w:r w:rsidR="005B297A" w:rsidRPr="00F60A3D">
        <w:rPr>
          <w:lang w:val="fr-FR"/>
        </w:rPr>
        <w:t>Le Parlement se compose d</w:t>
      </w:r>
      <w:r w:rsidR="006762A4" w:rsidRPr="00F60A3D">
        <w:rPr>
          <w:lang w:val="fr-FR"/>
        </w:rPr>
        <w:t>e la Chambre des députés et du S</w:t>
      </w:r>
      <w:r w:rsidR="007A61E2" w:rsidRPr="00F60A3D">
        <w:rPr>
          <w:lang w:val="fr-FR"/>
        </w:rPr>
        <w:t>énat (</w:t>
      </w:r>
      <w:r w:rsidR="00731982" w:rsidRPr="00F60A3D">
        <w:rPr>
          <w:lang w:val="fr-FR"/>
        </w:rPr>
        <w:t>art. </w:t>
      </w:r>
      <w:r w:rsidR="005B297A" w:rsidRPr="00F60A3D">
        <w:rPr>
          <w:lang w:val="fr-FR"/>
        </w:rPr>
        <w:t>55). Les membres des deux chambres ont un mandat de cinq ans. À titre de garantie constitutionnelle de démocratie, la duré</w:t>
      </w:r>
      <w:r w:rsidR="006762A4" w:rsidRPr="00F60A3D">
        <w:rPr>
          <w:lang w:val="fr-FR"/>
        </w:rPr>
        <w:t>e des pouvoirs de chaque chambre</w:t>
      </w:r>
      <w:r w:rsidR="005B297A" w:rsidRPr="00F60A3D">
        <w:rPr>
          <w:lang w:val="fr-FR"/>
        </w:rPr>
        <w:t xml:space="preserve"> ne peut être prorogée que par une loi et seu</w:t>
      </w:r>
      <w:r w:rsidR="007A61E2" w:rsidRPr="00F60A3D">
        <w:rPr>
          <w:lang w:val="fr-FR"/>
        </w:rPr>
        <w:t>lement en cas de guerre (</w:t>
      </w:r>
      <w:r w:rsidR="00731982" w:rsidRPr="00F60A3D">
        <w:rPr>
          <w:lang w:val="fr-FR"/>
        </w:rPr>
        <w:t>art. </w:t>
      </w:r>
      <w:r w:rsidR="005B297A" w:rsidRPr="00F60A3D">
        <w:rPr>
          <w:lang w:val="fr-FR"/>
        </w:rPr>
        <w:t>60</w:t>
      </w:r>
      <w:r w:rsidR="005018EC" w:rsidRPr="00F60A3D">
        <w:rPr>
          <w:lang w:val="fr-FR"/>
        </w:rPr>
        <w:t xml:space="preserve">, </w:t>
      </w:r>
      <w:r w:rsidR="00B17AE1" w:rsidRPr="00F60A3D">
        <w:rPr>
          <w:lang w:val="fr-FR"/>
        </w:rPr>
        <w:t>par. </w:t>
      </w:r>
      <w:r w:rsidR="005B297A" w:rsidRPr="00F60A3D">
        <w:rPr>
          <w:lang w:val="fr-FR"/>
        </w:rPr>
        <w:t xml:space="preserve">2). Tous les </w:t>
      </w:r>
      <w:r w:rsidR="006762A4" w:rsidRPr="00F60A3D">
        <w:rPr>
          <w:lang w:val="fr-FR"/>
        </w:rPr>
        <w:t>cinq ans, les représentants au P</w:t>
      </w:r>
      <w:r w:rsidR="005B297A" w:rsidRPr="00F60A3D">
        <w:rPr>
          <w:lang w:val="fr-FR"/>
        </w:rPr>
        <w:t>arlement italien sont élu</w:t>
      </w:r>
      <w:r w:rsidR="00682290" w:rsidRPr="00F60A3D">
        <w:rPr>
          <w:lang w:val="fr-FR"/>
        </w:rPr>
        <w:t>s</w:t>
      </w:r>
      <w:r w:rsidR="005B297A" w:rsidRPr="00F60A3D">
        <w:rPr>
          <w:lang w:val="fr-FR"/>
        </w:rPr>
        <w:t xml:space="preserve"> au suffrage universel, direct, libre, égal et secre</w:t>
      </w:r>
      <w:r w:rsidR="007A61E2" w:rsidRPr="00F60A3D">
        <w:rPr>
          <w:lang w:val="fr-FR"/>
        </w:rPr>
        <w:t>t (</w:t>
      </w:r>
      <w:r w:rsidR="00731982" w:rsidRPr="00F60A3D">
        <w:rPr>
          <w:lang w:val="fr-FR"/>
        </w:rPr>
        <w:t>art. </w:t>
      </w:r>
      <w:r w:rsidR="006762A4" w:rsidRPr="00F60A3D">
        <w:rPr>
          <w:lang w:val="fr-FR"/>
        </w:rPr>
        <w:t>56). Les membres du P</w:t>
      </w:r>
      <w:r w:rsidR="00690B12" w:rsidRPr="00F60A3D">
        <w:rPr>
          <w:lang w:val="fr-FR"/>
        </w:rPr>
        <w:t xml:space="preserve">arlement représentent </w:t>
      </w:r>
      <w:r w:rsidR="005B297A" w:rsidRPr="00F60A3D">
        <w:rPr>
          <w:lang w:val="fr-FR"/>
        </w:rPr>
        <w:t>l</w:t>
      </w:r>
      <w:r w:rsidR="00B17AE1" w:rsidRPr="00F60A3D">
        <w:rPr>
          <w:lang w:val="fr-FR"/>
        </w:rPr>
        <w:t>’</w:t>
      </w:r>
      <w:r w:rsidR="005B297A" w:rsidRPr="00F60A3D">
        <w:rPr>
          <w:lang w:val="fr-FR"/>
        </w:rPr>
        <w:t xml:space="preserve">ensemble </w:t>
      </w:r>
      <w:r w:rsidR="00690B12" w:rsidRPr="00F60A3D">
        <w:rPr>
          <w:lang w:val="fr-FR"/>
        </w:rPr>
        <w:t>de la population</w:t>
      </w:r>
      <w:r w:rsidR="00731982" w:rsidRPr="00F60A3D">
        <w:rPr>
          <w:lang w:val="fr-FR"/>
        </w:rPr>
        <w:t>;</w:t>
      </w:r>
      <w:r w:rsidR="005B297A" w:rsidRPr="00F60A3D">
        <w:rPr>
          <w:lang w:val="fr-FR"/>
        </w:rPr>
        <w:t xml:space="preserve"> i</w:t>
      </w:r>
      <w:r w:rsidR="006762A4" w:rsidRPr="00F60A3D">
        <w:rPr>
          <w:lang w:val="fr-FR"/>
        </w:rPr>
        <w:t>ls ne sont pas liés par des ord</w:t>
      </w:r>
      <w:r w:rsidR="005B297A" w:rsidRPr="00F60A3D">
        <w:rPr>
          <w:lang w:val="fr-FR"/>
        </w:rPr>
        <w:t>r</w:t>
      </w:r>
      <w:r w:rsidR="006762A4" w:rsidRPr="00F60A3D">
        <w:rPr>
          <w:lang w:val="fr-FR"/>
        </w:rPr>
        <w:t>e</w:t>
      </w:r>
      <w:r w:rsidR="005B297A" w:rsidRPr="00F60A3D">
        <w:rPr>
          <w:lang w:val="fr-FR"/>
        </w:rPr>
        <w:t>s ou des instructions et ne sont soumis qu</w:t>
      </w:r>
      <w:r w:rsidR="00B17AE1" w:rsidRPr="00F60A3D">
        <w:rPr>
          <w:lang w:val="fr-FR"/>
        </w:rPr>
        <w:t>’</w:t>
      </w:r>
      <w:r w:rsidR="005B297A" w:rsidRPr="00F60A3D">
        <w:rPr>
          <w:lang w:val="fr-FR"/>
        </w:rPr>
        <w:t xml:space="preserve">à leur conscience. </w:t>
      </w:r>
      <w:r w:rsidR="00AA0E9B" w:rsidRPr="00F60A3D">
        <w:rPr>
          <w:lang w:val="fr-FR"/>
        </w:rPr>
        <w:t>Libres de tout mandat impératif, ils</w:t>
      </w:r>
      <w:r w:rsidR="00121DE8" w:rsidRPr="00F60A3D">
        <w:rPr>
          <w:lang w:val="fr-FR"/>
        </w:rPr>
        <w:t xml:space="preserve"> représentent la natio</w:t>
      </w:r>
      <w:r w:rsidR="00AA0E9B" w:rsidRPr="00F60A3D">
        <w:rPr>
          <w:lang w:val="fr-FR"/>
        </w:rPr>
        <w:t>n</w:t>
      </w:r>
      <w:r w:rsidR="007A61E2" w:rsidRPr="00F60A3D">
        <w:rPr>
          <w:lang w:val="fr-FR"/>
        </w:rPr>
        <w:t xml:space="preserve"> (</w:t>
      </w:r>
      <w:r w:rsidR="00731982" w:rsidRPr="00F60A3D">
        <w:rPr>
          <w:lang w:val="fr-FR"/>
        </w:rPr>
        <w:t>art. </w:t>
      </w:r>
      <w:r w:rsidR="0005037B" w:rsidRPr="00F60A3D">
        <w:rPr>
          <w:lang w:val="fr-FR"/>
        </w:rPr>
        <w:t>1</w:t>
      </w:r>
      <w:r w:rsidR="0005037B" w:rsidRPr="00F60A3D">
        <w:rPr>
          <w:vertAlign w:val="superscript"/>
          <w:lang w:val="fr-FR"/>
        </w:rPr>
        <w:t>er</w:t>
      </w:r>
      <w:r w:rsidR="00121DE8" w:rsidRPr="00F60A3D">
        <w:rPr>
          <w:lang w:val="fr-FR"/>
        </w:rPr>
        <w:t xml:space="preserve"> et 67).</w:t>
      </w:r>
      <w:r w:rsidR="00731982" w:rsidRPr="00F60A3D">
        <w:rPr>
          <w:lang w:val="fr-FR"/>
        </w:rPr>
        <w:t xml:space="preserve"> </w:t>
      </w:r>
    </w:p>
    <w:p w:rsidR="00121DE8" w:rsidRPr="00F60A3D" w:rsidRDefault="00224935" w:rsidP="00184957">
      <w:pPr>
        <w:pStyle w:val="SingleTxtG"/>
        <w:rPr>
          <w:lang w:val="fr-FR"/>
        </w:rPr>
      </w:pPr>
      <w:r w:rsidRPr="00F60A3D">
        <w:rPr>
          <w:lang w:val="fr-FR"/>
        </w:rPr>
        <w:t>86.</w:t>
      </w:r>
      <w:r w:rsidR="00BD282B" w:rsidRPr="00F60A3D">
        <w:rPr>
          <w:lang w:val="fr-FR"/>
        </w:rPr>
        <w:tab/>
      </w:r>
      <w:r w:rsidR="00121DE8" w:rsidRPr="00F60A3D">
        <w:rPr>
          <w:lang w:val="fr-FR"/>
        </w:rPr>
        <w:t xml:space="preserve">Conformément aux </w:t>
      </w:r>
      <w:r w:rsidR="00FE4548" w:rsidRPr="00F60A3D">
        <w:rPr>
          <w:lang w:val="fr-FR"/>
        </w:rPr>
        <w:t>règles</w:t>
      </w:r>
      <w:r w:rsidR="00121DE8" w:rsidRPr="00F60A3D">
        <w:rPr>
          <w:lang w:val="fr-FR"/>
        </w:rPr>
        <w:t xml:space="preserve"> parlementaires, le principe majeur est le principe de majorité qui inclut la pleine acceptation d</w:t>
      </w:r>
      <w:r w:rsidR="00B17AE1" w:rsidRPr="00F60A3D">
        <w:rPr>
          <w:lang w:val="fr-FR"/>
        </w:rPr>
        <w:t>’</w:t>
      </w:r>
      <w:r w:rsidR="00121DE8" w:rsidRPr="00F60A3D">
        <w:rPr>
          <w:lang w:val="fr-FR"/>
        </w:rPr>
        <w:t>une certaine protection des minorités politiques, à savoir le</w:t>
      </w:r>
      <w:r w:rsidR="00584421" w:rsidRPr="00F60A3D">
        <w:rPr>
          <w:lang w:val="fr-FR"/>
        </w:rPr>
        <w:t>ur droit</w:t>
      </w:r>
      <w:r w:rsidR="00121DE8" w:rsidRPr="00F60A3D">
        <w:rPr>
          <w:lang w:val="fr-FR"/>
        </w:rPr>
        <w:t xml:space="preserve"> d</w:t>
      </w:r>
      <w:r w:rsidR="00B17AE1" w:rsidRPr="00F60A3D">
        <w:rPr>
          <w:lang w:val="fr-FR"/>
        </w:rPr>
        <w:t>’</w:t>
      </w:r>
      <w:r w:rsidR="00121DE8" w:rsidRPr="00F60A3D">
        <w:rPr>
          <w:lang w:val="fr-FR"/>
        </w:rPr>
        <w:t>être entendues au Parlement, la possibilité</w:t>
      </w:r>
      <w:r w:rsidR="00682290" w:rsidRPr="00F60A3D">
        <w:rPr>
          <w:lang w:val="fr-FR"/>
        </w:rPr>
        <w:t xml:space="preserve"> d</w:t>
      </w:r>
      <w:r w:rsidR="00B17AE1" w:rsidRPr="00F60A3D">
        <w:rPr>
          <w:lang w:val="fr-FR"/>
        </w:rPr>
        <w:t>’</w:t>
      </w:r>
      <w:r w:rsidR="00682290" w:rsidRPr="00F60A3D">
        <w:rPr>
          <w:lang w:val="fr-FR"/>
        </w:rPr>
        <w:t>une opposition politique et le</w:t>
      </w:r>
      <w:r w:rsidR="00AE6A79" w:rsidRPr="00F60A3D">
        <w:rPr>
          <w:lang w:val="fr-FR"/>
        </w:rPr>
        <w:t xml:space="preserve"> changement de pouvoir, les groupes </w:t>
      </w:r>
      <w:r w:rsidR="00121DE8" w:rsidRPr="00F60A3D">
        <w:rPr>
          <w:lang w:val="fr-FR"/>
        </w:rPr>
        <w:t>de parlementaires</w:t>
      </w:r>
      <w:r w:rsidR="00AE6A79" w:rsidRPr="00F60A3D">
        <w:rPr>
          <w:lang w:val="fr-FR"/>
        </w:rPr>
        <w:t xml:space="preserve"> dits mixtes</w:t>
      </w:r>
      <w:r w:rsidR="00121DE8" w:rsidRPr="00F60A3D">
        <w:rPr>
          <w:lang w:val="fr-FR"/>
        </w:rPr>
        <w:t xml:space="preserve">, etc. </w:t>
      </w:r>
    </w:p>
    <w:p w:rsidR="00CC6F71" w:rsidRPr="00F60A3D" w:rsidRDefault="00B03B68" w:rsidP="00B03B68">
      <w:pPr>
        <w:pStyle w:val="H23G"/>
        <w:rPr>
          <w:b w:val="0"/>
          <w:i/>
          <w:lang w:val="fr-FR"/>
        </w:rPr>
      </w:pPr>
      <w:r w:rsidRPr="00F60A3D">
        <w:rPr>
          <w:lang w:val="fr-FR"/>
        </w:rPr>
        <w:tab/>
      </w:r>
      <w:r w:rsidRPr="00F60A3D">
        <w:rPr>
          <w:lang w:val="fr-FR"/>
        </w:rPr>
        <w:tab/>
      </w:r>
      <w:r w:rsidR="00BD282B" w:rsidRPr="00F60A3D">
        <w:rPr>
          <w:b w:val="0"/>
          <w:i/>
          <w:lang w:val="fr-FR"/>
        </w:rPr>
        <w:t xml:space="preserve">Système </w:t>
      </w:r>
      <w:r w:rsidR="00F3269B" w:rsidRPr="00F60A3D">
        <w:rPr>
          <w:b w:val="0"/>
          <w:i/>
          <w:lang w:val="fr-FR"/>
        </w:rPr>
        <w:t>é</w:t>
      </w:r>
      <w:r w:rsidR="00BD282B" w:rsidRPr="00F60A3D">
        <w:rPr>
          <w:b w:val="0"/>
          <w:i/>
          <w:lang w:val="fr-FR"/>
        </w:rPr>
        <w:t>lecto</w:t>
      </w:r>
      <w:r w:rsidR="00121DE8" w:rsidRPr="00F60A3D">
        <w:rPr>
          <w:b w:val="0"/>
          <w:i/>
          <w:lang w:val="fr-FR"/>
        </w:rPr>
        <w:t xml:space="preserve">ral et </w:t>
      </w:r>
      <w:r w:rsidR="00DC3584" w:rsidRPr="00F60A3D">
        <w:rPr>
          <w:b w:val="0"/>
          <w:i/>
          <w:lang w:val="fr-FR"/>
        </w:rPr>
        <w:t>ré</w:t>
      </w:r>
      <w:r w:rsidR="00121DE8" w:rsidRPr="00F60A3D">
        <w:rPr>
          <w:b w:val="0"/>
          <w:i/>
          <w:lang w:val="fr-FR"/>
        </w:rPr>
        <w:t xml:space="preserve">partition </w:t>
      </w:r>
      <w:r w:rsidR="00DC3584" w:rsidRPr="00F60A3D">
        <w:rPr>
          <w:b w:val="0"/>
          <w:i/>
          <w:lang w:val="fr-FR"/>
        </w:rPr>
        <w:t>proporti</w:t>
      </w:r>
      <w:r w:rsidR="00121DE8" w:rsidRPr="00F60A3D">
        <w:rPr>
          <w:b w:val="0"/>
          <w:i/>
          <w:lang w:val="fr-FR"/>
        </w:rPr>
        <w:t xml:space="preserve">onnelle des </w:t>
      </w:r>
      <w:r w:rsidR="00DC3584" w:rsidRPr="00F60A3D">
        <w:rPr>
          <w:b w:val="0"/>
          <w:i/>
          <w:lang w:val="fr-FR"/>
        </w:rPr>
        <w:t>siè</w:t>
      </w:r>
      <w:r w:rsidR="00121DE8" w:rsidRPr="00F60A3D">
        <w:rPr>
          <w:b w:val="0"/>
          <w:i/>
          <w:lang w:val="fr-FR"/>
        </w:rPr>
        <w:t xml:space="preserve">ges au Parlement </w:t>
      </w:r>
    </w:p>
    <w:p w:rsidR="00CC6F71" w:rsidRPr="00F60A3D" w:rsidRDefault="00BD282B" w:rsidP="0005037B">
      <w:pPr>
        <w:pStyle w:val="SingleTxtG"/>
        <w:rPr>
          <w:lang w:val="fr-FR"/>
        </w:rPr>
      </w:pPr>
      <w:r w:rsidRPr="00F60A3D">
        <w:rPr>
          <w:lang w:val="fr-FR"/>
        </w:rPr>
        <w:t>87</w:t>
      </w:r>
      <w:r w:rsidR="006762A4" w:rsidRPr="00F60A3D">
        <w:rPr>
          <w:lang w:val="fr-FR"/>
        </w:rPr>
        <w:t>.</w:t>
      </w:r>
      <w:r w:rsidR="006762A4" w:rsidRPr="00F60A3D">
        <w:rPr>
          <w:lang w:val="fr-FR"/>
        </w:rPr>
        <w:tab/>
        <w:t>Conformément à la législation mention</w:t>
      </w:r>
      <w:r w:rsidR="00F3269B" w:rsidRPr="00F60A3D">
        <w:rPr>
          <w:lang w:val="fr-FR"/>
        </w:rPr>
        <w:t>née</w:t>
      </w:r>
      <w:r w:rsidR="00F76D84" w:rsidRPr="00F60A3D">
        <w:rPr>
          <w:lang w:val="fr-FR"/>
        </w:rPr>
        <w:t xml:space="preserve"> au paragraphe</w:t>
      </w:r>
      <w:r w:rsidR="0005037B" w:rsidRPr="00F60A3D">
        <w:rPr>
          <w:lang w:val="fr-FR"/>
        </w:rPr>
        <w:t> </w:t>
      </w:r>
      <w:r w:rsidR="00F76D84" w:rsidRPr="00F60A3D">
        <w:rPr>
          <w:lang w:val="fr-FR"/>
        </w:rPr>
        <w:t>39 ci-dessus, le peuple</w:t>
      </w:r>
      <w:r w:rsidR="00F3269B" w:rsidRPr="00F60A3D">
        <w:rPr>
          <w:lang w:val="fr-FR"/>
        </w:rPr>
        <w:t xml:space="preserve"> élit les membres des deux chambres du Parlement.</w:t>
      </w:r>
      <w:r w:rsidR="00731982" w:rsidRPr="00F60A3D">
        <w:rPr>
          <w:lang w:val="fr-FR"/>
        </w:rPr>
        <w:t xml:space="preserve"> </w:t>
      </w:r>
    </w:p>
    <w:p w:rsidR="00CC6F71" w:rsidRPr="00F60A3D" w:rsidRDefault="00B03B68" w:rsidP="0005037B">
      <w:pPr>
        <w:pStyle w:val="H23G"/>
        <w:rPr>
          <w:b w:val="0"/>
          <w:i/>
          <w:lang w:val="fr-FR"/>
        </w:rPr>
      </w:pPr>
      <w:r w:rsidRPr="00F60A3D">
        <w:rPr>
          <w:lang w:val="fr-FR"/>
        </w:rPr>
        <w:tab/>
      </w:r>
      <w:r w:rsidRPr="00F60A3D">
        <w:rPr>
          <w:lang w:val="fr-FR"/>
        </w:rPr>
        <w:tab/>
      </w:r>
      <w:r w:rsidR="00F3269B" w:rsidRPr="00F60A3D">
        <w:rPr>
          <w:b w:val="0"/>
          <w:i/>
          <w:lang w:val="fr-FR"/>
        </w:rPr>
        <w:t>Fonctions du Parlement (</w:t>
      </w:r>
      <w:r w:rsidR="00D26282" w:rsidRPr="00F60A3D">
        <w:rPr>
          <w:b w:val="0"/>
          <w:i/>
          <w:lang w:val="fr-FR"/>
        </w:rPr>
        <w:t>art</w:t>
      </w:r>
      <w:r w:rsidR="0005037B" w:rsidRPr="00F60A3D">
        <w:rPr>
          <w:b w:val="0"/>
          <w:i/>
          <w:lang w:val="fr-FR"/>
        </w:rPr>
        <w:t>.</w:t>
      </w:r>
      <w:r w:rsidR="00D26282" w:rsidRPr="00F60A3D">
        <w:rPr>
          <w:b w:val="0"/>
          <w:i/>
          <w:lang w:val="fr-FR"/>
        </w:rPr>
        <w:t> </w:t>
      </w:r>
      <w:r w:rsidR="00F3269B" w:rsidRPr="00F60A3D">
        <w:rPr>
          <w:b w:val="0"/>
          <w:i/>
          <w:lang w:val="fr-FR"/>
        </w:rPr>
        <w:t>70 et suivant</w:t>
      </w:r>
      <w:r w:rsidR="006762A4" w:rsidRPr="00F60A3D">
        <w:rPr>
          <w:b w:val="0"/>
          <w:i/>
          <w:lang w:val="fr-FR"/>
        </w:rPr>
        <w:t>s</w:t>
      </w:r>
      <w:r w:rsidR="00F3269B" w:rsidRPr="00F60A3D">
        <w:rPr>
          <w:b w:val="0"/>
          <w:i/>
          <w:lang w:val="fr-FR"/>
        </w:rPr>
        <w:t xml:space="preserve"> de la </w:t>
      </w:r>
      <w:r w:rsidR="00CC6F71" w:rsidRPr="00F60A3D">
        <w:rPr>
          <w:b w:val="0"/>
          <w:i/>
          <w:lang w:val="fr-FR"/>
        </w:rPr>
        <w:t>Constitution)</w:t>
      </w:r>
    </w:p>
    <w:p w:rsidR="007B46D1" w:rsidRPr="00F60A3D" w:rsidRDefault="00BD282B" w:rsidP="00B24AAB">
      <w:pPr>
        <w:pStyle w:val="SingleTxtG"/>
        <w:rPr>
          <w:lang w:val="fr-FR"/>
        </w:rPr>
      </w:pPr>
      <w:r w:rsidRPr="00F60A3D">
        <w:rPr>
          <w:lang w:val="fr-FR"/>
        </w:rPr>
        <w:t>88</w:t>
      </w:r>
      <w:r w:rsidR="00DC3584" w:rsidRPr="00F60A3D">
        <w:rPr>
          <w:lang w:val="fr-FR"/>
        </w:rPr>
        <w:t>.</w:t>
      </w:r>
      <w:r w:rsidR="00DC3584" w:rsidRPr="00F60A3D">
        <w:rPr>
          <w:lang w:val="fr-FR"/>
        </w:rPr>
        <w:tab/>
        <w:t>La</w:t>
      </w:r>
      <w:r w:rsidR="00CC6F71" w:rsidRPr="00F60A3D">
        <w:rPr>
          <w:lang w:val="fr-FR"/>
        </w:rPr>
        <w:t xml:space="preserve"> Constitution</w:t>
      </w:r>
      <w:r w:rsidR="00DC3584" w:rsidRPr="00F60A3D">
        <w:rPr>
          <w:lang w:val="fr-FR"/>
        </w:rPr>
        <w:t xml:space="preserve"> confère la fonction législ</w:t>
      </w:r>
      <w:r w:rsidR="00836779" w:rsidRPr="00F60A3D">
        <w:rPr>
          <w:lang w:val="fr-FR"/>
        </w:rPr>
        <w:t>ative au Parlement. Celui-ci</w:t>
      </w:r>
      <w:r w:rsidR="00DC3584" w:rsidRPr="00F60A3D">
        <w:rPr>
          <w:lang w:val="fr-FR"/>
        </w:rPr>
        <w:t xml:space="preserve"> contrôle les </w:t>
      </w:r>
      <w:r w:rsidR="00682290" w:rsidRPr="00F60A3D">
        <w:rPr>
          <w:lang w:val="fr-FR"/>
        </w:rPr>
        <w:t>politiques et les activités du P</w:t>
      </w:r>
      <w:r w:rsidR="00DC3584" w:rsidRPr="00F60A3D">
        <w:rPr>
          <w:lang w:val="fr-FR"/>
        </w:rPr>
        <w:t xml:space="preserve">résident du Conseil des ministres, comme celles du Conseil des ministres, </w:t>
      </w:r>
      <w:r w:rsidR="00B24AAB" w:rsidRPr="00F60A3D">
        <w:rPr>
          <w:lang w:val="fr-FR"/>
        </w:rPr>
        <w:t>bien que les projets de loi puissent être initiés par les deux chambres et doivent être adopté</w:t>
      </w:r>
      <w:r w:rsidR="007B46D1" w:rsidRPr="00F60A3D">
        <w:rPr>
          <w:lang w:val="fr-FR"/>
        </w:rPr>
        <w:t>s</w:t>
      </w:r>
      <w:r w:rsidR="00B24AAB" w:rsidRPr="00F60A3D">
        <w:rPr>
          <w:lang w:val="fr-FR"/>
        </w:rPr>
        <w:t xml:space="preserve"> à la majorité dans chacune d</w:t>
      </w:r>
      <w:r w:rsidR="00B17AE1" w:rsidRPr="00F60A3D">
        <w:rPr>
          <w:lang w:val="fr-FR"/>
        </w:rPr>
        <w:t>’</w:t>
      </w:r>
      <w:r w:rsidR="00B24AAB" w:rsidRPr="00F60A3D">
        <w:rPr>
          <w:lang w:val="fr-FR"/>
        </w:rPr>
        <w:t>elles. L</w:t>
      </w:r>
      <w:r w:rsidR="007B46D1" w:rsidRPr="00F60A3D">
        <w:rPr>
          <w:lang w:val="fr-FR"/>
        </w:rPr>
        <w:t>es deux chambres</w:t>
      </w:r>
      <w:r w:rsidR="00B24AAB" w:rsidRPr="00F60A3D">
        <w:rPr>
          <w:lang w:val="fr-FR"/>
        </w:rPr>
        <w:t xml:space="preserve"> exerce</w:t>
      </w:r>
      <w:r w:rsidR="007B46D1" w:rsidRPr="00F60A3D">
        <w:rPr>
          <w:lang w:val="fr-FR"/>
        </w:rPr>
        <w:t>nt</w:t>
      </w:r>
      <w:r w:rsidR="00B24AAB" w:rsidRPr="00F60A3D">
        <w:rPr>
          <w:lang w:val="fr-FR"/>
        </w:rPr>
        <w:t xml:space="preserve"> collectivement la fonction législative</w:t>
      </w:r>
      <w:r w:rsidR="00CC6F71" w:rsidRPr="00F60A3D">
        <w:rPr>
          <w:lang w:val="fr-FR"/>
        </w:rPr>
        <w:t xml:space="preserve"> (</w:t>
      </w:r>
      <w:r w:rsidR="00CC6F71" w:rsidRPr="00F60A3D">
        <w:rPr>
          <w:i/>
          <w:lang w:val="fr-FR"/>
        </w:rPr>
        <w:t>Bicameralismo perfetto</w:t>
      </w:r>
      <w:r w:rsidR="00BD599C" w:rsidRPr="00F60A3D">
        <w:rPr>
          <w:lang w:val="fr-FR"/>
        </w:rPr>
        <w:t>)</w:t>
      </w:r>
      <w:r w:rsidR="00E32F68" w:rsidRPr="00F60A3D">
        <w:rPr>
          <w:lang w:val="fr-FR"/>
        </w:rPr>
        <w:t>,</w:t>
      </w:r>
      <w:r w:rsidR="00BD599C" w:rsidRPr="00F60A3D">
        <w:rPr>
          <w:lang w:val="fr-FR"/>
        </w:rPr>
        <w:t xml:space="preserve"> </w:t>
      </w:r>
      <w:r w:rsidR="006762A4" w:rsidRPr="00F60A3D">
        <w:rPr>
          <w:lang w:val="fr-FR"/>
        </w:rPr>
        <w:t>et l</w:t>
      </w:r>
      <w:r w:rsidR="00B17AE1" w:rsidRPr="00F60A3D">
        <w:rPr>
          <w:lang w:val="fr-FR"/>
        </w:rPr>
        <w:t>’</w:t>
      </w:r>
      <w:r w:rsidR="006762A4" w:rsidRPr="00F60A3D">
        <w:rPr>
          <w:lang w:val="fr-FR"/>
        </w:rPr>
        <w:t>initiative lé</w:t>
      </w:r>
      <w:r w:rsidR="007B46D1" w:rsidRPr="00F60A3D">
        <w:rPr>
          <w:lang w:val="fr-FR"/>
        </w:rPr>
        <w:t>gislative appartient au Gouvernement, à chaque membre des chambres</w:t>
      </w:r>
      <w:r w:rsidR="007B50CD" w:rsidRPr="00F60A3D">
        <w:rPr>
          <w:lang w:val="fr-FR"/>
        </w:rPr>
        <w:t>,</w:t>
      </w:r>
      <w:r w:rsidR="007B46D1" w:rsidRPr="00F60A3D">
        <w:rPr>
          <w:lang w:val="fr-FR"/>
        </w:rPr>
        <w:t xml:space="preserve"> et aux organes et institutions auxquels elle est conférée par l</w:t>
      </w:r>
      <w:r w:rsidR="007A61E2" w:rsidRPr="00F60A3D">
        <w:rPr>
          <w:lang w:val="fr-FR"/>
        </w:rPr>
        <w:t>a loi constitutionnelle (</w:t>
      </w:r>
      <w:r w:rsidR="00731982" w:rsidRPr="00F60A3D">
        <w:rPr>
          <w:lang w:val="fr-FR"/>
        </w:rPr>
        <w:t>art. </w:t>
      </w:r>
      <w:r w:rsidR="007B46D1" w:rsidRPr="00F60A3D">
        <w:rPr>
          <w:lang w:val="fr-FR"/>
        </w:rPr>
        <w:t xml:space="preserve">70). </w:t>
      </w:r>
    </w:p>
    <w:p w:rsidR="007B46D1" w:rsidRPr="00F60A3D" w:rsidRDefault="00224935" w:rsidP="0005037B">
      <w:pPr>
        <w:pStyle w:val="SingleTxtG"/>
        <w:rPr>
          <w:lang w:val="fr-FR"/>
        </w:rPr>
      </w:pPr>
      <w:r w:rsidRPr="00F60A3D">
        <w:rPr>
          <w:lang w:val="fr-FR"/>
        </w:rPr>
        <w:t>89.</w:t>
      </w:r>
      <w:r w:rsidR="001D2CCC" w:rsidRPr="00F60A3D">
        <w:rPr>
          <w:lang w:val="fr-FR"/>
        </w:rPr>
        <w:tab/>
      </w:r>
      <w:r w:rsidR="007B46D1" w:rsidRPr="00F60A3D">
        <w:rPr>
          <w:lang w:val="fr-FR"/>
        </w:rPr>
        <w:t>Les chambres sont également habilitées à d</w:t>
      </w:r>
      <w:r w:rsidR="008932E1" w:rsidRPr="00F60A3D">
        <w:rPr>
          <w:lang w:val="fr-FR"/>
        </w:rPr>
        <w:t>é</w:t>
      </w:r>
      <w:r w:rsidR="007B46D1" w:rsidRPr="00F60A3D">
        <w:rPr>
          <w:lang w:val="fr-FR"/>
        </w:rPr>
        <w:t xml:space="preserve">clarer la guerre et </w:t>
      </w:r>
      <w:r w:rsidR="00CD3C15" w:rsidRPr="00F60A3D">
        <w:rPr>
          <w:lang w:val="fr-FR"/>
        </w:rPr>
        <w:t xml:space="preserve">à </w:t>
      </w:r>
      <w:r w:rsidR="00C903C2" w:rsidRPr="00F60A3D">
        <w:rPr>
          <w:lang w:val="fr-FR"/>
        </w:rPr>
        <w:t>accord</w:t>
      </w:r>
      <w:r w:rsidR="008932E1" w:rsidRPr="00F60A3D">
        <w:rPr>
          <w:lang w:val="fr-FR"/>
        </w:rPr>
        <w:t>e</w:t>
      </w:r>
      <w:r w:rsidR="00CD3C15" w:rsidRPr="00F60A3D">
        <w:rPr>
          <w:lang w:val="fr-FR"/>
        </w:rPr>
        <w:t>r</w:t>
      </w:r>
      <w:r w:rsidR="007B46D1" w:rsidRPr="00F60A3D">
        <w:rPr>
          <w:lang w:val="fr-FR"/>
        </w:rPr>
        <w:t xml:space="preserve"> au Gouvernement les pouvoirs nécessaires. Elles r</w:t>
      </w:r>
      <w:r w:rsidR="008932E1" w:rsidRPr="00F60A3D">
        <w:rPr>
          <w:lang w:val="fr-FR"/>
        </w:rPr>
        <w:t>atifient par une loi l</w:t>
      </w:r>
      <w:r w:rsidR="007B46D1" w:rsidRPr="00F60A3D">
        <w:rPr>
          <w:lang w:val="fr-FR"/>
        </w:rPr>
        <w:t>es</w:t>
      </w:r>
      <w:r w:rsidR="00C55411" w:rsidRPr="00F60A3D">
        <w:rPr>
          <w:lang w:val="fr-FR"/>
        </w:rPr>
        <w:t xml:space="preserve"> traités internationaux</w:t>
      </w:r>
      <w:r w:rsidR="007B46D1" w:rsidRPr="00F60A3D">
        <w:rPr>
          <w:lang w:val="fr-FR"/>
        </w:rPr>
        <w:t xml:space="preserve"> de nature p</w:t>
      </w:r>
      <w:r w:rsidR="00A85D80" w:rsidRPr="00F60A3D">
        <w:rPr>
          <w:lang w:val="fr-FR"/>
        </w:rPr>
        <w:t>olitique</w:t>
      </w:r>
      <w:r w:rsidR="00DD2291" w:rsidRPr="00F60A3D">
        <w:rPr>
          <w:lang w:val="fr-FR"/>
        </w:rPr>
        <w:t xml:space="preserve"> ou qui prévoient</w:t>
      </w:r>
      <w:r w:rsidR="008932E1" w:rsidRPr="00F60A3D">
        <w:rPr>
          <w:lang w:val="fr-FR"/>
        </w:rPr>
        <w:t xml:space="preserve"> des modifications du territoire, </w:t>
      </w:r>
      <w:r w:rsidR="00DD2291" w:rsidRPr="00F60A3D">
        <w:rPr>
          <w:lang w:val="fr-FR"/>
        </w:rPr>
        <w:t xml:space="preserve">ou </w:t>
      </w:r>
      <w:r w:rsidR="008932E1" w:rsidRPr="00F60A3D">
        <w:rPr>
          <w:lang w:val="fr-FR"/>
        </w:rPr>
        <w:t>des arb</w:t>
      </w:r>
      <w:r w:rsidR="004C2222" w:rsidRPr="00F60A3D">
        <w:rPr>
          <w:lang w:val="fr-FR"/>
        </w:rPr>
        <w:t>itrages et</w:t>
      </w:r>
      <w:r w:rsidR="008932E1" w:rsidRPr="00F60A3D">
        <w:rPr>
          <w:lang w:val="fr-FR"/>
        </w:rPr>
        <w:t xml:space="preserve"> des </w:t>
      </w:r>
      <w:r w:rsidR="00FE4548" w:rsidRPr="00F60A3D">
        <w:rPr>
          <w:lang w:val="fr-FR"/>
        </w:rPr>
        <w:t>règlements</w:t>
      </w:r>
      <w:r w:rsidR="008932E1" w:rsidRPr="00F60A3D">
        <w:rPr>
          <w:lang w:val="fr-FR"/>
        </w:rPr>
        <w:t xml:space="preserve"> judiciaires, ou </w:t>
      </w:r>
      <w:r w:rsidR="00DD2291" w:rsidRPr="00F60A3D">
        <w:rPr>
          <w:lang w:val="fr-FR"/>
        </w:rPr>
        <w:t xml:space="preserve">imposent </w:t>
      </w:r>
      <w:r w:rsidR="008932E1" w:rsidRPr="00F60A3D">
        <w:rPr>
          <w:lang w:val="fr-FR"/>
        </w:rPr>
        <w:t>des charges pour les finances</w:t>
      </w:r>
      <w:r w:rsidR="00C55411" w:rsidRPr="00F60A3D">
        <w:rPr>
          <w:lang w:val="fr-FR"/>
        </w:rPr>
        <w:t>,</w:t>
      </w:r>
      <w:r w:rsidR="008932E1" w:rsidRPr="00F60A3D">
        <w:rPr>
          <w:lang w:val="fr-FR"/>
        </w:rPr>
        <w:t xml:space="preserve"> ou des</w:t>
      </w:r>
      <w:r w:rsidR="007A61E2" w:rsidRPr="00F60A3D">
        <w:rPr>
          <w:lang w:val="fr-FR"/>
        </w:rPr>
        <w:t xml:space="preserve"> modifications de lois (</w:t>
      </w:r>
      <w:r w:rsidR="00731982" w:rsidRPr="00F60A3D">
        <w:rPr>
          <w:lang w:val="fr-FR"/>
        </w:rPr>
        <w:t>art. </w:t>
      </w:r>
      <w:r w:rsidR="008932E1" w:rsidRPr="00F60A3D">
        <w:rPr>
          <w:lang w:val="fr-FR"/>
        </w:rPr>
        <w:t xml:space="preserve">78 à 81). </w:t>
      </w:r>
    </w:p>
    <w:p w:rsidR="008932E1" w:rsidRPr="00F60A3D" w:rsidRDefault="00BD282B" w:rsidP="008578E0">
      <w:pPr>
        <w:pStyle w:val="SingleTxtG"/>
        <w:rPr>
          <w:lang w:val="fr-FR"/>
        </w:rPr>
      </w:pPr>
      <w:r w:rsidRPr="00F60A3D">
        <w:rPr>
          <w:lang w:val="fr-FR"/>
        </w:rPr>
        <w:t>90</w:t>
      </w:r>
      <w:r w:rsidR="008932E1" w:rsidRPr="00F60A3D">
        <w:rPr>
          <w:lang w:val="fr-FR"/>
        </w:rPr>
        <w:t>.</w:t>
      </w:r>
      <w:r w:rsidR="008932E1" w:rsidRPr="00F60A3D">
        <w:rPr>
          <w:lang w:val="fr-FR"/>
        </w:rPr>
        <w:tab/>
        <w:t>La</w:t>
      </w:r>
      <w:r w:rsidR="00CC6F71" w:rsidRPr="00F60A3D">
        <w:rPr>
          <w:lang w:val="fr-FR"/>
        </w:rPr>
        <w:t xml:space="preserve"> relation </w:t>
      </w:r>
      <w:r w:rsidR="008932E1" w:rsidRPr="00F60A3D">
        <w:rPr>
          <w:lang w:val="fr-FR"/>
        </w:rPr>
        <w:t>entre le</w:t>
      </w:r>
      <w:r w:rsidR="00003BE3" w:rsidRPr="00F60A3D">
        <w:rPr>
          <w:lang w:val="fr-FR"/>
        </w:rPr>
        <w:t xml:space="preserve"> P</w:t>
      </w:r>
      <w:r w:rsidR="00C55411" w:rsidRPr="00F60A3D">
        <w:rPr>
          <w:lang w:val="fr-FR"/>
        </w:rPr>
        <w:t xml:space="preserve">arlement et le </w:t>
      </w:r>
      <w:r w:rsidR="008932E1" w:rsidRPr="00F60A3D">
        <w:rPr>
          <w:lang w:val="fr-FR"/>
        </w:rPr>
        <w:t>Gouvernement implique que le premi</w:t>
      </w:r>
      <w:r w:rsidR="00CE0C8D" w:rsidRPr="00F60A3D">
        <w:rPr>
          <w:lang w:val="fr-FR"/>
        </w:rPr>
        <w:t>er est habilité à soumettre le c</w:t>
      </w:r>
      <w:r w:rsidR="008932E1" w:rsidRPr="00F60A3D">
        <w:rPr>
          <w:lang w:val="fr-FR"/>
        </w:rPr>
        <w:t xml:space="preserve">hef du gouvernement et son Conseil des ministres à un vote de confiance, et </w:t>
      </w:r>
      <w:r w:rsidR="00CE0C8D" w:rsidRPr="00F60A3D">
        <w:rPr>
          <w:lang w:val="fr-FR"/>
        </w:rPr>
        <w:t>que le c</w:t>
      </w:r>
      <w:r w:rsidR="00CD3C15" w:rsidRPr="00F60A3D">
        <w:rPr>
          <w:lang w:val="fr-FR"/>
        </w:rPr>
        <w:t>hef du G</w:t>
      </w:r>
      <w:r w:rsidR="008932E1" w:rsidRPr="00F60A3D">
        <w:rPr>
          <w:lang w:val="fr-FR"/>
        </w:rPr>
        <w:t>ouverne</w:t>
      </w:r>
      <w:r w:rsidR="00C55411" w:rsidRPr="00F60A3D">
        <w:rPr>
          <w:lang w:val="fr-FR"/>
        </w:rPr>
        <w:t>ment</w:t>
      </w:r>
      <w:r w:rsidR="00CD3C15" w:rsidRPr="00F60A3D">
        <w:rPr>
          <w:lang w:val="fr-FR"/>
        </w:rPr>
        <w:t xml:space="preserve"> (appelé en I</w:t>
      </w:r>
      <w:r w:rsidR="008932E1" w:rsidRPr="00F60A3D">
        <w:rPr>
          <w:lang w:val="fr-FR"/>
        </w:rPr>
        <w:t>talie Président du Conse</w:t>
      </w:r>
      <w:r w:rsidR="005832A7" w:rsidRPr="00F60A3D">
        <w:rPr>
          <w:lang w:val="fr-FR"/>
        </w:rPr>
        <w:t>il des min</w:t>
      </w:r>
      <w:r w:rsidR="00C55411" w:rsidRPr="00F60A3D">
        <w:rPr>
          <w:lang w:val="fr-FR"/>
        </w:rPr>
        <w:t>i</w:t>
      </w:r>
      <w:r w:rsidR="00CD3C15" w:rsidRPr="00F60A3D">
        <w:rPr>
          <w:lang w:val="fr-FR"/>
        </w:rPr>
        <w:t>stres) est habilité à</w:t>
      </w:r>
      <w:r w:rsidR="005832A7" w:rsidRPr="00F60A3D">
        <w:rPr>
          <w:lang w:val="fr-FR"/>
        </w:rPr>
        <w:t xml:space="preserve"> nommer les</w:t>
      </w:r>
      <w:r w:rsidR="00CE0C8D" w:rsidRPr="00F60A3D">
        <w:rPr>
          <w:lang w:val="fr-FR"/>
        </w:rPr>
        <w:t xml:space="preserve"> ministres, sur proposition du c</w:t>
      </w:r>
      <w:r w:rsidR="005832A7" w:rsidRPr="00F60A3D">
        <w:rPr>
          <w:lang w:val="fr-FR"/>
        </w:rPr>
        <w:t>hef de l</w:t>
      </w:r>
      <w:r w:rsidR="00B17AE1" w:rsidRPr="00F60A3D">
        <w:rPr>
          <w:lang w:val="fr-FR"/>
        </w:rPr>
        <w:t>’</w:t>
      </w:r>
      <w:r w:rsidR="005832A7" w:rsidRPr="00F60A3D">
        <w:rPr>
          <w:lang w:val="fr-FR"/>
        </w:rPr>
        <w:t>État, comme l</w:t>
      </w:r>
      <w:r w:rsidR="00B17AE1" w:rsidRPr="00F60A3D">
        <w:rPr>
          <w:lang w:val="fr-FR"/>
        </w:rPr>
        <w:t>’</w:t>
      </w:r>
      <w:r w:rsidR="005832A7" w:rsidRPr="00F60A3D">
        <w:rPr>
          <w:lang w:val="fr-FR"/>
        </w:rPr>
        <w:t>énonce</w:t>
      </w:r>
      <w:r w:rsidR="00C55411" w:rsidRPr="00F60A3D">
        <w:rPr>
          <w:lang w:val="fr-FR"/>
        </w:rPr>
        <w:t>nt</w:t>
      </w:r>
      <w:r w:rsidR="00B04C56" w:rsidRPr="00F60A3D">
        <w:rPr>
          <w:lang w:val="fr-FR"/>
        </w:rPr>
        <w:t xml:space="preserve"> les </w:t>
      </w:r>
      <w:r w:rsidR="00D26282" w:rsidRPr="00F60A3D">
        <w:rPr>
          <w:lang w:val="fr-FR"/>
        </w:rPr>
        <w:t>articles </w:t>
      </w:r>
      <w:r w:rsidR="00B04C56" w:rsidRPr="00F60A3D">
        <w:rPr>
          <w:lang w:val="fr-FR"/>
        </w:rPr>
        <w:t xml:space="preserve">92 </w:t>
      </w:r>
      <w:r w:rsidR="005018EC" w:rsidRPr="00F60A3D">
        <w:rPr>
          <w:lang w:val="fr-FR"/>
        </w:rPr>
        <w:t>(</w:t>
      </w:r>
      <w:r w:rsidR="00B17AE1" w:rsidRPr="00F60A3D">
        <w:rPr>
          <w:lang w:val="fr-FR"/>
        </w:rPr>
        <w:t>par. </w:t>
      </w:r>
      <w:r w:rsidR="00B04C56" w:rsidRPr="00F60A3D">
        <w:rPr>
          <w:lang w:val="fr-FR"/>
        </w:rPr>
        <w:t xml:space="preserve">2) et </w:t>
      </w:r>
      <w:r w:rsidR="005832A7" w:rsidRPr="00F60A3D">
        <w:rPr>
          <w:lang w:val="fr-FR"/>
        </w:rPr>
        <w:t>95</w:t>
      </w:r>
      <w:r w:rsidR="00BD599C" w:rsidRPr="00F60A3D">
        <w:rPr>
          <w:lang w:val="fr-FR"/>
        </w:rPr>
        <w:t>,</w:t>
      </w:r>
      <w:r w:rsidR="005832A7" w:rsidRPr="00F60A3D">
        <w:rPr>
          <w:lang w:val="fr-FR"/>
        </w:rPr>
        <w:t xml:space="preserve"> et </w:t>
      </w:r>
      <w:r w:rsidR="00CD3C15" w:rsidRPr="00F60A3D">
        <w:rPr>
          <w:lang w:val="fr-FR"/>
        </w:rPr>
        <w:t>à</w:t>
      </w:r>
      <w:r w:rsidR="00C55411" w:rsidRPr="00F60A3D">
        <w:rPr>
          <w:lang w:val="fr-FR"/>
        </w:rPr>
        <w:t xml:space="preserve"> </w:t>
      </w:r>
      <w:r w:rsidR="005832A7" w:rsidRPr="00F60A3D">
        <w:rPr>
          <w:lang w:val="fr-FR"/>
        </w:rPr>
        <w:t>dirige</w:t>
      </w:r>
      <w:r w:rsidR="00CD3C15" w:rsidRPr="00F60A3D">
        <w:rPr>
          <w:lang w:val="fr-FR"/>
        </w:rPr>
        <w:t>r</w:t>
      </w:r>
      <w:r w:rsidR="005832A7" w:rsidRPr="00F60A3D">
        <w:rPr>
          <w:lang w:val="fr-FR"/>
        </w:rPr>
        <w:t xml:space="preserve"> et supervise</w:t>
      </w:r>
      <w:r w:rsidR="00CD3C15" w:rsidRPr="00F60A3D">
        <w:rPr>
          <w:lang w:val="fr-FR"/>
        </w:rPr>
        <w:t>r</w:t>
      </w:r>
      <w:r w:rsidR="005832A7" w:rsidRPr="00F60A3D">
        <w:rPr>
          <w:lang w:val="fr-FR"/>
        </w:rPr>
        <w:t xml:space="preserve"> la pol</w:t>
      </w:r>
      <w:r w:rsidR="007A61E2" w:rsidRPr="00F60A3D">
        <w:rPr>
          <w:lang w:val="fr-FR"/>
        </w:rPr>
        <w:t>itique du Gouvernement (</w:t>
      </w:r>
      <w:r w:rsidR="00731982" w:rsidRPr="00F60A3D">
        <w:rPr>
          <w:lang w:val="fr-FR"/>
        </w:rPr>
        <w:t>art. </w:t>
      </w:r>
      <w:r w:rsidR="007A61E2" w:rsidRPr="00F60A3D">
        <w:rPr>
          <w:lang w:val="fr-FR"/>
        </w:rPr>
        <w:t>76</w:t>
      </w:r>
      <w:r w:rsidR="005018EC" w:rsidRPr="00F60A3D">
        <w:rPr>
          <w:lang w:val="fr-FR"/>
        </w:rPr>
        <w:t>,</w:t>
      </w:r>
      <w:r w:rsidR="007A61E2" w:rsidRPr="00F60A3D">
        <w:rPr>
          <w:lang w:val="fr-FR"/>
        </w:rPr>
        <w:t xml:space="preserve"> 77, 94 et </w:t>
      </w:r>
      <w:r w:rsidR="005832A7" w:rsidRPr="00F60A3D">
        <w:rPr>
          <w:lang w:val="fr-FR"/>
        </w:rPr>
        <w:t>95).</w:t>
      </w:r>
      <w:r w:rsidR="00731982" w:rsidRPr="00F60A3D">
        <w:rPr>
          <w:lang w:val="fr-FR"/>
        </w:rPr>
        <w:t xml:space="preserve"> </w:t>
      </w:r>
    </w:p>
    <w:p w:rsidR="005832A7" w:rsidRPr="00F60A3D" w:rsidRDefault="00224935" w:rsidP="0005037B">
      <w:pPr>
        <w:pStyle w:val="SingleTxtG"/>
        <w:rPr>
          <w:lang w:val="fr-FR"/>
        </w:rPr>
      </w:pPr>
      <w:r w:rsidRPr="00F60A3D">
        <w:rPr>
          <w:lang w:val="fr-FR"/>
        </w:rPr>
        <w:t>91.</w:t>
      </w:r>
      <w:r w:rsidR="001D2CCC" w:rsidRPr="00F60A3D">
        <w:rPr>
          <w:lang w:val="fr-FR"/>
        </w:rPr>
        <w:tab/>
      </w:r>
      <w:r w:rsidR="005832A7" w:rsidRPr="00F60A3D">
        <w:rPr>
          <w:lang w:val="fr-FR"/>
        </w:rPr>
        <w:t>L</w:t>
      </w:r>
      <w:r w:rsidR="00B17AE1" w:rsidRPr="00F60A3D">
        <w:rPr>
          <w:lang w:val="fr-FR"/>
        </w:rPr>
        <w:t>’</w:t>
      </w:r>
      <w:r w:rsidR="00D26282" w:rsidRPr="00F60A3D">
        <w:rPr>
          <w:lang w:val="fr-FR"/>
        </w:rPr>
        <w:t>article </w:t>
      </w:r>
      <w:r w:rsidR="005832A7" w:rsidRPr="00F60A3D">
        <w:rPr>
          <w:lang w:val="fr-FR"/>
        </w:rPr>
        <w:t>95 dispose ce qui suit</w:t>
      </w:r>
      <w:r w:rsidR="00CC6F71" w:rsidRPr="00F60A3D">
        <w:rPr>
          <w:lang w:val="fr-FR"/>
        </w:rPr>
        <w:t xml:space="preserve">: </w:t>
      </w:r>
      <w:r w:rsidR="00731982" w:rsidRPr="00F60A3D">
        <w:rPr>
          <w:lang w:val="fr-FR"/>
        </w:rPr>
        <w:t>«</w:t>
      </w:r>
      <w:r w:rsidR="005832A7" w:rsidRPr="00F60A3D">
        <w:rPr>
          <w:lang w:val="fr-FR"/>
        </w:rPr>
        <w:t>Le Pré</w:t>
      </w:r>
      <w:r w:rsidR="00CC6F71" w:rsidRPr="00F60A3D">
        <w:rPr>
          <w:lang w:val="fr-FR"/>
        </w:rPr>
        <w:t xml:space="preserve">sident </w:t>
      </w:r>
      <w:r w:rsidR="005832A7" w:rsidRPr="00F60A3D">
        <w:rPr>
          <w:lang w:val="fr-FR"/>
        </w:rPr>
        <w:t>du Conseil des ministres d</w:t>
      </w:r>
      <w:r w:rsidR="00CD3C15" w:rsidRPr="00F60A3D">
        <w:rPr>
          <w:lang w:val="fr-FR"/>
        </w:rPr>
        <w:t>irige la politique générale du G</w:t>
      </w:r>
      <w:r w:rsidR="00C55411" w:rsidRPr="00F60A3D">
        <w:rPr>
          <w:lang w:val="fr-FR"/>
        </w:rPr>
        <w:t>ouvernement et e</w:t>
      </w:r>
      <w:r w:rsidR="005832A7" w:rsidRPr="00F60A3D">
        <w:rPr>
          <w:lang w:val="fr-FR"/>
        </w:rPr>
        <w:t>n</w:t>
      </w:r>
      <w:r w:rsidR="00C55411" w:rsidRPr="00F60A3D">
        <w:rPr>
          <w:lang w:val="fr-FR"/>
        </w:rPr>
        <w:t xml:space="preserve"> est respons</w:t>
      </w:r>
      <w:r w:rsidR="00950BEA" w:rsidRPr="00F60A3D">
        <w:rPr>
          <w:lang w:val="fr-FR"/>
        </w:rPr>
        <w:t>able. Il maintient l</w:t>
      </w:r>
      <w:r w:rsidR="00B17AE1" w:rsidRPr="00F60A3D">
        <w:rPr>
          <w:lang w:val="fr-FR"/>
        </w:rPr>
        <w:t>’</w:t>
      </w:r>
      <w:r w:rsidR="00950BEA" w:rsidRPr="00F60A3D">
        <w:rPr>
          <w:lang w:val="fr-FR"/>
        </w:rPr>
        <w:t>unité</w:t>
      </w:r>
      <w:r w:rsidR="00731982" w:rsidRPr="00F60A3D">
        <w:rPr>
          <w:lang w:val="fr-FR"/>
        </w:rPr>
        <w:t xml:space="preserve"> </w:t>
      </w:r>
      <w:r w:rsidR="00950BEA" w:rsidRPr="00F60A3D">
        <w:rPr>
          <w:lang w:val="fr-FR"/>
        </w:rPr>
        <w:t>d</w:t>
      </w:r>
      <w:r w:rsidR="00B17AE1" w:rsidRPr="00F60A3D">
        <w:rPr>
          <w:lang w:val="fr-FR"/>
        </w:rPr>
        <w:t>’</w:t>
      </w:r>
      <w:r w:rsidR="0030365F" w:rsidRPr="00F60A3D">
        <w:rPr>
          <w:lang w:val="fr-FR"/>
        </w:rPr>
        <w:t>orientation</w:t>
      </w:r>
      <w:r w:rsidR="005832A7" w:rsidRPr="00F60A3D">
        <w:rPr>
          <w:lang w:val="fr-FR"/>
        </w:rPr>
        <w:t xml:space="preserve"> politique et administrative, en</w:t>
      </w:r>
      <w:r w:rsidR="00C55411" w:rsidRPr="00F60A3D">
        <w:rPr>
          <w:lang w:val="fr-FR"/>
        </w:rPr>
        <w:t xml:space="preserve"> </w:t>
      </w:r>
      <w:r w:rsidR="005832A7" w:rsidRPr="00F60A3D">
        <w:rPr>
          <w:lang w:val="fr-FR"/>
        </w:rPr>
        <w:t>favorisant et en coordonnant l</w:t>
      </w:r>
      <w:r w:rsidR="00B17AE1" w:rsidRPr="00F60A3D">
        <w:rPr>
          <w:lang w:val="fr-FR"/>
        </w:rPr>
        <w:t>’</w:t>
      </w:r>
      <w:r w:rsidR="005832A7" w:rsidRPr="00F60A3D">
        <w:rPr>
          <w:lang w:val="fr-FR"/>
        </w:rPr>
        <w:t>activité des ministres</w:t>
      </w:r>
      <w:r w:rsidR="00731982" w:rsidRPr="00F60A3D">
        <w:rPr>
          <w:lang w:val="fr-FR"/>
        </w:rPr>
        <w:t>»</w:t>
      </w:r>
      <w:r w:rsidR="005832A7" w:rsidRPr="00F60A3D">
        <w:rPr>
          <w:lang w:val="fr-FR"/>
        </w:rPr>
        <w:t xml:space="preserve">. </w:t>
      </w:r>
    </w:p>
    <w:p w:rsidR="00CC6F71" w:rsidRPr="00F60A3D" w:rsidRDefault="00B03B68" w:rsidP="00A711BA">
      <w:pPr>
        <w:pStyle w:val="H23G"/>
        <w:rPr>
          <w:lang w:val="fr-FR"/>
        </w:rPr>
      </w:pPr>
      <w:r w:rsidRPr="00F60A3D">
        <w:rPr>
          <w:lang w:val="fr-FR"/>
        </w:rPr>
        <w:tab/>
      </w:r>
      <w:r w:rsidRPr="00F60A3D">
        <w:rPr>
          <w:lang w:val="fr-FR"/>
        </w:rPr>
        <w:tab/>
      </w:r>
      <w:r w:rsidR="005832A7" w:rsidRPr="00F60A3D">
        <w:rPr>
          <w:lang w:val="fr-FR"/>
        </w:rPr>
        <w:t>Le</w:t>
      </w:r>
      <w:r w:rsidR="00CC6F71" w:rsidRPr="00F60A3D">
        <w:rPr>
          <w:lang w:val="fr-FR"/>
        </w:rPr>
        <w:t xml:space="preserve"> Go</w:t>
      </w:r>
      <w:r w:rsidR="005832A7" w:rsidRPr="00F60A3D">
        <w:rPr>
          <w:lang w:val="fr-FR"/>
        </w:rPr>
        <w:t>u</w:t>
      </w:r>
      <w:r w:rsidR="00CC6F71" w:rsidRPr="00F60A3D">
        <w:rPr>
          <w:lang w:val="fr-FR"/>
        </w:rPr>
        <w:t>vern</w:t>
      </w:r>
      <w:r w:rsidR="005832A7" w:rsidRPr="00F60A3D">
        <w:rPr>
          <w:lang w:val="fr-FR"/>
        </w:rPr>
        <w:t>e</w:t>
      </w:r>
      <w:r w:rsidR="00CC6F71" w:rsidRPr="00F60A3D">
        <w:rPr>
          <w:lang w:val="fr-FR"/>
        </w:rPr>
        <w:t xml:space="preserve">ment </w:t>
      </w:r>
      <w:r w:rsidR="007A61E2" w:rsidRPr="00F60A3D">
        <w:rPr>
          <w:lang w:val="fr-FR"/>
        </w:rPr>
        <w:t>(</w:t>
      </w:r>
      <w:r w:rsidR="00731982" w:rsidRPr="00F60A3D">
        <w:rPr>
          <w:lang w:val="fr-FR"/>
        </w:rPr>
        <w:t>art. </w:t>
      </w:r>
      <w:r w:rsidR="00950BEA" w:rsidRPr="00F60A3D">
        <w:rPr>
          <w:lang w:val="fr-FR"/>
        </w:rPr>
        <w:t>92 à</w:t>
      </w:r>
      <w:r w:rsidR="005832A7" w:rsidRPr="00F60A3D">
        <w:rPr>
          <w:lang w:val="fr-FR"/>
        </w:rPr>
        <w:t xml:space="preserve"> 96 de la</w:t>
      </w:r>
      <w:r w:rsidR="00CC6F71" w:rsidRPr="00F60A3D">
        <w:rPr>
          <w:lang w:val="fr-FR"/>
        </w:rPr>
        <w:t xml:space="preserve"> Constitution)</w:t>
      </w:r>
    </w:p>
    <w:p w:rsidR="00CC6F71" w:rsidRPr="00F60A3D" w:rsidRDefault="00BD282B" w:rsidP="008578E0">
      <w:pPr>
        <w:pStyle w:val="SingleTxtG"/>
        <w:rPr>
          <w:lang w:val="fr-FR"/>
        </w:rPr>
      </w:pPr>
      <w:r w:rsidRPr="00F60A3D">
        <w:rPr>
          <w:lang w:val="fr-FR"/>
        </w:rPr>
        <w:t>92</w:t>
      </w:r>
      <w:r w:rsidR="00C55411" w:rsidRPr="00F60A3D">
        <w:rPr>
          <w:lang w:val="fr-FR"/>
        </w:rPr>
        <w:t>.</w:t>
      </w:r>
      <w:r w:rsidR="00C55411" w:rsidRPr="00F60A3D">
        <w:rPr>
          <w:lang w:val="fr-FR"/>
        </w:rPr>
        <w:tab/>
        <w:t>Le G</w:t>
      </w:r>
      <w:r w:rsidR="005832A7" w:rsidRPr="00F60A3D">
        <w:rPr>
          <w:lang w:val="fr-FR"/>
        </w:rPr>
        <w:t>ouvernement d</w:t>
      </w:r>
      <w:r w:rsidR="00C55411" w:rsidRPr="00F60A3D">
        <w:rPr>
          <w:lang w:val="fr-FR"/>
        </w:rPr>
        <w:t>e la République est composé du P</w:t>
      </w:r>
      <w:r w:rsidR="005832A7" w:rsidRPr="00F60A3D">
        <w:rPr>
          <w:lang w:val="fr-FR"/>
        </w:rPr>
        <w:t xml:space="preserve">résident du Conseil </w:t>
      </w:r>
      <w:r w:rsidR="00931DDA" w:rsidRPr="00F60A3D">
        <w:rPr>
          <w:lang w:val="fr-FR"/>
        </w:rPr>
        <w:t xml:space="preserve">des ministres </w:t>
      </w:r>
      <w:r w:rsidR="005832A7" w:rsidRPr="00F60A3D">
        <w:rPr>
          <w:lang w:val="fr-FR"/>
        </w:rPr>
        <w:t>et des ministres qui constituent ensemble l</w:t>
      </w:r>
      <w:r w:rsidR="007A61E2" w:rsidRPr="00F60A3D">
        <w:rPr>
          <w:lang w:val="fr-FR"/>
        </w:rPr>
        <w:t>e Conseil des ministres (</w:t>
      </w:r>
      <w:r w:rsidR="00731982" w:rsidRPr="00F60A3D">
        <w:rPr>
          <w:lang w:val="fr-FR"/>
        </w:rPr>
        <w:t>art. </w:t>
      </w:r>
      <w:r w:rsidR="00B04C56" w:rsidRPr="00F60A3D">
        <w:rPr>
          <w:lang w:val="fr-FR"/>
        </w:rPr>
        <w:t>92</w:t>
      </w:r>
      <w:r w:rsidR="005018EC" w:rsidRPr="00F60A3D">
        <w:rPr>
          <w:lang w:val="fr-FR"/>
        </w:rPr>
        <w:t xml:space="preserve">, </w:t>
      </w:r>
      <w:r w:rsidR="00B17AE1" w:rsidRPr="00F60A3D">
        <w:rPr>
          <w:lang w:val="fr-FR"/>
        </w:rPr>
        <w:t>par. </w:t>
      </w:r>
      <w:r w:rsidR="005832A7" w:rsidRPr="00F60A3D">
        <w:rPr>
          <w:lang w:val="fr-FR"/>
        </w:rPr>
        <w:t>1).</w:t>
      </w:r>
    </w:p>
    <w:p w:rsidR="00003BE3" w:rsidRPr="00F60A3D" w:rsidRDefault="00BD282B" w:rsidP="008578E0">
      <w:pPr>
        <w:pStyle w:val="SingleTxtG"/>
        <w:rPr>
          <w:lang w:val="fr-FR"/>
        </w:rPr>
      </w:pPr>
      <w:r w:rsidRPr="00F60A3D">
        <w:rPr>
          <w:lang w:val="fr-FR"/>
        </w:rPr>
        <w:t>93</w:t>
      </w:r>
      <w:r w:rsidR="00003BE3" w:rsidRPr="00F60A3D">
        <w:rPr>
          <w:lang w:val="fr-FR"/>
        </w:rPr>
        <w:t>.</w:t>
      </w:r>
      <w:r w:rsidR="00003BE3" w:rsidRPr="00F60A3D">
        <w:rPr>
          <w:lang w:val="fr-FR"/>
        </w:rPr>
        <w:tab/>
        <w:t>S</w:t>
      </w:r>
      <w:r w:rsidR="00CE0C8D" w:rsidRPr="00F60A3D">
        <w:rPr>
          <w:lang w:val="fr-FR"/>
        </w:rPr>
        <w:t>ur le plan de la procédure, le c</w:t>
      </w:r>
      <w:r w:rsidR="00003BE3" w:rsidRPr="00F60A3D">
        <w:rPr>
          <w:lang w:val="fr-FR"/>
        </w:rPr>
        <w:t>hef de l</w:t>
      </w:r>
      <w:r w:rsidR="00B17AE1" w:rsidRPr="00F60A3D">
        <w:rPr>
          <w:lang w:val="fr-FR"/>
        </w:rPr>
        <w:t>’</w:t>
      </w:r>
      <w:r w:rsidR="00003BE3" w:rsidRPr="00F60A3D">
        <w:rPr>
          <w:lang w:val="fr-FR"/>
        </w:rPr>
        <w:t>État nomme un candidat à la présidence du Conseil des ministres. Suite à sa nomination, le Président du Conseil des ministres fixe un délai durant lequel il doit obtenir la confiance</w:t>
      </w:r>
      <w:r w:rsidR="004570C1" w:rsidRPr="00F60A3D">
        <w:rPr>
          <w:lang w:val="fr-FR"/>
        </w:rPr>
        <w:t xml:space="preserve"> du Parlement</w:t>
      </w:r>
      <w:r w:rsidR="00C55411" w:rsidRPr="00F60A3D">
        <w:rPr>
          <w:lang w:val="fr-FR"/>
        </w:rPr>
        <w:t>. Pour diriger le G</w:t>
      </w:r>
      <w:r w:rsidR="00003BE3" w:rsidRPr="00F60A3D">
        <w:rPr>
          <w:lang w:val="fr-FR"/>
        </w:rPr>
        <w:t>ouverne</w:t>
      </w:r>
      <w:r w:rsidR="004570C1" w:rsidRPr="00F60A3D">
        <w:rPr>
          <w:lang w:val="fr-FR"/>
        </w:rPr>
        <w:t>ment, lui et son équipe doivent remporter</w:t>
      </w:r>
      <w:r w:rsidR="00003BE3" w:rsidRPr="00F60A3D">
        <w:rPr>
          <w:lang w:val="fr-FR"/>
        </w:rPr>
        <w:t xml:space="preserve"> un vote de confi</w:t>
      </w:r>
      <w:r w:rsidR="004570C1" w:rsidRPr="00F60A3D">
        <w:rPr>
          <w:lang w:val="fr-FR"/>
        </w:rPr>
        <w:t>ance a</w:t>
      </w:r>
      <w:r w:rsidR="007A61E2" w:rsidRPr="00F60A3D">
        <w:rPr>
          <w:lang w:val="fr-FR"/>
        </w:rPr>
        <w:t>uprès des deux chambres (</w:t>
      </w:r>
      <w:r w:rsidR="00731982" w:rsidRPr="00F60A3D">
        <w:rPr>
          <w:lang w:val="fr-FR"/>
        </w:rPr>
        <w:t>art. </w:t>
      </w:r>
      <w:r w:rsidR="00B04C56" w:rsidRPr="00F60A3D">
        <w:rPr>
          <w:lang w:val="fr-FR"/>
        </w:rPr>
        <w:t>94</w:t>
      </w:r>
      <w:r w:rsidR="005018EC" w:rsidRPr="00F60A3D">
        <w:rPr>
          <w:lang w:val="fr-FR"/>
        </w:rPr>
        <w:t xml:space="preserve">, </w:t>
      </w:r>
      <w:r w:rsidR="00B17AE1" w:rsidRPr="00F60A3D">
        <w:rPr>
          <w:lang w:val="fr-FR"/>
        </w:rPr>
        <w:t>par. </w:t>
      </w:r>
      <w:r w:rsidR="00B04C56" w:rsidRPr="00F60A3D">
        <w:rPr>
          <w:lang w:val="fr-FR"/>
        </w:rPr>
        <w:t>1</w:t>
      </w:r>
      <w:r w:rsidR="005018EC" w:rsidRPr="00F60A3D">
        <w:rPr>
          <w:lang w:val="fr-FR"/>
        </w:rPr>
        <w:t xml:space="preserve"> et </w:t>
      </w:r>
      <w:r w:rsidR="004570C1" w:rsidRPr="00F60A3D">
        <w:rPr>
          <w:lang w:val="fr-FR"/>
        </w:rPr>
        <w:t>3).</w:t>
      </w:r>
    </w:p>
    <w:p w:rsidR="004570C1" w:rsidRPr="00F60A3D" w:rsidRDefault="00BD282B" w:rsidP="008578E0">
      <w:pPr>
        <w:pStyle w:val="SingleTxtG"/>
        <w:rPr>
          <w:lang w:val="fr-FR"/>
        </w:rPr>
      </w:pPr>
      <w:r w:rsidRPr="00F60A3D">
        <w:rPr>
          <w:lang w:val="fr-FR"/>
        </w:rPr>
        <w:lastRenderedPageBreak/>
        <w:t>94</w:t>
      </w:r>
      <w:r w:rsidR="004570C1" w:rsidRPr="00F60A3D">
        <w:rPr>
          <w:lang w:val="fr-FR"/>
        </w:rPr>
        <w:t>.</w:t>
      </w:r>
      <w:r w:rsidR="004570C1" w:rsidRPr="00F60A3D">
        <w:rPr>
          <w:lang w:val="fr-FR"/>
        </w:rPr>
        <w:tab/>
        <w:t>Le Parlement est habilité à contrôler le Gouvernement</w:t>
      </w:r>
      <w:r w:rsidR="00025313" w:rsidRPr="00F60A3D">
        <w:rPr>
          <w:lang w:val="fr-FR"/>
        </w:rPr>
        <w:t>,</w:t>
      </w:r>
      <w:r w:rsidR="001B38ED" w:rsidRPr="00F60A3D">
        <w:rPr>
          <w:lang w:val="fr-FR"/>
        </w:rPr>
        <w:t xml:space="preserve"> mais cela</w:t>
      </w:r>
      <w:r w:rsidR="004570C1" w:rsidRPr="00F60A3D">
        <w:rPr>
          <w:lang w:val="fr-FR"/>
        </w:rPr>
        <w:t xml:space="preserve"> n</w:t>
      </w:r>
      <w:r w:rsidR="00B17AE1" w:rsidRPr="00F60A3D">
        <w:rPr>
          <w:lang w:val="fr-FR"/>
        </w:rPr>
        <w:t>’</w:t>
      </w:r>
      <w:r w:rsidR="004570C1" w:rsidRPr="00F60A3D">
        <w:rPr>
          <w:lang w:val="fr-FR"/>
        </w:rPr>
        <w:t>implique pas que</w:t>
      </w:r>
      <w:r w:rsidR="00C55411" w:rsidRPr="00F60A3D">
        <w:rPr>
          <w:lang w:val="fr-FR"/>
        </w:rPr>
        <w:t xml:space="preserve"> le rejet </w:t>
      </w:r>
      <w:r w:rsidR="00025313" w:rsidRPr="00F60A3D">
        <w:rPr>
          <w:lang w:val="fr-FR"/>
        </w:rPr>
        <w:t xml:space="preserve">par une chambre </w:t>
      </w:r>
      <w:r w:rsidR="00C55411" w:rsidRPr="00F60A3D">
        <w:rPr>
          <w:lang w:val="fr-FR"/>
        </w:rPr>
        <w:t>d</w:t>
      </w:r>
      <w:r w:rsidR="00B17AE1" w:rsidRPr="00F60A3D">
        <w:rPr>
          <w:lang w:val="fr-FR"/>
        </w:rPr>
        <w:t>’</w:t>
      </w:r>
      <w:r w:rsidR="00C55411" w:rsidRPr="00F60A3D">
        <w:rPr>
          <w:lang w:val="fr-FR"/>
        </w:rPr>
        <w:t>une proposition du G</w:t>
      </w:r>
      <w:r w:rsidR="00025313" w:rsidRPr="00F60A3D">
        <w:rPr>
          <w:lang w:val="fr-FR"/>
        </w:rPr>
        <w:t xml:space="preserve">ouvernement </w:t>
      </w:r>
      <w:r w:rsidR="004570C1" w:rsidRPr="00F60A3D">
        <w:rPr>
          <w:lang w:val="fr-FR"/>
        </w:rPr>
        <w:t>puisse entraîner sa démission. En</w:t>
      </w:r>
      <w:r w:rsidR="00C55411" w:rsidRPr="00F60A3D">
        <w:rPr>
          <w:lang w:val="fr-FR"/>
        </w:rPr>
        <w:t xml:space="preserve"> t</w:t>
      </w:r>
      <w:r w:rsidR="004570C1" w:rsidRPr="00F60A3D">
        <w:rPr>
          <w:lang w:val="fr-FR"/>
        </w:rPr>
        <w:t>ant que ga</w:t>
      </w:r>
      <w:r w:rsidR="00C55411" w:rsidRPr="00F60A3D">
        <w:rPr>
          <w:lang w:val="fr-FR"/>
        </w:rPr>
        <w:t>rantie constitutionnelle et vé</w:t>
      </w:r>
      <w:r w:rsidR="004570C1" w:rsidRPr="00F60A3D">
        <w:rPr>
          <w:lang w:val="fr-FR"/>
        </w:rPr>
        <w:t>rita</w:t>
      </w:r>
      <w:r w:rsidR="00C55411" w:rsidRPr="00F60A3D">
        <w:rPr>
          <w:lang w:val="fr-FR"/>
        </w:rPr>
        <w:t>ble expression du principe de sé</w:t>
      </w:r>
      <w:r w:rsidR="00025313" w:rsidRPr="00F60A3D">
        <w:rPr>
          <w:lang w:val="fr-FR"/>
        </w:rPr>
        <w:t>paration des pouvoirs, la L</w:t>
      </w:r>
      <w:r w:rsidR="004570C1" w:rsidRPr="00F60A3D">
        <w:rPr>
          <w:lang w:val="fr-FR"/>
        </w:rPr>
        <w:t>oi fondamentale dispos</w:t>
      </w:r>
      <w:r w:rsidR="007B1AEA" w:rsidRPr="00F60A3D">
        <w:rPr>
          <w:lang w:val="fr-FR"/>
        </w:rPr>
        <w:t>e expressément que la</w:t>
      </w:r>
      <w:r w:rsidR="004570C1" w:rsidRPr="00F60A3D">
        <w:rPr>
          <w:lang w:val="fr-FR"/>
        </w:rPr>
        <w:t xml:space="preserve"> motion de censure</w:t>
      </w:r>
      <w:r w:rsidR="00C55411" w:rsidRPr="00F60A3D">
        <w:rPr>
          <w:lang w:val="fr-FR"/>
        </w:rPr>
        <w:t xml:space="preserve"> doit être signé</w:t>
      </w:r>
      <w:r w:rsidR="007B1AEA" w:rsidRPr="00F60A3D">
        <w:rPr>
          <w:lang w:val="fr-FR"/>
        </w:rPr>
        <w:t>e par un dixième au moi</w:t>
      </w:r>
      <w:r w:rsidR="00C55411" w:rsidRPr="00F60A3D">
        <w:rPr>
          <w:lang w:val="fr-FR"/>
        </w:rPr>
        <w:t>ns des membres de chaque chambre</w:t>
      </w:r>
      <w:r w:rsidR="00E32F68" w:rsidRPr="00F60A3D">
        <w:rPr>
          <w:lang w:val="fr-FR"/>
        </w:rPr>
        <w:t xml:space="preserve"> et </w:t>
      </w:r>
      <w:r w:rsidR="007B1AEA" w:rsidRPr="00F60A3D">
        <w:rPr>
          <w:lang w:val="fr-FR"/>
        </w:rPr>
        <w:t xml:space="preserve">ne peut être discutée </w:t>
      </w:r>
      <w:r w:rsidR="00C55411" w:rsidRPr="00F60A3D">
        <w:rPr>
          <w:lang w:val="fr-FR"/>
        </w:rPr>
        <w:t>que trois jours après son dépô</w:t>
      </w:r>
      <w:r w:rsidR="007A61E2" w:rsidRPr="00F60A3D">
        <w:rPr>
          <w:lang w:val="fr-FR"/>
        </w:rPr>
        <w:t>t (</w:t>
      </w:r>
      <w:r w:rsidR="00731982" w:rsidRPr="00F60A3D">
        <w:rPr>
          <w:lang w:val="fr-FR"/>
        </w:rPr>
        <w:t>art. </w:t>
      </w:r>
      <w:r w:rsidR="00950BEA" w:rsidRPr="00F60A3D">
        <w:rPr>
          <w:lang w:val="fr-FR"/>
        </w:rPr>
        <w:t>94</w:t>
      </w:r>
      <w:r w:rsidR="005018EC" w:rsidRPr="00F60A3D">
        <w:rPr>
          <w:lang w:val="fr-FR"/>
        </w:rPr>
        <w:t xml:space="preserve">, </w:t>
      </w:r>
      <w:r w:rsidR="00B17AE1" w:rsidRPr="00F60A3D">
        <w:rPr>
          <w:lang w:val="fr-FR"/>
        </w:rPr>
        <w:t>par. </w:t>
      </w:r>
      <w:r w:rsidR="007B1AEA" w:rsidRPr="00F60A3D">
        <w:rPr>
          <w:lang w:val="fr-FR"/>
        </w:rPr>
        <w:t>5).</w:t>
      </w:r>
      <w:r w:rsidR="00731982" w:rsidRPr="00F60A3D">
        <w:rPr>
          <w:lang w:val="fr-FR"/>
        </w:rPr>
        <w:t xml:space="preserve"> </w:t>
      </w:r>
    </w:p>
    <w:p w:rsidR="00CC6F71" w:rsidRPr="00F60A3D" w:rsidRDefault="00BD282B" w:rsidP="0005037B">
      <w:pPr>
        <w:pStyle w:val="SingleTxtG"/>
        <w:rPr>
          <w:lang w:val="fr-FR"/>
        </w:rPr>
      </w:pPr>
      <w:r w:rsidRPr="00F60A3D">
        <w:rPr>
          <w:lang w:val="fr-FR"/>
        </w:rPr>
        <w:t>95</w:t>
      </w:r>
      <w:r w:rsidR="00CE0C8D" w:rsidRPr="00F60A3D">
        <w:rPr>
          <w:lang w:val="fr-FR"/>
        </w:rPr>
        <w:t>.</w:t>
      </w:r>
      <w:r w:rsidR="00CE0C8D" w:rsidRPr="00F60A3D">
        <w:rPr>
          <w:lang w:val="fr-FR"/>
        </w:rPr>
        <w:tab/>
        <w:t>Le c</w:t>
      </w:r>
      <w:r w:rsidR="007B1AEA" w:rsidRPr="00F60A3D">
        <w:rPr>
          <w:lang w:val="fr-FR"/>
        </w:rPr>
        <w:t>hef du gouvernement dirige la politique générale du Gouvernement et il en est responsable. Il/elle garantit l</w:t>
      </w:r>
      <w:r w:rsidR="00B17AE1" w:rsidRPr="00F60A3D">
        <w:rPr>
          <w:lang w:val="fr-FR"/>
        </w:rPr>
        <w:t>’</w:t>
      </w:r>
      <w:r w:rsidR="007B1AEA" w:rsidRPr="00F60A3D">
        <w:rPr>
          <w:lang w:val="fr-FR"/>
        </w:rPr>
        <w:t>unité des politiques générales et administratives en encourageant et</w:t>
      </w:r>
      <w:r w:rsidR="00C55411" w:rsidRPr="00F60A3D">
        <w:rPr>
          <w:lang w:val="fr-FR"/>
        </w:rPr>
        <w:t xml:space="preserve"> </w:t>
      </w:r>
      <w:r w:rsidR="00535FA8" w:rsidRPr="00F60A3D">
        <w:rPr>
          <w:lang w:val="fr-FR"/>
        </w:rPr>
        <w:t>en coordonnant les activités des ministres.</w:t>
      </w:r>
      <w:r w:rsidR="00584421" w:rsidRPr="00F60A3D">
        <w:rPr>
          <w:lang w:val="fr-FR"/>
        </w:rPr>
        <w:t xml:space="preserve"> Dans le cadre de c</w:t>
      </w:r>
      <w:r w:rsidR="00BD48EA" w:rsidRPr="00F60A3D">
        <w:rPr>
          <w:lang w:val="fr-FR"/>
        </w:rPr>
        <w:t>es orientati</w:t>
      </w:r>
      <w:r w:rsidR="00535FA8" w:rsidRPr="00F60A3D">
        <w:rPr>
          <w:lang w:val="fr-FR"/>
        </w:rPr>
        <w:t xml:space="preserve">ons, chaque ministre dirige </w:t>
      </w:r>
      <w:r w:rsidR="005A3A00" w:rsidRPr="00F60A3D">
        <w:rPr>
          <w:lang w:val="fr-FR"/>
        </w:rPr>
        <w:t>indépenda</w:t>
      </w:r>
      <w:r w:rsidR="007470CD" w:rsidRPr="00F60A3D">
        <w:rPr>
          <w:lang w:val="fr-FR"/>
        </w:rPr>
        <w:t xml:space="preserve">mment </w:t>
      </w:r>
      <w:r w:rsidR="00535FA8" w:rsidRPr="00F60A3D">
        <w:rPr>
          <w:lang w:val="fr-FR"/>
        </w:rPr>
        <w:t>son portefeuille et en</w:t>
      </w:r>
      <w:r w:rsidR="00C55411" w:rsidRPr="00F60A3D">
        <w:rPr>
          <w:lang w:val="fr-FR"/>
        </w:rPr>
        <w:t xml:space="preserve"> assume les responsabilités. Il peu</w:t>
      </w:r>
      <w:r w:rsidR="00535FA8" w:rsidRPr="00F60A3D">
        <w:rPr>
          <w:lang w:val="fr-FR"/>
        </w:rPr>
        <w:t xml:space="preserve">t également </w:t>
      </w:r>
      <w:r w:rsidR="00BD48EA" w:rsidRPr="00F60A3D">
        <w:rPr>
          <w:lang w:val="fr-FR"/>
        </w:rPr>
        <w:t>dé</w:t>
      </w:r>
      <w:r w:rsidR="00535FA8" w:rsidRPr="00F60A3D">
        <w:rPr>
          <w:lang w:val="fr-FR"/>
        </w:rPr>
        <w:t>po</w:t>
      </w:r>
      <w:r w:rsidR="007A61E2" w:rsidRPr="00F60A3D">
        <w:rPr>
          <w:lang w:val="fr-FR"/>
        </w:rPr>
        <w:t>ser des projets de lois (</w:t>
      </w:r>
      <w:r w:rsidR="00731982" w:rsidRPr="00F60A3D">
        <w:rPr>
          <w:lang w:val="fr-FR"/>
        </w:rPr>
        <w:t>art. </w:t>
      </w:r>
      <w:r w:rsidR="00535FA8" w:rsidRPr="00F60A3D">
        <w:rPr>
          <w:lang w:val="fr-FR"/>
        </w:rPr>
        <w:t>71) e</w:t>
      </w:r>
      <w:r w:rsidR="00AD0F90" w:rsidRPr="00F60A3D">
        <w:rPr>
          <w:lang w:val="fr-FR"/>
        </w:rPr>
        <w:t>t rédiger</w:t>
      </w:r>
      <w:r w:rsidR="00983910" w:rsidRPr="00F60A3D">
        <w:rPr>
          <w:lang w:val="fr-FR"/>
        </w:rPr>
        <w:t xml:space="preserve"> de</w:t>
      </w:r>
      <w:r w:rsidR="00AD0F90" w:rsidRPr="00F60A3D">
        <w:rPr>
          <w:lang w:val="fr-FR"/>
        </w:rPr>
        <w:t>s</w:t>
      </w:r>
      <w:r w:rsidR="00983910" w:rsidRPr="00F60A3D">
        <w:rPr>
          <w:lang w:val="fr-FR"/>
        </w:rPr>
        <w:t xml:space="preserve"> décrets-lois</w:t>
      </w:r>
      <w:r w:rsidR="004B43B2" w:rsidRPr="00F60A3D">
        <w:rPr>
          <w:lang w:val="fr-FR"/>
        </w:rPr>
        <w:t xml:space="preserve"> </w:t>
      </w:r>
      <w:r w:rsidR="008E7FE3" w:rsidRPr="00F60A3D">
        <w:rPr>
          <w:lang w:val="fr-FR"/>
        </w:rPr>
        <w:t>ou de</w:t>
      </w:r>
      <w:r w:rsidR="00AD0F90" w:rsidRPr="00F60A3D">
        <w:rPr>
          <w:lang w:val="fr-FR"/>
        </w:rPr>
        <w:t>s</w:t>
      </w:r>
      <w:r w:rsidR="008E7FE3" w:rsidRPr="00F60A3D">
        <w:rPr>
          <w:lang w:val="fr-FR"/>
        </w:rPr>
        <w:t xml:space="preserve"> décrets législatifs</w:t>
      </w:r>
      <w:r w:rsidR="007A61E2" w:rsidRPr="00F60A3D">
        <w:rPr>
          <w:lang w:val="fr-FR"/>
        </w:rPr>
        <w:t xml:space="preserve"> (</w:t>
      </w:r>
      <w:r w:rsidR="00731982" w:rsidRPr="00F60A3D">
        <w:rPr>
          <w:lang w:val="fr-FR"/>
        </w:rPr>
        <w:t>art. </w:t>
      </w:r>
      <w:r w:rsidR="00BD48EA" w:rsidRPr="00F60A3D">
        <w:rPr>
          <w:lang w:val="fr-FR"/>
        </w:rPr>
        <w:t xml:space="preserve">76 et 77). </w:t>
      </w:r>
    </w:p>
    <w:p w:rsidR="00BD48EA" w:rsidRPr="00F60A3D" w:rsidRDefault="00BD282B" w:rsidP="008578E0">
      <w:pPr>
        <w:pStyle w:val="SingleTxtG"/>
        <w:rPr>
          <w:lang w:val="fr-FR"/>
        </w:rPr>
      </w:pPr>
      <w:r w:rsidRPr="00F60A3D">
        <w:rPr>
          <w:lang w:val="fr-FR"/>
        </w:rPr>
        <w:t>96</w:t>
      </w:r>
      <w:r w:rsidR="00BD48EA" w:rsidRPr="00F60A3D">
        <w:rPr>
          <w:lang w:val="fr-FR"/>
        </w:rPr>
        <w:t>.</w:t>
      </w:r>
      <w:r w:rsidR="00BD48EA" w:rsidRPr="00F60A3D">
        <w:rPr>
          <w:lang w:val="fr-FR"/>
        </w:rPr>
        <w:tab/>
      </w:r>
      <w:r w:rsidR="00B17AE1" w:rsidRPr="00F60A3D">
        <w:rPr>
          <w:lang w:val="fr-FR"/>
        </w:rPr>
        <w:t>M. </w:t>
      </w:r>
      <w:r w:rsidR="00950BEA" w:rsidRPr="00F60A3D">
        <w:rPr>
          <w:lang w:val="fr-FR"/>
        </w:rPr>
        <w:t>Mat</w:t>
      </w:r>
      <w:r w:rsidR="00DF5216" w:rsidRPr="00F60A3D">
        <w:rPr>
          <w:lang w:val="fr-FR"/>
        </w:rPr>
        <w:t>t</w:t>
      </w:r>
      <w:r w:rsidR="00950BEA" w:rsidRPr="00F60A3D">
        <w:rPr>
          <w:lang w:val="fr-FR"/>
        </w:rPr>
        <w:t>eo</w:t>
      </w:r>
      <w:r w:rsidR="00CC6F71" w:rsidRPr="00F60A3D">
        <w:rPr>
          <w:lang w:val="fr-FR"/>
        </w:rPr>
        <w:t xml:space="preserve"> Renzi </w:t>
      </w:r>
      <w:r w:rsidR="00BD48EA" w:rsidRPr="00F60A3D">
        <w:rPr>
          <w:lang w:val="fr-FR"/>
        </w:rPr>
        <w:t>est l</w:t>
      </w:r>
      <w:r w:rsidR="00B17AE1" w:rsidRPr="00F60A3D">
        <w:rPr>
          <w:lang w:val="fr-FR"/>
        </w:rPr>
        <w:t>’</w:t>
      </w:r>
      <w:r w:rsidR="00BD48EA" w:rsidRPr="00F60A3D">
        <w:rPr>
          <w:lang w:val="fr-FR"/>
        </w:rPr>
        <w:t>actuel Prés</w:t>
      </w:r>
      <w:r w:rsidR="00CE0C8D" w:rsidRPr="00F60A3D">
        <w:rPr>
          <w:lang w:val="fr-FR"/>
        </w:rPr>
        <w:t>ident du Conseil des ministres</w:t>
      </w:r>
      <w:r w:rsidR="005018EC" w:rsidRPr="00F60A3D">
        <w:rPr>
          <w:lang w:val="fr-FR"/>
        </w:rPr>
        <w:t xml:space="preserve"> et </w:t>
      </w:r>
      <w:r w:rsidR="00CE0C8D" w:rsidRPr="00F60A3D">
        <w:rPr>
          <w:lang w:val="fr-FR"/>
        </w:rPr>
        <w:t>c</w:t>
      </w:r>
      <w:r w:rsidR="00BD48EA" w:rsidRPr="00F60A3D">
        <w:rPr>
          <w:lang w:val="fr-FR"/>
        </w:rPr>
        <w:t xml:space="preserve">hef du Gouvernement; lui et son gouvernement ont obtenu la confiance du </w:t>
      </w:r>
      <w:r w:rsidR="00680349" w:rsidRPr="00F60A3D">
        <w:rPr>
          <w:lang w:val="fr-FR"/>
        </w:rPr>
        <w:t>Parlement en février 2014. Son g</w:t>
      </w:r>
      <w:r w:rsidR="00BD48EA" w:rsidRPr="00F60A3D">
        <w:rPr>
          <w:lang w:val="fr-FR"/>
        </w:rPr>
        <w:t>ouvernement a e</w:t>
      </w:r>
      <w:r w:rsidR="00DF5216" w:rsidRPr="00F60A3D">
        <w:rPr>
          <w:lang w:val="fr-FR"/>
        </w:rPr>
        <w:t>ngagé un programme comportant</w:t>
      </w:r>
      <w:r w:rsidR="005B36FD" w:rsidRPr="00F60A3D">
        <w:rPr>
          <w:lang w:val="fr-FR"/>
        </w:rPr>
        <w:t xml:space="preserve"> </w:t>
      </w:r>
      <w:r w:rsidR="00BC7950" w:rsidRPr="00F60A3D">
        <w:rPr>
          <w:lang w:val="fr-FR"/>
        </w:rPr>
        <w:t xml:space="preserve">des </w:t>
      </w:r>
      <w:r w:rsidR="006E1073" w:rsidRPr="00F60A3D">
        <w:rPr>
          <w:lang w:val="fr-FR"/>
        </w:rPr>
        <w:t>réformes institutionnelles,</w:t>
      </w:r>
      <w:r w:rsidR="00575A6E" w:rsidRPr="00F60A3D">
        <w:rPr>
          <w:lang w:val="fr-FR"/>
        </w:rPr>
        <w:t xml:space="preserve"> la modernisati</w:t>
      </w:r>
      <w:r w:rsidR="006E1073" w:rsidRPr="00F60A3D">
        <w:rPr>
          <w:lang w:val="fr-FR"/>
        </w:rPr>
        <w:t>on de l</w:t>
      </w:r>
      <w:r w:rsidR="00B17AE1" w:rsidRPr="00F60A3D">
        <w:rPr>
          <w:lang w:val="fr-FR"/>
        </w:rPr>
        <w:t>’</w:t>
      </w:r>
      <w:r w:rsidR="006E1073" w:rsidRPr="00F60A3D">
        <w:rPr>
          <w:lang w:val="fr-FR"/>
        </w:rPr>
        <w:t>administration publique,</w:t>
      </w:r>
      <w:r w:rsidR="00575A6E" w:rsidRPr="00F60A3D">
        <w:rPr>
          <w:lang w:val="fr-FR"/>
        </w:rPr>
        <w:t xml:space="preserve"> la réforme d</w:t>
      </w:r>
      <w:r w:rsidR="006E1073" w:rsidRPr="00F60A3D">
        <w:rPr>
          <w:lang w:val="fr-FR"/>
        </w:rPr>
        <w:t>u système judiciaire et du marché du travail,</w:t>
      </w:r>
      <w:r w:rsidR="00BD48EA" w:rsidRPr="00F60A3D">
        <w:rPr>
          <w:lang w:val="fr-FR"/>
        </w:rPr>
        <w:t xml:space="preserve"> des </w:t>
      </w:r>
      <w:r w:rsidR="00575A6E" w:rsidRPr="00F60A3D">
        <w:rPr>
          <w:lang w:val="fr-FR"/>
        </w:rPr>
        <w:t>ré</w:t>
      </w:r>
      <w:r w:rsidR="006E1073" w:rsidRPr="00F60A3D">
        <w:rPr>
          <w:lang w:val="fr-FR"/>
        </w:rPr>
        <w:t>ductions des taux d</w:t>
      </w:r>
      <w:r w:rsidR="00B17AE1" w:rsidRPr="00F60A3D">
        <w:rPr>
          <w:lang w:val="fr-FR"/>
        </w:rPr>
        <w:t>’</w:t>
      </w:r>
      <w:r w:rsidR="006E1073" w:rsidRPr="00F60A3D">
        <w:rPr>
          <w:lang w:val="fr-FR"/>
        </w:rPr>
        <w:t>imposition,</w:t>
      </w:r>
      <w:r w:rsidR="00BD48EA" w:rsidRPr="00F60A3D">
        <w:rPr>
          <w:lang w:val="fr-FR"/>
        </w:rPr>
        <w:t xml:space="preserve"> la </w:t>
      </w:r>
      <w:r w:rsidR="00575A6E" w:rsidRPr="00F60A3D">
        <w:rPr>
          <w:lang w:val="fr-FR"/>
        </w:rPr>
        <w:t>rel</w:t>
      </w:r>
      <w:r w:rsidR="00BD48EA" w:rsidRPr="00F60A3D">
        <w:rPr>
          <w:lang w:val="fr-FR"/>
        </w:rPr>
        <w:t>ance du dé</w:t>
      </w:r>
      <w:r w:rsidR="00575A6E" w:rsidRPr="00F60A3D">
        <w:rPr>
          <w:lang w:val="fr-FR"/>
        </w:rPr>
        <w:t>v</w:t>
      </w:r>
      <w:r w:rsidR="006E1073" w:rsidRPr="00F60A3D">
        <w:rPr>
          <w:lang w:val="fr-FR"/>
        </w:rPr>
        <w:t>eloppement technologique,</w:t>
      </w:r>
      <w:r w:rsidR="00BD48EA" w:rsidRPr="00F60A3D">
        <w:rPr>
          <w:lang w:val="fr-FR"/>
        </w:rPr>
        <w:t xml:space="preserve"> </w:t>
      </w:r>
      <w:r w:rsidR="007470CD" w:rsidRPr="00F60A3D">
        <w:rPr>
          <w:lang w:val="fr-FR"/>
        </w:rPr>
        <w:t>l</w:t>
      </w:r>
      <w:r w:rsidR="00B17AE1" w:rsidRPr="00F60A3D">
        <w:rPr>
          <w:lang w:val="fr-FR"/>
        </w:rPr>
        <w:t>’</w:t>
      </w:r>
      <w:r w:rsidR="007470CD" w:rsidRPr="00F60A3D">
        <w:rPr>
          <w:lang w:val="fr-FR"/>
        </w:rPr>
        <w:t>évolution</w:t>
      </w:r>
      <w:r w:rsidR="00575A6E" w:rsidRPr="00F60A3D">
        <w:rPr>
          <w:lang w:val="fr-FR"/>
        </w:rPr>
        <w:t xml:space="preserve"> des droits des femmes et l</w:t>
      </w:r>
      <w:r w:rsidR="00B17AE1" w:rsidRPr="00F60A3D">
        <w:rPr>
          <w:lang w:val="fr-FR"/>
        </w:rPr>
        <w:t>’</w:t>
      </w:r>
      <w:r w:rsidR="00575A6E" w:rsidRPr="00F60A3D">
        <w:rPr>
          <w:lang w:val="fr-FR"/>
        </w:rPr>
        <w:t xml:space="preserve">amélioration des services sociaux et éducatifs. </w:t>
      </w:r>
    </w:p>
    <w:p w:rsidR="00CC6F71" w:rsidRPr="00F60A3D" w:rsidRDefault="00B03B68" w:rsidP="00B03B68">
      <w:pPr>
        <w:pStyle w:val="H23G"/>
        <w:rPr>
          <w:b w:val="0"/>
          <w:i/>
          <w:lang w:val="fr-FR"/>
        </w:rPr>
      </w:pPr>
      <w:r w:rsidRPr="00F60A3D">
        <w:rPr>
          <w:lang w:val="fr-FR"/>
        </w:rPr>
        <w:tab/>
      </w:r>
      <w:r w:rsidRPr="00F60A3D">
        <w:rPr>
          <w:lang w:val="fr-FR"/>
        </w:rPr>
        <w:tab/>
      </w:r>
      <w:r w:rsidR="00EF1B50" w:rsidRPr="00F60A3D">
        <w:rPr>
          <w:b w:val="0"/>
          <w:i/>
          <w:lang w:val="fr-FR"/>
        </w:rPr>
        <w:t xml:space="preserve">Un </w:t>
      </w:r>
      <w:r w:rsidR="00575A6E" w:rsidRPr="00F60A3D">
        <w:rPr>
          <w:b w:val="0"/>
          <w:i/>
          <w:lang w:val="fr-FR"/>
        </w:rPr>
        <w:t>État fondé sur la règle de droit</w:t>
      </w:r>
      <w:r w:rsidR="00731982" w:rsidRPr="00F60A3D">
        <w:rPr>
          <w:b w:val="0"/>
          <w:i/>
          <w:lang w:val="fr-FR"/>
        </w:rPr>
        <w:t xml:space="preserve"> </w:t>
      </w:r>
    </w:p>
    <w:p w:rsidR="00CC6F71" w:rsidRPr="00F60A3D" w:rsidRDefault="00BD282B" w:rsidP="0005037B">
      <w:pPr>
        <w:pStyle w:val="SingleTxtG"/>
        <w:rPr>
          <w:lang w:val="fr-FR"/>
        </w:rPr>
      </w:pPr>
      <w:r w:rsidRPr="00F60A3D">
        <w:rPr>
          <w:lang w:val="fr-FR"/>
        </w:rPr>
        <w:t>97</w:t>
      </w:r>
      <w:r w:rsidR="00EF1B50" w:rsidRPr="00F60A3D">
        <w:rPr>
          <w:lang w:val="fr-FR"/>
        </w:rPr>
        <w:t>.</w:t>
      </w:r>
      <w:r w:rsidR="00EF1B50" w:rsidRPr="00F60A3D">
        <w:rPr>
          <w:lang w:val="fr-FR"/>
        </w:rPr>
        <w:tab/>
        <w:t>Le principe structurel de l</w:t>
      </w:r>
      <w:r w:rsidR="00B17AE1" w:rsidRPr="00F60A3D">
        <w:rPr>
          <w:lang w:val="fr-FR"/>
        </w:rPr>
        <w:t>’</w:t>
      </w:r>
      <w:r w:rsidR="00EF1B50" w:rsidRPr="00F60A3D">
        <w:rPr>
          <w:lang w:val="fr-FR"/>
        </w:rPr>
        <w:t xml:space="preserve">État repose </w:t>
      </w:r>
      <w:r w:rsidR="00C528D1" w:rsidRPr="00F60A3D">
        <w:rPr>
          <w:lang w:val="fr-FR"/>
        </w:rPr>
        <w:t>sur la règle de droit et il impose</w:t>
      </w:r>
      <w:r w:rsidR="00EF1B50" w:rsidRPr="00F60A3D">
        <w:rPr>
          <w:lang w:val="fr-FR"/>
        </w:rPr>
        <w:t xml:space="preserve"> à toutes les fonctions étatiques d</w:t>
      </w:r>
      <w:r w:rsidR="00B17AE1" w:rsidRPr="00F60A3D">
        <w:rPr>
          <w:lang w:val="fr-FR"/>
        </w:rPr>
        <w:t>’</w:t>
      </w:r>
      <w:r w:rsidR="00C528D1" w:rsidRPr="00F60A3D">
        <w:rPr>
          <w:lang w:val="fr-FR"/>
        </w:rPr>
        <w:t>adhérer au droit</w:t>
      </w:r>
      <w:r w:rsidR="00EF1B50" w:rsidRPr="00F60A3D">
        <w:rPr>
          <w:lang w:val="fr-FR"/>
        </w:rPr>
        <w:t xml:space="preserve"> et à la justice, en particulier aux droits fondamentaux. Les pouvoirs ex</w:t>
      </w:r>
      <w:r w:rsidR="00C55411" w:rsidRPr="00F60A3D">
        <w:rPr>
          <w:lang w:val="fr-FR"/>
        </w:rPr>
        <w:t>écutifs et judiciaires sont lié</w:t>
      </w:r>
      <w:r w:rsidR="00EF1B50" w:rsidRPr="00F60A3D">
        <w:rPr>
          <w:lang w:val="fr-FR"/>
        </w:rPr>
        <w:t xml:space="preserve">s par les normes juridiques de chaque type, </w:t>
      </w:r>
      <w:r w:rsidR="00C528D1" w:rsidRPr="00F60A3D">
        <w:rPr>
          <w:lang w:val="fr-FR"/>
        </w:rPr>
        <w:t>y compris par le droit non écrit (droit</w:t>
      </w:r>
      <w:r w:rsidR="004746D7" w:rsidRPr="00F60A3D">
        <w:rPr>
          <w:lang w:val="fr-FR"/>
        </w:rPr>
        <w:t xml:space="preserve"> coutumier et</w:t>
      </w:r>
      <w:r w:rsidR="00C55411" w:rsidRPr="00F60A3D">
        <w:rPr>
          <w:lang w:val="fr-FR"/>
        </w:rPr>
        <w:t xml:space="preserve"> principes juridiques généraux</w:t>
      </w:r>
      <w:r w:rsidR="00C528D1" w:rsidRPr="00F60A3D">
        <w:rPr>
          <w:lang w:val="fr-FR"/>
        </w:rPr>
        <w:t>)</w:t>
      </w:r>
      <w:r w:rsidR="00C55411" w:rsidRPr="00F60A3D">
        <w:rPr>
          <w:lang w:val="fr-FR"/>
        </w:rPr>
        <w:t>.</w:t>
      </w:r>
    </w:p>
    <w:p w:rsidR="00497D4A" w:rsidRPr="00F60A3D" w:rsidRDefault="00224935" w:rsidP="0005037B">
      <w:pPr>
        <w:pStyle w:val="SingleTxtG"/>
        <w:rPr>
          <w:lang w:val="fr-FR"/>
        </w:rPr>
      </w:pPr>
      <w:r w:rsidRPr="00F60A3D">
        <w:rPr>
          <w:lang w:val="fr-FR"/>
        </w:rPr>
        <w:t>98.</w:t>
      </w:r>
      <w:r w:rsidR="001D2CCC" w:rsidRPr="00F60A3D">
        <w:rPr>
          <w:lang w:val="fr-FR"/>
        </w:rPr>
        <w:tab/>
      </w:r>
      <w:r w:rsidR="00497D4A" w:rsidRPr="00F60A3D">
        <w:rPr>
          <w:lang w:val="fr-FR"/>
        </w:rPr>
        <w:t>L</w:t>
      </w:r>
      <w:r w:rsidR="00C528D1" w:rsidRPr="00F60A3D">
        <w:rPr>
          <w:lang w:val="fr-FR"/>
        </w:rPr>
        <w:t xml:space="preserve">es normes juridiques </w:t>
      </w:r>
      <w:r w:rsidR="00497D4A" w:rsidRPr="00F60A3D">
        <w:rPr>
          <w:lang w:val="fr-FR"/>
        </w:rPr>
        <w:t>pré</w:t>
      </w:r>
      <w:r w:rsidR="00C528D1" w:rsidRPr="00F60A3D">
        <w:rPr>
          <w:lang w:val="fr-FR"/>
        </w:rPr>
        <w:t>valent sur</w:t>
      </w:r>
      <w:r w:rsidR="00497D4A" w:rsidRPr="00F60A3D">
        <w:rPr>
          <w:lang w:val="fr-FR"/>
        </w:rPr>
        <w:t xml:space="preserve"> toutes les lois de l</w:t>
      </w:r>
      <w:r w:rsidR="00B17AE1" w:rsidRPr="00F60A3D">
        <w:rPr>
          <w:lang w:val="fr-FR"/>
        </w:rPr>
        <w:t>’</w:t>
      </w:r>
      <w:r w:rsidR="00497D4A" w:rsidRPr="00F60A3D">
        <w:rPr>
          <w:lang w:val="fr-FR"/>
        </w:rPr>
        <w:t>État. Une forme particulière de cette pré</w:t>
      </w:r>
      <w:r w:rsidR="00C55411" w:rsidRPr="00F60A3D">
        <w:rPr>
          <w:lang w:val="fr-FR"/>
        </w:rPr>
        <w:t>v</w:t>
      </w:r>
      <w:r w:rsidR="00497D4A" w:rsidRPr="00F60A3D">
        <w:rPr>
          <w:lang w:val="fr-FR"/>
        </w:rPr>
        <w:t>alence s</w:t>
      </w:r>
      <w:r w:rsidR="00B17AE1" w:rsidRPr="00F60A3D">
        <w:rPr>
          <w:lang w:val="fr-FR"/>
        </w:rPr>
        <w:t>’</w:t>
      </w:r>
      <w:r w:rsidR="00497D4A" w:rsidRPr="00F60A3D">
        <w:rPr>
          <w:lang w:val="fr-FR"/>
        </w:rPr>
        <w:t>applique au principe de priorité de la Constitution, selon lequel aucun texte de l</w:t>
      </w:r>
      <w:r w:rsidR="00B17AE1" w:rsidRPr="00F60A3D">
        <w:rPr>
          <w:lang w:val="fr-FR"/>
        </w:rPr>
        <w:t>’</w:t>
      </w:r>
      <w:r w:rsidR="00497D4A" w:rsidRPr="00F60A3D">
        <w:rPr>
          <w:lang w:val="fr-FR"/>
        </w:rPr>
        <w:t>État ne peut al</w:t>
      </w:r>
      <w:r w:rsidR="00B52AC0" w:rsidRPr="00F60A3D">
        <w:rPr>
          <w:lang w:val="fr-FR"/>
        </w:rPr>
        <w:t>ler à son encontre</w:t>
      </w:r>
      <w:r w:rsidR="00497D4A" w:rsidRPr="00F60A3D">
        <w:rPr>
          <w:lang w:val="fr-FR"/>
        </w:rPr>
        <w:t xml:space="preserve">. De ce fait, le Parlement lui-même – </w:t>
      </w:r>
      <w:r w:rsidR="005A3A00" w:rsidRPr="00F60A3D">
        <w:rPr>
          <w:lang w:val="fr-FR"/>
        </w:rPr>
        <w:t xml:space="preserve">à savoir </w:t>
      </w:r>
      <w:r w:rsidR="00497D4A" w:rsidRPr="00F60A3D">
        <w:rPr>
          <w:lang w:val="fr-FR"/>
        </w:rPr>
        <w:t>les représentants démocratiquement élus du peuple – est lié par l</w:t>
      </w:r>
      <w:r w:rsidR="00B17AE1" w:rsidRPr="00F60A3D">
        <w:rPr>
          <w:lang w:val="fr-FR"/>
        </w:rPr>
        <w:t>’</w:t>
      </w:r>
      <w:r w:rsidR="00497D4A" w:rsidRPr="00F60A3D">
        <w:rPr>
          <w:lang w:val="fr-FR"/>
        </w:rPr>
        <w:t xml:space="preserve">ordre constitutionnel. </w:t>
      </w:r>
    </w:p>
    <w:p w:rsidR="00497D4A" w:rsidRPr="00F60A3D" w:rsidRDefault="00224935" w:rsidP="0005037B">
      <w:pPr>
        <w:pStyle w:val="SingleTxtG"/>
        <w:rPr>
          <w:lang w:val="fr-FR"/>
        </w:rPr>
      </w:pPr>
      <w:r w:rsidRPr="00F60A3D">
        <w:rPr>
          <w:lang w:val="fr-FR"/>
        </w:rPr>
        <w:t>99.</w:t>
      </w:r>
      <w:r w:rsidR="001D2CCC" w:rsidRPr="00F60A3D">
        <w:rPr>
          <w:lang w:val="fr-FR"/>
        </w:rPr>
        <w:tab/>
      </w:r>
      <w:r w:rsidR="00497D4A" w:rsidRPr="00F60A3D">
        <w:rPr>
          <w:lang w:val="fr-FR"/>
        </w:rPr>
        <w:t>Lier le Parlement</w:t>
      </w:r>
      <w:r w:rsidR="00C55411" w:rsidRPr="00F60A3D">
        <w:rPr>
          <w:lang w:val="fr-FR"/>
        </w:rPr>
        <w:t xml:space="preserve"> à la Constitution était une pré</w:t>
      </w:r>
      <w:r w:rsidR="00497D4A" w:rsidRPr="00F60A3D">
        <w:rPr>
          <w:lang w:val="fr-FR"/>
        </w:rPr>
        <w:t>occupation majeure des rédacteurs de la Loi fondamentale. Les auteurs de la Co</w:t>
      </w:r>
      <w:r w:rsidR="00F24272" w:rsidRPr="00F60A3D">
        <w:rPr>
          <w:lang w:val="fr-FR"/>
        </w:rPr>
        <w:t>nstitution eux-mêmes sont contraints par</w:t>
      </w:r>
      <w:r w:rsidR="00497D4A" w:rsidRPr="00F60A3D">
        <w:rPr>
          <w:lang w:val="fr-FR"/>
        </w:rPr>
        <w:t xml:space="preserve"> un </w:t>
      </w:r>
      <w:r w:rsidR="001968A3" w:rsidRPr="00F60A3D">
        <w:rPr>
          <w:lang w:val="fr-FR"/>
        </w:rPr>
        <w:t>noyau essentiel de principes constitutionnels fondamentaux qui ne peuvent faire</w:t>
      </w:r>
      <w:r w:rsidR="007A61E2" w:rsidRPr="00F60A3D">
        <w:rPr>
          <w:lang w:val="fr-FR"/>
        </w:rPr>
        <w:t xml:space="preserve"> l</w:t>
      </w:r>
      <w:r w:rsidR="00B17AE1" w:rsidRPr="00F60A3D">
        <w:rPr>
          <w:lang w:val="fr-FR"/>
        </w:rPr>
        <w:t>’</w:t>
      </w:r>
      <w:r w:rsidR="007A61E2" w:rsidRPr="00F60A3D">
        <w:rPr>
          <w:lang w:val="fr-FR"/>
        </w:rPr>
        <w:t>objet d</w:t>
      </w:r>
      <w:r w:rsidR="00B17AE1" w:rsidRPr="00F60A3D">
        <w:rPr>
          <w:lang w:val="fr-FR"/>
        </w:rPr>
        <w:t>’</w:t>
      </w:r>
      <w:r w:rsidR="007A61E2" w:rsidRPr="00F60A3D">
        <w:rPr>
          <w:lang w:val="fr-FR"/>
        </w:rPr>
        <w:t>une révision (</w:t>
      </w:r>
      <w:r w:rsidR="00731982" w:rsidRPr="00F60A3D">
        <w:rPr>
          <w:lang w:val="fr-FR"/>
        </w:rPr>
        <w:t>art. </w:t>
      </w:r>
      <w:r w:rsidR="001968A3" w:rsidRPr="00F60A3D">
        <w:rPr>
          <w:lang w:val="fr-FR"/>
        </w:rPr>
        <w:t xml:space="preserve">139). </w:t>
      </w:r>
    </w:p>
    <w:p w:rsidR="001968A3" w:rsidRPr="00F60A3D" w:rsidRDefault="00BD282B" w:rsidP="008578E0">
      <w:pPr>
        <w:pStyle w:val="SingleTxtG"/>
        <w:rPr>
          <w:lang w:val="fr-FR"/>
        </w:rPr>
      </w:pPr>
      <w:r w:rsidRPr="00F60A3D">
        <w:rPr>
          <w:lang w:val="fr-FR"/>
        </w:rPr>
        <w:t>100</w:t>
      </w:r>
      <w:r w:rsidR="001968A3" w:rsidRPr="00F60A3D">
        <w:rPr>
          <w:lang w:val="fr-FR"/>
        </w:rPr>
        <w:t>.</w:t>
      </w:r>
      <w:r w:rsidR="001968A3" w:rsidRPr="00F60A3D">
        <w:rPr>
          <w:lang w:val="fr-FR"/>
        </w:rPr>
        <w:tab/>
        <w:t>Un État fondé sur la règle de droit s</w:t>
      </w:r>
      <w:r w:rsidR="00B17AE1" w:rsidRPr="00F60A3D">
        <w:rPr>
          <w:lang w:val="fr-FR"/>
        </w:rPr>
        <w:t>’</w:t>
      </w:r>
      <w:r w:rsidR="001968A3" w:rsidRPr="00F60A3D">
        <w:rPr>
          <w:lang w:val="fr-FR"/>
        </w:rPr>
        <w:t>appuie en outre notamment sur l</w:t>
      </w:r>
      <w:r w:rsidR="00B17AE1" w:rsidRPr="00F60A3D">
        <w:rPr>
          <w:lang w:val="fr-FR"/>
        </w:rPr>
        <w:t>’</w:t>
      </w:r>
      <w:r w:rsidR="00CE3137" w:rsidRPr="00F60A3D">
        <w:rPr>
          <w:lang w:val="fr-FR"/>
        </w:rPr>
        <w:t>indép</w:t>
      </w:r>
      <w:r w:rsidR="001968A3" w:rsidRPr="00F60A3D">
        <w:rPr>
          <w:lang w:val="fr-FR"/>
        </w:rPr>
        <w:t xml:space="preserve">endance du pouvoir judiciaire, la mise en place de la compétence constitutionnelle, </w:t>
      </w:r>
      <w:r w:rsidR="00CE3137" w:rsidRPr="00F60A3D">
        <w:rPr>
          <w:lang w:val="fr-FR"/>
        </w:rPr>
        <w:t>le précepte de sécurité juridique et la proportionnalité des moyens et des fins des mesures de l</w:t>
      </w:r>
      <w:r w:rsidR="00B17AE1" w:rsidRPr="00F60A3D">
        <w:rPr>
          <w:lang w:val="fr-FR"/>
        </w:rPr>
        <w:t>’</w:t>
      </w:r>
      <w:r w:rsidR="00CE3137" w:rsidRPr="00F60A3D">
        <w:rPr>
          <w:lang w:val="fr-FR"/>
        </w:rPr>
        <w:t>État qui portent atteinte aux droits des individus.</w:t>
      </w:r>
      <w:r w:rsidR="00731982" w:rsidRPr="00F60A3D">
        <w:rPr>
          <w:lang w:val="fr-FR"/>
        </w:rPr>
        <w:t xml:space="preserve"> </w:t>
      </w:r>
    </w:p>
    <w:p w:rsidR="00CE3137" w:rsidRPr="00F60A3D" w:rsidRDefault="00BD282B" w:rsidP="008578E0">
      <w:pPr>
        <w:pStyle w:val="SingleTxtG"/>
        <w:rPr>
          <w:lang w:val="fr-FR"/>
        </w:rPr>
      </w:pPr>
      <w:r w:rsidRPr="00F60A3D">
        <w:rPr>
          <w:lang w:val="fr-FR"/>
        </w:rPr>
        <w:t>101</w:t>
      </w:r>
      <w:r w:rsidR="00CE3137" w:rsidRPr="00F60A3D">
        <w:rPr>
          <w:lang w:val="fr-FR"/>
        </w:rPr>
        <w:t>.</w:t>
      </w:r>
      <w:r w:rsidR="00CE3137" w:rsidRPr="00F60A3D">
        <w:rPr>
          <w:lang w:val="fr-FR"/>
        </w:rPr>
        <w:tab/>
        <w:t>L</w:t>
      </w:r>
      <w:r w:rsidR="00B17AE1" w:rsidRPr="00F60A3D">
        <w:rPr>
          <w:lang w:val="fr-FR"/>
        </w:rPr>
        <w:t>’</w:t>
      </w:r>
      <w:r w:rsidR="00CC6F71" w:rsidRPr="00F60A3D">
        <w:rPr>
          <w:lang w:val="fr-FR"/>
        </w:rPr>
        <w:t xml:space="preserve">application </w:t>
      </w:r>
      <w:r w:rsidR="00CE3137" w:rsidRPr="00F60A3D">
        <w:rPr>
          <w:lang w:val="fr-FR"/>
        </w:rPr>
        <w:t>du principe d</w:t>
      </w:r>
      <w:r w:rsidR="00B17AE1" w:rsidRPr="00F60A3D">
        <w:rPr>
          <w:lang w:val="fr-FR"/>
        </w:rPr>
        <w:t>’</w:t>
      </w:r>
      <w:r w:rsidR="00CE3137" w:rsidRPr="00F60A3D">
        <w:rPr>
          <w:lang w:val="fr-FR"/>
        </w:rPr>
        <w:t>un État fondé sur la règle de droit garantit l</w:t>
      </w:r>
      <w:r w:rsidR="00B17AE1" w:rsidRPr="00F60A3D">
        <w:rPr>
          <w:lang w:val="fr-FR"/>
        </w:rPr>
        <w:t>’</w:t>
      </w:r>
      <w:r w:rsidR="00CE3137" w:rsidRPr="00F60A3D">
        <w:rPr>
          <w:lang w:val="fr-FR"/>
        </w:rPr>
        <w:t>exécution impartiale de la fonction étatique et empêche l</w:t>
      </w:r>
      <w:r w:rsidR="00B17AE1" w:rsidRPr="00F60A3D">
        <w:rPr>
          <w:lang w:val="fr-FR"/>
        </w:rPr>
        <w:t>’</w:t>
      </w:r>
      <w:r w:rsidR="00CE3137" w:rsidRPr="00F60A3D">
        <w:rPr>
          <w:lang w:val="fr-FR"/>
        </w:rPr>
        <w:t>État et la loi de devenir les</w:t>
      </w:r>
      <w:r w:rsidR="009C0EDE" w:rsidRPr="00F60A3D">
        <w:rPr>
          <w:lang w:val="fr-FR"/>
        </w:rPr>
        <w:t xml:space="preserve"> simple</w:t>
      </w:r>
      <w:r w:rsidR="00CE3137" w:rsidRPr="00F60A3D">
        <w:rPr>
          <w:lang w:val="fr-FR"/>
        </w:rPr>
        <w:t>s instruments de dictateurs politiques. Conformément à la dynamique du</w:t>
      </w:r>
      <w:r w:rsidR="001B38ED" w:rsidRPr="00F60A3D">
        <w:rPr>
          <w:lang w:val="fr-FR"/>
        </w:rPr>
        <w:t xml:space="preserve"> processus </w:t>
      </w:r>
      <w:r w:rsidR="00CE3137" w:rsidRPr="00F60A3D">
        <w:rPr>
          <w:lang w:val="fr-FR"/>
        </w:rPr>
        <w:t>démocratique, le principe de l</w:t>
      </w:r>
      <w:r w:rsidR="00B17AE1" w:rsidRPr="00F60A3D">
        <w:rPr>
          <w:lang w:val="fr-FR"/>
        </w:rPr>
        <w:t>’</w:t>
      </w:r>
      <w:r w:rsidR="00F77671" w:rsidRPr="00F60A3D">
        <w:rPr>
          <w:lang w:val="fr-FR"/>
        </w:rPr>
        <w:t>É</w:t>
      </w:r>
      <w:r w:rsidR="00CE3137" w:rsidRPr="00F60A3D">
        <w:rPr>
          <w:lang w:val="fr-FR"/>
        </w:rPr>
        <w:t xml:space="preserve">tat fondé sur la règle de droit vise à garantir la continuité et la stabilité. </w:t>
      </w:r>
    </w:p>
    <w:p w:rsidR="00CC6F71" w:rsidRPr="00F60A3D" w:rsidRDefault="00B03B68" w:rsidP="00A711BA">
      <w:pPr>
        <w:pStyle w:val="H23G"/>
        <w:rPr>
          <w:lang w:val="fr-FR"/>
        </w:rPr>
      </w:pPr>
      <w:r w:rsidRPr="00F60A3D">
        <w:rPr>
          <w:lang w:val="fr-FR"/>
        </w:rPr>
        <w:tab/>
      </w:r>
      <w:r w:rsidRPr="00F60A3D">
        <w:rPr>
          <w:lang w:val="fr-FR"/>
        </w:rPr>
        <w:tab/>
      </w:r>
      <w:r w:rsidR="00F77671" w:rsidRPr="00F60A3D">
        <w:rPr>
          <w:lang w:val="fr-FR"/>
        </w:rPr>
        <w:t>Le pouvoir judiciaire</w:t>
      </w:r>
      <w:r w:rsidR="00CC6F71" w:rsidRPr="00F60A3D">
        <w:rPr>
          <w:lang w:val="fr-FR"/>
        </w:rPr>
        <w:t xml:space="preserve"> </w:t>
      </w:r>
      <w:r w:rsidR="007A61E2" w:rsidRPr="00F60A3D">
        <w:rPr>
          <w:lang w:val="fr-FR"/>
        </w:rPr>
        <w:t>(</w:t>
      </w:r>
      <w:r w:rsidR="00731982" w:rsidRPr="00F60A3D">
        <w:rPr>
          <w:lang w:val="fr-FR"/>
        </w:rPr>
        <w:t>art. </w:t>
      </w:r>
      <w:r w:rsidR="007A61E2" w:rsidRPr="00F60A3D">
        <w:rPr>
          <w:lang w:val="fr-FR"/>
        </w:rPr>
        <w:t xml:space="preserve">101 à </w:t>
      </w:r>
      <w:r w:rsidR="00F77671" w:rsidRPr="00F60A3D">
        <w:rPr>
          <w:lang w:val="fr-FR"/>
        </w:rPr>
        <w:t>113 de la</w:t>
      </w:r>
      <w:r w:rsidR="00CC6F71" w:rsidRPr="00F60A3D">
        <w:rPr>
          <w:lang w:val="fr-FR"/>
        </w:rPr>
        <w:t xml:space="preserve"> Constitution)</w:t>
      </w:r>
    </w:p>
    <w:p w:rsidR="00F77671" w:rsidRPr="00F60A3D" w:rsidRDefault="00BD282B" w:rsidP="008578E0">
      <w:pPr>
        <w:pStyle w:val="SingleTxtG"/>
        <w:rPr>
          <w:lang w:val="fr-FR"/>
        </w:rPr>
      </w:pPr>
      <w:r w:rsidRPr="00F60A3D">
        <w:rPr>
          <w:lang w:val="fr-FR"/>
        </w:rPr>
        <w:t>102.</w:t>
      </w:r>
      <w:r w:rsidR="00F77671" w:rsidRPr="00F60A3D">
        <w:rPr>
          <w:lang w:val="fr-FR"/>
        </w:rPr>
        <w:tab/>
        <w:t>Selon le système de l</w:t>
      </w:r>
      <w:r w:rsidR="00B17AE1" w:rsidRPr="00F60A3D">
        <w:rPr>
          <w:lang w:val="fr-FR"/>
        </w:rPr>
        <w:t>’</w:t>
      </w:r>
      <w:r w:rsidR="00F77671" w:rsidRPr="00F60A3D">
        <w:rPr>
          <w:lang w:val="fr-FR"/>
        </w:rPr>
        <w:t xml:space="preserve">État </w:t>
      </w:r>
      <w:r w:rsidR="00C56382" w:rsidRPr="00F60A3D">
        <w:rPr>
          <w:lang w:val="fr-FR"/>
        </w:rPr>
        <w:t>de droit avec partage</w:t>
      </w:r>
      <w:r w:rsidR="00F77671" w:rsidRPr="00F60A3D">
        <w:rPr>
          <w:lang w:val="fr-FR"/>
        </w:rPr>
        <w:t xml:space="preserve"> des pouvoirs, la Loi fondamental</w:t>
      </w:r>
      <w:r w:rsidR="00333861" w:rsidRPr="00F60A3D">
        <w:rPr>
          <w:lang w:val="fr-FR"/>
        </w:rPr>
        <w:t xml:space="preserve">e accorde une place majeure à la jurisprudence. </w:t>
      </w:r>
    </w:p>
    <w:p w:rsidR="00333861" w:rsidRPr="00F60A3D" w:rsidRDefault="00BD282B" w:rsidP="008578E0">
      <w:pPr>
        <w:pStyle w:val="SingleTxtG"/>
        <w:rPr>
          <w:lang w:val="fr-FR"/>
        </w:rPr>
      </w:pPr>
      <w:r w:rsidRPr="00F60A3D">
        <w:rPr>
          <w:lang w:val="fr-FR"/>
        </w:rPr>
        <w:t>103</w:t>
      </w:r>
      <w:r w:rsidR="00333861" w:rsidRPr="00F60A3D">
        <w:rPr>
          <w:lang w:val="fr-FR"/>
        </w:rPr>
        <w:t>.</w:t>
      </w:r>
      <w:r w:rsidR="00333861" w:rsidRPr="00F60A3D">
        <w:rPr>
          <w:lang w:val="fr-FR"/>
        </w:rPr>
        <w:tab/>
        <w:t xml:space="preserve">Le pouvoir judiciaire est confié </w:t>
      </w:r>
      <w:r w:rsidR="00F347BE" w:rsidRPr="00F60A3D">
        <w:rPr>
          <w:lang w:val="fr-FR"/>
        </w:rPr>
        <w:t xml:space="preserve">à des juges indépendants soumis exclusivement </w:t>
      </w:r>
      <w:r w:rsidR="007A61E2" w:rsidRPr="00F60A3D">
        <w:rPr>
          <w:lang w:val="fr-FR"/>
        </w:rPr>
        <w:t>à la loi (</w:t>
      </w:r>
      <w:r w:rsidR="00731982" w:rsidRPr="00F60A3D">
        <w:rPr>
          <w:lang w:val="fr-FR"/>
        </w:rPr>
        <w:t>art. </w:t>
      </w:r>
      <w:r w:rsidR="00333861" w:rsidRPr="00F60A3D">
        <w:rPr>
          <w:lang w:val="fr-FR"/>
        </w:rPr>
        <w:t>1</w:t>
      </w:r>
      <w:r w:rsidR="00B770B5" w:rsidRPr="00F60A3D">
        <w:rPr>
          <w:lang w:val="fr-FR"/>
        </w:rPr>
        <w:t>01). La magistrature</w:t>
      </w:r>
      <w:r w:rsidR="00333861" w:rsidRPr="00F60A3D">
        <w:rPr>
          <w:lang w:val="fr-FR"/>
        </w:rPr>
        <w:t xml:space="preserve"> constitue un ordre au</w:t>
      </w:r>
      <w:r w:rsidR="009C0EDE" w:rsidRPr="00F60A3D">
        <w:rPr>
          <w:lang w:val="fr-FR"/>
        </w:rPr>
        <w:t>tonome et indépendant, non inféodé</w:t>
      </w:r>
      <w:r w:rsidR="00333861" w:rsidRPr="00F60A3D">
        <w:rPr>
          <w:lang w:val="fr-FR"/>
        </w:rPr>
        <w:t xml:space="preserve"> aux autres pouvoirs, comme l</w:t>
      </w:r>
      <w:r w:rsidR="00B17AE1" w:rsidRPr="00F60A3D">
        <w:rPr>
          <w:lang w:val="fr-FR"/>
        </w:rPr>
        <w:t>’</w:t>
      </w:r>
      <w:r w:rsidR="00333861" w:rsidRPr="00F60A3D">
        <w:rPr>
          <w:lang w:val="fr-FR"/>
        </w:rPr>
        <w:t>énonce l</w:t>
      </w:r>
      <w:r w:rsidR="00B17AE1" w:rsidRPr="00F60A3D">
        <w:rPr>
          <w:lang w:val="fr-FR"/>
        </w:rPr>
        <w:t>’</w:t>
      </w:r>
      <w:r w:rsidR="00D26282" w:rsidRPr="00F60A3D">
        <w:rPr>
          <w:lang w:val="fr-FR"/>
        </w:rPr>
        <w:t>article </w:t>
      </w:r>
      <w:r w:rsidR="00333861" w:rsidRPr="00F60A3D">
        <w:rPr>
          <w:lang w:val="fr-FR"/>
        </w:rPr>
        <w:t xml:space="preserve">104. </w:t>
      </w:r>
    </w:p>
    <w:p w:rsidR="00333861" w:rsidRPr="00F60A3D" w:rsidRDefault="00224935" w:rsidP="0005037B">
      <w:pPr>
        <w:pStyle w:val="SingleTxtG"/>
        <w:rPr>
          <w:lang w:val="fr-FR"/>
        </w:rPr>
      </w:pPr>
      <w:r w:rsidRPr="00F60A3D">
        <w:rPr>
          <w:lang w:val="fr-FR"/>
        </w:rPr>
        <w:lastRenderedPageBreak/>
        <w:t>104.</w:t>
      </w:r>
      <w:r w:rsidR="001D2CCC" w:rsidRPr="00F60A3D">
        <w:rPr>
          <w:lang w:val="fr-FR"/>
        </w:rPr>
        <w:tab/>
      </w:r>
      <w:r w:rsidR="00333861" w:rsidRPr="00F60A3D">
        <w:rPr>
          <w:lang w:val="fr-FR"/>
        </w:rPr>
        <w:t>L</w:t>
      </w:r>
      <w:r w:rsidR="00950BEA" w:rsidRPr="00F60A3D">
        <w:rPr>
          <w:lang w:val="fr-FR"/>
        </w:rPr>
        <w:t>a loi fixe l</w:t>
      </w:r>
      <w:r w:rsidR="00333861" w:rsidRPr="00F60A3D">
        <w:rPr>
          <w:lang w:val="fr-FR"/>
        </w:rPr>
        <w:t>es rè</w:t>
      </w:r>
      <w:r w:rsidR="00FF6AD3" w:rsidRPr="00F60A3D">
        <w:rPr>
          <w:lang w:val="fr-FR"/>
        </w:rPr>
        <w:t>gles concernant l</w:t>
      </w:r>
      <w:r w:rsidR="00B17AE1" w:rsidRPr="00F60A3D">
        <w:rPr>
          <w:lang w:val="fr-FR"/>
        </w:rPr>
        <w:t>’</w:t>
      </w:r>
      <w:r w:rsidR="00FF6AD3" w:rsidRPr="00F60A3D">
        <w:rPr>
          <w:lang w:val="fr-FR"/>
        </w:rPr>
        <w:t>organisation de la justice</w:t>
      </w:r>
      <w:r w:rsidR="00333861" w:rsidRPr="00F60A3D">
        <w:rPr>
          <w:lang w:val="fr-FR"/>
        </w:rPr>
        <w:t xml:space="preserve"> et de chaque mag</w:t>
      </w:r>
      <w:r w:rsidR="00950BEA" w:rsidRPr="00F60A3D">
        <w:rPr>
          <w:lang w:val="fr-FR"/>
        </w:rPr>
        <w:t>istrature</w:t>
      </w:r>
      <w:r w:rsidR="00333861" w:rsidRPr="00F60A3D">
        <w:rPr>
          <w:lang w:val="fr-FR"/>
        </w:rPr>
        <w:t>. De</w:t>
      </w:r>
      <w:r w:rsidR="00950BEA" w:rsidRPr="00F60A3D">
        <w:rPr>
          <w:lang w:val="fr-FR"/>
        </w:rPr>
        <w:t xml:space="preserve"> manière plus spécifique, elle</w:t>
      </w:r>
      <w:r w:rsidR="00333861" w:rsidRPr="00F60A3D">
        <w:rPr>
          <w:lang w:val="fr-FR"/>
        </w:rPr>
        <w:t xml:space="preserve"> garantit et protège l</w:t>
      </w:r>
      <w:r w:rsidR="00B17AE1" w:rsidRPr="00F60A3D">
        <w:rPr>
          <w:lang w:val="fr-FR"/>
        </w:rPr>
        <w:t>’</w:t>
      </w:r>
      <w:r w:rsidR="00333861" w:rsidRPr="00F60A3D">
        <w:rPr>
          <w:lang w:val="fr-FR"/>
        </w:rPr>
        <w:t>indépendance des juges, des juridictions spéciales, du ministère public et des personnes ét</w:t>
      </w:r>
      <w:r w:rsidR="00C56382" w:rsidRPr="00F60A3D">
        <w:rPr>
          <w:lang w:val="fr-FR"/>
        </w:rPr>
        <w:t>r</w:t>
      </w:r>
      <w:r w:rsidR="00333861" w:rsidRPr="00F60A3D">
        <w:rPr>
          <w:lang w:val="fr-FR"/>
        </w:rPr>
        <w:t>angères à la magistrature qui participent à l</w:t>
      </w:r>
      <w:r w:rsidR="00B17AE1" w:rsidRPr="00F60A3D">
        <w:rPr>
          <w:lang w:val="fr-FR"/>
        </w:rPr>
        <w:t>’</w:t>
      </w:r>
      <w:r w:rsidR="00333861" w:rsidRPr="00F60A3D">
        <w:rPr>
          <w:lang w:val="fr-FR"/>
        </w:rPr>
        <w:t>admin</w:t>
      </w:r>
      <w:r w:rsidR="007A61E2" w:rsidRPr="00F60A3D">
        <w:rPr>
          <w:lang w:val="fr-FR"/>
        </w:rPr>
        <w:t>istration de la justice (</w:t>
      </w:r>
      <w:r w:rsidR="00731982" w:rsidRPr="00F60A3D">
        <w:rPr>
          <w:lang w:val="fr-FR"/>
        </w:rPr>
        <w:t>art. </w:t>
      </w:r>
      <w:r w:rsidR="00333861" w:rsidRPr="00F60A3D">
        <w:rPr>
          <w:lang w:val="fr-FR"/>
        </w:rPr>
        <w:t xml:space="preserve">108). </w:t>
      </w:r>
    </w:p>
    <w:p w:rsidR="00CC6F71" w:rsidRPr="00F60A3D" w:rsidRDefault="00BD282B" w:rsidP="00F96550">
      <w:pPr>
        <w:pStyle w:val="SingleTxtG"/>
        <w:rPr>
          <w:lang w:val="fr-FR"/>
        </w:rPr>
      </w:pPr>
      <w:r w:rsidRPr="00F60A3D">
        <w:rPr>
          <w:lang w:val="fr-FR"/>
        </w:rPr>
        <w:t>105</w:t>
      </w:r>
      <w:r w:rsidR="00B770B5" w:rsidRPr="00F60A3D">
        <w:rPr>
          <w:lang w:val="fr-FR"/>
        </w:rPr>
        <w:t>.</w:t>
      </w:r>
      <w:r w:rsidR="00B770B5" w:rsidRPr="00F60A3D">
        <w:rPr>
          <w:lang w:val="fr-FR"/>
        </w:rPr>
        <w:tab/>
        <w:t>L</w:t>
      </w:r>
      <w:r w:rsidR="00B17AE1" w:rsidRPr="00F60A3D">
        <w:rPr>
          <w:lang w:val="fr-FR"/>
        </w:rPr>
        <w:t>’</w:t>
      </w:r>
      <w:r w:rsidR="00B770B5" w:rsidRPr="00F60A3D">
        <w:rPr>
          <w:lang w:val="fr-FR"/>
        </w:rPr>
        <w:t xml:space="preserve">indépendance </w:t>
      </w:r>
      <w:r w:rsidR="00AD4F91" w:rsidRPr="00F60A3D">
        <w:rPr>
          <w:lang w:val="fr-FR"/>
        </w:rPr>
        <w:t>de la magistrature</w:t>
      </w:r>
      <w:r w:rsidR="00B770B5" w:rsidRPr="00F60A3D">
        <w:rPr>
          <w:lang w:val="fr-FR"/>
        </w:rPr>
        <w:t xml:space="preserve"> n</w:t>
      </w:r>
      <w:r w:rsidR="00B17AE1" w:rsidRPr="00F60A3D">
        <w:rPr>
          <w:lang w:val="fr-FR"/>
        </w:rPr>
        <w:t>’</w:t>
      </w:r>
      <w:r w:rsidR="00B770B5" w:rsidRPr="00F60A3D">
        <w:rPr>
          <w:lang w:val="fr-FR"/>
        </w:rPr>
        <w:t>implique pas l</w:t>
      </w:r>
      <w:r w:rsidR="00B17AE1" w:rsidRPr="00F60A3D">
        <w:rPr>
          <w:lang w:val="fr-FR"/>
        </w:rPr>
        <w:t>’</w:t>
      </w:r>
      <w:r w:rsidR="00B770B5" w:rsidRPr="00F60A3D">
        <w:rPr>
          <w:lang w:val="fr-FR"/>
        </w:rPr>
        <w:t>absence d</w:t>
      </w:r>
      <w:r w:rsidR="00B17AE1" w:rsidRPr="00F60A3D">
        <w:rPr>
          <w:lang w:val="fr-FR"/>
        </w:rPr>
        <w:t>’</w:t>
      </w:r>
      <w:r w:rsidR="00B770B5" w:rsidRPr="00F60A3D">
        <w:rPr>
          <w:lang w:val="fr-FR"/>
        </w:rPr>
        <w:t>organe disciplinaire. De fait, la Loi fondamentale prévoit</w:t>
      </w:r>
      <w:r w:rsidR="00F96550" w:rsidRPr="00F60A3D">
        <w:rPr>
          <w:lang w:val="fr-FR"/>
        </w:rPr>
        <w:t xml:space="preserve"> l</w:t>
      </w:r>
      <w:r w:rsidR="00B17AE1" w:rsidRPr="00F60A3D">
        <w:rPr>
          <w:lang w:val="fr-FR"/>
        </w:rPr>
        <w:t>’</w:t>
      </w:r>
      <w:r w:rsidR="00027756" w:rsidRPr="00F60A3D">
        <w:rPr>
          <w:lang w:val="fr-FR"/>
        </w:rPr>
        <w:t>existence du</w:t>
      </w:r>
      <w:r w:rsidR="00F96550" w:rsidRPr="00F60A3D">
        <w:rPr>
          <w:lang w:val="fr-FR"/>
        </w:rPr>
        <w:t xml:space="preserve"> Conseil supérieur de la magistrature</w:t>
      </w:r>
      <w:r w:rsidR="00731982" w:rsidRPr="00F60A3D">
        <w:rPr>
          <w:lang w:val="fr-FR"/>
        </w:rPr>
        <w:t xml:space="preserve"> </w:t>
      </w:r>
      <w:r w:rsidR="00CC6F71" w:rsidRPr="00F60A3D">
        <w:rPr>
          <w:i/>
          <w:lang w:val="fr-FR"/>
        </w:rPr>
        <w:t>(Consiglio Superiore della Magistratura</w:t>
      </w:r>
      <w:r w:rsidR="00CC6F71" w:rsidRPr="00F60A3D">
        <w:rPr>
          <w:lang w:val="fr-FR"/>
        </w:rPr>
        <w:t xml:space="preserve">), </w:t>
      </w:r>
      <w:r w:rsidR="00F96550" w:rsidRPr="00F60A3D">
        <w:rPr>
          <w:lang w:val="fr-FR"/>
        </w:rPr>
        <w:t>présidé par le Président de la République</w:t>
      </w:r>
      <w:r w:rsidR="00AD4F91" w:rsidRPr="00F60A3D">
        <w:rPr>
          <w:lang w:val="fr-FR"/>
        </w:rPr>
        <w:t xml:space="preserve">, et </w:t>
      </w:r>
      <w:r w:rsidR="00F96550" w:rsidRPr="00F60A3D">
        <w:rPr>
          <w:lang w:val="fr-FR"/>
        </w:rPr>
        <w:t>qui traite essentiellement des fautes graves commises par les juges.</w:t>
      </w:r>
      <w:r w:rsidR="00731982" w:rsidRPr="00F60A3D">
        <w:rPr>
          <w:lang w:val="fr-FR"/>
        </w:rPr>
        <w:t xml:space="preserve"> </w:t>
      </w:r>
    </w:p>
    <w:p w:rsidR="00CC6F71" w:rsidRPr="00F60A3D" w:rsidRDefault="00224935" w:rsidP="0005037B">
      <w:pPr>
        <w:pStyle w:val="SingleTxtG"/>
        <w:rPr>
          <w:lang w:val="fr-FR"/>
        </w:rPr>
      </w:pPr>
      <w:r w:rsidRPr="00F60A3D">
        <w:rPr>
          <w:lang w:val="fr-FR"/>
        </w:rPr>
        <w:t>106.</w:t>
      </w:r>
      <w:r w:rsidR="001D2CCC" w:rsidRPr="00F60A3D">
        <w:rPr>
          <w:lang w:val="fr-FR"/>
        </w:rPr>
        <w:tab/>
      </w:r>
      <w:r w:rsidR="00027756" w:rsidRPr="00F60A3D">
        <w:rPr>
          <w:lang w:val="fr-FR"/>
        </w:rPr>
        <w:t>Comme l</w:t>
      </w:r>
      <w:r w:rsidR="00B17AE1" w:rsidRPr="00F60A3D">
        <w:rPr>
          <w:lang w:val="fr-FR"/>
        </w:rPr>
        <w:t>’</w:t>
      </w:r>
      <w:r w:rsidR="00027756" w:rsidRPr="00F60A3D">
        <w:rPr>
          <w:lang w:val="fr-FR"/>
        </w:rPr>
        <w:t>énonce l</w:t>
      </w:r>
      <w:r w:rsidR="00B17AE1" w:rsidRPr="00F60A3D">
        <w:rPr>
          <w:lang w:val="fr-FR"/>
        </w:rPr>
        <w:t>’</w:t>
      </w:r>
      <w:r w:rsidR="00D26282" w:rsidRPr="00F60A3D">
        <w:rPr>
          <w:lang w:val="fr-FR"/>
        </w:rPr>
        <w:t>article </w:t>
      </w:r>
      <w:r w:rsidR="00027756" w:rsidRPr="00F60A3D">
        <w:rPr>
          <w:lang w:val="fr-FR"/>
        </w:rPr>
        <w:t>105,</w:t>
      </w:r>
      <w:r w:rsidR="00C32946" w:rsidRPr="00F60A3D">
        <w:rPr>
          <w:lang w:val="fr-FR"/>
        </w:rPr>
        <w:t xml:space="preserve"> les</w:t>
      </w:r>
      <w:r w:rsidR="00027756" w:rsidRPr="00F60A3D">
        <w:rPr>
          <w:lang w:val="fr-FR"/>
        </w:rPr>
        <w:t xml:space="preserve"> nomination</w:t>
      </w:r>
      <w:r w:rsidR="00C32946" w:rsidRPr="00F60A3D">
        <w:rPr>
          <w:lang w:val="fr-FR"/>
        </w:rPr>
        <w:t>s</w:t>
      </w:r>
      <w:r w:rsidR="00027756" w:rsidRPr="00F60A3D">
        <w:rPr>
          <w:lang w:val="fr-FR"/>
        </w:rPr>
        <w:t xml:space="preserve"> </w:t>
      </w:r>
      <w:r w:rsidR="00F96550" w:rsidRPr="00F60A3D">
        <w:rPr>
          <w:lang w:val="fr-FR"/>
        </w:rPr>
        <w:t>(le recrutement des magistrats se fait par c</w:t>
      </w:r>
      <w:r w:rsidR="00F347BE" w:rsidRPr="00F60A3D">
        <w:rPr>
          <w:lang w:val="fr-FR"/>
        </w:rPr>
        <w:t xml:space="preserve">oncours), </w:t>
      </w:r>
      <w:r w:rsidR="004746D7" w:rsidRPr="00F60A3D">
        <w:rPr>
          <w:lang w:val="fr-FR"/>
        </w:rPr>
        <w:t xml:space="preserve">affectations, mutations, </w:t>
      </w:r>
      <w:r w:rsidR="00F96550" w:rsidRPr="00F60A3D">
        <w:rPr>
          <w:lang w:val="fr-FR"/>
        </w:rPr>
        <w:t xml:space="preserve">avancements </w:t>
      </w:r>
      <w:r w:rsidR="004746D7" w:rsidRPr="00F60A3D">
        <w:rPr>
          <w:lang w:val="fr-FR"/>
        </w:rPr>
        <w:t xml:space="preserve">et </w:t>
      </w:r>
      <w:r w:rsidR="00AA7A6C" w:rsidRPr="00F60A3D">
        <w:rPr>
          <w:lang w:val="fr-FR"/>
        </w:rPr>
        <w:t>mesures disciplinaires concernant les magistrats</w:t>
      </w:r>
      <w:r w:rsidR="00931DDA" w:rsidRPr="00F60A3D">
        <w:rPr>
          <w:lang w:val="fr-FR"/>
        </w:rPr>
        <w:t>,</w:t>
      </w:r>
      <w:r w:rsidR="00AA7A6C" w:rsidRPr="00F60A3D">
        <w:rPr>
          <w:lang w:val="fr-FR"/>
        </w:rPr>
        <w:t xml:space="preserve"> relèvent de la compétence exclusive du Conseil supérieur de la magistrature. </w:t>
      </w:r>
    </w:p>
    <w:p w:rsidR="00CC6F71" w:rsidRPr="00F60A3D" w:rsidRDefault="00BD282B" w:rsidP="0005037B">
      <w:pPr>
        <w:pStyle w:val="SingleTxtG"/>
        <w:rPr>
          <w:lang w:val="fr-FR"/>
        </w:rPr>
      </w:pPr>
      <w:r w:rsidRPr="00F60A3D">
        <w:rPr>
          <w:lang w:val="fr-FR"/>
        </w:rPr>
        <w:t>10</w:t>
      </w:r>
      <w:r w:rsidR="00AA7A6C" w:rsidRPr="00F60A3D">
        <w:rPr>
          <w:lang w:val="fr-FR"/>
        </w:rPr>
        <w:t>7.</w:t>
      </w:r>
      <w:r w:rsidR="00AA7A6C" w:rsidRPr="00F60A3D">
        <w:rPr>
          <w:lang w:val="fr-FR"/>
        </w:rPr>
        <w:tab/>
        <w:t>Compte tenu du principe de sép</w:t>
      </w:r>
      <w:r w:rsidR="008022DC" w:rsidRPr="00F60A3D">
        <w:rPr>
          <w:lang w:val="fr-FR"/>
        </w:rPr>
        <w:t>aration des pouvoirs d</w:t>
      </w:r>
      <w:r w:rsidR="00B17AE1" w:rsidRPr="00F60A3D">
        <w:rPr>
          <w:lang w:val="fr-FR"/>
        </w:rPr>
        <w:t>’</w:t>
      </w:r>
      <w:r w:rsidR="008022DC" w:rsidRPr="00F60A3D">
        <w:rPr>
          <w:lang w:val="fr-FR"/>
        </w:rPr>
        <w:t>une part</w:t>
      </w:r>
      <w:r w:rsidR="00C2658C" w:rsidRPr="00F60A3D">
        <w:rPr>
          <w:lang w:val="fr-FR"/>
        </w:rPr>
        <w:t>,</w:t>
      </w:r>
      <w:r w:rsidR="00AA7A6C" w:rsidRPr="00F60A3D">
        <w:rPr>
          <w:lang w:val="fr-FR"/>
        </w:rPr>
        <w:t xml:space="preserve"> et du respect de la démocratie et des droits de l</w:t>
      </w:r>
      <w:r w:rsidR="00B17AE1" w:rsidRPr="00F60A3D">
        <w:rPr>
          <w:lang w:val="fr-FR"/>
        </w:rPr>
        <w:t>’</w:t>
      </w:r>
      <w:r w:rsidR="00AA7A6C" w:rsidRPr="00F60A3D">
        <w:rPr>
          <w:lang w:val="fr-FR"/>
        </w:rPr>
        <w:t>homme d</w:t>
      </w:r>
      <w:r w:rsidR="00B17AE1" w:rsidRPr="00F60A3D">
        <w:rPr>
          <w:lang w:val="fr-FR"/>
        </w:rPr>
        <w:t>’</w:t>
      </w:r>
      <w:r w:rsidR="00AA7A6C" w:rsidRPr="00F60A3D">
        <w:rPr>
          <w:lang w:val="fr-FR"/>
        </w:rPr>
        <w:t xml:space="preserve">autre part, les juges extraordinaires sont interdits et aucun tribunal </w:t>
      </w:r>
      <w:r w:rsidR="00AA7A6C" w:rsidRPr="00F60A3D">
        <w:rPr>
          <w:i/>
          <w:lang w:val="fr-FR"/>
        </w:rPr>
        <w:t>post factum</w:t>
      </w:r>
      <w:r w:rsidR="00AA7A6C" w:rsidRPr="00F60A3D">
        <w:rPr>
          <w:lang w:val="fr-FR"/>
        </w:rPr>
        <w:t xml:space="preserve"> n</w:t>
      </w:r>
      <w:r w:rsidR="00B17AE1" w:rsidRPr="00F60A3D">
        <w:rPr>
          <w:lang w:val="fr-FR"/>
        </w:rPr>
        <w:t>’</w:t>
      </w:r>
      <w:r w:rsidR="00AA7A6C" w:rsidRPr="00F60A3D">
        <w:rPr>
          <w:lang w:val="fr-FR"/>
        </w:rPr>
        <w:t>est autorisé.</w:t>
      </w:r>
      <w:r w:rsidR="00731982" w:rsidRPr="00F60A3D">
        <w:rPr>
          <w:lang w:val="fr-FR"/>
        </w:rPr>
        <w:t xml:space="preserve"> </w:t>
      </w:r>
    </w:p>
    <w:p w:rsidR="008022DC" w:rsidRPr="00F60A3D" w:rsidRDefault="00224935" w:rsidP="0005037B">
      <w:pPr>
        <w:pStyle w:val="SingleTxtG"/>
        <w:rPr>
          <w:lang w:val="fr-FR"/>
        </w:rPr>
      </w:pPr>
      <w:r w:rsidRPr="00F60A3D">
        <w:rPr>
          <w:lang w:val="fr-FR"/>
        </w:rPr>
        <w:t>108.</w:t>
      </w:r>
      <w:r w:rsidR="001D2CCC" w:rsidRPr="00F60A3D">
        <w:rPr>
          <w:lang w:val="fr-FR"/>
        </w:rPr>
        <w:tab/>
      </w:r>
      <w:r w:rsidR="00C2658C" w:rsidRPr="00F60A3D">
        <w:rPr>
          <w:lang w:val="fr-FR"/>
        </w:rPr>
        <w:t>Seules des</w:t>
      </w:r>
      <w:r w:rsidR="008022DC" w:rsidRPr="00F60A3D">
        <w:rPr>
          <w:lang w:val="fr-FR"/>
        </w:rPr>
        <w:t xml:space="preserve"> sect</w:t>
      </w:r>
      <w:r w:rsidR="00257D01" w:rsidRPr="00F60A3D">
        <w:rPr>
          <w:lang w:val="fr-FR"/>
        </w:rPr>
        <w:t>ions spécialisées pour des matières déterminée</w:t>
      </w:r>
      <w:r w:rsidR="00FF6AD3" w:rsidRPr="00F60A3D">
        <w:rPr>
          <w:lang w:val="fr-FR"/>
        </w:rPr>
        <w:t>s</w:t>
      </w:r>
      <w:r w:rsidR="004746D7" w:rsidRPr="00F60A3D">
        <w:rPr>
          <w:lang w:val="fr-FR"/>
        </w:rPr>
        <w:t xml:space="preserve"> peuvent être créée</w:t>
      </w:r>
      <w:r w:rsidR="00C2658C" w:rsidRPr="00F60A3D">
        <w:rPr>
          <w:lang w:val="fr-FR"/>
        </w:rPr>
        <w:t>s au</w:t>
      </w:r>
      <w:r w:rsidR="00671CAA" w:rsidRPr="00F60A3D">
        <w:rPr>
          <w:lang w:val="fr-FR"/>
        </w:rPr>
        <w:t xml:space="preserve"> sein des juridictions</w:t>
      </w:r>
      <w:r w:rsidR="00C2658C" w:rsidRPr="00F60A3D">
        <w:rPr>
          <w:lang w:val="fr-FR"/>
        </w:rPr>
        <w:t xml:space="preserve"> ordinaires. </w:t>
      </w:r>
      <w:r w:rsidR="00257D01" w:rsidRPr="00F60A3D">
        <w:rPr>
          <w:lang w:val="fr-FR"/>
        </w:rPr>
        <w:t>Le pouvoir judiciaire</w:t>
      </w:r>
      <w:r w:rsidR="008022DC" w:rsidRPr="00F60A3D">
        <w:rPr>
          <w:lang w:val="fr-FR"/>
        </w:rPr>
        <w:t xml:space="preserve"> est exclusivement exercé par des tribunaux ordinaires</w:t>
      </w:r>
      <w:r w:rsidR="000F14A3" w:rsidRPr="00F60A3D">
        <w:rPr>
          <w:lang w:val="fr-FR"/>
        </w:rPr>
        <w:t xml:space="preserve"> et des tribunaux spéciaux, à savoir</w:t>
      </w:r>
      <w:r w:rsidR="00257D01" w:rsidRPr="00F60A3D">
        <w:rPr>
          <w:lang w:val="fr-FR"/>
        </w:rPr>
        <w:t xml:space="preserve"> le Conseil d</w:t>
      </w:r>
      <w:r w:rsidR="00B17AE1" w:rsidRPr="00F60A3D">
        <w:rPr>
          <w:lang w:val="fr-FR"/>
        </w:rPr>
        <w:t>’</w:t>
      </w:r>
      <w:r w:rsidR="00257D01" w:rsidRPr="00F60A3D">
        <w:rPr>
          <w:lang w:val="fr-FR"/>
        </w:rPr>
        <w:t>État, la Cour des comp</w:t>
      </w:r>
      <w:r w:rsidR="00F347BE" w:rsidRPr="00F60A3D">
        <w:rPr>
          <w:lang w:val="fr-FR"/>
        </w:rPr>
        <w:t xml:space="preserve">tes et les tribunaux militaires, tous </w:t>
      </w:r>
      <w:r w:rsidR="00257D01" w:rsidRPr="00F60A3D">
        <w:rPr>
          <w:lang w:val="fr-FR"/>
        </w:rPr>
        <w:t xml:space="preserve">régis par la loi. </w:t>
      </w:r>
    </w:p>
    <w:p w:rsidR="00CC6F71" w:rsidRPr="00F60A3D" w:rsidRDefault="00224935" w:rsidP="0005037B">
      <w:pPr>
        <w:pStyle w:val="SingleTxtG"/>
        <w:rPr>
          <w:lang w:val="fr-FR"/>
        </w:rPr>
      </w:pPr>
      <w:r w:rsidRPr="00F60A3D">
        <w:rPr>
          <w:lang w:val="fr-FR"/>
        </w:rPr>
        <w:t>109.</w:t>
      </w:r>
      <w:r w:rsidR="001D2CCC" w:rsidRPr="00F60A3D">
        <w:rPr>
          <w:lang w:val="fr-FR"/>
        </w:rPr>
        <w:tab/>
      </w:r>
      <w:r w:rsidR="00257D01" w:rsidRPr="00F60A3D">
        <w:rPr>
          <w:lang w:val="fr-FR"/>
        </w:rPr>
        <w:t>Aucune modification n</w:t>
      </w:r>
      <w:r w:rsidR="00B17AE1" w:rsidRPr="00F60A3D">
        <w:rPr>
          <w:lang w:val="fr-FR"/>
        </w:rPr>
        <w:t>’</w:t>
      </w:r>
      <w:r w:rsidR="00257D01" w:rsidRPr="00F60A3D">
        <w:rPr>
          <w:lang w:val="fr-FR"/>
        </w:rPr>
        <w:t>a été apportée à la section co</w:t>
      </w:r>
      <w:r w:rsidR="004B5D8E" w:rsidRPr="00F60A3D">
        <w:rPr>
          <w:lang w:val="fr-FR"/>
        </w:rPr>
        <w:t>ncernée de la Con</w:t>
      </w:r>
      <w:r w:rsidR="007A61E2" w:rsidRPr="00F60A3D">
        <w:rPr>
          <w:lang w:val="fr-FR"/>
        </w:rPr>
        <w:t>stitution italienne (</w:t>
      </w:r>
      <w:r w:rsidR="00731982" w:rsidRPr="00F60A3D">
        <w:rPr>
          <w:lang w:val="fr-FR"/>
        </w:rPr>
        <w:t>art. </w:t>
      </w:r>
      <w:r w:rsidR="007A61E2" w:rsidRPr="00F60A3D">
        <w:rPr>
          <w:lang w:val="fr-FR"/>
        </w:rPr>
        <w:t>101</w:t>
      </w:r>
      <w:r w:rsidR="0032758D">
        <w:rPr>
          <w:lang w:val="fr-FR"/>
        </w:rPr>
        <w:t xml:space="preserve"> et </w:t>
      </w:r>
      <w:proofErr w:type="spellStart"/>
      <w:r w:rsidR="0032758D">
        <w:rPr>
          <w:lang w:val="fr-FR"/>
        </w:rPr>
        <w:t>suiv</w:t>
      </w:r>
      <w:proofErr w:type="spellEnd"/>
      <w:r w:rsidR="0032758D">
        <w:rPr>
          <w:lang w:val="fr-FR"/>
        </w:rPr>
        <w:t>.</w:t>
      </w:r>
      <w:r w:rsidR="004B5D8E" w:rsidRPr="00F60A3D">
        <w:rPr>
          <w:lang w:val="fr-FR"/>
        </w:rPr>
        <w:t>).</w:t>
      </w:r>
      <w:r w:rsidR="00731982" w:rsidRPr="00F60A3D">
        <w:rPr>
          <w:lang w:val="fr-FR"/>
        </w:rPr>
        <w:t xml:space="preserve"> </w:t>
      </w:r>
    </w:p>
    <w:p w:rsidR="004B5D8E" w:rsidRPr="00F60A3D" w:rsidRDefault="0005037B" w:rsidP="0005037B">
      <w:pPr>
        <w:pStyle w:val="SingleTxtG"/>
        <w:rPr>
          <w:rFonts w:eastAsia="MS ??"/>
          <w:lang w:val="fr-FR"/>
        </w:rPr>
      </w:pPr>
      <w:r w:rsidRPr="00F60A3D">
        <w:rPr>
          <w:rFonts w:eastAsia="MS ??"/>
          <w:lang w:val="fr-FR"/>
        </w:rPr>
        <w:t>110.</w:t>
      </w:r>
      <w:r w:rsidRPr="00F60A3D">
        <w:rPr>
          <w:rFonts w:eastAsia="MS ??"/>
          <w:lang w:val="fr-FR"/>
        </w:rPr>
        <w:tab/>
      </w:r>
      <w:r w:rsidR="004B5D8E" w:rsidRPr="00F60A3D">
        <w:rPr>
          <w:rFonts w:eastAsia="MS ??"/>
          <w:lang w:val="fr-FR"/>
        </w:rPr>
        <w:t>Plus récemment, suite à l</w:t>
      </w:r>
      <w:r w:rsidR="00B17AE1" w:rsidRPr="00F60A3D">
        <w:rPr>
          <w:rFonts w:eastAsia="MS ??"/>
          <w:lang w:val="fr-FR"/>
        </w:rPr>
        <w:t>’</w:t>
      </w:r>
      <w:r w:rsidR="004B5D8E" w:rsidRPr="00F60A3D">
        <w:rPr>
          <w:rFonts w:eastAsia="MS ??"/>
          <w:lang w:val="fr-FR"/>
        </w:rPr>
        <w:t xml:space="preserve">affaire C-379/10, </w:t>
      </w:r>
      <w:r w:rsidR="004B5D8E" w:rsidRPr="00F60A3D">
        <w:rPr>
          <w:rFonts w:eastAsia="MS ??"/>
          <w:i/>
          <w:lang w:val="fr-FR"/>
        </w:rPr>
        <w:t xml:space="preserve">Commission </w:t>
      </w:r>
      <w:r w:rsidR="004B5D8E" w:rsidRPr="00F60A3D">
        <w:rPr>
          <w:rFonts w:eastAsia="MS ??"/>
          <w:iCs/>
          <w:lang w:val="fr-FR"/>
        </w:rPr>
        <w:t>c.</w:t>
      </w:r>
      <w:r w:rsidR="004B5D8E" w:rsidRPr="00F60A3D">
        <w:rPr>
          <w:rFonts w:eastAsia="MS ??"/>
          <w:i/>
          <w:lang w:val="fr-FR"/>
        </w:rPr>
        <w:t xml:space="preserve"> Italie</w:t>
      </w:r>
      <w:r w:rsidR="004B5D8E" w:rsidRPr="00F60A3D">
        <w:rPr>
          <w:rFonts w:eastAsia="MS ??"/>
          <w:lang w:val="fr-FR"/>
        </w:rPr>
        <w:t>, la Cour de justice de l</w:t>
      </w:r>
      <w:r w:rsidR="00B17AE1" w:rsidRPr="00F60A3D">
        <w:rPr>
          <w:rFonts w:eastAsia="MS ??"/>
          <w:lang w:val="fr-FR"/>
        </w:rPr>
        <w:t>’</w:t>
      </w:r>
      <w:r w:rsidR="00FF6AD3" w:rsidRPr="00F60A3D">
        <w:rPr>
          <w:rFonts w:eastAsia="MS ??"/>
          <w:lang w:val="fr-FR"/>
        </w:rPr>
        <w:t>U</w:t>
      </w:r>
      <w:r w:rsidR="00C32946" w:rsidRPr="00F60A3D">
        <w:rPr>
          <w:rFonts w:eastAsia="MS ??"/>
          <w:lang w:val="fr-FR"/>
        </w:rPr>
        <w:t>nion européenne a constaté (arrêt</w:t>
      </w:r>
      <w:r w:rsidR="00FF6AD3" w:rsidRPr="00F60A3D">
        <w:rPr>
          <w:rFonts w:eastAsia="MS ??"/>
          <w:lang w:val="fr-FR"/>
        </w:rPr>
        <w:t xml:space="preserve"> du 24</w:t>
      </w:r>
      <w:r w:rsidRPr="00F60A3D">
        <w:rPr>
          <w:rFonts w:eastAsia="MS ??"/>
          <w:lang w:val="fr-FR"/>
        </w:rPr>
        <w:t> </w:t>
      </w:r>
      <w:r w:rsidR="00FF6AD3" w:rsidRPr="00F60A3D">
        <w:rPr>
          <w:rFonts w:eastAsia="MS ??"/>
          <w:lang w:val="fr-FR"/>
        </w:rPr>
        <w:t>novembre</w:t>
      </w:r>
      <w:r w:rsidR="00C32946" w:rsidRPr="00F60A3D">
        <w:rPr>
          <w:rFonts w:eastAsia="MS ??"/>
          <w:lang w:val="fr-FR"/>
        </w:rPr>
        <w:t xml:space="preserve"> 2011) que l</w:t>
      </w:r>
      <w:r w:rsidR="00B17AE1" w:rsidRPr="00F60A3D">
        <w:rPr>
          <w:rFonts w:eastAsia="MS ??"/>
          <w:lang w:val="fr-FR"/>
        </w:rPr>
        <w:t>’</w:t>
      </w:r>
      <w:r w:rsidR="00C32946" w:rsidRPr="00F60A3D">
        <w:rPr>
          <w:rFonts w:eastAsia="MS ??"/>
          <w:lang w:val="fr-FR"/>
        </w:rPr>
        <w:t>Italie commettait une violation du droit</w:t>
      </w:r>
      <w:r w:rsidR="00FF6AD3" w:rsidRPr="00F60A3D">
        <w:rPr>
          <w:rFonts w:eastAsia="MS ??"/>
          <w:lang w:val="fr-FR"/>
        </w:rPr>
        <w:t xml:space="preserve"> </w:t>
      </w:r>
      <w:r w:rsidR="004B5D8E" w:rsidRPr="00F60A3D">
        <w:rPr>
          <w:rFonts w:eastAsia="MS ??"/>
          <w:lang w:val="fr-FR"/>
        </w:rPr>
        <w:t>de l</w:t>
      </w:r>
      <w:r w:rsidR="00B17AE1" w:rsidRPr="00F60A3D">
        <w:rPr>
          <w:rFonts w:eastAsia="MS ??"/>
          <w:lang w:val="fr-FR"/>
        </w:rPr>
        <w:t>’</w:t>
      </w:r>
      <w:r w:rsidR="004B5D8E" w:rsidRPr="00F60A3D">
        <w:rPr>
          <w:rFonts w:eastAsia="MS ??"/>
          <w:lang w:val="fr-FR"/>
        </w:rPr>
        <w:t>UE en excluant toute responsabili</w:t>
      </w:r>
      <w:r w:rsidR="00FF6AD3" w:rsidRPr="00F60A3D">
        <w:rPr>
          <w:rFonts w:eastAsia="MS ??"/>
          <w:lang w:val="fr-FR"/>
        </w:rPr>
        <w:t xml:space="preserve">té de </w:t>
      </w:r>
      <w:r w:rsidR="007F2419" w:rsidRPr="00F60A3D">
        <w:rPr>
          <w:rFonts w:eastAsia="MS ??"/>
          <w:lang w:val="fr-FR"/>
        </w:rPr>
        <w:t>l</w:t>
      </w:r>
      <w:r w:rsidR="00B17AE1" w:rsidRPr="00F60A3D">
        <w:rPr>
          <w:rFonts w:eastAsia="MS ??"/>
          <w:lang w:val="fr-FR"/>
        </w:rPr>
        <w:t>’</w:t>
      </w:r>
      <w:r w:rsidR="007F2419" w:rsidRPr="00F60A3D">
        <w:rPr>
          <w:rFonts w:eastAsia="MS ??"/>
          <w:lang w:val="fr-FR"/>
        </w:rPr>
        <w:t>État italien pour les dommages</w:t>
      </w:r>
      <w:r w:rsidR="00FF6AD3" w:rsidRPr="00F60A3D">
        <w:rPr>
          <w:rFonts w:eastAsia="MS ??"/>
          <w:lang w:val="fr-FR"/>
        </w:rPr>
        <w:t xml:space="preserve"> causé</w:t>
      </w:r>
      <w:r w:rsidR="007F2419" w:rsidRPr="00F60A3D">
        <w:rPr>
          <w:rFonts w:eastAsia="MS ??"/>
          <w:lang w:val="fr-FR"/>
        </w:rPr>
        <w:t>s à des particuliers du fait</w:t>
      </w:r>
      <w:r w:rsidR="004B5D8E" w:rsidRPr="00F60A3D">
        <w:rPr>
          <w:rFonts w:eastAsia="MS ??"/>
          <w:lang w:val="fr-FR"/>
        </w:rPr>
        <w:t xml:space="preserve"> d</w:t>
      </w:r>
      <w:r w:rsidR="00B17AE1" w:rsidRPr="00F60A3D">
        <w:rPr>
          <w:rFonts w:eastAsia="MS ??"/>
          <w:lang w:val="fr-FR"/>
        </w:rPr>
        <w:t>’</w:t>
      </w:r>
      <w:r w:rsidR="004B5D8E" w:rsidRPr="00F60A3D">
        <w:rPr>
          <w:rFonts w:eastAsia="MS ??"/>
          <w:lang w:val="fr-FR"/>
        </w:rPr>
        <w:t>une violatio</w:t>
      </w:r>
      <w:r w:rsidR="007F2419" w:rsidRPr="00F60A3D">
        <w:rPr>
          <w:rFonts w:eastAsia="MS ??"/>
          <w:lang w:val="fr-FR"/>
        </w:rPr>
        <w:t>n du droit de l</w:t>
      </w:r>
      <w:r w:rsidR="00B17AE1" w:rsidRPr="00F60A3D">
        <w:rPr>
          <w:rFonts w:eastAsia="MS ??"/>
          <w:lang w:val="fr-FR"/>
        </w:rPr>
        <w:t>’</w:t>
      </w:r>
      <w:r w:rsidR="007F2419" w:rsidRPr="00F60A3D">
        <w:rPr>
          <w:rFonts w:eastAsia="MS ??"/>
          <w:lang w:val="fr-FR"/>
        </w:rPr>
        <w:t xml:space="preserve">UE commise par une </w:t>
      </w:r>
      <w:r w:rsidR="00FF6AD3" w:rsidRPr="00F60A3D">
        <w:rPr>
          <w:rFonts w:eastAsia="MS ??"/>
          <w:lang w:val="fr-FR"/>
        </w:rPr>
        <w:t>juri</w:t>
      </w:r>
      <w:r w:rsidR="0005499D" w:rsidRPr="00F60A3D">
        <w:rPr>
          <w:rFonts w:eastAsia="MS ??"/>
          <w:lang w:val="fr-FR"/>
        </w:rPr>
        <w:t xml:space="preserve">diction </w:t>
      </w:r>
      <w:r w:rsidR="007F2419" w:rsidRPr="00F60A3D">
        <w:rPr>
          <w:rFonts w:eastAsia="MS ??"/>
          <w:lang w:val="fr-FR"/>
        </w:rPr>
        <w:t>nationale statuant en dernier ressort, lorsque cette violation résulte d</w:t>
      </w:r>
      <w:r w:rsidR="00B17AE1" w:rsidRPr="00F60A3D">
        <w:rPr>
          <w:rFonts w:eastAsia="MS ??"/>
          <w:lang w:val="fr-FR"/>
        </w:rPr>
        <w:t>’</w:t>
      </w:r>
      <w:r w:rsidR="007F2419" w:rsidRPr="00F60A3D">
        <w:rPr>
          <w:rFonts w:eastAsia="MS ??"/>
          <w:lang w:val="fr-FR"/>
        </w:rPr>
        <w:t xml:space="preserve">une </w:t>
      </w:r>
      <w:r w:rsidR="0005499D" w:rsidRPr="00F60A3D">
        <w:rPr>
          <w:rFonts w:eastAsia="MS ??"/>
          <w:lang w:val="fr-FR"/>
        </w:rPr>
        <w:t xml:space="preserve">interprétation </w:t>
      </w:r>
      <w:r w:rsidR="007F2419" w:rsidRPr="00F60A3D">
        <w:rPr>
          <w:rFonts w:eastAsia="MS ??"/>
          <w:lang w:val="fr-FR"/>
        </w:rPr>
        <w:t>des règles de droit ou d</w:t>
      </w:r>
      <w:r w:rsidR="00B17AE1" w:rsidRPr="00F60A3D">
        <w:rPr>
          <w:rFonts w:eastAsia="MS ??"/>
          <w:lang w:val="fr-FR"/>
        </w:rPr>
        <w:t>’</w:t>
      </w:r>
      <w:r w:rsidR="007F2419" w:rsidRPr="00F60A3D">
        <w:rPr>
          <w:rFonts w:eastAsia="MS ??"/>
          <w:lang w:val="fr-FR"/>
        </w:rPr>
        <w:t>une appréciation des faits et des preuves effectuée par cette juridiction.</w:t>
      </w:r>
      <w:r w:rsidR="00731982" w:rsidRPr="00F60A3D">
        <w:rPr>
          <w:rFonts w:eastAsia="MS ??"/>
          <w:lang w:val="fr-FR"/>
        </w:rPr>
        <w:t xml:space="preserve"> </w:t>
      </w:r>
    </w:p>
    <w:p w:rsidR="0005499D" w:rsidRPr="00F60A3D" w:rsidRDefault="0005037B" w:rsidP="0005037B">
      <w:pPr>
        <w:pStyle w:val="SingleTxtG"/>
        <w:rPr>
          <w:rFonts w:eastAsia="MS ??"/>
          <w:lang w:val="fr-FR"/>
        </w:rPr>
      </w:pPr>
      <w:r w:rsidRPr="00F60A3D">
        <w:rPr>
          <w:rFonts w:eastAsia="MS ??"/>
          <w:bCs/>
          <w:lang w:val="fr-FR"/>
        </w:rPr>
        <w:t>111.</w:t>
      </w:r>
      <w:r w:rsidRPr="00F60A3D">
        <w:rPr>
          <w:rFonts w:eastAsia="MS ??"/>
          <w:bCs/>
          <w:lang w:val="fr-FR"/>
        </w:rPr>
        <w:tab/>
      </w:r>
      <w:r w:rsidR="0005499D" w:rsidRPr="00F60A3D">
        <w:rPr>
          <w:rFonts w:eastAsia="MS ??"/>
          <w:bCs/>
          <w:lang w:val="fr-FR"/>
        </w:rPr>
        <w:t xml:space="preserve">La loi </w:t>
      </w:r>
      <w:r w:rsidR="00B17AE1" w:rsidRPr="00F60A3D">
        <w:rPr>
          <w:rFonts w:eastAsia="MS ??"/>
          <w:bCs/>
          <w:lang w:val="fr-FR"/>
        </w:rPr>
        <w:t>n</w:t>
      </w:r>
      <w:r w:rsidR="00B17AE1" w:rsidRPr="00F60A3D">
        <w:rPr>
          <w:rFonts w:eastAsia="MS ??"/>
          <w:bCs/>
          <w:vertAlign w:val="superscript"/>
          <w:lang w:val="fr-FR"/>
        </w:rPr>
        <w:t>o</w:t>
      </w:r>
      <w:r w:rsidR="00B17AE1" w:rsidRPr="00F60A3D">
        <w:rPr>
          <w:rFonts w:eastAsia="MS ??"/>
          <w:bCs/>
          <w:lang w:val="fr-FR"/>
        </w:rPr>
        <w:t> </w:t>
      </w:r>
      <w:r w:rsidR="00CC6F71" w:rsidRPr="00F60A3D">
        <w:rPr>
          <w:rFonts w:eastAsia="MS ??"/>
          <w:bCs/>
          <w:lang w:val="fr-FR"/>
        </w:rPr>
        <w:t xml:space="preserve">18/2015 </w:t>
      </w:r>
      <w:r w:rsidR="0005499D" w:rsidRPr="00F60A3D">
        <w:rPr>
          <w:rFonts w:eastAsia="MS ??"/>
          <w:bCs/>
          <w:lang w:val="fr-FR"/>
        </w:rPr>
        <w:t>a donc été mise en place</w:t>
      </w:r>
      <w:r w:rsidR="00D26282" w:rsidRPr="00F60A3D">
        <w:rPr>
          <w:rFonts w:eastAsia="MS ??"/>
          <w:lang w:val="fr-FR"/>
        </w:rPr>
        <w:t xml:space="preserve"> – </w:t>
      </w:r>
      <w:r w:rsidR="00FF6AD3" w:rsidRPr="00F60A3D">
        <w:rPr>
          <w:rFonts w:eastAsia="MS ??"/>
          <w:lang w:val="fr-FR"/>
        </w:rPr>
        <w:t>Cette réforme préserve le système mixte</w:t>
      </w:r>
      <w:r w:rsidR="007F2419" w:rsidRPr="00F60A3D">
        <w:rPr>
          <w:rFonts w:eastAsia="MS ??"/>
          <w:lang w:val="fr-FR"/>
        </w:rPr>
        <w:t xml:space="preserve"> institué par la loi précédente</w:t>
      </w:r>
      <w:r w:rsidR="0005499D" w:rsidRPr="00F60A3D">
        <w:rPr>
          <w:rFonts w:eastAsia="MS ??"/>
          <w:lang w:val="fr-FR"/>
        </w:rPr>
        <w:t xml:space="preserve"> (</w:t>
      </w:r>
      <w:r w:rsidR="007F2419" w:rsidRPr="00F60A3D">
        <w:rPr>
          <w:rFonts w:eastAsia="MS ??"/>
          <w:lang w:val="fr-FR"/>
        </w:rPr>
        <w:t xml:space="preserve">loi </w:t>
      </w:r>
      <w:r w:rsidR="00B17AE1" w:rsidRPr="00F60A3D">
        <w:rPr>
          <w:rFonts w:eastAsia="MS ??"/>
          <w:lang w:val="fr-FR"/>
        </w:rPr>
        <w:t>n</w:t>
      </w:r>
      <w:r w:rsidR="00B17AE1" w:rsidRPr="00F60A3D">
        <w:rPr>
          <w:rFonts w:eastAsia="MS ??"/>
          <w:vertAlign w:val="superscript"/>
          <w:lang w:val="fr-FR"/>
        </w:rPr>
        <w:t>o</w:t>
      </w:r>
      <w:r w:rsidR="00B17AE1" w:rsidRPr="00F60A3D">
        <w:rPr>
          <w:rFonts w:eastAsia="MS ??"/>
          <w:lang w:val="fr-FR"/>
        </w:rPr>
        <w:t> </w:t>
      </w:r>
      <w:r w:rsidR="007F2419" w:rsidRPr="00F60A3D">
        <w:rPr>
          <w:rFonts w:eastAsia="MS ??"/>
          <w:lang w:val="fr-FR"/>
        </w:rPr>
        <w:t>117/88) reposant sur</w:t>
      </w:r>
      <w:r w:rsidR="0005499D" w:rsidRPr="00F60A3D">
        <w:rPr>
          <w:rFonts w:eastAsia="MS ??"/>
          <w:lang w:val="fr-FR"/>
        </w:rPr>
        <w:t xml:space="preserve"> la responsabilité directe de l</w:t>
      </w:r>
      <w:r w:rsidR="00B17AE1" w:rsidRPr="00F60A3D">
        <w:rPr>
          <w:rFonts w:eastAsia="MS ??"/>
          <w:lang w:val="fr-FR"/>
        </w:rPr>
        <w:t>’</w:t>
      </w:r>
      <w:r w:rsidR="0005499D" w:rsidRPr="00F60A3D">
        <w:rPr>
          <w:rFonts w:eastAsia="MS ??"/>
          <w:lang w:val="fr-FR"/>
        </w:rPr>
        <w:t xml:space="preserve">État et </w:t>
      </w:r>
      <w:r w:rsidR="007F2419" w:rsidRPr="00F60A3D">
        <w:rPr>
          <w:rFonts w:eastAsia="MS ??"/>
          <w:lang w:val="fr-FR"/>
        </w:rPr>
        <w:t xml:space="preserve">sur </w:t>
      </w:r>
      <w:r w:rsidR="0005499D" w:rsidRPr="00F60A3D">
        <w:rPr>
          <w:rFonts w:eastAsia="MS ??"/>
          <w:lang w:val="fr-FR"/>
        </w:rPr>
        <w:t>la responsabilité indirecte du magistrat.</w:t>
      </w:r>
    </w:p>
    <w:p w:rsidR="00CC6F71" w:rsidRPr="00F60A3D" w:rsidRDefault="00224935" w:rsidP="0005037B">
      <w:pPr>
        <w:pStyle w:val="SingleTxtG"/>
        <w:rPr>
          <w:u w:val="single"/>
          <w:lang w:val="fr-FR"/>
        </w:rPr>
      </w:pPr>
      <w:r w:rsidRPr="00F60A3D">
        <w:rPr>
          <w:lang w:val="fr-FR"/>
        </w:rPr>
        <w:t>112.</w:t>
      </w:r>
      <w:r w:rsidR="001D2CCC" w:rsidRPr="00F60A3D">
        <w:rPr>
          <w:lang w:val="fr-FR"/>
        </w:rPr>
        <w:tab/>
      </w:r>
      <w:r w:rsidR="007F2419" w:rsidRPr="00F60A3D">
        <w:rPr>
          <w:lang w:val="fr-FR"/>
        </w:rPr>
        <w:t>La jurid</w:t>
      </w:r>
      <w:r w:rsidR="00671CAA" w:rsidRPr="00F60A3D">
        <w:rPr>
          <w:lang w:val="fr-FR"/>
        </w:rPr>
        <w:t>i</w:t>
      </w:r>
      <w:r w:rsidR="007F2419" w:rsidRPr="00F60A3D">
        <w:rPr>
          <w:lang w:val="fr-FR"/>
        </w:rPr>
        <w:t>ction</w:t>
      </w:r>
      <w:r w:rsidR="0005499D" w:rsidRPr="00F60A3D">
        <w:rPr>
          <w:lang w:val="fr-FR"/>
        </w:rPr>
        <w:t xml:space="preserve"> constitutionn</w:t>
      </w:r>
      <w:r w:rsidR="00D06D52" w:rsidRPr="00F60A3D">
        <w:rPr>
          <w:lang w:val="fr-FR"/>
        </w:rPr>
        <w:t>elle est exercée par la</w:t>
      </w:r>
      <w:r w:rsidR="0005499D" w:rsidRPr="00F60A3D">
        <w:rPr>
          <w:lang w:val="fr-FR"/>
        </w:rPr>
        <w:t xml:space="preserve"> </w:t>
      </w:r>
      <w:r w:rsidR="00D06D52" w:rsidRPr="00F60A3D">
        <w:rPr>
          <w:lang w:val="fr-FR"/>
        </w:rPr>
        <w:t xml:space="preserve">Cour </w:t>
      </w:r>
      <w:r w:rsidR="0005499D" w:rsidRPr="00F60A3D">
        <w:rPr>
          <w:lang w:val="fr-FR"/>
        </w:rPr>
        <w:t>constitutionnel</w:t>
      </w:r>
      <w:r w:rsidR="00D06D52" w:rsidRPr="00F60A3D">
        <w:rPr>
          <w:lang w:val="fr-FR"/>
        </w:rPr>
        <w:t>le.</w:t>
      </w:r>
      <w:r w:rsidR="0005499D" w:rsidRPr="00F60A3D">
        <w:rPr>
          <w:lang w:val="fr-FR"/>
        </w:rPr>
        <w:t xml:space="preserve"> </w:t>
      </w:r>
    </w:p>
    <w:p w:rsidR="00CC6F71" w:rsidRPr="00F60A3D" w:rsidRDefault="00D06D52" w:rsidP="00A711BA">
      <w:pPr>
        <w:pStyle w:val="H23G"/>
        <w:rPr>
          <w:u w:val="single"/>
          <w:lang w:val="fr-FR"/>
        </w:rPr>
      </w:pPr>
      <w:r w:rsidRPr="00F60A3D">
        <w:rPr>
          <w:lang w:val="fr-FR"/>
        </w:rPr>
        <w:tab/>
      </w:r>
      <w:r w:rsidRPr="00F60A3D">
        <w:rPr>
          <w:lang w:val="fr-FR"/>
        </w:rPr>
        <w:tab/>
      </w:r>
      <w:r w:rsidR="00671CAA" w:rsidRPr="00F60A3D">
        <w:rPr>
          <w:lang w:val="fr-FR"/>
        </w:rPr>
        <w:t xml:space="preserve">La Cour </w:t>
      </w:r>
      <w:r w:rsidRPr="00F60A3D">
        <w:rPr>
          <w:lang w:val="fr-FR"/>
        </w:rPr>
        <w:t>constitutionnelle</w:t>
      </w:r>
      <w:r w:rsidR="00CC6F71" w:rsidRPr="00F60A3D">
        <w:rPr>
          <w:lang w:val="fr-FR"/>
        </w:rPr>
        <w:t xml:space="preserve"> </w:t>
      </w:r>
      <w:r w:rsidRPr="00F60A3D">
        <w:rPr>
          <w:lang w:val="fr-FR"/>
        </w:rPr>
        <w:t>(</w:t>
      </w:r>
      <w:r w:rsidR="00731982" w:rsidRPr="00F60A3D">
        <w:rPr>
          <w:lang w:val="fr-FR"/>
        </w:rPr>
        <w:t>art. </w:t>
      </w:r>
      <w:r w:rsidR="007A61E2" w:rsidRPr="00F60A3D">
        <w:rPr>
          <w:lang w:val="fr-FR"/>
        </w:rPr>
        <w:t xml:space="preserve">134 à </w:t>
      </w:r>
      <w:r w:rsidRPr="00F60A3D">
        <w:rPr>
          <w:lang w:val="fr-FR"/>
        </w:rPr>
        <w:t>137 de la</w:t>
      </w:r>
      <w:r w:rsidR="00CC6F71" w:rsidRPr="00F60A3D">
        <w:rPr>
          <w:lang w:val="fr-FR"/>
        </w:rPr>
        <w:t xml:space="preserve"> Constitution)</w:t>
      </w:r>
    </w:p>
    <w:p w:rsidR="00CC6F71" w:rsidRPr="00F60A3D" w:rsidRDefault="00BD282B" w:rsidP="008578E0">
      <w:pPr>
        <w:pStyle w:val="SingleTxtG"/>
        <w:rPr>
          <w:lang w:val="fr-FR"/>
        </w:rPr>
      </w:pPr>
      <w:r w:rsidRPr="00F60A3D">
        <w:rPr>
          <w:lang w:val="fr-FR"/>
        </w:rPr>
        <w:t>113</w:t>
      </w:r>
      <w:r w:rsidR="00D06D52" w:rsidRPr="00F60A3D">
        <w:rPr>
          <w:lang w:val="fr-FR"/>
        </w:rPr>
        <w:t>.</w:t>
      </w:r>
      <w:r w:rsidR="00D06D52" w:rsidRPr="00F60A3D">
        <w:rPr>
          <w:lang w:val="fr-FR"/>
        </w:rPr>
        <w:tab/>
        <w:t>La Cour c</w:t>
      </w:r>
      <w:r w:rsidR="00CC6F71" w:rsidRPr="00F60A3D">
        <w:rPr>
          <w:lang w:val="fr-FR"/>
        </w:rPr>
        <w:t>onstitution</w:t>
      </w:r>
      <w:r w:rsidR="00D06D52" w:rsidRPr="00F60A3D">
        <w:rPr>
          <w:lang w:val="fr-FR"/>
        </w:rPr>
        <w:t>ne</w:t>
      </w:r>
      <w:r w:rsidR="00FF6AD3" w:rsidRPr="00F60A3D">
        <w:rPr>
          <w:lang w:val="fr-FR"/>
        </w:rPr>
        <w:t xml:space="preserve">lle </w:t>
      </w:r>
      <w:r w:rsidR="007F2419" w:rsidRPr="00F60A3D">
        <w:rPr>
          <w:lang w:val="fr-FR"/>
        </w:rPr>
        <w:t>ne connaît que des atteintes à des dispositions</w:t>
      </w:r>
      <w:r w:rsidR="00731982" w:rsidRPr="00F60A3D">
        <w:rPr>
          <w:lang w:val="fr-FR"/>
        </w:rPr>
        <w:t xml:space="preserve"> </w:t>
      </w:r>
      <w:r w:rsidR="007F2419" w:rsidRPr="00F60A3D">
        <w:rPr>
          <w:lang w:val="fr-FR"/>
        </w:rPr>
        <w:t>constitutionnelles</w:t>
      </w:r>
      <w:r w:rsidR="007A61E2" w:rsidRPr="00F60A3D">
        <w:rPr>
          <w:lang w:val="fr-FR"/>
        </w:rPr>
        <w:t xml:space="preserve"> (</w:t>
      </w:r>
      <w:r w:rsidR="00731982" w:rsidRPr="00F60A3D">
        <w:rPr>
          <w:lang w:val="fr-FR"/>
        </w:rPr>
        <w:t>art. </w:t>
      </w:r>
      <w:r w:rsidR="00D06D52" w:rsidRPr="00F60A3D">
        <w:rPr>
          <w:lang w:val="fr-FR"/>
        </w:rPr>
        <w:t xml:space="preserve">127 et 134 à 137). </w:t>
      </w:r>
    </w:p>
    <w:p w:rsidR="00D06D52" w:rsidRPr="00F60A3D" w:rsidRDefault="00BD282B" w:rsidP="0022658C">
      <w:pPr>
        <w:pStyle w:val="SingleTxtG"/>
        <w:rPr>
          <w:lang w:val="fr-FR"/>
        </w:rPr>
      </w:pPr>
      <w:r w:rsidRPr="00F60A3D">
        <w:rPr>
          <w:lang w:val="fr-FR"/>
        </w:rPr>
        <w:t>114</w:t>
      </w:r>
      <w:r w:rsidR="00BF48B0" w:rsidRPr="00F60A3D">
        <w:rPr>
          <w:lang w:val="fr-FR"/>
        </w:rPr>
        <w:t>.</w:t>
      </w:r>
      <w:r w:rsidR="00BF48B0" w:rsidRPr="00F60A3D">
        <w:rPr>
          <w:lang w:val="fr-FR"/>
        </w:rPr>
        <w:tab/>
        <w:t>Elle</w:t>
      </w:r>
      <w:r w:rsidR="00D06D52" w:rsidRPr="00F60A3D">
        <w:rPr>
          <w:lang w:val="fr-FR"/>
        </w:rPr>
        <w:t xml:space="preserve"> est composée de </w:t>
      </w:r>
      <w:r w:rsidR="0022658C" w:rsidRPr="00F60A3D">
        <w:rPr>
          <w:lang w:val="fr-FR"/>
        </w:rPr>
        <w:t>15</w:t>
      </w:r>
      <w:r w:rsidR="00D06D52" w:rsidRPr="00F60A3D">
        <w:rPr>
          <w:lang w:val="fr-FR"/>
        </w:rPr>
        <w:t xml:space="preserve"> juges nommés pour un tiers par le Président de la République, pour un tiers par le Parlement réuni en congrès</w:t>
      </w:r>
      <w:r w:rsidR="004C2222" w:rsidRPr="00F60A3D">
        <w:rPr>
          <w:lang w:val="fr-FR"/>
        </w:rPr>
        <w:t>,</w:t>
      </w:r>
      <w:r w:rsidR="00D06D52" w:rsidRPr="00F60A3D">
        <w:rPr>
          <w:lang w:val="fr-FR"/>
        </w:rPr>
        <w:t xml:space="preserve"> et pour un tiers par les magistratures suprêmes ordinaires et administratives. </w:t>
      </w:r>
    </w:p>
    <w:p w:rsidR="00CC6F71" w:rsidRPr="00F60A3D" w:rsidRDefault="00224935" w:rsidP="0022658C">
      <w:pPr>
        <w:pStyle w:val="SingleTxtG"/>
        <w:rPr>
          <w:lang w:val="fr-FR"/>
        </w:rPr>
      </w:pPr>
      <w:r w:rsidRPr="00F60A3D">
        <w:rPr>
          <w:lang w:val="fr-FR"/>
        </w:rPr>
        <w:t>115.</w:t>
      </w:r>
      <w:r w:rsidR="001D2CCC" w:rsidRPr="00F60A3D">
        <w:rPr>
          <w:lang w:val="fr-FR"/>
        </w:rPr>
        <w:tab/>
      </w:r>
      <w:r w:rsidR="0060410A" w:rsidRPr="00F60A3D">
        <w:rPr>
          <w:lang w:val="fr-FR"/>
        </w:rPr>
        <w:t>L</w:t>
      </w:r>
      <w:r w:rsidR="008D50DB" w:rsidRPr="00F60A3D">
        <w:rPr>
          <w:lang w:val="fr-FR"/>
        </w:rPr>
        <w:t xml:space="preserve">a Cour constitutionnelle </w:t>
      </w:r>
      <w:r w:rsidR="0060410A" w:rsidRPr="00F60A3D">
        <w:rPr>
          <w:lang w:val="fr-FR"/>
        </w:rPr>
        <w:t xml:space="preserve">remplit </w:t>
      </w:r>
      <w:r w:rsidR="00A007B4" w:rsidRPr="00F60A3D">
        <w:rPr>
          <w:lang w:val="fr-FR"/>
        </w:rPr>
        <w:t xml:space="preserve">de diverses manières </w:t>
      </w:r>
      <w:r w:rsidR="0060410A" w:rsidRPr="00F60A3D">
        <w:rPr>
          <w:lang w:val="fr-FR"/>
        </w:rPr>
        <w:t>sa mission de gardienne suprême de l</w:t>
      </w:r>
      <w:r w:rsidR="00A007B4" w:rsidRPr="00F60A3D">
        <w:rPr>
          <w:lang w:val="fr-FR"/>
        </w:rPr>
        <w:t>a Constitution</w:t>
      </w:r>
      <w:r w:rsidR="0060410A" w:rsidRPr="00F60A3D">
        <w:rPr>
          <w:lang w:val="fr-FR"/>
        </w:rPr>
        <w:t>.</w:t>
      </w:r>
      <w:r w:rsidR="008D50DB" w:rsidRPr="00F60A3D">
        <w:rPr>
          <w:lang w:val="fr-FR"/>
        </w:rPr>
        <w:t xml:space="preserve"> Elle</w:t>
      </w:r>
      <w:r w:rsidR="0060410A" w:rsidRPr="00F60A3D">
        <w:rPr>
          <w:lang w:val="fr-FR"/>
        </w:rPr>
        <w:t xml:space="preserve"> siège en fonction des missi</w:t>
      </w:r>
      <w:r w:rsidR="009C0EDE" w:rsidRPr="00F60A3D">
        <w:rPr>
          <w:lang w:val="fr-FR"/>
        </w:rPr>
        <w:t>ons qu</w:t>
      </w:r>
      <w:r w:rsidR="00B17AE1" w:rsidRPr="00F60A3D">
        <w:rPr>
          <w:lang w:val="fr-FR"/>
        </w:rPr>
        <w:t>’</w:t>
      </w:r>
      <w:r w:rsidR="009C0EDE" w:rsidRPr="00F60A3D">
        <w:rPr>
          <w:lang w:val="fr-FR"/>
        </w:rPr>
        <w:t>elle est appelée à rempli</w:t>
      </w:r>
      <w:r w:rsidR="0060410A" w:rsidRPr="00F60A3D">
        <w:rPr>
          <w:lang w:val="fr-FR"/>
        </w:rPr>
        <w:t>r. Ainsi, elle supervise les étap</w:t>
      </w:r>
      <w:r w:rsidR="008D50DB" w:rsidRPr="00F60A3D">
        <w:rPr>
          <w:lang w:val="fr-FR"/>
        </w:rPr>
        <w:t xml:space="preserve">es préliminaires des référendums et est habilitée à </w:t>
      </w:r>
      <w:r w:rsidR="0060410A" w:rsidRPr="00F60A3D">
        <w:rPr>
          <w:lang w:val="fr-FR"/>
        </w:rPr>
        <w:t>se prononcer sur les accusations portées contre le</w:t>
      </w:r>
      <w:r w:rsidR="00731982" w:rsidRPr="00F60A3D">
        <w:rPr>
          <w:lang w:val="fr-FR"/>
        </w:rPr>
        <w:t xml:space="preserve"> </w:t>
      </w:r>
      <w:r w:rsidR="008D50DB" w:rsidRPr="00F60A3D">
        <w:rPr>
          <w:lang w:val="fr-FR"/>
        </w:rPr>
        <w:t>Président</w:t>
      </w:r>
      <w:r w:rsidR="00C73A91" w:rsidRPr="00F60A3D">
        <w:rPr>
          <w:lang w:val="fr-FR"/>
        </w:rPr>
        <w:t xml:space="preserve"> de la République.</w:t>
      </w:r>
    </w:p>
    <w:p w:rsidR="00346F12" w:rsidRPr="00F60A3D" w:rsidRDefault="00BD282B" w:rsidP="008578E0">
      <w:pPr>
        <w:pStyle w:val="SingleTxtG"/>
        <w:rPr>
          <w:lang w:val="fr-FR"/>
        </w:rPr>
      </w:pPr>
      <w:r w:rsidRPr="00F60A3D">
        <w:rPr>
          <w:lang w:val="fr-FR"/>
        </w:rPr>
        <w:t>116</w:t>
      </w:r>
      <w:r w:rsidR="00346F12" w:rsidRPr="00F60A3D">
        <w:rPr>
          <w:lang w:val="fr-FR"/>
        </w:rPr>
        <w:t>.</w:t>
      </w:r>
      <w:r w:rsidR="00346F12" w:rsidRPr="00F60A3D">
        <w:rPr>
          <w:lang w:val="fr-FR"/>
        </w:rPr>
        <w:tab/>
        <w:t>Quand les autorité</w:t>
      </w:r>
      <w:r w:rsidR="0060410A" w:rsidRPr="00F60A3D">
        <w:rPr>
          <w:lang w:val="fr-FR"/>
        </w:rPr>
        <w:t>s centrales et local</w:t>
      </w:r>
      <w:r w:rsidR="009B37C2" w:rsidRPr="00F60A3D">
        <w:rPr>
          <w:lang w:val="fr-FR"/>
        </w:rPr>
        <w:t>es estiment qu</w:t>
      </w:r>
      <w:r w:rsidR="00B17AE1" w:rsidRPr="00F60A3D">
        <w:rPr>
          <w:lang w:val="fr-FR"/>
        </w:rPr>
        <w:t>’</w:t>
      </w:r>
      <w:r w:rsidR="00FC759D" w:rsidRPr="00F60A3D">
        <w:rPr>
          <w:lang w:val="fr-FR"/>
        </w:rPr>
        <w:t>u</w:t>
      </w:r>
      <w:r w:rsidR="009B37C2" w:rsidRPr="00F60A3D">
        <w:rPr>
          <w:lang w:val="fr-FR"/>
        </w:rPr>
        <w:t xml:space="preserve">ne loi </w:t>
      </w:r>
      <w:r w:rsidR="006857AD" w:rsidRPr="00F60A3D">
        <w:rPr>
          <w:lang w:val="fr-FR"/>
        </w:rPr>
        <w:t>de l</w:t>
      </w:r>
      <w:r w:rsidR="00B17AE1" w:rsidRPr="00F60A3D">
        <w:rPr>
          <w:lang w:val="fr-FR"/>
        </w:rPr>
        <w:t>’</w:t>
      </w:r>
      <w:r w:rsidR="006857AD" w:rsidRPr="00F60A3D">
        <w:rPr>
          <w:lang w:val="fr-FR"/>
        </w:rPr>
        <w:t>État ou d</w:t>
      </w:r>
      <w:r w:rsidR="00B17AE1" w:rsidRPr="00F60A3D">
        <w:rPr>
          <w:lang w:val="fr-FR"/>
        </w:rPr>
        <w:t>’</w:t>
      </w:r>
      <w:r w:rsidR="006857AD" w:rsidRPr="00F60A3D">
        <w:rPr>
          <w:lang w:val="fr-FR"/>
        </w:rPr>
        <w:t>une région est inconstitutionnelle</w:t>
      </w:r>
      <w:r w:rsidR="00BB7D78" w:rsidRPr="00F60A3D">
        <w:rPr>
          <w:lang w:val="fr-FR"/>
        </w:rPr>
        <w:t>, elles peuvent porter plainte</w:t>
      </w:r>
      <w:r w:rsidR="00346F12" w:rsidRPr="00F60A3D">
        <w:rPr>
          <w:lang w:val="fr-FR"/>
        </w:rPr>
        <w:t xml:space="preserve"> auprès de la Cour constitutionnell</w:t>
      </w:r>
      <w:r w:rsidR="00FC759D" w:rsidRPr="00F60A3D">
        <w:rPr>
          <w:lang w:val="fr-FR"/>
        </w:rPr>
        <w:t>e. La C</w:t>
      </w:r>
      <w:r w:rsidR="006857AD" w:rsidRPr="00F60A3D">
        <w:rPr>
          <w:lang w:val="fr-FR"/>
        </w:rPr>
        <w:t>our s</w:t>
      </w:r>
      <w:r w:rsidR="00B17AE1" w:rsidRPr="00F60A3D">
        <w:rPr>
          <w:lang w:val="fr-FR"/>
        </w:rPr>
        <w:t>’</w:t>
      </w:r>
      <w:r w:rsidR="006857AD" w:rsidRPr="00F60A3D">
        <w:rPr>
          <w:lang w:val="fr-FR"/>
        </w:rPr>
        <w:t>assure</w:t>
      </w:r>
      <w:r w:rsidR="009B37C2" w:rsidRPr="00F60A3D">
        <w:rPr>
          <w:lang w:val="fr-FR"/>
        </w:rPr>
        <w:t xml:space="preserve"> </w:t>
      </w:r>
      <w:r w:rsidR="006857AD" w:rsidRPr="00F60A3D">
        <w:rPr>
          <w:lang w:val="fr-FR"/>
        </w:rPr>
        <w:t xml:space="preserve">ainsi que les autorités </w:t>
      </w:r>
      <w:r w:rsidR="00530CC5" w:rsidRPr="00F60A3D">
        <w:rPr>
          <w:lang w:val="fr-FR"/>
        </w:rPr>
        <w:t>agissen</w:t>
      </w:r>
      <w:r w:rsidR="006857AD" w:rsidRPr="00F60A3D">
        <w:rPr>
          <w:lang w:val="fr-FR"/>
        </w:rPr>
        <w:t>t bien dans le respect de</w:t>
      </w:r>
      <w:r w:rsidR="00BB7D78" w:rsidRPr="00F60A3D">
        <w:rPr>
          <w:lang w:val="fr-FR"/>
        </w:rPr>
        <w:t xml:space="preserve"> la </w:t>
      </w:r>
      <w:r w:rsidR="00530CC5" w:rsidRPr="00F60A3D">
        <w:rPr>
          <w:lang w:val="fr-FR"/>
        </w:rPr>
        <w:t>Constitution</w:t>
      </w:r>
      <w:r w:rsidR="00346F12" w:rsidRPr="00F60A3D">
        <w:rPr>
          <w:lang w:val="fr-FR"/>
        </w:rPr>
        <w:t xml:space="preserve">. Elle arbitre </w:t>
      </w:r>
      <w:r w:rsidR="006857AD" w:rsidRPr="00F60A3D">
        <w:rPr>
          <w:lang w:val="fr-FR"/>
        </w:rPr>
        <w:t>également</w:t>
      </w:r>
      <w:r w:rsidR="00530CC5" w:rsidRPr="00F60A3D">
        <w:rPr>
          <w:lang w:val="fr-FR"/>
        </w:rPr>
        <w:t xml:space="preserve"> les conflits entre les pouvoirs</w:t>
      </w:r>
      <w:r w:rsidR="00346F12" w:rsidRPr="00F60A3D">
        <w:rPr>
          <w:lang w:val="fr-FR"/>
        </w:rPr>
        <w:t xml:space="preserve"> de l</w:t>
      </w:r>
      <w:r w:rsidR="00B17AE1" w:rsidRPr="00F60A3D">
        <w:rPr>
          <w:lang w:val="fr-FR"/>
        </w:rPr>
        <w:t>’</w:t>
      </w:r>
      <w:r w:rsidR="00346F12" w:rsidRPr="00F60A3D">
        <w:rPr>
          <w:lang w:val="fr-FR"/>
        </w:rPr>
        <w:t xml:space="preserve">État et </w:t>
      </w:r>
      <w:r w:rsidR="00A859F7" w:rsidRPr="00F60A3D">
        <w:rPr>
          <w:lang w:val="fr-FR"/>
        </w:rPr>
        <w:t>statue lors d</w:t>
      </w:r>
      <w:r w:rsidR="00530CC5" w:rsidRPr="00F60A3D">
        <w:rPr>
          <w:lang w:val="fr-FR"/>
        </w:rPr>
        <w:t>es procédures entre</w:t>
      </w:r>
      <w:r w:rsidR="00346F12" w:rsidRPr="00F60A3D">
        <w:rPr>
          <w:lang w:val="fr-FR"/>
        </w:rPr>
        <w:t xml:space="preserve"> autorités centrales et locales. </w:t>
      </w:r>
    </w:p>
    <w:p w:rsidR="00346F12" w:rsidRPr="00F60A3D" w:rsidRDefault="00224935" w:rsidP="0022658C">
      <w:pPr>
        <w:pStyle w:val="SingleTxtG"/>
        <w:rPr>
          <w:lang w:val="fr-FR"/>
        </w:rPr>
      </w:pPr>
      <w:r w:rsidRPr="00F60A3D">
        <w:rPr>
          <w:lang w:val="fr-FR"/>
        </w:rPr>
        <w:lastRenderedPageBreak/>
        <w:t>117.</w:t>
      </w:r>
      <w:r w:rsidR="001D2CCC" w:rsidRPr="00F60A3D">
        <w:rPr>
          <w:lang w:val="fr-FR"/>
        </w:rPr>
        <w:tab/>
      </w:r>
      <w:r w:rsidR="00B5373A" w:rsidRPr="00F60A3D">
        <w:rPr>
          <w:lang w:val="fr-FR"/>
        </w:rPr>
        <w:t>Les tribunaux doivent examiner d</w:t>
      </w:r>
      <w:r w:rsidR="00B17AE1" w:rsidRPr="00F60A3D">
        <w:rPr>
          <w:lang w:val="fr-FR"/>
        </w:rPr>
        <w:t>’</w:t>
      </w:r>
      <w:r w:rsidR="00B5373A" w:rsidRPr="00F60A3D">
        <w:rPr>
          <w:lang w:val="fr-FR"/>
        </w:rPr>
        <w:t>office (</w:t>
      </w:r>
      <w:r w:rsidR="00346F12" w:rsidRPr="00F60A3D">
        <w:rPr>
          <w:lang w:val="fr-FR"/>
        </w:rPr>
        <w:t>le ministère public)</w:t>
      </w:r>
      <w:r w:rsidR="00B5373A" w:rsidRPr="00F60A3D">
        <w:rPr>
          <w:lang w:val="fr-FR"/>
        </w:rPr>
        <w:t>,</w:t>
      </w:r>
      <w:r w:rsidR="00346F12" w:rsidRPr="00F60A3D">
        <w:rPr>
          <w:lang w:val="fr-FR"/>
        </w:rPr>
        <w:t xml:space="preserve"> </w:t>
      </w:r>
      <w:r w:rsidR="00F563BC" w:rsidRPr="00F60A3D">
        <w:rPr>
          <w:lang w:val="fr-FR"/>
        </w:rPr>
        <w:t>ou à l</w:t>
      </w:r>
      <w:r w:rsidR="00BB7D78" w:rsidRPr="00F60A3D">
        <w:rPr>
          <w:lang w:val="fr-FR"/>
        </w:rPr>
        <w:t>a demande du requérant/défendeur</w:t>
      </w:r>
      <w:r w:rsidR="00B5373A" w:rsidRPr="00F60A3D">
        <w:rPr>
          <w:lang w:val="fr-FR"/>
        </w:rPr>
        <w:t>,</w:t>
      </w:r>
      <w:r w:rsidR="00F563BC" w:rsidRPr="00F60A3D">
        <w:rPr>
          <w:lang w:val="fr-FR"/>
        </w:rPr>
        <w:t xml:space="preserve"> si les dispos</w:t>
      </w:r>
      <w:r w:rsidR="00530CC5" w:rsidRPr="00F60A3D">
        <w:rPr>
          <w:lang w:val="fr-FR"/>
        </w:rPr>
        <w:t xml:space="preserve">itions applicables </w:t>
      </w:r>
      <w:r w:rsidR="00B6356B" w:rsidRPr="00F60A3D">
        <w:rPr>
          <w:lang w:val="fr-FR"/>
        </w:rPr>
        <w:t>sont conformes</w:t>
      </w:r>
      <w:r w:rsidR="00F563BC" w:rsidRPr="00F60A3D">
        <w:rPr>
          <w:lang w:val="fr-FR"/>
        </w:rPr>
        <w:t xml:space="preserve"> à la Loi fondamentale. </w:t>
      </w:r>
    </w:p>
    <w:p w:rsidR="00B17AE1" w:rsidRPr="00F60A3D" w:rsidRDefault="00224935" w:rsidP="0022658C">
      <w:pPr>
        <w:pStyle w:val="SingleTxtG"/>
        <w:rPr>
          <w:lang w:val="fr-FR"/>
        </w:rPr>
      </w:pPr>
      <w:r w:rsidRPr="00F60A3D">
        <w:rPr>
          <w:lang w:val="fr-FR"/>
        </w:rPr>
        <w:t>118.</w:t>
      </w:r>
      <w:r w:rsidR="001D2CCC" w:rsidRPr="00F60A3D">
        <w:rPr>
          <w:lang w:val="fr-FR"/>
        </w:rPr>
        <w:tab/>
      </w:r>
      <w:r w:rsidR="00F563BC" w:rsidRPr="00F60A3D">
        <w:rPr>
          <w:lang w:val="fr-FR"/>
        </w:rPr>
        <w:t xml:space="preserve">Quand un tribunal juge inconstitutionnelle une loi dont dépend la validité de son jugement, </w:t>
      </w:r>
      <w:r w:rsidR="001B38ED" w:rsidRPr="00F60A3D">
        <w:rPr>
          <w:lang w:val="fr-FR"/>
        </w:rPr>
        <w:t>conformément à l</w:t>
      </w:r>
      <w:r w:rsidR="00B17AE1" w:rsidRPr="00F60A3D">
        <w:rPr>
          <w:lang w:val="fr-FR"/>
        </w:rPr>
        <w:t>’</w:t>
      </w:r>
      <w:r w:rsidR="00D26282" w:rsidRPr="00F60A3D">
        <w:rPr>
          <w:lang w:val="fr-FR"/>
        </w:rPr>
        <w:t>article </w:t>
      </w:r>
      <w:r w:rsidR="001B38ED" w:rsidRPr="00F60A3D">
        <w:rPr>
          <w:lang w:val="fr-FR"/>
        </w:rPr>
        <w:t>134</w:t>
      </w:r>
      <w:r w:rsidR="00DF67DD" w:rsidRPr="00F60A3D">
        <w:rPr>
          <w:lang w:val="fr-FR"/>
        </w:rPr>
        <w:t>,</w:t>
      </w:r>
      <w:r w:rsidR="0012564B" w:rsidRPr="00F60A3D">
        <w:rPr>
          <w:lang w:val="fr-FR"/>
        </w:rPr>
        <w:t xml:space="preserve"> il suspend la procédure</w:t>
      </w:r>
      <w:r w:rsidR="006476F9" w:rsidRPr="00F60A3D">
        <w:rPr>
          <w:lang w:val="fr-FR"/>
        </w:rPr>
        <w:t>/sursoit à statuer et obtient une décision de la Cour constitutionnelle.</w:t>
      </w:r>
      <w:r w:rsidR="00731982" w:rsidRPr="00F60A3D">
        <w:rPr>
          <w:lang w:val="fr-FR"/>
        </w:rPr>
        <w:t xml:space="preserve"> </w:t>
      </w:r>
    </w:p>
    <w:p w:rsidR="00B17AE1" w:rsidRPr="00F60A3D" w:rsidRDefault="00BD282B" w:rsidP="0022658C">
      <w:pPr>
        <w:pStyle w:val="SingleTxtG"/>
        <w:rPr>
          <w:lang w:val="fr-FR"/>
        </w:rPr>
      </w:pPr>
      <w:r w:rsidRPr="00F60A3D">
        <w:rPr>
          <w:lang w:val="fr-FR"/>
        </w:rPr>
        <w:t>119</w:t>
      </w:r>
      <w:r w:rsidR="0012564B" w:rsidRPr="00F60A3D">
        <w:rPr>
          <w:lang w:val="fr-FR"/>
        </w:rPr>
        <w:t>.</w:t>
      </w:r>
      <w:r w:rsidR="0012564B" w:rsidRPr="00F60A3D">
        <w:rPr>
          <w:lang w:val="fr-FR"/>
        </w:rPr>
        <w:tab/>
        <w:t>La Cour constitutionnelle juge</w:t>
      </w:r>
      <w:r w:rsidR="006476F9" w:rsidRPr="00F60A3D">
        <w:rPr>
          <w:lang w:val="fr-FR"/>
        </w:rPr>
        <w:t xml:space="preserve"> (et ses décisions </w:t>
      </w:r>
      <w:r w:rsidR="0012564B" w:rsidRPr="00F60A3D">
        <w:rPr>
          <w:lang w:val="fr-FR"/>
        </w:rPr>
        <w:t xml:space="preserve">ne </w:t>
      </w:r>
      <w:r w:rsidR="00B347E3" w:rsidRPr="00F60A3D">
        <w:rPr>
          <w:lang w:val="fr-FR"/>
        </w:rPr>
        <w:t>sont pas susceptibles d</w:t>
      </w:r>
      <w:r w:rsidR="00B17AE1" w:rsidRPr="00F60A3D">
        <w:rPr>
          <w:lang w:val="fr-FR"/>
        </w:rPr>
        <w:t>’</w:t>
      </w:r>
      <w:r w:rsidR="00B347E3" w:rsidRPr="00F60A3D">
        <w:rPr>
          <w:lang w:val="fr-FR"/>
        </w:rPr>
        <w:t>appel</w:t>
      </w:r>
      <w:r w:rsidR="007A61E2" w:rsidRPr="00F60A3D">
        <w:rPr>
          <w:lang w:val="fr-FR"/>
        </w:rPr>
        <w:t xml:space="preserve">): </w:t>
      </w:r>
      <w:r w:rsidR="002C29E1" w:rsidRPr="00F60A3D">
        <w:rPr>
          <w:lang w:val="fr-FR"/>
        </w:rPr>
        <w:t>i)</w:t>
      </w:r>
      <w:r w:rsidR="0022658C" w:rsidRPr="00F60A3D">
        <w:rPr>
          <w:lang w:val="fr-FR"/>
        </w:rPr>
        <w:t> </w:t>
      </w:r>
      <w:r w:rsidR="002C29E1" w:rsidRPr="00F60A3D">
        <w:rPr>
          <w:lang w:val="fr-FR"/>
        </w:rPr>
        <w:t>les litige</w:t>
      </w:r>
      <w:r w:rsidR="006476F9" w:rsidRPr="00F60A3D">
        <w:rPr>
          <w:lang w:val="fr-FR"/>
        </w:rPr>
        <w:t xml:space="preserve">s relatifs à la constitutionnalité des lois et </w:t>
      </w:r>
      <w:r w:rsidR="00B85638" w:rsidRPr="00F60A3D">
        <w:rPr>
          <w:lang w:val="fr-FR"/>
        </w:rPr>
        <w:t>des actes ayant force de loi adoptés par l</w:t>
      </w:r>
      <w:r w:rsidR="00B17AE1" w:rsidRPr="00F60A3D">
        <w:rPr>
          <w:lang w:val="fr-FR"/>
        </w:rPr>
        <w:t>’</w:t>
      </w:r>
      <w:r w:rsidR="00B85638" w:rsidRPr="00F60A3D">
        <w:rPr>
          <w:lang w:val="fr-FR"/>
        </w:rPr>
        <w:t>État ou l</w:t>
      </w:r>
      <w:r w:rsidR="007A61E2" w:rsidRPr="00F60A3D">
        <w:rPr>
          <w:lang w:val="fr-FR"/>
        </w:rPr>
        <w:t xml:space="preserve">es régions: </w:t>
      </w:r>
      <w:r w:rsidR="006476F9" w:rsidRPr="00F60A3D">
        <w:rPr>
          <w:lang w:val="fr-FR"/>
        </w:rPr>
        <w:t>ii)</w:t>
      </w:r>
      <w:r w:rsidR="0022658C" w:rsidRPr="00F60A3D">
        <w:rPr>
          <w:lang w:val="fr-FR"/>
        </w:rPr>
        <w:t> </w:t>
      </w:r>
      <w:r w:rsidR="006476F9" w:rsidRPr="00F60A3D">
        <w:rPr>
          <w:lang w:val="fr-FR"/>
        </w:rPr>
        <w:t>les conflits d</w:t>
      </w:r>
      <w:r w:rsidR="00B17AE1" w:rsidRPr="00F60A3D">
        <w:rPr>
          <w:lang w:val="fr-FR"/>
        </w:rPr>
        <w:t>’</w:t>
      </w:r>
      <w:r w:rsidR="006476F9" w:rsidRPr="00F60A3D">
        <w:rPr>
          <w:lang w:val="fr-FR"/>
        </w:rPr>
        <w:t>attribution entre les pouvoirs de l</w:t>
      </w:r>
      <w:r w:rsidR="00B17AE1" w:rsidRPr="00F60A3D">
        <w:rPr>
          <w:lang w:val="fr-FR"/>
        </w:rPr>
        <w:t>’</w:t>
      </w:r>
      <w:r w:rsidR="006476F9" w:rsidRPr="00F60A3D">
        <w:rPr>
          <w:lang w:val="fr-FR"/>
        </w:rPr>
        <w:t>État, ceux entre l</w:t>
      </w:r>
      <w:r w:rsidR="00B17AE1" w:rsidRPr="00F60A3D">
        <w:rPr>
          <w:lang w:val="fr-FR"/>
        </w:rPr>
        <w:t>’</w:t>
      </w:r>
      <w:r w:rsidR="006476F9" w:rsidRPr="00F60A3D">
        <w:rPr>
          <w:lang w:val="fr-FR"/>
        </w:rPr>
        <w:t xml:space="preserve">État et les </w:t>
      </w:r>
      <w:r w:rsidR="007A61E2" w:rsidRPr="00F60A3D">
        <w:rPr>
          <w:lang w:val="fr-FR"/>
        </w:rPr>
        <w:t xml:space="preserve">régions, et entre les régions; </w:t>
      </w:r>
      <w:r w:rsidR="006476F9" w:rsidRPr="00F60A3D">
        <w:rPr>
          <w:lang w:val="fr-FR"/>
        </w:rPr>
        <w:t>iii)</w:t>
      </w:r>
      <w:r w:rsidR="0022658C" w:rsidRPr="00F60A3D">
        <w:rPr>
          <w:lang w:val="fr-FR"/>
        </w:rPr>
        <w:t> </w:t>
      </w:r>
      <w:r w:rsidR="006476F9" w:rsidRPr="00F60A3D">
        <w:rPr>
          <w:lang w:val="fr-FR"/>
        </w:rPr>
        <w:t>les</w:t>
      </w:r>
      <w:r w:rsidR="002C29E1" w:rsidRPr="00F60A3D">
        <w:rPr>
          <w:lang w:val="fr-FR"/>
        </w:rPr>
        <w:t xml:space="preserve"> accusations portées contre le P</w:t>
      </w:r>
      <w:r w:rsidR="006476F9" w:rsidRPr="00F60A3D">
        <w:rPr>
          <w:lang w:val="fr-FR"/>
        </w:rPr>
        <w:t xml:space="preserve">résident de la République, conformément à la Constitution. </w:t>
      </w:r>
    </w:p>
    <w:p w:rsidR="0011303D" w:rsidRPr="00F60A3D" w:rsidRDefault="00224935" w:rsidP="0022658C">
      <w:pPr>
        <w:pStyle w:val="SingleTxtG"/>
        <w:rPr>
          <w:lang w:val="fr-FR"/>
        </w:rPr>
      </w:pPr>
      <w:r w:rsidRPr="00F60A3D">
        <w:rPr>
          <w:lang w:val="fr-FR"/>
        </w:rPr>
        <w:t>120.</w:t>
      </w:r>
      <w:r w:rsidR="001D2CCC" w:rsidRPr="00F60A3D">
        <w:rPr>
          <w:lang w:val="fr-FR"/>
        </w:rPr>
        <w:tab/>
      </w:r>
      <w:r w:rsidR="002C29E1" w:rsidRPr="00F60A3D">
        <w:rPr>
          <w:lang w:val="fr-FR"/>
        </w:rPr>
        <w:t>La Cour se prononce sur</w:t>
      </w:r>
      <w:r w:rsidR="0011303D" w:rsidRPr="00F60A3D">
        <w:rPr>
          <w:lang w:val="fr-FR"/>
        </w:rPr>
        <w:t xml:space="preserve"> l</w:t>
      </w:r>
      <w:r w:rsidR="002C29E1" w:rsidRPr="00F60A3D">
        <w:rPr>
          <w:lang w:val="fr-FR"/>
        </w:rPr>
        <w:t>a validité de la législation, sur</w:t>
      </w:r>
      <w:r w:rsidR="0011303D" w:rsidRPr="00F60A3D">
        <w:rPr>
          <w:lang w:val="fr-FR"/>
        </w:rPr>
        <w:t xml:space="preserve"> son interprétation et </w:t>
      </w:r>
      <w:r w:rsidR="002C29E1" w:rsidRPr="00F60A3D">
        <w:rPr>
          <w:lang w:val="fr-FR"/>
        </w:rPr>
        <w:t xml:space="preserve">sur le point de savoir si son application, </w:t>
      </w:r>
      <w:r w:rsidR="0011303D" w:rsidRPr="00F60A3D">
        <w:rPr>
          <w:lang w:val="fr-FR"/>
        </w:rPr>
        <w:t xml:space="preserve">dans la forme et </w:t>
      </w:r>
      <w:r w:rsidR="002C29E1" w:rsidRPr="00F60A3D">
        <w:rPr>
          <w:lang w:val="fr-FR"/>
        </w:rPr>
        <w:t xml:space="preserve">dans </w:t>
      </w:r>
      <w:r w:rsidR="0011303D" w:rsidRPr="00F60A3D">
        <w:rPr>
          <w:lang w:val="fr-FR"/>
        </w:rPr>
        <w:t xml:space="preserve">le fond, </w:t>
      </w:r>
      <w:r w:rsidR="002C29E1" w:rsidRPr="00F60A3D">
        <w:rPr>
          <w:lang w:val="fr-FR"/>
        </w:rPr>
        <w:t>est conforme à la Loi fondamentale.</w:t>
      </w:r>
      <w:r w:rsidR="0011303D" w:rsidRPr="00F60A3D">
        <w:rPr>
          <w:lang w:val="fr-FR"/>
        </w:rPr>
        <w:t xml:space="preserve"> A</w:t>
      </w:r>
      <w:r w:rsidR="00D2007E" w:rsidRPr="00F60A3D">
        <w:rPr>
          <w:lang w:val="fr-FR"/>
        </w:rPr>
        <w:t xml:space="preserve">insi, lorsque la Cour déclare </w:t>
      </w:r>
      <w:r w:rsidR="00B85638" w:rsidRPr="00F60A3D">
        <w:rPr>
          <w:lang w:val="fr-FR"/>
        </w:rPr>
        <w:t>l</w:t>
      </w:r>
      <w:r w:rsidR="00B17AE1" w:rsidRPr="00F60A3D">
        <w:rPr>
          <w:lang w:val="fr-FR"/>
        </w:rPr>
        <w:t>’</w:t>
      </w:r>
      <w:r w:rsidR="0011303D" w:rsidRPr="00F60A3D">
        <w:rPr>
          <w:lang w:val="fr-FR"/>
        </w:rPr>
        <w:t>inconstitut</w:t>
      </w:r>
      <w:r w:rsidR="002C29E1" w:rsidRPr="00F60A3D">
        <w:rPr>
          <w:lang w:val="fr-FR"/>
        </w:rPr>
        <w:t>ionnalité d</w:t>
      </w:r>
      <w:r w:rsidR="00B17AE1" w:rsidRPr="00F60A3D">
        <w:rPr>
          <w:lang w:val="fr-FR"/>
        </w:rPr>
        <w:t>’</w:t>
      </w:r>
      <w:r w:rsidR="002C29E1" w:rsidRPr="00F60A3D">
        <w:rPr>
          <w:lang w:val="fr-FR"/>
        </w:rPr>
        <w:t>une loi</w:t>
      </w:r>
      <w:r w:rsidR="0011303D" w:rsidRPr="00F60A3D">
        <w:rPr>
          <w:lang w:val="fr-FR"/>
        </w:rPr>
        <w:t xml:space="preserve"> ou d</w:t>
      </w:r>
      <w:r w:rsidR="00B17AE1" w:rsidRPr="00F60A3D">
        <w:rPr>
          <w:lang w:val="fr-FR"/>
        </w:rPr>
        <w:t>’</w:t>
      </w:r>
      <w:r w:rsidR="0011303D" w:rsidRPr="00F60A3D">
        <w:rPr>
          <w:lang w:val="fr-FR"/>
        </w:rPr>
        <w:t>un acte ayant force de loi, la norme cesse de pr</w:t>
      </w:r>
      <w:r w:rsidR="00B85638" w:rsidRPr="00F60A3D">
        <w:rPr>
          <w:lang w:val="fr-FR"/>
        </w:rPr>
        <w:t>oduire effet dès le jour suivant</w:t>
      </w:r>
      <w:r w:rsidR="0011303D" w:rsidRPr="00F60A3D">
        <w:rPr>
          <w:lang w:val="fr-FR"/>
        </w:rPr>
        <w:t xml:space="preserve"> la publication de la décision. </w:t>
      </w:r>
    </w:p>
    <w:p w:rsidR="00CC6F71" w:rsidRPr="00F60A3D" w:rsidRDefault="0011303D" w:rsidP="00A711BA">
      <w:pPr>
        <w:pStyle w:val="H23G"/>
        <w:rPr>
          <w:lang w:val="fr-FR"/>
        </w:rPr>
      </w:pPr>
      <w:r w:rsidRPr="00F60A3D">
        <w:rPr>
          <w:lang w:val="fr-FR"/>
        </w:rPr>
        <w:tab/>
      </w:r>
      <w:r w:rsidRPr="00F60A3D">
        <w:rPr>
          <w:lang w:val="fr-FR"/>
        </w:rPr>
        <w:tab/>
        <w:t>L</w:t>
      </w:r>
      <w:r w:rsidR="00B17AE1" w:rsidRPr="00F60A3D">
        <w:rPr>
          <w:lang w:val="fr-FR"/>
        </w:rPr>
        <w:t>’</w:t>
      </w:r>
      <w:r w:rsidRPr="00F60A3D">
        <w:rPr>
          <w:lang w:val="fr-FR"/>
        </w:rPr>
        <w:t>État italien</w:t>
      </w:r>
    </w:p>
    <w:p w:rsidR="00B17AE1" w:rsidRPr="00F60A3D" w:rsidRDefault="00BD282B" w:rsidP="008578E0">
      <w:pPr>
        <w:pStyle w:val="SingleTxtG"/>
        <w:rPr>
          <w:lang w:val="fr-FR"/>
        </w:rPr>
      </w:pPr>
      <w:r w:rsidRPr="00F60A3D">
        <w:rPr>
          <w:lang w:val="fr-FR"/>
        </w:rPr>
        <w:t>121</w:t>
      </w:r>
      <w:r w:rsidR="00EC1788" w:rsidRPr="00F60A3D">
        <w:rPr>
          <w:lang w:val="fr-FR"/>
        </w:rPr>
        <w:t>.</w:t>
      </w:r>
      <w:r w:rsidR="00EC1788" w:rsidRPr="00F60A3D">
        <w:rPr>
          <w:lang w:val="fr-FR"/>
        </w:rPr>
        <w:tab/>
        <w:t>La R</w:t>
      </w:r>
      <w:r w:rsidR="0011303D" w:rsidRPr="00F60A3D">
        <w:rPr>
          <w:lang w:val="fr-FR"/>
        </w:rPr>
        <w:t>épub</w:t>
      </w:r>
      <w:r w:rsidR="00BB7D78" w:rsidRPr="00F60A3D">
        <w:rPr>
          <w:lang w:val="fr-FR"/>
        </w:rPr>
        <w:t>lique se compose de commune</w:t>
      </w:r>
      <w:r w:rsidR="00F347BE" w:rsidRPr="00F60A3D">
        <w:rPr>
          <w:lang w:val="fr-FR"/>
        </w:rPr>
        <w:t xml:space="preserve">s, </w:t>
      </w:r>
      <w:r w:rsidR="0011303D" w:rsidRPr="00F60A3D">
        <w:rPr>
          <w:lang w:val="fr-FR"/>
        </w:rPr>
        <w:t>province</w:t>
      </w:r>
      <w:r w:rsidR="007A61E2" w:rsidRPr="00F60A3D">
        <w:rPr>
          <w:lang w:val="fr-FR"/>
        </w:rPr>
        <w:t>s</w:t>
      </w:r>
      <w:r w:rsidR="002F3319" w:rsidRPr="00F60A3D">
        <w:rPr>
          <w:rStyle w:val="FootnoteReference"/>
          <w:lang w:val="fr-FR"/>
        </w:rPr>
        <w:footnoteReference w:id="24"/>
      </w:r>
      <w:r w:rsidR="007A61E2" w:rsidRPr="00F60A3D">
        <w:rPr>
          <w:lang w:val="fr-FR"/>
        </w:rPr>
        <w:t>,</w:t>
      </w:r>
      <w:r w:rsidR="00CC6F71" w:rsidRPr="00F60A3D">
        <w:rPr>
          <w:lang w:val="fr-FR"/>
        </w:rPr>
        <w:t xml:space="preserve"> </w:t>
      </w:r>
      <w:r w:rsidR="0011303D" w:rsidRPr="00F60A3D">
        <w:rPr>
          <w:lang w:val="fr-FR"/>
        </w:rPr>
        <w:t>mé</w:t>
      </w:r>
      <w:r w:rsidR="00EC1788" w:rsidRPr="00F60A3D">
        <w:rPr>
          <w:lang w:val="fr-FR"/>
        </w:rPr>
        <w:t>t</w:t>
      </w:r>
      <w:r w:rsidR="00F347BE" w:rsidRPr="00F60A3D">
        <w:rPr>
          <w:lang w:val="fr-FR"/>
        </w:rPr>
        <w:t xml:space="preserve">ropoles, </w:t>
      </w:r>
      <w:r w:rsidR="0011303D" w:rsidRPr="00F60A3D">
        <w:rPr>
          <w:lang w:val="fr-FR"/>
        </w:rPr>
        <w:t>régions et de l</w:t>
      </w:r>
      <w:r w:rsidR="00B17AE1" w:rsidRPr="00F60A3D">
        <w:rPr>
          <w:lang w:val="fr-FR"/>
        </w:rPr>
        <w:t>’</w:t>
      </w:r>
      <w:r w:rsidR="0011303D" w:rsidRPr="00F60A3D">
        <w:rPr>
          <w:lang w:val="fr-FR"/>
        </w:rPr>
        <w:t xml:space="preserve">État. </w:t>
      </w:r>
      <w:r w:rsidR="00C91CF7" w:rsidRPr="00F60A3D">
        <w:rPr>
          <w:lang w:val="fr-FR"/>
        </w:rPr>
        <w:t xml:space="preserve">Ce sont des entités autonomes ayant un statut, des pouvoirs et des </w:t>
      </w:r>
      <w:r w:rsidR="00097300" w:rsidRPr="00F60A3D">
        <w:rPr>
          <w:lang w:val="fr-FR"/>
        </w:rPr>
        <w:t>fonctions propres, conformément</w:t>
      </w:r>
      <w:r w:rsidR="00C91CF7" w:rsidRPr="00F60A3D">
        <w:rPr>
          <w:lang w:val="fr-FR"/>
        </w:rPr>
        <w:t xml:space="preserve"> aux principes étab</w:t>
      </w:r>
      <w:r w:rsidR="007A61E2" w:rsidRPr="00F60A3D">
        <w:rPr>
          <w:lang w:val="fr-FR"/>
        </w:rPr>
        <w:t>lis par la Constitution (</w:t>
      </w:r>
      <w:r w:rsidR="00731982" w:rsidRPr="00F60A3D">
        <w:rPr>
          <w:lang w:val="fr-FR"/>
        </w:rPr>
        <w:t>art. </w:t>
      </w:r>
      <w:r w:rsidR="007A61E2" w:rsidRPr="00F60A3D">
        <w:rPr>
          <w:lang w:val="fr-FR"/>
        </w:rPr>
        <w:t>5,</w:t>
      </w:r>
      <w:r w:rsidR="0032758D">
        <w:rPr>
          <w:lang w:val="fr-FR"/>
        </w:rPr>
        <w:t xml:space="preserve"> 114 et </w:t>
      </w:r>
      <w:proofErr w:type="spellStart"/>
      <w:r w:rsidR="0032758D">
        <w:rPr>
          <w:lang w:val="fr-FR"/>
        </w:rPr>
        <w:t>suiv</w:t>
      </w:r>
      <w:proofErr w:type="spellEnd"/>
      <w:r w:rsidR="0032758D">
        <w:rPr>
          <w:lang w:val="fr-FR"/>
        </w:rPr>
        <w:t>.</w:t>
      </w:r>
      <w:r w:rsidR="00C91CF7" w:rsidRPr="00F60A3D">
        <w:rPr>
          <w:lang w:val="fr-FR"/>
        </w:rPr>
        <w:t>)</w:t>
      </w:r>
      <w:r w:rsidR="0068528B" w:rsidRPr="00F60A3D">
        <w:rPr>
          <w:lang w:val="fr-FR"/>
        </w:rPr>
        <w:t xml:space="preserve">. En particulier, aux termes de leurs </w:t>
      </w:r>
      <w:r w:rsidR="00B17AE1" w:rsidRPr="00F60A3D">
        <w:rPr>
          <w:lang w:val="fr-FR"/>
        </w:rPr>
        <w:t>«</w:t>
      </w:r>
      <w:r w:rsidR="00097300" w:rsidRPr="00F60A3D">
        <w:rPr>
          <w:lang w:val="fr-FR"/>
        </w:rPr>
        <w:t>s</w:t>
      </w:r>
      <w:r w:rsidR="002F4970" w:rsidRPr="00F60A3D">
        <w:rPr>
          <w:lang w:val="fr-FR"/>
        </w:rPr>
        <w:t>t</w:t>
      </w:r>
      <w:r w:rsidR="008C3247" w:rsidRPr="00F60A3D">
        <w:rPr>
          <w:lang w:val="fr-FR"/>
        </w:rPr>
        <w:t>atuts spéciaux</w:t>
      </w:r>
      <w:r w:rsidR="00B17AE1" w:rsidRPr="00F60A3D">
        <w:rPr>
          <w:lang w:val="fr-FR"/>
        </w:rPr>
        <w:t>»</w:t>
      </w:r>
      <w:r w:rsidR="008C3247" w:rsidRPr="00F60A3D">
        <w:rPr>
          <w:lang w:val="fr-FR"/>
        </w:rPr>
        <w:t xml:space="preserve"> (adoptés par la loi</w:t>
      </w:r>
      <w:r w:rsidR="00731982" w:rsidRPr="00F60A3D">
        <w:rPr>
          <w:lang w:val="fr-FR"/>
        </w:rPr>
        <w:t xml:space="preserve"> </w:t>
      </w:r>
      <w:r w:rsidR="00C91CF7" w:rsidRPr="00F60A3D">
        <w:rPr>
          <w:lang w:val="fr-FR"/>
        </w:rPr>
        <w:t>constitutionnel</w:t>
      </w:r>
      <w:r w:rsidR="008C3247" w:rsidRPr="00F60A3D">
        <w:rPr>
          <w:lang w:val="fr-FR"/>
        </w:rPr>
        <w:t>le</w:t>
      </w:r>
      <w:r w:rsidR="00C91CF7" w:rsidRPr="00F60A3D">
        <w:rPr>
          <w:lang w:val="fr-FR"/>
        </w:rPr>
        <w:t>)</w:t>
      </w:r>
      <w:r w:rsidR="002C29E1" w:rsidRPr="00F60A3D">
        <w:rPr>
          <w:lang w:val="fr-FR"/>
        </w:rPr>
        <w:t>, des formes et des condition</w:t>
      </w:r>
      <w:r w:rsidR="00C91CF7" w:rsidRPr="00F60A3D">
        <w:rPr>
          <w:lang w:val="fr-FR"/>
        </w:rPr>
        <w:t xml:space="preserve">s </w:t>
      </w:r>
      <w:r w:rsidR="002F4970" w:rsidRPr="00F60A3D">
        <w:rPr>
          <w:lang w:val="fr-FR"/>
        </w:rPr>
        <w:t>particulières d</w:t>
      </w:r>
      <w:r w:rsidR="00B17AE1" w:rsidRPr="00F60A3D">
        <w:rPr>
          <w:lang w:val="fr-FR"/>
        </w:rPr>
        <w:t>’</w:t>
      </w:r>
      <w:r w:rsidR="002F4970" w:rsidRPr="00F60A3D">
        <w:rPr>
          <w:lang w:val="fr-FR"/>
        </w:rPr>
        <w:t>autonomie</w:t>
      </w:r>
      <w:r w:rsidR="00C91CF7" w:rsidRPr="00F60A3D">
        <w:rPr>
          <w:lang w:val="fr-FR"/>
        </w:rPr>
        <w:t xml:space="preserve"> so</w:t>
      </w:r>
      <w:r w:rsidR="002F4970" w:rsidRPr="00F60A3D">
        <w:rPr>
          <w:lang w:val="fr-FR"/>
        </w:rPr>
        <w:t>nt accordées au Frioul-Vénétie J</w:t>
      </w:r>
      <w:r w:rsidR="00C91CF7" w:rsidRPr="00F60A3D">
        <w:rPr>
          <w:lang w:val="fr-FR"/>
        </w:rPr>
        <w:t>ulienne</w:t>
      </w:r>
      <w:r w:rsidR="00097300" w:rsidRPr="00F60A3D">
        <w:rPr>
          <w:lang w:val="fr-FR"/>
        </w:rPr>
        <w:t>, à la S</w:t>
      </w:r>
      <w:r w:rsidR="00C91CF7" w:rsidRPr="00F60A3D">
        <w:rPr>
          <w:lang w:val="fr-FR"/>
        </w:rPr>
        <w:t xml:space="preserve">ardaigne, à la Sicile, au </w:t>
      </w:r>
      <w:r w:rsidR="002F4970" w:rsidRPr="00F60A3D">
        <w:rPr>
          <w:lang w:val="fr-FR"/>
        </w:rPr>
        <w:t>Trentin-Haut-</w:t>
      </w:r>
      <w:r w:rsidR="00097300" w:rsidRPr="00F60A3D">
        <w:rPr>
          <w:lang w:val="fr-FR"/>
        </w:rPr>
        <w:t>Adige</w:t>
      </w:r>
      <w:r w:rsidR="00D86558" w:rsidRPr="00F60A3D">
        <w:rPr>
          <w:lang w:val="fr-FR"/>
        </w:rPr>
        <w:t xml:space="preserve"> et à la </w:t>
      </w:r>
      <w:r w:rsidR="00B85638" w:rsidRPr="00F60A3D">
        <w:rPr>
          <w:lang w:val="fr-FR"/>
        </w:rPr>
        <w:t>Val</w:t>
      </w:r>
      <w:r w:rsidR="00D86558" w:rsidRPr="00F60A3D">
        <w:rPr>
          <w:lang w:val="fr-FR"/>
        </w:rPr>
        <w:t>lée</w:t>
      </w:r>
      <w:r w:rsidR="00097300" w:rsidRPr="00F60A3D">
        <w:rPr>
          <w:lang w:val="fr-FR"/>
        </w:rPr>
        <w:t xml:space="preserve"> d</w:t>
      </w:r>
      <w:r w:rsidR="00B17AE1" w:rsidRPr="00F60A3D">
        <w:rPr>
          <w:lang w:val="fr-FR"/>
        </w:rPr>
        <w:t>’</w:t>
      </w:r>
      <w:r w:rsidR="00097300" w:rsidRPr="00F60A3D">
        <w:rPr>
          <w:lang w:val="fr-FR"/>
        </w:rPr>
        <w:t xml:space="preserve">Aoste. </w:t>
      </w:r>
    </w:p>
    <w:p w:rsidR="00097300" w:rsidRPr="00F60A3D" w:rsidRDefault="00BD282B" w:rsidP="008578E0">
      <w:pPr>
        <w:pStyle w:val="SingleTxtG"/>
        <w:rPr>
          <w:lang w:val="fr-FR"/>
        </w:rPr>
      </w:pPr>
      <w:r w:rsidRPr="00F60A3D">
        <w:rPr>
          <w:lang w:val="fr-FR"/>
        </w:rPr>
        <w:t>122</w:t>
      </w:r>
      <w:r w:rsidR="00097300" w:rsidRPr="00F60A3D">
        <w:rPr>
          <w:lang w:val="fr-FR"/>
        </w:rPr>
        <w:t>.</w:t>
      </w:r>
      <w:r w:rsidR="00097300" w:rsidRPr="00F60A3D">
        <w:rPr>
          <w:lang w:val="fr-FR"/>
        </w:rPr>
        <w:tab/>
        <w:t>La Lo</w:t>
      </w:r>
      <w:r w:rsidR="002F4970" w:rsidRPr="00F60A3D">
        <w:rPr>
          <w:lang w:val="fr-FR"/>
        </w:rPr>
        <w:t>i fondamentale énonce de manière exhaustive les compétences se rapportant aux domaines dans</w:t>
      </w:r>
      <w:r w:rsidR="00097300" w:rsidRPr="00F60A3D">
        <w:rPr>
          <w:lang w:val="fr-FR"/>
        </w:rPr>
        <w:t xml:space="preserve"> l</w:t>
      </w:r>
      <w:r w:rsidR="002F4970" w:rsidRPr="00F60A3D">
        <w:rPr>
          <w:lang w:val="fr-FR"/>
        </w:rPr>
        <w:t>esquels le Parlement est habilité à légiférer</w:t>
      </w:r>
      <w:r w:rsidR="002878D5" w:rsidRPr="00F60A3D">
        <w:rPr>
          <w:lang w:val="fr-FR"/>
        </w:rPr>
        <w:t>, c</w:t>
      </w:r>
      <w:r w:rsidR="00B17AE1" w:rsidRPr="00F60A3D">
        <w:rPr>
          <w:lang w:val="fr-FR"/>
        </w:rPr>
        <w:t>’</w:t>
      </w:r>
      <w:r w:rsidR="002878D5" w:rsidRPr="00F60A3D">
        <w:rPr>
          <w:lang w:val="fr-FR"/>
        </w:rPr>
        <w:t>est-à-dire</w:t>
      </w:r>
      <w:r w:rsidR="00097300" w:rsidRPr="00F60A3D">
        <w:rPr>
          <w:lang w:val="fr-FR"/>
        </w:rPr>
        <w:t xml:space="preserve"> la plupart des domaines importants</w:t>
      </w:r>
      <w:r w:rsidR="002878D5" w:rsidRPr="00F60A3D">
        <w:rPr>
          <w:lang w:val="fr-FR"/>
        </w:rPr>
        <w:t xml:space="preserve"> de la vie des citoyens</w:t>
      </w:r>
      <w:r w:rsidR="00097300" w:rsidRPr="00F60A3D">
        <w:rPr>
          <w:lang w:val="fr-FR"/>
        </w:rPr>
        <w:t>. Toutefois, au cours des dernières décennies</w:t>
      </w:r>
      <w:r w:rsidR="002878D5" w:rsidRPr="00F60A3D">
        <w:rPr>
          <w:lang w:val="fr-FR"/>
        </w:rPr>
        <w:t>,</w:t>
      </w:r>
      <w:r w:rsidR="00097300" w:rsidRPr="00F60A3D">
        <w:rPr>
          <w:lang w:val="fr-FR"/>
        </w:rPr>
        <w:t xml:space="preserve"> la législation a </w:t>
      </w:r>
      <w:r w:rsidR="002878D5" w:rsidRPr="00F60A3D">
        <w:rPr>
          <w:lang w:val="fr-FR"/>
        </w:rPr>
        <w:t>progressivement évolué vers une reconnaissance accrue d</w:t>
      </w:r>
      <w:r w:rsidR="00097300" w:rsidRPr="00F60A3D">
        <w:rPr>
          <w:lang w:val="fr-FR"/>
        </w:rPr>
        <w:t xml:space="preserve">u rôle des régions. </w:t>
      </w:r>
    </w:p>
    <w:p w:rsidR="00B734C9" w:rsidRPr="00F60A3D" w:rsidRDefault="00224935" w:rsidP="0022658C">
      <w:pPr>
        <w:pStyle w:val="SingleTxtG"/>
        <w:rPr>
          <w:lang w:val="fr-FR"/>
        </w:rPr>
      </w:pPr>
      <w:r w:rsidRPr="00F60A3D">
        <w:rPr>
          <w:lang w:val="fr-FR"/>
        </w:rPr>
        <w:t>123.</w:t>
      </w:r>
      <w:r w:rsidR="001D2CCC" w:rsidRPr="00F60A3D">
        <w:rPr>
          <w:lang w:val="fr-FR"/>
        </w:rPr>
        <w:tab/>
      </w:r>
      <w:r w:rsidR="00B734C9" w:rsidRPr="00F60A3D">
        <w:rPr>
          <w:lang w:val="fr-FR"/>
        </w:rPr>
        <w:t>L</w:t>
      </w:r>
      <w:r w:rsidR="00B17AE1" w:rsidRPr="00F60A3D">
        <w:rPr>
          <w:lang w:val="fr-FR"/>
        </w:rPr>
        <w:t>’</w:t>
      </w:r>
      <w:r w:rsidR="00B734C9" w:rsidRPr="00F60A3D">
        <w:rPr>
          <w:lang w:val="fr-FR"/>
        </w:rPr>
        <w:t>existence d</w:t>
      </w:r>
      <w:r w:rsidR="00B17AE1" w:rsidRPr="00F60A3D">
        <w:rPr>
          <w:lang w:val="fr-FR"/>
        </w:rPr>
        <w:t>’</w:t>
      </w:r>
      <w:r w:rsidR="00B734C9" w:rsidRPr="00F60A3D">
        <w:rPr>
          <w:lang w:val="fr-FR"/>
        </w:rPr>
        <w:t>une</w:t>
      </w:r>
      <w:r w:rsidR="00301414" w:rsidRPr="00F60A3D">
        <w:rPr>
          <w:lang w:val="fr-FR"/>
        </w:rPr>
        <w:t xml:space="preserve"> sorte de tension entre une ori</w:t>
      </w:r>
      <w:r w:rsidR="00B734C9" w:rsidRPr="00F60A3D">
        <w:rPr>
          <w:lang w:val="fr-FR"/>
        </w:rPr>
        <w:t xml:space="preserve">entation </w:t>
      </w:r>
      <w:r w:rsidR="00B734C9" w:rsidRPr="00F60A3D">
        <w:rPr>
          <w:i/>
          <w:lang w:val="fr-FR"/>
        </w:rPr>
        <w:t>unitaire</w:t>
      </w:r>
      <w:r w:rsidR="00AF5351" w:rsidRPr="00F60A3D">
        <w:rPr>
          <w:lang w:val="fr-FR"/>
        </w:rPr>
        <w:t xml:space="preserve"> d</w:t>
      </w:r>
      <w:r w:rsidR="00B17AE1" w:rsidRPr="00F60A3D">
        <w:rPr>
          <w:lang w:val="fr-FR"/>
        </w:rPr>
        <w:t>’</w:t>
      </w:r>
      <w:r w:rsidR="00AF5351" w:rsidRPr="00F60A3D">
        <w:rPr>
          <w:lang w:val="fr-FR"/>
        </w:rPr>
        <w:t>une part</w:t>
      </w:r>
      <w:r w:rsidR="002878D5" w:rsidRPr="00F60A3D">
        <w:rPr>
          <w:lang w:val="fr-FR"/>
        </w:rPr>
        <w:t xml:space="preserve"> </w:t>
      </w:r>
      <w:r w:rsidR="00B734C9" w:rsidRPr="00F60A3D">
        <w:rPr>
          <w:lang w:val="fr-FR"/>
        </w:rPr>
        <w:t>et un transfert de compétences au ni</w:t>
      </w:r>
      <w:r w:rsidR="004F6AED" w:rsidRPr="00F60A3D">
        <w:rPr>
          <w:lang w:val="fr-FR"/>
        </w:rPr>
        <w:t>veau ré</w:t>
      </w:r>
      <w:r w:rsidR="002878D5" w:rsidRPr="00F60A3D">
        <w:rPr>
          <w:lang w:val="fr-FR"/>
        </w:rPr>
        <w:t>gional, de l</w:t>
      </w:r>
      <w:r w:rsidR="00B17AE1" w:rsidRPr="00F60A3D">
        <w:rPr>
          <w:lang w:val="fr-FR"/>
        </w:rPr>
        <w:t>’</w:t>
      </w:r>
      <w:r w:rsidR="002878D5" w:rsidRPr="00F60A3D">
        <w:rPr>
          <w:lang w:val="fr-FR"/>
        </w:rPr>
        <w:t>autre, doit être</w:t>
      </w:r>
      <w:r w:rsidR="00B734C9" w:rsidRPr="00F60A3D">
        <w:rPr>
          <w:lang w:val="fr-FR"/>
        </w:rPr>
        <w:t xml:space="preserve"> soul</w:t>
      </w:r>
      <w:r w:rsidR="002878D5" w:rsidRPr="00F60A3D">
        <w:rPr>
          <w:lang w:val="fr-FR"/>
        </w:rPr>
        <w:t>ignée. Le système italien associe une organisation étatique décentralisée à une divis</w:t>
      </w:r>
      <w:r w:rsidR="00B734C9" w:rsidRPr="00F60A3D">
        <w:rPr>
          <w:lang w:val="fr-FR"/>
        </w:rPr>
        <w:t>ion vertical</w:t>
      </w:r>
      <w:r w:rsidR="002878D5" w:rsidRPr="00F60A3D">
        <w:rPr>
          <w:lang w:val="fr-FR"/>
        </w:rPr>
        <w:t>e</w:t>
      </w:r>
      <w:r w:rsidR="00B734C9" w:rsidRPr="00F60A3D">
        <w:rPr>
          <w:lang w:val="fr-FR"/>
        </w:rPr>
        <w:t xml:space="preserve"> des pouvoi</w:t>
      </w:r>
      <w:r w:rsidR="002878D5" w:rsidRPr="00F60A3D">
        <w:rPr>
          <w:lang w:val="fr-FR"/>
        </w:rPr>
        <w:t xml:space="preserve">rs, ce qui complète la séparation </w:t>
      </w:r>
      <w:r w:rsidR="00B734C9" w:rsidRPr="00F60A3D">
        <w:rPr>
          <w:lang w:val="fr-FR"/>
        </w:rPr>
        <w:t xml:space="preserve">classique entre pouvoirs législatif, exécutif et judiciaire. </w:t>
      </w:r>
    </w:p>
    <w:p w:rsidR="00937E3C" w:rsidRPr="00F60A3D" w:rsidRDefault="00BD282B" w:rsidP="008578E0">
      <w:pPr>
        <w:pStyle w:val="SingleTxtG"/>
        <w:rPr>
          <w:lang w:val="fr-FR"/>
        </w:rPr>
      </w:pPr>
      <w:r w:rsidRPr="00F60A3D">
        <w:rPr>
          <w:lang w:val="fr-FR"/>
        </w:rPr>
        <w:t>12</w:t>
      </w:r>
      <w:r w:rsidR="00937E3C" w:rsidRPr="00F60A3D">
        <w:rPr>
          <w:lang w:val="fr-FR"/>
        </w:rPr>
        <w:t>4.</w:t>
      </w:r>
      <w:r w:rsidR="00937E3C" w:rsidRPr="00F60A3D">
        <w:rPr>
          <w:lang w:val="fr-FR"/>
        </w:rPr>
        <w:tab/>
        <w:t>Par le truchement de la Conférence État-Ré</w:t>
      </w:r>
      <w:r w:rsidR="00B26D7D" w:rsidRPr="00F60A3D">
        <w:rPr>
          <w:lang w:val="fr-FR"/>
        </w:rPr>
        <w:t>gions et</w:t>
      </w:r>
      <w:r w:rsidR="00B347E3" w:rsidRPr="00F60A3D">
        <w:rPr>
          <w:lang w:val="fr-FR"/>
        </w:rPr>
        <w:t>,</w:t>
      </w:r>
      <w:r w:rsidR="00B26D7D" w:rsidRPr="00F60A3D">
        <w:rPr>
          <w:lang w:val="fr-FR"/>
        </w:rPr>
        <w:t xml:space="preserve"> plus généralement</w:t>
      </w:r>
      <w:r w:rsidR="00B347E3" w:rsidRPr="00F60A3D">
        <w:rPr>
          <w:lang w:val="fr-FR"/>
        </w:rPr>
        <w:t>,</w:t>
      </w:r>
      <w:r w:rsidR="00B26D7D" w:rsidRPr="00F60A3D">
        <w:rPr>
          <w:lang w:val="fr-FR"/>
        </w:rPr>
        <w:t xml:space="preserve"> par l</w:t>
      </w:r>
      <w:r w:rsidR="00B17AE1" w:rsidRPr="00F60A3D">
        <w:rPr>
          <w:lang w:val="fr-FR"/>
        </w:rPr>
        <w:t>’</w:t>
      </w:r>
      <w:r w:rsidR="00B26D7D" w:rsidRPr="00F60A3D">
        <w:rPr>
          <w:lang w:val="fr-FR"/>
        </w:rPr>
        <w:t>intermédiaire du Gouvernement et d</w:t>
      </w:r>
      <w:r w:rsidR="00937E3C" w:rsidRPr="00F60A3D">
        <w:rPr>
          <w:lang w:val="fr-FR"/>
        </w:rPr>
        <w:t>u Pa</w:t>
      </w:r>
      <w:r w:rsidR="00B26D7D" w:rsidRPr="00F60A3D">
        <w:rPr>
          <w:lang w:val="fr-FR"/>
        </w:rPr>
        <w:t>rlement, les régions apportent leur concours</w:t>
      </w:r>
      <w:r w:rsidR="00937E3C" w:rsidRPr="00F60A3D">
        <w:rPr>
          <w:lang w:val="fr-FR"/>
        </w:rPr>
        <w:t xml:space="preserve"> à l</w:t>
      </w:r>
      <w:r w:rsidR="00B17AE1" w:rsidRPr="00F60A3D">
        <w:rPr>
          <w:lang w:val="fr-FR"/>
        </w:rPr>
        <w:t>’</w:t>
      </w:r>
      <w:r w:rsidR="00937E3C" w:rsidRPr="00F60A3D">
        <w:rPr>
          <w:lang w:val="fr-FR"/>
        </w:rPr>
        <w:t>administration et à la</w:t>
      </w:r>
      <w:r w:rsidR="00B26D7D" w:rsidRPr="00F60A3D">
        <w:rPr>
          <w:lang w:val="fr-FR"/>
        </w:rPr>
        <w:t xml:space="preserve"> législation de l</w:t>
      </w:r>
      <w:r w:rsidR="00B17AE1" w:rsidRPr="00F60A3D">
        <w:rPr>
          <w:lang w:val="fr-FR"/>
        </w:rPr>
        <w:t>’</w:t>
      </w:r>
      <w:r w:rsidR="00B26D7D" w:rsidRPr="00F60A3D">
        <w:rPr>
          <w:lang w:val="fr-FR"/>
        </w:rPr>
        <w:t>Italie, de même qu</w:t>
      </w:r>
      <w:r w:rsidR="00B17AE1" w:rsidRPr="00F60A3D">
        <w:rPr>
          <w:lang w:val="fr-FR"/>
        </w:rPr>
        <w:t>’</w:t>
      </w:r>
      <w:r w:rsidR="00B26D7D" w:rsidRPr="00F60A3D">
        <w:rPr>
          <w:lang w:val="fr-FR"/>
        </w:rPr>
        <w:t>à l</w:t>
      </w:r>
      <w:r w:rsidR="00B17AE1" w:rsidRPr="00F60A3D">
        <w:rPr>
          <w:lang w:val="fr-FR"/>
        </w:rPr>
        <w:t>’</w:t>
      </w:r>
      <w:r w:rsidR="00B26D7D" w:rsidRPr="00F60A3D">
        <w:rPr>
          <w:lang w:val="fr-FR"/>
        </w:rPr>
        <w:t>étude des questions spécifiques intéress</w:t>
      </w:r>
      <w:r w:rsidR="00055518" w:rsidRPr="00F60A3D">
        <w:rPr>
          <w:lang w:val="fr-FR"/>
        </w:rPr>
        <w:t>ant l</w:t>
      </w:r>
      <w:r w:rsidR="00B17AE1" w:rsidRPr="00F60A3D">
        <w:rPr>
          <w:lang w:val="fr-FR"/>
        </w:rPr>
        <w:t>’</w:t>
      </w:r>
      <w:r w:rsidR="00055518" w:rsidRPr="00F60A3D">
        <w:rPr>
          <w:lang w:val="fr-FR"/>
        </w:rPr>
        <w:t xml:space="preserve">Union européenne. </w:t>
      </w:r>
    </w:p>
    <w:p w:rsidR="00055518" w:rsidRPr="00F60A3D" w:rsidRDefault="00BD282B" w:rsidP="008578E0">
      <w:pPr>
        <w:pStyle w:val="SingleTxtG"/>
        <w:rPr>
          <w:lang w:val="fr-FR"/>
        </w:rPr>
      </w:pPr>
      <w:r w:rsidRPr="00F60A3D">
        <w:rPr>
          <w:lang w:val="fr-FR"/>
        </w:rPr>
        <w:t>12</w:t>
      </w:r>
      <w:r w:rsidR="00055518" w:rsidRPr="00F60A3D">
        <w:rPr>
          <w:lang w:val="fr-FR"/>
        </w:rPr>
        <w:t>5.</w:t>
      </w:r>
      <w:r w:rsidR="00055518" w:rsidRPr="00F60A3D">
        <w:rPr>
          <w:lang w:val="fr-FR"/>
        </w:rPr>
        <w:tab/>
        <w:t>Dans le respect de la Constitution italienne, les régions doivent se conformer aux principes de l</w:t>
      </w:r>
      <w:r w:rsidR="00B17AE1" w:rsidRPr="00F60A3D">
        <w:rPr>
          <w:lang w:val="fr-FR"/>
        </w:rPr>
        <w:t>’</w:t>
      </w:r>
      <w:r w:rsidR="00055518" w:rsidRPr="00F60A3D">
        <w:rPr>
          <w:lang w:val="fr-FR"/>
        </w:rPr>
        <w:t>État républicain, démocratique et soci</w:t>
      </w:r>
      <w:r w:rsidR="00D2028A" w:rsidRPr="00F60A3D">
        <w:rPr>
          <w:lang w:val="fr-FR"/>
        </w:rPr>
        <w:t>al en vertu de la primauté du droit dans l</w:t>
      </w:r>
      <w:r w:rsidR="00B17AE1" w:rsidRPr="00F60A3D">
        <w:rPr>
          <w:lang w:val="fr-FR"/>
        </w:rPr>
        <w:t>’</w:t>
      </w:r>
      <w:r w:rsidR="00D2028A" w:rsidRPr="00F60A3D">
        <w:rPr>
          <w:lang w:val="fr-FR"/>
        </w:rPr>
        <w:t xml:space="preserve">acception </w:t>
      </w:r>
      <w:r w:rsidR="00055518" w:rsidRPr="00F60A3D">
        <w:rPr>
          <w:lang w:val="fr-FR"/>
        </w:rPr>
        <w:t xml:space="preserve">de la Loi fondamentale. </w:t>
      </w:r>
      <w:r w:rsidR="00BB6CDF" w:rsidRPr="00F60A3D">
        <w:rPr>
          <w:lang w:val="fr-FR"/>
        </w:rPr>
        <w:t>Dans ce cadre</w:t>
      </w:r>
      <w:r w:rsidR="007A61E2" w:rsidRPr="00F60A3D">
        <w:rPr>
          <w:lang w:val="fr-FR"/>
        </w:rPr>
        <w:t xml:space="preserve">, les régions sont des </w:t>
      </w:r>
      <w:r w:rsidR="00731982" w:rsidRPr="00F60A3D">
        <w:rPr>
          <w:lang w:val="fr-FR"/>
        </w:rPr>
        <w:t>«</w:t>
      </w:r>
      <w:r w:rsidR="00D2028A" w:rsidRPr="00F60A3D">
        <w:rPr>
          <w:lang w:val="fr-FR"/>
        </w:rPr>
        <w:t>entités autonom</w:t>
      </w:r>
      <w:r w:rsidR="00BB6CDF" w:rsidRPr="00F60A3D">
        <w:rPr>
          <w:lang w:val="fr-FR"/>
        </w:rPr>
        <w:t>es</w:t>
      </w:r>
      <w:r w:rsidR="007A61E2" w:rsidRPr="00F60A3D">
        <w:rPr>
          <w:lang w:val="fr-FR"/>
        </w:rPr>
        <w:t xml:space="preserve"> </w:t>
      </w:r>
      <w:r w:rsidR="007A61E2" w:rsidRPr="00F60A3D">
        <w:rPr>
          <w:lang w:val="fr-FR"/>
        </w:rPr>
        <w:lastRenderedPageBreak/>
        <w:t>locales</w:t>
      </w:r>
      <w:r w:rsidR="00731982" w:rsidRPr="00F60A3D">
        <w:rPr>
          <w:lang w:val="fr-FR"/>
        </w:rPr>
        <w:t>»</w:t>
      </w:r>
      <w:r w:rsidR="00BB6CDF" w:rsidRPr="00F60A3D">
        <w:rPr>
          <w:lang w:val="fr-FR"/>
        </w:rPr>
        <w:t xml:space="preserve"> dotées de leurs propres constitutions/statuts, parlements e</w:t>
      </w:r>
      <w:r w:rsidR="00D2028A" w:rsidRPr="00F60A3D">
        <w:rPr>
          <w:lang w:val="fr-FR"/>
        </w:rPr>
        <w:t>t gouvernements et elles sont</w:t>
      </w:r>
      <w:r w:rsidR="00BB6CDF" w:rsidRPr="00F60A3D">
        <w:rPr>
          <w:lang w:val="fr-FR"/>
        </w:rPr>
        <w:t xml:space="preserve"> même </w:t>
      </w:r>
      <w:r w:rsidR="00D2028A" w:rsidRPr="00F60A3D">
        <w:rPr>
          <w:lang w:val="fr-FR"/>
        </w:rPr>
        <w:t xml:space="preserve">habilitées à </w:t>
      </w:r>
      <w:r w:rsidR="00BB6CDF" w:rsidRPr="00F60A3D">
        <w:rPr>
          <w:lang w:val="fr-FR"/>
        </w:rPr>
        <w:t>conclure des accords internation</w:t>
      </w:r>
      <w:r w:rsidR="007A61E2" w:rsidRPr="00F60A3D">
        <w:rPr>
          <w:lang w:val="fr-FR"/>
        </w:rPr>
        <w:t>aux avec d</w:t>
      </w:r>
      <w:r w:rsidR="00B17AE1" w:rsidRPr="00F60A3D">
        <w:rPr>
          <w:lang w:val="fr-FR"/>
        </w:rPr>
        <w:t>’</w:t>
      </w:r>
      <w:r w:rsidR="007A61E2" w:rsidRPr="00F60A3D">
        <w:rPr>
          <w:lang w:val="fr-FR"/>
        </w:rPr>
        <w:t>autres États (</w:t>
      </w:r>
      <w:r w:rsidR="00731982" w:rsidRPr="00F60A3D">
        <w:rPr>
          <w:lang w:val="fr-FR"/>
        </w:rPr>
        <w:t>art. </w:t>
      </w:r>
      <w:r w:rsidR="00BB6CDF" w:rsidRPr="00F60A3D">
        <w:rPr>
          <w:lang w:val="fr-FR"/>
        </w:rPr>
        <w:t xml:space="preserve">117). </w:t>
      </w:r>
    </w:p>
    <w:p w:rsidR="00CC6F71" w:rsidRPr="00F60A3D" w:rsidRDefault="00BD282B" w:rsidP="0016441D">
      <w:pPr>
        <w:pStyle w:val="SingleTxtG"/>
        <w:rPr>
          <w:lang w:val="fr-FR"/>
        </w:rPr>
      </w:pPr>
      <w:r w:rsidRPr="00F60A3D">
        <w:rPr>
          <w:lang w:val="fr-FR"/>
        </w:rPr>
        <w:t>12</w:t>
      </w:r>
      <w:r w:rsidR="00CC6F71" w:rsidRPr="00F60A3D">
        <w:rPr>
          <w:lang w:val="fr-FR"/>
        </w:rPr>
        <w:t>6.</w:t>
      </w:r>
      <w:r w:rsidR="00CC6F71" w:rsidRPr="00F60A3D">
        <w:rPr>
          <w:lang w:val="fr-FR"/>
        </w:rPr>
        <w:tab/>
      </w:r>
      <w:r w:rsidR="00FA0692" w:rsidRPr="00F60A3D">
        <w:rPr>
          <w:lang w:val="fr-FR"/>
        </w:rPr>
        <w:t>L</w:t>
      </w:r>
      <w:r w:rsidR="00B90D72" w:rsidRPr="00F60A3D">
        <w:rPr>
          <w:lang w:val="fr-FR"/>
        </w:rPr>
        <w:t>es organes de la r</w:t>
      </w:r>
      <w:r w:rsidR="00D2028A" w:rsidRPr="00F60A3D">
        <w:rPr>
          <w:lang w:val="fr-FR"/>
        </w:rPr>
        <w:t>égion</w:t>
      </w:r>
      <w:r w:rsidR="00BB6CDF" w:rsidRPr="00F60A3D">
        <w:rPr>
          <w:lang w:val="fr-FR"/>
        </w:rPr>
        <w:t xml:space="preserve"> sont </w:t>
      </w:r>
      <w:r w:rsidR="00FA0692" w:rsidRPr="00F60A3D">
        <w:rPr>
          <w:lang w:val="fr-FR"/>
        </w:rPr>
        <w:t xml:space="preserve">plus précisément </w:t>
      </w:r>
      <w:r w:rsidR="00BB6CDF" w:rsidRPr="00F60A3D">
        <w:rPr>
          <w:lang w:val="fr-FR"/>
        </w:rPr>
        <w:t xml:space="preserve">les suivants: le Conseil </w:t>
      </w:r>
      <w:r w:rsidR="0016441D" w:rsidRPr="00F60A3D">
        <w:rPr>
          <w:lang w:val="fr-FR"/>
        </w:rPr>
        <w:t>ré</w:t>
      </w:r>
      <w:r w:rsidR="00AF5351" w:rsidRPr="00F60A3D">
        <w:rPr>
          <w:lang w:val="fr-FR"/>
        </w:rPr>
        <w:t>gional</w:t>
      </w:r>
      <w:r w:rsidR="00D26282" w:rsidRPr="00F60A3D">
        <w:rPr>
          <w:lang w:val="fr-FR"/>
        </w:rPr>
        <w:t xml:space="preserve"> – </w:t>
      </w:r>
      <w:r w:rsidR="00AF5351" w:rsidRPr="00F60A3D">
        <w:rPr>
          <w:lang w:val="fr-FR"/>
        </w:rPr>
        <w:t>il</w:t>
      </w:r>
      <w:r w:rsidR="00BB6CDF" w:rsidRPr="00F60A3D">
        <w:rPr>
          <w:lang w:val="fr-FR"/>
        </w:rPr>
        <w:t xml:space="preserve"> exerce le pouvoir législatif accordé à la </w:t>
      </w:r>
      <w:r w:rsidR="00B90D72" w:rsidRPr="00F60A3D">
        <w:rPr>
          <w:lang w:val="fr-FR"/>
        </w:rPr>
        <w:t>r</w:t>
      </w:r>
      <w:r w:rsidR="0016441D" w:rsidRPr="00F60A3D">
        <w:rPr>
          <w:lang w:val="fr-FR"/>
        </w:rPr>
        <w:t>é</w:t>
      </w:r>
      <w:r w:rsidR="00D2028A" w:rsidRPr="00F60A3D">
        <w:rPr>
          <w:lang w:val="fr-FR"/>
        </w:rPr>
        <w:t>gion et toutes</w:t>
      </w:r>
      <w:r w:rsidR="00BB6CDF" w:rsidRPr="00F60A3D">
        <w:rPr>
          <w:lang w:val="fr-FR"/>
        </w:rPr>
        <w:t xml:space="preserve"> les autres fonctions </w:t>
      </w:r>
      <w:r w:rsidR="00D2028A" w:rsidRPr="00F60A3D">
        <w:rPr>
          <w:lang w:val="fr-FR"/>
        </w:rPr>
        <w:t xml:space="preserve">qui lui sont </w:t>
      </w:r>
      <w:r w:rsidR="004F6AED" w:rsidRPr="00F60A3D">
        <w:rPr>
          <w:lang w:val="fr-FR"/>
        </w:rPr>
        <w:t>dévolu</w:t>
      </w:r>
      <w:r w:rsidR="00BB6CDF" w:rsidRPr="00F60A3D">
        <w:rPr>
          <w:lang w:val="fr-FR"/>
        </w:rPr>
        <w:t>es par la Constitution et</w:t>
      </w:r>
      <w:r w:rsidR="00D2028A" w:rsidRPr="00F60A3D">
        <w:rPr>
          <w:lang w:val="fr-FR"/>
        </w:rPr>
        <w:t xml:space="preserve"> par la loi</w:t>
      </w:r>
      <w:r w:rsidR="00BB6CDF" w:rsidRPr="00F60A3D">
        <w:rPr>
          <w:lang w:val="fr-FR"/>
        </w:rPr>
        <w:t xml:space="preserve"> (il peut soumettre des </w:t>
      </w:r>
      <w:r w:rsidR="00D2028A" w:rsidRPr="00F60A3D">
        <w:rPr>
          <w:lang w:val="fr-FR"/>
        </w:rPr>
        <w:t>proposition</w:t>
      </w:r>
      <w:r w:rsidR="008C3247" w:rsidRPr="00F60A3D">
        <w:rPr>
          <w:lang w:val="fr-FR"/>
        </w:rPr>
        <w:t>s de loi au Parlement)</w:t>
      </w:r>
      <w:r w:rsidR="00731982" w:rsidRPr="00F60A3D">
        <w:rPr>
          <w:lang w:val="fr-FR"/>
        </w:rPr>
        <w:t>;</w:t>
      </w:r>
      <w:r w:rsidR="008C3247" w:rsidRPr="00F60A3D">
        <w:rPr>
          <w:lang w:val="fr-FR"/>
        </w:rPr>
        <w:t xml:space="preserve"> </w:t>
      </w:r>
      <w:r w:rsidR="00D2028A" w:rsidRPr="00F60A3D">
        <w:rPr>
          <w:lang w:val="fr-FR"/>
        </w:rPr>
        <w:t>le nombre de</w:t>
      </w:r>
      <w:r w:rsidR="0016441D" w:rsidRPr="00F60A3D">
        <w:rPr>
          <w:lang w:val="fr-FR"/>
        </w:rPr>
        <w:t xml:space="preserve"> </w:t>
      </w:r>
      <w:r w:rsidR="008C3247" w:rsidRPr="00F60A3D">
        <w:rPr>
          <w:lang w:val="fr-FR"/>
        </w:rPr>
        <w:t xml:space="preserve">ses </w:t>
      </w:r>
      <w:r w:rsidR="00D2028A" w:rsidRPr="00F60A3D">
        <w:rPr>
          <w:lang w:val="fr-FR"/>
        </w:rPr>
        <w:t>membres est fonction</w:t>
      </w:r>
      <w:r w:rsidR="004F6AED" w:rsidRPr="00F60A3D">
        <w:rPr>
          <w:lang w:val="fr-FR"/>
        </w:rPr>
        <w:t xml:space="preserve"> du nombre d</w:t>
      </w:r>
      <w:r w:rsidR="00B17AE1" w:rsidRPr="00F60A3D">
        <w:rPr>
          <w:lang w:val="fr-FR"/>
        </w:rPr>
        <w:t>’</w:t>
      </w:r>
      <w:r w:rsidR="004F6AED" w:rsidRPr="00F60A3D">
        <w:rPr>
          <w:lang w:val="fr-FR"/>
        </w:rPr>
        <w:t>habitants de</w:t>
      </w:r>
      <w:r w:rsidR="00BB6CDF" w:rsidRPr="00F60A3D">
        <w:rPr>
          <w:lang w:val="fr-FR"/>
        </w:rPr>
        <w:t xml:space="preserve"> la </w:t>
      </w:r>
      <w:r w:rsidR="0016441D" w:rsidRPr="00F60A3D">
        <w:rPr>
          <w:lang w:val="fr-FR"/>
        </w:rPr>
        <w:t>ré</w:t>
      </w:r>
      <w:r w:rsidR="00BB6CDF" w:rsidRPr="00F60A3D">
        <w:rPr>
          <w:lang w:val="fr-FR"/>
        </w:rPr>
        <w:t xml:space="preserve">gion; </w:t>
      </w:r>
      <w:r w:rsidR="0087409E" w:rsidRPr="00F60A3D">
        <w:rPr>
          <w:lang w:val="fr-FR"/>
        </w:rPr>
        <w:t xml:space="preserve">et </w:t>
      </w:r>
      <w:r w:rsidR="009D4A5A" w:rsidRPr="00F60A3D">
        <w:rPr>
          <w:lang w:val="fr-FR"/>
        </w:rPr>
        <w:t>le Gouvernement régional</w:t>
      </w:r>
      <w:r w:rsidR="00D26282" w:rsidRPr="00F60A3D">
        <w:rPr>
          <w:lang w:val="fr-FR"/>
        </w:rPr>
        <w:t xml:space="preserve"> – </w:t>
      </w:r>
      <w:r w:rsidR="00B90D72" w:rsidRPr="00F60A3D">
        <w:rPr>
          <w:lang w:val="fr-FR"/>
        </w:rPr>
        <w:t>organe exécutif de la r</w:t>
      </w:r>
      <w:r w:rsidR="00AF5351" w:rsidRPr="00F60A3D">
        <w:rPr>
          <w:lang w:val="fr-FR"/>
        </w:rPr>
        <w:t xml:space="preserve">égion </w:t>
      </w:r>
      <w:r w:rsidR="00CB0459" w:rsidRPr="00F60A3D">
        <w:rPr>
          <w:lang w:val="fr-FR"/>
        </w:rPr>
        <w:t>don</w:t>
      </w:r>
      <w:r w:rsidR="00D2028A" w:rsidRPr="00F60A3D">
        <w:rPr>
          <w:lang w:val="fr-FR"/>
        </w:rPr>
        <w:t>t le</w:t>
      </w:r>
      <w:r w:rsidR="00CB0459" w:rsidRPr="00F60A3D">
        <w:rPr>
          <w:lang w:val="fr-FR"/>
        </w:rPr>
        <w:t xml:space="preserve"> P</w:t>
      </w:r>
      <w:r w:rsidR="0016441D" w:rsidRPr="00F60A3D">
        <w:rPr>
          <w:lang w:val="fr-FR"/>
        </w:rPr>
        <w:t>résident, qui représente</w:t>
      </w:r>
      <w:r w:rsidR="00B90D72" w:rsidRPr="00F60A3D">
        <w:rPr>
          <w:lang w:val="fr-FR"/>
        </w:rPr>
        <w:t xml:space="preserve"> la r</w:t>
      </w:r>
      <w:r w:rsidR="0016441D" w:rsidRPr="00F60A3D">
        <w:rPr>
          <w:lang w:val="fr-FR"/>
        </w:rPr>
        <w:t>égion, d</w:t>
      </w:r>
      <w:r w:rsidR="00CB0459" w:rsidRPr="00F60A3D">
        <w:rPr>
          <w:lang w:val="fr-FR"/>
        </w:rPr>
        <w:t>irige la politique générale</w:t>
      </w:r>
      <w:r w:rsidR="0016441D" w:rsidRPr="00F60A3D">
        <w:rPr>
          <w:lang w:val="fr-FR"/>
        </w:rPr>
        <w:t xml:space="preserve"> et en est responsable (il/elle promulgue les lois et les </w:t>
      </w:r>
      <w:r w:rsidR="00FE4548" w:rsidRPr="00F60A3D">
        <w:rPr>
          <w:lang w:val="fr-FR"/>
        </w:rPr>
        <w:t>règlements</w:t>
      </w:r>
      <w:r w:rsidR="0016441D" w:rsidRPr="00F60A3D">
        <w:rPr>
          <w:lang w:val="fr-FR"/>
        </w:rPr>
        <w:t xml:space="preserve"> régionaux et dirige l</w:t>
      </w:r>
      <w:r w:rsidR="00B17AE1" w:rsidRPr="00F60A3D">
        <w:rPr>
          <w:lang w:val="fr-FR"/>
        </w:rPr>
        <w:t>’</w:t>
      </w:r>
      <w:r w:rsidR="00CB0459" w:rsidRPr="00F60A3D">
        <w:rPr>
          <w:lang w:val="fr-FR"/>
        </w:rPr>
        <w:t>exécution d</w:t>
      </w:r>
      <w:r w:rsidR="0016441D" w:rsidRPr="00F60A3D">
        <w:rPr>
          <w:lang w:val="fr-FR"/>
        </w:rPr>
        <w:t>es fonctions administrat</w:t>
      </w:r>
      <w:r w:rsidR="008C3247" w:rsidRPr="00F60A3D">
        <w:rPr>
          <w:lang w:val="fr-FR"/>
        </w:rPr>
        <w:t xml:space="preserve">ives déléguées </w:t>
      </w:r>
      <w:r w:rsidR="00B90D72" w:rsidRPr="00F60A3D">
        <w:rPr>
          <w:lang w:val="fr-FR"/>
        </w:rPr>
        <w:t>à la r</w:t>
      </w:r>
      <w:r w:rsidR="0016441D" w:rsidRPr="00F60A3D">
        <w:rPr>
          <w:lang w:val="fr-FR"/>
        </w:rPr>
        <w:t>égion</w:t>
      </w:r>
      <w:r w:rsidR="00B04C56" w:rsidRPr="00F60A3D">
        <w:rPr>
          <w:lang w:val="fr-FR"/>
        </w:rPr>
        <w:t xml:space="preserve"> par l</w:t>
      </w:r>
      <w:r w:rsidR="00B17AE1" w:rsidRPr="00F60A3D">
        <w:rPr>
          <w:lang w:val="fr-FR"/>
        </w:rPr>
        <w:t>’</w:t>
      </w:r>
      <w:r w:rsidR="00B04C56" w:rsidRPr="00F60A3D">
        <w:rPr>
          <w:lang w:val="fr-FR"/>
        </w:rPr>
        <w:t>État</w:t>
      </w:r>
      <w:r w:rsidR="0016441D" w:rsidRPr="00F60A3D">
        <w:rPr>
          <w:lang w:val="fr-FR"/>
        </w:rPr>
        <w:t>, en se conformant aux instructions d</w:t>
      </w:r>
      <w:r w:rsidR="007D5EF5" w:rsidRPr="00F60A3D">
        <w:rPr>
          <w:lang w:val="fr-FR"/>
        </w:rPr>
        <w:t>u Gouvernement central) (</w:t>
      </w:r>
      <w:r w:rsidR="00731982" w:rsidRPr="00F60A3D">
        <w:rPr>
          <w:lang w:val="fr-FR"/>
        </w:rPr>
        <w:t>art. </w:t>
      </w:r>
      <w:r w:rsidR="0016441D" w:rsidRPr="00F60A3D">
        <w:rPr>
          <w:lang w:val="fr-FR"/>
        </w:rPr>
        <w:t>121).</w:t>
      </w:r>
      <w:r w:rsidR="00CC6F71" w:rsidRPr="00F60A3D">
        <w:rPr>
          <w:lang w:val="fr-FR"/>
        </w:rPr>
        <w:t xml:space="preserve"> </w:t>
      </w:r>
    </w:p>
    <w:p w:rsidR="0016441D" w:rsidRPr="00F60A3D" w:rsidRDefault="005B4045" w:rsidP="008578E0">
      <w:pPr>
        <w:pStyle w:val="SingleTxtG"/>
        <w:rPr>
          <w:lang w:val="fr-FR"/>
        </w:rPr>
      </w:pPr>
      <w:r w:rsidRPr="00F60A3D">
        <w:rPr>
          <w:lang w:val="fr-FR"/>
        </w:rPr>
        <w:t>12</w:t>
      </w:r>
      <w:r w:rsidR="00CB0459" w:rsidRPr="00F60A3D">
        <w:rPr>
          <w:lang w:val="fr-FR"/>
        </w:rPr>
        <w:t>7.</w:t>
      </w:r>
      <w:r w:rsidR="00CB0459" w:rsidRPr="00F60A3D">
        <w:rPr>
          <w:lang w:val="fr-FR"/>
        </w:rPr>
        <w:tab/>
        <w:t>E</w:t>
      </w:r>
      <w:r w:rsidR="0016441D" w:rsidRPr="00F60A3D">
        <w:rPr>
          <w:lang w:val="fr-FR"/>
        </w:rPr>
        <w:t xml:space="preserve">u </w:t>
      </w:r>
      <w:r w:rsidR="00CB0459" w:rsidRPr="00F60A3D">
        <w:rPr>
          <w:lang w:val="fr-FR"/>
        </w:rPr>
        <w:t xml:space="preserve">égard au </w:t>
      </w:r>
      <w:r w:rsidR="0016441D" w:rsidRPr="00F60A3D">
        <w:rPr>
          <w:lang w:val="fr-FR"/>
        </w:rPr>
        <w:t>principe de souveraineté populaire, le pouvoir législa</w:t>
      </w:r>
      <w:r w:rsidR="00CB0459" w:rsidRPr="00F60A3D">
        <w:rPr>
          <w:lang w:val="fr-FR"/>
        </w:rPr>
        <w:t>tif appartient à l</w:t>
      </w:r>
      <w:r w:rsidR="00B17AE1" w:rsidRPr="00F60A3D">
        <w:rPr>
          <w:lang w:val="fr-FR"/>
        </w:rPr>
        <w:t>’</w:t>
      </w:r>
      <w:r w:rsidR="00CB0459" w:rsidRPr="00F60A3D">
        <w:rPr>
          <w:lang w:val="fr-FR"/>
        </w:rPr>
        <w:t>État et aux régions, conformément à</w:t>
      </w:r>
      <w:r w:rsidR="0016441D" w:rsidRPr="00F60A3D">
        <w:rPr>
          <w:lang w:val="fr-FR"/>
        </w:rPr>
        <w:t xml:space="preserve"> la Constitution et</w:t>
      </w:r>
      <w:r w:rsidR="00CB0459" w:rsidRPr="00F60A3D">
        <w:rPr>
          <w:lang w:val="fr-FR"/>
        </w:rPr>
        <w:t xml:space="preserve"> dans les limites fixées par la l</w:t>
      </w:r>
      <w:r w:rsidR="00FA0692" w:rsidRPr="00F60A3D">
        <w:rPr>
          <w:lang w:val="fr-FR"/>
        </w:rPr>
        <w:t>égislation de l</w:t>
      </w:r>
      <w:r w:rsidR="00B17AE1" w:rsidRPr="00F60A3D">
        <w:rPr>
          <w:lang w:val="fr-FR"/>
        </w:rPr>
        <w:t>’</w:t>
      </w:r>
      <w:r w:rsidR="00FA0692" w:rsidRPr="00F60A3D">
        <w:rPr>
          <w:lang w:val="fr-FR"/>
        </w:rPr>
        <w:t>UE</w:t>
      </w:r>
      <w:r w:rsidR="00CB0459" w:rsidRPr="00F60A3D">
        <w:rPr>
          <w:lang w:val="fr-FR"/>
        </w:rPr>
        <w:t xml:space="preserve"> et les</w:t>
      </w:r>
      <w:r w:rsidR="0016441D" w:rsidRPr="00F60A3D">
        <w:rPr>
          <w:lang w:val="fr-FR"/>
        </w:rPr>
        <w:t xml:space="preserve"> obli</w:t>
      </w:r>
      <w:r w:rsidR="007D5EF5" w:rsidRPr="00F60A3D">
        <w:rPr>
          <w:lang w:val="fr-FR"/>
        </w:rPr>
        <w:t>gations internationales (</w:t>
      </w:r>
      <w:r w:rsidR="00731982" w:rsidRPr="00F60A3D">
        <w:rPr>
          <w:lang w:val="fr-FR"/>
        </w:rPr>
        <w:t>art. </w:t>
      </w:r>
      <w:r w:rsidR="0016441D" w:rsidRPr="00F60A3D">
        <w:rPr>
          <w:lang w:val="fr-FR"/>
        </w:rPr>
        <w:t>117).</w:t>
      </w:r>
      <w:r w:rsidR="00731982" w:rsidRPr="00F60A3D">
        <w:rPr>
          <w:lang w:val="fr-FR"/>
        </w:rPr>
        <w:t xml:space="preserve"> </w:t>
      </w:r>
    </w:p>
    <w:p w:rsidR="00625AF6" w:rsidRPr="00F60A3D" w:rsidRDefault="005B4045" w:rsidP="008578E0">
      <w:pPr>
        <w:pStyle w:val="SingleTxtG"/>
        <w:rPr>
          <w:lang w:val="fr-FR"/>
        </w:rPr>
      </w:pPr>
      <w:r w:rsidRPr="00F60A3D">
        <w:rPr>
          <w:lang w:val="fr-FR"/>
        </w:rPr>
        <w:t>12</w:t>
      </w:r>
      <w:r w:rsidR="00CB0459" w:rsidRPr="00F60A3D">
        <w:rPr>
          <w:lang w:val="fr-FR"/>
        </w:rPr>
        <w:t>8.</w:t>
      </w:r>
      <w:r w:rsidR="00CB0459" w:rsidRPr="00F60A3D">
        <w:rPr>
          <w:lang w:val="fr-FR"/>
        </w:rPr>
        <w:tab/>
        <w:t>Bien que l</w:t>
      </w:r>
      <w:r w:rsidR="00B17AE1" w:rsidRPr="00F60A3D">
        <w:rPr>
          <w:lang w:val="fr-FR"/>
        </w:rPr>
        <w:t>’</w:t>
      </w:r>
      <w:r w:rsidR="00CB0459" w:rsidRPr="00F60A3D">
        <w:rPr>
          <w:lang w:val="fr-FR"/>
        </w:rPr>
        <w:t>É</w:t>
      </w:r>
      <w:r w:rsidR="005B6328" w:rsidRPr="00F60A3D">
        <w:rPr>
          <w:lang w:val="fr-FR"/>
        </w:rPr>
        <w:t>tat ait le pouvoir exclusif</w:t>
      </w:r>
      <w:r w:rsidR="00625AF6" w:rsidRPr="00F60A3D">
        <w:rPr>
          <w:lang w:val="fr-FR"/>
        </w:rPr>
        <w:t xml:space="preserve"> de l</w:t>
      </w:r>
      <w:r w:rsidR="00CB0459" w:rsidRPr="00F60A3D">
        <w:rPr>
          <w:lang w:val="fr-FR"/>
        </w:rPr>
        <w:t>égiférer dans des domaines clés, tel</w:t>
      </w:r>
      <w:r w:rsidR="00625AF6" w:rsidRPr="00F60A3D">
        <w:rPr>
          <w:lang w:val="fr-FR"/>
        </w:rPr>
        <w:t>s la politique étrangère et les relations internationales, le droit d</w:t>
      </w:r>
      <w:r w:rsidR="00B17AE1" w:rsidRPr="00F60A3D">
        <w:rPr>
          <w:lang w:val="fr-FR"/>
        </w:rPr>
        <w:t>’</w:t>
      </w:r>
      <w:r w:rsidR="00625AF6" w:rsidRPr="00F60A3D">
        <w:rPr>
          <w:lang w:val="fr-FR"/>
        </w:rPr>
        <w:t>asile, les organes d</w:t>
      </w:r>
      <w:r w:rsidR="00CB0459" w:rsidRPr="00F60A3D">
        <w:rPr>
          <w:lang w:val="fr-FR"/>
        </w:rPr>
        <w:t>e l</w:t>
      </w:r>
      <w:r w:rsidR="00B17AE1" w:rsidRPr="00F60A3D">
        <w:rPr>
          <w:lang w:val="fr-FR"/>
        </w:rPr>
        <w:t>’</w:t>
      </w:r>
      <w:r w:rsidR="00CB0459" w:rsidRPr="00F60A3D">
        <w:rPr>
          <w:lang w:val="fr-FR"/>
        </w:rPr>
        <w:t>État et la loi électorale</w:t>
      </w:r>
      <w:r w:rsidR="00DF67DD" w:rsidRPr="00F60A3D">
        <w:rPr>
          <w:lang w:val="fr-FR"/>
        </w:rPr>
        <w:t>, la Constitution</w:t>
      </w:r>
      <w:r w:rsidR="00625AF6" w:rsidRPr="00F60A3D">
        <w:rPr>
          <w:lang w:val="fr-FR"/>
        </w:rPr>
        <w:t xml:space="preserve"> </w:t>
      </w:r>
      <w:r w:rsidR="00CB0459" w:rsidRPr="00F60A3D">
        <w:rPr>
          <w:lang w:val="fr-FR"/>
        </w:rPr>
        <w:t>confère un pouvoir législatif concurrent aux régions dans cer</w:t>
      </w:r>
      <w:r w:rsidR="005B6328" w:rsidRPr="00F60A3D">
        <w:rPr>
          <w:lang w:val="fr-FR"/>
        </w:rPr>
        <w:t>t</w:t>
      </w:r>
      <w:r w:rsidR="00CB0459" w:rsidRPr="00F60A3D">
        <w:rPr>
          <w:lang w:val="fr-FR"/>
        </w:rPr>
        <w:t>ains domaines</w:t>
      </w:r>
      <w:r w:rsidR="005B6328" w:rsidRPr="00F60A3D">
        <w:rPr>
          <w:lang w:val="fr-FR"/>
        </w:rPr>
        <w:t>,</w:t>
      </w:r>
      <w:r w:rsidR="00CB0459" w:rsidRPr="00F60A3D">
        <w:rPr>
          <w:lang w:val="fr-FR"/>
        </w:rPr>
        <w:t xml:space="preserve"> comme</w:t>
      </w:r>
      <w:r w:rsidR="00625AF6" w:rsidRPr="00F60A3D">
        <w:rPr>
          <w:lang w:val="fr-FR"/>
        </w:rPr>
        <w:t xml:space="preserve"> le</w:t>
      </w:r>
      <w:r w:rsidR="00B2059B" w:rsidRPr="00F60A3D">
        <w:rPr>
          <w:lang w:val="fr-FR"/>
        </w:rPr>
        <w:t>ur</w:t>
      </w:r>
      <w:r w:rsidR="00625AF6" w:rsidRPr="00F60A3D">
        <w:rPr>
          <w:lang w:val="fr-FR"/>
        </w:rPr>
        <w:t>s relati</w:t>
      </w:r>
      <w:r w:rsidR="00CB0459" w:rsidRPr="00F60A3D">
        <w:rPr>
          <w:lang w:val="fr-FR"/>
        </w:rPr>
        <w:t xml:space="preserve">ons internationales </w:t>
      </w:r>
      <w:r w:rsidR="00625AF6" w:rsidRPr="00F60A3D">
        <w:rPr>
          <w:lang w:val="fr-FR"/>
        </w:rPr>
        <w:t xml:space="preserve">et </w:t>
      </w:r>
      <w:r w:rsidR="00B2059B" w:rsidRPr="00F60A3D">
        <w:rPr>
          <w:lang w:val="fr-FR"/>
        </w:rPr>
        <w:t xml:space="preserve">leurs relations </w:t>
      </w:r>
      <w:r w:rsidR="000F14A3" w:rsidRPr="00F60A3D">
        <w:rPr>
          <w:lang w:val="fr-FR"/>
        </w:rPr>
        <w:t>avec l</w:t>
      </w:r>
      <w:r w:rsidR="00B17AE1" w:rsidRPr="00F60A3D">
        <w:rPr>
          <w:lang w:val="fr-FR"/>
        </w:rPr>
        <w:t>’</w:t>
      </w:r>
      <w:r w:rsidR="000F14A3" w:rsidRPr="00F60A3D">
        <w:rPr>
          <w:lang w:val="fr-FR"/>
        </w:rPr>
        <w:t>UE</w:t>
      </w:r>
      <w:r w:rsidR="00625AF6" w:rsidRPr="00F60A3D">
        <w:rPr>
          <w:lang w:val="fr-FR"/>
        </w:rPr>
        <w:t>, le commerce extérieur, la protection et</w:t>
      </w:r>
      <w:r w:rsidR="007D5EF5" w:rsidRPr="00F60A3D">
        <w:rPr>
          <w:lang w:val="fr-FR"/>
        </w:rPr>
        <w:t xml:space="preserve"> la sécurité du travail (</w:t>
      </w:r>
      <w:r w:rsidR="00731982" w:rsidRPr="00F60A3D">
        <w:rPr>
          <w:lang w:val="fr-FR"/>
        </w:rPr>
        <w:t>art. </w:t>
      </w:r>
      <w:r w:rsidR="00B04C56" w:rsidRPr="00F60A3D">
        <w:rPr>
          <w:lang w:val="fr-FR"/>
        </w:rPr>
        <w:t>117</w:t>
      </w:r>
      <w:r w:rsidR="0061482E" w:rsidRPr="00F60A3D">
        <w:rPr>
          <w:lang w:val="fr-FR"/>
        </w:rPr>
        <w:t xml:space="preserve">, </w:t>
      </w:r>
      <w:r w:rsidR="00B17AE1" w:rsidRPr="00F60A3D">
        <w:rPr>
          <w:lang w:val="fr-FR"/>
        </w:rPr>
        <w:t>par. </w:t>
      </w:r>
      <w:r w:rsidR="00625AF6" w:rsidRPr="00F60A3D">
        <w:rPr>
          <w:lang w:val="fr-FR"/>
        </w:rPr>
        <w:t>3).</w:t>
      </w:r>
    </w:p>
    <w:p w:rsidR="00625AF6" w:rsidRPr="00F60A3D" w:rsidRDefault="005B4045" w:rsidP="008578E0">
      <w:pPr>
        <w:pStyle w:val="SingleTxtG"/>
        <w:rPr>
          <w:lang w:val="fr-FR"/>
        </w:rPr>
      </w:pPr>
      <w:r w:rsidRPr="00F60A3D">
        <w:rPr>
          <w:lang w:val="fr-FR"/>
        </w:rPr>
        <w:t>12</w:t>
      </w:r>
      <w:r w:rsidR="00625AF6" w:rsidRPr="00F60A3D">
        <w:rPr>
          <w:lang w:val="fr-FR"/>
        </w:rPr>
        <w:t>9.</w:t>
      </w:r>
      <w:r w:rsidR="00625AF6" w:rsidRPr="00F60A3D">
        <w:rPr>
          <w:lang w:val="fr-FR"/>
        </w:rPr>
        <w:tab/>
        <w:t>Afin d</w:t>
      </w:r>
      <w:r w:rsidR="00B17AE1" w:rsidRPr="00F60A3D">
        <w:rPr>
          <w:lang w:val="fr-FR"/>
        </w:rPr>
        <w:t>’</w:t>
      </w:r>
      <w:r w:rsidR="00625AF6" w:rsidRPr="00F60A3D">
        <w:rPr>
          <w:lang w:val="fr-FR"/>
        </w:rPr>
        <w:t>exprimer pleinement la volonté populaire, les autorités l</w:t>
      </w:r>
      <w:r w:rsidR="00B2059B" w:rsidRPr="00F60A3D">
        <w:rPr>
          <w:lang w:val="fr-FR"/>
        </w:rPr>
        <w:t>ocales disposent d</w:t>
      </w:r>
      <w:r w:rsidR="00B17AE1" w:rsidRPr="00F60A3D">
        <w:rPr>
          <w:lang w:val="fr-FR"/>
        </w:rPr>
        <w:t>’</w:t>
      </w:r>
      <w:r w:rsidR="002F2C7F" w:rsidRPr="00F60A3D">
        <w:rPr>
          <w:lang w:val="fr-FR"/>
        </w:rPr>
        <w:t>un pouvoir</w:t>
      </w:r>
      <w:r w:rsidR="00B2059B" w:rsidRPr="00F60A3D">
        <w:rPr>
          <w:lang w:val="fr-FR"/>
        </w:rPr>
        <w:t xml:space="preserve"> législatif exclusif</w:t>
      </w:r>
      <w:r w:rsidR="00625AF6" w:rsidRPr="00F60A3D">
        <w:rPr>
          <w:lang w:val="fr-FR"/>
        </w:rPr>
        <w:t xml:space="preserve"> (résiduel) pour toutes les question</w:t>
      </w:r>
      <w:r w:rsidR="00AF5351" w:rsidRPr="00F60A3D">
        <w:rPr>
          <w:lang w:val="fr-FR"/>
        </w:rPr>
        <w:t>s qui ne relèvent</w:t>
      </w:r>
      <w:r w:rsidR="002F2C7F" w:rsidRPr="00F60A3D">
        <w:rPr>
          <w:lang w:val="fr-FR"/>
        </w:rPr>
        <w:t xml:space="preserve"> pas express</w:t>
      </w:r>
      <w:r w:rsidR="00AF5351" w:rsidRPr="00F60A3D">
        <w:rPr>
          <w:lang w:val="fr-FR"/>
        </w:rPr>
        <w:t xml:space="preserve">ément </w:t>
      </w:r>
      <w:r w:rsidR="007D5EF5" w:rsidRPr="00F60A3D">
        <w:rPr>
          <w:lang w:val="fr-FR"/>
        </w:rPr>
        <w:t>de l</w:t>
      </w:r>
      <w:r w:rsidR="00B17AE1" w:rsidRPr="00F60A3D">
        <w:rPr>
          <w:lang w:val="fr-FR"/>
        </w:rPr>
        <w:t>’</w:t>
      </w:r>
      <w:r w:rsidR="007D5EF5" w:rsidRPr="00F60A3D">
        <w:rPr>
          <w:lang w:val="fr-FR"/>
        </w:rPr>
        <w:t>État (</w:t>
      </w:r>
      <w:r w:rsidR="00731982" w:rsidRPr="00F60A3D">
        <w:rPr>
          <w:lang w:val="fr-FR"/>
        </w:rPr>
        <w:t>art. </w:t>
      </w:r>
      <w:r w:rsidR="00B04C56" w:rsidRPr="00F60A3D">
        <w:rPr>
          <w:lang w:val="fr-FR"/>
        </w:rPr>
        <w:t>117</w:t>
      </w:r>
      <w:r w:rsidR="0061482E" w:rsidRPr="00F60A3D">
        <w:rPr>
          <w:lang w:val="fr-FR"/>
        </w:rPr>
        <w:t xml:space="preserve">, </w:t>
      </w:r>
      <w:r w:rsidR="00B17AE1" w:rsidRPr="00F60A3D">
        <w:rPr>
          <w:lang w:val="fr-FR"/>
        </w:rPr>
        <w:t>par. </w:t>
      </w:r>
      <w:r w:rsidR="002F2C7F" w:rsidRPr="00F60A3D">
        <w:rPr>
          <w:lang w:val="fr-FR"/>
        </w:rPr>
        <w:t xml:space="preserve">4). </w:t>
      </w:r>
      <w:r w:rsidR="006970EB" w:rsidRPr="00F60A3D">
        <w:rPr>
          <w:lang w:val="fr-FR"/>
        </w:rPr>
        <w:t>Dans cet esprit</w:t>
      </w:r>
      <w:r w:rsidR="00B2059B" w:rsidRPr="00F60A3D">
        <w:rPr>
          <w:lang w:val="fr-FR"/>
        </w:rPr>
        <w:t>, par exemple dans les domaines où un pouvoir législatif concurrent leur est conféré, les régions ne peuvent légiférer en ce qui concerne les principes fondamentaux qui relèvent exclusivement de l</w:t>
      </w:r>
      <w:r w:rsidR="00B17AE1" w:rsidRPr="00F60A3D">
        <w:rPr>
          <w:lang w:val="fr-FR"/>
        </w:rPr>
        <w:t>’</w:t>
      </w:r>
      <w:r w:rsidR="00B2059B" w:rsidRPr="00F60A3D">
        <w:rPr>
          <w:lang w:val="fr-FR"/>
        </w:rPr>
        <w:t xml:space="preserve">État. </w:t>
      </w:r>
    </w:p>
    <w:p w:rsidR="00CC6F71" w:rsidRPr="00F60A3D" w:rsidRDefault="00CC6F71" w:rsidP="0022658C">
      <w:pPr>
        <w:pStyle w:val="H4G"/>
        <w:rPr>
          <w:lang w:val="fr-FR"/>
        </w:rPr>
      </w:pPr>
      <w:r w:rsidRPr="00F60A3D">
        <w:rPr>
          <w:lang w:val="fr-FR"/>
        </w:rPr>
        <w:tab/>
      </w:r>
      <w:r w:rsidRPr="00F60A3D">
        <w:rPr>
          <w:lang w:val="fr-FR"/>
        </w:rPr>
        <w:tab/>
      </w:r>
      <w:r w:rsidR="001C4D72" w:rsidRPr="00F60A3D">
        <w:rPr>
          <w:lang w:val="fr-FR"/>
        </w:rPr>
        <w:t>Le processus législatif et l</w:t>
      </w:r>
      <w:r w:rsidR="00B17AE1" w:rsidRPr="00F60A3D">
        <w:rPr>
          <w:lang w:val="fr-FR"/>
        </w:rPr>
        <w:t>’</w:t>
      </w:r>
      <w:r w:rsidR="001C4D72" w:rsidRPr="00F60A3D">
        <w:rPr>
          <w:lang w:val="fr-FR"/>
        </w:rPr>
        <w:t xml:space="preserve">Union européenne </w:t>
      </w:r>
    </w:p>
    <w:p w:rsidR="001C4D72" w:rsidRPr="00F60A3D" w:rsidRDefault="005B4045" w:rsidP="008578E0">
      <w:pPr>
        <w:pStyle w:val="SingleTxtG"/>
        <w:rPr>
          <w:lang w:val="fr-FR"/>
        </w:rPr>
      </w:pPr>
      <w:r w:rsidRPr="00F60A3D">
        <w:rPr>
          <w:lang w:val="fr-FR"/>
        </w:rPr>
        <w:t>13</w:t>
      </w:r>
      <w:r w:rsidR="001C4D72" w:rsidRPr="00F60A3D">
        <w:rPr>
          <w:lang w:val="fr-FR"/>
        </w:rPr>
        <w:t>0.</w:t>
      </w:r>
      <w:r w:rsidR="001C4D72" w:rsidRPr="00F60A3D">
        <w:rPr>
          <w:lang w:val="fr-FR"/>
        </w:rPr>
        <w:tab/>
        <w:t>Bien qu</w:t>
      </w:r>
      <w:r w:rsidR="00B17AE1" w:rsidRPr="00F60A3D">
        <w:rPr>
          <w:lang w:val="fr-FR"/>
        </w:rPr>
        <w:t>’</w:t>
      </w:r>
      <w:r w:rsidR="001C4D72" w:rsidRPr="00F60A3D">
        <w:rPr>
          <w:lang w:val="fr-FR"/>
        </w:rPr>
        <w:t>il ne soit pas fait référence au</w:t>
      </w:r>
      <w:r w:rsidR="00B347E3" w:rsidRPr="00F60A3D">
        <w:rPr>
          <w:lang w:val="fr-FR"/>
        </w:rPr>
        <w:t>x relations entre l</w:t>
      </w:r>
      <w:r w:rsidR="00B17AE1" w:rsidRPr="00F60A3D">
        <w:rPr>
          <w:lang w:val="fr-FR"/>
        </w:rPr>
        <w:t>’</w:t>
      </w:r>
      <w:r w:rsidR="00B347E3" w:rsidRPr="00F60A3D">
        <w:rPr>
          <w:lang w:val="fr-FR"/>
        </w:rPr>
        <w:t>État et l</w:t>
      </w:r>
      <w:r w:rsidR="00B17AE1" w:rsidRPr="00F60A3D">
        <w:rPr>
          <w:lang w:val="fr-FR"/>
        </w:rPr>
        <w:t>’</w:t>
      </w:r>
      <w:r w:rsidR="00B347E3" w:rsidRPr="00F60A3D">
        <w:rPr>
          <w:lang w:val="fr-FR"/>
        </w:rPr>
        <w:t>UE</w:t>
      </w:r>
      <w:r w:rsidR="001C4D72" w:rsidRPr="00F60A3D">
        <w:rPr>
          <w:lang w:val="fr-FR"/>
        </w:rPr>
        <w:t xml:space="preserve"> dans la première partie de la Constitution, </w:t>
      </w:r>
      <w:r w:rsidR="00DD4332" w:rsidRPr="00F60A3D">
        <w:rPr>
          <w:lang w:val="fr-FR"/>
        </w:rPr>
        <w:t>el</w:t>
      </w:r>
      <w:r w:rsidR="00B2059B" w:rsidRPr="00F60A3D">
        <w:rPr>
          <w:lang w:val="fr-FR"/>
        </w:rPr>
        <w:t>les figurent expressément dans s</w:t>
      </w:r>
      <w:r w:rsidR="00DD4332" w:rsidRPr="00F60A3D">
        <w:rPr>
          <w:lang w:val="fr-FR"/>
        </w:rPr>
        <w:t>a deuxième partie. Les régions et les provinces autonomes prévoient aussi la mise en œuvre et l</w:t>
      </w:r>
      <w:r w:rsidR="00B17AE1" w:rsidRPr="00F60A3D">
        <w:rPr>
          <w:lang w:val="fr-FR"/>
        </w:rPr>
        <w:t>’</w:t>
      </w:r>
      <w:r w:rsidR="00DD4332" w:rsidRPr="00F60A3D">
        <w:rPr>
          <w:lang w:val="fr-FR"/>
        </w:rPr>
        <w:t>exécution des obligations internationales e</w:t>
      </w:r>
      <w:r w:rsidR="00FA0692" w:rsidRPr="00F60A3D">
        <w:rPr>
          <w:lang w:val="fr-FR"/>
        </w:rPr>
        <w:t>t des lois de l</w:t>
      </w:r>
      <w:r w:rsidR="00B17AE1" w:rsidRPr="00F60A3D">
        <w:rPr>
          <w:lang w:val="fr-FR"/>
        </w:rPr>
        <w:t>’</w:t>
      </w:r>
      <w:r w:rsidR="00FA0692" w:rsidRPr="00F60A3D">
        <w:rPr>
          <w:lang w:val="fr-FR"/>
        </w:rPr>
        <w:t>UE</w:t>
      </w:r>
      <w:r w:rsidR="00DD4332" w:rsidRPr="00F60A3D">
        <w:rPr>
          <w:lang w:val="fr-FR"/>
        </w:rPr>
        <w:t>, conformément aux procédures énoncées par les lois de l</w:t>
      </w:r>
      <w:r w:rsidR="00B17AE1" w:rsidRPr="00F60A3D">
        <w:rPr>
          <w:lang w:val="fr-FR"/>
        </w:rPr>
        <w:t>’</w:t>
      </w:r>
      <w:r w:rsidR="00DD4332" w:rsidRPr="00F60A3D">
        <w:rPr>
          <w:lang w:val="fr-FR"/>
        </w:rPr>
        <w:t xml:space="preserve">État </w:t>
      </w:r>
      <w:r w:rsidR="007D5EF5" w:rsidRPr="00F60A3D">
        <w:rPr>
          <w:lang w:val="fr-FR"/>
        </w:rPr>
        <w:t>(</w:t>
      </w:r>
      <w:r w:rsidR="00731982" w:rsidRPr="00F60A3D">
        <w:rPr>
          <w:lang w:val="fr-FR"/>
        </w:rPr>
        <w:t>art. </w:t>
      </w:r>
      <w:r w:rsidR="00496DC1" w:rsidRPr="00F60A3D">
        <w:rPr>
          <w:lang w:val="fr-FR"/>
        </w:rPr>
        <w:t xml:space="preserve">117, dernier </w:t>
      </w:r>
      <w:r w:rsidR="0061482E" w:rsidRPr="00F60A3D">
        <w:rPr>
          <w:lang w:val="fr-FR"/>
        </w:rPr>
        <w:t>paragraphe</w:t>
      </w:r>
      <w:r w:rsidR="00DD4332" w:rsidRPr="00F60A3D">
        <w:rPr>
          <w:lang w:val="fr-FR"/>
        </w:rPr>
        <w:t xml:space="preserve">). </w:t>
      </w:r>
    </w:p>
    <w:p w:rsidR="00CC6F71" w:rsidRPr="00F60A3D" w:rsidRDefault="00DD4332" w:rsidP="00B03B68">
      <w:pPr>
        <w:pStyle w:val="H23G"/>
        <w:rPr>
          <w:b w:val="0"/>
          <w:i/>
          <w:lang w:val="fr-FR"/>
        </w:rPr>
      </w:pPr>
      <w:r w:rsidRPr="00F60A3D">
        <w:rPr>
          <w:lang w:val="fr-FR"/>
        </w:rPr>
        <w:tab/>
      </w:r>
      <w:r w:rsidRPr="00F60A3D">
        <w:rPr>
          <w:lang w:val="fr-FR"/>
        </w:rPr>
        <w:tab/>
      </w:r>
      <w:r w:rsidRPr="00F60A3D">
        <w:rPr>
          <w:b w:val="0"/>
          <w:i/>
          <w:lang w:val="fr-FR"/>
        </w:rPr>
        <w:t>Coopération entre les ré</w:t>
      </w:r>
      <w:r w:rsidR="00CC6F71" w:rsidRPr="00F60A3D">
        <w:rPr>
          <w:b w:val="0"/>
          <w:i/>
          <w:lang w:val="fr-FR"/>
        </w:rPr>
        <w:t>gions</w:t>
      </w:r>
    </w:p>
    <w:p w:rsidR="00AC4070" w:rsidRPr="00F60A3D" w:rsidRDefault="005B4045" w:rsidP="008578E0">
      <w:pPr>
        <w:pStyle w:val="SingleTxtG"/>
        <w:rPr>
          <w:lang w:val="fr-FR"/>
        </w:rPr>
      </w:pPr>
      <w:r w:rsidRPr="00F60A3D">
        <w:rPr>
          <w:lang w:val="fr-FR"/>
        </w:rPr>
        <w:t>13</w:t>
      </w:r>
      <w:r w:rsidR="00AC4070" w:rsidRPr="00F60A3D">
        <w:rPr>
          <w:lang w:val="fr-FR"/>
        </w:rPr>
        <w:t>1.</w:t>
      </w:r>
      <w:r w:rsidR="00AC4070" w:rsidRPr="00F60A3D">
        <w:rPr>
          <w:lang w:val="fr-FR"/>
        </w:rPr>
        <w:tab/>
        <w:t>Les relations entre autorités centrales et régions, et entre les régions elles-mêmes, se caractérisent généralement par la coopération</w:t>
      </w:r>
      <w:r w:rsidR="0068528B" w:rsidRPr="00F60A3D">
        <w:rPr>
          <w:lang w:val="fr-FR"/>
        </w:rPr>
        <w:t>, ce</w:t>
      </w:r>
      <w:r w:rsidR="00AC4070" w:rsidRPr="00F60A3D">
        <w:rPr>
          <w:lang w:val="fr-FR"/>
        </w:rPr>
        <w:t xml:space="preserve"> qui permet à la fois une approche globale et une variété culturelle </w:t>
      </w:r>
      <w:r w:rsidR="007D5EF5" w:rsidRPr="00F60A3D">
        <w:rPr>
          <w:lang w:val="fr-FR"/>
        </w:rPr>
        <w:t>et régionale (</w:t>
      </w:r>
      <w:r w:rsidR="00731982" w:rsidRPr="00F60A3D">
        <w:rPr>
          <w:lang w:val="fr-FR"/>
        </w:rPr>
        <w:t>art. </w:t>
      </w:r>
      <w:r w:rsidR="00B04C56" w:rsidRPr="00F60A3D">
        <w:rPr>
          <w:lang w:val="fr-FR"/>
        </w:rPr>
        <w:t>117</w:t>
      </w:r>
      <w:r w:rsidR="0061482E" w:rsidRPr="00F60A3D">
        <w:rPr>
          <w:lang w:val="fr-FR"/>
        </w:rPr>
        <w:t xml:space="preserve">; </w:t>
      </w:r>
      <w:r w:rsidR="00B17AE1" w:rsidRPr="00F60A3D">
        <w:rPr>
          <w:lang w:val="fr-FR"/>
        </w:rPr>
        <w:t>par. </w:t>
      </w:r>
      <w:r w:rsidR="00AC4070" w:rsidRPr="00F60A3D">
        <w:rPr>
          <w:lang w:val="fr-FR"/>
        </w:rPr>
        <w:t>8).</w:t>
      </w:r>
      <w:r w:rsidR="00731982" w:rsidRPr="00F60A3D">
        <w:rPr>
          <w:lang w:val="fr-FR"/>
        </w:rPr>
        <w:t xml:space="preserve"> </w:t>
      </w:r>
    </w:p>
    <w:p w:rsidR="00CC6F71" w:rsidRPr="00F60A3D" w:rsidRDefault="00AC4070" w:rsidP="00B03B68">
      <w:pPr>
        <w:pStyle w:val="H23G"/>
        <w:rPr>
          <w:b w:val="0"/>
          <w:i/>
          <w:lang w:val="fr-FR"/>
        </w:rPr>
      </w:pPr>
      <w:r w:rsidRPr="00F60A3D">
        <w:rPr>
          <w:lang w:val="fr-FR"/>
        </w:rPr>
        <w:tab/>
      </w:r>
      <w:r w:rsidRPr="00F60A3D">
        <w:rPr>
          <w:lang w:val="fr-FR"/>
        </w:rPr>
        <w:tab/>
      </w:r>
      <w:r w:rsidRPr="00F60A3D">
        <w:rPr>
          <w:b w:val="0"/>
          <w:i/>
          <w:lang w:val="fr-FR"/>
        </w:rPr>
        <w:t>Les</w:t>
      </w:r>
      <w:r w:rsidR="00476620" w:rsidRPr="00F60A3D">
        <w:rPr>
          <w:b w:val="0"/>
          <w:i/>
          <w:lang w:val="fr-FR"/>
        </w:rPr>
        <w:t xml:space="preserve"> commune</w:t>
      </w:r>
      <w:r w:rsidR="00CC6F71" w:rsidRPr="00F60A3D">
        <w:rPr>
          <w:b w:val="0"/>
          <w:i/>
          <w:lang w:val="fr-FR"/>
        </w:rPr>
        <w:t>s</w:t>
      </w:r>
    </w:p>
    <w:p w:rsidR="00B17AE1" w:rsidRPr="00F60A3D" w:rsidRDefault="005B4045" w:rsidP="008578E0">
      <w:pPr>
        <w:pStyle w:val="SingleTxtG"/>
        <w:rPr>
          <w:lang w:val="fr-FR"/>
        </w:rPr>
      </w:pPr>
      <w:r w:rsidRPr="00F60A3D">
        <w:rPr>
          <w:lang w:val="fr-FR"/>
        </w:rPr>
        <w:t>13</w:t>
      </w:r>
      <w:r w:rsidR="00AC4070" w:rsidRPr="00F60A3D">
        <w:rPr>
          <w:lang w:val="fr-FR"/>
        </w:rPr>
        <w:t>2.</w:t>
      </w:r>
      <w:r w:rsidR="00AC4070" w:rsidRPr="00F60A3D">
        <w:rPr>
          <w:lang w:val="fr-FR"/>
        </w:rPr>
        <w:tab/>
        <w:t>Les</w:t>
      </w:r>
      <w:r w:rsidR="00476620" w:rsidRPr="00F60A3D">
        <w:rPr>
          <w:lang w:val="fr-FR"/>
        </w:rPr>
        <w:t xml:space="preserve"> commune</w:t>
      </w:r>
      <w:r w:rsidR="00CC6F71" w:rsidRPr="00F60A3D">
        <w:rPr>
          <w:lang w:val="fr-FR"/>
        </w:rPr>
        <w:t xml:space="preserve">s </w:t>
      </w:r>
      <w:r w:rsidR="00BD7E9C" w:rsidRPr="00F60A3D">
        <w:rPr>
          <w:lang w:val="fr-FR"/>
        </w:rPr>
        <w:t>occupe</w:t>
      </w:r>
      <w:r w:rsidR="00AC4070" w:rsidRPr="00F60A3D">
        <w:rPr>
          <w:lang w:val="fr-FR"/>
        </w:rPr>
        <w:t>nt une forte position. Elles peuvent être considérées comme</w:t>
      </w:r>
      <w:r w:rsidR="00BD7E9C" w:rsidRPr="00F60A3D">
        <w:rPr>
          <w:lang w:val="fr-FR"/>
        </w:rPr>
        <w:t xml:space="preserve"> une partie spécialement structurée de l</w:t>
      </w:r>
      <w:r w:rsidR="00B17AE1" w:rsidRPr="00F60A3D">
        <w:rPr>
          <w:lang w:val="fr-FR"/>
        </w:rPr>
        <w:t>’</w:t>
      </w:r>
      <w:r w:rsidR="00BD7E9C" w:rsidRPr="00F60A3D">
        <w:rPr>
          <w:lang w:val="fr-FR"/>
        </w:rPr>
        <w:t>administration des régions, tout en possédant une autonomie administrative énoncée dans l</w:t>
      </w:r>
      <w:r w:rsidR="00AF5351" w:rsidRPr="00F60A3D">
        <w:rPr>
          <w:lang w:val="fr-FR"/>
        </w:rPr>
        <w:t>a Constitution. Elles constituent</w:t>
      </w:r>
      <w:r w:rsidR="00BD7E9C" w:rsidRPr="00F60A3D">
        <w:rPr>
          <w:lang w:val="fr-FR"/>
        </w:rPr>
        <w:t xml:space="preserve"> des entités juridiques indépendantes dotées de leurs propres lois, budget et personnel. </w:t>
      </w:r>
    </w:p>
    <w:p w:rsidR="00CC6F71" w:rsidRPr="00F60A3D" w:rsidRDefault="005B4045" w:rsidP="0022658C">
      <w:pPr>
        <w:pStyle w:val="SingleTxtG"/>
        <w:rPr>
          <w:lang w:val="fr-FR"/>
        </w:rPr>
      </w:pPr>
      <w:r w:rsidRPr="00F60A3D">
        <w:rPr>
          <w:lang w:val="fr-FR"/>
        </w:rPr>
        <w:t>133</w:t>
      </w:r>
      <w:r w:rsidR="00BD7E9C" w:rsidRPr="00F60A3D">
        <w:rPr>
          <w:lang w:val="fr-FR"/>
        </w:rPr>
        <w:t>.</w:t>
      </w:r>
      <w:r w:rsidR="00BD7E9C" w:rsidRPr="00F60A3D">
        <w:rPr>
          <w:lang w:val="fr-FR"/>
        </w:rPr>
        <w:tab/>
        <w:t>En</w:t>
      </w:r>
      <w:r w:rsidR="00AC0000" w:rsidRPr="00F60A3D">
        <w:rPr>
          <w:lang w:val="fr-FR"/>
        </w:rPr>
        <w:t xml:space="preserve"> t</w:t>
      </w:r>
      <w:r w:rsidR="00BD7E9C" w:rsidRPr="00F60A3D">
        <w:rPr>
          <w:lang w:val="fr-FR"/>
        </w:rPr>
        <w:t>ant que</w:t>
      </w:r>
      <w:r w:rsidR="00476620" w:rsidRPr="00F60A3D">
        <w:rPr>
          <w:lang w:val="fr-FR"/>
        </w:rPr>
        <w:t xml:space="preserve"> commune</w:t>
      </w:r>
      <w:r w:rsidR="00CC6F71" w:rsidRPr="00F60A3D">
        <w:rPr>
          <w:lang w:val="fr-FR"/>
        </w:rPr>
        <w:t>s,</w:t>
      </w:r>
      <w:r w:rsidR="00BD7E9C" w:rsidRPr="00F60A3D">
        <w:rPr>
          <w:lang w:val="fr-FR"/>
        </w:rPr>
        <w:t xml:space="preserve"> elles </w:t>
      </w:r>
      <w:r w:rsidR="00AC0000" w:rsidRPr="00F60A3D">
        <w:rPr>
          <w:lang w:val="fr-FR"/>
        </w:rPr>
        <w:t>ont droit à l</w:t>
      </w:r>
      <w:r w:rsidR="00B17AE1" w:rsidRPr="00F60A3D">
        <w:rPr>
          <w:lang w:val="fr-FR"/>
        </w:rPr>
        <w:t>’</w:t>
      </w:r>
      <w:r w:rsidR="00BD7E9C" w:rsidRPr="00F60A3D">
        <w:rPr>
          <w:lang w:val="fr-FR"/>
        </w:rPr>
        <w:t xml:space="preserve">autonomie administrative. </w:t>
      </w:r>
      <w:r w:rsidR="00990ADC" w:rsidRPr="00F60A3D">
        <w:rPr>
          <w:lang w:val="fr-FR"/>
        </w:rPr>
        <w:t>E</w:t>
      </w:r>
      <w:r w:rsidR="00AC0000" w:rsidRPr="00F60A3D">
        <w:rPr>
          <w:lang w:val="fr-FR"/>
        </w:rPr>
        <w:t>xclusivement habilitées à trancher toutes les questions conce</w:t>
      </w:r>
      <w:r w:rsidR="005B1E07" w:rsidRPr="00F60A3D">
        <w:rPr>
          <w:lang w:val="fr-FR"/>
        </w:rPr>
        <w:t>r</w:t>
      </w:r>
      <w:r w:rsidR="00AC0000" w:rsidRPr="00F60A3D">
        <w:rPr>
          <w:lang w:val="fr-FR"/>
        </w:rPr>
        <w:t xml:space="preserve">nant la communauté locale relevant de leur compétence, dans le cadre </w:t>
      </w:r>
      <w:r w:rsidR="00AC303C" w:rsidRPr="00F60A3D">
        <w:rPr>
          <w:lang w:val="fr-FR"/>
        </w:rPr>
        <w:t>réglementaire</w:t>
      </w:r>
      <w:r w:rsidR="00990ADC" w:rsidRPr="00F60A3D">
        <w:rPr>
          <w:lang w:val="fr-FR"/>
        </w:rPr>
        <w:t>, e</w:t>
      </w:r>
      <w:r w:rsidR="00AC0000" w:rsidRPr="00F60A3D">
        <w:rPr>
          <w:lang w:val="fr-FR"/>
        </w:rPr>
        <w:t xml:space="preserve">lles sont en même temps le premier </w:t>
      </w:r>
      <w:r w:rsidR="00227915" w:rsidRPr="00F60A3D">
        <w:rPr>
          <w:lang w:val="fr-FR"/>
        </w:rPr>
        <w:t>é</w:t>
      </w:r>
      <w:r w:rsidR="00AC0000" w:rsidRPr="00F60A3D">
        <w:rPr>
          <w:lang w:val="fr-FR"/>
        </w:rPr>
        <w:t>chelon de l</w:t>
      </w:r>
      <w:r w:rsidR="00B17AE1" w:rsidRPr="00F60A3D">
        <w:rPr>
          <w:lang w:val="fr-FR"/>
        </w:rPr>
        <w:t>’</w:t>
      </w:r>
      <w:r w:rsidR="00227915" w:rsidRPr="00F60A3D">
        <w:rPr>
          <w:lang w:val="fr-FR"/>
        </w:rPr>
        <w:t>administration publique</w:t>
      </w:r>
      <w:r w:rsidR="005B1E07" w:rsidRPr="00F60A3D">
        <w:rPr>
          <w:lang w:val="fr-FR"/>
        </w:rPr>
        <w:t xml:space="preserve"> générale, </w:t>
      </w:r>
      <w:r w:rsidR="00AC0000" w:rsidRPr="00F60A3D">
        <w:rPr>
          <w:lang w:val="fr-FR"/>
        </w:rPr>
        <w:t xml:space="preserve">à la fois aux niveaux national et </w:t>
      </w:r>
      <w:r w:rsidR="00227915" w:rsidRPr="00F60A3D">
        <w:rPr>
          <w:lang w:val="fr-FR"/>
        </w:rPr>
        <w:t>ré</w:t>
      </w:r>
      <w:r w:rsidR="00990ADC" w:rsidRPr="00F60A3D">
        <w:rPr>
          <w:lang w:val="fr-FR"/>
        </w:rPr>
        <w:t>gional, et</w:t>
      </w:r>
      <w:r w:rsidR="00AC0000" w:rsidRPr="00F60A3D">
        <w:rPr>
          <w:lang w:val="fr-FR"/>
        </w:rPr>
        <w:t xml:space="preserve"> soumises au contrôle des autorités supérieures. </w:t>
      </w:r>
    </w:p>
    <w:p w:rsidR="00CC6F71" w:rsidRPr="00F60A3D" w:rsidRDefault="00CC6F71" w:rsidP="00B03B68">
      <w:pPr>
        <w:pStyle w:val="H23G"/>
        <w:rPr>
          <w:b w:val="0"/>
          <w:i/>
          <w:lang w:val="fr-FR"/>
        </w:rPr>
      </w:pPr>
      <w:r w:rsidRPr="00F60A3D">
        <w:rPr>
          <w:lang w:val="fr-FR"/>
        </w:rPr>
        <w:lastRenderedPageBreak/>
        <w:tab/>
      </w:r>
      <w:r w:rsidRPr="00F60A3D">
        <w:rPr>
          <w:lang w:val="fr-FR"/>
        </w:rPr>
        <w:tab/>
      </w:r>
      <w:r w:rsidR="00D11869" w:rsidRPr="00F60A3D">
        <w:rPr>
          <w:b w:val="0"/>
          <w:i/>
          <w:lang w:val="fr-FR"/>
        </w:rPr>
        <w:t>Affectation des finances et du</w:t>
      </w:r>
      <w:r w:rsidRPr="00F60A3D">
        <w:rPr>
          <w:b w:val="0"/>
          <w:i/>
          <w:lang w:val="fr-FR"/>
        </w:rPr>
        <w:t xml:space="preserve"> budget</w:t>
      </w:r>
    </w:p>
    <w:p w:rsidR="00D11869" w:rsidRPr="00F60A3D" w:rsidRDefault="005B4045" w:rsidP="008578E0">
      <w:pPr>
        <w:pStyle w:val="SingleTxtG"/>
        <w:rPr>
          <w:lang w:val="fr-FR"/>
        </w:rPr>
      </w:pPr>
      <w:r w:rsidRPr="00F60A3D">
        <w:rPr>
          <w:lang w:val="fr-FR"/>
        </w:rPr>
        <w:t>13</w:t>
      </w:r>
      <w:r w:rsidR="00D11869" w:rsidRPr="00F60A3D">
        <w:rPr>
          <w:lang w:val="fr-FR"/>
        </w:rPr>
        <w:t>4.</w:t>
      </w:r>
      <w:r w:rsidR="00D11869" w:rsidRPr="00F60A3D">
        <w:rPr>
          <w:lang w:val="fr-FR"/>
        </w:rPr>
        <w:tab/>
        <w:t>Chaque année, les chambres votent le projet de loi sur le budget dont la rédaction incombe au Gouvernement. Pour ne pas porter atteinte à l</w:t>
      </w:r>
      <w:r w:rsidR="00B17AE1" w:rsidRPr="00F60A3D">
        <w:rPr>
          <w:lang w:val="fr-FR"/>
        </w:rPr>
        <w:t>’</w:t>
      </w:r>
      <w:r w:rsidR="00D11869" w:rsidRPr="00F60A3D">
        <w:rPr>
          <w:lang w:val="fr-FR"/>
        </w:rPr>
        <w:t>équilibr</w:t>
      </w:r>
      <w:r w:rsidR="008114CC" w:rsidRPr="00F60A3D">
        <w:rPr>
          <w:lang w:val="fr-FR"/>
        </w:rPr>
        <w:t>e social et se conformer pleine</w:t>
      </w:r>
      <w:r w:rsidR="00D11869" w:rsidRPr="00F60A3D">
        <w:rPr>
          <w:lang w:val="fr-FR"/>
        </w:rPr>
        <w:t xml:space="preserve">ment au principe de </w:t>
      </w:r>
      <w:r w:rsidR="00EC72E6" w:rsidRPr="00F60A3D">
        <w:rPr>
          <w:lang w:val="fr-FR"/>
        </w:rPr>
        <w:t>l</w:t>
      </w:r>
      <w:r w:rsidR="00B17AE1" w:rsidRPr="00F60A3D">
        <w:rPr>
          <w:lang w:val="fr-FR"/>
        </w:rPr>
        <w:t>’</w:t>
      </w:r>
      <w:r w:rsidR="00EC72E6" w:rsidRPr="00F60A3D">
        <w:rPr>
          <w:lang w:val="fr-FR"/>
        </w:rPr>
        <w:t>État social</w:t>
      </w:r>
      <w:r w:rsidR="008114CC" w:rsidRPr="00F60A3D">
        <w:rPr>
          <w:lang w:val="fr-FR"/>
        </w:rPr>
        <w:t>, la loi d</w:t>
      </w:r>
      <w:r w:rsidR="00B17AE1" w:rsidRPr="00F60A3D">
        <w:rPr>
          <w:lang w:val="fr-FR"/>
        </w:rPr>
        <w:t>’</w:t>
      </w:r>
      <w:r w:rsidR="008114CC" w:rsidRPr="00F60A3D">
        <w:rPr>
          <w:lang w:val="fr-FR"/>
        </w:rPr>
        <w:t>approbation du budge</w:t>
      </w:r>
      <w:r w:rsidR="00AC303C" w:rsidRPr="00F60A3D">
        <w:rPr>
          <w:lang w:val="fr-FR"/>
        </w:rPr>
        <w:t>t ne peut prévoir aucun nouvel impôt</w:t>
      </w:r>
      <w:r w:rsidR="007939FA" w:rsidRPr="00F60A3D">
        <w:rPr>
          <w:lang w:val="fr-FR"/>
        </w:rPr>
        <w:t xml:space="preserve"> ou nouvelles</w:t>
      </w:r>
      <w:r w:rsidR="008114CC" w:rsidRPr="00F60A3D">
        <w:rPr>
          <w:lang w:val="fr-FR"/>
        </w:rPr>
        <w:t xml:space="preserve"> dépenses, et toute autre loi qui compo</w:t>
      </w:r>
      <w:r w:rsidR="00AC303C" w:rsidRPr="00F60A3D">
        <w:rPr>
          <w:lang w:val="fr-FR"/>
        </w:rPr>
        <w:t>rte</w:t>
      </w:r>
      <w:r w:rsidR="008114CC" w:rsidRPr="00F60A3D">
        <w:rPr>
          <w:lang w:val="fr-FR"/>
        </w:rPr>
        <w:t xml:space="preserve"> </w:t>
      </w:r>
      <w:r w:rsidR="00696191" w:rsidRPr="00F60A3D">
        <w:rPr>
          <w:lang w:val="fr-FR"/>
        </w:rPr>
        <w:t>la création ou l</w:t>
      </w:r>
      <w:r w:rsidR="00B17AE1" w:rsidRPr="00F60A3D">
        <w:rPr>
          <w:lang w:val="fr-FR"/>
        </w:rPr>
        <w:t>’</w:t>
      </w:r>
      <w:r w:rsidR="00696191" w:rsidRPr="00F60A3D">
        <w:rPr>
          <w:lang w:val="fr-FR"/>
        </w:rPr>
        <w:t>aggravation d</w:t>
      </w:r>
      <w:r w:rsidR="00B17AE1" w:rsidRPr="00F60A3D">
        <w:rPr>
          <w:lang w:val="fr-FR"/>
        </w:rPr>
        <w:t>’</w:t>
      </w:r>
      <w:r w:rsidR="00696191" w:rsidRPr="00F60A3D">
        <w:rPr>
          <w:lang w:val="fr-FR"/>
        </w:rPr>
        <w:t>une charge publique</w:t>
      </w:r>
      <w:r w:rsidR="00AC303C" w:rsidRPr="00F60A3D">
        <w:rPr>
          <w:lang w:val="fr-FR"/>
        </w:rPr>
        <w:t xml:space="preserve"> </w:t>
      </w:r>
      <w:r w:rsidR="008114CC" w:rsidRPr="00F60A3D">
        <w:rPr>
          <w:lang w:val="fr-FR"/>
        </w:rPr>
        <w:t>doit indiquer les moyens d</w:t>
      </w:r>
      <w:r w:rsidR="00B17AE1" w:rsidRPr="00F60A3D">
        <w:rPr>
          <w:lang w:val="fr-FR"/>
        </w:rPr>
        <w:t>’</w:t>
      </w:r>
      <w:r w:rsidR="008114CC" w:rsidRPr="00F60A3D">
        <w:rPr>
          <w:lang w:val="fr-FR"/>
        </w:rPr>
        <w:t>y faire fa</w:t>
      </w:r>
      <w:r w:rsidR="007D5EF5" w:rsidRPr="00F60A3D">
        <w:rPr>
          <w:lang w:val="fr-FR"/>
        </w:rPr>
        <w:t>ce (</w:t>
      </w:r>
      <w:r w:rsidR="00731982" w:rsidRPr="00F60A3D">
        <w:rPr>
          <w:lang w:val="fr-FR"/>
        </w:rPr>
        <w:t>art. </w:t>
      </w:r>
      <w:r w:rsidR="008114CC" w:rsidRPr="00F60A3D">
        <w:rPr>
          <w:lang w:val="fr-FR"/>
        </w:rPr>
        <w:t xml:space="preserve">81). </w:t>
      </w:r>
    </w:p>
    <w:p w:rsidR="00CC6F71" w:rsidRPr="00F60A3D" w:rsidRDefault="005B4045" w:rsidP="0022658C">
      <w:pPr>
        <w:pStyle w:val="SingleTxtG"/>
        <w:rPr>
          <w:lang w:val="fr-FR"/>
        </w:rPr>
      </w:pPr>
      <w:r w:rsidRPr="00F60A3D">
        <w:rPr>
          <w:lang w:val="fr-FR"/>
        </w:rPr>
        <w:t>13</w:t>
      </w:r>
      <w:r w:rsidR="008114CC" w:rsidRPr="00F60A3D">
        <w:rPr>
          <w:lang w:val="fr-FR"/>
        </w:rPr>
        <w:t>5.</w:t>
      </w:r>
      <w:r w:rsidR="008114CC" w:rsidRPr="00F60A3D">
        <w:rPr>
          <w:lang w:val="fr-FR"/>
        </w:rPr>
        <w:tab/>
        <w:t>Pour garantir l</w:t>
      </w:r>
      <w:r w:rsidR="00B17AE1" w:rsidRPr="00F60A3D">
        <w:rPr>
          <w:lang w:val="fr-FR"/>
        </w:rPr>
        <w:t>’</w:t>
      </w:r>
      <w:r w:rsidR="008114CC" w:rsidRPr="00F60A3D">
        <w:rPr>
          <w:lang w:val="fr-FR"/>
        </w:rPr>
        <w:t xml:space="preserve">indépendance financière du Gouvernement et des régions, la Loi fondamentale </w:t>
      </w:r>
      <w:r w:rsidR="00990ADC" w:rsidRPr="00F60A3D">
        <w:rPr>
          <w:lang w:val="fr-FR"/>
        </w:rPr>
        <w:t>veille à ce</w:t>
      </w:r>
      <w:r w:rsidR="000978BE" w:rsidRPr="00F60A3D">
        <w:rPr>
          <w:lang w:val="fr-FR"/>
        </w:rPr>
        <w:t xml:space="preserve"> que les régions disposent de fonds suffisants, essentiellement par la </w:t>
      </w:r>
      <w:r w:rsidR="005B1E07" w:rsidRPr="00F60A3D">
        <w:rPr>
          <w:lang w:val="fr-FR"/>
        </w:rPr>
        <w:t>ré</w:t>
      </w:r>
      <w:r w:rsidR="000978BE" w:rsidRPr="00F60A3D">
        <w:rPr>
          <w:lang w:val="fr-FR"/>
        </w:rPr>
        <w:t>p</w:t>
      </w:r>
      <w:r w:rsidR="00990ADC" w:rsidRPr="00F60A3D">
        <w:rPr>
          <w:lang w:val="fr-FR"/>
        </w:rPr>
        <w:t>artition des revenus fiscaux. De</w:t>
      </w:r>
      <w:r w:rsidR="000978BE" w:rsidRPr="00F60A3D">
        <w:rPr>
          <w:lang w:val="fr-FR"/>
        </w:rPr>
        <w:t xml:space="preserve"> fait, elles reçoivent une part du produit des recettes</w:t>
      </w:r>
      <w:r w:rsidR="00696191" w:rsidRPr="00F60A3D">
        <w:rPr>
          <w:lang w:val="fr-FR"/>
        </w:rPr>
        <w:t xml:space="preserve"> fiscales du Trésor public relatives</w:t>
      </w:r>
      <w:r w:rsidR="00071583" w:rsidRPr="00F60A3D">
        <w:rPr>
          <w:lang w:val="fr-FR"/>
        </w:rPr>
        <w:t xml:space="preserve"> à leur territoire. Par ailleurs</w:t>
      </w:r>
      <w:r w:rsidR="000978BE" w:rsidRPr="00F60A3D">
        <w:rPr>
          <w:lang w:val="fr-FR"/>
        </w:rPr>
        <w:t>, les autorités locales disposent de ressources a</w:t>
      </w:r>
      <w:r w:rsidR="00F16F8E" w:rsidRPr="00F60A3D">
        <w:rPr>
          <w:lang w:val="fr-FR"/>
        </w:rPr>
        <w:t>utonomes (leurs propres actifs qui leur son</w:t>
      </w:r>
      <w:r w:rsidR="000978BE" w:rsidRPr="00F60A3D">
        <w:rPr>
          <w:lang w:val="fr-FR"/>
        </w:rPr>
        <w:t>t attribué</w:t>
      </w:r>
      <w:r w:rsidR="00F16F8E" w:rsidRPr="00F60A3D">
        <w:rPr>
          <w:lang w:val="fr-FR"/>
        </w:rPr>
        <w:t>s</w:t>
      </w:r>
      <w:r w:rsidR="000978BE" w:rsidRPr="00F60A3D">
        <w:rPr>
          <w:lang w:val="fr-FR"/>
        </w:rPr>
        <w:t xml:space="preserve"> selon les principes généraux établis par les lois de l</w:t>
      </w:r>
      <w:r w:rsidR="00B17AE1" w:rsidRPr="00F60A3D">
        <w:rPr>
          <w:lang w:val="fr-FR"/>
        </w:rPr>
        <w:t>’</w:t>
      </w:r>
      <w:r w:rsidR="000978BE" w:rsidRPr="00F60A3D">
        <w:rPr>
          <w:lang w:val="fr-FR"/>
        </w:rPr>
        <w:t xml:space="preserve">État). </w:t>
      </w:r>
      <w:r w:rsidR="00FA0692" w:rsidRPr="00F60A3D">
        <w:rPr>
          <w:lang w:val="fr-FR"/>
        </w:rPr>
        <w:t>Elles jouiss</w:t>
      </w:r>
      <w:r w:rsidR="00696191" w:rsidRPr="00F60A3D">
        <w:rPr>
          <w:lang w:val="fr-FR"/>
        </w:rPr>
        <w:t>ent</w:t>
      </w:r>
      <w:r w:rsidR="005B1E07" w:rsidRPr="00F60A3D">
        <w:rPr>
          <w:lang w:val="fr-FR"/>
        </w:rPr>
        <w:t xml:space="preserve"> également </w:t>
      </w:r>
      <w:r w:rsidR="00696191" w:rsidRPr="00F60A3D">
        <w:rPr>
          <w:lang w:val="fr-FR"/>
        </w:rPr>
        <w:t xml:space="preserve">de </w:t>
      </w:r>
      <w:r w:rsidR="005B1E07" w:rsidRPr="00F60A3D">
        <w:rPr>
          <w:lang w:val="fr-FR"/>
        </w:rPr>
        <w:t>l</w:t>
      </w:r>
      <w:r w:rsidR="00B17AE1" w:rsidRPr="00F60A3D">
        <w:rPr>
          <w:lang w:val="fr-FR"/>
        </w:rPr>
        <w:t>’</w:t>
      </w:r>
      <w:r w:rsidR="005B1E07" w:rsidRPr="00F60A3D">
        <w:rPr>
          <w:lang w:val="fr-FR"/>
        </w:rPr>
        <w:t>autonomie financière pour les r</w:t>
      </w:r>
      <w:r w:rsidR="007D5EF5" w:rsidRPr="00F60A3D">
        <w:rPr>
          <w:lang w:val="fr-FR"/>
        </w:rPr>
        <w:t>ecettes et les dépenses (</w:t>
      </w:r>
      <w:r w:rsidR="00731982" w:rsidRPr="00F60A3D">
        <w:rPr>
          <w:lang w:val="fr-FR"/>
        </w:rPr>
        <w:t>art. </w:t>
      </w:r>
      <w:r w:rsidR="005B1E07" w:rsidRPr="00F60A3D">
        <w:rPr>
          <w:lang w:val="fr-FR"/>
        </w:rPr>
        <w:t>119).</w:t>
      </w:r>
      <w:r w:rsidR="00731982" w:rsidRPr="00F60A3D">
        <w:rPr>
          <w:lang w:val="fr-FR"/>
        </w:rPr>
        <w:t xml:space="preserve"> </w:t>
      </w:r>
    </w:p>
    <w:p w:rsidR="005B1E07" w:rsidRPr="00F60A3D" w:rsidRDefault="005B4045" w:rsidP="008578E0">
      <w:pPr>
        <w:pStyle w:val="SingleTxtG"/>
        <w:rPr>
          <w:lang w:val="fr-FR"/>
        </w:rPr>
      </w:pPr>
      <w:r w:rsidRPr="00F60A3D">
        <w:rPr>
          <w:lang w:val="fr-FR"/>
        </w:rPr>
        <w:t>13</w:t>
      </w:r>
      <w:r w:rsidR="00FA0692" w:rsidRPr="00F60A3D">
        <w:rPr>
          <w:lang w:val="fr-FR"/>
        </w:rPr>
        <w:t>6.</w:t>
      </w:r>
      <w:r w:rsidR="00FA0692" w:rsidRPr="00F60A3D">
        <w:rPr>
          <w:lang w:val="fr-FR"/>
        </w:rPr>
        <w:tab/>
        <w:t>Pour</w:t>
      </w:r>
      <w:r w:rsidR="005B1E07" w:rsidRPr="00F60A3D">
        <w:rPr>
          <w:lang w:val="fr-FR"/>
        </w:rPr>
        <w:t xml:space="preserve"> promouvoir le développement économique, la cohésion </w:t>
      </w:r>
      <w:r w:rsidR="00B70741" w:rsidRPr="00F60A3D">
        <w:rPr>
          <w:lang w:val="fr-FR"/>
        </w:rPr>
        <w:t>sociale et la solidarité</w:t>
      </w:r>
      <w:r w:rsidR="00D622E0" w:rsidRPr="00F60A3D">
        <w:rPr>
          <w:lang w:val="fr-FR"/>
        </w:rPr>
        <w:t>,</w:t>
      </w:r>
      <w:r w:rsidR="00B70741" w:rsidRPr="00F60A3D">
        <w:rPr>
          <w:lang w:val="fr-FR"/>
        </w:rPr>
        <w:t xml:space="preserve"> </w:t>
      </w:r>
      <w:r w:rsidR="005B1E07" w:rsidRPr="00F60A3D">
        <w:rPr>
          <w:lang w:val="fr-FR"/>
        </w:rPr>
        <w:t>et éliminer les inégalités économiques et sociales, l</w:t>
      </w:r>
      <w:r w:rsidR="00B17AE1" w:rsidRPr="00F60A3D">
        <w:rPr>
          <w:lang w:val="fr-FR"/>
        </w:rPr>
        <w:t>’</w:t>
      </w:r>
      <w:r w:rsidR="005B1E07" w:rsidRPr="00F60A3D">
        <w:rPr>
          <w:lang w:val="fr-FR"/>
        </w:rPr>
        <w:t xml:space="preserve">État peut allouer des ressources additionnelles ou adopter des mesures </w:t>
      </w:r>
      <w:r w:rsidR="005B1E07" w:rsidRPr="00F60A3D">
        <w:rPr>
          <w:iCs/>
          <w:lang w:val="fr-FR"/>
        </w:rPr>
        <w:t>ad hoc</w:t>
      </w:r>
      <w:r w:rsidR="005B1E07" w:rsidRPr="00F60A3D">
        <w:rPr>
          <w:lang w:val="fr-FR"/>
        </w:rPr>
        <w:t xml:space="preserve"> en faveur de régions, </w:t>
      </w:r>
      <w:r w:rsidR="00696191" w:rsidRPr="00F60A3D">
        <w:rPr>
          <w:lang w:val="fr-FR"/>
        </w:rPr>
        <w:t xml:space="preserve">de </w:t>
      </w:r>
      <w:r w:rsidR="005B1E07" w:rsidRPr="00F60A3D">
        <w:rPr>
          <w:lang w:val="fr-FR"/>
        </w:rPr>
        <w:t xml:space="preserve">provinces et </w:t>
      </w:r>
      <w:r w:rsidR="00696191" w:rsidRPr="00F60A3D">
        <w:rPr>
          <w:lang w:val="fr-FR"/>
        </w:rPr>
        <w:t xml:space="preserve">de </w:t>
      </w:r>
      <w:r w:rsidR="007D5EF5" w:rsidRPr="00F60A3D">
        <w:rPr>
          <w:lang w:val="fr-FR"/>
        </w:rPr>
        <w:t>communes spécifiques (</w:t>
      </w:r>
      <w:r w:rsidR="00731982" w:rsidRPr="00F60A3D">
        <w:rPr>
          <w:lang w:val="fr-FR"/>
        </w:rPr>
        <w:t>art. </w:t>
      </w:r>
      <w:r w:rsidR="00505168" w:rsidRPr="00F60A3D">
        <w:rPr>
          <w:lang w:val="fr-FR"/>
        </w:rPr>
        <w:t>119</w:t>
      </w:r>
      <w:r w:rsidR="0061482E" w:rsidRPr="00F60A3D">
        <w:rPr>
          <w:lang w:val="fr-FR"/>
        </w:rPr>
        <w:t xml:space="preserve">, </w:t>
      </w:r>
      <w:r w:rsidR="00B17AE1" w:rsidRPr="00F60A3D">
        <w:rPr>
          <w:lang w:val="fr-FR"/>
        </w:rPr>
        <w:t>par. </w:t>
      </w:r>
      <w:r w:rsidR="005B1E07" w:rsidRPr="00F60A3D">
        <w:rPr>
          <w:lang w:val="fr-FR"/>
        </w:rPr>
        <w:t xml:space="preserve">4). </w:t>
      </w:r>
    </w:p>
    <w:p w:rsidR="00E5454F" w:rsidRPr="00F60A3D" w:rsidRDefault="00224935" w:rsidP="0022658C">
      <w:pPr>
        <w:pStyle w:val="SingleTxtG"/>
        <w:rPr>
          <w:lang w:val="fr-FR"/>
        </w:rPr>
      </w:pPr>
      <w:r w:rsidRPr="00F60A3D">
        <w:rPr>
          <w:lang w:val="fr-FR"/>
        </w:rPr>
        <w:t>137.</w:t>
      </w:r>
      <w:r w:rsidR="001D2CCC" w:rsidRPr="00F60A3D">
        <w:rPr>
          <w:lang w:val="fr-FR"/>
        </w:rPr>
        <w:tab/>
      </w:r>
      <w:r w:rsidR="00E5454F" w:rsidRPr="00F60A3D">
        <w:rPr>
          <w:lang w:val="fr-FR"/>
        </w:rPr>
        <w:t xml:space="preserve">Le Gouvernement actuel a notamment pour objectif: la </w:t>
      </w:r>
      <w:r w:rsidR="00FF2C53" w:rsidRPr="00F60A3D">
        <w:rPr>
          <w:lang w:val="fr-FR"/>
        </w:rPr>
        <w:t>ré</w:t>
      </w:r>
      <w:r w:rsidR="00E5454F" w:rsidRPr="00F60A3D">
        <w:rPr>
          <w:lang w:val="fr-FR"/>
        </w:rPr>
        <w:t>duction du taux de chômage, la lutte contre la sé</w:t>
      </w:r>
      <w:r w:rsidR="00FF2C53" w:rsidRPr="00F60A3D">
        <w:rPr>
          <w:lang w:val="fr-FR"/>
        </w:rPr>
        <w:t>gré</w:t>
      </w:r>
      <w:r w:rsidR="00E5454F" w:rsidRPr="00F60A3D">
        <w:rPr>
          <w:lang w:val="fr-FR"/>
        </w:rPr>
        <w:t>gation horizontale et verticale; l</w:t>
      </w:r>
      <w:r w:rsidR="00B17AE1" w:rsidRPr="00F60A3D">
        <w:rPr>
          <w:lang w:val="fr-FR"/>
        </w:rPr>
        <w:t>’</w:t>
      </w:r>
      <w:r w:rsidR="00E5454F" w:rsidRPr="00F60A3D">
        <w:rPr>
          <w:lang w:val="fr-FR"/>
        </w:rPr>
        <w:t>élimination des obstacles qui empêchent les femmes d</w:t>
      </w:r>
      <w:r w:rsidR="00B17AE1" w:rsidRPr="00F60A3D">
        <w:rPr>
          <w:lang w:val="fr-FR"/>
        </w:rPr>
        <w:t>’</w:t>
      </w:r>
      <w:r w:rsidR="00E5454F" w:rsidRPr="00F60A3D">
        <w:rPr>
          <w:lang w:val="fr-FR"/>
        </w:rPr>
        <w:t>entrer ou de revenir sur le marché du travail; la lutte contre toutes les formes de discrimination et l</w:t>
      </w:r>
      <w:r w:rsidR="00B17AE1" w:rsidRPr="00F60A3D">
        <w:rPr>
          <w:lang w:val="fr-FR"/>
        </w:rPr>
        <w:t>’</w:t>
      </w:r>
      <w:r w:rsidR="00E5454F" w:rsidRPr="00F60A3D">
        <w:rPr>
          <w:lang w:val="fr-FR"/>
        </w:rPr>
        <w:t>a</w:t>
      </w:r>
      <w:r w:rsidR="00E00514" w:rsidRPr="00F60A3D">
        <w:rPr>
          <w:lang w:val="fr-FR"/>
        </w:rPr>
        <w:t xml:space="preserve">mélioration des politiques de </w:t>
      </w:r>
      <w:r w:rsidR="00E5454F" w:rsidRPr="00F60A3D">
        <w:rPr>
          <w:lang w:val="fr-FR"/>
        </w:rPr>
        <w:t xml:space="preserve">conciliation. </w:t>
      </w:r>
    </w:p>
    <w:p w:rsidR="00CC6F71" w:rsidRPr="00F60A3D" w:rsidRDefault="005B4045" w:rsidP="00FF2C53">
      <w:pPr>
        <w:pStyle w:val="SingleTxtG"/>
        <w:rPr>
          <w:lang w:val="fr-FR"/>
        </w:rPr>
      </w:pPr>
      <w:r w:rsidRPr="00F60A3D">
        <w:rPr>
          <w:lang w:val="fr-FR"/>
        </w:rPr>
        <w:t>138</w:t>
      </w:r>
      <w:r w:rsidR="00E5454F" w:rsidRPr="00F60A3D">
        <w:rPr>
          <w:lang w:val="fr-FR"/>
        </w:rPr>
        <w:t>.</w:t>
      </w:r>
      <w:r w:rsidR="00E5454F" w:rsidRPr="00F60A3D">
        <w:rPr>
          <w:lang w:val="fr-FR"/>
        </w:rPr>
        <w:tab/>
        <w:t>En</w:t>
      </w:r>
      <w:r w:rsidR="00CC6F71" w:rsidRPr="00F60A3D">
        <w:rPr>
          <w:lang w:val="fr-FR"/>
        </w:rPr>
        <w:t xml:space="preserve"> 2014, </w:t>
      </w:r>
      <w:r w:rsidR="00E5454F" w:rsidRPr="00F60A3D">
        <w:rPr>
          <w:lang w:val="fr-FR"/>
        </w:rPr>
        <w:t>les principaux secteurs de l</w:t>
      </w:r>
      <w:r w:rsidR="00B17AE1" w:rsidRPr="00F60A3D">
        <w:rPr>
          <w:lang w:val="fr-FR"/>
        </w:rPr>
        <w:t>’</w:t>
      </w:r>
      <w:r w:rsidR="00E5454F" w:rsidRPr="00F60A3D">
        <w:rPr>
          <w:lang w:val="fr-FR"/>
        </w:rPr>
        <w:t>économie</w:t>
      </w:r>
      <w:r w:rsidR="00FF2C53" w:rsidRPr="00F60A3D">
        <w:rPr>
          <w:lang w:val="fr-FR"/>
        </w:rPr>
        <w:t xml:space="preserve"> </w:t>
      </w:r>
      <w:r w:rsidR="00E5454F" w:rsidRPr="00F60A3D">
        <w:rPr>
          <w:lang w:val="fr-FR"/>
        </w:rPr>
        <w:t xml:space="preserve">italienne étaient: le commerce de gros et de </w:t>
      </w:r>
      <w:r w:rsidR="00FF2C53" w:rsidRPr="00F60A3D">
        <w:rPr>
          <w:lang w:val="fr-FR"/>
        </w:rPr>
        <w:t>dé</w:t>
      </w:r>
      <w:r w:rsidR="00E5454F" w:rsidRPr="00F60A3D">
        <w:rPr>
          <w:lang w:val="fr-FR"/>
        </w:rPr>
        <w:t xml:space="preserve">tail, les transports, le logement; </w:t>
      </w:r>
      <w:r w:rsidR="00FF2C53" w:rsidRPr="00F60A3D">
        <w:rPr>
          <w:lang w:val="fr-FR"/>
        </w:rPr>
        <w:t>la restauration (20,1</w:t>
      </w:r>
      <w:r w:rsidR="00B17AE1" w:rsidRPr="00F60A3D">
        <w:rPr>
          <w:lang w:val="fr-FR"/>
        </w:rPr>
        <w:t> %</w:t>
      </w:r>
      <w:r w:rsidR="00FF2C53" w:rsidRPr="00F60A3D">
        <w:rPr>
          <w:lang w:val="fr-FR"/>
        </w:rPr>
        <w:t>); l</w:t>
      </w:r>
      <w:r w:rsidR="00B17AE1" w:rsidRPr="00F60A3D">
        <w:rPr>
          <w:lang w:val="fr-FR"/>
        </w:rPr>
        <w:t>’</w:t>
      </w:r>
      <w:r w:rsidR="00FF2C53" w:rsidRPr="00F60A3D">
        <w:rPr>
          <w:lang w:val="fr-FR"/>
        </w:rPr>
        <w:t>industrie (18,5</w:t>
      </w:r>
      <w:r w:rsidR="00B17AE1" w:rsidRPr="00F60A3D">
        <w:rPr>
          <w:lang w:val="fr-FR"/>
        </w:rPr>
        <w:t> %</w:t>
      </w:r>
      <w:r w:rsidR="00FF2C53" w:rsidRPr="00F60A3D">
        <w:rPr>
          <w:lang w:val="fr-FR"/>
        </w:rPr>
        <w:t>); l</w:t>
      </w:r>
      <w:r w:rsidR="00B17AE1" w:rsidRPr="00F60A3D">
        <w:rPr>
          <w:lang w:val="fr-FR"/>
        </w:rPr>
        <w:t>’</w:t>
      </w:r>
      <w:r w:rsidR="00FF2C53" w:rsidRPr="00F60A3D">
        <w:rPr>
          <w:lang w:val="fr-FR"/>
        </w:rPr>
        <w:t>administration publique, la défense, l</w:t>
      </w:r>
      <w:r w:rsidR="00B17AE1" w:rsidRPr="00F60A3D">
        <w:rPr>
          <w:lang w:val="fr-FR"/>
        </w:rPr>
        <w:t>’</w:t>
      </w:r>
      <w:r w:rsidR="00FF2C53" w:rsidRPr="00F60A3D">
        <w:rPr>
          <w:lang w:val="fr-FR"/>
        </w:rPr>
        <w:t>éducation, la santé et l</w:t>
      </w:r>
      <w:r w:rsidR="00B17AE1" w:rsidRPr="00F60A3D">
        <w:rPr>
          <w:lang w:val="fr-FR"/>
        </w:rPr>
        <w:t>’</w:t>
      </w:r>
      <w:r w:rsidR="00FF2C53" w:rsidRPr="00F60A3D">
        <w:rPr>
          <w:lang w:val="fr-FR"/>
        </w:rPr>
        <w:t>action sociale (17,2</w:t>
      </w:r>
      <w:r w:rsidR="00B17AE1" w:rsidRPr="00F60A3D">
        <w:rPr>
          <w:lang w:val="fr-FR"/>
        </w:rPr>
        <w:t> %</w:t>
      </w:r>
      <w:r w:rsidR="00FF2C53" w:rsidRPr="00F60A3D">
        <w:rPr>
          <w:lang w:val="fr-FR"/>
        </w:rPr>
        <w:t>). Les principaux partenaires à</w:t>
      </w:r>
      <w:r w:rsidR="00141AE2" w:rsidRPr="00F60A3D">
        <w:rPr>
          <w:lang w:val="fr-FR"/>
        </w:rPr>
        <w:t xml:space="preserve"> l</w:t>
      </w:r>
      <w:r w:rsidR="00B17AE1" w:rsidRPr="00F60A3D">
        <w:rPr>
          <w:lang w:val="fr-FR"/>
        </w:rPr>
        <w:t>’</w:t>
      </w:r>
      <w:r w:rsidR="00141AE2" w:rsidRPr="00F60A3D">
        <w:rPr>
          <w:lang w:val="fr-FR"/>
        </w:rPr>
        <w:t>exportation de l</w:t>
      </w:r>
      <w:r w:rsidR="00B17AE1" w:rsidRPr="00F60A3D">
        <w:rPr>
          <w:lang w:val="fr-FR"/>
        </w:rPr>
        <w:t>’</w:t>
      </w:r>
      <w:r w:rsidR="00141AE2" w:rsidRPr="00F60A3D">
        <w:rPr>
          <w:lang w:val="fr-FR"/>
        </w:rPr>
        <w:t>Italie sont</w:t>
      </w:r>
      <w:r w:rsidR="00731982" w:rsidRPr="00F60A3D">
        <w:rPr>
          <w:lang w:val="fr-FR"/>
        </w:rPr>
        <w:t>:</w:t>
      </w:r>
      <w:r w:rsidR="00FF2C53" w:rsidRPr="00F60A3D">
        <w:rPr>
          <w:lang w:val="fr-FR"/>
        </w:rPr>
        <w:t xml:space="preserve"> l</w:t>
      </w:r>
      <w:r w:rsidR="00B17AE1" w:rsidRPr="00F60A3D">
        <w:rPr>
          <w:lang w:val="fr-FR"/>
        </w:rPr>
        <w:t>’</w:t>
      </w:r>
      <w:r w:rsidR="00FF2C53" w:rsidRPr="00F60A3D">
        <w:rPr>
          <w:lang w:val="fr-FR"/>
        </w:rPr>
        <w:t xml:space="preserve">Allemagne, la France et les États-Unis et ses principaux </w:t>
      </w:r>
      <w:r w:rsidR="00141AE2" w:rsidRPr="00F60A3D">
        <w:rPr>
          <w:lang w:val="fr-FR"/>
        </w:rPr>
        <w:t>partenaires à l</w:t>
      </w:r>
      <w:r w:rsidR="00B17AE1" w:rsidRPr="00F60A3D">
        <w:rPr>
          <w:lang w:val="fr-FR"/>
        </w:rPr>
        <w:t>’</w:t>
      </w:r>
      <w:r w:rsidR="00141AE2" w:rsidRPr="00F60A3D">
        <w:rPr>
          <w:lang w:val="fr-FR"/>
        </w:rPr>
        <w:t>importation</w:t>
      </w:r>
      <w:r w:rsidR="00731982" w:rsidRPr="00F60A3D">
        <w:rPr>
          <w:lang w:val="fr-FR"/>
        </w:rPr>
        <w:t>:</w:t>
      </w:r>
      <w:r w:rsidR="00FF2C53" w:rsidRPr="00F60A3D">
        <w:rPr>
          <w:lang w:val="fr-FR"/>
        </w:rPr>
        <w:t xml:space="preserve"> l</w:t>
      </w:r>
      <w:r w:rsidR="00B17AE1" w:rsidRPr="00F60A3D">
        <w:rPr>
          <w:lang w:val="fr-FR"/>
        </w:rPr>
        <w:t>’</w:t>
      </w:r>
      <w:r w:rsidR="00FF2C53" w:rsidRPr="00F60A3D">
        <w:rPr>
          <w:lang w:val="fr-FR"/>
        </w:rPr>
        <w:t>Allemagne, la France et la Chine</w:t>
      </w:r>
      <w:r w:rsidR="002F3319" w:rsidRPr="00F60A3D">
        <w:rPr>
          <w:rStyle w:val="FootnoteReference"/>
          <w:lang w:val="fr-FR"/>
        </w:rPr>
        <w:footnoteReference w:id="25"/>
      </w:r>
      <w:r w:rsidR="007D5EF5" w:rsidRPr="00F60A3D">
        <w:rPr>
          <w:lang w:val="fr-FR"/>
        </w:rPr>
        <w:t>.</w:t>
      </w:r>
    </w:p>
    <w:p w:rsidR="00CC6F71" w:rsidRPr="00F60A3D" w:rsidRDefault="00FF2C53" w:rsidP="00B03B68">
      <w:pPr>
        <w:pStyle w:val="H23G"/>
        <w:rPr>
          <w:b w:val="0"/>
          <w:i/>
          <w:sz w:val="24"/>
          <w:lang w:val="fr-FR"/>
        </w:rPr>
      </w:pPr>
      <w:r w:rsidRPr="00F60A3D">
        <w:rPr>
          <w:lang w:val="fr-FR"/>
        </w:rPr>
        <w:tab/>
      </w:r>
      <w:r w:rsidRPr="00F60A3D">
        <w:rPr>
          <w:lang w:val="fr-FR"/>
        </w:rPr>
        <w:tab/>
      </w:r>
      <w:r w:rsidR="00B70741" w:rsidRPr="00F60A3D">
        <w:rPr>
          <w:b w:val="0"/>
          <w:i/>
          <w:lang w:val="fr-FR"/>
        </w:rPr>
        <w:t>L</w:t>
      </w:r>
      <w:r w:rsidR="00B17AE1" w:rsidRPr="00F60A3D">
        <w:rPr>
          <w:b w:val="0"/>
          <w:i/>
          <w:lang w:val="fr-FR"/>
        </w:rPr>
        <w:t>’</w:t>
      </w:r>
      <w:r w:rsidR="00B70741" w:rsidRPr="00F60A3D">
        <w:rPr>
          <w:b w:val="0"/>
          <w:i/>
          <w:lang w:val="fr-FR"/>
        </w:rPr>
        <w:t>État social</w:t>
      </w:r>
      <w:r w:rsidR="00CC6F71" w:rsidRPr="00F60A3D">
        <w:rPr>
          <w:b w:val="0"/>
          <w:i/>
          <w:lang w:val="fr-FR"/>
        </w:rPr>
        <w:t xml:space="preserve"> </w:t>
      </w:r>
    </w:p>
    <w:p w:rsidR="00073D59" w:rsidRPr="00F60A3D" w:rsidRDefault="005B4045" w:rsidP="00D816E9">
      <w:pPr>
        <w:pStyle w:val="SingleTxtG"/>
        <w:rPr>
          <w:lang w:val="fr-FR"/>
        </w:rPr>
      </w:pPr>
      <w:r w:rsidRPr="00F60A3D">
        <w:rPr>
          <w:lang w:val="fr-FR"/>
        </w:rPr>
        <w:t>139</w:t>
      </w:r>
      <w:r w:rsidR="00073D59" w:rsidRPr="00F60A3D">
        <w:rPr>
          <w:lang w:val="fr-FR"/>
        </w:rPr>
        <w:t>.</w:t>
      </w:r>
      <w:r w:rsidR="00073D59" w:rsidRPr="00F60A3D">
        <w:rPr>
          <w:lang w:val="fr-FR"/>
        </w:rPr>
        <w:tab/>
        <w:t>Hormis la reconnaissance des libertés dites négatives (à savoir que l</w:t>
      </w:r>
      <w:r w:rsidR="00B17AE1" w:rsidRPr="00F60A3D">
        <w:rPr>
          <w:lang w:val="fr-FR"/>
        </w:rPr>
        <w:t>’</w:t>
      </w:r>
      <w:r w:rsidR="00073D59" w:rsidRPr="00F60A3D">
        <w:rPr>
          <w:lang w:val="fr-FR"/>
        </w:rPr>
        <w:t>État reconnaît simplement les droits et n</w:t>
      </w:r>
      <w:r w:rsidR="00B17AE1" w:rsidRPr="00F60A3D">
        <w:rPr>
          <w:lang w:val="fr-FR"/>
        </w:rPr>
        <w:t>’</w:t>
      </w:r>
      <w:r w:rsidR="00073D59" w:rsidRPr="00F60A3D">
        <w:rPr>
          <w:lang w:val="fr-FR"/>
        </w:rPr>
        <w:t>envisage pas l</w:t>
      </w:r>
      <w:r w:rsidR="00B17AE1" w:rsidRPr="00F60A3D">
        <w:rPr>
          <w:lang w:val="fr-FR"/>
        </w:rPr>
        <w:t>’</w:t>
      </w:r>
      <w:r w:rsidR="00073D59" w:rsidRPr="00F60A3D">
        <w:rPr>
          <w:lang w:val="fr-FR"/>
        </w:rPr>
        <w:t>adoption de mesures p</w:t>
      </w:r>
      <w:r w:rsidR="007939FA" w:rsidRPr="00F60A3D">
        <w:rPr>
          <w:lang w:val="fr-FR"/>
        </w:rPr>
        <w:t>articulières), le passage d</w:t>
      </w:r>
      <w:r w:rsidR="00B17AE1" w:rsidRPr="00F60A3D">
        <w:rPr>
          <w:lang w:val="fr-FR"/>
        </w:rPr>
        <w:t>’</w:t>
      </w:r>
      <w:r w:rsidR="007939FA" w:rsidRPr="00F60A3D">
        <w:rPr>
          <w:lang w:val="fr-FR"/>
        </w:rPr>
        <w:t>un É</w:t>
      </w:r>
      <w:r w:rsidR="00073D59" w:rsidRPr="00F60A3D">
        <w:rPr>
          <w:lang w:val="fr-FR"/>
        </w:rPr>
        <w:t>tat mo</w:t>
      </w:r>
      <w:r w:rsidR="007939FA" w:rsidRPr="00F60A3D">
        <w:rPr>
          <w:lang w:val="fr-FR"/>
        </w:rPr>
        <w:t>derne à un É</w:t>
      </w:r>
      <w:r w:rsidR="00141AE2" w:rsidRPr="00F60A3D">
        <w:rPr>
          <w:lang w:val="fr-FR"/>
        </w:rPr>
        <w:t>tat social implique</w:t>
      </w:r>
      <w:r w:rsidR="00073D59" w:rsidRPr="00F60A3D">
        <w:rPr>
          <w:lang w:val="fr-FR"/>
        </w:rPr>
        <w:t xml:space="preserve"> la reconnaissance </w:t>
      </w:r>
      <w:r w:rsidR="00073D59" w:rsidRPr="00F60A3D">
        <w:rPr>
          <w:i/>
          <w:lang w:val="fr-FR"/>
        </w:rPr>
        <w:t>notamment</w:t>
      </w:r>
      <w:r w:rsidR="00071583" w:rsidRPr="00F60A3D">
        <w:rPr>
          <w:lang w:val="fr-FR"/>
        </w:rPr>
        <w:t xml:space="preserve"> de</w:t>
      </w:r>
      <w:r w:rsidR="00073D59" w:rsidRPr="00F60A3D">
        <w:rPr>
          <w:lang w:val="fr-FR"/>
        </w:rPr>
        <w:t xml:space="preserve"> droits sociaux, ce qui exige l</w:t>
      </w:r>
      <w:r w:rsidR="00B17AE1" w:rsidRPr="00F60A3D">
        <w:rPr>
          <w:lang w:val="fr-FR"/>
        </w:rPr>
        <w:t>’</w:t>
      </w:r>
      <w:r w:rsidR="00073D59" w:rsidRPr="00F60A3D">
        <w:rPr>
          <w:lang w:val="fr-FR"/>
        </w:rPr>
        <w:t>intervention de l</w:t>
      </w:r>
      <w:r w:rsidR="00B17AE1" w:rsidRPr="00F60A3D">
        <w:rPr>
          <w:lang w:val="fr-FR"/>
        </w:rPr>
        <w:t>’</w:t>
      </w:r>
      <w:r w:rsidR="00073D59" w:rsidRPr="00F60A3D">
        <w:rPr>
          <w:lang w:val="fr-FR"/>
        </w:rPr>
        <w:t xml:space="preserve">État. </w:t>
      </w:r>
    </w:p>
    <w:p w:rsidR="00073D59" w:rsidRPr="00F60A3D" w:rsidRDefault="0022658C" w:rsidP="0022658C">
      <w:pPr>
        <w:pStyle w:val="SingleTxtG"/>
        <w:rPr>
          <w:b/>
          <w:lang w:val="fr-FR"/>
        </w:rPr>
      </w:pPr>
      <w:r w:rsidRPr="00F60A3D">
        <w:rPr>
          <w:lang w:val="fr-FR"/>
        </w:rPr>
        <w:t>140.</w:t>
      </w:r>
      <w:r w:rsidRPr="00F60A3D">
        <w:rPr>
          <w:lang w:val="fr-FR"/>
        </w:rPr>
        <w:tab/>
      </w:r>
      <w:r w:rsidR="00073D59" w:rsidRPr="00F60A3D">
        <w:rPr>
          <w:lang w:val="fr-FR"/>
        </w:rPr>
        <w:t>Conformément au principe structurel de protection</w:t>
      </w:r>
      <w:r w:rsidR="00696191" w:rsidRPr="00F60A3D">
        <w:rPr>
          <w:lang w:val="fr-FR"/>
        </w:rPr>
        <w:t xml:space="preserve"> sociale, le Parlement a pour obligation première </w:t>
      </w:r>
      <w:r w:rsidR="00073D59" w:rsidRPr="00F60A3D">
        <w:rPr>
          <w:lang w:val="fr-FR"/>
        </w:rPr>
        <w:t>d</w:t>
      </w:r>
      <w:r w:rsidR="00B17AE1" w:rsidRPr="00F60A3D">
        <w:rPr>
          <w:lang w:val="fr-FR"/>
        </w:rPr>
        <w:t>’</w:t>
      </w:r>
      <w:r w:rsidR="00073D59" w:rsidRPr="00F60A3D">
        <w:rPr>
          <w:lang w:val="fr-FR"/>
        </w:rPr>
        <w:t xml:space="preserve">assurer </w:t>
      </w:r>
      <w:r w:rsidR="00EA0E66" w:rsidRPr="00F60A3D">
        <w:rPr>
          <w:lang w:val="fr-FR"/>
        </w:rPr>
        <w:t>la liberté de vivre à l</w:t>
      </w:r>
      <w:r w:rsidR="00B17AE1" w:rsidRPr="00F60A3D">
        <w:rPr>
          <w:lang w:val="fr-FR"/>
        </w:rPr>
        <w:t>’</w:t>
      </w:r>
      <w:r w:rsidR="00EA0E66" w:rsidRPr="00F60A3D">
        <w:rPr>
          <w:lang w:val="fr-FR"/>
        </w:rPr>
        <w:t>abri des besoins, une existence conforme à la dignité humaine et une participation appropriée à la prospérité générale. Il y parvient grâce aux contrats sociaux et à la résolution des conflits, à l</w:t>
      </w:r>
      <w:r w:rsidR="00B17AE1" w:rsidRPr="00F60A3D">
        <w:rPr>
          <w:lang w:val="fr-FR"/>
        </w:rPr>
        <w:t>’</w:t>
      </w:r>
      <w:r w:rsidR="00EA0E66" w:rsidRPr="00F60A3D">
        <w:rPr>
          <w:lang w:val="fr-FR"/>
        </w:rPr>
        <w:t>organisation de la société par la planification de l</w:t>
      </w:r>
      <w:r w:rsidR="00B17AE1" w:rsidRPr="00F60A3D">
        <w:rPr>
          <w:lang w:val="fr-FR"/>
        </w:rPr>
        <w:t>’</w:t>
      </w:r>
      <w:r w:rsidR="00EA0E66" w:rsidRPr="00F60A3D">
        <w:rPr>
          <w:lang w:val="fr-FR"/>
        </w:rPr>
        <w:t>État, à l</w:t>
      </w:r>
      <w:r w:rsidR="00B17AE1" w:rsidRPr="00F60A3D">
        <w:rPr>
          <w:lang w:val="fr-FR"/>
        </w:rPr>
        <w:t>’</w:t>
      </w:r>
      <w:r w:rsidR="00EA0E66" w:rsidRPr="00F60A3D">
        <w:rPr>
          <w:lang w:val="fr-FR"/>
        </w:rPr>
        <w:t xml:space="preserve">offre de services publics et au progrès économique et social. </w:t>
      </w:r>
    </w:p>
    <w:p w:rsidR="00CC00EB" w:rsidRPr="00F60A3D" w:rsidRDefault="005B4045" w:rsidP="0032758D">
      <w:pPr>
        <w:pStyle w:val="SingleTxtG"/>
        <w:rPr>
          <w:lang w:val="fr-FR"/>
        </w:rPr>
      </w:pPr>
      <w:r w:rsidRPr="00F60A3D">
        <w:rPr>
          <w:lang w:val="fr-FR"/>
        </w:rPr>
        <w:t>141</w:t>
      </w:r>
      <w:r w:rsidR="00C86D41" w:rsidRPr="00F60A3D">
        <w:rPr>
          <w:lang w:val="fr-FR"/>
        </w:rPr>
        <w:t>.</w:t>
      </w:r>
      <w:r w:rsidR="00C86D41" w:rsidRPr="00F60A3D">
        <w:rPr>
          <w:lang w:val="fr-FR"/>
        </w:rPr>
        <w:tab/>
        <w:t>L</w:t>
      </w:r>
      <w:r w:rsidR="00B17AE1" w:rsidRPr="00F60A3D">
        <w:rPr>
          <w:lang w:val="fr-FR"/>
        </w:rPr>
        <w:t>’</w:t>
      </w:r>
      <w:r w:rsidR="00C86D41" w:rsidRPr="00F60A3D">
        <w:rPr>
          <w:lang w:val="fr-FR"/>
        </w:rPr>
        <w:t>objectif essentiel consiste à traiter les situations de besoins sociaux et d</w:t>
      </w:r>
      <w:r w:rsidR="00B17AE1" w:rsidRPr="00F60A3D">
        <w:rPr>
          <w:lang w:val="fr-FR"/>
        </w:rPr>
        <w:t>’</w:t>
      </w:r>
      <w:r w:rsidR="00C86D41" w:rsidRPr="00F60A3D">
        <w:rPr>
          <w:lang w:val="fr-FR"/>
        </w:rPr>
        <w:t>inégalités engendrées par la maladie, l</w:t>
      </w:r>
      <w:r w:rsidR="00B17AE1" w:rsidRPr="00F60A3D">
        <w:rPr>
          <w:lang w:val="fr-FR"/>
        </w:rPr>
        <w:t>’</w:t>
      </w:r>
      <w:r w:rsidR="00C86D41" w:rsidRPr="00F60A3D">
        <w:rPr>
          <w:lang w:val="fr-FR"/>
        </w:rPr>
        <w:t xml:space="preserve">âge, le handicap, le chômage et autres situations défavorables (pour toute </w:t>
      </w:r>
      <w:r w:rsidR="00D85905" w:rsidRPr="00F60A3D">
        <w:rPr>
          <w:lang w:val="fr-FR"/>
        </w:rPr>
        <w:t>information complémentaire, on se reportera aux</w:t>
      </w:r>
      <w:r w:rsidR="00C86D41" w:rsidRPr="00F60A3D">
        <w:rPr>
          <w:lang w:val="fr-FR"/>
        </w:rPr>
        <w:t xml:space="preserve"> paragraphes</w:t>
      </w:r>
      <w:r w:rsidR="0022658C" w:rsidRPr="00F60A3D">
        <w:rPr>
          <w:lang w:val="fr-FR"/>
        </w:rPr>
        <w:t> </w:t>
      </w:r>
      <w:r w:rsidR="00C86D41" w:rsidRPr="00F60A3D">
        <w:rPr>
          <w:lang w:val="fr-FR"/>
        </w:rPr>
        <w:t>118 et suivants ci</w:t>
      </w:r>
      <w:r w:rsidR="0032758D">
        <w:rPr>
          <w:lang w:val="fr-FR"/>
        </w:rPr>
        <w:noBreakHyphen/>
      </w:r>
      <w:r w:rsidR="00C86D41" w:rsidRPr="00F60A3D">
        <w:rPr>
          <w:lang w:val="fr-FR"/>
        </w:rPr>
        <w:t>dessous</w:t>
      </w:r>
      <w:r w:rsidR="007D5EF5" w:rsidRPr="00F60A3D">
        <w:rPr>
          <w:lang w:val="fr-FR"/>
        </w:rPr>
        <w:t>)</w:t>
      </w:r>
      <w:r w:rsidR="002F3319" w:rsidRPr="00F60A3D">
        <w:rPr>
          <w:rStyle w:val="FootnoteReference"/>
          <w:lang w:val="fr-FR"/>
        </w:rPr>
        <w:footnoteReference w:id="26"/>
      </w:r>
      <w:r w:rsidR="007D5EF5" w:rsidRPr="00F60A3D">
        <w:rPr>
          <w:lang w:val="fr-FR"/>
        </w:rPr>
        <w:t>.</w:t>
      </w:r>
    </w:p>
    <w:p w:rsidR="00DB5D9E" w:rsidRPr="00F60A3D" w:rsidRDefault="00AD79A7" w:rsidP="0022658C">
      <w:pPr>
        <w:pStyle w:val="HChG"/>
        <w:rPr>
          <w:lang w:val="fr-FR"/>
        </w:rPr>
      </w:pPr>
      <w:r w:rsidRPr="00F60A3D">
        <w:rPr>
          <w:lang w:val="fr-FR"/>
        </w:rPr>
        <w:lastRenderedPageBreak/>
        <w:tab/>
      </w:r>
      <w:r w:rsidR="00DB5D9E" w:rsidRPr="00F60A3D">
        <w:rPr>
          <w:lang w:val="fr-FR"/>
        </w:rPr>
        <w:t>II.</w:t>
      </w:r>
      <w:r w:rsidRPr="00F60A3D">
        <w:rPr>
          <w:lang w:val="fr-FR"/>
        </w:rPr>
        <w:tab/>
      </w:r>
      <w:r w:rsidR="005427B2" w:rsidRPr="00F60A3D">
        <w:rPr>
          <w:lang w:val="fr-FR"/>
        </w:rPr>
        <w:t>Cadre général de la protection et de la promotion des droits de l</w:t>
      </w:r>
      <w:r w:rsidR="00B17AE1" w:rsidRPr="00F60A3D">
        <w:rPr>
          <w:lang w:val="fr-FR"/>
        </w:rPr>
        <w:t>’</w:t>
      </w:r>
      <w:r w:rsidR="005427B2" w:rsidRPr="00F60A3D">
        <w:rPr>
          <w:lang w:val="fr-FR"/>
        </w:rPr>
        <w:t>homme</w:t>
      </w:r>
      <w:r w:rsidR="00731982" w:rsidRPr="00F60A3D">
        <w:rPr>
          <w:lang w:val="fr-FR"/>
        </w:rPr>
        <w:t xml:space="preserve"> </w:t>
      </w:r>
      <w:bookmarkStart w:id="9" w:name="_Toc73328513"/>
      <w:bookmarkStart w:id="10" w:name="_Toc73946164"/>
      <w:bookmarkStart w:id="11" w:name="_Toc133268781"/>
      <w:bookmarkStart w:id="12" w:name="_Toc72567229"/>
      <w:bookmarkStart w:id="13" w:name="_Toc72567489"/>
      <w:bookmarkStart w:id="14" w:name="_Toc72567227"/>
      <w:bookmarkStart w:id="15" w:name="_Toc72567487"/>
    </w:p>
    <w:p w:rsidR="00DB5D9E" w:rsidRPr="00F60A3D" w:rsidRDefault="00AD79A7" w:rsidP="00DB5D9E">
      <w:pPr>
        <w:pStyle w:val="H1G"/>
        <w:rPr>
          <w:lang w:val="fr-FR"/>
        </w:rPr>
      </w:pPr>
      <w:r w:rsidRPr="00F60A3D">
        <w:rPr>
          <w:lang w:val="fr-FR"/>
        </w:rPr>
        <w:tab/>
      </w:r>
      <w:r w:rsidR="00DB5D9E" w:rsidRPr="00F60A3D">
        <w:rPr>
          <w:lang w:val="fr-FR"/>
        </w:rPr>
        <w:tab/>
        <w:t>Introduction</w:t>
      </w:r>
    </w:p>
    <w:p w:rsidR="00DB5D9E" w:rsidRPr="00F60A3D" w:rsidRDefault="005B4045" w:rsidP="0029422B">
      <w:pPr>
        <w:pStyle w:val="SingleTxtG"/>
        <w:rPr>
          <w:lang w:val="fr-FR"/>
        </w:rPr>
      </w:pPr>
      <w:r w:rsidRPr="00F60A3D">
        <w:rPr>
          <w:lang w:val="fr-FR"/>
        </w:rPr>
        <w:t>142</w:t>
      </w:r>
      <w:r w:rsidR="00DB5D9E" w:rsidRPr="00F60A3D">
        <w:rPr>
          <w:lang w:val="fr-FR"/>
        </w:rPr>
        <w:t>.</w:t>
      </w:r>
      <w:r w:rsidR="00DB5D9E" w:rsidRPr="00F60A3D">
        <w:rPr>
          <w:lang w:val="fr-FR"/>
        </w:rPr>
        <w:tab/>
      </w:r>
      <w:r w:rsidR="0029422B" w:rsidRPr="00F60A3D">
        <w:rPr>
          <w:lang w:val="fr-FR"/>
        </w:rPr>
        <w:t>L</w:t>
      </w:r>
      <w:r w:rsidR="00B17AE1" w:rsidRPr="00F60A3D">
        <w:rPr>
          <w:lang w:val="fr-FR"/>
        </w:rPr>
        <w:t>’</w:t>
      </w:r>
      <w:r w:rsidR="0029422B" w:rsidRPr="00F60A3D">
        <w:rPr>
          <w:lang w:val="fr-FR"/>
        </w:rPr>
        <w:t>Italie est l</w:t>
      </w:r>
      <w:r w:rsidR="00B17AE1" w:rsidRPr="00F60A3D">
        <w:rPr>
          <w:lang w:val="fr-FR"/>
        </w:rPr>
        <w:t>’</w:t>
      </w:r>
      <w:r w:rsidR="0029422B" w:rsidRPr="00F60A3D">
        <w:rPr>
          <w:lang w:val="fr-FR"/>
        </w:rPr>
        <w:t>un des membres fondateurs de l</w:t>
      </w:r>
      <w:r w:rsidR="00B17AE1" w:rsidRPr="00F60A3D">
        <w:rPr>
          <w:lang w:val="fr-FR"/>
        </w:rPr>
        <w:t>’</w:t>
      </w:r>
      <w:r w:rsidR="0029422B" w:rsidRPr="00F60A3D">
        <w:rPr>
          <w:lang w:val="fr-FR"/>
        </w:rPr>
        <w:t>Union européenne (janvier 1958), du Conseil de l</w:t>
      </w:r>
      <w:r w:rsidR="00B17AE1" w:rsidRPr="00F60A3D">
        <w:rPr>
          <w:lang w:val="fr-FR"/>
        </w:rPr>
        <w:t>’</w:t>
      </w:r>
      <w:r w:rsidR="00955D70" w:rsidRPr="00F60A3D">
        <w:rPr>
          <w:lang w:val="fr-FR"/>
        </w:rPr>
        <w:t>Europe (mai 1949) et de l</w:t>
      </w:r>
      <w:r w:rsidR="00B17AE1" w:rsidRPr="00F60A3D">
        <w:rPr>
          <w:lang w:val="fr-FR"/>
        </w:rPr>
        <w:t>’</w:t>
      </w:r>
      <w:r w:rsidR="0029422B" w:rsidRPr="00F60A3D">
        <w:rPr>
          <w:lang w:val="fr-FR"/>
        </w:rPr>
        <w:t xml:space="preserve">Organisation </w:t>
      </w:r>
      <w:r w:rsidR="00955D70" w:rsidRPr="00F60A3D">
        <w:rPr>
          <w:lang w:val="fr-FR"/>
        </w:rPr>
        <w:t>du Traité de l</w:t>
      </w:r>
      <w:r w:rsidR="00B17AE1" w:rsidRPr="00F60A3D">
        <w:rPr>
          <w:lang w:val="fr-FR"/>
        </w:rPr>
        <w:t>’</w:t>
      </w:r>
      <w:r w:rsidR="00955D70" w:rsidRPr="00F60A3D">
        <w:rPr>
          <w:lang w:val="fr-FR"/>
        </w:rPr>
        <w:t>Atlantique Nord</w:t>
      </w:r>
      <w:r w:rsidR="00B52FBC" w:rsidRPr="00F60A3D">
        <w:rPr>
          <w:lang w:val="fr-FR"/>
        </w:rPr>
        <w:t xml:space="preserve"> (OTAN</w:t>
      </w:r>
      <w:r w:rsidR="00955D70" w:rsidRPr="00F60A3D">
        <w:rPr>
          <w:lang w:val="fr-FR"/>
        </w:rPr>
        <w:t xml:space="preserve">) </w:t>
      </w:r>
      <w:r w:rsidR="0029422B" w:rsidRPr="00F60A3D">
        <w:rPr>
          <w:lang w:val="fr-FR"/>
        </w:rPr>
        <w:t>(1949)</w:t>
      </w:r>
      <w:r w:rsidR="00D82481" w:rsidRPr="00F60A3D">
        <w:rPr>
          <w:lang w:val="fr-FR"/>
        </w:rPr>
        <w:t>.</w:t>
      </w:r>
      <w:r w:rsidR="0029422B" w:rsidRPr="00F60A3D">
        <w:rPr>
          <w:lang w:val="fr-FR"/>
        </w:rPr>
        <w:t xml:space="preserve">, </w:t>
      </w:r>
      <w:r w:rsidR="00D82481" w:rsidRPr="00F60A3D">
        <w:rPr>
          <w:lang w:val="fr-FR"/>
        </w:rPr>
        <w:t>E</w:t>
      </w:r>
      <w:r w:rsidR="00D622E0" w:rsidRPr="00F60A3D">
        <w:rPr>
          <w:lang w:val="fr-FR"/>
        </w:rPr>
        <w:t xml:space="preserve">lle est </w:t>
      </w:r>
      <w:r w:rsidR="0029422B" w:rsidRPr="00F60A3D">
        <w:rPr>
          <w:lang w:val="fr-FR"/>
        </w:rPr>
        <w:t>membre de plusieurs organisations et institutions i</w:t>
      </w:r>
      <w:r w:rsidR="00A812AE" w:rsidRPr="00F60A3D">
        <w:rPr>
          <w:lang w:val="fr-FR"/>
        </w:rPr>
        <w:t>nternationales,</w:t>
      </w:r>
      <w:r w:rsidR="0029422B" w:rsidRPr="00F60A3D">
        <w:rPr>
          <w:lang w:val="fr-FR"/>
        </w:rPr>
        <w:t xml:space="preserve"> notamment </w:t>
      </w:r>
      <w:r w:rsidR="00B52FBC" w:rsidRPr="00F60A3D">
        <w:rPr>
          <w:lang w:val="fr-FR"/>
        </w:rPr>
        <w:t>l</w:t>
      </w:r>
      <w:r w:rsidR="00B17AE1" w:rsidRPr="00F60A3D">
        <w:rPr>
          <w:lang w:val="fr-FR"/>
        </w:rPr>
        <w:t>’</w:t>
      </w:r>
      <w:r w:rsidR="00B52FBC" w:rsidRPr="00F60A3D">
        <w:rPr>
          <w:lang w:val="fr-FR"/>
        </w:rPr>
        <w:t xml:space="preserve">Organisation des </w:t>
      </w:r>
      <w:r w:rsidR="0029422B" w:rsidRPr="00F60A3D">
        <w:rPr>
          <w:lang w:val="fr-FR"/>
        </w:rPr>
        <w:t>Nations Unies, l</w:t>
      </w:r>
      <w:r w:rsidR="00B17AE1" w:rsidRPr="00F60A3D">
        <w:rPr>
          <w:lang w:val="fr-FR"/>
        </w:rPr>
        <w:t>’</w:t>
      </w:r>
      <w:r w:rsidR="0029422B" w:rsidRPr="00F60A3D">
        <w:rPr>
          <w:lang w:val="fr-FR"/>
        </w:rPr>
        <w:t>Organisation de coopération et de développement économiques</w:t>
      </w:r>
      <w:r w:rsidR="00B52FBC" w:rsidRPr="00F60A3D">
        <w:rPr>
          <w:lang w:val="fr-FR"/>
        </w:rPr>
        <w:t xml:space="preserve"> (OCDE</w:t>
      </w:r>
      <w:r w:rsidR="0029422B" w:rsidRPr="00F60A3D">
        <w:rPr>
          <w:lang w:val="fr-FR"/>
        </w:rPr>
        <w:t xml:space="preserve">), </w:t>
      </w:r>
      <w:r w:rsidR="00955D70" w:rsidRPr="00F60A3D">
        <w:rPr>
          <w:lang w:val="fr-FR"/>
        </w:rPr>
        <w:t>l</w:t>
      </w:r>
      <w:r w:rsidR="00B17AE1" w:rsidRPr="00F60A3D">
        <w:rPr>
          <w:lang w:val="fr-FR"/>
        </w:rPr>
        <w:t>’</w:t>
      </w:r>
      <w:r w:rsidR="00955D70" w:rsidRPr="00F60A3D">
        <w:rPr>
          <w:lang w:val="fr-FR"/>
        </w:rPr>
        <w:t>Organisation pour la sécurité et la coopération en Europe</w:t>
      </w:r>
      <w:r w:rsidR="00B52FBC" w:rsidRPr="00F60A3D">
        <w:rPr>
          <w:lang w:val="fr-FR"/>
        </w:rPr>
        <w:t xml:space="preserve"> (OSCE</w:t>
      </w:r>
      <w:r w:rsidR="00955D70" w:rsidRPr="00F60A3D">
        <w:rPr>
          <w:lang w:val="fr-FR"/>
        </w:rPr>
        <w:t xml:space="preserve">), </w:t>
      </w:r>
      <w:r w:rsidR="0029422B" w:rsidRPr="00F60A3D">
        <w:rPr>
          <w:lang w:val="fr-FR"/>
        </w:rPr>
        <w:t>l</w:t>
      </w:r>
      <w:r w:rsidR="00B17AE1" w:rsidRPr="00F60A3D">
        <w:rPr>
          <w:lang w:val="fr-FR"/>
        </w:rPr>
        <w:t>’</w:t>
      </w:r>
      <w:r w:rsidR="0029422B" w:rsidRPr="00F60A3D">
        <w:rPr>
          <w:lang w:val="fr-FR"/>
        </w:rPr>
        <w:t>Organisati</w:t>
      </w:r>
      <w:r w:rsidR="00B70741" w:rsidRPr="00F60A3D">
        <w:rPr>
          <w:lang w:val="fr-FR"/>
        </w:rPr>
        <w:t>on mondiale du commerce</w:t>
      </w:r>
      <w:r w:rsidR="00B52FBC" w:rsidRPr="00F60A3D">
        <w:rPr>
          <w:lang w:val="fr-FR"/>
        </w:rPr>
        <w:t xml:space="preserve"> (OMC</w:t>
      </w:r>
      <w:r w:rsidR="00B70741" w:rsidRPr="00F60A3D">
        <w:rPr>
          <w:lang w:val="fr-FR"/>
        </w:rPr>
        <w:t xml:space="preserve">), </w:t>
      </w:r>
      <w:r w:rsidR="00D82481" w:rsidRPr="00F60A3D">
        <w:rPr>
          <w:lang w:val="fr-FR"/>
        </w:rPr>
        <w:t xml:space="preserve">le </w:t>
      </w:r>
      <w:r w:rsidR="00B70741" w:rsidRPr="00F60A3D">
        <w:rPr>
          <w:lang w:val="fr-FR"/>
        </w:rPr>
        <w:t>G</w:t>
      </w:r>
      <w:r w:rsidR="00B52FBC" w:rsidRPr="00F60A3D">
        <w:rPr>
          <w:lang w:val="fr-FR"/>
        </w:rPr>
        <w:t>-</w:t>
      </w:r>
      <w:r w:rsidR="00B70741" w:rsidRPr="00F60A3D">
        <w:rPr>
          <w:lang w:val="fr-FR"/>
        </w:rPr>
        <w:t>7 et</w:t>
      </w:r>
      <w:r w:rsidR="0029422B" w:rsidRPr="00F60A3D">
        <w:rPr>
          <w:lang w:val="fr-FR"/>
        </w:rPr>
        <w:t xml:space="preserve"> </w:t>
      </w:r>
      <w:r w:rsidR="00D82481" w:rsidRPr="00F60A3D">
        <w:rPr>
          <w:lang w:val="fr-FR"/>
        </w:rPr>
        <w:t xml:space="preserve">le </w:t>
      </w:r>
      <w:r w:rsidR="0029422B" w:rsidRPr="00F60A3D">
        <w:rPr>
          <w:lang w:val="fr-FR"/>
        </w:rPr>
        <w:t>G</w:t>
      </w:r>
      <w:r w:rsidR="00B52FBC" w:rsidRPr="00F60A3D">
        <w:rPr>
          <w:lang w:val="fr-FR"/>
        </w:rPr>
        <w:t>-</w:t>
      </w:r>
      <w:r w:rsidR="0029422B" w:rsidRPr="00F60A3D">
        <w:rPr>
          <w:lang w:val="fr-FR"/>
        </w:rPr>
        <w:t>20. Compte tenu de son exceptionnelle richesse culturell</w:t>
      </w:r>
      <w:r w:rsidR="00B70741" w:rsidRPr="00F60A3D">
        <w:rPr>
          <w:lang w:val="fr-FR"/>
        </w:rPr>
        <w:t>e, l</w:t>
      </w:r>
      <w:r w:rsidR="00B17AE1" w:rsidRPr="00F60A3D">
        <w:rPr>
          <w:lang w:val="fr-FR"/>
        </w:rPr>
        <w:t>’</w:t>
      </w:r>
      <w:r w:rsidR="00B70741" w:rsidRPr="00F60A3D">
        <w:rPr>
          <w:lang w:val="fr-FR"/>
        </w:rPr>
        <w:t>Italie abrite</w:t>
      </w:r>
      <w:r w:rsidR="00B42488" w:rsidRPr="00F60A3D">
        <w:rPr>
          <w:lang w:val="fr-FR"/>
        </w:rPr>
        <w:t xml:space="preserve"> 51 </w:t>
      </w:r>
      <w:r w:rsidR="00955D70" w:rsidRPr="00F60A3D">
        <w:rPr>
          <w:lang w:val="fr-FR"/>
        </w:rPr>
        <w:t xml:space="preserve">sites </w:t>
      </w:r>
      <w:r w:rsidR="00B52FBC" w:rsidRPr="00F60A3D">
        <w:rPr>
          <w:lang w:val="fr-FR"/>
        </w:rPr>
        <w:t xml:space="preserve">inscrits au </w:t>
      </w:r>
      <w:r w:rsidR="00955D70" w:rsidRPr="00F60A3D">
        <w:rPr>
          <w:lang w:val="fr-FR"/>
        </w:rPr>
        <w:t>P</w:t>
      </w:r>
      <w:r w:rsidR="0029422B" w:rsidRPr="00F60A3D">
        <w:rPr>
          <w:lang w:val="fr-FR"/>
        </w:rPr>
        <w:t>atrimoine mondial de l</w:t>
      </w:r>
      <w:r w:rsidR="00B17AE1" w:rsidRPr="00F60A3D">
        <w:rPr>
          <w:lang w:val="fr-FR"/>
        </w:rPr>
        <w:t>’</w:t>
      </w:r>
      <w:r w:rsidR="0029422B" w:rsidRPr="00F60A3D">
        <w:rPr>
          <w:lang w:val="fr-FR"/>
        </w:rPr>
        <w:t xml:space="preserve">humanité (en juillet </w:t>
      </w:r>
      <w:r w:rsidR="007D5EF5" w:rsidRPr="00F60A3D">
        <w:rPr>
          <w:lang w:val="fr-FR"/>
        </w:rPr>
        <w:t>2014)</w:t>
      </w:r>
      <w:r w:rsidR="002F3319" w:rsidRPr="00F60A3D">
        <w:rPr>
          <w:rStyle w:val="FootnoteReference"/>
          <w:lang w:val="fr-FR"/>
        </w:rPr>
        <w:footnoteReference w:id="27"/>
      </w:r>
      <w:r w:rsidR="007D5EF5" w:rsidRPr="00F60A3D">
        <w:rPr>
          <w:lang w:val="fr-FR"/>
        </w:rPr>
        <w:t>.</w:t>
      </w:r>
    </w:p>
    <w:p w:rsidR="001F65A3" w:rsidRPr="00F60A3D" w:rsidRDefault="005B4045" w:rsidP="00806668">
      <w:pPr>
        <w:pStyle w:val="SingleTxtG"/>
        <w:rPr>
          <w:lang w:val="fr-FR"/>
        </w:rPr>
      </w:pPr>
      <w:r w:rsidRPr="00F60A3D">
        <w:rPr>
          <w:lang w:val="fr-FR"/>
        </w:rPr>
        <w:lastRenderedPageBreak/>
        <w:t>143.</w:t>
      </w:r>
      <w:r w:rsidRPr="00F60A3D">
        <w:rPr>
          <w:lang w:val="fr-FR"/>
        </w:rPr>
        <w:tab/>
      </w:r>
      <w:r w:rsidR="005A11CA" w:rsidRPr="00F60A3D">
        <w:rPr>
          <w:lang w:val="fr-FR"/>
        </w:rPr>
        <w:t>Enfin, de</w:t>
      </w:r>
      <w:r w:rsidR="00AD57CD" w:rsidRPr="00F60A3D">
        <w:rPr>
          <w:lang w:val="fr-FR"/>
        </w:rPr>
        <w:t xml:space="preserve">s crédits spéciaux ont été alloués </w:t>
      </w:r>
      <w:r w:rsidR="005C3AFD" w:rsidRPr="00F60A3D">
        <w:rPr>
          <w:lang w:val="fr-FR"/>
        </w:rPr>
        <w:t>au financement de</w:t>
      </w:r>
      <w:r w:rsidR="00AD57CD" w:rsidRPr="00F60A3D">
        <w:rPr>
          <w:lang w:val="fr-FR"/>
        </w:rPr>
        <w:t xml:space="preserve"> projets</w:t>
      </w:r>
      <w:r w:rsidR="0018379D" w:rsidRPr="00F60A3D">
        <w:rPr>
          <w:lang w:val="fr-FR"/>
        </w:rPr>
        <w:t xml:space="preserve"> de</w:t>
      </w:r>
      <w:r w:rsidR="005A11CA" w:rsidRPr="00F60A3D">
        <w:rPr>
          <w:lang w:val="fr-FR"/>
        </w:rPr>
        <w:t xml:space="preserve"> sauvegarde du patrimoine culturel; leurs principa</w:t>
      </w:r>
      <w:r w:rsidR="00806668" w:rsidRPr="00F60A3D">
        <w:rPr>
          <w:lang w:val="fr-FR"/>
        </w:rPr>
        <w:t>ux</w:t>
      </w:r>
      <w:r w:rsidR="005A11CA" w:rsidRPr="00F60A3D">
        <w:rPr>
          <w:lang w:val="fr-FR"/>
        </w:rPr>
        <w:t xml:space="preserve"> </w:t>
      </w:r>
      <w:r w:rsidR="005C3AFD" w:rsidRPr="00F60A3D">
        <w:rPr>
          <w:lang w:val="fr-FR"/>
        </w:rPr>
        <w:t xml:space="preserve">effets </w:t>
      </w:r>
      <w:r w:rsidR="005A11CA" w:rsidRPr="00F60A3D">
        <w:rPr>
          <w:lang w:val="fr-FR"/>
        </w:rPr>
        <w:t>sont attendus</w:t>
      </w:r>
      <w:r w:rsidR="00F65B88" w:rsidRPr="00F60A3D">
        <w:rPr>
          <w:lang w:val="fr-FR"/>
        </w:rPr>
        <w:t xml:space="preserve"> dès</w:t>
      </w:r>
      <w:r w:rsidR="00AD57CD" w:rsidRPr="00F60A3D">
        <w:rPr>
          <w:lang w:val="fr-FR"/>
        </w:rPr>
        <w:t xml:space="preserve"> 2016. </w:t>
      </w:r>
    </w:p>
    <w:p w:rsidR="00DB5D9E" w:rsidRPr="00F60A3D" w:rsidRDefault="001F65A3" w:rsidP="00DB5D9E">
      <w:pPr>
        <w:pStyle w:val="H23G"/>
        <w:rPr>
          <w:lang w:val="fr-FR"/>
        </w:rPr>
      </w:pPr>
      <w:r w:rsidRPr="00F60A3D">
        <w:rPr>
          <w:lang w:val="fr-FR"/>
        </w:rPr>
        <w:tab/>
      </w:r>
      <w:r w:rsidRPr="00F60A3D">
        <w:rPr>
          <w:lang w:val="fr-FR"/>
        </w:rPr>
        <w:tab/>
      </w:r>
      <w:r w:rsidR="00AD57CD" w:rsidRPr="00F60A3D">
        <w:rPr>
          <w:lang w:val="fr-FR"/>
        </w:rPr>
        <w:t>L</w:t>
      </w:r>
      <w:r w:rsidR="00B17AE1" w:rsidRPr="00F60A3D">
        <w:rPr>
          <w:lang w:val="fr-FR"/>
        </w:rPr>
        <w:t>’</w:t>
      </w:r>
      <w:r w:rsidR="00AD57CD" w:rsidRPr="00F60A3D">
        <w:rPr>
          <w:lang w:val="fr-FR"/>
        </w:rPr>
        <w:t>Italie et l</w:t>
      </w:r>
      <w:r w:rsidR="00B17AE1" w:rsidRPr="00F60A3D">
        <w:rPr>
          <w:lang w:val="fr-FR"/>
        </w:rPr>
        <w:t>’</w:t>
      </w:r>
      <w:r w:rsidR="00AD57CD" w:rsidRPr="00F60A3D">
        <w:rPr>
          <w:lang w:val="fr-FR"/>
        </w:rPr>
        <w:t>Union européenne</w:t>
      </w:r>
    </w:p>
    <w:p w:rsidR="008972B0" w:rsidRPr="00F60A3D" w:rsidRDefault="005B4045" w:rsidP="00DB5D9E">
      <w:pPr>
        <w:pStyle w:val="SingleTxtG"/>
        <w:rPr>
          <w:lang w:val="fr-FR"/>
        </w:rPr>
      </w:pPr>
      <w:r w:rsidRPr="00F60A3D">
        <w:rPr>
          <w:lang w:val="fr-FR"/>
        </w:rPr>
        <w:t>144</w:t>
      </w:r>
      <w:r w:rsidR="00DB5D9E" w:rsidRPr="00F60A3D">
        <w:rPr>
          <w:lang w:val="fr-FR"/>
        </w:rPr>
        <w:t>.</w:t>
      </w:r>
      <w:r w:rsidR="00DB5D9E" w:rsidRPr="00F60A3D">
        <w:rPr>
          <w:lang w:val="fr-FR"/>
        </w:rPr>
        <w:tab/>
      </w:r>
      <w:r w:rsidR="008972B0" w:rsidRPr="00F60A3D">
        <w:rPr>
          <w:lang w:val="fr-FR"/>
        </w:rPr>
        <w:t>L</w:t>
      </w:r>
      <w:r w:rsidR="00B17AE1" w:rsidRPr="00F60A3D">
        <w:rPr>
          <w:lang w:val="fr-FR"/>
        </w:rPr>
        <w:t>’</w:t>
      </w:r>
      <w:r w:rsidR="008972B0" w:rsidRPr="00F60A3D">
        <w:rPr>
          <w:lang w:val="fr-FR"/>
        </w:rPr>
        <w:t>Italie a été à l</w:t>
      </w:r>
      <w:r w:rsidR="00B17AE1" w:rsidRPr="00F60A3D">
        <w:rPr>
          <w:lang w:val="fr-FR"/>
        </w:rPr>
        <w:t>’</w:t>
      </w:r>
      <w:r w:rsidR="008972B0" w:rsidRPr="00F60A3D">
        <w:rPr>
          <w:lang w:val="fr-FR"/>
        </w:rPr>
        <w:t>avant-garde de l</w:t>
      </w:r>
      <w:r w:rsidR="00B17AE1" w:rsidRPr="00F60A3D">
        <w:rPr>
          <w:lang w:val="fr-FR"/>
        </w:rPr>
        <w:t>’</w:t>
      </w:r>
      <w:r w:rsidR="008972B0" w:rsidRPr="00F60A3D">
        <w:rPr>
          <w:lang w:val="fr-FR"/>
        </w:rPr>
        <w:t>unification économique et politique européenne en rejoignant l</w:t>
      </w:r>
      <w:r w:rsidR="00B17AE1" w:rsidRPr="00F60A3D">
        <w:rPr>
          <w:lang w:val="fr-FR"/>
        </w:rPr>
        <w:t>’</w:t>
      </w:r>
      <w:r w:rsidR="008972B0" w:rsidRPr="00F60A3D">
        <w:rPr>
          <w:lang w:val="fr-FR"/>
        </w:rPr>
        <w:t>Union monéta</w:t>
      </w:r>
      <w:r w:rsidR="00AE006D" w:rsidRPr="00F60A3D">
        <w:rPr>
          <w:lang w:val="fr-FR"/>
        </w:rPr>
        <w:t>ire</w:t>
      </w:r>
      <w:r w:rsidR="008972B0" w:rsidRPr="00F60A3D">
        <w:rPr>
          <w:lang w:val="fr-FR"/>
        </w:rPr>
        <w:t xml:space="preserve"> en 1999. En</w:t>
      </w:r>
      <w:r w:rsidR="00AE006D" w:rsidRPr="00F60A3D">
        <w:rPr>
          <w:lang w:val="fr-FR"/>
        </w:rPr>
        <w:t xml:space="preserve"> t</w:t>
      </w:r>
      <w:r w:rsidR="008972B0" w:rsidRPr="00F60A3D">
        <w:rPr>
          <w:lang w:val="fr-FR"/>
        </w:rPr>
        <w:t>ant que membre</w:t>
      </w:r>
      <w:r w:rsidR="00F65B88" w:rsidRPr="00F60A3D">
        <w:rPr>
          <w:lang w:val="fr-FR"/>
        </w:rPr>
        <w:t xml:space="preserve"> fondateur de l</w:t>
      </w:r>
      <w:r w:rsidR="00B17AE1" w:rsidRPr="00F60A3D">
        <w:rPr>
          <w:lang w:val="fr-FR"/>
        </w:rPr>
        <w:t>’</w:t>
      </w:r>
      <w:r w:rsidR="00F65B88" w:rsidRPr="00F60A3D">
        <w:rPr>
          <w:lang w:val="fr-FR"/>
        </w:rPr>
        <w:t>UE</w:t>
      </w:r>
      <w:r w:rsidR="00C007D0" w:rsidRPr="00F60A3D">
        <w:rPr>
          <w:lang w:val="fr-FR"/>
        </w:rPr>
        <w:t>, elle</w:t>
      </w:r>
      <w:r w:rsidR="008972B0" w:rsidRPr="00F60A3D">
        <w:rPr>
          <w:lang w:val="fr-FR"/>
        </w:rPr>
        <w:t xml:space="preserve"> a été l</w:t>
      </w:r>
      <w:r w:rsidR="00B17AE1" w:rsidRPr="00F60A3D">
        <w:rPr>
          <w:lang w:val="fr-FR"/>
        </w:rPr>
        <w:t>’</w:t>
      </w:r>
      <w:r w:rsidR="008972B0" w:rsidRPr="00F60A3D">
        <w:rPr>
          <w:lang w:val="fr-FR"/>
        </w:rPr>
        <w:t>un des principaux moteurs de l</w:t>
      </w:r>
      <w:r w:rsidR="00B17AE1" w:rsidRPr="00F60A3D">
        <w:rPr>
          <w:lang w:val="fr-FR"/>
        </w:rPr>
        <w:t>’</w:t>
      </w:r>
      <w:r w:rsidR="008972B0" w:rsidRPr="00F60A3D">
        <w:rPr>
          <w:lang w:val="fr-FR"/>
        </w:rPr>
        <w:t>intégration européenne, de la réfor</w:t>
      </w:r>
      <w:r w:rsidR="00AE006D" w:rsidRPr="00F60A3D">
        <w:rPr>
          <w:lang w:val="fr-FR"/>
        </w:rPr>
        <w:t>me institutionnelle</w:t>
      </w:r>
      <w:r w:rsidR="008972B0" w:rsidRPr="00F60A3D">
        <w:rPr>
          <w:lang w:val="fr-FR"/>
        </w:rPr>
        <w:t xml:space="preserve"> et de </w:t>
      </w:r>
      <w:r w:rsidR="005C3AFD" w:rsidRPr="00F60A3D">
        <w:rPr>
          <w:lang w:val="fr-FR"/>
        </w:rPr>
        <w:t>l</w:t>
      </w:r>
      <w:r w:rsidR="00B17AE1" w:rsidRPr="00F60A3D">
        <w:rPr>
          <w:lang w:val="fr-FR"/>
        </w:rPr>
        <w:t>’</w:t>
      </w:r>
      <w:r w:rsidR="005C3AFD" w:rsidRPr="00F60A3D">
        <w:rPr>
          <w:lang w:val="fr-FR"/>
        </w:rPr>
        <w:t xml:space="preserve">expansion </w:t>
      </w:r>
      <w:r w:rsidR="008972B0" w:rsidRPr="00F60A3D">
        <w:rPr>
          <w:lang w:val="fr-FR"/>
        </w:rPr>
        <w:t>de l</w:t>
      </w:r>
      <w:r w:rsidR="00B17AE1" w:rsidRPr="00F60A3D">
        <w:rPr>
          <w:lang w:val="fr-FR"/>
        </w:rPr>
        <w:t>’</w:t>
      </w:r>
      <w:r w:rsidR="008972B0" w:rsidRPr="00F60A3D">
        <w:rPr>
          <w:lang w:val="fr-FR"/>
        </w:rPr>
        <w:t>Union dès</w:t>
      </w:r>
      <w:r w:rsidR="00764988" w:rsidRPr="00F60A3D">
        <w:rPr>
          <w:lang w:val="fr-FR"/>
        </w:rPr>
        <w:t xml:space="preserve"> les toutes premières années </w:t>
      </w:r>
      <w:r w:rsidR="00AE006D" w:rsidRPr="00F60A3D">
        <w:rPr>
          <w:lang w:val="fr-FR"/>
        </w:rPr>
        <w:t>de la communauté</w:t>
      </w:r>
      <w:r w:rsidR="008972B0" w:rsidRPr="00F60A3D">
        <w:rPr>
          <w:lang w:val="fr-FR"/>
        </w:rPr>
        <w:t xml:space="preserve">. Un autre élément essentiel </w:t>
      </w:r>
      <w:r w:rsidR="00905745" w:rsidRPr="00F60A3D">
        <w:rPr>
          <w:lang w:val="fr-FR"/>
        </w:rPr>
        <w:t>tient au rôle d</w:t>
      </w:r>
      <w:r w:rsidR="005B6B06" w:rsidRPr="00F60A3D">
        <w:rPr>
          <w:lang w:val="fr-FR"/>
        </w:rPr>
        <w:t>e l</w:t>
      </w:r>
      <w:r w:rsidR="00B17AE1" w:rsidRPr="00F60A3D">
        <w:rPr>
          <w:lang w:val="fr-FR"/>
        </w:rPr>
        <w:t>’</w:t>
      </w:r>
      <w:r w:rsidR="005B6B06" w:rsidRPr="00F60A3D">
        <w:rPr>
          <w:lang w:val="fr-FR"/>
        </w:rPr>
        <w:t xml:space="preserve">Italie </w:t>
      </w:r>
      <w:r w:rsidR="00C14D08" w:rsidRPr="00F60A3D">
        <w:rPr>
          <w:lang w:val="fr-FR"/>
        </w:rPr>
        <w:t>dans le cadre</w:t>
      </w:r>
      <w:r w:rsidR="00050CC9" w:rsidRPr="00F60A3D">
        <w:rPr>
          <w:lang w:val="fr-FR"/>
        </w:rPr>
        <w:t xml:space="preserve"> de l</w:t>
      </w:r>
      <w:r w:rsidR="00B17AE1" w:rsidRPr="00F60A3D">
        <w:rPr>
          <w:lang w:val="fr-FR"/>
        </w:rPr>
        <w:t>’</w:t>
      </w:r>
      <w:r w:rsidR="00050CC9" w:rsidRPr="00F60A3D">
        <w:rPr>
          <w:lang w:val="fr-FR"/>
        </w:rPr>
        <w:t>UE</w:t>
      </w:r>
      <w:r w:rsidR="008972B0" w:rsidRPr="00F60A3D">
        <w:rPr>
          <w:lang w:val="fr-FR"/>
        </w:rPr>
        <w:t xml:space="preserve">. </w:t>
      </w:r>
    </w:p>
    <w:p w:rsidR="00DB5D9E" w:rsidRPr="00F60A3D" w:rsidRDefault="00DB5D9E" w:rsidP="00DB5D9E">
      <w:pPr>
        <w:pStyle w:val="H23G"/>
        <w:rPr>
          <w:lang w:val="fr-FR"/>
        </w:rPr>
      </w:pPr>
      <w:r w:rsidRPr="00F60A3D">
        <w:rPr>
          <w:lang w:val="fr-FR"/>
        </w:rPr>
        <w:tab/>
      </w:r>
      <w:r w:rsidRPr="00F60A3D">
        <w:rPr>
          <w:lang w:val="fr-FR"/>
        </w:rPr>
        <w:tab/>
      </w:r>
      <w:r w:rsidR="00AE006D" w:rsidRPr="00F60A3D">
        <w:rPr>
          <w:lang w:val="fr-FR"/>
        </w:rPr>
        <w:t>L</w:t>
      </w:r>
      <w:r w:rsidR="00B17AE1" w:rsidRPr="00F60A3D">
        <w:rPr>
          <w:lang w:val="fr-FR"/>
        </w:rPr>
        <w:t>’</w:t>
      </w:r>
      <w:r w:rsidR="00AE006D" w:rsidRPr="00F60A3D">
        <w:rPr>
          <w:lang w:val="fr-FR"/>
        </w:rPr>
        <w:t>Italie et l</w:t>
      </w:r>
      <w:r w:rsidR="00B17AE1" w:rsidRPr="00F60A3D">
        <w:rPr>
          <w:lang w:val="fr-FR"/>
        </w:rPr>
        <w:t>’</w:t>
      </w:r>
      <w:r w:rsidR="001C785C" w:rsidRPr="00F60A3D">
        <w:rPr>
          <w:lang w:val="fr-FR"/>
        </w:rPr>
        <w:t>Organisation de</w:t>
      </w:r>
      <w:r w:rsidR="00AE006D" w:rsidRPr="00F60A3D">
        <w:rPr>
          <w:lang w:val="fr-FR"/>
        </w:rPr>
        <w:t>s Nations Unies</w:t>
      </w:r>
    </w:p>
    <w:p w:rsidR="00DB5D9E" w:rsidRPr="00F60A3D" w:rsidRDefault="005B4045" w:rsidP="00806668">
      <w:pPr>
        <w:pStyle w:val="SingleTxtG"/>
        <w:rPr>
          <w:lang w:val="fr-FR"/>
        </w:rPr>
      </w:pPr>
      <w:r w:rsidRPr="00F60A3D">
        <w:rPr>
          <w:lang w:val="fr-FR"/>
        </w:rPr>
        <w:t>145</w:t>
      </w:r>
      <w:r w:rsidR="00AE006D" w:rsidRPr="00F60A3D">
        <w:rPr>
          <w:lang w:val="fr-FR"/>
        </w:rPr>
        <w:t>.</w:t>
      </w:r>
      <w:r w:rsidR="00AE006D" w:rsidRPr="00F60A3D">
        <w:rPr>
          <w:lang w:val="fr-FR"/>
        </w:rPr>
        <w:tab/>
        <w:t>Le Gouvernement italien soutient pleinement l</w:t>
      </w:r>
      <w:r w:rsidR="00B17AE1" w:rsidRPr="00F60A3D">
        <w:rPr>
          <w:lang w:val="fr-FR"/>
        </w:rPr>
        <w:t>’</w:t>
      </w:r>
      <w:r w:rsidR="001C785C" w:rsidRPr="00F60A3D">
        <w:rPr>
          <w:lang w:val="fr-FR"/>
        </w:rPr>
        <w:t>Organisation d</w:t>
      </w:r>
      <w:r w:rsidR="00AE006D" w:rsidRPr="00F60A3D">
        <w:rPr>
          <w:lang w:val="fr-FR"/>
        </w:rPr>
        <w:t>es Nations Unies</w:t>
      </w:r>
      <w:r w:rsidR="00B50981" w:rsidRPr="00F60A3D">
        <w:rPr>
          <w:lang w:val="fr-FR"/>
        </w:rPr>
        <w:t xml:space="preserve"> au sein de</w:t>
      </w:r>
      <w:r w:rsidR="001C785C" w:rsidRPr="00F60A3D">
        <w:rPr>
          <w:lang w:val="fr-FR"/>
        </w:rPr>
        <w:t xml:space="preserve"> laquelle </w:t>
      </w:r>
      <w:r w:rsidR="00B50981" w:rsidRPr="00F60A3D">
        <w:rPr>
          <w:lang w:val="fr-FR"/>
        </w:rPr>
        <w:t>il</w:t>
      </w:r>
      <w:r w:rsidR="00AE006D" w:rsidRPr="00F60A3D">
        <w:rPr>
          <w:lang w:val="fr-FR"/>
        </w:rPr>
        <w:t xml:space="preserve"> joue un rôle actif notamment en c</w:t>
      </w:r>
      <w:r w:rsidR="00C007D0" w:rsidRPr="00F60A3D">
        <w:rPr>
          <w:lang w:val="fr-FR"/>
        </w:rPr>
        <w:t>e qui concerne</w:t>
      </w:r>
      <w:r w:rsidR="00F65B88" w:rsidRPr="00F60A3D">
        <w:rPr>
          <w:lang w:val="fr-FR"/>
        </w:rPr>
        <w:t xml:space="preserve"> les opération</w:t>
      </w:r>
      <w:r w:rsidR="00AE006D" w:rsidRPr="00F60A3D">
        <w:rPr>
          <w:lang w:val="fr-FR"/>
        </w:rPr>
        <w:t>s de maintien et de consolidation de la paix,</w:t>
      </w:r>
      <w:r w:rsidR="00B50981" w:rsidRPr="00F60A3D">
        <w:rPr>
          <w:lang w:val="fr-FR"/>
        </w:rPr>
        <w:t xml:space="preserve"> </w:t>
      </w:r>
      <w:r w:rsidR="004E3097" w:rsidRPr="00F60A3D">
        <w:rPr>
          <w:lang w:val="fr-FR"/>
        </w:rPr>
        <w:t>la</w:t>
      </w:r>
      <w:r w:rsidR="00AE006D" w:rsidRPr="00F60A3D">
        <w:rPr>
          <w:lang w:val="fr-FR"/>
        </w:rPr>
        <w:t xml:space="preserve"> </w:t>
      </w:r>
      <w:r w:rsidR="00B50981" w:rsidRPr="00F60A3D">
        <w:rPr>
          <w:lang w:val="fr-FR"/>
        </w:rPr>
        <w:t xml:space="preserve">garantie </w:t>
      </w:r>
      <w:r w:rsidR="004C345F" w:rsidRPr="00F60A3D">
        <w:rPr>
          <w:lang w:val="fr-FR"/>
        </w:rPr>
        <w:t>de la sécurité internationale,</w:t>
      </w:r>
      <w:r w:rsidR="004E3097" w:rsidRPr="00F60A3D">
        <w:rPr>
          <w:lang w:val="fr-FR"/>
        </w:rPr>
        <w:t xml:space="preserve"> l</w:t>
      </w:r>
      <w:r w:rsidR="00B17AE1" w:rsidRPr="00F60A3D">
        <w:rPr>
          <w:lang w:val="fr-FR"/>
        </w:rPr>
        <w:t>’</w:t>
      </w:r>
      <w:r w:rsidR="00B50981" w:rsidRPr="00F60A3D">
        <w:rPr>
          <w:lang w:val="fr-FR"/>
        </w:rPr>
        <w:t xml:space="preserve">aide au développement </w:t>
      </w:r>
      <w:r w:rsidR="004C345F" w:rsidRPr="00F60A3D">
        <w:rPr>
          <w:lang w:val="fr-FR"/>
        </w:rPr>
        <w:t>pour les pays les moins avancés,</w:t>
      </w:r>
      <w:r w:rsidR="00B50981" w:rsidRPr="00F60A3D">
        <w:rPr>
          <w:lang w:val="fr-FR"/>
        </w:rPr>
        <w:t xml:space="preserve"> la campagne sur le</w:t>
      </w:r>
      <w:r w:rsidR="004C345F" w:rsidRPr="00F60A3D">
        <w:rPr>
          <w:lang w:val="fr-FR"/>
        </w:rPr>
        <w:t xml:space="preserve"> moratoire sur la peine de mort,</w:t>
      </w:r>
      <w:r w:rsidR="00B50981" w:rsidRPr="00F60A3D">
        <w:rPr>
          <w:lang w:val="fr-FR"/>
        </w:rPr>
        <w:t xml:space="preserve"> </w:t>
      </w:r>
      <w:r w:rsidR="00991787" w:rsidRPr="00F60A3D">
        <w:rPr>
          <w:lang w:val="fr-FR"/>
        </w:rPr>
        <w:t xml:space="preserve">et </w:t>
      </w:r>
      <w:r w:rsidR="00B50981" w:rsidRPr="00F60A3D">
        <w:rPr>
          <w:lang w:val="fr-FR"/>
        </w:rPr>
        <w:t>l</w:t>
      </w:r>
      <w:r w:rsidR="00B17AE1" w:rsidRPr="00F60A3D">
        <w:rPr>
          <w:lang w:val="fr-FR"/>
        </w:rPr>
        <w:t>’</w:t>
      </w:r>
      <w:r w:rsidR="00B50981" w:rsidRPr="00F60A3D">
        <w:rPr>
          <w:lang w:val="fr-FR"/>
        </w:rPr>
        <w:t>éliminat</w:t>
      </w:r>
      <w:r w:rsidR="007939FA" w:rsidRPr="00F60A3D">
        <w:rPr>
          <w:lang w:val="fr-FR"/>
        </w:rPr>
        <w:t>ion de la mutilation génitale fé</w:t>
      </w:r>
      <w:r w:rsidR="00B50981" w:rsidRPr="00F60A3D">
        <w:rPr>
          <w:lang w:val="fr-FR"/>
        </w:rPr>
        <w:t xml:space="preserve">minine, des mariages précoces et des mariages forcés. </w:t>
      </w:r>
    </w:p>
    <w:p w:rsidR="003A1BE5" w:rsidRPr="00F60A3D" w:rsidRDefault="005B4045" w:rsidP="00DB5D9E">
      <w:pPr>
        <w:pStyle w:val="SingleTxtG"/>
        <w:rPr>
          <w:lang w:val="fr-FR"/>
        </w:rPr>
      </w:pPr>
      <w:r w:rsidRPr="00F60A3D">
        <w:rPr>
          <w:lang w:val="fr-FR"/>
        </w:rPr>
        <w:t>146</w:t>
      </w:r>
      <w:r w:rsidR="003A1BE5" w:rsidRPr="00F60A3D">
        <w:rPr>
          <w:lang w:val="fr-FR"/>
        </w:rPr>
        <w:t>.</w:t>
      </w:r>
      <w:r w:rsidR="003A1BE5" w:rsidRPr="00F60A3D">
        <w:rPr>
          <w:lang w:val="fr-FR"/>
        </w:rPr>
        <w:tab/>
        <w:t>L</w:t>
      </w:r>
      <w:r w:rsidR="00B17AE1" w:rsidRPr="00F60A3D">
        <w:rPr>
          <w:lang w:val="fr-FR"/>
        </w:rPr>
        <w:t>’</w:t>
      </w:r>
      <w:r w:rsidR="003A1BE5" w:rsidRPr="00F60A3D">
        <w:rPr>
          <w:lang w:val="fr-FR"/>
        </w:rPr>
        <w:t xml:space="preserve">Italie a participé à différentes </w:t>
      </w:r>
      <w:r w:rsidR="00C14D08" w:rsidRPr="00F60A3D">
        <w:rPr>
          <w:lang w:val="fr-FR"/>
        </w:rPr>
        <w:t>confé</w:t>
      </w:r>
      <w:r w:rsidR="004E3097" w:rsidRPr="00F60A3D">
        <w:rPr>
          <w:lang w:val="fr-FR"/>
        </w:rPr>
        <w:t xml:space="preserve">rences </w:t>
      </w:r>
      <w:r w:rsidR="003A1BE5" w:rsidRPr="00F60A3D">
        <w:rPr>
          <w:lang w:val="fr-FR"/>
        </w:rPr>
        <w:t>internationales, notamment à la quatrième Conférence mondiale sur les femmes (Beijing, 1995)</w:t>
      </w:r>
      <w:r w:rsidR="00D823F2" w:rsidRPr="00F60A3D">
        <w:rPr>
          <w:lang w:val="fr-FR"/>
        </w:rPr>
        <w:t>,</w:t>
      </w:r>
      <w:r w:rsidR="003A1BE5" w:rsidRPr="00F60A3D">
        <w:rPr>
          <w:lang w:val="fr-FR"/>
        </w:rPr>
        <w:t xml:space="preserve"> et établit périodiquement des rapports pertinents (dont le dernier a été soumis début 2014).</w:t>
      </w:r>
      <w:r w:rsidR="00731982" w:rsidRPr="00F60A3D">
        <w:rPr>
          <w:lang w:val="fr-FR"/>
        </w:rPr>
        <w:t xml:space="preserve"> </w:t>
      </w:r>
    </w:p>
    <w:p w:rsidR="00DB5D9E" w:rsidRPr="00F60A3D" w:rsidRDefault="005B4045" w:rsidP="00806668">
      <w:pPr>
        <w:pStyle w:val="SingleTxtG"/>
        <w:rPr>
          <w:lang w:val="fr-FR"/>
        </w:rPr>
      </w:pPr>
      <w:r w:rsidRPr="00F60A3D">
        <w:rPr>
          <w:lang w:val="fr-FR"/>
        </w:rPr>
        <w:t>147</w:t>
      </w:r>
      <w:r w:rsidR="00DB5D9E" w:rsidRPr="00F60A3D">
        <w:rPr>
          <w:lang w:val="fr-FR"/>
        </w:rPr>
        <w:t>.</w:t>
      </w:r>
      <w:r w:rsidR="00DB5D9E" w:rsidRPr="00F60A3D">
        <w:rPr>
          <w:lang w:val="fr-FR"/>
        </w:rPr>
        <w:tab/>
      </w:r>
      <w:r w:rsidR="00D823F2" w:rsidRPr="00F60A3D">
        <w:rPr>
          <w:lang w:val="fr-FR"/>
        </w:rPr>
        <w:t>L</w:t>
      </w:r>
      <w:r w:rsidR="00B17AE1" w:rsidRPr="00F60A3D">
        <w:rPr>
          <w:lang w:val="fr-FR"/>
        </w:rPr>
        <w:t>’</w:t>
      </w:r>
      <w:r w:rsidR="00D823F2" w:rsidRPr="00F60A3D">
        <w:rPr>
          <w:lang w:val="fr-FR"/>
        </w:rPr>
        <w:t xml:space="preserve">Italie </w:t>
      </w:r>
      <w:r w:rsidR="003A1BE5" w:rsidRPr="00F60A3D">
        <w:rPr>
          <w:lang w:val="fr-FR"/>
        </w:rPr>
        <w:t xml:space="preserve">a </w:t>
      </w:r>
      <w:r w:rsidR="00505168" w:rsidRPr="00F60A3D">
        <w:rPr>
          <w:lang w:val="fr-FR"/>
        </w:rPr>
        <w:t xml:space="preserve">également </w:t>
      </w:r>
      <w:r w:rsidR="003A1BE5" w:rsidRPr="00F60A3D">
        <w:rPr>
          <w:lang w:val="fr-FR"/>
        </w:rPr>
        <w:t>participé activement aux négociations sur le programme de développement pour l</w:t>
      </w:r>
      <w:r w:rsidR="00B17AE1" w:rsidRPr="00F60A3D">
        <w:rPr>
          <w:lang w:val="fr-FR"/>
        </w:rPr>
        <w:t>’</w:t>
      </w:r>
      <w:r w:rsidR="003A1BE5" w:rsidRPr="00F60A3D">
        <w:rPr>
          <w:lang w:val="fr-FR"/>
        </w:rPr>
        <w:t>après-2015</w:t>
      </w:r>
      <w:r w:rsidR="003900F2" w:rsidRPr="00F60A3D">
        <w:rPr>
          <w:lang w:val="fr-FR"/>
        </w:rPr>
        <w:t xml:space="preserve"> en </w:t>
      </w:r>
      <w:r w:rsidR="001B325C" w:rsidRPr="00F60A3D">
        <w:rPr>
          <w:lang w:val="fr-FR"/>
        </w:rPr>
        <w:t>dé</w:t>
      </w:r>
      <w:r w:rsidR="003900F2" w:rsidRPr="00F60A3D">
        <w:rPr>
          <w:lang w:val="fr-FR"/>
        </w:rPr>
        <w:t>fendant la possibilité de traiter directement la question de l</w:t>
      </w:r>
      <w:r w:rsidR="00B17AE1" w:rsidRPr="00F60A3D">
        <w:rPr>
          <w:lang w:val="fr-FR"/>
        </w:rPr>
        <w:t>’</w:t>
      </w:r>
      <w:r w:rsidR="003900F2" w:rsidRPr="00F60A3D">
        <w:rPr>
          <w:lang w:val="fr-FR"/>
        </w:rPr>
        <w:t>égalité entre les sexes</w:t>
      </w:r>
      <w:r w:rsidR="001B325C" w:rsidRPr="00F60A3D">
        <w:rPr>
          <w:lang w:val="fr-FR"/>
        </w:rPr>
        <w:t xml:space="preserve"> et en l</w:t>
      </w:r>
      <w:r w:rsidR="00B17AE1" w:rsidRPr="00F60A3D">
        <w:rPr>
          <w:lang w:val="fr-FR"/>
        </w:rPr>
        <w:t>’</w:t>
      </w:r>
      <w:r w:rsidR="001B325C" w:rsidRPr="00F60A3D">
        <w:rPr>
          <w:lang w:val="fr-FR"/>
        </w:rPr>
        <w:t>intégrant aux autres buts et objectifs. Plus généralement, l</w:t>
      </w:r>
      <w:r w:rsidR="00B17AE1" w:rsidRPr="00F60A3D">
        <w:rPr>
          <w:lang w:val="fr-FR"/>
        </w:rPr>
        <w:t>’</w:t>
      </w:r>
      <w:r w:rsidR="001B325C" w:rsidRPr="00F60A3D">
        <w:rPr>
          <w:lang w:val="fr-FR"/>
        </w:rPr>
        <w:t xml:space="preserve">Italie défend fermement une approche plus dynamique pour soutenir les processus de paix, en particulier en Afrique, et pour gérer les crises migratoires avec une approche commune. </w:t>
      </w:r>
    </w:p>
    <w:p w:rsidR="00305F1C" w:rsidRPr="00F60A3D" w:rsidRDefault="005B4045" w:rsidP="001F65A3">
      <w:pPr>
        <w:pStyle w:val="SingleTxtG"/>
        <w:rPr>
          <w:lang w:val="fr-FR"/>
        </w:rPr>
      </w:pPr>
      <w:r w:rsidRPr="00F60A3D">
        <w:rPr>
          <w:lang w:val="fr-FR"/>
        </w:rPr>
        <w:t>148</w:t>
      </w:r>
      <w:r w:rsidR="00305F1C" w:rsidRPr="00F60A3D">
        <w:rPr>
          <w:lang w:val="fr-FR"/>
        </w:rPr>
        <w:t>.</w:t>
      </w:r>
      <w:r w:rsidR="00305F1C" w:rsidRPr="00F60A3D">
        <w:rPr>
          <w:lang w:val="fr-FR"/>
        </w:rPr>
        <w:tab/>
        <w:t>Durant ses deux dernières présidence</w:t>
      </w:r>
      <w:r w:rsidR="00D64FBA" w:rsidRPr="00F60A3D">
        <w:rPr>
          <w:lang w:val="fr-FR"/>
        </w:rPr>
        <w:t>s</w:t>
      </w:r>
      <w:r w:rsidR="00305F1C" w:rsidRPr="00F60A3D">
        <w:rPr>
          <w:lang w:val="fr-FR"/>
        </w:rPr>
        <w:t xml:space="preserve"> tournantes du Conseil de l</w:t>
      </w:r>
      <w:r w:rsidR="00B17AE1" w:rsidRPr="00F60A3D">
        <w:rPr>
          <w:lang w:val="fr-FR"/>
        </w:rPr>
        <w:t>’</w:t>
      </w:r>
      <w:r w:rsidR="00305F1C" w:rsidRPr="00F60A3D">
        <w:rPr>
          <w:lang w:val="fr-FR"/>
        </w:rPr>
        <w:t>UE (juillet-décembre 2003 et juillet-décembre 2014), l</w:t>
      </w:r>
      <w:r w:rsidR="00B17AE1" w:rsidRPr="00F60A3D">
        <w:rPr>
          <w:lang w:val="fr-FR"/>
        </w:rPr>
        <w:t>’</w:t>
      </w:r>
      <w:r w:rsidR="00305F1C" w:rsidRPr="00F60A3D">
        <w:rPr>
          <w:lang w:val="fr-FR"/>
        </w:rPr>
        <w:t>Italie a</w:t>
      </w:r>
      <w:r w:rsidR="00B20045" w:rsidRPr="00F60A3D">
        <w:rPr>
          <w:lang w:val="fr-FR"/>
        </w:rPr>
        <w:t>,</w:t>
      </w:r>
      <w:r w:rsidR="00305F1C" w:rsidRPr="00F60A3D">
        <w:rPr>
          <w:lang w:val="fr-FR"/>
        </w:rPr>
        <w:t xml:space="preserve"> </w:t>
      </w:r>
      <w:r w:rsidR="00B20045" w:rsidRPr="00F60A3D">
        <w:rPr>
          <w:lang w:val="fr-FR"/>
        </w:rPr>
        <w:t xml:space="preserve">notamment, défendu </w:t>
      </w:r>
      <w:r w:rsidR="00305F1C" w:rsidRPr="00F60A3D">
        <w:rPr>
          <w:lang w:val="fr-FR"/>
        </w:rPr>
        <w:t>activement l</w:t>
      </w:r>
      <w:r w:rsidR="00B17AE1" w:rsidRPr="00F60A3D">
        <w:rPr>
          <w:lang w:val="fr-FR"/>
        </w:rPr>
        <w:t>’</w:t>
      </w:r>
      <w:r w:rsidR="00305F1C" w:rsidRPr="00F60A3D">
        <w:rPr>
          <w:lang w:val="fr-FR"/>
        </w:rPr>
        <w:t xml:space="preserve">approbation des </w:t>
      </w:r>
      <w:r w:rsidR="002C465B" w:rsidRPr="00F60A3D">
        <w:rPr>
          <w:lang w:val="fr-FR"/>
        </w:rPr>
        <w:t>Orientations</w:t>
      </w:r>
      <w:r w:rsidR="00305F1C" w:rsidRPr="00F60A3D">
        <w:rPr>
          <w:lang w:val="fr-FR"/>
        </w:rPr>
        <w:t xml:space="preserve"> de l</w:t>
      </w:r>
      <w:r w:rsidR="00B17AE1" w:rsidRPr="00F60A3D">
        <w:rPr>
          <w:lang w:val="fr-FR"/>
        </w:rPr>
        <w:t>’</w:t>
      </w:r>
      <w:r w:rsidR="00472B9C" w:rsidRPr="00F60A3D">
        <w:rPr>
          <w:lang w:val="fr-FR"/>
        </w:rPr>
        <w:t>UE sur le</w:t>
      </w:r>
      <w:r w:rsidR="00305F1C" w:rsidRPr="00F60A3D">
        <w:rPr>
          <w:lang w:val="fr-FR"/>
        </w:rPr>
        <w:t xml:space="preserve">s enfants </w:t>
      </w:r>
      <w:r w:rsidR="002C465B" w:rsidRPr="00F60A3D">
        <w:rPr>
          <w:lang w:val="fr-FR"/>
        </w:rPr>
        <w:t>face aux</w:t>
      </w:r>
      <w:r w:rsidR="00305F1C" w:rsidRPr="00F60A3D">
        <w:rPr>
          <w:lang w:val="fr-FR"/>
        </w:rPr>
        <w:t xml:space="preserve"> conflits armés – </w:t>
      </w:r>
      <w:r w:rsidR="00D823F2" w:rsidRPr="00F60A3D">
        <w:rPr>
          <w:lang w:val="fr-FR"/>
        </w:rPr>
        <w:t xml:space="preserve">élaborées </w:t>
      </w:r>
      <w:r w:rsidR="00305F1C" w:rsidRPr="00F60A3D">
        <w:rPr>
          <w:lang w:val="fr-FR"/>
        </w:rPr>
        <w:t xml:space="preserve">en étroite collaboration avec le </w:t>
      </w:r>
      <w:r w:rsidR="008E38DA" w:rsidRPr="00F60A3D">
        <w:rPr>
          <w:lang w:val="fr-FR"/>
        </w:rPr>
        <w:t>Représentant</w:t>
      </w:r>
      <w:r w:rsidR="00305F1C" w:rsidRPr="00F60A3D">
        <w:rPr>
          <w:lang w:val="fr-FR"/>
        </w:rPr>
        <w:t xml:space="preserve"> </w:t>
      </w:r>
      <w:r w:rsidR="008E38DA" w:rsidRPr="00F60A3D">
        <w:rPr>
          <w:lang w:val="fr-FR"/>
        </w:rPr>
        <w:t>spé</w:t>
      </w:r>
      <w:r w:rsidR="00305F1C" w:rsidRPr="00F60A3D">
        <w:rPr>
          <w:lang w:val="fr-FR"/>
        </w:rPr>
        <w:t xml:space="preserve">cial </w:t>
      </w:r>
      <w:r w:rsidR="00472B9C" w:rsidRPr="00F60A3D">
        <w:rPr>
          <w:lang w:val="fr-FR"/>
        </w:rPr>
        <w:t>du S</w:t>
      </w:r>
      <w:r w:rsidR="008E38DA" w:rsidRPr="00F60A3D">
        <w:rPr>
          <w:lang w:val="fr-FR"/>
        </w:rPr>
        <w:t>ecrétaire général</w:t>
      </w:r>
      <w:r w:rsidR="005367EC" w:rsidRPr="00F60A3D">
        <w:rPr>
          <w:lang w:val="fr-FR"/>
        </w:rPr>
        <w:t xml:space="preserve"> de l</w:t>
      </w:r>
      <w:r w:rsidR="00B17AE1" w:rsidRPr="00F60A3D">
        <w:rPr>
          <w:lang w:val="fr-FR"/>
        </w:rPr>
        <w:t>’</w:t>
      </w:r>
      <w:r w:rsidR="005367EC" w:rsidRPr="00F60A3D">
        <w:rPr>
          <w:lang w:val="fr-FR"/>
        </w:rPr>
        <w:t>ONU</w:t>
      </w:r>
      <w:r w:rsidR="008E38DA" w:rsidRPr="00F60A3D">
        <w:rPr>
          <w:lang w:val="fr-FR"/>
        </w:rPr>
        <w:t xml:space="preserve"> po</w:t>
      </w:r>
      <w:r w:rsidR="00305F1C" w:rsidRPr="00F60A3D">
        <w:rPr>
          <w:lang w:val="fr-FR"/>
        </w:rPr>
        <w:t xml:space="preserve">ur les enfants </w:t>
      </w:r>
      <w:r w:rsidR="005367EC" w:rsidRPr="00F60A3D">
        <w:rPr>
          <w:lang w:val="fr-FR"/>
        </w:rPr>
        <w:t xml:space="preserve">et </w:t>
      </w:r>
      <w:r w:rsidR="00305F1C" w:rsidRPr="00F60A3D">
        <w:rPr>
          <w:lang w:val="fr-FR"/>
        </w:rPr>
        <w:t>les conflits armés (</w:t>
      </w:r>
      <w:r w:rsidR="00B17AE1" w:rsidRPr="00F60A3D">
        <w:rPr>
          <w:lang w:val="fr-FR"/>
        </w:rPr>
        <w:t>M. </w:t>
      </w:r>
      <w:r w:rsidR="00305F1C" w:rsidRPr="00F60A3D">
        <w:rPr>
          <w:lang w:val="fr-FR"/>
        </w:rPr>
        <w:t>O. Otunnu);</w:t>
      </w:r>
      <w:r w:rsidR="008E38DA" w:rsidRPr="00F60A3D">
        <w:rPr>
          <w:lang w:val="fr-FR"/>
        </w:rPr>
        <w:t xml:space="preserve"> </w:t>
      </w:r>
      <w:r w:rsidR="00D64FBA" w:rsidRPr="00F60A3D">
        <w:rPr>
          <w:lang w:val="fr-FR"/>
        </w:rPr>
        <w:t>elle a r</w:t>
      </w:r>
      <w:r w:rsidR="008E38DA" w:rsidRPr="00F60A3D">
        <w:rPr>
          <w:lang w:val="fr-FR"/>
        </w:rPr>
        <w:t xml:space="preserve">elancé les négociations </w:t>
      </w:r>
      <w:r w:rsidR="00D64FBA" w:rsidRPr="00F60A3D">
        <w:rPr>
          <w:lang w:val="fr-FR"/>
        </w:rPr>
        <w:t xml:space="preserve">sur la </w:t>
      </w:r>
      <w:r w:rsidR="0018379D" w:rsidRPr="00F60A3D">
        <w:rPr>
          <w:lang w:val="fr-FR"/>
        </w:rPr>
        <w:t xml:space="preserve">Directive horizontale dite </w:t>
      </w:r>
      <w:r w:rsidR="00731982" w:rsidRPr="00F60A3D">
        <w:rPr>
          <w:lang w:val="fr-FR"/>
        </w:rPr>
        <w:t>«</w:t>
      </w:r>
      <w:r w:rsidR="0018379D" w:rsidRPr="00F60A3D">
        <w:rPr>
          <w:lang w:val="fr-FR"/>
        </w:rPr>
        <w:t>d</w:t>
      </w:r>
      <w:r w:rsidR="00B17AE1" w:rsidRPr="00F60A3D">
        <w:rPr>
          <w:lang w:val="fr-FR"/>
        </w:rPr>
        <w:t>’</w:t>
      </w:r>
      <w:r w:rsidR="0018379D" w:rsidRPr="00F60A3D">
        <w:rPr>
          <w:lang w:val="fr-FR"/>
        </w:rPr>
        <w:t>ensemble</w:t>
      </w:r>
      <w:r w:rsidR="00731982" w:rsidRPr="00F60A3D">
        <w:rPr>
          <w:lang w:val="fr-FR"/>
        </w:rPr>
        <w:t>»</w:t>
      </w:r>
      <w:r w:rsidR="00FC5E01" w:rsidRPr="00F60A3D">
        <w:rPr>
          <w:i/>
          <w:lang w:val="fr-FR"/>
        </w:rPr>
        <w:t xml:space="preserve"> </w:t>
      </w:r>
      <w:r w:rsidR="00D64FBA" w:rsidRPr="00F60A3D">
        <w:rPr>
          <w:lang w:val="fr-FR"/>
        </w:rPr>
        <w:t>de l</w:t>
      </w:r>
      <w:r w:rsidR="00B17AE1" w:rsidRPr="00F60A3D">
        <w:rPr>
          <w:lang w:val="fr-FR"/>
        </w:rPr>
        <w:t>’</w:t>
      </w:r>
      <w:r w:rsidR="00FC5E01" w:rsidRPr="00F60A3D">
        <w:rPr>
          <w:lang w:val="fr-FR"/>
        </w:rPr>
        <w:t>UE de 2008 sur la non-discrimination, en me</w:t>
      </w:r>
      <w:r w:rsidR="00203C70" w:rsidRPr="00F60A3D">
        <w:rPr>
          <w:lang w:val="fr-FR"/>
        </w:rPr>
        <w:t>ttant spécifiquement l</w:t>
      </w:r>
      <w:r w:rsidR="00B17AE1" w:rsidRPr="00F60A3D">
        <w:rPr>
          <w:lang w:val="fr-FR"/>
        </w:rPr>
        <w:t>’</w:t>
      </w:r>
      <w:r w:rsidR="00203C70" w:rsidRPr="00F60A3D">
        <w:rPr>
          <w:lang w:val="fr-FR"/>
        </w:rPr>
        <w:t>accent s</w:t>
      </w:r>
      <w:r w:rsidR="00FC5E01" w:rsidRPr="00F60A3D">
        <w:rPr>
          <w:lang w:val="fr-FR"/>
        </w:rPr>
        <w:t>ur la collecte d</w:t>
      </w:r>
      <w:r w:rsidR="00203C70" w:rsidRPr="00F60A3D">
        <w:rPr>
          <w:lang w:val="fr-FR"/>
        </w:rPr>
        <w:t>e données – nécessaire pour ori</w:t>
      </w:r>
      <w:r w:rsidR="00FC5E01" w:rsidRPr="00F60A3D">
        <w:rPr>
          <w:lang w:val="fr-FR"/>
        </w:rPr>
        <w:t>e</w:t>
      </w:r>
      <w:r w:rsidR="004E3097" w:rsidRPr="00F60A3D">
        <w:rPr>
          <w:lang w:val="fr-FR"/>
        </w:rPr>
        <w:t xml:space="preserve">nter les politiques </w:t>
      </w:r>
      <w:r w:rsidR="005367EC" w:rsidRPr="00F60A3D">
        <w:rPr>
          <w:lang w:val="fr-FR"/>
        </w:rPr>
        <w:t>comme il se doit</w:t>
      </w:r>
      <w:r w:rsidR="00546CF3" w:rsidRPr="00F60A3D">
        <w:rPr>
          <w:lang w:val="fr-FR"/>
        </w:rPr>
        <w:t>,</w:t>
      </w:r>
      <w:r w:rsidR="00203C70" w:rsidRPr="00F60A3D">
        <w:rPr>
          <w:lang w:val="fr-FR"/>
        </w:rPr>
        <w:t xml:space="preserve"> et</w:t>
      </w:r>
      <w:r w:rsidR="00FC5E01" w:rsidRPr="00F60A3D">
        <w:rPr>
          <w:lang w:val="fr-FR"/>
        </w:rPr>
        <w:t xml:space="preserve"> </w:t>
      </w:r>
      <w:r w:rsidR="005367EC" w:rsidRPr="00F60A3D">
        <w:rPr>
          <w:lang w:val="fr-FR"/>
        </w:rPr>
        <w:t xml:space="preserve">sur </w:t>
      </w:r>
      <w:r w:rsidR="00FC5E01" w:rsidRPr="00F60A3D">
        <w:rPr>
          <w:lang w:val="fr-FR"/>
        </w:rPr>
        <w:t>la lutte contre la traite des êtres humains.</w:t>
      </w:r>
      <w:r w:rsidR="00731982" w:rsidRPr="00F60A3D">
        <w:rPr>
          <w:lang w:val="fr-FR"/>
        </w:rPr>
        <w:t xml:space="preserve"> </w:t>
      </w:r>
    </w:p>
    <w:p w:rsidR="00507EFB" w:rsidRPr="00F60A3D" w:rsidRDefault="00224935" w:rsidP="00806668">
      <w:pPr>
        <w:pStyle w:val="SingleTxtG"/>
        <w:rPr>
          <w:lang w:val="fr-FR"/>
        </w:rPr>
      </w:pPr>
      <w:r w:rsidRPr="00F60A3D">
        <w:rPr>
          <w:lang w:val="fr-FR"/>
        </w:rPr>
        <w:t>149.</w:t>
      </w:r>
      <w:r w:rsidR="001D2CCC" w:rsidRPr="00F60A3D">
        <w:rPr>
          <w:lang w:val="fr-FR"/>
        </w:rPr>
        <w:tab/>
      </w:r>
      <w:r w:rsidR="00507EFB" w:rsidRPr="00F60A3D">
        <w:rPr>
          <w:lang w:val="fr-FR"/>
        </w:rPr>
        <w:t>Plus généralement, l</w:t>
      </w:r>
      <w:r w:rsidR="00B17AE1" w:rsidRPr="00F60A3D">
        <w:rPr>
          <w:lang w:val="fr-FR"/>
        </w:rPr>
        <w:t>’</w:t>
      </w:r>
      <w:r w:rsidR="00507EFB" w:rsidRPr="00F60A3D">
        <w:rPr>
          <w:lang w:val="fr-FR"/>
        </w:rPr>
        <w:t>Italie encourage le dialogue avec les pays tiers, dans le cadre d</w:t>
      </w:r>
      <w:r w:rsidR="00B17AE1" w:rsidRPr="00F60A3D">
        <w:rPr>
          <w:lang w:val="fr-FR"/>
        </w:rPr>
        <w:t>’</w:t>
      </w:r>
      <w:r w:rsidR="00507EFB" w:rsidRPr="00F60A3D">
        <w:rPr>
          <w:lang w:val="fr-FR"/>
        </w:rPr>
        <w:t>ini</w:t>
      </w:r>
      <w:r w:rsidR="008E330F" w:rsidRPr="00F60A3D">
        <w:rPr>
          <w:lang w:val="fr-FR"/>
        </w:rPr>
        <w:t>tiatives telles que le processus de R</w:t>
      </w:r>
      <w:r w:rsidR="00507EFB" w:rsidRPr="00F60A3D">
        <w:rPr>
          <w:lang w:val="fr-FR"/>
        </w:rPr>
        <w:t>abat. Conformément à ce dernier et au Dialogue UE-Afrique sur la migration et la mobilité, la présidence italienne de l</w:t>
      </w:r>
      <w:r w:rsidR="00B17AE1" w:rsidRPr="00F60A3D">
        <w:rPr>
          <w:lang w:val="fr-FR"/>
        </w:rPr>
        <w:t>’</w:t>
      </w:r>
      <w:r w:rsidR="00DF120E" w:rsidRPr="00F60A3D">
        <w:rPr>
          <w:lang w:val="fr-FR"/>
        </w:rPr>
        <w:t>UE a e</w:t>
      </w:r>
      <w:r w:rsidR="0018379D" w:rsidRPr="00F60A3D">
        <w:rPr>
          <w:lang w:val="fr-FR"/>
        </w:rPr>
        <w:t xml:space="preserve">ncouragé </w:t>
      </w:r>
      <w:r w:rsidR="00731982" w:rsidRPr="00F60A3D">
        <w:rPr>
          <w:lang w:val="fr-FR"/>
        </w:rPr>
        <w:t>«</w:t>
      </w:r>
      <w:r w:rsidR="003358FF" w:rsidRPr="00F60A3D">
        <w:rPr>
          <w:lang w:val="fr-FR"/>
        </w:rPr>
        <w:t>l</w:t>
      </w:r>
      <w:r w:rsidR="00B17AE1" w:rsidRPr="00F60A3D">
        <w:rPr>
          <w:lang w:val="fr-FR"/>
        </w:rPr>
        <w:t>’</w:t>
      </w:r>
      <w:r w:rsidR="003358FF" w:rsidRPr="00F60A3D">
        <w:rPr>
          <w:lang w:val="fr-FR"/>
        </w:rPr>
        <w:t>I</w:t>
      </w:r>
      <w:r w:rsidR="00DF120E" w:rsidRPr="00F60A3D">
        <w:rPr>
          <w:lang w:val="fr-FR"/>
        </w:rPr>
        <w:t>nitia</w:t>
      </w:r>
      <w:r w:rsidR="008E330F" w:rsidRPr="00F60A3D">
        <w:rPr>
          <w:lang w:val="fr-FR"/>
        </w:rPr>
        <w:t>t</w:t>
      </w:r>
      <w:r w:rsidR="00AD128C" w:rsidRPr="00F60A3D">
        <w:rPr>
          <w:lang w:val="fr-FR"/>
        </w:rPr>
        <w:t>ive pour la</w:t>
      </w:r>
      <w:r w:rsidR="006A35D8" w:rsidRPr="00F60A3D">
        <w:rPr>
          <w:lang w:val="fr-FR"/>
        </w:rPr>
        <w:t xml:space="preserve"> route migratoire UE-</w:t>
      </w:r>
      <w:r w:rsidR="00DF120E" w:rsidRPr="00F60A3D">
        <w:rPr>
          <w:lang w:val="fr-FR"/>
        </w:rPr>
        <w:t>Corne de l</w:t>
      </w:r>
      <w:r w:rsidR="00B17AE1" w:rsidRPr="00F60A3D">
        <w:rPr>
          <w:lang w:val="fr-FR"/>
        </w:rPr>
        <w:t>’</w:t>
      </w:r>
      <w:r w:rsidR="00DF120E" w:rsidRPr="00F60A3D">
        <w:rPr>
          <w:lang w:val="fr-FR"/>
        </w:rPr>
        <w:t>Afrique</w:t>
      </w:r>
      <w:r w:rsidR="00731982" w:rsidRPr="00F60A3D">
        <w:rPr>
          <w:lang w:val="fr-FR"/>
        </w:rPr>
        <w:t>»</w:t>
      </w:r>
      <w:r w:rsidR="00DF120E" w:rsidRPr="00F60A3D">
        <w:rPr>
          <w:lang w:val="fr-FR"/>
        </w:rPr>
        <w:t xml:space="preserve">. </w:t>
      </w:r>
    </w:p>
    <w:p w:rsidR="00DB5D9E" w:rsidRPr="00F60A3D" w:rsidRDefault="00DA6421" w:rsidP="00DA6421">
      <w:pPr>
        <w:pStyle w:val="H1G"/>
        <w:rPr>
          <w:lang w:val="fr-FR"/>
        </w:rPr>
      </w:pPr>
      <w:r w:rsidRPr="00F60A3D">
        <w:rPr>
          <w:lang w:val="fr-FR"/>
        </w:rPr>
        <w:br w:type="page"/>
      </w:r>
      <w:r w:rsidR="002722FF" w:rsidRPr="00F60A3D">
        <w:rPr>
          <w:lang w:val="fr-FR"/>
        </w:rPr>
        <w:lastRenderedPageBreak/>
        <w:tab/>
      </w:r>
      <w:r w:rsidR="00DB5D9E" w:rsidRPr="00F60A3D">
        <w:rPr>
          <w:lang w:val="fr-FR"/>
        </w:rPr>
        <w:t>A</w:t>
      </w:r>
      <w:r w:rsidR="002722FF" w:rsidRPr="00F60A3D">
        <w:rPr>
          <w:lang w:val="fr-FR"/>
        </w:rPr>
        <w:t>.</w:t>
      </w:r>
      <w:r w:rsidR="002722FF" w:rsidRPr="00F60A3D">
        <w:rPr>
          <w:lang w:val="fr-FR"/>
        </w:rPr>
        <w:tab/>
      </w:r>
      <w:r w:rsidR="00DB5D9E" w:rsidRPr="00F60A3D">
        <w:rPr>
          <w:lang w:val="fr-FR"/>
        </w:rPr>
        <w:t>A</w:t>
      </w:r>
      <w:r w:rsidR="00DF120E" w:rsidRPr="00F60A3D">
        <w:rPr>
          <w:lang w:val="fr-FR"/>
        </w:rPr>
        <w:t>dhésion aux normes internationales relatives aux droits de l</w:t>
      </w:r>
      <w:r w:rsidR="00B17AE1" w:rsidRPr="00F60A3D">
        <w:rPr>
          <w:lang w:val="fr-FR"/>
        </w:rPr>
        <w:t>’</w:t>
      </w:r>
      <w:r w:rsidR="00DF120E" w:rsidRPr="00F60A3D">
        <w:rPr>
          <w:lang w:val="fr-FR"/>
        </w:rPr>
        <w:t xml:space="preserve">homme </w:t>
      </w:r>
      <w:bookmarkStart w:id="16" w:name="_Toc73328514"/>
      <w:bookmarkStart w:id="17" w:name="_Toc73946165"/>
      <w:bookmarkStart w:id="18" w:name="_Toc133268782"/>
      <w:bookmarkEnd w:id="9"/>
      <w:bookmarkEnd w:id="10"/>
      <w:bookmarkEnd w:id="11"/>
      <w:bookmarkEnd w:id="12"/>
      <w:bookmarkEnd w:id="13"/>
    </w:p>
    <w:p w:rsidR="00DB5D9E" w:rsidRPr="00F60A3D" w:rsidRDefault="00DA6421" w:rsidP="00DA6421">
      <w:pPr>
        <w:pStyle w:val="H23G"/>
        <w:rPr>
          <w:lang w:val="fr-FR"/>
        </w:rPr>
      </w:pPr>
      <w:r w:rsidRPr="00F60A3D">
        <w:rPr>
          <w:lang w:val="fr-FR"/>
        </w:rPr>
        <w:tab/>
      </w:r>
      <w:r w:rsidRPr="00F60A3D">
        <w:rPr>
          <w:lang w:val="fr-FR"/>
        </w:rPr>
        <w:tab/>
      </w:r>
      <w:r w:rsidR="00DF120E" w:rsidRPr="00F60A3D">
        <w:rPr>
          <w:lang w:val="fr-FR"/>
        </w:rPr>
        <w:t>I</w:t>
      </w:r>
      <w:r w:rsidR="00DB5D9E" w:rsidRPr="00F60A3D">
        <w:rPr>
          <w:lang w:val="fr-FR"/>
        </w:rPr>
        <w:t>nstruments</w:t>
      </w:r>
      <w:r w:rsidRPr="00F60A3D">
        <w:rPr>
          <w:lang w:val="fr-FR"/>
        </w:rPr>
        <w:t xml:space="preserve"> internationaux</w:t>
      </w:r>
    </w:p>
    <w:tbl>
      <w:tblPr>
        <w:tblW w:w="7371" w:type="dxa"/>
        <w:tblInd w:w="1134" w:type="dxa"/>
        <w:tblCellMar>
          <w:left w:w="0" w:type="dxa"/>
          <w:right w:w="0" w:type="dxa"/>
        </w:tblCellMar>
        <w:tblLook w:val="00A0" w:firstRow="1" w:lastRow="0" w:firstColumn="1" w:lastColumn="0" w:noHBand="0" w:noVBand="0"/>
      </w:tblPr>
      <w:tblGrid>
        <w:gridCol w:w="4004"/>
        <w:gridCol w:w="3367"/>
      </w:tblGrid>
      <w:tr w:rsidR="00DA6421" w:rsidRPr="00F60A3D" w:rsidTr="00497D03">
        <w:trPr>
          <w:tblHeader/>
        </w:trPr>
        <w:tc>
          <w:tcPr>
            <w:tcW w:w="7371" w:type="dxa"/>
            <w:gridSpan w:val="2"/>
            <w:tcBorders>
              <w:top w:val="single" w:sz="4" w:space="0" w:color="auto"/>
              <w:bottom w:val="single" w:sz="12" w:space="0" w:color="auto"/>
            </w:tcBorders>
          </w:tcPr>
          <w:p w:rsidR="00DA6421" w:rsidRPr="00F60A3D" w:rsidRDefault="00DA6421" w:rsidP="00DA6421">
            <w:pPr>
              <w:pStyle w:val="Heading2"/>
              <w:spacing w:before="80" w:after="80"/>
              <w:rPr>
                <w:bCs/>
                <w:i/>
                <w:iCs/>
                <w:sz w:val="16"/>
                <w:szCs w:val="16"/>
                <w:lang w:val="fr-FR"/>
              </w:rPr>
            </w:pPr>
            <w:r w:rsidRPr="00F60A3D">
              <w:rPr>
                <w:bCs/>
                <w:i/>
                <w:iCs/>
                <w:sz w:val="16"/>
                <w:szCs w:val="16"/>
                <w:lang w:val="fr-FR"/>
              </w:rPr>
              <w:t xml:space="preserve">Principaux instruments internationaux relatifs aux droits de l’homme </w:t>
            </w:r>
          </w:p>
        </w:tc>
      </w:tr>
      <w:tr w:rsidR="002722FF" w:rsidRPr="00F60A3D" w:rsidTr="00DA6421">
        <w:tc>
          <w:tcPr>
            <w:tcW w:w="4004" w:type="dxa"/>
            <w:tcBorders>
              <w:top w:val="single" w:sz="12" w:space="0" w:color="auto"/>
            </w:tcBorders>
          </w:tcPr>
          <w:p w:rsidR="002722FF" w:rsidRPr="00F60A3D" w:rsidRDefault="00DF120E" w:rsidP="005465AF">
            <w:pPr>
              <w:spacing w:before="40" w:after="120"/>
              <w:ind w:right="170"/>
              <w:rPr>
                <w:lang w:val="fr-FR"/>
              </w:rPr>
            </w:pPr>
            <w:r w:rsidRPr="00F60A3D">
              <w:rPr>
                <w:lang w:val="fr-FR"/>
              </w:rPr>
              <w:t>Pacte international relatif aux droits économiques, sociaux et culturels, 1966</w:t>
            </w:r>
          </w:p>
        </w:tc>
        <w:tc>
          <w:tcPr>
            <w:tcW w:w="3367" w:type="dxa"/>
            <w:tcBorders>
              <w:top w:val="single" w:sz="12" w:space="0" w:color="auto"/>
            </w:tcBorders>
          </w:tcPr>
          <w:p w:rsidR="002722FF" w:rsidRPr="00F60A3D" w:rsidRDefault="00DF120E" w:rsidP="005465AF">
            <w:pPr>
              <w:spacing w:before="40" w:after="120"/>
              <w:rPr>
                <w:lang w:val="fr-FR"/>
              </w:rPr>
            </w:pPr>
            <w:r w:rsidRPr="00F60A3D">
              <w:rPr>
                <w:lang w:val="fr-FR"/>
              </w:rPr>
              <w:t>Signé le 1</w:t>
            </w:r>
            <w:r w:rsidR="00DA6421" w:rsidRPr="00F60A3D">
              <w:rPr>
                <w:lang w:val="fr-FR"/>
              </w:rPr>
              <w:t>8 janvier 1967 et ratifié le 15 </w:t>
            </w:r>
            <w:r w:rsidRPr="00F60A3D">
              <w:rPr>
                <w:lang w:val="fr-FR"/>
              </w:rPr>
              <w:t>septembre</w:t>
            </w:r>
            <w:r w:rsidR="002722FF" w:rsidRPr="00F60A3D">
              <w:rPr>
                <w:lang w:val="fr-FR"/>
              </w:rPr>
              <w:t xml:space="preserve"> 1978</w:t>
            </w:r>
          </w:p>
        </w:tc>
      </w:tr>
      <w:tr w:rsidR="002722FF" w:rsidRPr="00F60A3D" w:rsidTr="00DA6421">
        <w:tc>
          <w:tcPr>
            <w:tcW w:w="4004" w:type="dxa"/>
          </w:tcPr>
          <w:p w:rsidR="002722FF" w:rsidRPr="00F60A3D" w:rsidRDefault="00407AF2" w:rsidP="005465AF">
            <w:pPr>
              <w:spacing w:before="40" w:after="120"/>
              <w:ind w:right="170"/>
              <w:rPr>
                <w:lang w:val="fr-FR"/>
              </w:rPr>
            </w:pPr>
            <w:r w:rsidRPr="00F60A3D">
              <w:rPr>
                <w:lang w:val="fr-FR"/>
              </w:rPr>
              <w:t>Pacte international relatif aux droits civils et politiques</w:t>
            </w:r>
            <w:r w:rsidR="002722FF" w:rsidRPr="00F60A3D">
              <w:rPr>
                <w:lang w:val="fr-FR"/>
              </w:rPr>
              <w:t>, 1966</w:t>
            </w:r>
          </w:p>
        </w:tc>
        <w:tc>
          <w:tcPr>
            <w:tcW w:w="3367" w:type="dxa"/>
          </w:tcPr>
          <w:p w:rsidR="002722FF" w:rsidRPr="00F60A3D" w:rsidRDefault="00407AF2" w:rsidP="005465AF">
            <w:pPr>
              <w:spacing w:before="40" w:after="120"/>
              <w:rPr>
                <w:lang w:val="fr-FR"/>
              </w:rPr>
            </w:pPr>
            <w:r w:rsidRPr="00F60A3D">
              <w:rPr>
                <w:lang w:val="fr-FR"/>
              </w:rPr>
              <w:t>Signé le 18 janvier 1967 et ratifié le 15</w:t>
            </w:r>
            <w:r w:rsidR="00DA6421" w:rsidRPr="00F60A3D">
              <w:rPr>
                <w:lang w:val="fr-FR"/>
              </w:rPr>
              <w:t> </w:t>
            </w:r>
            <w:r w:rsidRPr="00F60A3D">
              <w:rPr>
                <w:lang w:val="fr-FR"/>
              </w:rPr>
              <w:t>septemb</w:t>
            </w:r>
            <w:r w:rsidR="002722FF" w:rsidRPr="00F60A3D">
              <w:rPr>
                <w:lang w:val="fr-FR"/>
              </w:rPr>
              <w:t>r</w:t>
            </w:r>
            <w:r w:rsidRPr="00F60A3D">
              <w:rPr>
                <w:lang w:val="fr-FR"/>
              </w:rPr>
              <w:t>e</w:t>
            </w:r>
            <w:r w:rsidR="002722FF" w:rsidRPr="00F60A3D">
              <w:rPr>
                <w:lang w:val="fr-FR"/>
              </w:rPr>
              <w:t xml:space="preserve"> 1978</w:t>
            </w:r>
            <w:r w:rsidR="002722FF" w:rsidRPr="00F60A3D">
              <w:rPr>
                <w:rStyle w:val="FootnoteReference"/>
                <w:lang w:val="fr-FR"/>
              </w:rPr>
              <w:footnoteReference w:id="28"/>
            </w:r>
          </w:p>
        </w:tc>
      </w:tr>
      <w:tr w:rsidR="002722FF" w:rsidRPr="00F60A3D" w:rsidTr="00DA6421">
        <w:tc>
          <w:tcPr>
            <w:tcW w:w="4004" w:type="dxa"/>
          </w:tcPr>
          <w:p w:rsidR="002722FF" w:rsidRPr="00F60A3D" w:rsidRDefault="002722FF" w:rsidP="005465AF">
            <w:pPr>
              <w:spacing w:before="40" w:after="120"/>
              <w:ind w:right="170"/>
              <w:rPr>
                <w:lang w:val="fr-FR"/>
              </w:rPr>
            </w:pPr>
            <w:r w:rsidRPr="00F60A3D">
              <w:rPr>
                <w:lang w:val="fr-FR"/>
              </w:rPr>
              <w:t xml:space="preserve">Convention </w:t>
            </w:r>
            <w:r w:rsidR="005E70BE" w:rsidRPr="00F60A3D">
              <w:rPr>
                <w:lang w:val="fr-FR"/>
              </w:rPr>
              <w:t>internationale sur l</w:t>
            </w:r>
            <w:r w:rsidR="00B17AE1" w:rsidRPr="00F60A3D">
              <w:rPr>
                <w:lang w:val="fr-FR"/>
              </w:rPr>
              <w:t>’</w:t>
            </w:r>
            <w:r w:rsidR="005E70BE" w:rsidRPr="00F60A3D">
              <w:rPr>
                <w:lang w:val="fr-FR"/>
              </w:rPr>
              <w:t xml:space="preserve">élimination de toutes les formes </w:t>
            </w:r>
            <w:r w:rsidR="00905745" w:rsidRPr="00F60A3D">
              <w:rPr>
                <w:lang w:val="fr-FR"/>
              </w:rPr>
              <w:t>de discrimination raciale</w:t>
            </w:r>
            <w:r w:rsidRPr="00F60A3D">
              <w:rPr>
                <w:lang w:val="fr-FR"/>
              </w:rPr>
              <w:t>, 1965</w:t>
            </w:r>
          </w:p>
        </w:tc>
        <w:tc>
          <w:tcPr>
            <w:tcW w:w="3367" w:type="dxa"/>
          </w:tcPr>
          <w:p w:rsidR="002722FF" w:rsidRPr="00F60A3D" w:rsidRDefault="006A35D8" w:rsidP="006A35D8">
            <w:pPr>
              <w:spacing w:before="40" w:after="120"/>
              <w:rPr>
                <w:lang w:val="fr-FR"/>
              </w:rPr>
            </w:pPr>
            <w:r w:rsidRPr="00F60A3D">
              <w:rPr>
                <w:lang w:val="fr-FR"/>
              </w:rPr>
              <w:t>Signée le 13 </w:t>
            </w:r>
            <w:r w:rsidR="005E70BE" w:rsidRPr="00F60A3D">
              <w:rPr>
                <w:lang w:val="fr-FR"/>
              </w:rPr>
              <w:t>mars 1968 et ratifiée le 5</w:t>
            </w:r>
            <w:r w:rsidR="00DA6421" w:rsidRPr="00F60A3D">
              <w:rPr>
                <w:lang w:val="fr-FR"/>
              </w:rPr>
              <w:t> </w:t>
            </w:r>
            <w:r w:rsidR="005E70BE" w:rsidRPr="00F60A3D">
              <w:rPr>
                <w:lang w:val="fr-FR"/>
              </w:rPr>
              <w:t>janvier</w:t>
            </w:r>
            <w:r w:rsidR="00731982" w:rsidRPr="00F60A3D">
              <w:rPr>
                <w:lang w:val="fr-FR"/>
              </w:rPr>
              <w:t xml:space="preserve"> </w:t>
            </w:r>
            <w:r w:rsidR="005E70BE" w:rsidRPr="00F60A3D">
              <w:rPr>
                <w:lang w:val="fr-FR"/>
              </w:rPr>
              <w:t xml:space="preserve">1976. Des réserves ont été apportées aux </w:t>
            </w:r>
            <w:r w:rsidR="00D26282" w:rsidRPr="00F60A3D">
              <w:rPr>
                <w:lang w:val="fr-FR"/>
              </w:rPr>
              <w:t>articles </w:t>
            </w:r>
            <w:r w:rsidR="005E70BE" w:rsidRPr="00F60A3D">
              <w:rPr>
                <w:lang w:val="fr-FR"/>
              </w:rPr>
              <w:t>4</w:t>
            </w:r>
            <w:r w:rsidRPr="00F60A3D">
              <w:rPr>
                <w:lang w:val="fr-FR"/>
              </w:rPr>
              <w:t> </w:t>
            </w:r>
            <w:r w:rsidR="005E70BE" w:rsidRPr="00F60A3D">
              <w:rPr>
                <w:lang w:val="fr-FR"/>
              </w:rPr>
              <w:t>a), 4</w:t>
            </w:r>
            <w:r w:rsidRPr="00F60A3D">
              <w:rPr>
                <w:lang w:val="fr-FR"/>
              </w:rPr>
              <w:t> </w:t>
            </w:r>
            <w:r w:rsidR="005E70BE" w:rsidRPr="00F60A3D">
              <w:rPr>
                <w:lang w:val="fr-FR"/>
              </w:rPr>
              <w:t>b) et</w:t>
            </w:r>
            <w:r w:rsidR="00810C3F" w:rsidRPr="00F60A3D">
              <w:rPr>
                <w:lang w:val="fr-FR"/>
              </w:rPr>
              <w:t xml:space="preserve"> 6, et à la Déclaration faite en vertu</w:t>
            </w:r>
            <w:r w:rsidR="005E70BE" w:rsidRPr="00F60A3D">
              <w:rPr>
                <w:lang w:val="fr-FR"/>
              </w:rPr>
              <w:t xml:space="preserve"> de l</w:t>
            </w:r>
            <w:r w:rsidR="00B17AE1" w:rsidRPr="00F60A3D">
              <w:rPr>
                <w:lang w:val="fr-FR"/>
              </w:rPr>
              <w:t>’</w:t>
            </w:r>
            <w:r w:rsidR="00D26282" w:rsidRPr="00F60A3D">
              <w:rPr>
                <w:lang w:val="fr-FR"/>
              </w:rPr>
              <w:t>article </w:t>
            </w:r>
            <w:r w:rsidR="002722FF" w:rsidRPr="00F60A3D">
              <w:rPr>
                <w:lang w:val="fr-FR"/>
              </w:rPr>
              <w:t>14</w:t>
            </w:r>
            <w:r w:rsidR="002722FF" w:rsidRPr="00F60A3D">
              <w:rPr>
                <w:rStyle w:val="FootnoteReference"/>
                <w:lang w:val="fr-FR"/>
              </w:rPr>
              <w:footnoteReference w:id="29"/>
            </w:r>
          </w:p>
        </w:tc>
      </w:tr>
      <w:tr w:rsidR="002722FF" w:rsidRPr="00F60A3D" w:rsidTr="00DA6421">
        <w:tc>
          <w:tcPr>
            <w:tcW w:w="4004" w:type="dxa"/>
          </w:tcPr>
          <w:p w:rsidR="002722FF" w:rsidRPr="00F60A3D" w:rsidRDefault="001E2122" w:rsidP="005465AF">
            <w:pPr>
              <w:keepNext/>
              <w:keepLines/>
              <w:spacing w:before="40" w:after="120"/>
              <w:ind w:right="170"/>
              <w:rPr>
                <w:lang w:val="fr-FR"/>
              </w:rPr>
            </w:pPr>
            <w:r w:rsidRPr="00F60A3D">
              <w:rPr>
                <w:lang w:val="fr-FR"/>
              </w:rPr>
              <w:lastRenderedPageBreak/>
              <w:t>Convention sur l</w:t>
            </w:r>
            <w:r w:rsidR="00B17AE1" w:rsidRPr="00F60A3D">
              <w:rPr>
                <w:lang w:val="fr-FR"/>
              </w:rPr>
              <w:t>’</w:t>
            </w:r>
            <w:r w:rsidRPr="00F60A3D">
              <w:rPr>
                <w:lang w:val="fr-FR"/>
              </w:rPr>
              <w:t>é</w:t>
            </w:r>
            <w:r w:rsidR="002722FF" w:rsidRPr="00F60A3D">
              <w:rPr>
                <w:lang w:val="fr-FR"/>
              </w:rPr>
              <w:t>l</w:t>
            </w:r>
            <w:r w:rsidRPr="00F60A3D">
              <w:rPr>
                <w:lang w:val="fr-FR"/>
              </w:rPr>
              <w:t>imination de toutes les formes de discrimination à l</w:t>
            </w:r>
            <w:r w:rsidR="00B17AE1" w:rsidRPr="00F60A3D">
              <w:rPr>
                <w:lang w:val="fr-FR"/>
              </w:rPr>
              <w:t>’</w:t>
            </w:r>
            <w:r w:rsidRPr="00F60A3D">
              <w:rPr>
                <w:lang w:val="fr-FR"/>
              </w:rPr>
              <w:t>égard des femmes</w:t>
            </w:r>
            <w:r w:rsidR="002722FF" w:rsidRPr="00F60A3D">
              <w:rPr>
                <w:lang w:val="fr-FR"/>
              </w:rPr>
              <w:t>, 1979</w:t>
            </w:r>
          </w:p>
        </w:tc>
        <w:tc>
          <w:tcPr>
            <w:tcW w:w="3367" w:type="dxa"/>
          </w:tcPr>
          <w:p w:rsidR="002722FF" w:rsidRPr="00F60A3D" w:rsidRDefault="002722FF" w:rsidP="005465AF">
            <w:pPr>
              <w:keepNext/>
              <w:keepLines/>
              <w:spacing w:before="40" w:after="120"/>
              <w:rPr>
                <w:lang w:val="fr-FR"/>
              </w:rPr>
            </w:pPr>
            <w:r w:rsidRPr="00F60A3D">
              <w:rPr>
                <w:lang w:val="fr-FR"/>
              </w:rPr>
              <w:t>S</w:t>
            </w:r>
            <w:r w:rsidR="001E2122" w:rsidRPr="00F60A3D">
              <w:rPr>
                <w:lang w:val="fr-FR"/>
              </w:rPr>
              <w:t>ignée le 17 juillet 1980 et ratifiée le 10</w:t>
            </w:r>
            <w:r w:rsidR="005465AF" w:rsidRPr="00F60A3D">
              <w:rPr>
                <w:lang w:val="fr-FR"/>
              </w:rPr>
              <w:t> </w:t>
            </w:r>
            <w:r w:rsidR="001E2122" w:rsidRPr="00F60A3D">
              <w:rPr>
                <w:lang w:val="fr-FR"/>
              </w:rPr>
              <w:t>juin</w:t>
            </w:r>
            <w:r w:rsidRPr="00F60A3D">
              <w:rPr>
                <w:lang w:val="fr-FR"/>
              </w:rPr>
              <w:t xml:space="preserve"> 1985</w:t>
            </w:r>
            <w:r w:rsidRPr="00F60A3D">
              <w:rPr>
                <w:rStyle w:val="FootnoteReference"/>
                <w:lang w:val="fr-FR"/>
              </w:rPr>
              <w:footnoteReference w:id="30"/>
            </w:r>
          </w:p>
        </w:tc>
      </w:tr>
      <w:tr w:rsidR="002722FF" w:rsidRPr="00F60A3D" w:rsidTr="00DA6421">
        <w:tc>
          <w:tcPr>
            <w:tcW w:w="4004" w:type="dxa"/>
          </w:tcPr>
          <w:p w:rsidR="002722FF" w:rsidRPr="00F60A3D" w:rsidRDefault="002722FF" w:rsidP="005465AF">
            <w:pPr>
              <w:spacing w:before="40" w:after="120"/>
              <w:ind w:right="170"/>
              <w:rPr>
                <w:lang w:val="fr-FR"/>
              </w:rPr>
            </w:pPr>
            <w:r w:rsidRPr="00F60A3D">
              <w:rPr>
                <w:lang w:val="fr-FR"/>
              </w:rPr>
              <w:t xml:space="preserve">Convention </w:t>
            </w:r>
            <w:r w:rsidR="001E2122" w:rsidRPr="00F60A3D">
              <w:rPr>
                <w:lang w:val="fr-FR"/>
              </w:rPr>
              <w:t>contre la torture et autres peines ou traitements cruels, inhumains, ou dégradants</w:t>
            </w:r>
            <w:r w:rsidRPr="00F60A3D">
              <w:rPr>
                <w:lang w:val="fr-FR"/>
              </w:rPr>
              <w:t>, 1984</w:t>
            </w:r>
          </w:p>
        </w:tc>
        <w:tc>
          <w:tcPr>
            <w:tcW w:w="3367" w:type="dxa"/>
          </w:tcPr>
          <w:p w:rsidR="002722FF" w:rsidRPr="00F60A3D" w:rsidRDefault="004F0EFD" w:rsidP="005465AF">
            <w:pPr>
              <w:spacing w:before="40" w:after="120"/>
              <w:rPr>
                <w:lang w:val="fr-FR"/>
              </w:rPr>
            </w:pPr>
            <w:r w:rsidRPr="00F60A3D">
              <w:rPr>
                <w:lang w:val="fr-FR"/>
              </w:rPr>
              <w:t>Signée le</w:t>
            </w:r>
            <w:r w:rsidR="00226A5B" w:rsidRPr="00F60A3D">
              <w:rPr>
                <w:lang w:val="fr-FR"/>
              </w:rPr>
              <w:t xml:space="preserve"> 4 février 1985 et ratifiée le </w:t>
            </w:r>
            <w:r w:rsidR="00DA6421" w:rsidRPr="00F60A3D">
              <w:rPr>
                <w:lang w:val="fr-FR"/>
              </w:rPr>
              <w:t>12 </w:t>
            </w:r>
            <w:r w:rsidRPr="00F60A3D">
              <w:rPr>
                <w:lang w:val="fr-FR"/>
              </w:rPr>
              <w:t>janvier</w:t>
            </w:r>
            <w:r w:rsidR="002722FF" w:rsidRPr="00F60A3D">
              <w:rPr>
                <w:lang w:val="fr-FR"/>
              </w:rPr>
              <w:t xml:space="preserve"> 1989</w:t>
            </w:r>
            <w:r w:rsidRPr="00F60A3D">
              <w:rPr>
                <w:lang w:val="fr-FR"/>
              </w:rPr>
              <w:t xml:space="preserve">. </w:t>
            </w:r>
            <w:r w:rsidR="00226A5B" w:rsidRPr="00F60A3D">
              <w:rPr>
                <w:lang w:val="fr-FR"/>
              </w:rPr>
              <w:t xml:space="preserve">Déclaration faire en vertu des </w:t>
            </w:r>
            <w:r w:rsidR="00D26282" w:rsidRPr="00F60A3D">
              <w:rPr>
                <w:lang w:val="fr-FR"/>
              </w:rPr>
              <w:t>articles </w:t>
            </w:r>
            <w:r w:rsidRPr="00F60A3D">
              <w:rPr>
                <w:lang w:val="fr-FR"/>
              </w:rPr>
              <w:t>21 et</w:t>
            </w:r>
            <w:r w:rsidR="002722FF" w:rsidRPr="00F60A3D">
              <w:rPr>
                <w:lang w:val="fr-FR"/>
              </w:rPr>
              <w:t xml:space="preserve"> 22</w:t>
            </w:r>
          </w:p>
        </w:tc>
      </w:tr>
      <w:tr w:rsidR="002722FF" w:rsidRPr="00F60A3D" w:rsidTr="00DA6421">
        <w:tc>
          <w:tcPr>
            <w:tcW w:w="4004" w:type="dxa"/>
          </w:tcPr>
          <w:p w:rsidR="002722FF" w:rsidRPr="00F60A3D" w:rsidRDefault="002722FF" w:rsidP="005465AF">
            <w:pPr>
              <w:spacing w:before="40" w:after="120"/>
              <w:ind w:right="170"/>
              <w:rPr>
                <w:lang w:val="fr-FR"/>
              </w:rPr>
            </w:pPr>
            <w:r w:rsidRPr="00F60A3D">
              <w:rPr>
                <w:lang w:val="fr-FR"/>
              </w:rPr>
              <w:t>Conve</w:t>
            </w:r>
            <w:r w:rsidR="004F0EFD" w:rsidRPr="00F60A3D">
              <w:rPr>
                <w:lang w:val="fr-FR"/>
              </w:rPr>
              <w:t>ntion relative aux droits de l</w:t>
            </w:r>
            <w:r w:rsidR="00B17AE1" w:rsidRPr="00F60A3D">
              <w:rPr>
                <w:lang w:val="fr-FR"/>
              </w:rPr>
              <w:t>’</w:t>
            </w:r>
            <w:r w:rsidR="004F0EFD" w:rsidRPr="00F60A3D">
              <w:rPr>
                <w:lang w:val="fr-FR"/>
              </w:rPr>
              <w:t>enfant</w:t>
            </w:r>
            <w:r w:rsidRPr="00F60A3D">
              <w:rPr>
                <w:lang w:val="fr-FR"/>
              </w:rPr>
              <w:t xml:space="preserve">, 1989 </w:t>
            </w:r>
          </w:p>
        </w:tc>
        <w:tc>
          <w:tcPr>
            <w:tcW w:w="3367" w:type="dxa"/>
          </w:tcPr>
          <w:p w:rsidR="002722FF" w:rsidRPr="00F60A3D" w:rsidRDefault="004F0EFD" w:rsidP="005465AF">
            <w:pPr>
              <w:spacing w:before="40" w:after="120"/>
              <w:rPr>
                <w:lang w:val="fr-FR"/>
              </w:rPr>
            </w:pPr>
            <w:r w:rsidRPr="00F60A3D">
              <w:rPr>
                <w:lang w:val="fr-FR"/>
              </w:rPr>
              <w:t>Signée le 26 janvier 1990 et ratifiée le 5</w:t>
            </w:r>
            <w:r w:rsidR="00DA6421" w:rsidRPr="00F60A3D">
              <w:rPr>
                <w:lang w:val="fr-FR"/>
              </w:rPr>
              <w:t> </w:t>
            </w:r>
            <w:r w:rsidRPr="00F60A3D">
              <w:rPr>
                <w:lang w:val="fr-FR"/>
              </w:rPr>
              <w:t>septembre</w:t>
            </w:r>
            <w:r w:rsidR="002722FF" w:rsidRPr="00F60A3D">
              <w:rPr>
                <w:lang w:val="fr-FR"/>
              </w:rPr>
              <w:t xml:space="preserve"> 1991</w:t>
            </w:r>
          </w:p>
        </w:tc>
      </w:tr>
      <w:tr w:rsidR="002722FF" w:rsidRPr="00F60A3D" w:rsidTr="00DA6421">
        <w:tc>
          <w:tcPr>
            <w:tcW w:w="4004" w:type="dxa"/>
          </w:tcPr>
          <w:p w:rsidR="002722FF" w:rsidRPr="00F60A3D" w:rsidRDefault="002722FF" w:rsidP="005465AF">
            <w:pPr>
              <w:spacing w:before="40" w:after="120"/>
              <w:ind w:right="170"/>
              <w:rPr>
                <w:lang w:val="fr-FR"/>
              </w:rPr>
            </w:pPr>
            <w:r w:rsidRPr="00F60A3D">
              <w:rPr>
                <w:lang w:val="fr-FR"/>
              </w:rPr>
              <w:t xml:space="preserve">Convention </w:t>
            </w:r>
            <w:r w:rsidR="004F0EFD" w:rsidRPr="00F60A3D">
              <w:rPr>
                <w:lang w:val="fr-FR"/>
              </w:rPr>
              <w:t>internationale sur la protection des droits de tous les travailleurs migrants et des membres de leur famille,</w:t>
            </w:r>
            <w:r w:rsidRPr="00F60A3D">
              <w:rPr>
                <w:lang w:val="fr-FR"/>
              </w:rPr>
              <w:t xml:space="preserve"> 1990</w:t>
            </w:r>
          </w:p>
        </w:tc>
        <w:tc>
          <w:tcPr>
            <w:tcW w:w="3367" w:type="dxa"/>
          </w:tcPr>
          <w:p w:rsidR="002722FF" w:rsidRPr="00F60A3D" w:rsidRDefault="00810C3F" w:rsidP="005465AF">
            <w:pPr>
              <w:spacing w:before="40" w:after="120"/>
              <w:rPr>
                <w:lang w:val="fr-FR"/>
              </w:rPr>
            </w:pPr>
            <w:r w:rsidRPr="00F60A3D">
              <w:rPr>
                <w:lang w:val="fr-FR"/>
              </w:rPr>
              <w:t>L</w:t>
            </w:r>
            <w:r w:rsidR="00B17AE1" w:rsidRPr="00F60A3D">
              <w:rPr>
                <w:lang w:val="fr-FR"/>
              </w:rPr>
              <w:t>’</w:t>
            </w:r>
            <w:r w:rsidRPr="00F60A3D">
              <w:rPr>
                <w:lang w:val="fr-FR"/>
              </w:rPr>
              <w:t>Italie rappelle qu</w:t>
            </w:r>
            <w:r w:rsidR="00B17AE1" w:rsidRPr="00F60A3D">
              <w:rPr>
                <w:lang w:val="fr-FR"/>
              </w:rPr>
              <w:t>’</w:t>
            </w:r>
            <w:r w:rsidRPr="00F60A3D">
              <w:rPr>
                <w:lang w:val="fr-FR"/>
              </w:rPr>
              <w:t>elle a ratifié l</w:t>
            </w:r>
            <w:r w:rsidR="004F0EFD" w:rsidRPr="00F60A3D">
              <w:rPr>
                <w:lang w:val="fr-FR"/>
              </w:rPr>
              <w:t>es Conventions C143 et C189 de l</w:t>
            </w:r>
            <w:r w:rsidR="00B17AE1" w:rsidRPr="00F60A3D">
              <w:rPr>
                <w:lang w:val="fr-FR"/>
              </w:rPr>
              <w:t>’</w:t>
            </w:r>
            <w:r w:rsidR="004F0EFD" w:rsidRPr="00F60A3D">
              <w:rPr>
                <w:lang w:val="fr-FR"/>
              </w:rPr>
              <w:t xml:space="preserve">OIT, </w:t>
            </w:r>
            <w:r w:rsidRPr="00F60A3D">
              <w:rPr>
                <w:lang w:val="fr-FR"/>
              </w:rPr>
              <w:t>et accepté à ce titre de se soumettre à des examens périodiques</w:t>
            </w:r>
            <w:r w:rsidR="004F0EFD" w:rsidRPr="00F60A3D">
              <w:rPr>
                <w:lang w:val="fr-FR"/>
              </w:rPr>
              <w:t>.</w:t>
            </w:r>
            <w:r w:rsidR="00731982" w:rsidRPr="00F60A3D">
              <w:rPr>
                <w:lang w:val="fr-FR"/>
              </w:rPr>
              <w:t xml:space="preserve"> </w:t>
            </w:r>
          </w:p>
        </w:tc>
      </w:tr>
      <w:tr w:rsidR="002722FF" w:rsidRPr="00F60A3D" w:rsidTr="00DA6421">
        <w:tc>
          <w:tcPr>
            <w:tcW w:w="4004" w:type="dxa"/>
          </w:tcPr>
          <w:p w:rsidR="002722FF" w:rsidRPr="00F60A3D" w:rsidRDefault="002722FF" w:rsidP="005465AF">
            <w:pPr>
              <w:spacing w:before="40" w:after="120"/>
              <w:ind w:right="170"/>
              <w:rPr>
                <w:lang w:val="fr-FR"/>
              </w:rPr>
            </w:pPr>
            <w:r w:rsidRPr="00F60A3D">
              <w:rPr>
                <w:lang w:val="fr-FR"/>
              </w:rPr>
              <w:t xml:space="preserve">Convention </w:t>
            </w:r>
            <w:r w:rsidR="0067145B" w:rsidRPr="00F60A3D">
              <w:rPr>
                <w:lang w:val="fr-FR"/>
              </w:rPr>
              <w:t>inte</w:t>
            </w:r>
            <w:r w:rsidR="002E384F" w:rsidRPr="00F60A3D">
              <w:rPr>
                <w:lang w:val="fr-FR"/>
              </w:rPr>
              <w:t>rnationale relative aux</w:t>
            </w:r>
            <w:r w:rsidR="0067145B" w:rsidRPr="00F60A3D">
              <w:rPr>
                <w:lang w:val="fr-FR"/>
              </w:rPr>
              <w:t xml:space="preserve"> droits des personnes</w:t>
            </w:r>
            <w:r w:rsidR="00810C3F" w:rsidRPr="00F60A3D">
              <w:rPr>
                <w:lang w:val="fr-FR"/>
              </w:rPr>
              <w:t xml:space="preserve"> handicapées et son P</w:t>
            </w:r>
            <w:r w:rsidR="0067145B" w:rsidRPr="00F60A3D">
              <w:rPr>
                <w:lang w:val="fr-FR"/>
              </w:rPr>
              <w:t xml:space="preserve">rotocole facultatif </w:t>
            </w:r>
          </w:p>
        </w:tc>
        <w:tc>
          <w:tcPr>
            <w:tcW w:w="3367" w:type="dxa"/>
          </w:tcPr>
          <w:p w:rsidR="002722FF" w:rsidRPr="00F60A3D" w:rsidRDefault="002E384F" w:rsidP="006A35D8">
            <w:pPr>
              <w:spacing w:before="40" w:after="120"/>
              <w:rPr>
                <w:lang w:val="fr-FR"/>
              </w:rPr>
            </w:pPr>
            <w:r w:rsidRPr="00F60A3D">
              <w:rPr>
                <w:lang w:val="fr-FR"/>
              </w:rPr>
              <w:t>Signée le 30</w:t>
            </w:r>
            <w:r w:rsidR="006A35D8" w:rsidRPr="00F60A3D">
              <w:rPr>
                <w:lang w:val="fr-FR"/>
              </w:rPr>
              <w:t> </w:t>
            </w:r>
            <w:r w:rsidRPr="00F60A3D">
              <w:rPr>
                <w:lang w:val="fr-FR"/>
              </w:rPr>
              <w:t>mars 2007 et ratifiée le 15</w:t>
            </w:r>
            <w:r w:rsidR="005465AF" w:rsidRPr="00F60A3D">
              <w:rPr>
                <w:lang w:val="fr-FR"/>
              </w:rPr>
              <w:t> </w:t>
            </w:r>
            <w:r w:rsidRPr="00F60A3D">
              <w:rPr>
                <w:lang w:val="fr-FR"/>
              </w:rPr>
              <w:t>mai</w:t>
            </w:r>
            <w:r w:rsidR="002722FF" w:rsidRPr="00F60A3D">
              <w:rPr>
                <w:lang w:val="fr-FR"/>
              </w:rPr>
              <w:t xml:space="preserve"> 2009</w:t>
            </w:r>
          </w:p>
        </w:tc>
      </w:tr>
      <w:tr w:rsidR="002722FF" w:rsidRPr="00F60A3D" w:rsidTr="00DA6421">
        <w:tc>
          <w:tcPr>
            <w:tcW w:w="4004" w:type="dxa"/>
          </w:tcPr>
          <w:p w:rsidR="002722FF" w:rsidRPr="00F60A3D" w:rsidRDefault="00850AA5" w:rsidP="005465AF">
            <w:pPr>
              <w:spacing w:before="40" w:after="120"/>
              <w:ind w:right="170"/>
              <w:rPr>
                <w:lang w:val="fr-FR"/>
              </w:rPr>
            </w:pPr>
            <w:r w:rsidRPr="00F60A3D">
              <w:rPr>
                <w:lang w:val="fr-FR"/>
              </w:rPr>
              <w:t xml:space="preserve">Protocole facultatif se rapportant au Pacte international relatif aux droits économiques, sociaux et culturels </w:t>
            </w:r>
          </w:p>
        </w:tc>
        <w:tc>
          <w:tcPr>
            <w:tcW w:w="3367" w:type="dxa"/>
          </w:tcPr>
          <w:p w:rsidR="002722FF" w:rsidRPr="00F60A3D" w:rsidRDefault="006A35D8" w:rsidP="005465AF">
            <w:pPr>
              <w:spacing w:before="40" w:after="120"/>
              <w:rPr>
                <w:lang w:val="fr-FR"/>
              </w:rPr>
            </w:pPr>
            <w:r w:rsidRPr="00F60A3D">
              <w:rPr>
                <w:lang w:val="fr-FR"/>
              </w:rPr>
              <w:t>Signé le 28 </w:t>
            </w:r>
            <w:r w:rsidR="00850AA5" w:rsidRPr="00F60A3D">
              <w:rPr>
                <w:lang w:val="fr-FR"/>
              </w:rPr>
              <w:t>septembre 2009 et ratifié le 20</w:t>
            </w:r>
            <w:r w:rsidR="00DA6421" w:rsidRPr="00F60A3D">
              <w:rPr>
                <w:lang w:val="fr-FR"/>
              </w:rPr>
              <w:t> </w:t>
            </w:r>
            <w:r w:rsidR="00850AA5" w:rsidRPr="00F60A3D">
              <w:rPr>
                <w:lang w:val="fr-FR"/>
              </w:rPr>
              <w:t>février</w:t>
            </w:r>
            <w:r w:rsidR="002722FF" w:rsidRPr="00F60A3D">
              <w:rPr>
                <w:lang w:val="fr-FR"/>
              </w:rPr>
              <w:t xml:space="preserve"> 2015</w:t>
            </w:r>
          </w:p>
        </w:tc>
      </w:tr>
      <w:tr w:rsidR="002722FF" w:rsidRPr="00F60A3D" w:rsidTr="00DA6421">
        <w:tc>
          <w:tcPr>
            <w:tcW w:w="4004" w:type="dxa"/>
          </w:tcPr>
          <w:p w:rsidR="002722FF" w:rsidRPr="00F60A3D" w:rsidRDefault="00850AA5" w:rsidP="005465AF">
            <w:pPr>
              <w:spacing w:before="40" w:after="120"/>
              <w:ind w:right="170"/>
              <w:rPr>
                <w:lang w:val="fr-FR"/>
              </w:rPr>
            </w:pPr>
            <w:r w:rsidRPr="00F60A3D">
              <w:rPr>
                <w:lang w:val="fr-FR"/>
              </w:rPr>
              <w:t>Convention i</w:t>
            </w:r>
            <w:r w:rsidR="002722FF" w:rsidRPr="00F60A3D">
              <w:rPr>
                <w:lang w:val="fr-FR"/>
              </w:rPr>
              <w:t>nternational</w:t>
            </w:r>
            <w:r w:rsidRPr="00F60A3D">
              <w:rPr>
                <w:lang w:val="fr-FR"/>
              </w:rPr>
              <w:t xml:space="preserve">e pour la protection de toutes les personnes contre les disparitions forcées </w:t>
            </w:r>
          </w:p>
        </w:tc>
        <w:tc>
          <w:tcPr>
            <w:tcW w:w="3367" w:type="dxa"/>
          </w:tcPr>
          <w:p w:rsidR="002722FF" w:rsidRPr="00F60A3D" w:rsidRDefault="00850AA5" w:rsidP="005465AF">
            <w:pPr>
              <w:spacing w:before="40" w:after="120"/>
              <w:rPr>
                <w:lang w:val="fr-FR"/>
              </w:rPr>
            </w:pPr>
            <w:r w:rsidRPr="00F60A3D">
              <w:rPr>
                <w:lang w:val="fr-FR"/>
              </w:rPr>
              <w:t xml:space="preserve">Signée le 3 juillet </w:t>
            </w:r>
            <w:r w:rsidR="002722FF" w:rsidRPr="00F60A3D">
              <w:rPr>
                <w:lang w:val="fr-FR"/>
              </w:rPr>
              <w:t>20</w:t>
            </w:r>
            <w:r w:rsidRPr="00F60A3D">
              <w:rPr>
                <w:lang w:val="fr-FR"/>
              </w:rPr>
              <w:t>07 et ratifiée le 8</w:t>
            </w:r>
            <w:r w:rsidR="005465AF" w:rsidRPr="00F60A3D">
              <w:rPr>
                <w:lang w:val="fr-FR"/>
              </w:rPr>
              <w:t> </w:t>
            </w:r>
            <w:r w:rsidRPr="00F60A3D">
              <w:rPr>
                <w:lang w:val="fr-FR"/>
              </w:rPr>
              <w:t>octobre</w:t>
            </w:r>
            <w:r w:rsidR="002722FF" w:rsidRPr="00F60A3D">
              <w:rPr>
                <w:lang w:val="fr-FR"/>
              </w:rPr>
              <w:t xml:space="preserve"> 2015</w:t>
            </w:r>
          </w:p>
        </w:tc>
      </w:tr>
      <w:tr w:rsidR="002722FF" w:rsidRPr="00F60A3D" w:rsidTr="00DA6421">
        <w:tc>
          <w:tcPr>
            <w:tcW w:w="4004" w:type="dxa"/>
          </w:tcPr>
          <w:p w:rsidR="002722FF" w:rsidRPr="00F60A3D" w:rsidRDefault="002722FF" w:rsidP="005465AF">
            <w:pPr>
              <w:spacing w:before="40" w:after="120"/>
              <w:ind w:right="170"/>
              <w:rPr>
                <w:lang w:val="fr-FR"/>
              </w:rPr>
            </w:pPr>
            <w:r w:rsidRPr="00F60A3D">
              <w:rPr>
                <w:lang w:val="fr-FR"/>
              </w:rPr>
              <w:t>Protocol</w:t>
            </w:r>
            <w:r w:rsidR="00816A6C" w:rsidRPr="00F60A3D">
              <w:rPr>
                <w:lang w:val="fr-FR"/>
              </w:rPr>
              <w:t>e facultatif</w:t>
            </w:r>
            <w:r w:rsidR="00693C2A" w:rsidRPr="00F60A3D">
              <w:rPr>
                <w:lang w:val="fr-FR"/>
              </w:rPr>
              <w:t xml:space="preserve"> </w:t>
            </w:r>
            <w:r w:rsidR="00850AA5" w:rsidRPr="00F60A3D">
              <w:rPr>
                <w:lang w:val="fr-FR"/>
              </w:rPr>
              <w:t>à la Convention relative aux droits de l</w:t>
            </w:r>
            <w:r w:rsidR="00B17AE1" w:rsidRPr="00F60A3D">
              <w:rPr>
                <w:lang w:val="fr-FR"/>
              </w:rPr>
              <w:t>’</w:t>
            </w:r>
            <w:r w:rsidR="00850AA5" w:rsidRPr="00F60A3D">
              <w:rPr>
                <w:lang w:val="fr-FR"/>
              </w:rPr>
              <w:t>enfa</w:t>
            </w:r>
            <w:r w:rsidR="00592AA9" w:rsidRPr="00F60A3D">
              <w:rPr>
                <w:lang w:val="fr-FR"/>
              </w:rPr>
              <w:t>nt, concernant la participation d</w:t>
            </w:r>
            <w:r w:rsidR="00B17AE1" w:rsidRPr="00F60A3D">
              <w:rPr>
                <w:lang w:val="fr-FR"/>
              </w:rPr>
              <w:t>’</w:t>
            </w:r>
            <w:r w:rsidR="00592AA9" w:rsidRPr="00F60A3D">
              <w:rPr>
                <w:lang w:val="fr-FR"/>
              </w:rPr>
              <w:t>enfants aux</w:t>
            </w:r>
            <w:r w:rsidR="00850AA5" w:rsidRPr="00F60A3D">
              <w:rPr>
                <w:lang w:val="fr-FR"/>
              </w:rPr>
              <w:t xml:space="preserve"> conflits armés,</w:t>
            </w:r>
            <w:r w:rsidRPr="00F60A3D">
              <w:rPr>
                <w:lang w:val="fr-FR"/>
              </w:rPr>
              <w:t xml:space="preserve"> 2000</w:t>
            </w:r>
          </w:p>
        </w:tc>
        <w:tc>
          <w:tcPr>
            <w:tcW w:w="3367" w:type="dxa"/>
          </w:tcPr>
          <w:p w:rsidR="002722FF" w:rsidRPr="00F60A3D" w:rsidRDefault="00850AA5" w:rsidP="005465AF">
            <w:pPr>
              <w:spacing w:before="40" w:after="120"/>
              <w:rPr>
                <w:lang w:val="fr-FR"/>
              </w:rPr>
            </w:pPr>
            <w:r w:rsidRPr="00F60A3D">
              <w:rPr>
                <w:lang w:val="fr-FR"/>
              </w:rPr>
              <w:t>Signé le 6 septembre 2000 et ratifié le 9</w:t>
            </w:r>
            <w:r w:rsidR="005465AF" w:rsidRPr="00F60A3D">
              <w:rPr>
                <w:lang w:val="fr-FR"/>
              </w:rPr>
              <w:t> </w:t>
            </w:r>
            <w:r w:rsidRPr="00F60A3D">
              <w:rPr>
                <w:lang w:val="fr-FR"/>
              </w:rPr>
              <w:t>mai</w:t>
            </w:r>
            <w:r w:rsidR="002722FF" w:rsidRPr="00F60A3D">
              <w:rPr>
                <w:lang w:val="fr-FR"/>
              </w:rPr>
              <w:t xml:space="preserve"> 2002</w:t>
            </w:r>
            <w:r w:rsidR="002722FF" w:rsidRPr="00F60A3D">
              <w:rPr>
                <w:rStyle w:val="FootnoteReference"/>
                <w:lang w:val="fr-FR"/>
              </w:rPr>
              <w:footnoteReference w:id="31"/>
            </w:r>
          </w:p>
        </w:tc>
      </w:tr>
      <w:tr w:rsidR="002722FF" w:rsidRPr="00F60A3D" w:rsidTr="00DA6421">
        <w:tc>
          <w:tcPr>
            <w:tcW w:w="4004" w:type="dxa"/>
          </w:tcPr>
          <w:p w:rsidR="002722FF" w:rsidRPr="00F60A3D" w:rsidRDefault="002722FF" w:rsidP="005465AF">
            <w:pPr>
              <w:spacing w:before="40" w:after="120"/>
              <w:ind w:right="170"/>
              <w:rPr>
                <w:lang w:val="fr-FR"/>
              </w:rPr>
            </w:pPr>
            <w:r w:rsidRPr="00F60A3D">
              <w:rPr>
                <w:lang w:val="fr-FR"/>
              </w:rPr>
              <w:t>Protocol</w:t>
            </w:r>
            <w:r w:rsidR="00816A6C" w:rsidRPr="00F60A3D">
              <w:rPr>
                <w:lang w:val="fr-FR"/>
              </w:rPr>
              <w:t>e facultatif</w:t>
            </w:r>
            <w:r w:rsidR="00693C2A" w:rsidRPr="00F60A3D">
              <w:rPr>
                <w:lang w:val="fr-FR"/>
              </w:rPr>
              <w:t xml:space="preserve"> </w:t>
            </w:r>
            <w:r w:rsidR="003C2243" w:rsidRPr="00F60A3D">
              <w:rPr>
                <w:lang w:val="fr-FR"/>
              </w:rPr>
              <w:t>à la Convention relative aux droits de l</w:t>
            </w:r>
            <w:r w:rsidR="00B17AE1" w:rsidRPr="00F60A3D">
              <w:rPr>
                <w:lang w:val="fr-FR"/>
              </w:rPr>
              <w:t>’</w:t>
            </w:r>
            <w:r w:rsidR="003C2243" w:rsidRPr="00F60A3D">
              <w:rPr>
                <w:lang w:val="fr-FR"/>
              </w:rPr>
              <w:t>enfant</w:t>
            </w:r>
            <w:r w:rsidR="00006F69" w:rsidRPr="00F60A3D">
              <w:rPr>
                <w:lang w:val="fr-FR"/>
              </w:rPr>
              <w:t>,</w:t>
            </w:r>
            <w:r w:rsidR="003C2243" w:rsidRPr="00F60A3D">
              <w:rPr>
                <w:lang w:val="fr-FR"/>
              </w:rPr>
              <w:t xml:space="preserve"> concernant la vente d</w:t>
            </w:r>
            <w:r w:rsidR="00B17AE1" w:rsidRPr="00F60A3D">
              <w:rPr>
                <w:lang w:val="fr-FR"/>
              </w:rPr>
              <w:t>’</w:t>
            </w:r>
            <w:r w:rsidR="003C2243" w:rsidRPr="00F60A3D">
              <w:rPr>
                <w:lang w:val="fr-FR"/>
              </w:rPr>
              <w:t>enfants, la prostitution des enfants et la pornographie mettant en scène des enfants,</w:t>
            </w:r>
            <w:r w:rsidR="00731982" w:rsidRPr="00F60A3D">
              <w:rPr>
                <w:lang w:val="fr-FR"/>
              </w:rPr>
              <w:t xml:space="preserve"> </w:t>
            </w:r>
            <w:r w:rsidRPr="00F60A3D">
              <w:rPr>
                <w:lang w:val="fr-FR"/>
              </w:rPr>
              <w:t>2000</w:t>
            </w:r>
          </w:p>
        </w:tc>
        <w:tc>
          <w:tcPr>
            <w:tcW w:w="3367" w:type="dxa"/>
          </w:tcPr>
          <w:p w:rsidR="002722FF" w:rsidRPr="00F60A3D" w:rsidRDefault="003C2243" w:rsidP="005465AF">
            <w:pPr>
              <w:spacing w:before="40" w:after="120"/>
              <w:rPr>
                <w:lang w:val="fr-FR"/>
              </w:rPr>
            </w:pPr>
            <w:r w:rsidRPr="00F60A3D">
              <w:rPr>
                <w:lang w:val="fr-FR"/>
              </w:rPr>
              <w:t>Signé le 6 septembre 2000 et ratifié le 9</w:t>
            </w:r>
            <w:r w:rsidR="005465AF" w:rsidRPr="00F60A3D">
              <w:rPr>
                <w:lang w:val="fr-FR"/>
              </w:rPr>
              <w:t> </w:t>
            </w:r>
            <w:r w:rsidRPr="00F60A3D">
              <w:rPr>
                <w:lang w:val="fr-FR"/>
              </w:rPr>
              <w:t>mai</w:t>
            </w:r>
            <w:r w:rsidR="002722FF" w:rsidRPr="00F60A3D">
              <w:rPr>
                <w:lang w:val="fr-FR"/>
              </w:rPr>
              <w:t xml:space="preserve"> 2002</w:t>
            </w:r>
          </w:p>
        </w:tc>
      </w:tr>
      <w:tr w:rsidR="002722FF" w:rsidRPr="00F60A3D" w:rsidTr="00DA6421">
        <w:tc>
          <w:tcPr>
            <w:tcW w:w="4004" w:type="dxa"/>
          </w:tcPr>
          <w:p w:rsidR="002722FF" w:rsidRPr="00F60A3D" w:rsidRDefault="002722FF" w:rsidP="005465AF">
            <w:pPr>
              <w:spacing w:before="40" w:after="120"/>
              <w:ind w:right="170"/>
              <w:rPr>
                <w:lang w:val="fr-FR"/>
              </w:rPr>
            </w:pPr>
            <w:r w:rsidRPr="00F60A3D">
              <w:rPr>
                <w:lang w:val="fr-FR"/>
              </w:rPr>
              <w:t>Protocol</w:t>
            </w:r>
            <w:r w:rsidR="003C2243" w:rsidRPr="00F60A3D">
              <w:rPr>
                <w:lang w:val="fr-FR"/>
              </w:rPr>
              <w:t>e facultatif à la Convention relative aux droits de l</w:t>
            </w:r>
            <w:r w:rsidR="00B17AE1" w:rsidRPr="00F60A3D">
              <w:rPr>
                <w:lang w:val="fr-FR"/>
              </w:rPr>
              <w:t>’</w:t>
            </w:r>
            <w:r w:rsidR="003C2243" w:rsidRPr="00F60A3D">
              <w:rPr>
                <w:lang w:val="fr-FR"/>
              </w:rPr>
              <w:t xml:space="preserve">enfant établissant une procédure de présentation de communications </w:t>
            </w:r>
          </w:p>
        </w:tc>
        <w:tc>
          <w:tcPr>
            <w:tcW w:w="3367" w:type="dxa"/>
          </w:tcPr>
          <w:p w:rsidR="002722FF" w:rsidRPr="00F60A3D" w:rsidRDefault="003C2243" w:rsidP="005465AF">
            <w:pPr>
              <w:spacing w:before="40" w:after="120"/>
              <w:rPr>
                <w:lang w:val="fr-FR"/>
              </w:rPr>
            </w:pPr>
            <w:r w:rsidRPr="00F60A3D">
              <w:rPr>
                <w:lang w:val="fr-FR"/>
              </w:rPr>
              <w:t xml:space="preserve">Signé le 28 </w:t>
            </w:r>
            <w:r w:rsidR="005465AF" w:rsidRPr="00F60A3D">
              <w:rPr>
                <w:lang w:val="fr-FR"/>
              </w:rPr>
              <w:t>février 2012 et ratifié le 4 </w:t>
            </w:r>
            <w:r w:rsidRPr="00F60A3D">
              <w:rPr>
                <w:lang w:val="fr-FR"/>
              </w:rPr>
              <w:t>février</w:t>
            </w:r>
            <w:r w:rsidR="002722FF" w:rsidRPr="00F60A3D">
              <w:rPr>
                <w:lang w:val="fr-FR"/>
              </w:rPr>
              <w:t xml:space="preserve"> 2016</w:t>
            </w:r>
          </w:p>
        </w:tc>
      </w:tr>
      <w:tr w:rsidR="002722FF" w:rsidRPr="00F60A3D" w:rsidTr="00DA6421">
        <w:tc>
          <w:tcPr>
            <w:tcW w:w="4004" w:type="dxa"/>
          </w:tcPr>
          <w:p w:rsidR="002722FF" w:rsidRPr="00F60A3D" w:rsidRDefault="002722FF" w:rsidP="005465AF">
            <w:pPr>
              <w:keepNext/>
              <w:keepLines/>
              <w:spacing w:before="40" w:after="120"/>
              <w:ind w:right="170"/>
              <w:rPr>
                <w:lang w:val="fr-FR"/>
              </w:rPr>
            </w:pPr>
            <w:r w:rsidRPr="00F60A3D">
              <w:rPr>
                <w:lang w:val="fr-FR"/>
              </w:rPr>
              <w:lastRenderedPageBreak/>
              <w:t>Protoco</w:t>
            </w:r>
            <w:r w:rsidR="007A177F" w:rsidRPr="00F60A3D">
              <w:rPr>
                <w:lang w:val="fr-FR"/>
              </w:rPr>
              <w:t>le facultatif se rapportant au Pacte international relatif aux droits civils et politiques concernant l</w:t>
            </w:r>
            <w:r w:rsidR="00810C3F" w:rsidRPr="00F60A3D">
              <w:rPr>
                <w:lang w:val="fr-FR"/>
              </w:rPr>
              <w:t>es communications individuelles</w:t>
            </w:r>
            <w:r w:rsidRPr="00F60A3D">
              <w:rPr>
                <w:lang w:val="fr-FR"/>
              </w:rPr>
              <w:t>,</w:t>
            </w:r>
            <w:r w:rsidR="00731982" w:rsidRPr="00F60A3D">
              <w:rPr>
                <w:lang w:val="fr-FR"/>
              </w:rPr>
              <w:t xml:space="preserve"> </w:t>
            </w:r>
            <w:r w:rsidRPr="00F60A3D">
              <w:rPr>
                <w:lang w:val="fr-FR"/>
              </w:rPr>
              <w:t>1966</w:t>
            </w:r>
          </w:p>
        </w:tc>
        <w:tc>
          <w:tcPr>
            <w:tcW w:w="3367" w:type="dxa"/>
          </w:tcPr>
          <w:p w:rsidR="002722FF" w:rsidRPr="00F60A3D" w:rsidRDefault="002722FF" w:rsidP="005465AF">
            <w:pPr>
              <w:keepNext/>
              <w:keepLines/>
              <w:spacing w:before="40" w:after="120"/>
              <w:rPr>
                <w:lang w:val="fr-FR"/>
              </w:rPr>
            </w:pPr>
            <w:r w:rsidRPr="00F60A3D">
              <w:rPr>
                <w:lang w:val="fr-FR"/>
              </w:rPr>
              <w:t>S</w:t>
            </w:r>
            <w:r w:rsidR="007A177F" w:rsidRPr="00F60A3D">
              <w:rPr>
                <w:lang w:val="fr-FR"/>
              </w:rPr>
              <w:t>igné le</w:t>
            </w:r>
            <w:r w:rsidR="00DA6421" w:rsidRPr="00F60A3D">
              <w:rPr>
                <w:lang w:val="fr-FR"/>
              </w:rPr>
              <w:t xml:space="preserve"> 30 avril 1976 et ratifié le 15 </w:t>
            </w:r>
            <w:r w:rsidR="007A177F" w:rsidRPr="00F60A3D">
              <w:rPr>
                <w:lang w:val="fr-FR"/>
              </w:rPr>
              <w:t>septembre</w:t>
            </w:r>
            <w:r w:rsidRPr="00F60A3D">
              <w:rPr>
                <w:lang w:val="fr-FR"/>
              </w:rPr>
              <w:t xml:space="preserve"> 1978</w:t>
            </w:r>
            <w:r w:rsidRPr="00F60A3D">
              <w:rPr>
                <w:rStyle w:val="FootnoteReference"/>
                <w:lang w:val="fr-FR"/>
              </w:rPr>
              <w:footnoteReference w:id="32"/>
            </w:r>
          </w:p>
        </w:tc>
      </w:tr>
      <w:tr w:rsidR="002722FF" w:rsidRPr="00F60A3D" w:rsidTr="00DA6421">
        <w:tc>
          <w:tcPr>
            <w:tcW w:w="4004" w:type="dxa"/>
          </w:tcPr>
          <w:p w:rsidR="002722FF" w:rsidRPr="00F60A3D" w:rsidRDefault="003D0D70" w:rsidP="005465AF">
            <w:pPr>
              <w:spacing w:before="40" w:after="120"/>
              <w:ind w:right="170"/>
              <w:rPr>
                <w:lang w:val="fr-FR"/>
              </w:rPr>
            </w:pPr>
            <w:r w:rsidRPr="00F60A3D">
              <w:rPr>
                <w:lang w:val="fr-FR"/>
              </w:rPr>
              <w:t>Deuxième Protocole facultatif se rapportant au Pacte international relatif aux droits c</w:t>
            </w:r>
            <w:r w:rsidR="00CF2204" w:rsidRPr="00F60A3D">
              <w:rPr>
                <w:lang w:val="fr-FR"/>
              </w:rPr>
              <w:t xml:space="preserve">ivils et politiques, visant à abolir </w:t>
            </w:r>
            <w:r w:rsidRPr="00F60A3D">
              <w:rPr>
                <w:lang w:val="fr-FR"/>
              </w:rPr>
              <w:t xml:space="preserve">la peine de mort, </w:t>
            </w:r>
            <w:r w:rsidR="002722FF" w:rsidRPr="00F60A3D">
              <w:rPr>
                <w:lang w:val="fr-FR"/>
              </w:rPr>
              <w:t>1989</w:t>
            </w:r>
          </w:p>
        </w:tc>
        <w:tc>
          <w:tcPr>
            <w:tcW w:w="3367" w:type="dxa"/>
          </w:tcPr>
          <w:p w:rsidR="002722FF" w:rsidRPr="00F60A3D" w:rsidRDefault="003D0D70" w:rsidP="005465AF">
            <w:pPr>
              <w:spacing w:before="40" w:after="120"/>
              <w:rPr>
                <w:lang w:val="fr-FR"/>
              </w:rPr>
            </w:pPr>
            <w:r w:rsidRPr="00F60A3D">
              <w:rPr>
                <w:lang w:val="fr-FR"/>
              </w:rPr>
              <w:t>Signé le 13 février 1990 et ratifié le 14</w:t>
            </w:r>
            <w:r w:rsidR="005465AF" w:rsidRPr="00F60A3D">
              <w:rPr>
                <w:lang w:val="fr-FR"/>
              </w:rPr>
              <w:t> </w:t>
            </w:r>
            <w:r w:rsidRPr="00F60A3D">
              <w:rPr>
                <w:lang w:val="fr-FR"/>
              </w:rPr>
              <w:t>février</w:t>
            </w:r>
            <w:r w:rsidR="002722FF" w:rsidRPr="00F60A3D">
              <w:rPr>
                <w:lang w:val="fr-FR"/>
              </w:rPr>
              <w:t xml:space="preserve"> 1995</w:t>
            </w:r>
          </w:p>
        </w:tc>
      </w:tr>
      <w:tr w:rsidR="002722FF" w:rsidRPr="00F60A3D" w:rsidTr="00DA6421">
        <w:tc>
          <w:tcPr>
            <w:tcW w:w="4004" w:type="dxa"/>
          </w:tcPr>
          <w:p w:rsidR="002722FF" w:rsidRPr="00F60A3D" w:rsidRDefault="002722FF" w:rsidP="005465AF">
            <w:pPr>
              <w:spacing w:before="40" w:after="120"/>
              <w:ind w:right="170"/>
              <w:rPr>
                <w:lang w:val="fr-FR"/>
              </w:rPr>
            </w:pPr>
            <w:r w:rsidRPr="00F60A3D">
              <w:rPr>
                <w:lang w:val="fr-FR"/>
              </w:rPr>
              <w:t>Protocol</w:t>
            </w:r>
            <w:r w:rsidR="003D0D70" w:rsidRPr="00F60A3D">
              <w:rPr>
                <w:lang w:val="fr-FR"/>
              </w:rPr>
              <w:t>e facultatif à la Convention sur l</w:t>
            </w:r>
            <w:r w:rsidR="00B17AE1" w:rsidRPr="00F60A3D">
              <w:rPr>
                <w:lang w:val="fr-FR"/>
              </w:rPr>
              <w:t>’</w:t>
            </w:r>
            <w:r w:rsidR="003D0D70" w:rsidRPr="00F60A3D">
              <w:rPr>
                <w:lang w:val="fr-FR"/>
              </w:rPr>
              <w:t xml:space="preserve">élimination de toutes les formes de discrimination à </w:t>
            </w:r>
            <w:r w:rsidR="00006F69" w:rsidRPr="00F60A3D">
              <w:rPr>
                <w:lang w:val="fr-FR"/>
              </w:rPr>
              <w:t>l</w:t>
            </w:r>
            <w:r w:rsidR="00B17AE1" w:rsidRPr="00F60A3D">
              <w:rPr>
                <w:lang w:val="fr-FR"/>
              </w:rPr>
              <w:t>’</w:t>
            </w:r>
            <w:r w:rsidR="00006F69" w:rsidRPr="00F60A3D">
              <w:rPr>
                <w:lang w:val="fr-FR"/>
              </w:rPr>
              <w:t>égard des femmes, relatif aux</w:t>
            </w:r>
            <w:r w:rsidR="003D0D70" w:rsidRPr="00F60A3D">
              <w:rPr>
                <w:lang w:val="fr-FR"/>
              </w:rPr>
              <w:t xml:space="preserve"> </w:t>
            </w:r>
            <w:r w:rsidR="0046283F" w:rsidRPr="00F60A3D">
              <w:rPr>
                <w:lang w:val="fr-FR"/>
              </w:rPr>
              <w:t>communications</w:t>
            </w:r>
            <w:r w:rsidR="00006F69" w:rsidRPr="00F60A3D">
              <w:rPr>
                <w:lang w:val="fr-FR"/>
              </w:rPr>
              <w:t xml:space="preserve"> présentées par des particuliers</w:t>
            </w:r>
            <w:r w:rsidR="00CF2204" w:rsidRPr="00F60A3D">
              <w:rPr>
                <w:lang w:val="fr-FR"/>
              </w:rPr>
              <w:t xml:space="preserve"> et à la procédure régissant leur examen</w:t>
            </w:r>
            <w:r w:rsidR="003D0D70" w:rsidRPr="00F60A3D">
              <w:rPr>
                <w:lang w:val="fr-FR"/>
              </w:rPr>
              <w:t>,</w:t>
            </w:r>
            <w:r w:rsidRPr="00F60A3D">
              <w:rPr>
                <w:lang w:val="fr-FR"/>
              </w:rPr>
              <w:t xml:space="preserve"> 1999</w:t>
            </w:r>
          </w:p>
        </w:tc>
        <w:tc>
          <w:tcPr>
            <w:tcW w:w="3367" w:type="dxa"/>
          </w:tcPr>
          <w:p w:rsidR="002722FF" w:rsidRPr="00F60A3D" w:rsidRDefault="003D0D70" w:rsidP="005465AF">
            <w:pPr>
              <w:spacing w:before="40" w:after="120"/>
              <w:rPr>
                <w:lang w:val="fr-FR"/>
              </w:rPr>
            </w:pPr>
            <w:r w:rsidRPr="00F60A3D">
              <w:rPr>
                <w:lang w:val="fr-FR"/>
              </w:rPr>
              <w:t>Signé le 10 décembre</w:t>
            </w:r>
            <w:r w:rsidR="002722FF" w:rsidRPr="00F60A3D">
              <w:rPr>
                <w:lang w:val="fr-FR"/>
              </w:rPr>
              <w:t xml:space="preserve"> 1999 </w:t>
            </w:r>
            <w:r w:rsidRPr="00F60A3D">
              <w:rPr>
                <w:lang w:val="fr-FR"/>
              </w:rPr>
              <w:t>et ratifié le 22</w:t>
            </w:r>
            <w:r w:rsidR="00DA6421" w:rsidRPr="00F60A3D">
              <w:rPr>
                <w:lang w:val="fr-FR"/>
              </w:rPr>
              <w:t> </w:t>
            </w:r>
            <w:r w:rsidRPr="00F60A3D">
              <w:rPr>
                <w:lang w:val="fr-FR"/>
              </w:rPr>
              <w:t>septembre</w:t>
            </w:r>
            <w:r w:rsidR="002722FF" w:rsidRPr="00F60A3D">
              <w:rPr>
                <w:lang w:val="fr-FR"/>
              </w:rPr>
              <w:t xml:space="preserve"> 2000</w:t>
            </w:r>
          </w:p>
        </w:tc>
      </w:tr>
      <w:tr w:rsidR="002722FF" w:rsidRPr="00F60A3D" w:rsidTr="00DA6421">
        <w:tc>
          <w:tcPr>
            <w:tcW w:w="4004" w:type="dxa"/>
          </w:tcPr>
          <w:p w:rsidR="002722FF" w:rsidRPr="00F60A3D" w:rsidRDefault="002722FF" w:rsidP="005465AF">
            <w:pPr>
              <w:spacing w:before="40" w:after="120"/>
              <w:ind w:right="170"/>
              <w:rPr>
                <w:lang w:val="fr-FR"/>
              </w:rPr>
            </w:pPr>
            <w:r w:rsidRPr="00F60A3D">
              <w:rPr>
                <w:lang w:val="fr-FR"/>
              </w:rPr>
              <w:t>Protocol</w:t>
            </w:r>
            <w:r w:rsidR="0046283F" w:rsidRPr="00F60A3D">
              <w:rPr>
                <w:lang w:val="fr-FR"/>
              </w:rPr>
              <w:t>e facultatif</w:t>
            </w:r>
            <w:r w:rsidR="00F55C39" w:rsidRPr="00F60A3D">
              <w:rPr>
                <w:lang w:val="fr-FR"/>
              </w:rPr>
              <w:t xml:space="preserve"> se rapportant</w:t>
            </w:r>
            <w:r w:rsidR="0046283F" w:rsidRPr="00F60A3D">
              <w:rPr>
                <w:lang w:val="fr-FR"/>
              </w:rPr>
              <w:t xml:space="preserve"> à la Conventi</w:t>
            </w:r>
            <w:r w:rsidR="00006F69" w:rsidRPr="00F60A3D">
              <w:rPr>
                <w:lang w:val="fr-FR"/>
              </w:rPr>
              <w:t>on contre la torture, ayant pour objet l</w:t>
            </w:r>
            <w:r w:rsidR="00B17AE1" w:rsidRPr="00F60A3D">
              <w:rPr>
                <w:lang w:val="fr-FR"/>
              </w:rPr>
              <w:t>’</w:t>
            </w:r>
            <w:r w:rsidR="00006F69" w:rsidRPr="00F60A3D">
              <w:rPr>
                <w:lang w:val="fr-FR"/>
              </w:rPr>
              <w:t>établissement de visites régulières des organismes na</w:t>
            </w:r>
            <w:r w:rsidR="00CF2204" w:rsidRPr="00F60A3D">
              <w:rPr>
                <w:lang w:val="fr-FR"/>
              </w:rPr>
              <w:t>tion</w:t>
            </w:r>
            <w:r w:rsidR="00006F69" w:rsidRPr="00F60A3D">
              <w:rPr>
                <w:lang w:val="fr-FR"/>
              </w:rPr>
              <w:t>aux et internationaux</w:t>
            </w:r>
            <w:r w:rsidR="00CF2204" w:rsidRPr="00F60A3D">
              <w:rPr>
                <w:lang w:val="fr-FR"/>
              </w:rPr>
              <w:t xml:space="preserve"> sur</w:t>
            </w:r>
            <w:r w:rsidR="0046283F" w:rsidRPr="00F60A3D">
              <w:rPr>
                <w:lang w:val="fr-FR"/>
              </w:rPr>
              <w:t xml:space="preserve"> les lieux de détention</w:t>
            </w:r>
            <w:r w:rsidRPr="00F60A3D">
              <w:rPr>
                <w:lang w:val="fr-FR"/>
              </w:rPr>
              <w:t>, 2002</w:t>
            </w:r>
          </w:p>
        </w:tc>
        <w:tc>
          <w:tcPr>
            <w:tcW w:w="3367" w:type="dxa"/>
          </w:tcPr>
          <w:p w:rsidR="002722FF" w:rsidRPr="00F60A3D" w:rsidRDefault="0046283F" w:rsidP="005465AF">
            <w:pPr>
              <w:spacing w:before="40" w:after="120"/>
              <w:rPr>
                <w:lang w:val="fr-FR"/>
              </w:rPr>
            </w:pPr>
            <w:r w:rsidRPr="00F60A3D">
              <w:rPr>
                <w:lang w:val="fr-FR"/>
              </w:rPr>
              <w:t>Signé le 20 août 2003 et ratifié le 3</w:t>
            </w:r>
            <w:r w:rsidR="005465AF" w:rsidRPr="00F60A3D">
              <w:rPr>
                <w:lang w:val="fr-FR"/>
              </w:rPr>
              <w:t> </w:t>
            </w:r>
            <w:r w:rsidRPr="00F60A3D">
              <w:rPr>
                <w:lang w:val="fr-FR"/>
              </w:rPr>
              <w:t>av</w:t>
            </w:r>
            <w:r w:rsidR="002722FF" w:rsidRPr="00F60A3D">
              <w:rPr>
                <w:lang w:val="fr-FR"/>
              </w:rPr>
              <w:t>ril 2013</w:t>
            </w:r>
          </w:p>
        </w:tc>
      </w:tr>
      <w:tr w:rsidR="002722FF" w:rsidRPr="00F60A3D" w:rsidTr="00DA6421">
        <w:tc>
          <w:tcPr>
            <w:tcW w:w="4004" w:type="dxa"/>
          </w:tcPr>
          <w:p w:rsidR="002722FF" w:rsidRPr="00F60A3D" w:rsidRDefault="00810C3F" w:rsidP="005465AF">
            <w:pPr>
              <w:pStyle w:val="Heading2"/>
              <w:spacing w:before="40" w:after="120"/>
              <w:ind w:right="170"/>
              <w:rPr>
                <w:b/>
                <w:lang w:val="fr-FR"/>
              </w:rPr>
            </w:pPr>
            <w:bookmarkStart w:id="19" w:name="_Toc73946178"/>
            <w:bookmarkStart w:id="20" w:name="_Toc133268794"/>
            <w:r w:rsidRPr="00F60A3D">
              <w:rPr>
                <w:b/>
                <w:lang w:val="fr-FR"/>
              </w:rPr>
              <w:t>Autres instruments des Nations Unies relatif</w:t>
            </w:r>
            <w:r w:rsidR="00CF2204" w:rsidRPr="00F60A3D">
              <w:rPr>
                <w:b/>
                <w:lang w:val="fr-FR"/>
              </w:rPr>
              <w:t>s aux droits de l</w:t>
            </w:r>
            <w:r w:rsidR="00B17AE1" w:rsidRPr="00F60A3D">
              <w:rPr>
                <w:b/>
                <w:lang w:val="fr-FR"/>
              </w:rPr>
              <w:t>’</w:t>
            </w:r>
            <w:r w:rsidR="00CF2204" w:rsidRPr="00F60A3D">
              <w:rPr>
                <w:b/>
                <w:lang w:val="fr-FR"/>
              </w:rPr>
              <w:t>homme e</w:t>
            </w:r>
            <w:bookmarkEnd w:id="19"/>
            <w:bookmarkEnd w:id="20"/>
            <w:r w:rsidR="00CF2204" w:rsidRPr="00F60A3D">
              <w:rPr>
                <w:b/>
                <w:lang w:val="fr-FR"/>
              </w:rPr>
              <w:t>t instruments connexes</w:t>
            </w:r>
          </w:p>
        </w:tc>
        <w:tc>
          <w:tcPr>
            <w:tcW w:w="3367" w:type="dxa"/>
          </w:tcPr>
          <w:p w:rsidR="002722FF" w:rsidRPr="00F60A3D" w:rsidRDefault="002722FF" w:rsidP="005465AF">
            <w:pPr>
              <w:pStyle w:val="Heading2"/>
              <w:spacing w:before="40" w:after="120"/>
              <w:rPr>
                <w:lang w:val="fr-FR"/>
              </w:rPr>
            </w:pPr>
          </w:p>
        </w:tc>
      </w:tr>
      <w:tr w:rsidR="002722FF" w:rsidRPr="00F60A3D" w:rsidTr="00DA6421">
        <w:tc>
          <w:tcPr>
            <w:tcW w:w="4004" w:type="dxa"/>
          </w:tcPr>
          <w:p w:rsidR="002722FF" w:rsidRPr="00F60A3D" w:rsidRDefault="00CF2204" w:rsidP="005465AF">
            <w:pPr>
              <w:spacing w:before="40" w:after="120"/>
              <w:ind w:right="170"/>
              <w:rPr>
                <w:lang w:val="fr-FR"/>
              </w:rPr>
            </w:pPr>
            <w:r w:rsidRPr="00F60A3D">
              <w:rPr>
                <w:lang w:val="fr-FR"/>
              </w:rPr>
              <w:t>Convention pour la prévention et la répression du crime de génocide</w:t>
            </w:r>
            <w:r w:rsidR="002722FF" w:rsidRPr="00F60A3D">
              <w:rPr>
                <w:lang w:val="fr-FR"/>
              </w:rPr>
              <w:t>, 1948</w:t>
            </w:r>
          </w:p>
        </w:tc>
        <w:tc>
          <w:tcPr>
            <w:tcW w:w="3367" w:type="dxa"/>
          </w:tcPr>
          <w:p w:rsidR="002722FF" w:rsidRPr="00F60A3D" w:rsidRDefault="00CF2204" w:rsidP="005465AF">
            <w:pPr>
              <w:spacing w:before="40" w:after="120"/>
              <w:rPr>
                <w:lang w:val="fr-FR"/>
              </w:rPr>
            </w:pPr>
            <w:r w:rsidRPr="00F60A3D">
              <w:rPr>
                <w:lang w:val="fr-FR"/>
              </w:rPr>
              <w:t>Ratifiée le 4 juin</w:t>
            </w:r>
            <w:r w:rsidR="002722FF" w:rsidRPr="00F60A3D">
              <w:rPr>
                <w:lang w:val="fr-FR"/>
              </w:rPr>
              <w:t xml:space="preserve"> 1952</w:t>
            </w:r>
          </w:p>
        </w:tc>
      </w:tr>
      <w:tr w:rsidR="002722FF" w:rsidRPr="00F60A3D" w:rsidTr="00DA6421">
        <w:tc>
          <w:tcPr>
            <w:tcW w:w="4004" w:type="dxa"/>
          </w:tcPr>
          <w:p w:rsidR="002722FF" w:rsidRPr="00F60A3D" w:rsidRDefault="00CF2204" w:rsidP="005465AF">
            <w:pPr>
              <w:spacing w:before="40" w:after="120"/>
              <w:ind w:right="170"/>
              <w:rPr>
                <w:lang w:val="fr-FR"/>
              </w:rPr>
            </w:pPr>
            <w:r w:rsidRPr="00F60A3D">
              <w:rPr>
                <w:lang w:val="fr-FR"/>
              </w:rPr>
              <w:t>Convention relative à l</w:t>
            </w:r>
            <w:r w:rsidR="00B17AE1" w:rsidRPr="00F60A3D">
              <w:rPr>
                <w:lang w:val="fr-FR"/>
              </w:rPr>
              <w:t>’</w:t>
            </w:r>
            <w:r w:rsidRPr="00F60A3D">
              <w:rPr>
                <w:lang w:val="fr-FR"/>
              </w:rPr>
              <w:t>esclavage,</w:t>
            </w:r>
            <w:r w:rsidR="002722FF" w:rsidRPr="00F60A3D">
              <w:rPr>
                <w:lang w:val="fr-FR"/>
              </w:rPr>
              <w:t xml:space="preserve"> 192</w:t>
            </w:r>
            <w:r w:rsidR="003F6DD9" w:rsidRPr="00F60A3D">
              <w:rPr>
                <w:lang w:val="fr-FR"/>
              </w:rPr>
              <w:t>6, modifiée en</w:t>
            </w:r>
            <w:r w:rsidR="002722FF" w:rsidRPr="00F60A3D">
              <w:rPr>
                <w:lang w:val="fr-FR"/>
              </w:rPr>
              <w:t xml:space="preserve"> 1955</w:t>
            </w:r>
          </w:p>
        </w:tc>
        <w:tc>
          <w:tcPr>
            <w:tcW w:w="3367" w:type="dxa"/>
          </w:tcPr>
          <w:p w:rsidR="002722FF" w:rsidRPr="00F60A3D" w:rsidRDefault="003F6DD9" w:rsidP="005465AF">
            <w:pPr>
              <w:spacing w:before="40" w:after="120"/>
              <w:rPr>
                <w:lang w:val="fr-FR"/>
              </w:rPr>
            </w:pPr>
            <w:r w:rsidRPr="00F60A3D">
              <w:rPr>
                <w:lang w:val="fr-FR"/>
              </w:rPr>
              <w:t>Participation le 4 février</w:t>
            </w:r>
            <w:r w:rsidR="002722FF" w:rsidRPr="00F60A3D">
              <w:rPr>
                <w:lang w:val="fr-FR"/>
              </w:rPr>
              <w:t xml:space="preserve"> 1954</w:t>
            </w:r>
          </w:p>
        </w:tc>
      </w:tr>
      <w:tr w:rsidR="002722FF" w:rsidRPr="00F60A3D" w:rsidTr="00DA6421">
        <w:tc>
          <w:tcPr>
            <w:tcW w:w="4004" w:type="dxa"/>
          </w:tcPr>
          <w:p w:rsidR="002722FF" w:rsidRPr="00F60A3D" w:rsidRDefault="003F6DD9" w:rsidP="005465AF">
            <w:pPr>
              <w:spacing w:before="40" w:after="120"/>
              <w:ind w:right="170"/>
              <w:rPr>
                <w:lang w:val="fr-FR"/>
              </w:rPr>
            </w:pPr>
            <w:r w:rsidRPr="00F60A3D">
              <w:rPr>
                <w:lang w:val="fr-FR"/>
              </w:rPr>
              <w:t xml:space="preserve">Convention pour la </w:t>
            </w:r>
            <w:r w:rsidR="006C59BB" w:rsidRPr="00F60A3D">
              <w:rPr>
                <w:lang w:val="fr-FR"/>
              </w:rPr>
              <w:t>ré</w:t>
            </w:r>
            <w:r w:rsidRPr="00F60A3D">
              <w:rPr>
                <w:lang w:val="fr-FR"/>
              </w:rPr>
              <w:t>pression de la traite des êtres humains et de l</w:t>
            </w:r>
            <w:r w:rsidR="00B17AE1" w:rsidRPr="00F60A3D">
              <w:rPr>
                <w:lang w:val="fr-FR"/>
              </w:rPr>
              <w:t>’</w:t>
            </w:r>
            <w:r w:rsidRPr="00F60A3D">
              <w:rPr>
                <w:lang w:val="fr-FR"/>
              </w:rPr>
              <w:t>exploitation de la prostitution d</w:t>
            </w:r>
            <w:r w:rsidR="00B17AE1" w:rsidRPr="00F60A3D">
              <w:rPr>
                <w:lang w:val="fr-FR"/>
              </w:rPr>
              <w:t>’</w:t>
            </w:r>
            <w:r w:rsidRPr="00F60A3D">
              <w:rPr>
                <w:lang w:val="fr-FR"/>
              </w:rPr>
              <w:t>autrui</w:t>
            </w:r>
            <w:r w:rsidR="002722FF" w:rsidRPr="00F60A3D">
              <w:rPr>
                <w:lang w:val="fr-FR"/>
              </w:rPr>
              <w:t>, 1950</w:t>
            </w:r>
          </w:p>
        </w:tc>
        <w:tc>
          <w:tcPr>
            <w:tcW w:w="3367" w:type="dxa"/>
          </w:tcPr>
          <w:p w:rsidR="002722FF" w:rsidRPr="00F60A3D" w:rsidRDefault="006C59BB" w:rsidP="005465AF">
            <w:pPr>
              <w:spacing w:before="40" w:after="120"/>
              <w:rPr>
                <w:lang w:val="fr-FR"/>
              </w:rPr>
            </w:pPr>
            <w:r w:rsidRPr="00F60A3D">
              <w:rPr>
                <w:lang w:val="fr-FR"/>
              </w:rPr>
              <w:t>Ratifiée le 18 janvier</w:t>
            </w:r>
            <w:r w:rsidR="002722FF" w:rsidRPr="00F60A3D">
              <w:rPr>
                <w:lang w:val="fr-FR"/>
              </w:rPr>
              <w:t xml:space="preserve"> 1980</w:t>
            </w:r>
          </w:p>
        </w:tc>
      </w:tr>
      <w:tr w:rsidR="002722FF" w:rsidRPr="00F60A3D" w:rsidTr="00DA6421">
        <w:tc>
          <w:tcPr>
            <w:tcW w:w="4004" w:type="dxa"/>
          </w:tcPr>
          <w:p w:rsidR="002722FF" w:rsidRPr="00F60A3D" w:rsidRDefault="006C59BB" w:rsidP="005465AF">
            <w:pPr>
              <w:spacing w:before="40" w:after="120"/>
              <w:ind w:right="170"/>
              <w:rPr>
                <w:lang w:val="fr-FR"/>
              </w:rPr>
            </w:pPr>
            <w:r w:rsidRPr="00F60A3D">
              <w:rPr>
                <w:lang w:val="fr-FR"/>
              </w:rPr>
              <w:t xml:space="preserve">Convention relative au statut des réfugiés, 1951 et son Protocole, 1967 </w:t>
            </w:r>
          </w:p>
        </w:tc>
        <w:tc>
          <w:tcPr>
            <w:tcW w:w="3367" w:type="dxa"/>
          </w:tcPr>
          <w:p w:rsidR="002722FF" w:rsidRPr="00F60A3D" w:rsidRDefault="006A35D8" w:rsidP="005465AF">
            <w:pPr>
              <w:spacing w:before="40" w:after="120"/>
              <w:rPr>
                <w:lang w:val="fr-FR"/>
              </w:rPr>
            </w:pPr>
            <w:r w:rsidRPr="00F60A3D">
              <w:rPr>
                <w:lang w:val="fr-FR"/>
              </w:rPr>
              <w:t>La première a été signée le 23 </w:t>
            </w:r>
            <w:r w:rsidR="006C59BB" w:rsidRPr="00F60A3D">
              <w:rPr>
                <w:lang w:val="fr-FR"/>
              </w:rPr>
              <w:t>juillet 1952 et ratifiée</w:t>
            </w:r>
            <w:r w:rsidR="002722FF" w:rsidRPr="00F60A3D">
              <w:rPr>
                <w:lang w:val="fr-FR"/>
              </w:rPr>
              <w:t xml:space="preserve"> </w:t>
            </w:r>
            <w:r w:rsidR="006C59BB" w:rsidRPr="00F60A3D">
              <w:rPr>
                <w:lang w:val="fr-FR"/>
              </w:rPr>
              <w:t>le 15 novemb</w:t>
            </w:r>
            <w:r w:rsidR="002722FF" w:rsidRPr="00F60A3D">
              <w:rPr>
                <w:lang w:val="fr-FR"/>
              </w:rPr>
              <w:t>r</w:t>
            </w:r>
            <w:r w:rsidR="00670145" w:rsidRPr="00F60A3D">
              <w:rPr>
                <w:lang w:val="fr-FR"/>
              </w:rPr>
              <w:t>e 1954; le suivant a été</w:t>
            </w:r>
            <w:r w:rsidR="006C59BB" w:rsidRPr="00F60A3D">
              <w:rPr>
                <w:lang w:val="fr-FR"/>
              </w:rPr>
              <w:t xml:space="preserve"> ratifié le 26 janvier</w:t>
            </w:r>
            <w:r w:rsidR="002830B6" w:rsidRPr="00F60A3D">
              <w:rPr>
                <w:lang w:val="fr-FR"/>
              </w:rPr>
              <w:t xml:space="preserve"> 1972</w:t>
            </w:r>
            <w:r w:rsidR="002722FF" w:rsidRPr="00F60A3D">
              <w:rPr>
                <w:lang w:val="fr-FR"/>
              </w:rPr>
              <w:t xml:space="preserve"> </w:t>
            </w:r>
          </w:p>
        </w:tc>
      </w:tr>
      <w:tr w:rsidR="002722FF" w:rsidRPr="00F60A3D" w:rsidTr="00DA6421">
        <w:tc>
          <w:tcPr>
            <w:tcW w:w="4004" w:type="dxa"/>
          </w:tcPr>
          <w:p w:rsidR="002722FF" w:rsidRPr="00F60A3D" w:rsidRDefault="006C59BB" w:rsidP="005465AF">
            <w:pPr>
              <w:spacing w:before="40" w:after="120"/>
              <w:ind w:right="170"/>
              <w:rPr>
                <w:lang w:val="fr-FR"/>
              </w:rPr>
            </w:pPr>
            <w:r w:rsidRPr="00F60A3D">
              <w:rPr>
                <w:lang w:val="fr-FR"/>
              </w:rPr>
              <w:t>Convention relative au statut des apatrides</w:t>
            </w:r>
            <w:r w:rsidR="002722FF" w:rsidRPr="00F60A3D">
              <w:rPr>
                <w:lang w:val="fr-FR"/>
              </w:rPr>
              <w:t>, 1954</w:t>
            </w:r>
          </w:p>
        </w:tc>
        <w:tc>
          <w:tcPr>
            <w:tcW w:w="3367" w:type="dxa"/>
          </w:tcPr>
          <w:p w:rsidR="002722FF" w:rsidRPr="00F60A3D" w:rsidRDefault="006C59BB" w:rsidP="005465AF">
            <w:pPr>
              <w:spacing w:before="40" w:after="120"/>
              <w:rPr>
                <w:lang w:val="fr-FR"/>
              </w:rPr>
            </w:pPr>
            <w:r w:rsidRPr="00F60A3D">
              <w:rPr>
                <w:lang w:val="fr-FR"/>
              </w:rPr>
              <w:t>Signée le 20 octobre 1954 et ratifiée le 3</w:t>
            </w:r>
            <w:r w:rsidR="00DA6421" w:rsidRPr="00F60A3D">
              <w:rPr>
                <w:lang w:val="fr-FR"/>
              </w:rPr>
              <w:t> </w:t>
            </w:r>
            <w:r w:rsidRPr="00F60A3D">
              <w:rPr>
                <w:lang w:val="fr-FR"/>
              </w:rPr>
              <w:t>décembre</w:t>
            </w:r>
            <w:r w:rsidR="002722FF" w:rsidRPr="00F60A3D">
              <w:rPr>
                <w:lang w:val="fr-FR"/>
              </w:rPr>
              <w:t xml:space="preserve"> 1962</w:t>
            </w:r>
            <w:r w:rsidR="002722FF" w:rsidRPr="00F60A3D">
              <w:rPr>
                <w:rStyle w:val="FootnoteReference"/>
                <w:lang w:val="fr-FR"/>
              </w:rPr>
              <w:footnoteReference w:id="33"/>
            </w:r>
          </w:p>
        </w:tc>
      </w:tr>
      <w:tr w:rsidR="002722FF" w:rsidRPr="00F60A3D" w:rsidTr="00DA6421">
        <w:tc>
          <w:tcPr>
            <w:tcW w:w="4004" w:type="dxa"/>
          </w:tcPr>
          <w:p w:rsidR="002722FF" w:rsidRPr="00F60A3D" w:rsidRDefault="002722FF" w:rsidP="005465AF">
            <w:pPr>
              <w:spacing w:before="40" w:after="120"/>
              <w:ind w:right="170"/>
              <w:rPr>
                <w:lang w:val="fr-FR"/>
              </w:rPr>
            </w:pPr>
            <w:r w:rsidRPr="00F60A3D">
              <w:rPr>
                <w:lang w:val="fr-FR"/>
              </w:rPr>
              <w:t>Conven</w:t>
            </w:r>
            <w:r w:rsidR="009A40EA" w:rsidRPr="00F60A3D">
              <w:rPr>
                <w:lang w:val="fr-FR"/>
              </w:rPr>
              <w:t>tion sur la réduction des cas d</w:t>
            </w:r>
            <w:r w:rsidR="00B17AE1" w:rsidRPr="00F60A3D">
              <w:rPr>
                <w:lang w:val="fr-FR"/>
              </w:rPr>
              <w:t>’</w:t>
            </w:r>
            <w:r w:rsidR="009A40EA" w:rsidRPr="00F60A3D">
              <w:rPr>
                <w:lang w:val="fr-FR"/>
              </w:rPr>
              <w:t>apatridie</w:t>
            </w:r>
            <w:r w:rsidRPr="00F60A3D">
              <w:rPr>
                <w:lang w:val="fr-FR"/>
              </w:rPr>
              <w:t>, 1961</w:t>
            </w:r>
          </w:p>
        </w:tc>
        <w:tc>
          <w:tcPr>
            <w:tcW w:w="3367" w:type="dxa"/>
          </w:tcPr>
          <w:p w:rsidR="002722FF" w:rsidRPr="00F60A3D" w:rsidRDefault="009A40EA" w:rsidP="00C47750">
            <w:pPr>
              <w:spacing w:before="40" w:after="120"/>
              <w:rPr>
                <w:lang w:val="fr-FR"/>
              </w:rPr>
            </w:pPr>
            <w:r w:rsidRPr="00F60A3D">
              <w:rPr>
                <w:lang w:val="fr-FR"/>
              </w:rPr>
              <w:t xml:space="preserve">Ratifiée le </w:t>
            </w:r>
            <w:r w:rsidR="00C47750" w:rsidRPr="00F60A3D">
              <w:rPr>
                <w:lang w:val="fr-FR"/>
              </w:rPr>
              <w:t>1</w:t>
            </w:r>
            <w:r w:rsidR="00C47750" w:rsidRPr="00F60A3D">
              <w:rPr>
                <w:vertAlign w:val="superscript"/>
                <w:lang w:val="fr-FR"/>
              </w:rPr>
              <w:t>er</w:t>
            </w:r>
            <w:r w:rsidR="00C47750" w:rsidRPr="00F60A3D">
              <w:rPr>
                <w:lang w:val="fr-FR"/>
              </w:rPr>
              <w:t> </w:t>
            </w:r>
            <w:r w:rsidRPr="00F60A3D">
              <w:rPr>
                <w:lang w:val="fr-FR"/>
              </w:rPr>
              <w:t>décembre</w:t>
            </w:r>
            <w:r w:rsidR="002722FF" w:rsidRPr="00F60A3D">
              <w:rPr>
                <w:lang w:val="fr-FR"/>
              </w:rPr>
              <w:t xml:space="preserve"> 2015</w:t>
            </w:r>
          </w:p>
        </w:tc>
      </w:tr>
      <w:tr w:rsidR="002722FF" w:rsidRPr="00F60A3D" w:rsidTr="00DA6421">
        <w:tc>
          <w:tcPr>
            <w:tcW w:w="4004" w:type="dxa"/>
          </w:tcPr>
          <w:p w:rsidR="002722FF" w:rsidRPr="00F60A3D" w:rsidRDefault="009A40EA" w:rsidP="005465AF">
            <w:pPr>
              <w:keepNext/>
              <w:keepLines/>
              <w:spacing w:before="40" w:after="120"/>
              <w:ind w:right="170"/>
              <w:rPr>
                <w:lang w:val="fr-FR"/>
              </w:rPr>
            </w:pPr>
            <w:r w:rsidRPr="00F60A3D">
              <w:rPr>
                <w:lang w:val="fr-FR"/>
              </w:rPr>
              <w:lastRenderedPageBreak/>
              <w:t>Statut de Rome</w:t>
            </w:r>
            <w:r w:rsidR="00731982" w:rsidRPr="00F60A3D">
              <w:rPr>
                <w:lang w:val="fr-FR"/>
              </w:rPr>
              <w:t xml:space="preserve"> </w:t>
            </w:r>
            <w:r w:rsidRPr="00F60A3D">
              <w:rPr>
                <w:lang w:val="fr-FR"/>
              </w:rPr>
              <w:t>de la Cour pénale internationale</w:t>
            </w:r>
            <w:r w:rsidR="002722FF" w:rsidRPr="00F60A3D">
              <w:rPr>
                <w:lang w:val="fr-FR"/>
              </w:rPr>
              <w:t>, 1998</w:t>
            </w:r>
          </w:p>
        </w:tc>
        <w:tc>
          <w:tcPr>
            <w:tcW w:w="3367" w:type="dxa"/>
          </w:tcPr>
          <w:p w:rsidR="002722FF" w:rsidRPr="00F60A3D" w:rsidRDefault="009A40EA" w:rsidP="005465AF">
            <w:pPr>
              <w:keepNext/>
              <w:keepLines/>
              <w:spacing w:before="40" w:after="120"/>
              <w:rPr>
                <w:lang w:val="fr-FR"/>
              </w:rPr>
            </w:pPr>
            <w:r w:rsidRPr="00F60A3D">
              <w:rPr>
                <w:lang w:val="fr-FR"/>
              </w:rPr>
              <w:t>Signé l</w:t>
            </w:r>
            <w:r w:rsidR="006A35D8" w:rsidRPr="00F60A3D">
              <w:rPr>
                <w:lang w:val="fr-FR"/>
              </w:rPr>
              <w:t>e 18 juillet 1998 et ratifié 26 </w:t>
            </w:r>
            <w:r w:rsidRPr="00F60A3D">
              <w:rPr>
                <w:lang w:val="fr-FR"/>
              </w:rPr>
              <w:t>juillet</w:t>
            </w:r>
            <w:r w:rsidR="002830B6" w:rsidRPr="00F60A3D">
              <w:rPr>
                <w:lang w:val="fr-FR"/>
              </w:rPr>
              <w:t xml:space="preserve"> 1999</w:t>
            </w:r>
          </w:p>
        </w:tc>
      </w:tr>
      <w:tr w:rsidR="002722FF" w:rsidRPr="00F60A3D" w:rsidTr="00DA6421">
        <w:tc>
          <w:tcPr>
            <w:tcW w:w="4004" w:type="dxa"/>
          </w:tcPr>
          <w:p w:rsidR="002722FF" w:rsidRPr="00F60A3D" w:rsidRDefault="002722FF" w:rsidP="005465AF">
            <w:pPr>
              <w:spacing w:before="40" w:after="120"/>
              <w:ind w:right="170"/>
              <w:rPr>
                <w:lang w:val="fr-FR"/>
              </w:rPr>
            </w:pPr>
            <w:r w:rsidRPr="00F60A3D">
              <w:rPr>
                <w:lang w:val="fr-FR"/>
              </w:rPr>
              <w:t xml:space="preserve">Convention </w:t>
            </w:r>
            <w:r w:rsidR="009A40EA" w:rsidRPr="00F60A3D">
              <w:rPr>
                <w:lang w:val="fr-FR"/>
              </w:rPr>
              <w:t xml:space="preserve">des Nations Unies contre la criminalité transnationale organisée </w:t>
            </w:r>
            <w:r w:rsidR="00D665EF" w:rsidRPr="00F60A3D">
              <w:rPr>
                <w:lang w:val="fr-FR"/>
              </w:rPr>
              <w:t xml:space="preserve">de 2000, </w:t>
            </w:r>
            <w:r w:rsidR="009A40EA" w:rsidRPr="00F60A3D">
              <w:rPr>
                <w:lang w:val="fr-FR"/>
              </w:rPr>
              <w:t>et ses Protocole</w:t>
            </w:r>
            <w:r w:rsidR="00D665EF" w:rsidRPr="00F60A3D">
              <w:rPr>
                <w:lang w:val="fr-FR"/>
              </w:rPr>
              <w:t>s</w:t>
            </w:r>
            <w:r w:rsidR="009A40EA" w:rsidRPr="00F60A3D">
              <w:rPr>
                <w:lang w:val="fr-FR"/>
              </w:rPr>
              <w:t xml:space="preserve"> </w:t>
            </w:r>
            <w:r w:rsidR="00D665EF" w:rsidRPr="00F60A3D">
              <w:rPr>
                <w:lang w:val="fr-FR"/>
              </w:rPr>
              <w:t xml:space="preserve">additionnels </w:t>
            </w:r>
            <w:r w:rsidR="009A40EA" w:rsidRPr="00F60A3D">
              <w:rPr>
                <w:lang w:val="fr-FR"/>
              </w:rPr>
              <w:t xml:space="preserve">contre </w:t>
            </w:r>
            <w:r w:rsidR="00D665EF" w:rsidRPr="00F60A3D">
              <w:rPr>
                <w:lang w:val="fr-FR"/>
              </w:rPr>
              <w:t xml:space="preserve">le trafic </w:t>
            </w:r>
            <w:r w:rsidR="00200586" w:rsidRPr="00F60A3D">
              <w:rPr>
                <w:lang w:val="fr-FR"/>
              </w:rPr>
              <w:t>i</w:t>
            </w:r>
            <w:r w:rsidR="00D665EF" w:rsidRPr="00F60A3D">
              <w:rPr>
                <w:lang w:val="fr-FR"/>
              </w:rPr>
              <w:t>llicite de migrants par terre, air, mer,</w:t>
            </w:r>
            <w:r w:rsidRPr="00F60A3D">
              <w:rPr>
                <w:lang w:val="fr-FR"/>
              </w:rPr>
              <w:t xml:space="preserve"> </w:t>
            </w:r>
            <w:r w:rsidR="009A40EA" w:rsidRPr="00F60A3D">
              <w:rPr>
                <w:lang w:val="fr-FR"/>
              </w:rPr>
              <w:t>et visant à prévenir, réprimer et p</w:t>
            </w:r>
            <w:r w:rsidR="00D665EF" w:rsidRPr="00F60A3D">
              <w:rPr>
                <w:lang w:val="fr-FR"/>
              </w:rPr>
              <w:t>u</w:t>
            </w:r>
            <w:r w:rsidR="009A40EA" w:rsidRPr="00F60A3D">
              <w:rPr>
                <w:lang w:val="fr-FR"/>
              </w:rPr>
              <w:t>nir la traite des personnes, en particulier des femmes et des enfants</w:t>
            </w:r>
          </w:p>
        </w:tc>
        <w:tc>
          <w:tcPr>
            <w:tcW w:w="3367" w:type="dxa"/>
          </w:tcPr>
          <w:p w:rsidR="002722FF" w:rsidRPr="00F60A3D" w:rsidRDefault="002722FF" w:rsidP="005465AF">
            <w:pPr>
              <w:spacing w:before="40" w:after="120"/>
              <w:rPr>
                <w:lang w:val="fr-FR"/>
              </w:rPr>
            </w:pPr>
            <w:r w:rsidRPr="00F60A3D">
              <w:rPr>
                <w:lang w:val="fr-FR"/>
              </w:rPr>
              <w:t>S</w:t>
            </w:r>
            <w:r w:rsidR="00670145" w:rsidRPr="00F60A3D">
              <w:rPr>
                <w:lang w:val="fr-FR"/>
              </w:rPr>
              <w:t>ignés</w:t>
            </w:r>
            <w:r w:rsidR="00D665EF" w:rsidRPr="00F60A3D">
              <w:rPr>
                <w:lang w:val="fr-FR"/>
              </w:rPr>
              <w:t xml:space="preserve"> le 12 décembre 2000 et ratifié</w:t>
            </w:r>
            <w:r w:rsidR="00670145" w:rsidRPr="00F60A3D">
              <w:rPr>
                <w:lang w:val="fr-FR"/>
              </w:rPr>
              <w:t>s</w:t>
            </w:r>
            <w:r w:rsidR="00DA6421" w:rsidRPr="00F60A3D">
              <w:rPr>
                <w:lang w:val="fr-FR"/>
              </w:rPr>
              <w:t xml:space="preserve"> le 2 </w:t>
            </w:r>
            <w:r w:rsidR="00D665EF" w:rsidRPr="00F60A3D">
              <w:rPr>
                <w:lang w:val="fr-FR"/>
              </w:rPr>
              <w:t>août</w:t>
            </w:r>
            <w:r w:rsidRPr="00F60A3D">
              <w:rPr>
                <w:lang w:val="fr-FR"/>
              </w:rPr>
              <w:t xml:space="preserve"> 2006</w:t>
            </w:r>
          </w:p>
        </w:tc>
      </w:tr>
      <w:tr w:rsidR="002722FF" w:rsidRPr="00F60A3D" w:rsidTr="00DA6421">
        <w:tc>
          <w:tcPr>
            <w:tcW w:w="4004" w:type="dxa"/>
          </w:tcPr>
          <w:p w:rsidR="002722FF" w:rsidRPr="00F60A3D" w:rsidRDefault="00D665EF" w:rsidP="005465AF">
            <w:pPr>
              <w:pStyle w:val="Heading2"/>
              <w:spacing w:before="40" w:after="120"/>
              <w:ind w:right="170"/>
              <w:rPr>
                <w:b/>
                <w:lang w:val="fr-FR"/>
              </w:rPr>
            </w:pPr>
            <w:bookmarkStart w:id="21" w:name="_Toc73946179"/>
            <w:bookmarkStart w:id="22" w:name="_Toc133268795"/>
            <w:r w:rsidRPr="00F60A3D">
              <w:rPr>
                <w:b/>
                <w:lang w:val="fr-FR"/>
              </w:rPr>
              <w:t>Conventions de l</w:t>
            </w:r>
            <w:r w:rsidR="00B17AE1" w:rsidRPr="00F60A3D">
              <w:rPr>
                <w:b/>
                <w:lang w:val="fr-FR"/>
              </w:rPr>
              <w:t>’</w:t>
            </w:r>
            <w:r w:rsidRPr="00F60A3D">
              <w:rPr>
                <w:b/>
                <w:lang w:val="fr-FR"/>
              </w:rPr>
              <w:t>Organisation inte</w:t>
            </w:r>
            <w:r w:rsidR="00CC7FB3" w:rsidRPr="00F60A3D">
              <w:rPr>
                <w:b/>
                <w:lang w:val="fr-FR"/>
              </w:rPr>
              <w:t>rnationale du T</w:t>
            </w:r>
            <w:r w:rsidRPr="00F60A3D">
              <w:rPr>
                <w:b/>
                <w:lang w:val="fr-FR"/>
              </w:rPr>
              <w:t>ravail</w:t>
            </w:r>
            <w:bookmarkEnd w:id="21"/>
            <w:bookmarkEnd w:id="22"/>
          </w:p>
        </w:tc>
        <w:tc>
          <w:tcPr>
            <w:tcW w:w="3367" w:type="dxa"/>
          </w:tcPr>
          <w:p w:rsidR="002722FF" w:rsidRPr="00F60A3D" w:rsidRDefault="002722FF" w:rsidP="005465AF">
            <w:pPr>
              <w:pStyle w:val="Heading2"/>
              <w:spacing w:before="40" w:after="120"/>
              <w:rPr>
                <w:lang w:val="fr-FR"/>
              </w:rPr>
            </w:pPr>
          </w:p>
        </w:tc>
      </w:tr>
      <w:tr w:rsidR="002722FF" w:rsidRPr="00F60A3D" w:rsidTr="00DA6421">
        <w:tc>
          <w:tcPr>
            <w:tcW w:w="4004" w:type="dxa"/>
          </w:tcPr>
          <w:p w:rsidR="002722FF" w:rsidRPr="00F60A3D" w:rsidRDefault="00D665EF" w:rsidP="005465AF">
            <w:pPr>
              <w:spacing w:before="40" w:after="120"/>
              <w:ind w:right="170"/>
              <w:rPr>
                <w:lang w:val="fr-FR"/>
              </w:rPr>
            </w:pPr>
            <w:r w:rsidRPr="00F60A3D">
              <w:rPr>
                <w:lang w:val="fr-FR"/>
              </w:rPr>
              <w:t>Convention (</w:t>
            </w:r>
            <w:r w:rsidR="00B17AE1" w:rsidRPr="00F60A3D">
              <w:rPr>
                <w:lang w:val="fr-FR"/>
              </w:rPr>
              <w:t>n</w:t>
            </w:r>
            <w:r w:rsidR="00B17AE1" w:rsidRPr="00F60A3D">
              <w:rPr>
                <w:vertAlign w:val="superscript"/>
                <w:lang w:val="fr-FR"/>
              </w:rPr>
              <w:t>o</w:t>
            </w:r>
            <w:r w:rsidR="00B17AE1" w:rsidRPr="00F60A3D">
              <w:rPr>
                <w:lang w:val="fr-FR"/>
              </w:rPr>
              <w:t> </w:t>
            </w:r>
            <w:r w:rsidRPr="00F60A3D">
              <w:rPr>
                <w:lang w:val="fr-FR"/>
              </w:rPr>
              <w:t xml:space="preserve">14) sur le repos hebdomadaire (industrie), 1921 </w:t>
            </w:r>
          </w:p>
        </w:tc>
        <w:tc>
          <w:tcPr>
            <w:tcW w:w="3367" w:type="dxa"/>
          </w:tcPr>
          <w:p w:rsidR="002722FF" w:rsidRPr="00F60A3D" w:rsidRDefault="00D665EF" w:rsidP="005465AF">
            <w:pPr>
              <w:spacing w:before="40" w:after="120"/>
              <w:rPr>
                <w:lang w:val="fr-FR"/>
              </w:rPr>
            </w:pPr>
            <w:r w:rsidRPr="00F60A3D">
              <w:rPr>
                <w:lang w:val="fr-FR"/>
              </w:rPr>
              <w:t>Ratifiée le 8 septembre</w:t>
            </w:r>
            <w:r w:rsidR="002722FF" w:rsidRPr="00F60A3D">
              <w:rPr>
                <w:lang w:val="fr-FR"/>
              </w:rPr>
              <w:t xml:space="preserve"> 1924</w:t>
            </w:r>
          </w:p>
        </w:tc>
      </w:tr>
      <w:tr w:rsidR="002722FF" w:rsidRPr="00F60A3D" w:rsidTr="00DA6421">
        <w:tc>
          <w:tcPr>
            <w:tcW w:w="4004" w:type="dxa"/>
          </w:tcPr>
          <w:p w:rsidR="002722FF" w:rsidRPr="00F60A3D" w:rsidRDefault="00D665EF" w:rsidP="005465AF">
            <w:pPr>
              <w:spacing w:before="40" w:after="120"/>
              <w:ind w:right="170"/>
              <w:rPr>
                <w:lang w:val="fr-FR"/>
              </w:rPr>
            </w:pPr>
            <w:r w:rsidRPr="00F60A3D">
              <w:rPr>
                <w:lang w:val="fr-FR"/>
              </w:rPr>
              <w:t xml:space="preserve">Convention </w:t>
            </w:r>
            <w:r w:rsidR="00D43456" w:rsidRPr="00F60A3D">
              <w:rPr>
                <w:lang w:val="fr-FR"/>
              </w:rPr>
              <w:t>(</w:t>
            </w:r>
            <w:r w:rsidR="00B17AE1" w:rsidRPr="00F60A3D">
              <w:rPr>
                <w:lang w:val="fr-FR"/>
              </w:rPr>
              <w:t>n</w:t>
            </w:r>
            <w:r w:rsidR="00B17AE1" w:rsidRPr="00F60A3D">
              <w:rPr>
                <w:vertAlign w:val="superscript"/>
                <w:lang w:val="fr-FR"/>
              </w:rPr>
              <w:t>o</w:t>
            </w:r>
            <w:r w:rsidR="00B17AE1" w:rsidRPr="00F60A3D">
              <w:rPr>
                <w:lang w:val="fr-FR"/>
              </w:rPr>
              <w:t> </w:t>
            </w:r>
            <w:r w:rsidR="00D43456" w:rsidRPr="00F60A3D">
              <w:rPr>
                <w:lang w:val="fr-FR"/>
              </w:rPr>
              <w:t xml:space="preserve">29) </w:t>
            </w:r>
            <w:r w:rsidRPr="00F60A3D">
              <w:rPr>
                <w:lang w:val="fr-FR"/>
              </w:rPr>
              <w:t xml:space="preserve">sur le travail forcé </w:t>
            </w:r>
            <w:r w:rsidR="00D43456" w:rsidRPr="00F60A3D">
              <w:rPr>
                <w:lang w:val="fr-FR"/>
              </w:rPr>
              <w:t>ou obligatoire</w:t>
            </w:r>
            <w:r w:rsidRPr="00F60A3D">
              <w:rPr>
                <w:lang w:val="fr-FR"/>
              </w:rPr>
              <w:t>, 1930</w:t>
            </w:r>
          </w:p>
        </w:tc>
        <w:tc>
          <w:tcPr>
            <w:tcW w:w="3367" w:type="dxa"/>
          </w:tcPr>
          <w:p w:rsidR="002722FF" w:rsidRPr="00F60A3D" w:rsidRDefault="00D665EF" w:rsidP="005465AF">
            <w:pPr>
              <w:spacing w:before="40" w:after="120"/>
              <w:rPr>
                <w:lang w:val="fr-FR"/>
              </w:rPr>
            </w:pPr>
            <w:r w:rsidRPr="00F60A3D">
              <w:rPr>
                <w:lang w:val="fr-FR"/>
              </w:rPr>
              <w:t>Ratifiée le 18 juin</w:t>
            </w:r>
            <w:r w:rsidR="002722FF" w:rsidRPr="00F60A3D">
              <w:rPr>
                <w:lang w:val="fr-FR"/>
              </w:rPr>
              <w:t xml:space="preserve"> 1934</w:t>
            </w:r>
          </w:p>
        </w:tc>
      </w:tr>
      <w:tr w:rsidR="002722FF" w:rsidRPr="00F60A3D" w:rsidTr="00DA6421">
        <w:tc>
          <w:tcPr>
            <w:tcW w:w="4004" w:type="dxa"/>
          </w:tcPr>
          <w:p w:rsidR="002722FF" w:rsidRPr="00F60A3D" w:rsidRDefault="002722FF" w:rsidP="005465AF">
            <w:pPr>
              <w:spacing w:before="40" w:after="120"/>
              <w:ind w:right="170"/>
              <w:rPr>
                <w:lang w:val="fr-FR"/>
              </w:rPr>
            </w:pPr>
            <w:r w:rsidRPr="00F60A3D">
              <w:rPr>
                <w:lang w:val="fr-FR"/>
              </w:rPr>
              <w:t>Convention</w:t>
            </w:r>
            <w:r w:rsidR="00DF52FC" w:rsidRPr="00F60A3D">
              <w:rPr>
                <w:lang w:val="fr-FR"/>
              </w:rPr>
              <w:t xml:space="preserve"> </w:t>
            </w:r>
            <w:r w:rsidR="00D43456" w:rsidRPr="00F60A3D">
              <w:rPr>
                <w:lang w:val="fr-FR"/>
              </w:rPr>
              <w:t>(</w:t>
            </w:r>
            <w:r w:rsidR="00B17AE1" w:rsidRPr="00F60A3D">
              <w:rPr>
                <w:lang w:val="fr-FR"/>
              </w:rPr>
              <w:t>n</w:t>
            </w:r>
            <w:r w:rsidR="00B17AE1" w:rsidRPr="00F60A3D">
              <w:rPr>
                <w:vertAlign w:val="superscript"/>
                <w:lang w:val="fr-FR"/>
              </w:rPr>
              <w:t>o</w:t>
            </w:r>
            <w:r w:rsidR="00B17AE1" w:rsidRPr="00F60A3D">
              <w:rPr>
                <w:lang w:val="fr-FR"/>
              </w:rPr>
              <w:t> </w:t>
            </w:r>
            <w:r w:rsidR="00D43456" w:rsidRPr="00F60A3D">
              <w:rPr>
                <w:lang w:val="fr-FR"/>
              </w:rPr>
              <w:t xml:space="preserve">81) </w:t>
            </w:r>
            <w:r w:rsidR="00DF52FC" w:rsidRPr="00F60A3D">
              <w:rPr>
                <w:lang w:val="fr-FR"/>
              </w:rPr>
              <w:t>sur l</w:t>
            </w:r>
            <w:r w:rsidR="00B17AE1" w:rsidRPr="00F60A3D">
              <w:rPr>
                <w:lang w:val="fr-FR"/>
              </w:rPr>
              <w:t>’</w:t>
            </w:r>
            <w:r w:rsidR="00D43456" w:rsidRPr="00F60A3D">
              <w:rPr>
                <w:lang w:val="fr-FR"/>
              </w:rPr>
              <w:t>inspection du travail</w:t>
            </w:r>
            <w:r w:rsidR="00DF52FC" w:rsidRPr="00F60A3D">
              <w:rPr>
                <w:lang w:val="fr-FR"/>
              </w:rPr>
              <w:t xml:space="preserve">, 1947 </w:t>
            </w:r>
          </w:p>
        </w:tc>
        <w:tc>
          <w:tcPr>
            <w:tcW w:w="3367" w:type="dxa"/>
          </w:tcPr>
          <w:p w:rsidR="002722FF" w:rsidRPr="00F60A3D" w:rsidRDefault="00DF52FC" w:rsidP="005465AF">
            <w:pPr>
              <w:spacing w:before="40" w:after="120"/>
              <w:rPr>
                <w:lang w:val="fr-FR"/>
              </w:rPr>
            </w:pPr>
            <w:r w:rsidRPr="00F60A3D">
              <w:rPr>
                <w:lang w:val="fr-FR"/>
              </w:rPr>
              <w:t>Ratifiée le 22 octobre</w:t>
            </w:r>
            <w:r w:rsidR="002722FF" w:rsidRPr="00F60A3D">
              <w:rPr>
                <w:lang w:val="fr-FR"/>
              </w:rPr>
              <w:t xml:space="preserve"> 1952</w:t>
            </w:r>
          </w:p>
        </w:tc>
      </w:tr>
      <w:tr w:rsidR="002722FF" w:rsidRPr="00F60A3D" w:rsidTr="00DA6421">
        <w:tc>
          <w:tcPr>
            <w:tcW w:w="4004" w:type="dxa"/>
          </w:tcPr>
          <w:p w:rsidR="002722FF" w:rsidRPr="00F60A3D" w:rsidRDefault="00DF52FC" w:rsidP="005465AF">
            <w:pPr>
              <w:spacing w:before="40" w:after="120"/>
              <w:ind w:right="170"/>
              <w:rPr>
                <w:lang w:val="fr-FR"/>
              </w:rPr>
            </w:pPr>
            <w:r w:rsidRPr="00F60A3D">
              <w:rPr>
                <w:lang w:val="fr-FR"/>
              </w:rPr>
              <w:t xml:space="preserve">Convention </w:t>
            </w:r>
            <w:r w:rsidR="00D43456" w:rsidRPr="00F60A3D">
              <w:rPr>
                <w:lang w:val="fr-FR"/>
              </w:rPr>
              <w:t>(</w:t>
            </w:r>
            <w:r w:rsidR="00B17AE1" w:rsidRPr="00F60A3D">
              <w:rPr>
                <w:lang w:val="fr-FR"/>
              </w:rPr>
              <w:t>n</w:t>
            </w:r>
            <w:r w:rsidR="00B17AE1" w:rsidRPr="00F60A3D">
              <w:rPr>
                <w:vertAlign w:val="superscript"/>
                <w:lang w:val="fr-FR"/>
              </w:rPr>
              <w:t>o</w:t>
            </w:r>
            <w:r w:rsidR="00B17AE1" w:rsidRPr="00F60A3D">
              <w:rPr>
                <w:lang w:val="fr-FR"/>
              </w:rPr>
              <w:t> </w:t>
            </w:r>
            <w:r w:rsidR="00D43456" w:rsidRPr="00F60A3D">
              <w:rPr>
                <w:lang w:val="fr-FR"/>
              </w:rPr>
              <w:t xml:space="preserve">87) </w:t>
            </w:r>
            <w:r w:rsidRPr="00F60A3D">
              <w:rPr>
                <w:lang w:val="fr-FR"/>
              </w:rPr>
              <w:t xml:space="preserve">sur la liberté syndicale et la protection du droit syndical, 1948 </w:t>
            </w:r>
          </w:p>
        </w:tc>
        <w:tc>
          <w:tcPr>
            <w:tcW w:w="3367" w:type="dxa"/>
          </w:tcPr>
          <w:p w:rsidR="002722FF" w:rsidRPr="00F60A3D" w:rsidRDefault="007D43C7" w:rsidP="005465AF">
            <w:pPr>
              <w:spacing w:before="40" w:after="120"/>
              <w:rPr>
                <w:lang w:val="fr-FR"/>
              </w:rPr>
            </w:pPr>
            <w:r w:rsidRPr="00F60A3D">
              <w:rPr>
                <w:lang w:val="fr-FR"/>
              </w:rPr>
              <w:t>Ratifiée le 13 mai</w:t>
            </w:r>
            <w:r w:rsidR="002722FF" w:rsidRPr="00F60A3D">
              <w:rPr>
                <w:lang w:val="fr-FR"/>
              </w:rPr>
              <w:t xml:space="preserve"> 1958</w:t>
            </w:r>
          </w:p>
        </w:tc>
      </w:tr>
      <w:tr w:rsidR="002722FF" w:rsidRPr="00F60A3D" w:rsidTr="00DA6421">
        <w:tc>
          <w:tcPr>
            <w:tcW w:w="4004" w:type="dxa"/>
          </w:tcPr>
          <w:p w:rsidR="002722FF" w:rsidRPr="00F60A3D" w:rsidRDefault="00170441" w:rsidP="005465AF">
            <w:pPr>
              <w:spacing w:before="40" w:after="120"/>
              <w:ind w:right="170"/>
              <w:rPr>
                <w:lang w:val="fr-FR"/>
              </w:rPr>
            </w:pPr>
            <w:r w:rsidRPr="00F60A3D">
              <w:rPr>
                <w:lang w:val="fr-FR"/>
              </w:rPr>
              <w:t xml:space="preserve">Convention </w:t>
            </w:r>
            <w:r w:rsidR="00D43456" w:rsidRPr="00F60A3D">
              <w:rPr>
                <w:lang w:val="fr-FR"/>
              </w:rPr>
              <w:t>(</w:t>
            </w:r>
            <w:r w:rsidR="00B17AE1" w:rsidRPr="00F60A3D">
              <w:rPr>
                <w:lang w:val="fr-FR"/>
              </w:rPr>
              <w:t>n</w:t>
            </w:r>
            <w:r w:rsidR="00B17AE1" w:rsidRPr="00F60A3D">
              <w:rPr>
                <w:vertAlign w:val="superscript"/>
                <w:lang w:val="fr-FR"/>
              </w:rPr>
              <w:t>o</w:t>
            </w:r>
            <w:r w:rsidR="00B17AE1" w:rsidRPr="00F60A3D">
              <w:rPr>
                <w:lang w:val="fr-FR"/>
              </w:rPr>
              <w:t> </w:t>
            </w:r>
            <w:r w:rsidR="00D43456" w:rsidRPr="00F60A3D">
              <w:rPr>
                <w:lang w:val="fr-FR"/>
              </w:rPr>
              <w:t xml:space="preserve">97) </w:t>
            </w:r>
            <w:r w:rsidRPr="00F60A3D">
              <w:rPr>
                <w:lang w:val="fr-FR"/>
              </w:rPr>
              <w:t>sur l</w:t>
            </w:r>
            <w:r w:rsidR="00D43456" w:rsidRPr="00F60A3D">
              <w:rPr>
                <w:lang w:val="fr-FR"/>
              </w:rPr>
              <w:t>es travailleurs migrants,</w:t>
            </w:r>
            <w:r w:rsidRPr="00F60A3D">
              <w:rPr>
                <w:lang w:val="fr-FR"/>
              </w:rPr>
              <w:t xml:space="preserve"> 1949 </w:t>
            </w:r>
          </w:p>
        </w:tc>
        <w:tc>
          <w:tcPr>
            <w:tcW w:w="3367" w:type="dxa"/>
          </w:tcPr>
          <w:p w:rsidR="002722FF" w:rsidRPr="00F60A3D" w:rsidRDefault="00170441" w:rsidP="005465AF">
            <w:pPr>
              <w:spacing w:before="40" w:after="120"/>
              <w:rPr>
                <w:lang w:val="fr-FR"/>
              </w:rPr>
            </w:pPr>
            <w:r w:rsidRPr="00F60A3D">
              <w:rPr>
                <w:lang w:val="fr-FR"/>
              </w:rPr>
              <w:t>Ratifiée le 22 octobre</w:t>
            </w:r>
            <w:r w:rsidR="002722FF" w:rsidRPr="00F60A3D">
              <w:rPr>
                <w:lang w:val="fr-FR"/>
              </w:rPr>
              <w:t xml:space="preserve"> 1952</w:t>
            </w:r>
          </w:p>
        </w:tc>
      </w:tr>
      <w:tr w:rsidR="002722FF" w:rsidRPr="00F60A3D" w:rsidTr="00DA6421">
        <w:tc>
          <w:tcPr>
            <w:tcW w:w="4004" w:type="dxa"/>
          </w:tcPr>
          <w:p w:rsidR="002722FF" w:rsidRPr="00F60A3D" w:rsidRDefault="002722FF" w:rsidP="005465AF">
            <w:pPr>
              <w:spacing w:before="40" w:after="120"/>
              <w:ind w:right="170"/>
              <w:rPr>
                <w:lang w:val="fr-FR"/>
              </w:rPr>
            </w:pPr>
            <w:r w:rsidRPr="00F60A3D">
              <w:rPr>
                <w:lang w:val="fr-FR"/>
              </w:rPr>
              <w:t>Convention</w:t>
            </w:r>
            <w:r w:rsidR="00170441" w:rsidRPr="00F60A3D">
              <w:rPr>
                <w:lang w:val="fr-FR"/>
              </w:rPr>
              <w:t xml:space="preserve"> </w:t>
            </w:r>
            <w:r w:rsidR="00D43456" w:rsidRPr="00F60A3D">
              <w:rPr>
                <w:lang w:val="fr-FR"/>
              </w:rPr>
              <w:t>(</w:t>
            </w:r>
            <w:r w:rsidR="00B17AE1" w:rsidRPr="00F60A3D">
              <w:rPr>
                <w:lang w:val="fr-FR"/>
              </w:rPr>
              <w:t>n</w:t>
            </w:r>
            <w:r w:rsidR="00B17AE1" w:rsidRPr="00F60A3D">
              <w:rPr>
                <w:vertAlign w:val="superscript"/>
                <w:lang w:val="fr-FR"/>
              </w:rPr>
              <w:t>o</w:t>
            </w:r>
            <w:r w:rsidR="00B17AE1" w:rsidRPr="00F60A3D">
              <w:rPr>
                <w:lang w:val="fr-FR"/>
              </w:rPr>
              <w:t> </w:t>
            </w:r>
            <w:r w:rsidR="00D43456" w:rsidRPr="00F60A3D">
              <w:rPr>
                <w:lang w:val="fr-FR"/>
              </w:rPr>
              <w:t xml:space="preserve">98) </w:t>
            </w:r>
            <w:r w:rsidR="00170441" w:rsidRPr="00F60A3D">
              <w:rPr>
                <w:lang w:val="fr-FR"/>
              </w:rPr>
              <w:t>sur le droit d</w:t>
            </w:r>
            <w:r w:rsidR="00B17AE1" w:rsidRPr="00F60A3D">
              <w:rPr>
                <w:lang w:val="fr-FR"/>
              </w:rPr>
              <w:t>’</w:t>
            </w:r>
            <w:r w:rsidR="00170441" w:rsidRPr="00F60A3D">
              <w:rPr>
                <w:lang w:val="fr-FR"/>
              </w:rPr>
              <w:t>organisation et d</w:t>
            </w:r>
            <w:r w:rsidR="00D43456" w:rsidRPr="00F60A3D">
              <w:rPr>
                <w:lang w:val="fr-FR"/>
              </w:rPr>
              <w:t>e négociation collective</w:t>
            </w:r>
            <w:r w:rsidR="00170441" w:rsidRPr="00F60A3D">
              <w:rPr>
                <w:lang w:val="fr-FR"/>
              </w:rPr>
              <w:t>, 1949</w:t>
            </w:r>
          </w:p>
        </w:tc>
        <w:tc>
          <w:tcPr>
            <w:tcW w:w="3367" w:type="dxa"/>
          </w:tcPr>
          <w:p w:rsidR="002722FF" w:rsidRPr="00F60A3D" w:rsidRDefault="00170441" w:rsidP="005465AF">
            <w:pPr>
              <w:spacing w:before="40" w:after="120"/>
              <w:rPr>
                <w:lang w:val="fr-FR"/>
              </w:rPr>
            </w:pPr>
            <w:r w:rsidRPr="00F60A3D">
              <w:rPr>
                <w:lang w:val="fr-FR"/>
              </w:rPr>
              <w:t>Ratifiée le 13 mai</w:t>
            </w:r>
            <w:r w:rsidR="002722FF" w:rsidRPr="00F60A3D">
              <w:rPr>
                <w:lang w:val="fr-FR"/>
              </w:rPr>
              <w:t xml:space="preserve"> 1958</w:t>
            </w:r>
          </w:p>
        </w:tc>
      </w:tr>
      <w:tr w:rsidR="002722FF" w:rsidRPr="00F60A3D" w:rsidTr="00DA6421">
        <w:tc>
          <w:tcPr>
            <w:tcW w:w="4004" w:type="dxa"/>
          </w:tcPr>
          <w:p w:rsidR="002722FF" w:rsidRPr="00F60A3D" w:rsidRDefault="002722FF" w:rsidP="005465AF">
            <w:pPr>
              <w:spacing w:before="40" w:after="120"/>
              <w:ind w:right="170"/>
              <w:rPr>
                <w:lang w:val="fr-FR"/>
              </w:rPr>
            </w:pPr>
            <w:r w:rsidRPr="00F60A3D">
              <w:rPr>
                <w:lang w:val="fr-FR"/>
              </w:rPr>
              <w:t xml:space="preserve">Convention </w:t>
            </w:r>
            <w:r w:rsidR="00D43456" w:rsidRPr="00F60A3D">
              <w:rPr>
                <w:lang w:val="fr-FR"/>
              </w:rPr>
              <w:t>(</w:t>
            </w:r>
            <w:r w:rsidR="00B17AE1" w:rsidRPr="00F60A3D">
              <w:rPr>
                <w:lang w:val="fr-FR"/>
              </w:rPr>
              <w:t>n</w:t>
            </w:r>
            <w:r w:rsidR="00B17AE1" w:rsidRPr="00F60A3D">
              <w:rPr>
                <w:vertAlign w:val="superscript"/>
                <w:lang w:val="fr-FR"/>
              </w:rPr>
              <w:t>o</w:t>
            </w:r>
            <w:r w:rsidR="00B17AE1" w:rsidRPr="00F60A3D">
              <w:rPr>
                <w:lang w:val="fr-FR"/>
              </w:rPr>
              <w:t> </w:t>
            </w:r>
            <w:r w:rsidR="00D43456" w:rsidRPr="00F60A3D">
              <w:rPr>
                <w:lang w:val="fr-FR"/>
              </w:rPr>
              <w:t xml:space="preserve">100) </w:t>
            </w:r>
            <w:r w:rsidR="00670145" w:rsidRPr="00F60A3D">
              <w:rPr>
                <w:lang w:val="fr-FR"/>
              </w:rPr>
              <w:t>sur l</w:t>
            </w:r>
            <w:r w:rsidR="00B17AE1" w:rsidRPr="00F60A3D">
              <w:rPr>
                <w:lang w:val="fr-FR"/>
              </w:rPr>
              <w:t>’</w:t>
            </w:r>
            <w:r w:rsidR="00670145" w:rsidRPr="00F60A3D">
              <w:rPr>
                <w:lang w:val="fr-FR"/>
              </w:rPr>
              <w:t>égalité de rémuné</w:t>
            </w:r>
            <w:r w:rsidR="00170441" w:rsidRPr="00F60A3D">
              <w:rPr>
                <w:lang w:val="fr-FR"/>
              </w:rPr>
              <w:t>ration</w:t>
            </w:r>
            <w:r w:rsidR="00D43456" w:rsidRPr="00F60A3D">
              <w:rPr>
                <w:lang w:val="fr-FR"/>
              </w:rPr>
              <w:t>,</w:t>
            </w:r>
            <w:r w:rsidR="00170441" w:rsidRPr="00F60A3D">
              <w:rPr>
                <w:lang w:val="fr-FR"/>
              </w:rPr>
              <w:t xml:space="preserve"> 1951 </w:t>
            </w:r>
          </w:p>
        </w:tc>
        <w:tc>
          <w:tcPr>
            <w:tcW w:w="3367" w:type="dxa"/>
          </w:tcPr>
          <w:p w:rsidR="002722FF" w:rsidRPr="00F60A3D" w:rsidRDefault="00170441" w:rsidP="005465AF">
            <w:pPr>
              <w:spacing w:before="40" w:after="120"/>
              <w:rPr>
                <w:lang w:val="fr-FR"/>
              </w:rPr>
            </w:pPr>
            <w:r w:rsidRPr="00F60A3D">
              <w:rPr>
                <w:lang w:val="fr-FR"/>
              </w:rPr>
              <w:t>Ratifiée le 8 juin</w:t>
            </w:r>
            <w:r w:rsidR="00FE4548" w:rsidRPr="00F60A3D">
              <w:rPr>
                <w:lang w:val="fr-FR"/>
              </w:rPr>
              <w:t xml:space="preserve"> </w:t>
            </w:r>
            <w:r w:rsidR="002722FF" w:rsidRPr="00F60A3D">
              <w:rPr>
                <w:lang w:val="fr-FR"/>
              </w:rPr>
              <w:t>1956</w:t>
            </w:r>
          </w:p>
        </w:tc>
      </w:tr>
      <w:tr w:rsidR="002722FF" w:rsidRPr="00F60A3D" w:rsidTr="00DA6421">
        <w:tc>
          <w:tcPr>
            <w:tcW w:w="4004" w:type="dxa"/>
          </w:tcPr>
          <w:p w:rsidR="002722FF" w:rsidRPr="00F60A3D" w:rsidRDefault="002722FF" w:rsidP="005465AF">
            <w:pPr>
              <w:spacing w:before="40" w:after="120"/>
              <w:ind w:right="170"/>
              <w:rPr>
                <w:lang w:val="fr-FR"/>
              </w:rPr>
            </w:pPr>
            <w:r w:rsidRPr="00F60A3D">
              <w:rPr>
                <w:lang w:val="fr-FR"/>
              </w:rPr>
              <w:t>Convention</w:t>
            </w:r>
            <w:r w:rsidR="00170441" w:rsidRPr="00F60A3D">
              <w:rPr>
                <w:lang w:val="fr-FR"/>
              </w:rPr>
              <w:t xml:space="preserve"> </w:t>
            </w:r>
            <w:r w:rsidR="00D43456" w:rsidRPr="00F60A3D">
              <w:rPr>
                <w:lang w:val="fr-FR"/>
              </w:rPr>
              <w:t>(</w:t>
            </w:r>
            <w:r w:rsidR="00B17AE1" w:rsidRPr="00F60A3D">
              <w:rPr>
                <w:lang w:val="fr-FR"/>
              </w:rPr>
              <w:t>n</w:t>
            </w:r>
            <w:r w:rsidR="00B17AE1" w:rsidRPr="00F60A3D">
              <w:rPr>
                <w:vertAlign w:val="superscript"/>
                <w:lang w:val="fr-FR"/>
              </w:rPr>
              <w:t>o</w:t>
            </w:r>
            <w:r w:rsidR="00B17AE1" w:rsidRPr="00F60A3D">
              <w:rPr>
                <w:lang w:val="fr-FR"/>
              </w:rPr>
              <w:t> </w:t>
            </w:r>
            <w:r w:rsidR="00D43456" w:rsidRPr="00F60A3D">
              <w:rPr>
                <w:lang w:val="fr-FR"/>
              </w:rPr>
              <w:t xml:space="preserve">102) </w:t>
            </w:r>
            <w:r w:rsidR="00170441" w:rsidRPr="00F60A3D">
              <w:rPr>
                <w:lang w:val="fr-FR"/>
              </w:rPr>
              <w:t xml:space="preserve">concernant la sécurité </w:t>
            </w:r>
            <w:r w:rsidR="00D43456" w:rsidRPr="00F60A3D">
              <w:rPr>
                <w:lang w:val="fr-FR"/>
              </w:rPr>
              <w:t>sociale (norme minimum)</w:t>
            </w:r>
            <w:r w:rsidR="00170441" w:rsidRPr="00F60A3D">
              <w:rPr>
                <w:lang w:val="fr-FR"/>
              </w:rPr>
              <w:t xml:space="preserve">, 1952 </w:t>
            </w:r>
          </w:p>
        </w:tc>
        <w:tc>
          <w:tcPr>
            <w:tcW w:w="3367" w:type="dxa"/>
          </w:tcPr>
          <w:p w:rsidR="002722FF" w:rsidRPr="00F60A3D" w:rsidRDefault="002722FF" w:rsidP="005465AF">
            <w:pPr>
              <w:spacing w:before="40" w:after="120"/>
              <w:rPr>
                <w:lang w:val="fr-FR"/>
              </w:rPr>
            </w:pPr>
            <w:r w:rsidRPr="00F60A3D">
              <w:rPr>
                <w:lang w:val="fr-FR"/>
              </w:rPr>
              <w:t>Ibidem</w:t>
            </w:r>
          </w:p>
        </w:tc>
      </w:tr>
      <w:tr w:rsidR="002722FF" w:rsidRPr="00F60A3D" w:rsidTr="00DA6421">
        <w:tc>
          <w:tcPr>
            <w:tcW w:w="4004" w:type="dxa"/>
          </w:tcPr>
          <w:p w:rsidR="002722FF" w:rsidRPr="00F60A3D" w:rsidRDefault="002722FF" w:rsidP="005465AF">
            <w:pPr>
              <w:spacing w:before="40" w:after="120"/>
              <w:ind w:right="170"/>
              <w:rPr>
                <w:lang w:val="fr-FR"/>
              </w:rPr>
            </w:pPr>
            <w:r w:rsidRPr="00F60A3D">
              <w:rPr>
                <w:lang w:val="fr-FR"/>
              </w:rPr>
              <w:t>Convention</w:t>
            </w:r>
            <w:r w:rsidR="00170441" w:rsidRPr="00F60A3D">
              <w:rPr>
                <w:lang w:val="fr-FR"/>
              </w:rPr>
              <w:t xml:space="preserve"> </w:t>
            </w:r>
            <w:r w:rsidR="00D43456" w:rsidRPr="00F60A3D">
              <w:rPr>
                <w:lang w:val="fr-FR"/>
              </w:rPr>
              <w:t>(</w:t>
            </w:r>
            <w:r w:rsidR="00B17AE1" w:rsidRPr="00F60A3D">
              <w:rPr>
                <w:lang w:val="fr-FR"/>
              </w:rPr>
              <w:t>n</w:t>
            </w:r>
            <w:r w:rsidR="00B17AE1" w:rsidRPr="00F60A3D">
              <w:rPr>
                <w:vertAlign w:val="superscript"/>
                <w:lang w:val="fr-FR"/>
              </w:rPr>
              <w:t>o</w:t>
            </w:r>
            <w:r w:rsidR="00B17AE1" w:rsidRPr="00F60A3D">
              <w:rPr>
                <w:lang w:val="fr-FR"/>
              </w:rPr>
              <w:t> </w:t>
            </w:r>
            <w:r w:rsidR="00D43456" w:rsidRPr="00F60A3D">
              <w:rPr>
                <w:lang w:val="fr-FR"/>
              </w:rPr>
              <w:t xml:space="preserve">105) </w:t>
            </w:r>
            <w:r w:rsidR="00670145" w:rsidRPr="00F60A3D">
              <w:rPr>
                <w:lang w:val="fr-FR"/>
              </w:rPr>
              <w:t>sur l</w:t>
            </w:r>
            <w:r w:rsidR="00B17AE1" w:rsidRPr="00F60A3D">
              <w:rPr>
                <w:lang w:val="fr-FR"/>
              </w:rPr>
              <w:t>’</w:t>
            </w:r>
            <w:r w:rsidR="00670145" w:rsidRPr="00F60A3D">
              <w:rPr>
                <w:lang w:val="fr-FR"/>
              </w:rPr>
              <w:t>abolition du travail forcé</w:t>
            </w:r>
            <w:r w:rsidR="00170441" w:rsidRPr="00F60A3D">
              <w:rPr>
                <w:lang w:val="fr-FR"/>
              </w:rPr>
              <w:t xml:space="preserve">, 1957 </w:t>
            </w:r>
          </w:p>
        </w:tc>
        <w:tc>
          <w:tcPr>
            <w:tcW w:w="3367" w:type="dxa"/>
          </w:tcPr>
          <w:p w:rsidR="002722FF" w:rsidRPr="00F60A3D" w:rsidRDefault="00170441" w:rsidP="005465AF">
            <w:pPr>
              <w:spacing w:before="40" w:after="120"/>
              <w:rPr>
                <w:lang w:val="fr-FR"/>
              </w:rPr>
            </w:pPr>
            <w:r w:rsidRPr="00F60A3D">
              <w:rPr>
                <w:lang w:val="fr-FR"/>
              </w:rPr>
              <w:t>Ratifiée le 15 mai</w:t>
            </w:r>
            <w:r w:rsidR="002722FF" w:rsidRPr="00F60A3D">
              <w:rPr>
                <w:lang w:val="fr-FR"/>
              </w:rPr>
              <w:t xml:space="preserve"> 1968</w:t>
            </w:r>
          </w:p>
        </w:tc>
      </w:tr>
      <w:tr w:rsidR="002722FF" w:rsidRPr="00F60A3D" w:rsidTr="00DA6421">
        <w:tc>
          <w:tcPr>
            <w:tcW w:w="4004" w:type="dxa"/>
          </w:tcPr>
          <w:p w:rsidR="002722FF" w:rsidRPr="00F60A3D" w:rsidRDefault="002722FF" w:rsidP="005465AF">
            <w:pPr>
              <w:spacing w:before="40" w:after="120"/>
              <w:ind w:right="170"/>
              <w:rPr>
                <w:lang w:val="fr-FR"/>
              </w:rPr>
            </w:pPr>
            <w:r w:rsidRPr="00F60A3D">
              <w:rPr>
                <w:lang w:val="fr-FR"/>
              </w:rPr>
              <w:t>Convention</w:t>
            </w:r>
            <w:r w:rsidR="00170441" w:rsidRPr="00F60A3D">
              <w:rPr>
                <w:lang w:val="fr-FR"/>
              </w:rPr>
              <w:t xml:space="preserve"> </w:t>
            </w:r>
            <w:r w:rsidR="00D43456" w:rsidRPr="00F60A3D">
              <w:rPr>
                <w:lang w:val="fr-FR"/>
              </w:rPr>
              <w:t>(</w:t>
            </w:r>
            <w:r w:rsidR="00B17AE1" w:rsidRPr="00F60A3D">
              <w:rPr>
                <w:lang w:val="fr-FR"/>
              </w:rPr>
              <w:t>n</w:t>
            </w:r>
            <w:r w:rsidR="00B17AE1" w:rsidRPr="00F60A3D">
              <w:rPr>
                <w:vertAlign w:val="superscript"/>
                <w:lang w:val="fr-FR"/>
              </w:rPr>
              <w:t>o</w:t>
            </w:r>
            <w:r w:rsidR="00B17AE1" w:rsidRPr="00F60A3D">
              <w:rPr>
                <w:lang w:val="fr-FR"/>
              </w:rPr>
              <w:t> </w:t>
            </w:r>
            <w:r w:rsidR="00D43456" w:rsidRPr="00F60A3D">
              <w:rPr>
                <w:lang w:val="fr-FR"/>
              </w:rPr>
              <w:t xml:space="preserve">106) </w:t>
            </w:r>
            <w:r w:rsidR="00170441" w:rsidRPr="00F60A3D">
              <w:rPr>
                <w:lang w:val="fr-FR"/>
              </w:rPr>
              <w:t>sur le repos heb</w:t>
            </w:r>
            <w:r w:rsidR="00D43456" w:rsidRPr="00F60A3D">
              <w:rPr>
                <w:lang w:val="fr-FR"/>
              </w:rPr>
              <w:t>domadaire (commerce et bureaux)</w:t>
            </w:r>
            <w:r w:rsidR="00170441" w:rsidRPr="00F60A3D">
              <w:rPr>
                <w:lang w:val="fr-FR"/>
              </w:rPr>
              <w:t xml:space="preserve">, 1957 </w:t>
            </w:r>
          </w:p>
        </w:tc>
        <w:tc>
          <w:tcPr>
            <w:tcW w:w="3367" w:type="dxa"/>
          </w:tcPr>
          <w:p w:rsidR="002722FF" w:rsidRPr="00F60A3D" w:rsidRDefault="00170441" w:rsidP="005465AF">
            <w:pPr>
              <w:spacing w:before="40" w:after="120"/>
              <w:rPr>
                <w:lang w:val="fr-FR"/>
              </w:rPr>
            </w:pPr>
            <w:r w:rsidRPr="00F60A3D">
              <w:rPr>
                <w:lang w:val="fr-FR"/>
              </w:rPr>
              <w:t>Ratifiée le 12 août</w:t>
            </w:r>
            <w:r w:rsidR="002722FF" w:rsidRPr="00F60A3D">
              <w:rPr>
                <w:lang w:val="fr-FR"/>
              </w:rPr>
              <w:t xml:space="preserve"> 1963</w:t>
            </w:r>
          </w:p>
        </w:tc>
      </w:tr>
      <w:tr w:rsidR="002722FF" w:rsidRPr="00F60A3D" w:rsidTr="00DA6421">
        <w:tc>
          <w:tcPr>
            <w:tcW w:w="4004" w:type="dxa"/>
          </w:tcPr>
          <w:p w:rsidR="002722FF" w:rsidRPr="00F60A3D" w:rsidRDefault="002722FF" w:rsidP="005465AF">
            <w:pPr>
              <w:spacing w:before="40" w:after="120"/>
              <w:ind w:right="170"/>
              <w:rPr>
                <w:lang w:val="fr-FR"/>
              </w:rPr>
            </w:pPr>
            <w:r w:rsidRPr="00F60A3D">
              <w:rPr>
                <w:lang w:val="fr-FR"/>
              </w:rPr>
              <w:t>Convention</w:t>
            </w:r>
            <w:r w:rsidR="00170441" w:rsidRPr="00F60A3D">
              <w:rPr>
                <w:lang w:val="fr-FR"/>
              </w:rPr>
              <w:t xml:space="preserve"> </w:t>
            </w:r>
            <w:r w:rsidR="00D43456" w:rsidRPr="00F60A3D">
              <w:rPr>
                <w:lang w:val="fr-FR"/>
              </w:rPr>
              <w:t>(</w:t>
            </w:r>
            <w:r w:rsidR="00B17AE1" w:rsidRPr="00F60A3D">
              <w:rPr>
                <w:lang w:val="fr-FR"/>
              </w:rPr>
              <w:t>n</w:t>
            </w:r>
            <w:r w:rsidR="00B17AE1" w:rsidRPr="00F60A3D">
              <w:rPr>
                <w:vertAlign w:val="superscript"/>
                <w:lang w:val="fr-FR"/>
              </w:rPr>
              <w:t>o</w:t>
            </w:r>
            <w:r w:rsidR="00B17AE1" w:rsidRPr="00F60A3D">
              <w:rPr>
                <w:lang w:val="fr-FR"/>
              </w:rPr>
              <w:t> </w:t>
            </w:r>
            <w:r w:rsidR="00D43456" w:rsidRPr="00F60A3D">
              <w:rPr>
                <w:lang w:val="fr-FR"/>
              </w:rPr>
              <w:t xml:space="preserve">111) </w:t>
            </w:r>
            <w:r w:rsidR="00170441" w:rsidRPr="00F60A3D">
              <w:rPr>
                <w:lang w:val="fr-FR"/>
              </w:rPr>
              <w:t>concernant la discrimination (</w:t>
            </w:r>
            <w:r w:rsidR="00D43456" w:rsidRPr="00F60A3D">
              <w:rPr>
                <w:lang w:val="fr-FR"/>
              </w:rPr>
              <w:t>emploi</w:t>
            </w:r>
            <w:r w:rsidR="00170441" w:rsidRPr="00F60A3D">
              <w:rPr>
                <w:lang w:val="fr-FR"/>
              </w:rPr>
              <w:t xml:space="preserve"> </w:t>
            </w:r>
            <w:r w:rsidR="00D43456" w:rsidRPr="00F60A3D">
              <w:rPr>
                <w:lang w:val="fr-FR"/>
              </w:rPr>
              <w:t>et profession),</w:t>
            </w:r>
            <w:r w:rsidR="00170441" w:rsidRPr="00F60A3D">
              <w:rPr>
                <w:lang w:val="fr-FR"/>
              </w:rPr>
              <w:t xml:space="preserve"> 1958 </w:t>
            </w:r>
          </w:p>
        </w:tc>
        <w:tc>
          <w:tcPr>
            <w:tcW w:w="3367" w:type="dxa"/>
          </w:tcPr>
          <w:p w:rsidR="002722FF" w:rsidRPr="00F60A3D" w:rsidRDefault="002722FF" w:rsidP="005465AF">
            <w:pPr>
              <w:spacing w:before="40" w:after="120"/>
              <w:rPr>
                <w:lang w:val="fr-FR"/>
              </w:rPr>
            </w:pPr>
            <w:r w:rsidRPr="00F60A3D">
              <w:rPr>
                <w:lang w:val="fr-FR"/>
              </w:rPr>
              <w:t>Ibidem</w:t>
            </w:r>
          </w:p>
        </w:tc>
      </w:tr>
      <w:tr w:rsidR="002722FF" w:rsidRPr="00F60A3D" w:rsidTr="00DA6421">
        <w:tc>
          <w:tcPr>
            <w:tcW w:w="4004" w:type="dxa"/>
          </w:tcPr>
          <w:p w:rsidR="002722FF" w:rsidRPr="00F60A3D" w:rsidRDefault="002722FF" w:rsidP="005465AF">
            <w:pPr>
              <w:spacing w:before="40" w:after="120"/>
              <w:ind w:right="170"/>
              <w:rPr>
                <w:lang w:val="fr-FR"/>
              </w:rPr>
            </w:pPr>
            <w:r w:rsidRPr="00F60A3D">
              <w:rPr>
                <w:lang w:val="fr-FR"/>
              </w:rPr>
              <w:t>Convention</w:t>
            </w:r>
            <w:r w:rsidR="00D43456" w:rsidRPr="00F60A3D">
              <w:rPr>
                <w:lang w:val="fr-FR"/>
              </w:rPr>
              <w:t xml:space="preserve"> (</w:t>
            </w:r>
            <w:r w:rsidR="00B17AE1" w:rsidRPr="00F60A3D">
              <w:rPr>
                <w:lang w:val="fr-FR"/>
              </w:rPr>
              <w:t>n</w:t>
            </w:r>
            <w:r w:rsidR="00B17AE1" w:rsidRPr="00F60A3D">
              <w:rPr>
                <w:vertAlign w:val="superscript"/>
                <w:lang w:val="fr-FR"/>
              </w:rPr>
              <w:t>o</w:t>
            </w:r>
            <w:r w:rsidR="00B17AE1" w:rsidRPr="00F60A3D">
              <w:rPr>
                <w:lang w:val="fr-FR"/>
              </w:rPr>
              <w:t> </w:t>
            </w:r>
            <w:r w:rsidR="00D43456" w:rsidRPr="00F60A3D">
              <w:rPr>
                <w:lang w:val="fr-FR"/>
              </w:rPr>
              <w:t>118) sur l</w:t>
            </w:r>
            <w:r w:rsidR="00B17AE1" w:rsidRPr="00F60A3D">
              <w:rPr>
                <w:lang w:val="fr-FR"/>
              </w:rPr>
              <w:t>’</w:t>
            </w:r>
            <w:r w:rsidR="00D43456" w:rsidRPr="00F60A3D">
              <w:rPr>
                <w:lang w:val="fr-FR"/>
              </w:rPr>
              <w:t xml:space="preserve">égalité de traitement, 1962 </w:t>
            </w:r>
          </w:p>
        </w:tc>
        <w:tc>
          <w:tcPr>
            <w:tcW w:w="3367" w:type="dxa"/>
          </w:tcPr>
          <w:p w:rsidR="002722FF" w:rsidRPr="00F60A3D" w:rsidRDefault="00D43456" w:rsidP="005465AF">
            <w:pPr>
              <w:spacing w:before="40" w:after="120"/>
              <w:rPr>
                <w:lang w:val="fr-FR"/>
              </w:rPr>
            </w:pPr>
            <w:r w:rsidRPr="00F60A3D">
              <w:rPr>
                <w:lang w:val="fr-FR"/>
              </w:rPr>
              <w:t>Ratifiée le 5 mai</w:t>
            </w:r>
            <w:r w:rsidR="002722FF" w:rsidRPr="00F60A3D">
              <w:rPr>
                <w:lang w:val="fr-FR"/>
              </w:rPr>
              <w:t xml:space="preserve"> 1967</w:t>
            </w:r>
          </w:p>
        </w:tc>
      </w:tr>
      <w:tr w:rsidR="002722FF" w:rsidRPr="00F60A3D" w:rsidTr="00DA6421">
        <w:tc>
          <w:tcPr>
            <w:tcW w:w="4004" w:type="dxa"/>
          </w:tcPr>
          <w:p w:rsidR="002722FF" w:rsidRPr="00F60A3D" w:rsidRDefault="002722FF" w:rsidP="005465AF">
            <w:pPr>
              <w:spacing w:before="40" w:after="120"/>
              <w:ind w:right="170"/>
              <w:rPr>
                <w:lang w:val="fr-FR"/>
              </w:rPr>
            </w:pPr>
            <w:r w:rsidRPr="00F60A3D">
              <w:rPr>
                <w:lang w:val="fr-FR"/>
              </w:rPr>
              <w:t>Convention</w:t>
            </w:r>
            <w:r w:rsidR="00D43456" w:rsidRPr="00F60A3D">
              <w:rPr>
                <w:lang w:val="fr-FR"/>
              </w:rPr>
              <w:t xml:space="preserve"> (</w:t>
            </w:r>
            <w:r w:rsidR="00B17AE1" w:rsidRPr="00F60A3D">
              <w:rPr>
                <w:lang w:val="fr-FR"/>
              </w:rPr>
              <w:t>n</w:t>
            </w:r>
            <w:r w:rsidR="00B17AE1" w:rsidRPr="00F60A3D">
              <w:rPr>
                <w:vertAlign w:val="superscript"/>
                <w:lang w:val="fr-FR"/>
              </w:rPr>
              <w:t>o</w:t>
            </w:r>
            <w:r w:rsidR="00B17AE1" w:rsidRPr="00F60A3D">
              <w:rPr>
                <w:lang w:val="fr-FR"/>
              </w:rPr>
              <w:t> </w:t>
            </w:r>
            <w:r w:rsidR="00D43456" w:rsidRPr="00F60A3D">
              <w:rPr>
                <w:lang w:val="fr-FR"/>
              </w:rPr>
              <w:t>122) sur la politique de l</w:t>
            </w:r>
            <w:r w:rsidR="00B17AE1" w:rsidRPr="00F60A3D">
              <w:rPr>
                <w:lang w:val="fr-FR"/>
              </w:rPr>
              <w:t>’</w:t>
            </w:r>
            <w:r w:rsidR="00D43456" w:rsidRPr="00F60A3D">
              <w:rPr>
                <w:lang w:val="fr-FR"/>
              </w:rPr>
              <w:t xml:space="preserve">emploi, 1964 </w:t>
            </w:r>
          </w:p>
        </w:tc>
        <w:tc>
          <w:tcPr>
            <w:tcW w:w="3367" w:type="dxa"/>
          </w:tcPr>
          <w:p w:rsidR="002722FF" w:rsidRPr="00F60A3D" w:rsidRDefault="00D43456" w:rsidP="005465AF">
            <w:pPr>
              <w:spacing w:before="40" w:after="120"/>
              <w:rPr>
                <w:lang w:val="fr-FR"/>
              </w:rPr>
            </w:pPr>
            <w:r w:rsidRPr="00F60A3D">
              <w:rPr>
                <w:lang w:val="fr-FR"/>
              </w:rPr>
              <w:t>Ratifiée le 5 mai</w:t>
            </w:r>
            <w:r w:rsidR="002722FF" w:rsidRPr="00F60A3D">
              <w:rPr>
                <w:lang w:val="fr-FR"/>
              </w:rPr>
              <w:t xml:space="preserve"> 1971</w:t>
            </w:r>
          </w:p>
        </w:tc>
      </w:tr>
      <w:tr w:rsidR="002722FF" w:rsidRPr="00F60A3D" w:rsidTr="00DA6421">
        <w:tc>
          <w:tcPr>
            <w:tcW w:w="4004" w:type="dxa"/>
          </w:tcPr>
          <w:p w:rsidR="002722FF" w:rsidRPr="00F60A3D" w:rsidRDefault="002722FF" w:rsidP="005465AF">
            <w:pPr>
              <w:spacing w:before="40" w:after="120"/>
              <w:ind w:right="170"/>
              <w:rPr>
                <w:lang w:val="fr-FR"/>
              </w:rPr>
            </w:pPr>
            <w:r w:rsidRPr="00F60A3D">
              <w:rPr>
                <w:lang w:val="fr-FR"/>
              </w:rPr>
              <w:t>Convention</w:t>
            </w:r>
            <w:r w:rsidR="00731982" w:rsidRPr="00F60A3D">
              <w:rPr>
                <w:lang w:val="fr-FR"/>
              </w:rPr>
              <w:t xml:space="preserve"> </w:t>
            </w:r>
            <w:r w:rsidR="00D43456" w:rsidRPr="00F60A3D">
              <w:rPr>
                <w:lang w:val="fr-FR"/>
              </w:rPr>
              <w:t>(</w:t>
            </w:r>
            <w:r w:rsidR="00B17AE1" w:rsidRPr="00F60A3D">
              <w:rPr>
                <w:lang w:val="fr-FR"/>
              </w:rPr>
              <w:t>n</w:t>
            </w:r>
            <w:r w:rsidR="00B17AE1" w:rsidRPr="00F60A3D">
              <w:rPr>
                <w:vertAlign w:val="superscript"/>
                <w:lang w:val="fr-FR"/>
              </w:rPr>
              <w:t>o</w:t>
            </w:r>
            <w:r w:rsidR="00B17AE1" w:rsidRPr="00F60A3D">
              <w:rPr>
                <w:lang w:val="fr-FR"/>
              </w:rPr>
              <w:t> </w:t>
            </w:r>
            <w:r w:rsidR="00D43456" w:rsidRPr="00F60A3D">
              <w:rPr>
                <w:lang w:val="fr-FR"/>
              </w:rPr>
              <w:t>129) sur l</w:t>
            </w:r>
            <w:r w:rsidR="00B17AE1" w:rsidRPr="00F60A3D">
              <w:rPr>
                <w:lang w:val="fr-FR"/>
              </w:rPr>
              <w:t>’</w:t>
            </w:r>
            <w:r w:rsidR="00D43456" w:rsidRPr="00F60A3D">
              <w:rPr>
                <w:lang w:val="fr-FR"/>
              </w:rPr>
              <w:t xml:space="preserve">inspection du travail (agriculture), 1969 </w:t>
            </w:r>
          </w:p>
        </w:tc>
        <w:tc>
          <w:tcPr>
            <w:tcW w:w="3367" w:type="dxa"/>
          </w:tcPr>
          <w:p w:rsidR="002722FF" w:rsidRPr="00F60A3D" w:rsidRDefault="00D43456" w:rsidP="005465AF">
            <w:pPr>
              <w:spacing w:before="40" w:after="120"/>
              <w:rPr>
                <w:lang w:val="fr-FR"/>
              </w:rPr>
            </w:pPr>
            <w:r w:rsidRPr="00F60A3D">
              <w:rPr>
                <w:lang w:val="fr-FR"/>
              </w:rPr>
              <w:t>Ratifiée le 23 juin</w:t>
            </w:r>
            <w:r w:rsidR="002722FF" w:rsidRPr="00F60A3D">
              <w:rPr>
                <w:lang w:val="fr-FR"/>
              </w:rPr>
              <w:t xml:space="preserve"> 1981</w:t>
            </w:r>
          </w:p>
        </w:tc>
      </w:tr>
      <w:tr w:rsidR="002722FF" w:rsidRPr="00F60A3D" w:rsidTr="00DA6421">
        <w:tc>
          <w:tcPr>
            <w:tcW w:w="4004" w:type="dxa"/>
          </w:tcPr>
          <w:p w:rsidR="002722FF" w:rsidRPr="00F60A3D" w:rsidRDefault="002722FF" w:rsidP="005465AF">
            <w:pPr>
              <w:spacing w:before="40" w:after="120"/>
              <w:ind w:right="170"/>
              <w:rPr>
                <w:lang w:val="fr-FR"/>
              </w:rPr>
            </w:pPr>
            <w:r w:rsidRPr="00F60A3D">
              <w:rPr>
                <w:lang w:val="fr-FR"/>
              </w:rPr>
              <w:lastRenderedPageBreak/>
              <w:t>Convention</w:t>
            </w:r>
            <w:r w:rsidR="00D43456" w:rsidRPr="00F60A3D">
              <w:rPr>
                <w:lang w:val="fr-FR"/>
              </w:rPr>
              <w:t xml:space="preserve"> (</w:t>
            </w:r>
            <w:r w:rsidR="00B17AE1" w:rsidRPr="00F60A3D">
              <w:rPr>
                <w:lang w:val="fr-FR"/>
              </w:rPr>
              <w:t>n</w:t>
            </w:r>
            <w:r w:rsidR="00B17AE1" w:rsidRPr="00F60A3D">
              <w:rPr>
                <w:vertAlign w:val="superscript"/>
                <w:lang w:val="fr-FR"/>
              </w:rPr>
              <w:t>o</w:t>
            </w:r>
            <w:r w:rsidR="00B17AE1" w:rsidRPr="00F60A3D">
              <w:rPr>
                <w:lang w:val="fr-FR"/>
              </w:rPr>
              <w:t> </w:t>
            </w:r>
            <w:r w:rsidR="00D43456" w:rsidRPr="00F60A3D">
              <w:rPr>
                <w:lang w:val="fr-FR"/>
              </w:rPr>
              <w:t>131) sur la fixation des salaires minima, 1970</w:t>
            </w:r>
          </w:p>
        </w:tc>
        <w:tc>
          <w:tcPr>
            <w:tcW w:w="3367" w:type="dxa"/>
          </w:tcPr>
          <w:p w:rsidR="002722FF" w:rsidRPr="00F60A3D" w:rsidRDefault="00D43456" w:rsidP="005465AF">
            <w:pPr>
              <w:spacing w:before="40" w:after="120"/>
              <w:rPr>
                <w:lang w:val="fr-FR"/>
              </w:rPr>
            </w:pPr>
            <w:r w:rsidRPr="00F60A3D">
              <w:rPr>
                <w:lang w:val="fr-FR"/>
              </w:rPr>
              <w:t>Ratifiée le 5 mai</w:t>
            </w:r>
            <w:r w:rsidR="002722FF" w:rsidRPr="00F60A3D">
              <w:rPr>
                <w:lang w:val="fr-FR"/>
              </w:rPr>
              <w:t xml:space="preserve"> 1971</w:t>
            </w:r>
          </w:p>
        </w:tc>
      </w:tr>
      <w:tr w:rsidR="002722FF" w:rsidRPr="00F60A3D" w:rsidTr="00DA6421">
        <w:tc>
          <w:tcPr>
            <w:tcW w:w="4004" w:type="dxa"/>
          </w:tcPr>
          <w:p w:rsidR="002722FF" w:rsidRPr="00F60A3D" w:rsidRDefault="002722FF" w:rsidP="005465AF">
            <w:pPr>
              <w:spacing w:before="40" w:after="120"/>
              <w:ind w:right="170"/>
              <w:rPr>
                <w:lang w:val="fr-FR"/>
              </w:rPr>
            </w:pPr>
            <w:r w:rsidRPr="00F60A3D">
              <w:rPr>
                <w:lang w:val="fr-FR"/>
              </w:rPr>
              <w:t xml:space="preserve">Convention </w:t>
            </w:r>
            <w:r w:rsidR="00D43456" w:rsidRPr="00F60A3D">
              <w:rPr>
                <w:lang w:val="fr-FR"/>
              </w:rPr>
              <w:t>(</w:t>
            </w:r>
            <w:r w:rsidR="00B17AE1" w:rsidRPr="00F60A3D">
              <w:rPr>
                <w:lang w:val="fr-FR"/>
              </w:rPr>
              <w:t>n</w:t>
            </w:r>
            <w:r w:rsidR="00B17AE1" w:rsidRPr="00F60A3D">
              <w:rPr>
                <w:vertAlign w:val="superscript"/>
                <w:lang w:val="fr-FR"/>
              </w:rPr>
              <w:t>o</w:t>
            </w:r>
            <w:r w:rsidR="00B17AE1" w:rsidRPr="00F60A3D">
              <w:rPr>
                <w:lang w:val="fr-FR"/>
              </w:rPr>
              <w:t> </w:t>
            </w:r>
            <w:r w:rsidR="00D43456" w:rsidRPr="00F60A3D">
              <w:rPr>
                <w:lang w:val="fr-FR"/>
              </w:rPr>
              <w:t>132) sur les congés payés (révisée</w:t>
            </w:r>
            <w:r w:rsidRPr="00F60A3D">
              <w:rPr>
                <w:lang w:val="fr-FR"/>
              </w:rPr>
              <w:t>),</w:t>
            </w:r>
            <w:r w:rsidR="00D43456" w:rsidRPr="00F60A3D">
              <w:rPr>
                <w:lang w:val="fr-FR"/>
              </w:rPr>
              <w:t xml:space="preserve"> 1970</w:t>
            </w:r>
          </w:p>
        </w:tc>
        <w:tc>
          <w:tcPr>
            <w:tcW w:w="3367" w:type="dxa"/>
          </w:tcPr>
          <w:p w:rsidR="002722FF" w:rsidRPr="00F60A3D" w:rsidRDefault="00FE4548" w:rsidP="005465AF">
            <w:pPr>
              <w:spacing w:before="40" w:after="120"/>
              <w:rPr>
                <w:lang w:val="fr-FR"/>
              </w:rPr>
            </w:pPr>
            <w:r w:rsidRPr="00F60A3D">
              <w:rPr>
                <w:lang w:val="fr-FR"/>
              </w:rPr>
              <w:t>Ratifiée</w:t>
            </w:r>
            <w:r w:rsidR="00D43456" w:rsidRPr="00F60A3D">
              <w:rPr>
                <w:lang w:val="fr-FR"/>
              </w:rPr>
              <w:t xml:space="preserve"> le 28 juillet</w:t>
            </w:r>
            <w:r w:rsidR="002722FF" w:rsidRPr="00F60A3D">
              <w:rPr>
                <w:lang w:val="fr-FR"/>
              </w:rPr>
              <w:t xml:space="preserve"> 1981</w:t>
            </w:r>
          </w:p>
        </w:tc>
      </w:tr>
      <w:tr w:rsidR="002722FF" w:rsidRPr="00F60A3D" w:rsidTr="00DA6421">
        <w:tc>
          <w:tcPr>
            <w:tcW w:w="4004" w:type="dxa"/>
          </w:tcPr>
          <w:p w:rsidR="002722FF" w:rsidRPr="00F60A3D" w:rsidRDefault="00D43456" w:rsidP="005465AF">
            <w:pPr>
              <w:spacing w:before="40" w:after="120"/>
              <w:ind w:right="170"/>
              <w:rPr>
                <w:lang w:val="fr-FR"/>
              </w:rPr>
            </w:pPr>
            <w:r w:rsidRPr="00F60A3D">
              <w:rPr>
                <w:lang w:val="fr-FR"/>
              </w:rPr>
              <w:t>Convention (</w:t>
            </w:r>
            <w:r w:rsidR="00B17AE1" w:rsidRPr="00F60A3D">
              <w:rPr>
                <w:lang w:val="fr-FR"/>
              </w:rPr>
              <w:t>n</w:t>
            </w:r>
            <w:r w:rsidR="00B17AE1" w:rsidRPr="00F60A3D">
              <w:rPr>
                <w:vertAlign w:val="superscript"/>
                <w:lang w:val="fr-FR"/>
              </w:rPr>
              <w:t>o</w:t>
            </w:r>
            <w:r w:rsidR="00B17AE1" w:rsidRPr="00F60A3D">
              <w:rPr>
                <w:lang w:val="fr-FR"/>
              </w:rPr>
              <w:t> </w:t>
            </w:r>
            <w:r w:rsidRPr="00F60A3D">
              <w:rPr>
                <w:lang w:val="fr-FR"/>
              </w:rPr>
              <w:t>138) sur l</w:t>
            </w:r>
            <w:r w:rsidR="00B17AE1" w:rsidRPr="00F60A3D">
              <w:rPr>
                <w:lang w:val="fr-FR"/>
              </w:rPr>
              <w:t>’</w:t>
            </w:r>
            <w:r w:rsidRPr="00F60A3D">
              <w:rPr>
                <w:lang w:val="fr-FR"/>
              </w:rPr>
              <w:t xml:space="preserve">âge minimum, 1973 </w:t>
            </w:r>
          </w:p>
        </w:tc>
        <w:tc>
          <w:tcPr>
            <w:tcW w:w="3367" w:type="dxa"/>
          </w:tcPr>
          <w:p w:rsidR="002722FF" w:rsidRPr="00F60A3D" w:rsidRDefault="002722FF" w:rsidP="005465AF">
            <w:pPr>
              <w:spacing w:before="40" w:after="120"/>
              <w:rPr>
                <w:lang w:val="fr-FR"/>
              </w:rPr>
            </w:pPr>
            <w:r w:rsidRPr="00F60A3D">
              <w:rPr>
                <w:lang w:val="fr-FR"/>
              </w:rPr>
              <w:t>Ibidem</w:t>
            </w:r>
          </w:p>
        </w:tc>
      </w:tr>
      <w:tr w:rsidR="002722FF" w:rsidRPr="00F60A3D" w:rsidTr="00DA6421">
        <w:tc>
          <w:tcPr>
            <w:tcW w:w="4004" w:type="dxa"/>
          </w:tcPr>
          <w:p w:rsidR="002722FF" w:rsidRPr="00F60A3D" w:rsidRDefault="002722FF" w:rsidP="005465AF">
            <w:pPr>
              <w:spacing w:before="40" w:after="120"/>
              <w:ind w:right="170"/>
              <w:rPr>
                <w:lang w:val="fr-FR"/>
              </w:rPr>
            </w:pPr>
            <w:r w:rsidRPr="00F60A3D">
              <w:rPr>
                <w:lang w:val="fr-FR"/>
              </w:rPr>
              <w:t>Convention</w:t>
            </w:r>
            <w:r w:rsidR="00D43456" w:rsidRPr="00F60A3D">
              <w:rPr>
                <w:lang w:val="fr-FR"/>
              </w:rPr>
              <w:t xml:space="preserve"> (</w:t>
            </w:r>
            <w:r w:rsidR="00B17AE1" w:rsidRPr="00F60A3D">
              <w:rPr>
                <w:lang w:val="fr-FR"/>
              </w:rPr>
              <w:t>n</w:t>
            </w:r>
            <w:r w:rsidR="00B17AE1" w:rsidRPr="00F60A3D">
              <w:rPr>
                <w:vertAlign w:val="superscript"/>
                <w:lang w:val="fr-FR"/>
              </w:rPr>
              <w:t>o</w:t>
            </w:r>
            <w:r w:rsidR="00B17AE1" w:rsidRPr="00F60A3D">
              <w:rPr>
                <w:lang w:val="fr-FR"/>
              </w:rPr>
              <w:t> </w:t>
            </w:r>
            <w:r w:rsidR="00D43456" w:rsidRPr="00F60A3D">
              <w:rPr>
                <w:lang w:val="fr-FR"/>
              </w:rPr>
              <w:t xml:space="preserve">143) sur les travailleurs migrants (dispositions complémentaires), 1975 </w:t>
            </w:r>
          </w:p>
        </w:tc>
        <w:tc>
          <w:tcPr>
            <w:tcW w:w="3367" w:type="dxa"/>
          </w:tcPr>
          <w:p w:rsidR="002722FF" w:rsidRPr="00F60A3D" w:rsidRDefault="00D43456" w:rsidP="005465AF">
            <w:pPr>
              <w:spacing w:before="40" w:after="120"/>
              <w:rPr>
                <w:lang w:val="fr-FR"/>
              </w:rPr>
            </w:pPr>
            <w:r w:rsidRPr="00F60A3D">
              <w:rPr>
                <w:lang w:val="fr-FR"/>
              </w:rPr>
              <w:t>Ratifiée le 23 juin</w:t>
            </w:r>
            <w:r w:rsidR="002722FF" w:rsidRPr="00F60A3D">
              <w:rPr>
                <w:lang w:val="fr-FR"/>
              </w:rPr>
              <w:t xml:space="preserve"> 1981</w:t>
            </w:r>
          </w:p>
        </w:tc>
      </w:tr>
      <w:tr w:rsidR="002722FF" w:rsidRPr="00F60A3D" w:rsidTr="00DA6421">
        <w:tc>
          <w:tcPr>
            <w:tcW w:w="4004" w:type="dxa"/>
          </w:tcPr>
          <w:p w:rsidR="002722FF" w:rsidRPr="00F60A3D" w:rsidRDefault="00FE6E28" w:rsidP="005465AF">
            <w:pPr>
              <w:spacing w:before="40" w:after="120"/>
              <w:ind w:right="170"/>
              <w:rPr>
                <w:lang w:val="fr-FR"/>
              </w:rPr>
            </w:pPr>
            <w:r w:rsidRPr="00F60A3D">
              <w:rPr>
                <w:lang w:val="fr-FR"/>
              </w:rPr>
              <w:t>Convention (</w:t>
            </w:r>
            <w:r w:rsidR="00B17AE1" w:rsidRPr="00F60A3D">
              <w:rPr>
                <w:lang w:val="fr-FR"/>
              </w:rPr>
              <w:t>n</w:t>
            </w:r>
            <w:r w:rsidR="00B17AE1" w:rsidRPr="00F60A3D">
              <w:rPr>
                <w:vertAlign w:val="superscript"/>
                <w:lang w:val="fr-FR"/>
              </w:rPr>
              <w:t>o</w:t>
            </w:r>
            <w:r w:rsidR="00B17AE1" w:rsidRPr="00F60A3D">
              <w:rPr>
                <w:lang w:val="fr-FR"/>
              </w:rPr>
              <w:t> </w:t>
            </w:r>
            <w:r w:rsidRPr="00F60A3D">
              <w:rPr>
                <w:lang w:val="fr-FR"/>
              </w:rPr>
              <w:t>151) sur les relations de travail dans la fonction publique, 1978</w:t>
            </w:r>
          </w:p>
        </w:tc>
        <w:tc>
          <w:tcPr>
            <w:tcW w:w="3367" w:type="dxa"/>
          </w:tcPr>
          <w:p w:rsidR="002722FF" w:rsidRPr="00F60A3D" w:rsidRDefault="00FE6E28" w:rsidP="005465AF">
            <w:pPr>
              <w:spacing w:before="40" w:after="120"/>
              <w:rPr>
                <w:lang w:val="fr-FR"/>
              </w:rPr>
            </w:pPr>
            <w:r w:rsidRPr="00F60A3D">
              <w:rPr>
                <w:lang w:val="fr-FR"/>
              </w:rPr>
              <w:t>Ratifiée le 28 février</w:t>
            </w:r>
            <w:r w:rsidR="002722FF" w:rsidRPr="00F60A3D">
              <w:rPr>
                <w:lang w:val="fr-FR"/>
              </w:rPr>
              <w:t xml:space="preserve"> 1985</w:t>
            </w:r>
          </w:p>
        </w:tc>
      </w:tr>
      <w:tr w:rsidR="002722FF" w:rsidRPr="00F60A3D" w:rsidTr="00DA6421">
        <w:tc>
          <w:tcPr>
            <w:tcW w:w="4004" w:type="dxa"/>
          </w:tcPr>
          <w:p w:rsidR="002722FF" w:rsidRPr="00F60A3D" w:rsidRDefault="002722FF" w:rsidP="005465AF">
            <w:pPr>
              <w:spacing w:before="40" w:after="120"/>
              <w:ind w:right="170"/>
              <w:rPr>
                <w:lang w:val="fr-FR"/>
              </w:rPr>
            </w:pPr>
            <w:r w:rsidRPr="00F60A3D">
              <w:rPr>
                <w:lang w:val="fr-FR"/>
              </w:rPr>
              <w:t>Convention</w:t>
            </w:r>
            <w:r w:rsidR="00FE6E28" w:rsidRPr="00F60A3D">
              <w:rPr>
                <w:lang w:val="fr-FR"/>
              </w:rPr>
              <w:t xml:space="preserve"> (</w:t>
            </w:r>
            <w:r w:rsidR="00B17AE1" w:rsidRPr="00F60A3D">
              <w:rPr>
                <w:lang w:val="fr-FR"/>
              </w:rPr>
              <w:t>n</w:t>
            </w:r>
            <w:r w:rsidR="00B17AE1" w:rsidRPr="00F60A3D">
              <w:rPr>
                <w:vertAlign w:val="superscript"/>
                <w:lang w:val="fr-FR"/>
              </w:rPr>
              <w:t>o</w:t>
            </w:r>
            <w:r w:rsidR="00B17AE1" w:rsidRPr="00F60A3D">
              <w:rPr>
                <w:lang w:val="fr-FR"/>
              </w:rPr>
              <w:t> </w:t>
            </w:r>
            <w:r w:rsidR="00FE6E28" w:rsidRPr="00F60A3D">
              <w:rPr>
                <w:lang w:val="fr-FR"/>
              </w:rPr>
              <w:t>155) sur la sécurité et la santé des travailleurs, 1981</w:t>
            </w:r>
          </w:p>
        </w:tc>
        <w:tc>
          <w:tcPr>
            <w:tcW w:w="3367" w:type="dxa"/>
          </w:tcPr>
          <w:p w:rsidR="002722FF" w:rsidRPr="00F60A3D" w:rsidRDefault="00FE6E28" w:rsidP="005465AF">
            <w:pPr>
              <w:spacing w:before="40" w:after="120"/>
              <w:rPr>
                <w:lang w:val="fr-FR"/>
              </w:rPr>
            </w:pPr>
            <w:r w:rsidRPr="00F60A3D">
              <w:rPr>
                <w:lang w:val="fr-FR"/>
              </w:rPr>
              <w:t>Ratifiée le 7 juin</w:t>
            </w:r>
            <w:r w:rsidR="002722FF" w:rsidRPr="00F60A3D">
              <w:rPr>
                <w:lang w:val="fr-FR"/>
              </w:rPr>
              <w:t xml:space="preserve"> 2000</w:t>
            </w:r>
          </w:p>
        </w:tc>
      </w:tr>
      <w:tr w:rsidR="002722FF" w:rsidRPr="00F60A3D" w:rsidTr="00DA6421">
        <w:tc>
          <w:tcPr>
            <w:tcW w:w="4004" w:type="dxa"/>
          </w:tcPr>
          <w:p w:rsidR="002722FF" w:rsidRPr="00F60A3D" w:rsidRDefault="002722FF" w:rsidP="005465AF">
            <w:pPr>
              <w:spacing w:before="40" w:after="120"/>
              <w:ind w:right="170"/>
              <w:rPr>
                <w:lang w:val="fr-FR"/>
              </w:rPr>
            </w:pPr>
            <w:r w:rsidRPr="00F60A3D">
              <w:rPr>
                <w:lang w:val="fr-FR"/>
              </w:rPr>
              <w:t>Convention</w:t>
            </w:r>
            <w:r w:rsidR="00FE6E28" w:rsidRPr="00F60A3D">
              <w:rPr>
                <w:lang w:val="fr-FR"/>
              </w:rPr>
              <w:t xml:space="preserve"> (</w:t>
            </w:r>
            <w:r w:rsidR="00B17AE1" w:rsidRPr="00F60A3D">
              <w:rPr>
                <w:lang w:val="fr-FR"/>
              </w:rPr>
              <w:t>n</w:t>
            </w:r>
            <w:r w:rsidR="00B17AE1" w:rsidRPr="00F60A3D">
              <w:rPr>
                <w:vertAlign w:val="superscript"/>
                <w:lang w:val="fr-FR"/>
              </w:rPr>
              <w:t>o</w:t>
            </w:r>
            <w:r w:rsidR="00B17AE1" w:rsidRPr="00F60A3D">
              <w:rPr>
                <w:lang w:val="fr-FR"/>
              </w:rPr>
              <w:t> </w:t>
            </w:r>
            <w:r w:rsidR="00FE6E28" w:rsidRPr="00F60A3D">
              <w:rPr>
                <w:lang w:val="fr-FR"/>
              </w:rPr>
              <w:t>182) sur les pires formes de travail des enfants, 1999</w:t>
            </w:r>
          </w:p>
        </w:tc>
        <w:tc>
          <w:tcPr>
            <w:tcW w:w="3367" w:type="dxa"/>
          </w:tcPr>
          <w:p w:rsidR="002722FF" w:rsidRPr="00F60A3D" w:rsidRDefault="00FE4548" w:rsidP="005465AF">
            <w:pPr>
              <w:spacing w:before="40" w:after="120"/>
              <w:rPr>
                <w:lang w:val="fr-FR"/>
              </w:rPr>
            </w:pPr>
            <w:r w:rsidRPr="00F60A3D">
              <w:rPr>
                <w:lang w:val="fr-FR"/>
              </w:rPr>
              <w:t>Ratifiée</w:t>
            </w:r>
            <w:r w:rsidR="00FE6E28" w:rsidRPr="00F60A3D">
              <w:rPr>
                <w:lang w:val="fr-FR"/>
              </w:rPr>
              <w:t xml:space="preserve"> le 7 juin</w:t>
            </w:r>
            <w:r w:rsidR="002722FF" w:rsidRPr="00F60A3D">
              <w:rPr>
                <w:lang w:val="fr-FR"/>
              </w:rPr>
              <w:t xml:space="preserve"> 2000</w:t>
            </w:r>
          </w:p>
        </w:tc>
      </w:tr>
      <w:tr w:rsidR="002722FF" w:rsidRPr="00F60A3D" w:rsidTr="00DA6421">
        <w:tc>
          <w:tcPr>
            <w:tcW w:w="4004" w:type="dxa"/>
          </w:tcPr>
          <w:p w:rsidR="002722FF" w:rsidRPr="00F60A3D" w:rsidRDefault="002722FF" w:rsidP="005465AF">
            <w:pPr>
              <w:spacing w:before="40" w:after="120"/>
              <w:ind w:right="170"/>
              <w:rPr>
                <w:lang w:val="fr-FR"/>
              </w:rPr>
            </w:pPr>
            <w:r w:rsidRPr="00F60A3D">
              <w:rPr>
                <w:lang w:val="fr-FR"/>
              </w:rPr>
              <w:t>Convention</w:t>
            </w:r>
            <w:r w:rsidR="00FE6E28" w:rsidRPr="00F60A3D">
              <w:rPr>
                <w:lang w:val="fr-FR"/>
              </w:rPr>
              <w:t xml:space="preserve"> (</w:t>
            </w:r>
            <w:r w:rsidR="00B17AE1" w:rsidRPr="00F60A3D">
              <w:rPr>
                <w:lang w:val="fr-FR"/>
              </w:rPr>
              <w:t>n</w:t>
            </w:r>
            <w:r w:rsidR="00B17AE1" w:rsidRPr="00F60A3D">
              <w:rPr>
                <w:vertAlign w:val="superscript"/>
                <w:lang w:val="fr-FR"/>
              </w:rPr>
              <w:t>o</w:t>
            </w:r>
            <w:r w:rsidR="00B17AE1" w:rsidRPr="00F60A3D">
              <w:rPr>
                <w:lang w:val="fr-FR"/>
              </w:rPr>
              <w:t> </w:t>
            </w:r>
            <w:r w:rsidR="00FE6E28" w:rsidRPr="00F60A3D">
              <w:rPr>
                <w:lang w:val="fr-FR"/>
              </w:rPr>
              <w:t>183) sur la protection de la maternité, 2000</w:t>
            </w:r>
          </w:p>
        </w:tc>
        <w:tc>
          <w:tcPr>
            <w:tcW w:w="3367" w:type="dxa"/>
          </w:tcPr>
          <w:p w:rsidR="002722FF" w:rsidRPr="00F60A3D" w:rsidRDefault="00FE6E28" w:rsidP="005465AF">
            <w:pPr>
              <w:spacing w:before="40" w:after="120"/>
              <w:rPr>
                <w:lang w:val="fr-FR"/>
              </w:rPr>
            </w:pPr>
            <w:r w:rsidRPr="00F60A3D">
              <w:rPr>
                <w:lang w:val="fr-FR"/>
              </w:rPr>
              <w:t>Ratifiée le 7</w:t>
            </w:r>
            <w:r w:rsidR="00870AF0" w:rsidRPr="00F60A3D">
              <w:rPr>
                <w:lang w:val="fr-FR"/>
              </w:rPr>
              <w:t xml:space="preserve"> </w:t>
            </w:r>
            <w:r w:rsidRPr="00F60A3D">
              <w:rPr>
                <w:lang w:val="fr-FR"/>
              </w:rPr>
              <w:t>février</w:t>
            </w:r>
            <w:r w:rsidR="002722FF" w:rsidRPr="00F60A3D">
              <w:rPr>
                <w:lang w:val="fr-FR"/>
              </w:rPr>
              <w:t xml:space="preserve"> 2001</w:t>
            </w:r>
          </w:p>
        </w:tc>
      </w:tr>
      <w:tr w:rsidR="002722FF" w:rsidRPr="00F60A3D" w:rsidTr="005465AF">
        <w:tc>
          <w:tcPr>
            <w:tcW w:w="4004" w:type="dxa"/>
          </w:tcPr>
          <w:p w:rsidR="002722FF" w:rsidRPr="00F60A3D" w:rsidRDefault="002722FF" w:rsidP="005465AF">
            <w:pPr>
              <w:pStyle w:val="Heading2"/>
              <w:spacing w:before="40" w:after="120"/>
              <w:ind w:right="170"/>
              <w:rPr>
                <w:b/>
                <w:lang w:val="fr-FR"/>
              </w:rPr>
            </w:pPr>
            <w:bookmarkStart w:id="23" w:name="_Toc133268796"/>
            <w:bookmarkStart w:id="24" w:name="_Toc73946180"/>
            <w:r w:rsidRPr="00F60A3D">
              <w:rPr>
                <w:b/>
                <w:lang w:val="fr-FR"/>
              </w:rPr>
              <w:t xml:space="preserve">Conventions </w:t>
            </w:r>
            <w:r w:rsidR="00FE6E28" w:rsidRPr="00F60A3D">
              <w:rPr>
                <w:b/>
                <w:lang w:val="fr-FR"/>
              </w:rPr>
              <w:t>de l</w:t>
            </w:r>
            <w:r w:rsidR="00B17AE1" w:rsidRPr="00F60A3D">
              <w:rPr>
                <w:b/>
                <w:lang w:val="fr-FR"/>
              </w:rPr>
              <w:t>’</w:t>
            </w:r>
            <w:r w:rsidR="00FE6E28" w:rsidRPr="00F60A3D">
              <w:rPr>
                <w:b/>
                <w:lang w:val="fr-FR"/>
              </w:rPr>
              <w:t>Organisation des Nations Unies pour l</w:t>
            </w:r>
            <w:r w:rsidR="00B17AE1" w:rsidRPr="00F60A3D">
              <w:rPr>
                <w:b/>
                <w:lang w:val="fr-FR"/>
              </w:rPr>
              <w:t>’</w:t>
            </w:r>
            <w:r w:rsidR="00FE6E28" w:rsidRPr="00F60A3D">
              <w:rPr>
                <w:b/>
                <w:lang w:val="fr-FR"/>
              </w:rPr>
              <w:t>éducation, la science et la culture</w:t>
            </w:r>
            <w:bookmarkEnd w:id="23"/>
            <w:r w:rsidRPr="00F60A3D">
              <w:rPr>
                <w:rStyle w:val="FootnoteReference"/>
                <w:lang w:val="fr-FR"/>
              </w:rPr>
              <w:footnoteReference w:id="34"/>
            </w:r>
          </w:p>
        </w:tc>
        <w:tc>
          <w:tcPr>
            <w:tcW w:w="3367" w:type="dxa"/>
          </w:tcPr>
          <w:p w:rsidR="002722FF" w:rsidRPr="00F60A3D" w:rsidRDefault="002722FF" w:rsidP="005465AF">
            <w:pPr>
              <w:pStyle w:val="Heading2"/>
              <w:spacing w:before="40" w:after="120"/>
              <w:rPr>
                <w:lang w:val="fr-FR"/>
              </w:rPr>
            </w:pPr>
          </w:p>
        </w:tc>
      </w:tr>
      <w:tr w:rsidR="002722FF" w:rsidRPr="00F60A3D" w:rsidTr="005465AF">
        <w:tc>
          <w:tcPr>
            <w:tcW w:w="4004" w:type="dxa"/>
            <w:tcBorders>
              <w:bottom w:val="single" w:sz="12" w:space="0" w:color="auto"/>
            </w:tcBorders>
          </w:tcPr>
          <w:p w:rsidR="002722FF" w:rsidRPr="00F60A3D" w:rsidRDefault="00FE6E28" w:rsidP="005465AF">
            <w:pPr>
              <w:spacing w:before="40" w:after="120"/>
              <w:ind w:right="170"/>
              <w:rPr>
                <w:lang w:val="fr-FR"/>
              </w:rPr>
            </w:pPr>
            <w:r w:rsidRPr="00F60A3D">
              <w:rPr>
                <w:lang w:val="fr-FR"/>
              </w:rPr>
              <w:t>Convention contre la discrimination dans l</w:t>
            </w:r>
            <w:r w:rsidR="00B17AE1" w:rsidRPr="00F60A3D">
              <w:rPr>
                <w:lang w:val="fr-FR"/>
              </w:rPr>
              <w:t>’</w:t>
            </w:r>
            <w:r w:rsidRPr="00F60A3D">
              <w:rPr>
                <w:lang w:val="fr-FR"/>
              </w:rPr>
              <w:t>é</w:t>
            </w:r>
            <w:r w:rsidR="002722FF" w:rsidRPr="00F60A3D">
              <w:rPr>
                <w:lang w:val="fr-FR"/>
              </w:rPr>
              <w:t>ducation, 1960</w:t>
            </w:r>
          </w:p>
        </w:tc>
        <w:tc>
          <w:tcPr>
            <w:tcW w:w="3367" w:type="dxa"/>
            <w:tcBorders>
              <w:bottom w:val="single" w:sz="12" w:space="0" w:color="auto"/>
            </w:tcBorders>
          </w:tcPr>
          <w:p w:rsidR="002722FF" w:rsidRPr="00F60A3D" w:rsidRDefault="002722FF" w:rsidP="005465AF">
            <w:pPr>
              <w:spacing w:before="40" w:after="120"/>
              <w:rPr>
                <w:lang w:val="fr-FR"/>
              </w:rPr>
            </w:pPr>
            <w:r w:rsidRPr="00F60A3D">
              <w:rPr>
                <w:lang w:val="fr-FR"/>
              </w:rPr>
              <w:t>R</w:t>
            </w:r>
            <w:r w:rsidR="00FE6E28" w:rsidRPr="00F60A3D">
              <w:rPr>
                <w:lang w:val="fr-FR"/>
              </w:rPr>
              <w:t>atifiée le 6 octobre</w:t>
            </w:r>
            <w:r w:rsidRPr="00F60A3D">
              <w:rPr>
                <w:lang w:val="fr-FR"/>
              </w:rPr>
              <w:t xml:space="preserve"> 1966</w:t>
            </w:r>
          </w:p>
        </w:tc>
      </w:tr>
    </w:tbl>
    <w:bookmarkEnd w:id="24"/>
    <w:p w:rsidR="00DB5D9E" w:rsidRPr="00F60A3D" w:rsidRDefault="00DB5D9E" w:rsidP="00DB5D9E">
      <w:pPr>
        <w:pStyle w:val="H23G"/>
        <w:rPr>
          <w:rStyle w:val="Strong"/>
          <w:b/>
          <w:bCs w:val="0"/>
          <w:lang w:val="fr-FR"/>
        </w:rPr>
      </w:pPr>
      <w:r w:rsidRPr="00F60A3D">
        <w:rPr>
          <w:lang w:val="fr-FR"/>
        </w:rPr>
        <w:tab/>
      </w:r>
      <w:r w:rsidRPr="00F60A3D">
        <w:rPr>
          <w:lang w:val="fr-FR"/>
        </w:rPr>
        <w:tab/>
      </w:r>
      <w:r w:rsidR="004D0081" w:rsidRPr="00F60A3D">
        <w:rPr>
          <w:lang w:val="fr-FR"/>
        </w:rPr>
        <w:t xml:space="preserve">Autres instruments internationaux pertinents </w:t>
      </w:r>
    </w:p>
    <w:p w:rsidR="00DB5D9E" w:rsidRPr="00F60A3D" w:rsidRDefault="005B4045" w:rsidP="00693F8E">
      <w:pPr>
        <w:pStyle w:val="SingleTxtG"/>
        <w:rPr>
          <w:bCs/>
          <w:lang w:val="fr-FR"/>
        </w:rPr>
      </w:pPr>
      <w:r w:rsidRPr="00F60A3D">
        <w:rPr>
          <w:rStyle w:val="Strong"/>
          <w:b w:val="0"/>
          <w:lang w:val="fr-FR"/>
        </w:rPr>
        <w:t>150</w:t>
      </w:r>
      <w:r w:rsidR="00DB5D9E" w:rsidRPr="00F60A3D">
        <w:rPr>
          <w:rStyle w:val="Strong"/>
          <w:b w:val="0"/>
          <w:lang w:val="fr-FR"/>
        </w:rPr>
        <w:t>.</w:t>
      </w:r>
      <w:r w:rsidR="00DB5D9E" w:rsidRPr="00F60A3D">
        <w:rPr>
          <w:rStyle w:val="Strong"/>
          <w:b w:val="0"/>
          <w:lang w:val="fr-FR"/>
        </w:rPr>
        <w:tab/>
      </w:r>
      <w:r w:rsidR="004D0081" w:rsidRPr="00F60A3D">
        <w:rPr>
          <w:rStyle w:val="Strong"/>
          <w:b w:val="0"/>
          <w:lang w:val="fr-FR"/>
        </w:rPr>
        <w:t>L</w:t>
      </w:r>
      <w:r w:rsidR="00B17AE1" w:rsidRPr="00F60A3D">
        <w:rPr>
          <w:rStyle w:val="Strong"/>
          <w:b w:val="0"/>
          <w:lang w:val="fr-FR"/>
        </w:rPr>
        <w:t>’</w:t>
      </w:r>
      <w:r w:rsidR="004D0081" w:rsidRPr="00F60A3D">
        <w:rPr>
          <w:rStyle w:val="Strong"/>
          <w:b w:val="0"/>
          <w:lang w:val="fr-FR"/>
        </w:rPr>
        <w:t>Italie a ratifié les Conventions de Genève de 1949</w:t>
      </w:r>
      <w:r w:rsidR="00F76E20" w:rsidRPr="00F60A3D">
        <w:rPr>
          <w:rStyle w:val="Strong"/>
          <w:b w:val="0"/>
          <w:lang w:val="fr-FR"/>
        </w:rPr>
        <w:t>,</w:t>
      </w:r>
      <w:r w:rsidR="004D0081" w:rsidRPr="00F60A3D">
        <w:rPr>
          <w:rStyle w:val="Strong"/>
          <w:b w:val="0"/>
          <w:lang w:val="fr-FR"/>
        </w:rPr>
        <w:t xml:space="preserve"> le 17</w:t>
      </w:r>
      <w:r w:rsidR="00693F8E" w:rsidRPr="00F60A3D">
        <w:rPr>
          <w:lang w:val="fr-FR"/>
        </w:rPr>
        <w:t> </w:t>
      </w:r>
      <w:r w:rsidR="004D0081" w:rsidRPr="00F60A3D">
        <w:rPr>
          <w:rStyle w:val="Strong"/>
          <w:b w:val="0"/>
          <w:lang w:val="fr-FR"/>
        </w:rPr>
        <w:t xml:space="preserve">décembre 1951 et leurs </w:t>
      </w:r>
      <w:r w:rsidR="0092691D" w:rsidRPr="00F60A3D">
        <w:rPr>
          <w:rStyle w:val="Strong"/>
          <w:b w:val="0"/>
          <w:lang w:val="fr-FR"/>
        </w:rPr>
        <w:t>Protocoles additionnels, le 27 </w:t>
      </w:r>
      <w:r w:rsidR="004D0081" w:rsidRPr="00F60A3D">
        <w:rPr>
          <w:rStyle w:val="Strong"/>
          <w:b w:val="0"/>
          <w:lang w:val="fr-FR"/>
        </w:rPr>
        <w:t>février</w:t>
      </w:r>
      <w:r w:rsidR="00FE4548" w:rsidRPr="00F60A3D">
        <w:rPr>
          <w:rStyle w:val="Strong"/>
          <w:b w:val="0"/>
          <w:lang w:val="fr-FR"/>
        </w:rPr>
        <w:t xml:space="preserve"> </w:t>
      </w:r>
      <w:r w:rsidR="007D5EF5" w:rsidRPr="00F60A3D">
        <w:rPr>
          <w:lang w:val="fr-FR"/>
        </w:rPr>
        <w:t>1986</w:t>
      </w:r>
      <w:r w:rsidR="00F75496" w:rsidRPr="00F60A3D">
        <w:rPr>
          <w:rStyle w:val="FootnoteReference"/>
          <w:lang w:val="fr-FR"/>
        </w:rPr>
        <w:footnoteReference w:id="35"/>
      </w:r>
      <w:r w:rsidR="007D5EF5" w:rsidRPr="00F60A3D">
        <w:rPr>
          <w:lang w:val="fr-FR"/>
        </w:rPr>
        <w:t>.</w:t>
      </w:r>
      <w:r w:rsidR="004D0081" w:rsidRPr="00F60A3D">
        <w:rPr>
          <w:lang w:val="fr-FR"/>
        </w:rPr>
        <w:t xml:space="preserve"> Le</w:t>
      </w:r>
      <w:r w:rsidR="00DB5D9E" w:rsidRPr="00F60A3D">
        <w:rPr>
          <w:lang w:val="fr-FR"/>
        </w:rPr>
        <w:t xml:space="preserve"> 2</w:t>
      </w:r>
      <w:r w:rsidR="00693F8E" w:rsidRPr="00F60A3D">
        <w:rPr>
          <w:lang w:val="fr-FR"/>
        </w:rPr>
        <w:t> </w:t>
      </w:r>
      <w:r w:rsidR="00AE23A7" w:rsidRPr="00F60A3D">
        <w:rPr>
          <w:lang w:val="fr-FR"/>
        </w:rPr>
        <w:t>avril 2014, ell</w:t>
      </w:r>
      <w:r w:rsidR="004D0081" w:rsidRPr="00F60A3D">
        <w:rPr>
          <w:lang w:val="fr-FR"/>
        </w:rPr>
        <w:t>e a également ratifié le Traité sur le commerce des armes.</w:t>
      </w:r>
      <w:r w:rsidR="00731982" w:rsidRPr="00F60A3D">
        <w:rPr>
          <w:lang w:val="fr-FR"/>
        </w:rPr>
        <w:t xml:space="preserve"> </w:t>
      </w:r>
    </w:p>
    <w:p w:rsidR="003A2753" w:rsidRPr="00F60A3D" w:rsidRDefault="005B4045" w:rsidP="00DB5D9E">
      <w:pPr>
        <w:pStyle w:val="SingleTxtG"/>
        <w:rPr>
          <w:lang w:val="fr-FR"/>
        </w:rPr>
      </w:pPr>
      <w:r w:rsidRPr="00F60A3D">
        <w:rPr>
          <w:lang w:val="fr-FR"/>
        </w:rPr>
        <w:t>151</w:t>
      </w:r>
      <w:r w:rsidR="003A2753" w:rsidRPr="00F60A3D">
        <w:rPr>
          <w:lang w:val="fr-FR"/>
        </w:rPr>
        <w:t>.</w:t>
      </w:r>
      <w:r w:rsidR="003A2753" w:rsidRPr="00F60A3D">
        <w:rPr>
          <w:lang w:val="fr-FR"/>
        </w:rPr>
        <w:tab/>
        <w:t>Au niveau régional</w:t>
      </w:r>
      <w:r w:rsidR="00DB5D9E" w:rsidRPr="00F60A3D">
        <w:rPr>
          <w:lang w:val="fr-FR"/>
        </w:rPr>
        <w:t xml:space="preserve">, </w:t>
      </w:r>
      <w:r w:rsidR="003A2753" w:rsidRPr="00F60A3D">
        <w:rPr>
          <w:lang w:val="fr-FR"/>
        </w:rPr>
        <w:t>l</w:t>
      </w:r>
      <w:r w:rsidR="00B17AE1" w:rsidRPr="00F60A3D">
        <w:rPr>
          <w:lang w:val="fr-FR"/>
        </w:rPr>
        <w:t>’</w:t>
      </w:r>
      <w:r w:rsidR="003A2753" w:rsidRPr="00F60A3D">
        <w:rPr>
          <w:lang w:val="fr-FR"/>
        </w:rPr>
        <w:t>Italie</w:t>
      </w:r>
      <w:r w:rsidR="00DB5D9E" w:rsidRPr="00F60A3D">
        <w:rPr>
          <w:lang w:val="fr-FR"/>
        </w:rPr>
        <w:t xml:space="preserve"> </w:t>
      </w:r>
      <w:r w:rsidR="003A2753" w:rsidRPr="00F60A3D">
        <w:rPr>
          <w:lang w:val="fr-FR"/>
        </w:rPr>
        <w:t>a ratifié plusieurs instruments relatifs aux droits de l</w:t>
      </w:r>
      <w:r w:rsidR="00B17AE1" w:rsidRPr="00F60A3D">
        <w:rPr>
          <w:lang w:val="fr-FR"/>
        </w:rPr>
        <w:t>’</w:t>
      </w:r>
      <w:r w:rsidR="003A2753" w:rsidRPr="00F60A3D">
        <w:rPr>
          <w:lang w:val="fr-FR"/>
        </w:rPr>
        <w:t>ho</w:t>
      </w:r>
      <w:r w:rsidR="00795903" w:rsidRPr="00F60A3D">
        <w:rPr>
          <w:lang w:val="fr-FR"/>
        </w:rPr>
        <w:t>mme, tels</w:t>
      </w:r>
      <w:r w:rsidR="003A2753" w:rsidRPr="00F60A3D">
        <w:rPr>
          <w:lang w:val="fr-FR"/>
        </w:rPr>
        <w:t xml:space="preserve"> la Convention de 1950 pour la protection des droits de l</w:t>
      </w:r>
      <w:r w:rsidR="00B17AE1" w:rsidRPr="00F60A3D">
        <w:rPr>
          <w:lang w:val="fr-FR"/>
        </w:rPr>
        <w:t>’</w:t>
      </w:r>
      <w:r w:rsidR="003A2753" w:rsidRPr="00F60A3D">
        <w:rPr>
          <w:lang w:val="fr-FR"/>
        </w:rPr>
        <w:t>homme et des libertés fondamentales (en 1955) et les Protocoles additionnels</w:t>
      </w:r>
      <w:r w:rsidR="00693F8E" w:rsidRPr="00F60A3D">
        <w:rPr>
          <w:lang w:val="fr-FR"/>
        </w:rPr>
        <w:t> </w:t>
      </w:r>
      <w:r w:rsidR="003A2753" w:rsidRPr="00F60A3D">
        <w:rPr>
          <w:lang w:val="fr-FR"/>
        </w:rPr>
        <w:t>1 à 14, excepté le 12 (signé à Rome, en novembre 2000), la Convention européenne pour la prévention de la torture et des peines ou traitements inhumains ou dégradants (en 1988), y compris ses deux Protocoles facultatifs (en 1999)</w:t>
      </w:r>
      <w:r w:rsidR="004F07BA" w:rsidRPr="00F60A3D">
        <w:rPr>
          <w:lang w:val="fr-FR"/>
        </w:rPr>
        <w:t>,</w:t>
      </w:r>
      <w:r w:rsidR="003A2753" w:rsidRPr="00F60A3D">
        <w:rPr>
          <w:lang w:val="fr-FR"/>
        </w:rPr>
        <w:t xml:space="preserve"> et la Convention européenne sur l</w:t>
      </w:r>
      <w:r w:rsidR="00B17AE1" w:rsidRPr="00F60A3D">
        <w:rPr>
          <w:lang w:val="fr-FR"/>
        </w:rPr>
        <w:t>’</w:t>
      </w:r>
      <w:r w:rsidR="003A2753" w:rsidRPr="00F60A3D">
        <w:rPr>
          <w:lang w:val="fr-FR"/>
        </w:rPr>
        <w:t>exercice des droits des enfants (en 2003); la Charte sociale européenne (1999); la Convention du Conseil de l</w:t>
      </w:r>
      <w:r w:rsidR="00B17AE1" w:rsidRPr="00F60A3D">
        <w:rPr>
          <w:lang w:val="fr-FR"/>
        </w:rPr>
        <w:t>’</w:t>
      </w:r>
      <w:r w:rsidR="003A2753" w:rsidRPr="00F60A3D">
        <w:rPr>
          <w:lang w:val="fr-FR"/>
        </w:rPr>
        <w:t>Europe sur la protection des enfants contre l</w:t>
      </w:r>
      <w:r w:rsidR="00B17AE1" w:rsidRPr="00F60A3D">
        <w:rPr>
          <w:lang w:val="fr-FR"/>
        </w:rPr>
        <w:t>’</w:t>
      </w:r>
      <w:r w:rsidR="003A2753" w:rsidRPr="00F60A3D">
        <w:rPr>
          <w:lang w:val="fr-FR"/>
        </w:rPr>
        <w:t xml:space="preserve">exploitation et les abus sexuels (Convention de Lanzarote (2012)); </w:t>
      </w:r>
      <w:r w:rsidR="0074565F" w:rsidRPr="00F60A3D">
        <w:rPr>
          <w:lang w:val="fr-FR"/>
        </w:rPr>
        <w:t>la Convention du Conseil de l</w:t>
      </w:r>
      <w:r w:rsidR="00B17AE1" w:rsidRPr="00F60A3D">
        <w:rPr>
          <w:lang w:val="fr-FR"/>
        </w:rPr>
        <w:t>’</w:t>
      </w:r>
      <w:r w:rsidR="0074565F" w:rsidRPr="00F60A3D">
        <w:rPr>
          <w:lang w:val="fr-FR"/>
        </w:rPr>
        <w:t>Europe sur la lutte contre la traite des êtres humains (Convention de Varsovie (2010)); et la Convention du Conseil de l</w:t>
      </w:r>
      <w:r w:rsidR="00B17AE1" w:rsidRPr="00F60A3D">
        <w:rPr>
          <w:lang w:val="fr-FR"/>
        </w:rPr>
        <w:t>’</w:t>
      </w:r>
      <w:r w:rsidR="0074565F" w:rsidRPr="00F60A3D">
        <w:rPr>
          <w:lang w:val="fr-FR"/>
        </w:rPr>
        <w:t>Europe sur la prévention et la l</w:t>
      </w:r>
      <w:r w:rsidR="00F76E20" w:rsidRPr="00F60A3D">
        <w:rPr>
          <w:lang w:val="fr-FR"/>
        </w:rPr>
        <w:t>u</w:t>
      </w:r>
      <w:r w:rsidR="0074565F" w:rsidRPr="00F60A3D">
        <w:rPr>
          <w:lang w:val="fr-FR"/>
        </w:rPr>
        <w:t>tte contre la violence à l</w:t>
      </w:r>
      <w:r w:rsidR="00B17AE1" w:rsidRPr="00F60A3D">
        <w:rPr>
          <w:lang w:val="fr-FR"/>
        </w:rPr>
        <w:t>’</w:t>
      </w:r>
      <w:r w:rsidR="0074565F" w:rsidRPr="00F60A3D">
        <w:rPr>
          <w:lang w:val="fr-FR"/>
        </w:rPr>
        <w:t>égard des femmes et la violence domestique (Convention d</w:t>
      </w:r>
      <w:r w:rsidR="00B17AE1" w:rsidRPr="00F60A3D">
        <w:rPr>
          <w:lang w:val="fr-FR"/>
        </w:rPr>
        <w:t>’</w:t>
      </w:r>
      <w:r w:rsidR="0074565F" w:rsidRPr="00F60A3D">
        <w:rPr>
          <w:lang w:val="fr-FR"/>
        </w:rPr>
        <w:t xml:space="preserve">Istanbul (2013)). </w:t>
      </w:r>
    </w:p>
    <w:p w:rsidR="00DB5D9E" w:rsidRPr="00F60A3D" w:rsidRDefault="00224935" w:rsidP="002830B6">
      <w:pPr>
        <w:pStyle w:val="SingleTxtG"/>
        <w:rPr>
          <w:lang w:val="fr-FR"/>
        </w:rPr>
      </w:pPr>
      <w:r w:rsidRPr="00F60A3D">
        <w:rPr>
          <w:lang w:val="fr-FR"/>
        </w:rPr>
        <w:lastRenderedPageBreak/>
        <w:t>152.</w:t>
      </w:r>
      <w:r w:rsidR="001D2CCC" w:rsidRPr="00F60A3D">
        <w:rPr>
          <w:lang w:val="fr-FR"/>
        </w:rPr>
        <w:tab/>
      </w:r>
      <w:r w:rsidR="0074565F" w:rsidRPr="00F60A3D">
        <w:rPr>
          <w:lang w:val="fr-FR"/>
        </w:rPr>
        <w:t>La lis</w:t>
      </w:r>
      <w:r w:rsidR="00F76E20" w:rsidRPr="00F60A3D">
        <w:rPr>
          <w:lang w:val="fr-FR"/>
        </w:rPr>
        <w:t>te complète des Conventions du C</w:t>
      </w:r>
      <w:r w:rsidR="0074565F" w:rsidRPr="00F60A3D">
        <w:rPr>
          <w:lang w:val="fr-FR"/>
        </w:rPr>
        <w:t>onseil de l</w:t>
      </w:r>
      <w:r w:rsidR="00B17AE1" w:rsidRPr="00F60A3D">
        <w:rPr>
          <w:lang w:val="fr-FR"/>
        </w:rPr>
        <w:t>’</w:t>
      </w:r>
      <w:r w:rsidR="0074565F" w:rsidRPr="00F60A3D">
        <w:rPr>
          <w:lang w:val="fr-FR"/>
        </w:rPr>
        <w:t>Europe ratifi</w:t>
      </w:r>
      <w:r w:rsidR="00F76E20" w:rsidRPr="00F60A3D">
        <w:rPr>
          <w:lang w:val="fr-FR"/>
        </w:rPr>
        <w:t>é</w:t>
      </w:r>
      <w:r w:rsidR="0074565F" w:rsidRPr="00F60A3D">
        <w:rPr>
          <w:lang w:val="fr-FR"/>
        </w:rPr>
        <w:t>es par l</w:t>
      </w:r>
      <w:r w:rsidR="00B17AE1" w:rsidRPr="00F60A3D">
        <w:rPr>
          <w:lang w:val="fr-FR"/>
        </w:rPr>
        <w:t>’</w:t>
      </w:r>
      <w:r w:rsidR="0074565F" w:rsidRPr="00F60A3D">
        <w:rPr>
          <w:lang w:val="fr-FR"/>
        </w:rPr>
        <w:t>Italie figure à l</w:t>
      </w:r>
      <w:r w:rsidR="00B17AE1" w:rsidRPr="00F60A3D">
        <w:rPr>
          <w:lang w:val="fr-FR"/>
        </w:rPr>
        <w:t>’</w:t>
      </w:r>
      <w:r w:rsidR="0074565F" w:rsidRPr="00F60A3D">
        <w:rPr>
          <w:lang w:val="fr-FR"/>
        </w:rPr>
        <w:t>adresse:</w:t>
      </w:r>
      <w:r w:rsidR="00731982" w:rsidRPr="00F60A3D">
        <w:rPr>
          <w:lang w:val="fr-FR"/>
        </w:rPr>
        <w:t xml:space="preserve"> </w:t>
      </w:r>
      <w:r w:rsidR="00DB5D9E" w:rsidRPr="00F60A3D">
        <w:rPr>
          <w:lang w:val="fr-FR"/>
        </w:rPr>
        <w:t>http://www.coe.int/en/web/conventions/fulllist/conventions/treaty/country/ITA?</w:t>
      </w:r>
      <w:r w:rsidR="002830B6" w:rsidRPr="00F60A3D">
        <w:rPr>
          <w:lang w:val="fr-FR"/>
        </w:rPr>
        <w:br/>
      </w:r>
      <w:r w:rsidR="00F60A3D">
        <w:rPr>
          <w:lang w:val="fr-FR"/>
        </w:rPr>
        <w:t>p_auth=i8cEs5rg.</w:t>
      </w:r>
    </w:p>
    <w:p w:rsidR="00DB5D9E" w:rsidRPr="00F60A3D" w:rsidRDefault="00DB5D9E" w:rsidP="00DB5D9E">
      <w:pPr>
        <w:pStyle w:val="H1G"/>
        <w:rPr>
          <w:lang w:val="fr-FR"/>
        </w:rPr>
      </w:pPr>
      <w:r w:rsidRPr="00F60A3D">
        <w:rPr>
          <w:lang w:val="fr-FR"/>
        </w:rPr>
        <w:tab/>
        <w:t>B</w:t>
      </w:r>
      <w:r w:rsidR="002830B6" w:rsidRPr="00F60A3D">
        <w:rPr>
          <w:lang w:val="fr-FR"/>
        </w:rPr>
        <w:t>.</w:t>
      </w:r>
      <w:r w:rsidR="0020197E" w:rsidRPr="00F60A3D">
        <w:rPr>
          <w:lang w:val="fr-FR"/>
        </w:rPr>
        <w:tab/>
      </w:r>
      <w:r w:rsidR="0074565F" w:rsidRPr="00F60A3D">
        <w:rPr>
          <w:lang w:val="fr-FR"/>
        </w:rPr>
        <w:t>Cadre juridique de la protection des droits de l</w:t>
      </w:r>
      <w:r w:rsidR="00B17AE1" w:rsidRPr="00F60A3D">
        <w:rPr>
          <w:lang w:val="fr-FR"/>
        </w:rPr>
        <w:t>’</w:t>
      </w:r>
      <w:r w:rsidR="0074565F" w:rsidRPr="00F60A3D">
        <w:rPr>
          <w:lang w:val="fr-FR"/>
        </w:rPr>
        <w:t>homme au niveau national</w:t>
      </w:r>
      <w:r w:rsidR="00731982" w:rsidRPr="00F60A3D">
        <w:rPr>
          <w:lang w:val="fr-FR"/>
        </w:rPr>
        <w:t xml:space="preserve"> </w:t>
      </w:r>
      <w:bookmarkEnd w:id="14"/>
      <w:bookmarkEnd w:id="15"/>
      <w:bookmarkEnd w:id="16"/>
      <w:bookmarkEnd w:id="17"/>
      <w:bookmarkEnd w:id="18"/>
    </w:p>
    <w:p w:rsidR="00DB5D9E" w:rsidRPr="00F60A3D" w:rsidRDefault="00DB5D9E" w:rsidP="00DB5D9E">
      <w:pPr>
        <w:pStyle w:val="H23G"/>
        <w:rPr>
          <w:lang w:val="fr-FR"/>
        </w:rPr>
      </w:pPr>
      <w:r w:rsidRPr="00F60A3D">
        <w:rPr>
          <w:lang w:val="fr-FR"/>
        </w:rPr>
        <w:tab/>
      </w:r>
      <w:r w:rsidRPr="00F60A3D">
        <w:rPr>
          <w:lang w:val="fr-FR"/>
        </w:rPr>
        <w:tab/>
      </w:r>
      <w:r w:rsidR="0074565F" w:rsidRPr="00F60A3D">
        <w:rPr>
          <w:lang w:val="fr-FR"/>
        </w:rPr>
        <w:t>L</w:t>
      </w:r>
      <w:r w:rsidRPr="00F60A3D">
        <w:rPr>
          <w:lang w:val="fr-FR"/>
        </w:rPr>
        <w:t>ist</w:t>
      </w:r>
      <w:r w:rsidR="0074565F" w:rsidRPr="00F60A3D">
        <w:rPr>
          <w:lang w:val="fr-FR"/>
        </w:rPr>
        <w:t>e</w:t>
      </w:r>
      <w:r w:rsidR="00846266" w:rsidRPr="00F60A3D">
        <w:rPr>
          <w:lang w:val="fr-FR"/>
        </w:rPr>
        <w:t xml:space="preserve"> des droits fondamentaux énoncé</w:t>
      </w:r>
      <w:r w:rsidR="0074565F" w:rsidRPr="00F60A3D">
        <w:rPr>
          <w:lang w:val="fr-FR"/>
        </w:rPr>
        <w:t>s dans la</w:t>
      </w:r>
      <w:r w:rsidRPr="00F60A3D">
        <w:rPr>
          <w:lang w:val="fr-FR"/>
        </w:rPr>
        <w:t xml:space="preserve"> Constitution</w:t>
      </w:r>
    </w:p>
    <w:p w:rsidR="000E2EC1" w:rsidRPr="00F60A3D" w:rsidRDefault="005B4045" w:rsidP="00DB5D9E">
      <w:pPr>
        <w:pStyle w:val="SingleTxtG"/>
        <w:rPr>
          <w:lang w:val="fr-FR"/>
        </w:rPr>
      </w:pPr>
      <w:r w:rsidRPr="00F60A3D">
        <w:rPr>
          <w:lang w:val="fr-FR"/>
        </w:rPr>
        <w:t>153</w:t>
      </w:r>
      <w:r w:rsidR="000E2EC1" w:rsidRPr="00F60A3D">
        <w:rPr>
          <w:lang w:val="fr-FR"/>
        </w:rPr>
        <w:t>.</w:t>
      </w:r>
      <w:r w:rsidR="00C55FFE" w:rsidRPr="00F60A3D">
        <w:rPr>
          <w:lang w:val="fr-FR"/>
        </w:rPr>
        <w:tab/>
        <w:t>Les droits fondamentaux énoncé</w:t>
      </w:r>
      <w:r w:rsidR="000E2EC1" w:rsidRPr="00F60A3D">
        <w:rPr>
          <w:lang w:val="fr-FR"/>
        </w:rPr>
        <w:t>s dans la Constitution sont</w:t>
      </w:r>
      <w:r w:rsidR="00C55FFE" w:rsidRPr="00F60A3D">
        <w:rPr>
          <w:lang w:val="fr-FR"/>
        </w:rPr>
        <w:t xml:space="preserve"> essentiellement les droits aux</w:t>
      </w:r>
      <w:r w:rsidR="000E2EC1" w:rsidRPr="00F60A3D">
        <w:rPr>
          <w:lang w:val="fr-FR"/>
        </w:rPr>
        <w:t xml:space="preserve"> liberté</w:t>
      </w:r>
      <w:r w:rsidR="00C55FFE" w:rsidRPr="00F60A3D">
        <w:rPr>
          <w:lang w:val="fr-FR"/>
        </w:rPr>
        <w:t xml:space="preserve">s destinés à </w:t>
      </w:r>
      <w:r w:rsidR="00FE4548" w:rsidRPr="00F60A3D">
        <w:rPr>
          <w:lang w:val="fr-FR"/>
        </w:rPr>
        <w:t>protéger</w:t>
      </w:r>
      <w:r w:rsidR="00846266" w:rsidRPr="00F60A3D">
        <w:rPr>
          <w:lang w:val="fr-FR"/>
        </w:rPr>
        <w:t xml:space="preserve"> l</w:t>
      </w:r>
      <w:r w:rsidR="00B17AE1" w:rsidRPr="00F60A3D">
        <w:rPr>
          <w:lang w:val="fr-FR"/>
        </w:rPr>
        <w:t>’</w:t>
      </w:r>
      <w:r w:rsidR="00846266" w:rsidRPr="00F60A3D">
        <w:rPr>
          <w:lang w:val="fr-FR"/>
        </w:rPr>
        <w:t>individu</w:t>
      </w:r>
      <w:r w:rsidR="000E2EC1" w:rsidRPr="00F60A3D">
        <w:rPr>
          <w:lang w:val="fr-FR"/>
        </w:rPr>
        <w:t xml:space="preserve"> de toute ingérence de l</w:t>
      </w:r>
      <w:r w:rsidR="00B17AE1" w:rsidRPr="00F60A3D">
        <w:rPr>
          <w:lang w:val="fr-FR"/>
        </w:rPr>
        <w:t>’</w:t>
      </w:r>
      <w:r w:rsidR="000E2EC1" w:rsidRPr="00F60A3D">
        <w:rPr>
          <w:lang w:val="fr-FR"/>
        </w:rPr>
        <w:t>É</w:t>
      </w:r>
      <w:r w:rsidR="00C55FFE" w:rsidRPr="00F60A3D">
        <w:rPr>
          <w:lang w:val="fr-FR"/>
        </w:rPr>
        <w:t>tat. Parallèlement, ils</w:t>
      </w:r>
      <w:r w:rsidR="00EC7E32" w:rsidRPr="00F60A3D">
        <w:rPr>
          <w:lang w:val="fr-FR"/>
        </w:rPr>
        <w:t xml:space="preserve"> offrent un</w:t>
      </w:r>
      <w:r w:rsidR="001564CA" w:rsidRPr="00F60A3D">
        <w:rPr>
          <w:lang w:val="fr-FR"/>
        </w:rPr>
        <w:t xml:space="preserve"> cadre dans lequel les </w:t>
      </w:r>
      <w:r w:rsidR="00C55FFE" w:rsidRPr="00F60A3D">
        <w:rPr>
          <w:lang w:val="fr-FR"/>
        </w:rPr>
        <w:t>individu</w:t>
      </w:r>
      <w:r w:rsidR="001564CA" w:rsidRPr="00F60A3D">
        <w:rPr>
          <w:lang w:val="fr-FR"/>
        </w:rPr>
        <w:t>s</w:t>
      </w:r>
      <w:r w:rsidR="00EC7E32" w:rsidRPr="00F60A3D">
        <w:rPr>
          <w:lang w:val="fr-FR"/>
        </w:rPr>
        <w:t>,</w:t>
      </w:r>
      <w:r w:rsidR="00C55FFE" w:rsidRPr="00F60A3D">
        <w:rPr>
          <w:lang w:val="fr-FR"/>
        </w:rPr>
        <w:t xml:space="preserve"> </w:t>
      </w:r>
      <w:r w:rsidR="00EC7E32" w:rsidRPr="00F60A3D">
        <w:rPr>
          <w:lang w:val="fr-FR"/>
        </w:rPr>
        <w:t>dont la personnalité, l</w:t>
      </w:r>
      <w:r w:rsidR="00B17AE1" w:rsidRPr="00F60A3D">
        <w:rPr>
          <w:lang w:val="fr-FR"/>
        </w:rPr>
        <w:t>’</w:t>
      </w:r>
      <w:r w:rsidR="00EC7E32" w:rsidRPr="00F60A3D">
        <w:rPr>
          <w:lang w:val="fr-FR"/>
        </w:rPr>
        <w:t>indépendance, l</w:t>
      </w:r>
      <w:r w:rsidR="00B17AE1" w:rsidRPr="00F60A3D">
        <w:rPr>
          <w:lang w:val="fr-FR"/>
        </w:rPr>
        <w:t>’</w:t>
      </w:r>
      <w:r w:rsidR="00EC7E32" w:rsidRPr="00F60A3D">
        <w:rPr>
          <w:lang w:val="fr-FR"/>
        </w:rPr>
        <w:t>autodétermination et la responsabilité doivent être respectés par l</w:t>
      </w:r>
      <w:r w:rsidR="00B17AE1" w:rsidRPr="00F60A3D">
        <w:rPr>
          <w:lang w:val="fr-FR"/>
        </w:rPr>
        <w:t>’</w:t>
      </w:r>
      <w:r w:rsidR="00EC7E32" w:rsidRPr="00F60A3D">
        <w:rPr>
          <w:lang w:val="fr-FR"/>
        </w:rPr>
        <w:t xml:space="preserve">État, </w:t>
      </w:r>
      <w:r w:rsidR="00C55FFE" w:rsidRPr="00F60A3D">
        <w:rPr>
          <w:lang w:val="fr-FR"/>
        </w:rPr>
        <w:t>peu</w:t>
      </w:r>
      <w:r w:rsidR="001564CA" w:rsidRPr="00F60A3D">
        <w:rPr>
          <w:lang w:val="fr-FR"/>
        </w:rPr>
        <w:t>ven</w:t>
      </w:r>
      <w:r w:rsidR="008736A3" w:rsidRPr="00F60A3D">
        <w:rPr>
          <w:lang w:val="fr-FR"/>
        </w:rPr>
        <w:t>t s</w:t>
      </w:r>
      <w:r w:rsidR="00B17AE1" w:rsidRPr="00F60A3D">
        <w:rPr>
          <w:lang w:val="fr-FR"/>
        </w:rPr>
        <w:t>’</w:t>
      </w:r>
      <w:r w:rsidR="008736A3" w:rsidRPr="00F60A3D">
        <w:rPr>
          <w:lang w:val="fr-FR"/>
        </w:rPr>
        <w:t>épanoui</w:t>
      </w:r>
      <w:r w:rsidR="00050CC9" w:rsidRPr="00F60A3D">
        <w:rPr>
          <w:lang w:val="fr-FR"/>
        </w:rPr>
        <w:t>r librement</w:t>
      </w:r>
      <w:r w:rsidR="008F721F" w:rsidRPr="00F60A3D">
        <w:rPr>
          <w:lang w:val="fr-FR"/>
        </w:rPr>
        <w:t xml:space="preserve">. </w:t>
      </w:r>
    </w:p>
    <w:p w:rsidR="008F721F" w:rsidRPr="00F60A3D" w:rsidRDefault="005B4045" w:rsidP="00DB5D9E">
      <w:pPr>
        <w:pStyle w:val="SingleTxtG"/>
        <w:rPr>
          <w:lang w:val="fr-FR"/>
        </w:rPr>
      </w:pPr>
      <w:r w:rsidRPr="00F60A3D">
        <w:rPr>
          <w:lang w:val="fr-FR"/>
        </w:rPr>
        <w:t>154</w:t>
      </w:r>
      <w:r w:rsidR="008F721F" w:rsidRPr="00F60A3D">
        <w:rPr>
          <w:lang w:val="fr-FR"/>
        </w:rPr>
        <w:t>.</w:t>
      </w:r>
      <w:r w:rsidR="008F721F" w:rsidRPr="00F60A3D">
        <w:rPr>
          <w:lang w:val="fr-FR"/>
        </w:rPr>
        <w:tab/>
        <w:t>Dans</w:t>
      </w:r>
      <w:r w:rsidR="00C55FFE" w:rsidRPr="00F60A3D">
        <w:rPr>
          <w:lang w:val="fr-FR"/>
        </w:rPr>
        <w:t xml:space="preserve"> le cadre constitutionnel</w:t>
      </w:r>
      <w:r w:rsidR="00DB3503" w:rsidRPr="00F60A3D">
        <w:rPr>
          <w:lang w:val="fr-FR"/>
        </w:rPr>
        <w:t>, l</w:t>
      </w:r>
      <w:r w:rsidR="00B17AE1" w:rsidRPr="00F60A3D">
        <w:rPr>
          <w:lang w:val="fr-FR"/>
        </w:rPr>
        <w:t>’</w:t>
      </w:r>
      <w:r w:rsidR="00DB3503" w:rsidRPr="00F60A3D">
        <w:rPr>
          <w:lang w:val="fr-FR"/>
        </w:rPr>
        <w:t>individu</w:t>
      </w:r>
      <w:r w:rsidR="0037463B" w:rsidRPr="00F60A3D">
        <w:rPr>
          <w:lang w:val="fr-FR"/>
        </w:rPr>
        <w:t xml:space="preserve"> n</w:t>
      </w:r>
      <w:r w:rsidR="00B17AE1" w:rsidRPr="00F60A3D">
        <w:rPr>
          <w:lang w:val="fr-FR"/>
        </w:rPr>
        <w:t>’</w:t>
      </w:r>
      <w:r w:rsidR="0037463B" w:rsidRPr="00F60A3D">
        <w:rPr>
          <w:lang w:val="fr-FR"/>
        </w:rPr>
        <w:t>est pas considéré</w:t>
      </w:r>
      <w:r w:rsidR="00846266" w:rsidRPr="00F60A3D">
        <w:rPr>
          <w:lang w:val="fr-FR"/>
        </w:rPr>
        <w:t xml:space="preserve"> comme une entité autonome mais comme un élément de la</w:t>
      </w:r>
      <w:r w:rsidR="00F76E20" w:rsidRPr="00F60A3D">
        <w:rPr>
          <w:lang w:val="fr-FR"/>
        </w:rPr>
        <w:t xml:space="preserve"> société à l</w:t>
      </w:r>
      <w:r w:rsidR="00DB3503" w:rsidRPr="00F60A3D">
        <w:rPr>
          <w:lang w:val="fr-FR"/>
        </w:rPr>
        <w:t>aquelle il</w:t>
      </w:r>
      <w:r w:rsidR="0037463B" w:rsidRPr="00F60A3D">
        <w:rPr>
          <w:lang w:val="fr-FR"/>
        </w:rPr>
        <w:t xml:space="preserve"> est lié</w:t>
      </w:r>
      <w:r w:rsidR="00846266" w:rsidRPr="00F60A3D">
        <w:rPr>
          <w:lang w:val="fr-FR"/>
        </w:rPr>
        <w:t xml:space="preserve"> sans atteinte</w:t>
      </w:r>
      <w:r w:rsidR="0037463B" w:rsidRPr="00F60A3D">
        <w:rPr>
          <w:lang w:val="fr-FR"/>
        </w:rPr>
        <w:t xml:space="preserve"> à sa dignité. De fait, la République reconnaît et garantit les droits de l</w:t>
      </w:r>
      <w:r w:rsidR="00B17AE1" w:rsidRPr="00F60A3D">
        <w:rPr>
          <w:lang w:val="fr-FR"/>
        </w:rPr>
        <w:t>’</w:t>
      </w:r>
      <w:r w:rsidR="0037463B" w:rsidRPr="00F60A3D">
        <w:rPr>
          <w:lang w:val="fr-FR"/>
        </w:rPr>
        <w:t xml:space="preserve">homme </w:t>
      </w:r>
      <w:r w:rsidR="00846266" w:rsidRPr="00F60A3D">
        <w:rPr>
          <w:lang w:val="fr-FR"/>
        </w:rPr>
        <w:t xml:space="preserve">et </w:t>
      </w:r>
      <w:r w:rsidR="0037463B" w:rsidRPr="00F60A3D">
        <w:rPr>
          <w:lang w:val="fr-FR"/>
        </w:rPr>
        <w:t xml:space="preserve">assure </w:t>
      </w:r>
      <w:r w:rsidR="00846266" w:rsidRPr="00F60A3D">
        <w:rPr>
          <w:lang w:val="fr-FR"/>
        </w:rPr>
        <w:t>la</w:t>
      </w:r>
      <w:r w:rsidR="0037463B" w:rsidRPr="00F60A3D">
        <w:rPr>
          <w:lang w:val="fr-FR"/>
        </w:rPr>
        <w:t xml:space="preserve"> solidarité politique</w:t>
      </w:r>
      <w:r w:rsidR="007D5EF5" w:rsidRPr="00F60A3D">
        <w:rPr>
          <w:lang w:val="fr-FR"/>
        </w:rPr>
        <w:t>, économique et sociale (</w:t>
      </w:r>
      <w:r w:rsidR="00731982" w:rsidRPr="00F60A3D">
        <w:rPr>
          <w:lang w:val="fr-FR"/>
        </w:rPr>
        <w:t>art. </w:t>
      </w:r>
      <w:r w:rsidR="0037463B" w:rsidRPr="00F60A3D">
        <w:rPr>
          <w:lang w:val="fr-FR"/>
        </w:rPr>
        <w:t>2).</w:t>
      </w:r>
      <w:r w:rsidR="00731982" w:rsidRPr="00F60A3D">
        <w:rPr>
          <w:lang w:val="fr-FR"/>
        </w:rPr>
        <w:t xml:space="preserve"> </w:t>
      </w:r>
    </w:p>
    <w:p w:rsidR="00DB5D9E" w:rsidRPr="00F60A3D" w:rsidRDefault="00DB5D9E" w:rsidP="00DB5D9E">
      <w:pPr>
        <w:pStyle w:val="H23G"/>
        <w:rPr>
          <w:lang w:val="fr-FR"/>
        </w:rPr>
      </w:pPr>
      <w:r w:rsidRPr="00F60A3D">
        <w:rPr>
          <w:lang w:val="fr-FR"/>
        </w:rPr>
        <w:tab/>
      </w:r>
      <w:r w:rsidRPr="00F60A3D">
        <w:rPr>
          <w:lang w:val="fr-FR"/>
        </w:rPr>
        <w:tab/>
      </w:r>
      <w:r w:rsidR="007A0F44" w:rsidRPr="00F60A3D">
        <w:rPr>
          <w:lang w:val="fr-FR"/>
        </w:rPr>
        <w:t>Droits aux</w:t>
      </w:r>
      <w:r w:rsidR="0037463B" w:rsidRPr="00F60A3D">
        <w:rPr>
          <w:lang w:val="fr-FR"/>
        </w:rPr>
        <w:t xml:space="preserve"> liberté</w:t>
      </w:r>
      <w:r w:rsidR="007A0F44" w:rsidRPr="00F60A3D">
        <w:rPr>
          <w:lang w:val="fr-FR"/>
        </w:rPr>
        <w:t>s</w:t>
      </w:r>
    </w:p>
    <w:p w:rsidR="003E0BED" w:rsidRPr="00F60A3D" w:rsidRDefault="005B4045" w:rsidP="00DB5D9E">
      <w:pPr>
        <w:pStyle w:val="SingleTxtG"/>
        <w:rPr>
          <w:lang w:val="fr-FR"/>
        </w:rPr>
      </w:pPr>
      <w:r w:rsidRPr="00F60A3D">
        <w:rPr>
          <w:lang w:val="fr-FR"/>
        </w:rPr>
        <w:t>155</w:t>
      </w:r>
      <w:r w:rsidR="00680CCF" w:rsidRPr="00F60A3D">
        <w:rPr>
          <w:lang w:val="fr-FR"/>
        </w:rPr>
        <w:t>.</w:t>
      </w:r>
      <w:r w:rsidR="00680CCF" w:rsidRPr="00F60A3D">
        <w:rPr>
          <w:lang w:val="fr-FR"/>
        </w:rPr>
        <w:tab/>
        <w:t>L</w:t>
      </w:r>
      <w:r w:rsidR="00F740F7" w:rsidRPr="00F60A3D">
        <w:rPr>
          <w:lang w:val="fr-FR"/>
        </w:rPr>
        <w:t>es</w:t>
      </w:r>
      <w:r w:rsidR="00CB535C" w:rsidRPr="00F60A3D">
        <w:rPr>
          <w:lang w:val="fr-FR"/>
        </w:rPr>
        <w:t xml:space="preserve"> </w:t>
      </w:r>
      <w:r w:rsidR="003E0BED" w:rsidRPr="00F60A3D">
        <w:rPr>
          <w:lang w:val="fr-FR"/>
        </w:rPr>
        <w:t>Princip</w:t>
      </w:r>
      <w:r w:rsidR="00DB5D9E" w:rsidRPr="00F60A3D">
        <w:rPr>
          <w:lang w:val="fr-FR"/>
        </w:rPr>
        <w:t>es</w:t>
      </w:r>
      <w:r w:rsidR="003E0BED" w:rsidRPr="00F60A3D">
        <w:rPr>
          <w:lang w:val="fr-FR"/>
        </w:rPr>
        <w:t xml:space="preserve"> fondamentaux</w:t>
      </w:r>
      <w:r w:rsidR="00C24E9D" w:rsidRPr="00F60A3D">
        <w:rPr>
          <w:lang w:val="fr-FR"/>
        </w:rPr>
        <w:t xml:space="preserve"> </w:t>
      </w:r>
      <w:r w:rsidR="00EC7E32" w:rsidRPr="00F60A3D">
        <w:rPr>
          <w:lang w:val="fr-FR"/>
        </w:rPr>
        <w:t>de</w:t>
      </w:r>
      <w:r w:rsidR="00CB535C" w:rsidRPr="00F60A3D">
        <w:rPr>
          <w:lang w:val="fr-FR"/>
        </w:rPr>
        <w:t xml:space="preserve"> la Constitution italienne </w:t>
      </w:r>
      <w:r w:rsidR="007D5EF5" w:rsidRPr="00F60A3D">
        <w:rPr>
          <w:lang w:val="fr-FR"/>
        </w:rPr>
        <w:t>(</w:t>
      </w:r>
      <w:r w:rsidR="00731982" w:rsidRPr="00F60A3D">
        <w:rPr>
          <w:lang w:val="fr-FR"/>
        </w:rPr>
        <w:t>art. </w:t>
      </w:r>
      <w:r w:rsidR="003E0BED" w:rsidRPr="00F60A3D">
        <w:rPr>
          <w:lang w:val="fr-FR"/>
        </w:rPr>
        <w:t>1 à 12)</w:t>
      </w:r>
      <w:r w:rsidR="00DB5D9E" w:rsidRPr="00F60A3D">
        <w:rPr>
          <w:lang w:val="fr-FR"/>
        </w:rPr>
        <w:t xml:space="preserve">, </w:t>
      </w:r>
      <w:r w:rsidR="00064676" w:rsidRPr="00F60A3D">
        <w:rPr>
          <w:lang w:val="fr-FR"/>
        </w:rPr>
        <w:t>qui mentionne</w:t>
      </w:r>
      <w:r w:rsidR="00F740F7" w:rsidRPr="00F60A3D">
        <w:rPr>
          <w:lang w:val="fr-FR"/>
        </w:rPr>
        <w:t>nt</w:t>
      </w:r>
      <w:r w:rsidR="00064676" w:rsidRPr="00F60A3D">
        <w:rPr>
          <w:lang w:val="fr-FR"/>
        </w:rPr>
        <w:t xml:space="preserve"> expressément que l</w:t>
      </w:r>
      <w:r w:rsidR="00B17AE1" w:rsidRPr="00F60A3D">
        <w:rPr>
          <w:lang w:val="fr-FR"/>
        </w:rPr>
        <w:t>’</w:t>
      </w:r>
      <w:r w:rsidR="00064676" w:rsidRPr="00F60A3D">
        <w:rPr>
          <w:lang w:val="fr-FR"/>
        </w:rPr>
        <w:t>État doit</w:t>
      </w:r>
      <w:r w:rsidR="00CB535C" w:rsidRPr="00F60A3D">
        <w:rPr>
          <w:lang w:val="fr-FR"/>
        </w:rPr>
        <w:t>,</w:t>
      </w:r>
      <w:r w:rsidR="00064676" w:rsidRPr="00F60A3D">
        <w:rPr>
          <w:lang w:val="fr-FR"/>
        </w:rPr>
        <w:t xml:space="preserve"> dans toutes ses fonctions</w:t>
      </w:r>
      <w:r w:rsidR="00CB535C" w:rsidRPr="00F60A3D">
        <w:rPr>
          <w:lang w:val="fr-FR"/>
        </w:rPr>
        <w:t>,</w:t>
      </w:r>
      <w:r w:rsidR="00064676" w:rsidRPr="00F60A3D">
        <w:rPr>
          <w:lang w:val="fr-FR"/>
        </w:rPr>
        <w:t xml:space="preserve"> respecter et protéger la dignité et l</w:t>
      </w:r>
      <w:r w:rsidR="00B17AE1" w:rsidRPr="00F60A3D">
        <w:rPr>
          <w:lang w:val="fr-FR"/>
        </w:rPr>
        <w:t>’</w:t>
      </w:r>
      <w:r w:rsidR="007D5EF5" w:rsidRPr="00F60A3D">
        <w:rPr>
          <w:lang w:val="fr-FR"/>
        </w:rPr>
        <w:t>égalité de l</w:t>
      </w:r>
      <w:r w:rsidR="00B17AE1" w:rsidRPr="00F60A3D">
        <w:rPr>
          <w:lang w:val="fr-FR"/>
        </w:rPr>
        <w:t>’</w:t>
      </w:r>
      <w:r w:rsidR="007D5EF5" w:rsidRPr="00F60A3D">
        <w:rPr>
          <w:lang w:val="fr-FR"/>
        </w:rPr>
        <w:t>individu (</w:t>
      </w:r>
      <w:r w:rsidR="00731982" w:rsidRPr="00F60A3D">
        <w:rPr>
          <w:lang w:val="fr-FR"/>
        </w:rPr>
        <w:t>art. </w:t>
      </w:r>
      <w:r w:rsidR="002C4532" w:rsidRPr="00F60A3D">
        <w:rPr>
          <w:lang w:val="fr-FR"/>
        </w:rPr>
        <w:t>2 et 3), englobe</w:t>
      </w:r>
      <w:r w:rsidR="00F740F7" w:rsidRPr="00F60A3D">
        <w:rPr>
          <w:lang w:val="fr-FR"/>
        </w:rPr>
        <w:t>nt</w:t>
      </w:r>
      <w:r w:rsidR="002C4532" w:rsidRPr="00F60A3D">
        <w:rPr>
          <w:lang w:val="fr-FR"/>
        </w:rPr>
        <w:t xml:space="preserve"> les </w:t>
      </w:r>
      <w:r w:rsidR="00731982" w:rsidRPr="00F60A3D">
        <w:rPr>
          <w:lang w:val="fr-FR"/>
        </w:rPr>
        <w:t>«</w:t>
      </w:r>
      <w:r w:rsidR="00064676" w:rsidRPr="00F60A3D">
        <w:rPr>
          <w:lang w:val="fr-FR"/>
        </w:rPr>
        <w:t>p</w:t>
      </w:r>
      <w:r w:rsidR="002C4532" w:rsidRPr="00F60A3D">
        <w:rPr>
          <w:lang w:val="fr-FR"/>
        </w:rPr>
        <w:t>rincipes suprêmes</w:t>
      </w:r>
      <w:r w:rsidR="00731982" w:rsidRPr="00F60A3D">
        <w:rPr>
          <w:lang w:val="fr-FR"/>
        </w:rPr>
        <w:t xml:space="preserve">» </w:t>
      </w:r>
      <w:r w:rsidR="00D95E71" w:rsidRPr="00F60A3D">
        <w:rPr>
          <w:lang w:val="fr-FR"/>
        </w:rPr>
        <w:t>et vien</w:t>
      </w:r>
      <w:r w:rsidR="00F740F7" w:rsidRPr="00F60A3D">
        <w:rPr>
          <w:lang w:val="fr-FR"/>
        </w:rPr>
        <w:t>nen</w:t>
      </w:r>
      <w:r w:rsidR="00D95E71" w:rsidRPr="00F60A3D">
        <w:rPr>
          <w:lang w:val="fr-FR"/>
        </w:rPr>
        <w:t>t en tête de</w:t>
      </w:r>
      <w:r w:rsidR="00A53A18" w:rsidRPr="00F60A3D">
        <w:rPr>
          <w:lang w:val="fr-FR"/>
        </w:rPr>
        <w:t xml:space="preserve"> </w:t>
      </w:r>
      <w:r w:rsidR="007F025D" w:rsidRPr="00F60A3D">
        <w:rPr>
          <w:lang w:val="fr-FR"/>
        </w:rPr>
        <w:t xml:space="preserve">la liste </w:t>
      </w:r>
      <w:r w:rsidR="00D713E1" w:rsidRPr="00F60A3D">
        <w:rPr>
          <w:lang w:val="fr-FR"/>
        </w:rPr>
        <w:t>d</w:t>
      </w:r>
      <w:r w:rsidR="003D21EB" w:rsidRPr="00F60A3D">
        <w:rPr>
          <w:lang w:val="fr-FR"/>
        </w:rPr>
        <w:t>e</w:t>
      </w:r>
      <w:r w:rsidR="00D95E71" w:rsidRPr="00F60A3D">
        <w:rPr>
          <w:lang w:val="fr-FR"/>
        </w:rPr>
        <w:t>s droits fondamentaux</w:t>
      </w:r>
      <w:r w:rsidR="00A53A18" w:rsidRPr="00F60A3D">
        <w:rPr>
          <w:lang w:val="fr-FR"/>
        </w:rPr>
        <w:t>.</w:t>
      </w:r>
      <w:r w:rsidR="00731982" w:rsidRPr="00F60A3D">
        <w:rPr>
          <w:lang w:val="fr-FR"/>
        </w:rPr>
        <w:t xml:space="preserve"> </w:t>
      </w:r>
    </w:p>
    <w:p w:rsidR="00CB535C" w:rsidRPr="00F60A3D" w:rsidRDefault="005B4045" w:rsidP="00DB5D9E">
      <w:pPr>
        <w:pStyle w:val="SingleTxtG"/>
        <w:rPr>
          <w:lang w:val="fr-FR"/>
        </w:rPr>
      </w:pPr>
      <w:r w:rsidRPr="00F60A3D">
        <w:rPr>
          <w:lang w:val="fr-FR"/>
        </w:rPr>
        <w:t>156</w:t>
      </w:r>
      <w:r w:rsidR="003A07E9" w:rsidRPr="00F60A3D">
        <w:rPr>
          <w:lang w:val="fr-FR"/>
        </w:rPr>
        <w:t>.</w:t>
      </w:r>
      <w:r w:rsidR="003A07E9" w:rsidRPr="00F60A3D">
        <w:rPr>
          <w:lang w:val="fr-FR"/>
        </w:rPr>
        <w:tab/>
        <w:t xml:space="preserve">Ces droits </w:t>
      </w:r>
      <w:r w:rsidR="00CB535C" w:rsidRPr="00F60A3D">
        <w:rPr>
          <w:lang w:val="fr-FR"/>
        </w:rPr>
        <w:t>sont gara</w:t>
      </w:r>
      <w:r w:rsidR="00DB3503" w:rsidRPr="00F60A3D">
        <w:rPr>
          <w:lang w:val="fr-FR"/>
        </w:rPr>
        <w:t>ntis à tous. La Constitution</w:t>
      </w:r>
      <w:r w:rsidR="00CB535C" w:rsidRPr="00F60A3D">
        <w:rPr>
          <w:lang w:val="fr-FR"/>
        </w:rPr>
        <w:t xml:space="preserve"> dispose que tous les citoyens jouissent de droits égaux et sont égaux devant la loi, sans distinction de sexe, de race,</w:t>
      </w:r>
      <w:r w:rsidR="00C24E9D" w:rsidRPr="00F60A3D">
        <w:rPr>
          <w:lang w:val="fr-FR"/>
        </w:rPr>
        <w:t xml:space="preserve"> de langue, </w:t>
      </w:r>
      <w:r w:rsidR="00CB535C" w:rsidRPr="00F60A3D">
        <w:rPr>
          <w:lang w:val="fr-FR"/>
        </w:rPr>
        <w:t>de religion, d</w:t>
      </w:r>
      <w:r w:rsidR="00B17AE1" w:rsidRPr="00F60A3D">
        <w:rPr>
          <w:lang w:val="fr-FR"/>
        </w:rPr>
        <w:t>’</w:t>
      </w:r>
      <w:r w:rsidR="00CB535C" w:rsidRPr="00F60A3D">
        <w:rPr>
          <w:lang w:val="fr-FR"/>
        </w:rPr>
        <w:t>opinions politiques et de conditions personnelles ou sociales (</w:t>
      </w:r>
      <w:r w:rsidR="00731982" w:rsidRPr="00F60A3D">
        <w:rPr>
          <w:lang w:val="fr-FR"/>
        </w:rPr>
        <w:t>art. </w:t>
      </w:r>
      <w:r w:rsidR="00CB535C" w:rsidRPr="00F60A3D">
        <w:rPr>
          <w:lang w:val="fr-FR"/>
        </w:rPr>
        <w:t xml:space="preserve">3). </w:t>
      </w:r>
    </w:p>
    <w:p w:rsidR="00CB535C" w:rsidRPr="00F60A3D" w:rsidRDefault="00224935" w:rsidP="00693F8E">
      <w:pPr>
        <w:pStyle w:val="SingleTxtG"/>
        <w:rPr>
          <w:lang w:val="fr-FR"/>
        </w:rPr>
      </w:pPr>
      <w:r w:rsidRPr="00F60A3D">
        <w:rPr>
          <w:lang w:val="fr-FR"/>
        </w:rPr>
        <w:t>157.</w:t>
      </w:r>
      <w:r w:rsidR="001D2CCC" w:rsidRPr="00F60A3D">
        <w:rPr>
          <w:lang w:val="fr-FR"/>
        </w:rPr>
        <w:tab/>
      </w:r>
      <w:r w:rsidR="00C24E9D" w:rsidRPr="00F60A3D">
        <w:rPr>
          <w:lang w:val="fr-FR"/>
        </w:rPr>
        <w:t xml:space="preserve">Plus précisément, </w:t>
      </w:r>
      <w:r w:rsidR="00731982" w:rsidRPr="00F60A3D">
        <w:rPr>
          <w:lang w:val="fr-FR"/>
        </w:rPr>
        <w:t>«</w:t>
      </w:r>
      <w:r w:rsidR="00CB535C" w:rsidRPr="00F60A3D">
        <w:rPr>
          <w:lang w:val="fr-FR"/>
        </w:rPr>
        <w:t>Il appartient à la République d</w:t>
      </w:r>
      <w:r w:rsidR="00B17AE1" w:rsidRPr="00F60A3D">
        <w:rPr>
          <w:lang w:val="fr-FR"/>
        </w:rPr>
        <w:t>’</w:t>
      </w:r>
      <w:r w:rsidR="00CB535C" w:rsidRPr="00F60A3D">
        <w:rPr>
          <w:lang w:val="fr-FR"/>
        </w:rPr>
        <w:t>éliminer les obstacles d</w:t>
      </w:r>
      <w:r w:rsidR="00B17AE1" w:rsidRPr="00F60A3D">
        <w:rPr>
          <w:lang w:val="fr-FR"/>
        </w:rPr>
        <w:t>’</w:t>
      </w:r>
      <w:r w:rsidR="00CB535C" w:rsidRPr="00F60A3D">
        <w:rPr>
          <w:lang w:val="fr-FR"/>
        </w:rPr>
        <w:t>ordre économique ou social, qui en limitant de fait la liberté et l</w:t>
      </w:r>
      <w:r w:rsidR="00B17AE1" w:rsidRPr="00F60A3D">
        <w:rPr>
          <w:lang w:val="fr-FR"/>
        </w:rPr>
        <w:t>’</w:t>
      </w:r>
      <w:r w:rsidR="00CB535C" w:rsidRPr="00F60A3D">
        <w:rPr>
          <w:lang w:val="fr-FR"/>
        </w:rPr>
        <w:t>égalité des citoyens, entravent le plein développement de la personne humaine et la participation effective de tous les travailleurs à l</w:t>
      </w:r>
      <w:r w:rsidR="00B17AE1" w:rsidRPr="00F60A3D">
        <w:rPr>
          <w:lang w:val="fr-FR"/>
        </w:rPr>
        <w:t>’</w:t>
      </w:r>
      <w:r w:rsidR="00CB535C" w:rsidRPr="00F60A3D">
        <w:rPr>
          <w:lang w:val="fr-FR"/>
        </w:rPr>
        <w:t>organisation politique, économiqu</w:t>
      </w:r>
      <w:r w:rsidR="000C3CE1" w:rsidRPr="00F60A3D">
        <w:rPr>
          <w:lang w:val="fr-FR"/>
        </w:rPr>
        <w:t>e et sociale du pays (</w:t>
      </w:r>
      <w:r w:rsidR="00731982" w:rsidRPr="00F60A3D">
        <w:rPr>
          <w:lang w:val="fr-FR"/>
        </w:rPr>
        <w:t>art. </w:t>
      </w:r>
      <w:r w:rsidR="007D5EF5" w:rsidRPr="00F60A3D">
        <w:rPr>
          <w:lang w:val="fr-FR"/>
        </w:rPr>
        <w:t>3</w:t>
      </w:r>
      <w:r w:rsidR="00E753FB" w:rsidRPr="00F60A3D">
        <w:rPr>
          <w:lang w:val="fr-FR"/>
        </w:rPr>
        <w:t xml:space="preserve">, </w:t>
      </w:r>
      <w:r w:rsidR="00B17AE1" w:rsidRPr="00F60A3D">
        <w:rPr>
          <w:lang w:val="fr-FR"/>
        </w:rPr>
        <w:t>par. </w:t>
      </w:r>
      <w:r w:rsidR="007D5EF5" w:rsidRPr="00F60A3D">
        <w:rPr>
          <w:lang w:val="fr-FR"/>
        </w:rPr>
        <w:t>2)</w:t>
      </w:r>
      <w:r w:rsidR="00F740F7" w:rsidRPr="00F60A3D">
        <w:rPr>
          <w:lang w:val="fr-FR"/>
        </w:rPr>
        <w:t>.</w:t>
      </w:r>
      <w:r w:rsidR="00731982" w:rsidRPr="00F60A3D">
        <w:rPr>
          <w:lang w:val="fr-FR"/>
        </w:rPr>
        <w:t>»</w:t>
      </w:r>
    </w:p>
    <w:p w:rsidR="00520687" w:rsidRPr="00F60A3D" w:rsidRDefault="005B4045" w:rsidP="00DB5D9E">
      <w:pPr>
        <w:pStyle w:val="SingleTxtG"/>
        <w:rPr>
          <w:lang w:val="fr-FR"/>
        </w:rPr>
      </w:pPr>
      <w:r w:rsidRPr="00F60A3D">
        <w:rPr>
          <w:lang w:val="fr-FR"/>
        </w:rPr>
        <w:t>158</w:t>
      </w:r>
      <w:r w:rsidR="000C3CE1" w:rsidRPr="00F60A3D">
        <w:rPr>
          <w:lang w:val="fr-FR"/>
        </w:rPr>
        <w:t>.</w:t>
      </w:r>
      <w:r w:rsidR="000C3CE1" w:rsidRPr="00F60A3D">
        <w:rPr>
          <w:lang w:val="fr-FR"/>
        </w:rPr>
        <w:tab/>
        <w:t>L</w:t>
      </w:r>
      <w:r w:rsidR="00520687" w:rsidRPr="00F60A3D">
        <w:rPr>
          <w:lang w:val="fr-FR"/>
        </w:rPr>
        <w:t xml:space="preserve">es droits fondamentaux sont </w:t>
      </w:r>
      <w:r w:rsidR="000C3CE1" w:rsidRPr="00F60A3D">
        <w:rPr>
          <w:lang w:val="fr-FR"/>
        </w:rPr>
        <w:t>ainsi les suivants</w:t>
      </w:r>
      <w:r w:rsidR="00731982" w:rsidRPr="00F60A3D">
        <w:rPr>
          <w:lang w:val="fr-FR"/>
        </w:rPr>
        <w:t>:</w:t>
      </w:r>
      <w:r w:rsidR="000C3CE1" w:rsidRPr="00F60A3D">
        <w:rPr>
          <w:lang w:val="fr-FR"/>
        </w:rPr>
        <w:t xml:space="preserve"> </w:t>
      </w:r>
      <w:r w:rsidR="00520687" w:rsidRPr="00F60A3D">
        <w:rPr>
          <w:lang w:val="fr-FR"/>
        </w:rPr>
        <w:t>le droit à la vie, à l</w:t>
      </w:r>
      <w:r w:rsidR="00B17AE1" w:rsidRPr="00F60A3D">
        <w:rPr>
          <w:lang w:val="fr-FR"/>
        </w:rPr>
        <w:t>’</w:t>
      </w:r>
      <w:r w:rsidR="00520687" w:rsidRPr="00F60A3D">
        <w:rPr>
          <w:lang w:val="fr-FR"/>
        </w:rPr>
        <w:t xml:space="preserve">intégrité physique, et à </w:t>
      </w:r>
      <w:r w:rsidR="007D5EF5" w:rsidRPr="00F60A3D">
        <w:rPr>
          <w:lang w:val="fr-FR"/>
        </w:rPr>
        <w:t>la liberté individuelle (</w:t>
      </w:r>
      <w:r w:rsidR="00731982" w:rsidRPr="00F60A3D">
        <w:rPr>
          <w:lang w:val="fr-FR"/>
        </w:rPr>
        <w:t>art. </w:t>
      </w:r>
      <w:r w:rsidR="00520687" w:rsidRPr="00F60A3D">
        <w:rPr>
          <w:lang w:val="fr-FR"/>
        </w:rPr>
        <w:t>13), le droit à l</w:t>
      </w:r>
      <w:r w:rsidR="00B17AE1" w:rsidRPr="00F60A3D">
        <w:rPr>
          <w:lang w:val="fr-FR"/>
        </w:rPr>
        <w:t>’</w:t>
      </w:r>
      <w:r w:rsidR="00520687" w:rsidRPr="00F60A3D">
        <w:rPr>
          <w:lang w:val="fr-FR"/>
        </w:rPr>
        <w:t>égalité de traitement, notamment à l</w:t>
      </w:r>
      <w:r w:rsidR="00B17AE1" w:rsidRPr="00F60A3D">
        <w:rPr>
          <w:lang w:val="fr-FR"/>
        </w:rPr>
        <w:t>’</w:t>
      </w:r>
      <w:r w:rsidR="00520687" w:rsidRPr="00F60A3D">
        <w:rPr>
          <w:lang w:val="fr-FR"/>
        </w:rPr>
        <w:t>égalité des droits des hommes et des femmes</w:t>
      </w:r>
      <w:r w:rsidR="007D5EF5" w:rsidRPr="00F60A3D">
        <w:rPr>
          <w:lang w:val="fr-FR"/>
        </w:rPr>
        <w:t xml:space="preserve"> dans tous les domaines (</w:t>
      </w:r>
      <w:r w:rsidR="00731982" w:rsidRPr="00F60A3D">
        <w:rPr>
          <w:lang w:val="fr-FR"/>
        </w:rPr>
        <w:t>art. </w:t>
      </w:r>
      <w:r w:rsidR="00520687" w:rsidRPr="00F60A3D">
        <w:rPr>
          <w:lang w:val="fr-FR"/>
        </w:rPr>
        <w:t>3), le droit à la liber</w:t>
      </w:r>
      <w:r w:rsidR="007D5EF5" w:rsidRPr="00F60A3D">
        <w:rPr>
          <w:lang w:val="fr-FR"/>
        </w:rPr>
        <w:t>té de circulation (</w:t>
      </w:r>
      <w:r w:rsidR="00731982" w:rsidRPr="00F60A3D">
        <w:rPr>
          <w:lang w:val="fr-FR"/>
        </w:rPr>
        <w:t>art. </w:t>
      </w:r>
      <w:r w:rsidR="00C24E9D" w:rsidRPr="00F60A3D">
        <w:rPr>
          <w:lang w:val="fr-FR"/>
        </w:rPr>
        <w:t xml:space="preserve">16) </w:t>
      </w:r>
      <w:r w:rsidR="00520687" w:rsidRPr="00F60A3D">
        <w:rPr>
          <w:lang w:val="fr-FR"/>
        </w:rPr>
        <w:t>et les droits à la liberté de</w:t>
      </w:r>
      <w:r w:rsidR="007D5EF5" w:rsidRPr="00F60A3D">
        <w:rPr>
          <w:lang w:val="fr-FR"/>
        </w:rPr>
        <w:t xml:space="preserve"> conscience et de culte (</w:t>
      </w:r>
      <w:r w:rsidR="00731982" w:rsidRPr="00F60A3D">
        <w:rPr>
          <w:lang w:val="fr-FR"/>
        </w:rPr>
        <w:t>art. </w:t>
      </w:r>
      <w:r w:rsidR="00520687" w:rsidRPr="00F60A3D">
        <w:rPr>
          <w:lang w:val="fr-FR"/>
        </w:rPr>
        <w:t>19), comme le droit d</w:t>
      </w:r>
      <w:r w:rsidR="00B17AE1" w:rsidRPr="00F60A3D">
        <w:rPr>
          <w:lang w:val="fr-FR"/>
        </w:rPr>
        <w:t>’</w:t>
      </w:r>
      <w:r w:rsidR="00520687" w:rsidRPr="00F60A3D">
        <w:rPr>
          <w:lang w:val="fr-FR"/>
        </w:rPr>
        <w:t>exprimer et de diffuser librement ses opinions, qui inclut la liberté de p</w:t>
      </w:r>
      <w:r w:rsidR="007D5EF5" w:rsidRPr="00F60A3D">
        <w:rPr>
          <w:lang w:val="fr-FR"/>
        </w:rPr>
        <w:t>resse (</w:t>
      </w:r>
      <w:r w:rsidR="00731982" w:rsidRPr="00F60A3D">
        <w:rPr>
          <w:lang w:val="fr-FR"/>
        </w:rPr>
        <w:t>art. </w:t>
      </w:r>
      <w:r w:rsidR="00300E06" w:rsidRPr="00F60A3D">
        <w:rPr>
          <w:lang w:val="fr-FR"/>
        </w:rPr>
        <w:t>21). D</w:t>
      </w:r>
      <w:r w:rsidR="00520687" w:rsidRPr="00F60A3D">
        <w:rPr>
          <w:lang w:val="fr-FR"/>
        </w:rPr>
        <w:t xml:space="preserve">es </w:t>
      </w:r>
      <w:r w:rsidR="00300E06" w:rsidRPr="00F60A3D">
        <w:rPr>
          <w:lang w:val="fr-FR"/>
        </w:rPr>
        <w:t>g</w:t>
      </w:r>
      <w:r w:rsidR="00520687" w:rsidRPr="00F60A3D">
        <w:rPr>
          <w:lang w:val="fr-FR"/>
        </w:rPr>
        <w:t xml:space="preserve">aranties </w:t>
      </w:r>
      <w:r w:rsidR="00300E06" w:rsidRPr="00F60A3D">
        <w:rPr>
          <w:lang w:val="fr-FR"/>
        </w:rPr>
        <w:t>spéciales pour les familles comme pour l</w:t>
      </w:r>
      <w:r w:rsidR="00B17AE1" w:rsidRPr="00F60A3D">
        <w:rPr>
          <w:lang w:val="fr-FR"/>
        </w:rPr>
        <w:t>’</w:t>
      </w:r>
      <w:r w:rsidR="00300E06" w:rsidRPr="00F60A3D">
        <w:rPr>
          <w:lang w:val="fr-FR"/>
        </w:rPr>
        <w:t>accès à l</w:t>
      </w:r>
      <w:r w:rsidR="00B17AE1" w:rsidRPr="00F60A3D">
        <w:rPr>
          <w:lang w:val="fr-FR"/>
        </w:rPr>
        <w:t>’</w:t>
      </w:r>
      <w:r w:rsidR="00300E06" w:rsidRPr="00F60A3D">
        <w:rPr>
          <w:lang w:val="fr-FR"/>
        </w:rPr>
        <w:t xml:space="preserve">éducation et au marché du travail sont consacrées et inscrites dans la première partie de la Constitution italienne. </w:t>
      </w:r>
    </w:p>
    <w:p w:rsidR="00300E06" w:rsidRPr="00F60A3D" w:rsidRDefault="00300E06" w:rsidP="00184957">
      <w:pPr>
        <w:pStyle w:val="Bullet1G"/>
      </w:pPr>
      <w:r w:rsidRPr="00F60A3D">
        <w:t xml:space="preserve">Hormis les dispositions relatives au droit à </w:t>
      </w:r>
      <w:r w:rsidR="00E4009D" w:rsidRPr="00F60A3D">
        <w:t>la liberté d</w:t>
      </w:r>
      <w:r w:rsidR="00B17AE1" w:rsidRPr="00F60A3D">
        <w:t>’</w:t>
      </w:r>
      <w:r w:rsidR="00E4009D" w:rsidRPr="00F60A3D">
        <w:t>expression (</w:t>
      </w:r>
      <w:r w:rsidR="00731982" w:rsidRPr="00F60A3D">
        <w:t>art. </w:t>
      </w:r>
      <w:r w:rsidRPr="00F60A3D">
        <w:t>21), le droit à la liberté de ré</w:t>
      </w:r>
      <w:r w:rsidR="00E4009D" w:rsidRPr="00F60A3D">
        <w:t>union et d</w:t>
      </w:r>
      <w:r w:rsidR="00B17AE1" w:rsidRPr="00F60A3D">
        <w:t>’</w:t>
      </w:r>
      <w:r w:rsidR="00E4009D" w:rsidRPr="00F60A3D">
        <w:t>association (</w:t>
      </w:r>
      <w:r w:rsidR="00731982" w:rsidRPr="00F60A3D">
        <w:t>art. </w:t>
      </w:r>
      <w:r w:rsidRPr="00F60A3D">
        <w:t>17 et 18) complété par le droit de forme</w:t>
      </w:r>
      <w:r w:rsidR="00E4009D" w:rsidRPr="00F60A3D">
        <w:t>r des partis politiques (</w:t>
      </w:r>
      <w:r w:rsidR="00731982" w:rsidRPr="00F60A3D">
        <w:t>art. </w:t>
      </w:r>
      <w:r w:rsidRPr="00F60A3D">
        <w:t xml:space="preserve">49), sont garantis à tous les ressortissants italiens; </w:t>
      </w:r>
    </w:p>
    <w:p w:rsidR="00DB5D9E" w:rsidRPr="00F60A3D" w:rsidRDefault="003A07E9" w:rsidP="002830B6">
      <w:pPr>
        <w:pStyle w:val="Bullet1G"/>
      </w:pPr>
      <w:r w:rsidRPr="00F60A3D">
        <w:t>L</w:t>
      </w:r>
      <w:r w:rsidR="00B17AE1" w:rsidRPr="00F60A3D">
        <w:t>’</w:t>
      </w:r>
      <w:r w:rsidR="00D26282" w:rsidRPr="00F60A3D">
        <w:t>article </w:t>
      </w:r>
      <w:r w:rsidR="00300E06" w:rsidRPr="00F60A3D">
        <w:t xml:space="preserve">15 garantit </w:t>
      </w:r>
      <w:r w:rsidRPr="00F60A3D">
        <w:t xml:space="preserve">sans distinction de nationalité </w:t>
      </w:r>
      <w:r w:rsidR="00300E06" w:rsidRPr="00F60A3D">
        <w:t>l</w:t>
      </w:r>
      <w:r w:rsidR="00B17AE1" w:rsidRPr="00F60A3D">
        <w:t>’</w:t>
      </w:r>
      <w:r w:rsidR="00300E06" w:rsidRPr="00F60A3D">
        <w:t>inviolabilité du secret de la correspondance et des télécommunications;</w:t>
      </w:r>
      <w:r w:rsidR="00731982" w:rsidRPr="00F60A3D">
        <w:t xml:space="preserve"> </w:t>
      </w:r>
    </w:p>
    <w:p w:rsidR="00DB5D9E" w:rsidRPr="00F60A3D" w:rsidRDefault="00300E06" w:rsidP="00184957">
      <w:pPr>
        <w:pStyle w:val="Bullet1G"/>
      </w:pPr>
      <w:r w:rsidRPr="00F60A3D">
        <w:t>L</w:t>
      </w:r>
      <w:r w:rsidR="00B17AE1" w:rsidRPr="00F60A3D">
        <w:t>’</w:t>
      </w:r>
      <w:r w:rsidR="00D26282" w:rsidRPr="00F60A3D">
        <w:t>article </w:t>
      </w:r>
      <w:r w:rsidR="00550D71" w:rsidRPr="00F60A3D">
        <w:t>14 sou</w:t>
      </w:r>
      <w:r w:rsidRPr="00F60A3D">
        <w:t>li</w:t>
      </w:r>
      <w:r w:rsidR="00550D71" w:rsidRPr="00F60A3D">
        <w:t>g</w:t>
      </w:r>
      <w:r w:rsidRPr="00F60A3D">
        <w:t>ne l</w:t>
      </w:r>
      <w:r w:rsidR="00B17AE1" w:rsidRPr="00F60A3D">
        <w:t>’</w:t>
      </w:r>
      <w:r w:rsidRPr="00F60A3D">
        <w:t>inviolabilité du domicile</w:t>
      </w:r>
      <w:r w:rsidR="00DB5D9E" w:rsidRPr="00F60A3D">
        <w:t xml:space="preserve">. </w:t>
      </w:r>
    </w:p>
    <w:p w:rsidR="00DB5D9E" w:rsidRPr="00F60A3D" w:rsidRDefault="00A02507" w:rsidP="00184957">
      <w:pPr>
        <w:pStyle w:val="Bullet1G"/>
      </w:pPr>
      <w:r w:rsidRPr="00F60A3D">
        <w:t>Et, de façon</w:t>
      </w:r>
      <w:r w:rsidR="00550D71" w:rsidRPr="00F60A3D">
        <w:t xml:space="preserve"> générale, le droit à la propriété est protégé par l</w:t>
      </w:r>
      <w:r w:rsidR="00B17AE1" w:rsidRPr="00F60A3D">
        <w:t>’</w:t>
      </w:r>
      <w:r w:rsidR="00D26282" w:rsidRPr="00F60A3D">
        <w:t>article </w:t>
      </w:r>
      <w:r w:rsidR="00550D71" w:rsidRPr="00F60A3D">
        <w:t xml:space="preserve">42. </w:t>
      </w:r>
    </w:p>
    <w:p w:rsidR="00360227" w:rsidRPr="00F60A3D" w:rsidRDefault="00F21423" w:rsidP="00DB5D9E">
      <w:pPr>
        <w:pStyle w:val="SingleTxtG"/>
        <w:rPr>
          <w:lang w:val="fr-FR"/>
        </w:rPr>
      </w:pPr>
      <w:r w:rsidRPr="00F60A3D">
        <w:rPr>
          <w:lang w:val="fr-FR"/>
        </w:rPr>
        <w:lastRenderedPageBreak/>
        <w:t>159</w:t>
      </w:r>
      <w:r w:rsidR="00360227" w:rsidRPr="00F60A3D">
        <w:rPr>
          <w:lang w:val="fr-FR"/>
        </w:rPr>
        <w:t>.</w:t>
      </w:r>
      <w:r w:rsidR="00360227" w:rsidRPr="00F60A3D">
        <w:rPr>
          <w:lang w:val="fr-FR"/>
        </w:rPr>
        <w:tab/>
        <w:t>En tant que</w:t>
      </w:r>
      <w:r w:rsidR="00DB5D9E" w:rsidRPr="00F60A3D">
        <w:rPr>
          <w:lang w:val="fr-FR"/>
        </w:rPr>
        <w:t xml:space="preserve"> </w:t>
      </w:r>
      <w:r w:rsidR="00DB5D9E" w:rsidRPr="00F60A3D">
        <w:rPr>
          <w:i/>
          <w:lang w:val="fr-FR"/>
        </w:rPr>
        <w:t>pendant naturel</w:t>
      </w:r>
      <w:r w:rsidR="00DB5D9E" w:rsidRPr="00F60A3D">
        <w:rPr>
          <w:lang w:val="fr-FR"/>
        </w:rPr>
        <w:t xml:space="preserve"> </w:t>
      </w:r>
      <w:r w:rsidR="0018379D" w:rsidRPr="00F60A3D">
        <w:rPr>
          <w:lang w:val="fr-FR"/>
        </w:rPr>
        <w:t>au principe d</w:t>
      </w:r>
      <w:r w:rsidR="00B17AE1" w:rsidRPr="00F60A3D">
        <w:rPr>
          <w:lang w:val="fr-FR"/>
        </w:rPr>
        <w:t>’</w:t>
      </w:r>
      <w:r w:rsidR="0018379D" w:rsidRPr="00F60A3D">
        <w:rPr>
          <w:lang w:val="fr-FR"/>
        </w:rPr>
        <w:t>égalité (</w:t>
      </w:r>
      <w:r w:rsidR="00731982" w:rsidRPr="00F60A3D">
        <w:rPr>
          <w:lang w:val="fr-FR"/>
        </w:rPr>
        <w:t>art. </w:t>
      </w:r>
      <w:r w:rsidR="00360227" w:rsidRPr="00F60A3D">
        <w:rPr>
          <w:lang w:val="fr-FR"/>
        </w:rPr>
        <w:t>3), l</w:t>
      </w:r>
      <w:r w:rsidR="00B17AE1" w:rsidRPr="00F60A3D">
        <w:rPr>
          <w:lang w:val="fr-FR"/>
        </w:rPr>
        <w:t>’</w:t>
      </w:r>
      <w:r w:rsidR="00D26282" w:rsidRPr="00F60A3D">
        <w:rPr>
          <w:lang w:val="fr-FR"/>
        </w:rPr>
        <w:t>article </w:t>
      </w:r>
      <w:r w:rsidR="00360227" w:rsidRPr="00F60A3D">
        <w:rPr>
          <w:lang w:val="fr-FR"/>
        </w:rPr>
        <w:t>10 prévoit le principe de respect des non-citoyens, des demandeurs d</w:t>
      </w:r>
      <w:r w:rsidR="00B17AE1" w:rsidRPr="00F60A3D">
        <w:rPr>
          <w:lang w:val="fr-FR"/>
        </w:rPr>
        <w:t>’</w:t>
      </w:r>
      <w:r w:rsidR="00360227" w:rsidRPr="00F60A3D">
        <w:rPr>
          <w:lang w:val="fr-FR"/>
        </w:rPr>
        <w:t>asile, et de manière générale, des étrangers.</w:t>
      </w:r>
      <w:r w:rsidR="00731982" w:rsidRPr="00F60A3D">
        <w:rPr>
          <w:lang w:val="fr-FR"/>
        </w:rPr>
        <w:t xml:space="preserve"> </w:t>
      </w:r>
    </w:p>
    <w:p w:rsidR="00360227" w:rsidRPr="00F60A3D" w:rsidRDefault="00224935" w:rsidP="00693F8E">
      <w:pPr>
        <w:pStyle w:val="SingleTxtG"/>
        <w:rPr>
          <w:lang w:val="fr-FR"/>
        </w:rPr>
      </w:pPr>
      <w:r w:rsidRPr="00F60A3D">
        <w:rPr>
          <w:lang w:val="fr-FR"/>
        </w:rPr>
        <w:t>160.</w:t>
      </w:r>
      <w:r w:rsidR="001D2CCC" w:rsidRPr="00F60A3D">
        <w:rPr>
          <w:lang w:val="fr-FR"/>
        </w:rPr>
        <w:tab/>
      </w:r>
      <w:r w:rsidR="00DB5D9E" w:rsidRPr="00F60A3D">
        <w:rPr>
          <w:lang w:val="fr-FR"/>
        </w:rPr>
        <w:t>I</w:t>
      </w:r>
      <w:r w:rsidR="00050CC9" w:rsidRPr="00F60A3D">
        <w:rPr>
          <w:lang w:val="fr-FR"/>
        </w:rPr>
        <w:t xml:space="preserve">l dispose ce qui suit: </w:t>
      </w:r>
      <w:r w:rsidR="00731982" w:rsidRPr="00F60A3D">
        <w:rPr>
          <w:lang w:val="fr-FR"/>
        </w:rPr>
        <w:t>«</w:t>
      </w:r>
      <w:r w:rsidR="00360227" w:rsidRPr="00F60A3D">
        <w:rPr>
          <w:lang w:val="fr-FR"/>
        </w:rPr>
        <w:t>Aucun ressortissant italien ne peut être privé de la nationalité italienne o</w:t>
      </w:r>
      <w:r w:rsidR="00050CC9" w:rsidRPr="00F60A3D">
        <w:rPr>
          <w:lang w:val="fr-FR"/>
        </w:rPr>
        <w:t>u extradé vers un pays étranger</w:t>
      </w:r>
      <w:r w:rsidR="00731982" w:rsidRPr="00F60A3D">
        <w:rPr>
          <w:lang w:val="fr-FR"/>
        </w:rPr>
        <w:t>»</w:t>
      </w:r>
      <w:r w:rsidR="00360227" w:rsidRPr="00F60A3D">
        <w:rPr>
          <w:lang w:val="fr-FR"/>
        </w:rPr>
        <w:t xml:space="preserve">. Quiconque est politiquement </w:t>
      </w:r>
      <w:r w:rsidR="006A35D8" w:rsidRPr="00F60A3D">
        <w:rPr>
          <w:lang w:val="fr-FR"/>
        </w:rPr>
        <w:t>persécuté</w:t>
      </w:r>
      <w:r w:rsidR="00360227" w:rsidRPr="00F60A3D">
        <w:rPr>
          <w:lang w:val="fr-FR"/>
        </w:rPr>
        <w:t xml:space="preserve"> ou privé de l</w:t>
      </w:r>
      <w:r w:rsidR="00B17AE1" w:rsidRPr="00F60A3D">
        <w:rPr>
          <w:lang w:val="fr-FR"/>
        </w:rPr>
        <w:t>’</w:t>
      </w:r>
      <w:r w:rsidR="00360227" w:rsidRPr="00F60A3D">
        <w:rPr>
          <w:lang w:val="fr-FR"/>
        </w:rPr>
        <w:t>exercice des libertés démocratiques dans son propre pays, a droit d</w:t>
      </w:r>
      <w:r w:rsidR="00B17AE1" w:rsidRPr="00F60A3D">
        <w:rPr>
          <w:lang w:val="fr-FR"/>
        </w:rPr>
        <w:t>’</w:t>
      </w:r>
      <w:r w:rsidR="00360227" w:rsidRPr="00F60A3D">
        <w:rPr>
          <w:lang w:val="fr-FR"/>
        </w:rPr>
        <w:t xml:space="preserve">asile. </w:t>
      </w:r>
    </w:p>
    <w:p w:rsidR="00360227" w:rsidRPr="00F60A3D" w:rsidRDefault="00224935" w:rsidP="00693F8E">
      <w:pPr>
        <w:pStyle w:val="SingleTxtG"/>
        <w:rPr>
          <w:lang w:val="fr-FR"/>
        </w:rPr>
      </w:pPr>
      <w:r w:rsidRPr="00F60A3D">
        <w:rPr>
          <w:lang w:val="fr-FR"/>
        </w:rPr>
        <w:t>161.</w:t>
      </w:r>
      <w:r w:rsidR="001D2CCC" w:rsidRPr="00F60A3D">
        <w:rPr>
          <w:lang w:val="fr-FR"/>
        </w:rPr>
        <w:tab/>
      </w:r>
      <w:r w:rsidR="00360227" w:rsidRPr="00F60A3D">
        <w:rPr>
          <w:lang w:val="fr-FR"/>
        </w:rPr>
        <w:t>L</w:t>
      </w:r>
      <w:r w:rsidR="00B17AE1" w:rsidRPr="00F60A3D">
        <w:rPr>
          <w:lang w:val="fr-FR"/>
        </w:rPr>
        <w:t>’</w:t>
      </w:r>
      <w:r w:rsidR="00360227" w:rsidRPr="00F60A3D">
        <w:rPr>
          <w:lang w:val="fr-FR"/>
        </w:rPr>
        <w:t>Italie n</w:t>
      </w:r>
      <w:r w:rsidR="00B17AE1" w:rsidRPr="00F60A3D">
        <w:rPr>
          <w:lang w:val="fr-FR"/>
        </w:rPr>
        <w:t>’</w:t>
      </w:r>
      <w:r w:rsidR="00360227" w:rsidRPr="00F60A3D">
        <w:rPr>
          <w:lang w:val="fr-FR"/>
        </w:rPr>
        <w:t>accorde pas l</w:t>
      </w:r>
      <w:r w:rsidR="00B17AE1" w:rsidRPr="00F60A3D">
        <w:rPr>
          <w:lang w:val="fr-FR"/>
        </w:rPr>
        <w:t>’</w:t>
      </w:r>
      <w:r w:rsidR="00360227" w:rsidRPr="00F60A3D">
        <w:rPr>
          <w:lang w:val="fr-FR"/>
        </w:rPr>
        <w:t>extradition pou</w:t>
      </w:r>
      <w:r w:rsidR="00E4009D" w:rsidRPr="00F60A3D">
        <w:rPr>
          <w:lang w:val="fr-FR"/>
        </w:rPr>
        <w:t>r des délits politiques (</w:t>
      </w:r>
      <w:r w:rsidR="00731982" w:rsidRPr="00F60A3D">
        <w:rPr>
          <w:lang w:val="fr-FR"/>
        </w:rPr>
        <w:t>art. </w:t>
      </w:r>
      <w:r w:rsidR="00360227" w:rsidRPr="00F60A3D">
        <w:rPr>
          <w:lang w:val="fr-FR"/>
        </w:rPr>
        <w:t xml:space="preserve">26) </w:t>
      </w:r>
      <w:r w:rsidR="00FA4FA7" w:rsidRPr="00F60A3D">
        <w:rPr>
          <w:lang w:val="fr-FR"/>
        </w:rPr>
        <w:t>–</w:t>
      </w:r>
      <w:r w:rsidR="00360227" w:rsidRPr="00F60A3D">
        <w:rPr>
          <w:lang w:val="fr-FR"/>
        </w:rPr>
        <w:t xml:space="preserve"> </w:t>
      </w:r>
      <w:r w:rsidR="00FA4FA7" w:rsidRPr="00F60A3D">
        <w:rPr>
          <w:lang w:val="fr-FR"/>
        </w:rPr>
        <w:t>excepté pour le crime de génocide (à cet égard, la loi constit</w:t>
      </w:r>
      <w:r w:rsidR="0018379D" w:rsidRPr="00F60A3D">
        <w:rPr>
          <w:lang w:val="fr-FR"/>
        </w:rPr>
        <w:t xml:space="preserve">utionnelle </w:t>
      </w:r>
      <w:r w:rsidR="00B17AE1" w:rsidRPr="00F60A3D">
        <w:rPr>
          <w:lang w:val="fr-FR"/>
        </w:rPr>
        <w:t>n</w:t>
      </w:r>
      <w:r w:rsidR="00B17AE1" w:rsidRPr="00F60A3D">
        <w:rPr>
          <w:vertAlign w:val="superscript"/>
          <w:lang w:val="fr-FR"/>
        </w:rPr>
        <w:t>o</w:t>
      </w:r>
      <w:r w:rsidR="00B17AE1" w:rsidRPr="00F60A3D">
        <w:rPr>
          <w:lang w:val="fr-FR"/>
        </w:rPr>
        <w:t> </w:t>
      </w:r>
      <w:r w:rsidR="0018379D" w:rsidRPr="00F60A3D">
        <w:rPr>
          <w:lang w:val="fr-FR"/>
        </w:rPr>
        <w:t xml:space="preserve">1/1967 prévoit: </w:t>
      </w:r>
      <w:r w:rsidR="00731982" w:rsidRPr="00F60A3D">
        <w:rPr>
          <w:lang w:val="fr-FR"/>
        </w:rPr>
        <w:t>«</w:t>
      </w:r>
      <w:r w:rsidR="00C24E9D" w:rsidRPr="00F60A3D">
        <w:rPr>
          <w:lang w:val="fr-FR"/>
        </w:rPr>
        <w:t>E</w:t>
      </w:r>
      <w:r w:rsidR="00FA4FA7" w:rsidRPr="00F60A3D">
        <w:rPr>
          <w:lang w:val="fr-FR"/>
        </w:rPr>
        <w:t>n cas de génocide, les derniers alinéas de</w:t>
      </w:r>
      <w:r w:rsidR="004F07BA" w:rsidRPr="00F60A3D">
        <w:rPr>
          <w:lang w:val="fr-FR"/>
        </w:rPr>
        <w:t xml:space="preserve">s </w:t>
      </w:r>
      <w:r w:rsidR="00D26282" w:rsidRPr="00F60A3D">
        <w:rPr>
          <w:lang w:val="fr-FR"/>
        </w:rPr>
        <w:t>articles </w:t>
      </w:r>
      <w:r w:rsidR="004F07BA" w:rsidRPr="00F60A3D">
        <w:rPr>
          <w:lang w:val="fr-FR"/>
        </w:rPr>
        <w:t>10 et</w:t>
      </w:r>
      <w:r w:rsidR="00FA4FA7" w:rsidRPr="00F60A3D">
        <w:rPr>
          <w:lang w:val="fr-FR"/>
        </w:rPr>
        <w:t xml:space="preserve"> 26 de la Constitution</w:t>
      </w:r>
      <w:r w:rsidR="0018379D" w:rsidRPr="00F60A3D">
        <w:rPr>
          <w:lang w:val="fr-FR"/>
        </w:rPr>
        <w:t xml:space="preserve"> italienne, ne s</w:t>
      </w:r>
      <w:r w:rsidR="00B17AE1" w:rsidRPr="00F60A3D">
        <w:rPr>
          <w:lang w:val="fr-FR"/>
        </w:rPr>
        <w:t>’</w:t>
      </w:r>
      <w:r w:rsidR="0018379D" w:rsidRPr="00F60A3D">
        <w:rPr>
          <w:lang w:val="fr-FR"/>
        </w:rPr>
        <w:t>appliquent pas</w:t>
      </w:r>
      <w:r w:rsidR="00731982" w:rsidRPr="00F60A3D">
        <w:rPr>
          <w:lang w:val="fr-FR"/>
        </w:rPr>
        <w:t>»</w:t>
      </w:r>
      <w:r w:rsidR="00FA4FA7" w:rsidRPr="00F60A3D">
        <w:rPr>
          <w:lang w:val="fr-FR"/>
        </w:rPr>
        <w:t>).</w:t>
      </w:r>
    </w:p>
    <w:p w:rsidR="00DB5D9E" w:rsidRPr="00F60A3D" w:rsidRDefault="00F21423" w:rsidP="00710CED">
      <w:pPr>
        <w:pStyle w:val="SingleTxtG"/>
        <w:rPr>
          <w:lang w:val="fr-FR"/>
        </w:rPr>
      </w:pPr>
      <w:r w:rsidRPr="00F60A3D">
        <w:rPr>
          <w:lang w:val="fr-FR"/>
        </w:rPr>
        <w:t>162</w:t>
      </w:r>
      <w:r w:rsidR="00FA4FA7" w:rsidRPr="00F60A3D">
        <w:rPr>
          <w:lang w:val="fr-FR"/>
        </w:rPr>
        <w:t>.</w:t>
      </w:r>
      <w:r w:rsidR="00FA4FA7" w:rsidRPr="00F60A3D">
        <w:rPr>
          <w:lang w:val="fr-FR"/>
        </w:rPr>
        <w:tab/>
        <w:t>En Italie, les étrangers jouissent des mêmes droits fondamentaux que ceux reconnus aux ressortissants italiens</w:t>
      </w:r>
      <w:r w:rsidR="00F75496" w:rsidRPr="00F60A3D">
        <w:rPr>
          <w:rStyle w:val="FootnoteReference"/>
          <w:lang w:val="fr-FR"/>
        </w:rPr>
        <w:footnoteReference w:id="36"/>
      </w:r>
      <w:r w:rsidR="0018379D" w:rsidRPr="00F60A3D">
        <w:rPr>
          <w:lang w:val="fr-FR"/>
        </w:rPr>
        <w:t>,</w:t>
      </w:r>
      <w:r w:rsidR="00DB5D9E" w:rsidRPr="00F60A3D">
        <w:rPr>
          <w:lang w:val="fr-FR"/>
        </w:rPr>
        <w:t xml:space="preserve"> </w:t>
      </w:r>
      <w:r w:rsidR="00710CED" w:rsidRPr="00F60A3D">
        <w:rPr>
          <w:lang w:val="fr-FR"/>
        </w:rPr>
        <w:t xml:space="preserve">y compris les droits prévus par les instruments internationaux et </w:t>
      </w:r>
      <w:r w:rsidR="00A96FDE" w:rsidRPr="00F60A3D">
        <w:rPr>
          <w:lang w:val="fr-FR"/>
        </w:rPr>
        <w:t>étendus aux non-citoyens</w:t>
      </w:r>
      <w:r w:rsidR="00710CED" w:rsidRPr="00F60A3D">
        <w:rPr>
          <w:lang w:val="fr-FR"/>
        </w:rPr>
        <w:t xml:space="preserve">. En outre, le principe de la dite </w:t>
      </w:r>
      <w:r w:rsidR="00710CED" w:rsidRPr="00F60A3D">
        <w:rPr>
          <w:i/>
          <w:lang w:val="fr-FR"/>
        </w:rPr>
        <w:t>condition de réciprocité</w:t>
      </w:r>
      <w:r w:rsidR="00710CED" w:rsidRPr="00F60A3D">
        <w:rPr>
          <w:lang w:val="fr-FR"/>
        </w:rPr>
        <w:t xml:space="preserve"> s</w:t>
      </w:r>
      <w:r w:rsidR="00B17AE1" w:rsidRPr="00F60A3D">
        <w:rPr>
          <w:lang w:val="fr-FR"/>
        </w:rPr>
        <w:t>’</w:t>
      </w:r>
      <w:r w:rsidR="00710CED" w:rsidRPr="00F60A3D">
        <w:rPr>
          <w:lang w:val="fr-FR"/>
        </w:rPr>
        <w:t>applique (Disposition préliminaire au Code civil, 16).</w:t>
      </w:r>
    </w:p>
    <w:p w:rsidR="00DB5D9E" w:rsidRPr="00F60A3D" w:rsidRDefault="00F21423" w:rsidP="00F60A3D">
      <w:pPr>
        <w:pStyle w:val="SingleTxtG"/>
        <w:rPr>
          <w:lang w:val="fr-FR"/>
        </w:rPr>
      </w:pPr>
      <w:r w:rsidRPr="00F60A3D">
        <w:rPr>
          <w:lang w:val="fr-FR"/>
        </w:rPr>
        <w:t>163</w:t>
      </w:r>
      <w:r w:rsidR="00DB5D9E" w:rsidRPr="00F60A3D">
        <w:rPr>
          <w:lang w:val="fr-FR"/>
        </w:rPr>
        <w:t>.</w:t>
      </w:r>
      <w:r w:rsidR="00DB5D9E" w:rsidRPr="00F60A3D">
        <w:rPr>
          <w:lang w:val="fr-FR"/>
        </w:rPr>
        <w:tab/>
      </w:r>
      <w:r w:rsidR="0000286A" w:rsidRPr="00F60A3D">
        <w:rPr>
          <w:lang w:val="fr-FR"/>
        </w:rPr>
        <w:t>La</w:t>
      </w:r>
      <w:r w:rsidR="00DB5D9E" w:rsidRPr="00F60A3D">
        <w:rPr>
          <w:lang w:val="fr-FR"/>
        </w:rPr>
        <w:t xml:space="preserve"> </w:t>
      </w:r>
      <w:r w:rsidR="0000286A" w:rsidRPr="00F60A3D">
        <w:rPr>
          <w:lang w:val="fr-FR"/>
        </w:rPr>
        <w:t xml:space="preserve">Première partie </w:t>
      </w:r>
      <w:r w:rsidR="00E4009D" w:rsidRPr="00F60A3D">
        <w:rPr>
          <w:lang w:val="fr-FR"/>
        </w:rPr>
        <w:t>de la Loi fondamentale (</w:t>
      </w:r>
      <w:r w:rsidR="00731982" w:rsidRPr="00F60A3D">
        <w:rPr>
          <w:lang w:val="fr-FR"/>
        </w:rPr>
        <w:t>art. </w:t>
      </w:r>
      <w:r w:rsidR="00E4009D" w:rsidRPr="00F60A3D">
        <w:rPr>
          <w:lang w:val="fr-FR"/>
        </w:rPr>
        <w:t xml:space="preserve">13 à 54), intitulée </w:t>
      </w:r>
      <w:r w:rsidR="00731982" w:rsidRPr="00F60A3D">
        <w:rPr>
          <w:lang w:val="fr-FR"/>
        </w:rPr>
        <w:t>«</w:t>
      </w:r>
      <w:r w:rsidR="0000286A" w:rsidRPr="00F60A3D">
        <w:rPr>
          <w:lang w:val="fr-FR"/>
        </w:rPr>
        <w:t>Droits et devoirs des citoyens</w:t>
      </w:r>
      <w:r w:rsidR="00731982" w:rsidRPr="00F60A3D">
        <w:rPr>
          <w:lang w:val="fr-FR"/>
        </w:rPr>
        <w:t>»</w:t>
      </w:r>
      <w:r w:rsidR="0000286A" w:rsidRPr="00F60A3D">
        <w:rPr>
          <w:lang w:val="fr-FR"/>
        </w:rPr>
        <w:t xml:space="preserve">, inclut de nombreux droits protégés en tant que droits fondamentaux. </w:t>
      </w:r>
      <w:r w:rsidR="004A6F3A" w:rsidRPr="00F60A3D">
        <w:rPr>
          <w:lang w:val="fr-FR"/>
        </w:rPr>
        <w:t>Plus en détail, le Titre premier</w:t>
      </w:r>
      <w:r w:rsidR="0018379D" w:rsidRPr="00F60A3D">
        <w:rPr>
          <w:lang w:val="fr-FR"/>
        </w:rPr>
        <w:t xml:space="preserve"> est consacré aux </w:t>
      </w:r>
      <w:r w:rsidR="00731982" w:rsidRPr="00F60A3D">
        <w:rPr>
          <w:lang w:val="fr-FR"/>
        </w:rPr>
        <w:t>«</w:t>
      </w:r>
      <w:r w:rsidR="0000286A" w:rsidRPr="00F60A3D">
        <w:rPr>
          <w:lang w:val="fr-FR"/>
        </w:rPr>
        <w:t>R</w:t>
      </w:r>
      <w:r w:rsidR="0018379D" w:rsidRPr="00F60A3D">
        <w:rPr>
          <w:lang w:val="fr-FR"/>
        </w:rPr>
        <w:t>apports civils</w:t>
      </w:r>
      <w:r w:rsidR="00731982" w:rsidRPr="00F60A3D">
        <w:rPr>
          <w:lang w:val="fr-FR"/>
        </w:rPr>
        <w:t>»</w:t>
      </w:r>
      <w:r w:rsidR="00496DC1" w:rsidRPr="00F60A3D">
        <w:rPr>
          <w:lang w:val="fr-FR"/>
        </w:rPr>
        <w:t>; le Titre II</w:t>
      </w:r>
      <w:r w:rsidR="0018379D" w:rsidRPr="00F60A3D">
        <w:rPr>
          <w:lang w:val="fr-FR"/>
        </w:rPr>
        <w:t xml:space="preserve">, aux </w:t>
      </w:r>
      <w:r w:rsidR="00731982" w:rsidRPr="00F60A3D">
        <w:rPr>
          <w:lang w:val="fr-FR"/>
        </w:rPr>
        <w:t>«</w:t>
      </w:r>
      <w:r w:rsidR="0000286A" w:rsidRPr="00F60A3D">
        <w:rPr>
          <w:lang w:val="fr-FR"/>
        </w:rPr>
        <w:t>Rapports éthi</w:t>
      </w:r>
      <w:r w:rsidR="0018379D" w:rsidRPr="00F60A3D">
        <w:rPr>
          <w:lang w:val="fr-FR"/>
        </w:rPr>
        <w:t>ques et sociaux</w:t>
      </w:r>
      <w:r w:rsidR="00731982" w:rsidRPr="00F60A3D">
        <w:rPr>
          <w:lang w:val="fr-FR"/>
        </w:rPr>
        <w:t>»</w:t>
      </w:r>
      <w:r w:rsidR="006A35D8" w:rsidRPr="00F60A3D">
        <w:rPr>
          <w:lang w:val="fr-FR"/>
        </w:rPr>
        <w:t>, le Titre </w:t>
      </w:r>
      <w:r w:rsidR="00496DC1" w:rsidRPr="00F60A3D">
        <w:rPr>
          <w:lang w:val="fr-FR"/>
        </w:rPr>
        <w:t>III</w:t>
      </w:r>
      <w:r w:rsidR="0018379D" w:rsidRPr="00F60A3D">
        <w:rPr>
          <w:lang w:val="fr-FR"/>
        </w:rPr>
        <w:t xml:space="preserve"> aux </w:t>
      </w:r>
      <w:r w:rsidR="00731982" w:rsidRPr="00F60A3D">
        <w:rPr>
          <w:lang w:val="fr-FR"/>
        </w:rPr>
        <w:t>«</w:t>
      </w:r>
      <w:r w:rsidR="0000286A" w:rsidRPr="00F60A3D">
        <w:rPr>
          <w:lang w:val="fr-FR"/>
        </w:rPr>
        <w:t>Rapports</w:t>
      </w:r>
      <w:r w:rsidR="0018379D" w:rsidRPr="00F60A3D">
        <w:rPr>
          <w:lang w:val="fr-FR"/>
        </w:rPr>
        <w:t xml:space="preserve"> économiques</w:t>
      </w:r>
      <w:r w:rsidR="00731982" w:rsidRPr="00F60A3D">
        <w:rPr>
          <w:lang w:val="fr-FR"/>
        </w:rPr>
        <w:t>»</w:t>
      </w:r>
      <w:r w:rsidR="00496DC1" w:rsidRPr="00F60A3D">
        <w:rPr>
          <w:lang w:val="fr-FR"/>
        </w:rPr>
        <w:t xml:space="preserve"> et le Titre IV</w:t>
      </w:r>
      <w:r w:rsidR="0018379D" w:rsidRPr="00F60A3D">
        <w:rPr>
          <w:lang w:val="fr-FR"/>
        </w:rPr>
        <w:t xml:space="preserve"> aux </w:t>
      </w:r>
      <w:r w:rsidR="00731982" w:rsidRPr="00F60A3D">
        <w:rPr>
          <w:lang w:val="fr-FR"/>
        </w:rPr>
        <w:t>«</w:t>
      </w:r>
      <w:r w:rsidR="0018379D" w:rsidRPr="00F60A3D">
        <w:rPr>
          <w:lang w:val="fr-FR"/>
        </w:rPr>
        <w:t>Rapports politiques</w:t>
      </w:r>
      <w:r w:rsidR="00731982" w:rsidRPr="00F60A3D">
        <w:rPr>
          <w:lang w:val="fr-FR"/>
        </w:rPr>
        <w:t>»</w:t>
      </w:r>
      <w:r w:rsidR="0000286A" w:rsidRPr="00F60A3D">
        <w:rPr>
          <w:lang w:val="fr-FR"/>
        </w:rPr>
        <w:t xml:space="preserve"> – </w:t>
      </w:r>
      <w:r w:rsidR="00274060" w:rsidRPr="00F60A3D">
        <w:rPr>
          <w:lang w:val="fr-FR"/>
        </w:rPr>
        <w:t>tous s</w:t>
      </w:r>
      <w:r w:rsidR="00B17AE1" w:rsidRPr="00F60A3D">
        <w:rPr>
          <w:lang w:val="fr-FR"/>
        </w:rPr>
        <w:t>’</w:t>
      </w:r>
      <w:r w:rsidR="00274060" w:rsidRPr="00F60A3D">
        <w:rPr>
          <w:lang w:val="fr-FR"/>
        </w:rPr>
        <w:t>appuient sur</w:t>
      </w:r>
      <w:r w:rsidR="0000286A" w:rsidRPr="00F60A3D">
        <w:rPr>
          <w:lang w:val="fr-FR"/>
        </w:rPr>
        <w:t xml:space="preserve"> la disposition selon laquelle nul ne peut être privé de sa capacité juridique, de sa citoyenneté ou de son nom pour</w:t>
      </w:r>
      <w:r w:rsidR="00E4009D" w:rsidRPr="00F60A3D">
        <w:rPr>
          <w:lang w:val="fr-FR"/>
        </w:rPr>
        <w:t xml:space="preserve"> des raisons politiques (</w:t>
      </w:r>
      <w:r w:rsidR="00731982" w:rsidRPr="00F60A3D">
        <w:rPr>
          <w:lang w:val="fr-FR"/>
        </w:rPr>
        <w:t>art. </w:t>
      </w:r>
      <w:r w:rsidR="0000286A" w:rsidRPr="00F60A3D">
        <w:rPr>
          <w:lang w:val="fr-FR"/>
        </w:rPr>
        <w:t>22)</w:t>
      </w:r>
      <w:r w:rsidR="00274060" w:rsidRPr="00F60A3D">
        <w:rPr>
          <w:lang w:val="fr-FR"/>
        </w:rPr>
        <w:t>. Il convient aussi de mentionner</w:t>
      </w:r>
      <w:r w:rsidR="008603FE" w:rsidRPr="00F60A3D">
        <w:rPr>
          <w:lang w:val="fr-FR"/>
        </w:rPr>
        <w:t xml:space="preserve"> les g</w:t>
      </w:r>
      <w:r w:rsidR="00D713E1" w:rsidRPr="00F60A3D">
        <w:rPr>
          <w:lang w:val="fr-FR"/>
        </w:rPr>
        <w:t>aranties judiciaires énoncé</w:t>
      </w:r>
      <w:r w:rsidR="004A6F3A" w:rsidRPr="00F60A3D">
        <w:rPr>
          <w:lang w:val="fr-FR"/>
        </w:rPr>
        <w:t>es à</w:t>
      </w:r>
      <w:r w:rsidR="00274060" w:rsidRPr="00F60A3D">
        <w:rPr>
          <w:lang w:val="fr-FR"/>
        </w:rPr>
        <w:t xml:space="preserve"> l</w:t>
      </w:r>
      <w:r w:rsidR="00F60A3D" w:rsidRPr="00F60A3D">
        <w:rPr>
          <w:lang w:val="fr-FR"/>
        </w:rPr>
        <w:t>’</w:t>
      </w:r>
      <w:r w:rsidR="00D26282" w:rsidRPr="00F60A3D">
        <w:rPr>
          <w:lang w:val="fr-FR"/>
        </w:rPr>
        <w:t>article </w:t>
      </w:r>
      <w:r w:rsidR="00274060" w:rsidRPr="00F60A3D">
        <w:rPr>
          <w:lang w:val="fr-FR"/>
        </w:rPr>
        <w:t>24 et suivants concernant: le droit à un procès é</w:t>
      </w:r>
      <w:r w:rsidR="00AB4760" w:rsidRPr="00F60A3D">
        <w:rPr>
          <w:lang w:val="fr-FR"/>
        </w:rPr>
        <w:t>quitable, le droit à la défense et</w:t>
      </w:r>
      <w:r w:rsidR="00274060" w:rsidRPr="00F60A3D">
        <w:rPr>
          <w:lang w:val="fr-FR"/>
        </w:rPr>
        <w:t xml:space="preserve"> le</w:t>
      </w:r>
      <w:r w:rsidR="00691496" w:rsidRPr="00F60A3D">
        <w:rPr>
          <w:lang w:val="fr-FR"/>
        </w:rPr>
        <w:t>s</w:t>
      </w:r>
      <w:r w:rsidR="00274060" w:rsidRPr="00F60A3D">
        <w:rPr>
          <w:lang w:val="fr-FR"/>
        </w:rPr>
        <w:t xml:space="preserve"> principe</w:t>
      </w:r>
      <w:r w:rsidR="00691496" w:rsidRPr="00F60A3D">
        <w:rPr>
          <w:lang w:val="fr-FR"/>
        </w:rPr>
        <w:t>s</w:t>
      </w:r>
      <w:r w:rsidR="00274060" w:rsidRPr="00F60A3D">
        <w:rPr>
          <w:lang w:val="fr-FR"/>
        </w:rPr>
        <w:t xml:space="preserve"> </w:t>
      </w:r>
      <w:r w:rsidR="004B5DA4" w:rsidRPr="00F60A3D">
        <w:rPr>
          <w:i/>
          <w:lang w:val="fr-FR"/>
        </w:rPr>
        <w:t>non</w:t>
      </w:r>
      <w:r w:rsidR="00274060" w:rsidRPr="00F60A3D">
        <w:rPr>
          <w:i/>
          <w:lang w:val="fr-FR"/>
        </w:rPr>
        <w:t xml:space="preserve"> bis in idem</w:t>
      </w:r>
      <w:r w:rsidR="00691496" w:rsidRPr="00F60A3D">
        <w:rPr>
          <w:lang w:val="fr-FR"/>
        </w:rPr>
        <w:t>,</w:t>
      </w:r>
      <w:r w:rsidR="00731982" w:rsidRPr="00F60A3D">
        <w:rPr>
          <w:lang w:val="fr-FR"/>
        </w:rPr>
        <w:t xml:space="preserve"> </w:t>
      </w:r>
      <w:r w:rsidR="00DB5D9E" w:rsidRPr="00F60A3D">
        <w:rPr>
          <w:i/>
          <w:lang w:val="fr-FR"/>
        </w:rPr>
        <w:t>nullum crimen, nulla poena sine lege</w:t>
      </w:r>
      <w:r w:rsidR="00691496" w:rsidRPr="00F60A3D">
        <w:rPr>
          <w:lang w:val="fr-FR"/>
        </w:rPr>
        <w:t>,</w:t>
      </w:r>
      <w:r w:rsidR="00731982" w:rsidRPr="00F60A3D">
        <w:rPr>
          <w:lang w:val="fr-FR"/>
        </w:rPr>
        <w:t xml:space="preserve"> </w:t>
      </w:r>
      <w:r w:rsidR="00DB5D9E" w:rsidRPr="00F60A3D">
        <w:rPr>
          <w:i/>
          <w:lang w:val="fr-FR"/>
        </w:rPr>
        <w:t>tempus regit actum</w:t>
      </w:r>
      <w:r w:rsidR="00691496" w:rsidRPr="00F60A3D">
        <w:rPr>
          <w:lang w:val="fr-FR"/>
        </w:rPr>
        <w:t>, etc</w:t>
      </w:r>
      <w:r w:rsidR="00F520A7" w:rsidRPr="00F60A3D">
        <w:rPr>
          <w:lang w:val="fr-FR"/>
        </w:rPr>
        <w:t>.</w:t>
      </w:r>
    </w:p>
    <w:p w:rsidR="00DB5D9E" w:rsidRPr="00F60A3D" w:rsidRDefault="00F520A7" w:rsidP="00F520A7">
      <w:pPr>
        <w:pStyle w:val="H23G"/>
        <w:rPr>
          <w:lang w:val="fr-FR"/>
        </w:rPr>
      </w:pPr>
      <w:r w:rsidRPr="00F60A3D">
        <w:rPr>
          <w:lang w:val="fr-FR"/>
        </w:rPr>
        <w:tab/>
      </w:r>
      <w:r w:rsidRPr="00F60A3D">
        <w:rPr>
          <w:lang w:val="fr-FR"/>
        </w:rPr>
        <w:tab/>
      </w:r>
      <w:r w:rsidR="00691496" w:rsidRPr="00F60A3D">
        <w:rPr>
          <w:lang w:val="fr-FR"/>
        </w:rPr>
        <w:t>Droits culturels</w:t>
      </w:r>
    </w:p>
    <w:p w:rsidR="00691496" w:rsidRPr="00F60A3D" w:rsidRDefault="00F21423" w:rsidP="00F520A7">
      <w:pPr>
        <w:pStyle w:val="SingleTxtG"/>
        <w:rPr>
          <w:lang w:val="fr-FR"/>
        </w:rPr>
      </w:pPr>
      <w:r w:rsidRPr="00F60A3D">
        <w:rPr>
          <w:lang w:val="fr-FR"/>
        </w:rPr>
        <w:t>164</w:t>
      </w:r>
      <w:r w:rsidR="008603FE" w:rsidRPr="00F60A3D">
        <w:rPr>
          <w:lang w:val="fr-FR"/>
        </w:rPr>
        <w:t>.</w:t>
      </w:r>
      <w:r w:rsidR="008603FE" w:rsidRPr="00F60A3D">
        <w:rPr>
          <w:lang w:val="fr-FR"/>
        </w:rPr>
        <w:tab/>
        <w:t>L</w:t>
      </w:r>
      <w:r w:rsidR="00B17AE1" w:rsidRPr="00F60A3D">
        <w:rPr>
          <w:lang w:val="fr-FR"/>
        </w:rPr>
        <w:t>’</w:t>
      </w:r>
      <w:r w:rsidR="00D26282" w:rsidRPr="00F60A3D">
        <w:rPr>
          <w:lang w:val="fr-FR"/>
        </w:rPr>
        <w:t>article </w:t>
      </w:r>
      <w:r w:rsidR="00B82EB5" w:rsidRPr="00F60A3D">
        <w:rPr>
          <w:lang w:val="fr-FR"/>
        </w:rPr>
        <w:t>9 de la L</w:t>
      </w:r>
      <w:r w:rsidR="00691496" w:rsidRPr="00F60A3D">
        <w:rPr>
          <w:lang w:val="fr-FR"/>
        </w:rPr>
        <w:t xml:space="preserve">oi fondamentale garantit la liberté des </w:t>
      </w:r>
      <w:r w:rsidR="008603FE" w:rsidRPr="00F60A3D">
        <w:rPr>
          <w:lang w:val="fr-FR"/>
        </w:rPr>
        <w:t>arts et de la science (Recherche</w:t>
      </w:r>
      <w:r w:rsidR="00401CB8" w:rsidRPr="00F60A3D">
        <w:rPr>
          <w:lang w:val="fr-FR"/>
        </w:rPr>
        <w:t xml:space="preserve"> et enseignement)</w:t>
      </w:r>
      <w:r w:rsidR="00731982" w:rsidRPr="00F60A3D">
        <w:rPr>
          <w:lang w:val="fr-FR"/>
        </w:rPr>
        <w:t>:</w:t>
      </w:r>
      <w:r w:rsidR="0018379D" w:rsidRPr="00F60A3D">
        <w:rPr>
          <w:lang w:val="fr-FR"/>
        </w:rPr>
        <w:t xml:space="preserve"> </w:t>
      </w:r>
      <w:r w:rsidR="00731982" w:rsidRPr="00F60A3D">
        <w:rPr>
          <w:lang w:val="fr-FR"/>
        </w:rPr>
        <w:t>«</w:t>
      </w:r>
      <w:r w:rsidR="00691496" w:rsidRPr="00F60A3D">
        <w:rPr>
          <w:lang w:val="fr-FR"/>
        </w:rPr>
        <w:t>La République favorise le développeme</w:t>
      </w:r>
      <w:r w:rsidR="008603FE" w:rsidRPr="00F60A3D">
        <w:rPr>
          <w:lang w:val="fr-FR"/>
        </w:rPr>
        <w:t>nt de la culture et la recherche</w:t>
      </w:r>
      <w:r w:rsidR="00691496" w:rsidRPr="00F60A3D">
        <w:rPr>
          <w:i/>
          <w:lang w:val="fr-FR"/>
        </w:rPr>
        <w:t xml:space="preserve"> </w:t>
      </w:r>
      <w:r w:rsidR="00691496" w:rsidRPr="00F60A3D">
        <w:rPr>
          <w:lang w:val="fr-FR"/>
        </w:rPr>
        <w:t>scienti</w:t>
      </w:r>
      <w:r w:rsidR="00E95212" w:rsidRPr="00F60A3D">
        <w:rPr>
          <w:lang w:val="fr-FR"/>
        </w:rPr>
        <w:t>fi</w:t>
      </w:r>
      <w:r w:rsidR="0018379D" w:rsidRPr="00F60A3D">
        <w:rPr>
          <w:lang w:val="fr-FR"/>
        </w:rPr>
        <w:t>que et technique</w:t>
      </w:r>
      <w:r w:rsidR="00731982" w:rsidRPr="00F60A3D">
        <w:rPr>
          <w:lang w:val="fr-FR"/>
        </w:rPr>
        <w:t>»</w:t>
      </w:r>
      <w:r w:rsidR="00691496" w:rsidRPr="00F60A3D">
        <w:rPr>
          <w:lang w:val="fr-FR"/>
        </w:rPr>
        <w:t xml:space="preserve">. </w:t>
      </w:r>
      <w:r w:rsidR="002C2708" w:rsidRPr="00F60A3D">
        <w:rPr>
          <w:lang w:val="fr-FR"/>
        </w:rPr>
        <w:t>Ces droits à la liberté ne sont soumi</w:t>
      </w:r>
      <w:r w:rsidR="004F682D" w:rsidRPr="00F60A3D">
        <w:rPr>
          <w:lang w:val="fr-FR"/>
        </w:rPr>
        <w:t>s à aucune restriction légale</w:t>
      </w:r>
      <w:r w:rsidR="0040010A" w:rsidRPr="00F60A3D">
        <w:rPr>
          <w:lang w:val="fr-FR"/>
        </w:rPr>
        <w:t>. Cette disposition inclut</w:t>
      </w:r>
      <w:r w:rsidR="002C2708" w:rsidRPr="00F60A3D">
        <w:rPr>
          <w:lang w:val="fr-FR"/>
        </w:rPr>
        <w:t xml:space="preserve"> le droit à la liberté pour tous les artistes et tous ceux qui participent à l</w:t>
      </w:r>
      <w:r w:rsidR="00B17AE1" w:rsidRPr="00F60A3D">
        <w:rPr>
          <w:lang w:val="fr-FR"/>
        </w:rPr>
        <w:t>’</w:t>
      </w:r>
      <w:r w:rsidR="002C2708" w:rsidRPr="00F60A3D">
        <w:rPr>
          <w:lang w:val="fr-FR"/>
        </w:rPr>
        <w:t>exécution et à la diffusion d</w:t>
      </w:r>
      <w:r w:rsidR="00B17AE1" w:rsidRPr="00F60A3D">
        <w:rPr>
          <w:lang w:val="fr-FR"/>
        </w:rPr>
        <w:t>’</w:t>
      </w:r>
      <w:r w:rsidR="002C2708" w:rsidRPr="00F60A3D">
        <w:rPr>
          <w:lang w:val="fr-FR"/>
        </w:rPr>
        <w:t>œuvres d</w:t>
      </w:r>
      <w:r w:rsidR="00B17AE1" w:rsidRPr="00F60A3D">
        <w:rPr>
          <w:lang w:val="fr-FR"/>
        </w:rPr>
        <w:t>’</w:t>
      </w:r>
      <w:r w:rsidR="002C2708" w:rsidRPr="00F60A3D">
        <w:rPr>
          <w:lang w:val="fr-FR"/>
        </w:rPr>
        <w:t>art, sans ingérence des pouvoirs publ</w:t>
      </w:r>
      <w:r w:rsidR="0040010A" w:rsidRPr="00F60A3D">
        <w:rPr>
          <w:lang w:val="fr-FR"/>
        </w:rPr>
        <w:t>ic</w:t>
      </w:r>
      <w:r w:rsidR="004F682D" w:rsidRPr="00F60A3D">
        <w:rPr>
          <w:lang w:val="fr-FR"/>
        </w:rPr>
        <w:t>s dans le domaine de l</w:t>
      </w:r>
      <w:r w:rsidR="00B17AE1" w:rsidRPr="00F60A3D">
        <w:rPr>
          <w:lang w:val="fr-FR"/>
        </w:rPr>
        <w:t>’</w:t>
      </w:r>
      <w:r w:rsidR="00731982" w:rsidRPr="00F60A3D">
        <w:rPr>
          <w:lang w:val="fr-FR"/>
        </w:rPr>
        <w:t>art. </w:t>
      </w:r>
      <w:r w:rsidR="004F682D" w:rsidRPr="00F60A3D">
        <w:rPr>
          <w:lang w:val="fr-FR"/>
        </w:rPr>
        <w:t>La Loi fondamentale</w:t>
      </w:r>
      <w:r w:rsidR="002C2708" w:rsidRPr="00F60A3D">
        <w:rPr>
          <w:lang w:val="fr-FR"/>
        </w:rPr>
        <w:t xml:space="preserve"> confie également à l</w:t>
      </w:r>
      <w:r w:rsidR="00B17AE1" w:rsidRPr="00F60A3D">
        <w:rPr>
          <w:lang w:val="fr-FR"/>
        </w:rPr>
        <w:t>’</w:t>
      </w:r>
      <w:r w:rsidR="002C2708" w:rsidRPr="00F60A3D">
        <w:rPr>
          <w:lang w:val="fr-FR"/>
        </w:rPr>
        <w:t>État la tâche de maintenir et d</w:t>
      </w:r>
      <w:r w:rsidR="00B17AE1" w:rsidRPr="00F60A3D">
        <w:rPr>
          <w:lang w:val="fr-FR"/>
        </w:rPr>
        <w:t>’</w:t>
      </w:r>
      <w:r w:rsidR="002C2708" w:rsidRPr="00F60A3D">
        <w:rPr>
          <w:lang w:val="fr-FR"/>
        </w:rPr>
        <w:t>encoura</w:t>
      </w:r>
      <w:r w:rsidR="0040010A" w:rsidRPr="00F60A3D">
        <w:rPr>
          <w:lang w:val="fr-FR"/>
        </w:rPr>
        <w:t>ger une vie culturelle libre. Elle</w:t>
      </w:r>
      <w:r w:rsidR="004F682D" w:rsidRPr="00F60A3D">
        <w:rPr>
          <w:lang w:val="fr-FR"/>
        </w:rPr>
        <w:t xml:space="preserve"> dispos</w:t>
      </w:r>
      <w:r w:rsidR="002C2708" w:rsidRPr="00F60A3D">
        <w:rPr>
          <w:lang w:val="fr-FR"/>
        </w:rPr>
        <w:t xml:space="preserve">e en outre </w:t>
      </w:r>
      <w:r w:rsidR="002859DB" w:rsidRPr="00F60A3D">
        <w:rPr>
          <w:lang w:val="fr-FR"/>
        </w:rPr>
        <w:t>que les arts, les sciences, et</w:t>
      </w:r>
      <w:r w:rsidR="002C2708" w:rsidRPr="00F60A3D">
        <w:rPr>
          <w:lang w:val="fr-FR"/>
        </w:rPr>
        <w:t xml:space="preserve"> </w:t>
      </w:r>
      <w:r w:rsidR="002859DB" w:rsidRPr="00F60A3D">
        <w:rPr>
          <w:lang w:val="fr-FR"/>
        </w:rPr>
        <w:t>l</w:t>
      </w:r>
      <w:r w:rsidR="00B17AE1" w:rsidRPr="00F60A3D">
        <w:rPr>
          <w:lang w:val="fr-FR"/>
        </w:rPr>
        <w:t>’</w:t>
      </w:r>
      <w:r w:rsidR="002C2708" w:rsidRPr="00F60A3D">
        <w:rPr>
          <w:lang w:val="fr-FR"/>
        </w:rPr>
        <w:t xml:space="preserve">enseignement </w:t>
      </w:r>
      <w:r w:rsidR="004F682D" w:rsidRPr="00F60A3D">
        <w:rPr>
          <w:lang w:val="fr-FR"/>
        </w:rPr>
        <w:t>so</w:t>
      </w:r>
      <w:r w:rsidR="002859DB" w:rsidRPr="00F60A3D">
        <w:rPr>
          <w:lang w:val="fr-FR"/>
        </w:rPr>
        <w:t xml:space="preserve">nt libres </w:t>
      </w:r>
      <w:r w:rsidR="002C2708" w:rsidRPr="00F60A3D">
        <w:rPr>
          <w:lang w:val="fr-FR"/>
        </w:rPr>
        <w:t>(</w:t>
      </w:r>
      <w:r w:rsidR="00731982" w:rsidRPr="00F60A3D">
        <w:rPr>
          <w:lang w:val="fr-FR"/>
        </w:rPr>
        <w:t>art. </w:t>
      </w:r>
      <w:r w:rsidR="004F682D" w:rsidRPr="00F60A3D">
        <w:rPr>
          <w:lang w:val="fr-FR"/>
        </w:rPr>
        <w:t>33) et que les écoles so</w:t>
      </w:r>
      <w:r w:rsidR="002C2708" w:rsidRPr="00F60A3D">
        <w:rPr>
          <w:lang w:val="fr-FR"/>
        </w:rPr>
        <w:t xml:space="preserve">nt </w:t>
      </w:r>
      <w:r w:rsidR="002859DB" w:rsidRPr="00F60A3D">
        <w:rPr>
          <w:lang w:val="fr-FR"/>
        </w:rPr>
        <w:t>ouvertes à tous. Avant tout, l</w:t>
      </w:r>
      <w:r w:rsidR="00B17AE1" w:rsidRPr="00F60A3D">
        <w:rPr>
          <w:lang w:val="fr-FR"/>
        </w:rPr>
        <w:t>’</w:t>
      </w:r>
      <w:r w:rsidR="002859DB" w:rsidRPr="00F60A3D">
        <w:rPr>
          <w:lang w:val="fr-FR"/>
        </w:rPr>
        <w:t xml:space="preserve">instruction élémentaire est </w:t>
      </w:r>
      <w:r w:rsidR="00E4009D" w:rsidRPr="00F60A3D">
        <w:rPr>
          <w:lang w:val="fr-FR"/>
        </w:rPr>
        <w:t>obligatoire et gratuite (</w:t>
      </w:r>
      <w:r w:rsidR="00731982" w:rsidRPr="00F60A3D">
        <w:rPr>
          <w:lang w:val="fr-FR"/>
        </w:rPr>
        <w:t>art. </w:t>
      </w:r>
      <w:r w:rsidR="0018379D" w:rsidRPr="00F60A3D">
        <w:rPr>
          <w:lang w:val="fr-FR"/>
        </w:rPr>
        <w:t>34</w:t>
      </w:r>
      <w:r w:rsidR="0061482E" w:rsidRPr="00F60A3D">
        <w:rPr>
          <w:lang w:val="fr-FR"/>
        </w:rPr>
        <w:t xml:space="preserve">, </w:t>
      </w:r>
      <w:r w:rsidR="00B17AE1" w:rsidRPr="00F60A3D">
        <w:rPr>
          <w:lang w:val="fr-FR"/>
        </w:rPr>
        <w:t>par. </w:t>
      </w:r>
      <w:r w:rsidR="002859DB" w:rsidRPr="00F60A3D">
        <w:rPr>
          <w:lang w:val="fr-FR"/>
        </w:rPr>
        <w:t>3).</w:t>
      </w:r>
      <w:r w:rsidR="00731982" w:rsidRPr="00F60A3D">
        <w:rPr>
          <w:lang w:val="fr-FR"/>
        </w:rPr>
        <w:t xml:space="preserve"> </w:t>
      </w:r>
      <w:r w:rsidR="003A07E9" w:rsidRPr="00F60A3D">
        <w:rPr>
          <w:lang w:val="fr-FR"/>
        </w:rPr>
        <w:t>Afin de</w:t>
      </w:r>
      <w:r w:rsidR="002859DB" w:rsidRPr="00F60A3D">
        <w:rPr>
          <w:lang w:val="fr-FR"/>
        </w:rPr>
        <w:t xml:space="preserve"> garantir les meilleurs niveaux d</w:t>
      </w:r>
      <w:r w:rsidR="00B17AE1" w:rsidRPr="00F60A3D">
        <w:rPr>
          <w:lang w:val="fr-FR"/>
        </w:rPr>
        <w:t>’</w:t>
      </w:r>
      <w:r w:rsidR="002859DB" w:rsidRPr="00F60A3D">
        <w:rPr>
          <w:lang w:val="fr-FR"/>
        </w:rPr>
        <w:t>éducation (</w:t>
      </w:r>
      <w:r w:rsidR="00731982" w:rsidRPr="00F60A3D">
        <w:rPr>
          <w:lang w:val="fr-FR"/>
        </w:rPr>
        <w:t>art. </w:t>
      </w:r>
      <w:r w:rsidR="002859DB" w:rsidRPr="00F60A3D">
        <w:rPr>
          <w:lang w:val="fr-FR"/>
        </w:rPr>
        <w:t>9)</w:t>
      </w:r>
      <w:r w:rsidR="0040010A" w:rsidRPr="00F60A3D">
        <w:rPr>
          <w:lang w:val="fr-FR"/>
        </w:rPr>
        <w:t>,</w:t>
      </w:r>
      <w:r w:rsidR="00184E7A" w:rsidRPr="00F60A3D">
        <w:rPr>
          <w:lang w:val="fr-FR"/>
        </w:rPr>
        <w:t xml:space="preserve"> </w:t>
      </w:r>
      <w:r w:rsidR="002859DB" w:rsidRPr="00F60A3D">
        <w:rPr>
          <w:lang w:val="fr-FR"/>
        </w:rPr>
        <w:t>élèves et étudiants peuvent</w:t>
      </w:r>
      <w:r w:rsidR="00184E7A" w:rsidRPr="00F60A3D">
        <w:rPr>
          <w:lang w:val="fr-FR"/>
        </w:rPr>
        <w:t>,</w:t>
      </w:r>
      <w:r w:rsidR="002859DB" w:rsidRPr="00F60A3D">
        <w:rPr>
          <w:lang w:val="fr-FR"/>
        </w:rPr>
        <w:t xml:space="preserve"> en cas de ressources financières insuffisan</w:t>
      </w:r>
      <w:r w:rsidR="0040010A" w:rsidRPr="00F60A3D">
        <w:rPr>
          <w:lang w:val="fr-FR"/>
        </w:rPr>
        <w:t>t</w:t>
      </w:r>
      <w:r w:rsidR="002859DB" w:rsidRPr="00F60A3D">
        <w:rPr>
          <w:lang w:val="fr-FR"/>
        </w:rPr>
        <w:t>es, demander des bourses, des allocations</w:t>
      </w:r>
      <w:r w:rsidR="002C2708" w:rsidRPr="00F60A3D">
        <w:rPr>
          <w:lang w:val="fr-FR"/>
        </w:rPr>
        <w:t xml:space="preserve"> </w:t>
      </w:r>
      <w:r w:rsidR="002859DB" w:rsidRPr="00F60A3D">
        <w:rPr>
          <w:lang w:val="fr-FR"/>
        </w:rPr>
        <w:t xml:space="preserve">et autres prestations, attribuées par concours. </w:t>
      </w:r>
    </w:p>
    <w:p w:rsidR="00DB5D9E" w:rsidRPr="00F60A3D" w:rsidRDefault="00F520A7" w:rsidP="00F520A7">
      <w:pPr>
        <w:pStyle w:val="H23G"/>
        <w:rPr>
          <w:lang w:val="fr-FR"/>
        </w:rPr>
      </w:pPr>
      <w:r w:rsidRPr="00F60A3D">
        <w:rPr>
          <w:lang w:val="fr-FR"/>
        </w:rPr>
        <w:tab/>
      </w:r>
      <w:r w:rsidRPr="00F60A3D">
        <w:rPr>
          <w:lang w:val="fr-FR"/>
        </w:rPr>
        <w:tab/>
      </w:r>
      <w:r w:rsidR="002859DB" w:rsidRPr="00F60A3D">
        <w:rPr>
          <w:lang w:val="fr-FR"/>
        </w:rPr>
        <w:t>Droits sociaux</w:t>
      </w:r>
    </w:p>
    <w:p w:rsidR="00DE160A" w:rsidRPr="00F60A3D" w:rsidRDefault="00F21423" w:rsidP="00F520A7">
      <w:pPr>
        <w:pStyle w:val="SingleTxtG"/>
        <w:rPr>
          <w:lang w:val="fr-FR"/>
        </w:rPr>
      </w:pPr>
      <w:r w:rsidRPr="00F60A3D">
        <w:rPr>
          <w:lang w:val="fr-FR"/>
        </w:rPr>
        <w:t>165</w:t>
      </w:r>
      <w:r w:rsidR="00EC72E6" w:rsidRPr="00F60A3D">
        <w:rPr>
          <w:lang w:val="fr-FR"/>
        </w:rPr>
        <w:t>.</w:t>
      </w:r>
      <w:r w:rsidR="00EC72E6" w:rsidRPr="00F60A3D">
        <w:rPr>
          <w:lang w:val="fr-FR"/>
        </w:rPr>
        <w:tab/>
        <w:t>L</w:t>
      </w:r>
      <w:r w:rsidR="00B17AE1" w:rsidRPr="00F60A3D">
        <w:rPr>
          <w:lang w:val="fr-FR"/>
        </w:rPr>
        <w:t>’</w:t>
      </w:r>
      <w:r w:rsidR="00EC72E6" w:rsidRPr="00F60A3D">
        <w:rPr>
          <w:lang w:val="fr-FR"/>
        </w:rPr>
        <w:t>État</w:t>
      </w:r>
      <w:r w:rsidR="004F682D" w:rsidRPr="00F60A3D">
        <w:rPr>
          <w:lang w:val="fr-FR"/>
        </w:rPr>
        <w:t xml:space="preserve"> social </w:t>
      </w:r>
      <w:r w:rsidR="002859DB" w:rsidRPr="00F60A3D">
        <w:rPr>
          <w:lang w:val="fr-FR"/>
        </w:rPr>
        <w:t xml:space="preserve">ressort </w:t>
      </w:r>
      <w:r w:rsidR="002859DB" w:rsidRPr="00F60A3D">
        <w:rPr>
          <w:i/>
          <w:lang w:val="fr-FR"/>
        </w:rPr>
        <w:t>notamment</w:t>
      </w:r>
      <w:r w:rsidR="002859DB" w:rsidRPr="00F60A3D">
        <w:rPr>
          <w:lang w:val="fr-FR"/>
        </w:rPr>
        <w:t xml:space="preserve"> des </w:t>
      </w:r>
      <w:r w:rsidR="00D26282" w:rsidRPr="00F60A3D">
        <w:rPr>
          <w:lang w:val="fr-FR"/>
        </w:rPr>
        <w:t>articles </w:t>
      </w:r>
      <w:r w:rsidR="00DB5D9E" w:rsidRPr="00F60A3D">
        <w:rPr>
          <w:lang w:val="fr-FR"/>
        </w:rPr>
        <w:t>4, 32, 34, 36</w:t>
      </w:r>
      <w:r w:rsidR="0018379D" w:rsidRPr="00F60A3D">
        <w:rPr>
          <w:lang w:val="fr-FR"/>
        </w:rPr>
        <w:t xml:space="preserve"> </w:t>
      </w:r>
      <w:r w:rsidR="0061482E" w:rsidRPr="00F60A3D">
        <w:rPr>
          <w:lang w:val="fr-FR"/>
        </w:rPr>
        <w:t>(</w:t>
      </w:r>
      <w:r w:rsidR="00B17AE1" w:rsidRPr="00F60A3D">
        <w:rPr>
          <w:lang w:val="fr-FR"/>
        </w:rPr>
        <w:t>par. </w:t>
      </w:r>
      <w:r w:rsidR="0018379D" w:rsidRPr="00F60A3D">
        <w:rPr>
          <w:lang w:val="fr-FR"/>
        </w:rPr>
        <w:t xml:space="preserve">1), 36 </w:t>
      </w:r>
      <w:r w:rsidR="0061482E" w:rsidRPr="00F60A3D">
        <w:rPr>
          <w:lang w:val="fr-FR"/>
        </w:rPr>
        <w:t>(</w:t>
      </w:r>
      <w:r w:rsidR="00B17AE1" w:rsidRPr="00F60A3D">
        <w:rPr>
          <w:lang w:val="fr-FR"/>
        </w:rPr>
        <w:t>par. </w:t>
      </w:r>
      <w:r w:rsidR="0018379D" w:rsidRPr="00F60A3D">
        <w:rPr>
          <w:lang w:val="fr-FR"/>
        </w:rPr>
        <w:t xml:space="preserve">3), 37 </w:t>
      </w:r>
      <w:r w:rsidR="0061482E" w:rsidRPr="00F60A3D">
        <w:rPr>
          <w:lang w:val="fr-FR"/>
        </w:rPr>
        <w:t>(</w:t>
      </w:r>
      <w:r w:rsidR="00B17AE1" w:rsidRPr="00F60A3D">
        <w:rPr>
          <w:lang w:val="fr-FR"/>
        </w:rPr>
        <w:t>par. </w:t>
      </w:r>
      <w:r w:rsidR="00DE160A" w:rsidRPr="00F60A3D">
        <w:rPr>
          <w:lang w:val="fr-FR"/>
        </w:rPr>
        <w:t xml:space="preserve">1), 37 </w:t>
      </w:r>
      <w:r w:rsidR="0061482E" w:rsidRPr="00F60A3D">
        <w:rPr>
          <w:lang w:val="fr-FR"/>
        </w:rPr>
        <w:t>(</w:t>
      </w:r>
      <w:r w:rsidR="00B17AE1" w:rsidRPr="00F60A3D">
        <w:rPr>
          <w:lang w:val="fr-FR"/>
        </w:rPr>
        <w:t>par. </w:t>
      </w:r>
      <w:r w:rsidR="00DE160A" w:rsidRPr="00F60A3D">
        <w:rPr>
          <w:lang w:val="fr-FR"/>
        </w:rPr>
        <w:t>3) e</w:t>
      </w:r>
      <w:r w:rsidR="00C92A1D" w:rsidRPr="00F60A3D">
        <w:rPr>
          <w:lang w:val="fr-FR"/>
        </w:rPr>
        <w:t>t 38</w:t>
      </w:r>
      <w:r w:rsidR="009C61ED" w:rsidRPr="00F60A3D">
        <w:rPr>
          <w:lang w:val="fr-FR"/>
        </w:rPr>
        <w:t xml:space="preserve"> de la Loi fondamentale</w:t>
      </w:r>
      <w:r w:rsidR="00B20045" w:rsidRPr="00F60A3D">
        <w:rPr>
          <w:lang w:val="fr-FR"/>
        </w:rPr>
        <w:t>,</w:t>
      </w:r>
      <w:r w:rsidR="009C61ED" w:rsidRPr="00F60A3D">
        <w:rPr>
          <w:lang w:val="fr-FR"/>
        </w:rPr>
        <w:t xml:space="preserve"> qui</w:t>
      </w:r>
      <w:r w:rsidR="00DE160A" w:rsidRPr="00F60A3D">
        <w:rPr>
          <w:lang w:val="fr-FR"/>
        </w:rPr>
        <w:t xml:space="preserve"> impose à l</w:t>
      </w:r>
      <w:r w:rsidR="00B17AE1" w:rsidRPr="00F60A3D">
        <w:rPr>
          <w:lang w:val="fr-FR"/>
        </w:rPr>
        <w:t>’</w:t>
      </w:r>
      <w:r w:rsidR="00DE160A" w:rsidRPr="00F60A3D">
        <w:rPr>
          <w:lang w:val="fr-FR"/>
        </w:rPr>
        <w:t xml:space="preserve">État </w:t>
      </w:r>
      <w:r w:rsidR="004F682D" w:rsidRPr="00F60A3D">
        <w:rPr>
          <w:lang w:val="fr-FR"/>
        </w:rPr>
        <w:t xml:space="preserve">de </w:t>
      </w:r>
      <w:r w:rsidR="00DE160A" w:rsidRPr="00F60A3D">
        <w:rPr>
          <w:lang w:val="fr-FR"/>
        </w:rPr>
        <w:t>s</w:t>
      </w:r>
      <w:r w:rsidR="00B17AE1" w:rsidRPr="00F60A3D">
        <w:rPr>
          <w:lang w:val="fr-FR"/>
        </w:rPr>
        <w:t>’</w:t>
      </w:r>
      <w:r w:rsidR="00DE160A" w:rsidRPr="00F60A3D">
        <w:rPr>
          <w:lang w:val="fr-FR"/>
        </w:rPr>
        <w:t>engag</w:t>
      </w:r>
      <w:r w:rsidR="000C3CE1" w:rsidRPr="00F60A3D">
        <w:rPr>
          <w:lang w:val="fr-FR"/>
        </w:rPr>
        <w:t xml:space="preserve">er dans des activités de </w:t>
      </w:r>
      <w:r w:rsidR="002C4532" w:rsidRPr="00F60A3D">
        <w:rPr>
          <w:lang w:val="fr-FR"/>
        </w:rPr>
        <w:t xml:space="preserve">politiques et de protection </w:t>
      </w:r>
      <w:r w:rsidR="00DE160A" w:rsidRPr="00F60A3D">
        <w:rPr>
          <w:lang w:val="fr-FR"/>
        </w:rPr>
        <w:t>sociale</w:t>
      </w:r>
      <w:r w:rsidR="002C4532" w:rsidRPr="00F60A3D">
        <w:rPr>
          <w:lang w:val="fr-FR"/>
        </w:rPr>
        <w:t>s</w:t>
      </w:r>
      <w:r w:rsidR="00941160" w:rsidRPr="00F60A3D">
        <w:rPr>
          <w:lang w:val="fr-FR"/>
        </w:rPr>
        <w:t>,</w:t>
      </w:r>
      <w:r w:rsidR="00DE160A" w:rsidRPr="00F60A3D">
        <w:rPr>
          <w:lang w:val="fr-FR"/>
        </w:rPr>
        <w:t xml:space="preserve"> et d</w:t>
      </w:r>
      <w:r w:rsidR="00B17AE1" w:rsidRPr="00F60A3D">
        <w:rPr>
          <w:lang w:val="fr-FR"/>
        </w:rPr>
        <w:t>’</w:t>
      </w:r>
      <w:r w:rsidR="002C4532" w:rsidRPr="00F60A3D">
        <w:rPr>
          <w:lang w:val="fr-FR"/>
        </w:rPr>
        <w:t>instaurer la justice dans ce domaine</w:t>
      </w:r>
      <w:r w:rsidR="004F682D" w:rsidRPr="00F60A3D">
        <w:rPr>
          <w:lang w:val="fr-FR"/>
        </w:rPr>
        <w:t xml:space="preserve"> (elle</w:t>
      </w:r>
      <w:r w:rsidR="00DE160A" w:rsidRPr="00F60A3D">
        <w:rPr>
          <w:lang w:val="fr-FR"/>
        </w:rPr>
        <w:t xml:space="preserve"> lui interdit de s</w:t>
      </w:r>
      <w:r w:rsidR="00B17AE1" w:rsidRPr="00F60A3D">
        <w:rPr>
          <w:lang w:val="fr-FR"/>
        </w:rPr>
        <w:t>’</w:t>
      </w:r>
      <w:r w:rsidR="002C4532" w:rsidRPr="00F60A3D">
        <w:rPr>
          <w:lang w:val="fr-FR"/>
        </w:rPr>
        <w:t>abstenir en la matière</w:t>
      </w:r>
      <w:r w:rsidR="00DE160A" w:rsidRPr="00F60A3D">
        <w:rPr>
          <w:lang w:val="fr-FR"/>
        </w:rPr>
        <w:t>).</w:t>
      </w:r>
      <w:r w:rsidR="00731982" w:rsidRPr="00F60A3D">
        <w:rPr>
          <w:lang w:val="fr-FR"/>
        </w:rPr>
        <w:t xml:space="preserve"> </w:t>
      </w:r>
    </w:p>
    <w:p w:rsidR="00B66A6C" w:rsidRPr="00F60A3D" w:rsidRDefault="00F21423" w:rsidP="00427F60">
      <w:pPr>
        <w:pStyle w:val="SingleTxtG"/>
        <w:rPr>
          <w:lang w:val="fr-FR"/>
        </w:rPr>
      </w:pPr>
      <w:r w:rsidRPr="00F60A3D">
        <w:rPr>
          <w:lang w:val="fr-FR"/>
        </w:rPr>
        <w:lastRenderedPageBreak/>
        <w:t>166</w:t>
      </w:r>
      <w:r w:rsidR="00B66A6C" w:rsidRPr="00F60A3D">
        <w:rPr>
          <w:lang w:val="fr-FR"/>
        </w:rPr>
        <w:t>.</w:t>
      </w:r>
      <w:r w:rsidR="00B70741" w:rsidRPr="00F60A3D">
        <w:rPr>
          <w:lang w:val="fr-FR"/>
        </w:rPr>
        <w:tab/>
        <w:t>Le principe de l</w:t>
      </w:r>
      <w:r w:rsidR="00B17AE1" w:rsidRPr="00F60A3D">
        <w:rPr>
          <w:lang w:val="fr-FR"/>
        </w:rPr>
        <w:t>’</w:t>
      </w:r>
      <w:r w:rsidR="00B70741" w:rsidRPr="00F60A3D">
        <w:rPr>
          <w:lang w:val="fr-FR"/>
        </w:rPr>
        <w:t xml:space="preserve">État </w:t>
      </w:r>
      <w:r w:rsidR="00B66A6C" w:rsidRPr="00F60A3D">
        <w:rPr>
          <w:lang w:val="fr-FR"/>
        </w:rPr>
        <w:t>social est concrétisé par plusieurs dispositions de droit fondamental</w:t>
      </w:r>
      <w:r w:rsidR="000F659E" w:rsidRPr="00F60A3D">
        <w:rPr>
          <w:lang w:val="fr-FR"/>
        </w:rPr>
        <w:t>,</w:t>
      </w:r>
      <w:r w:rsidR="00B66A6C" w:rsidRPr="00F60A3D">
        <w:rPr>
          <w:lang w:val="fr-FR"/>
        </w:rPr>
        <w:t xml:space="preserve"> dans des domaines à la fois </w:t>
      </w:r>
      <w:r w:rsidR="00230DF7" w:rsidRPr="00F60A3D">
        <w:rPr>
          <w:lang w:val="fr-FR"/>
        </w:rPr>
        <w:t>essentiels</w:t>
      </w:r>
      <w:r w:rsidR="002E62A2" w:rsidRPr="00F60A3D">
        <w:rPr>
          <w:lang w:val="fr-FR"/>
        </w:rPr>
        <w:t xml:space="preserve"> et </w:t>
      </w:r>
      <w:r w:rsidR="00B66A6C" w:rsidRPr="00F60A3D">
        <w:rPr>
          <w:lang w:val="fr-FR"/>
        </w:rPr>
        <w:t>important</w:t>
      </w:r>
      <w:r w:rsidR="00C92A1D" w:rsidRPr="00F60A3D">
        <w:rPr>
          <w:lang w:val="fr-FR"/>
        </w:rPr>
        <w:t>s</w:t>
      </w:r>
      <w:r w:rsidR="00B66A6C" w:rsidRPr="00F60A3D">
        <w:rPr>
          <w:lang w:val="fr-FR"/>
        </w:rPr>
        <w:t xml:space="preserve"> </w:t>
      </w:r>
      <w:r w:rsidR="002E62A2" w:rsidRPr="00F60A3D">
        <w:rPr>
          <w:lang w:val="fr-FR"/>
        </w:rPr>
        <w:t>dans la vie de tous les jours</w:t>
      </w:r>
      <w:r w:rsidR="00B66A6C" w:rsidRPr="00F60A3D">
        <w:rPr>
          <w:lang w:val="fr-FR"/>
        </w:rPr>
        <w:t>: l</w:t>
      </w:r>
      <w:r w:rsidR="00B17AE1" w:rsidRPr="00F60A3D">
        <w:rPr>
          <w:lang w:val="fr-FR"/>
        </w:rPr>
        <w:t>’</w:t>
      </w:r>
      <w:r w:rsidR="00B66A6C" w:rsidRPr="00F60A3D">
        <w:rPr>
          <w:lang w:val="fr-FR"/>
        </w:rPr>
        <w:t>obligation de protection qui incombe à l</w:t>
      </w:r>
      <w:r w:rsidR="00B17AE1" w:rsidRPr="00F60A3D">
        <w:rPr>
          <w:lang w:val="fr-FR"/>
        </w:rPr>
        <w:t>’</w:t>
      </w:r>
      <w:r w:rsidR="00E00DA0" w:rsidRPr="00F60A3D">
        <w:rPr>
          <w:lang w:val="fr-FR"/>
        </w:rPr>
        <w:t>État devient une obligation d</w:t>
      </w:r>
      <w:r w:rsidR="00B17AE1" w:rsidRPr="00F60A3D">
        <w:rPr>
          <w:lang w:val="fr-FR"/>
        </w:rPr>
        <w:t>’</w:t>
      </w:r>
      <w:r w:rsidR="00E00DA0" w:rsidRPr="00F60A3D">
        <w:rPr>
          <w:lang w:val="fr-FR"/>
        </w:rPr>
        <w:t>agir conformément a</w:t>
      </w:r>
      <w:r w:rsidR="00B70741" w:rsidRPr="00F60A3D">
        <w:rPr>
          <w:lang w:val="fr-FR"/>
        </w:rPr>
        <w:t>ux principes de l</w:t>
      </w:r>
      <w:r w:rsidR="00B17AE1" w:rsidRPr="00F60A3D">
        <w:rPr>
          <w:lang w:val="fr-FR"/>
        </w:rPr>
        <w:t>’</w:t>
      </w:r>
      <w:r w:rsidR="00B70741" w:rsidRPr="00F60A3D">
        <w:rPr>
          <w:lang w:val="fr-FR"/>
        </w:rPr>
        <w:t xml:space="preserve">État </w:t>
      </w:r>
      <w:r w:rsidR="00E00DA0" w:rsidRPr="00F60A3D">
        <w:rPr>
          <w:lang w:val="fr-FR"/>
        </w:rPr>
        <w:t>social. De ce fait, la République protège le</w:t>
      </w:r>
      <w:r w:rsidR="00E00DA0" w:rsidRPr="00F60A3D">
        <w:rPr>
          <w:b/>
          <w:lang w:val="fr-FR"/>
        </w:rPr>
        <w:t xml:space="preserve"> </w:t>
      </w:r>
      <w:r w:rsidR="004F682D" w:rsidRPr="00F60A3D">
        <w:rPr>
          <w:lang w:val="fr-FR"/>
        </w:rPr>
        <w:t>droit à la santé pour</w:t>
      </w:r>
      <w:r w:rsidR="004F682D" w:rsidRPr="00F60A3D">
        <w:rPr>
          <w:b/>
          <w:lang w:val="fr-FR"/>
        </w:rPr>
        <w:t xml:space="preserve"> </w:t>
      </w:r>
      <w:r w:rsidR="00E00DA0" w:rsidRPr="00F60A3D">
        <w:rPr>
          <w:lang w:val="fr-FR"/>
        </w:rPr>
        <w:t>tous et garantit les meilleurs niveaux de santé physique et mentale</w:t>
      </w:r>
      <w:r w:rsidR="00D06EDC" w:rsidRPr="00F60A3D">
        <w:rPr>
          <w:lang w:val="fr-FR"/>
        </w:rPr>
        <w:t xml:space="preserve"> possibles</w:t>
      </w:r>
      <w:r w:rsidR="00E00DA0" w:rsidRPr="00F60A3D">
        <w:rPr>
          <w:lang w:val="fr-FR"/>
        </w:rPr>
        <w:t>, en dispensant également des soin</w:t>
      </w:r>
      <w:r w:rsidR="009C61ED" w:rsidRPr="00F60A3D">
        <w:rPr>
          <w:lang w:val="fr-FR"/>
        </w:rPr>
        <w:t>s médicaux gratuits aux personnes démunie</w:t>
      </w:r>
      <w:r w:rsidR="00E4009D" w:rsidRPr="00F60A3D">
        <w:rPr>
          <w:lang w:val="fr-FR"/>
        </w:rPr>
        <w:t>s (</w:t>
      </w:r>
      <w:r w:rsidR="00731982" w:rsidRPr="00F60A3D">
        <w:rPr>
          <w:lang w:val="fr-FR"/>
        </w:rPr>
        <w:t>art. </w:t>
      </w:r>
      <w:r w:rsidR="00E4009D" w:rsidRPr="00F60A3D">
        <w:rPr>
          <w:lang w:val="fr-FR"/>
        </w:rPr>
        <w:t>32</w:t>
      </w:r>
      <w:r w:rsidR="00B20045" w:rsidRPr="00F60A3D">
        <w:rPr>
          <w:lang w:val="fr-FR"/>
        </w:rPr>
        <w:t xml:space="preserve">, </w:t>
      </w:r>
      <w:r w:rsidR="00B17AE1" w:rsidRPr="00F60A3D">
        <w:rPr>
          <w:lang w:val="fr-FR"/>
        </w:rPr>
        <w:t>par. </w:t>
      </w:r>
      <w:r w:rsidR="00E00DA0" w:rsidRPr="00F60A3D">
        <w:rPr>
          <w:lang w:val="fr-FR"/>
        </w:rPr>
        <w:t>1). L</w:t>
      </w:r>
      <w:r w:rsidR="00B17AE1" w:rsidRPr="00F60A3D">
        <w:rPr>
          <w:lang w:val="fr-FR"/>
        </w:rPr>
        <w:t>’</w:t>
      </w:r>
      <w:r w:rsidR="00D26282" w:rsidRPr="00F60A3D">
        <w:rPr>
          <w:lang w:val="fr-FR"/>
        </w:rPr>
        <w:t>article </w:t>
      </w:r>
      <w:r w:rsidR="00E00DA0" w:rsidRPr="00F60A3D">
        <w:rPr>
          <w:lang w:val="fr-FR"/>
        </w:rPr>
        <w:t>3</w:t>
      </w:r>
      <w:r w:rsidR="004F682D" w:rsidRPr="00F60A3D">
        <w:rPr>
          <w:lang w:val="fr-FR"/>
        </w:rPr>
        <w:t>8, en conjo</w:t>
      </w:r>
      <w:r w:rsidR="00E00DA0" w:rsidRPr="00F60A3D">
        <w:rPr>
          <w:lang w:val="fr-FR"/>
        </w:rPr>
        <w:t>nct</w:t>
      </w:r>
      <w:r w:rsidR="00230DF7" w:rsidRPr="00F60A3D">
        <w:rPr>
          <w:lang w:val="fr-FR"/>
        </w:rPr>
        <w:t>ion avec l</w:t>
      </w:r>
      <w:r w:rsidR="00B17AE1" w:rsidRPr="00F60A3D">
        <w:rPr>
          <w:lang w:val="fr-FR"/>
        </w:rPr>
        <w:t>’</w:t>
      </w:r>
      <w:r w:rsidR="00D26282" w:rsidRPr="00F60A3D">
        <w:rPr>
          <w:lang w:val="fr-FR"/>
        </w:rPr>
        <w:t>article </w:t>
      </w:r>
      <w:r w:rsidR="00230DF7" w:rsidRPr="00F60A3D">
        <w:rPr>
          <w:lang w:val="fr-FR"/>
        </w:rPr>
        <w:t xml:space="preserve">2, </w:t>
      </w:r>
      <w:r w:rsidR="00995638" w:rsidRPr="00F60A3D">
        <w:rPr>
          <w:lang w:val="fr-FR"/>
        </w:rPr>
        <w:t>alinéa </w:t>
      </w:r>
      <w:r w:rsidR="00E00DA0" w:rsidRPr="00F60A3D">
        <w:rPr>
          <w:lang w:val="fr-FR"/>
        </w:rPr>
        <w:t xml:space="preserve">2 </w:t>
      </w:r>
      <w:r w:rsidR="009C61ED" w:rsidRPr="00F60A3D">
        <w:rPr>
          <w:lang w:val="fr-FR"/>
        </w:rPr>
        <w:t>de la Loi fondamentale, impose</w:t>
      </w:r>
      <w:r w:rsidR="00E00DA0" w:rsidRPr="00F60A3D">
        <w:rPr>
          <w:lang w:val="fr-FR"/>
        </w:rPr>
        <w:t xml:space="preserve"> à l</w:t>
      </w:r>
      <w:r w:rsidR="00B17AE1" w:rsidRPr="00F60A3D">
        <w:rPr>
          <w:lang w:val="fr-FR"/>
        </w:rPr>
        <w:t>’</w:t>
      </w:r>
      <w:r w:rsidR="00E00DA0" w:rsidRPr="00F60A3D">
        <w:rPr>
          <w:lang w:val="fr-FR"/>
        </w:rPr>
        <w:t>État de garantir un niv</w:t>
      </w:r>
      <w:r w:rsidR="00D06EDC" w:rsidRPr="00F60A3D">
        <w:rPr>
          <w:lang w:val="fr-FR"/>
        </w:rPr>
        <w:t>eau de vie minimum aux personnes dans le besoin</w:t>
      </w:r>
      <w:r w:rsidR="00E00DA0" w:rsidRPr="00F60A3D">
        <w:rPr>
          <w:lang w:val="fr-FR"/>
        </w:rPr>
        <w:t xml:space="preserve">. </w:t>
      </w:r>
    </w:p>
    <w:p w:rsidR="00DB5D9E" w:rsidRPr="00F60A3D" w:rsidRDefault="00F21423" w:rsidP="00F520A7">
      <w:pPr>
        <w:pStyle w:val="SingleTxtG"/>
        <w:rPr>
          <w:lang w:val="fr-FR"/>
        </w:rPr>
      </w:pPr>
      <w:r w:rsidRPr="00F60A3D">
        <w:rPr>
          <w:lang w:val="fr-FR"/>
        </w:rPr>
        <w:t>167</w:t>
      </w:r>
      <w:r w:rsidR="0038018E" w:rsidRPr="00F60A3D">
        <w:rPr>
          <w:lang w:val="fr-FR"/>
        </w:rPr>
        <w:t>.</w:t>
      </w:r>
      <w:r w:rsidR="0038018E" w:rsidRPr="00F60A3D">
        <w:rPr>
          <w:lang w:val="fr-FR"/>
        </w:rPr>
        <w:tab/>
        <w:t xml:space="preserve">Les </w:t>
      </w:r>
      <w:r w:rsidR="00D26282" w:rsidRPr="00F60A3D">
        <w:rPr>
          <w:lang w:val="fr-FR"/>
        </w:rPr>
        <w:t>articles </w:t>
      </w:r>
      <w:r w:rsidR="0038018E" w:rsidRPr="00F60A3D">
        <w:rPr>
          <w:lang w:val="fr-FR"/>
        </w:rPr>
        <w:t>29 à 31 qui énoncent le devoir de l</w:t>
      </w:r>
      <w:r w:rsidR="00B17AE1" w:rsidRPr="00F60A3D">
        <w:rPr>
          <w:lang w:val="fr-FR"/>
        </w:rPr>
        <w:t>’</w:t>
      </w:r>
      <w:r w:rsidR="0038018E" w:rsidRPr="00F60A3D">
        <w:rPr>
          <w:lang w:val="fr-FR"/>
        </w:rPr>
        <w:t>État de protéger le mariage et la famille, la matern</w:t>
      </w:r>
      <w:r w:rsidR="000858FC" w:rsidRPr="00F60A3D">
        <w:rPr>
          <w:lang w:val="fr-FR"/>
        </w:rPr>
        <w:t>ité et les enfants nés hors mar</w:t>
      </w:r>
      <w:r w:rsidR="0038018E" w:rsidRPr="00F60A3D">
        <w:rPr>
          <w:lang w:val="fr-FR"/>
        </w:rPr>
        <w:t>iage, engagent le Parlement et le Gouvernement à offrir des conditions de développement physique et mental égales</w:t>
      </w:r>
      <w:r w:rsidR="00F75496" w:rsidRPr="00F60A3D">
        <w:rPr>
          <w:rStyle w:val="FootnoteReference"/>
          <w:lang w:val="fr-FR"/>
        </w:rPr>
        <w:footnoteReference w:id="37"/>
      </w:r>
      <w:r w:rsidR="0018379D" w:rsidRPr="00F60A3D">
        <w:rPr>
          <w:lang w:val="fr-FR"/>
        </w:rPr>
        <w:t>.</w:t>
      </w:r>
      <w:r w:rsidR="00F520A7" w:rsidRPr="00F60A3D">
        <w:rPr>
          <w:lang w:val="fr-FR"/>
        </w:rPr>
        <w:t xml:space="preserve"> </w:t>
      </w:r>
    </w:p>
    <w:p w:rsidR="00620377" w:rsidRPr="00F60A3D" w:rsidRDefault="00F21423" w:rsidP="00AD31DD">
      <w:pPr>
        <w:pStyle w:val="SingleTxtG"/>
        <w:rPr>
          <w:lang w:val="fr-FR"/>
        </w:rPr>
      </w:pPr>
      <w:r w:rsidRPr="00F60A3D">
        <w:rPr>
          <w:lang w:val="fr-FR"/>
        </w:rPr>
        <w:t>168</w:t>
      </w:r>
      <w:r w:rsidR="00AD31DD" w:rsidRPr="00F60A3D">
        <w:rPr>
          <w:lang w:val="fr-FR"/>
        </w:rPr>
        <w:t>.</w:t>
      </w:r>
      <w:r w:rsidR="00AD31DD" w:rsidRPr="00F60A3D">
        <w:rPr>
          <w:lang w:val="fr-FR"/>
        </w:rPr>
        <w:tab/>
        <w:t>Le principe général d</w:t>
      </w:r>
      <w:r w:rsidR="00B17AE1" w:rsidRPr="00F60A3D">
        <w:rPr>
          <w:lang w:val="fr-FR"/>
        </w:rPr>
        <w:t>’</w:t>
      </w:r>
      <w:r w:rsidR="00AD31DD" w:rsidRPr="00F60A3D">
        <w:rPr>
          <w:lang w:val="fr-FR"/>
        </w:rPr>
        <w:t>égalité, inscrit</w:t>
      </w:r>
      <w:r w:rsidR="0097222F" w:rsidRPr="00F60A3D">
        <w:rPr>
          <w:lang w:val="fr-FR"/>
        </w:rPr>
        <w:t xml:space="preserve"> à l</w:t>
      </w:r>
      <w:r w:rsidR="00B17AE1" w:rsidRPr="00F60A3D">
        <w:rPr>
          <w:lang w:val="fr-FR"/>
        </w:rPr>
        <w:t>’</w:t>
      </w:r>
      <w:r w:rsidR="00D26282" w:rsidRPr="00F60A3D">
        <w:rPr>
          <w:lang w:val="fr-FR"/>
        </w:rPr>
        <w:t>article </w:t>
      </w:r>
      <w:r w:rsidR="0097222F" w:rsidRPr="00F60A3D">
        <w:rPr>
          <w:lang w:val="fr-FR"/>
        </w:rPr>
        <w:t>3, impose à l</w:t>
      </w:r>
      <w:r w:rsidR="00B17AE1" w:rsidRPr="00F60A3D">
        <w:rPr>
          <w:lang w:val="fr-FR"/>
        </w:rPr>
        <w:t>’</w:t>
      </w:r>
      <w:r w:rsidR="0097222F" w:rsidRPr="00F60A3D">
        <w:rPr>
          <w:lang w:val="fr-FR"/>
        </w:rPr>
        <w:t>État</w:t>
      </w:r>
      <w:r w:rsidR="00AD31DD" w:rsidRPr="00F60A3D">
        <w:rPr>
          <w:lang w:val="fr-FR"/>
        </w:rPr>
        <w:t xml:space="preserve"> d</w:t>
      </w:r>
      <w:r w:rsidR="00B17AE1" w:rsidRPr="00F60A3D">
        <w:rPr>
          <w:lang w:val="fr-FR"/>
        </w:rPr>
        <w:t>’</w:t>
      </w:r>
      <w:r w:rsidR="00AD31DD" w:rsidRPr="00F60A3D">
        <w:rPr>
          <w:lang w:val="fr-FR"/>
        </w:rPr>
        <w:t>étendre la mise en œuvre du principe de l</w:t>
      </w:r>
      <w:r w:rsidR="00B17AE1" w:rsidRPr="00F60A3D">
        <w:rPr>
          <w:lang w:val="fr-FR"/>
        </w:rPr>
        <w:t>’</w:t>
      </w:r>
      <w:r w:rsidR="00AD31DD" w:rsidRPr="00F60A3D">
        <w:rPr>
          <w:lang w:val="fr-FR"/>
        </w:rPr>
        <w:t>égalité de traitement entre les hommes et les femmes</w:t>
      </w:r>
      <w:r w:rsidR="00F75496" w:rsidRPr="00F60A3D">
        <w:rPr>
          <w:rStyle w:val="FootnoteReference"/>
          <w:lang w:val="fr-FR"/>
        </w:rPr>
        <w:footnoteReference w:id="38"/>
      </w:r>
      <w:r w:rsidR="00620377" w:rsidRPr="00F60A3D">
        <w:rPr>
          <w:lang w:val="fr-FR"/>
        </w:rPr>
        <w:t xml:space="preserve"> et plus généralement, de progresser vers l</w:t>
      </w:r>
      <w:r w:rsidR="00B17AE1" w:rsidRPr="00F60A3D">
        <w:rPr>
          <w:lang w:val="fr-FR"/>
        </w:rPr>
        <w:t>’</w:t>
      </w:r>
      <w:r w:rsidR="00620377" w:rsidRPr="00F60A3D">
        <w:rPr>
          <w:lang w:val="fr-FR"/>
        </w:rPr>
        <w:t>abolition des inégalités et des barrières existantes, qui affectent en particulier les pe</w:t>
      </w:r>
      <w:r w:rsidR="001B7109" w:rsidRPr="00F60A3D">
        <w:rPr>
          <w:lang w:val="fr-FR"/>
        </w:rPr>
        <w:t>rsonnes handicapées (</w:t>
      </w:r>
      <w:r w:rsidR="001B7109" w:rsidRPr="00F60A3D">
        <w:rPr>
          <w:i/>
          <w:lang w:val="fr-FR"/>
        </w:rPr>
        <w:t>Nul ne peut faire l</w:t>
      </w:r>
      <w:r w:rsidR="00B17AE1" w:rsidRPr="00F60A3D">
        <w:rPr>
          <w:i/>
          <w:lang w:val="fr-FR"/>
        </w:rPr>
        <w:t>’</w:t>
      </w:r>
      <w:r w:rsidR="001B7109" w:rsidRPr="00F60A3D">
        <w:rPr>
          <w:i/>
          <w:lang w:val="fr-FR"/>
        </w:rPr>
        <w:t>objet de discrimination</w:t>
      </w:r>
      <w:r w:rsidR="001B7109" w:rsidRPr="00F60A3D">
        <w:rPr>
          <w:lang w:val="fr-FR"/>
        </w:rPr>
        <w:t xml:space="preserve"> </w:t>
      </w:r>
      <w:r w:rsidR="001B7109" w:rsidRPr="00F60A3D">
        <w:rPr>
          <w:i/>
          <w:lang w:val="fr-FR"/>
        </w:rPr>
        <w:t>en raison d</w:t>
      </w:r>
      <w:r w:rsidR="00B17AE1" w:rsidRPr="00F60A3D">
        <w:rPr>
          <w:i/>
          <w:lang w:val="fr-FR"/>
        </w:rPr>
        <w:t>’</w:t>
      </w:r>
      <w:r w:rsidR="001B7109" w:rsidRPr="00F60A3D">
        <w:rPr>
          <w:i/>
          <w:lang w:val="fr-FR"/>
        </w:rPr>
        <w:t>un handicap</w:t>
      </w:r>
      <w:r w:rsidR="00E4009D" w:rsidRPr="00F60A3D">
        <w:rPr>
          <w:lang w:val="fr-FR"/>
        </w:rPr>
        <w:t xml:space="preserve"> (</w:t>
      </w:r>
      <w:r w:rsidR="00731982" w:rsidRPr="00F60A3D">
        <w:rPr>
          <w:lang w:val="fr-FR"/>
        </w:rPr>
        <w:t>art. </w:t>
      </w:r>
      <w:r w:rsidR="00E4009D" w:rsidRPr="00F60A3D">
        <w:rPr>
          <w:lang w:val="fr-FR"/>
        </w:rPr>
        <w:t>38</w:t>
      </w:r>
      <w:r w:rsidR="00B20045" w:rsidRPr="00F60A3D">
        <w:rPr>
          <w:lang w:val="fr-FR"/>
        </w:rPr>
        <w:t xml:space="preserve">, </w:t>
      </w:r>
      <w:r w:rsidR="00B17AE1" w:rsidRPr="00F60A3D">
        <w:rPr>
          <w:lang w:val="fr-FR"/>
        </w:rPr>
        <w:t>par. </w:t>
      </w:r>
      <w:r w:rsidR="001B7109" w:rsidRPr="00F60A3D">
        <w:rPr>
          <w:lang w:val="fr-FR"/>
        </w:rPr>
        <w:t>3).</w:t>
      </w:r>
    </w:p>
    <w:p w:rsidR="00DB5D9E" w:rsidRPr="00F60A3D" w:rsidRDefault="00F21423" w:rsidP="001B7109">
      <w:pPr>
        <w:pStyle w:val="SingleTxtG"/>
        <w:rPr>
          <w:lang w:val="fr-FR"/>
        </w:rPr>
      </w:pPr>
      <w:r w:rsidRPr="00F60A3D">
        <w:rPr>
          <w:lang w:val="fr-FR"/>
        </w:rPr>
        <w:t>169</w:t>
      </w:r>
      <w:r w:rsidR="003B686C" w:rsidRPr="00F60A3D">
        <w:rPr>
          <w:lang w:val="fr-FR"/>
        </w:rPr>
        <w:t>.</w:t>
      </w:r>
      <w:r w:rsidR="003B686C" w:rsidRPr="00F60A3D">
        <w:rPr>
          <w:lang w:val="fr-FR"/>
        </w:rPr>
        <w:tab/>
        <w:t xml:space="preserve">Dans le domaine </w:t>
      </w:r>
      <w:r w:rsidR="001B7109" w:rsidRPr="00F60A3D">
        <w:rPr>
          <w:lang w:val="fr-FR"/>
        </w:rPr>
        <w:t xml:space="preserve">du travail et </w:t>
      </w:r>
      <w:r w:rsidR="003B686C" w:rsidRPr="00F60A3D">
        <w:rPr>
          <w:lang w:val="fr-FR"/>
        </w:rPr>
        <w:t>du droit du travail</w:t>
      </w:r>
      <w:r w:rsidR="001B7109" w:rsidRPr="00F60A3D">
        <w:rPr>
          <w:lang w:val="fr-FR"/>
        </w:rPr>
        <w:t>, il fau</w:t>
      </w:r>
      <w:r w:rsidR="006D002B" w:rsidRPr="00F60A3D">
        <w:rPr>
          <w:lang w:val="fr-FR"/>
        </w:rPr>
        <w:t>t mentionner: le droit garanti par</w:t>
      </w:r>
      <w:r w:rsidR="001B7109" w:rsidRPr="00F60A3D">
        <w:rPr>
          <w:lang w:val="fr-FR"/>
        </w:rPr>
        <w:t xml:space="preserve"> l</w:t>
      </w:r>
      <w:r w:rsidR="00B17AE1" w:rsidRPr="00F60A3D">
        <w:rPr>
          <w:lang w:val="fr-FR"/>
        </w:rPr>
        <w:t>’</w:t>
      </w:r>
      <w:r w:rsidR="00D26282" w:rsidRPr="00F60A3D">
        <w:rPr>
          <w:lang w:val="fr-FR"/>
        </w:rPr>
        <w:t>article </w:t>
      </w:r>
      <w:r w:rsidR="001B7109" w:rsidRPr="00F60A3D">
        <w:rPr>
          <w:lang w:val="fr-FR"/>
        </w:rPr>
        <w:t xml:space="preserve">39 de la Loi fondamentale de former des associations et des syndicats pour </w:t>
      </w:r>
      <w:r w:rsidR="006B5DAE" w:rsidRPr="00F60A3D">
        <w:rPr>
          <w:lang w:val="fr-FR"/>
        </w:rPr>
        <w:t>pré</w:t>
      </w:r>
      <w:r w:rsidR="001B7109" w:rsidRPr="00F60A3D">
        <w:rPr>
          <w:lang w:val="fr-FR"/>
        </w:rPr>
        <w:t>server et améliorer les conditions de travai</w:t>
      </w:r>
      <w:r w:rsidR="006B4E9E" w:rsidRPr="00F60A3D">
        <w:rPr>
          <w:lang w:val="fr-FR"/>
        </w:rPr>
        <w:t>l et les conditions économiques,</w:t>
      </w:r>
      <w:r w:rsidR="006B5DAE" w:rsidRPr="00F60A3D">
        <w:rPr>
          <w:lang w:val="fr-FR"/>
        </w:rPr>
        <w:t xml:space="preserve"> et</w:t>
      </w:r>
      <w:r w:rsidR="001B7109" w:rsidRPr="00F60A3D">
        <w:rPr>
          <w:lang w:val="fr-FR"/>
        </w:rPr>
        <w:t xml:space="preserve"> les </w:t>
      </w:r>
      <w:r w:rsidR="00D26282" w:rsidRPr="00F60A3D">
        <w:rPr>
          <w:lang w:val="fr-FR"/>
        </w:rPr>
        <w:t>articles </w:t>
      </w:r>
      <w:r w:rsidR="001B7109" w:rsidRPr="00F60A3D">
        <w:rPr>
          <w:lang w:val="fr-FR"/>
        </w:rPr>
        <w:t>37 et 51 relatifs à l</w:t>
      </w:r>
      <w:r w:rsidR="00B17AE1" w:rsidRPr="00F60A3D">
        <w:rPr>
          <w:lang w:val="fr-FR"/>
        </w:rPr>
        <w:t>’</w:t>
      </w:r>
      <w:r w:rsidR="001B7109" w:rsidRPr="00F60A3D">
        <w:rPr>
          <w:lang w:val="fr-FR"/>
        </w:rPr>
        <w:t>égalité d</w:t>
      </w:r>
      <w:r w:rsidR="00B17AE1" w:rsidRPr="00F60A3D">
        <w:rPr>
          <w:lang w:val="fr-FR"/>
        </w:rPr>
        <w:t>’</w:t>
      </w:r>
      <w:r w:rsidR="006B5DAE" w:rsidRPr="00F60A3D">
        <w:rPr>
          <w:lang w:val="fr-FR"/>
        </w:rPr>
        <w:t>accès à l</w:t>
      </w:r>
      <w:r w:rsidR="00B17AE1" w:rsidRPr="00F60A3D">
        <w:rPr>
          <w:lang w:val="fr-FR"/>
        </w:rPr>
        <w:t>’</w:t>
      </w:r>
      <w:r w:rsidR="006B5DAE" w:rsidRPr="00F60A3D">
        <w:rPr>
          <w:lang w:val="fr-FR"/>
        </w:rPr>
        <w:t>emploi</w:t>
      </w:r>
      <w:r w:rsidR="001B7109" w:rsidRPr="00F60A3D">
        <w:rPr>
          <w:lang w:val="fr-FR"/>
        </w:rPr>
        <w:t xml:space="preserve"> et aux fonctions publiques et à l</w:t>
      </w:r>
      <w:r w:rsidR="00B17AE1" w:rsidRPr="00F60A3D">
        <w:rPr>
          <w:lang w:val="fr-FR"/>
        </w:rPr>
        <w:t>’</w:t>
      </w:r>
      <w:r w:rsidR="001B7109" w:rsidRPr="00F60A3D">
        <w:rPr>
          <w:lang w:val="fr-FR"/>
        </w:rPr>
        <w:t xml:space="preserve">égalité des sexes. </w:t>
      </w:r>
    </w:p>
    <w:p w:rsidR="00DB5D9E" w:rsidRPr="00F60A3D" w:rsidRDefault="00F520A7" w:rsidP="00F520A7">
      <w:pPr>
        <w:pStyle w:val="H23G"/>
        <w:rPr>
          <w:lang w:val="fr-FR"/>
        </w:rPr>
      </w:pPr>
      <w:r w:rsidRPr="00F60A3D">
        <w:rPr>
          <w:lang w:val="fr-FR"/>
        </w:rPr>
        <w:tab/>
      </w:r>
      <w:r w:rsidR="001B7109" w:rsidRPr="00F60A3D">
        <w:rPr>
          <w:lang w:val="fr-FR"/>
        </w:rPr>
        <w:tab/>
        <w:t>Droits économiques</w:t>
      </w:r>
      <w:r w:rsidR="00DB5D9E" w:rsidRPr="00F60A3D">
        <w:rPr>
          <w:lang w:val="fr-FR"/>
        </w:rPr>
        <w:t xml:space="preserve"> </w:t>
      </w:r>
    </w:p>
    <w:p w:rsidR="00B17B0E" w:rsidRPr="00F60A3D" w:rsidRDefault="00F21423" w:rsidP="00F520A7">
      <w:pPr>
        <w:pStyle w:val="SingleTxtG"/>
        <w:rPr>
          <w:lang w:val="fr-FR"/>
        </w:rPr>
      </w:pPr>
      <w:r w:rsidRPr="00F60A3D">
        <w:rPr>
          <w:lang w:val="fr-FR"/>
        </w:rPr>
        <w:t>170</w:t>
      </w:r>
      <w:r w:rsidR="00B17B0E" w:rsidRPr="00F60A3D">
        <w:rPr>
          <w:lang w:val="fr-FR"/>
        </w:rPr>
        <w:t>.</w:t>
      </w:r>
      <w:r w:rsidR="00B17B0E" w:rsidRPr="00F60A3D">
        <w:rPr>
          <w:lang w:val="fr-FR"/>
        </w:rPr>
        <w:tab/>
        <w:t>Le système économique italien a notamment pour fondement: un système mixte d</w:t>
      </w:r>
      <w:r w:rsidR="00B17AE1" w:rsidRPr="00F60A3D">
        <w:rPr>
          <w:lang w:val="fr-FR"/>
        </w:rPr>
        <w:t>’</w:t>
      </w:r>
      <w:r w:rsidR="00B17B0E" w:rsidRPr="00F60A3D">
        <w:rPr>
          <w:lang w:val="fr-FR"/>
        </w:rPr>
        <w:t>entreprenariat et de p</w:t>
      </w:r>
      <w:r w:rsidR="00612229" w:rsidRPr="00F60A3D">
        <w:rPr>
          <w:lang w:val="fr-FR"/>
        </w:rPr>
        <w:t>ropriété privée,</w:t>
      </w:r>
      <w:r w:rsidR="00900280" w:rsidRPr="00F60A3D">
        <w:rPr>
          <w:lang w:val="fr-FR"/>
        </w:rPr>
        <w:t xml:space="preserve"> une planificati</w:t>
      </w:r>
      <w:r w:rsidR="00B17B0E" w:rsidRPr="00F60A3D">
        <w:rPr>
          <w:lang w:val="fr-FR"/>
        </w:rPr>
        <w:t xml:space="preserve">on centrale </w:t>
      </w:r>
      <w:r w:rsidR="00612229" w:rsidRPr="00F60A3D">
        <w:rPr>
          <w:lang w:val="fr-FR"/>
        </w:rPr>
        <w:t>confiée aux autorités publiques,</w:t>
      </w:r>
      <w:r w:rsidR="00B17B0E" w:rsidRPr="00F60A3D">
        <w:rPr>
          <w:lang w:val="fr-FR"/>
        </w:rPr>
        <w:t xml:space="preserve"> un vaste système de protection des </w:t>
      </w:r>
      <w:r w:rsidR="00612229" w:rsidRPr="00F60A3D">
        <w:rPr>
          <w:lang w:val="fr-FR"/>
        </w:rPr>
        <w:t>travailleurs,</w:t>
      </w:r>
      <w:r w:rsidR="00B17B0E" w:rsidRPr="00F60A3D">
        <w:rPr>
          <w:lang w:val="fr-FR"/>
        </w:rPr>
        <w:t xml:space="preserve"> la protection des biens conçue globalement, y compris la vente ou la cession des</w:t>
      </w:r>
      <w:r w:rsidR="00612229" w:rsidRPr="00F60A3D">
        <w:rPr>
          <w:lang w:val="fr-FR"/>
        </w:rPr>
        <w:t xml:space="preserve"> biens,</w:t>
      </w:r>
      <w:r w:rsidR="00900280" w:rsidRPr="00F60A3D">
        <w:rPr>
          <w:lang w:val="fr-FR"/>
        </w:rPr>
        <w:t xml:space="preserve"> la liberté de travaille</w:t>
      </w:r>
      <w:r w:rsidR="00B17B0E" w:rsidRPr="00F60A3D">
        <w:rPr>
          <w:lang w:val="fr-FR"/>
        </w:rPr>
        <w:t xml:space="preserve">r dans le </w:t>
      </w:r>
      <w:r w:rsidR="006D002B" w:rsidRPr="00F60A3D">
        <w:rPr>
          <w:lang w:val="fr-FR"/>
        </w:rPr>
        <w:t>domaine de l</w:t>
      </w:r>
      <w:r w:rsidR="00B17AE1" w:rsidRPr="00F60A3D">
        <w:rPr>
          <w:lang w:val="fr-FR"/>
        </w:rPr>
        <w:t>’</w:t>
      </w:r>
      <w:r w:rsidR="006D002B" w:rsidRPr="00F60A3D">
        <w:rPr>
          <w:lang w:val="fr-FR"/>
        </w:rPr>
        <w:t>entreprise</w:t>
      </w:r>
      <w:r w:rsidR="00B17B0E" w:rsidRPr="00F60A3D">
        <w:rPr>
          <w:lang w:val="fr-FR"/>
        </w:rPr>
        <w:t>, etc.</w:t>
      </w:r>
      <w:r w:rsidR="00731982" w:rsidRPr="00F60A3D">
        <w:rPr>
          <w:lang w:val="fr-FR"/>
        </w:rPr>
        <w:t xml:space="preserve"> </w:t>
      </w:r>
    </w:p>
    <w:p w:rsidR="00B17B0E" w:rsidRPr="00F60A3D" w:rsidRDefault="00F21423" w:rsidP="00F520A7">
      <w:pPr>
        <w:pStyle w:val="SingleTxtG"/>
        <w:rPr>
          <w:lang w:val="fr-FR"/>
        </w:rPr>
      </w:pPr>
      <w:r w:rsidRPr="00F60A3D">
        <w:rPr>
          <w:lang w:val="fr-FR"/>
        </w:rPr>
        <w:t>171</w:t>
      </w:r>
      <w:r w:rsidR="00B17B0E" w:rsidRPr="00F60A3D">
        <w:rPr>
          <w:lang w:val="fr-FR"/>
        </w:rPr>
        <w:t>.</w:t>
      </w:r>
      <w:r w:rsidR="00B17B0E" w:rsidRPr="00F60A3D">
        <w:rPr>
          <w:lang w:val="fr-FR"/>
        </w:rPr>
        <w:tab/>
        <w:t xml:space="preserve">Conformément à la règle de </w:t>
      </w:r>
      <w:r w:rsidR="00CE0052" w:rsidRPr="00F60A3D">
        <w:rPr>
          <w:lang w:val="fr-FR"/>
        </w:rPr>
        <w:t>droit, la Constitution prévoit d</w:t>
      </w:r>
      <w:r w:rsidR="00B17B0E" w:rsidRPr="00F60A3D">
        <w:rPr>
          <w:lang w:val="fr-FR"/>
        </w:rPr>
        <w:t xml:space="preserve">es droits économiques, tels </w:t>
      </w:r>
      <w:r w:rsidR="00230DF7" w:rsidRPr="00F60A3D">
        <w:rPr>
          <w:lang w:val="fr-FR"/>
        </w:rPr>
        <w:t>le droit de propriété</w:t>
      </w:r>
      <w:r w:rsidR="00B17B0E" w:rsidRPr="00F60A3D">
        <w:rPr>
          <w:lang w:val="fr-FR"/>
        </w:rPr>
        <w:t xml:space="preserve">, </w:t>
      </w:r>
      <w:r w:rsidR="00CE0052" w:rsidRPr="00F60A3D">
        <w:rPr>
          <w:lang w:val="fr-FR"/>
        </w:rPr>
        <w:t>la liberté d</w:t>
      </w:r>
      <w:r w:rsidR="00B17AE1" w:rsidRPr="00F60A3D">
        <w:rPr>
          <w:lang w:val="fr-FR"/>
        </w:rPr>
        <w:t>’</w:t>
      </w:r>
      <w:r w:rsidR="00505198" w:rsidRPr="00F60A3D">
        <w:rPr>
          <w:lang w:val="fr-FR"/>
        </w:rPr>
        <w:t>initia</w:t>
      </w:r>
      <w:r w:rsidR="00CE0052" w:rsidRPr="00F60A3D">
        <w:rPr>
          <w:lang w:val="fr-FR"/>
        </w:rPr>
        <w:t>tive en matière économique</w:t>
      </w:r>
      <w:r w:rsidR="00B17B0E" w:rsidRPr="00F60A3D">
        <w:rPr>
          <w:lang w:val="fr-FR"/>
        </w:rPr>
        <w:t xml:space="preserve">, le droit </w:t>
      </w:r>
      <w:r w:rsidR="00505198" w:rsidRPr="00F60A3D">
        <w:rPr>
          <w:lang w:val="fr-FR"/>
        </w:rPr>
        <w:t>au</w:t>
      </w:r>
      <w:r w:rsidR="0016117E" w:rsidRPr="00F60A3D">
        <w:rPr>
          <w:lang w:val="fr-FR"/>
        </w:rPr>
        <w:t xml:space="preserve"> travail et</w:t>
      </w:r>
      <w:r w:rsidR="00CE0052" w:rsidRPr="00F60A3D">
        <w:rPr>
          <w:lang w:val="fr-FR"/>
        </w:rPr>
        <w:t xml:space="preserve"> au libre choix de la profession</w:t>
      </w:r>
      <w:r w:rsidR="0016117E" w:rsidRPr="00F60A3D">
        <w:rPr>
          <w:lang w:val="fr-FR"/>
        </w:rPr>
        <w:t>.</w:t>
      </w:r>
      <w:r w:rsidR="00731982" w:rsidRPr="00F60A3D">
        <w:rPr>
          <w:lang w:val="fr-FR"/>
        </w:rPr>
        <w:t xml:space="preserve"> </w:t>
      </w:r>
      <w:r w:rsidR="0016117E" w:rsidRPr="00F60A3D">
        <w:rPr>
          <w:lang w:val="fr-FR"/>
        </w:rPr>
        <w:t>En Italie, les droits précités s</w:t>
      </w:r>
      <w:r w:rsidR="00B17AE1" w:rsidRPr="00F60A3D">
        <w:rPr>
          <w:lang w:val="fr-FR"/>
        </w:rPr>
        <w:t>’</w:t>
      </w:r>
      <w:r w:rsidR="0016117E" w:rsidRPr="00F60A3D">
        <w:rPr>
          <w:lang w:val="fr-FR"/>
        </w:rPr>
        <w:t xml:space="preserve">accompagnent notamment du droit </w:t>
      </w:r>
      <w:r w:rsidR="00E4009D" w:rsidRPr="00F60A3D">
        <w:rPr>
          <w:lang w:val="fr-FR"/>
        </w:rPr>
        <w:t>de former des syndicats (</w:t>
      </w:r>
      <w:r w:rsidR="00731982" w:rsidRPr="00F60A3D">
        <w:rPr>
          <w:lang w:val="fr-FR"/>
        </w:rPr>
        <w:t>art. </w:t>
      </w:r>
      <w:r w:rsidR="0016117E" w:rsidRPr="00F60A3D">
        <w:rPr>
          <w:lang w:val="fr-FR"/>
        </w:rPr>
        <w:t xml:space="preserve">39), du droit </w:t>
      </w:r>
      <w:r w:rsidR="00505198" w:rsidRPr="00F60A3D">
        <w:rPr>
          <w:lang w:val="fr-FR"/>
        </w:rPr>
        <w:t xml:space="preserve">à </w:t>
      </w:r>
      <w:r w:rsidR="0016117E" w:rsidRPr="00F60A3D">
        <w:rPr>
          <w:lang w:val="fr-FR"/>
        </w:rPr>
        <w:t>de</w:t>
      </w:r>
      <w:r w:rsidR="00505198" w:rsidRPr="00F60A3D">
        <w:rPr>
          <w:lang w:val="fr-FR"/>
        </w:rPr>
        <w:t>s</w:t>
      </w:r>
      <w:r w:rsidR="0016117E" w:rsidRPr="00F60A3D">
        <w:rPr>
          <w:lang w:val="fr-FR"/>
        </w:rPr>
        <w:t xml:space="preserve"> conditions de trava</w:t>
      </w:r>
      <w:r w:rsidR="00E4009D" w:rsidRPr="00F60A3D">
        <w:rPr>
          <w:lang w:val="fr-FR"/>
        </w:rPr>
        <w:t>il justes et favorables (</w:t>
      </w:r>
      <w:r w:rsidR="00731982" w:rsidRPr="00F60A3D">
        <w:rPr>
          <w:lang w:val="fr-FR"/>
        </w:rPr>
        <w:t>art. </w:t>
      </w:r>
      <w:r w:rsidR="0016117E" w:rsidRPr="00F60A3D">
        <w:rPr>
          <w:lang w:val="fr-FR"/>
        </w:rPr>
        <w:t xml:space="preserve">36), </w:t>
      </w:r>
      <w:r w:rsidR="00BC63DB" w:rsidRPr="00F60A3D">
        <w:rPr>
          <w:lang w:val="fr-FR"/>
        </w:rPr>
        <w:t>à</w:t>
      </w:r>
      <w:r w:rsidR="00505198" w:rsidRPr="00F60A3D">
        <w:rPr>
          <w:lang w:val="fr-FR"/>
        </w:rPr>
        <w:t xml:space="preserve"> l</w:t>
      </w:r>
      <w:r w:rsidR="00B17AE1" w:rsidRPr="00F60A3D">
        <w:rPr>
          <w:lang w:val="fr-FR"/>
        </w:rPr>
        <w:t>’</w:t>
      </w:r>
      <w:r w:rsidR="00505198" w:rsidRPr="00F60A3D">
        <w:rPr>
          <w:lang w:val="fr-FR"/>
        </w:rPr>
        <w:t>é</w:t>
      </w:r>
      <w:r w:rsidR="00E4009D" w:rsidRPr="00F60A3D">
        <w:rPr>
          <w:lang w:val="fr-FR"/>
        </w:rPr>
        <w:t>galité de traitement (</w:t>
      </w:r>
      <w:r w:rsidR="00731982" w:rsidRPr="00F60A3D">
        <w:rPr>
          <w:lang w:val="fr-FR"/>
        </w:rPr>
        <w:t>art. </w:t>
      </w:r>
      <w:r w:rsidR="0016117E" w:rsidRPr="00F60A3D">
        <w:rPr>
          <w:lang w:val="fr-FR"/>
        </w:rPr>
        <w:t xml:space="preserve">37) et </w:t>
      </w:r>
      <w:r w:rsidR="00BC63DB" w:rsidRPr="00F60A3D">
        <w:rPr>
          <w:lang w:val="fr-FR"/>
        </w:rPr>
        <w:t>à</w:t>
      </w:r>
      <w:r w:rsidR="00E4009D" w:rsidRPr="00F60A3D">
        <w:rPr>
          <w:lang w:val="fr-FR"/>
        </w:rPr>
        <w:t xml:space="preserve"> la sécurité sociale (</w:t>
      </w:r>
      <w:r w:rsidR="00731982" w:rsidRPr="00F60A3D">
        <w:rPr>
          <w:lang w:val="fr-FR"/>
        </w:rPr>
        <w:t>art. </w:t>
      </w:r>
      <w:r w:rsidR="0016117E" w:rsidRPr="00F60A3D">
        <w:rPr>
          <w:lang w:val="fr-FR"/>
        </w:rPr>
        <w:t>38). De ce fait, pour appliquer le princip</w:t>
      </w:r>
      <w:r w:rsidR="006F356C" w:rsidRPr="00F60A3D">
        <w:rPr>
          <w:lang w:val="fr-FR"/>
        </w:rPr>
        <w:t>e de solidarité sociale (</w:t>
      </w:r>
      <w:r w:rsidR="00731982" w:rsidRPr="00F60A3D">
        <w:rPr>
          <w:lang w:val="fr-FR"/>
        </w:rPr>
        <w:t>art. </w:t>
      </w:r>
      <w:r w:rsidR="0016117E" w:rsidRPr="00F60A3D">
        <w:rPr>
          <w:lang w:val="fr-FR"/>
        </w:rPr>
        <w:t>2), la l</w:t>
      </w:r>
      <w:r w:rsidR="00230DF7" w:rsidRPr="00F60A3D">
        <w:rPr>
          <w:lang w:val="fr-FR"/>
        </w:rPr>
        <w:t>oi peut imposer des limites au droit de</w:t>
      </w:r>
      <w:r w:rsidR="00731982" w:rsidRPr="00F60A3D">
        <w:rPr>
          <w:lang w:val="fr-FR"/>
        </w:rPr>
        <w:t xml:space="preserve"> </w:t>
      </w:r>
      <w:r w:rsidR="0016117E" w:rsidRPr="00F60A3D">
        <w:rPr>
          <w:lang w:val="fr-FR"/>
        </w:rPr>
        <w:t xml:space="preserve">propriété et aux initiatives économiques, conformément aux </w:t>
      </w:r>
      <w:r w:rsidR="00D26282" w:rsidRPr="00F60A3D">
        <w:rPr>
          <w:lang w:val="fr-FR"/>
        </w:rPr>
        <w:t>articles </w:t>
      </w:r>
      <w:r w:rsidR="0016117E" w:rsidRPr="00F60A3D">
        <w:rPr>
          <w:lang w:val="fr-FR"/>
        </w:rPr>
        <w:t xml:space="preserve">41 et 42 respectivement. </w:t>
      </w:r>
    </w:p>
    <w:p w:rsidR="00326615" w:rsidRPr="00F60A3D" w:rsidRDefault="00F21423" w:rsidP="00F520A7">
      <w:pPr>
        <w:pStyle w:val="SingleTxtG"/>
        <w:rPr>
          <w:lang w:val="fr-FR"/>
        </w:rPr>
      </w:pPr>
      <w:r w:rsidRPr="00F60A3D">
        <w:rPr>
          <w:lang w:val="fr-FR"/>
        </w:rPr>
        <w:lastRenderedPageBreak/>
        <w:t>172</w:t>
      </w:r>
      <w:r w:rsidR="0016117E" w:rsidRPr="00F60A3D">
        <w:rPr>
          <w:lang w:val="fr-FR"/>
        </w:rPr>
        <w:t>.</w:t>
      </w:r>
      <w:r w:rsidR="0016117E" w:rsidRPr="00F60A3D">
        <w:rPr>
          <w:lang w:val="fr-FR"/>
        </w:rPr>
        <w:tab/>
      </w:r>
      <w:r w:rsidR="00326615" w:rsidRPr="00F60A3D">
        <w:rPr>
          <w:lang w:val="fr-FR"/>
        </w:rPr>
        <w:t>Afin de relanc</w:t>
      </w:r>
      <w:r w:rsidR="0016117E" w:rsidRPr="00F60A3D">
        <w:rPr>
          <w:lang w:val="fr-FR"/>
        </w:rPr>
        <w:t>er l</w:t>
      </w:r>
      <w:r w:rsidR="00B17AE1" w:rsidRPr="00F60A3D">
        <w:rPr>
          <w:lang w:val="fr-FR"/>
        </w:rPr>
        <w:t>’</w:t>
      </w:r>
      <w:r w:rsidR="0016117E" w:rsidRPr="00F60A3D">
        <w:rPr>
          <w:lang w:val="fr-FR"/>
        </w:rPr>
        <w:t>économie italienne, l</w:t>
      </w:r>
      <w:r w:rsidR="00B17AE1" w:rsidRPr="00F60A3D">
        <w:rPr>
          <w:lang w:val="fr-FR"/>
        </w:rPr>
        <w:t>’</w:t>
      </w:r>
      <w:r w:rsidR="0016117E" w:rsidRPr="00F60A3D">
        <w:rPr>
          <w:lang w:val="fr-FR"/>
        </w:rPr>
        <w:t>initiative publique joue un rôle notoire pour soutenir les activités économique</w:t>
      </w:r>
      <w:r w:rsidR="001A02A2" w:rsidRPr="00F60A3D">
        <w:rPr>
          <w:lang w:val="fr-FR"/>
        </w:rPr>
        <w:t>s</w:t>
      </w:r>
      <w:r w:rsidR="0016117E" w:rsidRPr="00F60A3D">
        <w:rPr>
          <w:lang w:val="fr-FR"/>
        </w:rPr>
        <w:t xml:space="preserve"> privées, en particulier dans les z</w:t>
      </w:r>
      <w:r w:rsidR="00505198" w:rsidRPr="00F60A3D">
        <w:rPr>
          <w:lang w:val="fr-FR"/>
        </w:rPr>
        <w:t xml:space="preserve">ones et les secteurs en crise, </w:t>
      </w:r>
      <w:r w:rsidR="0016117E" w:rsidRPr="00F60A3D">
        <w:rPr>
          <w:lang w:val="fr-FR"/>
        </w:rPr>
        <w:t>outre</w:t>
      </w:r>
      <w:r w:rsidR="00DB5D9E" w:rsidRPr="00F60A3D">
        <w:rPr>
          <w:lang w:val="fr-FR"/>
        </w:rPr>
        <w:t xml:space="preserve"> </w:t>
      </w:r>
      <w:r w:rsidR="00326615" w:rsidRPr="00F60A3D">
        <w:rPr>
          <w:lang w:val="fr-FR"/>
        </w:rPr>
        <w:t>les int</w:t>
      </w:r>
      <w:r w:rsidR="00BF1059" w:rsidRPr="00F60A3D">
        <w:rPr>
          <w:lang w:val="fr-FR"/>
        </w:rPr>
        <w:t>erventions de l</w:t>
      </w:r>
      <w:r w:rsidR="00B17AE1" w:rsidRPr="00F60A3D">
        <w:rPr>
          <w:lang w:val="fr-FR"/>
        </w:rPr>
        <w:t>’</w:t>
      </w:r>
      <w:r w:rsidR="00BF1059" w:rsidRPr="00F60A3D">
        <w:rPr>
          <w:lang w:val="fr-FR"/>
        </w:rPr>
        <w:t xml:space="preserve">UE </w:t>
      </w:r>
      <w:r w:rsidR="00326615" w:rsidRPr="00F60A3D">
        <w:rPr>
          <w:lang w:val="fr-FR"/>
        </w:rPr>
        <w:t xml:space="preserve">essentiellement mises en œuvre grâce au Fonds social européen. </w:t>
      </w:r>
    </w:p>
    <w:p w:rsidR="00B63EDE" w:rsidRPr="00F60A3D" w:rsidRDefault="00F21423" w:rsidP="000D0F0A">
      <w:pPr>
        <w:pStyle w:val="SingleTxtG"/>
        <w:rPr>
          <w:lang w:val="fr-FR"/>
        </w:rPr>
      </w:pPr>
      <w:r w:rsidRPr="00F60A3D">
        <w:rPr>
          <w:lang w:val="fr-FR"/>
        </w:rPr>
        <w:t>173</w:t>
      </w:r>
      <w:r w:rsidR="00B63EDE" w:rsidRPr="00F60A3D">
        <w:rPr>
          <w:lang w:val="fr-FR"/>
        </w:rPr>
        <w:t>.</w:t>
      </w:r>
      <w:r w:rsidR="00B63EDE" w:rsidRPr="00F60A3D">
        <w:rPr>
          <w:lang w:val="fr-FR"/>
        </w:rPr>
        <w:tab/>
        <w:t xml:space="preserve">La Constitution italienne </w:t>
      </w:r>
      <w:r w:rsidR="000D0F0A" w:rsidRPr="00F60A3D">
        <w:rPr>
          <w:lang w:val="fr-FR"/>
        </w:rPr>
        <w:t xml:space="preserve">consacre les principes économiques </w:t>
      </w:r>
      <w:r w:rsidR="00B63EDE" w:rsidRPr="00F60A3D">
        <w:rPr>
          <w:lang w:val="fr-FR"/>
        </w:rPr>
        <w:t xml:space="preserve">suivants: </w:t>
      </w:r>
      <w:r w:rsidR="000D0F0A" w:rsidRPr="00F60A3D">
        <w:rPr>
          <w:lang w:val="fr-FR"/>
        </w:rPr>
        <w:t>l</w:t>
      </w:r>
      <w:r w:rsidR="00B63EDE" w:rsidRPr="00F60A3D">
        <w:rPr>
          <w:lang w:val="fr-FR"/>
        </w:rPr>
        <w:t>es principes relatifs au marché du travail et aux droits des travailleurs; ceux relatifs au patrimoine; les principes destinés à soutenir des secteurs spécifiques et ceux qui réglementent l</w:t>
      </w:r>
      <w:r w:rsidR="00B17AE1" w:rsidRPr="00F60A3D">
        <w:rPr>
          <w:lang w:val="fr-FR"/>
        </w:rPr>
        <w:t>’</w:t>
      </w:r>
      <w:r w:rsidR="00B63EDE" w:rsidRPr="00F60A3D">
        <w:rPr>
          <w:lang w:val="fr-FR"/>
        </w:rPr>
        <w:t xml:space="preserve">intervention des pouvoirs publics. </w:t>
      </w:r>
    </w:p>
    <w:p w:rsidR="001A02A2" w:rsidRPr="00F60A3D" w:rsidRDefault="00F21423" w:rsidP="00224935">
      <w:pPr>
        <w:pStyle w:val="SingleTxtG"/>
        <w:rPr>
          <w:lang w:val="fr-FR"/>
        </w:rPr>
      </w:pPr>
      <w:r w:rsidRPr="00F60A3D">
        <w:rPr>
          <w:lang w:val="fr-FR"/>
        </w:rPr>
        <w:t>174</w:t>
      </w:r>
      <w:r w:rsidR="00DB5D9E" w:rsidRPr="00F60A3D">
        <w:rPr>
          <w:lang w:val="fr-FR"/>
        </w:rPr>
        <w:t>.</w:t>
      </w:r>
      <w:r w:rsidR="00DB5D9E" w:rsidRPr="00F60A3D">
        <w:rPr>
          <w:lang w:val="fr-FR"/>
        </w:rPr>
        <w:tab/>
      </w:r>
      <w:r w:rsidR="00BF1059" w:rsidRPr="00F60A3D">
        <w:rPr>
          <w:lang w:val="fr-FR"/>
        </w:rPr>
        <w:t>En vertu de l</w:t>
      </w:r>
      <w:r w:rsidR="00B17AE1" w:rsidRPr="00F60A3D">
        <w:rPr>
          <w:lang w:val="fr-FR"/>
        </w:rPr>
        <w:t>’</w:t>
      </w:r>
      <w:r w:rsidR="00D26282" w:rsidRPr="00F60A3D">
        <w:rPr>
          <w:lang w:val="fr-FR"/>
        </w:rPr>
        <w:t>article 1</w:t>
      </w:r>
      <w:r w:rsidR="00A172F0" w:rsidRPr="00F60A3D">
        <w:rPr>
          <w:vertAlign w:val="superscript"/>
          <w:lang w:val="fr-FR"/>
        </w:rPr>
        <w:t>er</w:t>
      </w:r>
      <w:r w:rsidR="001A02A2" w:rsidRPr="00F60A3D">
        <w:rPr>
          <w:lang w:val="fr-FR"/>
        </w:rPr>
        <w:t xml:space="preserve"> de la</w:t>
      </w:r>
      <w:r w:rsidR="00BF1059" w:rsidRPr="00F60A3D">
        <w:rPr>
          <w:lang w:val="fr-FR"/>
        </w:rPr>
        <w:t xml:space="preserve"> Constitution,</w:t>
      </w:r>
      <w:r w:rsidR="001A02A2" w:rsidRPr="00F60A3D">
        <w:rPr>
          <w:lang w:val="fr-FR"/>
        </w:rPr>
        <w:t xml:space="preserve"> l</w:t>
      </w:r>
      <w:r w:rsidR="00B17AE1" w:rsidRPr="00F60A3D">
        <w:rPr>
          <w:lang w:val="fr-FR"/>
        </w:rPr>
        <w:t>’</w:t>
      </w:r>
      <w:r w:rsidR="001A02A2" w:rsidRPr="00F60A3D">
        <w:rPr>
          <w:lang w:val="fr-FR"/>
        </w:rPr>
        <w:t>Italie</w:t>
      </w:r>
      <w:r w:rsidR="00DB5D9E" w:rsidRPr="00F60A3D">
        <w:rPr>
          <w:b/>
          <w:lang w:val="fr-FR"/>
        </w:rPr>
        <w:t xml:space="preserve"> </w:t>
      </w:r>
      <w:r w:rsidR="001A02A2" w:rsidRPr="00F60A3D">
        <w:rPr>
          <w:lang w:val="fr-FR"/>
        </w:rPr>
        <w:t xml:space="preserve">est une </w:t>
      </w:r>
      <w:r w:rsidR="00505198" w:rsidRPr="00F60A3D">
        <w:rPr>
          <w:lang w:val="fr-FR"/>
        </w:rPr>
        <w:t>R</w:t>
      </w:r>
      <w:r w:rsidR="001A02A2" w:rsidRPr="00F60A3D">
        <w:rPr>
          <w:lang w:val="fr-FR"/>
        </w:rPr>
        <w:t>é</w:t>
      </w:r>
      <w:r w:rsidR="0089486C" w:rsidRPr="00F60A3D">
        <w:rPr>
          <w:lang w:val="fr-FR"/>
        </w:rPr>
        <w:t>publique fondée sur le</w:t>
      </w:r>
      <w:r w:rsidR="0089486C" w:rsidRPr="00F60A3D">
        <w:rPr>
          <w:b/>
          <w:lang w:val="fr-FR"/>
        </w:rPr>
        <w:t xml:space="preserve"> </w:t>
      </w:r>
      <w:r w:rsidR="0089486C" w:rsidRPr="00F60A3D">
        <w:rPr>
          <w:lang w:val="fr-FR"/>
        </w:rPr>
        <w:t>travail</w:t>
      </w:r>
      <w:r w:rsidR="0089486C" w:rsidRPr="00F60A3D">
        <w:rPr>
          <w:b/>
          <w:lang w:val="fr-FR"/>
        </w:rPr>
        <w:t>;</w:t>
      </w:r>
      <w:r w:rsidR="001A02A2" w:rsidRPr="00F60A3D">
        <w:rPr>
          <w:lang w:val="fr-FR"/>
        </w:rPr>
        <w:t xml:space="preserve"> de ce fait, l</w:t>
      </w:r>
      <w:r w:rsidR="00B17AE1" w:rsidRPr="00F60A3D">
        <w:rPr>
          <w:lang w:val="fr-FR"/>
        </w:rPr>
        <w:t>’</w:t>
      </w:r>
      <w:r w:rsidR="00D26282" w:rsidRPr="00F60A3D">
        <w:rPr>
          <w:lang w:val="fr-FR"/>
        </w:rPr>
        <w:t>article </w:t>
      </w:r>
      <w:r w:rsidR="001A02A2" w:rsidRPr="00F60A3D">
        <w:rPr>
          <w:lang w:val="fr-FR"/>
        </w:rPr>
        <w:t>35 prévoit l</w:t>
      </w:r>
      <w:r w:rsidR="00B17AE1" w:rsidRPr="00F60A3D">
        <w:rPr>
          <w:lang w:val="fr-FR"/>
        </w:rPr>
        <w:t>’</w:t>
      </w:r>
      <w:r w:rsidR="001A02A2" w:rsidRPr="00F60A3D">
        <w:rPr>
          <w:lang w:val="fr-FR"/>
        </w:rPr>
        <w:t>intervention de l</w:t>
      </w:r>
      <w:r w:rsidR="00B17AE1" w:rsidRPr="00F60A3D">
        <w:rPr>
          <w:lang w:val="fr-FR"/>
        </w:rPr>
        <w:t>’</w:t>
      </w:r>
      <w:r w:rsidR="0089486C" w:rsidRPr="00F60A3D">
        <w:rPr>
          <w:lang w:val="fr-FR"/>
        </w:rPr>
        <w:t>É</w:t>
      </w:r>
      <w:r w:rsidR="001A02A2" w:rsidRPr="00F60A3D">
        <w:rPr>
          <w:lang w:val="fr-FR"/>
        </w:rPr>
        <w:t xml:space="preserve">tat en faveur du marché du travail </w:t>
      </w:r>
      <w:r w:rsidR="0089486C" w:rsidRPr="00F60A3D">
        <w:rPr>
          <w:lang w:val="fr-FR"/>
        </w:rPr>
        <w:t>et de la protection de l</w:t>
      </w:r>
      <w:r w:rsidR="00B17AE1" w:rsidRPr="00F60A3D">
        <w:rPr>
          <w:lang w:val="fr-FR"/>
        </w:rPr>
        <w:t>’</w:t>
      </w:r>
      <w:r w:rsidR="0089486C" w:rsidRPr="00F60A3D">
        <w:rPr>
          <w:lang w:val="fr-FR"/>
        </w:rPr>
        <w:t>emploi à tous les niveaux. Qui plus est,</w:t>
      </w:r>
      <w:r w:rsidR="00E4009D" w:rsidRPr="00F60A3D">
        <w:rPr>
          <w:lang w:val="fr-FR"/>
        </w:rPr>
        <w:t xml:space="preserve"> les </w:t>
      </w:r>
      <w:r w:rsidR="00D26282" w:rsidRPr="00F60A3D">
        <w:rPr>
          <w:lang w:val="fr-FR"/>
        </w:rPr>
        <w:t>articles </w:t>
      </w:r>
      <w:r w:rsidR="00E4009D" w:rsidRPr="00F60A3D">
        <w:rPr>
          <w:lang w:val="fr-FR"/>
        </w:rPr>
        <w:t>36, 37, 38 et 46</w:t>
      </w:r>
      <w:r w:rsidR="00224935" w:rsidRPr="00F60A3D">
        <w:rPr>
          <w:lang w:val="fr-FR"/>
        </w:rPr>
        <w:t> </w:t>
      </w:r>
      <w:r w:rsidR="0089486C" w:rsidRPr="00F60A3D">
        <w:rPr>
          <w:lang w:val="fr-FR"/>
        </w:rPr>
        <w:t>2) prévoient un salaire égal, l</w:t>
      </w:r>
      <w:r w:rsidR="00B17AE1" w:rsidRPr="00F60A3D">
        <w:rPr>
          <w:lang w:val="fr-FR"/>
        </w:rPr>
        <w:t>’</w:t>
      </w:r>
      <w:r w:rsidR="0089486C" w:rsidRPr="00F60A3D">
        <w:rPr>
          <w:lang w:val="fr-FR"/>
        </w:rPr>
        <w:t>égalité d</w:t>
      </w:r>
      <w:r w:rsidR="00B17AE1" w:rsidRPr="00F60A3D">
        <w:rPr>
          <w:lang w:val="fr-FR"/>
        </w:rPr>
        <w:t>’</w:t>
      </w:r>
      <w:r w:rsidR="0089486C" w:rsidRPr="00F60A3D">
        <w:rPr>
          <w:lang w:val="fr-FR"/>
        </w:rPr>
        <w:t xml:space="preserve">accès au marché du travail et la sécurité sociale. </w:t>
      </w:r>
    </w:p>
    <w:p w:rsidR="00DB5D9E" w:rsidRPr="00F60A3D" w:rsidRDefault="00F21423" w:rsidP="00F520A7">
      <w:pPr>
        <w:pStyle w:val="SingleTxtG"/>
        <w:rPr>
          <w:lang w:val="fr-FR"/>
        </w:rPr>
      </w:pPr>
      <w:r w:rsidRPr="00F60A3D">
        <w:rPr>
          <w:lang w:val="fr-FR"/>
        </w:rPr>
        <w:t>175</w:t>
      </w:r>
      <w:r w:rsidR="0089486C" w:rsidRPr="00F60A3D">
        <w:rPr>
          <w:lang w:val="fr-FR"/>
        </w:rPr>
        <w:t>.</w:t>
      </w:r>
      <w:r w:rsidR="0089486C" w:rsidRPr="00F60A3D">
        <w:rPr>
          <w:lang w:val="fr-FR"/>
        </w:rPr>
        <w:tab/>
        <w:t>À la lumière de ces éléments, il convient de mentionner les nouveautés suivantes:</w:t>
      </w:r>
      <w:r w:rsidR="00DB5D9E" w:rsidRPr="00F60A3D">
        <w:rPr>
          <w:lang w:val="fr-FR"/>
        </w:rPr>
        <w:t xml:space="preserve"> </w:t>
      </w:r>
    </w:p>
    <w:p w:rsidR="00DA5A23" w:rsidRPr="00F60A3D" w:rsidRDefault="0034325C" w:rsidP="0034325C">
      <w:pPr>
        <w:pStyle w:val="SingleTxtG"/>
        <w:rPr>
          <w:lang w:val="fr-FR"/>
        </w:rPr>
      </w:pPr>
      <w:r w:rsidRPr="00F60A3D">
        <w:rPr>
          <w:lang w:val="fr-FR"/>
        </w:rPr>
        <w:tab/>
      </w:r>
      <w:r w:rsidR="00F21423" w:rsidRPr="00F60A3D">
        <w:rPr>
          <w:lang w:val="fr-FR"/>
        </w:rPr>
        <w:t>a</w:t>
      </w:r>
      <w:r w:rsidR="00DB5D9E" w:rsidRPr="00F60A3D">
        <w:rPr>
          <w:lang w:val="fr-FR"/>
        </w:rPr>
        <w:t>)</w:t>
      </w:r>
      <w:r w:rsidR="00DB5D9E" w:rsidRPr="00F60A3D">
        <w:rPr>
          <w:lang w:val="fr-FR"/>
        </w:rPr>
        <w:tab/>
      </w:r>
      <w:r w:rsidR="00DA5A23" w:rsidRPr="00F60A3D">
        <w:rPr>
          <w:lang w:val="fr-FR"/>
        </w:rPr>
        <w:t xml:space="preserve">Pour parvenir à un marché du travail ouvert et dynamique, la loi </w:t>
      </w:r>
      <w:r w:rsidR="00B17AE1" w:rsidRPr="00F60A3D">
        <w:rPr>
          <w:lang w:val="fr-FR"/>
        </w:rPr>
        <w:t>n</w:t>
      </w:r>
      <w:r w:rsidR="00B17AE1" w:rsidRPr="00F60A3D">
        <w:rPr>
          <w:vertAlign w:val="superscript"/>
          <w:lang w:val="fr-FR"/>
        </w:rPr>
        <w:t>o</w:t>
      </w:r>
      <w:r w:rsidR="00B17AE1" w:rsidRPr="00F60A3D">
        <w:rPr>
          <w:lang w:val="fr-FR"/>
        </w:rPr>
        <w:t> </w:t>
      </w:r>
      <w:r w:rsidR="00DA5A23" w:rsidRPr="00F60A3D">
        <w:rPr>
          <w:lang w:val="fr-FR"/>
        </w:rPr>
        <w:t>183/2</w:t>
      </w:r>
      <w:r w:rsidR="00E95212" w:rsidRPr="00F60A3D">
        <w:rPr>
          <w:lang w:val="fr-FR"/>
        </w:rPr>
        <w:t xml:space="preserve">014, appelée </w:t>
      </w:r>
      <w:r w:rsidR="00731982" w:rsidRPr="00F60A3D">
        <w:rPr>
          <w:lang w:val="fr-FR"/>
        </w:rPr>
        <w:t>«</w:t>
      </w:r>
      <w:r w:rsidR="00E95212" w:rsidRPr="00F60A3D">
        <w:rPr>
          <w:lang w:val="fr-FR"/>
        </w:rPr>
        <w:t>loi pour l</w:t>
      </w:r>
      <w:r w:rsidR="00B17AE1" w:rsidRPr="00F60A3D">
        <w:rPr>
          <w:lang w:val="fr-FR"/>
        </w:rPr>
        <w:t>’</w:t>
      </w:r>
      <w:r w:rsidR="00E95212" w:rsidRPr="00F60A3D">
        <w:rPr>
          <w:lang w:val="fr-FR"/>
        </w:rPr>
        <w:t>emploi</w:t>
      </w:r>
      <w:r w:rsidR="00731982" w:rsidRPr="00F60A3D">
        <w:rPr>
          <w:lang w:val="fr-FR"/>
        </w:rPr>
        <w:t>»</w:t>
      </w:r>
      <w:r w:rsidR="00E95212" w:rsidRPr="00F60A3D">
        <w:rPr>
          <w:lang w:val="fr-FR"/>
        </w:rPr>
        <w:t xml:space="preserve"> </w:t>
      </w:r>
      <w:r w:rsidR="00DA5A23" w:rsidRPr="00F60A3D">
        <w:rPr>
          <w:lang w:val="fr-FR"/>
        </w:rPr>
        <w:t xml:space="preserve">vise à développer et à faciliter par diverses mesures la généralisation des contrats </w:t>
      </w:r>
      <w:r w:rsidR="0047134F" w:rsidRPr="00F60A3D">
        <w:rPr>
          <w:lang w:val="fr-FR"/>
        </w:rPr>
        <w:t>de travail à durée indéterminée</w:t>
      </w:r>
      <w:r w:rsidR="0066024A" w:rsidRPr="00F60A3D">
        <w:rPr>
          <w:lang w:val="fr-FR"/>
        </w:rPr>
        <w:t xml:space="preserve"> </w:t>
      </w:r>
      <w:r w:rsidR="000E382E" w:rsidRPr="00F60A3D">
        <w:rPr>
          <w:lang w:val="fr-FR"/>
        </w:rPr>
        <w:t xml:space="preserve">(CDI) </w:t>
      </w:r>
      <w:r w:rsidR="0066024A" w:rsidRPr="00F60A3D">
        <w:rPr>
          <w:lang w:val="fr-FR"/>
        </w:rPr>
        <w:t>en tant que mode général des relations de travail</w:t>
      </w:r>
      <w:r w:rsidR="0047134F" w:rsidRPr="00F60A3D">
        <w:rPr>
          <w:lang w:val="fr-FR"/>
        </w:rPr>
        <w:t>.</w:t>
      </w:r>
      <w:r w:rsidR="00DA5A23" w:rsidRPr="00F60A3D">
        <w:rPr>
          <w:lang w:val="fr-FR"/>
        </w:rPr>
        <w:t xml:space="preserve"> </w:t>
      </w:r>
      <w:r w:rsidR="00E7788C" w:rsidRPr="00F60A3D">
        <w:rPr>
          <w:lang w:val="fr-FR"/>
        </w:rPr>
        <w:t>Dans ce c</w:t>
      </w:r>
      <w:r w:rsidR="0066024A" w:rsidRPr="00F60A3D">
        <w:rPr>
          <w:lang w:val="fr-FR"/>
        </w:rPr>
        <w:t>ontexte, un service d</w:t>
      </w:r>
      <w:r w:rsidR="00B17AE1" w:rsidRPr="00F60A3D">
        <w:rPr>
          <w:lang w:val="fr-FR"/>
        </w:rPr>
        <w:t>’</w:t>
      </w:r>
      <w:r w:rsidR="0066024A" w:rsidRPr="00F60A3D">
        <w:rPr>
          <w:lang w:val="fr-FR"/>
        </w:rPr>
        <w:t>inspection</w:t>
      </w:r>
      <w:r w:rsidR="0047134F" w:rsidRPr="00F60A3D">
        <w:rPr>
          <w:lang w:val="fr-FR"/>
        </w:rPr>
        <w:t xml:space="preserve"> sera bientôt cré</w:t>
      </w:r>
      <w:r w:rsidR="00E95212" w:rsidRPr="00F60A3D">
        <w:rPr>
          <w:lang w:val="fr-FR"/>
        </w:rPr>
        <w:t>é</w:t>
      </w:r>
      <w:r w:rsidR="0066024A" w:rsidRPr="00F60A3D">
        <w:rPr>
          <w:lang w:val="fr-FR"/>
        </w:rPr>
        <w:t>, comme le spécifie</w:t>
      </w:r>
      <w:r w:rsidR="0047134F" w:rsidRPr="00F60A3D">
        <w:rPr>
          <w:lang w:val="fr-FR"/>
        </w:rPr>
        <w:t xml:space="preserve"> la loi précitée. Il sera chargé</w:t>
      </w:r>
      <w:r w:rsidR="00E7788C" w:rsidRPr="00F60A3D">
        <w:rPr>
          <w:lang w:val="fr-FR"/>
        </w:rPr>
        <w:t xml:space="preserve"> </w:t>
      </w:r>
      <w:r w:rsidR="00147163" w:rsidRPr="00F60A3D">
        <w:rPr>
          <w:lang w:val="fr-FR"/>
        </w:rPr>
        <w:t>des activités d</w:t>
      </w:r>
      <w:r w:rsidR="00B17AE1" w:rsidRPr="00F60A3D">
        <w:rPr>
          <w:lang w:val="fr-FR"/>
        </w:rPr>
        <w:t>’</w:t>
      </w:r>
      <w:r w:rsidR="00147163" w:rsidRPr="00F60A3D">
        <w:rPr>
          <w:lang w:val="fr-FR"/>
        </w:rPr>
        <w:t>inspection</w:t>
      </w:r>
      <w:r w:rsidR="00871EBD" w:rsidRPr="00F60A3D">
        <w:rPr>
          <w:lang w:val="fr-FR"/>
        </w:rPr>
        <w:t>,</w:t>
      </w:r>
      <w:r w:rsidR="00147163" w:rsidRPr="00F60A3D">
        <w:rPr>
          <w:lang w:val="fr-FR"/>
        </w:rPr>
        <w:t xml:space="preserve"> de manière à réunir et à</w:t>
      </w:r>
      <w:r w:rsidR="0047134F" w:rsidRPr="00F60A3D">
        <w:rPr>
          <w:lang w:val="fr-FR"/>
        </w:rPr>
        <w:t xml:space="preserve"> remplacer les contrôles effectués par</w:t>
      </w:r>
      <w:r w:rsidR="00E7788C" w:rsidRPr="00F60A3D">
        <w:rPr>
          <w:lang w:val="fr-FR"/>
        </w:rPr>
        <w:t xml:space="preserve"> le Ministère du travail et des politiques </w:t>
      </w:r>
      <w:r w:rsidR="007862F3" w:rsidRPr="00F60A3D">
        <w:rPr>
          <w:lang w:val="fr-FR"/>
        </w:rPr>
        <w:t>sociales, l</w:t>
      </w:r>
      <w:r w:rsidR="00B17AE1" w:rsidRPr="00F60A3D">
        <w:rPr>
          <w:lang w:val="fr-FR"/>
        </w:rPr>
        <w:t>’</w:t>
      </w:r>
      <w:r w:rsidR="007862F3" w:rsidRPr="00F60A3D">
        <w:rPr>
          <w:lang w:val="fr-FR"/>
        </w:rPr>
        <w:t>Institu</w:t>
      </w:r>
      <w:r w:rsidR="0066024A" w:rsidRPr="00F60A3D">
        <w:rPr>
          <w:lang w:val="fr-FR"/>
        </w:rPr>
        <w:t>t national de sécurité sociale</w:t>
      </w:r>
      <w:r w:rsidR="00E7788C" w:rsidRPr="00F60A3D">
        <w:rPr>
          <w:lang w:val="fr-FR"/>
        </w:rPr>
        <w:t xml:space="preserve"> et l</w:t>
      </w:r>
      <w:r w:rsidR="00B17AE1" w:rsidRPr="00F60A3D">
        <w:rPr>
          <w:lang w:val="fr-FR"/>
        </w:rPr>
        <w:t>’</w:t>
      </w:r>
      <w:r w:rsidR="00E7788C" w:rsidRPr="00F60A3D">
        <w:rPr>
          <w:lang w:val="fr-FR"/>
        </w:rPr>
        <w:t>Institut national d</w:t>
      </w:r>
      <w:r w:rsidR="00B17AE1" w:rsidRPr="00F60A3D">
        <w:rPr>
          <w:lang w:val="fr-FR"/>
        </w:rPr>
        <w:t>’</w:t>
      </w:r>
      <w:r w:rsidR="00E7788C" w:rsidRPr="00F60A3D">
        <w:rPr>
          <w:lang w:val="fr-FR"/>
        </w:rPr>
        <w:t>assurance contre les accidents du</w:t>
      </w:r>
      <w:r w:rsidR="00E4009D" w:rsidRPr="00F60A3D">
        <w:rPr>
          <w:lang w:val="fr-FR"/>
        </w:rPr>
        <w:t xml:space="preserve"> travail. Plus précisément, la </w:t>
      </w:r>
      <w:r w:rsidR="00731982" w:rsidRPr="00F60A3D">
        <w:rPr>
          <w:lang w:val="fr-FR"/>
        </w:rPr>
        <w:t>«</w:t>
      </w:r>
      <w:r w:rsidR="00E95212" w:rsidRPr="00F60A3D">
        <w:rPr>
          <w:lang w:val="fr-FR"/>
        </w:rPr>
        <w:t>loi pour l</w:t>
      </w:r>
      <w:r w:rsidR="00B17AE1" w:rsidRPr="00F60A3D">
        <w:rPr>
          <w:lang w:val="fr-FR"/>
        </w:rPr>
        <w:t>’</w:t>
      </w:r>
      <w:r w:rsidR="00E95212" w:rsidRPr="00F60A3D">
        <w:rPr>
          <w:lang w:val="fr-FR"/>
        </w:rPr>
        <w:t>emploi</w:t>
      </w:r>
      <w:r w:rsidR="00731982" w:rsidRPr="00F60A3D">
        <w:rPr>
          <w:lang w:val="fr-FR"/>
        </w:rPr>
        <w:t>»</w:t>
      </w:r>
      <w:r w:rsidR="00E7788C" w:rsidRPr="00F60A3D">
        <w:rPr>
          <w:lang w:val="fr-FR"/>
        </w:rPr>
        <w:t xml:space="preserve"> a pour double objectif de favoriser</w:t>
      </w:r>
      <w:r w:rsidR="00A76E65" w:rsidRPr="00F60A3D">
        <w:rPr>
          <w:lang w:val="fr-FR"/>
        </w:rPr>
        <w:t xml:space="preserve"> l</w:t>
      </w:r>
      <w:r w:rsidR="00B17AE1" w:rsidRPr="00F60A3D">
        <w:rPr>
          <w:lang w:val="fr-FR"/>
        </w:rPr>
        <w:t>’</w:t>
      </w:r>
      <w:r w:rsidR="00A76E65" w:rsidRPr="00F60A3D">
        <w:rPr>
          <w:lang w:val="fr-FR"/>
        </w:rPr>
        <w:t>accès à l</w:t>
      </w:r>
      <w:r w:rsidR="00B17AE1" w:rsidRPr="00F60A3D">
        <w:rPr>
          <w:lang w:val="fr-FR"/>
        </w:rPr>
        <w:t>’</w:t>
      </w:r>
      <w:r w:rsidR="00A76E65" w:rsidRPr="00F60A3D">
        <w:rPr>
          <w:lang w:val="fr-FR"/>
        </w:rPr>
        <w:t>emploi et de ré</w:t>
      </w:r>
      <w:r w:rsidR="00E7788C" w:rsidRPr="00F60A3D">
        <w:rPr>
          <w:lang w:val="fr-FR"/>
        </w:rPr>
        <w:t xml:space="preserve">former à la fois le marché du travail et le système de protection sociale. </w:t>
      </w:r>
      <w:r w:rsidR="008D3DD0" w:rsidRPr="00F60A3D">
        <w:rPr>
          <w:lang w:val="fr-FR"/>
        </w:rPr>
        <w:t xml:space="preserve">La réforme a été mise en œuvre par plusieurs textes législatifs, tel le décret-loi </w:t>
      </w:r>
      <w:r w:rsidR="00B17AE1" w:rsidRPr="00F60A3D">
        <w:rPr>
          <w:lang w:val="fr-FR"/>
        </w:rPr>
        <w:t>n</w:t>
      </w:r>
      <w:r w:rsidR="00B17AE1" w:rsidRPr="00F60A3D">
        <w:rPr>
          <w:vertAlign w:val="superscript"/>
          <w:lang w:val="fr-FR"/>
        </w:rPr>
        <w:t>o</w:t>
      </w:r>
      <w:r w:rsidR="00B17AE1" w:rsidRPr="00F60A3D">
        <w:rPr>
          <w:lang w:val="fr-FR"/>
        </w:rPr>
        <w:t> </w:t>
      </w:r>
      <w:r w:rsidR="008D3DD0" w:rsidRPr="00F60A3D">
        <w:rPr>
          <w:lang w:val="fr-FR"/>
        </w:rPr>
        <w:t xml:space="preserve">34/2014 converti en loi </w:t>
      </w:r>
      <w:r w:rsidR="00B17AE1" w:rsidRPr="00F60A3D">
        <w:rPr>
          <w:lang w:val="fr-FR"/>
        </w:rPr>
        <w:t>n</w:t>
      </w:r>
      <w:r w:rsidR="00B17AE1" w:rsidRPr="00F60A3D">
        <w:rPr>
          <w:vertAlign w:val="superscript"/>
          <w:lang w:val="fr-FR"/>
        </w:rPr>
        <w:t>o</w:t>
      </w:r>
      <w:r w:rsidR="00B17AE1" w:rsidRPr="00F60A3D">
        <w:rPr>
          <w:lang w:val="fr-FR"/>
        </w:rPr>
        <w:t> </w:t>
      </w:r>
      <w:r w:rsidR="008D3DD0" w:rsidRPr="00F60A3D">
        <w:rPr>
          <w:lang w:val="fr-FR"/>
        </w:rPr>
        <w:t>78/2014.</w:t>
      </w:r>
      <w:r w:rsidR="00731982" w:rsidRPr="00F60A3D">
        <w:rPr>
          <w:lang w:val="fr-FR"/>
        </w:rPr>
        <w:t xml:space="preserve"> </w:t>
      </w:r>
    </w:p>
    <w:p w:rsidR="008D3DD0" w:rsidRPr="00F60A3D" w:rsidRDefault="0034325C" w:rsidP="0034325C">
      <w:pPr>
        <w:pStyle w:val="SingleTxtG"/>
        <w:spacing w:after="240"/>
        <w:rPr>
          <w:lang w:val="fr-FR"/>
        </w:rPr>
      </w:pPr>
      <w:r w:rsidRPr="00F60A3D">
        <w:rPr>
          <w:lang w:val="fr-FR"/>
        </w:rPr>
        <w:tab/>
      </w:r>
      <w:r w:rsidR="00F21423" w:rsidRPr="00F60A3D">
        <w:rPr>
          <w:lang w:val="fr-FR"/>
        </w:rPr>
        <w:t>b</w:t>
      </w:r>
      <w:r w:rsidR="00DB5D9E" w:rsidRPr="00F60A3D">
        <w:rPr>
          <w:lang w:val="fr-FR"/>
        </w:rPr>
        <w:t>)</w:t>
      </w:r>
      <w:r w:rsidR="00DB5D9E" w:rsidRPr="00F60A3D">
        <w:rPr>
          <w:lang w:val="fr-FR"/>
        </w:rPr>
        <w:tab/>
      </w:r>
      <w:r w:rsidR="008D3DD0" w:rsidRPr="00F60A3D">
        <w:rPr>
          <w:lang w:val="fr-FR"/>
        </w:rPr>
        <w:t>Parmi les politiques nationale</w:t>
      </w:r>
      <w:r w:rsidR="00A76E65" w:rsidRPr="00F60A3D">
        <w:rPr>
          <w:lang w:val="fr-FR"/>
        </w:rPr>
        <w:t>s</w:t>
      </w:r>
      <w:r w:rsidR="008D3DD0" w:rsidRPr="00F60A3D">
        <w:rPr>
          <w:lang w:val="fr-FR"/>
        </w:rPr>
        <w:t xml:space="preserve"> destinées à </w:t>
      </w:r>
      <w:r w:rsidR="00F21423" w:rsidRPr="00F60A3D">
        <w:rPr>
          <w:lang w:val="fr-FR"/>
        </w:rPr>
        <w:t>faciliter</w:t>
      </w:r>
      <w:r w:rsidR="008D3DD0" w:rsidRPr="00F60A3D">
        <w:rPr>
          <w:b/>
          <w:lang w:val="fr-FR"/>
        </w:rPr>
        <w:t xml:space="preserve"> </w:t>
      </w:r>
      <w:r w:rsidR="008D3DD0" w:rsidRPr="00F60A3D">
        <w:rPr>
          <w:lang w:val="fr-FR"/>
        </w:rPr>
        <w:t>l</w:t>
      </w:r>
      <w:r w:rsidR="00B17AE1" w:rsidRPr="00F60A3D">
        <w:rPr>
          <w:lang w:val="fr-FR"/>
        </w:rPr>
        <w:t>’</w:t>
      </w:r>
      <w:r w:rsidR="008D3DD0" w:rsidRPr="00F60A3D">
        <w:rPr>
          <w:lang w:val="fr-FR"/>
        </w:rPr>
        <w:t>accès à l</w:t>
      </w:r>
      <w:r w:rsidR="00B17AE1" w:rsidRPr="00F60A3D">
        <w:rPr>
          <w:lang w:val="fr-FR"/>
        </w:rPr>
        <w:t>’</w:t>
      </w:r>
      <w:r w:rsidR="008D3DD0" w:rsidRPr="00F60A3D">
        <w:rPr>
          <w:lang w:val="fr-FR"/>
        </w:rPr>
        <w:t>emploi des personnes handicapées</w:t>
      </w:r>
      <w:r w:rsidR="00511C12" w:rsidRPr="00F60A3D">
        <w:rPr>
          <w:lang w:val="fr-FR"/>
        </w:rPr>
        <w:t>, il faut mentionner les aid</w:t>
      </w:r>
      <w:r w:rsidR="008D3DD0" w:rsidRPr="00F60A3D">
        <w:rPr>
          <w:lang w:val="fr-FR"/>
        </w:rPr>
        <w:t>es accordé</w:t>
      </w:r>
      <w:r w:rsidR="00511C12" w:rsidRPr="00F60A3D">
        <w:rPr>
          <w:lang w:val="fr-FR"/>
        </w:rPr>
        <w:t>e</w:t>
      </w:r>
      <w:r w:rsidR="008D3DD0" w:rsidRPr="00F60A3D">
        <w:rPr>
          <w:lang w:val="fr-FR"/>
        </w:rPr>
        <w:t>s aux employeurs qui recrutent des personnes handic</w:t>
      </w:r>
      <w:r w:rsidR="00843885" w:rsidRPr="00F60A3D">
        <w:rPr>
          <w:lang w:val="fr-FR"/>
        </w:rPr>
        <w:t>apé</w:t>
      </w:r>
      <w:r w:rsidR="000E382E" w:rsidRPr="00F60A3D">
        <w:rPr>
          <w:lang w:val="fr-FR"/>
        </w:rPr>
        <w:t>es avec des CDI</w:t>
      </w:r>
      <w:r w:rsidR="001762C1" w:rsidRPr="00F60A3D">
        <w:rPr>
          <w:lang w:val="fr-FR"/>
        </w:rPr>
        <w:t>, allouées chaque année aux régions et</w:t>
      </w:r>
      <w:r w:rsidR="00731982" w:rsidRPr="00F60A3D">
        <w:rPr>
          <w:lang w:val="fr-FR"/>
        </w:rPr>
        <w:t xml:space="preserve"> </w:t>
      </w:r>
      <w:r w:rsidR="00827F39" w:rsidRPr="00F60A3D">
        <w:rPr>
          <w:lang w:val="fr-FR"/>
        </w:rPr>
        <w:t>financé</w:t>
      </w:r>
      <w:r w:rsidR="00511C12" w:rsidRPr="00F60A3D">
        <w:rPr>
          <w:lang w:val="fr-FR"/>
        </w:rPr>
        <w:t>e</w:t>
      </w:r>
      <w:r w:rsidR="00827F39" w:rsidRPr="00F60A3D">
        <w:rPr>
          <w:lang w:val="fr-FR"/>
        </w:rPr>
        <w:t>s</w:t>
      </w:r>
      <w:r w:rsidR="001459C8" w:rsidRPr="00F60A3D">
        <w:rPr>
          <w:lang w:val="fr-FR"/>
        </w:rPr>
        <w:t xml:space="preserve"> </w:t>
      </w:r>
      <w:r w:rsidR="00511C12" w:rsidRPr="00F60A3D">
        <w:rPr>
          <w:lang w:val="fr-FR"/>
        </w:rPr>
        <w:t>par le</w:t>
      </w:r>
      <w:r w:rsidR="008D3DD0" w:rsidRPr="00F60A3D">
        <w:rPr>
          <w:lang w:val="fr-FR"/>
        </w:rPr>
        <w:t xml:space="preserve"> Fonds pour le droit au travail des personnes handicapées créé </w:t>
      </w:r>
      <w:r w:rsidR="00511C12" w:rsidRPr="00F60A3D">
        <w:rPr>
          <w:lang w:val="fr-FR"/>
        </w:rPr>
        <w:t xml:space="preserve">au Ministère du travail </w:t>
      </w:r>
      <w:r w:rsidR="008D3DD0" w:rsidRPr="00F60A3D">
        <w:rPr>
          <w:lang w:val="fr-FR"/>
        </w:rPr>
        <w:t>par l</w:t>
      </w:r>
      <w:r w:rsidR="00B17AE1" w:rsidRPr="00F60A3D">
        <w:rPr>
          <w:lang w:val="fr-FR"/>
        </w:rPr>
        <w:t>’</w:t>
      </w:r>
      <w:r w:rsidR="00D26282" w:rsidRPr="00F60A3D">
        <w:rPr>
          <w:lang w:val="fr-FR"/>
        </w:rPr>
        <w:t>article </w:t>
      </w:r>
      <w:r w:rsidR="008D3DD0" w:rsidRPr="00F60A3D">
        <w:rPr>
          <w:lang w:val="fr-FR"/>
        </w:rPr>
        <w:t>13</w:t>
      </w:r>
      <w:r w:rsidR="00A76E65" w:rsidRPr="00F60A3D">
        <w:rPr>
          <w:lang w:val="fr-FR"/>
        </w:rPr>
        <w:t xml:space="preserve">, </w:t>
      </w:r>
      <w:r w:rsidR="00995638" w:rsidRPr="00F60A3D">
        <w:rPr>
          <w:lang w:val="fr-FR"/>
        </w:rPr>
        <w:t>alinéa </w:t>
      </w:r>
      <w:r w:rsidR="00A76E65" w:rsidRPr="00F60A3D">
        <w:rPr>
          <w:lang w:val="fr-FR"/>
        </w:rPr>
        <w:t xml:space="preserve">4 de la loi </w:t>
      </w:r>
      <w:r w:rsidR="00B17AE1" w:rsidRPr="00F60A3D">
        <w:rPr>
          <w:lang w:val="fr-FR"/>
        </w:rPr>
        <w:t>n</w:t>
      </w:r>
      <w:r w:rsidR="00B17AE1" w:rsidRPr="00F60A3D">
        <w:rPr>
          <w:vertAlign w:val="superscript"/>
          <w:lang w:val="fr-FR"/>
        </w:rPr>
        <w:t>o</w:t>
      </w:r>
      <w:r w:rsidR="00B17AE1" w:rsidRPr="00F60A3D">
        <w:rPr>
          <w:lang w:val="fr-FR"/>
        </w:rPr>
        <w:t> </w:t>
      </w:r>
      <w:r w:rsidR="00A76E65" w:rsidRPr="00F60A3D">
        <w:rPr>
          <w:lang w:val="fr-FR"/>
        </w:rPr>
        <w:t>68/1999</w:t>
      </w:r>
      <w:r w:rsidR="001762C1" w:rsidRPr="00F60A3D">
        <w:rPr>
          <w:lang w:val="fr-FR"/>
        </w:rPr>
        <w:t>,</w:t>
      </w:r>
      <w:r w:rsidR="00827F39" w:rsidRPr="00F60A3D">
        <w:rPr>
          <w:lang w:val="fr-FR"/>
        </w:rPr>
        <w:t xml:space="preserve"> dont les montants sont les suivants: </w:t>
      </w:r>
    </w:p>
    <w:tbl>
      <w:tblPr>
        <w:tblW w:w="7371" w:type="dxa"/>
        <w:tblInd w:w="1134" w:type="dxa"/>
        <w:tblBorders>
          <w:top w:val="single" w:sz="4" w:space="0" w:color="auto"/>
        </w:tblBorders>
        <w:tblCellMar>
          <w:left w:w="0" w:type="dxa"/>
          <w:right w:w="0" w:type="dxa"/>
        </w:tblCellMar>
        <w:tblLook w:val="00A0" w:firstRow="1" w:lastRow="0" w:firstColumn="1" w:lastColumn="0" w:noHBand="0" w:noVBand="0"/>
      </w:tblPr>
      <w:tblGrid>
        <w:gridCol w:w="4275"/>
        <w:gridCol w:w="3096"/>
      </w:tblGrid>
      <w:tr w:rsidR="00DB5D9E" w:rsidRPr="00F60A3D" w:rsidTr="0034325C">
        <w:trPr>
          <w:trHeight w:val="217"/>
          <w:tblHeader/>
        </w:trPr>
        <w:tc>
          <w:tcPr>
            <w:tcW w:w="0" w:type="auto"/>
            <w:tcBorders>
              <w:top w:val="single" w:sz="4" w:space="0" w:color="auto"/>
              <w:bottom w:val="single" w:sz="12" w:space="0" w:color="auto"/>
            </w:tcBorders>
            <w:shd w:val="clear" w:color="auto" w:fill="auto"/>
            <w:vAlign w:val="bottom"/>
          </w:tcPr>
          <w:p w:rsidR="00DB5D9E" w:rsidRPr="00F60A3D" w:rsidRDefault="00827F39" w:rsidP="00F520A7">
            <w:pPr>
              <w:pStyle w:val="NormalWeb"/>
              <w:suppressAutoHyphens w:val="0"/>
              <w:spacing w:before="80" w:after="80" w:line="200" w:lineRule="exact"/>
              <w:rPr>
                <w:i/>
                <w:sz w:val="16"/>
                <w:lang w:val="fr-FR"/>
              </w:rPr>
            </w:pPr>
            <w:r w:rsidRPr="00F60A3D">
              <w:rPr>
                <w:i/>
                <w:sz w:val="16"/>
                <w:lang w:val="fr-FR"/>
              </w:rPr>
              <w:t>Décrets</w:t>
            </w:r>
          </w:p>
        </w:tc>
        <w:tc>
          <w:tcPr>
            <w:tcW w:w="0" w:type="auto"/>
            <w:tcBorders>
              <w:top w:val="single" w:sz="4" w:space="0" w:color="auto"/>
              <w:bottom w:val="single" w:sz="12" w:space="0" w:color="auto"/>
            </w:tcBorders>
            <w:shd w:val="clear" w:color="auto" w:fill="auto"/>
            <w:vAlign w:val="bottom"/>
          </w:tcPr>
          <w:p w:rsidR="00DB5D9E" w:rsidRPr="00F60A3D" w:rsidRDefault="00DB5D9E" w:rsidP="00F520A7">
            <w:pPr>
              <w:pStyle w:val="NormalWeb"/>
              <w:suppressAutoHyphens w:val="0"/>
              <w:spacing w:before="80" w:after="80" w:line="200" w:lineRule="exact"/>
              <w:ind w:left="113"/>
              <w:jc w:val="right"/>
              <w:rPr>
                <w:i/>
                <w:sz w:val="16"/>
                <w:lang w:val="fr-FR"/>
              </w:rPr>
            </w:pPr>
            <w:r w:rsidRPr="00F60A3D">
              <w:rPr>
                <w:i/>
                <w:sz w:val="16"/>
                <w:lang w:val="fr-FR"/>
              </w:rPr>
              <w:t>Re</w:t>
            </w:r>
            <w:r w:rsidR="00827F39" w:rsidRPr="00F60A3D">
              <w:rPr>
                <w:i/>
                <w:sz w:val="16"/>
                <w:lang w:val="fr-FR"/>
              </w:rPr>
              <w:t>s</w:t>
            </w:r>
            <w:r w:rsidRPr="00F60A3D">
              <w:rPr>
                <w:i/>
                <w:sz w:val="16"/>
                <w:lang w:val="fr-FR"/>
              </w:rPr>
              <w:t>sources</w:t>
            </w:r>
          </w:p>
        </w:tc>
      </w:tr>
      <w:tr w:rsidR="00DB5D9E" w:rsidRPr="00F60A3D" w:rsidTr="0034325C">
        <w:trPr>
          <w:trHeight w:val="217"/>
        </w:trPr>
        <w:tc>
          <w:tcPr>
            <w:tcW w:w="0" w:type="auto"/>
            <w:tcBorders>
              <w:top w:val="single" w:sz="12" w:space="0" w:color="auto"/>
            </w:tcBorders>
            <w:shd w:val="clear" w:color="auto" w:fill="auto"/>
          </w:tcPr>
          <w:p w:rsidR="00DB5D9E" w:rsidRPr="00F60A3D" w:rsidRDefault="00827F39" w:rsidP="00F520A7">
            <w:pPr>
              <w:pStyle w:val="NormalWeb"/>
              <w:suppressAutoHyphens w:val="0"/>
              <w:spacing w:before="40" w:after="40" w:line="220" w:lineRule="exact"/>
              <w:rPr>
                <w:sz w:val="18"/>
                <w:lang w:val="fr-FR"/>
              </w:rPr>
            </w:pPr>
            <w:r w:rsidRPr="00F60A3D">
              <w:rPr>
                <w:sz w:val="18"/>
                <w:lang w:val="fr-FR"/>
              </w:rPr>
              <w:t>Décret 27 mai</w:t>
            </w:r>
            <w:r w:rsidR="00DB5D9E" w:rsidRPr="00F60A3D">
              <w:rPr>
                <w:sz w:val="18"/>
                <w:lang w:val="fr-FR"/>
              </w:rPr>
              <w:t xml:space="preserve"> 2015</w:t>
            </w:r>
          </w:p>
        </w:tc>
        <w:tc>
          <w:tcPr>
            <w:tcW w:w="0" w:type="auto"/>
            <w:tcBorders>
              <w:top w:val="single" w:sz="12" w:space="0" w:color="auto"/>
            </w:tcBorders>
            <w:shd w:val="clear" w:color="auto" w:fill="auto"/>
            <w:vAlign w:val="bottom"/>
          </w:tcPr>
          <w:p w:rsidR="00DB5D9E" w:rsidRPr="00F60A3D" w:rsidRDefault="00827F39" w:rsidP="00F520A7">
            <w:pPr>
              <w:pStyle w:val="NormalWeb"/>
              <w:suppressAutoHyphens w:val="0"/>
              <w:spacing w:before="40" w:after="40" w:line="220" w:lineRule="exact"/>
              <w:ind w:left="113"/>
              <w:jc w:val="right"/>
              <w:rPr>
                <w:sz w:val="18"/>
                <w:lang w:val="fr-FR"/>
              </w:rPr>
            </w:pPr>
            <w:r w:rsidRPr="00F60A3D">
              <w:rPr>
                <w:sz w:val="18"/>
                <w:lang w:val="fr-FR"/>
              </w:rPr>
              <w:t>21</w:t>
            </w:r>
            <w:r w:rsidR="00A85D80" w:rsidRPr="00F60A3D">
              <w:rPr>
                <w:sz w:val="18"/>
                <w:lang w:val="fr-FR"/>
              </w:rPr>
              <w:t> </w:t>
            </w:r>
            <w:r w:rsidRPr="00F60A3D">
              <w:rPr>
                <w:sz w:val="18"/>
                <w:lang w:val="fr-FR"/>
              </w:rPr>
              <w:t>910</w:t>
            </w:r>
            <w:r w:rsidR="00A85D80" w:rsidRPr="00F60A3D">
              <w:rPr>
                <w:sz w:val="18"/>
                <w:lang w:val="fr-FR"/>
              </w:rPr>
              <w:t xml:space="preserve"> </w:t>
            </w:r>
            <w:r w:rsidRPr="00F60A3D">
              <w:rPr>
                <w:sz w:val="18"/>
                <w:lang w:val="fr-FR"/>
              </w:rPr>
              <w:t>107 e</w:t>
            </w:r>
            <w:r w:rsidR="00DB5D9E" w:rsidRPr="00F60A3D">
              <w:rPr>
                <w:sz w:val="18"/>
                <w:lang w:val="fr-FR"/>
              </w:rPr>
              <w:t>uros</w:t>
            </w:r>
          </w:p>
        </w:tc>
      </w:tr>
      <w:tr w:rsidR="00DB5D9E" w:rsidRPr="00F60A3D" w:rsidTr="0034325C">
        <w:trPr>
          <w:trHeight w:val="217"/>
        </w:trPr>
        <w:tc>
          <w:tcPr>
            <w:tcW w:w="0" w:type="auto"/>
            <w:shd w:val="clear" w:color="auto" w:fill="auto"/>
          </w:tcPr>
          <w:p w:rsidR="00DB5D9E" w:rsidRPr="00F60A3D" w:rsidRDefault="00827F39" w:rsidP="00F520A7">
            <w:pPr>
              <w:pStyle w:val="NormalWeb"/>
              <w:suppressAutoHyphens w:val="0"/>
              <w:spacing w:before="40" w:after="40" w:line="220" w:lineRule="exact"/>
              <w:rPr>
                <w:sz w:val="18"/>
                <w:lang w:val="fr-FR"/>
              </w:rPr>
            </w:pPr>
            <w:r w:rsidRPr="00F60A3D">
              <w:rPr>
                <w:sz w:val="18"/>
                <w:lang w:val="fr-FR"/>
              </w:rPr>
              <w:t>Décret 12 mai</w:t>
            </w:r>
            <w:r w:rsidR="00DB5D9E" w:rsidRPr="00F60A3D">
              <w:rPr>
                <w:sz w:val="18"/>
                <w:lang w:val="fr-FR"/>
              </w:rPr>
              <w:t xml:space="preserve"> 2014</w:t>
            </w:r>
          </w:p>
        </w:tc>
        <w:tc>
          <w:tcPr>
            <w:tcW w:w="0" w:type="auto"/>
            <w:shd w:val="clear" w:color="auto" w:fill="auto"/>
            <w:vAlign w:val="bottom"/>
          </w:tcPr>
          <w:p w:rsidR="00DB5D9E" w:rsidRPr="00F60A3D" w:rsidRDefault="00A85D80" w:rsidP="00F520A7">
            <w:pPr>
              <w:pStyle w:val="NormalWeb"/>
              <w:suppressAutoHyphens w:val="0"/>
              <w:spacing w:before="40" w:after="40" w:line="220" w:lineRule="exact"/>
              <w:ind w:left="113"/>
              <w:jc w:val="right"/>
              <w:rPr>
                <w:sz w:val="18"/>
                <w:lang w:val="fr-FR"/>
              </w:rPr>
            </w:pPr>
            <w:r w:rsidRPr="00F60A3D">
              <w:rPr>
                <w:sz w:val="18"/>
                <w:lang w:val="fr-FR"/>
              </w:rPr>
              <w:t xml:space="preserve">21 845 </w:t>
            </w:r>
            <w:r w:rsidR="00827F39" w:rsidRPr="00F60A3D">
              <w:rPr>
                <w:sz w:val="18"/>
                <w:lang w:val="fr-FR"/>
              </w:rPr>
              <w:t>924 e</w:t>
            </w:r>
            <w:r w:rsidR="00DB5D9E" w:rsidRPr="00F60A3D">
              <w:rPr>
                <w:sz w:val="18"/>
                <w:lang w:val="fr-FR"/>
              </w:rPr>
              <w:t>uros</w:t>
            </w:r>
          </w:p>
        </w:tc>
      </w:tr>
      <w:tr w:rsidR="00DB5D9E" w:rsidRPr="00F60A3D" w:rsidTr="0034325C">
        <w:trPr>
          <w:trHeight w:val="217"/>
        </w:trPr>
        <w:tc>
          <w:tcPr>
            <w:tcW w:w="0" w:type="auto"/>
            <w:shd w:val="clear" w:color="auto" w:fill="auto"/>
          </w:tcPr>
          <w:p w:rsidR="00DB5D9E" w:rsidRPr="00F60A3D" w:rsidRDefault="00827F39" w:rsidP="00F520A7">
            <w:pPr>
              <w:pStyle w:val="NormalWeb"/>
              <w:suppressAutoHyphens w:val="0"/>
              <w:spacing w:before="40" w:after="40" w:line="220" w:lineRule="exact"/>
              <w:rPr>
                <w:sz w:val="18"/>
                <w:lang w:val="fr-FR"/>
              </w:rPr>
            </w:pPr>
            <w:r w:rsidRPr="00F60A3D">
              <w:rPr>
                <w:sz w:val="18"/>
                <w:lang w:val="fr-FR"/>
              </w:rPr>
              <w:t>Décret 6 décemb</w:t>
            </w:r>
            <w:r w:rsidR="00DB5D9E" w:rsidRPr="00F60A3D">
              <w:rPr>
                <w:sz w:val="18"/>
                <w:lang w:val="fr-FR"/>
              </w:rPr>
              <w:t>r</w:t>
            </w:r>
            <w:r w:rsidRPr="00F60A3D">
              <w:rPr>
                <w:sz w:val="18"/>
                <w:lang w:val="fr-FR"/>
              </w:rPr>
              <w:t>e</w:t>
            </w:r>
            <w:r w:rsidR="00DB5D9E" w:rsidRPr="00F60A3D">
              <w:rPr>
                <w:sz w:val="18"/>
                <w:lang w:val="fr-FR"/>
              </w:rPr>
              <w:t xml:space="preserve"> 2013</w:t>
            </w:r>
          </w:p>
        </w:tc>
        <w:tc>
          <w:tcPr>
            <w:tcW w:w="0" w:type="auto"/>
            <w:shd w:val="clear" w:color="auto" w:fill="auto"/>
            <w:vAlign w:val="bottom"/>
          </w:tcPr>
          <w:p w:rsidR="00DB5D9E" w:rsidRPr="00F60A3D" w:rsidRDefault="00A85D80" w:rsidP="00F520A7">
            <w:pPr>
              <w:pStyle w:val="NormalWeb"/>
              <w:suppressAutoHyphens w:val="0"/>
              <w:spacing w:before="40" w:after="40" w:line="220" w:lineRule="exact"/>
              <w:ind w:left="113"/>
              <w:jc w:val="right"/>
              <w:rPr>
                <w:sz w:val="18"/>
                <w:lang w:val="fr-FR"/>
              </w:rPr>
            </w:pPr>
            <w:r w:rsidRPr="00F60A3D">
              <w:rPr>
                <w:sz w:val="18"/>
                <w:lang w:val="fr-FR"/>
              </w:rPr>
              <w:t xml:space="preserve">12 590 </w:t>
            </w:r>
            <w:r w:rsidR="00827F39" w:rsidRPr="00F60A3D">
              <w:rPr>
                <w:sz w:val="18"/>
                <w:lang w:val="fr-FR"/>
              </w:rPr>
              <w:t>387 e</w:t>
            </w:r>
            <w:r w:rsidR="00DB5D9E" w:rsidRPr="00F60A3D">
              <w:rPr>
                <w:sz w:val="18"/>
                <w:lang w:val="fr-FR"/>
              </w:rPr>
              <w:t>uros</w:t>
            </w:r>
          </w:p>
        </w:tc>
      </w:tr>
      <w:tr w:rsidR="00DB5D9E" w:rsidRPr="00F60A3D" w:rsidTr="0034325C">
        <w:trPr>
          <w:trHeight w:val="217"/>
        </w:trPr>
        <w:tc>
          <w:tcPr>
            <w:tcW w:w="0" w:type="auto"/>
            <w:shd w:val="clear" w:color="auto" w:fill="auto"/>
          </w:tcPr>
          <w:p w:rsidR="00DB5D9E" w:rsidRPr="00F60A3D" w:rsidRDefault="00827F39" w:rsidP="00F520A7">
            <w:pPr>
              <w:pStyle w:val="NormalWeb"/>
              <w:suppressAutoHyphens w:val="0"/>
              <w:spacing w:before="40" w:after="40" w:line="220" w:lineRule="exact"/>
              <w:rPr>
                <w:sz w:val="18"/>
                <w:lang w:val="fr-FR"/>
              </w:rPr>
            </w:pPr>
            <w:r w:rsidRPr="00F60A3D">
              <w:rPr>
                <w:sz w:val="18"/>
                <w:lang w:val="fr-FR"/>
              </w:rPr>
              <w:t>Décret 18 juillet</w:t>
            </w:r>
            <w:r w:rsidR="00DB5D9E" w:rsidRPr="00F60A3D">
              <w:rPr>
                <w:sz w:val="18"/>
                <w:lang w:val="fr-FR"/>
              </w:rPr>
              <w:t xml:space="preserve"> 2012</w:t>
            </w:r>
          </w:p>
        </w:tc>
        <w:tc>
          <w:tcPr>
            <w:tcW w:w="0" w:type="auto"/>
            <w:shd w:val="clear" w:color="auto" w:fill="auto"/>
            <w:vAlign w:val="bottom"/>
          </w:tcPr>
          <w:p w:rsidR="00DB5D9E" w:rsidRPr="00F60A3D" w:rsidRDefault="00A85D80" w:rsidP="00F520A7">
            <w:pPr>
              <w:pStyle w:val="NormalWeb"/>
              <w:suppressAutoHyphens w:val="0"/>
              <w:spacing w:before="40" w:after="40" w:line="220" w:lineRule="exact"/>
              <w:ind w:left="113"/>
              <w:jc w:val="right"/>
              <w:rPr>
                <w:sz w:val="18"/>
                <w:lang w:val="fr-FR"/>
              </w:rPr>
            </w:pPr>
            <w:r w:rsidRPr="00F60A3D">
              <w:rPr>
                <w:sz w:val="18"/>
                <w:lang w:val="fr-FR"/>
              </w:rPr>
              <w:t xml:space="preserve">2 429 </w:t>
            </w:r>
            <w:r w:rsidR="00827F39" w:rsidRPr="00F60A3D">
              <w:rPr>
                <w:sz w:val="18"/>
                <w:lang w:val="fr-FR"/>
              </w:rPr>
              <w:t>702 e</w:t>
            </w:r>
            <w:r w:rsidR="00DB5D9E" w:rsidRPr="00F60A3D">
              <w:rPr>
                <w:sz w:val="18"/>
                <w:lang w:val="fr-FR"/>
              </w:rPr>
              <w:t>uros</w:t>
            </w:r>
          </w:p>
        </w:tc>
      </w:tr>
      <w:tr w:rsidR="00DB5D9E" w:rsidRPr="00F60A3D" w:rsidTr="0034325C">
        <w:trPr>
          <w:trHeight w:val="217"/>
        </w:trPr>
        <w:tc>
          <w:tcPr>
            <w:tcW w:w="0" w:type="auto"/>
            <w:tcBorders>
              <w:bottom w:val="single" w:sz="12" w:space="0" w:color="auto"/>
            </w:tcBorders>
            <w:shd w:val="clear" w:color="auto" w:fill="auto"/>
          </w:tcPr>
          <w:p w:rsidR="00DB5D9E" w:rsidRPr="00F60A3D" w:rsidRDefault="00827F39" w:rsidP="00F520A7">
            <w:pPr>
              <w:pStyle w:val="NormalWeb"/>
              <w:suppressAutoHyphens w:val="0"/>
              <w:spacing w:before="40" w:after="40" w:line="220" w:lineRule="exact"/>
              <w:rPr>
                <w:sz w:val="18"/>
                <w:lang w:val="fr-FR"/>
              </w:rPr>
            </w:pPr>
            <w:r w:rsidRPr="00F60A3D">
              <w:rPr>
                <w:sz w:val="18"/>
                <w:lang w:val="fr-FR"/>
              </w:rPr>
              <w:t>Décret 28 novemb</w:t>
            </w:r>
            <w:r w:rsidR="00DB5D9E" w:rsidRPr="00F60A3D">
              <w:rPr>
                <w:sz w:val="18"/>
                <w:lang w:val="fr-FR"/>
              </w:rPr>
              <w:t>r</w:t>
            </w:r>
            <w:r w:rsidRPr="00F60A3D">
              <w:rPr>
                <w:sz w:val="18"/>
                <w:lang w:val="fr-FR"/>
              </w:rPr>
              <w:t>e</w:t>
            </w:r>
            <w:r w:rsidR="00DB5D9E" w:rsidRPr="00F60A3D">
              <w:rPr>
                <w:sz w:val="18"/>
                <w:lang w:val="fr-FR"/>
              </w:rPr>
              <w:t xml:space="preserve"> 2011</w:t>
            </w:r>
          </w:p>
        </w:tc>
        <w:tc>
          <w:tcPr>
            <w:tcW w:w="0" w:type="auto"/>
            <w:tcBorders>
              <w:bottom w:val="single" w:sz="12" w:space="0" w:color="auto"/>
            </w:tcBorders>
            <w:shd w:val="clear" w:color="auto" w:fill="auto"/>
            <w:vAlign w:val="bottom"/>
          </w:tcPr>
          <w:p w:rsidR="00DB5D9E" w:rsidRPr="00F60A3D" w:rsidRDefault="00A85D80" w:rsidP="00F520A7">
            <w:pPr>
              <w:pStyle w:val="NormalWeb"/>
              <w:suppressAutoHyphens w:val="0"/>
              <w:spacing w:before="40" w:after="40" w:line="220" w:lineRule="exact"/>
              <w:ind w:left="113"/>
              <w:jc w:val="right"/>
              <w:rPr>
                <w:sz w:val="18"/>
                <w:lang w:val="fr-FR"/>
              </w:rPr>
            </w:pPr>
            <w:r w:rsidRPr="00F60A3D">
              <w:rPr>
                <w:sz w:val="18"/>
                <w:lang w:val="fr-FR"/>
              </w:rPr>
              <w:t xml:space="preserve">2 725 </w:t>
            </w:r>
            <w:r w:rsidR="00827F39" w:rsidRPr="00F60A3D">
              <w:rPr>
                <w:sz w:val="18"/>
                <w:lang w:val="fr-FR"/>
              </w:rPr>
              <w:t>800 e</w:t>
            </w:r>
            <w:r w:rsidR="00DB5D9E" w:rsidRPr="00F60A3D">
              <w:rPr>
                <w:sz w:val="18"/>
                <w:lang w:val="fr-FR"/>
              </w:rPr>
              <w:t>uros</w:t>
            </w:r>
          </w:p>
        </w:tc>
      </w:tr>
    </w:tbl>
    <w:p w:rsidR="00DB5D9E" w:rsidRPr="00F60A3D" w:rsidRDefault="0034325C" w:rsidP="004170A2">
      <w:pPr>
        <w:pStyle w:val="SingleTxtG"/>
        <w:spacing w:before="240"/>
        <w:rPr>
          <w:lang w:val="fr-FR"/>
        </w:rPr>
      </w:pPr>
      <w:r w:rsidRPr="00F60A3D">
        <w:rPr>
          <w:lang w:val="fr-FR"/>
        </w:rPr>
        <w:tab/>
      </w:r>
      <w:r w:rsidR="007862F3" w:rsidRPr="00F60A3D">
        <w:rPr>
          <w:lang w:val="fr-FR"/>
        </w:rPr>
        <w:t>c)</w:t>
      </w:r>
      <w:r w:rsidR="001D2CCC" w:rsidRPr="00F60A3D">
        <w:rPr>
          <w:lang w:val="fr-FR"/>
        </w:rPr>
        <w:tab/>
      </w:r>
      <w:r w:rsidR="00DB5D9E" w:rsidRPr="00F60A3D">
        <w:rPr>
          <w:lang w:val="fr-FR"/>
        </w:rPr>
        <w:t>L</w:t>
      </w:r>
      <w:r w:rsidR="00827F39" w:rsidRPr="00F60A3D">
        <w:rPr>
          <w:lang w:val="fr-FR"/>
        </w:rPr>
        <w:t xml:space="preserve">e décret-loi </w:t>
      </w:r>
      <w:r w:rsidR="004170A2" w:rsidRPr="00F60A3D">
        <w:rPr>
          <w:lang w:val="fr-FR"/>
        </w:rPr>
        <w:t>n</w:t>
      </w:r>
      <w:r w:rsidR="004170A2" w:rsidRPr="00F60A3D">
        <w:rPr>
          <w:vertAlign w:val="superscript"/>
          <w:lang w:val="fr-FR"/>
        </w:rPr>
        <w:t>o</w:t>
      </w:r>
      <w:r w:rsidR="004170A2" w:rsidRPr="00F60A3D">
        <w:rPr>
          <w:lang w:val="fr-FR"/>
        </w:rPr>
        <w:t> </w:t>
      </w:r>
      <w:r w:rsidR="00DB5D9E" w:rsidRPr="00F60A3D">
        <w:rPr>
          <w:lang w:val="fr-FR"/>
        </w:rPr>
        <w:t xml:space="preserve">101/2013 </w:t>
      </w:r>
      <w:r w:rsidR="00DA2199" w:rsidRPr="00F60A3D">
        <w:rPr>
          <w:lang w:val="fr-FR"/>
        </w:rPr>
        <w:t>prévoit que les adm</w:t>
      </w:r>
      <w:r w:rsidR="0091447D" w:rsidRPr="00F60A3D">
        <w:rPr>
          <w:lang w:val="fr-FR"/>
        </w:rPr>
        <w:t>inistrations publiques fixent un</w:t>
      </w:r>
      <w:r w:rsidR="00DA2199" w:rsidRPr="00F60A3D">
        <w:rPr>
          <w:lang w:val="fr-FR"/>
        </w:rPr>
        <w:t xml:space="preserve"> nombre d</w:t>
      </w:r>
      <w:r w:rsidR="00B17AE1" w:rsidRPr="00F60A3D">
        <w:rPr>
          <w:lang w:val="fr-FR"/>
        </w:rPr>
        <w:t>’</w:t>
      </w:r>
      <w:r w:rsidR="00DA2199" w:rsidRPr="00F60A3D">
        <w:rPr>
          <w:lang w:val="fr-FR"/>
        </w:rPr>
        <w:t xml:space="preserve">emplois garantis pour les </w:t>
      </w:r>
      <w:r w:rsidR="00CF379B" w:rsidRPr="00F60A3D">
        <w:rPr>
          <w:lang w:val="fr-FR"/>
        </w:rPr>
        <w:t>caté</w:t>
      </w:r>
      <w:r w:rsidR="00DA2199" w:rsidRPr="00F60A3D">
        <w:rPr>
          <w:lang w:val="fr-FR"/>
        </w:rPr>
        <w:t>gories dites protégées</w:t>
      </w:r>
      <w:r w:rsidR="00462F94" w:rsidRPr="00F60A3D">
        <w:rPr>
          <w:lang w:val="fr-FR"/>
        </w:rPr>
        <w:t>,</w:t>
      </w:r>
      <w:r w:rsidR="00DA2199" w:rsidRPr="00F60A3D">
        <w:rPr>
          <w:lang w:val="fr-FR"/>
        </w:rPr>
        <w:t xml:space="preserve"> sur la base de quotas et de critères énoncés dans la légi</w:t>
      </w:r>
      <w:r w:rsidR="004847DD" w:rsidRPr="00F60A3D">
        <w:rPr>
          <w:lang w:val="fr-FR"/>
        </w:rPr>
        <w:t>slation existante, en réévalu</w:t>
      </w:r>
      <w:r w:rsidR="00CF379B" w:rsidRPr="00F60A3D">
        <w:rPr>
          <w:lang w:val="fr-FR"/>
        </w:rPr>
        <w:t>ant</w:t>
      </w:r>
      <w:r w:rsidR="00DA2199" w:rsidRPr="00F60A3D">
        <w:rPr>
          <w:lang w:val="fr-FR"/>
        </w:rPr>
        <w:t xml:space="preserve"> si </w:t>
      </w:r>
      <w:r w:rsidR="00CF379B" w:rsidRPr="00F60A3D">
        <w:rPr>
          <w:lang w:val="fr-FR"/>
        </w:rPr>
        <w:t>né</w:t>
      </w:r>
      <w:r w:rsidR="00DA2199" w:rsidRPr="00F60A3D">
        <w:rPr>
          <w:lang w:val="fr-FR"/>
        </w:rPr>
        <w:t xml:space="preserve">cessaire, le nombre total de </w:t>
      </w:r>
      <w:r w:rsidR="00CF379B" w:rsidRPr="00F60A3D">
        <w:rPr>
          <w:lang w:val="fr-FR"/>
        </w:rPr>
        <w:t xml:space="preserve">leurs </w:t>
      </w:r>
      <w:r w:rsidR="00DA2199" w:rsidRPr="00F60A3D">
        <w:rPr>
          <w:lang w:val="fr-FR"/>
        </w:rPr>
        <w:t xml:space="preserve">salariés. </w:t>
      </w:r>
      <w:r w:rsidR="00CF379B" w:rsidRPr="00F60A3D">
        <w:rPr>
          <w:lang w:val="fr-FR"/>
        </w:rPr>
        <w:t>Après quoi, chaque administration est tenu</w:t>
      </w:r>
      <w:r w:rsidR="00E96170" w:rsidRPr="00F60A3D">
        <w:rPr>
          <w:lang w:val="fr-FR"/>
        </w:rPr>
        <w:t>e</w:t>
      </w:r>
      <w:r w:rsidR="00871EBD" w:rsidRPr="00F60A3D">
        <w:rPr>
          <w:lang w:val="fr-FR"/>
        </w:rPr>
        <w:t xml:space="preserve"> de recruter</w:t>
      </w:r>
      <w:r w:rsidR="00CF379B" w:rsidRPr="00F60A3D">
        <w:rPr>
          <w:lang w:val="fr-FR"/>
        </w:rPr>
        <w:t xml:space="preserve"> avec un contrat à durée indéterminée </w:t>
      </w:r>
      <w:r w:rsidR="00BF1059" w:rsidRPr="00F60A3D">
        <w:rPr>
          <w:lang w:val="fr-FR"/>
        </w:rPr>
        <w:t xml:space="preserve">(CDI) </w:t>
      </w:r>
      <w:r w:rsidR="00CF379B" w:rsidRPr="00F60A3D">
        <w:rPr>
          <w:lang w:val="fr-FR"/>
        </w:rPr>
        <w:t>un certain nombre d</w:t>
      </w:r>
      <w:r w:rsidR="00B17AE1" w:rsidRPr="00F60A3D">
        <w:rPr>
          <w:lang w:val="fr-FR"/>
        </w:rPr>
        <w:t>’</w:t>
      </w:r>
      <w:r w:rsidR="00CF379B" w:rsidRPr="00F60A3D">
        <w:rPr>
          <w:lang w:val="fr-FR"/>
        </w:rPr>
        <w:t>employés</w:t>
      </w:r>
      <w:r w:rsidR="00871EBD" w:rsidRPr="00F60A3D">
        <w:rPr>
          <w:lang w:val="fr-FR"/>
        </w:rPr>
        <w:t>,</w:t>
      </w:r>
      <w:r w:rsidR="00CF379B" w:rsidRPr="00F60A3D">
        <w:rPr>
          <w:lang w:val="fr-FR"/>
        </w:rPr>
        <w:t xml:space="preserve"> en fonction de la </w:t>
      </w:r>
      <w:r w:rsidR="00E96170" w:rsidRPr="00F60A3D">
        <w:rPr>
          <w:lang w:val="fr-FR"/>
        </w:rPr>
        <w:t>diffé</w:t>
      </w:r>
      <w:r w:rsidR="00DC3B04" w:rsidRPr="00F60A3D">
        <w:rPr>
          <w:lang w:val="fr-FR"/>
        </w:rPr>
        <w:t xml:space="preserve">rence </w:t>
      </w:r>
      <w:r w:rsidR="00CF379B" w:rsidRPr="00F60A3D">
        <w:rPr>
          <w:lang w:val="fr-FR"/>
        </w:rPr>
        <w:t>entre le n</w:t>
      </w:r>
      <w:r w:rsidR="001459C8" w:rsidRPr="00F60A3D">
        <w:rPr>
          <w:lang w:val="fr-FR"/>
        </w:rPr>
        <w:t>ombre fixé et le nombre existant</w:t>
      </w:r>
      <w:r w:rsidR="00932C11" w:rsidRPr="00F60A3D">
        <w:rPr>
          <w:lang w:val="fr-FR"/>
        </w:rPr>
        <w:t xml:space="preserve"> d</w:t>
      </w:r>
      <w:r w:rsidR="00B17AE1" w:rsidRPr="00F60A3D">
        <w:rPr>
          <w:lang w:val="fr-FR"/>
        </w:rPr>
        <w:t>’</w:t>
      </w:r>
      <w:r w:rsidR="00932C11" w:rsidRPr="00F60A3D">
        <w:rPr>
          <w:lang w:val="fr-FR"/>
        </w:rPr>
        <w:t>employés</w:t>
      </w:r>
      <w:r w:rsidR="00CF379B" w:rsidRPr="00F60A3D">
        <w:rPr>
          <w:lang w:val="fr-FR"/>
        </w:rPr>
        <w:t>. Qui plus est,</w:t>
      </w:r>
      <w:r w:rsidR="00E96170" w:rsidRPr="00F60A3D">
        <w:rPr>
          <w:lang w:val="fr-FR"/>
        </w:rPr>
        <w:t xml:space="preserve"> les travailleurs handicapés employés en</w:t>
      </w:r>
      <w:r w:rsidR="00CF379B" w:rsidRPr="00F60A3D">
        <w:rPr>
          <w:lang w:val="fr-FR"/>
        </w:rPr>
        <w:t xml:space="preserve"> </w:t>
      </w:r>
      <w:r w:rsidR="00C6389C" w:rsidRPr="00F60A3D">
        <w:rPr>
          <w:lang w:val="fr-FR"/>
        </w:rPr>
        <w:t>contrat à durée déterminée (</w:t>
      </w:r>
      <w:r w:rsidR="00CF379B" w:rsidRPr="00F60A3D">
        <w:rPr>
          <w:lang w:val="fr-FR"/>
        </w:rPr>
        <w:t>CDD</w:t>
      </w:r>
      <w:r w:rsidR="00C6389C" w:rsidRPr="00F60A3D">
        <w:rPr>
          <w:lang w:val="fr-FR"/>
        </w:rPr>
        <w:t>)</w:t>
      </w:r>
      <w:r w:rsidR="00CF379B" w:rsidRPr="00F60A3D">
        <w:rPr>
          <w:lang w:val="fr-FR"/>
        </w:rPr>
        <w:t xml:space="preserve"> </w:t>
      </w:r>
      <w:r w:rsidR="00E96170" w:rsidRPr="00F60A3D">
        <w:rPr>
          <w:lang w:val="fr-FR"/>
        </w:rPr>
        <w:t>on</w:t>
      </w:r>
      <w:r w:rsidR="00CF379B" w:rsidRPr="00F60A3D">
        <w:rPr>
          <w:lang w:val="fr-FR"/>
        </w:rPr>
        <w:t>t</w:t>
      </w:r>
      <w:r w:rsidR="00E96170" w:rsidRPr="00F60A3D">
        <w:rPr>
          <w:lang w:val="fr-FR"/>
        </w:rPr>
        <w:t xml:space="preserve"> </w:t>
      </w:r>
      <w:r w:rsidR="00CF379B" w:rsidRPr="00F60A3D">
        <w:rPr>
          <w:lang w:val="fr-FR"/>
        </w:rPr>
        <w:t>en priorité le droit de bénéficier d</w:t>
      </w:r>
      <w:r w:rsidR="00B17AE1" w:rsidRPr="00F60A3D">
        <w:rPr>
          <w:lang w:val="fr-FR"/>
        </w:rPr>
        <w:t>’</w:t>
      </w:r>
      <w:r w:rsidR="00CF379B" w:rsidRPr="00F60A3D">
        <w:rPr>
          <w:lang w:val="fr-FR"/>
        </w:rPr>
        <w:t>un CDI, dans les limites du quota obligat</w:t>
      </w:r>
      <w:r w:rsidR="001B7460" w:rsidRPr="00F60A3D">
        <w:rPr>
          <w:lang w:val="fr-FR"/>
        </w:rPr>
        <w:t xml:space="preserve">oire. La loi </w:t>
      </w:r>
      <w:r w:rsidR="00B17AE1" w:rsidRPr="00F60A3D">
        <w:rPr>
          <w:lang w:val="fr-FR"/>
        </w:rPr>
        <w:t>n</w:t>
      </w:r>
      <w:r w:rsidR="00B17AE1" w:rsidRPr="00F60A3D">
        <w:rPr>
          <w:vertAlign w:val="superscript"/>
          <w:lang w:val="fr-FR"/>
        </w:rPr>
        <w:t>o</w:t>
      </w:r>
      <w:r w:rsidR="00B17AE1" w:rsidRPr="00F60A3D">
        <w:rPr>
          <w:lang w:val="fr-FR"/>
        </w:rPr>
        <w:t> </w:t>
      </w:r>
      <w:r w:rsidR="001B7460" w:rsidRPr="00F60A3D">
        <w:rPr>
          <w:lang w:val="fr-FR"/>
        </w:rPr>
        <w:t>183/2014, dit</w:t>
      </w:r>
      <w:r w:rsidR="00D42CFD" w:rsidRPr="00F60A3D">
        <w:rPr>
          <w:lang w:val="fr-FR"/>
        </w:rPr>
        <w:t xml:space="preserve">e </w:t>
      </w:r>
      <w:r w:rsidR="00731982" w:rsidRPr="00F60A3D">
        <w:rPr>
          <w:lang w:val="fr-FR"/>
        </w:rPr>
        <w:t>«</w:t>
      </w:r>
      <w:r w:rsidR="00D42CFD" w:rsidRPr="00F60A3D">
        <w:rPr>
          <w:lang w:val="fr-FR"/>
        </w:rPr>
        <w:t>loi pour l</w:t>
      </w:r>
      <w:r w:rsidR="00B17AE1" w:rsidRPr="00F60A3D">
        <w:rPr>
          <w:lang w:val="fr-FR"/>
        </w:rPr>
        <w:t>’</w:t>
      </w:r>
      <w:r w:rsidR="00D42CFD" w:rsidRPr="00F60A3D">
        <w:rPr>
          <w:lang w:val="fr-FR"/>
        </w:rPr>
        <w:t>emploi</w:t>
      </w:r>
      <w:r w:rsidR="00731982" w:rsidRPr="00F60A3D">
        <w:rPr>
          <w:lang w:val="fr-FR"/>
        </w:rPr>
        <w:t>»</w:t>
      </w:r>
      <w:r w:rsidR="00CF379B" w:rsidRPr="00F60A3D">
        <w:rPr>
          <w:lang w:val="fr-FR"/>
        </w:rPr>
        <w:t>, délègue au Gouvernement la question des décrets législatifs destinés à</w:t>
      </w:r>
      <w:r w:rsidR="00B308FE" w:rsidRPr="00F60A3D">
        <w:rPr>
          <w:lang w:val="fr-FR"/>
        </w:rPr>
        <w:t xml:space="preserve"> rationaliser</w:t>
      </w:r>
      <w:r w:rsidR="00CF379B" w:rsidRPr="00F60A3D">
        <w:rPr>
          <w:lang w:val="fr-FR"/>
        </w:rPr>
        <w:t xml:space="preserve"> et à </w:t>
      </w:r>
      <w:r w:rsidR="00BD5E82" w:rsidRPr="00F60A3D">
        <w:rPr>
          <w:lang w:val="fr-FR"/>
        </w:rPr>
        <w:t>réexaminer</w:t>
      </w:r>
      <w:r w:rsidR="00B308FE" w:rsidRPr="00F60A3D">
        <w:rPr>
          <w:lang w:val="fr-FR"/>
        </w:rPr>
        <w:t xml:space="preserve"> l</w:t>
      </w:r>
      <w:r w:rsidR="00CF379B" w:rsidRPr="00F60A3D">
        <w:rPr>
          <w:lang w:val="fr-FR"/>
        </w:rPr>
        <w:t xml:space="preserve">es procédures et </w:t>
      </w:r>
      <w:r w:rsidR="00A85D80" w:rsidRPr="00F60A3D">
        <w:rPr>
          <w:lang w:val="fr-FR"/>
        </w:rPr>
        <w:t>les réalisations en matière de</w:t>
      </w:r>
      <w:r w:rsidR="00CF379B" w:rsidRPr="00F60A3D">
        <w:rPr>
          <w:lang w:val="fr-FR"/>
        </w:rPr>
        <w:t xml:space="preserve"> placement ciblé des personnes handicapées. </w:t>
      </w:r>
      <w:r w:rsidR="006930F3" w:rsidRPr="00F60A3D">
        <w:rPr>
          <w:lang w:val="fr-FR"/>
        </w:rPr>
        <w:t>Le 4 </w:t>
      </w:r>
      <w:r w:rsidR="00B308FE" w:rsidRPr="00F60A3D">
        <w:rPr>
          <w:lang w:val="fr-FR"/>
        </w:rPr>
        <w:t xml:space="preserve">septembre 2015, le Conseil des ministres a approuvé </w:t>
      </w:r>
      <w:r w:rsidR="001459C8" w:rsidRPr="00F60A3D">
        <w:rPr>
          <w:lang w:val="fr-FR"/>
        </w:rPr>
        <w:t>un</w:t>
      </w:r>
      <w:r w:rsidR="00A85D80" w:rsidRPr="00F60A3D">
        <w:rPr>
          <w:lang w:val="fr-FR"/>
        </w:rPr>
        <w:t xml:space="preserve"> décret législatif portant sur</w:t>
      </w:r>
      <w:r w:rsidR="00462F94" w:rsidRPr="00F60A3D">
        <w:rPr>
          <w:lang w:val="fr-FR"/>
        </w:rPr>
        <w:t xml:space="preserve"> les</w:t>
      </w:r>
      <w:r w:rsidR="00E4009D" w:rsidRPr="00F60A3D">
        <w:rPr>
          <w:lang w:val="fr-FR"/>
        </w:rPr>
        <w:t xml:space="preserve"> </w:t>
      </w:r>
      <w:r w:rsidR="00731982" w:rsidRPr="00F60A3D">
        <w:rPr>
          <w:lang w:val="fr-FR"/>
        </w:rPr>
        <w:t>«</w:t>
      </w:r>
      <w:r w:rsidR="007A5710" w:rsidRPr="00F60A3D">
        <w:rPr>
          <w:lang w:val="fr-FR"/>
        </w:rPr>
        <w:t>D</w:t>
      </w:r>
      <w:r w:rsidR="00B308FE" w:rsidRPr="00F60A3D">
        <w:rPr>
          <w:lang w:val="fr-FR"/>
        </w:rPr>
        <w:t>ispositions en faveur de la rationalisation et de la simplification</w:t>
      </w:r>
      <w:r w:rsidR="007A5710" w:rsidRPr="00F60A3D">
        <w:rPr>
          <w:lang w:val="fr-FR"/>
        </w:rPr>
        <w:t xml:space="preserve"> des </w:t>
      </w:r>
      <w:r w:rsidR="00A85D80" w:rsidRPr="00F60A3D">
        <w:rPr>
          <w:lang w:val="fr-FR"/>
        </w:rPr>
        <w:lastRenderedPageBreak/>
        <w:t>procédures et des réalisations impos</w:t>
      </w:r>
      <w:r w:rsidR="007A5710" w:rsidRPr="00F60A3D">
        <w:rPr>
          <w:lang w:val="fr-FR"/>
        </w:rPr>
        <w:t>é</w:t>
      </w:r>
      <w:r w:rsidR="00B308FE" w:rsidRPr="00F60A3D">
        <w:rPr>
          <w:lang w:val="fr-FR"/>
        </w:rPr>
        <w:t>es aux citoyens et aux entreprises</w:t>
      </w:r>
      <w:r w:rsidR="00462F94" w:rsidRPr="00F60A3D">
        <w:rPr>
          <w:lang w:val="fr-FR"/>
        </w:rPr>
        <w:t>,</w:t>
      </w:r>
      <w:r w:rsidR="00B308FE" w:rsidRPr="00F60A3D">
        <w:rPr>
          <w:lang w:val="fr-FR"/>
        </w:rPr>
        <w:t xml:space="preserve"> et autres </w:t>
      </w:r>
      <w:r w:rsidR="00A85D80" w:rsidRPr="00F60A3D">
        <w:rPr>
          <w:lang w:val="fr-FR"/>
        </w:rPr>
        <w:t>dispositions en matière de</w:t>
      </w:r>
      <w:r w:rsidR="00B308FE" w:rsidRPr="00F60A3D">
        <w:rPr>
          <w:lang w:val="fr-FR"/>
        </w:rPr>
        <w:t xml:space="preserve"> relation</w:t>
      </w:r>
      <w:r w:rsidR="004F652C" w:rsidRPr="00F60A3D">
        <w:rPr>
          <w:lang w:val="fr-FR"/>
        </w:rPr>
        <w:t>s</w:t>
      </w:r>
      <w:r w:rsidR="00A85D80" w:rsidRPr="00F60A3D">
        <w:rPr>
          <w:lang w:val="fr-FR"/>
        </w:rPr>
        <w:t xml:space="preserve"> de</w:t>
      </w:r>
      <w:r w:rsidR="00B308FE" w:rsidRPr="00F60A3D">
        <w:rPr>
          <w:lang w:val="fr-FR"/>
        </w:rPr>
        <w:t xml:space="preserve"> travail</w:t>
      </w:r>
      <w:r w:rsidR="00A85D80" w:rsidRPr="00F60A3D">
        <w:rPr>
          <w:lang w:val="fr-FR"/>
        </w:rPr>
        <w:t xml:space="preserve"> et d</w:t>
      </w:r>
      <w:r w:rsidR="00B17AE1" w:rsidRPr="00F60A3D">
        <w:rPr>
          <w:lang w:val="fr-FR"/>
        </w:rPr>
        <w:t>’</w:t>
      </w:r>
      <w:r w:rsidR="007A5710" w:rsidRPr="00F60A3D">
        <w:rPr>
          <w:lang w:val="fr-FR"/>
        </w:rPr>
        <w:t>égalité des chan</w:t>
      </w:r>
      <w:r w:rsidR="00B308FE" w:rsidRPr="00F60A3D">
        <w:rPr>
          <w:lang w:val="fr-FR"/>
        </w:rPr>
        <w:t>ces, dans</w:t>
      </w:r>
      <w:r w:rsidR="00B308FE" w:rsidRPr="00F60A3D">
        <w:rPr>
          <w:i/>
          <w:lang w:val="fr-FR"/>
        </w:rPr>
        <w:t xml:space="preserve"> </w:t>
      </w:r>
      <w:r w:rsidR="00B308FE" w:rsidRPr="00F60A3D">
        <w:rPr>
          <w:lang w:val="fr-FR"/>
        </w:rPr>
        <w:t>l</w:t>
      </w:r>
      <w:r w:rsidR="00B17AE1" w:rsidRPr="00F60A3D">
        <w:rPr>
          <w:lang w:val="fr-FR"/>
        </w:rPr>
        <w:t>’</w:t>
      </w:r>
      <w:r w:rsidR="00B308FE" w:rsidRPr="00F60A3D">
        <w:rPr>
          <w:lang w:val="fr-FR"/>
        </w:rPr>
        <w:t>application de la</w:t>
      </w:r>
      <w:r w:rsidR="00B308FE" w:rsidRPr="00F60A3D">
        <w:rPr>
          <w:i/>
          <w:lang w:val="fr-FR"/>
        </w:rPr>
        <w:t xml:space="preserve"> </w:t>
      </w:r>
      <w:r w:rsidR="00E4009D" w:rsidRPr="00F60A3D">
        <w:rPr>
          <w:lang w:val="fr-FR"/>
        </w:rPr>
        <w:t xml:space="preserve">loi </w:t>
      </w:r>
      <w:r w:rsidR="00B17AE1" w:rsidRPr="00F60A3D">
        <w:rPr>
          <w:lang w:val="fr-FR"/>
        </w:rPr>
        <w:t>n</w:t>
      </w:r>
      <w:r w:rsidR="00B17AE1" w:rsidRPr="00F60A3D">
        <w:rPr>
          <w:vertAlign w:val="superscript"/>
          <w:lang w:val="fr-FR"/>
        </w:rPr>
        <w:t>o</w:t>
      </w:r>
      <w:r w:rsidR="00B17AE1" w:rsidRPr="00F60A3D">
        <w:rPr>
          <w:lang w:val="fr-FR"/>
        </w:rPr>
        <w:t> </w:t>
      </w:r>
      <w:r w:rsidR="00E4009D" w:rsidRPr="00F60A3D">
        <w:rPr>
          <w:lang w:val="fr-FR"/>
        </w:rPr>
        <w:t>183/2014</w:t>
      </w:r>
      <w:r w:rsidR="00731982" w:rsidRPr="00F60A3D">
        <w:rPr>
          <w:lang w:val="fr-FR"/>
        </w:rPr>
        <w:t>»</w:t>
      </w:r>
      <w:r w:rsidR="001459C8" w:rsidRPr="00F60A3D">
        <w:rPr>
          <w:lang w:val="fr-FR"/>
        </w:rPr>
        <w:t xml:space="preserve">, </w:t>
      </w:r>
      <w:r w:rsidR="00E96170" w:rsidRPr="00F60A3D">
        <w:rPr>
          <w:lang w:val="fr-FR"/>
        </w:rPr>
        <w:t>don</w:t>
      </w:r>
      <w:r w:rsidR="00033E31" w:rsidRPr="00F60A3D">
        <w:rPr>
          <w:lang w:val="fr-FR"/>
        </w:rPr>
        <w:t>t la première section</w:t>
      </w:r>
      <w:r w:rsidR="007A5710" w:rsidRPr="00F60A3D">
        <w:rPr>
          <w:lang w:val="fr-FR"/>
        </w:rPr>
        <w:t xml:space="preserve"> concerne la rationalisation et</w:t>
      </w:r>
      <w:r w:rsidR="0091447D" w:rsidRPr="00F60A3D">
        <w:rPr>
          <w:lang w:val="fr-FR"/>
        </w:rPr>
        <w:t xml:space="preserve"> la simplification en matière de</w:t>
      </w:r>
      <w:r w:rsidR="007A5710" w:rsidRPr="00F60A3D">
        <w:rPr>
          <w:lang w:val="fr-FR"/>
        </w:rPr>
        <w:t xml:space="preserve"> placement ciblé des personnes handicapé</w:t>
      </w:r>
      <w:r w:rsidR="00E4009D" w:rsidRPr="00F60A3D">
        <w:rPr>
          <w:lang w:val="fr-FR"/>
        </w:rPr>
        <w:t>es</w:t>
      </w:r>
      <w:r w:rsidR="00F75496" w:rsidRPr="00F60A3D">
        <w:rPr>
          <w:rStyle w:val="FootnoteReference"/>
          <w:lang w:val="fr-FR"/>
        </w:rPr>
        <w:footnoteReference w:id="39"/>
      </w:r>
      <w:r w:rsidR="00E4009D" w:rsidRPr="00F60A3D">
        <w:rPr>
          <w:lang w:val="fr-FR"/>
        </w:rPr>
        <w:t>.</w:t>
      </w:r>
    </w:p>
    <w:p w:rsidR="00571BEE" w:rsidRPr="00F60A3D" w:rsidRDefault="007E118C" w:rsidP="007E118C">
      <w:pPr>
        <w:pStyle w:val="SingleTxtG"/>
        <w:rPr>
          <w:lang w:val="fr-FR"/>
        </w:rPr>
      </w:pPr>
      <w:r w:rsidRPr="00F60A3D">
        <w:rPr>
          <w:lang w:val="fr-FR"/>
        </w:rPr>
        <w:tab/>
      </w:r>
      <w:r w:rsidR="00F21423" w:rsidRPr="00F60A3D">
        <w:rPr>
          <w:lang w:val="fr-FR"/>
        </w:rPr>
        <w:t>d</w:t>
      </w:r>
      <w:r w:rsidR="00DB5D9E" w:rsidRPr="00F60A3D">
        <w:rPr>
          <w:lang w:val="fr-FR"/>
        </w:rPr>
        <w:t>)</w:t>
      </w:r>
      <w:r w:rsidR="00DB5D9E" w:rsidRPr="00F60A3D">
        <w:rPr>
          <w:lang w:val="fr-FR"/>
        </w:rPr>
        <w:tab/>
      </w:r>
      <w:r w:rsidR="00B406EF" w:rsidRPr="00F60A3D">
        <w:rPr>
          <w:lang w:val="fr-FR"/>
        </w:rPr>
        <w:t>Afin de</w:t>
      </w:r>
      <w:r w:rsidR="00DB5D9E" w:rsidRPr="00F60A3D">
        <w:rPr>
          <w:lang w:val="fr-FR"/>
        </w:rPr>
        <w:t xml:space="preserve"> </w:t>
      </w:r>
      <w:r w:rsidR="00462F94" w:rsidRPr="00F60A3D">
        <w:rPr>
          <w:lang w:val="fr-FR"/>
        </w:rPr>
        <w:t>promouvoir l</w:t>
      </w:r>
      <w:r w:rsidR="00B17AE1" w:rsidRPr="00F60A3D">
        <w:rPr>
          <w:lang w:val="fr-FR"/>
        </w:rPr>
        <w:t>’</w:t>
      </w:r>
      <w:r w:rsidR="00462F94" w:rsidRPr="00F60A3D">
        <w:rPr>
          <w:lang w:val="fr-FR"/>
        </w:rPr>
        <w:t>entreprenariat féminin</w:t>
      </w:r>
      <w:r w:rsidR="008E754B" w:rsidRPr="00F60A3D">
        <w:rPr>
          <w:lang w:val="fr-FR"/>
        </w:rPr>
        <w:t>, le Département</w:t>
      </w:r>
      <w:r w:rsidR="00462F94" w:rsidRPr="00F60A3D">
        <w:rPr>
          <w:lang w:val="fr-FR"/>
        </w:rPr>
        <w:t xml:space="preserve"> de l</w:t>
      </w:r>
      <w:r w:rsidR="00B17AE1" w:rsidRPr="00F60A3D">
        <w:rPr>
          <w:lang w:val="fr-FR"/>
        </w:rPr>
        <w:t>’</w:t>
      </w:r>
      <w:r w:rsidR="00462F94" w:rsidRPr="00F60A3D">
        <w:rPr>
          <w:lang w:val="fr-FR"/>
        </w:rPr>
        <w:t>égalité des chances</w:t>
      </w:r>
      <w:r w:rsidR="00DC3B04" w:rsidRPr="00F60A3D">
        <w:rPr>
          <w:lang w:val="fr-FR"/>
        </w:rPr>
        <w:t xml:space="preserve"> </w:t>
      </w:r>
      <w:r w:rsidR="002C27CF" w:rsidRPr="00F60A3D">
        <w:rPr>
          <w:lang w:val="fr-FR"/>
        </w:rPr>
        <w:t xml:space="preserve">auprès </w:t>
      </w:r>
      <w:r w:rsidR="00A76E65" w:rsidRPr="00F60A3D">
        <w:rPr>
          <w:lang w:val="fr-FR"/>
        </w:rPr>
        <w:t>de</w:t>
      </w:r>
      <w:r w:rsidR="000D0C07" w:rsidRPr="00F60A3D">
        <w:rPr>
          <w:lang w:val="fr-FR"/>
        </w:rPr>
        <w:t xml:space="preserve"> la P</w:t>
      </w:r>
      <w:r w:rsidR="00571BEE" w:rsidRPr="00F60A3D">
        <w:rPr>
          <w:lang w:val="fr-FR"/>
        </w:rPr>
        <w:t>résidence du Conseil des ministre</w:t>
      </w:r>
      <w:r w:rsidR="00DC3B04" w:rsidRPr="00F60A3D">
        <w:rPr>
          <w:lang w:val="fr-FR"/>
        </w:rPr>
        <w:t>s a créé en 2013 un</w:t>
      </w:r>
      <w:r w:rsidR="008E0E2A" w:rsidRPr="00F60A3D">
        <w:rPr>
          <w:lang w:val="fr-FR"/>
        </w:rPr>
        <w:t xml:space="preserve"> guichet </w:t>
      </w:r>
      <w:r w:rsidR="00DC3B04" w:rsidRPr="00F60A3D">
        <w:rPr>
          <w:lang w:val="fr-FR"/>
        </w:rPr>
        <w:t>sp</w:t>
      </w:r>
      <w:r w:rsidR="008E0E2A" w:rsidRPr="00F60A3D">
        <w:rPr>
          <w:lang w:val="fr-FR"/>
        </w:rPr>
        <w:t>écial</w:t>
      </w:r>
      <w:r w:rsidR="00DC3B04" w:rsidRPr="00F60A3D">
        <w:rPr>
          <w:lang w:val="fr-FR"/>
        </w:rPr>
        <w:t xml:space="preserve"> du Fonds centr</w:t>
      </w:r>
      <w:r w:rsidR="00571BEE" w:rsidRPr="00F60A3D">
        <w:rPr>
          <w:lang w:val="fr-FR"/>
        </w:rPr>
        <w:t>al de garanti pour les petites et moyennes entreprises (PME)</w:t>
      </w:r>
      <w:r w:rsidR="00893563" w:rsidRPr="00F60A3D">
        <w:rPr>
          <w:lang w:val="fr-FR"/>
        </w:rPr>
        <w:t>,</w:t>
      </w:r>
      <w:r w:rsidR="003E1A77" w:rsidRPr="00F60A3D">
        <w:rPr>
          <w:lang w:val="fr-FR"/>
        </w:rPr>
        <w:t xml:space="preserve"> </w:t>
      </w:r>
      <w:r w:rsidR="008E0E2A" w:rsidRPr="00F60A3D">
        <w:rPr>
          <w:lang w:val="fr-FR"/>
        </w:rPr>
        <w:t>suite à l</w:t>
      </w:r>
      <w:r w:rsidR="00B17AE1" w:rsidRPr="00F60A3D">
        <w:rPr>
          <w:lang w:val="fr-FR"/>
        </w:rPr>
        <w:t>’</w:t>
      </w:r>
      <w:r w:rsidR="008E0E2A" w:rsidRPr="00F60A3D">
        <w:rPr>
          <w:lang w:val="fr-FR"/>
        </w:rPr>
        <w:t>accord – si</w:t>
      </w:r>
      <w:r w:rsidR="00571BEE" w:rsidRPr="00F60A3D">
        <w:rPr>
          <w:lang w:val="fr-FR"/>
        </w:rPr>
        <w:t>gné le 14</w:t>
      </w:r>
      <w:r w:rsidRPr="00F60A3D">
        <w:rPr>
          <w:lang w:val="fr-FR"/>
        </w:rPr>
        <w:t> </w:t>
      </w:r>
      <w:r w:rsidR="00571BEE" w:rsidRPr="00F60A3D">
        <w:rPr>
          <w:lang w:val="fr-FR"/>
        </w:rPr>
        <w:t>mars 20</w:t>
      </w:r>
      <w:r w:rsidR="00587CFC" w:rsidRPr="00F60A3D">
        <w:rPr>
          <w:lang w:val="fr-FR"/>
        </w:rPr>
        <w:t>13 – entre le</w:t>
      </w:r>
      <w:r w:rsidR="00731982" w:rsidRPr="00F60A3D">
        <w:rPr>
          <w:lang w:val="fr-FR"/>
        </w:rPr>
        <w:t xml:space="preserve"> </w:t>
      </w:r>
      <w:r w:rsidR="008E754B" w:rsidRPr="00F60A3D">
        <w:rPr>
          <w:lang w:val="fr-FR"/>
        </w:rPr>
        <w:t>Département</w:t>
      </w:r>
      <w:r w:rsidR="00571BEE" w:rsidRPr="00F60A3D">
        <w:rPr>
          <w:lang w:val="fr-FR"/>
        </w:rPr>
        <w:t xml:space="preserve"> de l</w:t>
      </w:r>
      <w:r w:rsidR="00B17AE1" w:rsidRPr="00F60A3D">
        <w:rPr>
          <w:lang w:val="fr-FR"/>
        </w:rPr>
        <w:t>’</w:t>
      </w:r>
      <w:r w:rsidR="00571BEE" w:rsidRPr="00F60A3D">
        <w:rPr>
          <w:lang w:val="fr-FR"/>
        </w:rPr>
        <w:t>égalité des chances, le Ministère du développement économique et l</w:t>
      </w:r>
      <w:r w:rsidR="008E0E2A" w:rsidRPr="00F60A3D">
        <w:rPr>
          <w:lang w:val="fr-FR"/>
        </w:rPr>
        <w:t>e Ministère de l</w:t>
      </w:r>
      <w:r w:rsidR="00B17AE1" w:rsidRPr="00F60A3D">
        <w:rPr>
          <w:lang w:val="fr-FR"/>
        </w:rPr>
        <w:t>’</w:t>
      </w:r>
      <w:r w:rsidR="008E0E2A" w:rsidRPr="00F60A3D">
        <w:rPr>
          <w:lang w:val="fr-FR"/>
        </w:rPr>
        <w:t>économ</w:t>
      </w:r>
      <w:r w:rsidR="00B406EF" w:rsidRPr="00F60A3D">
        <w:rPr>
          <w:lang w:val="fr-FR"/>
        </w:rPr>
        <w:t>ie. O</w:t>
      </w:r>
      <w:r w:rsidR="008E0E2A" w:rsidRPr="00F60A3D">
        <w:rPr>
          <w:lang w:val="fr-FR"/>
        </w:rPr>
        <w:t>pér</w:t>
      </w:r>
      <w:r w:rsidR="00B406EF" w:rsidRPr="00F60A3D">
        <w:rPr>
          <w:lang w:val="fr-FR"/>
        </w:rPr>
        <w:t xml:space="preserve">ationnel depuis janvier 2014, ce guichet a pour objectif de </w:t>
      </w:r>
      <w:r w:rsidR="00571BEE" w:rsidRPr="00F60A3D">
        <w:rPr>
          <w:lang w:val="fr-FR"/>
        </w:rPr>
        <w:t>promouvoir l</w:t>
      </w:r>
      <w:r w:rsidR="00B17AE1" w:rsidRPr="00F60A3D">
        <w:rPr>
          <w:lang w:val="fr-FR"/>
        </w:rPr>
        <w:t>’</w:t>
      </w:r>
      <w:r w:rsidR="00571BEE" w:rsidRPr="00F60A3D">
        <w:rPr>
          <w:lang w:val="fr-FR"/>
        </w:rPr>
        <w:t>entreprenariat fémi</w:t>
      </w:r>
      <w:r w:rsidR="008E0E2A" w:rsidRPr="00F60A3D">
        <w:rPr>
          <w:lang w:val="fr-FR"/>
        </w:rPr>
        <w:t>nin en facilitant l</w:t>
      </w:r>
      <w:r w:rsidR="00B17AE1" w:rsidRPr="00F60A3D">
        <w:rPr>
          <w:lang w:val="fr-FR"/>
        </w:rPr>
        <w:t>’</w:t>
      </w:r>
      <w:r w:rsidR="008E0E2A" w:rsidRPr="00F60A3D">
        <w:rPr>
          <w:lang w:val="fr-FR"/>
        </w:rPr>
        <w:t>accès au cré</w:t>
      </w:r>
      <w:r w:rsidR="00B406EF" w:rsidRPr="00F60A3D">
        <w:rPr>
          <w:lang w:val="fr-FR"/>
        </w:rPr>
        <w:t xml:space="preserve">dit des </w:t>
      </w:r>
      <w:r w:rsidR="008E0E2A" w:rsidRPr="00F60A3D">
        <w:rPr>
          <w:lang w:val="fr-FR"/>
        </w:rPr>
        <w:t>entreprises</w:t>
      </w:r>
      <w:r w:rsidR="00B406EF" w:rsidRPr="00F60A3D">
        <w:rPr>
          <w:lang w:val="fr-FR"/>
        </w:rPr>
        <w:t xml:space="preserve"> détenues par des femmes. Le</w:t>
      </w:r>
      <w:r w:rsidR="00571BEE" w:rsidRPr="00F60A3D">
        <w:rPr>
          <w:lang w:val="fr-FR"/>
        </w:rPr>
        <w:t xml:space="preserve"> budget initial </w:t>
      </w:r>
      <w:r w:rsidR="00B406EF" w:rsidRPr="00F60A3D">
        <w:rPr>
          <w:lang w:val="fr-FR"/>
        </w:rPr>
        <w:t>du guichet, soit</w:t>
      </w:r>
      <w:r w:rsidRPr="00F60A3D">
        <w:rPr>
          <w:lang w:val="fr-FR"/>
        </w:rPr>
        <w:t xml:space="preserve"> 10 </w:t>
      </w:r>
      <w:r w:rsidR="00571BEE" w:rsidRPr="00F60A3D">
        <w:rPr>
          <w:lang w:val="fr-FR"/>
        </w:rPr>
        <w:t>millio</w:t>
      </w:r>
      <w:r w:rsidR="008E0E2A" w:rsidRPr="00F60A3D">
        <w:rPr>
          <w:lang w:val="fr-FR"/>
        </w:rPr>
        <w:t>ns d</w:t>
      </w:r>
      <w:r w:rsidR="00B17AE1" w:rsidRPr="00F60A3D">
        <w:rPr>
          <w:lang w:val="fr-FR"/>
        </w:rPr>
        <w:t>’</w:t>
      </w:r>
      <w:r w:rsidR="008E0E2A" w:rsidRPr="00F60A3D">
        <w:rPr>
          <w:lang w:val="fr-FR"/>
        </w:rPr>
        <w:t>euros, financé</w:t>
      </w:r>
      <w:r w:rsidR="008E754B" w:rsidRPr="00F60A3D">
        <w:rPr>
          <w:lang w:val="fr-FR"/>
        </w:rPr>
        <w:t xml:space="preserve"> par le Département</w:t>
      </w:r>
      <w:r w:rsidR="00571BEE" w:rsidRPr="00F60A3D">
        <w:rPr>
          <w:lang w:val="fr-FR"/>
        </w:rPr>
        <w:t xml:space="preserve"> de l</w:t>
      </w:r>
      <w:r w:rsidR="00B17AE1" w:rsidRPr="00F60A3D">
        <w:rPr>
          <w:lang w:val="fr-FR"/>
        </w:rPr>
        <w:t>’</w:t>
      </w:r>
      <w:r w:rsidR="003E1A77" w:rsidRPr="00F60A3D">
        <w:rPr>
          <w:lang w:val="fr-FR"/>
        </w:rPr>
        <w:t>égalité des chances</w:t>
      </w:r>
      <w:r w:rsidR="00893563" w:rsidRPr="00F60A3D">
        <w:rPr>
          <w:lang w:val="fr-FR"/>
        </w:rPr>
        <w:t>,</w:t>
      </w:r>
      <w:r w:rsidR="00B406EF" w:rsidRPr="00F60A3D">
        <w:rPr>
          <w:lang w:val="fr-FR"/>
        </w:rPr>
        <w:t xml:space="preserve"> a été augmenté</w:t>
      </w:r>
      <w:r w:rsidR="003E1A77" w:rsidRPr="00F60A3D">
        <w:rPr>
          <w:lang w:val="fr-FR"/>
        </w:rPr>
        <w:t xml:space="preserve"> de 20</w:t>
      </w:r>
      <w:r w:rsidRPr="00F60A3D">
        <w:rPr>
          <w:lang w:val="fr-FR"/>
        </w:rPr>
        <w:t> </w:t>
      </w:r>
      <w:r w:rsidR="003E1A77" w:rsidRPr="00F60A3D">
        <w:rPr>
          <w:lang w:val="fr-FR"/>
        </w:rPr>
        <w:t>millions d</w:t>
      </w:r>
      <w:r w:rsidR="00B17AE1" w:rsidRPr="00F60A3D">
        <w:rPr>
          <w:lang w:val="fr-FR"/>
        </w:rPr>
        <w:t>’</w:t>
      </w:r>
      <w:r w:rsidR="003E1A77" w:rsidRPr="00F60A3D">
        <w:rPr>
          <w:lang w:val="fr-FR"/>
        </w:rPr>
        <w:t xml:space="preserve">euros par le décret-loi </w:t>
      </w:r>
      <w:r w:rsidR="00B17AE1" w:rsidRPr="00F60A3D">
        <w:rPr>
          <w:lang w:val="fr-FR"/>
        </w:rPr>
        <w:t>n</w:t>
      </w:r>
      <w:r w:rsidR="00B17AE1" w:rsidRPr="00F60A3D">
        <w:rPr>
          <w:vertAlign w:val="superscript"/>
          <w:lang w:val="fr-FR"/>
        </w:rPr>
        <w:t>o</w:t>
      </w:r>
      <w:r w:rsidR="00B17AE1" w:rsidRPr="00F60A3D">
        <w:rPr>
          <w:lang w:val="fr-FR"/>
        </w:rPr>
        <w:t> </w:t>
      </w:r>
      <w:r w:rsidR="003E1A77" w:rsidRPr="00F60A3D">
        <w:rPr>
          <w:lang w:val="fr-FR"/>
        </w:rPr>
        <w:t>145/20</w:t>
      </w:r>
      <w:r w:rsidR="00B406EF" w:rsidRPr="00F60A3D">
        <w:rPr>
          <w:lang w:val="fr-FR"/>
        </w:rPr>
        <w:t>13, converti après amendement</w:t>
      </w:r>
      <w:r w:rsidR="00893563" w:rsidRPr="00F60A3D">
        <w:rPr>
          <w:lang w:val="fr-FR"/>
        </w:rPr>
        <w:t xml:space="preserve"> en loi </w:t>
      </w:r>
      <w:r w:rsidR="00B17AE1" w:rsidRPr="00F60A3D">
        <w:rPr>
          <w:lang w:val="fr-FR"/>
        </w:rPr>
        <w:t>n</w:t>
      </w:r>
      <w:r w:rsidR="00B17AE1" w:rsidRPr="00F60A3D">
        <w:rPr>
          <w:vertAlign w:val="superscript"/>
          <w:lang w:val="fr-FR"/>
        </w:rPr>
        <w:t>o</w:t>
      </w:r>
      <w:r w:rsidR="00B17AE1" w:rsidRPr="00F60A3D">
        <w:rPr>
          <w:lang w:val="fr-FR"/>
        </w:rPr>
        <w:t> </w:t>
      </w:r>
      <w:r w:rsidR="00893563" w:rsidRPr="00F60A3D">
        <w:rPr>
          <w:lang w:val="fr-FR"/>
        </w:rPr>
        <w:t>9/2014 (appel</w:t>
      </w:r>
      <w:r w:rsidR="00E4009D" w:rsidRPr="00F60A3D">
        <w:rPr>
          <w:lang w:val="fr-FR"/>
        </w:rPr>
        <w:t xml:space="preserve">ée </w:t>
      </w:r>
      <w:r w:rsidR="00731982" w:rsidRPr="00F60A3D">
        <w:rPr>
          <w:lang w:val="fr-FR"/>
        </w:rPr>
        <w:t>«</w:t>
      </w:r>
      <w:r w:rsidR="003E1A77" w:rsidRPr="00F60A3D">
        <w:rPr>
          <w:i/>
          <w:lang w:val="fr-FR"/>
        </w:rPr>
        <w:t xml:space="preserve">Plan destination </w:t>
      </w:r>
      <w:r w:rsidR="0018379D" w:rsidRPr="00F60A3D">
        <w:rPr>
          <w:i/>
          <w:lang w:val="fr-FR"/>
        </w:rPr>
        <w:t>Italie</w:t>
      </w:r>
      <w:r w:rsidR="00731982" w:rsidRPr="00F60A3D">
        <w:rPr>
          <w:lang w:val="fr-FR"/>
        </w:rPr>
        <w:t>»</w:t>
      </w:r>
      <w:r w:rsidR="003E1A77" w:rsidRPr="00F60A3D">
        <w:rPr>
          <w:lang w:val="fr-FR"/>
        </w:rPr>
        <w:t>).</w:t>
      </w:r>
      <w:r w:rsidR="00731982" w:rsidRPr="00F60A3D">
        <w:rPr>
          <w:lang w:val="fr-FR"/>
        </w:rPr>
        <w:t xml:space="preserve"> </w:t>
      </w:r>
    </w:p>
    <w:p w:rsidR="003E1A77" w:rsidRPr="00F60A3D" w:rsidRDefault="007E118C" w:rsidP="007E118C">
      <w:pPr>
        <w:pStyle w:val="SingleTxtG"/>
        <w:rPr>
          <w:lang w:val="fr-FR"/>
        </w:rPr>
      </w:pPr>
      <w:r w:rsidRPr="00F60A3D">
        <w:rPr>
          <w:lang w:val="fr-FR"/>
        </w:rPr>
        <w:tab/>
      </w:r>
      <w:r w:rsidR="00F21423" w:rsidRPr="00F60A3D">
        <w:rPr>
          <w:lang w:val="fr-FR"/>
        </w:rPr>
        <w:t>e)</w:t>
      </w:r>
      <w:r w:rsidR="001D2CCC" w:rsidRPr="00F60A3D">
        <w:rPr>
          <w:lang w:val="fr-FR"/>
        </w:rPr>
        <w:tab/>
      </w:r>
      <w:r w:rsidR="00B406EF" w:rsidRPr="00F60A3D">
        <w:rPr>
          <w:lang w:val="fr-FR"/>
        </w:rPr>
        <w:t>I</w:t>
      </w:r>
      <w:r w:rsidR="003E1A77" w:rsidRPr="00F60A3D">
        <w:rPr>
          <w:lang w:val="fr-FR"/>
        </w:rPr>
        <w:t>l s</w:t>
      </w:r>
      <w:r w:rsidR="00B17AE1" w:rsidRPr="00F60A3D">
        <w:rPr>
          <w:lang w:val="fr-FR"/>
        </w:rPr>
        <w:t>’</w:t>
      </w:r>
      <w:r w:rsidR="003E1A77" w:rsidRPr="00F60A3D">
        <w:rPr>
          <w:lang w:val="fr-FR"/>
        </w:rPr>
        <w:t xml:space="preserve">élève </w:t>
      </w:r>
      <w:r w:rsidR="00B406EF" w:rsidRPr="00F60A3D">
        <w:rPr>
          <w:lang w:val="fr-FR"/>
        </w:rPr>
        <w:t xml:space="preserve">ainsi </w:t>
      </w:r>
      <w:r w:rsidR="003E1A77" w:rsidRPr="00F60A3D">
        <w:rPr>
          <w:lang w:val="fr-FR"/>
        </w:rPr>
        <w:t>actuellemen</w:t>
      </w:r>
      <w:r w:rsidR="00B406EF" w:rsidRPr="00F60A3D">
        <w:rPr>
          <w:lang w:val="fr-FR"/>
        </w:rPr>
        <w:t>t à 30</w:t>
      </w:r>
      <w:r w:rsidRPr="00F60A3D">
        <w:rPr>
          <w:lang w:val="fr-FR"/>
        </w:rPr>
        <w:t> </w:t>
      </w:r>
      <w:r w:rsidR="00B406EF" w:rsidRPr="00F60A3D">
        <w:rPr>
          <w:lang w:val="fr-FR"/>
        </w:rPr>
        <w:t>millions d</w:t>
      </w:r>
      <w:r w:rsidR="00B17AE1" w:rsidRPr="00F60A3D">
        <w:rPr>
          <w:lang w:val="fr-FR"/>
        </w:rPr>
        <w:t>’</w:t>
      </w:r>
      <w:r w:rsidR="00B406EF" w:rsidRPr="00F60A3D">
        <w:rPr>
          <w:lang w:val="fr-FR"/>
        </w:rPr>
        <w:t>euros, dont la moitié est destinée</w:t>
      </w:r>
      <w:r w:rsidR="003E1A77" w:rsidRPr="00F60A3D">
        <w:rPr>
          <w:lang w:val="fr-FR"/>
        </w:rPr>
        <w:t xml:space="preserve"> </w:t>
      </w:r>
      <w:r w:rsidR="00B406EF" w:rsidRPr="00F60A3D">
        <w:rPr>
          <w:lang w:val="fr-FR"/>
        </w:rPr>
        <w:t xml:space="preserve">aux nouvelles </w:t>
      </w:r>
      <w:r w:rsidR="00DA6640" w:rsidRPr="00F60A3D">
        <w:rPr>
          <w:lang w:val="fr-FR"/>
        </w:rPr>
        <w:t xml:space="preserve">entreprises </w:t>
      </w:r>
      <w:r w:rsidR="00B406EF" w:rsidRPr="00F60A3D">
        <w:rPr>
          <w:lang w:val="fr-FR"/>
        </w:rPr>
        <w:t xml:space="preserve">lancées </w:t>
      </w:r>
      <w:r w:rsidR="00DA6640" w:rsidRPr="00F60A3D">
        <w:rPr>
          <w:lang w:val="fr-FR"/>
        </w:rPr>
        <w:t>par des</w:t>
      </w:r>
      <w:r w:rsidR="00B406EF" w:rsidRPr="00F60A3D">
        <w:rPr>
          <w:lang w:val="fr-FR"/>
        </w:rPr>
        <w:t xml:space="preserve"> femmes. Le</w:t>
      </w:r>
      <w:r w:rsidR="008E0E2A" w:rsidRPr="00F60A3D">
        <w:rPr>
          <w:lang w:val="fr-FR"/>
        </w:rPr>
        <w:t xml:space="preserve"> guichet</w:t>
      </w:r>
      <w:r w:rsidR="00731982" w:rsidRPr="00F60A3D">
        <w:rPr>
          <w:lang w:val="fr-FR"/>
        </w:rPr>
        <w:t xml:space="preserve"> </w:t>
      </w:r>
      <w:r w:rsidR="00587CFC" w:rsidRPr="00F60A3D">
        <w:rPr>
          <w:lang w:val="fr-FR"/>
        </w:rPr>
        <w:t>inter</w:t>
      </w:r>
      <w:r w:rsidR="00B406EF" w:rsidRPr="00F60A3D">
        <w:rPr>
          <w:lang w:val="fr-FR"/>
        </w:rPr>
        <w:t>vient en tant que</w:t>
      </w:r>
      <w:r w:rsidR="00DA6640" w:rsidRPr="00F60A3D">
        <w:rPr>
          <w:lang w:val="fr-FR"/>
        </w:rPr>
        <w:t xml:space="preserve"> </w:t>
      </w:r>
      <w:r w:rsidR="00B406EF" w:rsidRPr="00F60A3D">
        <w:rPr>
          <w:lang w:val="fr-FR"/>
        </w:rPr>
        <w:t xml:space="preserve">garantie directe, cogarantie et </w:t>
      </w:r>
      <w:r w:rsidR="00D52B80" w:rsidRPr="00F60A3D">
        <w:rPr>
          <w:lang w:val="fr-FR"/>
        </w:rPr>
        <w:t>contre-caution</w:t>
      </w:r>
      <w:r w:rsidR="00B406EF" w:rsidRPr="00F60A3D">
        <w:rPr>
          <w:lang w:val="fr-FR"/>
        </w:rPr>
        <w:t xml:space="preserve"> en couverture d</w:t>
      </w:r>
      <w:r w:rsidR="00B17AE1" w:rsidRPr="00F60A3D">
        <w:rPr>
          <w:lang w:val="fr-FR"/>
        </w:rPr>
        <w:t>’</w:t>
      </w:r>
      <w:r w:rsidR="00B406EF" w:rsidRPr="00F60A3D">
        <w:rPr>
          <w:lang w:val="fr-FR"/>
        </w:rPr>
        <w:t>opérations financières pour des sociétés détenues majoritairement par des femmes.</w:t>
      </w:r>
      <w:r w:rsidR="00731982" w:rsidRPr="00F60A3D">
        <w:rPr>
          <w:lang w:val="fr-FR"/>
        </w:rPr>
        <w:t xml:space="preserve"> </w:t>
      </w:r>
      <w:r w:rsidR="00D52B80" w:rsidRPr="00F60A3D">
        <w:rPr>
          <w:lang w:val="fr-FR"/>
        </w:rPr>
        <w:t>En décem</w:t>
      </w:r>
      <w:r w:rsidR="00587CFC" w:rsidRPr="00F60A3D">
        <w:rPr>
          <w:lang w:val="fr-FR"/>
        </w:rPr>
        <w:t>bre 201</w:t>
      </w:r>
      <w:r w:rsidR="008E754B" w:rsidRPr="00F60A3D">
        <w:rPr>
          <w:lang w:val="fr-FR"/>
        </w:rPr>
        <w:t>4, le Département</w:t>
      </w:r>
      <w:r w:rsidR="00587CFC" w:rsidRPr="00F60A3D">
        <w:rPr>
          <w:lang w:val="fr-FR"/>
        </w:rPr>
        <w:t xml:space="preserve"> </w:t>
      </w:r>
      <w:r w:rsidR="00D52B80" w:rsidRPr="00F60A3D">
        <w:rPr>
          <w:lang w:val="fr-FR"/>
        </w:rPr>
        <w:t>de l</w:t>
      </w:r>
      <w:r w:rsidR="00B17AE1" w:rsidRPr="00F60A3D">
        <w:rPr>
          <w:lang w:val="fr-FR"/>
        </w:rPr>
        <w:t>’</w:t>
      </w:r>
      <w:r w:rsidR="00D52B80" w:rsidRPr="00F60A3D">
        <w:rPr>
          <w:lang w:val="fr-FR"/>
        </w:rPr>
        <w:t>égalité des chances, le Ministère du développement économique et le Ministère de l</w:t>
      </w:r>
      <w:r w:rsidR="00B17AE1" w:rsidRPr="00F60A3D">
        <w:rPr>
          <w:lang w:val="fr-FR"/>
        </w:rPr>
        <w:t>’</w:t>
      </w:r>
      <w:r w:rsidR="00D52B80" w:rsidRPr="00F60A3D">
        <w:rPr>
          <w:lang w:val="fr-FR"/>
        </w:rPr>
        <w:t>économ</w:t>
      </w:r>
      <w:r w:rsidR="00B406EF" w:rsidRPr="00F60A3D">
        <w:rPr>
          <w:lang w:val="fr-FR"/>
        </w:rPr>
        <w:t xml:space="preserve">ie ont signé la loi additionnelle étendant ces avantages aux </w:t>
      </w:r>
      <w:r w:rsidR="00D52B80" w:rsidRPr="00F60A3D">
        <w:rPr>
          <w:lang w:val="fr-FR"/>
        </w:rPr>
        <w:t xml:space="preserve">travailleuses indépendantes. </w:t>
      </w:r>
      <w:r w:rsidR="008E0E2A" w:rsidRPr="00F60A3D">
        <w:rPr>
          <w:lang w:val="fr-FR"/>
        </w:rPr>
        <w:t>Par ailleurs, un mé</w:t>
      </w:r>
      <w:r w:rsidR="003E6671" w:rsidRPr="00F60A3D">
        <w:rPr>
          <w:lang w:val="fr-FR"/>
        </w:rPr>
        <w:t>mo</w:t>
      </w:r>
      <w:r w:rsidR="008E0E2A" w:rsidRPr="00F60A3D">
        <w:rPr>
          <w:lang w:val="fr-FR"/>
        </w:rPr>
        <w:t>randum d</w:t>
      </w:r>
      <w:r w:rsidR="00B17AE1" w:rsidRPr="00F60A3D">
        <w:rPr>
          <w:lang w:val="fr-FR"/>
        </w:rPr>
        <w:t>’</w:t>
      </w:r>
      <w:r w:rsidR="008E0E2A" w:rsidRPr="00F60A3D">
        <w:rPr>
          <w:lang w:val="fr-FR"/>
        </w:rPr>
        <w:t>accor</w:t>
      </w:r>
      <w:r w:rsidR="00B406EF" w:rsidRPr="00F60A3D">
        <w:rPr>
          <w:lang w:val="fr-FR"/>
        </w:rPr>
        <w:t>d conclu</w:t>
      </w:r>
      <w:r w:rsidR="008E754B" w:rsidRPr="00F60A3D">
        <w:rPr>
          <w:lang w:val="fr-FR"/>
        </w:rPr>
        <w:t xml:space="preserve"> entre le Département</w:t>
      </w:r>
      <w:r w:rsidR="003E6671" w:rsidRPr="00F60A3D">
        <w:rPr>
          <w:lang w:val="fr-FR"/>
        </w:rPr>
        <w:t xml:space="preserve"> de l</w:t>
      </w:r>
      <w:r w:rsidR="00B17AE1" w:rsidRPr="00F60A3D">
        <w:rPr>
          <w:lang w:val="fr-FR"/>
        </w:rPr>
        <w:t>’</w:t>
      </w:r>
      <w:r w:rsidR="003E6671" w:rsidRPr="00F60A3D">
        <w:rPr>
          <w:lang w:val="fr-FR"/>
        </w:rPr>
        <w:t>égalité des chances, le Ministère du développement économique, l</w:t>
      </w:r>
      <w:r w:rsidR="00B17AE1" w:rsidRPr="00F60A3D">
        <w:rPr>
          <w:lang w:val="fr-FR"/>
        </w:rPr>
        <w:t>’</w:t>
      </w:r>
      <w:r w:rsidR="003E6671" w:rsidRPr="00F60A3D">
        <w:rPr>
          <w:lang w:val="fr-FR"/>
        </w:rPr>
        <w:t>Asso</w:t>
      </w:r>
      <w:r w:rsidR="005C21EB" w:rsidRPr="00F60A3D">
        <w:rPr>
          <w:lang w:val="fr-FR"/>
        </w:rPr>
        <w:t>ciation bancaire italienne</w:t>
      </w:r>
      <w:r w:rsidR="003E6671" w:rsidRPr="00F60A3D">
        <w:rPr>
          <w:lang w:val="fr-FR"/>
        </w:rPr>
        <w:t xml:space="preserve">, Confindustria, Confapi, </w:t>
      </w:r>
      <w:r w:rsidR="00211910" w:rsidRPr="00F60A3D">
        <w:rPr>
          <w:lang w:val="fr-FR"/>
        </w:rPr>
        <w:t>Enterprise N</w:t>
      </w:r>
      <w:r w:rsidR="003E6671" w:rsidRPr="00F60A3D">
        <w:rPr>
          <w:lang w:val="fr-FR"/>
        </w:rPr>
        <w:t>etwork Italy</w:t>
      </w:r>
      <w:r w:rsidR="00343D86" w:rsidRPr="00F60A3D">
        <w:rPr>
          <w:lang w:val="fr-FR"/>
        </w:rPr>
        <w:t xml:space="preserve"> et </w:t>
      </w:r>
      <w:r w:rsidR="00211910" w:rsidRPr="00F60A3D">
        <w:rPr>
          <w:lang w:val="fr-FR"/>
        </w:rPr>
        <w:t>l</w:t>
      </w:r>
      <w:r w:rsidR="00B17AE1" w:rsidRPr="00F60A3D">
        <w:rPr>
          <w:lang w:val="fr-FR"/>
        </w:rPr>
        <w:t>’</w:t>
      </w:r>
      <w:r w:rsidR="00211910" w:rsidRPr="00F60A3D">
        <w:rPr>
          <w:lang w:val="fr-FR"/>
        </w:rPr>
        <w:t>Alliance des coopé</w:t>
      </w:r>
      <w:r w:rsidR="003E6671" w:rsidRPr="00F60A3D">
        <w:rPr>
          <w:lang w:val="fr-FR"/>
        </w:rPr>
        <w:t>ratives italiennes</w:t>
      </w:r>
      <w:r w:rsidR="00211910" w:rsidRPr="00F60A3D">
        <w:rPr>
          <w:lang w:val="fr-FR"/>
        </w:rPr>
        <w:t>,</w:t>
      </w:r>
      <w:r w:rsidR="003E6671" w:rsidRPr="00F60A3D">
        <w:rPr>
          <w:lang w:val="fr-FR"/>
        </w:rPr>
        <w:t xml:space="preserve"> </w:t>
      </w:r>
      <w:r w:rsidR="00587CFC" w:rsidRPr="00F60A3D">
        <w:rPr>
          <w:lang w:val="fr-FR"/>
        </w:rPr>
        <w:t>prévoit un plan d</w:t>
      </w:r>
      <w:r w:rsidR="00B17AE1" w:rsidRPr="00F60A3D">
        <w:rPr>
          <w:lang w:val="fr-FR"/>
        </w:rPr>
        <w:t>’</w:t>
      </w:r>
      <w:r w:rsidR="00587CFC" w:rsidRPr="00F60A3D">
        <w:rPr>
          <w:lang w:val="fr-FR"/>
        </w:rPr>
        <w:t>intervention destiné</w:t>
      </w:r>
      <w:r w:rsidR="00211910" w:rsidRPr="00F60A3D">
        <w:rPr>
          <w:lang w:val="fr-FR"/>
        </w:rPr>
        <w:t xml:space="preserve"> à faciliter l</w:t>
      </w:r>
      <w:r w:rsidR="00B17AE1" w:rsidRPr="00F60A3D">
        <w:rPr>
          <w:lang w:val="fr-FR"/>
        </w:rPr>
        <w:t>’</w:t>
      </w:r>
      <w:r w:rsidR="00211910" w:rsidRPr="00F60A3D">
        <w:rPr>
          <w:lang w:val="fr-FR"/>
        </w:rPr>
        <w:t>accès au cré</w:t>
      </w:r>
      <w:r w:rsidR="003E6671" w:rsidRPr="00F60A3D">
        <w:rPr>
          <w:lang w:val="fr-FR"/>
        </w:rPr>
        <w:t xml:space="preserve">dit des </w:t>
      </w:r>
      <w:r w:rsidR="00587CFC" w:rsidRPr="00F60A3D">
        <w:rPr>
          <w:lang w:val="fr-FR"/>
        </w:rPr>
        <w:t>PME dirigées par des femmes</w:t>
      </w:r>
      <w:r w:rsidR="00F740F7" w:rsidRPr="00F60A3D">
        <w:rPr>
          <w:lang w:val="fr-FR"/>
        </w:rPr>
        <w:t xml:space="preserve"> (</w:t>
      </w:r>
      <w:r w:rsidR="001E4E58" w:rsidRPr="00F60A3D">
        <w:rPr>
          <w:lang w:val="fr-FR"/>
        </w:rPr>
        <w:t>conformément à</w:t>
      </w:r>
      <w:r w:rsidR="00587CFC" w:rsidRPr="00F60A3D">
        <w:rPr>
          <w:lang w:val="fr-FR"/>
        </w:rPr>
        <w:t xml:space="preserve"> la loi </w:t>
      </w:r>
      <w:r w:rsidR="00B17AE1" w:rsidRPr="00F60A3D">
        <w:rPr>
          <w:lang w:val="fr-FR"/>
        </w:rPr>
        <w:t>n</w:t>
      </w:r>
      <w:r w:rsidR="00B17AE1" w:rsidRPr="00F60A3D">
        <w:rPr>
          <w:vertAlign w:val="superscript"/>
          <w:lang w:val="fr-FR"/>
        </w:rPr>
        <w:t>o</w:t>
      </w:r>
      <w:r w:rsidR="00B17AE1" w:rsidRPr="00F60A3D">
        <w:rPr>
          <w:lang w:val="fr-FR"/>
        </w:rPr>
        <w:t> </w:t>
      </w:r>
      <w:r w:rsidR="00587CFC" w:rsidRPr="00F60A3D">
        <w:rPr>
          <w:lang w:val="fr-FR"/>
        </w:rPr>
        <w:t xml:space="preserve">215/1992 </w:t>
      </w:r>
      <w:r w:rsidR="00211910" w:rsidRPr="00F60A3D">
        <w:rPr>
          <w:lang w:val="fr-FR"/>
        </w:rPr>
        <w:t>sur l</w:t>
      </w:r>
      <w:r w:rsidR="00B17AE1" w:rsidRPr="00F60A3D">
        <w:rPr>
          <w:lang w:val="fr-FR"/>
        </w:rPr>
        <w:t>’</w:t>
      </w:r>
      <w:r w:rsidR="00211910" w:rsidRPr="00F60A3D">
        <w:rPr>
          <w:lang w:val="fr-FR"/>
        </w:rPr>
        <w:t>entreprenaria</w:t>
      </w:r>
      <w:r w:rsidR="005037CF" w:rsidRPr="00F60A3D">
        <w:rPr>
          <w:lang w:val="fr-FR"/>
        </w:rPr>
        <w:t xml:space="preserve">t féminin et </w:t>
      </w:r>
      <w:r w:rsidR="00893563" w:rsidRPr="00F60A3D">
        <w:rPr>
          <w:lang w:val="fr-FR"/>
        </w:rPr>
        <w:t xml:space="preserve">à </w:t>
      </w:r>
      <w:r w:rsidR="005037CF" w:rsidRPr="00F60A3D">
        <w:rPr>
          <w:lang w:val="fr-FR"/>
        </w:rPr>
        <w:t>la législati</w:t>
      </w:r>
      <w:r w:rsidR="0047699C" w:rsidRPr="00F60A3D">
        <w:rPr>
          <w:lang w:val="fr-FR"/>
        </w:rPr>
        <w:t>on d</w:t>
      </w:r>
      <w:r w:rsidR="00BF1059" w:rsidRPr="00F60A3D">
        <w:rPr>
          <w:lang w:val="fr-FR"/>
        </w:rPr>
        <w:t>e l</w:t>
      </w:r>
      <w:r w:rsidR="00B17AE1" w:rsidRPr="00F60A3D">
        <w:rPr>
          <w:lang w:val="fr-FR"/>
        </w:rPr>
        <w:t>’</w:t>
      </w:r>
      <w:r w:rsidR="00BF1059" w:rsidRPr="00F60A3D">
        <w:rPr>
          <w:lang w:val="fr-FR"/>
        </w:rPr>
        <w:t>UE</w:t>
      </w:r>
      <w:r w:rsidR="00F740F7" w:rsidRPr="00F60A3D">
        <w:rPr>
          <w:lang w:val="fr-FR"/>
        </w:rPr>
        <w:t>),</w:t>
      </w:r>
      <w:r w:rsidR="00211910" w:rsidRPr="00F60A3D">
        <w:rPr>
          <w:lang w:val="fr-FR"/>
        </w:rPr>
        <w:t xml:space="preserve"> </w:t>
      </w:r>
      <w:r w:rsidR="00F740F7" w:rsidRPr="00F60A3D">
        <w:rPr>
          <w:lang w:val="fr-FR"/>
        </w:rPr>
        <w:t xml:space="preserve">et </w:t>
      </w:r>
      <w:r w:rsidR="00211910" w:rsidRPr="00F60A3D">
        <w:rPr>
          <w:lang w:val="fr-FR"/>
        </w:rPr>
        <w:t>d</w:t>
      </w:r>
      <w:r w:rsidR="00F740F7" w:rsidRPr="00F60A3D">
        <w:rPr>
          <w:lang w:val="fr-FR"/>
        </w:rPr>
        <w:t xml:space="preserve">es travailleuses </w:t>
      </w:r>
      <w:r w:rsidR="00587CFC" w:rsidRPr="00F60A3D">
        <w:rPr>
          <w:lang w:val="fr-FR"/>
        </w:rPr>
        <w:t>autonom</w:t>
      </w:r>
      <w:r w:rsidR="0047699C" w:rsidRPr="00F60A3D">
        <w:rPr>
          <w:lang w:val="fr-FR"/>
        </w:rPr>
        <w:t>es</w:t>
      </w:r>
      <w:r w:rsidR="00587CFC" w:rsidRPr="00F60A3D">
        <w:rPr>
          <w:lang w:val="fr-FR"/>
        </w:rPr>
        <w:t>, y compris des travailleuses indépendantes. Il instaur</w:t>
      </w:r>
      <w:r w:rsidR="0047699C" w:rsidRPr="00F60A3D">
        <w:rPr>
          <w:lang w:val="fr-FR"/>
        </w:rPr>
        <w:t xml:space="preserve">e un </w:t>
      </w:r>
      <w:r w:rsidR="0047699C" w:rsidRPr="00F60A3D">
        <w:rPr>
          <w:i/>
          <w:lang w:val="fr-FR"/>
        </w:rPr>
        <w:t>plafond</w:t>
      </w:r>
      <w:r w:rsidR="00587CFC" w:rsidRPr="00F60A3D">
        <w:rPr>
          <w:lang w:val="fr-FR"/>
        </w:rPr>
        <w:t xml:space="preserve"> spécifique pour des</w:t>
      </w:r>
      <w:r w:rsidR="0047699C" w:rsidRPr="00F60A3D">
        <w:rPr>
          <w:lang w:val="fr-FR"/>
        </w:rPr>
        <w:t xml:space="preserve"> initiatives </w:t>
      </w:r>
      <w:r w:rsidR="00587CFC" w:rsidRPr="00F60A3D">
        <w:rPr>
          <w:lang w:val="fr-FR"/>
        </w:rPr>
        <w:t>en faveur d</w:t>
      </w:r>
      <w:r w:rsidR="00B17AE1" w:rsidRPr="00F60A3D">
        <w:rPr>
          <w:lang w:val="fr-FR"/>
        </w:rPr>
        <w:t>’</w:t>
      </w:r>
      <w:r w:rsidR="00587CFC" w:rsidRPr="00F60A3D">
        <w:rPr>
          <w:lang w:val="fr-FR"/>
        </w:rPr>
        <w:t>entreprises détenues par des femmes ou</w:t>
      </w:r>
      <w:r w:rsidR="005037CF" w:rsidRPr="00F60A3D">
        <w:rPr>
          <w:lang w:val="fr-FR"/>
        </w:rPr>
        <w:t xml:space="preserve"> d</w:t>
      </w:r>
      <w:r w:rsidR="003D594D" w:rsidRPr="00F60A3D">
        <w:rPr>
          <w:lang w:val="fr-FR"/>
        </w:rPr>
        <w:t>e</w:t>
      </w:r>
      <w:r w:rsidR="0047699C" w:rsidRPr="00F60A3D">
        <w:rPr>
          <w:lang w:val="fr-FR"/>
        </w:rPr>
        <w:t xml:space="preserve"> travailleuses indépen</w:t>
      </w:r>
      <w:r w:rsidR="00BF1059" w:rsidRPr="00F60A3D">
        <w:rPr>
          <w:lang w:val="fr-FR"/>
        </w:rPr>
        <w:t>dantes et</w:t>
      </w:r>
      <w:r w:rsidR="001E4E58" w:rsidRPr="00F60A3D">
        <w:rPr>
          <w:lang w:val="fr-FR"/>
        </w:rPr>
        <w:t xml:space="preserve"> vise en particulier à</w:t>
      </w:r>
      <w:r w:rsidR="00587CFC" w:rsidRPr="00F60A3D">
        <w:rPr>
          <w:lang w:val="fr-FR"/>
        </w:rPr>
        <w:t xml:space="preserve"> soutenir les nouvelles </w:t>
      </w:r>
      <w:r w:rsidR="0047699C" w:rsidRPr="00F60A3D">
        <w:rPr>
          <w:lang w:val="fr-FR"/>
        </w:rPr>
        <w:t>entreprises dirigées par des femmes</w:t>
      </w:r>
      <w:r w:rsidR="000D0C07" w:rsidRPr="00F60A3D">
        <w:rPr>
          <w:lang w:val="fr-FR"/>
        </w:rPr>
        <w:t xml:space="preserve">, </w:t>
      </w:r>
      <w:r w:rsidR="00587CFC" w:rsidRPr="00F60A3D">
        <w:rPr>
          <w:lang w:val="fr-FR"/>
        </w:rPr>
        <w:t xml:space="preserve">favoriser </w:t>
      </w:r>
      <w:r w:rsidR="000D0C07" w:rsidRPr="00F60A3D">
        <w:rPr>
          <w:lang w:val="fr-FR"/>
        </w:rPr>
        <w:t>les nouveaux investissements et</w:t>
      </w:r>
      <w:r w:rsidR="001E4E58" w:rsidRPr="00F60A3D">
        <w:rPr>
          <w:lang w:val="fr-FR"/>
        </w:rPr>
        <w:t xml:space="preserve"> </w:t>
      </w:r>
      <w:r w:rsidR="00587CFC" w:rsidRPr="00F60A3D">
        <w:rPr>
          <w:lang w:val="fr-FR"/>
        </w:rPr>
        <w:t xml:space="preserve">aider </w:t>
      </w:r>
      <w:r w:rsidR="0047699C" w:rsidRPr="00F60A3D">
        <w:rPr>
          <w:lang w:val="fr-FR"/>
        </w:rPr>
        <w:t>les femmes qui rencontrent des difficultés d</w:t>
      </w:r>
      <w:r w:rsidR="00587CFC" w:rsidRPr="00F60A3D">
        <w:rPr>
          <w:lang w:val="fr-FR"/>
        </w:rPr>
        <w:t>ans la gestion de leur affaire</w:t>
      </w:r>
      <w:r w:rsidR="0047699C" w:rsidRPr="00F60A3D">
        <w:rPr>
          <w:lang w:val="fr-FR"/>
        </w:rPr>
        <w:t xml:space="preserve">. </w:t>
      </w:r>
    </w:p>
    <w:p w:rsidR="0047699C" w:rsidRPr="00F60A3D" w:rsidRDefault="007E118C" w:rsidP="007E118C">
      <w:pPr>
        <w:pStyle w:val="SingleTxtG"/>
        <w:rPr>
          <w:lang w:val="fr-FR"/>
        </w:rPr>
      </w:pPr>
      <w:r w:rsidRPr="00F60A3D">
        <w:rPr>
          <w:lang w:val="fr-FR"/>
        </w:rPr>
        <w:tab/>
      </w:r>
      <w:r w:rsidR="00F21423" w:rsidRPr="00F60A3D">
        <w:rPr>
          <w:lang w:val="fr-FR"/>
        </w:rPr>
        <w:t>f</w:t>
      </w:r>
      <w:r w:rsidR="001D2CCC" w:rsidRPr="00F60A3D">
        <w:rPr>
          <w:lang w:val="fr-FR"/>
        </w:rPr>
        <w:t>)</w:t>
      </w:r>
      <w:r w:rsidR="001D2CCC" w:rsidRPr="00F60A3D">
        <w:rPr>
          <w:lang w:val="fr-FR"/>
        </w:rPr>
        <w:tab/>
      </w:r>
      <w:r w:rsidR="00870095" w:rsidRPr="00F60A3D">
        <w:rPr>
          <w:lang w:val="fr-FR"/>
        </w:rPr>
        <w:t>Pour remédier à</w:t>
      </w:r>
      <w:r w:rsidR="005D159B" w:rsidRPr="00F60A3D">
        <w:rPr>
          <w:lang w:val="fr-FR"/>
        </w:rPr>
        <w:t xml:space="preserve"> la crise économique, l</w:t>
      </w:r>
      <w:r w:rsidR="00B17AE1" w:rsidRPr="00F60A3D">
        <w:rPr>
          <w:lang w:val="fr-FR"/>
        </w:rPr>
        <w:t>’</w:t>
      </w:r>
      <w:r w:rsidR="005D159B" w:rsidRPr="00F60A3D">
        <w:rPr>
          <w:lang w:val="fr-FR"/>
        </w:rPr>
        <w:t>I</w:t>
      </w:r>
      <w:r w:rsidR="0047699C" w:rsidRPr="00F60A3D">
        <w:rPr>
          <w:lang w:val="fr-FR"/>
        </w:rPr>
        <w:t>talie a aussi mis en place des mesures spécifiqu</w:t>
      </w:r>
      <w:r w:rsidR="00E4009D" w:rsidRPr="00F60A3D">
        <w:rPr>
          <w:lang w:val="fr-FR"/>
        </w:rPr>
        <w:t>es d</w:t>
      </w:r>
      <w:r w:rsidR="00B17AE1" w:rsidRPr="00F60A3D">
        <w:rPr>
          <w:lang w:val="fr-FR"/>
        </w:rPr>
        <w:t>’</w:t>
      </w:r>
      <w:r w:rsidR="00E4009D" w:rsidRPr="00F60A3D">
        <w:rPr>
          <w:lang w:val="fr-FR"/>
        </w:rPr>
        <w:t xml:space="preserve">aide aux familles, tel le </w:t>
      </w:r>
      <w:r w:rsidR="00731982" w:rsidRPr="00F60A3D">
        <w:rPr>
          <w:lang w:val="fr-FR"/>
        </w:rPr>
        <w:t>«</w:t>
      </w:r>
      <w:r w:rsidR="0047699C" w:rsidRPr="00F60A3D">
        <w:rPr>
          <w:i/>
          <w:lang w:val="fr-FR"/>
        </w:rPr>
        <w:t>Bonus bébé</w:t>
      </w:r>
      <w:r w:rsidR="00731982" w:rsidRPr="00F60A3D">
        <w:rPr>
          <w:lang w:val="fr-FR"/>
        </w:rPr>
        <w:t>»</w:t>
      </w:r>
      <w:r w:rsidR="0047699C" w:rsidRPr="00F60A3D">
        <w:rPr>
          <w:lang w:val="fr-FR"/>
        </w:rPr>
        <w:t>, out</w:t>
      </w:r>
      <w:r w:rsidR="00870095" w:rsidRPr="00F60A3D">
        <w:rPr>
          <w:lang w:val="fr-FR"/>
        </w:rPr>
        <w:t>re des prestations pour les</w:t>
      </w:r>
      <w:r w:rsidR="00BF1059" w:rsidRPr="00F60A3D">
        <w:rPr>
          <w:lang w:val="fr-FR"/>
        </w:rPr>
        <w:t xml:space="preserve"> familles nombreuses – </w:t>
      </w:r>
      <w:r w:rsidR="0047699C" w:rsidRPr="00F60A3D">
        <w:rPr>
          <w:lang w:val="fr-FR"/>
        </w:rPr>
        <w:t>dispo</w:t>
      </w:r>
      <w:r w:rsidR="00870095" w:rsidRPr="00F60A3D">
        <w:rPr>
          <w:lang w:val="fr-FR"/>
        </w:rPr>
        <w:t>sition étendue aux migrants viva</w:t>
      </w:r>
      <w:r w:rsidR="0047699C" w:rsidRPr="00F60A3D">
        <w:rPr>
          <w:lang w:val="fr-FR"/>
        </w:rPr>
        <w:t xml:space="preserve">nt </w:t>
      </w:r>
      <w:r w:rsidR="00870095" w:rsidRPr="00F60A3D">
        <w:rPr>
          <w:lang w:val="fr-FR"/>
        </w:rPr>
        <w:t>en situation régulière</w:t>
      </w:r>
      <w:r w:rsidR="0047699C" w:rsidRPr="00F60A3D">
        <w:rPr>
          <w:lang w:val="fr-FR"/>
        </w:rPr>
        <w:t xml:space="preserve"> en Italie. </w:t>
      </w:r>
    </w:p>
    <w:p w:rsidR="00835427" w:rsidRPr="00F60A3D" w:rsidRDefault="00835427" w:rsidP="007E118C">
      <w:pPr>
        <w:pStyle w:val="Bullet1G"/>
      </w:pPr>
      <w:r w:rsidRPr="00F60A3D">
        <w:t>Plus précisément le</w:t>
      </w:r>
      <w:r w:rsidR="00E4009D" w:rsidRPr="00F60A3D">
        <w:t xml:space="preserve"> </w:t>
      </w:r>
      <w:r w:rsidR="00731982" w:rsidRPr="00F60A3D">
        <w:t>«</w:t>
      </w:r>
      <w:r w:rsidR="00E4009D" w:rsidRPr="00F60A3D">
        <w:rPr>
          <w:i/>
          <w:iCs/>
        </w:rPr>
        <w:t>Bonus Bebé</w:t>
      </w:r>
      <w:r w:rsidR="00731982" w:rsidRPr="00F60A3D">
        <w:rPr>
          <w:i/>
          <w:iCs/>
        </w:rPr>
        <w:t>»</w:t>
      </w:r>
      <w:r w:rsidR="00DB5D9E" w:rsidRPr="00F60A3D">
        <w:t xml:space="preserve"> </w:t>
      </w:r>
      <w:r w:rsidR="00870095" w:rsidRPr="00F60A3D">
        <w:t>équivaut à</w:t>
      </w:r>
      <w:r w:rsidR="005D159B" w:rsidRPr="00F60A3D">
        <w:t xml:space="preserve"> une allocation mens</w:t>
      </w:r>
      <w:r w:rsidRPr="00F60A3D">
        <w:t>uell</w:t>
      </w:r>
      <w:r w:rsidR="005D159B" w:rsidRPr="00F60A3D">
        <w:t>e de 80</w:t>
      </w:r>
      <w:r w:rsidR="007E118C" w:rsidRPr="00F60A3D">
        <w:t> </w:t>
      </w:r>
      <w:r w:rsidR="005D159B" w:rsidRPr="00F60A3D">
        <w:t>euros versée par l</w:t>
      </w:r>
      <w:r w:rsidR="00B17AE1" w:rsidRPr="00F60A3D">
        <w:t>’</w:t>
      </w:r>
      <w:r w:rsidR="005D159B" w:rsidRPr="00F60A3D">
        <w:t>Insti</w:t>
      </w:r>
      <w:r w:rsidRPr="00F60A3D">
        <w:t>tut national de la sécurité sociale, dans les ca</w:t>
      </w:r>
      <w:r w:rsidR="005E46A8" w:rsidRPr="00F60A3D">
        <w:t>s suivants</w:t>
      </w:r>
      <w:r w:rsidR="005C21EB" w:rsidRPr="00F60A3D">
        <w:t xml:space="preserve">: pour les enfants </w:t>
      </w:r>
      <w:r w:rsidR="00FE4548" w:rsidRPr="00F60A3D">
        <w:t>nouveau-nés</w:t>
      </w:r>
      <w:r w:rsidR="005E46A8" w:rsidRPr="00F60A3D">
        <w:t xml:space="preserve"> et les enfants adoptés</w:t>
      </w:r>
      <w:r w:rsidRPr="00F60A3D">
        <w:t xml:space="preserve"> entre le </w:t>
      </w:r>
      <w:r w:rsidR="007E118C" w:rsidRPr="00F60A3D">
        <w:t>1</w:t>
      </w:r>
      <w:r w:rsidR="007E118C" w:rsidRPr="00F60A3D">
        <w:rPr>
          <w:vertAlign w:val="superscript"/>
        </w:rPr>
        <w:t>er</w:t>
      </w:r>
      <w:r w:rsidR="007E118C" w:rsidRPr="00F60A3D">
        <w:t xml:space="preserve"> janvier 2015 et le </w:t>
      </w:r>
      <w:r w:rsidR="007E118C" w:rsidRPr="00F60A3D">
        <w:lastRenderedPageBreak/>
        <w:t>31 </w:t>
      </w:r>
      <w:r w:rsidRPr="00F60A3D">
        <w:t>décembr</w:t>
      </w:r>
      <w:r w:rsidR="005C21EB" w:rsidRPr="00F60A3D">
        <w:t>e 2017</w:t>
      </w:r>
      <w:r w:rsidRPr="00F60A3D">
        <w:t xml:space="preserve"> par des familles dont le reven</w:t>
      </w:r>
      <w:r w:rsidR="007E118C" w:rsidRPr="00F60A3D">
        <w:t>u annuel ne dépasse pas 25 000 euros.</w:t>
      </w:r>
    </w:p>
    <w:p w:rsidR="00DB5D9E" w:rsidRPr="00F60A3D" w:rsidRDefault="00835427" w:rsidP="007E118C">
      <w:pPr>
        <w:pStyle w:val="Bullet1G"/>
      </w:pPr>
      <w:r w:rsidRPr="00F60A3D">
        <w:t>Ce</w:t>
      </w:r>
      <w:r w:rsidR="00334DE5" w:rsidRPr="00F60A3D">
        <w:t xml:space="preserve"> b</w:t>
      </w:r>
      <w:r w:rsidR="00DB5D9E" w:rsidRPr="00F60A3D">
        <w:t xml:space="preserve">onus </w:t>
      </w:r>
      <w:r w:rsidRPr="00F60A3D">
        <w:t>passe à 160</w:t>
      </w:r>
      <w:r w:rsidR="007E118C" w:rsidRPr="00F60A3D">
        <w:t> </w:t>
      </w:r>
      <w:r w:rsidRPr="00F60A3D">
        <w:t>euros pour les familles dont le revenu est inférieur et ne dépasse pas 7</w:t>
      </w:r>
      <w:r w:rsidR="007E118C" w:rsidRPr="00F60A3D">
        <w:t> </w:t>
      </w:r>
      <w:r w:rsidRPr="00F60A3D">
        <w:t>000</w:t>
      </w:r>
      <w:r w:rsidR="007E118C" w:rsidRPr="00F60A3D">
        <w:t> </w:t>
      </w:r>
      <w:r w:rsidRPr="00F60A3D">
        <w:t>euros par an.</w:t>
      </w:r>
      <w:r w:rsidR="00731982" w:rsidRPr="00F60A3D">
        <w:t xml:space="preserve"> </w:t>
      </w:r>
    </w:p>
    <w:p w:rsidR="00F31D1A" w:rsidRPr="00F60A3D" w:rsidRDefault="000725BD" w:rsidP="002E680B">
      <w:pPr>
        <w:pStyle w:val="SingleTxtG"/>
        <w:rPr>
          <w:lang w:val="fr-FR"/>
        </w:rPr>
      </w:pPr>
      <w:r w:rsidRPr="00F60A3D">
        <w:rPr>
          <w:lang w:val="fr-FR"/>
        </w:rPr>
        <w:tab/>
      </w:r>
      <w:r w:rsidR="00F21423" w:rsidRPr="00F60A3D">
        <w:rPr>
          <w:lang w:val="fr-FR"/>
        </w:rPr>
        <w:t>g</w:t>
      </w:r>
      <w:r w:rsidR="001D2CCC" w:rsidRPr="00F60A3D">
        <w:rPr>
          <w:lang w:val="fr-FR"/>
        </w:rPr>
        <w:t>)</w:t>
      </w:r>
      <w:r w:rsidR="001D2CCC" w:rsidRPr="00F60A3D">
        <w:rPr>
          <w:lang w:val="fr-FR"/>
        </w:rPr>
        <w:tab/>
      </w:r>
      <w:r w:rsidR="00835427" w:rsidRPr="00F60A3D">
        <w:rPr>
          <w:lang w:val="fr-FR"/>
        </w:rPr>
        <w:t>En ce qui concerne les</w:t>
      </w:r>
      <w:r w:rsidR="00731982" w:rsidRPr="00F60A3D">
        <w:rPr>
          <w:lang w:val="fr-FR"/>
        </w:rPr>
        <w:t xml:space="preserve"> </w:t>
      </w:r>
      <w:r w:rsidR="00870095" w:rsidRPr="00F60A3D">
        <w:rPr>
          <w:bCs/>
          <w:lang w:val="fr-FR"/>
        </w:rPr>
        <w:t>régimes de retraite</w:t>
      </w:r>
      <w:r w:rsidR="00835427" w:rsidRPr="00F60A3D">
        <w:rPr>
          <w:b/>
          <w:bCs/>
          <w:lang w:val="fr-FR"/>
        </w:rPr>
        <w:t xml:space="preserve"> </w:t>
      </w:r>
      <w:r w:rsidR="00835427" w:rsidRPr="00F60A3D">
        <w:rPr>
          <w:lang w:val="fr-FR"/>
        </w:rPr>
        <w:t>du secteur public</w:t>
      </w:r>
      <w:r w:rsidR="00F31D1A" w:rsidRPr="00F60A3D">
        <w:rPr>
          <w:lang w:val="fr-FR"/>
        </w:rPr>
        <w:t xml:space="preserve">, la loi </w:t>
      </w:r>
      <w:r w:rsidR="00B17AE1" w:rsidRPr="00F60A3D">
        <w:rPr>
          <w:lang w:val="fr-FR"/>
        </w:rPr>
        <w:t>n</w:t>
      </w:r>
      <w:r w:rsidR="00B17AE1" w:rsidRPr="00F60A3D">
        <w:rPr>
          <w:vertAlign w:val="superscript"/>
          <w:lang w:val="fr-FR"/>
        </w:rPr>
        <w:t>o</w:t>
      </w:r>
      <w:r w:rsidR="00B17AE1" w:rsidRPr="00F60A3D">
        <w:rPr>
          <w:lang w:val="fr-FR"/>
        </w:rPr>
        <w:t> </w:t>
      </w:r>
      <w:r w:rsidR="00DB5D9E" w:rsidRPr="00F60A3D">
        <w:rPr>
          <w:lang w:val="fr-FR"/>
        </w:rPr>
        <w:t xml:space="preserve">02/2009 </w:t>
      </w:r>
      <w:r w:rsidR="00F31D1A" w:rsidRPr="00F60A3D">
        <w:rPr>
          <w:lang w:val="fr-FR"/>
        </w:rPr>
        <w:t xml:space="preserve">a relevé </w:t>
      </w:r>
      <w:r w:rsidR="00870095" w:rsidRPr="00F60A3D">
        <w:rPr>
          <w:lang w:val="fr-FR"/>
        </w:rPr>
        <w:t xml:space="preserve">progressivement </w:t>
      </w:r>
      <w:r w:rsidR="00F31D1A" w:rsidRPr="00F60A3D">
        <w:rPr>
          <w:lang w:val="fr-FR"/>
        </w:rPr>
        <w:t>l</w:t>
      </w:r>
      <w:r w:rsidR="00B17AE1" w:rsidRPr="00F60A3D">
        <w:rPr>
          <w:lang w:val="fr-FR"/>
        </w:rPr>
        <w:t>’</w:t>
      </w:r>
      <w:r w:rsidR="00F31D1A" w:rsidRPr="00F60A3D">
        <w:rPr>
          <w:lang w:val="fr-FR"/>
        </w:rPr>
        <w:t xml:space="preserve">âge </w:t>
      </w:r>
      <w:r w:rsidR="00F46EBC" w:rsidRPr="00F60A3D">
        <w:rPr>
          <w:lang w:val="fr-FR"/>
        </w:rPr>
        <w:t>de la re</w:t>
      </w:r>
      <w:r w:rsidR="00870095" w:rsidRPr="00F60A3D">
        <w:rPr>
          <w:lang w:val="fr-FR"/>
        </w:rPr>
        <w:t>traite des femmes,</w:t>
      </w:r>
      <w:r w:rsidR="00AC71E6" w:rsidRPr="00F60A3D">
        <w:rPr>
          <w:lang w:val="fr-FR"/>
        </w:rPr>
        <w:t xml:space="preserve"> afin de </w:t>
      </w:r>
      <w:r w:rsidR="00F31D1A" w:rsidRPr="00F60A3D">
        <w:rPr>
          <w:lang w:val="fr-FR"/>
        </w:rPr>
        <w:t>permettre l</w:t>
      </w:r>
      <w:r w:rsidR="00B17AE1" w:rsidRPr="00F60A3D">
        <w:rPr>
          <w:lang w:val="fr-FR"/>
        </w:rPr>
        <w:t>’</w:t>
      </w:r>
      <w:r w:rsidR="00F31D1A" w:rsidRPr="00F60A3D">
        <w:rPr>
          <w:lang w:val="fr-FR"/>
        </w:rPr>
        <w:t>é</w:t>
      </w:r>
      <w:r w:rsidR="00AC71E6" w:rsidRPr="00F60A3D">
        <w:rPr>
          <w:lang w:val="fr-FR"/>
        </w:rPr>
        <w:t xml:space="preserve">galité de traitement </w:t>
      </w:r>
      <w:r w:rsidR="00F31D1A" w:rsidRPr="00F60A3D">
        <w:rPr>
          <w:lang w:val="fr-FR"/>
        </w:rPr>
        <w:t>de</w:t>
      </w:r>
      <w:r w:rsidR="00AC71E6" w:rsidRPr="00F60A3D">
        <w:rPr>
          <w:lang w:val="fr-FR"/>
        </w:rPr>
        <w:t xml:space="preserve">s retraites. Cette </w:t>
      </w:r>
      <w:r w:rsidR="00F31D1A" w:rsidRPr="00F60A3D">
        <w:rPr>
          <w:lang w:val="fr-FR"/>
        </w:rPr>
        <w:t>égalité de tra</w:t>
      </w:r>
      <w:r w:rsidR="00AC71E6" w:rsidRPr="00F60A3D">
        <w:rPr>
          <w:lang w:val="fr-FR"/>
        </w:rPr>
        <w:t>itement et l</w:t>
      </w:r>
      <w:r w:rsidR="00B17AE1" w:rsidRPr="00F60A3D">
        <w:rPr>
          <w:lang w:val="fr-FR"/>
        </w:rPr>
        <w:t>’</w:t>
      </w:r>
      <w:r w:rsidR="00AC71E6" w:rsidRPr="00F60A3D">
        <w:rPr>
          <w:lang w:val="fr-FR"/>
        </w:rPr>
        <w:t xml:space="preserve">interdiction de </w:t>
      </w:r>
      <w:r w:rsidR="00F31D1A" w:rsidRPr="00F60A3D">
        <w:rPr>
          <w:lang w:val="fr-FR"/>
        </w:rPr>
        <w:t>disc</w:t>
      </w:r>
      <w:r w:rsidR="00AC71E6" w:rsidRPr="00F60A3D">
        <w:rPr>
          <w:lang w:val="fr-FR"/>
        </w:rPr>
        <w:t>rimination en matière de rémunération s</w:t>
      </w:r>
      <w:r w:rsidR="00B17AE1" w:rsidRPr="00F60A3D">
        <w:rPr>
          <w:lang w:val="fr-FR"/>
        </w:rPr>
        <w:t>’</w:t>
      </w:r>
      <w:r w:rsidR="00AC71E6" w:rsidRPr="00F60A3D">
        <w:rPr>
          <w:lang w:val="fr-FR"/>
        </w:rPr>
        <w:t>appliquent</w:t>
      </w:r>
      <w:r w:rsidR="00F31D1A" w:rsidRPr="00F60A3D">
        <w:rPr>
          <w:lang w:val="fr-FR"/>
        </w:rPr>
        <w:t xml:space="preserve"> </w:t>
      </w:r>
      <w:r w:rsidR="00AC71E6" w:rsidRPr="00F60A3D">
        <w:rPr>
          <w:lang w:val="fr-FR"/>
        </w:rPr>
        <w:t>également aux fonds</w:t>
      </w:r>
      <w:r w:rsidR="00F31D1A" w:rsidRPr="00F60A3D">
        <w:rPr>
          <w:lang w:val="fr-FR"/>
        </w:rPr>
        <w:t xml:space="preserve"> de pension complémentaires et collectifs. </w:t>
      </w:r>
      <w:r w:rsidR="00712D6E" w:rsidRPr="00F60A3D">
        <w:rPr>
          <w:lang w:val="fr-FR"/>
        </w:rPr>
        <w:t>Dans le même sens, l</w:t>
      </w:r>
      <w:r w:rsidR="00AC71E6" w:rsidRPr="00F60A3D">
        <w:rPr>
          <w:lang w:val="fr-FR"/>
        </w:rPr>
        <w:t xml:space="preserve">a loi </w:t>
      </w:r>
      <w:r w:rsidR="00B17AE1" w:rsidRPr="00F60A3D">
        <w:rPr>
          <w:lang w:val="fr-FR"/>
        </w:rPr>
        <w:t>n</w:t>
      </w:r>
      <w:r w:rsidR="00B17AE1" w:rsidRPr="00F60A3D">
        <w:rPr>
          <w:vertAlign w:val="superscript"/>
          <w:lang w:val="fr-FR"/>
        </w:rPr>
        <w:t>o</w:t>
      </w:r>
      <w:r w:rsidR="00B17AE1" w:rsidRPr="00F60A3D">
        <w:rPr>
          <w:lang w:val="fr-FR"/>
        </w:rPr>
        <w:t> </w:t>
      </w:r>
      <w:r w:rsidR="00AC71E6" w:rsidRPr="00F60A3D">
        <w:rPr>
          <w:lang w:val="fr-FR"/>
        </w:rPr>
        <w:t>214/2011 prévoit la création</w:t>
      </w:r>
      <w:r w:rsidR="00712D6E" w:rsidRPr="00F60A3D">
        <w:rPr>
          <w:lang w:val="fr-FR"/>
        </w:rPr>
        <w:t xml:space="preserve"> </w:t>
      </w:r>
      <w:r w:rsidR="00AC71E6" w:rsidRPr="00F60A3D">
        <w:rPr>
          <w:lang w:val="fr-FR"/>
        </w:rPr>
        <w:t>d</w:t>
      </w:r>
      <w:r w:rsidR="00B17AE1" w:rsidRPr="00F60A3D">
        <w:rPr>
          <w:lang w:val="fr-FR"/>
        </w:rPr>
        <w:t>’</w:t>
      </w:r>
      <w:r w:rsidR="00712D6E" w:rsidRPr="00F60A3D">
        <w:rPr>
          <w:lang w:val="fr-FR"/>
        </w:rPr>
        <w:t>un Fonds pour l</w:t>
      </w:r>
      <w:r w:rsidR="00B17AE1" w:rsidRPr="00F60A3D">
        <w:rPr>
          <w:lang w:val="fr-FR"/>
        </w:rPr>
        <w:t>’</w:t>
      </w:r>
      <w:r w:rsidR="00712D6E" w:rsidRPr="00F60A3D">
        <w:rPr>
          <w:lang w:val="fr-FR"/>
        </w:rPr>
        <w:t>emploi des fem</w:t>
      </w:r>
      <w:r w:rsidR="001B3F5F" w:rsidRPr="00F60A3D">
        <w:rPr>
          <w:lang w:val="fr-FR"/>
        </w:rPr>
        <w:t>mes et des jeunes</w:t>
      </w:r>
      <w:r w:rsidR="005C21EB" w:rsidRPr="00F60A3D">
        <w:rPr>
          <w:lang w:val="fr-FR"/>
        </w:rPr>
        <w:t>,</w:t>
      </w:r>
      <w:r w:rsidR="00731982" w:rsidRPr="00F60A3D">
        <w:rPr>
          <w:lang w:val="fr-FR"/>
        </w:rPr>
        <w:t xml:space="preserve"> </w:t>
      </w:r>
      <w:r w:rsidR="001B3F5F" w:rsidRPr="00F60A3D">
        <w:rPr>
          <w:lang w:val="fr-FR"/>
        </w:rPr>
        <w:t>doté de 740</w:t>
      </w:r>
      <w:r w:rsidRPr="00F60A3D">
        <w:rPr>
          <w:lang w:val="fr-FR"/>
        </w:rPr>
        <w:t> </w:t>
      </w:r>
      <w:r w:rsidR="00AC71E6" w:rsidRPr="00F60A3D">
        <w:rPr>
          <w:lang w:val="fr-FR"/>
        </w:rPr>
        <w:t>millions d</w:t>
      </w:r>
      <w:r w:rsidR="00B17AE1" w:rsidRPr="00F60A3D">
        <w:rPr>
          <w:lang w:val="fr-FR"/>
        </w:rPr>
        <w:t>’</w:t>
      </w:r>
      <w:r w:rsidR="00AC71E6" w:rsidRPr="00F60A3D">
        <w:rPr>
          <w:lang w:val="fr-FR"/>
        </w:rPr>
        <w:t>euros pour</w:t>
      </w:r>
      <w:r w:rsidR="00731982" w:rsidRPr="00F60A3D">
        <w:rPr>
          <w:lang w:val="fr-FR"/>
        </w:rPr>
        <w:t xml:space="preserve"> </w:t>
      </w:r>
      <w:r w:rsidR="00AC71E6" w:rsidRPr="00F60A3D">
        <w:rPr>
          <w:lang w:val="fr-FR"/>
        </w:rPr>
        <w:t>2012</w:t>
      </w:r>
      <w:r w:rsidR="002E680B" w:rsidRPr="00F60A3D">
        <w:rPr>
          <w:lang w:val="fr-FR"/>
        </w:rPr>
        <w:t>-</w:t>
      </w:r>
      <w:r w:rsidR="001B3F5F" w:rsidRPr="00F60A3D">
        <w:rPr>
          <w:lang w:val="fr-FR"/>
        </w:rPr>
        <w:t>2015.</w:t>
      </w:r>
    </w:p>
    <w:p w:rsidR="00DB5D9E" w:rsidRPr="00F60A3D" w:rsidRDefault="000725BD" w:rsidP="000725BD">
      <w:pPr>
        <w:pStyle w:val="SingleTxtG"/>
        <w:rPr>
          <w:lang w:val="fr-FR"/>
        </w:rPr>
      </w:pPr>
      <w:r w:rsidRPr="00F60A3D">
        <w:rPr>
          <w:lang w:val="fr-FR"/>
        </w:rPr>
        <w:tab/>
      </w:r>
      <w:r w:rsidR="00F21423" w:rsidRPr="00F60A3D">
        <w:rPr>
          <w:lang w:val="fr-FR"/>
        </w:rPr>
        <w:t>h</w:t>
      </w:r>
      <w:r w:rsidR="001D2CCC" w:rsidRPr="00F60A3D">
        <w:rPr>
          <w:lang w:val="fr-FR"/>
        </w:rPr>
        <w:t>)</w:t>
      </w:r>
      <w:r w:rsidR="001D2CCC" w:rsidRPr="00F60A3D">
        <w:rPr>
          <w:lang w:val="fr-FR"/>
        </w:rPr>
        <w:tab/>
      </w:r>
      <w:r w:rsidR="00712D6E" w:rsidRPr="00F60A3D">
        <w:rPr>
          <w:lang w:val="fr-FR"/>
        </w:rPr>
        <w:t>Malgré</w:t>
      </w:r>
      <w:r w:rsidR="00DB5D9E" w:rsidRPr="00F60A3D">
        <w:rPr>
          <w:lang w:val="fr-FR"/>
        </w:rPr>
        <w:t xml:space="preserve"> </w:t>
      </w:r>
      <w:r w:rsidR="00712D6E" w:rsidRPr="00F60A3D">
        <w:rPr>
          <w:lang w:val="fr-FR"/>
        </w:rPr>
        <w:t>la crise économique, les efforts engagés pour lutter con</w:t>
      </w:r>
      <w:r w:rsidR="00F46EBC" w:rsidRPr="00F60A3D">
        <w:rPr>
          <w:lang w:val="fr-FR"/>
        </w:rPr>
        <w:t>t</w:t>
      </w:r>
      <w:r w:rsidR="00712D6E" w:rsidRPr="00F60A3D">
        <w:rPr>
          <w:lang w:val="fr-FR"/>
        </w:rPr>
        <w:t>re la pauvreté ont été accrus. Le 28</w:t>
      </w:r>
      <w:r w:rsidRPr="00F60A3D">
        <w:rPr>
          <w:lang w:val="fr-FR"/>
        </w:rPr>
        <w:t> </w:t>
      </w:r>
      <w:r w:rsidR="00712D6E" w:rsidRPr="00F60A3D">
        <w:rPr>
          <w:lang w:val="fr-FR"/>
        </w:rPr>
        <w:t xml:space="preserve">janvier </w:t>
      </w:r>
      <w:r w:rsidR="00F46EBC" w:rsidRPr="00F60A3D">
        <w:rPr>
          <w:lang w:val="fr-FR"/>
        </w:rPr>
        <w:t>2016, le Gouvernement a prévu</w:t>
      </w:r>
      <w:r w:rsidR="00712D6E" w:rsidRPr="00F60A3D">
        <w:rPr>
          <w:lang w:val="fr-FR"/>
        </w:rPr>
        <w:t xml:space="preserve"> un Plan de lutte contre la pauvreté</w:t>
      </w:r>
      <w:r w:rsidR="00712D6E" w:rsidRPr="00F60A3D">
        <w:rPr>
          <w:b/>
          <w:lang w:val="fr-FR"/>
        </w:rPr>
        <w:t>,</w:t>
      </w:r>
      <w:r w:rsidR="00F46EBC" w:rsidRPr="00F60A3D">
        <w:rPr>
          <w:lang w:val="fr-FR"/>
        </w:rPr>
        <w:t xml:space="preserve"> destiné</w:t>
      </w:r>
      <w:r w:rsidR="00712D6E" w:rsidRPr="00F60A3D">
        <w:rPr>
          <w:lang w:val="fr-FR"/>
        </w:rPr>
        <w:t xml:space="preserve"> à soutenir plus de 250</w:t>
      </w:r>
      <w:r w:rsidRPr="00F60A3D">
        <w:rPr>
          <w:lang w:val="fr-FR"/>
        </w:rPr>
        <w:t> </w:t>
      </w:r>
      <w:r w:rsidR="00712D6E" w:rsidRPr="00F60A3D">
        <w:rPr>
          <w:lang w:val="fr-FR"/>
        </w:rPr>
        <w:t>000</w:t>
      </w:r>
      <w:r w:rsidRPr="00F60A3D">
        <w:rPr>
          <w:lang w:val="fr-FR"/>
        </w:rPr>
        <w:t> </w:t>
      </w:r>
      <w:r w:rsidR="00712D6E" w:rsidRPr="00F60A3D">
        <w:rPr>
          <w:lang w:val="fr-FR"/>
        </w:rPr>
        <w:t>famill</w:t>
      </w:r>
      <w:r w:rsidR="00DB5D9E" w:rsidRPr="00F60A3D">
        <w:rPr>
          <w:lang w:val="fr-FR"/>
        </w:rPr>
        <w:t xml:space="preserve">es, </w:t>
      </w:r>
      <w:r w:rsidR="00712D6E" w:rsidRPr="00F60A3D">
        <w:rPr>
          <w:lang w:val="fr-FR"/>
        </w:rPr>
        <w:t>avec une</w:t>
      </w:r>
      <w:r w:rsidR="005867FA" w:rsidRPr="00F60A3D">
        <w:rPr>
          <w:lang w:val="fr-FR"/>
        </w:rPr>
        <w:t xml:space="preserve"> affectation de crédits</w:t>
      </w:r>
      <w:r w:rsidR="00712D6E" w:rsidRPr="00F60A3D">
        <w:rPr>
          <w:lang w:val="fr-FR"/>
        </w:rPr>
        <w:t xml:space="preserve"> d</w:t>
      </w:r>
      <w:r w:rsidR="00B17AE1" w:rsidRPr="00F60A3D">
        <w:rPr>
          <w:lang w:val="fr-FR"/>
        </w:rPr>
        <w:t>’</w:t>
      </w:r>
      <w:r w:rsidR="00712D6E" w:rsidRPr="00F60A3D">
        <w:rPr>
          <w:lang w:val="fr-FR"/>
        </w:rPr>
        <w:t>environ 800</w:t>
      </w:r>
      <w:r w:rsidRPr="00F60A3D">
        <w:rPr>
          <w:lang w:val="fr-FR"/>
        </w:rPr>
        <w:t> </w:t>
      </w:r>
      <w:r w:rsidR="00712D6E" w:rsidRPr="00F60A3D">
        <w:rPr>
          <w:lang w:val="fr-FR"/>
        </w:rPr>
        <w:t>million</w:t>
      </w:r>
      <w:r w:rsidR="00F46EBC" w:rsidRPr="00F60A3D">
        <w:rPr>
          <w:lang w:val="fr-FR"/>
        </w:rPr>
        <w:t>s</w:t>
      </w:r>
      <w:r w:rsidR="00712D6E" w:rsidRPr="00F60A3D">
        <w:rPr>
          <w:lang w:val="fr-FR"/>
        </w:rPr>
        <w:t xml:space="preserve"> d</w:t>
      </w:r>
      <w:r w:rsidR="00B17AE1" w:rsidRPr="00F60A3D">
        <w:rPr>
          <w:lang w:val="fr-FR"/>
        </w:rPr>
        <w:t>’</w:t>
      </w:r>
      <w:r w:rsidR="00712D6E" w:rsidRPr="00F60A3D">
        <w:rPr>
          <w:lang w:val="fr-FR"/>
        </w:rPr>
        <w:t>e</w:t>
      </w:r>
      <w:r w:rsidR="00DB5D9E" w:rsidRPr="00F60A3D">
        <w:rPr>
          <w:lang w:val="fr-FR"/>
        </w:rPr>
        <w:t>uros.</w:t>
      </w:r>
    </w:p>
    <w:p w:rsidR="00DB5D9E" w:rsidRPr="00F60A3D" w:rsidRDefault="00F21423" w:rsidP="00F520A7">
      <w:pPr>
        <w:pStyle w:val="SingleTxtG"/>
        <w:rPr>
          <w:lang w:val="fr-FR"/>
        </w:rPr>
      </w:pPr>
      <w:r w:rsidRPr="00F60A3D">
        <w:rPr>
          <w:lang w:val="fr-FR"/>
        </w:rPr>
        <w:t>176</w:t>
      </w:r>
      <w:r w:rsidR="00712D6E" w:rsidRPr="00F60A3D">
        <w:rPr>
          <w:lang w:val="fr-FR"/>
        </w:rPr>
        <w:t>.</w:t>
      </w:r>
      <w:r w:rsidR="00712D6E" w:rsidRPr="00F60A3D">
        <w:rPr>
          <w:lang w:val="fr-FR"/>
        </w:rPr>
        <w:tab/>
        <w:t>La réglementation du patrimoine est soumise à des contrôles spécifiques, pour</w:t>
      </w:r>
      <w:r w:rsidR="001B3F5F" w:rsidRPr="00F60A3D">
        <w:rPr>
          <w:lang w:val="fr-FR"/>
        </w:rPr>
        <w:t xml:space="preserve"> faire en sorte que la personne puisse librement</w:t>
      </w:r>
      <w:r w:rsidR="00712D6E" w:rsidRPr="00F60A3D">
        <w:rPr>
          <w:lang w:val="fr-FR"/>
        </w:rPr>
        <w:t xml:space="preserve"> s</w:t>
      </w:r>
      <w:r w:rsidR="00B17AE1" w:rsidRPr="00F60A3D">
        <w:rPr>
          <w:lang w:val="fr-FR"/>
        </w:rPr>
        <w:t>’</w:t>
      </w:r>
      <w:r w:rsidR="00712D6E" w:rsidRPr="00F60A3D">
        <w:rPr>
          <w:lang w:val="fr-FR"/>
        </w:rPr>
        <w:t>engager dans une activité économique, comme</w:t>
      </w:r>
      <w:r w:rsidR="00F46EBC" w:rsidRPr="00F60A3D">
        <w:rPr>
          <w:lang w:val="fr-FR"/>
        </w:rPr>
        <w:t xml:space="preserve"> en dispose l</w:t>
      </w:r>
      <w:r w:rsidR="00B17AE1" w:rsidRPr="00F60A3D">
        <w:rPr>
          <w:lang w:val="fr-FR"/>
        </w:rPr>
        <w:t>’</w:t>
      </w:r>
      <w:r w:rsidR="00D26282" w:rsidRPr="00F60A3D">
        <w:rPr>
          <w:lang w:val="fr-FR"/>
        </w:rPr>
        <w:t>article </w:t>
      </w:r>
      <w:r w:rsidR="00F46EBC" w:rsidRPr="00F60A3D">
        <w:rPr>
          <w:lang w:val="fr-FR"/>
        </w:rPr>
        <w:t>42 de la C</w:t>
      </w:r>
      <w:r w:rsidR="00712D6E" w:rsidRPr="00F60A3D">
        <w:rPr>
          <w:lang w:val="fr-FR"/>
        </w:rPr>
        <w:t>onstitution italienne.</w:t>
      </w:r>
      <w:r w:rsidR="00731982" w:rsidRPr="00F60A3D">
        <w:rPr>
          <w:lang w:val="fr-FR"/>
        </w:rPr>
        <w:t xml:space="preserve"> </w:t>
      </w:r>
    </w:p>
    <w:p w:rsidR="00DB5D9E" w:rsidRPr="00F60A3D" w:rsidRDefault="00224935" w:rsidP="000725BD">
      <w:pPr>
        <w:pStyle w:val="SingleTxtG"/>
        <w:rPr>
          <w:lang w:val="fr-FR"/>
        </w:rPr>
      </w:pPr>
      <w:r w:rsidRPr="00F60A3D">
        <w:rPr>
          <w:lang w:val="fr-FR"/>
        </w:rPr>
        <w:t>177.</w:t>
      </w:r>
      <w:r w:rsidR="001D2CCC" w:rsidRPr="00F60A3D">
        <w:rPr>
          <w:lang w:val="fr-FR"/>
        </w:rPr>
        <w:tab/>
      </w:r>
      <w:r w:rsidR="00712D6E" w:rsidRPr="00F60A3D">
        <w:rPr>
          <w:lang w:val="fr-FR"/>
        </w:rPr>
        <w:t>Les o</w:t>
      </w:r>
      <w:r w:rsidR="00DB5D9E" w:rsidRPr="00F60A3D">
        <w:rPr>
          <w:lang w:val="fr-FR"/>
        </w:rPr>
        <w:t>rgan</w:t>
      </w:r>
      <w:r w:rsidR="00712D6E" w:rsidRPr="00F60A3D">
        <w:rPr>
          <w:lang w:val="fr-FR"/>
        </w:rPr>
        <w:t>es des autorités centrales, tels le Ministère de l</w:t>
      </w:r>
      <w:r w:rsidR="00B17AE1" w:rsidRPr="00F60A3D">
        <w:rPr>
          <w:lang w:val="fr-FR"/>
        </w:rPr>
        <w:t>’</w:t>
      </w:r>
      <w:r w:rsidR="00712D6E" w:rsidRPr="00F60A3D">
        <w:rPr>
          <w:lang w:val="fr-FR"/>
        </w:rPr>
        <w:t>économie, le Comité interministériel p</w:t>
      </w:r>
      <w:r w:rsidR="005550DF" w:rsidRPr="00F60A3D">
        <w:rPr>
          <w:lang w:val="fr-FR"/>
        </w:rPr>
        <w:t>our la programmation économique</w:t>
      </w:r>
      <w:r w:rsidR="00712D6E" w:rsidRPr="00F60A3D">
        <w:rPr>
          <w:lang w:val="fr-FR"/>
        </w:rPr>
        <w:t xml:space="preserve"> et la Banque d</w:t>
      </w:r>
      <w:r w:rsidR="00B17AE1" w:rsidRPr="00F60A3D">
        <w:rPr>
          <w:lang w:val="fr-FR"/>
        </w:rPr>
        <w:t>’</w:t>
      </w:r>
      <w:r w:rsidR="00712D6E" w:rsidRPr="00F60A3D">
        <w:rPr>
          <w:lang w:val="fr-FR"/>
        </w:rPr>
        <w:t>Italie</w:t>
      </w:r>
      <w:r w:rsidR="00FF5AD3" w:rsidRPr="00F60A3D">
        <w:rPr>
          <w:lang w:val="fr-FR"/>
        </w:rPr>
        <w:t>,</w:t>
      </w:r>
      <w:r w:rsidR="00712D6E" w:rsidRPr="00F60A3D">
        <w:rPr>
          <w:lang w:val="fr-FR"/>
        </w:rPr>
        <w:t xml:space="preserve"> coordonne</w:t>
      </w:r>
      <w:r w:rsidR="00FF5AD3" w:rsidRPr="00F60A3D">
        <w:rPr>
          <w:lang w:val="fr-FR"/>
        </w:rPr>
        <w:t>nt</w:t>
      </w:r>
      <w:r w:rsidR="00712D6E" w:rsidRPr="00F60A3D">
        <w:rPr>
          <w:lang w:val="fr-FR"/>
        </w:rPr>
        <w:t xml:space="preserve"> et contrôle</w:t>
      </w:r>
      <w:r w:rsidR="00FF5AD3" w:rsidRPr="00F60A3D">
        <w:rPr>
          <w:lang w:val="fr-FR"/>
        </w:rPr>
        <w:t>nt</w:t>
      </w:r>
      <w:r w:rsidR="00712D6E" w:rsidRPr="00F60A3D">
        <w:rPr>
          <w:lang w:val="fr-FR"/>
        </w:rPr>
        <w:t xml:space="preserve"> l</w:t>
      </w:r>
      <w:r w:rsidR="00B17AE1" w:rsidRPr="00F60A3D">
        <w:rPr>
          <w:lang w:val="fr-FR"/>
        </w:rPr>
        <w:t>’</w:t>
      </w:r>
      <w:r w:rsidR="00712D6E" w:rsidRPr="00F60A3D">
        <w:rPr>
          <w:lang w:val="fr-FR"/>
        </w:rPr>
        <w:t>offre de crédit</w:t>
      </w:r>
      <w:r w:rsidR="00AD128C" w:rsidRPr="00F60A3D">
        <w:rPr>
          <w:lang w:val="fr-FR"/>
        </w:rPr>
        <w:t>s</w:t>
      </w:r>
      <w:r w:rsidR="00712D6E" w:rsidRPr="00F60A3D">
        <w:rPr>
          <w:lang w:val="fr-FR"/>
        </w:rPr>
        <w:t xml:space="preserve">. </w:t>
      </w:r>
    </w:p>
    <w:p w:rsidR="00DB5D9E" w:rsidRPr="00F60A3D" w:rsidRDefault="00F520A7" w:rsidP="00F520A7">
      <w:pPr>
        <w:pStyle w:val="H23G"/>
        <w:rPr>
          <w:lang w:val="fr-FR"/>
        </w:rPr>
      </w:pPr>
      <w:r w:rsidRPr="00F60A3D">
        <w:rPr>
          <w:lang w:val="fr-FR"/>
        </w:rPr>
        <w:tab/>
      </w:r>
      <w:r w:rsidRPr="00F60A3D">
        <w:rPr>
          <w:lang w:val="fr-FR"/>
        </w:rPr>
        <w:tab/>
      </w:r>
      <w:r w:rsidR="00C551AD" w:rsidRPr="00F60A3D">
        <w:rPr>
          <w:lang w:val="fr-FR"/>
        </w:rPr>
        <w:t>Progression</w:t>
      </w:r>
      <w:r w:rsidR="00712D6E" w:rsidRPr="00F60A3D">
        <w:rPr>
          <w:lang w:val="fr-FR"/>
        </w:rPr>
        <w:t xml:space="preserve"> des droits fondamentaux </w:t>
      </w:r>
    </w:p>
    <w:p w:rsidR="00DB5D9E" w:rsidRPr="00F60A3D" w:rsidRDefault="00F21423" w:rsidP="00FF5AD3">
      <w:pPr>
        <w:pStyle w:val="SingleTxtG"/>
        <w:rPr>
          <w:lang w:val="fr-FR"/>
        </w:rPr>
      </w:pPr>
      <w:r w:rsidRPr="00F60A3D">
        <w:rPr>
          <w:lang w:val="fr-FR"/>
        </w:rPr>
        <w:t>178</w:t>
      </w:r>
      <w:r w:rsidR="00FF5AD3" w:rsidRPr="00F60A3D">
        <w:rPr>
          <w:lang w:val="fr-FR"/>
        </w:rPr>
        <w:t>.</w:t>
      </w:r>
      <w:r w:rsidR="00FF5AD3" w:rsidRPr="00F60A3D">
        <w:rPr>
          <w:lang w:val="fr-FR"/>
        </w:rPr>
        <w:tab/>
        <w:t>Les droits fondamenta</w:t>
      </w:r>
      <w:r w:rsidR="00F46EBC" w:rsidRPr="00F60A3D">
        <w:rPr>
          <w:lang w:val="fr-FR"/>
        </w:rPr>
        <w:t>ux i</w:t>
      </w:r>
      <w:r w:rsidR="005F58A5" w:rsidRPr="00F60A3D">
        <w:rPr>
          <w:lang w:val="fr-FR"/>
        </w:rPr>
        <w:t>nscrits dans la Constitution</w:t>
      </w:r>
      <w:r w:rsidR="00FF5AD3" w:rsidRPr="00F60A3D">
        <w:rPr>
          <w:lang w:val="fr-FR"/>
        </w:rPr>
        <w:t xml:space="preserve"> ont été renforcés et/</w:t>
      </w:r>
      <w:r w:rsidR="00F46EBC" w:rsidRPr="00F60A3D">
        <w:rPr>
          <w:lang w:val="fr-FR"/>
        </w:rPr>
        <w:t>ou développés par la nouvelle lé</w:t>
      </w:r>
      <w:r w:rsidR="00FF5AD3" w:rsidRPr="00F60A3D">
        <w:rPr>
          <w:lang w:val="fr-FR"/>
        </w:rPr>
        <w:t>gislation, comme par les jugements rendus par les</w:t>
      </w:r>
      <w:r w:rsidR="001B3F5F" w:rsidRPr="00F60A3D">
        <w:rPr>
          <w:lang w:val="fr-FR"/>
        </w:rPr>
        <w:t xml:space="preserve"> tribunaux nationaux, en partic</w:t>
      </w:r>
      <w:r w:rsidR="00D148EE" w:rsidRPr="00F60A3D">
        <w:rPr>
          <w:lang w:val="fr-FR"/>
        </w:rPr>
        <w:t xml:space="preserve">ulier par </w:t>
      </w:r>
      <w:r w:rsidR="00FF5AD3" w:rsidRPr="00F60A3D">
        <w:rPr>
          <w:lang w:val="fr-FR"/>
        </w:rPr>
        <w:t>la Cour constitutionnelle italienne. Un exemple récent de cette progression concerne l</w:t>
      </w:r>
      <w:r w:rsidR="00B17AE1" w:rsidRPr="00F60A3D">
        <w:rPr>
          <w:lang w:val="fr-FR"/>
        </w:rPr>
        <w:t>’</w:t>
      </w:r>
      <w:r w:rsidR="00FF5AD3" w:rsidRPr="00F60A3D">
        <w:rPr>
          <w:lang w:val="fr-FR"/>
        </w:rPr>
        <w:t xml:space="preserve">égalisation des droits entre enfants légitimes et enfants </w:t>
      </w:r>
      <w:r w:rsidR="00AF3DFE" w:rsidRPr="00F60A3D">
        <w:rPr>
          <w:lang w:val="fr-FR"/>
        </w:rPr>
        <w:t>nés hors mariage, prescrite par</w:t>
      </w:r>
      <w:r w:rsidR="00FF5AD3" w:rsidRPr="00F60A3D">
        <w:rPr>
          <w:lang w:val="fr-FR"/>
        </w:rPr>
        <w:t xml:space="preserve"> le décret légi</w:t>
      </w:r>
      <w:r w:rsidR="0002109B" w:rsidRPr="00F60A3D">
        <w:rPr>
          <w:lang w:val="fr-FR"/>
        </w:rPr>
        <w:t xml:space="preserve">slatif </w:t>
      </w:r>
      <w:r w:rsidR="00B17AE1" w:rsidRPr="00F60A3D">
        <w:rPr>
          <w:lang w:val="fr-FR"/>
        </w:rPr>
        <w:t>n</w:t>
      </w:r>
      <w:r w:rsidR="00B17AE1" w:rsidRPr="00F60A3D">
        <w:rPr>
          <w:vertAlign w:val="superscript"/>
          <w:lang w:val="fr-FR"/>
        </w:rPr>
        <w:t>o</w:t>
      </w:r>
      <w:r w:rsidR="00B17AE1" w:rsidRPr="00F60A3D">
        <w:rPr>
          <w:lang w:val="fr-FR"/>
        </w:rPr>
        <w:t> </w:t>
      </w:r>
      <w:r w:rsidR="0002109B" w:rsidRPr="00F60A3D">
        <w:rPr>
          <w:lang w:val="fr-FR"/>
        </w:rPr>
        <w:t>154/2013 – suite, notamment, à</w:t>
      </w:r>
      <w:r w:rsidR="00F46EBC" w:rsidRPr="00F60A3D">
        <w:rPr>
          <w:lang w:val="fr-FR"/>
        </w:rPr>
        <w:t xml:space="preserve"> l</w:t>
      </w:r>
      <w:r w:rsidR="00B17AE1" w:rsidRPr="00F60A3D">
        <w:rPr>
          <w:lang w:val="fr-FR"/>
        </w:rPr>
        <w:t>’</w:t>
      </w:r>
      <w:r w:rsidR="00F46EBC" w:rsidRPr="00F60A3D">
        <w:rPr>
          <w:lang w:val="fr-FR"/>
        </w:rPr>
        <w:t>arrêt de la C</w:t>
      </w:r>
      <w:r w:rsidR="00FF5AD3" w:rsidRPr="00F60A3D">
        <w:rPr>
          <w:lang w:val="fr-FR"/>
        </w:rPr>
        <w:t xml:space="preserve">our constitutionnelle </w:t>
      </w:r>
      <w:r w:rsidR="00B17AE1" w:rsidRPr="00F60A3D">
        <w:rPr>
          <w:lang w:val="fr-FR"/>
        </w:rPr>
        <w:t>n</w:t>
      </w:r>
      <w:r w:rsidR="00B17AE1" w:rsidRPr="00F60A3D">
        <w:rPr>
          <w:vertAlign w:val="superscript"/>
          <w:lang w:val="fr-FR"/>
        </w:rPr>
        <w:t>o</w:t>
      </w:r>
      <w:r w:rsidR="00B17AE1" w:rsidRPr="00F60A3D">
        <w:rPr>
          <w:lang w:val="fr-FR"/>
        </w:rPr>
        <w:t> </w:t>
      </w:r>
      <w:r w:rsidR="00FF5AD3" w:rsidRPr="00F60A3D">
        <w:rPr>
          <w:lang w:val="fr-FR"/>
        </w:rPr>
        <w:t>335/2009.</w:t>
      </w:r>
      <w:r w:rsidR="00731982" w:rsidRPr="00F60A3D">
        <w:rPr>
          <w:lang w:val="fr-FR"/>
        </w:rPr>
        <w:t xml:space="preserve"> </w:t>
      </w:r>
    </w:p>
    <w:p w:rsidR="00DB5D9E" w:rsidRPr="00F60A3D" w:rsidRDefault="005063FC" w:rsidP="005063FC">
      <w:pPr>
        <w:pStyle w:val="H23G"/>
        <w:rPr>
          <w:lang w:val="fr-FR"/>
        </w:rPr>
      </w:pPr>
      <w:r w:rsidRPr="00F60A3D">
        <w:rPr>
          <w:lang w:val="fr-FR"/>
        </w:rPr>
        <w:tab/>
      </w:r>
      <w:r w:rsidRPr="00F60A3D">
        <w:rPr>
          <w:lang w:val="fr-FR"/>
        </w:rPr>
        <w:tab/>
      </w:r>
      <w:r w:rsidR="00C551AD" w:rsidRPr="00F60A3D">
        <w:rPr>
          <w:lang w:val="fr-FR"/>
        </w:rPr>
        <w:t>Maintien</w:t>
      </w:r>
      <w:r w:rsidR="00FF5AD3" w:rsidRPr="00F60A3D">
        <w:rPr>
          <w:lang w:val="fr-FR"/>
        </w:rPr>
        <w:t xml:space="preserve"> des droits fondamentaux </w:t>
      </w:r>
    </w:p>
    <w:p w:rsidR="00DB5D9E" w:rsidRPr="00F60A3D" w:rsidRDefault="00F21423" w:rsidP="006F03D7">
      <w:pPr>
        <w:pStyle w:val="SingleTxtG"/>
        <w:rPr>
          <w:lang w:val="fr-FR"/>
        </w:rPr>
      </w:pPr>
      <w:r w:rsidRPr="00F60A3D">
        <w:rPr>
          <w:lang w:val="fr-FR"/>
        </w:rPr>
        <w:t>179</w:t>
      </w:r>
      <w:r w:rsidR="00013A97" w:rsidRPr="00F60A3D">
        <w:rPr>
          <w:lang w:val="fr-FR"/>
        </w:rPr>
        <w:t>.</w:t>
      </w:r>
      <w:r w:rsidR="00013A97" w:rsidRPr="00F60A3D">
        <w:rPr>
          <w:lang w:val="fr-FR"/>
        </w:rPr>
        <w:tab/>
        <w:t>la Loi fondamentale ne peut être modifiée que par ce q</w:t>
      </w:r>
      <w:r w:rsidR="00BB0B3E" w:rsidRPr="00F60A3D">
        <w:rPr>
          <w:lang w:val="fr-FR"/>
        </w:rPr>
        <w:t>ue l</w:t>
      </w:r>
      <w:r w:rsidR="00B17AE1" w:rsidRPr="00F60A3D">
        <w:rPr>
          <w:lang w:val="fr-FR"/>
        </w:rPr>
        <w:t>’</w:t>
      </w:r>
      <w:r w:rsidR="00BB0B3E" w:rsidRPr="00F60A3D">
        <w:rPr>
          <w:lang w:val="fr-FR"/>
        </w:rPr>
        <w:t xml:space="preserve">on appelle </w:t>
      </w:r>
      <w:r w:rsidR="00731982" w:rsidRPr="00F60A3D">
        <w:rPr>
          <w:lang w:val="fr-FR"/>
        </w:rPr>
        <w:t>«</w:t>
      </w:r>
      <w:r w:rsidR="00A55EE7" w:rsidRPr="00F60A3D">
        <w:rPr>
          <w:lang w:val="fr-FR"/>
        </w:rPr>
        <w:t xml:space="preserve">la procédure </w:t>
      </w:r>
      <w:r w:rsidR="00491C67" w:rsidRPr="00F60A3D">
        <w:rPr>
          <w:lang w:val="fr-FR"/>
        </w:rPr>
        <w:t>renforc</w:t>
      </w:r>
      <w:r w:rsidR="00BB0B3E" w:rsidRPr="00F60A3D">
        <w:rPr>
          <w:lang w:val="fr-FR"/>
        </w:rPr>
        <w:t>ée</w:t>
      </w:r>
      <w:r w:rsidR="00731982" w:rsidRPr="00F60A3D">
        <w:rPr>
          <w:lang w:val="fr-FR"/>
        </w:rPr>
        <w:t>»</w:t>
      </w:r>
      <w:r w:rsidR="00E4009D" w:rsidRPr="00F60A3D">
        <w:rPr>
          <w:lang w:val="fr-FR"/>
        </w:rPr>
        <w:t xml:space="preserve"> (</w:t>
      </w:r>
      <w:r w:rsidR="00731982" w:rsidRPr="00F60A3D">
        <w:rPr>
          <w:lang w:val="fr-FR"/>
        </w:rPr>
        <w:t>art. </w:t>
      </w:r>
      <w:r w:rsidR="00013A97" w:rsidRPr="00F60A3D">
        <w:rPr>
          <w:lang w:val="fr-FR"/>
        </w:rPr>
        <w:t>138). L</w:t>
      </w:r>
      <w:r w:rsidR="00B17AE1" w:rsidRPr="00F60A3D">
        <w:rPr>
          <w:lang w:val="fr-FR"/>
        </w:rPr>
        <w:t>’</w:t>
      </w:r>
      <w:r w:rsidR="00013A97" w:rsidRPr="00F60A3D">
        <w:rPr>
          <w:lang w:val="fr-FR"/>
        </w:rPr>
        <w:t>Assemblée constit</w:t>
      </w:r>
      <w:r w:rsidR="00674947" w:rsidRPr="00F60A3D">
        <w:rPr>
          <w:lang w:val="fr-FR"/>
        </w:rPr>
        <w:t>uante visait ainsi à créer une C</w:t>
      </w:r>
      <w:r w:rsidR="00013A97" w:rsidRPr="00F60A3D">
        <w:rPr>
          <w:lang w:val="fr-FR"/>
        </w:rPr>
        <w:t>onstitution</w:t>
      </w:r>
      <w:r w:rsidR="00674947" w:rsidRPr="00F60A3D">
        <w:rPr>
          <w:lang w:val="fr-FR"/>
        </w:rPr>
        <w:t xml:space="preserve"> difficilement révocable</w:t>
      </w:r>
      <w:r w:rsidR="00013A97" w:rsidRPr="00F60A3D">
        <w:rPr>
          <w:lang w:val="fr-FR"/>
        </w:rPr>
        <w:t xml:space="preserve"> par le Parlement. </w:t>
      </w:r>
    </w:p>
    <w:p w:rsidR="00013A97" w:rsidRPr="00F60A3D" w:rsidRDefault="00224935" w:rsidP="006F03D7">
      <w:pPr>
        <w:pStyle w:val="SingleTxtG"/>
        <w:rPr>
          <w:lang w:val="fr-FR"/>
        </w:rPr>
      </w:pPr>
      <w:r w:rsidRPr="00F60A3D">
        <w:rPr>
          <w:lang w:val="fr-FR"/>
        </w:rPr>
        <w:t>180.</w:t>
      </w:r>
      <w:r w:rsidR="001D2CCC" w:rsidRPr="00F60A3D">
        <w:rPr>
          <w:lang w:val="fr-FR"/>
        </w:rPr>
        <w:tab/>
      </w:r>
      <w:r w:rsidR="009F5A5E" w:rsidRPr="00F60A3D">
        <w:rPr>
          <w:lang w:val="fr-FR"/>
        </w:rPr>
        <w:t>L</w:t>
      </w:r>
      <w:r w:rsidR="00B17AE1" w:rsidRPr="00F60A3D">
        <w:rPr>
          <w:lang w:val="fr-FR"/>
        </w:rPr>
        <w:t>’</w:t>
      </w:r>
      <w:r w:rsidR="00D26282" w:rsidRPr="00F60A3D">
        <w:rPr>
          <w:lang w:val="fr-FR"/>
        </w:rPr>
        <w:t>article </w:t>
      </w:r>
      <w:r w:rsidR="009F5A5E" w:rsidRPr="00F60A3D">
        <w:rPr>
          <w:lang w:val="fr-FR"/>
        </w:rPr>
        <w:t>139 souligne</w:t>
      </w:r>
      <w:r w:rsidR="00013A97" w:rsidRPr="00F60A3D">
        <w:rPr>
          <w:lang w:val="fr-FR"/>
        </w:rPr>
        <w:t xml:space="preserve"> notamment que les modifica</w:t>
      </w:r>
      <w:r w:rsidR="009860D3" w:rsidRPr="00F60A3D">
        <w:rPr>
          <w:lang w:val="fr-FR"/>
        </w:rPr>
        <w:t xml:space="preserve">tions de la Constitution sont </w:t>
      </w:r>
      <w:r w:rsidR="00102E6A" w:rsidRPr="00F60A3D">
        <w:rPr>
          <w:lang w:val="fr-FR"/>
        </w:rPr>
        <w:t>irreceva</w:t>
      </w:r>
      <w:r w:rsidR="00013A97" w:rsidRPr="00F60A3D">
        <w:rPr>
          <w:lang w:val="fr-FR"/>
        </w:rPr>
        <w:t>bles</w:t>
      </w:r>
      <w:r w:rsidR="00102E6A" w:rsidRPr="00F60A3D">
        <w:rPr>
          <w:lang w:val="fr-FR"/>
        </w:rPr>
        <w:t xml:space="preserve"> si elles portent atteinte à</w:t>
      </w:r>
      <w:r w:rsidR="00013A97" w:rsidRPr="00F60A3D">
        <w:rPr>
          <w:lang w:val="fr-FR"/>
        </w:rPr>
        <w:t xml:space="preserve"> la décision fond</w:t>
      </w:r>
      <w:r w:rsidR="001762C1" w:rsidRPr="00F60A3D">
        <w:rPr>
          <w:lang w:val="fr-FR"/>
        </w:rPr>
        <w:t>amentale adoptée à l</w:t>
      </w:r>
      <w:r w:rsidR="00B17AE1" w:rsidRPr="00F60A3D">
        <w:rPr>
          <w:lang w:val="fr-FR"/>
        </w:rPr>
        <w:t>’</w:t>
      </w:r>
      <w:r w:rsidR="00D26282" w:rsidRPr="00F60A3D">
        <w:rPr>
          <w:lang w:val="fr-FR"/>
        </w:rPr>
        <w:t>article 1</w:t>
      </w:r>
      <w:r w:rsidR="00A172F0" w:rsidRPr="00F60A3D">
        <w:rPr>
          <w:vertAlign w:val="superscript"/>
          <w:lang w:val="fr-FR"/>
        </w:rPr>
        <w:t>er</w:t>
      </w:r>
      <w:r w:rsidR="00013A97" w:rsidRPr="00F60A3D">
        <w:rPr>
          <w:lang w:val="fr-FR"/>
        </w:rPr>
        <w:t xml:space="preserve"> d</w:t>
      </w:r>
      <w:r w:rsidR="00B17AE1" w:rsidRPr="00F60A3D">
        <w:rPr>
          <w:lang w:val="fr-FR"/>
        </w:rPr>
        <w:t>’</w:t>
      </w:r>
      <w:r w:rsidR="00013A97" w:rsidRPr="00F60A3D">
        <w:rPr>
          <w:lang w:val="fr-FR"/>
        </w:rPr>
        <w:t>opter pour une forme républicaine,</w:t>
      </w:r>
      <w:r w:rsidR="00674947" w:rsidRPr="00F60A3D">
        <w:rPr>
          <w:lang w:val="fr-FR"/>
        </w:rPr>
        <w:t xml:space="preserve"> démocratique et sociale de l</w:t>
      </w:r>
      <w:r w:rsidR="00B17AE1" w:rsidRPr="00F60A3D">
        <w:rPr>
          <w:lang w:val="fr-FR"/>
        </w:rPr>
        <w:t>’</w:t>
      </w:r>
      <w:r w:rsidR="00674947" w:rsidRPr="00F60A3D">
        <w:rPr>
          <w:lang w:val="fr-FR"/>
        </w:rPr>
        <w:t>É</w:t>
      </w:r>
      <w:r w:rsidR="00E4009D" w:rsidRPr="00F60A3D">
        <w:rPr>
          <w:lang w:val="fr-FR"/>
        </w:rPr>
        <w:t xml:space="preserve">tat: </w:t>
      </w:r>
      <w:r w:rsidR="00731982" w:rsidRPr="00F60A3D">
        <w:rPr>
          <w:lang w:val="fr-FR"/>
        </w:rPr>
        <w:t>«</w:t>
      </w:r>
      <w:r w:rsidR="00013A97" w:rsidRPr="00F60A3D">
        <w:rPr>
          <w:lang w:val="fr-FR"/>
        </w:rPr>
        <w:t>La forme républic</w:t>
      </w:r>
      <w:r w:rsidR="00674947" w:rsidRPr="00F60A3D">
        <w:rPr>
          <w:lang w:val="fr-FR"/>
        </w:rPr>
        <w:t>aine de l</w:t>
      </w:r>
      <w:r w:rsidR="00B17AE1" w:rsidRPr="00F60A3D">
        <w:rPr>
          <w:lang w:val="fr-FR"/>
        </w:rPr>
        <w:t>’</w:t>
      </w:r>
      <w:r w:rsidR="00674947" w:rsidRPr="00F60A3D">
        <w:rPr>
          <w:lang w:val="fr-FR"/>
        </w:rPr>
        <w:t>É</w:t>
      </w:r>
      <w:r w:rsidR="00013A97" w:rsidRPr="00F60A3D">
        <w:rPr>
          <w:lang w:val="fr-FR"/>
        </w:rPr>
        <w:t>tat italien ne peut faire l</w:t>
      </w:r>
      <w:r w:rsidR="00B17AE1" w:rsidRPr="00F60A3D">
        <w:rPr>
          <w:lang w:val="fr-FR"/>
        </w:rPr>
        <w:t>’</w:t>
      </w:r>
      <w:r w:rsidR="00013A97" w:rsidRPr="00F60A3D">
        <w:rPr>
          <w:lang w:val="fr-FR"/>
        </w:rPr>
        <w:t xml:space="preserve">objet </w:t>
      </w:r>
      <w:r w:rsidR="009F5A5E" w:rsidRPr="00F60A3D">
        <w:rPr>
          <w:lang w:val="fr-FR"/>
        </w:rPr>
        <w:t>d</w:t>
      </w:r>
      <w:r w:rsidR="00B17AE1" w:rsidRPr="00F60A3D">
        <w:rPr>
          <w:lang w:val="fr-FR"/>
        </w:rPr>
        <w:t>’</w:t>
      </w:r>
      <w:r w:rsidR="009F5A5E" w:rsidRPr="00F60A3D">
        <w:rPr>
          <w:lang w:val="fr-FR"/>
        </w:rPr>
        <w:t>une modification</w:t>
      </w:r>
      <w:r w:rsidR="00731982" w:rsidRPr="00F60A3D">
        <w:rPr>
          <w:lang w:val="fr-FR"/>
        </w:rPr>
        <w:t>»</w:t>
      </w:r>
      <w:r w:rsidR="00E4009D" w:rsidRPr="00F60A3D">
        <w:rPr>
          <w:lang w:val="fr-FR"/>
        </w:rPr>
        <w:t xml:space="preserve"> (</w:t>
      </w:r>
      <w:r w:rsidR="00731982" w:rsidRPr="00F60A3D">
        <w:rPr>
          <w:lang w:val="fr-FR"/>
        </w:rPr>
        <w:t>art. </w:t>
      </w:r>
      <w:r w:rsidR="00013A97" w:rsidRPr="00F60A3D">
        <w:rPr>
          <w:lang w:val="fr-FR"/>
        </w:rPr>
        <w:t xml:space="preserve">139). </w:t>
      </w:r>
    </w:p>
    <w:p w:rsidR="00470DF9" w:rsidRPr="00F60A3D" w:rsidRDefault="00F21423" w:rsidP="0032758D">
      <w:pPr>
        <w:pStyle w:val="SingleTxtG"/>
        <w:rPr>
          <w:lang w:val="fr-FR"/>
        </w:rPr>
      </w:pPr>
      <w:r w:rsidRPr="00F60A3D">
        <w:rPr>
          <w:lang w:val="fr-FR"/>
        </w:rPr>
        <w:t>181</w:t>
      </w:r>
      <w:r w:rsidR="00470DF9" w:rsidRPr="00F60A3D">
        <w:rPr>
          <w:lang w:val="fr-FR"/>
        </w:rPr>
        <w:t>.</w:t>
      </w:r>
      <w:r w:rsidR="00470DF9" w:rsidRPr="00F60A3D">
        <w:rPr>
          <w:lang w:val="fr-FR"/>
        </w:rPr>
        <w:tab/>
        <w:t>Qui plus est, l</w:t>
      </w:r>
      <w:r w:rsidR="002C5065" w:rsidRPr="00F60A3D">
        <w:rPr>
          <w:lang w:val="fr-FR"/>
        </w:rPr>
        <w:t xml:space="preserve">es droits fondamentaux </w:t>
      </w:r>
      <w:r w:rsidR="001C1175" w:rsidRPr="00F60A3D">
        <w:rPr>
          <w:lang w:val="fr-FR"/>
        </w:rPr>
        <w:t>peu</w:t>
      </w:r>
      <w:r w:rsidR="002C5065" w:rsidRPr="00F60A3D">
        <w:rPr>
          <w:lang w:val="fr-FR"/>
        </w:rPr>
        <w:t>vent seulement être soumis aux</w:t>
      </w:r>
      <w:r w:rsidR="00470DF9" w:rsidRPr="00F60A3D">
        <w:rPr>
          <w:lang w:val="fr-FR"/>
        </w:rPr>
        <w:t xml:space="preserve"> restriction</w:t>
      </w:r>
      <w:r w:rsidR="001C1175" w:rsidRPr="00F60A3D">
        <w:rPr>
          <w:lang w:val="fr-FR"/>
        </w:rPr>
        <w:t>s spécifiées dans</w:t>
      </w:r>
      <w:r w:rsidR="00C664CE" w:rsidRPr="00F60A3D">
        <w:rPr>
          <w:lang w:val="fr-FR"/>
        </w:rPr>
        <w:t xml:space="preserve"> la Loi fondamentale</w:t>
      </w:r>
      <w:r w:rsidR="00470DF9" w:rsidRPr="00F60A3D">
        <w:rPr>
          <w:lang w:val="fr-FR"/>
        </w:rPr>
        <w:t xml:space="preserve"> elle-même et qui y sont énoncées. Dans tous les c</w:t>
      </w:r>
      <w:r w:rsidR="00674947" w:rsidRPr="00F60A3D">
        <w:rPr>
          <w:lang w:val="fr-FR"/>
        </w:rPr>
        <w:t>as, le P</w:t>
      </w:r>
      <w:r w:rsidR="009F5A5E" w:rsidRPr="00F60A3D">
        <w:rPr>
          <w:lang w:val="fr-FR"/>
        </w:rPr>
        <w:t xml:space="preserve">arlement </w:t>
      </w:r>
      <w:r w:rsidR="00470DF9" w:rsidRPr="00F60A3D">
        <w:rPr>
          <w:lang w:val="fr-FR"/>
        </w:rPr>
        <w:t xml:space="preserve">dispose </w:t>
      </w:r>
      <w:r w:rsidR="009F5A5E" w:rsidRPr="00F60A3D">
        <w:rPr>
          <w:lang w:val="fr-FR"/>
        </w:rPr>
        <w:t>uni</w:t>
      </w:r>
      <w:r w:rsidR="00470DF9" w:rsidRPr="00F60A3D">
        <w:rPr>
          <w:lang w:val="fr-FR"/>
        </w:rPr>
        <w:t>que</w:t>
      </w:r>
      <w:r w:rsidR="009F5A5E" w:rsidRPr="00F60A3D">
        <w:rPr>
          <w:lang w:val="fr-FR"/>
        </w:rPr>
        <w:t>ment</w:t>
      </w:r>
      <w:r w:rsidR="00470DF9" w:rsidRPr="00F60A3D">
        <w:rPr>
          <w:lang w:val="fr-FR"/>
        </w:rPr>
        <w:t xml:space="preserve"> des pouvoirs et des fonctions prév</w:t>
      </w:r>
      <w:r w:rsidR="00E4009D" w:rsidRPr="00F60A3D">
        <w:rPr>
          <w:lang w:val="fr-FR"/>
        </w:rPr>
        <w:t>us par la Constitution (</w:t>
      </w:r>
      <w:r w:rsidR="00731982" w:rsidRPr="00F60A3D">
        <w:rPr>
          <w:lang w:val="fr-FR"/>
        </w:rPr>
        <w:t>art. </w:t>
      </w:r>
      <w:r w:rsidR="0032758D">
        <w:rPr>
          <w:lang w:val="fr-FR"/>
        </w:rPr>
        <w:t xml:space="preserve">55 et </w:t>
      </w:r>
      <w:proofErr w:type="spellStart"/>
      <w:r w:rsidR="0032758D">
        <w:rPr>
          <w:lang w:val="fr-FR"/>
        </w:rPr>
        <w:t>suiv</w:t>
      </w:r>
      <w:proofErr w:type="spellEnd"/>
      <w:r w:rsidR="0032758D">
        <w:rPr>
          <w:lang w:val="fr-FR"/>
        </w:rPr>
        <w:t>.</w:t>
      </w:r>
      <w:r w:rsidR="00470DF9" w:rsidRPr="00F60A3D">
        <w:rPr>
          <w:lang w:val="fr-FR"/>
        </w:rPr>
        <w:t xml:space="preserve">). </w:t>
      </w:r>
    </w:p>
    <w:p w:rsidR="00DB5D9E" w:rsidRPr="00F60A3D" w:rsidRDefault="005063FC" w:rsidP="005063FC">
      <w:pPr>
        <w:pStyle w:val="H23G"/>
        <w:rPr>
          <w:lang w:val="fr-FR"/>
        </w:rPr>
      </w:pPr>
      <w:r w:rsidRPr="00F60A3D">
        <w:rPr>
          <w:lang w:val="fr-FR"/>
        </w:rPr>
        <w:tab/>
      </w:r>
      <w:r w:rsidRPr="00F60A3D">
        <w:rPr>
          <w:lang w:val="fr-FR"/>
        </w:rPr>
        <w:tab/>
      </w:r>
      <w:r w:rsidR="00233979" w:rsidRPr="00F60A3D">
        <w:rPr>
          <w:lang w:val="fr-FR"/>
        </w:rPr>
        <w:t>Mise en œuvre</w:t>
      </w:r>
      <w:r w:rsidR="00470DF9" w:rsidRPr="00F60A3D">
        <w:rPr>
          <w:lang w:val="fr-FR"/>
        </w:rPr>
        <w:t xml:space="preserve"> des droits fondamen</w:t>
      </w:r>
      <w:r w:rsidR="00703FD9" w:rsidRPr="00F60A3D">
        <w:rPr>
          <w:lang w:val="fr-FR"/>
        </w:rPr>
        <w:t>t</w:t>
      </w:r>
      <w:r w:rsidR="00470DF9" w:rsidRPr="00F60A3D">
        <w:rPr>
          <w:lang w:val="fr-FR"/>
        </w:rPr>
        <w:t xml:space="preserve">aux internes </w:t>
      </w:r>
    </w:p>
    <w:p w:rsidR="00DB5D9E" w:rsidRPr="00F60A3D" w:rsidRDefault="00F21423" w:rsidP="00224935">
      <w:pPr>
        <w:pStyle w:val="SingleTxtG"/>
        <w:rPr>
          <w:lang w:val="fr-FR"/>
        </w:rPr>
      </w:pPr>
      <w:r w:rsidRPr="00F60A3D">
        <w:rPr>
          <w:lang w:val="fr-FR"/>
        </w:rPr>
        <w:t>182</w:t>
      </w:r>
      <w:r w:rsidR="00470DF9" w:rsidRPr="00F60A3D">
        <w:rPr>
          <w:lang w:val="fr-FR"/>
        </w:rPr>
        <w:t>.</w:t>
      </w:r>
      <w:r w:rsidR="00470DF9" w:rsidRPr="00F60A3D">
        <w:rPr>
          <w:lang w:val="fr-FR"/>
        </w:rPr>
        <w:tab/>
        <w:t>Le respect des droits de l</w:t>
      </w:r>
      <w:r w:rsidR="00B17AE1" w:rsidRPr="00F60A3D">
        <w:rPr>
          <w:lang w:val="fr-FR"/>
        </w:rPr>
        <w:t>’</w:t>
      </w:r>
      <w:r w:rsidR="004F619C" w:rsidRPr="00F60A3D">
        <w:rPr>
          <w:lang w:val="fr-FR"/>
        </w:rPr>
        <w:t>homme, inscrit</w:t>
      </w:r>
      <w:r w:rsidR="00470DF9" w:rsidRPr="00F60A3D">
        <w:rPr>
          <w:lang w:val="fr-FR"/>
        </w:rPr>
        <w:t xml:space="preserve"> dans les Constitutions européennes depuis le XIX</w:t>
      </w:r>
      <w:r w:rsidR="00470DF9" w:rsidRPr="00F60A3D">
        <w:rPr>
          <w:vertAlign w:val="superscript"/>
          <w:lang w:val="fr-FR"/>
        </w:rPr>
        <w:t>e</w:t>
      </w:r>
      <w:r w:rsidR="006F03D7" w:rsidRPr="00F60A3D">
        <w:rPr>
          <w:lang w:val="fr-FR"/>
        </w:rPr>
        <w:t> </w:t>
      </w:r>
      <w:r w:rsidR="00470DF9" w:rsidRPr="00F60A3D">
        <w:rPr>
          <w:lang w:val="fr-FR"/>
        </w:rPr>
        <w:t>siècle, remonte aux rév</w:t>
      </w:r>
      <w:r w:rsidR="0002109B" w:rsidRPr="00F60A3D">
        <w:rPr>
          <w:lang w:val="fr-FR"/>
        </w:rPr>
        <w:t>olutions du XVIII</w:t>
      </w:r>
      <w:r w:rsidR="00224935" w:rsidRPr="00F60A3D">
        <w:rPr>
          <w:vertAlign w:val="superscript"/>
          <w:lang w:val="fr-FR"/>
        </w:rPr>
        <w:t>e</w:t>
      </w:r>
      <w:r w:rsidR="00224935" w:rsidRPr="00F60A3D">
        <w:rPr>
          <w:lang w:val="fr-FR"/>
        </w:rPr>
        <w:t xml:space="preserve"> </w:t>
      </w:r>
      <w:r w:rsidR="00470DF9" w:rsidRPr="00F60A3D">
        <w:rPr>
          <w:lang w:val="fr-FR"/>
        </w:rPr>
        <w:t>(Révolution américaine (1775</w:t>
      </w:r>
      <w:r w:rsidR="006F03D7" w:rsidRPr="00F60A3D">
        <w:rPr>
          <w:lang w:val="fr-FR"/>
        </w:rPr>
        <w:t>-</w:t>
      </w:r>
      <w:r w:rsidR="00470DF9" w:rsidRPr="00F60A3D">
        <w:rPr>
          <w:lang w:val="fr-FR"/>
        </w:rPr>
        <w:t>1783) et Révolution française (1789</w:t>
      </w:r>
      <w:r w:rsidR="006F03D7" w:rsidRPr="00F60A3D">
        <w:rPr>
          <w:lang w:val="fr-FR"/>
        </w:rPr>
        <w:t>-</w:t>
      </w:r>
      <w:r w:rsidR="00470DF9" w:rsidRPr="00F60A3D">
        <w:rPr>
          <w:lang w:val="fr-FR"/>
        </w:rPr>
        <w:t>1799)).</w:t>
      </w:r>
      <w:r w:rsidR="00731982" w:rsidRPr="00F60A3D">
        <w:rPr>
          <w:lang w:val="fr-FR"/>
        </w:rPr>
        <w:t xml:space="preserve"> </w:t>
      </w:r>
    </w:p>
    <w:p w:rsidR="00470DF9" w:rsidRPr="00F60A3D" w:rsidRDefault="00224935" w:rsidP="006F03D7">
      <w:pPr>
        <w:pStyle w:val="SingleTxtG"/>
        <w:rPr>
          <w:lang w:val="fr-FR"/>
        </w:rPr>
      </w:pPr>
      <w:r w:rsidRPr="00F60A3D">
        <w:rPr>
          <w:lang w:val="fr-FR"/>
        </w:rPr>
        <w:t>183.</w:t>
      </w:r>
      <w:r w:rsidR="001D2CCC" w:rsidRPr="00F60A3D">
        <w:rPr>
          <w:lang w:val="fr-FR"/>
        </w:rPr>
        <w:tab/>
      </w:r>
      <w:r w:rsidR="00470DF9" w:rsidRPr="00F60A3D">
        <w:rPr>
          <w:lang w:val="fr-FR"/>
        </w:rPr>
        <w:t>Les droits</w:t>
      </w:r>
      <w:r w:rsidR="00703FD9" w:rsidRPr="00F60A3D">
        <w:rPr>
          <w:lang w:val="fr-FR"/>
        </w:rPr>
        <w:t xml:space="preserve"> fondamentaux énoncés dans la C</w:t>
      </w:r>
      <w:r w:rsidR="00470DF9" w:rsidRPr="00F60A3D">
        <w:rPr>
          <w:lang w:val="fr-FR"/>
        </w:rPr>
        <w:t>onstitution sont contraignant</w:t>
      </w:r>
      <w:r w:rsidR="00703FD9" w:rsidRPr="00F60A3D">
        <w:rPr>
          <w:lang w:val="fr-FR"/>
        </w:rPr>
        <w:t>s</w:t>
      </w:r>
      <w:r w:rsidR="00470DF9" w:rsidRPr="00F60A3D">
        <w:rPr>
          <w:lang w:val="fr-FR"/>
        </w:rPr>
        <w:t xml:space="preserve"> pour les pouvoirs législatif, </w:t>
      </w:r>
      <w:r w:rsidR="00082772" w:rsidRPr="00F60A3D">
        <w:rPr>
          <w:lang w:val="fr-FR"/>
        </w:rPr>
        <w:t>exécutif et judiciaire (</w:t>
      </w:r>
      <w:r w:rsidR="00731982" w:rsidRPr="00F60A3D">
        <w:rPr>
          <w:lang w:val="fr-FR"/>
        </w:rPr>
        <w:t>art. </w:t>
      </w:r>
      <w:r w:rsidR="0032758D">
        <w:rPr>
          <w:lang w:val="fr-FR"/>
        </w:rPr>
        <w:t xml:space="preserve">2, 3, 13 et </w:t>
      </w:r>
      <w:proofErr w:type="spellStart"/>
      <w:r w:rsidR="0032758D">
        <w:rPr>
          <w:lang w:val="fr-FR"/>
        </w:rPr>
        <w:t>suiv</w:t>
      </w:r>
      <w:proofErr w:type="spellEnd"/>
      <w:r w:rsidR="0032758D">
        <w:rPr>
          <w:lang w:val="fr-FR"/>
        </w:rPr>
        <w:t>.</w:t>
      </w:r>
      <w:r w:rsidR="00470DF9" w:rsidRPr="00F60A3D">
        <w:rPr>
          <w:lang w:val="fr-FR"/>
        </w:rPr>
        <w:t>). Les tribunaux indépendant</w:t>
      </w:r>
      <w:r w:rsidR="00703FD9" w:rsidRPr="00F60A3D">
        <w:rPr>
          <w:lang w:val="fr-FR"/>
        </w:rPr>
        <w:t>s</w:t>
      </w:r>
      <w:r w:rsidR="00470DF9" w:rsidRPr="00F60A3D">
        <w:rPr>
          <w:lang w:val="fr-FR"/>
        </w:rPr>
        <w:t xml:space="preserve"> </w:t>
      </w:r>
      <w:r w:rsidR="00470DF9" w:rsidRPr="00F60A3D">
        <w:rPr>
          <w:lang w:val="fr-FR"/>
        </w:rPr>
        <w:lastRenderedPageBreak/>
        <w:t>en assure</w:t>
      </w:r>
      <w:r w:rsidR="00703FD9" w:rsidRPr="00F60A3D">
        <w:rPr>
          <w:lang w:val="fr-FR"/>
        </w:rPr>
        <w:t>nt</w:t>
      </w:r>
      <w:r w:rsidR="00470DF9" w:rsidRPr="00F60A3D">
        <w:rPr>
          <w:lang w:val="fr-FR"/>
        </w:rPr>
        <w:t xml:space="preserve"> la protection. Les </w:t>
      </w:r>
      <w:r w:rsidR="00D26282" w:rsidRPr="00F60A3D">
        <w:rPr>
          <w:lang w:val="fr-FR"/>
        </w:rPr>
        <w:t>articles </w:t>
      </w:r>
      <w:r w:rsidR="00470DF9" w:rsidRPr="00F60A3D">
        <w:rPr>
          <w:lang w:val="fr-FR"/>
        </w:rPr>
        <w:t xml:space="preserve">24 et 25 permettent à toute personne </w:t>
      </w:r>
      <w:r w:rsidR="0099398E" w:rsidRPr="00F60A3D">
        <w:rPr>
          <w:lang w:val="fr-FR"/>
        </w:rPr>
        <w:t>don</w:t>
      </w:r>
      <w:r w:rsidR="00470DF9" w:rsidRPr="00F60A3D">
        <w:rPr>
          <w:lang w:val="fr-FR"/>
        </w:rPr>
        <w:t>t les droits fondament</w:t>
      </w:r>
      <w:r w:rsidR="00703FD9" w:rsidRPr="00F60A3D">
        <w:rPr>
          <w:lang w:val="fr-FR"/>
        </w:rPr>
        <w:t xml:space="preserve">aux ont été violés, </w:t>
      </w:r>
      <w:r w:rsidR="00470DF9" w:rsidRPr="00F60A3D">
        <w:rPr>
          <w:lang w:val="fr-FR"/>
        </w:rPr>
        <w:t>d</w:t>
      </w:r>
      <w:r w:rsidR="00B17AE1" w:rsidRPr="00F60A3D">
        <w:rPr>
          <w:lang w:val="fr-FR"/>
        </w:rPr>
        <w:t>’</w:t>
      </w:r>
      <w:r w:rsidR="0099398E" w:rsidRPr="00F60A3D">
        <w:rPr>
          <w:lang w:val="fr-FR"/>
        </w:rPr>
        <w:t>ester en justice</w:t>
      </w:r>
      <w:r w:rsidR="00470DF9" w:rsidRPr="00F60A3D">
        <w:rPr>
          <w:lang w:val="fr-FR"/>
        </w:rPr>
        <w:t xml:space="preserve">. </w:t>
      </w:r>
    </w:p>
    <w:p w:rsidR="00703FD9" w:rsidRPr="00F60A3D" w:rsidRDefault="00F21423" w:rsidP="005063FC">
      <w:pPr>
        <w:pStyle w:val="SingleTxtG"/>
        <w:rPr>
          <w:lang w:val="fr-FR"/>
        </w:rPr>
      </w:pPr>
      <w:r w:rsidRPr="00F60A3D">
        <w:rPr>
          <w:lang w:val="fr-FR"/>
        </w:rPr>
        <w:t>18</w:t>
      </w:r>
      <w:r w:rsidR="00703FD9" w:rsidRPr="00F60A3D">
        <w:rPr>
          <w:lang w:val="fr-FR"/>
        </w:rPr>
        <w:t>4.</w:t>
      </w:r>
      <w:r w:rsidR="00703FD9" w:rsidRPr="00F60A3D">
        <w:rPr>
          <w:lang w:val="fr-FR"/>
        </w:rPr>
        <w:tab/>
        <w:t>La conformité au droit et le respect des droits fondamentaux ont des</w:t>
      </w:r>
      <w:r w:rsidR="00A20C8A" w:rsidRPr="00F60A3D">
        <w:rPr>
          <w:lang w:val="fr-FR"/>
        </w:rPr>
        <w:t xml:space="preserve"> incidences à tous les niveaux, </w:t>
      </w:r>
      <w:r w:rsidR="0031352B" w:rsidRPr="00F60A3D">
        <w:rPr>
          <w:lang w:val="fr-FR"/>
        </w:rPr>
        <w:t>par l</w:t>
      </w:r>
      <w:r w:rsidR="00B17AE1" w:rsidRPr="00F60A3D">
        <w:rPr>
          <w:lang w:val="fr-FR"/>
        </w:rPr>
        <w:t>’</w:t>
      </w:r>
      <w:r w:rsidR="0031352B" w:rsidRPr="00F60A3D">
        <w:rPr>
          <w:lang w:val="fr-FR"/>
        </w:rPr>
        <w:t>application des lois (car</w:t>
      </w:r>
      <w:r w:rsidR="00A20C8A" w:rsidRPr="00F60A3D">
        <w:rPr>
          <w:lang w:val="fr-FR"/>
        </w:rPr>
        <w:t xml:space="preserve"> les dispositions doivent être interprétées à la lumière des droits fondamentaux protégés par la Constitution)</w:t>
      </w:r>
      <w:r w:rsidR="00233979" w:rsidRPr="00F60A3D">
        <w:rPr>
          <w:lang w:val="fr-FR"/>
        </w:rPr>
        <w:t>,</w:t>
      </w:r>
      <w:r w:rsidR="00A20C8A" w:rsidRPr="00F60A3D">
        <w:rPr>
          <w:lang w:val="fr-FR"/>
        </w:rPr>
        <w:t xml:space="preserve"> et par l</w:t>
      </w:r>
      <w:r w:rsidR="00B17AE1" w:rsidRPr="00F60A3D">
        <w:rPr>
          <w:lang w:val="fr-FR"/>
        </w:rPr>
        <w:t>’</w:t>
      </w:r>
      <w:r w:rsidR="00A20C8A" w:rsidRPr="00F60A3D">
        <w:rPr>
          <w:lang w:val="fr-FR"/>
        </w:rPr>
        <w:t>activité des tribunaux et des autorités qu</w:t>
      </w:r>
      <w:r w:rsidR="00233EDC" w:rsidRPr="00F60A3D">
        <w:rPr>
          <w:lang w:val="fr-FR"/>
        </w:rPr>
        <w:t xml:space="preserve">i sont en permanence responsables de </w:t>
      </w:r>
      <w:r w:rsidR="00A20C8A" w:rsidRPr="00F60A3D">
        <w:rPr>
          <w:lang w:val="fr-FR"/>
        </w:rPr>
        <w:t>la protect</w:t>
      </w:r>
      <w:r w:rsidR="00233EDC" w:rsidRPr="00F60A3D">
        <w:rPr>
          <w:lang w:val="fr-FR"/>
        </w:rPr>
        <w:t>ion de ces droits lorsqu</w:t>
      </w:r>
      <w:r w:rsidR="00B17AE1" w:rsidRPr="00F60A3D">
        <w:rPr>
          <w:lang w:val="fr-FR"/>
        </w:rPr>
        <w:t>’</w:t>
      </w:r>
      <w:r w:rsidR="00233EDC" w:rsidRPr="00F60A3D">
        <w:rPr>
          <w:lang w:val="fr-FR"/>
        </w:rPr>
        <w:t>ils appliquent</w:t>
      </w:r>
      <w:r w:rsidR="00A20C8A" w:rsidRPr="00F60A3D">
        <w:rPr>
          <w:lang w:val="fr-FR"/>
        </w:rPr>
        <w:t xml:space="preserve"> les dispositions: le respect des droits fondamentaux n</w:t>
      </w:r>
      <w:r w:rsidR="00B17AE1" w:rsidRPr="00F60A3D">
        <w:rPr>
          <w:lang w:val="fr-FR"/>
        </w:rPr>
        <w:t>’</w:t>
      </w:r>
      <w:r w:rsidR="00B40D93" w:rsidRPr="00F60A3D">
        <w:rPr>
          <w:lang w:val="fr-FR"/>
        </w:rPr>
        <w:t>est donc pas seulement la pierre angulaire</w:t>
      </w:r>
      <w:r w:rsidR="000401F7" w:rsidRPr="00F60A3D">
        <w:rPr>
          <w:lang w:val="fr-FR"/>
        </w:rPr>
        <w:t xml:space="preserve"> de la Constitution écrite,</w:t>
      </w:r>
      <w:r w:rsidR="00B40D93" w:rsidRPr="00F60A3D">
        <w:rPr>
          <w:lang w:val="fr-FR"/>
        </w:rPr>
        <w:t xml:space="preserve"> il est</w:t>
      </w:r>
      <w:r w:rsidR="00A20C8A" w:rsidRPr="00F60A3D">
        <w:rPr>
          <w:lang w:val="fr-FR"/>
        </w:rPr>
        <w:t xml:space="preserve"> aussi </w:t>
      </w:r>
      <w:r w:rsidR="00B40D93" w:rsidRPr="00F60A3D">
        <w:rPr>
          <w:lang w:val="fr-FR"/>
        </w:rPr>
        <w:t xml:space="preserve">en pratique au </w:t>
      </w:r>
      <w:r w:rsidR="00233EDC" w:rsidRPr="00F60A3D">
        <w:rPr>
          <w:lang w:val="fr-FR"/>
        </w:rPr>
        <w:t>c</w:t>
      </w:r>
      <w:r w:rsidR="00B40D93" w:rsidRPr="00F60A3D">
        <w:rPr>
          <w:lang w:val="fr-FR"/>
        </w:rPr>
        <w:t>œur de l</w:t>
      </w:r>
      <w:r w:rsidR="00B17AE1" w:rsidRPr="00F60A3D">
        <w:rPr>
          <w:lang w:val="fr-FR"/>
        </w:rPr>
        <w:t>’</w:t>
      </w:r>
      <w:r w:rsidR="00B40D93" w:rsidRPr="00F60A3D">
        <w:rPr>
          <w:lang w:val="fr-FR"/>
        </w:rPr>
        <w:t>activité de l</w:t>
      </w:r>
      <w:r w:rsidR="00B17AE1" w:rsidRPr="00F60A3D">
        <w:rPr>
          <w:lang w:val="fr-FR"/>
        </w:rPr>
        <w:t>’</w:t>
      </w:r>
      <w:r w:rsidR="00B40D93" w:rsidRPr="00F60A3D">
        <w:rPr>
          <w:lang w:val="fr-FR"/>
        </w:rPr>
        <w:t>État. Na</w:t>
      </w:r>
      <w:r w:rsidR="00631E18" w:rsidRPr="00F60A3D">
        <w:rPr>
          <w:lang w:val="fr-FR"/>
        </w:rPr>
        <w:t>turellement, l</w:t>
      </w:r>
      <w:r w:rsidR="00B17AE1" w:rsidRPr="00F60A3D">
        <w:rPr>
          <w:lang w:val="fr-FR"/>
        </w:rPr>
        <w:t>’</w:t>
      </w:r>
      <w:r w:rsidR="00631E18" w:rsidRPr="00F60A3D">
        <w:rPr>
          <w:lang w:val="fr-FR"/>
        </w:rPr>
        <w:t>Italie observe aussi</w:t>
      </w:r>
      <w:r w:rsidR="00B40D93" w:rsidRPr="00F60A3D">
        <w:rPr>
          <w:lang w:val="fr-FR"/>
        </w:rPr>
        <w:t xml:space="preserve"> l</w:t>
      </w:r>
      <w:r w:rsidR="00B17AE1" w:rsidRPr="00F60A3D">
        <w:rPr>
          <w:lang w:val="fr-FR"/>
        </w:rPr>
        <w:t>’</w:t>
      </w:r>
      <w:r w:rsidR="00D26282" w:rsidRPr="00F60A3D">
        <w:rPr>
          <w:lang w:val="fr-FR"/>
        </w:rPr>
        <w:t>article </w:t>
      </w:r>
      <w:r w:rsidR="00B40D93" w:rsidRPr="00F60A3D">
        <w:rPr>
          <w:lang w:val="fr-FR"/>
        </w:rPr>
        <w:t xml:space="preserve">10 de la Constitution: </w:t>
      </w:r>
    </w:p>
    <w:p w:rsidR="00DB5D9E" w:rsidRPr="00F60A3D" w:rsidRDefault="00B40D93" w:rsidP="006F03D7">
      <w:pPr>
        <w:pStyle w:val="SingleTxtG"/>
        <w:ind w:left="1701"/>
        <w:rPr>
          <w:lang w:val="fr-FR"/>
        </w:rPr>
      </w:pPr>
      <w:r w:rsidRPr="00F60A3D">
        <w:rPr>
          <w:lang w:val="fr-FR"/>
        </w:rPr>
        <w:t>L</w:t>
      </w:r>
      <w:r w:rsidR="00B17AE1" w:rsidRPr="00F60A3D">
        <w:rPr>
          <w:lang w:val="fr-FR"/>
        </w:rPr>
        <w:t>’</w:t>
      </w:r>
      <w:r w:rsidRPr="00F60A3D">
        <w:rPr>
          <w:lang w:val="fr-FR"/>
        </w:rPr>
        <w:t>ordre juridique italien</w:t>
      </w:r>
      <w:r w:rsidR="00DB5D9E" w:rsidRPr="00F60A3D">
        <w:rPr>
          <w:lang w:val="fr-FR"/>
        </w:rPr>
        <w:t xml:space="preserve"> </w:t>
      </w:r>
      <w:r w:rsidR="000401F7" w:rsidRPr="00F60A3D">
        <w:rPr>
          <w:lang w:val="fr-FR"/>
        </w:rPr>
        <w:t>se conforme aux principes universellement admis</w:t>
      </w:r>
      <w:r w:rsidRPr="00F60A3D">
        <w:rPr>
          <w:lang w:val="fr-FR"/>
        </w:rPr>
        <w:t xml:space="preserve"> du d</w:t>
      </w:r>
      <w:r w:rsidR="000401F7" w:rsidRPr="00F60A3D">
        <w:rPr>
          <w:lang w:val="fr-FR"/>
        </w:rPr>
        <w:t>roit international</w:t>
      </w:r>
      <w:r w:rsidRPr="00F60A3D">
        <w:rPr>
          <w:lang w:val="fr-FR"/>
        </w:rPr>
        <w:t>.</w:t>
      </w:r>
    </w:p>
    <w:p w:rsidR="00DB5D9E" w:rsidRPr="00F60A3D" w:rsidRDefault="005063FC" w:rsidP="005063FC">
      <w:pPr>
        <w:pStyle w:val="H23G"/>
        <w:rPr>
          <w:lang w:val="fr-FR"/>
        </w:rPr>
      </w:pPr>
      <w:r w:rsidRPr="00F60A3D">
        <w:rPr>
          <w:lang w:val="fr-FR"/>
        </w:rPr>
        <w:tab/>
      </w:r>
      <w:r w:rsidRPr="00F60A3D">
        <w:rPr>
          <w:lang w:val="fr-FR"/>
        </w:rPr>
        <w:tab/>
      </w:r>
      <w:r w:rsidR="00B40D93" w:rsidRPr="00F60A3D">
        <w:rPr>
          <w:lang w:val="fr-FR"/>
        </w:rPr>
        <w:t>P</w:t>
      </w:r>
      <w:r w:rsidR="00DB5D9E" w:rsidRPr="00F60A3D">
        <w:rPr>
          <w:lang w:val="fr-FR"/>
        </w:rPr>
        <w:t>laint</w:t>
      </w:r>
      <w:r w:rsidR="00B40D93" w:rsidRPr="00F60A3D">
        <w:rPr>
          <w:lang w:val="fr-FR"/>
        </w:rPr>
        <w:t>es pour anticonstitutionnalité</w:t>
      </w:r>
    </w:p>
    <w:p w:rsidR="00B40D93" w:rsidRPr="00F60A3D" w:rsidRDefault="00F21423" w:rsidP="005063FC">
      <w:pPr>
        <w:pStyle w:val="SingleTxtG"/>
        <w:rPr>
          <w:lang w:val="fr-FR"/>
        </w:rPr>
      </w:pPr>
      <w:r w:rsidRPr="00F60A3D">
        <w:rPr>
          <w:lang w:val="fr-FR"/>
        </w:rPr>
        <w:t>18</w:t>
      </w:r>
      <w:r w:rsidR="00B40D93" w:rsidRPr="00F60A3D">
        <w:rPr>
          <w:lang w:val="fr-FR"/>
        </w:rPr>
        <w:t>5.</w:t>
      </w:r>
      <w:r w:rsidR="00B40D93" w:rsidRPr="00F60A3D">
        <w:rPr>
          <w:lang w:val="fr-FR"/>
        </w:rPr>
        <w:tab/>
        <w:t xml:space="preserve">Les arrêts de la Cour constitutionnelle italienne </w:t>
      </w:r>
      <w:r w:rsidR="001430D5" w:rsidRPr="00F60A3D">
        <w:rPr>
          <w:lang w:val="fr-FR"/>
        </w:rPr>
        <w:t>c</w:t>
      </w:r>
      <w:r w:rsidR="00252D01" w:rsidRPr="00F60A3D">
        <w:rPr>
          <w:lang w:val="fr-FR"/>
        </w:rPr>
        <w:t>ontribuent à ce qui précède</w:t>
      </w:r>
      <w:r w:rsidR="001430D5" w:rsidRPr="00F60A3D">
        <w:rPr>
          <w:lang w:val="fr-FR"/>
        </w:rPr>
        <w:t xml:space="preserve"> en interprétant la Constitution</w:t>
      </w:r>
      <w:r w:rsidR="00EE1108" w:rsidRPr="00F60A3D">
        <w:rPr>
          <w:lang w:val="fr-FR"/>
        </w:rPr>
        <w:t xml:space="preserve"> e</w:t>
      </w:r>
      <w:r w:rsidR="00B62DFD" w:rsidRPr="00F60A3D">
        <w:rPr>
          <w:lang w:val="fr-FR"/>
        </w:rPr>
        <w:t>t en préservant ainsi la norme</w:t>
      </w:r>
      <w:r w:rsidR="001430D5" w:rsidRPr="00F60A3D">
        <w:rPr>
          <w:lang w:val="fr-FR"/>
        </w:rPr>
        <w:t xml:space="preserve"> des droits fondamentaux. Les arrêts de la Cour sont contraignants pour les organes constitutionnels de l</w:t>
      </w:r>
      <w:r w:rsidR="00B17AE1" w:rsidRPr="00F60A3D">
        <w:rPr>
          <w:lang w:val="fr-FR"/>
        </w:rPr>
        <w:t>’</w:t>
      </w:r>
      <w:r w:rsidR="001430D5" w:rsidRPr="00F60A3D">
        <w:rPr>
          <w:lang w:val="fr-FR"/>
        </w:rPr>
        <w:t>État comme pour l</w:t>
      </w:r>
      <w:r w:rsidR="00B17AE1" w:rsidRPr="00F60A3D">
        <w:rPr>
          <w:lang w:val="fr-FR"/>
        </w:rPr>
        <w:t>’</w:t>
      </w:r>
      <w:r w:rsidR="001430D5" w:rsidRPr="00F60A3D">
        <w:rPr>
          <w:lang w:val="fr-FR"/>
        </w:rPr>
        <w:t>ensemble des tribunaux et des autorités</w:t>
      </w:r>
      <w:r w:rsidR="00AD128C" w:rsidRPr="00F60A3D">
        <w:rPr>
          <w:lang w:val="fr-FR"/>
        </w:rPr>
        <w:t>,</w:t>
      </w:r>
      <w:r w:rsidR="001430D5" w:rsidRPr="00F60A3D">
        <w:rPr>
          <w:lang w:val="fr-FR"/>
        </w:rPr>
        <w:t xml:space="preserve"> et ils ont force de loi.</w:t>
      </w:r>
      <w:r w:rsidR="00731982" w:rsidRPr="00F60A3D">
        <w:rPr>
          <w:lang w:val="fr-FR"/>
        </w:rPr>
        <w:t xml:space="preserve"> </w:t>
      </w:r>
    </w:p>
    <w:p w:rsidR="00DB5D9E" w:rsidRPr="00F60A3D" w:rsidRDefault="001430D5" w:rsidP="006F03D7">
      <w:pPr>
        <w:pStyle w:val="SingleTxtG"/>
        <w:ind w:left="1701"/>
        <w:rPr>
          <w:lang w:val="fr-FR"/>
        </w:rPr>
      </w:pPr>
      <w:r w:rsidRPr="00F60A3D">
        <w:rPr>
          <w:lang w:val="fr-FR"/>
        </w:rPr>
        <w:t>La Cour constitutionnelle italienne joue donc un rôle central dans la protection des droits fondamentaux.</w:t>
      </w:r>
    </w:p>
    <w:p w:rsidR="001430D5" w:rsidRPr="00F60A3D" w:rsidRDefault="00F21423" w:rsidP="005063FC">
      <w:pPr>
        <w:pStyle w:val="SingleTxtG"/>
        <w:rPr>
          <w:lang w:val="fr-FR"/>
        </w:rPr>
      </w:pPr>
      <w:r w:rsidRPr="00F60A3D">
        <w:rPr>
          <w:lang w:val="fr-FR"/>
        </w:rPr>
        <w:t>18</w:t>
      </w:r>
      <w:r w:rsidR="001430D5" w:rsidRPr="00F60A3D">
        <w:rPr>
          <w:lang w:val="fr-FR"/>
        </w:rPr>
        <w:t>6.</w:t>
      </w:r>
      <w:r w:rsidR="001430D5" w:rsidRPr="00F60A3D">
        <w:rPr>
          <w:lang w:val="fr-FR"/>
        </w:rPr>
        <w:tab/>
        <w:t>Sur le plan de la procédure, les tribunaux doivent examiner si les dispositions à appliquer sont conformes aux droit</w:t>
      </w:r>
      <w:r w:rsidR="000D540F" w:rsidRPr="00F60A3D">
        <w:rPr>
          <w:lang w:val="fr-FR"/>
        </w:rPr>
        <w:t>s fondamentaux protégés par la C</w:t>
      </w:r>
      <w:r w:rsidR="001430D5" w:rsidRPr="00F60A3D">
        <w:rPr>
          <w:lang w:val="fr-FR"/>
        </w:rPr>
        <w:t>onstitution italie</w:t>
      </w:r>
      <w:r w:rsidR="00985B7A" w:rsidRPr="00F60A3D">
        <w:rPr>
          <w:lang w:val="fr-FR"/>
        </w:rPr>
        <w:t>nne. Quand</w:t>
      </w:r>
      <w:r w:rsidR="00AC0A6D" w:rsidRPr="00F60A3D">
        <w:rPr>
          <w:lang w:val="fr-FR"/>
        </w:rPr>
        <w:t xml:space="preserve"> un tribunal considère qu</w:t>
      </w:r>
      <w:r w:rsidR="00B17AE1" w:rsidRPr="00F60A3D">
        <w:rPr>
          <w:lang w:val="fr-FR"/>
        </w:rPr>
        <w:t>’</w:t>
      </w:r>
      <w:r w:rsidR="00AC0A6D" w:rsidRPr="00F60A3D">
        <w:rPr>
          <w:lang w:val="fr-FR"/>
        </w:rPr>
        <w:t>une loi</w:t>
      </w:r>
      <w:r w:rsidR="001430D5" w:rsidRPr="00F60A3D">
        <w:rPr>
          <w:lang w:val="fr-FR"/>
        </w:rPr>
        <w:t xml:space="preserve"> dont dépend </w:t>
      </w:r>
      <w:r w:rsidR="000D540F" w:rsidRPr="00F60A3D">
        <w:rPr>
          <w:lang w:val="fr-FR"/>
        </w:rPr>
        <w:t>la validité de son jugement</w:t>
      </w:r>
      <w:r w:rsidR="00AC0A6D" w:rsidRPr="00F60A3D">
        <w:rPr>
          <w:lang w:val="fr-FR"/>
        </w:rPr>
        <w:t xml:space="preserve"> est inconstitutionnelle, </w:t>
      </w:r>
      <w:r w:rsidR="00907199" w:rsidRPr="00F60A3D">
        <w:rPr>
          <w:lang w:val="fr-FR"/>
        </w:rPr>
        <w:t>il doit, en application</w:t>
      </w:r>
      <w:r w:rsidR="000D540F" w:rsidRPr="00F60A3D">
        <w:rPr>
          <w:lang w:val="fr-FR"/>
        </w:rPr>
        <w:t xml:space="preserve"> de l</w:t>
      </w:r>
      <w:r w:rsidR="00B17AE1" w:rsidRPr="00F60A3D">
        <w:rPr>
          <w:lang w:val="fr-FR"/>
        </w:rPr>
        <w:t>’</w:t>
      </w:r>
      <w:r w:rsidR="00D26282" w:rsidRPr="00F60A3D">
        <w:rPr>
          <w:lang w:val="fr-FR"/>
        </w:rPr>
        <w:t>article </w:t>
      </w:r>
      <w:r w:rsidR="000D540F" w:rsidRPr="00F60A3D">
        <w:rPr>
          <w:lang w:val="fr-FR"/>
        </w:rPr>
        <w:t>134 de la Loi fondamentale, suspendre</w:t>
      </w:r>
      <w:r w:rsidR="00907199" w:rsidRPr="00F60A3D">
        <w:rPr>
          <w:lang w:val="fr-FR"/>
        </w:rPr>
        <w:t xml:space="preserve"> la procédure et obtenir une décision</w:t>
      </w:r>
      <w:r w:rsidR="00731982" w:rsidRPr="00F60A3D">
        <w:rPr>
          <w:lang w:val="fr-FR"/>
        </w:rPr>
        <w:t xml:space="preserve"> </w:t>
      </w:r>
      <w:r w:rsidR="000D540F" w:rsidRPr="00F60A3D">
        <w:rPr>
          <w:lang w:val="fr-FR"/>
        </w:rPr>
        <w:t xml:space="preserve">de la Cour constitutionnelle. </w:t>
      </w:r>
    </w:p>
    <w:p w:rsidR="00DB5D9E" w:rsidRPr="00F60A3D" w:rsidRDefault="005063FC" w:rsidP="005063FC">
      <w:pPr>
        <w:pStyle w:val="H23G"/>
        <w:rPr>
          <w:lang w:val="fr-FR"/>
        </w:rPr>
      </w:pPr>
      <w:r w:rsidRPr="00F60A3D">
        <w:rPr>
          <w:lang w:val="fr-FR"/>
        </w:rPr>
        <w:tab/>
      </w:r>
      <w:r w:rsidRPr="00F60A3D">
        <w:rPr>
          <w:lang w:val="fr-FR"/>
        </w:rPr>
        <w:tab/>
      </w:r>
      <w:r w:rsidR="009163E3" w:rsidRPr="00F60A3D">
        <w:rPr>
          <w:lang w:val="fr-FR"/>
        </w:rPr>
        <w:t>Les droits fondamentaux au regard</w:t>
      </w:r>
      <w:r w:rsidR="000D540F" w:rsidRPr="00F60A3D">
        <w:rPr>
          <w:lang w:val="fr-FR"/>
        </w:rPr>
        <w:t xml:space="preserve"> du droit civil et du droit pénal</w:t>
      </w:r>
      <w:r w:rsidR="00731982" w:rsidRPr="00F60A3D">
        <w:rPr>
          <w:lang w:val="fr-FR"/>
        </w:rPr>
        <w:t xml:space="preserve"> </w:t>
      </w:r>
    </w:p>
    <w:p w:rsidR="000D540F" w:rsidRPr="00F60A3D" w:rsidRDefault="00F21423" w:rsidP="005063FC">
      <w:pPr>
        <w:pStyle w:val="SingleTxtG"/>
        <w:rPr>
          <w:lang w:val="fr-FR"/>
        </w:rPr>
      </w:pPr>
      <w:r w:rsidRPr="00F60A3D">
        <w:rPr>
          <w:lang w:val="fr-FR"/>
        </w:rPr>
        <w:t>18</w:t>
      </w:r>
      <w:r w:rsidR="000D540F" w:rsidRPr="00F60A3D">
        <w:rPr>
          <w:lang w:val="fr-FR"/>
        </w:rPr>
        <w:t>7.</w:t>
      </w:r>
      <w:r w:rsidR="000D540F" w:rsidRPr="00F60A3D">
        <w:rPr>
          <w:lang w:val="fr-FR"/>
        </w:rPr>
        <w:tab/>
        <w:t>L</w:t>
      </w:r>
      <w:r w:rsidR="00B17AE1" w:rsidRPr="00F60A3D">
        <w:rPr>
          <w:lang w:val="fr-FR"/>
        </w:rPr>
        <w:t>’</w:t>
      </w:r>
      <w:r w:rsidR="000D540F" w:rsidRPr="00F60A3D">
        <w:rPr>
          <w:lang w:val="fr-FR"/>
        </w:rPr>
        <w:t>administration de la</w:t>
      </w:r>
      <w:r w:rsidR="00DB5D9E" w:rsidRPr="00F60A3D">
        <w:rPr>
          <w:lang w:val="fr-FR"/>
        </w:rPr>
        <w:t xml:space="preserve"> justice </w:t>
      </w:r>
      <w:r w:rsidR="000D540F" w:rsidRPr="00F60A3D">
        <w:rPr>
          <w:lang w:val="fr-FR"/>
        </w:rPr>
        <w:t>touche en particulier à la relation entre l</w:t>
      </w:r>
      <w:r w:rsidR="00B17AE1" w:rsidRPr="00F60A3D">
        <w:rPr>
          <w:lang w:val="fr-FR"/>
        </w:rPr>
        <w:t>’</w:t>
      </w:r>
      <w:r w:rsidR="000D540F" w:rsidRPr="00F60A3D">
        <w:rPr>
          <w:lang w:val="fr-FR"/>
        </w:rPr>
        <w:t>État et les citoyens. De fait</w:t>
      </w:r>
      <w:r w:rsidR="00360619" w:rsidRPr="00F60A3D">
        <w:rPr>
          <w:lang w:val="fr-FR"/>
        </w:rPr>
        <w:t>, la Constitution garantit le d</w:t>
      </w:r>
      <w:r w:rsidR="00E4009D" w:rsidRPr="00F60A3D">
        <w:rPr>
          <w:lang w:val="fr-FR"/>
        </w:rPr>
        <w:t>roit à la défense (</w:t>
      </w:r>
      <w:r w:rsidR="00731982" w:rsidRPr="00F60A3D">
        <w:rPr>
          <w:lang w:val="fr-FR"/>
        </w:rPr>
        <w:t>art. </w:t>
      </w:r>
      <w:r w:rsidR="000D540F" w:rsidRPr="00F60A3D">
        <w:rPr>
          <w:lang w:val="fr-FR"/>
        </w:rPr>
        <w:t>24) et l</w:t>
      </w:r>
      <w:r w:rsidR="00B17AE1" w:rsidRPr="00F60A3D">
        <w:rPr>
          <w:lang w:val="fr-FR"/>
        </w:rPr>
        <w:t>’</w:t>
      </w:r>
      <w:r w:rsidR="000D540F" w:rsidRPr="00F60A3D">
        <w:rPr>
          <w:lang w:val="fr-FR"/>
        </w:rPr>
        <w:t xml:space="preserve">indépendance des </w:t>
      </w:r>
      <w:r w:rsidR="00E4009D" w:rsidRPr="00F60A3D">
        <w:rPr>
          <w:lang w:val="fr-FR"/>
        </w:rPr>
        <w:t>magistrats (</w:t>
      </w:r>
      <w:r w:rsidR="00731982" w:rsidRPr="00F60A3D">
        <w:rPr>
          <w:lang w:val="fr-FR"/>
        </w:rPr>
        <w:t>art. </w:t>
      </w:r>
      <w:r w:rsidR="00280B70" w:rsidRPr="00F60A3D">
        <w:rPr>
          <w:lang w:val="fr-FR"/>
        </w:rPr>
        <w:t>102). Les juges ne sont s</w:t>
      </w:r>
      <w:r w:rsidR="004406C9" w:rsidRPr="00F60A3D">
        <w:rPr>
          <w:lang w:val="fr-FR"/>
        </w:rPr>
        <w:t>oumis qu</w:t>
      </w:r>
      <w:r w:rsidR="00B17AE1" w:rsidRPr="00F60A3D">
        <w:rPr>
          <w:lang w:val="fr-FR"/>
        </w:rPr>
        <w:t>’</w:t>
      </w:r>
      <w:r w:rsidR="004406C9" w:rsidRPr="00F60A3D">
        <w:rPr>
          <w:lang w:val="fr-FR"/>
        </w:rPr>
        <w:t>à</w:t>
      </w:r>
      <w:r w:rsidR="00E4009D" w:rsidRPr="00F60A3D">
        <w:rPr>
          <w:lang w:val="fr-FR"/>
        </w:rPr>
        <w:t xml:space="preserve"> la loi (</w:t>
      </w:r>
      <w:r w:rsidR="00731982" w:rsidRPr="00F60A3D">
        <w:rPr>
          <w:lang w:val="fr-FR"/>
        </w:rPr>
        <w:t>art. </w:t>
      </w:r>
      <w:r w:rsidR="004406C9" w:rsidRPr="00F60A3D">
        <w:rPr>
          <w:lang w:val="fr-FR"/>
        </w:rPr>
        <w:t>101 et</w:t>
      </w:r>
      <w:r w:rsidR="00280B70" w:rsidRPr="00F60A3D">
        <w:rPr>
          <w:lang w:val="fr-FR"/>
        </w:rPr>
        <w:t xml:space="preserve"> 102). Le principe du droi</w:t>
      </w:r>
      <w:r w:rsidR="00E4009D" w:rsidRPr="00F60A3D">
        <w:rPr>
          <w:lang w:val="fr-FR"/>
        </w:rPr>
        <w:t>t à un procès équitable (</w:t>
      </w:r>
      <w:r w:rsidR="00731982" w:rsidRPr="00F60A3D">
        <w:rPr>
          <w:lang w:val="fr-FR"/>
        </w:rPr>
        <w:t>art. </w:t>
      </w:r>
      <w:r w:rsidR="00280B70" w:rsidRPr="00F60A3D">
        <w:rPr>
          <w:lang w:val="fr-FR"/>
        </w:rPr>
        <w:t>111) inclut le droit de la personne accusée d</w:t>
      </w:r>
      <w:r w:rsidR="00B17AE1" w:rsidRPr="00F60A3D">
        <w:rPr>
          <w:lang w:val="fr-FR"/>
        </w:rPr>
        <w:t>’</w:t>
      </w:r>
      <w:r w:rsidR="00280B70" w:rsidRPr="00F60A3D">
        <w:rPr>
          <w:lang w:val="fr-FR"/>
        </w:rPr>
        <w:t>être informée dans les plus brefs délais de la nature et des motifs de l</w:t>
      </w:r>
      <w:r w:rsidR="00B17AE1" w:rsidRPr="00F60A3D">
        <w:rPr>
          <w:lang w:val="fr-FR"/>
        </w:rPr>
        <w:t>’</w:t>
      </w:r>
      <w:r w:rsidR="00280B70" w:rsidRPr="00F60A3D">
        <w:rPr>
          <w:lang w:val="fr-FR"/>
        </w:rPr>
        <w:t>accusa</w:t>
      </w:r>
      <w:r w:rsidR="00E4009D" w:rsidRPr="00F60A3D">
        <w:rPr>
          <w:lang w:val="fr-FR"/>
        </w:rPr>
        <w:t>tion portée contre elle (</w:t>
      </w:r>
      <w:r w:rsidR="00731982" w:rsidRPr="00F60A3D">
        <w:rPr>
          <w:lang w:val="fr-FR"/>
        </w:rPr>
        <w:t>art. </w:t>
      </w:r>
      <w:r w:rsidR="00082772" w:rsidRPr="00F60A3D">
        <w:rPr>
          <w:lang w:val="fr-FR"/>
        </w:rPr>
        <w:t>111</w:t>
      </w:r>
      <w:r w:rsidR="00B20045" w:rsidRPr="00F60A3D">
        <w:rPr>
          <w:lang w:val="fr-FR"/>
        </w:rPr>
        <w:t xml:space="preserve">, </w:t>
      </w:r>
      <w:r w:rsidR="00B17AE1" w:rsidRPr="00F60A3D">
        <w:rPr>
          <w:lang w:val="fr-FR"/>
        </w:rPr>
        <w:t>par. </w:t>
      </w:r>
      <w:r w:rsidR="00280B70" w:rsidRPr="00F60A3D">
        <w:rPr>
          <w:lang w:val="fr-FR"/>
        </w:rPr>
        <w:t>3), comme celui d</w:t>
      </w:r>
      <w:r w:rsidR="00B17AE1" w:rsidRPr="00F60A3D">
        <w:rPr>
          <w:lang w:val="fr-FR"/>
        </w:rPr>
        <w:t>’</w:t>
      </w:r>
      <w:r w:rsidR="00280B70" w:rsidRPr="00F60A3D">
        <w:rPr>
          <w:lang w:val="fr-FR"/>
        </w:rPr>
        <w:t>être ju</w:t>
      </w:r>
      <w:r w:rsidR="00D23A67" w:rsidRPr="00F60A3D">
        <w:rPr>
          <w:lang w:val="fr-FR"/>
        </w:rPr>
        <w:t>gée par les tribunaux (</w:t>
      </w:r>
      <w:r w:rsidR="00280B70" w:rsidRPr="00F60A3D">
        <w:rPr>
          <w:lang w:val="fr-FR"/>
        </w:rPr>
        <w:t>divisés en tribunaux ordinaires et en tribunaux spéciaux. Tel que signal</w:t>
      </w:r>
      <w:r w:rsidR="00360619" w:rsidRPr="00F60A3D">
        <w:rPr>
          <w:lang w:val="fr-FR"/>
        </w:rPr>
        <w:t>é</w:t>
      </w:r>
      <w:r w:rsidR="00280B70" w:rsidRPr="00F60A3D">
        <w:rPr>
          <w:lang w:val="fr-FR"/>
        </w:rPr>
        <w:t xml:space="preserve"> plus haut, les tribunaux ne peuvent être créés </w:t>
      </w:r>
      <w:r w:rsidR="00280B70" w:rsidRPr="00F60A3D">
        <w:rPr>
          <w:i/>
          <w:lang w:val="fr-FR"/>
        </w:rPr>
        <w:t>post factum</w:t>
      </w:r>
      <w:r w:rsidR="00280B70" w:rsidRPr="00F60A3D">
        <w:rPr>
          <w:lang w:val="fr-FR"/>
        </w:rPr>
        <w:t xml:space="preserve">). </w:t>
      </w:r>
    </w:p>
    <w:p w:rsidR="00DB5D9E" w:rsidRPr="00F60A3D" w:rsidRDefault="00F21423" w:rsidP="00360619">
      <w:pPr>
        <w:pStyle w:val="SingleTxtG"/>
        <w:rPr>
          <w:lang w:val="fr-FR"/>
        </w:rPr>
      </w:pPr>
      <w:r w:rsidRPr="00F60A3D">
        <w:rPr>
          <w:lang w:val="fr-FR"/>
        </w:rPr>
        <w:t>18</w:t>
      </w:r>
      <w:r w:rsidR="00360619" w:rsidRPr="00F60A3D">
        <w:rPr>
          <w:lang w:val="fr-FR"/>
        </w:rPr>
        <w:t>8.</w:t>
      </w:r>
      <w:r w:rsidR="00360619" w:rsidRPr="00F60A3D">
        <w:rPr>
          <w:lang w:val="fr-FR"/>
        </w:rPr>
        <w:tab/>
        <w:t>De manière plus spécifique, tout citoyen est habilité à bénéficier d</w:t>
      </w:r>
      <w:r w:rsidR="00B17AE1" w:rsidRPr="00F60A3D">
        <w:rPr>
          <w:lang w:val="fr-FR"/>
        </w:rPr>
        <w:t>’</w:t>
      </w:r>
      <w:r w:rsidR="00360619" w:rsidRPr="00F60A3D">
        <w:rPr>
          <w:lang w:val="fr-FR"/>
        </w:rPr>
        <w:t>un procès équitable mené par un tribunal indépendant et impartial</w:t>
      </w:r>
      <w:r w:rsidR="000978D1" w:rsidRPr="00F60A3D">
        <w:rPr>
          <w:lang w:val="fr-FR"/>
        </w:rPr>
        <w:t>,</w:t>
      </w:r>
      <w:r w:rsidR="00360619" w:rsidRPr="00F60A3D">
        <w:rPr>
          <w:lang w:val="fr-FR"/>
        </w:rPr>
        <w:t xml:space="preserve"> prévu par la loi </w:t>
      </w:r>
      <w:r w:rsidR="004406C9" w:rsidRPr="00F60A3D">
        <w:rPr>
          <w:lang w:val="fr-FR"/>
        </w:rPr>
        <w:t>(</w:t>
      </w:r>
      <w:r w:rsidR="00731982" w:rsidRPr="00F60A3D">
        <w:rPr>
          <w:lang w:val="fr-FR"/>
        </w:rPr>
        <w:t>art. </w:t>
      </w:r>
      <w:r w:rsidR="00360619" w:rsidRPr="00F60A3D">
        <w:rPr>
          <w:lang w:val="fr-FR"/>
        </w:rPr>
        <w:t xml:space="preserve">25 et </w:t>
      </w:r>
      <w:r w:rsidR="00A30A8D" w:rsidRPr="00F60A3D">
        <w:rPr>
          <w:lang w:val="fr-FR"/>
        </w:rPr>
        <w:t>102) et conformément à la maxime</w:t>
      </w:r>
      <w:r w:rsidR="00360619" w:rsidRPr="00F60A3D">
        <w:rPr>
          <w:lang w:val="fr-FR"/>
        </w:rPr>
        <w:t xml:space="preserve"> suivant</w:t>
      </w:r>
      <w:r w:rsidR="00A30A8D" w:rsidRPr="00F60A3D">
        <w:rPr>
          <w:lang w:val="fr-FR"/>
        </w:rPr>
        <w:t>e</w:t>
      </w:r>
      <w:r w:rsidR="00360619" w:rsidRPr="00F60A3D">
        <w:rPr>
          <w:lang w:val="fr-FR"/>
        </w:rPr>
        <w:t xml:space="preserve">: </w:t>
      </w:r>
      <w:r w:rsidR="00731982" w:rsidRPr="00F60A3D">
        <w:rPr>
          <w:lang w:val="fr-FR"/>
        </w:rPr>
        <w:t>«</w:t>
      </w:r>
      <w:r w:rsidR="00360619" w:rsidRPr="00F60A3D">
        <w:rPr>
          <w:i/>
          <w:lang w:val="fr-FR"/>
        </w:rPr>
        <w:t>nullum crimen, nulla poena sine lege</w:t>
      </w:r>
      <w:r w:rsidR="00731982" w:rsidRPr="00F60A3D">
        <w:rPr>
          <w:lang w:val="fr-FR"/>
        </w:rPr>
        <w:t>»</w:t>
      </w:r>
      <w:r w:rsidR="00E4009D" w:rsidRPr="00F60A3D">
        <w:rPr>
          <w:lang w:val="fr-FR"/>
        </w:rPr>
        <w:t xml:space="preserve"> (</w:t>
      </w:r>
      <w:r w:rsidR="00731982" w:rsidRPr="00F60A3D">
        <w:rPr>
          <w:lang w:val="fr-FR"/>
        </w:rPr>
        <w:t>art. </w:t>
      </w:r>
      <w:r w:rsidR="00BB0B3E" w:rsidRPr="00F60A3D">
        <w:rPr>
          <w:lang w:val="fr-FR"/>
        </w:rPr>
        <w:t>25</w:t>
      </w:r>
      <w:r w:rsidR="00B20045" w:rsidRPr="00F60A3D">
        <w:rPr>
          <w:lang w:val="fr-FR"/>
        </w:rPr>
        <w:t xml:space="preserve">, </w:t>
      </w:r>
      <w:r w:rsidR="00B17AE1" w:rsidRPr="00F60A3D">
        <w:rPr>
          <w:lang w:val="fr-FR"/>
        </w:rPr>
        <w:t>par. </w:t>
      </w:r>
      <w:r w:rsidR="00360619" w:rsidRPr="00F60A3D">
        <w:rPr>
          <w:lang w:val="fr-FR"/>
        </w:rPr>
        <w:t>2).</w:t>
      </w:r>
    </w:p>
    <w:p w:rsidR="00360619" w:rsidRPr="00F60A3D" w:rsidRDefault="00F21423" w:rsidP="005063FC">
      <w:pPr>
        <w:pStyle w:val="SingleTxtG"/>
        <w:rPr>
          <w:lang w:val="fr-FR"/>
        </w:rPr>
      </w:pPr>
      <w:r w:rsidRPr="00F60A3D">
        <w:rPr>
          <w:lang w:val="fr-FR"/>
        </w:rPr>
        <w:t>18</w:t>
      </w:r>
      <w:r w:rsidR="0002109B" w:rsidRPr="00F60A3D">
        <w:rPr>
          <w:lang w:val="fr-FR"/>
        </w:rPr>
        <w:t>9.</w:t>
      </w:r>
      <w:r w:rsidR="0002109B" w:rsidRPr="00F60A3D">
        <w:rPr>
          <w:lang w:val="fr-FR"/>
        </w:rPr>
        <w:tab/>
        <w:t>En vertu de</w:t>
      </w:r>
      <w:r w:rsidR="00360619" w:rsidRPr="00F60A3D">
        <w:rPr>
          <w:lang w:val="fr-FR"/>
        </w:rPr>
        <w:t xml:space="preserve"> l</w:t>
      </w:r>
      <w:r w:rsidR="00B17AE1" w:rsidRPr="00F60A3D">
        <w:rPr>
          <w:lang w:val="fr-FR"/>
        </w:rPr>
        <w:t>’</w:t>
      </w:r>
      <w:r w:rsidR="00D26282" w:rsidRPr="00F60A3D">
        <w:rPr>
          <w:lang w:val="fr-FR"/>
        </w:rPr>
        <w:t>article </w:t>
      </w:r>
      <w:r w:rsidR="00360619" w:rsidRPr="00F60A3D">
        <w:rPr>
          <w:lang w:val="fr-FR"/>
        </w:rPr>
        <w:t>24, chacun peut ester en justice pour protéger ses droits. Cette disposition concerne essentiellement le droit à la défense</w:t>
      </w:r>
      <w:r w:rsidR="00D26282" w:rsidRPr="00F60A3D">
        <w:rPr>
          <w:lang w:val="fr-FR"/>
        </w:rPr>
        <w:t xml:space="preserve"> – </w:t>
      </w:r>
      <w:r w:rsidR="00360619" w:rsidRPr="00F60A3D">
        <w:rPr>
          <w:lang w:val="fr-FR"/>
        </w:rPr>
        <w:t>droit inviolable</w:t>
      </w:r>
      <w:r w:rsidR="00D26282" w:rsidRPr="00F60A3D">
        <w:rPr>
          <w:lang w:val="fr-FR"/>
        </w:rPr>
        <w:t xml:space="preserve"> – </w:t>
      </w:r>
      <w:r w:rsidR="00360619" w:rsidRPr="00F60A3D">
        <w:rPr>
          <w:lang w:val="fr-FR"/>
        </w:rPr>
        <w:t xml:space="preserve">à tous les stades de la procédure juridique. </w:t>
      </w:r>
    </w:p>
    <w:p w:rsidR="00053A80" w:rsidRPr="00F60A3D" w:rsidRDefault="00F21423" w:rsidP="005063FC">
      <w:pPr>
        <w:pStyle w:val="SingleTxtG"/>
        <w:rPr>
          <w:i/>
          <w:lang w:val="fr-FR"/>
        </w:rPr>
      </w:pPr>
      <w:r w:rsidRPr="00F60A3D">
        <w:rPr>
          <w:lang w:val="fr-FR"/>
        </w:rPr>
        <w:t>19</w:t>
      </w:r>
      <w:r w:rsidR="00053A80" w:rsidRPr="00F60A3D">
        <w:rPr>
          <w:lang w:val="fr-FR"/>
        </w:rPr>
        <w:t>0.</w:t>
      </w:r>
      <w:r w:rsidR="00053A80" w:rsidRPr="00F60A3D">
        <w:rPr>
          <w:lang w:val="fr-FR"/>
        </w:rPr>
        <w:tab/>
        <w:t>Ainsi</w:t>
      </w:r>
      <w:r w:rsidR="004406C9" w:rsidRPr="00F60A3D">
        <w:rPr>
          <w:lang w:val="fr-FR"/>
        </w:rPr>
        <w:t>,</w:t>
      </w:r>
      <w:r w:rsidR="00053A80" w:rsidRPr="00F60A3D">
        <w:rPr>
          <w:lang w:val="fr-FR"/>
        </w:rPr>
        <w:t xml:space="preserve"> l</w:t>
      </w:r>
      <w:r w:rsidR="00B17AE1" w:rsidRPr="00F60A3D">
        <w:rPr>
          <w:lang w:val="fr-FR"/>
        </w:rPr>
        <w:t>’</w:t>
      </w:r>
      <w:r w:rsidR="00D26282" w:rsidRPr="00F60A3D">
        <w:rPr>
          <w:lang w:val="fr-FR"/>
        </w:rPr>
        <w:t>article </w:t>
      </w:r>
      <w:r w:rsidR="00053A80" w:rsidRPr="00F60A3D">
        <w:rPr>
          <w:lang w:val="fr-FR"/>
        </w:rPr>
        <w:t xml:space="preserve">111 de la Constitution dispose ce qui suit: </w:t>
      </w:r>
      <w:r w:rsidR="00731982" w:rsidRPr="00F60A3D">
        <w:rPr>
          <w:i/>
          <w:lang w:val="fr-FR"/>
        </w:rPr>
        <w:t>«</w:t>
      </w:r>
      <w:r w:rsidR="00E4009D" w:rsidRPr="00F60A3D">
        <w:rPr>
          <w:lang w:val="fr-FR"/>
        </w:rPr>
        <w:t>L</w:t>
      </w:r>
      <w:r w:rsidR="00AD128C" w:rsidRPr="00F60A3D">
        <w:rPr>
          <w:lang w:val="fr-FR"/>
        </w:rPr>
        <w:t>a juri</w:t>
      </w:r>
      <w:r w:rsidR="00053A80" w:rsidRPr="00F60A3D">
        <w:rPr>
          <w:lang w:val="fr-FR"/>
        </w:rPr>
        <w:t>diction s</w:t>
      </w:r>
      <w:r w:rsidR="00B17AE1" w:rsidRPr="00F60A3D">
        <w:rPr>
          <w:lang w:val="fr-FR"/>
        </w:rPr>
        <w:t>’</w:t>
      </w:r>
      <w:r w:rsidR="00053A80" w:rsidRPr="00F60A3D">
        <w:rPr>
          <w:lang w:val="fr-FR"/>
        </w:rPr>
        <w:t>exer</w:t>
      </w:r>
      <w:r w:rsidR="00115455" w:rsidRPr="00F60A3D">
        <w:rPr>
          <w:lang w:val="fr-FR"/>
        </w:rPr>
        <w:t>ce par le procès équitable régi</w:t>
      </w:r>
      <w:r w:rsidR="00053A80" w:rsidRPr="00F60A3D">
        <w:rPr>
          <w:lang w:val="fr-FR"/>
        </w:rPr>
        <w:t xml:space="preserve"> par la loi. Tout procès se déroule contradictoirement entre les parties, dans des cond</w:t>
      </w:r>
      <w:r w:rsidR="004406C9" w:rsidRPr="00F60A3D">
        <w:rPr>
          <w:lang w:val="fr-FR"/>
        </w:rPr>
        <w:t>i</w:t>
      </w:r>
      <w:r w:rsidR="00053A80" w:rsidRPr="00F60A3D">
        <w:rPr>
          <w:lang w:val="fr-FR"/>
        </w:rPr>
        <w:t>tions d</w:t>
      </w:r>
      <w:r w:rsidR="00B17AE1" w:rsidRPr="00F60A3D">
        <w:rPr>
          <w:lang w:val="fr-FR"/>
        </w:rPr>
        <w:t>’</w:t>
      </w:r>
      <w:r w:rsidR="00053A80" w:rsidRPr="00F60A3D">
        <w:rPr>
          <w:lang w:val="fr-FR"/>
        </w:rPr>
        <w:t>égalité, devant un juge tiers et impartial.</w:t>
      </w:r>
      <w:r w:rsidR="00053A80" w:rsidRPr="00F60A3D">
        <w:rPr>
          <w:i/>
          <w:lang w:val="fr-FR"/>
        </w:rPr>
        <w:t xml:space="preserve"> </w:t>
      </w:r>
      <w:r w:rsidR="00053A80" w:rsidRPr="00F60A3D">
        <w:rPr>
          <w:lang w:val="fr-FR"/>
        </w:rPr>
        <w:t>La loi en garantit une durée raisonnable. Dans le procès pénal, la loi garantit que la personne accusée d</w:t>
      </w:r>
      <w:r w:rsidR="00B17AE1" w:rsidRPr="00F60A3D">
        <w:rPr>
          <w:lang w:val="fr-FR"/>
        </w:rPr>
        <w:t>’</w:t>
      </w:r>
      <w:r w:rsidR="00053A80" w:rsidRPr="00F60A3D">
        <w:rPr>
          <w:lang w:val="fr-FR"/>
        </w:rPr>
        <w:t>une infraction soit, dans le plus bref délai possible, informée confidentiellement de la nature et des m</w:t>
      </w:r>
      <w:r w:rsidR="004406C9" w:rsidRPr="00F60A3D">
        <w:rPr>
          <w:lang w:val="fr-FR"/>
        </w:rPr>
        <w:t>otifs de l</w:t>
      </w:r>
      <w:r w:rsidR="00B17AE1" w:rsidRPr="00F60A3D">
        <w:rPr>
          <w:lang w:val="fr-FR"/>
        </w:rPr>
        <w:t>’</w:t>
      </w:r>
      <w:r w:rsidR="004406C9" w:rsidRPr="00F60A3D">
        <w:rPr>
          <w:lang w:val="fr-FR"/>
        </w:rPr>
        <w:t>accusation po</w:t>
      </w:r>
      <w:r w:rsidR="00053A80" w:rsidRPr="00F60A3D">
        <w:rPr>
          <w:lang w:val="fr-FR"/>
        </w:rPr>
        <w:t xml:space="preserve">rtée contre elle, </w:t>
      </w:r>
      <w:r w:rsidR="004406C9" w:rsidRPr="00F60A3D">
        <w:rPr>
          <w:lang w:val="fr-FR"/>
        </w:rPr>
        <w:t xml:space="preserve">et </w:t>
      </w:r>
      <w:r w:rsidR="00053A80" w:rsidRPr="00F60A3D">
        <w:rPr>
          <w:lang w:val="fr-FR"/>
        </w:rPr>
        <w:t>qu</w:t>
      </w:r>
      <w:r w:rsidR="00B17AE1" w:rsidRPr="00F60A3D">
        <w:rPr>
          <w:lang w:val="fr-FR"/>
        </w:rPr>
        <w:t>’</w:t>
      </w:r>
      <w:r w:rsidR="00053A80" w:rsidRPr="00F60A3D">
        <w:rPr>
          <w:lang w:val="fr-FR"/>
        </w:rPr>
        <w:t>elle dispose</w:t>
      </w:r>
      <w:r w:rsidR="007531BC" w:rsidRPr="00F60A3D">
        <w:rPr>
          <w:lang w:val="fr-FR"/>
        </w:rPr>
        <w:t>ra</w:t>
      </w:r>
      <w:r w:rsidR="00053A80" w:rsidRPr="00F60A3D">
        <w:rPr>
          <w:lang w:val="fr-FR"/>
        </w:rPr>
        <w:t xml:space="preserve"> du temps et des conditions nécessaires pour préparer sa défense. Elle doit </w:t>
      </w:r>
      <w:r w:rsidR="0013676A" w:rsidRPr="00F60A3D">
        <w:rPr>
          <w:lang w:val="fr-FR"/>
        </w:rPr>
        <w:t>avoir la faculté devant le juge</w:t>
      </w:r>
      <w:r w:rsidR="00053A80" w:rsidRPr="00F60A3D">
        <w:rPr>
          <w:lang w:val="fr-FR"/>
        </w:rPr>
        <w:t xml:space="preserve"> d</w:t>
      </w:r>
      <w:r w:rsidR="00B17AE1" w:rsidRPr="00F60A3D">
        <w:rPr>
          <w:lang w:val="fr-FR"/>
        </w:rPr>
        <w:t>’</w:t>
      </w:r>
      <w:r w:rsidR="00053A80" w:rsidRPr="00F60A3D">
        <w:rPr>
          <w:lang w:val="fr-FR"/>
        </w:rPr>
        <w:t xml:space="preserve">interroger ou de faire interroger les personnes qui font des </w:t>
      </w:r>
      <w:r w:rsidR="001776D1" w:rsidRPr="00F60A3D">
        <w:rPr>
          <w:lang w:val="fr-FR"/>
        </w:rPr>
        <w:t>dé</w:t>
      </w:r>
      <w:r w:rsidR="00053A80" w:rsidRPr="00F60A3D">
        <w:rPr>
          <w:lang w:val="fr-FR"/>
        </w:rPr>
        <w:t>clarations contre elle, d</w:t>
      </w:r>
      <w:r w:rsidR="00B17AE1" w:rsidRPr="00F60A3D">
        <w:rPr>
          <w:lang w:val="fr-FR"/>
        </w:rPr>
        <w:t>’</w:t>
      </w:r>
      <w:r w:rsidR="00053A80" w:rsidRPr="00F60A3D">
        <w:rPr>
          <w:lang w:val="fr-FR"/>
        </w:rPr>
        <w:t xml:space="preserve">obtenir la </w:t>
      </w:r>
      <w:r w:rsidR="00053A80" w:rsidRPr="00F60A3D">
        <w:rPr>
          <w:lang w:val="fr-FR"/>
        </w:rPr>
        <w:lastRenderedPageBreak/>
        <w:t>convocation et l</w:t>
      </w:r>
      <w:r w:rsidR="00B17AE1" w:rsidRPr="00F60A3D">
        <w:rPr>
          <w:lang w:val="fr-FR"/>
        </w:rPr>
        <w:t>’</w:t>
      </w:r>
      <w:r w:rsidR="00053A80" w:rsidRPr="00F60A3D">
        <w:rPr>
          <w:lang w:val="fr-FR"/>
        </w:rPr>
        <w:t>interrogatoire de personnes pour sa défense dans les mêmes conditions que l</w:t>
      </w:r>
      <w:r w:rsidR="00B17AE1" w:rsidRPr="00F60A3D">
        <w:rPr>
          <w:lang w:val="fr-FR"/>
        </w:rPr>
        <w:t>’</w:t>
      </w:r>
      <w:r w:rsidR="00AD69FC" w:rsidRPr="00F60A3D">
        <w:rPr>
          <w:lang w:val="fr-FR"/>
        </w:rPr>
        <w:t>accusation, ainsi que l</w:t>
      </w:r>
      <w:r w:rsidR="00B17AE1" w:rsidRPr="00F60A3D">
        <w:rPr>
          <w:lang w:val="fr-FR"/>
        </w:rPr>
        <w:t>’</w:t>
      </w:r>
      <w:r w:rsidR="00AD69FC" w:rsidRPr="00F60A3D">
        <w:rPr>
          <w:lang w:val="fr-FR"/>
        </w:rPr>
        <w:t>acquisition de tout autre moyen de preuve en sa faveur. La personne accusée est habilitée à être assistée d</w:t>
      </w:r>
      <w:r w:rsidR="00B17AE1" w:rsidRPr="00F60A3D">
        <w:rPr>
          <w:lang w:val="fr-FR"/>
        </w:rPr>
        <w:t>’</w:t>
      </w:r>
      <w:r w:rsidR="00AD69FC" w:rsidRPr="00F60A3D">
        <w:rPr>
          <w:lang w:val="fr-FR"/>
        </w:rPr>
        <w:t>un interprète si elle ne comprend pas o</w:t>
      </w:r>
      <w:r w:rsidR="004406C9" w:rsidRPr="00F60A3D">
        <w:rPr>
          <w:lang w:val="fr-FR"/>
        </w:rPr>
        <w:t>u ne parle pas la langue employé</w:t>
      </w:r>
      <w:r w:rsidR="00AD69FC" w:rsidRPr="00F60A3D">
        <w:rPr>
          <w:lang w:val="fr-FR"/>
        </w:rPr>
        <w:t>e au procès. Le procès pénal est régi par le principe du contradictoire dans la formation de la preuve. La cul</w:t>
      </w:r>
      <w:r w:rsidR="001776D1" w:rsidRPr="00F60A3D">
        <w:rPr>
          <w:lang w:val="fr-FR"/>
        </w:rPr>
        <w:t>p</w:t>
      </w:r>
      <w:r w:rsidR="00AD69FC" w:rsidRPr="00F60A3D">
        <w:rPr>
          <w:lang w:val="fr-FR"/>
        </w:rPr>
        <w:t xml:space="preserve">abilité du prévenu ne peut </w:t>
      </w:r>
      <w:r w:rsidR="001776D1" w:rsidRPr="00F60A3D">
        <w:rPr>
          <w:lang w:val="fr-FR"/>
        </w:rPr>
        <w:t>être prouvée sur la base de</w:t>
      </w:r>
      <w:r w:rsidR="00AD69FC" w:rsidRPr="00F60A3D">
        <w:rPr>
          <w:lang w:val="fr-FR"/>
        </w:rPr>
        <w:t xml:space="preserve"> </w:t>
      </w:r>
      <w:r w:rsidR="001776D1" w:rsidRPr="00F60A3D">
        <w:rPr>
          <w:lang w:val="fr-FR"/>
        </w:rPr>
        <w:t>dé</w:t>
      </w:r>
      <w:r w:rsidR="00AD69FC" w:rsidRPr="00F60A3D">
        <w:rPr>
          <w:lang w:val="fr-FR"/>
        </w:rPr>
        <w:t xml:space="preserve">clarations </w:t>
      </w:r>
      <w:r w:rsidR="001776D1" w:rsidRPr="00F60A3D">
        <w:rPr>
          <w:lang w:val="fr-FR"/>
        </w:rPr>
        <w:t>faites par ceux</w:t>
      </w:r>
      <w:r w:rsidR="00AD69FC" w:rsidRPr="00F60A3D">
        <w:rPr>
          <w:lang w:val="fr-FR"/>
        </w:rPr>
        <w:t xml:space="preserve"> qui, par libre choix, s</w:t>
      </w:r>
      <w:r w:rsidR="001776D1" w:rsidRPr="00F60A3D">
        <w:rPr>
          <w:lang w:val="fr-FR"/>
        </w:rPr>
        <w:t>e son</w:t>
      </w:r>
      <w:r w:rsidR="00AD69FC" w:rsidRPr="00F60A3D">
        <w:rPr>
          <w:lang w:val="fr-FR"/>
        </w:rPr>
        <w:t>t toujours volontairement soustrait</w:t>
      </w:r>
      <w:r w:rsidR="001776D1" w:rsidRPr="00F60A3D">
        <w:rPr>
          <w:lang w:val="fr-FR"/>
        </w:rPr>
        <w:t>s</w:t>
      </w:r>
      <w:r w:rsidR="00AD69FC" w:rsidRPr="00F60A3D">
        <w:rPr>
          <w:lang w:val="fr-FR"/>
        </w:rPr>
        <w:t xml:space="preserve"> à l</w:t>
      </w:r>
      <w:r w:rsidR="00B17AE1" w:rsidRPr="00F60A3D">
        <w:rPr>
          <w:lang w:val="fr-FR"/>
        </w:rPr>
        <w:t>’</w:t>
      </w:r>
      <w:r w:rsidR="00AD69FC" w:rsidRPr="00F60A3D">
        <w:rPr>
          <w:lang w:val="fr-FR"/>
        </w:rPr>
        <w:t>interrogatoire du prévenu ou de son défenseur. La loi r</w:t>
      </w:r>
      <w:r w:rsidR="001776D1" w:rsidRPr="00F60A3D">
        <w:rPr>
          <w:lang w:val="fr-FR"/>
        </w:rPr>
        <w:t>è</w:t>
      </w:r>
      <w:r w:rsidR="00AD69FC" w:rsidRPr="00F60A3D">
        <w:rPr>
          <w:lang w:val="fr-FR"/>
        </w:rPr>
        <w:t>gle les cas dans</w:t>
      </w:r>
      <w:r w:rsidR="00AD69FC" w:rsidRPr="00F60A3D">
        <w:rPr>
          <w:i/>
          <w:lang w:val="fr-FR"/>
        </w:rPr>
        <w:t xml:space="preserve"> </w:t>
      </w:r>
      <w:r w:rsidR="00AD69FC" w:rsidRPr="00F60A3D">
        <w:rPr>
          <w:lang w:val="fr-FR"/>
        </w:rPr>
        <w:t>lesquels la formation</w:t>
      </w:r>
      <w:r w:rsidR="00AD69FC" w:rsidRPr="00F60A3D">
        <w:rPr>
          <w:i/>
          <w:lang w:val="fr-FR"/>
        </w:rPr>
        <w:t xml:space="preserve"> </w:t>
      </w:r>
      <w:r w:rsidR="00AD69FC" w:rsidRPr="00F60A3D">
        <w:rPr>
          <w:lang w:val="fr-FR"/>
        </w:rPr>
        <w:t>de la preuve n</w:t>
      </w:r>
      <w:r w:rsidR="00B17AE1" w:rsidRPr="00F60A3D">
        <w:rPr>
          <w:lang w:val="fr-FR"/>
        </w:rPr>
        <w:t>’</w:t>
      </w:r>
      <w:r w:rsidR="00AD69FC" w:rsidRPr="00F60A3D">
        <w:rPr>
          <w:lang w:val="fr-FR"/>
        </w:rPr>
        <w:t>a pas lieu contradictoirement pa</w:t>
      </w:r>
      <w:r w:rsidR="00184B7A" w:rsidRPr="00F60A3D">
        <w:rPr>
          <w:lang w:val="fr-FR"/>
        </w:rPr>
        <w:t>r consentement du pré</w:t>
      </w:r>
      <w:r w:rsidR="00BE1E95" w:rsidRPr="00F60A3D">
        <w:rPr>
          <w:lang w:val="fr-FR"/>
        </w:rPr>
        <w:t>venu ou pou</w:t>
      </w:r>
      <w:r w:rsidR="00AD69FC" w:rsidRPr="00F60A3D">
        <w:rPr>
          <w:lang w:val="fr-FR"/>
        </w:rPr>
        <w:t>r la constatation d</w:t>
      </w:r>
      <w:r w:rsidR="00B17AE1" w:rsidRPr="00F60A3D">
        <w:rPr>
          <w:lang w:val="fr-FR"/>
        </w:rPr>
        <w:t>’</w:t>
      </w:r>
      <w:r w:rsidR="00AD69FC" w:rsidRPr="00F60A3D">
        <w:rPr>
          <w:lang w:val="fr-FR"/>
        </w:rPr>
        <w:t>une impossibilité de nature objective</w:t>
      </w:r>
      <w:r w:rsidR="00756284" w:rsidRPr="00F60A3D">
        <w:rPr>
          <w:lang w:val="fr-FR"/>
        </w:rPr>
        <w:t>,</w:t>
      </w:r>
      <w:r w:rsidR="00AD69FC" w:rsidRPr="00F60A3D">
        <w:rPr>
          <w:lang w:val="fr-FR"/>
        </w:rPr>
        <w:t xml:space="preserve"> ou par l</w:t>
      </w:r>
      <w:r w:rsidR="00B17AE1" w:rsidRPr="00F60A3D">
        <w:rPr>
          <w:lang w:val="fr-FR"/>
        </w:rPr>
        <w:t>’</w:t>
      </w:r>
      <w:r w:rsidR="00AD69FC" w:rsidRPr="00F60A3D">
        <w:rPr>
          <w:lang w:val="fr-FR"/>
        </w:rPr>
        <w:t>effet d</w:t>
      </w:r>
      <w:r w:rsidR="00B17AE1" w:rsidRPr="00F60A3D">
        <w:rPr>
          <w:lang w:val="fr-FR"/>
        </w:rPr>
        <w:t>’</w:t>
      </w:r>
      <w:r w:rsidR="00AD69FC" w:rsidRPr="00F60A3D">
        <w:rPr>
          <w:lang w:val="fr-FR"/>
        </w:rPr>
        <w:t>une conduit</w:t>
      </w:r>
      <w:r w:rsidR="001776D1" w:rsidRPr="00F60A3D">
        <w:rPr>
          <w:lang w:val="fr-FR"/>
        </w:rPr>
        <w:t>e</w:t>
      </w:r>
      <w:r w:rsidR="00A30A8D" w:rsidRPr="00F60A3D">
        <w:rPr>
          <w:lang w:val="fr-FR"/>
        </w:rPr>
        <w:t xml:space="preserve"> illicit</w:t>
      </w:r>
      <w:r w:rsidR="00AD69FC" w:rsidRPr="00F60A3D">
        <w:rPr>
          <w:lang w:val="fr-FR"/>
        </w:rPr>
        <w:t xml:space="preserve">e prouvée. </w:t>
      </w:r>
      <w:r w:rsidR="00055D92" w:rsidRPr="00F60A3D">
        <w:rPr>
          <w:lang w:val="fr-FR"/>
        </w:rPr>
        <w:t>Toutes les décision</w:t>
      </w:r>
      <w:r w:rsidR="001776D1" w:rsidRPr="00F60A3D">
        <w:rPr>
          <w:lang w:val="fr-FR"/>
        </w:rPr>
        <w:t>s j</w:t>
      </w:r>
      <w:r w:rsidR="00AD69FC" w:rsidRPr="00F60A3D">
        <w:rPr>
          <w:lang w:val="fr-FR"/>
        </w:rPr>
        <w:t>uridictionnelles doivent être motivées. Le pourvoi en cassation pour violation de la loi est toujours admis contre les arrêts et contre les mesures concernant la liberté de la personne, prononcés par les organes jurid</w:t>
      </w:r>
      <w:r w:rsidR="00184B7A" w:rsidRPr="00F60A3D">
        <w:rPr>
          <w:lang w:val="fr-FR"/>
        </w:rPr>
        <w:t>ictionnels ou spéci</w:t>
      </w:r>
      <w:r w:rsidR="00AD69FC" w:rsidRPr="00F60A3D">
        <w:rPr>
          <w:lang w:val="fr-FR"/>
        </w:rPr>
        <w:t>aux. Il ne peut être dérogé à cette règle que pour les jugements des tribunaux militaires en temps de guerre. Le</w:t>
      </w:r>
      <w:r w:rsidR="001776D1" w:rsidRPr="00F60A3D">
        <w:rPr>
          <w:lang w:val="fr-FR"/>
        </w:rPr>
        <w:t>s</w:t>
      </w:r>
      <w:r w:rsidR="00AD69FC" w:rsidRPr="00F60A3D">
        <w:rPr>
          <w:lang w:val="fr-FR"/>
        </w:rPr>
        <w:t xml:space="preserve"> pourvoi</w:t>
      </w:r>
      <w:r w:rsidR="001776D1" w:rsidRPr="00F60A3D">
        <w:rPr>
          <w:lang w:val="fr-FR"/>
        </w:rPr>
        <w:t>s</w:t>
      </w:r>
      <w:r w:rsidR="00184B7A" w:rsidRPr="00F60A3D">
        <w:rPr>
          <w:lang w:val="fr-FR"/>
        </w:rPr>
        <w:t xml:space="preserve"> en cassation contre les dé</w:t>
      </w:r>
      <w:r w:rsidR="00AD69FC" w:rsidRPr="00F60A3D">
        <w:rPr>
          <w:lang w:val="fr-FR"/>
        </w:rPr>
        <w:t>cisions du Conseil d</w:t>
      </w:r>
      <w:r w:rsidR="00B17AE1" w:rsidRPr="00F60A3D">
        <w:rPr>
          <w:lang w:val="fr-FR"/>
        </w:rPr>
        <w:t>’</w:t>
      </w:r>
      <w:r w:rsidR="00AD69FC" w:rsidRPr="00F60A3D">
        <w:rPr>
          <w:lang w:val="fr-FR"/>
        </w:rPr>
        <w:t>État et de la Cour des comptes n</w:t>
      </w:r>
      <w:r w:rsidR="001776D1" w:rsidRPr="00F60A3D">
        <w:rPr>
          <w:lang w:val="fr-FR"/>
        </w:rPr>
        <w:t>e son</w:t>
      </w:r>
      <w:r w:rsidR="00460B4F" w:rsidRPr="00F60A3D">
        <w:rPr>
          <w:lang w:val="fr-FR"/>
        </w:rPr>
        <w:t>t admis que pour d</w:t>
      </w:r>
      <w:r w:rsidR="00AD69FC" w:rsidRPr="00F60A3D">
        <w:rPr>
          <w:lang w:val="fr-FR"/>
        </w:rPr>
        <w:t xml:space="preserve">es motifs relatifs à la </w:t>
      </w:r>
      <w:r w:rsidR="001776D1" w:rsidRPr="00F60A3D">
        <w:rPr>
          <w:lang w:val="fr-FR"/>
        </w:rPr>
        <w:t>juri</w:t>
      </w:r>
      <w:r w:rsidR="00E4009D" w:rsidRPr="00F60A3D">
        <w:rPr>
          <w:lang w:val="fr-FR"/>
        </w:rPr>
        <w:t>diction.</w:t>
      </w:r>
      <w:r w:rsidR="00731982" w:rsidRPr="00F60A3D">
        <w:rPr>
          <w:lang w:val="fr-FR"/>
        </w:rPr>
        <w:t>»</w:t>
      </w:r>
      <w:r w:rsidR="00731982" w:rsidRPr="00F60A3D">
        <w:rPr>
          <w:i/>
          <w:lang w:val="fr-FR"/>
        </w:rPr>
        <w:t xml:space="preserve"> </w:t>
      </w:r>
    </w:p>
    <w:p w:rsidR="001776D1" w:rsidRPr="00F60A3D" w:rsidRDefault="00F21423" w:rsidP="005063FC">
      <w:pPr>
        <w:pStyle w:val="SingleTxtG"/>
        <w:rPr>
          <w:rStyle w:val="SingleTxtGChar"/>
          <w:lang w:val="fr-FR"/>
        </w:rPr>
      </w:pPr>
      <w:r w:rsidRPr="00F60A3D">
        <w:rPr>
          <w:rStyle w:val="SingleTxtGChar"/>
          <w:lang w:val="fr-FR"/>
        </w:rPr>
        <w:t>19</w:t>
      </w:r>
      <w:r w:rsidR="001776D1" w:rsidRPr="00F60A3D">
        <w:rPr>
          <w:rStyle w:val="SingleTxtGChar"/>
          <w:lang w:val="fr-FR"/>
        </w:rPr>
        <w:t>1.</w:t>
      </w:r>
      <w:r w:rsidR="001776D1" w:rsidRPr="00F60A3D">
        <w:rPr>
          <w:rStyle w:val="SingleTxtGChar"/>
          <w:lang w:val="fr-FR"/>
        </w:rPr>
        <w:tab/>
        <w:t>Les droits</w:t>
      </w:r>
      <w:r w:rsidR="009E119C" w:rsidRPr="00F60A3D">
        <w:rPr>
          <w:rStyle w:val="SingleTxtGChar"/>
          <w:lang w:val="fr-FR"/>
        </w:rPr>
        <w:t xml:space="preserve"> </w:t>
      </w:r>
      <w:r w:rsidR="00FE4548" w:rsidRPr="00F60A3D">
        <w:rPr>
          <w:rStyle w:val="SingleTxtGChar"/>
          <w:lang w:val="fr-FR"/>
        </w:rPr>
        <w:t>fondamentaux</w:t>
      </w:r>
      <w:r w:rsidR="009E119C" w:rsidRPr="00F60A3D">
        <w:rPr>
          <w:rStyle w:val="SingleTxtGChar"/>
          <w:lang w:val="fr-FR"/>
        </w:rPr>
        <w:t xml:space="preserve"> ont été créés essen</w:t>
      </w:r>
      <w:r w:rsidR="001776D1" w:rsidRPr="00F60A3D">
        <w:rPr>
          <w:rStyle w:val="SingleTxtGChar"/>
          <w:lang w:val="fr-FR"/>
        </w:rPr>
        <w:t xml:space="preserve">tiellement afin de protéger la dignité humaine. </w:t>
      </w:r>
      <w:r w:rsidR="009E119C" w:rsidRPr="00F60A3D">
        <w:rPr>
          <w:rStyle w:val="SingleTxtGChar"/>
          <w:lang w:val="fr-FR"/>
        </w:rPr>
        <w:t>Pour fonder leurs décisions</w:t>
      </w:r>
      <w:r w:rsidR="001776D1" w:rsidRPr="00F60A3D">
        <w:rPr>
          <w:rStyle w:val="SingleTxtGChar"/>
          <w:lang w:val="fr-FR"/>
        </w:rPr>
        <w:t xml:space="preserve">, les juges doivent </w:t>
      </w:r>
      <w:r w:rsidR="009E119C" w:rsidRPr="00F60A3D">
        <w:rPr>
          <w:rStyle w:val="SingleTxtGChar"/>
          <w:lang w:val="fr-FR"/>
        </w:rPr>
        <w:t>interpré</w:t>
      </w:r>
      <w:r w:rsidR="001776D1" w:rsidRPr="00F60A3D">
        <w:rPr>
          <w:rStyle w:val="SingleTxtGChar"/>
          <w:lang w:val="fr-FR"/>
        </w:rPr>
        <w:t>ter les dispositions</w:t>
      </w:r>
      <w:r w:rsidR="009E119C" w:rsidRPr="00F60A3D">
        <w:rPr>
          <w:rStyle w:val="SingleTxtGChar"/>
          <w:lang w:val="fr-FR"/>
        </w:rPr>
        <w:t xml:space="preserve"> en se conformant au système général de valeurs de</w:t>
      </w:r>
      <w:r w:rsidR="00CA721C" w:rsidRPr="00F60A3D">
        <w:rPr>
          <w:rStyle w:val="SingleTxtGChar"/>
          <w:lang w:val="fr-FR"/>
        </w:rPr>
        <w:t xml:space="preserve"> ces droits</w:t>
      </w:r>
      <w:r w:rsidR="009E119C" w:rsidRPr="00F60A3D">
        <w:rPr>
          <w:rStyle w:val="SingleTxtGChar"/>
          <w:lang w:val="fr-FR"/>
        </w:rPr>
        <w:t xml:space="preserve">. </w:t>
      </w:r>
    </w:p>
    <w:p w:rsidR="00DB5D9E" w:rsidRPr="00F60A3D" w:rsidRDefault="004365E0" w:rsidP="004365E0">
      <w:pPr>
        <w:pStyle w:val="H23G"/>
        <w:rPr>
          <w:lang w:val="fr-FR"/>
        </w:rPr>
      </w:pPr>
      <w:r w:rsidRPr="00F60A3D">
        <w:rPr>
          <w:lang w:val="fr-FR"/>
        </w:rPr>
        <w:tab/>
      </w:r>
      <w:r w:rsidRPr="00F60A3D">
        <w:rPr>
          <w:lang w:val="fr-FR"/>
        </w:rPr>
        <w:tab/>
      </w:r>
      <w:r w:rsidR="009E119C" w:rsidRPr="00F60A3D">
        <w:rPr>
          <w:lang w:val="fr-FR"/>
        </w:rPr>
        <w:t>Recour</w:t>
      </w:r>
      <w:r w:rsidR="00DF1916" w:rsidRPr="00F60A3D">
        <w:rPr>
          <w:lang w:val="fr-FR"/>
        </w:rPr>
        <w:t>s auprès de la Cour européenne</w:t>
      </w:r>
      <w:r w:rsidR="009E119C" w:rsidRPr="00F60A3D">
        <w:rPr>
          <w:lang w:val="fr-FR"/>
        </w:rPr>
        <w:t xml:space="preserve"> des droits de l</w:t>
      </w:r>
      <w:r w:rsidR="00B17AE1" w:rsidRPr="00F60A3D">
        <w:rPr>
          <w:lang w:val="fr-FR"/>
        </w:rPr>
        <w:t>’</w:t>
      </w:r>
      <w:r w:rsidR="009E119C" w:rsidRPr="00F60A3D">
        <w:rPr>
          <w:lang w:val="fr-FR"/>
        </w:rPr>
        <w:t>hom</w:t>
      </w:r>
      <w:r w:rsidR="00DF1916" w:rsidRPr="00F60A3D">
        <w:rPr>
          <w:lang w:val="fr-FR"/>
        </w:rPr>
        <w:t>me</w:t>
      </w:r>
      <w:r w:rsidR="00731982" w:rsidRPr="00F60A3D">
        <w:rPr>
          <w:lang w:val="fr-FR"/>
        </w:rPr>
        <w:t xml:space="preserve"> </w:t>
      </w:r>
    </w:p>
    <w:p w:rsidR="00DB5D9E" w:rsidRPr="00F60A3D" w:rsidRDefault="00F21423" w:rsidP="00A07039">
      <w:pPr>
        <w:pStyle w:val="SingleTxtG"/>
        <w:rPr>
          <w:lang w:val="fr-FR"/>
        </w:rPr>
      </w:pPr>
      <w:r w:rsidRPr="00F60A3D">
        <w:rPr>
          <w:lang w:val="fr-FR"/>
        </w:rPr>
        <w:t>19</w:t>
      </w:r>
      <w:r w:rsidR="009E119C" w:rsidRPr="00F60A3D">
        <w:rPr>
          <w:lang w:val="fr-FR"/>
        </w:rPr>
        <w:t>2.</w:t>
      </w:r>
      <w:r w:rsidR="009E119C" w:rsidRPr="00F60A3D">
        <w:rPr>
          <w:lang w:val="fr-FR"/>
        </w:rPr>
        <w:tab/>
        <w:t>En vertu de la Convention européenne de sauvegarde des droits de l</w:t>
      </w:r>
      <w:r w:rsidR="00B17AE1" w:rsidRPr="00F60A3D">
        <w:rPr>
          <w:lang w:val="fr-FR"/>
        </w:rPr>
        <w:t>’</w:t>
      </w:r>
      <w:r w:rsidR="009E119C" w:rsidRPr="00F60A3D">
        <w:rPr>
          <w:lang w:val="fr-FR"/>
        </w:rPr>
        <w:t xml:space="preserve">homme et des libertés fondamentales, des recours peuvent être intentés contre les États contractants par les autres </w:t>
      </w:r>
      <w:r w:rsidR="00A07039" w:rsidRPr="00F60A3D">
        <w:rPr>
          <w:lang w:val="fr-FR"/>
        </w:rPr>
        <w:t>É</w:t>
      </w:r>
      <w:r w:rsidR="009E119C" w:rsidRPr="00F60A3D">
        <w:rPr>
          <w:lang w:val="fr-FR"/>
        </w:rPr>
        <w:t>tats contractants</w:t>
      </w:r>
      <w:r w:rsidR="00756284" w:rsidRPr="00F60A3D">
        <w:rPr>
          <w:lang w:val="fr-FR"/>
        </w:rPr>
        <w:t>,</w:t>
      </w:r>
      <w:r w:rsidR="009E119C" w:rsidRPr="00F60A3D">
        <w:rPr>
          <w:lang w:val="fr-FR"/>
        </w:rPr>
        <w:t xml:space="preserve"> ou par des </w:t>
      </w:r>
      <w:r w:rsidR="00DF1916" w:rsidRPr="00F60A3D">
        <w:rPr>
          <w:lang w:val="fr-FR"/>
        </w:rPr>
        <w:t>personnes qui se disent</w:t>
      </w:r>
      <w:r w:rsidR="00A07039" w:rsidRPr="00F60A3D">
        <w:rPr>
          <w:lang w:val="fr-FR"/>
        </w:rPr>
        <w:t xml:space="preserve"> victime</w:t>
      </w:r>
      <w:r w:rsidR="00DF1916" w:rsidRPr="00F60A3D">
        <w:rPr>
          <w:lang w:val="fr-FR"/>
        </w:rPr>
        <w:t>s</w:t>
      </w:r>
      <w:r w:rsidR="00A07039" w:rsidRPr="00F60A3D">
        <w:rPr>
          <w:lang w:val="fr-FR"/>
        </w:rPr>
        <w:t xml:space="preserve"> d</w:t>
      </w:r>
      <w:r w:rsidR="00B17AE1" w:rsidRPr="00F60A3D">
        <w:rPr>
          <w:lang w:val="fr-FR"/>
        </w:rPr>
        <w:t>’</w:t>
      </w:r>
      <w:r w:rsidR="00A07039" w:rsidRPr="00F60A3D">
        <w:rPr>
          <w:lang w:val="fr-FR"/>
        </w:rPr>
        <w:t>une violation de la Convention (individus, groupes d</w:t>
      </w:r>
      <w:r w:rsidR="00B17AE1" w:rsidRPr="00F60A3D">
        <w:rPr>
          <w:lang w:val="fr-FR"/>
        </w:rPr>
        <w:t>’</w:t>
      </w:r>
      <w:r w:rsidR="00A07039" w:rsidRPr="00F60A3D">
        <w:rPr>
          <w:lang w:val="fr-FR"/>
        </w:rPr>
        <w:t xml:space="preserve">individus ou ONG). </w:t>
      </w:r>
    </w:p>
    <w:p w:rsidR="00A07039" w:rsidRPr="00F60A3D" w:rsidRDefault="00224935" w:rsidP="004365E0">
      <w:pPr>
        <w:pStyle w:val="SingleTxtG"/>
        <w:rPr>
          <w:lang w:val="fr-FR"/>
        </w:rPr>
      </w:pPr>
      <w:r w:rsidRPr="00F60A3D">
        <w:rPr>
          <w:lang w:val="fr-FR"/>
        </w:rPr>
        <w:t>193.</w:t>
      </w:r>
      <w:r w:rsidR="001D2CCC" w:rsidRPr="00F60A3D">
        <w:rPr>
          <w:lang w:val="fr-FR"/>
        </w:rPr>
        <w:tab/>
      </w:r>
      <w:r w:rsidR="00A07039" w:rsidRPr="00F60A3D">
        <w:rPr>
          <w:lang w:val="fr-FR"/>
        </w:rPr>
        <w:t>En 2015, la Cour de Strasbourg a traité 4</w:t>
      </w:r>
      <w:r w:rsidR="004365E0" w:rsidRPr="00F60A3D">
        <w:rPr>
          <w:lang w:val="fr-FR"/>
        </w:rPr>
        <w:t> </w:t>
      </w:r>
      <w:r w:rsidR="00DB5D9E" w:rsidRPr="00F60A3D">
        <w:rPr>
          <w:lang w:val="fr-FR"/>
        </w:rPr>
        <w:t>463</w:t>
      </w:r>
      <w:r w:rsidR="004365E0" w:rsidRPr="00F60A3D">
        <w:rPr>
          <w:rFonts w:eastAsia="Calibri"/>
          <w:color w:val="000000"/>
          <w:spacing w:val="4"/>
          <w:w w:val="103"/>
          <w:kern w:val="14"/>
          <w:lang w:val="fr-FR"/>
        </w:rPr>
        <w:t> </w:t>
      </w:r>
      <w:r w:rsidR="00A07039" w:rsidRPr="00F60A3D">
        <w:rPr>
          <w:lang w:val="fr-FR"/>
        </w:rPr>
        <w:t>demandes concernant l</w:t>
      </w:r>
      <w:r w:rsidR="00B17AE1" w:rsidRPr="00F60A3D">
        <w:rPr>
          <w:lang w:val="fr-FR"/>
        </w:rPr>
        <w:t>’</w:t>
      </w:r>
      <w:r w:rsidR="00A07039" w:rsidRPr="00F60A3D">
        <w:rPr>
          <w:lang w:val="fr-FR"/>
        </w:rPr>
        <w:t xml:space="preserve">Italie, </w:t>
      </w:r>
      <w:r w:rsidR="00DF1916" w:rsidRPr="00F60A3D">
        <w:rPr>
          <w:lang w:val="fr-FR"/>
        </w:rPr>
        <w:t>don</w:t>
      </w:r>
      <w:r w:rsidR="00A07039" w:rsidRPr="00F60A3D">
        <w:rPr>
          <w:lang w:val="fr-FR"/>
        </w:rPr>
        <w:t>t 4 438 ont été annulées ou déclarées irrecevables. Elle a prononcé 24</w:t>
      </w:r>
      <w:r w:rsidR="004365E0" w:rsidRPr="00F60A3D">
        <w:rPr>
          <w:lang w:val="fr-FR"/>
        </w:rPr>
        <w:t> </w:t>
      </w:r>
      <w:r w:rsidR="00A07039" w:rsidRPr="00F60A3D">
        <w:rPr>
          <w:lang w:val="fr-FR"/>
        </w:rPr>
        <w:t xml:space="preserve">jugements (concernant 25 demandes), </w:t>
      </w:r>
      <w:r w:rsidR="00DF1916" w:rsidRPr="00F60A3D">
        <w:rPr>
          <w:lang w:val="fr-FR"/>
        </w:rPr>
        <w:t>don</w:t>
      </w:r>
      <w:r w:rsidR="006D24AC" w:rsidRPr="00F60A3D">
        <w:rPr>
          <w:lang w:val="fr-FR"/>
        </w:rPr>
        <w:t>t 20 ont conclu à</w:t>
      </w:r>
      <w:r w:rsidR="00A07039" w:rsidRPr="00F60A3D">
        <w:rPr>
          <w:lang w:val="fr-FR"/>
        </w:rPr>
        <w:t xml:space="preserve"> l</w:t>
      </w:r>
      <w:r w:rsidR="00B17AE1" w:rsidRPr="00F60A3D">
        <w:rPr>
          <w:lang w:val="fr-FR"/>
        </w:rPr>
        <w:t>’</w:t>
      </w:r>
      <w:r w:rsidR="00A07039" w:rsidRPr="00F60A3D">
        <w:rPr>
          <w:lang w:val="fr-FR"/>
        </w:rPr>
        <w:t>existence d</w:t>
      </w:r>
      <w:r w:rsidR="00B17AE1" w:rsidRPr="00F60A3D">
        <w:rPr>
          <w:lang w:val="fr-FR"/>
        </w:rPr>
        <w:t>’</w:t>
      </w:r>
      <w:r w:rsidR="00A07039" w:rsidRPr="00F60A3D">
        <w:rPr>
          <w:lang w:val="fr-FR"/>
        </w:rPr>
        <w:t>au moins une violation de la Convention européenne des droits de l</w:t>
      </w:r>
      <w:r w:rsidR="00B17AE1" w:rsidRPr="00F60A3D">
        <w:rPr>
          <w:lang w:val="fr-FR"/>
        </w:rPr>
        <w:t>’</w:t>
      </w:r>
      <w:r w:rsidR="00A07039" w:rsidRPr="00F60A3D">
        <w:rPr>
          <w:lang w:val="fr-FR"/>
        </w:rPr>
        <w:t>homme. En 2014, les demandes adressées ont abouti à: 5 476</w:t>
      </w:r>
      <w:r w:rsidR="004365E0" w:rsidRPr="00F60A3D">
        <w:rPr>
          <w:lang w:val="fr-FR"/>
        </w:rPr>
        <w:t> </w:t>
      </w:r>
      <w:r w:rsidR="008F5263" w:rsidRPr="00F60A3D">
        <w:rPr>
          <w:lang w:val="fr-FR"/>
        </w:rPr>
        <w:t>jugements, dont 44 ont fait apparaître</w:t>
      </w:r>
      <w:r w:rsidR="006D24AC" w:rsidRPr="00F60A3D">
        <w:rPr>
          <w:lang w:val="fr-FR"/>
        </w:rPr>
        <w:t xml:space="preserve"> </w:t>
      </w:r>
      <w:r w:rsidR="00A07039" w:rsidRPr="00F60A3D">
        <w:rPr>
          <w:lang w:val="fr-FR"/>
        </w:rPr>
        <w:t>39</w:t>
      </w:r>
      <w:r w:rsidR="004365E0" w:rsidRPr="00F60A3D">
        <w:rPr>
          <w:lang w:val="fr-FR"/>
        </w:rPr>
        <w:t> </w:t>
      </w:r>
      <w:r w:rsidR="00A07039" w:rsidRPr="00F60A3D">
        <w:rPr>
          <w:lang w:val="fr-FR"/>
        </w:rPr>
        <w:t>violations et 2</w:t>
      </w:r>
      <w:r w:rsidR="004365E0" w:rsidRPr="00F60A3D">
        <w:rPr>
          <w:lang w:val="fr-FR"/>
        </w:rPr>
        <w:t> </w:t>
      </w:r>
      <w:r w:rsidR="00A07039" w:rsidRPr="00F60A3D">
        <w:rPr>
          <w:lang w:val="fr-FR"/>
        </w:rPr>
        <w:t>non</w:t>
      </w:r>
      <w:r w:rsidR="00DF1916" w:rsidRPr="00F60A3D">
        <w:rPr>
          <w:lang w:val="fr-FR"/>
        </w:rPr>
        <w:t>-</w:t>
      </w:r>
      <w:r w:rsidR="00A07039" w:rsidRPr="00F60A3D">
        <w:rPr>
          <w:lang w:val="fr-FR"/>
        </w:rPr>
        <w:t xml:space="preserve">violations. </w:t>
      </w:r>
    </w:p>
    <w:p w:rsidR="00DB5D9E" w:rsidRPr="00F60A3D" w:rsidRDefault="00224935" w:rsidP="004365E0">
      <w:pPr>
        <w:pStyle w:val="SingleTxtG"/>
        <w:rPr>
          <w:lang w:val="fr-FR"/>
        </w:rPr>
      </w:pPr>
      <w:r w:rsidRPr="00F60A3D">
        <w:rPr>
          <w:lang w:val="fr-FR"/>
        </w:rPr>
        <w:t>194.</w:t>
      </w:r>
      <w:r w:rsidR="001D2CCC" w:rsidRPr="00F60A3D">
        <w:rPr>
          <w:lang w:val="fr-FR"/>
        </w:rPr>
        <w:tab/>
      </w:r>
      <w:r w:rsidR="00055D92" w:rsidRPr="00F60A3D">
        <w:rPr>
          <w:lang w:val="fr-FR"/>
        </w:rPr>
        <w:t>Les cas pertinen</w:t>
      </w:r>
      <w:r w:rsidR="00D23A67" w:rsidRPr="00F60A3D">
        <w:rPr>
          <w:lang w:val="fr-FR"/>
        </w:rPr>
        <w:t>t</w:t>
      </w:r>
      <w:r w:rsidR="00DF1916" w:rsidRPr="00F60A3D">
        <w:rPr>
          <w:lang w:val="fr-FR"/>
        </w:rPr>
        <w:t>s et récents portés devant la Cour europée</w:t>
      </w:r>
      <w:r w:rsidR="00BB0B3E" w:rsidRPr="00F60A3D">
        <w:rPr>
          <w:lang w:val="fr-FR"/>
        </w:rPr>
        <w:t>nne des droits de l</w:t>
      </w:r>
      <w:r w:rsidR="00B17AE1" w:rsidRPr="00F60A3D">
        <w:rPr>
          <w:lang w:val="fr-FR"/>
        </w:rPr>
        <w:t>’</w:t>
      </w:r>
      <w:r w:rsidR="00BB0B3E" w:rsidRPr="00F60A3D">
        <w:rPr>
          <w:lang w:val="fr-FR"/>
        </w:rPr>
        <w:t xml:space="preserve">homme </w:t>
      </w:r>
      <w:r w:rsidR="00756284" w:rsidRPr="00F60A3D">
        <w:rPr>
          <w:lang w:val="fr-FR"/>
        </w:rPr>
        <w:t>figure</w:t>
      </w:r>
      <w:r w:rsidR="00DF1916" w:rsidRPr="00F60A3D">
        <w:rPr>
          <w:lang w:val="fr-FR"/>
        </w:rPr>
        <w:t>nt à l</w:t>
      </w:r>
      <w:r w:rsidR="00B17AE1" w:rsidRPr="00F60A3D">
        <w:rPr>
          <w:lang w:val="fr-FR"/>
        </w:rPr>
        <w:t>’</w:t>
      </w:r>
      <w:r w:rsidR="00DF1916" w:rsidRPr="00F60A3D">
        <w:rPr>
          <w:lang w:val="fr-FR"/>
        </w:rPr>
        <w:t>adresse:</w:t>
      </w:r>
      <w:r w:rsidR="00731982" w:rsidRPr="00F60A3D">
        <w:rPr>
          <w:lang w:val="fr-FR"/>
        </w:rPr>
        <w:t xml:space="preserve"> </w:t>
      </w:r>
      <w:r w:rsidR="00DB5D9E" w:rsidRPr="00F60A3D">
        <w:rPr>
          <w:color w:val="111111"/>
          <w:lang w:val="fr-FR"/>
        </w:rPr>
        <w:t>http://www.echr.coe.int/Documents/CP_Italy_eng.pdf</w:t>
      </w:r>
      <w:r w:rsidR="006A35D8" w:rsidRPr="00F60A3D">
        <w:rPr>
          <w:lang w:val="fr-FR"/>
        </w:rPr>
        <w:t>.</w:t>
      </w:r>
    </w:p>
    <w:p w:rsidR="00DB5D9E" w:rsidRPr="00F60A3D" w:rsidRDefault="005063FC" w:rsidP="005063FC">
      <w:pPr>
        <w:pStyle w:val="H23G"/>
        <w:rPr>
          <w:i/>
          <w:lang w:val="fr-FR"/>
        </w:rPr>
      </w:pPr>
      <w:r w:rsidRPr="00F60A3D">
        <w:rPr>
          <w:lang w:val="fr-FR"/>
        </w:rPr>
        <w:tab/>
      </w:r>
      <w:r w:rsidRPr="00F60A3D">
        <w:rPr>
          <w:lang w:val="fr-FR"/>
        </w:rPr>
        <w:tab/>
      </w:r>
      <w:r w:rsidR="00DF1916" w:rsidRPr="00F60A3D">
        <w:rPr>
          <w:lang w:val="fr-FR"/>
        </w:rPr>
        <w:t>Indemnisation</w:t>
      </w:r>
    </w:p>
    <w:p w:rsidR="00DF1916" w:rsidRPr="00F60A3D" w:rsidRDefault="00F21423" w:rsidP="004365E0">
      <w:pPr>
        <w:pStyle w:val="SingleTxtG"/>
        <w:rPr>
          <w:lang w:val="fr-FR"/>
        </w:rPr>
      </w:pPr>
      <w:r w:rsidRPr="00F60A3D">
        <w:rPr>
          <w:lang w:val="fr-FR"/>
        </w:rPr>
        <w:t>195</w:t>
      </w:r>
      <w:r w:rsidR="00BE1E95" w:rsidRPr="00F60A3D">
        <w:rPr>
          <w:lang w:val="fr-FR"/>
        </w:rPr>
        <w:t>.</w:t>
      </w:r>
      <w:r w:rsidR="00BE1E95" w:rsidRPr="00F60A3D">
        <w:rPr>
          <w:lang w:val="fr-FR"/>
        </w:rPr>
        <w:tab/>
        <w:t>La législation italienne</w:t>
      </w:r>
      <w:r w:rsidR="00DF1916" w:rsidRPr="00F60A3D">
        <w:rPr>
          <w:lang w:val="fr-FR"/>
        </w:rPr>
        <w:t xml:space="preserve"> ne prévoit pas de système distinct d</w:t>
      </w:r>
      <w:r w:rsidR="00B17AE1" w:rsidRPr="00F60A3D">
        <w:rPr>
          <w:lang w:val="fr-FR"/>
        </w:rPr>
        <w:t>’</w:t>
      </w:r>
      <w:r w:rsidR="00DF1916" w:rsidRPr="00F60A3D">
        <w:rPr>
          <w:lang w:val="fr-FR"/>
        </w:rPr>
        <w:t>in</w:t>
      </w:r>
      <w:r w:rsidR="002C6112" w:rsidRPr="00F60A3D">
        <w:rPr>
          <w:lang w:val="fr-FR"/>
        </w:rPr>
        <w:t>demnisation en cas de violation</w:t>
      </w:r>
      <w:r w:rsidR="00DF1916" w:rsidRPr="00F60A3D">
        <w:rPr>
          <w:lang w:val="fr-FR"/>
        </w:rPr>
        <w:t xml:space="preserve"> des droits fondamentaux, mais les dispositions générales s</w:t>
      </w:r>
      <w:r w:rsidR="00B17AE1" w:rsidRPr="00F60A3D">
        <w:rPr>
          <w:lang w:val="fr-FR"/>
        </w:rPr>
        <w:t>’</w:t>
      </w:r>
      <w:r w:rsidR="00DF1916" w:rsidRPr="00F60A3D">
        <w:rPr>
          <w:lang w:val="fr-FR"/>
        </w:rPr>
        <w:t>appliquent. Par exemple, si une personne dans l</w:t>
      </w:r>
      <w:r w:rsidR="00B17AE1" w:rsidRPr="00F60A3D">
        <w:rPr>
          <w:lang w:val="fr-FR"/>
        </w:rPr>
        <w:t>’</w:t>
      </w:r>
      <w:r w:rsidR="00D67B91" w:rsidRPr="00F60A3D">
        <w:rPr>
          <w:lang w:val="fr-FR"/>
        </w:rPr>
        <w:t xml:space="preserve">exercice de la fonction </w:t>
      </w:r>
      <w:r w:rsidR="00DF1916" w:rsidRPr="00F60A3D">
        <w:rPr>
          <w:lang w:val="fr-FR"/>
        </w:rPr>
        <w:t xml:space="preserve">publique </w:t>
      </w:r>
      <w:r w:rsidR="00D67B91" w:rsidRPr="00F60A3D">
        <w:rPr>
          <w:lang w:val="fr-FR"/>
        </w:rPr>
        <w:t>don</w:t>
      </w:r>
      <w:r w:rsidR="00DF1916" w:rsidRPr="00F60A3D">
        <w:rPr>
          <w:lang w:val="fr-FR"/>
        </w:rPr>
        <w:t>t elle a la charge enfreint ses obligations officielles vis-à-vis d</w:t>
      </w:r>
      <w:r w:rsidR="00B17AE1" w:rsidRPr="00F60A3D">
        <w:rPr>
          <w:lang w:val="fr-FR"/>
        </w:rPr>
        <w:t>’</w:t>
      </w:r>
      <w:r w:rsidR="00DF1916" w:rsidRPr="00F60A3D">
        <w:rPr>
          <w:lang w:val="fr-FR"/>
        </w:rPr>
        <w:t>un tiers, la responsabilité</w:t>
      </w:r>
      <w:r w:rsidR="00C344CB" w:rsidRPr="00F60A3D">
        <w:rPr>
          <w:lang w:val="fr-FR"/>
        </w:rPr>
        <w:t xml:space="preserve"> en incombe en principe </w:t>
      </w:r>
      <w:r w:rsidR="00DF1916" w:rsidRPr="00F60A3D">
        <w:rPr>
          <w:lang w:val="fr-FR"/>
        </w:rPr>
        <w:t>à l</w:t>
      </w:r>
      <w:r w:rsidR="00B17AE1" w:rsidRPr="00F60A3D">
        <w:rPr>
          <w:lang w:val="fr-FR"/>
        </w:rPr>
        <w:t>’</w:t>
      </w:r>
      <w:r w:rsidR="00DF1916" w:rsidRPr="00F60A3D">
        <w:rPr>
          <w:lang w:val="fr-FR"/>
        </w:rPr>
        <w:t>organ</w:t>
      </w:r>
      <w:r w:rsidR="00D67B91" w:rsidRPr="00F60A3D">
        <w:rPr>
          <w:lang w:val="fr-FR"/>
        </w:rPr>
        <w:t>ism</w:t>
      </w:r>
      <w:r w:rsidR="00BE1E95" w:rsidRPr="00F60A3D">
        <w:rPr>
          <w:lang w:val="fr-FR"/>
        </w:rPr>
        <w:t>e public</w:t>
      </w:r>
      <w:r w:rsidR="00DF1916" w:rsidRPr="00F60A3D">
        <w:rPr>
          <w:lang w:val="fr-FR"/>
        </w:rPr>
        <w:t xml:space="preserve"> qui l</w:t>
      </w:r>
      <w:r w:rsidR="00B17AE1" w:rsidRPr="00F60A3D">
        <w:rPr>
          <w:lang w:val="fr-FR"/>
        </w:rPr>
        <w:t>’</w:t>
      </w:r>
      <w:r w:rsidR="00DF1916" w:rsidRPr="00F60A3D">
        <w:rPr>
          <w:lang w:val="fr-FR"/>
        </w:rPr>
        <w:t>emploie</w:t>
      </w:r>
      <w:r w:rsidR="00C344CB" w:rsidRPr="00F60A3D">
        <w:rPr>
          <w:lang w:val="fr-FR"/>
        </w:rPr>
        <w:t xml:space="preserve"> ou à l</w:t>
      </w:r>
      <w:r w:rsidR="00B17AE1" w:rsidRPr="00F60A3D">
        <w:rPr>
          <w:lang w:val="fr-FR"/>
        </w:rPr>
        <w:t>’</w:t>
      </w:r>
      <w:r w:rsidR="00C344CB" w:rsidRPr="00F60A3D">
        <w:rPr>
          <w:lang w:val="fr-FR"/>
        </w:rPr>
        <w:t>État</w:t>
      </w:r>
      <w:r w:rsidR="00DF1916" w:rsidRPr="00F60A3D">
        <w:rPr>
          <w:lang w:val="fr-FR"/>
        </w:rPr>
        <w:t xml:space="preserve">. </w:t>
      </w:r>
      <w:r w:rsidR="00D67B91" w:rsidRPr="00F60A3D">
        <w:rPr>
          <w:lang w:val="fr-FR"/>
        </w:rPr>
        <w:t>La partie lésée peut dem</w:t>
      </w:r>
      <w:r w:rsidR="00BB0B3E" w:rsidRPr="00F60A3D">
        <w:rPr>
          <w:lang w:val="fr-FR"/>
        </w:rPr>
        <w:t>ander une indemnisation (</w:t>
      </w:r>
      <w:r w:rsidR="00731982" w:rsidRPr="00F60A3D">
        <w:rPr>
          <w:lang w:val="fr-FR"/>
        </w:rPr>
        <w:t>art. </w:t>
      </w:r>
      <w:r w:rsidR="00D67B91" w:rsidRPr="00F60A3D">
        <w:rPr>
          <w:lang w:val="fr-FR"/>
        </w:rPr>
        <w:t xml:space="preserve">28 de la Constitution). La loi détermine </w:t>
      </w:r>
      <w:r w:rsidR="00BE1E95" w:rsidRPr="00F60A3D">
        <w:rPr>
          <w:lang w:val="fr-FR"/>
        </w:rPr>
        <w:t>également les modalités de la ré</w:t>
      </w:r>
      <w:r w:rsidR="00D67B91" w:rsidRPr="00F60A3D">
        <w:rPr>
          <w:lang w:val="fr-FR"/>
        </w:rPr>
        <w:t>paration des erreurs judiciaires, confo</w:t>
      </w:r>
      <w:r w:rsidR="00BE1E95" w:rsidRPr="00F60A3D">
        <w:rPr>
          <w:lang w:val="fr-FR"/>
        </w:rPr>
        <w:t xml:space="preserve">rmément </w:t>
      </w:r>
      <w:r w:rsidR="00B20045" w:rsidRPr="00F60A3D">
        <w:rPr>
          <w:lang w:val="fr-FR"/>
        </w:rPr>
        <w:t>au para</w:t>
      </w:r>
      <w:r w:rsidR="00D26282" w:rsidRPr="00F60A3D">
        <w:rPr>
          <w:lang w:val="fr-FR"/>
        </w:rPr>
        <w:t>gra</w:t>
      </w:r>
      <w:r w:rsidR="00B20045" w:rsidRPr="00F60A3D">
        <w:rPr>
          <w:lang w:val="fr-FR"/>
        </w:rPr>
        <w:t>phe</w:t>
      </w:r>
      <w:r w:rsidR="004365E0" w:rsidRPr="00F60A3D">
        <w:rPr>
          <w:lang w:val="fr-FR"/>
        </w:rPr>
        <w:t> </w:t>
      </w:r>
      <w:r w:rsidR="00B20045" w:rsidRPr="00F60A3D">
        <w:rPr>
          <w:lang w:val="fr-FR"/>
        </w:rPr>
        <w:t xml:space="preserve">4 de </w:t>
      </w:r>
      <w:r w:rsidR="00D67B91" w:rsidRPr="00F60A3D">
        <w:rPr>
          <w:lang w:val="fr-FR"/>
        </w:rPr>
        <w:t>l</w:t>
      </w:r>
      <w:r w:rsidR="00B17AE1" w:rsidRPr="00F60A3D">
        <w:rPr>
          <w:lang w:val="fr-FR"/>
        </w:rPr>
        <w:t>’</w:t>
      </w:r>
      <w:r w:rsidR="00D26282" w:rsidRPr="00F60A3D">
        <w:rPr>
          <w:lang w:val="fr-FR"/>
        </w:rPr>
        <w:t>article </w:t>
      </w:r>
      <w:r w:rsidR="00BB0B3E" w:rsidRPr="00F60A3D">
        <w:rPr>
          <w:lang w:val="fr-FR"/>
        </w:rPr>
        <w:t>24</w:t>
      </w:r>
      <w:r w:rsidR="00D67B91" w:rsidRPr="00F60A3D">
        <w:rPr>
          <w:lang w:val="fr-FR"/>
        </w:rPr>
        <w:t xml:space="preserve"> de la Constitution. </w:t>
      </w:r>
    </w:p>
    <w:p w:rsidR="00D67B91" w:rsidRPr="00F60A3D" w:rsidRDefault="008736B9" w:rsidP="005063FC">
      <w:pPr>
        <w:pStyle w:val="SingleTxtG"/>
        <w:rPr>
          <w:lang w:val="fr-FR"/>
        </w:rPr>
      </w:pPr>
      <w:r w:rsidRPr="00F60A3D">
        <w:rPr>
          <w:lang w:val="fr-FR"/>
        </w:rPr>
        <w:t>196</w:t>
      </w:r>
      <w:r w:rsidR="00D67B91" w:rsidRPr="00F60A3D">
        <w:rPr>
          <w:lang w:val="fr-FR"/>
        </w:rPr>
        <w:t>.</w:t>
      </w:r>
      <w:r w:rsidR="00D67B91" w:rsidRPr="00F60A3D">
        <w:rPr>
          <w:lang w:val="fr-FR"/>
        </w:rPr>
        <w:tab/>
        <w:t>Au cours des dernières années, différentes mesures ont été</w:t>
      </w:r>
      <w:r w:rsidR="00756284" w:rsidRPr="00F60A3D">
        <w:rPr>
          <w:lang w:val="fr-FR"/>
        </w:rPr>
        <w:t xml:space="preserve"> adoptées dans ce domaine</w:t>
      </w:r>
      <w:r w:rsidR="00BE1E95" w:rsidRPr="00F60A3D">
        <w:rPr>
          <w:lang w:val="fr-FR"/>
        </w:rPr>
        <w:t xml:space="preserve">, notamment la création du </w:t>
      </w:r>
      <w:r w:rsidR="00D67B91" w:rsidRPr="00F60A3D">
        <w:rPr>
          <w:lang w:val="fr-FR"/>
        </w:rPr>
        <w:t>Fonds spécial de solidarité pour les victimes de discrimination du Département de l</w:t>
      </w:r>
      <w:r w:rsidR="00B17AE1" w:rsidRPr="00F60A3D">
        <w:rPr>
          <w:lang w:val="fr-FR"/>
        </w:rPr>
        <w:t>’</w:t>
      </w:r>
      <w:r w:rsidR="00D67B91" w:rsidRPr="00F60A3D">
        <w:rPr>
          <w:lang w:val="fr-FR"/>
        </w:rPr>
        <w:t>égalité des</w:t>
      </w:r>
      <w:r w:rsidR="00756284" w:rsidRPr="00F60A3D">
        <w:rPr>
          <w:lang w:val="fr-FR"/>
        </w:rPr>
        <w:t xml:space="preserve"> chances (novembre 2014) et du</w:t>
      </w:r>
      <w:r w:rsidR="00D67B91" w:rsidRPr="00F60A3D">
        <w:rPr>
          <w:lang w:val="fr-FR"/>
        </w:rPr>
        <w:t xml:space="preserve"> Fonds </w:t>
      </w:r>
      <w:r w:rsidR="007A66E7" w:rsidRPr="00F60A3D">
        <w:rPr>
          <w:lang w:val="fr-FR"/>
        </w:rPr>
        <w:t>spé</w:t>
      </w:r>
      <w:r w:rsidR="00D67B91" w:rsidRPr="00F60A3D">
        <w:rPr>
          <w:lang w:val="fr-FR"/>
        </w:rPr>
        <w:t xml:space="preserve">cial pour les victimes de la traite des êtres humains. </w:t>
      </w:r>
    </w:p>
    <w:p w:rsidR="00D67B91" w:rsidRPr="00F60A3D" w:rsidRDefault="008736B9" w:rsidP="005063FC">
      <w:pPr>
        <w:pStyle w:val="SingleTxtG"/>
        <w:rPr>
          <w:lang w:val="fr-FR"/>
        </w:rPr>
      </w:pPr>
      <w:r w:rsidRPr="00F60A3D">
        <w:rPr>
          <w:lang w:val="fr-FR"/>
        </w:rPr>
        <w:t>197</w:t>
      </w:r>
      <w:r w:rsidR="00D67B91" w:rsidRPr="00F60A3D">
        <w:rPr>
          <w:lang w:val="fr-FR"/>
        </w:rPr>
        <w:t>.</w:t>
      </w:r>
      <w:r w:rsidR="00D67B91" w:rsidRPr="00F60A3D">
        <w:rPr>
          <w:lang w:val="fr-FR"/>
        </w:rPr>
        <w:tab/>
        <w:t xml:space="preserve">En vertu du système juridique italien, chacun peut invoquer la violation de ses droits. </w:t>
      </w:r>
      <w:r w:rsidR="007A66E7" w:rsidRPr="00F60A3D">
        <w:rPr>
          <w:lang w:val="fr-FR"/>
        </w:rPr>
        <w:t>Un réseau très développé de juristes et de groupes d</w:t>
      </w:r>
      <w:r w:rsidR="00B17AE1" w:rsidRPr="00F60A3D">
        <w:rPr>
          <w:lang w:val="fr-FR"/>
        </w:rPr>
        <w:t>’</w:t>
      </w:r>
      <w:r w:rsidR="007A66E7" w:rsidRPr="00F60A3D">
        <w:rPr>
          <w:lang w:val="fr-FR"/>
        </w:rPr>
        <w:t>intérêts est mis à disposition. Dans les domaines individuels, des procédures spéciales, orga</w:t>
      </w:r>
      <w:r w:rsidR="00B35E7D" w:rsidRPr="00F60A3D">
        <w:rPr>
          <w:lang w:val="fr-FR"/>
        </w:rPr>
        <w:t>nismes et dispositif</w:t>
      </w:r>
      <w:r w:rsidR="003A06FD" w:rsidRPr="00F60A3D">
        <w:rPr>
          <w:lang w:val="fr-FR"/>
        </w:rPr>
        <w:t>s ont été mis en place</w:t>
      </w:r>
      <w:r w:rsidR="00C344CB" w:rsidRPr="00F60A3D">
        <w:rPr>
          <w:lang w:val="fr-FR"/>
        </w:rPr>
        <w:t xml:space="preserve"> en s</w:t>
      </w:r>
      <w:r w:rsidR="00B17AE1" w:rsidRPr="00F60A3D">
        <w:rPr>
          <w:lang w:val="fr-FR"/>
        </w:rPr>
        <w:t>’</w:t>
      </w:r>
      <w:r w:rsidR="00C344CB" w:rsidRPr="00F60A3D">
        <w:rPr>
          <w:lang w:val="fr-FR"/>
        </w:rPr>
        <w:t>inspirant</w:t>
      </w:r>
      <w:r w:rsidR="00317A25" w:rsidRPr="00F60A3D">
        <w:rPr>
          <w:lang w:val="fr-FR"/>
        </w:rPr>
        <w:t xml:space="preserve"> de la Loi fondamentale,</w:t>
      </w:r>
      <w:r w:rsidR="00731982" w:rsidRPr="00F60A3D">
        <w:rPr>
          <w:lang w:val="fr-FR"/>
        </w:rPr>
        <w:t xml:space="preserve"> </w:t>
      </w:r>
      <w:r w:rsidR="00317A25" w:rsidRPr="00F60A3D">
        <w:rPr>
          <w:lang w:val="fr-FR"/>
        </w:rPr>
        <w:t>notamment</w:t>
      </w:r>
      <w:r w:rsidR="007A66E7" w:rsidRPr="00F60A3D">
        <w:rPr>
          <w:lang w:val="fr-FR"/>
        </w:rPr>
        <w:t xml:space="preserve"> l</w:t>
      </w:r>
      <w:r w:rsidR="00B17AE1" w:rsidRPr="00F60A3D">
        <w:rPr>
          <w:lang w:val="fr-FR"/>
        </w:rPr>
        <w:t>’</w:t>
      </w:r>
      <w:r w:rsidR="007A66E7" w:rsidRPr="00F60A3D">
        <w:rPr>
          <w:lang w:val="fr-FR"/>
        </w:rPr>
        <w:t xml:space="preserve">aide juridictionnelle </w:t>
      </w:r>
      <w:r w:rsidR="007A66E7" w:rsidRPr="00F60A3D">
        <w:rPr>
          <w:lang w:val="fr-FR"/>
        </w:rPr>
        <w:lastRenderedPageBreak/>
        <w:t>gratui</w:t>
      </w:r>
      <w:r w:rsidR="00B35E7D" w:rsidRPr="00F60A3D">
        <w:rPr>
          <w:lang w:val="fr-FR"/>
        </w:rPr>
        <w:t>te pour le</w:t>
      </w:r>
      <w:r w:rsidR="0013676A" w:rsidRPr="00F60A3D">
        <w:rPr>
          <w:lang w:val="fr-FR"/>
        </w:rPr>
        <w:t>s indigents. En outre</w:t>
      </w:r>
      <w:r w:rsidR="007A66E7" w:rsidRPr="00F60A3D">
        <w:rPr>
          <w:lang w:val="fr-FR"/>
        </w:rPr>
        <w:t xml:space="preserve">, les femmes victimes de violence </w:t>
      </w:r>
      <w:r w:rsidR="00317A25" w:rsidRPr="00F60A3D">
        <w:rPr>
          <w:lang w:val="fr-FR"/>
        </w:rPr>
        <w:t>bénéficient d</w:t>
      </w:r>
      <w:r w:rsidR="00B17AE1" w:rsidRPr="00F60A3D">
        <w:rPr>
          <w:lang w:val="fr-FR"/>
        </w:rPr>
        <w:t>’</w:t>
      </w:r>
      <w:r w:rsidR="00317A25" w:rsidRPr="00F60A3D">
        <w:rPr>
          <w:lang w:val="fr-FR"/>
        </w:rPr>
        <w:t>une aide juridicti</w:t>
      </w:r>
      <w:r w:rsidR="007A66E7" w:rsidRPr="00F60A3D">
        <w:rPr>
          <w:lang w:val="fr-FR"/>
        </w:rPr>
        <w:t xml:space="preserve">onnelle gratuite quel que soit leur revenu. </w:t>
      </w:r>
    </w:p>
    <w:p w:rsidR="00DB5D9E" w:rsidRPr="00F60A3D" w:rsidRDefault="008736B9" w:rsidP="005063FC">
      <w:pPr>
        <w:pStyle w:val="SingleTxtG"/>
        <w:rPr>
          <w:lang w:val="fr-FR"/>
        </w:rPr>
      </w:pPr>
      <w:r w:rsidRPr="00F60A3D">
        <w:rPr>
          <w:lang w:val="fr-FR"/>
        </w:rPr>
        <w:t>198</w:t>
      </w:r>
      <w:r w:rsidR="00B35E7D" w:rsidRPr="00F60A3D">
        <w:rPr>
          <w:lang w:val="fr-FR"/>
        </w:rPr>
        <w:t>.</w:t>
      </w:r>
      <w:r w:rsidR="00B35E7D" w:rsidRPr="00F60A3D">
        <w:rPr>
          <w:lang w:val="fr-FR"/>
        </w:rPr>
        <w:tab/>
        <w:t>En ce qui concerne les organes spécifiques de l</w:t>
      </w:r>
      <w:r w:rsidR="00B17AE1" w:rsidRPr="00F60A3D">
        <w:rPr>
          <w:lang w:val="fr-FR"/>
        </w:rPr>
        <w:t>’</w:t>
      </w:r>
      <w:r w:rsidR="00B35E7D" w:rsidRPr="00F60A3D">
        <w:rPr>
          <w:lang w:val="fr-FR"/>
        </w:rPr>
        <w:t>État, il faut mentionner les Commission</w:t>
      </w:r>
      <w:r w:rsidR="00AD128C" w:rsidRPr="00F60A3D">
        <w:rPr>
          <w:lang w:val="fr-FR"/>
        </w:rPr>
        <w:t>s</w:t>
      </w:r>
      <w:r w:rsidR="00B35E7D" w:rsidRPr="00F60A3D">
        <w:rPr>
          <w:lang w:val="fr-FR"/>
        </w:rPr>
        <w:t xml:space="preserve"> parl</w:t>
      </w:r>
      <w:r w:rsidR="00317A25" w:rsidRPr="00F60A3D">
        <w:rPr>
          <w:lang w:val="fr-FR"/>
        </w:rPr>
        <w:t>ementaires créées en application de</w:t>
      </w:r>
      <w:r w:rsidR="00B35E7D" w:rsidRPr="00F60A3D">
        <w:rPr>
          <w:lang w:val="fr-FR"/>
        </w:rPr>
        <w:t xml:space="preserve"> l</w:t>
      </w:r>
      <w:r w:rsidR="00B17AE1" w:rsidRPr="00F60A3D">
        <w:rPr>
          <w:lang w:val="fr-FR"/>
        </w:rPr>
        <w:t>’</w:t>
      </w:r>
      <w:r w:rsidR="00D26282" w:rsidRPr="00F60A3D">
        <w:rPr>
          <w:lang w:val="fr-FR"/>
        </w:rPr>
        <w:t>article </w:t>
      </w:r>
      <w:r w:rsidR="00B35E7D" w:rsidRPr="00F60A3D">
        <w:rPr>
          <w:lang w:val="fr-FR"/>
        </w:rPr>
        <w:t xml:space="preserve">82 de la Loi fondamentale. </w:t>
      </w:r>
      <w:r w:rsidR="00317A25" w:rsidRPr="00F60A3D">
        <w:rPr>
          <w:lang w:val="fr-FR"/>
        </w:rPr>
        <w:t>Pour pré</w:t>
      </w:r>
      <w:r w:rsidR="00B35E7D" w:rsidRPr="00F60A3D">
        <w:rPr>
          <w:lang w:val="fr-FR"/>
        </w:rPr>
        <w:t>server les droi</w:t>
      </w:r>
      <w:r w:rsidR="000655E1" w:rsidRPr="00F60A3D">
        <w:rPr>
          <w:lang w:val="fr-FR"/>
        </w:rPr>
        <w:t>ts fondamen</w:t>
      </w:r>
      <w:r w:rsidR="00C46103" w:rsidRPr="00F60A3D">
        <w:rPr>
          <w:lang w:val="fr-FR"/>
        </w:rPr>
        <w:t>t</w:t>
      </w:r>
      <w:r w:rsidR="000655E1" w:rsidRPr="00F60A3D">
        <w:rPr>
          <w:lang w:val="fr-FR"/>
        </w:rPr>
        <w:t>aux et enquêter</w:t>
      </w:r>
      <w:r w:rsidR="00B35E7D" w:rsidRPr="00F60A3D">
        <w:rPr>
          <w:lang w:val="fr-FR"/>
        </w:rPr>
        <w:t xml:space="preserve"> sur des matières d</w:t>
      </w:r>
      <w:r w:rsidR="00B17AE1" w:rsidRPr="00F60A3D">
        <w:rPr>
          <w:lang w:val="fr-FR"/>
        </w:rPr>
        <w:t>’</w:t>
      </w:r>
      <w:r w:rsidR="00B35E7D" w:rsidRPr="00F60A3D">
        <w:rPr>
          <w:lang w:val="fr-FR"/>
        </w:rPr>
        <w:t>intérêt public</w:t>
      </w:r>
      <w:r w:rsidR="003A1A14" w:rsidRPr="00F60A3D">
        <w:rPr>
          <w:lang w:val="fr-FR"/>
        </w:rPr>
        <w:t>, le Parlement italien peut nommer une commission d</w:t>
      </w:r>
      <w:r w:rsidR="00B17AE1" w:rsidRPr="00F60A3D">
        <w:rPr>
          <w:lang w:val="fr-FR"/>
        </w:rPr>
        <w:t>’</w:t>
      </w:r>
      <w:r w:rsidR="003A1A14" w:rsidRPr="00F60A3D">
        <w:rPr>
          <w:lang w:val="fr-FR"/>
        </w:rPr>
        <w:t xml:space="preserve">enquête à chambre unique ou bicamérale. </w:t>
      </w:r>
    </w:p>
    <w:p w:rsidR="001E6865" w:rsidRPr="00F60A3D" w:rsidRDefault="008736B9" w:rsidP="009F1E45">
      <w:pPr>
        <w:pStyle w:val="SingleTxtG"/>
        <w:rPr>
          <w:lang w:val="fr-FR"/>
        </w:rPr>
      </w:pPr>
      <w:r w:rsidRPr="00F60A3D">
        <w:rPr>
          <w:lang w:val="fr-FR"/>
        </w:rPr>
        <w:t>199</w:t>
      </w:r>
      <w:r w:rsidR="003A1A14" w:rsidRPr="00F60A3D">
        <w:rPr>
          <w:lang w:val="fr-FR"/>
        </w:rPr>
        <w:t>.</w:t>
      </w:r>
      <w:r w:rsidR="003A1A14" w:rsidRPr="00F60A3D">
        <w:rPr>
          <w:lang w:val="fr-FR"/>
        </w:rPr>
        <w:tab/>
        <w:t>Sur le plan de la procé</w:t>
      </w:r>
      <w:r w:rsidR="00C46103" w:rsidRPr="00F60A3D">
        <w:rPr>
          <w:lang w:val="fr-FR"/>
        </w:rPr>
        <w:t>dure, chaque Chambre peut ouvri</w:t>
      </w:r>
      <w:r w:rsidR="003A1A14" w:rsidRPr="00F60A3D">
        <w:rPr>
          <w:lang w:val="fr-FR"/>
        </w:rPr>
        <w:t>r une enquête sur des matières d</w:t>
      </w:r>
      <w:r w:rsidR="00B17AE1" w:rsidRPr="00F60A3D">
        <w:rPr>
          <w:lang w:val="fr-FR"/>
        </w:rPr>
        <w:t>’</w:t>
      </w:r>
      <w:r w:rsidR="003A1A14" w:rsidRPr="00F60A3D">
        <w:rPr>
          <w:lang w:val="fr-FR"/>
        </w:rPr>
        <w:t>intérêt public, en nommant une commission simple ou mixte, composée de manière à reproduire la représentation proportionnelle des groupes parlementaires. La Commission d</w:t>
      </w:r>
      <w:r w:rsidR="00B17AE1" w:rsidRPr="00F60A3D">
        <w:rPr>
          <w:lang w:val="fr-FR"/>
        </w:rPr>
        <w:t>’</w:t>
      </w:r>
      <w:r w:rsidR="003A1A14" w:rsidRPr="00F60A3D">
        <w:rPr>
          <w:lang w:val="fr-FR"/>
        </w:rPr>
        <w:t>enquête procède aux investigations et aux examens sur les matières pertinentes, avec les mêmes pouvoirs et les mêmes limites qu</w:t>
      </w:r>
      <w:r w:rsidR="00BB0B3E" w:rsidRPr="00F60A3D">
        <w:rPr>
          <w:lang w:val="fr-FR"/>
        </w:rPr>
        <w:t>e l</w:t>
      </w:r>
      <w:r w:rsidR="00B17AE1" w:rsidRPr="00F60A3D">
        <w:rPr>
          <w:lang w:val="fr-FR"/>
        </w:rPr>
        <w:t>’</w:t>
      </w:r>
      <w:r w:rsidR="00BB0B3E" w:rsidRPr="00F60A3D">
        <w:rPr>
          <w:lang w:val="fr-FR"/>
        </w:rPr>
        <w:t>autorité judiciaire (</w:t>
      </w:r>
      <w:r w:rsidR="00731982" w:rsidRPr="00F60A3D">
        <w:rPr>
          <w:lang w:val="fr-FR"/>
        </w:rPr>
        <w:t>art. </w:t>
      </w:r>
      <w:r w:rsidR="009F1E45" w:rsidRPr="00F60A3D">
        <w:rPr>
          <w:lang w:val="fr-FR"/>
        </w:rPr>
        <w:t xml:space="preserve">82). </w:t>
      </w:r>
    </w:p>
    <w:p w:rsidR="00DB5D9E" w:rsidRPr="00F60A3D" w:rsidRDefault="004365E0" w:rsidP="004365E0">
      <w:pPr>
        <w:pStyle w:val="SingleTxtG"/>
        <w:rPr>
          <w:lang w:val="fr-FR"/>
        </w:rPr>
      </w:pPr>
      <w:r w:rsidRPr="00F60A3D">
        <w:rPr>
          <w:lang w:val="fr-FR"/>
        </w:rPr>
        <w:t>200.</w:t>
      </w:r>
      <w:r w:rsidRPr="00F60A3D">
        <w:rPr>
          <w:lang w:val="fr-FR"/>
        </w:rPr>
        <w:tab/>
      </w:r>
      <w:r w:rsidR="002C6112" w:rsidRPr="00F60A3D">
        <w:rPr>
          <w:lang w:val="fr-FR"/>
        </w:rPr>
        <w:t>Créée spécifiquement par le Parlement, la Commission d</w:t>
      </w:r>
      <w:r w:rsidR="00B17AE1" w:rsidRPr="00F60A3D">
        <w:rPr>
          <w:lang w:val="fr-FR"/>
        </w:rPr>
        <w:t>’</w:t>
      </w:r>
      <w:r w:rsidR="002C6112" w:rsidRPr="00F60A3D">
        <w:rPr>
          <w:lang w:val="fr-FR"/>
        </w:rPr>
        <w:t xml:space="preserve">enquête parlementaire examine et se prononce </w:t>
      </w:r>
      <w:r w:rsidR="002C6112" w:rsidRPr="00F60A3D">
        <w:rPr>
          <w:i/>
          <w:lang w:val="fr-FR"/>
        </w:rPr>
        <w:t>notamment</w:t>
      </w:r>
      <w:r w:rsidR="002C6112" w:rsidRPr="00F60A3D">
        <w:rPr>
          <w:lang w:val="fr-FR"/>
        </w:rPr>
        <w:t xml:space="preserve"> sur les recours relatifs aux différents cas d</w:t>
      </w:r>
      <w:r w:rsidR="00B17AE1" w:rsidRPr="00F60A3D">
        <w:rPr>
          <w:lang w:val="fr-FR"/>
        </w:rPr>
        <w:t>’</w:t>
      </w:r>
      <w:r w:rsidR="002C6112" w:rsidRPr="00F60A3D">
        <w:rPr>
          <w:lang w:val="fr-FR"/>
        </w:rPr>
        <w:t>accusation. Elle a également des activités de contrôle et d</w:t>
      </w:r>
      <w:r w:rsidR="00B17AE1" w:rsidRPr="00F60A3D">
        <w:rPr>
          <w:lang w:val="fr-FR"/>
        </w:rPr>
        <w:t>’</w:t>
      </w:r>
      <w:r w:rsidR="009F1E45" w:rsidRPr="00F60A3D">
        <w:rPr>
          <w:lang w:val="fr-FR"/>
        </w:rPr>
        <w:t>investig</w:t>
      </w:r>
      <w:r w:rsidR="002C6112" w:rsidRPr="00F60A3D">
        <w:rPr>
          <w:lang w:val="fr-FR"/>
        </w:rPr>
        <w:t>ation. À titre d</w:t>
      </w:r>
      <w:r w:rsidR="00B17AE1" w:rsidRPr="00F60A3D">
        <w:rPr>
          <w:lang w:val="fr-FR"/>
        </w:rPr>
        <w:t>’</w:t>
      </w:r>
      <w:r w:rsidR="002C6112" w:rsidRPr="00F60A3D">
        <w:rPr>
          <w:lang w:val="fr-FR"/>
        </w:rPr>
        <w:t xml:space="preserve">exemple, il faut citer les </w:t>
      </w:r>
      <w:r w:rsidR="00BB0B3E" w:rsidRPr="00F60A3D">
        <w:rPr>
          <w:lang w:val="fr-FR"/>
        </w:rPr>
        <w:t>Com</w:t>
      </w:r>
      <w:r w:rsidR="001E6865" w:rsidRPr="00F60A3D">
        <w:rPr>
          <w:lang w:val="fr-FR"/>
        </w:rPr>
        <w:t>miss</w:t>
      </w:r>
      <w:r w:rsidR="00BB0B3E" w:rsidRPr="00F60A3D">
        <w:rPr>
          <w:lang w:val="fr-FR"/>
        </w:rPr>
        <w:t>ion</w:t>
      </w:r>
      <w:r w:rsidR="00B114D8" w:rsidRPr="00F60A3D">
        <w:rPr>
          <w:rStyle w:val="FootnoteReference"/>
          <w:lang w:val="fr-FR"/>
        </w:rPr>
        <w:footnoteReference w:id="40"/>
      </w:r>
      <w:r w:rsidR="00DB5D9E" w:rsidRPr="00F60A3D">
        <w:rPr>
          <w:b/>
          <w:lang w:val="fr-FR"/>
        </w:rPr>
        <w:t xml:space="preserve"> </w:t>
      </w:r>
      <w:r w:rsidR="00BB00B6" w:rsidRPr="00F60A3D">
        <w:rPr>
          <w:lang w:val="fr-FR"/>
        </w:rPr>
        <w:t>concernant le</w:t>
      </w:r>
      <w:r w:rsidR="00BB0B3E" w:rsidRPr="00F60A3D">
        <w:rPr>
          <w:lang w:val="fr-FR"/>
        </w:rPr>
        <w:t xml:space="preserve"> </w:t>
      </w:r>
      <w:r w:rsidR="00731982" w:rsidRPr="00F60A3D">
        <w:rPr>
          <w:lang w:val="fr-FR"/>
        </w:rPr>
        <w:t>«</w:t>
      </w:r>
      <w:r w:rsidR="001E6865" w:rsidRPr="00F60A3D">
        <w:rPr>
          <w:lang w:val="fr-FR"/>
        </w:rPr>
        <w:t>Phénomène des mafias et autres organisations</w:t>
      </w:r>
      <w:r w:rsidR="00731982" w:rsidRPr="00F60A3D">
        <w:rPr>
          <w:lang w:val="fr-FR"/>
        </w:rPr>
        <w:t xml:space="preserve"> </w:t>
      </w:r>
      <w:r w:rsidR="001E6865" w:rsidRPr="00F60A3D">
        <w:rPr>
          <w:lang w:val="fr-FR"/>
        </w:rPr>
        <w:t>cr</w:t>
      </w:r>
      <w:r w:rsidR="00BB0B3E" w:rsidRPr="00F60A3D">
        <w:rPr>
          <w:lang w:val="fr-FR"/>
        </w:rPr>
        <w:t>iminelles, notamment étrangères</w:t>
      </w:r>
      <w:r w:rsidR="00731982" w:rsidRPr="00F60A3D">
        <w:rPr>
          <w:lang w:val="fr-FR"/>
        </w:rPr>
        <w:t>»</w:t>
      </w:r>
      <w:r w:rsidR="00BB00B6" w:rsidRPr="00F60A3D">
        <w:rPr>
          <w:lang w:val="fr-FR"/>
        </w:rPr>
        <w:t xml:space="preserve"> et le</w:t>
      </w:r>
      <w:r w:rsidR="00BB0B3E" w:rsidRPr="00F60A3D">
        <w:rPr>
          <w:lang w:val="fr-FR"/>
        </w:rPr>
        <w:t xml:space="preserve"> </w:t>
      </w:r>
      <w:r w:rsidR="00731982" w:rsidRPr="00F60A3D">
        <w:rPr>
          <w:lang w:val="fr-FR"/>
        </w:rPr>
        <w:t>«</w:t>
      </w:r>
      <w:r w:rsidR="00BB00B6" w:rsidRPr="00F60A3D">
        <w:rPr>
          <w:lang w:val="fr-FR"/>
        </w:rPr>
        <w:t>Cycle des déchets et les</w:t>
      </w:r>
      <w:r w:rsidR="001E6865" w:rsidRPr="00F60A3D">
        <w:rPr>
          <w:lang w:val="fr-FR"/>
        </w:rPr>
        <w:t xml:space="preserve"> activités </w:t>
      </w:r>
      <w:r w:rsidR="00BB00B6" w:rsidRPr="00F60A3D">
        <w:rPr>
          <w:lang w:val="fr-FR"/>
        </w:rPr>
        <w:t>illé</w:t>
      </w:r>
      <w:r w:rsidR="001E6865" w:rsidRPr="00F60A3D">
        <w:rPr>
          <w:lang w:val="fr-FR"/>
        </w:rPr>
        <w:t>gal</w:t>
      </w:r>
      <w:r w:rsidR="00BB00B6" w:rsidRPr="00F60A3D">
        <w:rPr>
          <w:lang w:val="fr-FR"/>
        </w:rPr>
        <w:t>e</w:t>
      </w:r>
      <w:r w:rsidR="00BB0B3E" w:rsidRPr="00F60A3D">
        <w:rPr>
          <w:lang w:val="fr-FR"/>
        </w:rPr>
        <w:t>s connexes</w:t>
      </w:r>
      <w:r w:rsidR="00731982" w:rsidRPr="00F60A3D">
        <w:rPr>
          <w:lang w:val="fr-FR"/>
        </w:rPr>
        <w:t>»</w:t>
      </w:r>
      <w:r w:rsidR="001E6865" w:rsidRPr="00F60A3D">
        <w:rPr>
          <w:lang w:val="fr-FR"/>
        </w:rPr>
        <w:t>. Depuis la première Assemblée législative</w:t>
      </w:r>
      <w:r w:rsidR="00BB00B6" w:rsidRPr="00F60A3D">
        <w:rPr>
          <w:lang w:val="fr-FR"/>
        </w:rPr>
        <w:t>, environ 65 commissions</w:t>
      </w:r>
      <w:r w:rsidR="00731982" w:rsidRPr="00F60A3D">
        <w:rPr>
          <w:lang w:val="fr-FR"/>
        </w:rPr>
        <w:t xml:space="preserve"> </w:t>
      </w:r>
      <w:r w:rsidR="00BB00B6" w:rsidRPr="00F60A3D">
        <w:rPr>
          <w:lang w:val="fr-FR"/>
        </w:rPr>
        <w:t>parlementaires ont été créées.</w:t>
      </w:r>
      <w:r w:rsidR="00731982" w:rsidRPr="00F60A3D">
        <w:rPr>
          <w:lang w:val="fr-FR"/>
        </w:rPr>
        <w:t xml:space="preserve"> </w:t>
      </w:r>
    </w:p>
    <w:p w:rsidR="00BB00B6" w:rsidRPr="00F60A3D" w:rsidRDefault="008736B9" w:rsidP="00995638">
      <w:pPr>
        <w:pStyle w:val="SingleTxtG"/>
        <w:rPr>
          <w:lang w:val="fr-FR"/>
        </w:rPr>
      </w:pPr>
      <w:r w:rsidRPr="00F60A3D">
        <w:rPr>
          <w:lang w:val="fr-FR"/>
        </w:rPr>
        <w:t>201</w:t>
      </w:r>
      <w:r w:rsidR="004365E0" w:rsidRPr="00F60A3D">
        <w:rPr>
          <w:lang w:val="fr-FR"/>
        </w:rPr>
        <w:t>.</w:t>
      </w:r>
      <w:r w:rsidR="004365E0" w:rsidRPr="00F60A3D">
        <w:rPr>
          <w:lang w:val="fr-FR"/>
        </w:rPr>
        <w:tab/>
      </w:r>
      <w:r w:rsidR="00BB00B6" w:rsidRPr="00F60A3D">
        <w:rPr>
          <w:lang w:val="fr-FR"/>
        </w:rPr>
        <w:t>Il convient aussi de mentionner deux Commissions parlem</w:t>
      </w:r>
      <w:r w:rsidR="00E16F69" w:rsidRPr="00F60A3D">
        <w:rPr>
          <w:lang w:val="fr-FR"/>
        </w:rPr>
        <w:t xml:space="preserve">entaires spécifiques </w:t>
      </w:r>
      <w:r w:rsidR="00BB00B6" w:rsidRPr="00F60A3D">
        <w:rPr>
          <w:lang w:val="fr-FR"/>
        </w:rPr>
        <w:t>sur la promotion et la protection des droits de l</w:t>
      </w:r>
      <w:r w:rsidR="00B17AE1" w:rsidRPr="00F60A3D">
        <w:rPr>
          <w:lang w:val="fr-FR"/>
        </w:rPr>
        <w:t>’</w:t>
      </w:r>
      <w:r w:rsidR="00BB00B6" w:rsidRPr="00F60A3D">
        <w:rPr>
          <w:lang w:val="fr-FR"/>
        </w:rPr>
        <w:t>homme</w:t>
      </w:r>
      <w:r w:rsidR="000655E1" w:rsidRPr="00F60A3D">
        <w:rPr>
          <w:lang w:val="fr-FR"/>
        </w:rPr>
        <w:t>,</w:t>
      </w:r>
      <w:r w:rsidR="00C91084" w:rsidRPr="00F60A3D">
        <w:rPr>
          <w:lang w:val="fr-FR"/>
        </w:rPr>
        <w:t xml:space="preserve"> présidées par </w:t>
      </w:r>
      <w:r w:rsidR="00995638" w:rsidRPr="00F60A3D">
        <w:rPr>
          <w:lang w:val="fr-FR"/>
        </w:rPr>
        <w:t>M</w:t>
      </w:r>
      <w:r w:rsidR="00995638" w:rsidRPr="00F60A3D">
        <w:rPr>
          <w:vertAlign w:val="superscript"/>
          <w:lang w:val="fr-FR"/>
        </w:rPr>
        <w:t>me</w:t>
      </w:r>
      <w:r w:rsidR="00995638" w:rsidRPr="00F60A3D">
        <w:rPr>
          <w:lang w:val="fr-FR"/>
        </w:rPr>
        <w:t> </w:t>
      </w:r>
      <w:r w:rsidR="00C91084" w:rsidRPr="00F60A3D">
        <w:rPr>
          <w:lang w:val="fr-FR"/>
        </w:rPr>
        <w:t>Pia</w:t>
      </w:r>
      <w:r w:rsidR="00E4009D" w:rsidRPr="00F60A3D">
        <w:rPr>
          <w:lang w:val="fr-FR"/>
        </w:rPr>
        <w:t xml:space="preserve"> </w:t>
      </w:r>
      <w:r w:rsidR="00BB00B6" w:rsidRPr="00F60A3D">
        <w:rPr>
          <w:lang w:val="fr-FR"/>
        </w:rPr>
        <w:t>Locatelli à la C</w:t>
      </w:r>
      <w:r w:rsidR="00C91084" w:rsidRPr="00F60A3D">
        <w:rPr>
          <w:lang w:val="fr-FR"/>
        </w:rPr>
        <w:t xml:space="preserve">hambre des députés et </w:t>
      </w:r>
      <w:r w:rsidR="00B17AE1" w:rsidRPr="00F60A3D">
        <w:rPr>
          <w:lang w:val="fr-FR"/>
        </w:rPr>
        <w:t>M. </w:t>
      </w:r>
      <w:r w:rsidR="00C91084" w:rsidRPr="00F60A3D">
        <w:rPr>
          <w:lang w:val="fr-FR"/>
        </w:rPr>
        <w:t>Luigi</w:t>
      </w:r>
      <w:r w:rsidR="00317A25" w:rsidRPr="00F60A3D">
        <w:rPr>
          <w:lang w:val="fr-FR"/>
        </w:rPr>
        <w:t xml:space="preserve"> M</w:t>
      </w:r>
      <w:r w:rsidR="00BB00B6" w:rsidRPr="00F60A3D">
        <w:rPr>
          <w:lang w:val="fr-FR"/>
        </w:rPr>
        <w:t xml:space="preserve">anconi au Sénat. </w:t>
      </w:r>
    </w:p>
    <w:p w:rsidR="00DB5D9E" w:rsidRPr="00F60A3D" w:rsidRDefault="005063FC" w:rsidP="005063FC">
      <w:pPr>
        <w:pStyle w:val="H23G"/>
        <w:rPr>
          <w:lang w:val="fr-FR"/>
        </w:rPr>
      </w:pPr>
      <w:r w:rsidRPr="00F60A3D">
        <w:rPr>
          <w:lang w:val="fr-FR"/>
        </w:rPr>
        <w:tab/>
      </w:r>
      <w:r w:rsidRPr="00F60A3D">
        <w:rPr>
          <w:lang w:val="fr-FR"/>
        </w:rPr>
        <w:tab/>
      </w:r>
      <w:r w:rsidR="006C36B4" w:rsidRPr="00F60A3D">
        <w:rPr>
          <w:lang w:val="fr-FR"/>
        </w:rPr>
        <w:t>Autres organismes compétent</w:t>
      </w:r>
      <w:r w:rsidR="00BB00B6" w:rsidRPr="00F60A3D">
        <w:rPr>
          <w:lang w:val="fr-FR"/>
        </w:rPr>
        <w:t xml:space="preserve">s </w:t>
      </w:r>
    </w:p>
    <w:p w:rsidR="00963A52" w:rsidRPr="00F60A3D" w:rsidRDefault="008736B9" w:rsidP="005063FC">
      <w:pPr>
        <w:pStyle w:val="SingleTxtG"/>
        <w:rPr>
          <w:lang w:val="fr-FR"/>
        </w:rPr>
      </w:pPr>
      <w:r w:rsidRPr="00F60A3D">
        <w:rPr>
          <w:lang w:val="fr-FR"/>
        </w:rPr>
        <w:t>202</w:t>
      </w:r>
      <w:r w:rsidR="00963A52" w:rsidRPr="00F60A3D">
        <w:rPr>
          <w:lang w:val="fr-FR"/>
        </w:rPr>
        <w:t>.</w:t>
      </w:r>
      <w:r w:rsidR="00963A52" w:rsidRPr="00F60A3D">
        <w:rPr>
          <w:lang w:val="fr-FR"/>
        </w:rPr>
        <w:tab/>
        <w:t>À la lumière des Principes de Paris</w:t>
      </w:r>
      <w:r w:rsidR="00DB5D9E" w:rsidRPr="00F60A3D">
        <w:rPr>
          <w:lang w:val="fr-FR"/>
        </w:rPr>
        <w:t xml:space="preserve"> (A/RES/48/134), </w:t>
      </w:r>
      <w:r w:rsidR="00963A52" w:rsidRPr="00F60A3D">
        <w:rPr>
          <w:lang w:val="fr-FR"/>
        </w:rPr>
        <w:t>parmi différentes propositions pertinentes, le pro</w:t>
      </w:r>
      <w:r w:rsidR="00BB0B3E" w:rsidRPr="00F60A3D">
        <w:rPr>
          <w:lang w:val="fr-FR"/>
        </w:rPr>
        <w:t xml:space="preserve">jet de loi </w:t>
      </w:r>
      <w:r w:rsidR="00B17AE1" w:rsidRPr="00F60A3D">
        <w:rPr>
          <w:lang w:val="fr-FR"/>
        </w:rPr>
        <w:t>n</w:t>
      </w:r>
      <w:r w:rsidR="00B17AE1" w:rsidRPr="00F60A3D">
        <w:rPr>
          <w:vertAlign w:val="superscript"/>
          <w:lang w:val="fr-FR"/>
        </w:rPr>
        <w:t>o</w:t>
      </w:r>
      <w:r w:rsidR="00B17AE1" w:rsidRPr="00F60A3D">
        <w:rPr>
          <w:lang w:val="fr-FR"/>
        </w:rPr>
        <w:t> </w:t>
      </w:r>
      <w:r w:rsidR="004365E0" w:rsidRPr="00F60A3D">
        <w:rPr>
          <w:lang w:val="fr-FR"/>
        </w:rPr>
        <w:t>S. </w:t>
      </w:r>
      <w:r w:rsidR="00BB0B3E" w:rsidRPr="00F60A3D">
        <w:rPr>
          <w:lang w:val="fr-FR"/>
        </w:rPr>
        <w:t xml:space="preserve">1908 intitulé </w:t>
      </w:r>
      <w:r w:rsidR="00731982" w:rsidRPr="00F60A3D">
        <w:rPr>
          <w:lang w:val="fr-FR"/>
        </w:rPr>
        <w:t>«</w:t>
      </w:r>
      <w:r w:rsidR="00963A52" w:rsidRPr="00F60A3D">
        <w:rPr>
          <w:lang w:val="fr-FR"/>
        </w:rPr>
        <w:t>Création de l</w:t>
      </w:r>
      <w:r w:rsidR="00B17AE1" w:rsidRPr="00F60A3D">
        <w:rPr>
          <w:lang w:val="fr-FR"/>
        </w:rPr>
        <w:t>’</w:t>
      </w:r>
      <w:r w:rsidR="00963A52" w:rsidRPr="00F60A3D">
        <w:rPr>
          <w:lang w:val="fr-FR"/>
        </w:rPr>
        <w:t xml:space="preserve">Institution </w:t>
      </w:r>
      <w:r w:rsidR="00BB0B3E" w:rsidRPr="00F60A3D">
        <w:rPr>
          <w:lang w:val="fr-FR"/>
        </w:rPr>
        <w:t>nationale des droits de l</w:t>
      </w:r>
      <w:r w:rsidR="00B17AE1" w:rsidRPr="00F60A3D">
        <w:rPr>
          <w:lang w:val="fr-FR"/>
        </w:rPr>
        <w:t>’</w:t>
      </w:r>
      <w:r w:rsidR="00BB0B3E" w:rsidRPr="00F60A3D">
        <w:rPr>
          <w:lang w:val="fr-FR"/>
        </w:rPr>
        <w:t>homme</w:t>
      </w:r>
      <w:r w:rsidR="00731982" w:rsidRPr="00F60A3D">
        <w:rPr>
          <w:lang w:val="fr-FR"/>
        </w:rPr>
        <w:t>»</w:t>
      </w:r>
      <w:r w:rsidR="00317A25" w:rsidRPr="00F60A3D">
        <w:rPr>
          <w:lang w:val="fr-FR"/>
        </w:rPr>
        <w:t>,</w:t>
      </w:r>
      <w:r w:rsidR="00963A52" w:rsidRPr="00F60A3D">
        <w:rPr>
          <w:lang w:val="fr-FR"/>
        </w:rPr>
        <w:t xml:space="preserve"> est actuellement à l</w:t>
      </w:r>
      <w:r w:rsidR="00B17AE1" w:rsidRPr="00F60A3D">
        <w:rPr>
          <w:lang w:val="fr-FR"/>
        </w:rPr>
        <w:t>’</w:t>
      </w:r>
      <w:r w:rsidR="00963A52" w:rsidRPr="00F60A3D">
        <w:rPr>
          <w:lang w:val="fr-FR"/>
        </w:rPr>
        <w:t xml:space="preserve">étude devant la Commission sénatoriale des affaires constitutionnelles. </w:t>
      </w:r>
    </w:p>
    <w:p w:rsidR="00DB5D9E" w:rsidRPr="00F60A3D" w:rsidRDefault="008736B9" w:rsidP="005063FC">
      <w:pPr>
        <w:pStyle w:val="SingleTxtG"/>
        <w:rPr>
          <w:lang w:val="fr-FR"/>
        </w:rPr>
      </w:pPr>
      <w:r w:rsidRPr="00F60A3D">
        <w:rPr>
          <w:lang w:val="fr-FR"/>
        </w:rPr>
        <w:t>203</w:t>
      </w:r>
      <w:r w:rsidR="00DB5D9E" w:rsidRPr="00F60A3D">
        <w:rPr>
          <w:lang w:val="fr-FR"/>
        </w:rPr>
        <w:t>.</w:t>
      </w:r>
      <w:r w:rsidR="00DB5D9E" w:rsidRPr="00F60A3D">
        <w:rPr>
          <w:lang w:val="fr-FR"/>
        </w:rPr>
        <w:tab/>
      </w:r>
      <w:r w:rsidR="00963A52" w:rsidRPr="00F60A3D">
        <w:rPr>
          <w:lang w:val="fr-FR"/>
        </w:rPr>
        <w:t>Le Comité int</w:t>
      </w:r>
      <w:r w:rsidR="00226920" w:rsidRPr="00F60A3D">
        <w:rPr>
          <w:lang w:val="fr-FR"/>
        </w:rPr>
        <w:t>e</w:t>
      </w:r>
      <w:r w:rsidR="00963A52" w:rsidRPr="00F60A3D">
        <w:rPr>
          <w:lang w:val="fr-FR"/>
        </w:rPr>
        <w:t>rministériel des droits de l</w:t>
      </w:r>
      <w:r w:rsidR="00B17AE1" w:rsidRPr="00F60A3D">
        <w:rPr>
          <w:lang w:val="fr-FR"/>
        </w:rPr>
        <w:t>’</w:t>
      </w:r>
      <w:r w:rsidR="00963A52" w:rsidRPr="00F60A3D">
        <w:rPr>
          <w:lang w:val="fr-FR"/>
        </w:rPr>
        <w:t>homme</w:t>
      </w:r>
      <w:r w:rsidR="00317A25" w:rsidRPr="00F60A3D">
        <w:rPr>
          <w:lang w:val="fr-FR"/>
        </w:rPr>
        <w:t xml:space="preserve"> </w:t>
      </w:r>
      <w:r w:rsidR="00963A52" w:rsidRPr="00F60A3D">
        <w:rPr>
          <w:lang w:val="fr-FR"/>
        </w:rPr>
        <w:t>a été créé en</w:t>
      </w:r>
      <w:r w:rsidR="00DB5D9E" w:rsidRPr="00F60A3D">
        <w:rPr>
          <w:lang w:val="fr-FR"/>
        </w:rPr>
        <w:t xml:space="preserve"> 1978,</w:t>
      </w:r>
      <w:r w:rsidR="00963A52" w:rsidRPr="00F60A3D">
        <w:rPr>
          <w:lang w:val="fr-FR"/>
        </w:rPr>
        <w:t xml:space="preserve"> au</w:t>
      </w:r>
      <w:r w:rsidR="003934E8" w:rsidRPr="00F60A3D">
        <w:rPr>
          <w:lang w:val="fr-FR"/>
        </w:rPr>
        <w:t>près du</w:t>
      </w:r>
      <w:r w:rsidR="00963A52" w:rsidRPr="00F60A3D">
        <w:rPr>
          <w:lang w:val="fr-FR"/>
        </w:rPr>
        <w:t xml:space="preserve"> Ministère des affaires étrangères et de la coopération internationale</w:t>
      </w:r>
      <w:r w:rsidR="00B114D8" w:rsidRPr="00F60A3D">
        <w:rPr>
          <w:rStyle w:val="FootnoteReference"/>
          <w:lang w:val="fr-FR"/>
        </w:rPr>
        <w:footnoteReference w:id="41"/>
      </w:r>
      <w:r w:rsidR="00E4009D" w:rsidRPr="00F60A3D">
        <w:rPr>
          <w:lang w:val="fr-FR"/>
        </w:rPr>
        <w:t>.</w:t>
      </w:r>
    </w:p>
    <w:p w:rsidR="00226920" w:rsidRPr="00F60A3D" w:rsidRDefault="00224935" w:rsidP="004365E0">
      <w:pPr>
        <w:pStyle w:val="SingleTxtG"/>
        <w:rPr>
          <w:lang w:val="fr-FR"/>
        </w:rPr>
      </w:pPr>
      <w:r w:rsidRPr="00F60A3D">
        <w:rPr>
          <w:lang w:val="fr-FR"/>
        </w:rPr>
        <w:t>204.</w:t>
      </w:r>
      <w:r w:rsidR="001D2CCC" w:rsidRPr="00F60A3D">
        <w:rPr>
          <w:lang w:val="fr-FR"/>
        </w:rPr>
        <w:tab/>
      </w:r>
      <w:r w:rsidR="00EE4285" w:rsidRPr="00F60A3D">
        <w:rPr>
          <w:lang w:val="fr-FR"/>
        </w:rPr>
        <w:t>C</w:t>
      </w:r>
      <w:r w:rsidR="00D22203" w:rsidRPr="00F60A3D">
        <w:rPr>
          <w:lang w:val="fr-FR"/>
        </w:rPr>
        <w:t>haque ministère crée</w:t>
      </w:r>
      <w:r w:rsidR="00226920" w:rsidRPr="00F60A3D">
        <w:rPr>
          <w:lang w:val="fr-FR"/>
        </w:rPr>
        <w:t xml:space="preserve"> un centre de coordination spécifique des droits de l</w:t>
      </w:r>
      <w:r w:rsidR="00B17AE1" w:rsidRPr="00F60A3D">
        <w:rPr>
          <w:lang w:val="fr-FR"/>
        </w:rPr>
        <w:t>’</w:t>
      </w:r>
      <w:r w:rsidR="00226920" w:rsidRPr="00F60A3D">
        <w:rPr>
          <w:lang w:val="fr-FR"/>
        </w:rPr>
        <w:t>homme q</w:t>
      </w:r>
      <w:r w:rsidR="00EE4285" w:rsidRPr="00F60A3D">
        <w:rPr>
          <w:lang w:val="fr-FR"/>
        </w:rPr>
        <w:t>ui participe aux travaux de ce Comité</w:t>
      </w:r>
      <w:r w:rsidR="00226920" w:rsidRPr="00F60A3D">
        <w:rPr>
          <w:lang w:val="fr-FR"/>
        </w:rPr>
        <w:t xml:space="preserve">. </w:t>
      </w:r>
      <w:r w:rsidR="001B4235" w:rsidRPr="00F60A3D">
        <w:rPr>
          <w:lang w:val="fr-FR"/>
        </w:rPr>
        <w:t>Y participent</w:t>
      </w:r>
      <w:r w:rsidR="00731982" w:rsidRPr="00F60A3D">
        <w:rPr>
          <w:lang w:val="fr-FR"/>
        </w:rPr>
        <w:t>:</w:t>
      </w:r>
      <w:r w:rsidR="001B4235" w:rsidRPr="00F60A3D">
        <w:rPr>
          <w:lang w:val="fr-FR"/>
        </w:rPr>
        <w:t xml:space="preserve"> la </w:t>
      </w:r>
      <w:r w:rsidR="00226920" w:rsidRPr="00F60A3D">
        <w:rPr>
          <w:lang w:val="fr-FR"/>
        </w:rPr>
        <w:t>Préside</w:t>
      </w:r>
      <w:r w:rsidR="00BD034E" w:rsidRPr="00F60A3D">
        <w:rPr>
          <w:lang w:val="fr-FR"/>
        </w:rPr>
        <w:t xml:space="preserve">nce du </w:t>
      </w:r>
      <w:r w:rsidR="00843B33" w:rsidRPr="00F60A3D">
        <w:rPr>
          <w:lang w:val="fr-FR"/>
        </w:rPr>
        <w:t>C</w:t>
      </w:r>
      <w:r w:rsidR="00F77ACC" w:rsidRPr="00F60A3D">
        <w:rPr>
          <w:lang w:val="fr-FR"/>
        </w:rPr>
        <w:t>onseil des ministres</w:t>
      </w:r>
      <w:r w:rsidR="00BD034E" w:rsidRPr="00F60A3D">
        <w:rPr>
          <w:lang w:val="fr-FR"/>
        </w:rPr>
        <w:t>,</w:t>
      </w:r>
      <w:r w:rsidR="001B4235" w:rsidRPr="00F60A3D">
        <w:rPr>
          <w:lang w:val="fr-FR"/>
        </w:rPr>
        <w:t xml:space="preserve"> l</w:t>
      </w:r>
      <w:r w:rsidR="00226920" w:rsidRPr="00F60A3D">
        <w:rPr>
          <w:lang w:val="fr-FR"/>
        </w:rPr>
        <w:t>es Ministères de la justice, de l</w:t>
      </w:r>
      <w:r w:rsidR="00B17AE1" w:rsidRPr="00F60A3D">
        <w:rPr>
          <w:lang w:val="fr-FR"/>
        </w:rPr>
        <w:t>’</w:t>
      </w:r>
      <w:r w:rsidR="00226920" w:rsidRPr="00F60A3D">
        <w:rPr>
          <w:lang w:val="fr-FR"/>
        </w:rPr>
        <w:t>intérieur, de l</w:t>
      </w:r>
      <w:r w:rsidR="00B17AE1" w:rsidRPr="00F60A3D">
        <w:rPr>
          <w:lang w:val="fr-FR"/>
        </w:rPr>
        <w:t>’</w:t>
      </w:r>
      <w:r w:rsidR="00226920" w:rsidRPr="00F60A3D">
        <w:rPr>
          <w:lang w:val="fr-FR"/>
        </w:rPr>
        <w:t>éducation, du travail, de la santé, du développement économique, de la défense, de l</w:t>
      </w:r>
      <w:r w:rsidR="00B17AE1" w:rsidRPr="00F60A3D">
        <w:rPr>
          <w:lang w:val="fr-FR"/>
        </w:rPr>
        <w:t>’</w:t>
      </w:r>
      <w:r w:rsidR="00226920" w:rsidRPr="00F60A3D">
        <w:rPr>
          <w:lang w:val="fr-FR"/>
        </w:rPr>
        <w:t>environnement</w:t>
      </w:r>
      <w:r w:rsidR="00BD034E" w:rsidRPr="00F60A3D">
        <w:rPr>
          <w:lang w:val="fr-FR"/>
        </w:rPr>
        <w:t>,</w:t>
      </w:r>
      <w:r w:rsidR="00460B4F" w:rsidRPr="00F60A3D">
        <w:rPr>
          <w:lang w:val="fr-FR"/>
        </w:rPr>
        <w:t xml:space="preserve"> de l</w:t>
      </w:r>
      <w:r w:rsidR="00B17AE1" w:rsidRPr="00F60A3D">
        <w:rPr>
          <w:lang w:val="fr-FR"/>
        </w:rPr>
        <w:t>’</w:t>
      </w:r>
      <w:r w:rsidR="00460B4F" w:rsidRPr="00F60A3D">
        <w:rPr>
          <w:lang w:val="fr-FR"/>
        </w:rPr>
        <w:t>agriculture et</w:t>
      </w:r>
      <w:r w:rsidR="001B4235" w:rsidRPr="00F60A3D">
        <w:rPr>
          <w:lang w:val="fr-FR"/>
        </w:rPr>
        <w:t xml:space="preserve"> du patrimoine culturel,</w:t>
      </w:r>
      <w:r w:rsidR="00226920" w:rsidRPr="00F60A3D">
        <w:rPr>
          <w:lang w:val="fr-FR"/>
        </w:rPr>
        <w:t xml:space="preserve"> l</w:t>
      </w:r>
      <w:r w:rsidR="00B17AE1" w:rsidRPr="00F60A3D">
        <w:rPr>
          <w:lang w:val="fr-FR"/>
        </w:rPr>
        <w:t>’</w:t>
      </w:r>
      <w:r w:rsidR="00226920" w:rsidRPr="00F60A3D">
        <w:rPr>
          <w:lang w:val="fr-FR"/>
        </w:rPr>
        <w:t>Office national contre la discrimination raciale</w:t>
      </w:r>
      <w:r w:rsidR="00171E78" w:rsidRPr="00F60A3D">
        <w:rPr>
          <w:lang w:val="fr-FR"/>
        </w:rPr>
        <w:t>,</w:t>
      </w:r>
      <w:r w:rsidR="001B4235" w:rsidRPr="00F60A3D">
        <w:rPr>
          <w:lang w:val="fr-FR"/>
        </w:rPr>
        <w:t xml:space="preserve"> le</w:t>
      </w:r>
      <w:r w:rsidR="00C35B27" w:rsidRPr="00F60A3D">
        <w:rPr>
          <w:lang w:val="fr-FR"/>
        </w:rPr>
        <w:t xml:space="preserve"> Conseil </w:t>
      </w:r>
      <w:r w:rsidR="001B4235" w:rsidRPr="00F60A3D">
        <w:rPr>
          <w:lang w:val="fr-FR"/>
        </w:rPr>
        <w:t>supérieur de la magistrature, le</w:t>
      </w:r>
      <w:r w:rsidR="00C35B27" w:rsidRPr="00F60A3D">
        <w:rPr>
          <w:lang w:val="fr-FR"/>
        </w:rPr>
        <w:t xml:space="preserve"> Conseil national </w:t>
      </w:r>
      <w:r w:rsidR="001B4235" w:rsidRPr="00F60A3D">
        <w:rPr>
          <w:lang w:val="fr-FR"/>
        </w:rPr>
        <w:t>de l</w:t>
      </w:r>
      <w:r w:rsidR="00B17AE1" w:rsidRPr="00F60A3D">
        <w:rPr>
          <w:lang w:val="fr-FR"/>
        </w:rPr>
        <w:t>’</w:t>
      </w:r>
      <w:r w:rsidR="001B4235" w:rsidRPr="00F60A3D">
        <w:rPr>
          <w:lang w:val="fr-FR"/>
        </w:rPr>
        <w:t xml:space="preserve">économie et du travail, </w:t>
      </w:r>
      <w:r w:rsidR="00C35B27" w:rsidRPr="00F60A3D">
        <w:rPr>
          <w:lang w:val="fr-FR"/>
        </w:rPr>
        <w:t>l</w:t>
      </w:r>
      <w:r w:rsidR="00B17AE1" w:rsidRPr="00F60A3D">
        <w:rPr>
          <w:lang w:val="fr-FR"/>
        </w:rPr>
        <w:t>’</w:t>
      </w:r>
      <w:r w:rsidR="00BD034E" w:rsidRPr="00F60A3D">
        <w:rPr>
          <w:lang w:val="fr-FR"/>
        </w:rPr>
        <w:t>I</w:t>
      </w:r>
      <w:r w:rsidR="00C35B27" w:rsidRPr="00F60A3D">
        <w:rPr>
          <w:lang w:val="fr-FR"/>
        </w:rPr>
        <w:t>nst</w:t>
      </w:r>
      <w:r w:rsidR="001B4235" w:rsidRPr="00F60A3D">
        <w:rPr>
          <w:lang w:val="fr-FR"/>
        </w:rPr>
        <w:t>itut national de statistique, le</w:t>
      </w:r>
      <w:r w:rsidR="00C35B27" w:rsidRPr="00F60A3D">
        <w:rPr>
          <w:lang w:val="fr-FR"/>
        </w:rPr>
        <w:t xml:space="preserve"> Corps des carabiniers, </w:t>
      </w:r>
      <w:r w:rsidR="00BD034E" w:rsidRPr="00F60A3D">
        <w:rPr>
          <w:lang w:val="fr-FR"/>
        </w:rPr>
        <w:t>la G</w:t>
      </w:r>
      <w:r w:rsidR="00C35B27" w:rsidRPr="00F60A3D">
        <w:rPr>
          <w:lang w:val="fr-FR"/>
        </w:rPr>
        <w:t>arde des finances (</w:t>
      </w:r>
      <w:r w:rsidR="00C35B27" w:rsidRPr="00F60A3D">
        <w:rPr>
          <w:i/>
          <w:lang w:val="fr-FR"/>
        </w:rPr>
        <w:t>Guardia di Finanza</w:t>
      </w:r>
      <w:r w:rsidR="001B4235" w:rsidRPr="00F60A3D">
        <w:rPr>
          <w:lang w:val="fr-FR"/>
        </w:rPr>
        <w:t>),</w:t>
      </w:r>
      <w:r w:rsidR="004B47EC" w:rsidRPr="00F60A3D">
        <w:rPr>
          <w:lang w:val="fr-FR"/>
        </w:rPr>
        <w:t xml:space="preserve"> l</w:t>
      </w:r>
      <w:r w:rsidR="00B17AE1" w:rsidRPr="00F60A3D">
        <w:rPr>
          <w:lang w:val="fr-FR"/>
        </w:rPr>
        <w:t>’</w:t>
      </w:r>
      <w:r w:rsidR="004B47EC" w:rsidRPr="00F60A3D">
        <w:rPr>
          <w:lang w:val="fr-FR"/>
        </w:rPr>
        <w:t>Associati</w:t>
      </w:r>
      <w:r w:rsidR="00C35B27" w:rsidRPr="00F60A3D">
        <w:rPr>
          <w:lang w:val="fr-FR"/>
        </w:rPr>
        <w:t xml:space="preserve">on nationale </w:t>
      </w:r>
      <w:r w:rsidR="000655E1" w:rsidRPr="00F60A3D">
        <w:rPr>
          <w:lang w:val="fr-FR"/>
        </w:rPr>
        <w:t>des</w:t>
      </w:r>
      <w:r w:rsidR="005C2C07" w:rsidRPr="00F60A3D">
        <w:rPr>
          <w:lang w:val="fr-FR"/>
        </w:rPr>
        <w:t xml:space="preserve"> municipalités italiennes</w:t>
      </w:r>
      <w:r w:rsidR="00BD034E" w:rsidRPr="00F60A3D">
        <w:rPr>
          <w:lang w:val="fr-FR"/>
        </w:rPr>
        <w:t>,</w:t>
      </w:r>
      <w:r w:rsidR="001B4235" w:rsidRPr="00F60A3D">
        <w:rPr>
          <w:lang w:val="fr-FR"/>
        </w:rPr>
        <w:t xml:space="preserve"> et </w:t>
      </w:r>
      <w:r w:rsidR="00C35B27" w:rsidRPr="00F60A3D">
        <w:rPr>
          <w:lang w:val="fr-FR"/>
        </w:rPr>
        <w:t>la Société italienne des</w:t>
      </w:r>
      <w:r w:rsidR="005C2C07" w:rsidRPr="00F60A3D">
        <w:rPr>
          <w:lang w:val="fr-FR"/>
        </w:rPr>
        <w:t xml:space="preserve"> organisations internationales</w:t>
      </w:r>
      <w:r w:rsidR="00C35B27" w:rsidRPr="00F60A3D">
        <w:rPr>
          <w:lang w:val="fr-FR"/>
        </w:rPr>
        <w:t xml:space="preserve">. </w:t>
      </w:r>
    </w:p>
    <w:p w:rsidR="00DB5D9E" w:rsidRPr="00F60A3D" w:rsidRDefault="00224935" w:rsidP="004365E0">
      <w:pPr>
        <w:pStyle w:val="SingleTxtG"/>
        <w:rPr>
          <w:lang w:val="fr-FR"/>
        </w:rPr>
      </w:pPr>
      <w:r w:rsidRPr="00F60A3D">
        <w:rPr>
          <w:lang w:val="fr-FR"/>
        </w:rPr>
        <w:t>205.</w:t>
      </w:r>
      <w:r w:rsidR="001D2CCC" w:rsidRPr="00F60A3D">
        <w:rPr>
          <w:lang w:val="fr-FR"/>
        </w:rPr>
        <w:tab/>
      </w:r>
      <w:r w:rsidR="008E7291" w:rsidRPr="00F60A3D">
        <w:rPr>
          <w:lang w:val="fr-FR"/>
        </w:rPr>
        <w:t>Avec une approche interministérielle et participative, le</w:t>
      </w:r>
      <w:r w:rsidR="005C2C07" w:rsidRPr="00F60A3D">
        <w:rPr>
          <w:lang w:val="fr-FR"/>
        </w:rPr>
        <w:t xml:space="preserve"> Comité interministériel des droits de l</w:t>
      </w:r>
      <w:r w:rsidR="00B17AE1" w:rsidRPr="00F60A3D">
        <w:rPr>
          <w:lang w:val="fr-FR"/>
        </w:rPr>
        <w:t>’</w:t>
      </w:r>
      <w:r w:rsidR="005C2C07" w:rsidRPr="00F60A3D">
        <w:rPr>
          <w:lang w:val="fr-FR"/>
        </w:rPr>
        <w:t>homme</w:t>
      </w:r>
      <w:r w:rsidR="003934E8" w:rsidRPr="00F60A3D">
        <w:rPr>
          <w:lang w:val="fr-FR"/>
        </w:rPr>
        <w:t>,</w:t>
      </w:r>
      <w:r w:rsidR="00BD034E" w:rsidRPr="00F60A3D">
        <w:rPr>
          <w:lang w:val="fr-FR"/>
        </w:rPr>
        <w:t xml:space="preserve"> en tant que mécanisme national permanent de </w:t>
      </w:r>
      <w:r w:rsidR="007332AE" w:rsidRPr="00F60A3D">
        <w:rPr>
          <w:lang w:val="fr-FR"/>
        </w:rPr>
        <w:t>pré</w:t>
      </w:r>
      <w:r w:rsidR="00BD034E" w:rsidRPr="00F60A3D">
        <w:rPr>
          <w:lang w:val="fr-FR"/>
        </w:rPr>
        <w:t xml:space="preserve">sentation </w:t>
      </w:r>
      <w:r w:rsidR="004B47EC" w:rsidRPr="00F60A3D">
        <w:rPr>
          <w:lang w:val="fr-FR"/>
        </w:rPr>
        <w:t xml:space="preserve">(et de suivi) </w:t>
      </w:r>
      <w:r w:rsidR="00BD034E" w:rsidRPr="00F60A3D">
        <w:rPr>
          <w:lang w:val="fr-FR"/>
        </w:rPr>
        <w:t>de rapports</w:t>
      </w:r>
      <w:r w:rsidR="00B114D8" w:rsidRPr="00F60A3D">
        <w:rPr>
          <w:rStyle w:val="FootnoteReference"/>
          <w:lang w:val="fr-FR"/>
        </w:rPr>
        <w:footnoteReference w:id="42"/>
      </w:r>
      <w:r w:rsidR="00731982" w:rsidRPr="00F60A3D">
        <w:rPr>
          <w:lang w:val="fr-FR"/>
        </w:rPr>
        <w:t xml:space="preserve"> </w:t>
      </w:r>
      <w:r w:rsidR="007332AE" w:rsidRPr="00F60A3D">
        <w:rPr>
          <w:lang w:val="fr-FR"/>
        </w:rPr>
        <w:t>a pour mission</w:t>
      </w:r>
      <w:r w:rsidR="00BD034E" w:rsidRPr="00F60A3D">
        <w:rPr>
          <w:lang w:val="fr-FR"/>
        </w:rPr>
        <w:t>: a)</w:t>
      </w:r>
      <w:r w:rsidR="004365E0" w:rsidRPr="00F60A3D">
        <w:rPr>
          <w:lang w:val="fr-FR"/>
        </w:rPr>
        <w:t> </w:t>
      </w:r>
      <w:r w:rsidR="007332AE" w:rsidRPr="00F60A3D">
        <w:rPr>
          <w:lang w:val="fr-FR"/>
        </w:rPr>
        <w:t>l</w:t>
      </w:r>
      <w:r w:rsidR="00B17AE1" w:rsidRPr="00F60A3D">
        <w:rPr>
          <w:lang w:val="fr-FR"/>
        </w:rPr>
        <w:t>’</w:t>
      </w:r>
      <w:r w:rsidR="007332AE" w:rsidRPr="00F60A3D">
        <w:rPr>
          <w:lang w:val="fr-FR"/>
        </w:rPr>
        <w:t>examen de</w:t>
      </w:r>
      <w:r w:rsidR="00843B33" w:rsidRPr="00F60A3D">
        <w:rPr>
          <w:lang w:val="fr-FR"/>
        </w:rPr>
        <w:t xml:space="preserve"> l</w:t>
      </w:r>
      <w:r w:rsidR="00B17AE1" w:rsidRPr="00F60A3D">
        <w:rPr>
          <w:lang w:val="fr-FR"/>
        </w:rPr>
        <w:t>’</w:t>
      </w:r>
      <w:r w:rsidR="00843B33" w:rsidRPr="00F60A3D">
        <w:rPr>
          <w:lang w:val="fr-FR"/>
        </w:rPr>
        <w:t>ensemble d</w:t>
      </w:r>
      <w:r w:rsidR="00BD034E" w:rsidRPr="00F60A3D">
        <w:rPr>
          <w:lang w:val="fr-FR"/>
        </w:rPr>
        <w:t>es lois, règlementations et actes administratifs</w:t>
      </w:r>
      <w:r w:rsidR="00463579" w:rsidRPr="00F60A3D">
        <w:rPr>
          <w:lang w:val="fr-FR"/>
        </w:rPr>
        <w:t xml:space="preserve"> adoptés aux niveaux national et local concernan</w:t>
      </w:r>
      <w:r w:rsidR="008E7291" w:rsidRPr="00F60A3D">
        <w:rPr>
          <w:lang w:val="fr-FR"/>
        </w:rPr>
        <w:t>t les engagements pris à l</w:t>
      </w:r>
      <w:r w:rsidR="00B17AE1" w:rsidRPr="00F60A3D">
        <w:rPr>
          <w:lang w:val="fr-FR"/>
        </w:rPr>
        <w:t>’</w:t>
      </w:r>
      <w:r w:rsidR="008E7291" w:rsidRPr="00F60A3D">
        <w:rPr>
          <w:lang w:val="fr-FR"/>
        </w:rPr>
        <w:t>échelle</w:t>
      </w:r>
      <w:r w:rsidR="00463579" w:rsidRPr="00F60A3D">
        <w:rPr>
          <w:lang w:val="fr-FR"/>
        </w:rPr>
        <w:t xml:space="preserve"> interna</w:t>
      </w:r>
      <w:r w:rsidR="007332AE" w:rsidRPr="00F60A3D">
        <w:rPr>
          <w:lang w:val="fr-FR"/>
        </w:rPr>
        <w:t>tional</w:t>
      </w:r>
      <w:r w:rsidR="008E7291" w:rsidRPr="00F60A3D">
        <w:rPr>
          <w:lang w:val="fr-FR"/>
        </w:rPr>
        <w:t>e</w:t>
      </w:r>
      <w:r w:rsidR="007332AE" w:rsidRPr="00F60A3D">
        <w:rPr>
          <w:lang w:val="fr-FR"/>
        </w:rPr>
        <w:t xml:space="preserve"> dans le domaine des droit</w:t>
      </w:r>
      <w:r w:rsidR="00463579" w:rsidRPr="00F60A3D">
        <w:rPr>
          <w:lang w:val="fr-FR"/>
        </w:rPr>
        <w:t>s de l</w:t>
      </w:r>
      <w:r w:rsidR="00B17AE1" w:rsidRPr="00F60A3D">
        <w:rPr>
          <w:lang w:val="fr-FR"/>
        </w:rPr>
        <w:t>’</w:t>
      </w:r>
      <w:r w:rsidR="00463579" w:rsidRPr="00F60A3D">
        <w:rPr>
          <w:lang w:val="fr-FR"/>
        </w:rPr>
        <w:t>homme; b)</w:t>
      </w:r>
      <w:r w:rsidR="004365E0" w:rsidRPr="00F60A3D">
        <w:rPr>
          <w:lang w:val="fr-FR"/>
        </w:rPr>
        <w:t> </w:t>
      </w:r>
      <w:r w:rsidR="00463579" w:rsidRPr="00F60A3D">
        <w:rPr>
          <w:lang w:val="fr-FR"/>
        </w:rPr>
        <w:t xml:space="preserve">une activité de conseil sur </w:t>
      </w:r>
      <w:r w:rsidR="008E7291" w:rsidRPr="00F60A3D">
        <w:rPr>
          <w:lang w:val="fr-FR"/>
        </w:rPr>
        <w:t>l</w:t>
      </w:r>
      <w:r w:rsidR="00B17AE1" w:rsidRPr="00F60A3D">
        <w:rPr>
          <w:lang w:val="fr-FR"/>
        </w:rPr>
        <w:t>’</w:t>
      </w:r>
      <w:r w:rsidR="008E7291" w:rsidRPr="00F60A3D">
        <w:rPr>
          <w:lang w:val="fr-FR"/>
        </w:rPr>
        <w:t>adoption de</w:t>
      </w:r>
      <w:r w:rsidR="00463579" w:rsidRPr="00F60A3D">
        <w:rPr>
          <w:lang w:val="fr-FR"/>
        </w:rPr>
        <w:t xml:space="preserve"> dispositions conformes aux obligations internationales pertinentes; c)</w:t>
      </w:r>
      <w:r w:rsidR="004365E0" w:rsidRPr="00F60A3D">
        <w:rPr>
          <w:lang w:val="fr-FR"/>
        </w:rPr>
        <w:t> </w:t>
      </w:r>
      <w:r w:rsidR="00463579" w:rsidRPr="00F60A3D">
        <w:rPr>
          <w:lang w:val="fr-FR"/>
        </w:rPr>
        <w:t xml:space="preserve">la </w:t>
      </w:r>
      <w:r w:rsidR="00463579" w:rsidRPr="00F60A3D">
        <w:rPr>
          <w:lang w:val="fr-FR"/>
        </w:rPr>
        <w:lastRenderedPageBreak/>
        <w:t xml:space="preserve">coordination et la </w:t>
      </w:r>
      <w:r w:rsidR="007332AE" w:rsidRPr="00F60A3D">
        <w:rPr>
          <w:lang w:val="fr-FR"/>
        </w:rPr>
        <w:t>ré</w:t>
      </w:r>
      <w:r w:rsidR="00463579" w:rsidRPr="00F60A3D">
        <w:rPr>
          <w:lang w:val="fr-FR"/>
        </w:rPr>
        <w:t>daction de rapports, y compris ceux concernant la mise en œuvre des Convention</w:t>
      </w:r>
      <w:r w:rsidR="007332AE" w:rsidRPr="00F60A3D">
        <w:rPr>
          <w:lang w:val="fr-FR"/>
        </w:rPr>
        <w:t>s internati</w:t>
      </w:r>
      <w:r w:rsidR="00463579" w:rsidRPr="00F60A3D">
        <w:rPr>
          <w:lang w:val="fr-FR"/>
        </w:rPr>
        <w:t>onales relatives aux droits de l</w:t>
      </w:r>
      <w:r w:rsidR="00B17AE1" w:rsidRPr="00F60A3D">
        <w:rPr>
          <w:lang w:val="fr-FR"/>
        </w:rPr>
        <w:t>’</w:t>
      </w:r>
      <w:r w:rsidR="00463579" w:rsidRPr="00F60A3D">
        <w:rPr>
          <w:lang w:val="fr-FR"/>
        </w:rPr>
        <w:t>homme que l</w:t>
      </w:r>
      <w:r w:rsidR="00B17AE1" w:rsidRPr="00F60A3D">
        <w:rPr>
          <w:lang w:val="fr-FR"/>
        </w:rPr>
        <w:t>’</w:t>
      </w:r>
      <w:r w:rsidR="00463579" w:rsidRPr="00F60A3D">
        <w:rPr>
          <w:lang w:val="fr-FR"/>
        </w:rPr>
        <w:t>Italie est tenue de s</w:t>
      </w:r>
      <w:r w:rsidR="007332AE" w:rsidRPr="00F60A3D">
        <w:rPr>
          <w:lang w:val="fr-FR"/>
        </w:rPr>
        <w:t>oumettre aux Nations Unies, au C</w:t>
      </w:r>
      <w:r w:rsidR="00463579" w:rsidRPr="00F60A3D">
        <w:rPr>
          <w:lang w:val="fr-FR"/>
        </w:rPr>
        <w:t>onseil de l</w:t>
      </w:r>
      <w:r w:rsidR="00B17AE1" w:rsidRPr="00F60A3D">
        <w:rPr>
          <w:lang w:val="fr-FR"/>
        </w:rPr>
        <w:t>’</w:t>
      </w:r>
      <w:r w:rsidR="00463579" w:rsidRPr="00F60A3D">
        <w:rPr>
          <w:lang w:val="fr-FR"/>
        </w:rPr>
        <w:t>Europe et aux autres organisations et mécanismes relatifs aux droits de l</w:t>
      </w:r>
      <w:r w:rsidR="00B17AE1" w:rsidRPr="00F60A3D">
        <w:rPr>
          <w:lang w:val="fr-FR"/>
        </w:rPr>
        <w:t>’</w:t>
      </w:r>
      <w:r w:rsidR="00463579" w:rsidRPr="00F60A3D">
        <w:rPr>
          <w:lang w:val="fr-FR"/>
        </w:rPr>
        <w:t>homme; d)</w:t>
      </w:r>
      <w:r w:rsidR="004365E0" w:rsidRPr="00F60A3D">
        <w:rPr>
          <w:lang w:val="fr-FR"/>
        </w:rPr>
        <w:t> </w:t>
      </w:r>
      <w:r w:rsidR="00463579" w:rsidRPr="00F60A3D">
        <w:rPr>
          <w:lang w:val="fr-FR"/>
        </w:rPr>
        <w:t>la participation aux conférences et aux forums internationaux, tel</w:t>
      </w:r>
      <w:r w:rsidR="007332AE" w:rsidRPr="00F60A3D">
        <w:rPr>
          <w:lang w:val="fr-FR"/>
        </w:rPr>
        <w:t>s que les sessions annuelles du C</w:t>
      </w:r>
      <w:r w:rsidR="00463579" w:rsidRPr="00F60A3D">
        <w:rPr>
          <w:lang w:val="fr-FR"/>
        </w:rPr>
        <w:t>onseil des droits de l</w:t>
      </w:r>
      <w:r w:rsidR="00B17AE1" w:rsidRPr="00F60A3D">
        <w:rPr>
          <w:lang w:val="fr-FR"/>
        </w:rPr>
        <w:t>’</w:t>
      </w:r>
      <w:r w:rsidR="00463579" w:rsidRPr="00F60A3D">
        <w:rPr>
          <w:lang w:val="fr-FR"/>
        </w:rPr>
        <w:t>homme des</w:t>
      </w:r>
      <w:r w:rsidR="007332AE" w:rsidRPr="00F60A3D">
        <w:rPr>
          <w:lang w:val="fr-FR"/>
        </w:rPr>
        <w:t xml:space="preserve"> Nations Unies (à Genève) et </w:t>
      </w:r>
      <w:r w:rsidR="00463579" w:rsidRPr="00F60A3D">
        <w:rPr>
          <w:lang w:val="fr-FR"/>
        </w:rPr>
        <w:t>la Troisième commission de l</w:t>
      </w:r>
      <w:r w:rsidR="00B17AE1" w:rsidRPr="00F60A3D">
        <w:rPr>
          <w:lang w:val="fr-FR"/>
        </w:rPr>
        <w:t>’</w:t>
      </w:r>
      <w:r w:rsidR="00463579" w:rsidRPr="00F60A3D">
        <w:rPr>
          <w:lang w:val="fr-FR"/>
        </w:rPr>
        <w:t>Assemblée générale des Nations Unies (</w:t>
      </w:r>
      <w:r w:rsidR="007332AE" w:rsidRPr="00F60A3D">
        <w:rPr>
          <w:lang w:val="fr-FR"/>
        </w:rPr>
        <w:t xml:space="preserve">à </w:t>
      </w:r>
      <w:r w:rsidR="00463579" w:rsidRPr="00F60A3D">
        <w:rPr>
          <w:lang w:val="fr-FR"/>
        </w:rPr>
        <w:t>New York); e)</w:t>
      </w:r>
      <w:r w:rsidR="004365E0" w:rsidRPr="00F60A3D">
        <w:rPr>
          <w:lang w:val="fr-FR"/>
        </w:rPr>
        <w:t> </w:t>
      </w:r>
      <w:r w:rsidR="00463579" w:rsidRPr="00F60A3D">
        <w:rPr>
          <w:lang w:val="fr-FR"/>
        </w:rPr>
        <w:t>la préparation de rapports nationaux et de l</w:t>
      </w:r>
      <w:r w:rsidR="00B17AE1" w:rsidRPr="00F60A3D">
        <w:rPr>
          <w:lang w:val="fr-FR"/>
        </w:rPr>
        <w:t>’</w:t>
      </w:r>
      <w:r w:rsidR="00463579" w:rsidRPr="00F60A3D">
        <w:rPr>
          <w:lang w:val="fr-FR"/>
        </w:rPr>
        <w:t>examen de l</w:t>
      </w:r>
      <w:r w:rsidR="00B17AE1" w:rsidRPr="00F60A3D">
        <w:rPr>
          <w:lang w:val="fr-FR"/>
        </w:rPr>
        <w:t>’</w:t>
      </w:r>
      <w:r w:rsidR="00463579" w:rsidRPr="00F60A3D">
        <w:rPr>
          <w:lang w:val="fr-FR"/>
        </w:rPr>
        <w:t xml:space="preserve">Italie dans le cadre de </w:t>
      </w:r>
      <w:r w:rsidR="00BC7853" w:rsidRPr="00F60A3D">
        <w:rPr>
          <w:lang w:val="fr-FR"/>
        </w:rPr>
        <w:t>la procédure d</w:t>
      </w:r>
      <w:r w:rsidR="00B17AE1" w:rsidRPr="00F60A3D">
        <w:rPr>
          <w:lang w:val="fr-FR"/>
        </w:rPr>
        <w:t>’</w:t>
      </w:r>
      <w:r w:rsidR="00463579" w:rsidRPr="00F60A3D">
        <w:rPr>
          <w:lang w:val="fr-FR"/>
        </w:rPr>
        <w:t>Examen périodique universel (EPU); f)</w:t>
      </w:r>
      <w:r w:rsidR="004365E0" w:rsidRPr="00F60A3D">
        <w:rPr>
          <w:lang w:val="fr-FR"/>
        </w:rPr>
        <w:t> </w:t>
      </w:r>
      <w:r w:rsidR="00463579" w:rsidRPr="00F60A3D">
        <w:rPr>
          <w:lang w:val="fr-FR"/>
        </w:rPr>
        <w:t>l</w:t>
      </w:r>
      <w:r w:rsidR="00B17AE1" w:rsidRPr="00F60A3D">
        <w:rPr>
          <w:lang w:val="fr-FR"/>
        </w:rPr>
        <w:t>’</w:t>
      </w:r>
      <w:r w:rsidR="00463579" w:rsidRPr="00F60A3D">
        <w:rPr>
          <w:lang w:val="fr-FR"/>
        </w:rPr>
        <w:t>élaboration et la coordination du P</w:t>
      </w:r>
      <w:r w:rsidR="007332AE" w:rsidRPr="00F60A3D">
        <w:rPr>
          <w:lang w:val="fr-FR"/>
        </w:rPr>
        <w:t>lan</w:t>
      </w:r>
      <w:r w:rsidR="00463579" w:rsidRPr="00F60A3D">
        <w:rPr>
          <w:lang w:val="fr-FR"/>
        </w:rPr>
        <w:t xml:space="preserve"> </w:t>
      </w:r>
      <w:r w:rsidR="00E924D7" w:rsidRPr="00F60A3D">
        <w:rPr>
          <w:lang w:val="fr-FR"/>
        </w:rPr>
        <w:t>national d</w:t>
      </w:r>
      <w:r w:rsidR="00B17AE1" w:rsidRPr="00F60A3D">
        <w:rPr>
          <w:lang w:val="fr-FR"/>
        </w:rPr>
        <w:t>’</w:t>
      </w:r>
      <w:r w:rsidR="00E924D7" w:rsidRPr="00F60A3D">
        <w:rPr>
          <w:lang w:val="fr-FR"/>
        </w:rPr>
        <w:t>action</w:t>
      </w:r>
      <w:r w:rsidR="00731982" w:rsidRPr="00F60A3D">
        <w:rPr>
          <w:lang w:val="fr-FR"/>
        </w:rPr>
        <w:t xml:space="preserve"> </w:t>
      </w:r>
      <w:r w:rsidR="00463579" w:rsidRPr="00F60A3D">
        <w:rPr>
          <w:lang w:val="fr-FR"/>
        </w:rPr>
        <w:t>sur les femmes, la paix et la sécurité</w:t>
      </w:r>
      <w:r w:rsidR="00843B33" w:rsidRPr="00F60A3D">
        <w:rPr>
          <w:lang w:val="fr-FR"/>
        </w:rPr>
        <w:t xml:space="preserve"> en application de</w:t>
      </w:r>
      <w:r w:rsidR="006A35D8" w:rsidRPr="00F60A3D">
        <w:rPr>
          <w:lang w:val="fr-FR"/>
        </w:rPr>
        <w:t xml:space="preserve"> la Résolution </w:t>
      </w:r>
      <w:r w:rsidR="007332AE" w:rsidRPr="00F60A3D">
        <w:rPr>
          <w:lang w:val="fr-FR"/>
        </w:rPr>
        <w:t>1325</w:t>
      </w:r>
      <w:r w:rsidR="006A35D8" w:rsidRPr="00F60A3D">
        <w:rPr>
          <w:lang w:val="fr-FR"/>
        </w:rPr>
        <w:t xml:space="preserve"> </w:t>
      </w:r>
      <w:r w:rsidR="007332AE" w:rsidRPr="00F60A3D">
        <w:rPr>
          <w:lang w:val="fr-FR"/>
        </w:rPr>
        <w:t xml:space="preserve">(2000) du Conseil de sécurité; </w:t>
      </w:r>
      <w:r w:rsidR="00D2007E" w:rsidRPr="00F60A3D">
        <w:rPr>
          <w:lang w:val="fr-FR"/>
        </w:rPr>
        <w:t xml:space="preserve">et </w:t>
      </w:r>
      <w:r w:rsidR="007332AE" w:rsidRPr="00F60A3D">
        <w:rPr>
          <w:lang w:val="fr-FR"/>
        </w:rPr>
        <w:t>g)</w:t>
      </w:r>
      <w:r w:rsidR="004365E0" w:rsidRPr="00F60A3D">
        <w:rPr>
          <w:lang w:val="fr-FR"/>
        </w:rPr>
        <w:t> </w:t>
      </w:r>
      <w:r w:rsidR="007332AE" w:rsidRPr="00F60A3D">
        <w:rPr>
          <w:lang w:val="fr-FR"/>
        </w:rPr>
        <w:t xml:space="preserve">la préparation (actuelle) du Plan </w:t>
      </w:r>
      <w:r w:rsidR="00E924D7" w:rsidRPr="00F60A3D">
        <w:rPr>
          <w:lang w:val="fr-FR"/>
        </w:rPr>
        <w:t>national d</w:t>
      </w:r>
      <w:r w:rsidR="00B17AE1" w:rsidRPr="00F60A3D">
        <w:rPr>
          <w:lang w:val="fr-FR"/>
        </w:rPr>
        <w:t>’</w:t>
      </w:r>
      <w:r w:rsidR="00E924D7" w:rsidRPr="00F60A3D">
        <w:rPr>
          <w:lang w:val="fr-FR"/>
        </w:rPr>
        <w:t>action</w:t>
      </w:r>
      <w:r w:rsidR="00460B4F" w:rsidRPr="00F60A3D">
        <w:rPr>
          <w:lang w:val="fr-FR"/>
        </w:rPr>
        <w:t xml:space="preserve"> sur les entreprises et les</w:t>
      </w:r>
      <w:r w:rsidR="007332AE" w:rsidRPr="00F60A3D">
        <w:rPr>
          <w:lang w:val="fr-FR"/>
        </w:rPr>
        <w:t xml:space="preserve"> droits de l</w:t>
      </w:r>
      <w:r w:rsidR="00B17AE1" w:rsidRPr="00F60A3D">
        <w:rPr>
          <w:lang w:val="fr-FR"/>
        </w:rPr>
        <w:t>’</w:t>
      </w:r>
      <w:r w:rsidR="007332AE" w:rsidRPr="00F60A3D">
        <w:rPr>
          <w:lang w:val="fr-FR"/>
        </w:rPr>
        <w:t>homme</w:t>
      </w:r>
      <w:r w:rsidR="00B114D8" w:rsidRPr="00F60A3D">
        <w:rPr>
          <w:rStyle w:val="FootnoteReference"/>
          <w:lang w:val="fr-FR"/>
        </w:rPr>
        <w:footnoteReference w:id="43"/>
      </w:r>
      <w:r w:rsidR="00E4009D" w:rsidRPr="00F60A3D">
        <w:rPr>
          <w:lang w:val="fr-FR"/>
        </w:rPr>
        <w:t>.</w:t>
      </w:r>
    </w:p>
    <w:p w:rsidR="00E5208C" w:rsidRPr="00F60A3D" w:rsidRDefault="008736B9" w:rsidP="005063FC">
      <w:pPr>
        <w:pStyle w:val="SingleTxtG"/>
        <w:rPr>
          <w:lang w:val="fr-FR"/>
        </w:rPr>
      </w:pPr>
      <w:r w:rsidRPr="00F60A3D">
        <w:rPr>
          <w:lang w:val="fr-FR"/>
        </w:rPr>
        <w:t>206</w:t>
      </w:r>
      <w:r w:rsidR="00E5208C" w:rsidRPr="00F60A3D">
        <w:rPr>
          <w:lang w:val="fr-FR"/>
        </w:rPr>
        <w:t>.</w:t>
      </w:r>
      <w:r w:rsidR="00E5208C" w:rsidRPr="00F60A3D">
        <w:rPr>
          <w:lang w:val="fr-FR"/>
        </w:rPr>
        <w:tab/>
        <w:t>Le</w:t>
      </w:r>
      <w:r w:rsidR="00DB5D9E" w:rsidRPr="00F60A3D">
        <w:rPr>
          <w:lang w:val="fr-FR"/>
        </w:rPr>
        <w:t xml:space="preserve"> </w:t>
      </w:r>
      <w:r w:rsidR="005C2C07" w:rsidRPr="00F60A3D">
        <w:rPr>
          <w:lang w:val="fr-FR"/>
        </w:rPr>
        <w:t>Département</w:t>
      </w:r>
      <w:r w:rsidR="00731982" w:rsidRPr="00F60A3D">
        <w:rPr>
          <w:lang w:val="fr-FR"/>
        </w:rPr>
        <w:t xml:space="preserve"> </w:t>
      </w:r>
      <w:r w:rsidR="00E5208C" w:rsidRPr="00F60A3D">
        <w:rPr>
          <w:lang w:val="fr-FR"/>
        </w:rPr>
        <w:t>de l</w:t>
      </w:r>
      <w:r w:rsidR="00B17AE1" w:rsidRPr="00F60A3D">
        <w:rPr>
          <w:lang w:val="fr-FR"/>
        </w:rPr>
        <w:t>’</w:t>
      </w:r>
      <w:r w:rsidR="00E5208C" w:rsidRPr="00F60A3D">
        <w:rPr>
          <w:lang w:val="fr-FR"/>
        </w:rPr>
        <w:t>égalité des chances</w:t>
      </w:r>
      <w:r w:rsidR="00DB5D9E" w:rsidRPr="00F60A3D">
        <w:rPr>
          <w:lang w:val="fr-FR"/>
        </w:rPr>
        <w:t xml:space="preserve"> </w:t>
      </w:r>
      <w:r w:rsidR="002C27CF" w:rsidRPr="00F60A3D">
        <w:rPr>
          <w:lang w:val="fr-FR"/>
        </w:rPr>
        <w:t xml:space="preserve">auprès </w:t>
      </w:r>
      <w:r w:rsidR="00EA643C" w:rsidRPr="00F60A3D">
        <w:rPr>
          <w:lang w:val="fr-FR"/>
        </w:rPr>
        <w:t>de la P</w:t>
      </w:r>
      <w:r w:rsidR="00E5208C" w:rsidRPr="00F60A3D">
        <w:rPr>
          <w:lang w:val="fr-FR"/>
        </w:rPr>
        <w:t>résidence du Conseil des minis</w:t>
      </w:r>
      <w:r w:rsidR="000A7C29" w:rsidRPr="00F60A3D">
        <w:rPr>
          <w:lang w:val="fr-FR"/>
        </w:rPr>
        <w:t>tres est chargé de superviser, proposer et coordonner l</w:t>
      </w:r>
      <w:r w:rsidR="00E5208C" w:rsidRPr="00F60A3D">
        <w:rPr>
          <w:lang w:val="fr-FR"/>
        </w:rPr>
        <w:t>es initiatives réglementaires et administratives visant à soutenir les</w:t>
      </w:r>
      <w:r w:rsidR="005E279E" w:rsidRPr="00F60A3D">
        <w:rPr>
          <w:lang w:val="fr-FR"/>
        </w:rPr>
        <w:t xml:space="preserve"> droits fon</w:t>
      </w:r>
      <w:r w:rsidR="004B47EC" w:rsidRPr="00F60A3D">
        <w:rPr>
          <w:lang w:val="fr-FR"/>
        </w:rPr>
        <w:t xml:space="preserve">damentaux des femmes, </w:t>
      </w:r>
      <w:r w:rsidR="001B4235" w:rsidRPr="00F60A3D">
        <w:rPr>
          <w:lang w:val="fr-FR"/>
        </w:rPr>
        <w:t xml:space="preserve">à prévenir et </w:t>
      </w:r>
      <w:r w:rsidR="00E5208C" w:rsidRPr="00F60A3D">
        <w:rPr>
          <w:lang w:val="fr-FR"/>
        </w:rPr>
        <w:t>éliminer toutes les formes de discrimination, à lutter contre les violences faites aux femmes, l</w:t>
      </w:r>
      <w:r w:rsidR="00B17AE1" w:rsidRPr="00F60A3D">
        <w:rPr>
          <w:lang w:val="fr-FR"/>
        </w:rPr>
        <w:t>’</w:t>
      </w:r>
      <w:r w:rsidR="00E5208C" w:rsidRPr="00F60A3D">
        <w:rPr>
          <w:lang w:val="fr-FR"/>
        </w:rPr>
        <w:t>exploitation et la traite des êtres humains, et contre toutes les violations des droits fondamentaux portées à l</w:t>
      </w:r>
      <w:r w:rsidR="00B17AE1" w:rsidRPr="00F60A3D">
        <w:rPr>
          <w:lang w:val="fr-FR"/>
        </w:rPr>
        <w:t>’</w:t>
      </w:r>
      <w:r w:rsidR="00E5208C" w:rsidRPr="00F60A3D">
        <w:rPr>
          <w:lang w:val="fr-FR"/>
        </w:rPr>
        <w:t xml:space="preserve">intégrité de la personne et à la santé des femmes et des filles. </w:t>
      </w:r>
      <w:r w:rsidR="005E279E" w:rsidRPr="00F60A3D">
        <w:rPr>
          <w:lang w:val="fr-FR"/>
        </w:rPr>
        <w:t>Dans la pratique, le Département de l</w:t>
      </w:r>
      <w:r w:rsidR="00B17AE1" w:rsidRPr="00F60A3D">
        <w:rPr>
          <w:lang w:val="fr-FR"/>
        </w:rPr>
        <w:t>’</w:t>
      </w:r>
      <w:r w:rsidR="005E279E" w:rsidRPr="00F60A3D">
        <w:rPr>
          <w:lang w:val="fr-FR"/>
        </w:rPr>
        <w:t>égalité des chances travaille avec trois principaux bureaux, y compris le Bureau national de lutte contre la discrimination raciale (</w:t>
      </w:r>
      <w:r w:rsidR="00384416" w:rsidRPr="00F60A3D">
        <w:rPr>
          <w:lang w:val="fr-FR"/>
        </w:rPr>
        <w:t xml:space="preserve">voir </w:t>
      </w:r>
      <w:r w:rsidR="005E279E" w:rsidRPr="00F60A3D">
        <w:rPr>
          <w:lang w:val="fr-FR"/>
        </w:rPr>
        <w:t>ci-dessous). Le Département comprend également l</w:t>
      </w:r>
      <w:r w:rsidR="00B17AE1" w:rsidRPr="00F60A3D">
        <w:rPr>
          <w:lang w:val="fr-FR"/>
        </w:rPr>
        <w:t>’</w:t>
      </w:r>
      <w:r w:rsidR="005E279E" w:rsidRPr="00F60A3D">
        <w:rPr>
          <w:lang w:val="fr-FR"/>
        </w:rPr>
        <w:t>Observatoire contre la pédophilie et la pornographie mettant en scène des enfants. Plus récemment, il a</w:t>
      </w:r>
      <w:r w:rsidR="00E924D7" w:rsidRPr="00F60A3D">
        <w:rPr>
          <w:lang w:val="fr-FR"/>
        </w:rPr>
        <w:t xml:space="preserve"> adopté le nouveau Plan national extraordinaire de lutte contre les violences faites aux</w:t>
      </w:r>
      <w:r w:rsidR="005E279E" w:rsidRPr="00F60A3D">
        <w:rPr>
          <w:lang w:val="fr-FR"/>
        </w:rPr>
        <w:t xml:space="preserve"> femmes, et le premier Plan </w:t>
      </w:r>
      <w:r w:rsidR="00E924D7" w:rsidRPr="00F60A3D">
        <w:rPr>
          <w:lang w:val="fr-FR"/>
        </w:rPr>
        <w:t>national d</w:t>
      </w:r>
      <w:r w:rsidR="00B17AE1" w:rsidRPr="00F60A3D">
        <w:rPr>
          <w:lang w:val="fr-FR"/>
        </w:rPr>
        <w:t>’</w:t>
      </w:r>
      <w:r w:rsidR="00E924D7" w:rsidRPr="00F60A3D">
        <w:rPr>
          <w:lang w:val="fr-FR"/>
        </w:rPr>
        <w:t>action</w:t>
      </w:r>
      <w:r w:rsidR="005E279E" w:rsidRPr="00F60A3D">
        <w:rPr>
          <w:lang w:val="fr-FR"/>
        </w:rPr>
        <w:t xml:space="preserve"> contre la traite des êtres humains.</w:t>
      </w:r>
      <w:r w:rsidR="00731982" w:rsidRPr="00F60A3D">
        <w:rPr>
          <w:lang w:val="fr-FR"/>
        </w:rPr>
        <w:t xml:space="preserve"> </w:t>
      </w:r>
    </w:p>
    <w:p w:rsidR="00907A07" w:rsidRPr="00F60A3D" w:rsidRDefault="008736B9" w:rsidP="005063FC">
      <w:pPr>
        <w:pStyle w:val="SingleTxtG"/>
        <w:rPr>
          <w:lang w:val="fr-FR"/>
        </w:rPr>
      </w:pPr>
      <w:r w:rsidRPr="00F60A3D">
        <w:rPr>
          <w:lang w:val="fr-FR"/>
        </w:rPr>
        <w:t>207</w:t>
      </w:r>
      <w:r w:rsidR="00DB5D9E" w:rsidRPr="00F60A3D">
        <w:rPr>
          <w:lang w:val="fr-FR"/>
        </w:rPr>
        <w:t>.</w:t>
      </w:r>
      <w:r w:rsidR="00DB5D9E" w:rsidRPr="00F60A3D">
        <w:rPr>
          <w:lang w:val="fr-FR"/>
        </w:rPr>
        <w:tab/>
      </w:r>
      <w:r w:rsidR="008E754B" w:rsidRPr="00F60A3D">
        <w:rPr>
          <w:lang w:val="fr-FR"/>
        </w:rPr>
        <w:t>Au sein de la P</w:t>
      </w:r>
      <w:r w:rsidR="00907A07" w:rsidRPr="00F60A3D">
        <w:rPr>
          <w:lang w:val="fr-FR"/>
        </w:rPr>
        <w:t>résidence du Conse</w:t>
      </w:r>
      <w:r w:rsidR="00EE4285" w:rsidRPr="00F60A3D">
        <w:rPr>
          <w:lang w:val="fr-FR"/>
        </w:rPr>
        <w:t>il des ministres</w:t>
      </w:r>
      <w:r w:rsidR="00CF232E" w:rsidRPr="00F60A3D">
        <w:rPr>
          <w:lang w:val="fr-FR"/>
        </w:rPr>
        <w:t>, le</w:t>
      </w:r>
      <w:r w:rsidR="00907A07" w:rsidRPr="00F60A3D">
        <w:rPr>
          <w:lang w:val="fr-FR"/>
        </w:rPr>
        <w:t xml:space="preserve"> Bureau national de lutte contre la discrimination raciale</w:t>
      </w:r>
      <w:r w:rsidR="008E754B" w:rsidRPr="00F60A3D">
        <w:rPr>
          <w:lang w:val="fr-FR"/>
        </w:rPr>
        <w:t xml:space="preserve"> </w:t>
      </w:r>
      <w:r w:rsidR="00907A07" w:rsidRPr="00F60A3D">
        <w:rPr>
          <w:lang w:val="fr-FR"/>
        </w:rPr>
        <w:t>est chargé</w:t>
      </w:r>
      <w:r w:rsidR="00EE4285" w:rsidRPr="00F60A3D">
        <w:rPr>
          <w:lang w:val="fr-FR"/>
        </w:rPr>
        <w:t>, dans le cadre du Département de l</w:t>
      </w:r>
      <w:r w:rsidR="00B17AE1" w:rsidRPr="00F60A3D">
        <w:rPr>
          <w:lang w:val="fr-FR"/>
        </w:rPr>
        <w:t>’</w:t>
      </w:r>
      <w:r w:rsidR="00EE4285" w:rsidRPr="00F60A3D">
        <w:rPr>
          <w:lang w:val="fr-FR"/>
        </w:rPr>
        <w:t>égalité des chances,</w:t>
      </w:r>
      <w:r w:rsidR="00731982" w:rsidRPr="00F60A3D">
        <w:rPr>
          <w:lang w:val="fr-FR"/>
        </w:rPr>
        <w:t xml:space="preserve"> </w:t>
      </w:r>
      <w:r w:rsidR="00907A07" w:rsidRPr="00F60A3D">
        <w:rPr>
          <w:lang w:val="fr-FR"/>
        </w:rPr>
        <w:t>de promouvoir l</w:t>
      </w:r>
      <w:r w:rsidR="00B17AE1" w:rsidRPr="00F60A3D">
        <w:rPr>
          <w:lang w:val="fr-FR"/>
        </w:rPr>
        <w:t>’</w:t>
      </w:r>
      <w:r w:rsidR="00907A07" w:rsidRPr="00F60A3D">
        <w:rPr>
          <w:lang w:val="fr-FR"/>
        </w:rPr>
        <w:t>égalité et l</w:t>
      </w:r>
      <w:r w:rsidR="00B17AE1" w:rsidRPr="00F60A3D">
        <w:rPr>
          <w:lang w:val="fr-FR"/>
        </w:rPr>
        <w:t>’</w:t>
      </w:r>
      <w:r w:rsidR="00907A07" w:rsidRPr="00F60A3D">
        <w:rPr>
          <w:lang w:val="fr-FR"/>
        </w:rPr>
        <w:t>élimination de toutes les formes de discrimination, y compris les forme</w:t>
      </w:r>
      <w:r w:rsidR="00C91084" w:rsidRPr="00F60A3D">
        <w:rPr>
          <w:lang w:val="fr-FR"/>
        </w:rPr>
        <w:t>s multiples et croisées (</w:t>
      </w:r>
      <w:r w:rsidR="00731982" w:rsidRPr="00F60A3D">
        <w:rPr>
          <w:lang w:val="fr-FR"/>
        </w:rPr>
        <w:t>art. </w:t>
      </w:r>
      <w:r w:rsidR="00907A07" w:rsidRPr="00F60A3D">
        <w:rPr>
          <w:lang w:val="fr-FR"/>
        </w:rPr>
        <w:t xml:space="preserve">7 du décret législatif </w:t>
      </w:r>
      <w:r w:rsidR="00B17AE1" w:rsidRPr="00F60A3D">
        <w:rPr>
          <w:lang w:val="fr-FR"/>
        </w:rPr>
        <w:t>n</w:t>
      </w:r>
      <w:r w:rsidR="00B17AE1" w:rsidRPr="00F60A3D">
        <w:rPr>
          <w:vertAlign w:val="superscript"/>
          <w:lang w:val="fr-FR"/>
        </w:rPr>
        <w:t>o</w:t>
      </w:r>
      <w:r w:rsidR="00B17AE1" w:rsidRPr="00F60A3D">
        <w:rPr>
          <w:lang w:val="fr-FR"/>
        </w:rPr>
        <w:t> </w:t>
      </w:r>
      <w:r w:rsidR="00907A07" w:rsidRPr="00F60A3D">
        <w:rPr>
          <w:lang w:val="fr-FR"/>
        </w:rPr>
        <w:t>215/2003), conformément aux directi</w:t>
      </w:r>
      <w:r w:rsidR="00601522" w:rsidRPr="00F60A3D">
        <w:rPr>
          <w:lang w:val="fr-FR"/>
        </w:rPr>
        <w:t>v</w:t>
      </w:r>
      <w:r w:rsidR="00FD0D8E" w:rsidRPr="00F60A3D">
        <w:rPr>
          <w:lang w:val="fr-FR"/>
        </w:rPr>
        <w:t>es de l</w:t>
      </w:r>
      <w:r w:rsidR="00B17AE1" w:rsidRPr="00F60A3D">
        <w:rPr>
          <w:lang w:val="fr-FR"/>
        </w:rPr>
        <w:t>’</w:t>
      </w:r>
      <w:r w:rsidR="00FD0D8E" w:rsidRPr="00F60A3D">
        <w:rPr>
          <w:lang w:val="fr-FR"/>
        </w:rPr>
        <w:t>Union européenne</w:t>
      </w:r>
      <w:r w:rsidR="00907A07" w:rsidRPr="00F60A3D">
        <w:rPr>
          <w:lang w:val="fr-FR"/>
        </w:rPr>
        <w:t xml:space="preserve"> 2000/43/CE et 2000/78/CE.</w:t>
      </w:r>
    </w:p>
    <w:p w:rsidR="00907A07" w:rsidRPr="00F60A3D" w:rsidRDefault="00224935" w:rsidP="004365E0">
      <w:pPr>
        <w:pStyle w:val="SingleTxtG"/>
        <w:rPr>
          <w:lang w:val="fr-FR"/>
        </w:rPr>
      </w:pPr>
      <w:r w:rsidRPr="00F60A3D">
        <w:rPr>
          <w:lang w:val="fr-FR"/>
        </w:rPr>
        <w:t>208.</w:t>
      </w:r>
      <w:r w:rsidR="001D2CCC" w:rsidRPr="00F60A3D">
        <w:rPr>
          <w:lang w:val="fr-FR"/>
        </w:rPr>
        <w:tab/>
      </w:r>
      <w:r w:rsidR="00907A07" w:rsidRPr="00F60A3D">
        <w:rPr>
          <w:lang w:val="fr-FR"/>
        </w:rPr>
        <w:t>Pour ce qui est des activités engagé</w:t>
      </w:r>
      <w:r w:rsidR="008E7291" w:rsidRPr="00F60A3D">
        <w:rPr>
          <w:lang w:val="fr-FR"/>
        </w:rPr>
        <w:t>es, il convient de mentionner: l</w:t>
      </w:r>
      <w:r w:rsidR="00E4009D" w:rsidRPr="00F60A3D">
        <w:rPr>
          <w:lang w:val="fr-FR"/>
        </w:rPr>
        <w:t>a</w:t>
      </w:r>
      <w:r w:rsidR="00731982" w:rsidRPr="00F60A3D">
        <w:rPr>
          <w:lang w:val="fr-FR"/>
        </w:rPr>
        <w:t xml:space="preserve"> </w:t>
      </w:r>
      <w:r w:rsidR="00E4009D" w:rsidRPr="00F60A3D">
        <w:rPr>
          <w:lang w:val="fr-FR"/>
        </w:rPr>
        <w:t>«</w:t>
      </w:r>
      <w:r w:rsidR="00907A07" w:rsidRPr="00F60A3D">
        <w:rPr>
          <w:lang w:val="fr-FR"/>
        </w:rPr>
        <w:t>Semai</w:t>
      </w:r>
      <w:r w:rsidR="00E4009D" w:rsidRPr="00F60A3D">
        <w:rPr>
          <w:lang w:val="fr-FR"/>
        </w:rPr>
        <w:t>ne nationale contre le racisme</w:t>
      </w:r>
      <w:r w:rsidR="00731982" w:rsidRPr="00F60A3D">
        <w:rPr>
          <w:lang w:val="fr-FR"/>
        </w:rPr>
        <w:t>»</w:t>
      </w:r>
      <w:r w:rsidR="00C46103" w:rsidRPr="00F60A3D">
        <w:rPr>
          <w:lang w:val="fr-FR"/>
        </w:rPr>
        <w:t>, le renforcement des capacités,</w:t>
      </w:r>
      <w:r w:rsidR="00907A07" w:rsidRPr="00F60A3D">
        <w:rPr>
          <w:lang w:val="fr-FR"/>
        </w:rPr>
        <w:t xml:space="preserve"> les exercices de surveillance et de collecte des données, outre le soutien apporté aux autres institutions pertinentes et la promotion des cours d</w:t>
      </w:r>
      <w:r w:rsidR="00B17AE1" w:rsidRPr="00F60A3D">
        <w:rPr>
          <w:lang w:val="fr-FR"/>
        </w:rPr>
        <w:t>’</w:t>
      </w:r>
      <w:r w:rsidR="00907A07" w:rsidRPr="00F60A3D">
        <w:rPr>
          <w:lang w:val="fr-FR"/>
        </w:rPr>
        <w:t>enseignement aux droits de l</w:t>
      </w:r>
      <w:r w:rsidR="00B17AE1" w:rsidRPr="00F60A3D">
        <w:rPr>
          <w:lang w:val="fr-FR"/>
        </w:rPr>
        <w:t>’</w:t>
      </w:r>
      <w:r w:rsidR="00907A07" w:rsidRPr="00F60A3D">
        <w:rPr>
          <w:lang w:val="fr-FR"/>
        </w:rPr>
        <w:t>homme destinés au</w:t>
      </w:r>
      <w:r w:rsidR="001B6FF0" w:rsidRPr="00F60A3D">
        <w:rPr>
          <w:lang w:val="fr-FR"/>
        </w:rPr>
        <w:t>x forces de l</w:t>
      </w:r>
      <w:r w:rsidR="00B17AE1" w:rsidRPr="00F60A3D">
        <w:rPr>
          <w:lang w:val="fr-FR"/>
        </w:rPr>
        <w:t>’</w:t>
      </w:r>
      <w:r w:rsidR="001B6FF0" w:rsidRPr="00F60A3D">
        <w:rPr>
          <w:lang w:val="fr-FR"/>
        </w:rPr>
        <w:t>ordre</w:t>
      </w:r>
      <w:r w:rsidR="00907A07" w:rsidRPr="00F60A3D">
        <w:rPr>
          <w:lang w:val="fr-FR"/>
        </w:rPr>
        <w:t xml:space="preserve">, </w:t>
      </w:r>
      <w:r w:rsidR="00BC7853" w:rsidRPr="00F60A3D">
        <w:rPr>
          <w:lang w:val="fr-FR"/>
        </w:rPr>
        <w:t>menés</w:t>
      </w:r>
      <w:r w:rsidR="00384416" w:rsidRPr="00F60A3D">
        <w:rPr>
          <w:lang w:val="fr-FR"/>
        </w:rPr>
        <w:t xml:space="preserve"> </w:t>
      </w:r>
      <w:r w:rsidR="00907A07" w:rsidRPr="00F60A3D">
        <w:rPr>
          <w:lang w:val="fr-FR"/>
        </w:rPr>
        <w:t>de concert avec l</w:t>
      </w:r>
      <w:r w:rsidR="00B17AE1" w:rsidRPr="00F60A3D">
        <w:rPr>
          <w:lang w:val="fr-FR"/>
        </w:rPr>
        <w:t>’</w:t>
      </w:r>
      <w:r w:rsidR="00907A07" w:rsidRPr="00F60A3D">
        <w:rPr>
          <w:lang w:val="fr-FR"/>
        </w:rPr>
        <w:t xml:space="preserve">Observatoire pour la sécurité contre les actes de discrimination. </w:t>
      </w:r>
    </w:p>
    <w:p w:rsidR="00287ECB" w:rsidRPr="00F60A3D" w:rsidRDefault="008736B9" w:rsidP="004365E0">
      <w:pPr>
        <w:pStyle w:val="SingleTxtG"/>
        <w:rPr>
          <w:lang w:val="fr-FR"/>
        </w:rPr>
      </w:pPr>
      <w:r w:rsidRPr="00F60A3D">
        <w:rPr>
          <w:lang w:val="fr-FR"/>
        </w:rPr>
        <w:t>209</w:t>
      </w:r>
      <w:r w:rsidR="008E754B" w:rsidRPr="00F60A3D">
        <w:rPr>
          <w:lang w:val="fr-FR"/>
        </w:rPr>
        <w:t>.</w:t>
      </w:r>
      <w:r w:rsidR="008E754B" w:rsidRPr="00F60A3D">
        <w:rPr>
          <w:lang w:val="fr-FR"/>
        </w:rPr>
        <w:tab/>
        <w:t>Le Bureau national de lutte contre la discrimination raciale</w:t>
      </w:r>
      <w:r w:rsidR="00DB5D9E" w:rsidRPr="00F60A3D">
        <w:rPr>
          <w:lang w:val="fr-FR"/>
        </w:rPr>
        <w:t xml:space="preserve"> </w:t>
      </w:r>
      <w:r w:rsidR="00287ECB" w:rsidRPr="00F60A3D">
        <w:rPr>
          <w:lang w:val="fr-FR"/>
        </w:rPr>
        <w:t>est</w:t>
      </w:r>
      <w:r w:rsidR="00C46103" w:rsidRPr="00F60A3D">
        <w:rPr>
          <w:lang w:val="fr-FR"/>
        </w:rPr>
        <w:t>,</w:t>
      </w:r>
      <w:r w:rsidR="00287ECB" w:rsidRPr="00F60A3D">
        <w:rPr>
          <w:lang w:val="fr-FR"/>
        </w:rPr>
        <w:t xml:space="preserve"> par ailleurs</w:t>
      </w:r>
      <w:r w:rsidR="00C46103" w:rsidRPr="00F60A3D">
        <w:rPr>
          <w:lang w:val="fr-FR"/>
        </w:rPr>
        <w:t>,</w:t>
      </w:r>
      <w:r w:rsidR="00287ECB" w:rsidRPr="00F60A3D">
        <w:rPr>
          <w:lang w:val="fr-FR"/>
        </w:rPr>
        <w:t xml:space="preserve"> le point de contact national en ce qui concerne la Stratégie nationale d</w:t>
      </w:r>
      <w:r w:rsidR="00B17AE1" w:rsidRPr="00F60A3D">
        <w:rPr>
          <w:lang w:val="fr-FR"/>
        </w:rPr>
        <w:t>’</w:t>
      </w:r>
      <w:r w:rsidR="00287ECB" w:rsidRPr="00F60A3D">
        <w:rPr>
          <w:lang w:val="fr-FR"/>
        </w:rPr>
        <w:t>intégration des Roms, conformément à la C</w:t>
      </w:r>
      <w:r w:rsidR="001B6FF0" w:rsidRPr="00F60A3D">
        <w:rPr>
          <w:lang w:val="fr-FR"/>
        </w:rPr>
        <w:t xml:space="preserve">ommunication </w:t>
      </w:r>
      <w:r w:rsidR="00B17AE1" w:rsidRPr="00F60A3D">
        <w:rPr>
          <w:lang w:val="fr-FR"/>
        </w:rPr>
        <w:t>n</w:t>
      </w:r>
      <w:r w:rsidR="00B17AE1" w:rsidRPr="00F60A3D">
        <w:rPr>
          <w:vertAlign w:val="superscript"/>
          <w:lang w:val="fr-FR"/>
        </w:rPr>
        <w:t>o</w:t>
      </w:r>
      <w:r w:rsidR="00B17AE1" w:rsidRPr="00F60A3D">
        <w:rPr>
          <w:lang w:val="fr-FR"/>
        </w:rPr>
        <w:t> </w:t>
      </w:r>
      <w:r w:rsidR="001B6FF0" w:rsidRPr="00F60A3D">
        <w:rPr>
          <w:lang w:val="fr-FR"/>
        </w:rPr>
        <w:t>173/2011 de la C</w:t>
      </w:r>
      <w:r w:rsidR="00287ECB" w:rsidRPr="00F60A3D">
        <w:rPr>
          <w:lang w:val="fr-FR"/>
        </w:rPr>
        <w:t xml:space="preserve">ommission européenne. Il </w:t>
      </w:r>
      <w:r w:rsidR="00CF232E" w:rsidRPr="00F60A3D">
        <w:rPr>
          <w:lang w:val="fr-FR"/>
        </w:rPr>
        <w:t>a également adopté la première S</w:t>
      </w:r>
      <w:r w:rsidR="00287ECB" w:rsidRPr="00F60A3D">
        <w:rPr>
          <w:lang w:val="fr-FR"/>
        </w:rPr>
        <w:t xml:space="preserve">tratégie nationale </w:t>
      </w:r>
      <w:r w:rsidR="00CF232E" w:rsidRPr="00F60A3D">
        <w:rPr>
          <w:lang w:val="fr-FR"/>
        </w:rPr>
        <w:t>sur les droits des personnes lesbiennes, gays, bisexuelles et transgenres</w:t>
      </w:r>
      <w:r w:rsidR="008F5263" w:rsidRPr="00F60A3D">
        <w:rPr>
          <w:lang w:val="fr-FR"/>
        </w:rPr>
        <w:t xml:space="preserve"> (LGBT)</w:t>
      </w:r>
      <w:r w:rsidR="00EC4A2E" w:rsidRPr="00F60A3D">
        <w:rPr>
          <w:lang w:val="fr-FR"/>
        </w:rPr>
        <w:t xml:space="preserve"> 2013-2015 et récemment,</w:t>
      </w:r>
      <w:r w:rsidR="00287ECB" w:rsidRPr="00F60A3D">
        <w:rPr>
          <w:lang w:val="fr-FR"/>
        </w:rPr>
        <w:t xml:space="preserve"> le Plan d</w:t>
      </w:r>
      <w:r w:rsidR="00B17AE1" w:rsidRPr="00F60A3D">
        <w:rPr>
          <w:lang w:val="fr-FR"/>
        </w:rPr>
        <w:t>’</w:t>
      </w:r>
      <w:r w:rsidR="00287ECB" w:rsidRPr="00F60A3D">
        <w:rPr>
          <w:lang w:val="fr-FR"/>
        </w:rPr>
        <w:t>action contre le racism</w:t>
      </w:r>
      <w:r w:rsidR="001B6FF0" w:rsidRPr="00F60A3D">
        <w:rPr>
          <w:lang w:val="fr-FR"/>
        </w:rPr>
        <w:t>e</w:t>
      </w:r>
      <w:r w:rsidR="00287ECB" w:rsidRPr="00F60A3D">
        <w:rPr>
          <w:lang w:val="fr-FR"/>
        </w:rPr>
        <w:t>, la discrimination raciale, la</w:t>
      </w:r>
      <w:r w:rsidR="001B6FF0" w:rsidRPr="00F60A3D">
        <w:rPr>
          <w:lang w:val="fr-FR"/>
        </w:rPr>
        <w:t xml:space="preserve"> </w:t>
      </w:r>
      <w:r w:rsidR="00287ECB" w:rsidRPr="00F60A3D">
        <w:rPr>
          <w:lang w:val="fr-FR"/>
        </w:rPr>
        <w:t>xénophobie et l</w:t>
      </w:r>
      <w:r w:rsidR="00B17AE1" w:rsidRPr="00F60A3D">
        <w:rPr>
          <w:lang w:val="fr-FR"/>
        </w:rPr>
        <w:t>’</w:t>
      </w:r>
      <w:r w:rsidR="00287ECB" w:rsidRPr="00F60A3D">
        <w:rPr>
          <w:lang w:val="fr-FR"/>
        </w:rPr>
        <w:t xml:space="preserve">intolérance qui y est associée. </w:t>
      </w:r>
    </w:p>
    <w:p w:rsidR="00DA3E7A" w:rsidRPr="00F60A3D" w:rsidRDefault="00224935" w:rsidP="004365E0">
      <w:pPr>
        <w:pStyle w:val="SingleTxtG"/>
        <w:rPr>
          <w:lang w:val="fr-FR"/>
        </w:rPr>
      </w:pPr>
      <w:r w:rsidRPr="00F60A3D">
        <w:rPr>
          <w:lang w:val="fr-FR"/>
        </w:rPr>
        <w:t>210.</w:t>
      </w:r>
      <w:r w:rsidR="001D2CCC" w:rsidRPr="00F60A3D">
        <w:rPr>
          <w:lang w:val="fr-FR"/>
        </w:rPr>
        <w:tab/>
      </w:r>
      <w:r w:rsidR="00D22203" w:rsidRPr="00F60A3D">
        <w:rPr>
          <w:lang w:val="fr-FR"/>
        </w:rPr>
        <w:t>L</w:t>
      </w:r>
      <w:r w:rsidR="001B6FF0" w:rsidRPr="00F60A3D">
        <w:rPr>
          <w:lang w:val="fr-FR"/>
        </w:rPr>
        <w:t>a Stratég</w:t>
      </w:r>
      <w:r w:rsidR="00DA3E7A" w:rsidRPr="00F60A3D">
        <w:rPr>
          <w:lang w:val="fr-FR"/>
        </w:rPr>
        <w:t>ie nationale d</w:t>
      </w:r>
      <w:r w:rsidR="00B17AE1" w:rsidRPr="00F60A3D">
        <w:rPr>
          <w:lang w:val="fr-FR"/>
        </w:rPr>
        <w:t>’</w:t>
      </w:r>
      <w:r w:rsidR="00DA3E7A" w:rsidRPr="00F60A3D">
        <w:rPr>
          <w:lang w:val="fr-FR"/>
        </w:rPr>
        <w:t>intégration des Roms 2012-2020 met</w:t>
      </w:r>
      <w:r w:rsidR="00D22203" w:rsidRPr="00F60A3D">
        <w:rPr>
          <w:lang w:val="fr-FR"/>
        </w:rPr>
        <w:t xml:space="preserve"> quant à elle</w:t>
      </w:r>
      <w:r w:rsidR="00BB0B3E" w:rsidRPr="00F60A3D">
        <w:rPr>
          <w:lang w:val="fr-FR"/>
        </w:rPr>
        <w:t xml:space="preserve"> </w:t>
      </w:r>
      <w:r w:rsidR="00DA3E7A" w:rsidRPr="00F60A3D">
        <w:rPr>
          <w:lang w:val="fr-FR"/>
        </w:rPr>
        <w:t>l</w:t>
      </w:r>
      <w:r w:rsidR="00B17AE1" w:rsidRPr="00F60A3D">
        <w:rPr>
          <w:lang w:val="fr-FR"/>
        </w:rPr>
        <w:t>’</w:t>
      </w:r>
      <w:r w:rsidR="00DA3E7A" w:rsidRPr="00F60A3D">
        <w:rPr>
          <w:lang w:val="fr-FR"/>
        </w:rPr>
        <w:t>accent sur les priorités de l</w:t>
      </w:r>
      <w:r w:rsidR="00B17AE1" w:rsidRPr="00F60A3D">
        <w:rPr>
          <w:lang w:val="fr-FR"/>
        </w:rPr>
        <w:t>’</w:t>
      </w:r>
      <w:r w:rsidR="00DA3E7A" w:rsidRPr="00F60A3D">
        <w:rPr>
          <w:lang w:val="fr-FR"/>
        </w:rPr>
        <w:t>UE (logement, travail, éd</w:t>
      </w:r>
      <w:r w:rsidR="00E00C8A" w:rsidRPr="00F60A3D">
        <w:rPr>
          <w:lang w:val="fr-FR"/>
        </w:rPr>
        <w:t>ucation, santé). L</w:t>
      </w:r>
      <w:r w:rsidR="00B17AE1" w:rsidRPr="00F60A3D">
        <w:rPr>
          <w:lang w:val="fr-FR"/>
        </w:rPr>
        <w:t>’</w:t>
      </w:r>
      <w:r w:rsidR="00DA3E7A" w:rsidRPr="00F60A3D">
        <w:rPr>
          <w:lang w:val="fr-FR"/>
        </w:rPr>
        <w:t xml:space="preserve">Italie a </w:t>
      </w:r>
      <w:r w:rsidR="00E00C8A" w:rsidRPr="00F60A3D">
        <w:rPr>
          <w:lang w:val="fr-FR"/>
        </w:rPr>
        <w:t xml:space="preserve">en outre </w:t>
      </w:r>
      <w:r w:rsidR="00DA3E7A" w:rsidRPr="00F60A3D">
        <w:rPr>
          <w:lang w:val="fr-FR"/>
        </w:rPr>
        <w:t>décidé d</w:t>
      </w:r>
      <w:r w:rsidR="00B17AE1" w:rsidRPr="00F60A3D">
        <w:rPr>
          <w:lang w:val="fr-FR"/>
        </w:rPr>
        <w:t>’</w:t>
      </w:r>
      <w:r w:rsidR="00DA3E7A" w:rsidRPr="00F60A3D">
        <w:rPr>
          <w:lang w:val="fr-FR"/>
        </w:rPr>
        <w:t>y ajouter les principes généraux concernant la question du genre, la non-discrimination et une approche fondée sur les droits de l</w:t>
      </w:r>
      <w:r w:rsidR="00B17AE1" w:rsidRPr="00F60A3D">
        <w:rPr>
          <w:lang w:val="fr-FR"/>
        </w:rPr>
        <w:t>’</w:t>
      </w:r>
      <w:r w:rsidR="00DA3E7A" w:rsidRPr="00F60A3D">
        <w:rPr>
          <w:lang w:val="fr-FR"/>
        </w:rPr>
        <w:t>homme. Depuis son adoption, une attention croissante a été accordé</w:t>
      </w:r>
      <w:r w:rsidR="002F5160" w:rsidRPr="00F60A3D">
        <w:rPr>
          <w:lang w:val="fr-FR"/>
        </w:rPr>
        <w:t>e</w:t>
      </w:r>
      <w:r w:rsidR="00DA3E7A" w:rsidRPr="00F60A3D">
        <w:rPr>
          <w:lang w:val="fr-FR"/>
        </w:rPr>
        <w:t xml:space="preserve"> aux femmes</w:t>
      </w:r>
      <w:r w:rsidR="00601522" w:rsidRPr="00F60A3D">
        <w:rPr>
          <w:lang w:val="fr-FR"/>
        </w:rPr>
        <w:t xml:space="preserve"> e</w:t>
      </w:r>
      <w:r w:rsidR="00E4009D" w:rsidRPr="00F60A3D">
        <w:rPr>
          <w:lang w:val="fr-FR"/>
        </w:rPr>
        <w:t>t aux filles roms en tant qu</w:t>
      </w:r>
      <w:r w:rsidR="00B17AE1" w:rsidRPr="00F60A3D">
        <w:rPr>
          <w:lang w:val="fr-FR"/>
        </w:rPr>
        <w:t>’</w:t>
      </w:r>
      <w:r w:rsidR="00A026C7" w:rsidRPr="00F60A3D">
        <w:rPr>
          <w:lang w:val="fr-FR"/>
        </w:rPr>
        <w:t>«</w:t>
      </w:r>
      <w:r w:rsidR="00E4009D" w:rsidRPr="00F60A3D">
        <w:rPr>
          <w:lang w:val="fr-FR"/>
        </w:rPr>
        <w:t>agents du changement</w:t>
      </w:r>
      <w:r w:rsidR="00731982" w:rsidRPr="00F60A3D">
        <w:rPr>
          <w:lang w:val="fr-FR"/>
        </w:rPr>
        <w:t>»</w:t>
      </w:r>
      <w:r w:rsidR="00DA3E7A" w:rsidRPr="00F60A3D">
        <w:rPr>
          <w:lang w:val="fr-FR"/>
        </w:rPr>
        <w:t>.</w:t>
      </w:r>
      <w:r w:rsidR="00731982" w:rsidRPr="00F60A3D">
        <w:rPr>
          <w:lang w:val="fr-FR"/>
        </w:rPr>
        <w:t xml:space="preserve"> </w:t>
      </w:r>
    </w:p>
    <w:p w:rsidR="00DA3E7A" w:rsidRPr="00F60A3D" w:rsidRDefault="00224935" w:rsidP="004365E0">
      <w:pPr>
        <w:pStyle w:val="SingleTxtG"/>
        <w:rPr>
          <w:lang w:val="fr-FR"/>
        </w:rPr>
      </w:pPr>
      <w:r w:rsidRPr="00F60A3D">
        <w:rPr>
          <w:lang w:val="fr-FR"/>
        </w:rPr>
        <w:lastRenderedPageBreak/>
        <w:t>211.</w:t>
      </w:r>
      <w:r w:rsidR="001D2CCC" w:rsidRPr="00F60A3D">
        <w:rPr>
          <w:lang w:val="fr-FR"/>
        </w:rPr>
        <w:tab/>
      </w:r>
      <w:r w:rsidR="00DA3E7A" w:rsidRPr="00F60A3D">
        <w:rPr>
          <w:lang w:val="fr-FR"/>
        </w:rPr>
        <w:t>E</w:t>
      </w:r>
      <w:r w:rsidR="00DB5D9E" w:rsidRPr="00F60A3D">
        <w:rPr>
          <w:lang w:val="fr-FR"/>
        </w:rPr>
        <w:t xml:space="preserve">n 2012, </w:t>
      </w:r>
      <w:r w:rsidR="008508DF" w:rsidRPr="00F60A3D">
        <w:rPr>
          <w:lang w:val="fr-FR"/>
        </w:rPr>
        <w:t>l</w:t>
      </w:r>
      <w:r w:rsidR="00B17AE1" w:rsidRPr="00F60A3D">
        <w:rPr>
          <w:lang w:val="fr-FR"/>
        </w:rPr>
        <w:t>’</w:t>
      </w:r>
      <w:r w:rsidR="008508DF" w:rsidRPr="00F60A3D">
        <w:rPr>
          <w:lang w:val="fr-FR"/>
        </w:rPr>
        <w:t>Italie s</w:t>
      </w:r>
      <w:r w:rsidR="00B17AE1" w:rsidRPr="00F60A3D">
        <w:rPr>
          <w:lang w:val="fr-FR"/>
        </w:rPr>
        <w:t>’</w:t>
      </w:r>
      <w:r w:rsidR="008508DF" w:rsidRPr="00F60A3D">
        <w:rPr>
          <w:lang w:val="fr-FR"/>
        </w:rPr>
        <w:t>est associée</w:t>
      </w:r>
      <w:r w:rsidR="000D7863" w:rsidRPr="00F60A3D">
        <w:rPr>
          <w:lang w:val="fr-FR"/>
        </w:rPr>
        <w:t xml:space="preserve"> au programme du Conseil </w:t>
      </w:r>
      <w:r w:rsidR="00E4009D" w:rsidRPr="00F60A3D">
        <w:rPr>
          <w:lang w:val="fr-FR"/>
        </w:rPr>
        <w:t>de l</w:t>
      </w:r>
      <w:r w:rsidR="00B17AE1" w:rsidRPr="00F60A3D">
        <w:rPr>
          <w:lang w:val="fr-FR"/>
        </w:rPr>
        <w:t>’</w:t>
      </w:r>
      <w:r w:rsidR="00E4009D" w:rsidRPr="00F60A3D">
        <w:rPr>
          <w:lang w:val="fr-FR"/>
        </w:rPr>
        <w:t>Europe intitulé</w:t>
      </w:r>
      <w:r w:rsidR="00731982" w:rsidRPr="00F60A3D">
        <w:rPr>
          <w:lang w:val="fr-FR"/>
        </w:rPr>
        <w:t xml:space="preserve"> «</w:t>
      </w:r>
      <w:r w:rsidR="000D7863" w:rsidRPr="00F60A3D">
        <w:rPr>
          <w:lang w:val="fr-FR"/>
        </w:rPr>
        <w:t>Lutte contre la discrimination fondée sur l</w:t>
      </w:r>
      <w:r w:rsidR="00B17AE1" w:rsidRPr="00F60A3D">
        <w:rPr>
          <w:lang w:val="fr-FR"/>
        </w:rPr>
        <w:t>’</w:t>
      </w:r>
      <w:r w:rsidR="000D7863" w:rsidRPr="00F60A3D">
        <w:rPr>
          <w:lang w:val="fr-FR"/>
        </w:rPr>
        <w:t>orientation sexuel</w:t>
      </w:r>
      <w:r w:rsidR="008508DF" w:rsidRPr="00F60A3D">
        <w:rPr>
          <w:lang w:val="fr-FR"/>
        </w:rPr>
        <w:t>le ou l</w:t>
      </w:r>
      <w:r w:rsidR="00B17AE1" w:rsidRPr="00F60A3D">
        <w:rPr>
          <w:lang w:val="fr-FR"/>
        </w:rPr>
        <w:t>’</w:t>
      </w:r>
      <w:r w:rsidR="008508DF" w:rsidRPr="00F60A3D">
        <w:rPr>
          <w:lang w:val="fr-FR"/>
        </w:rPr>
        <w:t>identi</w:t>
      </w:r>
      <w:r w:rsidR="00E4009D" w:rsidRPr="00F60A3D">
        <w:rPr>
          <w:lang w:val="fr-FR"/>
        </w:rPr>
        <w:t>té de genre</w:t>
      </w:r>
      <w:r w:rsidR="00731982" w:rsidRPr="00F60A3D">
        <w:rPr>
          <w:lang w:val="fr-FR"/>
        </w:rPr>
        <w:t>»</w:t>
      </w:r>
      <w:r w:rsidR="008E754B" w:rsidRPr="00F60A3D">
        <w:rPr>
          <w:lang w:val="fr-FR"/>
        </w:rPr>
        <w:t>, pour lequel le Bureau national de lutte contre la discrimination raciale</w:t>
      </w:r>
      <w:r w:rsidR="00674B38" w:rsidRPr="00F60A3D">
        <w:rPr>
          <w:lang w:val="fr-FR"/>
        </w:rPr>
        <w:t xml:space="preserve"> fait office de point focal</w:t>
      </w:r>
      <w:r w:rsidR="000D7863" w:rsidRPr="00F60A3D">
        <w:rPr>
          <w:lang w:val="fr-FR"/>
        </w:rPr>
        <w:t xml:space="preserve"> chargé de </w:t>
      </w:r>
      <w:r w:rsidR="001B6FF0" w:rsidRPr="00F60A3D">
        <w:rPr>
          <w:lang w:val="fr-FR"/>
        </w:rPr>
        <w:t>dé</w:t>
      </w:r>
      <w:r w:rsidR="000D7863" w:rsidRPr="00F60A3D">
        <w:rPr>
          <w:lang w:val="fr-FR"/>
        </w:rPr>
        <w:t>velo</w:t>
      </w:r>
      <w:r w:rsidR="001B6FF0" w:rsidRPr="00F60A3D">
        <w:rPr>
          <w:lang w:val="fr-FR"/>
        </w:rPr>
        <w:t>p</w:t>
      </w:r>
      <w:r w:rsidR="000D7863" w:rsidRPr="00F60A3D">
        <w:rPr>
          <w:lang w:val="fr-FR"/>
        </w:rPr>
        <w:t xml:space="preserve">per </w:t>
      </w:r>
      <w:r w:rsidR="001B6FF0" w:rsidRPr="00F60A3D">
        <w:rPr>
          <w:lang w:val="fr-FR"/>
        </w:rPr>
        <w:t>la S</w:t>
      </w:r>
      <w:r w:rsidR="000D7863" w:rsidRPr="00F60A3D">
        <w:rPr>
          <w:lang w:val="fr-FR"/>
        </w:rPr>
        <w:t>tratégie nationale</w:t>
      </w:r>
      <w:r w:rsidR="00EC4A2E" w:rsidRPr="00F60A3D">
        <w:rPr>
          <w:lang w:val="fr-FR"/>
        </w:rPr>
        <w:t xml:space="preserve"> LGBT</w:t>
      </w:r>
      <w:r w:rsidR="00601522" w:rsidRPr="00F60A3D">
        <w:rPr>
          <w:lang w:val="fr-FR"/>
        </w:rPr>
        <w:t>.</w:t>
      </w:r>
      <w:r w:rsidR="00731982" w:rsidRPr="00F60A3D">
        <w:rPr>
          <w:lang w:val="fr-FR"/>
        </w:rPr>
        <w:t xml:space="preserve"> </w:t>
      </w:r>
      <w:r w:rsidR="004D615D" w:rsidRPr="00F60A3D">
        <w:rPr>
          <w:lang w:val="fr-FR"/>
        </w:rPr>
        <w:t>D</w:t>
      </w:r>
      <w:r w:rsidR="00B17AE1" w:rsidRPr="00F60A3D">
        <w:rPr>
          <w:lang w:val="fr-FR"/>
        </w:rPr>
        <w:t>’</w:t>
      </w:r>
      <w:r w:rsidR="004D615D" w:rsidRPr="00F60A3D">
        <w:rPr>
          <w:lang w:val="fr-FR"/>
        </w:rPr>
        <w:t>un point de vue thématique, l</w:t>
      </w:r>
      <w:r w:rsidR="000D7863" w:rsidRPr="00F60A3D">
        <w:rPr>
          <w:lang w:val="fr-FR"/>
        </w:rPr>
        <w:t>es secteurs du travail et de l</w:t>
      </w:r>
      <w:r w:rsidR="00B17AE1" w:rsidRPr="00F60A3D">
        <w:rPr>
          <w:lang w:val="fr-FR"/>
        </w:rPr>
        <w:t>’</w:t>
      </w:r>
      <w:r w:rsidR="000D7863" w:rsidRPr="00F60A3D">
        <w:rPr>
          <w:lang w:val="fr-FR"/>
        </w:rPr>
        <w:t>e</w:t>
      </w:r>
      <w:r w:rsidR="00CB1E99" w:rsidRPr="00F60A3D">
        <w:rPr>
          <w:lang w:val="fr-FR"/>
        </w:rPr>
        <w:t>mploi sont spécifiquement traité</w:t>
      </w:r>
      <w:r w:rsidR="004D615D" w:rsidRPr="00F60A3D">
        <w:rPr>
          <w:lang w:val="fr-FR"/>
        </w:rPr>
        <w:t>s</w:t>
      </w:r>
      <w:r w:rsidR="000D7863" w:rsidRPr="00F60A3D">
        <w:rPr>
          <w:lang w:val="fr-FR"/>
        </w:rPr>
        <w:t>. L</w:t>
      </w:r>
      <w:r w:rsidR="00B17AE1" w:rsidRPr="00F60A3D">
        <w:rPr>
          <w:lang w:val="fr-FR"/>
        </w:rPr>
        <w:t>’</w:t>
      </w:r>
      <w:r w:rsidR="000D7863" w:rsidRPr="00F60A3D">
        <w:rPr>
          <w:lang w:val="fr-FR"/>
        </w:rPr>
        <w:t>attention porte aussi sur les autres principaux sujets de préoccupation tels</w:t>
      </w:r>
      <w:r w:rsidR="006A35D8" w:rsidRPr="00F60A3D">
        <w:rPr>
          <w:lang w:val="fr-FR"/>
        </w:rPr>
        <w:t xml:space="preserve"> que</w:t>
      </w:r>
      <w:r w:rsidR="000D7863" w:rsidRPr="00F60A3D">
        <w:rPr>
          <w:lang w:val="fr-FR"/>
        </w:rPr>
        <w:t xml:space="preserve"> l</w:t>
      </w:r>
      <w:r w:rsidR="00B17AE1" w:rsidRPr="00F60A3D">
        <w:rPr>
          <w:lang w:val="fr-FR"/>
        </w:rPr>
        <w:t>’</w:t>
      </w:r>
      <w:r w:rsidR="000D7863" w:rsidRPr="00F60A3D">
        <w:rPr>
          <w:lang w:val="fr-FR"/>
        </w:rPr>
        <w:t>éducation (intégration, lutte co</w:t>
      </w:r>
      <w:r w:rsidR="00907015" w:rsidRPr="00F60A3D">
        <w:rPr>
          <w:lang w:val="fr-FR"/>
        </w:rPr>
        <w:t xml:space="preserve">ntre les stéréotypes et </w:t>
      </w:r>
      <w:r w:rsidR="000D7863" w:rsidRPr="00F60A3D">
        <w:rPr>
          <w:lang w:val="fr-FR"/>
        </w:rPr>
        <w:t xml:space="preserve">harcèlement), </w:t>
      </w:r>
      <w:r w:rsidR="000978D1" w:rsidRPr="00F60A3D">
        <w:rPr>
          <w:lang w:val="fr-FR"/>
        </w:rPr>
        <w:t xml:space="preserve">la </w:t>
      </w:r>
      <w:r w:rsidR="000D7863" w:rsidRPr="00F60A3D">
        <w:rPr>
          <w:lang w:val="fr-FR"/>
        </w:rPr>
        <w:t>sé</w:t>
      </w:r>
      <w:r w:rsidR="007F6966" w:rsidRPr="00F60A3D">
        <w:rPr>
          <w:lang w:val="fr-FR"/>
        </w:rPr>
        <w:t xml:space="preserve">curité </w:t>
      </w:r>
      <w:r w:rsidR="000D7863" w:rsidRPr="00F60A3D">
        <w:rPr>
          <w:lang w:val="fr-FR"/>
        </w:rPr>
        <w:t>et</w:t>
      </w:r>
      <w:r w:rsidR="000978D1" w:rsidRPr="00F60A3D">
        <w:rPr>
          <w:lang w:val="fr-FR"/>
        </w:rPr>
        <w:t xml:space="preserve"> les</w:t>
      </w:r>
      <w:r w:rsidR="000D7863" w:rsidRPr="00F60A3D">
        <w:rPr>
          <w:lang w:val="fr-FR"/>
        </w:rPr>
        <w:t xml:space="preserve"> prisons, </w:t>
      </w:r>
      <w:r w:rsidR="000978D1" w:rsidRPr="00F60A3D">
        <w:rPr>
          <w:lang w:val="fr-FR"/>
        </w:rPr>
        <w:t xml:space="preserve">la </w:t>
      </w:r>
      <w:r w:rsidR="000D7863" w:rsidRPr="00F60A3D">
        <w:rPr>
          <w:lang w:val="fr-FR"/>
        </w:rPr>
        <w:t xml:space="preserve">communication et </w:t>
      </w:r>
      <w:r w:rsidR="005C2333" w:rsidRPr="00F60A3D">
        <w:rPr>
          <w:lang w:val="fr-FR"/>
        </w:rPr>
        <w:t xml:space="preserve">les </w:t>
      </w:r>
      <w:r w:rsidR="007F6966" w:rsidRPr="00F60A3D">
        <w:rPr>
          <w:lang w:val="fr-FR"/>
        </w:rPr>
        <w:t>mé</w:t>
      </w:r>
      <w:r w:rsidR="000D7863" w:rsidRPr="00F60A3D">
        <w:rPr>
          <w:lang w:val="fr-FR"/>
        </w:rPr>
        <w:t xml:space="preserve">dias. </w:t>
      </w:r>
      <w:r w:rsidR="00371D37" w:rsidRPr="00F60A3D">
        <w:rPr>
          <w:lang w:val="fr-FR"/>
        </w:rPr>
        <w:t>Des activités de sensibilisa</w:t>
      </w:r>
      <w:r w:rsidR="007F6966" w:rsidRPr="00F60A3D">
        <w:rPr>
          <w:lang w:val="fr-FR"/>
        </w:rPr>
        <w:t>t</w:t>
      </w:r>
      <w:r w:rsidR="00371D37" w:rsidRPr="00F60A3D">
        <w:rPr>
          <w:lang w:val="fr-FR"/>
        </w:rPr>
        <w:t>i</w:t>
      </w:r>
      <w:r w:rsidR="007F6966" w:rsidRPr="00F60A3D">
        <w:rPr>
          <w:lang w:val="fr-FR"/>
        </w:rPr>
        <w:t>on et</w:t>
      </w:r>
      <w:r w:rsidR="00907015" w:rsidRPr="00F60A3D">
        <w:rPr>
          <w:lang w:val="fr-FR"/>
        </w:rPr>
        <w:t xml:space="preserve"> de formation – destinées au</w:t>
      </w:r>
      <w:r w:rsidR="007F6966" w:rsidRPr="00F60A3D">
        <w:rPr>
          <w:lang w:val="fr-FR"/>
        </w:rPr>
        <w:t xml:space="preserve"> person</w:t>
      </w:r>
      <w:r w:rsidR="00907015" w:rsidRPr="00F60A3D">
        <w:rPr>
          <w:lang w:val="fr-FR"/>
        </w:rPr>
        <w:t>nel de direction des écoles, aux agences pour l</w:t>
      </w:r>
      <w:r w:rsidR="00B17AE1" w:rsidRPr="00F60A3D">
        <w:rPr>
          <w:lang w:val="fr-FR"/>
        </w:rPr>
        <w:t>’</w:t>
      </w:r>
      <w:r w:rsidR="00907015" w:rsidRPr="00F60A3D">
        <w:rPr>
          <w:lang w:val="fr-FR"/>
        </w:rPr>
        <w:t>emploi et aux</w:t>
      </w:r>
      <w:r w:rsidR="007F6966" w:rsidRPr="00F60A3D">
        <w:rPr>
          <w:lang w:val="fr-FR"/>
        </w:rPr>
        <w:t xml:space="preserve"> services du maintien de l</w:t>
      </w:r>
      <w:r w:rsidR="00B17AE1" w:rsidRPr="00F60A3D">
        <w:rPr>
          <w:lang w:val="fr-FR"/>
        </w:rPr>
        <w:t>’</w:t>
      </w:r>
      <w:r w:rsidR="007F6966" w:rsidRPr="00F60A3D">
        <w:rPr>
          <w:lang w:val="fr-FR"/>
        </w:rPr>
        <w:t>ordre</w:t>
      </w:r>
      <w:r w:rsidR="00D26282" w:rsidRPr="00F60A3D">
        <w:rPr>
          <w:lang w:val="fr-FR"/>
        </w:rPr>
        <w:t xml:space="preserve"> – </w:t>
      </w:r>
      <w:r w:rsidR="007F6966" w:rsidRPr="00F60A3D">
        <w:rPr>
          <w:lang w:val="fr-FR"/>
        </w:rPr>
        <w:t xml:space="preserve">sont </w:t>
      </w:r>
      <w:r w:rsidR="001B6FF0" w:rsidRPr="00F60A3D">
        <w:rPr>
          <w:lang w:val="fr-FR"/>
        </w:rPr>
        <w:t>proposé</w:t>
      </w:r>
      <w:r w:rsidR="00371D37" w:rsidRPr="00F60A3D">
        <w:rPr>
          <w:lang w:val="fr-FR"/>
        </w:rPr>
        <w:t>e</w:t>
      </w:r>
      <w:r w:rsidR="007F6966" w:rsidRPr="00F60A3D">
        <w:rPr>
          <w:lang w:val="fr-FR"/>
        </w:rPr>
        <w:t xml:space="preserve">s dans le cadre de colloques nationaux et de projets pilotes. </w:t>
      </w:r>
    </w:p>
    <w:p w:rsidR="007F6966" w:rsidRPr="00F60A3D" w:rsidRDefault="00224935" w:rsidP="004365E0">
      <w:pPr>
        <w:pStyle w:val="SingleTxtG"/>
        <w:rPr>
          <w:lang w:val="fr-FR"/>
        </w:rPr>
      </w:pPr>
      <w:r w:rsidRPr="00F60A3D">
        <w:rPr>
          <w:lang w:val="fr-FR"/>
        </w:rPr>
        <w:t>212.</w:t>
      </w:r>
      <w:r w:rsidR="001D2CCC" w:rsidRPr="00F60A3D">
        <w:rPr>
          <w:lang w:val="fr-FR"/>
        </w:rPr>
        <w:tab/>
      </w:r>
      <w:r w:rsidR="00D22203" w:rsidRPr="00F60A3D">
        <w:rPr>
          <w:lang w:val="fr-FR"/>
        </w:rPr>
        <w:t>Pour ce qui est du</w:t>
      </w:r>
      <w:r w:rsidR="007F6966" w:rsidRPr="00F60A3D">
        <w:rPr>
          <w:lang w:val="fr-FR"/>
        </w:rPr>
        <w:t xml:space="preserve"> Plan</w:t>
      </w:r>
      <w:r w:rsidR="00930DAF" w:rsidRPr="00F60A3D">
        <w:rPr>
          <w:lang w:val="fr-FR"/>
        </w:rPr>
        <w:t xml:space="preserve"> </w:t>
      </w:r>
      <w:r w:rsidR="00E924D7" w:rsidRPr="00F60A3D">
        <w:rPr>
          <w:lang w:val="fr-FR"/>
        </w:rPr>
        <w:t>national d</w:t>
      </w:r>
      <w:r w:rsidR="00B17AE1" w:rsidRPr="00F60A3D">
        <w:rPr>
          <w:lang w:val="fr-FR"/>
        </w:rPr>
        <w:t>’</w:t>
      </w:r>
      <w:r w:rsidR="00E924D7" w:rsidRPr="00F60A3D">
        <w:rPr>
          <w:lang w:val="fr-FR"/>
        </w:rPr>
        <w:t>action</w:t>
      </w:r>
      <w:r w:rsidR="00930DAF" w:rsidRPr="00F60A3D">
        <w:rPr>
          <w:lang w:val="fr-FR"/>
        </w:rPr>
        <w:t xml:space="preserve"> contre le racisme, la discrimination raciale, la xénophobie et l</w:t>
      </w:r>
      <w:r w:rsidR="00B17AE1" w:rsidRPr="00F60A3D">
        <w:rPr>
          <w:lang w:val="fr-FR"/>
        </w:rPr>
        <w:t>’</w:t>
      </w:r>
      <w:r w:rsidR="00930DAF" w:rsidRPr="00F60A3D">
        <w:rPr>
          <w:lang w:val="fr-FR"/>
        </w:rPr>
        <w:t>intolérance qui y est associée (a</w:t>
      </w:r>
      <w:r w:rsidR="00AB6FC2" w:rsidRPr="00F60A3D">
        <w:rPr>
          <w:lang w:val="fr-FR"/>
        </w:rPr>
        <w:t xml:space="preserve">pprouvé en août 2015), </w:t>
      </w:r>
      <w:r w:rsidR="00D22203" w:rsidRPr="00F60A3D">
        <w:rPr>
          <w:lang w:val="fr-FR"/>
        </w:rPr>
        <w:t xml:space="preserve">il </w:t>
      </w:r>
      <w:r w:rsidR="00AB6FC2" w:rsidRPr="00F60A3D">
        <w:rPr>
          <w:lang w:val="fr-FR"/>
        </w:rPr>
        <w:t>a pour</w:t>
      </w:r>
      <w:r w:rsidR="00930DAF" w:rsidRPr="00F60A3D">
        <w:rPr>
          <w:lang w:val="fr-FR"/>
        </w:rPr>
        <w:t xml:space="preserve"> groupe</w:t>
      </w:r>
      <w:r w:rsidR="005C2333" w:rsidRPr="00F60A3D">
        <w:rPr>
          <w:lang w:val="fr-FR"/>
        </w:rPr>
        <w:t>s</w:t>
      </w:r>
      <w:r w:rsidR="00930DAF" w:rsidRPr="00F60A3D">
        <w:rPr>
          <w:lang w:val="fr-FR"/>
        </w:rPr>
        <w:t xml:space="preserve"> cible</w:t>
      </w:r>
      <w:r w:rsidR="005C2333" w:rsidRPr="00F60A3D">
        <w:rPr>
          <w:lang w:val="fr-FR"/>
        </w:rPr>
        <w:t>s</w:t>
      </w:r>
      <w:r w:rsidR="00AB6FC2" w:rsidRPr="00F60A3D">
        <w:rPr>
          <w:lang w:val="fr-FR"/>
        </w:rPr>
        <w:t xml:space="preserve"> et pour</w:t>
      </w:r>
      <w:r w:rsidR="00930DAF" w:rsidRPr="00F60A3D">
        <w:rPr>
          <w:lang w:val="fr-FR"/>
        </w:rPr>
        <w:t xml:space="preserve"> </w:t>
      </w:r>
      <w:r w:rsidR="00AB6FC2" w:rsidRPr="00F60A3D">
        <w:rPr>
          <w:lang w:val="fr-FR"/>
        </w:rPr>
        <w:t>domaine d</w:t>
      </w:r>
      <w:r w:rsidR="00B17AE1" w:rsidRPr="00F60A3D">
        <w:rPr>
          <w:lang w:val="fr-FR"/>
        </w:rPr>
        <w:t>’</w:t>
      </w:r>
      <w:r w:rsidR="00AB6FC2" w:rsidRPr="00F60A3D">
        <w:rPr>
          <w:lang w:val="fr-FR"/>
        </w:rPr>
        <w:t>application</w:t>
      </w:r>
      <w:r w:rsidR="00731982" w:rsidRPr="00F60A3D">
        <w:rPr>
          <w:lang w:val="fr-FR"/>
        </w:rPr>
        <w:t xml:space="preserve"> </w:t>
      </w:r>
      <w:r w:rsidR="00930DAF" w:rsidRPr="00F60A3D">
        <w:rPr>
          <w:lang w:val="fr-FR"/>
        </w:rPr>
        <w:t>à la fois les ressortissants étrangers qui vivent en Italie et les re</w:t>
      </w:r>
      <w:r w:rsidR="00646D9B" w:rsidRPr="00F60A3D">
        <w:rPr>
          <w:lang w:val="fr-FR"/>
        </w:rPr>
        <w:t>s</w:t>
      </w:r>
      <w:r w:rsidR="00930DAF" w:rsidRPr="00F60A3D">
        <w:rPr>
          <w:lang w:val="fr-FR"/>
        </w:rPr>
        <w:t>sortissants italiens d</w:t>
      </w:r>
      <w:r w:rsidR="00B17AE1" w:rsidRPr="00F60A3D">
        <w:rPr>
          <w:lang w:val="fr-FR"/>
        </w:rPr>
        <w:t>’</w:t>
      </w:r>
      <w:r w:rsidR="00930DAF" w:rsidRPr="00F60A3D">
        <w:rPr>
          <w:lang w:val="fr-FR"/>
        </w:rPr>
        <w:t>origine étrangère, y compris ceux appartenant à des minorités religieuses, ethniques et linguistiques.</w:t>
      </w:r>
      <w:r w:rsidR="00731982" w:rsidRPr="00F60A3D">
        <w:rPr>
          <w:lang w:val="fr-FR"/>
        </w:rPr>
        <w:t xml:space="preserve"> </w:t>
      </w:r>
      <w:r w:rsidR="00930DAF" w:rsidRPr="00F60A3D">
        <w:rPr>
          <w:lang w:val="fr-FR"/>
        </w:rPr>
        <w:t>D</w:t>
      </w:r>
      <w:r w:rsidR="00B17AE1" w:rsidRPr="00F60A3D">
        <w:rPr>
          <w:lang w:val="fr-FR"/>
        </w:rPr>
        <w:t>’</w:t>
      </w:r>
      <w:r w:rsidR="00930DAF" w:rsidRPr="00F60A3D">
        <w:rPr>
          <w:lang w:val="fr-FR"/>
        </w:rPr>
        <w:t>un point de vue concret, il inc</w:t>
      </w:r>
      <w:r w:rsidR="00646D9B" w:rsidRPr="00F60A3D">
        <w:rPr>
          <w:lang w:val="fr-FR"/>
        </w:rPr>
        <w:t>lut huit domaines thématiques: t</w:t>
      </w:r>
      <w:r w:rsidR="00930DAF" w:rsidRPr="00F60A3D">
        <w:rPr>
          <w:lang w:val="fr-FR"/>
        </w:rPr>
        <w:t>ravail et emploi; logement; édu</w:t>
      </w:r>
      <w:r w:rsidR="004D615D" w:rsidRPr="00F60A3D">
        <w:rPr>
          <w:lang w:val="fr-FR"/>
        </w:rPr>
        <w:t>cation; santé; contacts avec l</w:t>
      </w:r>
      <w:r w:rsidR="00B17AE1" w:rsidRPr="00F60A3D">
        <w:rPr>
          <w:lang w:val="fr-FR"/>
        </w:rPr>
        <w:t>’</w:t>
      </w:r>
      <w:r w:rsidR="00FB131A" w:rsidRPr="00F60A3D">
        <w:rPr>
          <w:lang w:val="fr-FR"/>
        </w:rPr>
        <w:t>administration; maintien</w:t>
      </w:r>
      <w:r w:rsidR="00930DAF" w:rsidRPr="00F60A3D">
        <w:rPr>
          <w:lang w:val="fr-FR"/>
        </w:rPr>
        <w:t xml:space="preserve"> de l</w:t>
      </w:r>
      <w:r w:rsidR="00B17AE1" w:rsidRPr="00F60A3D">
        <w:rPr>
          <w:lang w:val="fr-FR"/>
        </w:rPr>
        <w:t>’</w:t>
      </w:r>
      <w:r w:rsidR="00930DAF" w:rsidRPr="00F60A3D">
        <w:rPr>
          <w:lang w:val="fr-FR"/>
        </w:rPr>
        <w:t xml:space="preserve">ordre; sports; médias et communications. </w:t>
      </w:r>
    </w:p>
    <w:p w:rsidR="00B17AE1" w:rsidRPr="00F60A3D" w:rsidRDefault="008736B9" w:rsidP="004365E0">
      <w:pPr>
        <w:pStyle w:val="SingleTxtG"/>
        <w:rPr>
          <w:lang w:val="fr-FR"/>
        </w:rPr>
      </w:pPr>
      <w:r w:rsidRPr="00F60A3D">
        <w:rPr>
          <w:lang w:val="fr-FR"/>
        </w:rPr>
        <w:t>213</w:t>
      </w:r>
      <w:r w:rsidR="00FB131A" w:rsidRPr="00F60A3D">
        <w:rPr>
          <w:lang w:val="fr-FR"/>
        </w:rPr>
        <w:t>.</w:t>
      </w:r>
      <w:r w:rsidR="00FB131A" w:rsidRPr="00F60A3D">
        <w:rPr>
          <w:lang w:val="fr-FR"/>
        </w:rPr>
        <w:tab/>
        <w:t>Contrairement aux C</w:t>
      </w:r>
      <w:r w:rsidR="00812C6E" w:rsidRPr="00F60A3D">
        <w:rPr>
          <w:lang w:val="fr-FR"/>
        </w:rPr>
        <w:t>onseillers pour l</w:t>
      </w:r>
      <w:r w:rsidR="00B17AE1" w:rsidRPr="00F60A3D">
        <w:rPr>
          <w:lang w:val="fr-FR"/>
        </w:rPr>
        <w:t>’</w:t>
      </w:r>
      <w:r w:rsidR="00812C6E" w:rsidRPr="00F60A3D">
        <w:rPr>
          <w:lang w:val="fr-FR"/>
        </w:rPr>
        <w:t>égalité des sex</w:t>
      </w:r>
      <w:r w:rsidR="004E22A6" w:rsidRPr="00F60A3D">
        <w:rPr>
          <w:lang w:val="fr-FR"/>
        </w:rPr>
        <w:t>es (voir paragraphe</w:t>
      </w:r>
      <w:r w:rsidR="004365E0" w:rsidRPr="00F60A3D">
        <w:rPr>
          <w:lang w:val="fr-FR"/>
        </w:rPr>
        <w:t> </w:t>
      </w:r>
      <w:r w:rsidR="004E22A6" w:rsidRPr="00F60A3D">
        <w:rPr>
          <w:lang w:val="fr-FR"/>
        </w:rPr>
        <w:t>157 ci-dess</w:t>
      </w:r>
      <w:r w:rsidR="00E467EF" w:rsidRPr="00F60A3D">
        <w:rPr>
          <w:lang w:val="fr-FR"/>
        </w:rPr>
        <w:t>o</w:t>
      </w:r>
      <w:r w:rsidR="004E22A6" w:rsidRPr="00F60A3D">
        <w:rPr>
          <w:lang w:val="fr-FR"/>
        </w:rPr>
        <w:t>us</w:t>
      </w:r>
      <w:r w:rsidR="00812C6E" w:rsidRPr="00F60A3D">
        <w:rPr>
          <w:lang w:val="fr-FR"/>
        </w:rPr>
        <w:t>), l</w:t>
      </w:r>
      <w:r w:rsidR="00674B38" w:rsidRPr="00F60A3D">
        <w:rPr>
          <w:lang w:val="fr-FR"/>
        </w:rPr>
        <w:t>e Bureau national de lutte contre la discrimination raciale n</w:t>
      </w:r>
      <w:r w:rsidR="00B17AE1" w:rsidRPr="00F60A3D">
        <w:rPr>
          <w:lang w:val="fr-FR"/>
        </w:rPr>
        <w:t>’</w:t>
      </w:r>
      <w:r w:rsidR="00674B38" w:rsidRPr="00F60A3D">
        <w:rPr>
          <w:lang w:val="fr-FR"/>
        </w:rPr>
        <w:t>est pas autorisé à engager</w:t>
      </w:r>
      <w:r w:rsidR="00FB131A" w:rsidRPr="00F60A3D">
        <w:rPr>
          <w:lang w:val="fr-FR"/>
        </w:rPr>
        <w:t xml:space="preserve"> des poursuites</w:t>
      </w:r>
      <w:r w:rsidR="00812C6E" w:rsidRPr="00F60A3D">
        <w:rPr>
          <w:lang w:val="fr-FR"/>
        </w:rPr>
        <w:t>. Il offre toutefois un</w:t>
      </w:r>
      <w:r w:rsidR="00E072BA" w:rsidRPr="00F60A3D">
        <w:rPr>
          <w:lang w:val="fr-FR"/>
        </w:rPr>
        <w:t xml:space="preserve"> soutien</w:t>
      </w:r>
      <w:r w:rsidR="00AB0B88" w:rsidRPr="00F60A3D">
        <w:rPr>
          <w:lang w:val="fr-FR"/>
        </w:rPr>
        <w:t xml:space="preserve"> juridique aux ONG </w:t>
      </w:r>
      <w:r w:rsidR="00FB131A" w:rsidRPr="00F60A3D">
        <w:rPr>
          <w:lang w:val="fr-FR"/>
        </w:rPr>
        <w:t>qualifi</w:t>
      </w:r>
      <w:r w:rsidR="002F5160" w:rsidRPr="00F60A3D">
        <w:rPr>
          <w:lang w:val="fr-FR"/>
        </w:rPr>
        <w:t>é</w:t>
      </w:r>
      <w:r w:rsidR="00FB131A" w:rsidRPr="00F60A3D">
        <w:rPr>
          <w:lang w:val="fr-FR"/>
        </w:rPr>
        <w:t>es pour agir</w:t>
      </w:r>
      <w:r w:rsidR="00812C6E" w:rsidRPr="00F60A3D">
        <w:rPr>
          <w:lang w:val="fr-FR"/>
        </w:rPr>
        <w:t xml:space="preserve"> </w:t>
      </w:r>
      <w:r w:rsidR="002F5160" w:rsidRPr="00F60A3D">
        <w:rPr>
          <w:lang w:val="fr-FR"/>
        </w:rPr>
        <w:t xml:space="preserve">et </w:t>
      </w:r>
      <w:r w:rsidR="00FB131A" w:rsidRPr="00F60A3D">
        <w:rPr>
          <w:lang w:val="fr-FR"/>
        </w:rPr>
        <w:t>inscrites à</w:t>
      </w:r>
      <w:r w:rsidR="00E072BA" w:rsidRPr="00F60A3D">
        <w:rPr>
          <w:lang w:val="fr-FR"/>
        </w:rPr>
        <w:t xml:space="preserve"> son regis</w:t>
      </w:r>
      <w:r w:rsidR="00674B38" w:rsidRPr="00F60A3D">
        <w:rPr>
          <w:lang w:val="fr-FR"/>
        </w:rPr>
        <w:t>tre. À cet égard, il</w:t>
      </w:r>
      <w:r w:rsidR="00FB131A" w:rsidRPr="00F60A3D">
        <w:rPr>
          <w:lang w:val="fr-FR"/>
        </w:rPr>
        <w:t xml:space="preserve"> délivre</w:t>
      </w:r>
      <w:r w:rsidR="00E072BA" w:rsidRPr="00F60A3D">
        <w:rPr>
          <w:lang w:val="fr-FR"/>
        </w:rPr>
        <w:t xml:space="preserve"> systématiquement des avis </w:t>
      </w:r>
      <w:r w:rsidR="00FB131A" w:rsidRPr="00F60A3D">
        <w:rPr>
          <w:lang w:val="fr-FR"/>
        </w:rPr>
        <w:t xml:space="preserve">motivés </w:t>
      </w:r>
      <w:r w:rsidR="00E072BA" w:rsidRPr="00F60A3D">
        <w:rPr>
          <w:lang w:val="fr-FR"/>
        </w:rPr>
        <w:t>aux victimes et aux associations</w:t>
      </w:r>
      <w:r w:rsidR="00FB131A" w:rsidRPr="00F60A3D">
        <w:rPr>
          <w:lang w:val="fr-FR"/>
        </w:rPr>
        <w:t>, tout en mett</w:t>
      </w:r>
      <w:r w:rsidR="00E072BA" w:rsidRPr="00F60A3D">
        <w:rPr>
          <w:lang w:val="fr-FR"/>
        </w:rPr>
        <w:t>ant à jo</w:t>
      </w:r>
      <w:r w:rsidR="00FB131A" w:rsidRPr="00F60A3D">
        <w:rPr>
          <w:lang w:val="fr-FR"/>
        </w:rPr>
        <w:t>ur constamment</w:t>
      </w:r>
      <w:r w:rsidR="00E072BA" w:rsidRPr="00F60A3D">
        <w:rPr>
          <w:lang w:val="fr-FR"/>
        </w:rPr>
        <w:t xml:space="preserve"> la</w:t>
      </w:r>
      <w:r w:rsidR="00FB131A" w:rsidRPr="00F60A3D">
        <w:rPr>
          <w:lang w:val="fr-FR"/>
        </w:rPr>
        <w:t xml:space="preserve"> list</w:t>
      </w:r>
      <w:r w:rsidR="00366803" w:rsidRPr="00F60A3D">
        <w:rPr>
          <w:lang w:val="fr-FR"/>
        </w:rPr>
        <w:t>e des associations</w:t>
      </w:r>
      <w:r w:rsidR="003A483D" w:rsidRPr="00F60A3D">
        <w:rPr>
          <w:lang w:val="fr-FR"/>
        </w:rPr>
        <w:t xml:space="preserve"> y afférent</w:t>
      </w:r>
      <w:r w:rsidR="00E072BA" w:rsidRPr="00F60A3D">
        <w:rPr>
          <w:lang w:val="fr-FR"/>
        </w:rPr>
        <w:t>, conformément à l</w:t>
      </w:r>
      <w:r w:rsidR="00B17AE1" w:rsidRPr="00F60A3D">
        <w:rPr>
          <w:lang w:val="fr-FR"/>
        </w:rPr>
        <w:t>’</w:t>
      </w:r>
      <w:r w:rsidR="00D26282" w:rsidRPr="00F60A3D">
        <w:rPr>
          <w:lang w:val="fr-FR"/>
        </w:rPr>
        <w:t>article </w:t>
      </w:r>
      <w:r w:rsidR="00E072BA" w:rsidRPr="00F60A3D">
        <w:rPr>
          <w:lang w:val="fr-FR"/>
        </w:rPr>
        <w:t>5 du décret légis</w:t>
      </w:r>
      <w:r w:rsidR="00FB131A" w:rsidRPr="00F60A3D">
        <w:rPr>
          <w:lang w:val="fr-FR"/>
        </w:rPr>
        <w:t xml:space="preserve">latif </w:t>
      </w:r>
      <w:r w:rsidR="00B17AE1" w:rsidRPr="00F60A3D">
        <w:rPr>
          <w:lang w:val="fr-FR"/>
        </w:rPr>
        <w:t>n</w:t>
      </w:r>
      <w:r w:rsidR="00B17AE1" w:rsidRPr="00F60A3D">
        <w:rPr>
          <w:vertAlign w:val="superscript"/>
          <w:lang w:val="fr-FR"/>
        </w:rPr>
        <w:t>o</w:t>
      </w:r>
      <w:r w:rsidR="00B17AE1" w:rsidRPr="00F60A3D">
        <w:rPr>
          <w:lang w:val="fr-FR"/>
        </w:rPr>
        <w:t> </w:t>
      </w:r>
      <w:r w:rsidR="00FB131A" w:rsidRPr="00F60A3D">
        <w:rPr>
          <w:lang w:val="fr-FR"/>
        </w:rPr>
        <w:t>215/2003. Cette liste compte aujourd</w:t>
      </w:r>
      <w:r w:rsidR="00B17AE1" w:rsidRPr="00F60A3D">
        <w:rPr>
          <w:lang w:val="fr-FR"/>
        </w:rPr>
        <w:t>’</w:t>
      </w:r>
      <w:r w:rsidR="00FB131A" w:rsidRPr="00F60A3D">
        <w:rPr>
          <w:lang w:val="fr-FR"/>
        </w:rPr>
        <w:t>hui</w:t>
      </w:r>
      <w:r w:rsidR="00E072BA" w:rsidRPr="00F60A3D">
        <w:rPr>
          <w:lang w:val="fr-FR"/>
        </w:rPr>
        <w:t xml:space="preserve"> plus de 380</w:t>
      </w:r>
      <w:r w:rsidR="004365E0" w:rsidRPr="00F60A3D">
        <w:rPr>
          <w:lang w:val="fr-FR"/>
        </w:rPr>
        <w:t> </w:t>
      </w:r>
      <w:r w:rsidR="00E072BA" w:rsidRPr="00F60A3D">
        <w:rPr>
          <w:lang w:val="fr-FR"/>
        </w:rPr>
        <w:t xml:space="preserve">associations. </w:t>
      </w:r>
    </w:p>
    <w:p w:rsidR="00C54602" w:rsidRPr="00F60A3D" w:rsidRDefault="004365E0" w:rsidP="004365E0">
      <w:pPr>
        <w:pStyle w:val="SingleTxtG"/>
        <w:rPr>
          <w:lang w:val="fr-FR"/>
        </w:rPr>
      </w:pPr>
      <w:r w:rsidRPr="00F60A3D">
        <w:rPr>
          <w:lang w:val="fr-FR"/>
        </w:rPr>
        <w:t>214.</w:t>
      </w:r>
      <w:r w:rsidRPr="00F60A3D">
        <w:rPr>
          <w:lang w:val="fr-FR"/>
        </w:rPr>
        <w:tab/>
      </w:r>
      <w:r w:rsidR="0037034D" w:rsidRPr="00F60A3D">
        <w:rPr>
          <w:lang w:val="fr-FR"/>
        </w:rPr>
        <w:t xml:space="preserve">Selon le Centre de contact du Bureau national de lutte contre la discrimination raciale, </w:t>
      </w:r>
      <w:r w:rsidR="00726042" w:rsidRPr="00F60A3D">
        <w:rPr>
          <w:lang w:val="fr-FR"/>
        </w:rPr>
        <w:t xml:space="preserve">en 2015, </w:t>
      </w:r>
      <w:r w:rsidR="0037034D" w:rsidRPr="00F60A3D">
        <w:rPr>
          <w:lang w:val="fr-FR"/>
        </w:rPr>
        <w:t>la majorité</w:t>
      </w:r>
      <w:r w:rsidR="00726042" w:rsidRPr="00F60A3D">
        <w:rPr>
          <w:lang w:val="fr-FR"/>
        </w:rPr>
        <w:t xml:space="preserve"> des signalements (78</w:t>
      </w:r>
      <w:r w:rsidR="00B17AE1" w:rsidRPr="00F60A3D">
        <w:rPr>
          <w:lang w:val="fr-FR"/>
        </w:rPr>
        <w:t> %</w:t>
      </w:r>
      <w:r w:rsidR="00726042" w:rsidRPr="00F60A3D">
        <w:rPr>
          <w:lang w:val="fr-FR"/>
        </w:rPr>
        <w:t xml:space="preserve">) </w:t>
      </w:r>
      <w:r w:rsidR="0037034D" w:rsidRPr="00F60A3D">
        <w:rPr>
          <w:lang w:val="fr-FR"/>
        </w:rPr>
        <w:t>relatifs aux Roms se rapportaient aux propos haineux tenus en ligne/dans les médias</w:t>
      </w:r>
      <w:r w:rsidR="00B114D8" w:rsidRPr="00F60A3D">
        <w:rPr>
          <w:rStyle w:val="FootnoteReference"/>
          <w:lang w:val="fr-FR"/>
        </w:rPr>
        <w:footnoteReference w:id="44"/>
      </w:r>
      <w:r w:rsidR="0037034D" w:rsidRPr="00F60A3D">
        <w:rPr>
          <w:lang w:val="fr-FR"/>
        </w:rPr>
        <w:t>.</w:t>
      </w:r>
      <w:r w:rsidR="00DB5D9E" w:rsidRPr="00F60A3D">
        <w:rPr>
          <w:lang w:val="fr-FR"/>
        </w:rPr>
        <w:t xml:space="preserve"> </w:t>
      </w:r>
      <w:r w:rsidR="00674B38" w:rsidRPr="00F60A3D">
        <w:rPr>
          <w:lang w:val="fr-FR"/>
        </w:rPr>
        <w:t>Le Bureau</w:t>
      </w:r>
      <w:r w:rsidR="00837C66" w:rsidRPr="00F60A3D">
        <w:rPr>
          <w:lang w:val="fr-FR"/>
        </w:rPr>
        <w:t xml:space="preserve"> travaille avec les di</w:t>
      </w:r>
      <w:r w:rsidR="00C82EBC" w:rsidRPr="00F60A3D">
        <w:rPr>
          <w:lang w:val="fr-FR"/>
        </w:rPr>
        <w:t>fférentes parties prenantes à</w:t>
      </w:r>
      <w:r w:rsidR="00837C66" w:rsidRPr="00F60A3D">
        <w:rPr>
          <w:lang w:val="fr-FR"/>
        </w:rPr>
        <w:t xml:space="preserve"> améliorer la sensibilisation à la discrimination, en particulier </w:t>
      </w:r>
      <w:r w:rsidR="00726042" w:rsidRPr="00F60A3D">
        <w:rPr>
          <w:lang w:val="fr-FR"/>
        </w:rPr>
        <w:t>auprès des</w:t>
      </w:r>
      <w:r w:rsidR="00837C66" w:rsidRPr="00F60A3D">
        <w:rPr>
          <w:lang w:val="fr-FR"/>
        </w:rPr>
        <w:t xml:space="preserve"> autorités locales. Plus ré</w:t>
      </w:r>
      <w:r w:rsidR="00674B38" w:rsidRPr="00F60A3D">
        <w:rPr>
          <w:lang w:val="fr-FR"/>
        </w:rPr>
        <w:t>cemment, en janvier 2016, il</w:t>
      </w:r>
      <w:r w:rsidR="00837C66" w:rsidRPr="00F60A3D">
        <w:rPr>
          <w:lang w:val="fr-FR"/>
        </w:rPr>
        <w:t xml:space="preserve"> a</w:t>
      </w:r>
      <w:r w:rsidR="00C82EBC" w:rsidRPr="00F60A3D">
        <w:rPr>
          <w:lang w:val="fr-FR"/>
        </w:rPr>
        <w:t xml:space="preserve"> lancé l</w:t>
      </w:r>
      <w:r w:rsidR="00B17AE1" w:rsidRPr="00F60A3D">
        <w:rPr>
          <w:lang w:val="fr-FR"/>
        </w:rPr>
        <w:t>’</w:t>
      </w:r>
      <w:r w:rsidR="00C82EBC" w:rsidRPr="00F60A3D">
        <w:rPr>
          <w:lang w:val="fr-FR"/>
        </w:rPr>
        <w:t>Observatoire sur les médias et l</w:t>
      </w:r>
      <w:r w:rsidR="00B17AE1" w:rsidRPr="00F60A3D">
        <w:rPr>
          <w:lang w:val="fr-FR"/>
        </w:rPr>
        <w:t>’</w:t>
      </w:r>
      <w:r w:rsidR="00C82EBC" w:rsidRPr="00F60A3D">
        <w:rPr>
          <w:lang w:val="fr-FR"/>
        </w:rPr>
        <w:t>I</w:t>
      </w:r>
      <w:r w:rsidR="00837C66" w:rsidRPr="00F60A3D">
        <w:rPr>
          <w:lang w:val="fr-FR"/>
        </w:rPr>
        <w:t>nternet</w:t>
      </w:r>
      <w:r w:rsidR="00C82EBC" w:rsidRPr="00F60A3D">
        <w:rPr>
          <w:lang w:val="fr-FR"/>
        </w:rPr>
        <w:t>,</w:t>
      </w:r>
      <w:r w:rsidR="00837C66" w:rsidRPr="00F60A3D">
        <w:rPr>
          <w:lang w:val="fr-FR"/>
        </w:rPr>
        <w:t xml:space="preserve"> afin de surveiller de man</w:t>
      </w:r>
      <w:r w:rsidR="00C82EBC" w:rsidRPr="00F60A3D">
        <w:rPr>
          <w:lang w:val="fr-FR"/>
        </w:rPr>
        <w:t>ière globale les cas de propos</w:t>
      </w:r>
      <w:r w:rsidR="00963016" w:rsidRPr="00F60A3D">
        <w:rPr>
          <w:lang w:val="fr-FR"/>
        </w:rPr>
        <w:t xml:space="preserve"> haineux</w:t>
      </w:r>
      <w:r w:rsidR="00837C66" w:rsidRPr="00F60A3D">
        <w:rPr>
          <w:lang w:val="fr-FR"/>
        </w:rPr>
        <w:t xml:space="preserve"> </w:t>
      </w:r>
      <w:r w:rsidR="00963016" w:rsidRPr="00F60A3D">
        <w:rPr>
          <w:lang w:val="fr-FR"/>
        </w:rPr>
        <w:t xml:space="preserve">tenus, </w:t>
      </w:r>
      <w:r w:rsidR="00837C66" w:rsidRPr="00F60A3D">
        <w:rPr>
          <w:lang w:val="fr-FR"/>
        </w:rPr>
        <w:t>notamment en ligne.</w:t>
      </w:r>
      <w:r w:rsidR="00731982" w:rsidRPr="00F60A3D">
        <w:rPr>
          <w:lang w:val="fr-FR"/>
        </w:rPr>
        <w:t xml:space="preserve"> </w:t>
      </w:r>
    </w:p>
    <w:p w:rsidR="00F90457" w:rsidRPr="00F60A3D" w:rsidRDefault="008736B9" w:rsidP="005063FC">
      <w:pPr>
        <w:pStyle w:val="SingleTxtG"/>
        <w:rPr>
          <w:lang w:val="fr-FR"/>
        </w:rPr>
      </w:pPr>
      <w:r w:rsidRPr="00F60A3D">
        <w:rPr>
          <w:lang w:val="fr-FR"/>
        </w:rPr>
        <w:t>21</w:t>
      </w:r>
      <w:r w:rsidR="00DB5D9E" w:rsidRPr="00F60A3D">
        <w:rPr>
          <w:lang w:val="fr-FR"/>
        </w:rPr>
        <w:t>5.</w:t>
      </w:r>
      <w:r w:rsidR="00DB5D9E" w:rsidRPr="00F60A3D">
        <w:rPr>
          <w:lang w:val="fr-FR"/>
        </w:rPr>
        <w:tab/>
      </w:r>
      <w:r w:rsidR="004D10A3" w:rsidRPr="00F60A3D">
        <w:rPr>
          <w:lang w:val="fr-FR"/>
        </w:rPr>
        <w:t>C</w:t>
      </w:r>
      <w:r w:rsidR="009D4508" w:rsidRPr="00F60A3D">
        <w:rPr>
          <w:lang w:val="fr-FR"/>
        </w:rPr>
        <w:t>réé en 2010</w:t>
      </w:r>
      <w:r w:rsidR="00731982" w:rsidRPr="00F60A3D">
        <w:rPr>
          <w:lang w:val="fr-FR"/>
        </w:rPr>
        <w:t xml:space="preserve"> </w:t>
      </w:r>
      <w:r w:rsidR="00837C66" w:rsidRPr="00F60A3D">
        <w:rPr>
          <w:lang w:val="fr-FR"/>
        </w:rPr>
        <w:t xml:space="preserve">au </w:t>
      </w:r>
      <w:r w:rsidR="009D4508" w:rsidRPr="00F60A3D">
        <w:rPr>
          <w:lang w:val="fr-FR"/>
        </w:rPr>
        <w:t xml:space="preserve">sein du </w:t>
      </w:r>
      <w:r w:rsidR="004E22A6" w:rsidRPr="00F60A3D">
        <w:rPr>
          <w:lang w:val="fr-FR"/>
        </w:rPr>
        <w:t>Ministère de l</w:t>
      </w:r>
      <w:r w:rsidR="00B17AE1" w:rsidRPr="00F60A3D">
        <w:rPr>
          <w:lang w:val="fr-FR"/>
        </w:rPr>
        <w:t>’</w:t>
      </w:r>
      <w:r w:rsidR="004E22A6" w:rsidRPr="00F60A3D">
        <w:rPr>
          <w:lang w:val="fr-FR"/>
        </w:rPr>
        <w:t>intérieur pour</w:t>
      </w:r>
      <w:r w:rsidR="00837C66" w:rsidRPr="00F60A3D">
        <w:rPr>
          <w:lang w:val="fr-FR"/>
        </w:rPr>
        <w:t xml:space="preserve"> prévenir et</w:t>
      </w:r>
      <w:r w:rsidR="004E22A6" w:rsidRPr="00F60A3D">
        <w:rPr>
          <w:lang w:val="fr-FR"/>
        </w:rPr>
        <w:t xml:space="preserve"> </w:t>
      </w:r>
      <w:r w:rsidR="009D4508" w:rsidRPr="00F60A3D">
        <w:rPr>
          <w:lang w:val="fr-FR"/>
        </w:rPr>
        <w:t xml:space="preserve">réprimer les </w:t>
      </w:r>
      <w:r w:rsidR="00B17AE1" w:rsidRPr="00F60A3D">
        <w:rPr>
          <w:lang w:val="fr-FR"/>
        </w:rPr>
        <w:t>«</w:t>
      </w:r>
      <w:r w:rsidR="009D4508" w:rsidRPr="00F60A3D">
        <w:rPr>
          <w:lang w:val="fr-FR"/>
        </w:rPr>
        <w:t>crimes moti</w:t>
      </w:r>
      <w:r w:rsidR="004D10A3" w:rsidRPr="00F60A3D">
        <w:rPr>
          <w:lang w:val="fr-FR"/>
        </w:rPr>
        <w:t>vés par la haine</w:t>
      </w:r>
      <w:r w:rsidR="00B17AE1" w:rsidRPr="00F60A3D">
        <w:rPr>
          <w:lang w:val="fr-FR"/>
        </w:rPr>
        <w:t>»</w:t>
      </w:r>
      <w:r w:rsidR="004D10A3" w:rsidRPr="00F60A3D">
        <w:rPr>
          <w:lang w:val="fr-FR"/>
        </w:rPr>
        <w:t>, l</w:t>
      </w:r>
      <w:r w:rsidR="00B17AE1" w:rsidRPr="00F60A3D">
        <w:rPr>
          <w:lang w:val="fr-FR"/>
        </w:rPr>
        <w:t>’</w:t>
      </w:r>
      <w:r w:rsidR="004D10A3" w:rsidRPr="00F60A3D">
        <w:rPr>
          <w:lang w:val="fr-FR"/>
        </w:rPr>
        <w:t xml:space="preserve">Observatoire pour la sécurité contre les actes de discrimination </w:t>
      </w:r>
      <w:r w:rsidR="00410D4F" w:rsidRPr="00F60A3D">
        <w:rPr>
          <w:lang w:val="fr-FR"/>
        </w:rPr>
        <w:t>est chargé</w:t>
      </w:r>
      <w:r w:rsidR="00726042" w:rsidRPr="00F60A3D">
        <w:rPr>
          <w:lang w:val="fr-FR"/>
        </w:rPr>
        <w:t xml:space="preserve"> </w:t>
      </w:r>
      <w:r w:rsidR="00410D4F" w:rsidRPr="00F60A3D">
        <w:rPr>
          <w:lang w:val="fr-FR"/>
        </w:rPr>
        <w:t>d</w:t>
      </w:r>
      <w:r w:rsidR="00B17AE1" w:rsidRPr="00F60A3D">
        <w:rPr>
          <w:lang w:val="fr-FR"/>
        </w:rPr>
        <w:t>’</w:t>
      </w:r>
      <w:r w:rsidR="009D4508" w:rsidRPr="00F60A3D">
        <w:rPr>
          <w:lang w:val="fr-FR"/>
        </w:rPr>
        <w:t xml:space="preserve">inciter à signaler les actes discriminatoires </w:t>
      </w:r>
      <w:r w:rsidR="00380293" w:rsidRPr="00F60A3D">
        <w:rPr>
          <w:lang w:val="fr-FR"/>
        </w:rPr>
        <w:t xml:space="preserve">et à </w:t>
      </w:r>
      <w:r w:rsidR="00F90457" w:rsidRPr="00F60A3D">
        <w:rPr>
          <w:lang w:val="fr-FR"/>
        </w:rPr>
        <w:t xml:space="preserve">encourager </w:t>
      </w:r>
      <w:r w:rsidR="00331D1A" w:rsidRPr="00F60A3D">
        <w:rPr>
          <w:lang w:val="fr-FR"/>
        </w:rPr>
        <w:t>la pénalisation de tels actes,</w:t>
      </w:r>
      <w:r w:rsidR="009D4508" w:rsidRPr="00F60A3D">
        <w:rPr>
          <w:lang w:val="fr-FR"/>
        </w:rPr>
        <w:t xml:space="preserve"> de déclencher</w:t>
      </w:r>
      <w:r w:rsidR="00F90457" w:rsidRPr="00F60A3D">
        <w:rPr>
          <w:lang w:val="fr-FR"/>
        </w:rPr>
        <w:t xml:space="preserve"> les opérations de la police et des </w:t>
      </w:r>
      <w:r w:rsidR="00F90457" w:rsidRPr="00F60A3D">
        <w:rPr>
          <w:i/>
          <w:lang w:val="fr-FR"/>
        </w:rPr>
        <w:t>carabinieri</w:t>
      </w:r>
      <w:r w:rsidR="009D4508" w:rsidRPr="00F60A3D">
        <w:rPr>
          <w:lang w:val="fr-FR"/>
        </w:rPr>
        <w:t xml:space="preserve"> sur le ter</w:t>
      </w:r>
      <w:r w:rsidR="002F5160" w:rsidRPr="00F60A3D">
        <w:rPr>
          <w:lang w:val="fr-FR"/>
        </w:rPr>
        <w:t>r</w:t>
      </w:r>
      <w:r w:rsidR="009D4508" w:rsidRPr="00F60A3D">
        <w:rPr>
          <w:lang w:val="fr-FR"/>
        </w:rPr>
        <w:t>ain</w:t>
      </w:r>
      <w:r w:rsidR="00331D1A" w:rsidRPr="00F60A3D">
        <w:rPr>
          <w:lang w:val="fr-FR"/>
        </w:rPr>
        <w:t>,</w:t>
      </w:r>
      <w:r w:rsidR="009D4508" w:rsidRPr="00F60A3D">
        <w:rPr>
          <w:lang w:val="fr-FR"/>
        </w:rPr>
        <w:t xml:space="preserve"> d</w:t>
      </w:r>
      <w:r w:rsidR="00B17AE1" w:rsidRPr="00F60A3D">
        <w:rPr>
          <w:lang w:val="fr-FR"/>
        </w:rPr>
        <w:t>’</w:t>
      </w:r>
      <w:r w:rsidR="009D4508" w:rsidRPr="00F60A3D">
        <w:rPr>
          <w:lang w:val="fr-FR"/>
        </w:rPr>
        <w:t>intensifier les échanges d</w:t>
      </w:r>
      <w:r w:rsidR="00B17AE1" w:rsidRPr="00F60A3D">
        <w:rPr>
          <w:lang w:val="fr-FR"/>
        </w:rPr>
        <w:t>’</w:t>
      </w:r>
      <w:r w:rsidR="009D4508" w:rsidRPr="00F60A3D">
        <w:rPr>
          <w:lang w:val="fr-FR"/>
        </w:rPr>
        <w:t>informations issues de</w:t>
      </w:r>
      <w:r w:rsidR="00331D1A" w:rsidRPr="00F60A3D">
        <w:rPr>
          <w:lang w:val="fr-FR"/>
        </w:rPr>
        <w:t>s enquêtes,</w:t>
      </w:r>
      <w:r w:rsidR="009D4508" w:rsidRPr="00F60A3D">
        <w:rPr>
          <w:lang w:val="fr-FR"/>
        </w:rPr>
        <w:t xml:space="preserve"> d</w:t>
      </w:r>
      <w:r w:rsidR="00B17AE1" w:rsidRPr="00F60A3D">
        <w:rPr>
          <w:lang w:val="fr-FR"/>
        </w:rPr>
        <w:t>’</w:t>
      </w:r>
      <w:r w:rsidR="009D4508" w:rsidRPr="00F60A3D">
        <w:rPr>
          <w:lang w:val="fr-FR"/>
        </w:rPr>
        <w:t>offrir des</w:t>
      </w:r>
      <w:r w:rsidR="00F90457" w:rsidRPr="00F60A3D">
        <w:rPr>
          <w:lang w:val="fr-FR"/>
        </w:rPr>
        <w:t xml:space="preserve"> formation</w:t>
      </w:r>
      <w:r w:rsidR="009D4508" w:rsidRPr="00F60A3D">
        <w:rPr>
          <w:lang w:val="fr-FR"/>
        </w:rPr>
        <w:t>s et d</w:t>
      </w:r>
      <w:r w:rsidR="00B17AE1" w:rsidRPr="00F60A3D">
        <w:rPr>
          <w:lang w:val="fr-FR"/>
        </w:rPr>
        <w:t>’</w:t>
      </w:r>
      <w:r w:rsidR="00F90457" w:rsidRPr="00F60A3D">
        <w:rPr>
          <w:lang w:val="fr-FR"/>
        </w:rPr>
        <w:t>échange</w:t>
      </w:r>
      <w:r w:rsidR="009D4508" w:rsidRPr="00F60A3D">
        <w:rPr>
          <w:lang w:val="fr-FR"/>
        </w:rPr>
        <w:t>r l</w:t>
      </w:r>
      <w:r w:rsidR="00F90457" w:rsidRPr="00F60A3D">
        <w:rPr>
          <w:lang w:val="fr-FR"/>
        </w:rPr>
        <w:t>es meilleures p</w:t>
      </w:r>
      <w:r w:rsidR="009D4508" w:rsidRPr="00F60A3D">
        <w:rPr>
          <w:lang w:val="fr-FR"/>
        </w:rPr>
        <w:t>ratiques, y compris par l</w:t>
      </w:r>
      <w:r w:rsidR="00B17AE1" w:rsidRPr="00F60A3D">
        <w:rPr>
          <w:lang w:val="fr-FR"/>
        </w:rPr>
        <w:t>’</w:t>
      </w:r>
      <w:r w:rsidR="009D4508" w:rsidRPr="00F60A3D">
        <w:rPr>
          <w:lang w:val="fr-FR"/>
        </w:rPr>
        <w:t>intermédiaire</w:t>
      </w:r>
      <w:r w:rsidR="00F90457" w:rsidRPr="00F60A3D">
        <w:rPr>
          <w:lang w:val="fr-FR"/>
        </w:rPr>
        <w:t xml:space="preserve"> d</w:t>
      </w:r>
      <w:r w:rsidR="00B17AE1" w:rsidRPr="00F60A3D">
        <w:rPr>
          <w:lang w:val="fr-FR"/>
        </w:rPr>
        <w:t>’</w:t>
      </w:r>
      <w:r w:rsidR="00F90457" w:rsidRPr="00F60A3D">
        <w:rPr>
          <w:lang w:val="fr-FR"/>
        </w:rPr>
        <w:t xml:space="preserve">INTERPOL. </w:t>
      </w:r>
    </w:p>
    <w:p w:rsidR="005063FC" w:rsidRPr="00F60A3D" w:rsidRDefault="008736B9" w:rsidP="00A70210">
      <w:pPr>
        <w:pStyle w:val="SingleTxtG"/>
        <w:rPr>
          <w:lang w:val="fr-FR"/>
        </w:rPr>
      </w:pPr>
      <w:r w:rsidRPr="00F60A3D">
        <w:rPr>
          <w:lang w:val="fr-FR"/>
        </w:rPr>
        <w:lastRenderedPageBreak/>
        <w:t>21</w:t>
      </w:r>
      <w:r w:rsidR="009D4508" w:rsidRPr="00F60A3D">
        <w:rPr>
          <w:lang w:val="fr-FR"/>
        </w:rPr>
        <w:t xml:space="preserve">6. </w:t>
      </w:r>
      <w:r w:rsidR="009D4508" w:rsidRPr="00F60A3D">
        <w:rPr>
          <w:lang w:val="fr-FR"/>
        </w:rPr>
        <w:tab/>
        <w:t>Il convient aussi de</w:t>
      </w:r>
      <w:r w:rsidR="00F90457" w:rsidRPr="00F60A3D">
        <w:rPr>
          <w:lang w:val="fr-FR"/>
        </w:rPr>
        <w:t xml:space="preserve"> mentionner </w:t>
      </w:r>
      <w:r w:rsidR="009D4508" w:rsidRPr="00F60A3D">
        <w:rPr>
          <w:lang w:val="fr-FR"/>
        </w:rPr>
        <w:t xml:space="preserve">entre autres, </w:t>
      </w:r>
      <w:r w:rsidR="00F90457" w:rsidRPr="00F60A3D">
        <w:rPr>
          <w:lang w:val="fr-FR"/>
        </w:rPr>
        <w:t>les organes suivants:</w:t>
      </w:r>
    </w:p>
    <w:p w:rsidR="005063FC" w:rsidRPr="00F60A3D" w:rsidRDefault="004365E0" w:rsidP="004365E0">
      <w:pPr>
        <w:pStyle w:val="SingleTxtG"/>
        <w:rPr>
          <w:lang w:val="fr-FR"/>
        </w:rPr>
      </w:pPr>
      <w:r w:rsidRPr="00F60A3D">
        <w:rPr>
          <w:lang w:val="fr-FR"/>
        </w:rPr>
        <w:tab/>
      </w:r>
      <w:r w:rsidR="008736B9" w:rsidRPr="00F60A3D">
        <w:rPr>
          <w:lang w:val="fr-FR"/>
        </w:rPr>
        <w:t>a</w:t>
      </w:r>
      <w:r w:rsidR="002E680B" w:rsidRPr="00F60A3D">
        <w:rPr>
          <w:lang w:val="fr-FR"/>
        </w:rPr>
        <w:t>)</w:t>
      </w:r>
      <w:r w:rsidR="005063FC" w:rsidRPr="00F60A3D">
        <w:rPr>
          <w:lang w:val="fr-FR"/>
        </w:rPr>
        <w:tab/>
      </w:r>
      <w:r w:rsidR="00F90457" w:rsidRPr="00F60A3D">
        <w:rPr>
          <w:lang w:val="fr-FR"/>
        </w:rPr>
        <w:t>L</w:t>
      </w:r>
      <w:r w:rsidR="00B17AE1" w:rsidRPr="00F60A3D">
        <w:rPr>
          <w:lang w:val="fr-FR"/>
        </w:rPr>
        <w:t>’</w:t>
      </w:r>
      <w:r w:rsidR="00F90457" w:rsidRPr="00F60A3D">
        <w:rPr>
          <w:lang w:val="fr-FR"/>
        </w:rPr>
        <w:t>Observ</w:t>
      </w:r>
      <w:r w:rsidR="00B84057" w:rsidRPr="00F60A3D">
        <w:rPr>
          <w:lang w:val="fr-FR"/>
        </w:rPr>
        <w:t>atoire national sur la situa</w:t>
      </w:r>
      <w:r w:rsidR="006B4AF8" w:rsidRPr="00F60A3D">
        <w:rPr>
          <w:lang w:val="fr-FR"/>
        </w:rPr>
        <w:t>tion</w:t>
      </w:r>
      <w:r w:rsidR="00F90457" w:rsidRPr="00F60A3D">
        <w:rPr>
          <w:lang w:val="fr-FR"/>
        </w:rPr>
        <w:t xml:space="preserve"> des personnes handicapées</w:t>
      </w:r>
      <w:r w:rsidRPr="00F60A3D">
        <w:rPr>
          <w:bCs/>
          <w:lang w:val="fr-FR"/>
        </w:rPr>
        <w:t xml:space="preserve"> </w:t>
      </w:r>
      <w:r w:rsidR="005063FC" w:rsidRPr="00F60A3D">
        <w:rPr>
          <w:lang w:val="fr-FR"/>
        </w:rPr>
        <w:t>(</w:t>
      </w:r>
      <w:r w:rsidRPr="00F60A3D">
        <w:rPr>
          <w:lang w:val="fr-FR"/>
        </w:rPr>
        <w:t>http://www.osservatoriodisabilita.it/index.php?lang=en);</w:t>
      </w:r>
    </w:p>
    <w:p w:rsidR="005063FC" w:rsidRPr="00F60A3D" w:rsidRDefault="004365E0" w:rsidP="002E680B">
      <w:pPr>
        <w:pStyle w:val="SingleTxtG"/>
        <w:rPr>
          <w:spacing w:val="-3"/>
          <w:lang w:val="fr-FR"/>
        </w:rPr>
      </w:pPr>
      <w:r w:rsidRPr="00F60A3D">
        <w:rPr>
          <w:spacing w:val="-3"/>
          <w:lang w:val="fr-FR"/>
        </w:rPr>
        <w:tab/>
      </w:r>
      <w:r w:rsidR="008736B9" w:rsidRPr="00F60A3D">
        <w:rPr>
          <w:spacing w:val="-3"/>
          <w:lang w:val="fr-FR"/>
        </w:rPr>
        <w:t>b</w:t>
      </w:r>
      <w:r w:rsidR="005063FC" w:rsidRPr="00F60A3D">
        <w:rPr>
          <w:spacing w:val="-3"/>
          <w:lang w:val="fr-FR"/>
        </w:rPr>
        <w:t>)</w:t>
      </w:r>
      <w:r w:rsidR="005063FC" w:rsidRPr="00F60A3D">
        <w:rPr>
          <w:b/>
          <w:spacing w:val="-3"/>
          <w:lang w:val="fr-FR"/>
        </w:rPr>
        <w:tab/>
      </w:r>
      <w:r w:rsidR="00F90457" w:rsidRPr="00F60A3D">
        <w:rPr>
          <w:spacing w:val="-3"/>
          <w:lang w:val="fr-FR"/>
        </w:rPr>
        <w:t>L</w:t>
      </w:r>
      <w:r w:rsidR="00B17AE1" w:rsidRPr="00F60A3D">
        <w:rPr>
          <w:spacing w:val="-3"/>
          <w:lang w:val="fr-FR"/>
        </w:rPr>
        <w:t>’</w:t>
      </w:r>
      <w:r w:rsidR="00B84057" w:rsidRPr="00F60A3D">
        <w:rPr>
          <w:spacing w:val="-3"/>
          <w:lang w:val="fr-FR"/>
        </w:rPr>
        <w:t>Agence</w:t>
      </w:r>
      <w:r w:rsidR="00E57B4A" w:rsidRPr="00F60A3D">
        <w:rPr>
          <w:spacing w:val="-3"/>
          <w:lang w:val="fr-FR"/>
        </w:rPr>
        <w:t xml:space="preserve"> nationale de protection de</w:t>
      </w:r>
      <w:r w:rsidR="00F90457" w:rsidRPr="00F60A3D">
        <w:rPr>
          <w:spacing w:val="-3"/>
          <w:lang w:val="fr-FR"/>
        </w:rPr>
        <w:t xml:space="preserve"> l</w:t>
      </w:r>
      <w:r w:rsidR="00B17AE1" w:rsidRPr="00F60A3D">
        <w:rPr>
          <w:spacing w:val="-3"/>
          <w:lang w:val="fr-FR"/>
        </w:rPr>
        <w:t>’</w:t>
      </w:r>
      <w:r w:rsidR="00F90457" w:rsidRPr="00F60A3D">
        <w:rPr>
          <w:spacing w:val="-3"/>
          <w:lang w:val="fr-FR"/>
        </w:rPr>
        <w:t>enfance</w:t>
      </w:r>
      <w:r w:rsidR="005063FC" w:rsidRPr="00F60A3D">
        <w:rPr>
          <w:spacing w:val="-3"/>
          <w:lang w:val="fr-FR"/>
        </w:rPr>
        <w:t xml:space="preserve"> (</w:t>
      </w:r>
      <w:r w:rsidRPr="00F60A3D">
        <w:rPr>
          <w:spacing w:val="-3"/>
          <w:lang w:val="fr-FR"/>
        </w:rPr>
        <w:t>http://www.garanteinfanzia.org);</w:t>
      </w:r>
    </w:p>
    <w:p w:rsidR="005063FC" w:rsidRPr="00F60A3D" w:rsidRDefault="004365E0" w:rsidP="002E680B">
      <w:pPr>
        <w:pStyle w:val="SingleTxtG"/>
        <w:rPr>
          <w:spacing w:val="-3"/>
          <w:lang w:val="fr-FR"/>
        </w:rPr>
      </w:pPr>
      <w:r w:rsidRPr="00F60A3D">
        <w:rPr>
          <w:spacing w:val="-3"/>
          <w:lang w:val="fr-FR"/>
        </w:rPr>
        <w:tab/>
      </w:r>
      <w:r w:rsidR="008736B9" w:rsidRPr="00F60A3D">
        <w:rPr>
          <w:spacing w:val="-3"/>
          <w:lang w:val="fr-FR"/>
        </w:rPr>
        <w:t>c</w:t>
      </w:r>
      <w:r w:rsidR="005063FC" w:rsidRPr="00F60A3D">
        <w:rPr>
          <w:spacing w:val="-3"/>
          <w:lang w:val="fr-FR"/>
        </w:rPr>
        <w:t>)</w:t>
      </w:r>
      <w:r w:rsidR="00461270" w:rsidRPr="00F60A3D">
        <w:rPr>
          <w:spacing w:val="-3"/>
          <w:lang w:val="fr-FR"/>
        </w:rPr>
        <w:tab/>
      </w:r>
      <w:r w:rsidR="00B84057" w:rsidRPr="00F60A3D">
        <w:rPr>
          <w:spacing w:val="-3"/>
          <w:lang w:val="fr-FR"/>
        </w:rPr>
        <w:t>L</w:t>
      </w:r>
      <w:r w:rsidR="00B17AE1" w:rsidRPr="00F60A3D">
        <w:rPr>
          <w:spacing w:val="-3"/>
          <w:lang w:val="fr-FR"/>
        </w:rPr>
        <w:t>’</w:t>
      </w:r>
      <w:r w:rsidR="00B84057" w:rsidRPr="00F60A3D">
        <w:rPr>
          <w:spacing w:val="-3"/>
          <w:lang w:val="fr-FR"/>
        </w:rPr>
        <w:t>Agence nationale</w:t>
      </w:r>
      <w:r w:rsidR="00461270" w:rsidRPr="00F60A3D">
        <w:rPr>
          <w:spacing w:val="-3"/>
          <w:lang w:val="fr-FR"/>
        </w:rPr>
        <w:t xml:space="preserve"> </w:t>
      </w:r>
      <w:r w:rsidR="00E57B4A" w:rsidRPr="00F60A3D">
        <w:rPr>
          <w:spacing w:val="-3"/>
          <w:lang w:val="fr-FR"/>
        </w:rPr>
        <w:t xml:space="preserve">de protection des données </w:t>
      </w:r>
      <w:r w:rsidR="005063FC" w:rsidRPr="00F60A3D">
        <w:rPr>
          <w:spacing w:val="-3"/>
          <w:lang w:val="fr-FR"/>
        </w:rPr>
        <w:t>(</w:t>
      </w:r>
      <w:r w:rsidRPr="00F60A3D">
        <w:rPr>
          <w:spacing w:val="-3"/>
          <w:lang w:val="fr-FR"/>
        </w:rPr>
        <w:t>http://www.garanteinfanzia.org</w:t>
      </w:r>
      <w:r w:rsidR="005063FC" w:rsidRPr="00F60A3D">
        <w:rPr>
          <w:spacing w:val="-3"/>
          <w:lang w:val="fr-FR"/>
        </w:rPr>
        <w:t>);</w:t>
      </w:r>
    </w:p>
    <w:p w:rsidR="005063FC" w:rsidRPr="00F60A3D" w:rsidRDefault="004365E0" w:rsidP="004365E0">
      <w:pPr>
        <w:pStyle w:val="SingleTxtG"/>
        <w:rPr>
          <w:lang w:val="fr-FR"/>
        </w:rPr>
      </w:pPr>
      <w:r w:rsidRPr="00F60A3D">
        <w:rPr>
          <w:lang w:val="fr-FR"/>
        </w:rPr>
        <w:tab/>
      </w:r>
      <w:r w:rsidR="008736B9" w:rsidRPr="00F60A3D">
        <w:rPr>
          <w:lang w:val="fr-FR"/>
        </w:rPr>
        <w:t>d</w:t>
      </w:r>
      <w:r w:rsidR="005063FC" w:rsidRPr="00F60A3D">
        <w:rPr>
          <w:lang w:val="fr-FR"/>
        </w:rPr>
        <w:t>)</w:t>
      </w:r>
      <w:r w:rsidR="00E57B4A" w:rsidRPr="00F60A3D">
        <w:rPr>
          <w:b/>
          <w:lang w:val="fr-FR"/>
        </w:rPr>
        <w:tab/>
      </w:r>
      <w:r w:rsidR="00B84057" w:rsidRPr="00F60A3D">
        <w:rPr>
          <w:lang w:val="fr-FR"/>
        </w:rPr>
        <w:t>L</w:t>
      </w:r>
      <w:r w:rsidR="00B17AE1" w:rsidRPr="00F60A3D">
        <w:rPr>
          <w:lang w:val="fr-FR"/>
        </w:rPr>
        <w:t>’</w:t>
      </w:r>
      <w:r w:rsidR="00B84057" w:rsidRPr="00F60A3D">
        <w:rPr>
          <w:lang w:val="fr-FR"/>
        </w:rPr>
        <w:t>Agence</w:t>
      </w:r>
      <w:r w:rsidR="00E57B4A" w:rsidRPr="00F60A3D">
        <w:rPr>
          <w:lang w:val="fr-FR"/>
        </w:rPr>
        <w:t xml:space="preserve"> nationale des communications</w:t>
      </w:r>
      <w:r w:rsidR="00A70210" w:rsidRPr="00F60A3D">
        <w:rPr>
          <w:lang w:val="fr-FR"/>
        </w:rPr>
        <w:t xml:space="preserve"> </w:t>
      </w:r>
      <w:r w:rsidRPr="00F60A3D">
        <w:rPr>
          <w:lang w:val="fr-FR"/>
        </w:rPr>
        <w:t>(http://www.agcom.it);</w:t>
      </w:r>
    </w:p>
    <w:p w:rsidR="005063FC" w:rsidRPr="00F60A3D" w:rsidRDefault="004365E0" w:rsidP="004561F8">
      <w:pPr>
        <w:pStyle w:val="SingleTxtG"/>
        <w:rPr>
          <w:spacing w:val="-3"/>
          <w:lang w:val="fr-FR"/>
        </w:rPr>
      </w:pPr>
      <w:r w:rsidRPr="00F60A3D">
        <w:rPr>
          <w:spacing w:val="-3"/>
          <w:lang w:val="fr-FR"/>
        </w:rPr>
        <w:tab/>
      </w:r>
      <w:r w:rsidR="008736B9" w:rsidRPr="00F60A3D">
        <w:rPr>
          <w:spacing w:val="-3"/>
          <w:lang w:val="fr-FR"/>
        </w:rPr>
        <w:t>e</w:t>
      </w:r>
      <w:r w:rsidR="005063FC" w:rsidRPr="00F60A3D">
        <w:rPr>
          <w:spacing w:val="-3"/>
          <w:lang w:val="fr-FR"/>
        </w:rPr>
        <w:t>)</w:t>
      </w:r>
      <w:r w:rsidR="00EC4C96" w:rsidRPr="00F60A3D">
        <w:rPr>
          <w:spacing w:val="-3"/>
          <w:lang w:val="fr-FR"/>
        </w:rPr>
        <w:tab/>
      </w:r>
      <w:r w:rsidR="00B84057" w:rsidRPr="00F60A3D">
        <w:rPr>
          <w:spacing w:val="-3"/>
          <w:lang w:val="fr-FR"/>
        </w:rPr>
        <w:t>L</w:t>
      </w:r>
      <w:r w:rsidR="00B17AE1" w:rsidRPr="00F60A3D">
        <w:rPr>
          <w:spacing w:val="-3"/>
          <w:lang w:val="fr-FR"/>
        </w:rPr>
        <w:t>’</w:t>
      </w:r>
      <w:r w:rsidR="00B84057" w:rsidRPr="00F60A3D">
        <w:rPr>
          <w:spacing w:val="-3"/>
          <w:lang w:val="fr-FR"/>
        </w:rPr>
        <w:t>Agence</w:t>
      </w:r>
      <w:r w:rsidR="00E57B4A" w:rsidRPr="00F60A3D">
        <w:rPr>
          <w:spacing w:val="-3"/>
          <w:lang w:val="fr-FR"/>
        </w:rPr>
        <w:t xml:space="preserve"> nationale </w:t>
      </w:r>
      <w:r w:rsidR="00461270" w:rsidRPr="00F60A3D">
        <w:rPr>
          <w:spacing w:val="-3"/>
          <w:lang w:val="fr-FR"/>
        </w:rPr>
        <w:t xml:space="preserve">de lutte </w:t>
      </w:r>
      <w:r w:rsidR="00E57B4A" w:rsidRPr="00F60A3D">
        <w:rPr>
          <w:spacing w:val="-3"/>
          <w:lang w:val="fr-FR"/>
        </w:rPr>
        <w:t>contre la corruption</w:t>
      </w:r>
      <w:r w:rsidR="00731982" w:rsidRPr="00F60A3D">
        <w:rPr>
          <w:spacing w:val="-3"/>
          <w:lang w:val="fr-FR"/>
        </w:rPr>
        <w:t xml:space="preserve"> </w:t>
      </w:r>
      <w:r w:rsidR="005063FC" w:rsidRPr="00F60A3D">
        <w:rPr>
          <w:spacing w:val="-3"/>
          <w:lang w:val="fr-FR"/>
        </w:rPr>
        <w:t>(</w:t>
      </w:r>
      <w:r w:rsidRPr="00F60A3D">
        <w:rPr>
          <w:spacing w:val="-3"/>
          <w:lang w:val="fr-FR"/>
        </w:rPr>
        <w:t>http://www.anti</w:t>
      </w:r>
      <w:r w:rsidR="005063FC" w:rsidRPr="00F60A3D">
        <w:rPr>
          <w:spacing w:val="-3"/>
          <w:lang w:val="fr-FR"/>
        </w:rPr>
        <w:t>corruzi</w:t>
      </w:r>
      <w:r w:rsidRPr="00F60A3D">
        <w:rPr>
          <w:spacing w:val="-3"/>
          <w:lang w:val="fr-FR"/>
        </w:rPr>
        <w:t>one.it/</w:t>
      </w:r>
      <w:r w:rsidR="004561F8" w:rsidRPr="00F60A3D">
        <w:rPr>
          <w:spacing w:val="-3"/>
          <w:lang w:val="fr-FR"/>
        </w:rPr>
        <w:br/>
      </w:r>
      <w:r w:rsidRPr="00F60A3D">
        <w:rPr>
          <w:spacing w:val="-3"/>
          <w:lang w:val="fr-FR"/>
        </w:rPr>
        <w:t>portal/public/classic/);</w:t>
      </w:r>
    </w:p>
    <w:p w:rsidR="005063FC" w:rsidRPr="00F60A3D" w:rsidRDefault="004365E0" w:rsidP="004365E0">
      <w:pPr>
        <w:pStyle w:val="SingleTxtG"/>
        <w:rPr>
          <w:lang w:val="fr-FR"/>
        </w:rPr>
      </w:pPr>
      <w:r w:rsidRPr="00F60A3D">
        <w:rPr>
          <w:lang w:val="fr-FR"/>
        </w:rPr>
        <w:tab/>
      </w:r>
      <w:r w:rsidR="008736B9" w:rsidRPr="00F60A3D">
        <w:rPr>
          <w:lang w:val="fr-FR"/>
        </w:rPr>
        <w:t>f</w:t>
      </w:r>
      <w:r w:rsidR="005063FC" w:rsidRPr="00F60A3D">
        <w:rPr>
          <w:lang w:val="fr-FR"/>
        </w:rPr>
        <w:t>)</w:t>
      </w:r>
      <w:r w:rsidR="005063FC" w:rsidRPr="00F60A3D">
        <w:rPr>
          <w:b/>
          <w:lang w:val="fr-FR"/>
        </w:rPr>
        <w:tab/>
      </w:r>
      <w:r w:rsidR="00B84057" w:rsidRPr="00F60A3D">
        <w:rPr>
          <w:lang w:val="fr-FR"/>
        </w:rPr>
        <w:t>L</w:t>
      </w:r>
      <w:r w:rsidR="00B17AE1" w:rsidRPr="00F60A3D">
        <w:rPr>
          <w:lang w:val="fr-FR"/>
        </w:rPr>
        <w:t>’</w:t>
      </w:r>
      <w:r w:rsidR="00B84057" w:rsidRPr="00F60A3D">
        <w:rPr>
          <w:lang w:val="fr-FR"/>
        </w:rPr>
        <w:t>Agence</w:t>
      </w:r>
      <w:r w:rsidR="00E57B4A" w:rsidRPr="00F60A3D">
        <w:rPr>
          <w:lang w:val="fr-FR"/>
        </w:rPr>
        <w:t xml:space="preserve"> nationale de protection des détenus et des prisonniers</w:t>
      </w:r>
      <w:r w:rsidR="005063FC" w:rsidRPr="00F60A3D">
        <w:rPr>
          <w:lang w:val="fr-FR"/>
        </w:rPr>
        <w:t xml:space="preserve"> (https://www.giustizia.it/gi</w:t>
      </w:r>
      <w:r w:rsidRPr="00F60A3D">
        <w:rPr>
          <w:lang w:val="fr-FR"/>
        </w:rPr>
        <w:t>ustizia/it/mg_3_8_16.wp?tab=w).</w:t>
      </w:r>
    </w:p>
    <w:p w:rsidR="005063FC" w:rsidRPr="00F60A3D" w:rsidRDefault="008736B9" w:rsidP="00E57B4A">
      <w:pPr>
        <w:pStyle w:val="SingleTxtG"/>
        <w:rPr>
          <w:lang w:val="fr-FR"/>
        </w:rPr>
      </w:pPr>
      <w:r w:rsidRPr="00F60A3D">
        <w:rPr>
          <w:lang w:val="fr-FR"/>
        </w:rPr>
        <w:t>21</w:t>
      </w:r>
      <w:r w:rsidR="00E57B4A" w:rsidRPr="00F60A3D">
        <w:rPr>
          <w:lang w:val="fr-FR"/>
        </w:rPr>
        <w:t>7.</w:t>
      </w:r>
      <w:r w:rsidR="00E57B4A" w:rsidRPr="00F60A3D">
        <w:rPr>
          <w:lang w:val="fr-FR"/>
        </w:rPr>
        <w:tab/>
        <w:t xml:space="preserve">La </w:t>
      </w:r>
      <w:r w:rsidR="005063FC" w:rsidRPr="00F60A3D">
        <w:rPr>
          <w:bCs/>
          <w:lang w:val="fr-FR"/>
        </w:rPr>
        <w:t>Co</w:t>
      </w:r>
      <w:r w:rsidR="00E57B4A" w:rsidRPr="00F60A3D">
        <w:rPr>
          <w:bCs/>
          <w:lang w:val="fr-FR"/>
        </w:rPr>
        <w:t>nseillère en faveur de l</w:t>
      </w:r>
      <w:r w:rsidR="00B17AE1" w:rsidRPr="00F60A3D">
        <w:rPr>
          <w:bCs/>
          <w:lang w:val="fr-FR"/>
        </w:rPr>
        <w:t>’</w:t>
      </w:r>
      <w:r w:rsidR="00E57B4A" w:rsidRPr="00F60A3D">
        <w:rPr>
          <w:bCs/>
          <w:lang w:val="fr-FR"/>
        </w:rPr>
        <w:t>égalité des sexes</w:t>
      </w:r>
      <w:r w:rsidR="005063FC" w:rsidRPr="00F60A3D">
        <w:rPr>
          <w:lang w:val="fr-FR"/>
        </w:rPr>
        <w:t xml:space="preserve"> </w:t>
      </w:r>
      <w:r w:rsidR="00E57B4A" w:rsidRPr="00F60A3D">
        <w:rPr>
          <w:lang w:val="fr-FR"/>
        </w:rPr>
        <w:t>travaille aux niveaux national, régional et provinc</w:t>
      </w:r>
      <w:r w:rsidR="006B4AF8" w:rsidRPr="00F60A3D">
        <w:rPr>
          <w:lang w:val="fr-FR"/>
        </w:rPr>
        <w:t>ial. Elle s</w:t>
      </w:r>
      <w:r w:rsidR="00B17AE1" w:rsidRPr="00F60A3D">
        <w:rPr>
          <w:lang w:val="fr-FR"/>
        </w:rPr>
        <w:t>’</w:t>
      </w:r>
      <w:r w:rsidR="006B4AF8" w:rsidRPr="00F60A3D">
        <w:rPr>
          <w:lang w:val="fr-FR"/>
        </w:rPr>
        <w:t>attache à</w:t>
      </w:r>
      <w:r w:rsidR="00E57B4A" w:rsidRPr="00F60A3D">
        <w:rPr>
          <w:lang w:val="fr-FR"/>
        </w:rPr>
        <w:t xml:space="preserve"> garantir le respect de la non-discrimination et </w:t>
      </w:r>
      <w:r w:rsidR="00B84057" w:rsidRPr="00F60A3D">
        <w:rPr>
          <w:lang w:val="fr-FR"/>
        </w:rPr>
        <w:t>la promotion de l</w:t>
      </w:r>
      <w:r w:rsidR="00B17AE1" w:rsidRPr="00F60A3D">
        <w:rPr>
          <w:lang w:val="fr-FR"/>
        </w:rPr>
        <w:t>’</w:t>
      </w:r>
      <w:r w:rsidR="00B84057" w:rsidRPr="00F60A3D">
        <w:rPr>
          <w:lang w:val="fr-FR"/>
        </w:rPr>
        <w:t>égalité des chances</w:t>
      </w:r>
      <w:r w:rsidR="006B4AF8" w:rsidRPr="00F60A3D">
        <w:rPr>
          <w:lang w:val="fr-FR"/>
        </w:rPr>
        <w:t xml:space="preserve"> au travail et prend des mesures pour améli</w:t>
      </w:r>
      <w:r w:rsidR="00461270" w:rsidRPr="00F60A3D">
        <w:rPr>
          <w:lang w:val="fr-FR"/>
        </w:rPr>
        <w:t>o</w:t>
      </w:r>
      <w:r w:rsidR="006B4AF8" w:rsidRPr="00F60A3D">
        <w:rPr>
          <w:lang w:val="fr-FR"/>
        </w:rPr>
        <w:t>rer et contrôle</w:t>
      </w:r>
      <w:r w:rsidR="00E57B4A" w:rsidRPr="00F60A3D">
        <w:rPr>
          <w:lang w:val="fr-FR"/>
        </w:rPr>
        <w:t xml:space="preserve">r </w:t>
      </w:r>
      <w:r w:rsidR="006B4AF8" w:rsidRPr="00F60A3D">
        <w:rPr>
          <w:lang w:val="fr-FR"/>
        </w:rPr>
        <w:t xml:space="preserve">les cas de discrimination entre les sexes </w:t>
      </w:r>
      <w:r w:rsidR="005063FC" w:rsidRPr="00F60A3D">
        <w:rPr>
          <w:lang w:val="fr-FR"/>
        </w:rPr>
        <w:t>(http://www.lavoro.gov.it/</w:t>
      </w:r>
      <w:r w:rsidR="004365E0" w:rsidRPr="00F60A3D">
        <w:rPr>
          <w:lang w:val="fr-FR"/>
        </w:rPr>
        <w:br/>
      </w:r>
      <w:r w:rsidR="005063FC" w:rsidRPr="00F60A3D">
        <w:rPr>
          <w:lang w:val="fr-FR"/>
        </w:rPr>
        <w:t>ConsiglieraNazionale/Pages/default.aspx).</w:t>
      </w:r>
    </w:p>
    <w:p w:rsidR="005063FC" w:rsidRPr="00F60A3D" w:rsidRDefault="008736B9" w:rsidP="009E1398">
      <w:pPr>
        <w:pStyle w:val="SingleTxtG"/>
        <w:rPr>
          <w:lang w:val="fr-FR"/>
        </w:rPr>
      </w:pPr>
      <w:r w:rsidRPr="00F60A3D">
        <w:rPr>
          <w:lang w:val="fr-FR"/>
        </w:rPr>
        <w:t>21</w:t>
      </w:r>
      <w:r w:rsidR="005063FC" w:rsidRPr="00F60A3D">
        <w:rPr>
          <w:lang w:val="fr-FR"/>
        </w:rPr>
        <w:t>8.</w:t>
      </w:r>
      <w:r w:rsidR="005063FC" w:rsidRPr="00F60A3D">
        <w:rPr>
          <w:lang w:val="fr-FR"/>
        </w:rPr>
        <w:tab/>
      </w:r>
      <w:r w:rsidR="001F5428" w:rsidRPr="00F60A3D">
        <w:rPr>
          <w:lang w:val="fr-FR"/>
        </w:rPr>
        <w:t>La Direction</w:t>
      </w:r>
      <w:r w:rsidR="00461270" w:rsidRPr="00F60A3D">
        <w:rPr>
          <w:lang w:val="fr-FR"/>
        </w:rPr>
        <w:t xml:space="preserve"> </w:t>
      </w:r>
      <w:r w:rsidR="001F5428" w:rsidRPr="00F60A3D">
        <w:rPr>
          <w:lang w:val="fr-FR"/>
        </w:rPr>
        <w:t>des politiques de la famille</w:t>
      </w:r>
      <w:r w:rsidR="004D10A3" w:rsidRPr="00F60A3D">
        <w:rPr>
          <w:lang w:val="fr-FR"/>
        </w:rPr>
        <w:t xml:space="preserve"> a pour mission</w:t>
      </w:r>
      <w:r w:rsidR="001F5428" w:rsidRPr="00F60A3D">
        <w:rPr>
          <w:lang w:val="fr-FR"/>
        </w:rPr>
        <w:t>, entre autres</w:t>
      </w:r>
      <w:r w:rsidR="00E41891" w:rsidRPr="00F60A3D">
        <w:rPr>
          <w:lang w:val="fr-FR"/>
        </w:rPr>
        <w:t>,</w:t>
      </w:r>
      <w:r w:rsidR="009E1398" w:rsidRPr="00F60A3D">
        <w:rPr>
          <w:lang w:val="fr-FR"/>
        </w:rPr>
        <w:t xml:space="preserve"> de</w:t>
      </w:r>
      <w:r w:rsidR="00AE7471" w:rsidRPr="00F60A3D">
        <w:rPr>
          <w:lang w:val="fr-FR"/>
        </w:rPr>
        <w:t xml:space="preserve"> promouvoir</w:t>
      </w:r>
      <w:r w:rsidR="00963016" w:rsidRPr="00F60A3D">
        <w:rPr>
          <w:lang w:val="fr-FR"/>
        </w:rPr>
        <w:t xml:space="preserve"> et </w:t>
      </w:r>
      <w:r w:rsidR="00AE7471" w:rsidRPr="00F60A3D">
        <w:rPr>
          <w:lang w:val="fr-FR"/>
        </w:rPr>
        <w:t>coordonner</w:t>
      </w:r>
      <w:r w:rsidR="001F5428" w:rsidRPr="00F60A3D">
        <w:rPr>
          <w:lang w:val="fr-FR"/>
        </w:rPr>
        <w:t xml:space="preserve"> l</w:t>
      </w:r>
      <w:r w:rsidR="00B17AE1" w:rsidRPr="00F60A3D">
        <w:rPr>
          <w:lang w:val="fr-FR"/>
        </w:rPr>
        <w:t>’</w:t>
      </w:r>
      <w:r w:rsidR="001F5428" w:rsidRPr="00F60A3D">
        <w:rPr>
          <w:lang w:val="fr-FR"/>
        </w:rPr>
        <w:t>action gouvernementale</w:t>
      </w:r>
      <w:r w:rsidR="00AE7471" w:rsidRPr="00F60A3D">
        <w:rPr>
          <w:lang w:val="fr-FR"/>
        </w:rPr>
        <w:t xml:space="preserve"> destinée à mettre en œuvre l</w:t>
      </w:r>
      <w:r w:rsidR="009E1398" w:rsidRPr="00F60A3D">
        <w:rPr>
          <w:lang w:val="fr-FR"/>
        </w:rPr>
        <w:t xml:space="preserve">es politiques </w:t>
      </w:r>
      <w:r w:rsidR="001F5428" w:rsidRPr="00F60A3D">
        <w:rPr>
          <w:lang w:val="fr-FR"/>
        </w:rPr>
        <w:t>en faveur de la famille</w:t>
      </w:r>
      <w:r w:rsidR="00AE7471" w:rsidRPr="00F60A3D">
        <w:rPr>
          <w:lang w:val="fr-FR"/>
        </w:rPr>
        <w:t xml:space="preserve"> et à soutenir</w:t>
      </w:r>
      <w:r w:rsidR="009E1398" w:rsidRPr="00F60A3D">
        <w:rPr>
          <w:lang w:val="fr-FR"/>
        </w:rPr>
        <w:t xml:space="preserve"> </w:t>
      </w:r>
      <w:r w:rsidR="001F5428" w:rsidRPr="00F60A3D">
        <w:rPr>
          <w:lang w:val="fr-FR"/>
        </w:rPr>
        <w:t xml:space="preserve">la maternité </w:t>
      </w:r>
      <w:r w:rsidR="00AE7471" w:rsidRPr="00F60A3D">
        <w:rPr>
          <w:lang w:val="fr-FR"/>
        </w:rPr>
        <w:t>et la paternité. Elle</w:t>
      </w:r>
      <w:r w:rsidR="001F5428" w:rsidRPr="00F60A3D">
        <w:rPr>
          <w:lang w:val="fr-FR"/>
        </w:rPr>
        <w:t xml:space="preserve"> promeut, encourage et finance d</w:t>
      </w:r>
      <w:r w:rsidR="009E1398" w:rsidRPr="00F60A3D">
        <w:rPr>
          <w:lang w:val="fr-FR"/>
        </w:rPr>
        <w:t xml:space="preserve">es mesures </w:t>
      </w:r>
      <w:r w:rsidR="004634BA" w:rsidRPr="00F60A3D">
        <w:rPr>
          <w:lang w:val="fr-FR"/>
        </w:rPr>
        <w:t xml:space="preserve">de </w:t>
      </w:r>
      <w:r w:rsidR="009E1398" w:rsidRPr="00F60A3D">
        <w:rPr>
          <w:lang w:val="fr-FR"/>
        </w:rPr>
        <w:t>conciliation</w:t>
      </w:r>
      <w:r w:rsidR="00240988" w:rsidRPr="00F60A3D">
        <w:rPr>
          <w:lang w:val="fr-FR"/>
        </w:rPr>
        <w:t xml:space="preserve"> </w:t>
      </w:r>
      <w:r w:rsidR="001F5428" w:rsidRPr="00F60A3D">
        <w:rPr>
          <w:lang w:val="fr-FR"/>
        </w:rPr>
        <w:t>de la vie professionnelle et familiale et intervient au travers</w:t>
      </w:r>
      <w:r w:rsidR="00240988" w:rsidRPr="00F60A3D">
        <w:rPr>
          <w:lang w:val="fr-FR"/>
        </w:rPr>
        <w:t xml:space="preserve"> de</w:t>
      </w:r>
      <w:r w:rsidR="001F5428" w:rsidRPr="00F60A3D">
        <w:rPr>
          <w:lang w:val="fr-FR"/>
        </w:rPr>
        <w:t xml:space="preserve"> l</w:t>
      </w:r>
      <w:r w:rsidR="00B17AE1" w:rsidRPr="00F60A3D">
        <w:rPr>
          <w:lang w:val="fr-FR"/>
        </w:rPr>
        <w:t>’</w:t>
      </w:r>
      <w:r w:rsidR="001F5428" w:rsidRPr="00F60A3D">
        <w:rPr>
          <w:lang w:val="fr-FR"/>
        </w:rPr>
        <w:t>Observatoire national pour l</w:t>
      </w:r>
      <w:r w:rsidR="00B17AE1" w:rsidRPr="00F60A3D">
        <w:rPr>
          <w:lang w:val="fr-FR"/>
        </w:rPr>
        <w:t>’</w:t>
      </w:r>
      <w:r w:rsidR="001F5428" w:rsidRPr="00F60A3D">
        <w:rPr>
          <w:lang w:val="fr-FR"/>
        </w:rPr>
        <w:t xml:space="preserve">enfance et </w:t>
      </w:r>
      <w:r w:rsidR="009E1398" w:rsidRPr="00F60A3D">
        <w:rPr>
          <w:lang w:val="fr-FR"/>
        </w:rPr>
        <w:t>l</w:t>
      </w:r>
      <w:r w:rsidR="00B17AE1" w:rsidRPr="00F60A3D">
        <w:rPr>
          <w:lang w:val="fr-FR"/>
        </w:rPr>
        <w:t>’</w:t>
      </w:r>
      <w:r w:rsidR="009E1398" w:rsidRPr="00F60A3D">
        <w:rPr>
          <w:lang w:val="fr-FR"/>
        </w:rPr>
        <w:t xml:space="preserve">adolescence et </w:t>
      </w:r>
      <w:r w:rsidR="00E41891" w:rsidRPr="00F60A3D">
        <w:rPr>
          <w:lang w:val="fr-FR"/>
        </w:rPr>
        <w:t>de</w:t>
      </w:r>
      <w:r w:rsidR="00240988" w:rsidRPr="00F60A3D">
        <w:rPr>
          <w:lang w:val="fr-FR"/>
        </w:rPr>
        <w:t xml:space="preserve"> </w:t>
      </w:r>
      <w:r w:rsidR="009E1398" w:rsidRPr="00F60A3D">
        <w:rPr>
          <w:lang w:val="fr-FR"/>
        </w:rPr>
        <w:t>l</w:t>
      </w:r>
      <w:r w:rsidR="00B17AE1" w:rsidRPr="00F60A3D">
        <w:rPr>
          <w:lang w:val="fr-FR"/>
        </w:rPr>
        <w:t>’</w:t>
      </w:r>
      <w:r w:rsidR="009E1398" w:rsidRPr="00F60A3D">
        <w:rPr>
          <w:lang w:val="fr-FR"/>
        </w:rPr>
        <w:t xml:space="preserve">Observatoire de la famille </w:t>
      </w:r>
      <w:r w:rsidR="005063FC" w:rsidRPr="00F60A3D">
        <w:rPr>
          <w:lang w:val="fr-FR"/>
        </w:rPr>
        <w:t xml:space="preserve">(http://www.politichefamiglia.it). </w:t>
      </w:r>
    </w:p>
    <w:p w:rsidR="005063FC" w:rsidRPr="00F60A3D" w:rsidRDefault="008736B9" w:rsidP="00A70210">
      <w:pPr>
        <w:pStyle w:val="SingleTxtG"/>
        <w:rPr>
          <w:lang w:val="fr-FR"/>
        </w:rPr>
      </w:pPr>
      <w:r w:rsidRPr="00F60A3D">
        <w:rPr>
          <w:lang w:val="fr-FR"/>
        </w:rPr>
        <w:t>21</w:t>
      </w:r>
      <w:r w:rsidR="005063FC" w:rsidRPr="00F60A3D">
        <w:rPr>
          <w:lang w:val="fr-FR"/>
        </w:rPr>
        <w:t>9.</w:t>
      </w:r>
      <w:r w:rsidR="005063FC" w:rsidRPr="00F60A3D">
        <w:rPr>
          <w:lang w:val="fr-FR"/>
        </w:rPr>
        <w:tab/>
      </w:r>
      <w:r w:rsidR="003B78BA" w:rsidRPr="00F60A3D">
        <w:rPr>
          <w:lang w:val="fr-FR"/>
        </w:rPr>
        <w:t xml:space="preserve">Le Comité </w:t>
      </w:r>
      <w:r w:rsidR="00E50051" w:rsidRPr="00F60A3D">
        <w:rPr>
          <w:lang w:val="fr-FR"/>
        </w:rPr>
        <w:t>consultatif</w:t>
      </w:r>
      <w:r w:rsidR="003B78BA" w:rsidRPr="00F60A3D">
        <w:rPr>
          <w:lang w:val="fr-FR"/>
        </w:rPr>
        <w:t xml:space="preserve"> pour la liberté religieuse – Créé en 1997, il mène notamment des activités de recherche et de conseil.</w:t>
      </w:r>
      <w:r w:rsidR="00731982" w:rsidRPr="00F60A3D">
        <w:rPr>
          <w:lang w:val="fr-FR"/>
        </w:rPr>
        <w:t xml:space="preserve"> </w:t>
      </w:r>
    </w:p>
    <w:p w:rsidR="005063FC" w:rsidRPr="00F60A3D" w:rsidRDefault="008736B9" w:rsidP="00A70210">
      <w:pPr>
        <w:pStyle w:val="SingleTxtG"/>
        <w:rPr>
          <w:lang w:val="fr-FR"/>
        </w:rPr>
      </w:pPr>
      <w:r w:rsidRPr="00F60A3D">
        <w:rPr>
          <w:lang w:val="fr-FR"/>
        </w:rPr>
        <w:t>22</w:t>
      </w:r>
      <w:r w:rsidR="005063FC" w:rsidRPr="00F60A3D">
        <w:rPr>
          <w:lang w:val="fr-FR"/>
        </w:rPr>
        <w:t>0.</w:t>
      </w:r>
      <w:r w:rsidR="005063FC" w:rsidRPr="00F60A3D">
        <w:rPr>
          <w:lang w:val="fr-FR"/>
        </w:rPr>
        <w:tab/>
      </w:r>
      <w:r w:rsidR="003B78BA" w:rsidRPr="00F60A3D">
        <w:rPr>
          <w:lang w:val="fr-FR"/>
        </w:rPr>
        <w:t>La Commission nationale italienne pour l</w:t>
      </w:r>
      <w:r w:rsidR="00B17AE1" w:rsidRPr="00F60A3D">
        <w:rPr>
          <w:lang w:val="fr-FR"/>
        </w:rPr>
        <w:t>’</w:t>
      </w:r>
      <w:r w:rsidR="003B78BA" w:rsidRPr="00F60A3D">
        <w:rPr>
          <w:lang w:val="fr-FR"/>
        </w:rPr>
        <w:t>UNESCO</w:t>
      </w:r>
      <w:r w:rsidR="005063FC" w:rsidRPr="00F60A3D">
        <w:rPr>
          <w:lang w:val="fr-FR"/>
        </w:rPr>
        <w:t xml:space="preserve"> </w:t>
      </w:r>
      <w:r w:rsidR="003B78BA" w:rsidRPr="00F60A3D">
        <w:rPr>
          <w:lang w:val="fr-FR"/>
        </w:rPr>
        <w:t xml:space="preserve">– Créée en </w:t>
      </w:r>
      <w:r w:rsidR="00E50051" w:rsidRPr="00F60A3D">
        <w:rPr>
          <w:lang w:val="fr-FR"/>
        </w:rPr>
        <w:t>1950, elle favorise</w:t>
      </w:r>
      <w:r w:rsidR="003B78BA" w:rsidRPr="00F60A3D">
        <w:rPr>
          <w:lang w:val="fr-FR"/>
        </w:rPr>
        <w:t xml:space="preserve"> les activités de l</w:t>
      </w:r>
      <w:r w:rsidR="00B17AE1" w:rsidRPr="00F60A3D">
        <w:rPr>
          <w:lang w:val="fr-FR"/>
        </w:rPr>
        <w:t>’</w:t>
      </w:r>
      <w:r w:rsidR="003B78BA" w:rsidRPr="00F60A3D">
        <w:rPr>
          <w:lang w:val="fr-FR"/>
        </w:rPr>
        <w:t xml:space="preserve">UNESCO </w:t>
      </w:r>
      <w:r w:rsidR="00E178A4" w:rsidRPr="00F60A3D">
        <w:rPr>
          <w:lang w:val="fr-FR"/>
        </w:rPr>
        <w:t>(Organisation des Nations Unies pour l</w:t>
      </w:r>
      <w:r w:rsidR="00B17AE1" w:rsidRPr="00F60A3D">
        <w:rPr>
          <w:lang w:val="fr-FR"/>
        </w:rPr>
        <w:t>’</w:t>
      </w:r>
      <w:r w:rsidR="00E178A4" w:rsidRPr="00F60A3D">
        <w:rPr>
          <w:lang w:val="fr-FR"/>
        </w:rPr>
        <w:t xml:space="preserve">éducation, la science et la culture) </w:t>
      </w:r>
      <w:r w:rsidR="003B78BA" w:rsidRPr="00F60A3D">
        <w:rPr>
          <w:lang w:val="fr-FR"/>
        </w:rPr>
        <w:t>sur le plan national.</w:t>
      </w:r>
      <w:r w:rsidR="005063FC" w:rsidRPr="00F60A3D">
        <w:rPr>
          <w:lang w:val="fr-FR"/>
        </w:rPr>
        <w:t xml:space="preserve"> </w:t>
      </w:r>
    </w:p>
    <w:p w:rsidR="005063FC" w:rsidRPr="00F60A3D" w:rsidRDefault="00A70210" w:rsidP="00A70210">
      <w:pPr>
        <w:pStyle w:val="H23G"/>
        <w:rPr>
          <w:lang w:val="fr-FR"/>
        </w:rPr>
      </w:pPr>
      <w:r w:rsidRPr="00F60A3D">
        <w:rPr>
          <w:lang w:val="fr-FR"/>
        </w:rPr>
        <w:tab/>
      </w:r>
      <w:r w:rsidRPr="00F60A3D">
        <w:rPr>
          <w:lang w:val="fr-FR"/>
        </w:rPr>
        <w:tab/>
      </w:r>
      <w:r w:rsidR="003B78BA" w:rsidRPr="00F60A3D">
        <w:rPr>
          <w:lang w:val="fr-FR"/>
        </w:rPr>
        <w:t>Projets de loi relatifs aux droits de l</w:t>
      </w:r>
      <w:r w:rsidR="00B17AE1" w:rsidRPr="00F60A3D">
        <w:rPr>
          <w:lang w:val="fr-FR"/>
        </w:rPr>
        <w:t>’</w:t>
      </w:r>
      <w:r w:rsidR="003B78BA" w:rsidRPr="00F60A3D">
        <w:rPr>
          <w:lang w:val="fr-FR"/>
        </w:rPr>
        <w:t>homme</w:t>
      </w:r>
      <w:r w:rsidR="005063FC" w:rsidRPr="00F60A3D">
        <w:rPr>
          <w:lang w:val="fr-FR"/>
        </w:rPr>
        <w:t xml:space="preserve"> </w:t>
      </w:r>
      <w:r w:rsidR="003B78BA" w:rsidRPr="00F60A3D">
        <w:rPr>
          <w:lang w:val="fr-FR"/>
        </w:rPr>
        <w:t>actuellement à l</w:t>
      </w:r>
      <w:r w:rsidR="00B17AE1" w:rsidRPr="00F60A3D">
        <w:rPr>
          <w:lang w:val="fr-FR"/>
        </w:rPr>
        <w:t>’</w:t>
      </w:r>
      <w:r w:rsidR="003B78BA" w:rsidRPr="00F60A3D">
        <w:rPr>
          <w:lang w:val="fr-FR"/>
        </w:rPr>
        <w:t>étude</w:t>
      </w:r>
    </w:p>
    <w:p w:rsidR="003B78BA" w:rsidRPr="00F60A3D" w:rsidRDefault="008736B9" w:rsidP="00A70210">
      <w:pPr>
        <w:pStyle w:val="SingleTxtG"/>
        <w:rPr>
          <w:lang w:val="fr-FR"/>
        </w:rPr>
      </w:pPr>
      <w:r w:rsidRPr="00F60A3D">
        <w:rPr>
          <w:lang w:val="fr-FR"/>
        </w:rPr>
        <w:t>22</w:t>
      </w:r>
      <w:r w:rsidR="003B78BA" w:rsidRPr="00F60A3D">
        <w:rPr>
          <w:lang w:val="fr-FR"/>
        </w:rPr>
        <w:t>1.</w:t>
      </w:r>
      <w:r w:rsidR="003B78BA" w:rsidRPr="00F60A3D">
        <w:rPr>
          <w:lang w:val="fr-FR"/>
        </w:rPr>
        <w:tab/>
        <w:t>D</w:t>
      </w:r>
      <w:r w:rsidR="00B17AE1" w:rsidRPr="00F60A3D">
        <w:rPr>
          <w:lang w:val="fr-FR"/>
        </w:rPr>
        <w:t>’</w:t>
      </w:r>
      <w:r w:rsidR="003B78BA" w:rsidRPr="00F60A3D">
        <w:rPr>
          <w:lang w:val="fr-FR"/>
        </w:rPr>
        <w:t>un</w:t>
      </w:r>
      <w:r w:rsidR="004365E0" w:rsidRPr="00F60A3D">
        <w:rPr>
          <w:lang w:val="fr-FR"/>
        </w:rPr>
        <w:t xml:space="preserve"> point de vue législatif, le 10 </w:t>
      </w:r>
      <w:r w:rsidR="003B78BA" w:rsidRPr="00F60A3D">
        <w:rPr>
          <w:lang w:val="fr-FR"/>
        </w:rPr>
        <w:t>février 2015, le Gouvernement a approuv</w:t>
      </w:r>
      <w:r w:rsidR="009376D1" w:rsidRPr="00F60A3D">
        <w:rPr>
          <w:lang w:val="fr-FR"/>
        </w:rPr>
        <w:t>é un projet de loi visant à cré</w:t>
      </w:r>
      <w:r w:rsidR="003B78BA" w:rsidRPr="00F60A3D">
        <w:rPr>
          <w:lang w:val="fr-FR"/>
        </w:rPr>
        <w:t xml:space="preserve">er </w:t>
      </w:r>
      <w:r w:rsidR="00E50051" w:rsidRPr="00F60A3D">
        <w:rPr>
          <w:lang w:val="fr-FR"/>
        </w:rPr>
        <w:t>– outre les tribunaux pour mineurs – des sections judiciaires spécialisées pour</w:t>
      </w:r>
      <w:r w:rsidR="0037034D" w:rsidRPr="00F60A3D">
        <w:rPr>
          <w:lang w:val="fr-FR"/>
        </w:rPr>
        <w:t xml:space="preserve"> </w:t>
      </w:r>
      <w:r w:rsidR="00731982" w:rsidRPr="00F60A3D">
        <w:rPr>
          <w:lang w:val="fr-FR"/>
        </w:rPr>
        <w:t>«</w:t>
      </w:r>
      <w:r w:rsidR="00240988" w:rsidRPr="00F60A3D">
        <w:rPr>
          <w:lang w:val="fr-FR"/>
        </w:rPr>
        <w:t xml:space="preserve">les personnes et les familles </w:t>
      </w:r>
      <w:r w:rsidR="00E50051" w:rsidRPr="00F60A3D">
        <w:rPr>
          <w:lang w:val="fr-FR"/>
        </w:rPr>
        <w:t>(</w:t>
      </w:r>
      <w:r w:rsidR="00E178A4" w:rsidRPr="00F60A3D">
        <w:rPr>
          <w:i/>
          <w:lang w:val="fr-FR"/>
        </w:rPr>
        <w:t>Per la persona e la famig</w:t>
      </w:r>
      <w:r w:rsidR="00E50051" w:rsidRPr="00F60A3D">
        <w:rPr>
          <w:i/>
          <w:lang w:val="fr-FR"/>
        </w:rPr>
        <w:t>lia</w:t>
      </w:r>
      <w:r w:rsidR="008F30A4" w:rsidRPr="00F60A3D">
        <w:rPr>
          <w:lang w:val="fr-FR"/>
        </w:rPr>
        <w:t>)</w:t>
      </w:r>
      <w:r w:rsidR="00E50051" w:rsidRPr="00F60A3D">
        <w:rPr>
          <w:lang w:val="fr-FR"/>
        </w:rPr>
        <w:t>, gérées par des autorités judiciaires spéciales avec l</w:t>
      </w:r>
      <w:r w:rsidR="00B17AE1" w:rsidRPr="00F60A3D">
        <w:rPr>
          <w:lang w:val="fr-FR"/>
        </w:rPr>
        <w:t>’</w:t>
      </w:r>
      <w:r w:rsidR="00E50051" w:rsidRPr="00F60A3D">
        <w:rPr>
          <w:lang w:val="fr-FR"/>
        </w:rPr>
        <w:t>aide d</w:t>
      </w:r>
      <w:r w:rsidR="00B17AE1" w:rsidRPr="00F60A3D">
        <w:rPr>
          <w:lang w:val="fr-FR"/>
        </w:rPr>
        <w:t>’</w:t>
      </w:r>
      <w:r w:rsidR="00E50051" w:rsidRPr="00F60A3D">
        <w:rPr>
          <w:lang w:val="fr-FR"/>
        </w:rPr>
        <w:t xml:space="preserve">experts travaillant dans les tribunaux pour mineurs. </w:t>
      </w:r>
    </w:p>
    <w:p w:rsidR="003A7CB7" w:rsidRPr="00F60A3D" w:rsidRDefault="008736B9" w:rsidP="00A70210">
      <w:pPr>
        <w:pStyle w:val="SingleTxtG"/>
        <w:rPr>
          <w:lang w:val="fr-FR"/>
        </w:rPr>
      </w:pPr>
      <w:r w:rsidRPr="00F60A3D">
        <w:rPr>
          <w:lang w:val="fr-FR"/>
        </w:rPr>
        <w:t>22</w:t>
      </w:r>
      <w:r w:rsidR="00E50051" w:rsidRPr="00F60A3D">
        <w:rPr>
          <w:lang w:val="fr-FR"/>
        </w:rPr>
        <w:t>2.</w:t>
      </w:r>
      <w:r w:rsidR="00E50051" w:rsidRPr="00F60A3D">
        <w:rPr>
          <w:lang w:val="fr-FR"/>
        </w:rPr>
        <w:tab/>
        <w:t xml:space="preserve">Un projet de loi </w:t>
      </w:r>
      <w:r w:rsidR="00240988" w:rsidRPr="00F60A3D">
        <w:rPr>
          <w:lang w:val="fr-FR"/>
        </w:rPr>
        <w:t>complémentaire</w:t>
      </w:r>
      <w:r w:rsidR="003A7CB7" w:rsidRPr="00F60A3D">
        <w:rPr>
          <w:lang w:val="fr-FR"/>
        </w:rPr>
        <w:t xml:space="preserve"> porté devant le Parlement concerne la médiation familiale obligatoire (AS 957) – et vise </w:t>
      </w:r>
      <w:r w:rsidR="00C21985" w:rsidRPr="00F60A3D">
        <w:rPr>
          <w:lang w:val="fr-FR"/>
        </w:rPr>
        <w:t xml:space="preserve">également </w:t>
      </w:r>
      <w:r w:rsidR="003A7CB7" w:rsidRPr="00F60A3D">
        <w:rPr>
          <w:lang w:val="fr-FR"/>
        </w:rPr>
        <w:t>à soutenir l</w:t>
      </w:r>
      <w:r w:rsidR="00B17AE1" w:rsidRPr="00F60A3D">
        <w:rPr>
          <w:lang w:val="fr-FR"/>
        </w:rPr>
        <w:t>’</w:t>
      </w:r>
      <w:r w:rsidR="003A7CB7" w:rsidRPr="00F60A3D">
        <w:rPr>
          <w:lang w:val="fr-FR"/>
        </w:rPr>
        <w:t>éducation à la parentalité des femmes et des hommes.</w:t>
      </w:r>
      <w:r w:rsidR="00731982" w:rsidRPr="00F60A3D">
        <w:rPr>
          <w:lang w:val="fr-FR"/>
        </w:rPr>
        <w:t xml:space="preserve"> </w:t>
      </w:r>
    </w:p>
    <w:p w:rsidR="005063FC" w:rsidRPr="00F60A3D" w:rsidRDefault="008736B9" w:rsidP="00462003">
      <w:pPr>
        <w:pStyle w:val="SingleTxtG"/>
        <w:rPr>
          <w:bCs/>
          <w:color w:val="000000"/>
          <w:lang w:val="fr-FR"/>
        </w:rPr>
      </w:pPr>
      <w:r w:rsidRPr="00F60A3D">
        <w:rPr>
          <w:bCs/>
          <w:color w:val="000000"/>
          <w:lang w:val="fr-FR"/>
        </w:rPr>
        <w:t>22</w:t>
      </w:r>
      <w:r w:rsidR="003A7CB7" w:rsidRPr="00F60A3D">
        <w:rPr>
          <w:bCs/>
          <w:color w:val="000000"/>
          <w:lang w:val="fr-FR"/>
        </w:rPr>
        <w:t>3.</w:t>
      </w:r>
      <w:r w:rsidR="003A7CB7" w:rsidRPr="00F60A3D">
        <w:rPr>
          <w:bCs/>
          <w:color w:val="000000"/>
          <w:lang w:val="fr-FR"/>
        </w:rPr>
        <w:tab/>
      </w:r>
      <w:r w:rsidR="00AB0B88" w:rsidRPr="00F60A3D">
        <w:rPr>
          <w:bCs/>
          <w:color w:val="000000"/>
          <w:lang w:val="fr-FR"/>
        </w:rPr>
        <w:t>Des projets</w:t>
      </w:r>
      <w:r w:rsidR="003A7CB7" w:rsidRPr="00F60A3D">
        <w:rPr>
          <w:bCs/>
          <w:color w:val="000000"/>
          <w:lang w:val="fr-FR"/>
        </w:rPr>
        <w:t xml:space="preserve"> de loi sur l</w:t>
      </w:r>
      <w:r w:rsidR="00B17AE1" w:rsidRPr="00F60A3D">
        <w:rPr>
          <w:bCs/>
          <w:color w:val="000000"/>
          <w:lang w:val="fr-FR"/>
        </w:rPr>
        <w:t>’</w:t>
      </w:r>
      <w:r w:rsidR="003A7CB7" w:rsidRPr="00F60A3D">
        <w:rPr>
          <w:bCs/>
          <w:color w:val="000000"/>
          <w:lang w:val="fr-FR"/>
        </w:rPr>
        <w:t>intégration du crime de t</w:t>
      </w:r>
      <w:r w:rsidRPr="00F60A3D">
        <w:rPr>
          <w:bCs/>
          <w:color w:val="000000"/>
          <w:lang w:val="fr-FR"/>
        </w:rPr>
        <w:t>orture dans le code pénal ordinaire</w:t>
      </w:r>
      <w:r w:rsidR="00AB0B88" w:rsidRPr="00F60A3D">
        <w:rPr>
          <w:bCs/>
          <w:color w:val="000000"/>
          <w:lang w:val="fr-FR"/>
        </w:rPr>
        <w:t xml:space="preserve"> </w:t>
      </w:r>
      <w:r w:rsidR="003A7CB7" w:rsidRPr="00F60A3D">
        <w:rPr>
          <w:bCs/>
          <w:color w:val="000000"/>
          <w:lang w:val="fr-FR"/>
        </w:rPr>
        <w:t xml:space="preserve">sont en attente devant le Parlement: </w:t>
      </w:r>
      <w:r w:rsidR="005063FC" w:rsidRPr="00F60A3D">
        <w:rPr>
          <w:bCs/>
          <w:color w:val="000000"/>
          <w:lang w:val="fr-FR"/>
        </w:rPr>
        <w:t>A.C.</w:t>
      </w:r>
      <w:r w:rsidR="00731982" w:rsidRPr="00F60A3D">
        <w:rPr>
          <w:bCs/>
          <w:color w:val="000000"/>
          <w:lang w:val="fr-FR"/>
        </w:rPr>
        <w:t xml:space="preserve"> </w:t>
      </w:r>
      <w:r w:rsidR="005063FC" w:rsidRPr="00F60A3D">
        <w:rPr>
          <w:color w:val="000000"/>
          <w:lang w:val="fr-FR"/>
        </w:rPr>
        <w:t>2769; A.C.</w:t>
      </w:r>
      <w:r w:rsidR="009376D1" w:rsidRPr="00F60A3D">
        <w:rPr>
          <w:color w:val="000000"/>
          <w:lang w:val="fr-FR"/>
        </w:rPr>
        <w:t xml:space="preserve"> </w:t>
      </w:r>
      <w:r w:rsidR="005063FC" w:rsidRPr="00F60A3D">
        <w:rPr>
          <w:color w:val="000000"/>
          <w:lang w:val="fr-FR"/>
        </w:rPr>
        <w:t>2168; A.C. 1801; A.C. 1499; A.S. 874; A. S. 849; A.C. 979/; A.S.601; A.S. 395; A.S. 388; A.S. 362; A.C. 588;</w:t>
      </w:r>
      <w:r w:rsidR="009376D1" w:rsidRPr="00F60A3D">
        <w:rPr>
          <w:color w:val="000000"/>
          <w:lang w:val="fr-FR"/>
        </w:rPr>
        <w:t xml:space="preserve"> A.S. 10; A.C.276; A.C.189; projet de loi</w:t>
      </w:r>
      <w:r w:rsidR="005063FC" w:rsidRPr="00F60A3D">
        <w:rPr>
          <w:color w:val="000000"/>
          <w:lang w:val="fr-FR"/>
        </w:rPr>
        <w:t xml:space="preserve"> 2798/C</w:t>
      </w:r>
      <w:r w:rsidR="00B114D8" w:rsidRPr="00F60A3D">
        <w:rPr>
          <w:rStyle w:val="FootnoteReference"/>
          <w:lang w:val="fr-FR"/>
        </w:rPr>
        <w:footnoteReference w:id="45"/>
      </w:r>
      <w:r w:rsidR="00462003" w:rsidRPr="00F60A3D">
        <w:rPr>
          <w:color w:val="000000"/>
          <w:lang w:val="fr-FR"/>
        </w:rPr>
        <w:t>.</w:t>
      </w:r>
    </w:p>
    <w:p w:rsidR="005063FC" w:rsidRPr="00F60A3D" w:rsidRDefault="008736B9" w:rsidP="004170A2">
      <w:pPr>
        <w:pStyle w:val="SingleTxtG"/>
        <w:rPr>
          <w:color w:val="000000"/>
          <w:lang w:val="fr-FR"/>
        </w:rPr>
      </w:pPr>
      <w:r w:rsidRPr="00F60A3D">
        <w:rPr>
          <w:color w:val="000000"/>
          <w:lang w:val="fr-FR"/>
        </w:rPr>
        <w:lastRenderedPageBreak/>
        <w:t>22</w:t>
      </w:r>
      <w:r w:rsidR="004B0161" w:rsidRPr="00F60A3D">
        <w:rPr>
          <w:color w:val="000000"/>
          <w:lang w:val="fr-FR"/>
        </w:rPr>
        <w:t>4.</w:t>
      </w:r>
      <w:r w:rsidR="004B0161" w:rsidRPr="00F60A3D">
        <w:rPr>
          <w:color w:val="000000"/>
          <w:lang w:val="fr-FR"/>
        </w:rPr>
        <w:tab/>
      </w:r>
      <w:r w:rsidR="001E4136" w:rsidRPr="00F60A3D">
        <w:rPr>
          <w:color w:val="000000"/>
          <w:lang w:val="fr-FR"/>
        </w:rPr>
        <w:t>L</w:t>
      </w:r>
      <w:r w:rsidR="002845B9" w:rsidRPr="00F60A3D">
        <w:rPr>
          <w:color w:val="000000"/>
          <w:lang w:val="fr-FR"/>
        </w:rPr>
        <w:t>es</w:t>
      </w:r>
      <w:r w:rsidR="001E4136" w:rsidRPr="00F60A3D">
        <w:rPr>
          <w:color w:val="000000"/>
          <w:lang w:val="fr-FR"/>
        </w:rPr>
        <w:t xml:space="preserve"> autres</w:t>
      </w:r>
      <w:r w:rsidR="004B0161" w:rsidRPr="00F60A3D">
        <w:rPr>
          <w:color w:val="000000"/>
          <w:lang w:val="fr-FR"/>
        </w:rPr>
        <w:t xml:space="preserve"> mesur</w:t>
      </w:r>
      <w:r w:rsidR="008F7E8E" w:rsidRPr="00F60A3D">
        <w:rPr>
          <w:color w:val="000000"/>
          <w:lang w:val="fr-FR"/>
        </w:rPr>
        <w:t xml:space="preserve">es </w:t>
      </w:r>
      <w:r w:rsidR="00C21E5B" w:rsidRPr="00F60A3D">
        <w:rPr>
          <w:color w:val="000000"/>
          <w:lang w:val="fr-FR"/>
        </w:rPr>
        <w:t>pertinentes en matière de</w:t>
      </w:r>
      <w:r w:rsidR="008F7E8E" w:rsidRPr="00F60A3D">
        <w:rPr>
          <w:color w:val="000000"/>
          <w:lang w:val="fr-FR"/>
        </w:rPr>
        <w:t xml:space="preserve"> procédure pénale sont: la loi </w:t>
      </w:r>
      <w:r w:rsidR="004170A2" w:rsidRPr="00F60A3D">
        <w:rPr>
          <w:color w:val="000000"/>
          <w:lang w:val="fr-FR"/>
        </w:rPr>
        <w:t>n</w:t>
      </w:r>
      <w:r w:rsidR="004170A2" w:rsidRPr="00F60A3D">
        <w:rPr>
          <w:color w:val="000000"/>
          <w:vertAlign w:val="superscript"/>
          <w:lang w:val="fr-FR"/>
        </w:rPr>
        <w:t>o</w:t>
      </w:r>
      <w:r w:rsidR="004170A2" w:rsidRPr="00F60A3D">
        <w:rPr>
          <w:color w:val="000000"/>
          <w:lang w:val="fr-FR"/>
        </w:rPr>
        <w:t> </w:t>
      </w:r>
      <w:r w:rsidR="008F7E8E" w:rsidRPr="00F60A3D">
        <w:rPr>
          <w:color w:val="000000"/>
          <w:lang w:val="fr-FR"/>
        </w:rPr>
        <w:t xml:space="preserve">47/2015 (visant à réduire </w:t>
      </w:r>
      <w:r w:rsidR="005D219B" w:rsidRPr="00F60A3D">
        <w:rPr>
          <w:color w:val="000000"/>
          <w:lang w:val="fr-FR"/>
        </w:rPr>
        <w:t xml:space="preserve">encore </w:t>
      </w:r>
      <w:r w:rsidR="008F7E8E" w:rsidRPr="00F60A3D">
        <w:rPr>
          <w:color w:val="000000"/>
          <w:lang w:val="fr-FR"/>
        </w:rPr>
        <w:t>le recours aux me</w:t>
      </w:r>
      <w:r w:rsidR="005D219B" w:rsidRPr="00F60A3D">
        <w:rPr>
          <w:color w:val="000000"/>
          <w:lang w:val="fr-FR"/>
        </w:rPr>
        <w:t>sures de détention préventive</w:t>
      </w:r>
      <w:r w:rsidR="008F7E8E" w:rsidRPr="00F60A3D">
        <w:rPr>
          <w:color w:val="000000"/>
          <w:lang w:val="fr-FR"/>
        </w:rPr>
        <w:t xml:space="preserve">); la loi </w:t>
      </w:r>
      <w:r w:rsidR="00B17AE1" w:rsidRPr="00F60A3D">
        <w:rPr>
          <w:color w:val="000000"/>
          <w:lang w:val="fr-FR"/>
        </w:rPr>
        <w:t>n</w:t>
      </w:r>
      <w:r w:rsidR="00B17AE1" w:rsidRPr="00F60A3D">
        <w:rPr>
          <w:color w:val="000000"/>
          <w:vertAlign w:val="superscript"/>
          <w:lang w:val="fr-FR"/>
        </w:rPr>
        <w:t>o</w:t>
      </w:r>
      <w:r w:rsidR="00B17AE1" w:rsidRPr="00F60A3D">
        <w:rPr>
          <w:color w:val="000000"/>
          <w:lang w:val="fr-FR"/>
        </w:rPr>
        <w:t> </w:t>
      </w:r>
      <w:r w:rsidR="005D219B" w:rsidRPr="00F60A3D">
        <w:rPr>
          <w:color w:val="000000"/>
          <w:lang w:val="fr-FR"/>
        </w:rPr>
        <w:t>28/2015 (cas de délits mineur</w:t>
      </w:r>
      <w:r w:rsidR="008F7E8E" w:rsidRPr="00F60A3D">
        <w:rPr>
          <w:color w:val="000000"/>
          <w:lang w:val="fr-FR"/>
        </w:rPr>
        <w:t xml:space="preserve">s); les projets de loi </w:t>
      </w:r>
      <w:r w:rsidR="00B17AE1" w:rsidRPr="00F60A3D">
        <w:rPr>
          <w:color w:val="000000"/>
          <w:lang w:val="fr-FR"/>
        </w:rPr>
        <w:t>n</w:t>
      </w:r>
      <w:r w:rsidR="00B17AE1" w:rsidRPr="00F60A3D">
        <w:rPr>
          <w:color w:val="000000"/>
          <w:vertAlign w:val="superscript"/>
          <w:lang w:val="fr-FR"/>
        </w:rPr>
        <w:t>o</w:t>
      </w:r>
      <w:r w:rsidR="00B17AE1" w:rsidRPr="00F60A3D">
        <w:rPr>
          <w:color w:val="000000"/>
          <w:lang w:val="fr-FR"/>
        </w:rPr>
        <w:t> </w:t>
      </w:r>
      <w:r w:rsidR="005063FC" w:rsidRPr="00F60A3D">
        <w:rPr>
          <w:color w:val="000000"/>
          <w:lang w:val="fr-FR"/>
        </w:rPr>
        <w:t>2798/C, 631-B/C</w:t>
      </w:r>
      <w:r w:rsidR="005063FC" w:rsidRPr="00F60A3D">
        <w:rPr>
          <w:b/>
          <w:color w:val="000000"/>
          <w:lang w:val="fr-FR"/>
        </w:rPr>
        <w:t xml:space="preserve"> </w:t>
      </w:r>
      <w:r w:rsidR="005063FC" w:rsidRPr="00F60A3D">
        <w:rPr>
          <w:color w:val="000000"/>
          <w:lang w:val="fr-FR"/>
        </w:rPr>
        <w:t>(</w:t>
      </w:r>
      <w:r w:rsidR="008F7E8E" w:rsidRPr="00F60A3D">
        <w:rPr>
          <w:color w:val="000000"/>
          <w:lang w:val="fr-FR"/>
        </w:rPr>
        <w:t xml:space="preserve">visant </w:t>
      </w:r>
      <w:r w:rsidR="005D219B" w:rsidRPr="00F60A3D">
        <w:rPr>
          <w:color w:val="000000"/>
          <w:lang w:val="fr-FR"/>
        </w:rPr>
        <w:t>à accroître l</w:t>
      </w:r>
      <w:r w:rsidR="00B17AE1" w:rsidRPr="00F60A3D">
        <w:rPr>
          <w:color w:val="000000"/>
          <w:lang w:val="fr-FR"/>
        </w:rPr>
        <w:t>’</w:t>
      </w:r>
      <w:r w:rsidR="005D219B" w:rsidRPr="00F60A3D">
        <w:rPr>
          <w:color w:val="000000"/>
          <w:lang w:val="fr-FR"/>
        </w:rPr>
        <w:t>application de</w:t>
      </w:r>
      <w:r w:rsidR="008F7E8E" w:rsidRPr="00F60A3D">
        <w:rPr>
          <w:color w:val="000000"/>
          <w:lang w:val="fr-FR"/>
        </w:rPr>
        <w:t xml:space="preserve"> mesures non privatives de liberté avant l</w:t>
      </w:r>
      <w:r w:rsidR="00B17AE1" w:rsidRPr="00F60A3D">
        <w:rPr>
          <w:color w:val="000000"/>
          <w:lang w:val="fr-FR"/>
        </w:rPr>
        <w:t>’</w:t>
      </w:r>
      <w:r w:rsidR="005D219B" w:rsidRPr="00F60A3D">
        <w:rPr>
          <w:color w:val="000000"/>
          <w:lang w:val="fr-FR"/>
        </w:rPr>
        <w:t>imposition d</w:t>
      </w:r>
      <w:r w:rsidR="00B17AE1" w:rsidRPr="00F60A3D">
        <w:rPr>
          <w:color w:val="000000"/>
          <w:lang w:val="fr-FR"/>
        </w:rPr>
        <w:t>’</w:t>
      </w:r>
      <w:r w:rsidR="005D219B" w:rsidRPr="00F60A3D">
        <w:rPr>
          <w:color w:val="000000"/>
          <w:lang w:val="fr-FR"/>
        </w:rPr>
        <w:t>une</w:t>
      </w:r>
      <w:r w:rsidR="00577B81" w:rsidRPr="00F60A3D">
        <w:rPr>
          <w:color w:val="000000"/>
          <w:lang w:val="fr-FR"/>
        </w:rPr>
        <w:t xml:space="preserve"> peine</w:t>
      </w:r>
      <w:r w:rsidR="005063FC" w:rsidRPr="00F60A3D">
        <w:rPr>
          <w:color w:val="000000"/>
          <w:lang w:val="fr-FR"/>
        </w:rPr>
        <w:t xml:space="preserve"> </w:t>
      </w:r>
      <w:r w:rsidR="005D219B" w:rsidRPr="00F60A3D">
        <w:rPr>
          <w:color w:val="000000"/>
          <w:lang w:val="fr-FR"/>
        </w:rPr>
        <w:t xml:space="preserve">et à </w:t>
      </w:r>
      <w:r w:rsidR="00C63AF4" w:rsidRPr="00F60A3D">
        <w:rPr>
          <w:color w:val="000000"/>
          <w:lang w:val="fr-FR"/>
        </w:rPr>
        <w:t>a</w:t>
      </w:r>
      <w:r w:rsidR="005D219B" w:rsidRPr="00F60A3D">
        <w:rPr>
          <w:color w:val="000000"/>
          <w:lang w:val="fr-FR"/>
        </w:rPr>
        <w:t>méliorer l</w:t>
      </w:r>
      <w:r w:rsidR="00B17AE1" w:rsidRPr="00F60A3D">
        <w:rPr>
          <w:color w:val="000000"/>
          <w:lang w:val="fr-FR"/>
        </w:rPr>
        <w:t>’</w:t>
      </w:r>
      <w:r w:rsidR="005D219B" w:rsidRPr="00F60A3D">
        <w:rPr>
          <w:color w:val="000000"/>
          <w:lang w:val="fr-FR"/>
        </w:rPr>
        <w:t>efficacité du système judiciaire en matière</w:t>
      </w:r>
      <w:r w:rsidR="00C63AF4" w:rsidRPr="00F60A3D">
        <w:rPr>
          <w:color w:val="000000"/>
          <w:lang w:val="fr-FR"/>
        </w:rPr>
        <w:t xml:space="preserve"> pénal</w:t>
      </w:r>
      <w:r w:rsidR="005D219B" w:rsidRPr="00F60A3D">
        <w:rPr>
          <w:color w:val="000000"/>
          <w:lang w:val="fr-FR"/>
        </w:rPr>
        <w:t>e</w:t>
      </w:r>
      <w:r w:rsidR="00577B81" w:rsidRPr="00F60A3D">
        <w:rPr>
          <w:color w:val="000000"/>
          <w:lang w:val="fr-FR"/>
        </w:rPr>
        <w:t>)</w:t>
      </w:r>
      <w:r w:rsidR="00C63AF4" w:rsidRPr="00F60A3D">
        <w:rPr>
          <w:color w:val="000000"/>
          <w:lang w:val="fr-FR"/>
        </w:rPr>
        <w:t xml:space="preserve">, la loi </w:t>
      </w:r>
      <w:r w:rsidR="00B17AE1" w:rsidRPr="00F60A3D">
        <w:rPr>
          <w:color w:val="000000"/>
          <w:lang w:val="fr-FR"/>
        </w:rPr>
        <w:t>n</w:t>
      </w:r>
      <w:r w:rsidR="00B17AE1" w:rsidRPr="00F60A3D">
        <w:rPr>
          <w:color w:val="000000"/>
          <w:vertAlign w:val="superscript"/>
          <w:lang w:val="fr-FR"/>
        </w:rPr>
        <w:t>o</w:t>
      </w:r>
      <w:r w:rsidR="00B17AE1" w:rsidRPr="00F60A3D">
        <w:rPr>
          <w:color w:val="000000"/>
          <w:lang w:val="fr-FR"/>
        </w:rPr>
        <w:t> </w:t>
      </w:r>
      <w:r w:rsidR="00C63AF4" w:rsidRPr="00F60A3D">
        <w:rPr>
          <w:color w:val="000000"/>
          <w:lang w:val="fr-FR"/>
        </w:rPr>
        <w:t xml:space="preserve">67/2014 (qui prévoit </w:t>
      </w:r>
      <w:r w:rsidR="00C63AF4" w:rsidRPr="00F60A3D">
        <w:rPr>
          <w:i/>
          <w:color w:val="000000"/>
          <w:lang w:val="fr-FR"/>
        </w:rPr>
        <w:t xml:space="preserve">notamment </w:t>
      </w:r>
      <w:r w:rsidR="005D219B" w:rsidRPr="00F60A3D">
        <w:rPr>
          <w:color w:val="000000"/>
          <w:lang w:val="fr-FR"/>
        </w:rPr>
        <w:t>la probation</w:t>
      </w:r>
      <w:r w:rsidR="00C63AF4" w:rsidRPr="00F60A3D">
        <w:rPr>
          <w:color w:val="000000"/>
          <w:lang w:val="fr-FR"/>
        </w:rPr>
        <w:t xml:space="preserve"> </w:t>
      </w:r>
      <w:r w:rsidR="005D219B" w:rsidRPr="00F60A3D">
        <w:rPr>
          <w:color w:val="000000"/>
          <w:lang w:val="fr-FR"/>
        </w:rPr>
        <w:t>et le regroupement d</w:t>
      </w:r>
      <w:r w:rsidR="00B17AE1" w:rsidRPr="00F60A3D">
        <w:rPr>
          <w:color w:val="000000"/>
          <w:lang w:val="fr-FR"/>
        </w:rPr>
        <w:t>’</w:t>
      </w:r>
      <w:r w:rsidR="00C63AF4" w:rsidRPr="00F60A3D">
        <w:rPr>
          <w:color w:val="000000"/>
          <w:lang w:val="fr-FR"/>
        </w:rPr>
        <w:t xml:space="preserve">infractions </w:t>
      </w:r>
      <w:r w:rsidR="00577B81" w:rsidRPr="00F60A3D">
        <w:rPr>
          <w:color w:val="000000"/>
          <w:lang w:val="fr-FR"/>
        </w:rPr>
        <w:t xml:space="preserve">mineures </w:t>
      </w:r>
      <w:r w:rsidR="005D219B" w:rsidRPr="00F60A3D">
        <w:rPr>
          <w:color w:val="000000"/>
          <w:lang w:val="fr-FR"/>
        </w:rPr>
        <w:t>pour lesquel</w:t>
      </w:r>
      <w:r w:rsidR="00577B81" w:rsidRPr="00F60A3D">
        <w:rPr>
          <w:color w:val="000000"/>
          <w:lang w:val="fr-FR"/>
        </w:rPr>
        <w:t>les la peine peut être commu</w:t>
      </w:r>
      <w:r w:rsidR="005D219B" w:rsidRPr="00F60A3D">
        <w:rPr>
          <w:color w:val="000000"/>
          <w:lang w:val="fr-FR"/>
        </w:rPr>
        <w:t>ée</w:t>
      </w:r>
      <w:r w:rsidR="00C63AF4" w:rsidRPr="00F60A3D">
        <w:rPr>
          <w:color w:val="000000"/>
          <w:lang w:val="fr-FR"/>
        </w:rPr>
        <w:t xml:space="preserve"> en sanction administrative</w:t>
      </w:r>
      <w:r w:rsidR="005D219B" w:rsidRPr="00F60A3D">
        <w:rPr>
          <w:color w:val="000000"/>
          <w:lang w:val="fr-FR"/>
        </w:rPr>
        <w:t xml:space="preserve">); le décret-loi </w:t>
      </w:r>
      <w:r w:rsidR="00B17AE1" w:rsidRPr="00F60A3D">
        <w:rPr>
          <w:color w:val="000000"/>
          <w:lang w:val="fr-FR"/>
        </w:rPr>
        <w:t>n</w:t>
      </w:r>
      <w:r w:rsidR="00B17AE1" w:rsidRPr="00F60A3D">
        <w:rPr>
          <w:color w:val="000000"/>
          <w:vertAlign w:val="superscript"/>
          <w:lang w:val="fr-FR"/>
        </w:rPr>
        <w:t>o</w:t>
      </w:r>
      <w:r w:rsidR="00B17AE1" w:rsidRPr="00F60A3D">
        <w:rPr>
          <w:color w:val="000000"/>
          <w:lang w:val="fr-FR"/>
        </w:rPr>
        <w:t> </w:t>
      </w:r>
      <w:r w:rsidR="005D219B" w:rsidRPr="00F60A3D">
        <w:rPr>
          <w:color w:val="000000"/>
          <w:lang w:val="fr-FR"/>
        </w:rPr>
        <w:t>146/2013 relatif à</w:t>
      </w:r>
      <w:r w:rsidR="00C63AF4" w:rsidRPr="00F60A3D">
        <w:rPr>
          <w:color w:val="000000"/>
          <w:lang w:val="fr-FR"/>
        </w:rPr>
        <w:t xml:space="preserve"> l</w:t>
      </w:r>
      <w:r w:rsidR="00B17AE1" w:rsidRPr="00F60A3D">
        <w:rPr>
          <w:color w:val="000000"/>
          <w:lang w:val="fr-FR"/>
        </w:rPr>
        <w:t>’</w:t>
      </w:r>
      <w:r w:rsidR="00C63AF4" w:rsidRPr="00F60A3D">
        <w:rPr>
          <w:color w:val="000000"/>
          <w:lang w:val="fr-FR"/>
        </w:rPr>
        <w:t xml:space="preserve">extension </w:t>
      </w:r>
      <w:r w:rsidR="005D219B" w:rsidRPr="00F60A3D">
        <w:rPr>
          <w:color w:val="000000"/>
          <w:lang w:val="fr-FR"/>
        </w:rPr>
        <w:t xml:space="preserve">du port </w:t>
      </w:r>
      <w:r w:rsidR="00C63AF4" w:rsidRPr="00F60A3D">
        <w:rPr>
          <w:color w:val="000000"/>
          <w:lang w:val="fr-FR"/>
        </w:rPr>
        <w:t>du brace</w:t>
      </w:r>
      <w:r w:rsidR="00967EFF" w:rsidRPr="00F60A3D">
        <w:rPr>
          <w:color w:val="000000"/>
          <w:lang w:val="fr-FR"/>
        </w:rPr>
        <w:t>le</w:t>
      </w:r>
      <w:r w:rsidR="00C63AF4" w:rsidRPr="00F60A3D">
        <w:rPr>
          <w:color w:val="000000"/>
          <w:lang w:val="fr-FR"/>
        </w:rPr>
        <w:t>t</w:t>
      </w:r>
      <w:r w:rsidR="0036457A" w:rsidRPr="00F60A3D">
        <w:rPr>
          <w:color w:val="000000"/>
          <w:lang w:val="fr-FR"/>
        </w:rPr>
        <w:t xml:space="preserve"> électronique pour les personnes</w:t>
      </w:r>
      <w:r w:rsidR="00C63AF4" w:rsidRPr="00F60A3D">
        <w:rPr>
          <w:color w:val="000000"/>
          <w:lang w:val="fr-FR"/>
        </w:rPr>
        <w:t xml:space="preserve"> assigné</w:t>
      </w:r>
      <w:r w:rsidR="0036457A" w:rsidRPr="00F60A3D">
        <w:rPr>
          <w:color w:val="000000"/>
          <w:lang w:val="fr-FR"/>
        </w:rPr>
        <w:t>e</w:t>
      </w:r>
      <w:r w:rsidR="00C63AF4" w:rsidRPr="00F60A3D">
        <w:rPr>
          <w:color w:val="000000"/>
          <w:lang w:val="fr-FR"/>
        </w:rPr>
        <w:t xml:space="preserve">s à résidence; le décret-loi </w:t>
      </w:r>
      <w:r w:rsidR="004170A2" w:rsidRPr="00F60A3D">
        <w:rPr>
          <w:color w:val="000000"/>
          <w:lang w:val="fr-FR"/>
        </w:rPr>
        <w:t>n</w:t>
      </w:r>
      <w:r w:rsidR="004170A2" w:rsidRPr="00F60A3D">
        <w:rPr>
          <w:color w:val="000000"/>
          <w:vertAlign w:val="superscript"/>
          <w:lang w:val="fr-FR"/>
        </w:rPr>
        <w:t>o</w:t>
      </w:r>
      <w:r w:rsidR="004170A2" w:rsidRPr="00F60A3D">
        <w:rPr>
          <w:color w:val="000000"/>
          <w:lang w:val="fr-FR"/>
        </w:rPr>
        <w:t> </w:t>
      </w:r>
      <w:r w:rsidR="005063FC" w:rsidRPr="00F60A3D">
        <w:rPr>
          <w:color w:val="000000"/>
          <w:lang w:val="fr-FR"/>
        </w:rPr>
        <w:t>101/</w:t>
      </w:r>
      <w:r w:rsidR="00967EFF" w:rsidRPr="00F60A3D">
        <w:rPr>
          <w:color w:val="000000"/>
          <w:lang w:val="fr-FR"/>
        </w:rPr>
        <w:t xml:space="preserve">2014, </w:t>
      </w:r>
      <w:r w:rsidR="005D219B" w:rsidRPr="00F60A3D">
        <w:rPr>
          <w:color w:val="000000"/>
          <w:lang w:val="fr-FR"/>
        </w:rPr>
        <w:t>transposant</w:t>
      </w:r>
      <w:r w:rsidR="00590695" w:rsidRPr="00F60A3D">
        <w:rPr>
          <w:color w:val="000000"/>
          <w:lang w:val="fr-FR"/>
        </w:rPr>
        <w:t xml:space="preserve"> la directive 2012/13/</w:t>
      </w:r>
      <w:r w:rsidR="005063FC" w:rsidRPr="00F60A3D">
        <w:rPr>
          <w:color w:val="000000"/>
          <w:lang w:val="fr-FR"/>
        </w:rPr>
        <w:t>U</w:t>
      </w:r>
      <w:r w:rsidR="00590695" w:rsidRPr="00F60A3D">
        <w:rPr>
          <w:color w:val="000000"/>
          <w:lang w:val="fr-FR"/>
        </w:rPr>
        <w:t>E</w:t>
      </w:r>
      <w:r w:rsidR="005063FC" w:rsidRPr="00F60A3D">
        <w:rPr>
          <w:color w:val="000000"/>
          <w:lang w:val="fr-FR"/>
        </w:rPr>
        <w:t xml:space="preserve"> </w:t>
      </w:r>
      <w:r w:rsidR="005D219B" w:rsidRPr="00F60A3D">
        <w:rPr>
          <w:color w:val="000000"/>
          <w:lang w:val="fr-FR"/>
        </w:rPr>
        <w:t>relative au droit à l</w:t>
      </w:r>
      <w:r w:rsidR="00B17AE1" w:rsidRPr="00F60A3D">
        <w:rPr>
          <w:color w:val="000000"/>
          <w:lang w:val="fr-FR"/>
        </w:rPr>
        <w:t>’</w:t>
      </w:r>
      <w:r w:rsidR="005D219B" w:rsidRPr="00F60A3D">
        <w:rPr>
          <w:color w:val="000000"/>
          <w:lang w:val="fr-FR"/>
        </w:rPr>
        <w:t>information dans le cadre</w:t>
      </w:r>
      <w:r w:rsidR="00590695" w:rsidRPr="00F60A3D">
        <w:rPr>
          <w:color w:val="000000"/>
          <w:lang w:val="fr-FR"/>
        </w:rPr>
        <w:t xml:space="preserve"> des pr</w:t>
      </w:r>
      <w:r w:rsidR="0036457A" w:rsidRPr="00F60A3D">
        <w:rPr>
          <w:color w:val="000000"/>
          <w:lang w:val="fr-FR"/>
        </w:rPr>
        <w:t xml:space="preserve">océdures pénales, </w:t>
      </w:r>
      <w:r w:rsidR="008403AF" w:rsidRPr="00F60A3D">
        <w:rPr>
          <w:color w:val="000000"/>
          <w:lang w:val="fr-FR"/>
        </w:rPr>
        <w:t>qui porte</w:t>
      </w:r>
      <w:r w:rsidR="0036457A" w:rsidRPr="00F60A3D">
        <w:rPr>
          <w:color w:val="000000"/>
          <w:lang w:val="fr-FR"/>
        </w:rPr>
        <w:t xml:space="preserve"> modification du</w:t>
      </w:r>
      <w:r w:rsidR="00590695" w:rsidRPr="00F60A3D">
        <w:rPr>
          <w:color w:val="000000"/>
          <w:lang w:val="fr-FR"/>
        </w:rPr>
        <w:t xml:space="preserve"> Code de p</w:t>
      </w:r>
      <w:r w:rsidR="008403AF" w:rsidRPr="00F60A3D">
        <w:rPr>
          <w:color w:val="000000"/>
          <w:lang w:val="fr-FR"/>
        </w:rPr>
        <w:t>rocédure pénale en prévoyant, à titre de</w:t>
      </w:r>
      <w:r w:rsidR="00590695" w:rsidRPr="00F60A3D">
        <w:rPr>
          <w:color w:val="000000"/>
          <w:lang w:val="fr-FR"/>
        </w:rPr>
        <w:t xml:space="preserve"> règle générale, la présentation par écrit d</w:t>
      </w:r>
      <w:r w:rsidR="00B17AE1" w:rsidRPr="00F60A3D">
        <w:rPr>
          <w:color w:val="000000"/>
          <w:lang w:val="fr-FR"/>
        </w:rPr>
        <w:t>’</w:t>
      </w:r>
      <w:r w:rsidR="00590695" w:rsidRPr="00F60A3D">
        <w:rPr>
          <w:color w:val="000000"/>
          <w:lang w:val="fr-FR"/>
        </w:rPr>
        <w:t>une list</w:t>
      </w:r>
      <w:r w:rsidR="0036457A" w:rsidRPr="00F60A3D">
        <w:rPr>
          <w:color w:val="000000"/>
          <w:lang w:val="fr-FR"/>
        </w:rPr>
        <w:t>e de</w:t>
      </w:r>
      <w:r w:rsidR="008403AF" w:rsidRPr="00F60A3D">
        <w:rPr>
          <w:color w:val="000000"/>
          <w:lang w:val="fr-FR"/>
        </w:rPr>
        <w:t>s</w:t>
      </w:r>
      <w:r w:rsidR="0036457A" w:rsidRPr="00F60A3D">
        <w:rPr>
          <w:color w:val="000000"/>
          <w:lang w:val="fr-FR"/>
        </w:rPr>
        <w:t xml:space="preserve"> droits auxquels le prévenu</w:t>
      </w:r>
      <w:r w:rsidR="00590695" w:rsidRPr="00F60A3D">
        <w:rPr>
          <w:color w:val="000000"/>
          <w:lang w:val="fr-FR"/>
        </w:rPr>
        <w:t xml:space="preserve"> est habilité</w:t>
      </w:r>
      <w:r w:rsidR="00B114D8" w:rsidRPr="00F60A3D">
        <w:rPr>
          <w:rStyle w:val="FootnoteReference"/>
          <w:lang w:val="fr-FR"/>
        </w:rPr>
        <w:footnoteReference w:id="46"/>
      </w:r>
      <w:r w:rsidR="0037034D" w:rsidRPr="00F60A3D">
        <w:rPr>
          <w:color w:val="000000"/>
          <w:lang w:val="fr-FR"/>
        </w:rPr>
        <w:t>.</w:t>
      </w:r>
      <w:r w:rsidR="005063FC" w:rsidRPr="00F60A3D">
        <w:rPr>
          <w:color w:val="000000"/>
          <w:lang w:val="fr-FR"/>
        </w:rPr>
        <w:t xml:space="preserve"> </w:t>
      </w:r>
    </w:p>
    <w:p w:rsidR="005063FC" w:rsidRPr="00F60A3D" w:rsidRDefault="008736B9" w:rsidP="00A70210">
      <w:pPr>
        <w:pStyle w:val="SingleTxtG"/>
        <w:rPr>
          <w:rFonts w:eastAsia="MS ??"/>
          <w:b/>
          <w:bCs/>
          <w:lang w:val="fr-FR"/>
        </w:rPr>
      </w:pPr>
      <w:r w:rsidRPr="00F60A3D">
        <w:rPr>
          <w:lang w:val="fr-FR"/>
        </w:rPr>
        <w:t>22</w:t>
      </w:r>
      <w:r w:rsidR="005063FC" w:rsidRPr="00F60A3D">
        <w:rPr>
          <w:lang w:val="fr-FR"/>
        </w:rPr>
        <w:t>5.</w:t>
      </w:r>
      <w:r w:rsidR="005063FC" w:rsidRPr="00F60A3D">
        <w:rPr>
          <w:lang w:val="fr-FR"/>
        </w:rPr>
        <w:tab/>
      </w:r>
      <w:r w:rsidR="00984745" w:rsidRPr="00F60A3D">
        <w:rPr>
          <w:lang w:val="fr-FR"/>
        </w:rPr>
        <w:t>En matière</w:t>
      </w:r>
      <w:r w:rsidR="008403AF" w:rsidRPr="00F60A3D">
        <w:rPr>
          <w:lang w:val="fr-FR"/>
        </w:rPr>
        <w:t xml:space="preserve"> de nouveautés, il convient de</w:t>
      </w:r>
      <w:r w:rsidR="00967EFF" w:rsidRPr="00F60A3D">
        <w:rPr>
          <w:lang w:val="fr-FR"/>
        </w:rPr>
        <w:t xml:space="preserve"> mentionner le projet de loi dit</w:t>
      </w:r>
      <w:r w:rsidR="00694D1B" w:rsidRPr="00F60A3D">
        <w:rPr>
          <w:rFonts w:eastAsia="MS ??"/>
          <w:lang w:val="fr-FR"/>
        </w:rPr>
        <w:t xml:space="preserve"> Costa (</w:t>
      </w:r>
      <w:r w:rsidR="005063FC" w:rsidRPr="00F60A3D">
        <w:rPr>
          <w:rFonts w:eastAsia="MS ??"/>
          <w:lang w:val="fr-FR"/>
        </w:rPr>
        <w:t xml:space="preserve">A.C.925-B), </w:t>
      </w:r>
      <w:r w:rsidR="00147F7C" w:rsidRPr="00F60A3D">
        <w:rPr>
          <w:rFonts w:eastAsia="MS ??"/>
          <w:lang w:val="fr-FR"/>
        </w:rPr>
        <w:t>actuellement devant le S</w:t>
      </w:r>
      <w:r w:rsidR="00461BDF" w:rsidRPr="00F60A3D">
        <w:rPr>
          <w:rFonts w:eastAsia="MS ??"/>
          <w:lang w:val="fr-FR"/>
        </w:rPr>
        <w:t>éna</w:t>
      </w:r>
      <w:r w:rsidR="00147F7C" w:rsidRPr="00F60A3D">
        <w:rPr>
          <w:rFonts w:eastAsia="MS ??"/>
          <w:lang w:val="fr-FR"/>
        </w:rPr>
        <w:t>t</w:t>
      </w:r>
      <w:r w:rsidR="00461BDF" w:rsidRPr="00F60A3D">
        <w:rPr>
          <w:rFonts w:eastAsia="MS ??"/>
          <w:lang w:val="fr-FR"/>
        </w:rPr>
        <w:t xml:space="preserve"> et </w:t>
      </w:r>
      <w:r w:rsidR="00147F7C" w:rsidRPr="00F60A3D">
        <w:rPr>
          <w:rFonts w:eastAsia="MS ??"/>
          <w:lang w:val="fr-FR"/>
        </w:rPr>
        <w:t>destiné</w:t>
      </w:r>
      <w:r w:rsidR="008403AF" w:rsidRPr="00F60A3D">
        <w:rPr>
          <w:rFonts w:eastAsia="MS ??"/>
          <w:lang w:val="fr-FR"/>
        </w:rPr>
        <w:t xml:space="preserve"> à limiter le recours aux</w:t>
      </w:r>
      <w:r w:rsidR="00461BDF" w:rsidRPr="00F60A3D">
        <w:rPr>
          <w:rFonts w:eastAsia="MS ??"/>
          <w:lang w:val="fr-FR"/>
        </w:rPr>
        <w:t xml:space="preserve"> sa</w:t>
      </w:r>
      <w:r w:rsidR="00147F7C" w:rsidRPr="00F60A3D">
        <w:rPr>
          <w:rFonts w:eastAsia="MS ??"/>
          <w:lang w:val="fr-FR"/>
        </w:rPr>
        <w:t>n</w:t>
      </w:r>
      <w:r w:rsidR="008403AF" w:rsidRPr="00F60A3D">
        <w:rPr>
          <w:rFonts w:eastAsia="MS ??"/>
          <w:lang w:val="fr-FR"/>
        </w:rPr>
        <w:t>ctions pénales en cas de</w:t>
      </w:r>
      <w:r w:rsidR="00461BDF" w:rsidRPr="00F60A3D">
        <w:rPr>
          <w:rFonts w:eastAsia="MS ??"/>
          <w:lang w:val="fr-FR"/>
        </w:rPr>
        <w:t xml:space="preserve"> diffamation et</w:t>
      </w:r>
      <w:r w:rsidR="008403AF" w:rsidRPr="00F60A3D">
        <w:rPr>
          <w:rFonts w:eastAsia="MS ??"/>
          <w:lang w:val="fr-FR"/>
        </w:rPr>
        <w:t xml:space="preserve"> à</w:t>
      </w:r>
      <w:r w:rsidR="00461BDF" w:rsidRPr="00F60A3D">
        <w:rPr>
          <w:rFonts w:eastAsia="MS ??"/>
          <w:lang w:val="fr-FR"/>
        </w:rPr>
        <w:t xml:space="preserve"> sup</w:t>
      </w:r>
      <w:r w:rsidR="00147F7C" w:rsidRPr="00F60A3D">
        <w:rPr>
          <w:rFonts w:eastAsia="MS ??"/>
          <w:lang w:val="fr-FR"/>
        </w:rPr>
        <w:t>p</w:t>
      </w:r>
      <w:r w:rsidR="00461BDF" w:rsidRPr="00F60A3D">
        <w:rPr>
          <w:rFonts w:eastAsia="MS ??"/>
          <w:lang w:val="fr-FR"/>
        </w:rPr>
        <w:t>rimer l</w:t>
      </w:r>
      <w:r w:rsidR="008403AF" w:rsidRPr="00F60A3D">
        <w:rPr>
          <w:rFonts w:eastAsia="MS ??"/>
          <w:lang w:val="fr-FR"/>
        </w:rPr>
        <w:t>a peine d</w:t>
      </w:r>
      <w:r w:rsidR="00B17AE1" w:rsidRPr="00F60A3D">
        <w:rPr>
          <w:rFonts w:eastAsia="MS ??"/>
          <w:lang w:val="fr-FR"/>
        </w:rPr>
        <w:t>’</w:t>
      </w:r>
      <w:r w:rsidR="00461BDF" w:rsidRPr="00F60A3D">
        <w:rPr>
          <w:rFonts w:eastAsia="MS ??"/>
          <w:lang w:val="fr-FR"/>
        </w:rPr>
        <w:t>emprisonn</w:t>
      </w:r>
      <w:r w:rsidR="00147F7C" w:rsidRPr="00F60A3D">
        <w:rPr>
          <w:rFonts w:eastAsia="MS ??"/>
          <w:lang w:val="fr-FR"/>
        </w:rPr>
        <w:t>e</w:t>
      </w:r>
      <w:r w:rsidR="00461BDF" w:rsidRPr="00F60A3D">
        <w:rPr>
          <w:rFonts w:eastAsia="MS ??"/>
          <w:lang w:val="fr-FR"/>
        </w:rPr>
        <w:t>men</w:t>
      </w:r>
      <w:r w:rsidR="0037034D" w:rsidRPr="00F60A3D">
        <w:rPr>
          <w:rFonts w:eastAsia="MS ??"/>
          <w:bCs/>
          <w:lang w:val="fr-FR"/>
        </w:rPr>
        <w:t>t</w:t>
      </w:r>
      <w:r w:rsidR="00B114D8" w:rsidRPr="00F60A3D">
        <w:rPr>
          <w:rStyle w:val="FootnoteReference"/>
          <w:lang w:val="fr-FR"/>
        </w:rPr>
        <w:footnoteReference w:id="47"/>
      </w:r>
      <w:r w:rsidR="0037034D" w:rsidRPr="00F60A3D">
        <w:rPr>
          <w:rFonts w:eastAsia="MS ??"/>
          <w:b/>
          <w:bCs/>
          <w:lang w:val="fr-FR"/>
        </w:rPr>
        <w:t>.</w:t>
      </w:r>
    </w:p>
    <w:p w:rsidR="0036457A" w:rsidRPr="00F60A3D" w:rsidRDefault="008736B9" w:rsidP="00A70210">
      <w:pPr>
        <w:pStyle w:val="SingleTxtG"/>
        <w:rPr>
          <w:lang w:val="fr-FR"/>
        </w:rPr>
      </w:pPr>
      <w:r w:rsidRPr="00F60A3D">
        <w:rPr>
          <w:lang w:val="fr-FR"/>
        </w:rPr>
        <w:t>22</w:t>
      </w:r>
      <w:r w:rsidR="0036457A" w:rsidRPr="00F60A3D">
        <w:rPr>
          <w:lang w:val="fr-FR"/>
        </w:rPr>
        <w:t>6.</w:t>
      </w:r>
      <w:r w:rsidR="0036457A" w:rsidRPr="00F60A3D">
        <w:rPr>
          <w:lang w:val="fr-FR"/>
        </w:rPr>
        <w:tab/>
        <w:t>Le P</w:t>
      </w:r>
      <w:r w:rsidR="00147F7C" w:rsidRPr="00F60A3D">
        <w:rPr>
          <w:lang w:val="fr-FR"/>
        </w:rPr>
        <w:t xml:space="preserve">arlement italien travaille par ailleurs à </w:t>
      </w:r>
      <w:r w:rsidR="009C356B" w:rsidRPr="00F60A3D">
        <w:rPr>
          <w:lang w:val="fr-FR"/>
        </w:rPr>
        <w:t>la transposition de la Décision-</w:t>
      </w:r>
      <w:r w:rsidR="00147F7C" w:rsidRPr="00F60A3D">
        <w:rPr>
          <w:lang w:val="fr-FR"/>
        </w:rPr>
        <w:t>cadre</w:t>
      </w:r>
      <w:r w:rsidR="00731982" w:rsidRPr="00F60A3D">
        <w:rPr>
          <w:lang w:val="fr-FR"/>
        </w:rPr>
        <w:t xml:space="preserve"> </w:t>
      </w:r>
      <w:r w:rsidR="009C356B" w:rsidRPr="00F60A3D">
        <w:rPr>
          <w:lang w:val="fr-FR"/>
        </w:rPr>
        <w:t xml:space="preserve">2008/913/JHA </w:t>
      </w:r>
      <w:r w:rsidR="00147F7C" w:rsidRPr="00F60A3D">
        <w:rPr>
          <w:lang w:val="fr-FR"/>
        </w:rPr>
        <w:t>du Conseil de l</w:t>
      </w:r>
      <w:r w:rsidR="00B17AE1" w:rsidRPr="00F60A3D">
        <w:rPr>
          <w:lang w:val="fr-FR"/>
        </w:rPr>
        <w:t>’</w:t>
      </w:r>
      <w:r w:rsidR="00147F7C" w:rsidRPr="00F60A3D">
        <w:rPr>
          <w:lang w:val="fr-FR"/>
        </w:rPr>
        <w:t>U</w:t>
      </w:r>
      <w:r w:rsidR="009C356B" w:rsidRPr="00F60A3D">
        <w:rPr>
          <w:lang w:val="fr-FR"/>
        </w:rPr>
        <w:t>nion européenne,</w:t>
      </w:r>
      <w:r w:rsidR="005063FC" w:rsidRPr="00F60A3D">
        <w:rPr>
          <w:lang w:val="fr-FR"/>
        </w:rPr>
        <w:t xml:space="preserve"> </w:t>
      </w:r>
      <w:r w:rsidR="009C356B" w:rsidRPr="00F60A3D">
        <w:rPr>
          <w:lang w:val="fr-FR"/>
        </w:rPr>
        <w:t>en définissant de nouvelles</w:t>
      </w:r>
      <w:r w:rsidR="0036457A" w:rsidRPr="00F60A3D">
        <w:rPr>
          <w:lang w:val="fr-FR"/>
        </w:rPr>
        <w:t xml:space="preserve"> infractions tel</w:t>
      </w:r>
      <w:r w:rsidR="009C356B" w:rsidRPr="00F60A3D">
        <w:rPr>
          <w:lang w:val="fr-FR"/>
        </w:rPr>
        <w:t>le</w:t>
      </w:r>
      <w:r w:rsidR="0036457A" w:rsidRPr="00F60A3D">
        <w:rPr>
          <w:lang w:val="fr-FR"/>
        </w:rPr>
        <w:t>s</w:t>
      </w:r>
      <w:r w:rsidR="009C356B" w:rsidRPr="00F60A3D">
        <w:rPr>
          <w:lang w:val="fr-FR"/>
        </w:rPr>
        <w:t xml:space="preserve"> que </w:t>
      </w:r>
      <w:r w:rsidR="0036457A" w:rsidRPr="00F60A3D">
        <w:rPr>
          <w:lang w:val="fr-FR"/>
        </w:rPr>
        <w:t>le fait de caution</w:t>
      </w:r>
      <w:r w:rsidR="009310C5" w:rsidRPr="00F60A3D">
        <w:rPr>
          <w:lang w:val="fr-FR"/>
        </w:rPr>
        <w:t>n</w:t>
      </w:r>
      <w:r w:rsidR="0036457A" w:rsidRPr="00F60A3D">
        <w:rPr>
          <w:lang w:val="fr-FR"/>
        </w:rPr>
        <w:t>er</w:t>
      </w:r>
      <w:r w:rsidR="009C356B" w:rsidRPr="00F60A3D">
        <w:rPr>
          <w:lang w:val="fr-FR"/>
        </w:rPr>
        <w:t xml:space="preserve"> publiquement des crimes de génocide, des crimes contre l</w:t>
      </w:r>
      <w:r w:rsidR="00B17AE1" w:rsidRPr="00F60A3D">
        <w:rPr>
          <w:lang w:val="fr-FR"/>
        </w:rPr>
        <w:t>’</w:t>
      </w:r>
      <w:r w:rsidR="009C356B" w:rsidRPr="00F60A3D">
        <w:rPr>
          <w:lang w:val="fr-FR"/>
        </w:rPr>
        <w:t>humanité ou des crimes de guerre, d</w:t>
      </w:r>
      <w:r w:rsidR="00B17AE1" w:rsidRPr="00F60A3D">
        <w:rPr>
          <w:lang w:val="fr-FR"/>
        </w:rPr>
        <w:t>’</w:t>
      </w:r>
      <w:r w:rsidR="009C356B" w:rsidRPr="00F60A3D">
        <w:rPr>
          <w:lang w:val="fr-FR"/>
        </w:rPr>
        <w:t>en nier l</w:t>
      </w:r>
      <w:r w:rsidR="00B17AE1" w:rsidRPr="00F60A3D">
        <w:rPr>
          <w:lang w:val="fr-FR"/>
        </w:rPr>
        <w:t>’</w:t>
      </w:r>
      <w:r w:rsidR="009C356B" w:rsidRPr="00F60A3D">
        <w:rPr>
          <w:lang w:val="fr-FR"/>
        </w:rPr>
        <w:t>existence ou de les banaliser.</w:t>
      </w:r>
      <w:r w:rsidR="00731982" w:rsidRPr="00F60A3D">
        <w:rPr>
          <w:lang w:val="fr-FR"/>
        </w:rPr>
        <w:t xml:space="preserve"> </w:t>
      </w:r>
    </w:p>
    <w:p w:rsidR="005063FC" w:rsidRPr="00F60A3D" w:rsidRDefault="008736B9" w:rsidP="0090228A">
      <w:pPr>
        <w:pStyle w:val="SingleTxtG"/>
        <w:rPr>
          <w:rFonts w:eastAsia="MS ??"/>
          <w:bCs/>
          <w:lang w:val="fr-FR"/>
        </w:rPr>
      </w:pPr>
      <w:r w:rsidRPr="00F60A3D">
        <w:rPr>
          <w:rFonts w:eastAsia="MS ??"/>
          <w:bCs/>
          <w:lang w:val="fr-FR"/>
        </w:rPr>
        <w:t>22</w:t>
      </w:r>
      <w:r w:rsidR="0036457A" w:rsidRPr="00F60A3D">
        <w:rPr>
          <w:rFonts w:eastAsia="MS ??"/>
          <w:bCs/>
          <w:lang w:val="fr-FR"/>
        </w:rPr>
        <w:t>7.</w:t>
      </w:r>
      <w:r w:rsidR="0036457A" w:rsidRPr="00F60A3D">
        <w:rPr>
          <w:rFonts w:eastAsia="MS ??"/>
          <w:bCs/>
          <w:lang w:val="fr-FR"/>
        </w:rPr>
        <w:tab/>
        <w:t>S</w:t>
      </w:r>
      <w:r w:rsidR="00B17AE1" w:rsidRPr="00F60A3D">
        <w:rPr>
          <w:rFonts w:eastAsia="MS ??"/>
          <w:bCs/>
          <w:lang w:val="fr-FR"/>
        </w:rPr>
        <w:t>’</w:t>
      </w:r>
      <w:r w:rsidR="0036457A" w:rsidRPr="00F60A3D">
        <w:rPr>
          <w:rFonts w:eastAsia="MS ??"/>
          <w:bCs/>
          <w:lang w:val="fr-FR"/>
        </w:rPr>
        <w:t>agissant de la législation relative à la</w:t>
      </w:r>
      <w:r w:rsidR="0036457A" w:rsidRPr="00F60A3D">
        <w:rPr>
          <w:rFonts w:eastAsia="MS ??"/>
          <w:b/>
          <w:bCs/>
          <w:lang w:val="fr-FR"/>
        </w:rPr>
        <w:t xml:space="preserve"> </w:t>
      </w:r>
      <w:r w:rsidR="0036457A" w:rsidRPr="00F60A3D">
        <w:rPr>
          <w:rFonts w:eastAsia="MS ??"/>
          <w:bCs/>
          <w:lang w:val="fr-FR"/>
        </w:rPr>
        <w:t>protection des Roms</w:t>
      </w:r>
      <w:r w:rsidR="005063FC" w:rsidRPr="00F60A3D">
        <w:rPr>
          <w:rFonts w:eastAsia="MS ??"/>
          <w:bCs/>
          <w:lang w:val="fr-FR"/>
        </w:rPr>
        <w:t>,</w:t>
      </w:r>
      <w:r w:rsidR="005063FC" w:rsidRPr="00F60A3D">
        <w:rPr>
          <w:rFonts w:eastAsia="MS ??"/>
          <w:b/>
          <w:bCs/>
          <w:lang w:val="fr-FR"/>
        </w:rPr>
        <w:t xml:space="preserve"> </w:t>
      </w:r>
      <w:r w:rsidR="005D4CBF" w:rsidRPr="00F60A3D">
        <w:rPr>
          <w:rFonts w:eastAsia="MS ??"/>
          <w:bCs/>
          <w:lang w:val="fr-FR"/>
        </w:rPr>
        <w:t>divers projet</w:t>
      </w:r>
      <w:r w:rsidR="0036457A" w:rsidRPr="00F60A3D">
        <w:rPr>
          <w:rFonts w:eastAsia="MS ??"/>
          <w:bCs/>
          <w:lang w:val="fr-FR"/>
        </w:rPr>
        <w:t xml:space="preserve">s de loi pertinents </w:t>
      </w:r>
      <w:r w:rsidR="008A2C8F" w:rsidRPr="00F60A3D">
        <w:rPr>
          <w:rFonts w:eastAsia="MS ??"/>
          <w:bCs/>
          <w:lang w:val="fr-FR"/>
        </w:rPr>
        <w:t>son</w:t>
      </w:r>
      <w:r w:rsidR="0036457A" w:rsidRPr="00F60A3D">
        <w:rPr>
          <w:rFonts w:eastAsia="MS ??"/>
          <w:bCs/>
          <w:lang w:val="fr-FR"/>
        </w:rPr>
        <w:t>t</w:t>
      </w:r>
      <w:r w:rsidR="008A2C8F" w:rsidRPr="00F60A3D">
        <w:rPr>
          <w:rFonts w:eastAsia="MS ??"/>
          <w:bCs/>
          <w:lang w:val="fr-FR"/>
        </w:rPr>
        <w:t xml:space="preserve"> </w:t>
      </w:r>
      <w:r w:rsidR="0036457A" w:rsidRPr="00F60A3D">
        <w:rPr>
          <w:rFonts w:eastAsia="MS ??"/>
          <w:bCs/>
          <w:lang w:val="fr-FR"/>
        </w:rPr>
        <w:t>en attente devant le Parlement: le</w:t>
      </w:r>
      <w:r w:rsidR="005D4CBF" w:rsidRPr="00F60A3D">
        <w:rPr>
          <w:rFonts w:eastAsia="MS ??"/>
          <w:bCs/>
          <w:lang w:val="fr-FR"/>
        </w:rPr>
        <w:t xml:space="preserve"> projet de loi </w:t>
      </w:r>
      <w:r w:rsidR="00B17AE1" w:rsidRPr="00F60A3D">
        <w:rPr>
          <w:rFonts w:eastAsia="MS ??"/>
          <w:bCs/>
          <w:lang w:val="fr-FR"/>
        </w:rPr>
        <w:t>n</w:t>
      </w:r>
      <w:r w:rsidR="00B17AE1" w:rsidRPr="00F60A3D">
        <w:rPr>
          <w:rFonts w:eastAsia="MS ??"/>
          <w:bCs/>
          <w:vertAlign w:val="superscript"/>
          <w:lang w:val="fr-FR"/>
        </w:rPr>
        <w:t>o</w:t>
      </w:r>
      <w:r w:rsidR="00B17AE1" w:rsidRPr="00F60A3D">
        <w:rPr>
          <w:rFonts w:eastAsia="MS ??"/>
          <w:bCs/>
          <w:lang w:val="fr-FR"/>
        </w:rPr>
        <w:t> </w:t>
      </w:r>
      <w:r w:rsidR="005D4CBF" w:rsidRPr="00F60A3D">
        <w:rPr>
          <w:rFonts w:eastAsia="MS ??"/>
          <w:bCs/>
          <w:lang w:val="fr-FR"/>
        </w:rPr>
        <w:t>2858, en application</w:t>
      </w:r>
      <w:r w:rsidR="0036457A" w:rsidRPr="00F60A3D">
        <w:rPr>
          <w:rFonts w:eastAsia="MS ??"/>
          <w:bCs/>
          <w:lang w:val="fr-FR"/>
        </w:rPr>
        <w:t xml:space="preserve"> de l</w:t>
      </w:r>
      <w:r w:rsidR="00B17AE1" w:rsidRPr="00F60A3D">
        <w:rPr>
          <w:rFonts w:eastAsia="MS ??"/>
          <w:bCs/>
          <w:lang w:val="fr-FR"/>
        </w:rPr>
        <w:t>’</w:t>
      </w:r>
      <w:r w:rsidR="00D26282" w:rsidRPr="00F60A3D">
        <w:rPr>
          <w:rFonts w:eastAsia="MS ??"/>
          <w:bCs/>
          <w:lang w:val="fr-FR"/>
        </w:rPr>
        <w:t>article </w:t>
      </w:r>
      <w:r w:rsidR="0036457A" w:rsidRPr="00F60A3D">
        <w:rPr>
          <w:rFonts w:eastAsia="MS ??"/>
          <w:bCs/>
          <w:lang w:val="fr-FR"/>
        </w:rPr>
        <w:t xml:space="preserve">71, </w:t>
      </w:r>
      <w:r w:rsidR="00995638" w:rsidRPr="00F60A3D">
        <w:rPr>
          <w:rFonts w:eastAsia="MS ??"/>
          <w:bCs/>
          <w:lang w:val="fr-FR"/>
        </w:rPr>
        <w:t>alinéa </w:t>
      </w:r>
      <w:r w:rsidR="0036457A" w:rsidRPr="00F60A3D">
        <w:rPr>
          <w:rFonts w:eastAsia="MS ??"/>
          <w:bCs/>
          <w:lang w:val="fr-FR"/>
        </w:rPr>
        <w:t>2</w:t>
      </w:r>
      <w:r w:rsidR="005D4CBF" w:rsidRPr="00F60A3D">
        <w:rPr>
          <w:rFonts w:eastAsia="MS ??"/>
          <w:bCs/>
          <w:lang w:val="fr-FR"/>
        </w:rPr>
        <w:t xml:space="preserve"> de l</w:t>
      </w:r>
      <w:r w:rsidR="00BB0B3E" w:rsidRPr="00F60A3D">
        <w:rPr>
          <w:rFonts w:eastAsia="MS ??"/>
          <w:bCs/>
          <w:lang w:val="fr-FR"/>
        </w:rPr>
        <w:t xml:space="preserve">a Constitution, concernant les </w:t>
      </w:r>
      <w:r w:rsidR="00731982" w:rsidRPr="00F60A3D">
        <w:rPr>
          <w:rFonts w:eastAsia="MS ??"/>
          <w:bCs/>
          <w:lang w:val="fr-FR"/>
        </w:rPr>
        <w:t>«</w:t>
      </w:r>
      <w:r w:rsidR="005D4CBF" w:rsidRPr="00F60A3D">
        <w:rPr>
          <w:rFonts w:eastAsia="MS ??"/>
          <w:bCs/>
          <w:lang w:val="fr-FR"/>
        </w:rPr>
        <w:t>Dispositions pour la protection et</w:t>
      </w:r>
      <w:r w:rsidR="00731982" w:rsidRPr="00F60A3D">
        <w:rPr>
          <w:rFonts w:eastAsia="MS ??"/>
          <w:bCs/>
          <w:lang w:val="fr-FR"/>
        </w:rPr>
        <w:t xml:space="preserve"> </w:t>
      </w:r>
      <w:r w:rsidR="0090228A" w:rsidRPr="00F60A3D">
        <w:rPr>
          <w:rFonts w:eastAsia="MS ??"/>
          <w:bCs/>
          <w:lang w:val="fr-FR"/>
        </w:rPr>
        <w:t>l</w:t>
      </w:r>
      <w:r w:rsidR="00B17AE1" w:rsidRPr="00F60A3D">
        <w:rPr>
          <w:rFonts w:eastAsia="MS ??"/>
          <w:bCs/>
          <w:lang w:val="fr-FR"/>
        </w:rPr>
        <w:t>’</w:t>
      </w:r>
      <w:r w:rsidR="0090228A" w:rsidRPr="00F60A3D">
        <w:rPr>
          <w:rFonts w:eastAsia="MS ??"/>
          <w:bCs/>
          <w:lang w:val="fr-FR"/>
        </w:rPr>
        <w:t>égalité des chances des Roms et des Sintis en tant que minorité</w:t>
      </w:r>
      <w:r w:rsidR="005D4CBF" w:rsidRPr="00F60A3D">
        <w:rPr>
          <w:rFonts w:eastAsia="MS ??"/>
          <w:bCs/>
          <w:lang w:val="fr-FR"/>
        </w:rPr>
        <w:t>s</w:t>
      </w:r>
      <w:r w:rsidR="0090228A" w:rsidRPr="00F60A3D">
        <w:rPr>
          <w:rFonts w:eastAsia="MS ??"/>
          <w:bCs/>
          <w:lang w:val="fr-FR"/>
        </w:rPr>
        <w:t xml:space="preserve"> historique</w:t>
      </w:r>
      <w:r w:rsidR="005D4CBF" w:rsidRPr="00F60A3D">
        <w:rPr>
          <w:rFonts w:eastAsia="MS ??"/>
          <w:bCs/>
          <w:lang w:val="fr-FR"/>
        </w:rPr>
        <w:t>s</w:t>
      </w:r>
      <w:r w:rsidR="0090228A" w:rsidRPr="00F60A3D">
        <w:rPr>
          <w:rFonts w:eastAsia="MS ??"/>
          <w:bCs/>
          <w:lang w:val="fr-FR"/>
        </w:rPr>
        <w:t xml:space="preserve"> et linguistique</w:t>
      </w:r>
      <w:r w:rsidR="005D4CBF" w:rsidRPr="00F60A3D">
        <w:rPr>
          <w:rFonts w:eastAsia="MS ??"/>
          <w:bCs/>
          <w:lang w:val="fr-FR"/>
        </w:rPr>
        <w:t>s</w:t>
      </w:r>
      <w:r w:rsidR="00731982" w:rsidRPr="00F60A3D">
        <w:rPr>
          <w:rFonts w:eastAsia="MS ??"/>
          <w:bCs/>
          <w:lang w:val="fr-FR"/>
        </w:rPr>
        <w:t>»</w:t>
      </w:r>
      <w:r w:rsidR="0090228A" w:rsidRPr="00F60A3D">
        <w:rPr>
          <w:rFonts w:eastAsia="MS ??"/>
          <w:bCs/>
          <w:lang w:val="fr-FR"/>
        </w:rPr>
        <w:t xml:space="preserve">; le projet de loi </w:t>
      </w:r>
      <w:r w:rsidR="00B17AE1" w:rsidRPr="00F60A3D">
        <w:rPr>
          <w:rFonts w:eastAsia="MS ??"/>
          <w:bCs/>
          <w:lang w:val="fr-FR"/>
        </w:rPr>
        <w:t>n</w:t>
      </w:r>
      <w:r w:rsidR="00B17AE1" w:rsidRPr="00F60A3D">
        <w:rPr>
          <w:rFonts w:eastAsia="MS ??"/>
          <w:bCs/>
          <w:vertAlign w:val="superscript"/>
          <w:lang w:val="fr-FR"/>
        </w:rPr>
        <w:t>o</w:t>
      </w:r>
      <w:r w:rsidR="00B17AE1" w:rsidRPr="00F60A3D">
        <w:rPr>
          <w:rFonts w:eastAsia="MS ??"/>
          <w:bCs/>
          <w:lang w:val="fr-FR"/>
        </w:rPr>
        <w:t> </w:t>
      </w:r>
      <w:r w:rsidR="003608F4" w:rsidRPr="00F60A3D">
        <w:rPr>
          <w:rFonts w:eastAsia="MS ??"/>
          <w:lang w:val="fr-FR"/>
        </w:rPr>
        <w:t>1748/2015, portant modification de</w:t>
      </w:r>
      <w:r w:rsidR="0090228A" w:rsidRPr="00F60A3D">
        <w:rPr>
          <w:rFonts w:eastAsia="MS ??"/>
          <w:lang w:val="fr-FR"/>
        </w:rPr>
        <w:t xml:space="preserve"> la loi </w:t>
      </w:r>
      <w:r w:rsidR="00B17AE1" w:rsidRPr="00F60A3D">
        <w:rPr>
          <w:rFonts w:eastAsia="MS ??"/>
          <w:lang w:val="fr-FR"/>
        </w:rPr>
        <w:t>n</w:t>
      </w:r>
      <w:r w:rsidR="00B17AE1" w:rsidRPr="00F60A3D">
        <w:rPr>
          <w:rFonts w:eastAsia="MS ??"/>
          <w:vertAlign w:val="superscript"/>
          <w:lang w:val="fr-FR"/>
        </w:rPr>
        <w:t>o</w:t>
      </w:r>
      <w:r w:rsidR="00B17AE1" w:rsidRPr="00F60A3D">
        <w:rPr>
          <w:rFonts w:eastAsia="MS ??"/>
          <w:lang w:val="fr-FR"/>
        </w:rPr>
        <w:t> </w:t>
      </w:r>
      <w:r w:rsidR="005063FC" w:rsidRPr="00F60A3D">
        <w:rPr>
          <w:rFonts w:eastAsia="MS ??"/>
          <w:lang w:val="fr-FR"/>
        </w:rPr>
        <w:t xml:space="preserve">211/2000, </w:t>
      </w:r>
      <w:r w:rsidR="005E0A3F" w:rsidRPr="00F60A3D">
        <w:rPr>
          <w:rFonts w:eastAsia="MS ??"/>
          <w:lang w:val="fr-FR"/>
        </w:rPr>
        <w:t>visant à</w:t>
      </w:r>
      <w:r w:rsidR="005D4CBF" w:rsidRPr="00F60A3D">
        <w:rPr>
          <w:rFonts w:eastAsia="MS ??"/>
          <w:lang w:val="fr-FR"/>
        </w:rPr>
        <w:t xml:space="preserve"> étendre la Journée du souvenir</w:t>
      </w:r>
      <w:r w:rsidR="003608F4" w:rsidRPr="00F60A3D">
        <w:rPr>
          <w:rFonts w:eastAsia="MS ??"/>
          <w:lang w:val="fr-FR"/>
        </w:rPr>
        <w:t xml:space="preserve"> aux Roms et aux Sintis</w:t>
      </w:r>
      <w:r w:rsidR="0090228A" w:rsidRPr="00F60A3D">
        <w:rPr>
          <w:rFonts w:eastAsia="MS ??"/>
          <w:lang w:val="fr-FR"/>
        </w:rPr>
        <w:t xml:space="preserve">; </w:t>
      </w:r>
      <w:r w:rsidR="002920E8" w:rsidRPr="00F60A3D">
        <w:rPr>
          <w:rFonts w:eastAsia="MS ??"/>
          <w:lang w:val="fr-FR"/>
        </w:rPr>
        <w:t xml:space="preserve">et </w:t>
      </w:r>
      <w:r w:rsidR="0090228A" w:rsidRPr="00F60A3D">
        <w:rPr>
          <w:rFonts w:eastAsia="MS ??"/>
          <w:lang w:val="fr-FR"/>
        </w:rPr>
        <w:t>le proje</w:t>
      </w:r>
      <w:r w:rsidR="003608F4" w:rsidRPr="00F60A3D">
        <w:rPr>
          <w:rFonts w:eastAsia="MS ??"/>
          <w:lang w:val="fr-FR"/>
        </w:rPr>
        <w:t xml:space="preserve">t de loi </w:t>
      </w:r>
      <w:r w:rsidR="00B17AE1" w:rsidRPr="00F60A3D">
        <w:rPr>
          <w:rFonts w:eastAsia="MS ??"/>
          <w:lang w:val="fr-FR"/>
        </w:rPr>
        <w:t>n</w:t>
      </w:r>
      <w:r w:rsidR="00B17AE1" w:rsidRPr="00F60A3D">
        <w:rPr>
          <w:rFonts w:eastAsia="MS ??"/>
          <w:vertAlign w:val="superscript"/>
          <w:lang w:val="fr-FR"/>
        </w:rPr>
        <w:t>o</w:t>
      </w:r>
      <w:r w:rsidR="00B17AE1" w:rsidRPr="00F60A3D">
        <w:rPr>
          <w:rFonts w:eastAsia="MS ??"/>
          <w:lang w:val="fr-FR"/>
        </w:rPr>
        <w:t> </w:t>
      </w:r>
      <w:r w:rsidR="003608F4" w:rsidRPr="00F60A3D">
        <w:rPr>
          <w:rFonts w:eastAsia="MS ??"/>
          <w:lang w:val="fr-FR"/>
        </w:rPr>
        <w:t>51 visant à ratifier</w:t>
      </w:r>
      <w:r w:rsidR="0090228A" w:rsidRPr="00F60A3D">
        <w:rPr>
          <w:rFonts w:eastAsia="MS ??"/>
          <w:lang w:val="fr-FR"/>
        </w:rPr>
        <w:t xml:space="preserve"> la Charte européenne des langues régionales ou minoritaires. </w:t>
      </w:r>
    </w:p>
    <w:p w:rsidR="005063FC" w:rsidRPr="00F60A3D" w:rsidRDefault="008736B9" w:rsidP="0090228A">
      <w:pPr>
        <w:pStyle w:val="SingleTxtG"/>
        <w:rPr>
          <w:lang w:val="fr-FR"/>
        </w:rPr>
      </w:pPr>
      <w:r w:rsidRPr="00F60A3D">
        <w:rPr>
          <w:lang w:val="fr-FR"/>
        </w:rPr>
        <w:t>22</w:t>
      </w:r>
      <w:r w:rsidR="005063FC" w:rsidRPr="00F60A3D">
        <w:rPr>
          <w:lang w:val="fr-FR"/>
        </w:rPr>
        <w:t>8.</w:t>
      </w:r>
      <w:r w:rsidR="005063FC" w:rsidRPr="00F60A3D">
        <w:rPr>
          <w:lang w:val="fr-FR"/>
        </w:rPr>
        <w:tab/>
      </w:r>
      <w:r w:rsidR="0090228A" w:rsidRPr="00F60A3D">
        <w:rPr>
          <w:lang w:val="fr-FR"/>
        </w:rPr>
        <w:t>En</w:t>
      </w:r>
      <w:r w:rsidR="008A2C8F" w:rsidRPr="00F60A3D">
        <w:rPr>
          <w:lang w:val="fr-FR"/>
        </w:rPr>
        <w:t>f</w:t>
      </w:r>
      <w:r w:rsidR="004365E0" w:rsidRPr="00F60A3D">
        <w:rPr>
          <w:lang w:val="fr-FR"/>
        </w:rPr>
        <w:t>in, le 25 </w:t>
      </w:r>
      <w:r w:rsidR="0090228A" w:rsidRPr="00F60A3D">
        <w:rPr>
          <w:lang w:val="fr-FR"/>
        </w:rPr>
        <w:t>février 2016, le Séna</w:t>
      </w:r>
      <w:r w:rsidR="008A2C8F" w:rsidRPr="00F60A3D">
        <w:rPr>
          <w:lang w:val="fr-FR"/>
        </w:rPr>
        <w:t>t</w:t>
      </w:r>
      <w:r w:rsidR="0090228A" w:rsidRPr="00F60A3D">
        <w:rPr>
          <w:lang w:val="fr-FR"/>
        </w:rPr>
        <w:t xml:space="preserve"> a approuvé </w:t>
      </w:r>
      <w:r w:rsidR="00731982" w:rsidRPr="00F60A3D">
        <w:rPr>
          <w:lang w:val="fr-FR"/>
        </w:rPr>
        <w:t>«</w:t>
      </w:r>
      <w:r w:rsidR="0090228A" w:rsidRPr="00F60A3D">
        <w:rPr>
          <w:lang w:val="fr-FR"/>
        </w:rPr>
        <w:t xml:space="preserve">le nouveau texte unifié concernant les projets de loi </w:t>
      </w:r>
      <w:r w:rsidR="00B17AE1" w:rsidRPr="00F60A3D">
        <w:rPr>
          <w:lang w:val="fr-FR"/>
        </w:rPr>
        <w:t>n</w:t>
      </w:r>
      <w:r w:rsidR="00B17AE1" w:rsidRPr="00F60A3D">
        <w:rPr>
          <w:vertAlign w:val="superscript"/>
          <w:lang w:val="fr-FR"/>
        </w:rPr>
        <w:t>o</w:t>
      </w:r>
      <w:r w:rsidR="00B17AE1" w:rsidRPr="00F60A3D">
        <w:rPr>
          <w:lang w:val="fr-FR"/>
        </w:rPr>
        <w:t> </w:t>
      </w:r>
      <w:r w:rsidR="005063FC" w:rsidRPr="00F60A3D">
        <w:rPr>
          <w:lang w:val="fr-FR"/>
        </w:rPr>
        <w:t>14, 197, 314, 909, 1</w:t>
      </w:r>
      <w:r w:rsidR="0090228A" w:rsidRPr="00F60A3D">
        <w:rPr>
          <w:lang w:val="fr-FR"/>
        </w:rPr>
        <w:t>211, 1231, 1316, 1360, 1745, et</w:t>
      </w:r>
      <w:r w:rsidR="000978D1" w:rsidRPr="00F60A3D">
        <w:rPr>
          <w:lang w:val="fr-FR"/>
        </w:rPr>
        <w:t xml:space="preserve"> 1763</w:t>
      </w:r>
      <w:r w:rsidR="00731982" w:rsidRPr="00F60A3D">
        <w:rPr>
          <w:lang w:val="fr-FR"/>
        </w:rPr>
        <w:t>»</w:t>
      </w:r>
      <w:r w:rsidR="005063FC" w:rsidRPr="00F60A3D">
        <w:rPr>
          <w:lang w:val="fr-FR"/>
        </w:rPr>
        <w:t xml:space="preserve">, </w:t>
      </w:r>
      <w:r w:rsidR="0090228A" w:rsidRPr="00F60A3D">
        <w:rPr>
          <w:lang w:val="fr-FR"/>
        </w:rPr>
        <w:t xml:space="preserve">qui met en place </w:t>
      </w:r>
      <w:r w:rsidR="00E05471" w:rsidRPr="00F60A3D">
        <w:rPr>
          <w:lang w:val="fr-FR"/>
        </w:rPr>
        <w:t>le partenariat de l</w:t>
      </w:r>
      <w:r w:rsidR="00B17AE1" w:rsidRPr="00F60A3D">
        <w:rPr>
          <w:lang w:val="fr-FR"/>
        </w:rPr>
        <w:t>’</w:t>
      </w:r>
      <w:r w:rsidR="00E05471" w:rsidRPr="00F60A3D">
        <w:rPr>
          <w:lang w:val="fr-FR"/>
        </w:rPr>
        <w:t>union civile pour les couples de même sexe, actuellement en attente d</w:t>
      </w:r>
      <w:r w:rsidR="00B17AE1" w:rsidRPr="00F60A3D">
        <w:rPr>
          <w:lang w:val="fr-FR"/>
        </w:rPr>
        <w:t>’</w:t>
      </w:r>
      <w:r w:rsidR="00E05471" w:rsidRPr="00F60A3D">
        <w:rPr>
          <w:lang w:val="fr-FR"/>
        </w:rPr>
        <w:t xml:space="preserve">approbation finale devant la Chambre des députés. </w:t>
      </w:r>
    </w:p>
    <w:p w:rsidR="005063FC" w:rsidRPr="00F60A3D" w:rsidRDefault="00A70210" w:rsidP="00A70210">
      <w:pPr>
        <w:pStyle w:val="H23G"/>
        <w:rPr>
          <w:lang w:val="fr-FR"/>
        </w:rPr>
      </w:pPr>
      <w:r w:rsidRPr="00F60A3D">
        <w:rPr>
          <w:lang w:val="fr-FR"/>
        </w:rPr>
        <w:tab/>
      </w:r>
      <w:r w:rsidRPr="00F60A3D">
        <w:rPr>
          <w:lang w:val="fr-FR"/>
        </w:rPr>
        <w:tab/>
      </w:r>
      <w:r w:rsidR="005063FC" w:rsidRPr="00F60A3D">
        <w:rPr>
          <w:lang w:val="fr-FR"/>
        </w:rPr>
        <w:t>L</w:t>
      </w:r>
      <w:r w:rsidR="00E05471" w:rsidRPr="00F60A3D">
        <w:rPr>
          <w:lang w:val="fr-FR"/>
        </w:rPr>
        <w:t>a lé</w:t>
      </w:r>
      <w:r w:rsidR="005063FC" w:rsidRPr="00F60A3D">
        <w:rPr>
          <w:lang w:val="fr-FR"/>
        </w:rPr>
        <w:t xml:space="preserve">gislation </w:t>
      </w:r>
      <w:r w:rsidR="00E05471" w:rsidRPr="00F60A3D">
        <w:rPr>
          <w:lang w:val="fr-FR"/>
        </w:rPr>
        <w:t>sur les droits des femmes (récemment entrée en vigueur)</w:t>
      </w:r>
    </w:p>
    <w:p w:rsidR="005063FC" w:rsidRPr="00F60A3D" w:rsidRDefault="008736B9" w:rsidP="00B114D8">
      <w:pPr>
        <w:pStyle w:val="SingleTxtG"/>
        <w:rPr>
          <w:b/>
          <w:lang w:val="fr-FR"/>
        </w:rPr>
      </w:pPr>
      <w:r w:rsidRPr="00F60A3D">
        <w:rPr>
          <w:lang w:val="fr-FR"/>
        </w:rPr>
        <w:t>22</w:t>
      </w:r>
      <w:r w:rsidR="00F445B8" w:rsidRPr="00F60A3D">
        <w:rPr>
          <w:lang w:val="fr-FR"/>
        </w:rPr>
        <w:t>9.</w:t>
      </w:r>
      <w:r w:rsidR="00F445B8" w:rsidRPr="00F60A3D">
        <w:rPr>
          <w:lang w:val="fr-FR"/>
        </w:rPr>
        <w:tab/>
        <w:t>En matière</w:t>
      </w:r>
      <w:r w:rsidR="00E05471" w:rsidRPr="00F60A3D">
        <w:rPr>
          <w:lang w:val="fr-FR"/>
        </w:rPr>
        <w:t xml:space="preserve"> d</w:t>
      </w:r>
      <w:r w:rsidR="00B17AE1" w:rsidRPr="00F60A3D">
        <w:rPr>
          <w:lang w:val="fr-FR"/>
        </w:rPr>
        <w:t>’</w:t>
      </w:r>
      <w:r w:rsidR="00E05471" w:rsidRPr="00F60A3D">
        <w:rPr>
          <w:lang w:val="fr-FR"/>
        </w:rPr>
        <w:t>innova</w:t>
      </w:r>
      <w:r w:rsidR="008A2C8F" w:rsidRPr="00F60A3D">
        <w:rPr>
          <w:lang w:val="fr-FR"/>
        </w:rPr>
        <w:t>tions pertinentes, notamment de</w:t>
      </w:r>
      <w:r w:rsidR="00E05471" w:rsidRPr="00F60A3D">
        <w:rPr>
          <w:lang w:val="fr-FR"/>
        </w:rPr>
        <w:t xml:space="preserve"> mesures provisoires particulières, il convient de mentionner:</w:t>
      </w:r>
      <w:r w:rsidR="00731982" w:rsidRPr="00F60A3D">
        <w:rPr>
          <w:lang w:val="fr-FR"/>
        </w:rPr>
        <w:t xml:space="preserve"> </w:t>
      </w:r>
    </w:p>
    <w:p w:rsidR="008A2C8F" w:rsidRPr="00F60A3D" w:rsidRDefault="008A2C8F" w:rsidP="004365E0">
      <w:pPr>
        <w:pStyle w:val="Bullet1G"/>
      </w:pPr>
      <w:r w:rsidRPr="00F60A3D">
        <w:t>Le décret lég</w:t>
      </w:r>
      <w:r w:rsidR="0037034D" w:rsidRPr="00F60A3D">
        <w:t xml:space="preserve">islatif </w:t>
      </w:r>
      <w:r w:rsidR="00B17AE1" w:rsidRPr="00F60A3D">
        <w:t>n</w:t>
      </w:r>
      <w:r w:rsidR="00B17AE1" w:rsidRPr="00F60A3D">
        <w:rPr>
          <w:vertAlign w:val="superscript"/>
        </w:rPr>
        <w:t>o</w:t>
      </w:r>
      <w:r w:rsidR="00B17AE1" w:rsidRPr="00F60A3D">
        <w:t> </w:t>
      </w:r>
      <w:r w:rsidR="0037034D" w:rsidRPr="00F60A3D">
        <w:t>80/2015 relatif aux «</w:t>
      </w:r>
      <w:r w:rsidRPr="00F60A3D">
        <w:t xml:space="preserve">Mesures visant à </w:t>
      </w:r>
      <w:r w:rsidR="00416FA8" w:rsidRPr="00F60A3D">
        <w:t>concilier</w:t>
      </w:r>
      <w:r w:rsidRPr="00F60A3D">
        <w:t xml:space="preserve"> s</w:t>
      </w:r>
      <w:r w:rsidR="0037034D" w:rsidRPr="00F60A3D">
        <w:t>oins, travail et vie de famille</w:t>
      </w:r>
      <w:r w:rsidR="00731982" w:rsidRPr="00F60A3D">
        <w:t>»</w:t>
      </w:r>
      <w:r w:rsidRPr="00F60A3D">
        <w:t xml:space="preserve">, </w:t>
      </w:r>
      <w:r w:rsidR="00A5132F" w:rsidRPr="00F60A3D">
        <w:t xml:space="preserve">incluant </w:t>
      </w:r>
      <w:r w:rsidRPr="00F60A3D">
        <w:rPr>
          <w:i/>
        </w:rPr>
        <w:t xml:space="preserve">notamment </w:t>
      </w:r>
      <w:r w:rsidRPr="00F60A3D">
        <w:t>un congé payé spécial po</w:t>
      </w:r>
      <w:r w:rsidR="00416FA8" w:rsidRPr="00F60A3D">
        <w:t>ur les femmes</w:t>
      </w:r>
      <w:r w:rsidRPr="00F60A3D">
        <w:t xml:space="preserve"> </w:t>
      </w:r>
      <w:r w:rsidR="00A5132F" w:rsidRPr="00F60A3D">
        <w:t>qui travaillent et</w:t>
      </w:r>
      <w:r w:rsidR="00123334" w:rsidRPr="00F60A3D">
        <w:t xml:space="preserve"> sont</w:t>
      </w:r>
      <w:r w:rsidR="00A5132F" w:rsidRPr="00F60A3D">
        <w:t xml:space="preserve"> </w:t>
      </w:r>
      <w:r w:rsidRPr="00F60A3D">
        <w:t xml:space="preserve">victimes de violence. La loi </w:t>
      </w:r>
      <w:r w:rsidR="00B17AE1" w:rsidRPr="00F60A3D">
        <w:t>n</w:t>
      </w:r>
      <w:r w:rsidR="00B17AE1" w:rsidRPr="00F60A3D">
        <w:rPr>
          <w:vertAlign w:val="superscript"/>
        </w:rPr>
        <w:t>o</w:t>
      </w:r>
      <w:r w:rsidR="00B17AE1" w:rsidRPr="00F60A3D">
        <w:t> </w:t>
      </w:r>
      <w:r w:rsidR="005063FC" w:rsidRPr="00F60A3D">
        <w:t>117/2014,</w:t>
      </w:r>
      <w:r w:rsidR="00A5132F" w:rsidRPr="00F60A3D">
        <w:t xml:space="preserve"> n</w:t>
      </w:r>
      <w:r w:rsidR="00B17AE1" w:rsidRPr="00F60A3D">
        <w:t>’</w:t>
      </w:r>
      <w:r w:rsidR="00A5132F" w:rsidRPr="00F60A3D">
        <w:t>autorisant</w:t>
      </w:r>
      <w:r w:rsidRPr="00F60A3D">
        <w:t xml:space="preserve"> pas</w:t>
      </w:r>
      <w:r w:rsidR="0024710C" w:rsidRPr="00F60A3D">
        <w:t xml:space="preserve"> l</w:t>
      </w:r>
      <w:r w:rsidR="00B17AE1" w:rsidRPr="00F60A3D">
        <w:t>’</w:t>
      </w:r>
      <w:r w:rsidR="0024710C" w:rsidRPr="00F60A3D">
        <w:t>assignation à résidence</w:t>
      </w:r>
      <w:r w:rsidR="00A5132F" w:rsidRPr="00F60A3D">
        <w:t xml:space="preserve"> et les mesures de substitution</w:t>
      </w:r>
      <w:r w:rsidRPr="00F60A3D">
        <w:t xml:space="preserve"> à la détention pour des </w:t>
      </w:r>
      <w:r w:rsidRPr="00F60A3D">
        <w:lastRenderedPageBreak/>
        <w:t>infractions telle</w:t>
      </w:r>
      <w:r w:rsidR="001725C6" w:rsidRPr="00F60A3D">
        <w:t>s</w:t>
      </w:r>
      <w:r w:rsidRPr="00F60A3D">
        <w:t xml:space="preserve"> la maltraitance </w:t>
      </w:r>
      <w:r w:rsidR="001A121C" w:rsidRPr="00F60A3D">
        <w:t>intra</w:t>
      </w:r>
      <w:r w:rsidRPr="00F60A3D">
        <w:t xml:space="preserve">familiale et le harcèlement; </w:t>
      </w:r>
      <w:r w:rsidR="001725C6" w:rsidRPr="00F60A3D">
        <w:t>le décret législat</w:t>
      </w:r>
      <w:r w:rsidR="0037034D" w:rsidRPr="00F60A3D">
        <w:t xml:space="preserve">if </w:t>
      </w:r>
      <w:r w:rsidR="00B17AE1" w:rsidRPr="00F60A3D">
        <w:t>n</w:t>
      </w:r>
      <w:r w:rsidR="00B17AE1" w:rsidRPr="00F60A3D">
        <w:rPr>
          <w:vertAlign w:val="superscript"/>
        </w:rPr>
        <w:t>o</w:t>
      </w:r>
      <w:r w:rsidR="00B17AE1" w:rsidRPr="00F60A3D">
        <w:t> </w:t>
      </w:r>
      <w:r w:rsidR="0037034D" w:rsidRPr="00F60A3D">
        <w:t xml:space="preserve">24/2014 qui met en place </w:t>
      </w:r>
      <w:r w:rsidR="00731982" w:rsidRPr="00F60A3D">
        <w:t>«</w:t>
      </w:r>
      <w:r w:rsidR="00EE201B" w:rsidRPr="00F60A3D">
        <w:t>l</w:t>
      </w:r>
      <w:r w:rsidR="00B17AE1" w:rsidRPr="00F60A3D">
        <w:t>’</w:t>
      </w:r>
      <w:r w:rsidR="00416FA8" w:rsidRPr="00F60A3D">
        <w:t>ap</w:t>
      </w:r>
      <w:r w:rsidR="001725C6" w:rsidRPr="00F60A3D">
        <w:t>plication de</w:t>
      </w:r>
      <w:r w:rsidR="00A5132F" w:rsidRPr="00F60A3D">
        <w:t xml:space="preserve"> la Directive </w:t>
      </w:r>
      <w:r w:rsidR="00B17AE1" w:rsidRPr="00F60A3D">
        <w:t>n</w:t>
      </w:r>
      <w:r w:rsidR="00B17AE1" w:rsidRPr="00F60A3D">
        <w:rPr>
          <w:vertAlign w:val="superscript"/>
        </w:rPr>
        <w:t>o</w:t>
      </w:r>
      <w:r w:rsidR="00B17AE1" w:rsidRPr="00F60A3D">
        <w:t> </w:t>
      </w:r>
      <w:r w:rsidR="00A5132F" w:rsidRPr="00F60A3D">
        <w:t>2011/36/UE concernant</w:t>
      </w:r>
      <w:r w:rsidR="001725C6" w:rsidRPr="00F60A3D">
        <w:t xml:space="preserve"> la prévention et la lutte contre la traite des êtres humains et la protection des</w:t>
      </w:r>
      <w:r w:rsidR="0037034D" w:rsidRPr="00F60A3D">
        <w:t xml:space="preserve"> personnes qui en sont victimes</w:t>
      </w:r>
      <w:r w:rsidR="00731982" w:rsidRPr="00F60A3D">
        <w:t>»</w:t>
      </w:r>
      <w:r w:rsidR="001725C6" w:rsidRPr="00F60A3D">
        <w:t xml:space="preserve">; le décret législatif </w:t>
      </w:r>
      <w:r w:rsidR="00B17AE1" w:rsidRPr="00F60A3D">
        <w:t>n</w:t>
      </w:r>
      <w:r w:rsidR="00B17AE1" w:rsidRPr="00F60A3D">
        <w:rPr>
          <w:vertAlign w:val="superscript"/>
        </w:rPr>
        <w:t>o</w:t>
      </w:r>
      <w:r w:rsidR="00B17AE1" w:rsidRPr="00F60A3D">
        <w:t> </w:t>
      </w:r>
      <w:r w:rsidR="001725C6" w:rsidRPr="00F60A3D">
        <w:t xml:space="preserve">7/2014 qui met en place la Commission mixte sur la question du genre et </w:t>
      </w:r>
      <w:r w:rsidR="00416FA8" w:rsidRPr="00F60A3D">
        <w:t>traite de la réunificati</w:t>
      </w:r>
      <w:r w:rsidR="001725C6" w:rsidRPr="00F60A3D">
        <w:t xml:space="preserve">on familiale et de la protection de la parentalité; le décret-loi </w:t>
      </w:r>
      <w:r w:rsidR="00B17AE1" w:rsidRPr="00F60A3D">
        <w:t>n</w:t>
      </w:r>
      <w:r w:rsidR="00B17AE1" w:rsidRPr="00F60A3D">
        <w:rPr>
          <w:vertAlign w:val="superscript"/>
        </w:rPr>
        <w:t>o</w:t>
      </w:r>
      <w:r w:rsidR="00B17AE1" w:rsidRPr="00F60A3D">
        <w:t> </w:t>
      </w:r>
      <w:r w:rsidR="001725C6" w:rsidRPr="00F60A3D">
        <w:t xml:space="preserve">93/2013 </w:t>
      </w:r>
      <w:r w:rsidR="00305099" w:rsidRPr="00F60A3D">
        <w:t xml:space="preserve">converti en loi </w:t>
      </w:r>
      <w:r w:rsidR="00B17AE1" w:rsidRPr="00F60A3D">
        <w:t>n</w:t>
      </w:r>
      <w:r w:rsidR="00B17AE1" w:rsidRPr="00F60A3D">
        <w:rPr>
          <w:vertAlign w:val="superscript"/>
        </w:rPr>
        <w:t>o</w:t>
      </w:r>
      <w:r w:rsidR="00B17AE1" w:rsidRPr="00F60A3D">
        <w:t> </w:t>
      </w:r>
      <w:r w:rsidR="00305099" w:rsidRPr="00F60A3D">
        <w:t xml:space="preserve">119/2013 </w:t>
      </w:r>
      <w:r w:rsidR="0037034D" w:rsidRPr="00F60A3D">
        <w:t xml:space="preserve">sur </w:t>
      </w:r>
      <w:r w:rsidR="00731982" w:rsidRPr="00F60A3D">
        <w:t>«</w:t>
      </w:r>
      <w:r w:rsidR="001725C6" w:rsidRPr="00F60A3D">
        <w:t xml:space="preserve">les dispositions </w:t>
      </w:r>
      <w:r w:rsidR="000F3D3D" w:rsidRPr="00F60A3D">
        <w:t>d</w:t>
      </w:r>
      <w:r w:rsidR="00B17AE1" w:rsidRPr="00F60A3D">
        <w:t>’</w:t>
      </w:r>
      <w:r w:rsidR="000F3D3D" w:rsidRPr="00F60A3D">
        <w:t>urgence</w:t>
      </w:r>
      <w:r w:rsidR="00EE201B" w:rsidRPr="00F60A3D">
        <w:t xml:space="preserve"> sur la sécurité et</w:t>
      </w:r>
      <w:r w:rsidR="001725C6" w:rsidRPr="00F60A3D">
        <w:t xml:space="preserve"> la lutte contre la violence sexiste, </w:t>
      </w:r>
      <w:r w:rsidR="00EE201B" w:rsidRPr="00F60A3D">
        <w:t>et sur</w:t>
      </w:r>
      <w:r w:rsidR="00305099" w:rsidRPr="00F60A3D">
        <w:t xml:space="preserve"> la protec</w:t>
      </w:r>
      <w:r w:rsidR="00416FA8" w:rsidRPr="00F60A3D">
        <w:t>tion</w:t>
      </w:r>
      <w:r w:rsidR="003265DE" w:rsidRPr="00F60A3D">
        <w:t xml:space="preserve"> civile et l</w:t>
      </w:r>
      <w:r w:rsidR="00B17AE1" w:rsidRPr="00F60A3D">
        <w:t>’</w:t>
      </w:r>
      <w:r w:rsidR="003265DE" w:rsidRPr="00F60A3D">
        <w:t>administr</w:t>
      </w:r>
      <w:r w:rsidR="0037034D" w:rsidRPr="00F60A3D">
        <w:t>ation obligatoire des provinces</w:t>
      </w:r>
      <w:r w:rsidR="00731982" w:rsidRPr="00F60A3D">
        <w:t>»</w:t>
      </w:r>
      <w:r w:rsidR="003265DE" w:rsidRPr="00F60A3D">
        <w:t>; l</w:t>
      </w:r>
      <w:r w:rsidR="00305099" w:rsidRPr="00F60A3D">
        <w:t xml:space="preserve">e décret </w:t>
      </w:r>
      <w:r w:rsidR="00B17AE1" w:rsidRPr="00F60A3D">
        <w:t>n</w:t>
      </w:r>
      <w:r w:rsidR="00B17AE1" w:rsidRPr="00F60A3D">
        <w:rPr>
          <w:vertAlign w:val="superscript"/>
        </w:rPr>
        <w:t>o</w:t>
      </w:r>
      <w:r w:rsidR="00B17AE1" w:rsidRPr="00F60A3D">
        <w:t> </w:t>
      </w:r>
      <w:r w:rsidR="00305099" w:rsidRPr="00F60A3D">
        <w:t>76/2013, prévoyant</w:t>
      </w:r>
      <w:r w:rsidR="003265DE" w:rsidRPr="00F60A3D">
        <w:t xml:space="preserve"> des mesures d</w:t>
      </w:r>
      <w:r w:rsidR="00B17AE1" w:rsidRPr="00F60A3D">
        <w:t>’</w:t>
      </w:r>
      <w:r w:rsidR="003265DE" w:rsidRPr="00F60A3D">
        <w:t>incitation en faveur des entreprises qui recrutent des jeunes et met</w:t>
      </w:r>
      <w:r w:rsidR="00305099" w:rsidRPr="00F60A3D">
        <w:t>tant l</w:t>
      </w:r>
      <w:r w:rsidR="00B17AE1" w:rsidRPr="00F60A3D">
        <w:t>’</w:t>
      </w:r>
      <w:r w:rsidR="00305099" w:rsidRPr="00F60A3D">
        <w:t xml:space="preserve">accent sur la réinsertion professionnelle; la loi </w:t>
      </w:r>
      <w:r w:rsidR="00B17AE1" w:rsidRPr="00F60A3D">
        <w:t>n</w:t>
      </w:r>
      <w:r w:rsidR="00B17AE1" w:rsidRPr="00F60A3D">
        <w:rPr>
          <w:vertAlign w:val="superscript"/>
        </w:rPr>
        <w:t>o</w:t>
      </w:r>
      <w:r w:rsidR="00B17AE1" w:rsidRPr="00F60A3D">
        <w:t> </w:t>
      </w:r>
      <w:r w:rsidR="00305099" w:rsidRPr="00F60A3D">
        <w:t xml:space="preserve">92/2012, </w:t>
      </w:r>
      <w:r w:rsidR="009E3498" w:rsidRPr="00F60A3D">
        <w:t xml:space="preserve">le </w:t>
      </w:r>
      <w:r w:rsidR="003265DE" w:rsidRPr="00F60A3D">
        <w:t xml:space="preserve">décret </w:t>
      </w:r>
      <w:r w:rsidR="00B17AE1" w:rsidRPr="00F60A3D">
        <w:t>n</w:t>
      </w:r>
      <w:r w:rsidR="00B17AE1" w:rsidRPr="00F60A3D">
        <w:rPr>
          <w:vertAlign w:val="superscript"/>
        </w:rPr>
        <w:t>o</w:t>
      </w:r>
      <w:r w:rsidR="00B17AE1" w:rsidRPr="00F60A3D">
        <w:t> </w:t>
      </w:r>
      <w:r w:rsidR="003265DE" w:rsidRPr="00F60A3D">
        <w:t xml:space="preserve">179/2012 (adopté sous forme de loi </w:t>
      </w:r>
      <w:r w:rsidR="00B17AE1" w:rsidRPr="00F60A3D">
        <w:t>n</w:t>
      </w:r>
      <w:r w:rsidR="00B17AE1" w:rsidRPr="00F60A3D">
        <w:rPr>
          <w:vertAlign w:val="superscript"/>
        </w:rPr>
        <w:t>o</w:t>
      </w:r>
      <w:r w:rsidR="00B17AE1" w:rsidRPr="00F60A3D">
        <w:t> </w:t>
      </w:r>
      <w:r w:rsidR="003265DE" w:rsidRPr="00F60A3D">
        <w:t xml:space="preserve">221/2012) et la loi </w:t>
      </w:r>
      <w:r w:rsidR="00B17AE1" w:rsidRPr="00F60A3D">
        <w:t>n</w:t>
      </w:r>
      <w:r w:rsidR="00B17AE1" w:rsidRPr="00F60A3D">
        <w:rPr>
          <w:vertAlign w:val="superscript"/>
        </w:rPr>
        <w:t>o</w:t>
      </w:r>
      <w:r w:rsidR="00B17AE1" w:rsidRPr="00F60A3D">
        <w:t> </w:t>
      </w:r>
      <w:r w:rsidR="003265DE" w:rsidRPr="00F60A3D">
        <w:t>228/2012 (</w:t>
      </w:r>
      <w:r w:rsidR="00816A6C" w:rsidRPr="00F60A3D">
        <w:t>loi de stabilité 2013) so</w:t>
      </w:r>
      <w:r w:rsidR="003265DE" w:rsidRPr="00F60A3D">
        <w:t>nt les principal</w:t>
      </w:r>
      <w:r w:rsidR="00416FA8" w:rsidRPr="00F60A3D">
        <w:t>e</w:t>
      </w:r>
      <w:r w:rsidR="003265DE" w:rsidRPr="00F60A3D">
        <w:t xml:space="preserve">s lois italiennes visant à promouvoir la participation au marché du travail. Le décret </w:t>
      </w:r>
      <w:r w:rsidR="00B17AE1" w:rsidRPr="00F60A3D">
        <w:t>n</w:t>
      </w:r>
      <w:r w:rsidR="00B17AE1" w:rsidRPr="00F60A3D">
        <w:rPr>
          <w:vertAlign w:val="superscript"/>
        </w:rPr>
        <w:t>o</w:t>
      </w:r>
      <w:r w:rsidR="00B17AE1" w:rsidRPr="00F60A3D">
        <w:t> </w:t>
      </w:r>
      <w:r w:rsidR="003265DE" w:rsidRPr="00F60A3D">
        <w:t>179/2012</w:t>
      </w:r>
      <w:r w:rsidR="002C1ED0" w:rsidRPr="00F60A3D">
        <w:t xml:space="preserve"> a mis en place des aide</w:t>
      </w:r>
      <w:r w:rsidR="003265DE" w:rsidRPr="00F60A3D">
        <w:t>s financiè</w:t>
      </w:r>
      <w:r w:rsidR="002C1ED0" w:rsidRPr="00F60A3D">
        <w:t>res destinées aux femmes pour l</w:t>
      </w:r>
      <w:r w:rsidR="00B17AE1" w:rsidRPr="00F60A3D">
        <w:t>’</w:t>
      </w:r>
      <w:r w:rsidR="002C1ED0" w:rsidRPr="00F60A3D">
        <w:t>achat de</w:t>
      </w:r>
      <w:r w:rsidR="002023CE" w:rsidRPr="00F60A3D">
        <w:t xml:space="preserve"> services éducatifs</w:t>
      </w:r>
      <w:r w:rsidR="002C1ED0" w:rsidRPr="00F60A3D">
        <w:t xml:space="preserve"> à</w:t>
      </w:r>
      <w:r w:rsidR="003265DE" w:rsidRPr="00F60A3D">
        <w:t xml:space="preserve"> leurs enfants; </w:t>
      </w:r>
      <w:r w:rsidR="00816A6C" w:rsidRPr="00F60A3D">
        <w:t xml:space="preserve">et </w:t>
      </w:r>
      <w:r w:rsidR="003265DE" w:rsidRPr="00F60A3D">
        <w:t xml:space="preserve">la loi </w:t>
      </w:r>
      <w:r w:rsidR="00B17AE1" w:rsidRPr="00F60A3D">
        <w:t>n</w:t>
      </w:r>
      <w:r w:rsidR="00B17AE1" w:rsidRPr="00F60A3D">
        <w:rPr>
          <w:vertAlign w:val="superscript"/>
        </w:rPr>
        <w:t>o</w:t>
      </w:r>
      <w:r w:rsidR="00B17AE1" w:rsidRPr="00F60A3D">
        <w:t> </w:t>
      </w:r>
      <w:r w:rsidR="003265DE" w:rsidRPr="00F60A3D">
        <w:t xml:space="preserve">62/2011 </w:t>
      </w:r>
      <w:r w:rsidR="005E674C" w:rsidRPr="00F60A3D">
        <w:t>prévoyant</w:t>
      </w:r>
      <w:r w:rsidR="00305099" w:rsidRPr="00F60A3D">
        <w:t xml:space="preserve"> qu</w:t>
      </w:r>
      <w:r w:rsidR="00B17AE1" w:rsidRPr="00F60A3D">
        <w:t>’</w:t>
      </w:r>
      <w:r w:rsidR="00305099" w:rsidRPr="00F60A3D">
        <w:t>à compter</w:t>
      </w:r>
      <w:r w:rsidR="003265DE" w:rsidRPr="00F60A3D">
        <w:t xml:space="preserve"> du </w:t>
      </w:r>
      <w:r w:rsidR="004365E0" w:rsidRPr="00F60A3D">
        <w:t>1</w:t>
      </w:r>
      <w:r w:rsidR="004365E0" w:rsidRPr="00F60A3D">
        <w:rPr>
          <w:vertAlign w:val="superscript"/>
        </w:rPr>
        <w:t>er</w:t>
      </w:r>
      <w:r w:rsidR="004365E0" w:rsidRPr="00F60A3D">
        <w:t> </w:t>
      </w:r>
      <w:r w:rsidR="003265DE" w:rsidRPr="00F60A3D">
        <w:t>janvier 2014, l</w:t>
      </w:r>
      <w:r w:rsidR="00B17AE1" w:rsidRPr="00F60A3D">
        <w:t>’</w:t>
      </w:r>
      <w:r w:rsidR="003265DE" w:rsidRPr="00F60A3D">
        <w:t>administrat</w:t>
      </w:r>
      <w:r w:rsidR="00416FA8" w:rsidRPr="00F60A3D">
        <w:t>ion pénitentiaire ouvr</w:t>
      </w:r>
      <w:r w:rsidR="005E674C" w:rsidRPr="00F60A3D">
        <w:t>ira</w:t>
      </w:r>
      <w:r w:rsidR="00875543" w:rsidRPr="00F60A3D">
        <w:t xml:space="preserve"> des prisons</w:t>
      </w:r>
      <w:r w:rsidR="00AB21F5" w:rsidRPr="00F60A3D">
        <w:t xml:space="preserve"> à régime de sécurité</w:t>
      </w:r>
      <w:r w:rsidR="00416FA8" w:rsidRPr="00F60A3D">
        <w:t xml:space="preserve"> réduite</w:t>
      </w:r>
      <w:r w:rsidR="00305099" w:rsidRPr="00F60A3D">
        <w:t>,</w:t>
      </w:r>
      <w:r w:rsidR="00416FA8" w:rsidRPr="00F60A3D">
        <w:t xml:space="preserve"> à la fois pour les p</w:t>
      </w:r>
      <w:r w:rsidR="00AB21F5" w:rsidRPr="00F60A3D">
        <w:t xml:space="preserve">révenus placés </w:t>
      </w:r>
      <w:r w:rsidR="00416FA8" w:rsidRPr="00F60A3D">
        <w:t xml:space="preserve">en détention </w:t>
      </w:r>
      <w:r w:rsidR="00AB21F5" w:rsidRPr="00F60A3D">
        <w:t xml:space="preserve">provisoire </w:t>
      </w:r>
      <w:r w:rsidR="00416FA8" w:rsidRPr="00F60A3D">
        <w:t>et pour les personnes condamnées des deux sexes</w:t>
      </w:r>
      <w:r w:rsidR="00F445B8" w:rsidRPr="00F60A3D">
        <w:t xml:space="preserve"> </w:t>
      </w:r>
      <w:r w:rsidR="00416FA8" w:rsidRPr="00F60A3D">
        <w:t>qui ont</w:t>
      </w:r>
      <w:r w:rsidR="004365E0" w:rsidRPr="00F60A3D">
        <w:t xml:space="preserve"> des enfants de moins de 6 ans;</w:t>
      </w:r>
    </w:p>
    <w:p w:rsidR="00416FA8" w:rsidRPr="00F60A3D" w:rsidRDefault="00A06406" w:rsidP="004365E0">
      <w:pPr>
        <w:pStyle w:val="Bullet1G"/>
      </w:pPr>
      <w:r w:rsidRPr="00F60A3D">
        <w:t xml:space="preserve">En matière </w:t>
      </w:r>
      <w:r w:rsidR="00416FA8" w:rsidRPr="00F60A3D">
        <w:t>de mesures provisoires spéciales, suite aux modifications portées à l</w:t>
      </w:r>
      <w:r w:rsidR="00B17AE1" w:rsidRPr="00F60A3D">
        <w:t>’</w:t>
      </w:r>
      <w:r w:rsidR="00D26282" w:rsidRPr="00F60A3D">
        <w:t>article </w:t>
      </w:r>
      <w:r w:rsidR="001C723B" w:rsidRPr="00F60A3D">
        <w:t>51 de la C</w:t>
      </w:r>
      <w:r w:rsidR="00050654" w:rsidRPr="00F60A3D">
        <w:t>onstitution, l</w:t>
      </w:r>
      <w:r w:rsidR="00B17AE1" w:rsidRPr="00F60A3D">
        <w:t>’</w:t>
      </w:r>
      <w:r w:rsidR="00050654" w:rsidRPr="00F60A3D">
        <w:t xml:space="preserve">Italie a adopté la loi </w:t>
      </w:r>
      <w:r w:rsidR="00B17AE1" w:rsidRPr="00F60A3D">
        <w:t>n</w:t>
      </w:r>
      <w:r w:rsidR="00B17AE1" w:rsidRPr="00F60A3D">
        <w:rPr>
          <w:vertAlign w:val="superscript"/>
        </w:rPr>
        <w:t>o</w:t>
      </w:r>
      <w:r w:rsidR="00B17AE1" w:rsidRPr="00F60A3D">
        <w:t> </w:t>
      </w:r>
      <w:r w:rsidR="00050654" w:rsidRPr="00F60A3D">
        <w:t xml:space="preserve">65/2014 relative aux </w:t>
      </w:r>
      <w:r w:rsidR="00416FA8" w:rsidRPr="00F60A3D">
        <w:t>élection</w:t>
      </w:r>
      <w:r w:rsidR="00050654" w:rsidRPr="00F60A3D">
        <w:t>s</w:t>
      </w:r>
      <w:r w:rsidR="00416FA8" w:rsidRPr="00F60A3D">
        <w:t xml:space="preserve"> au Parlement européen</w:t>
      </w:r>
      <w:r w:rsidR="00AB21F5" w:rsidRPr="00F60A3D">
        <w:t xml:space="preserve"> </w:t>
      </w:r>
      <w:r w:rsidR="001C723B" w:rsidRPr="00F60A3D">
        <w:t xml:space="preserve">et </w:t>
      </w:r>
      <w:r w:rsidR="00050654" w:rsidRPr="00F60A3D">
        <w:t>aux</w:t>
      </w:r>
      <w:r w:rsidR="001C723B" w:rsidRPr="00F60A3D">
        <w:t xml:space="preserve"> gar</w:t>
      </w:r>
      <w:r w:rsidR="00050654" w:rsidRPr="00F60A3D">
        <w:t>anties en matière de</w:t>
      </w:r>
      <w:r w:rsidR="00AB21F5" w:rsidRPr="00F60A3D">
        <w:t xml:space="preserve"> repré</w:t>
      </w:r>
      <w:r w:rsidR="00050654" w:rsidRPr="00F60A3D">
        <w:t>sentation féminine, y compris</w:t>
      </w:r>
      <w:r w:rsidR="008F30A4" w:rsidRPr="00F60A3D">
        <w:t xml:space="preserve"> l</w:t>
      </w:r>
      <w:r w:rsidR="001C723B" w:rsidRPr="00F60A3D">
        <w:t>es disp</w:t>
      </w:r>
      <w:r w:rsidR="00050654" w:rsidRPr="00F60A3D">
        <w:t xml:space="preserve">ositions transitoires pour les élections </w:t>
      </w:r>
      <w:r w:rsidR="00AB21F5" w:rsidRPr="00F60A3D">
        <w:t xml:space="preserve">au Parlement européen </w:t>
      </w:r>
      <w:r w:rsidR="00513FFD" w:rsidRPr="00F60A3D">
        <w:t>de 2014 (pour les scrutin</w:t>
      </w:r>
      <w:r w:rsidR="00050654" w:rsidRPr="00F60A3D">
        <w:t xml:space="preserve">s </w:t>
      </w:r>
      <w:r w:rsidR="00513FFD" w:rsidRPr="00F60A3D">
        <w:t>comptant j</w:t>
      </w:r>
      <w:r w:rsidR="00050654" w:rsidRPr="00F60A3D">
        <w:t>usqu</w:t>
      </w:r>
      <w:r w:rsidR="00B17AE1" w:rsidRPr="00F60A3D">
        <w:t>’</w:t>
      </w:r>
      <w:r w:rsidR="00050654" w:rsidRPr="00F60A3D">
        <w:t>à</w:t>
      </w:r>
      <w:r w:rsidR="00B6644F" w:rsidRPr="00F60A3D">
        <w:t xml:space="preserve"> </w:t>
      </w:r>
      <w:r w:rsidR="001C723B" w:rsidRPr="00F60A3D">
        <w:t>trois candidats, le choix doit porter sur des candidats des deux sexes, à défaut</w:t>
      </w:r>
      <w:r w:rsidR="002023CE" w:rsidRPr="00F60A3D">
        <w:t>,</w:t>
      </w:r>
      <w:r w:rsidR="00050654" w:rsidRPr="00F60A3D">
        <w:t xml:space="preserve"> la</w:t>
      </w:r>
      <w:r w:rsidR="00B6644F" w:rsidRPr="00F60A3D">
        <w:t xml:space="preserve"> tr</w:t>
      </w:r>
      <w:r w:rsidR="00050654" w:rsidRPr="00F60A3D">
        <w:t>oisième préférence sera annulée</w:t>
      </w:r>
      <w:r w:rsidR="001C723B" w:rsidRPr="00F60A3D">
        <w:t>; les listes d</w:t>
      </w:r>
      <w:r w:rsidR="00050654" w:rsidRPr="00F60A3D">
        <w:t>oivent être composées</w:t>
      </w:r>
      <w:r w:rsidR="00731982" w:rsidRPr="00F60A3D">
        <w:t xml:space="preserve"> </w:t>
      </w:r>
      <w:r w:rsidR="00C21985" w:rsidRPr="00F60A3D">
        <w:t>à part égale</w:t>
      </w:r>
      <w:r w:rsidR="00050654" w:rsidRPr="00F60A3D">
        <w:t xml:space="preserve"> de</w:t>
      </w:r>
      <w:r w:rsidR="00AB21F5" w:rsidRPr="00F60A3D">
        <w:t xml:space="preserve"> femmes</w:t>
      </w:r>
      <w:r w:rsidR="00050654" w:rsidRPr="00F60A3D">
        <w:t xml:space="preserve"> et d</w:t>
      </w:r>
      <w:r w:rsidR="00B17AE1" w:rsidRPr="00F60A3D">
        <w:t>’</w:t>
      </w:r>
      <w:r w:rsidR="00050654" w:rsidRPr="00F60A3D">
        <w:t>hommes</w:t>
      </w:r>
      <w:r w:rsidR="00AB21F5" w:rsidRPr="00F60A3D">
        <w:t>, et des représent</w:t>
      </w:r>
      <w:r w:rsidR="001C723B" w:rsidRPr="00F60A3D">
        <w:t>ants des deux</w:t>
      </w:r>
      <w:r w:rsidR="00AB21F5" w:rsidRPr="00F60A3D">
        <w:t xml:space="preserve"> sexes doivent être placés en tê</w:t>
      </w:r>
      <w:r w:rsidR="001C723B" w:rsidRPr="00F60A3D">
        <w:t>t</w:t>
      </w:r>
      <w:r w:rsidR="00CC3575" w:rsidRPr="00F60A3D">
        <w:t>e de chaque liste de candidats),</w:t>
      </w:r>
      <w:r w:rsidR="001C723B" w:rsidRPr="00F60A3D">
        <w:t xml:space="preserve"> la loi </w:t>
      </w:r>
      <w:r w:rsidR="00B17AE1" w:rsidRPr="00F60A3D">
        <w:t>n</w:t>
      </w:r>
      <w:r w:rsidR="00B17AE1" w:rsidRPr="00F60A3D">
        <w:rPr>
          <w:vertAlign w:val="superscript"/>
        </w:rPr>
        <w:t>o</w:t>
      </w:r>
      <w:r w:rsidR="00B17AE1" w:rsidRPr="00F60A3D">
        <w:t> </w:t>
      </w:r>
      <w:r w:rsidR="001C723B" w:rsidRPr="00F60A3D">
        <w:t>215/2012</w:t>
      </w:r>
      <w:r w:rsidR="00050654" w:rsidRPr="00F60A3D">
        <w:t xml:space="preserve"> relative à la promotion de</w:t>
      </w:r>
      <w:r w:rsidR="00066B53" w:rsidRPr="00F60A3D">
        <w:t xml:space="preserve"> l</w:t>
      </w:r>
      <w:r w:rsidR="00B17AE1" w:rsidRPr="00F60A3D">
        <w:t>’</w:t>
      </w:r>
      <w:r w:rsidR="00066B53" w:rsidRPr="00F60A3D">
        <w:t>équilibre (</w:t>
      </w:r>
      <w:r w:rsidR="00050654" w:rsidRPr="00F60A3D">
        <w:t>du</w:t>
      </w:r>
      <w:r w:rsidR="009E4024" w:rsidRPr="00F60A3D">
        <w:t xml:space="preserve"> </w:t>
      </w:r>
      <w:r w:rsidR="00066B53" w:rsidRPr="00F60A3D">
        <w:t>rééqu</w:t>
      </w:r>
      <w:r w:rsidR="00050654" w:rsidRPr="00F60A3D">
        <w:t>ilibre) de</w:t>
      </w:r>
      <w:r w:rsidR="009E4024" w:rsidRPr="00F60A3D">
        <w:t xml:space="preserve"> la représentati</w:t>
      </w:r>
      <w:r w:rsidR="00066B53" w:rsidRPr="00F60A3D">
        <w:t xml:space="preserve">on </w:t>
      </w:r>
      <w:r w:rsidR="00050654" w:rsidRPr="00F60A3D">
        <w:t>des femmes et des hommes dans les collectivités et c</w:t>
      </w:r>
      <w:r w:rsidR="00066B53" w:rsidRPr="00F60A3D">
        <w:t xml:space="preserve">onseils </w:t>
      </w:r>
      <w:r w:rsidR="00050654" w:rsidRPr="00F60A3D">
        <w:t>locaux et régionaux</w:t>
      </w:r>
      <w:r w:rsidR="00B23F13" w:rsidRPr="00F60A3D">
        <w:t>,</w:t>
      </w:r>
      <w:r w:rsidR="00066B53" w:rsidRPr="00F60A3D">
        <w:t xml:space="preserve"> et le déc</w:t>
      </w:r>
      <w:r w:rsidR="007658DB" w:rsidRPr="00F60A3D">
        <w:t>ret pré</w:t>
      </w:r>
      <w:r w:rsidR="008F30A4" w:rsidRPr="00F60A3D">
        <w:t xml:space="preserve">sidentiel </w:t>
      </w:r>
      <w:r w:rsidR="00B17AE1" w:rsidRPr="00F60A3D">
        <w:t>n</w:t>
      </w:r>
      <w:r w:rsidR="00B17AE1" w:rsidRPr="00F60A3D">
        <w:rPr>
          <w:vertAlign w:val="superscript"/>
        </w:rPr>
        <w:t>o</w:t>
      </w:r>
      <w:r w:rsidR="00B17AE1" w:rsidRPr="00F60A3D">
        <w:t> </w:t>
      </w:r>
      <w:r w:rsidR="008F30A4" w:rsidRPr="00F60A3D">
        <w:t>251/2012 concernant</w:t>
      </w:r>
      <w:r w:rsidR="00066B53" w:rsidRPr="00F60A3D">
        <w:t xml:space="preserve"> l</w:t>
      </w:r>
      <w:r w:rsidR="00B17AE1" w:rsidRPr="00F60A3D">
        <w:t>’</w:t>
      </w:r>
      <w:r w:rsidR="00066B53" w:rsidRPr="00F60A3D">
        <w:t>égalité d</w:t>
      </w:r>
      <w:r w:rsidR="00B17AE1" w:rsidRPr="00F60A3D">
        <w:t>’</w:t>
      </w:r>
      <w:r w:rsidR="00066B53" w:rsidRPr="00F60A3D">
        <w:t xml:space="preserve">accès </w:t>
      </w:r>
      <w:r w:rsidR="00050654" w:rsidRPr="00F60A3D">
        <w:t xml:space="preserve">des femmes et des hommes </w:t>
      </w:r>
      <w:r w:rsidR="00066B53" w:rsidRPr="00F60A3D">
        <w:t>aux conseils d</w:t>
      </w:r>
      <w:r w:rsidR="00B17AE1" w:rsidRPr="00F60A3D">
        <w:t>’</w:t>
      </w:r>
      <w:r w:rsidR="00066B53" w:rsidRPr="00F60A3D">
        <w:t>administ</w:t>
      </w:r>
      <w:r w:rsidR="004B552A" w:rsidRPr="00F60A3D">
        <w:t>ration des entreprises publiques</w:t>
      </w:r>
      <w:r w:rsidR="00066B53" w:rsidRPr="00F60A3D">
        <w:t>. En vertu de la loi</w:t>
      </w:r>
      <w:r w:rsidR="00AB21F5" w:rsidRPr="00F60A3D">
        <w:t xml:space="preserve"> </w:t>
      </w:r>
      <w:r w:rsidR="00B17AE1" w:rsidRPr="00F60A3D">
        <w:t>n</w:t>
      </w:r>
      <w:r w:rsidR="00B17AE1" w:rsidRPr="00F60A3D">
        <w:rPr>
          <w:vertAlign w:val="superscript"/>
        </w:rPr>
        <w:t>o</w:t>
      </w:r>
      <w:r w:rsidR="00B17AE1" w:rsidRPr="00F60A3D">
        <w:t> </w:t>
      </w:r>
      <w:r w:rsidR="00AB21F5" w:rsidRPr="00F60A3D">
        <w:t>120/2011, les organes direc</w:t>
      </w:r>
      <w:r w:rsidR="00066B53" w:rsidRPr="00F60A3D">
        <w:t>teurs des entre</w:t>
      </w:r>
      <w:r w:rsidR="00F627C5" w:rsidRPr="00F60A3D">
        <w:t>prises cotées en Bourse ont l</w:t>
      </w:r>
      <w:r w:rsidR="00B17AE1" w:rsidRPr="00F60A3D">
        <w:t>’</w:t>
      </w:r>
      <w:r w:rsidR="00F627C5" w:rsidRPr="00F60A3D">
        <w:t>obligation</w:t>
      </w:r>
      <w:r w:rsidR="002023CE" w:rsidRPr="00F60A3D">
        <w:t>,</w:t>
      </w:r>
      <w:r w:rsidR="001A121C" w:rsidRPr="00F60A3D">
        <w:t xml:space="preserve"> depuis le</w:t>
      </w:r>
      <w:r w:rsidR="00066B53" w:rsidRPr="00F60A3D">
        <w:t xml:space="preserve"> 12</w:t>
      </w:r>
      <w:r w:rsidR="004365E0" w:rsidRPr="00F60A3D">
        <w:t> </w:t>
      </w:r>
      <w:r w:rsidR="00066B53" w:rsidRPr="00F60A3D">
        <w:t xml:space="preserve">août 2012, </w:t>
      </w:r>
      <w:r w:rsidR="00F627C5" w:rsidRPr="00F60A3D">
        <w:t xml:space="preserve">de </w:t>
      </w:r>
      <w:r w:rsidR="00066B53" w:rsidRPr="00F60A3D">
        <w:t>renouv</w:t>
      </w:r>
      <w:r w:rsidR="00AB21F5" w:rsidRPr="00F60A3D">
        <w:t>el</w:t>
      </w:r>
      <w:r w:rsidR="00066B53" w:rsidRPr="00F60A3D">
        <w:t>er</w:t>
      </w:r>
      <w:r w:rsidR="00F627C5" w:rsidRPr="00F60A3D">
        <w:t xml:space="preserve"> leurs conseils</w:t>
      </w:r>
      <w:r w:rsidR="00066B53" w:rsidRPr="00F60A3D">
        <w:t xml:space="preserve"> en réservant </w:t>
      </w:r>
      <w:r w:rsidR="00C31967" w:rsidRPr="00F60A3D">
        <w:t>un quota d</w:t>
      </w:r>
      <w:r w:rsidR="00B17AE1" w:rsidRPr="00F60A3D">
        <w:t>’</w:t>
      </w:r>
      <w:r w:rsidR="00C31967" w:rsidRPr="00F60A3D">
        <w:t>au moins 20</w:t>
      </w:r>
      <w:r w:rsidR="00B17AE1" w:rsidRPr="00F60A3D">
        <w:t> %</w:t>
      </w:r>
      <w:r w:rsidR="00F627C5" w:rsidRPr="00F60A3D">
        <w:t xml:space="preserve"> de sièges</w:t>
      </w:r>
      <w:r w:rsidR="00066B53" w:rsidRPr="00F60A3D">
        <w:t xml:space="preserve"> au sexe le moins représenté. </w:t>
      </w:r>
    </w:p>
    <w:p w:rsidR="005063FC" w:rsidRPr="00F60A3D" w:rsidRDefault="00B27AF5" w:rsidP="00B27AF5">
      <w:pPr>
        <w:pStyle w:val="H23G"/>
        <w:rPr>
          <w:highlight w:val="yellow"/>
          <w:lang w:val="fr-FR"/>
        </w:rPr>
      </w:pPr>
      <w:r w:rsidRPr="00F60A3D">
        <w:rPr>
          <w:lang w:val="fr-FR"/>
        </w:rPr>
        <w:tab/>
      </w:r>
      <w:r w:rsidRPr="00F60A3D">
        <w:rPr>
          <w:lang w:val="fr-FR"/>
        </w:rPr>
        <w:tab/>
      </w:r>
      <w:r w:rsidR="00066B53" w:rsidRPr="00F60A3D">
        <w:rPr>
          <w:lang w:val="fr-FR"/>
        </w:rPr>
        <w:t>Coopé</w:t>
      </w:r>
      <w:r w:rsidR="005063FC" w:rsidRPr="00F60A3D">
        <w:rPr>
          <w:lang w:val="fr-FR"/>
        </w:rPr>
        <w:t>ration</w:t>
      </w:r>
      <w:r w:rsidR="00066B53" w:rsidRPr="00F60A3D">
        <w:rPr>
          <w:lang w:val="fr-FR"/>
        </w:rPr>
        <w:t xml:space="preserve"> internationale </w:t>
      </w:r>
    </w:p>
    <w:p w:rsidR="005063FC" w:rsidRPr="00F60A3D" w:rsidRDefault="006A35D8" w:rsidP="004365E0">
      <w:pPr>
        <w:pStyle w:val="SingleTxtG"/>
        <w:rPr>
          <w:lang w:val="fr-FR"/>
        </w:rPr>
      </w:pPr>
      <w:r w:rsidRPr="00F60A3D">
        <w:rPr>
          <w:rStyle w:val="SingleTxtGChar"/>
          <w:lang w:val="fr-FR"/>
        </w:rPr>
        <w:t>230.</w:t>
      </w:r>
      <w:r w:rsidRPr="00F60A3D">
        <w:rPr>
          <w:rStyle w:val="SingleTxtGChar"/>
          <w:lang w:val="fr-FR"/>
        </w:rPr>
        <w:tab/>
      </w:r>
      <w:r w:rsidR="00066B53" w:rsidRPr="00F60A3D">
        <w:rPr>
          <w:rStyle w:val="SingleTxtGChar"/>
          <w:lang w:val="fr-FR"/>
        </w:rPr>
        <w:t>L</w:t>
      </w:r>
      <w:r w:rsidR="00B17AE1" w:rsidRPr="00F60A3D">
        <w:rPr>
          <w:rStyle w:val="SingleTxtGChar"/>
          <w:lang w:val="fr-FR"/>
        </w:rPr>
        <w:t>’</w:t>
      </w:r>
      <w:r w:rsidR="00066B53" w:rsidRPr="00F60A3D">
        <w:rPr>
          <w:rStyle w:val="SingleTxtGChar"/>
          <w:lang w:val="fr-FR"/>
        </w:rPr>
        <w:t>adhésion</w:t>
      </w:r>
      <w:r w:rsidR="009E4024" w:rsidRPr="00F60A3D">
        <w:rPr>
          <w:rStyle w:val="SingleTxtGChar"/>
          <w:lang w:val="fr-FR"/>
        </w:rPr>
        <w:t xml:space="preserve"> de l</w:t>
      </w:r>
      <w:r w:rsidR="00B17AE1" w:rsidRPr="00F60A3D">
        <w:rPr>
          <w:rStyle w:val="SingleTxtGChar"/>
          <w:lang w:val="fr-FR"/>
        </w:rPr>
        <w:t>’</w:t>
      </w:r>
      <w:r w:rsidR="009E4024" w:rsidRPr="00F60A3D">
        <w:rPr>
          <w:rStyle w:val="SingleTxtGChar"/>
          <w:lang w:val="fr-FR"/>
        </w:rPr>
        <w:t>Italie à l</w:t>
      </w:r>
      <w:r w:rsidR="00B17AE1" w:rsidRPr="00F60A3D">
        <w:rPr>
          <w:rStyle w:val="SingleTxtGChar"/>
          <w:lang w:val="fr-FR"/>
        </w:rPr>
        <w:t>’</w:t>
      </w:r>
      <w:r w:rsidR="009E4024" w:rsidRPr="00F60A3D">
        <w:rPr>
          <w:rStyle w:val="SingleTxtGChar"/>
          <w:lang w:val="fr-FR"/>
        </w:rPr>
        <w:t>objectif de 0,</w:t>
      </w:r>
      <w:r w:rsidR="00066B53" w:rsidRPr="00F60A3D">
        <w:rPr>
          <w:rStyle w:val="SingleTxtGChar"/>
          <w:lang w:val="fr-FR"/>
        </w:rPr>
        <w:t>7</w:t>
      </w:r>
      <w:r w:rsidR="00B17AE1" w:rsidRPr="00F60A3D">
        <w:rPr>
          <w:rStyle w:val="SingleTxtGChar"/>
          <w:lang w:val="fr-FR"/>
        </w:rPr>
        <w:t> %</w:t>
      </w:r>
      <w:r w:rsidR="00066B53" w:rsidRPr="00F60A3D">
        <w:rPr>
          <w:rStyle w:val="SingleTxtGChar"/>
          <w:lang w:val="fr-FR"/>
        </w:rPr>
        <w:t xml:space="preserve"> du PIB fixé par les Nations Unies est essentielle. </w:t>
      </w:r>
      <w:r w:rsidR="00DB62EC" w:rsidRPr="00F60A3D">
        <w:rPr>
          <w:rStyle w:val="SingleTxtGChar"/>
          <w:lang w:val="fr-FR"/>
        </w:rPr>
        <w:t>Dans un context</w:t>
      </w:r>
      <w:r w:rsidR="001012A3" w:rsidRPr="00F60A3D">
        <w:rPr>
          <w:rStyle w:val="SingleTxtGChar"/>
          <w:lang w:val="fr-FR"/>
        </w:rPr>
        <w:t>e</w:t>
      </w:r>
      <w:r w:rsidR="00DB62EC" w:rsidRPr="00F60A3D">
        <w:rPr>
          <w:rStyle w:val="SingleTxtGChar"/>
          <w:lang w:val="fr-FR"/>
        </w:rPr>
        <w:t xml:space="preserve"> de crise financière et économique mondiale, il a fallu limiter les dépenses publiques, ce qui a entraîné</w:t>
      </w:r>
      <w:r w:rsidR="00D26E07" w:rsidRPr="00F60A3D">
        <w:rPr>
          <w:rStyle w:val="SingleTxtGChar"/>
          <w:lang w:val="fr-FR"/>
        </w:rPr>
        <w:t xml:space="preserve"> au cours des dernières années</w:t>
      </w:r>
      <w:r w:rsidR="00DB62EC" w:rsidRPr="00F60A3D">
        <w:rPr>
          <w:rStyle w:val="SingleTxtGChar"/>
          <w:lang w:val="fr-FR"/>
        </w:rPr>
        <w:t xml:space="preserve"> une diminution du financement de l</w:t>
      </w:r>
      <w:r w:rsidR="00B17AE1" w:rsidRPr="00F60A3D">
        <w:rPr>
          <w:rStyle w:val="SingleTxtGChar"/>
          <w:lang w:val="fr-FR"/>
        </w:rPr>
        <w:t>’</w:t>
      </w:r>
      <w:r w:rsidR="00DB62EC" w:rsidRPr="00F60A3D">
        <w:rPr>
          <w:rStyle w:val="SingleTxtGChar"/>
          <w:lang w:val="fr-FR"/>
        </w:rPr>
        <w:t>APD (aide publique au développemen</w:t>
      </w:r>
      <w:r w:rsidR="00D26E07" w:rsidRPr="00F60A3D">
        <w:rPr>
          <w:rStyle w:val="SingleTxtGChar"/>
          <w:lang w:val="fr-FR"/>
        </w:rPr>
        <w:t>t)</w:t>
      </w:r>
      <w:r w:rsidR="00DB62EC" w:rsidRPr="00F60A3D">
        <w:rPr>
          <w:rStyle w:val="SingleTxtGChar"/>
          <w:lang w:val="fr-FR"/>
        </w:rPr>
        <w:t>. En 2008, l</w:t>
      </w:r>
      <w:r w:rsidR="00B17AE1" w:rsidRPr="00F60A3D">
        <w:rPr>
          <w:rStyle w:val="SingleTxtGChar"/>
          <w:lang w:val="fr-FR"/>
        </w:rPr>
        <w:t>’</w:t>
      </w:r>
      <w:r w:rsidR="00DB62EC" w:rsidRPr="00F60A3D">
        <w:rPr>
          <w:rStyle w:val="SingleTxtGChar"/>
          <w:lang w:val="fr-FR"/>
        </w:rPr>
        <w:t>APD de l</w:t>
      </w:r>
      <w:r w:rsidR="00B17AE1" w:rsidRPr="00F60A3D">
        <w:rPr>
          <w:rStyle w:val="SingleTxtGChar"/>
          <w:lang w:val="fr-FR"/>
        </w:rPr>
        <w:t>’</w:t>
      </w:r>
      <w:r w:rsidR="001012A3" w:rsidRPr="00F60A3D">
        <w:rPr>
          <w:rStyle w:val="SingleTxtGChar"/>
          <w:lang w:val="fr-FR"/>
        </w:rPr>
        <w:t>I</w:t>
      </w:r>
      <w:r w:rsidR="00DB62EC" w:rsidRPr="00F60A3D">
        <w:rPr>
          <w:rStyle w:val="SingleTxtGChar"/>
          <w:lang w:val="fr-FR"/>
        </w:rPr>
        <w:t>talie s</w:t>
      </w:r>
      <w:r w:rsidR="00B17AE1" w:rsidRPr="00F60A3D">
        <w:rPr>
          <w:rStyle w:val="SingleTxtGChar"/>
          <w:lang w:val="fr-FR"/>
        </w:rPr>
        <w:t>’</w:t>
      </w:r>
      <w:r w:rsidR="00DB62EC" w:rsidRPr="00F60A3D">
        <w:rPr>
          <w:rStyle w:val="SingleTxtGChar"/>
          <w:lang w:val="fr-FR"/>
        </w:rPr>
        <w:t>établissait à</w:t>
      </w:r>
      <w:r w:rsidR="001012A3" w:rsidRPr="00F60A3D">
        <w:rPr>
          <w:rStyle w:val="SingleTxtGChar"/>
          <w:lang w:val="fr-FR"/>
        </w:rPr>
        <w:t xml:space="preserve"> 0,22</w:t>
      </w:r>
      <w:r w:rsidR="00B17AE1" w:rsidRPr="00F60A3D">
        <w:rPr>
          <w:rStyle w:val="SingleTxtGChar"/>
          <w:lang w:val="fr-FR"/>
        </w:rPr>
        <w:t> %</w:t>
      </w:r>
      <w:r w:rsidR="001012A3" w:rsidRPr="00F60A3D">
        <w:rPr>
          <w:rStyle w:val="SingleTxtGChar"/>
          <w:lang w:val="fr-FR"/>
        </w:rPr>
        <w:t xml:space="preserve"> du PIB;</w:t>
      </w:r>
      <w:r w:rsidR="00DB62EC" w:rsidRPr="00F60A3D">
        <w:rPr>
          <w:rStyle w:val="SingleTxtGChar"/>
          <w:lang w:val="fr-FR"/>
        </w:rPr>
        <w:t xml:space="preserve"> en 2012, el</w:t>
      </w:r>
      <w:r w:rsidR="002023CE" w:rsidRPr="00F60A3D">
        <w:rPr>
          <w:rStyle w:val="SingleTxtGChar"/>
          <w:lang w:val="fr-FR"/>
        </w:rPr>
        <w:t>le représentait 0,14</w:t>
      </w:r>
      <w:r w:rsidR="00B17AE1" w:rsidRPr="00F60A3D">
        <w:rPr>
          <w:rStyle w:val="SingleTxtGChar"/>
          <w:lang w:val="fr-FR"/>
        </w:rPr>
        <w:t> %</w:t>
      </w:r>
      <w:r w:rsidR="002023CE" w:rsidRPr="00F60A3D">
        <w:rPr>
          <w:rStyle w:val="SingleTxtGChar"/>
          <w:lang w:val="fr-FR"/>
        </w:rPr>
        <w:t xml:space="preserve"> du PIB.</w:t>
      </w:r>
      <w:r w:rsidR="00731982" w:rsidRPr="00F60A3D">
        <w:rPr>
          <w:rStyle w:val="SingleTxtGChar"/>
          <w:lang w:val="fr-FR"/>
        </w:rPr>
        <w:t xml:space="preserve"> </w:t>
      </w:r>
      <w:r w:rsidR="002023CE" w:rsidRPr="00F60A3D">
        <w:rPr>
          <w:rStyle w:val="SingleTxtGChar"/>
          <w:lang w:val="fr-FR"/>
        </w:rPr>
        <w:t>Toutefois, e</w:t>
      </w:r>
      <w:r w:rsidR="00DB62EC" w:rsidRPr="00F60A3D">
        <w:rPr>
          <w:rStyle w:val="SingleTxtGChar"/>
          <w:lang w:val="fr-FR"/>
        </w:rPr>
        <w:t>n 2013, le Gouvernement italien s</w:t>
      </w:r>
      <w:r w:rsidR="00B17AE1" w:rsidRPr="00F60A3D">
        <w:rPr>
          <w:rStyle w:val="SingleTxtGChar"/>
          <w:lang w:val="fr-FR"/>
        </w:rPr>
        <w:t>’</w:t>
      </w:r>
      <w:r w:rsidR="00DB62EC" w:rsidRPr="00F60A3D">
        <w:rPr>
          <w:rStyle w:val="SingleTxtGChar"/>
          <w:lang w:val="fr-FR"/>
        </w:rPr>
        <w:t xml:space="preserve">est </w:t>
      </w:r>
      <w:r w:rsidR="001012A3" w:rsidRPr="00F60A3D">
        <w:rPr>
          <w:rStyle w:val="SingleTxtGChar"/>
          <w:lang w:val="fr-FR"/>
        </w:rPr>
        <w:t>engagé</w:t>
      </w:r>
      <w:r w:rsidR="00DB62EC" w:rsidRPr="00F60A3D">
        <w:rPr>
          <w:rStyle w:val="SingleTxtGChar"/>
          <w:lang w:val="fr-FR"/>
        </w:rPr>
        <w:t xml:space="preserve"> à augmenter de 10</w:t>
      </w:r>
      <w:r w:rsidR="00B17AE1" w:rsidRPr="00F60A3D">
        <w:rPr>
          <w:rStyle w:val="SingleTxtGChar"/>
          <w:lang w:val="fr-FR"/>
        </w:rPr>
        <w:t> %</w:t>
      </w:r>
      <w:r w:rsidR="00DB62EC" w:rsidRPr="00F60A3D">
        <w:rPr>
          <w:rStyle w:val="SingleTxtGChar"/>
          <w:lang w:val="fr-FR"/>
        </w:rPr>
        <w:t xml:space="preserve"> le volume de l</w:t>
      </w:r>
      <w:r w:rsidR="00B17AE1" w:rsidRPr="00F60A3D">
        <w:rPr>
          <w:rStyle w:val="SingleTxtGChar"/>
          <w:lang w:val="fr-FR"/>
        </w:rPr>
        <w:t>’</w:t>
      </w:r>
      <w:r w:rsidR="00DB62EC" w:rsidRPr="00F60A3D">
        <w:rPr>
          <w:rStyle w:val="SingleTxtGChar"/>
          <w:lang w:val="fr-FR"/>
        </w:rPr>
        <w:t>APD</w:t>
      </w:r>
      <w:r w:rsidR="001012A3" w:rsidRPr="00F60A3D">
        <w:rPr>
          <w:rStyle w:val="SingleTxtGChar"/>
          <w:lang w:val="fr-FR"/>
        </w:rPr>
        <w:t xml:space="preserve"> </w:t>
      </w:r>
      <w:r w:rsidR="00CC3575" w:rsidRPr="00F60A3D">
        <w:rPr>
          <w:rStyle w:val="SingleTxtGChar"/>
          <w:lang w:val="fr-FR"/>
        </w:rPr>
        <w:t>pour</w:t>
      </w:r>
      <w:r w:rsidR="00DB62EC" w:rsidRPr="00F60A3D">
        <w:rPr>
          <w:rStyle w:val="SingleTxtGChar"/>
          <w:lang w:val="fr-FR"/>
        </w:rPr>
        <w:t xml:space="preserve"> se conformer progressivement aux objecti</w:t>
      </w:r>
      <w:r w:rsidR="001012A3" w:rsidRPr="00F60A3D">
        <w:rPr>
          <w:rStyle w:val="SingleTxtGChar"/>
          <w:lang w:val="fr-FR"/>
        </w:rPr>
        <w:t>fs internati</w:t>
      </w:r>
      <w:r w:rsidR="00DB62EC" w:rsidRPr="00F60A3D">
        <w:rPr>
          <w:rStyle w:val="SingleTxtGChar"/>
          <w:lang w:val="fr-FR"/>
        </w:rPr>
        <w:t>onaux. En vertu de cet engagement, le volume de l</w:t>
      </w:r>
      <w:r w:rsidR="00B17AE1" w:rsidRPr="00F60A3D">
        <w:rPr>
          <w:rStyle w:val="SingleTxtGChar"/>
          <w:lang w:val="fr-FR"/>
        </w:rPr>
        <w:t>’</w:t>
      </w:r>
      <w:r w:rsidR="00DB62EC" w:rsidRPr="00F60A3D">
        <w:rPr>
          <w:rStyle w:val="SingleTxtGChar"/>
          <w:lang w:val="fr-FR"/>
        </w:rPr>
        <w:t>APD devrait a</w:t>
      </w:r>
      <w:r w:rsidR="001012A3" w:rsidRPr="00F60A3D">
        <w:rPr>
          <w:rStyle w:val="SingleTxtGChar"/>
          <w:lang w:val="fr-FR"/>
        </w:rPr>
        <w:t>t</w:t>
      </w:r>
      <w:r w:rsidR="00DB62EC" w:rsidRPr="00F60A3D">
        <w:rPr>
          <w:rStyle w:val="SingleTxtGChar"/>
          <w:lang w:val="fr-FR"/>
        </w:rPr>
        <w:t>teindre entre 0,28 et 0,31</w:t>
      </w:r>
      <w:r w:rsidR="00B17AE1" w:rsidRPr="00F60A3D">
        <w:rPr>
          <w:rStyle w:val="SingleTxtGChar"/>
          <w:lang w:val="fr-FR"/>
        </w:rPr>
        <w:t> %</w:t>
      </w:r>
      <w:r w:rsidR="00DB62EC" w:rsidRPr="00F60A3D">
        <w:rPr>
          <w:rStyle w:val="SingleTxtGChar"/>
          <w:lang w:val="fr-FR"/>
        </w:rPr>
        <w:t xml:space="preserve"> du PIB d</w:t>
      </w:r>
      <w:r w:rsidR="00B17AE1" w:rsidRPr="00F60A3D">
        <w:rPr>
          <w:rStyle w:val="SingleTxtGChar"/>
          <w:lang w:val="fr-FR"/>
        </w:rPr>
        <w:t>’</w:t>
      </w:r>
      <w:r w:rsidR="00DB62EC" w:rsidRPr="00F60A3D">
        <w:rPr>
          <w:rStyle w:val="SingleTxtGChar"/>
          <w:lang w:val="fr-FR"/>
        </w:rPr>
        <w:t xml:space="preserve">ici </w:t>
      </w:r>
      <w:r w:rsidR="009E2290" w:rsidRPr="00F60A3D">
        <w:rPr>
          <w:rStyle w:val="SingleTxtGChar"/>
          <w:lang w:val="fr-FR"/>
        </w:rPr>
        <w:t xml:space="preserve">à </w:t>
      </w:r>
      <w:r w:rsidR="00DB62EC" w:rsidRPr="00F60A3D">
        <w:rPr>
          <w:rStyle w:val="SingleTxtGChar"/>
          <w:lang w:val="fr-FR"/>
        </w:rPr>
        <w:t>2017.</w:t>
      </w:r>
    </w:p>
    <w:p w:rsidR="001012A3" w:rsidRPr="00F60A3D" w:rsidRDefault="00224935" w:rsidP="004365E0">
      <w:pPr>
        <w:pStyle w:val="SingleTxtG"/>
        <w:rPr>
          <w:lang w:val="fr-FR"/>
        </w:rPr>
      </w:pPr>
      <w:r w:rsidRPr="00F60A3D">
        <w:rPr>
          <w:lang w:val="fr-FR"/>
        </w:rPr>
        <w:t>231.</w:t>
      </w:r>
      <w:r w:rsidR="001D2CCC" w:rsidRPr="00F60A3D">
        <w:rPr>
          <w:lang w:val="fr-FR"/>
        </w:rPr>
        <w:tab/>
      </w:r>
      <w:r w:rsidR="00D26E07" w:rsidRPr="00F60A3D">
        <w:rPr>
          <w:lang w:val="fr-FR"/>
        </w:rPr>
        <w:t>E</w:t>
      </w:r>
      <w:r w:rsidR="00DB62EC" w:rsidRPr="00F60A3D">
        <w:rPr>
          <w:lang w:val="fr-FR"/>
        </w:rPr>
        <w:t>n vertu de la l</w:t>
      </w:r>
      <w:r w:rsidR="002D7336" w:rsidRPr="00F60A3D">
        <w:rPr>
          <w:lang w:val="fr-FR"/>
        </w:rPr>
        <w:t xml:space="preserve">oi </w:t>
      </w:r>
      <w:r w:rsidR="00B17AE1" w:rsidRPr="00F60A3D">
        <w:rPr>
          <w:lang w:val="fr-FR"/>
        </w:rPr>
        <w:t>n</w:t>
      </w:r>
      <w:r w:rsidR="00B17AE1" w:rsidRPr="00F60A3D">
        <w:rPr>
          <w:vertAlign w:val="superscript"/>
          <w:lang w:val="fr-FR"/>
        </w:rPr>
        <w:t>o</w:t>
      </w:r>
      <w:r w:rsidR="00B17AE1" w:rsidRPr="00F60A3D">
        <w:rPr>
          <w:lang w:val="fr-FR"/>
        </w:rPr>
        <w:t> </w:t>
      </w:r>
      <w:r w:rsidR="002D7336" w:rsidRPr="00F60A3D">
        <w:rPr>
          <w:lang w:val="fr-FR"/>
        </w:rPr>
        <w:t>125/2014, la nouvelle stru</w:t>
      </w:r>
      <w:r w:rsidR="00DB62EC" w:rsidRPr="00F60A3D">
        <w:rPr>
          <w:lang w:val="fr-FR"/>
        </w:rPr>
        <w:t>cture</w:t>
      </w:r>
      <w:r w:rsidR="001012A3" w:rsidRPr="00F60A3D">
        <w:rPr>
          <w:lang w:val="fr-FR"/>
        </w:rPr>
        <w:t xml:space="preserve"> de la coopération au développement inclut </w:t>
      </w:r>
      <w:r w:rsidR="00D26E07" w:rsidRPr="00F60A3D">
        <w:rPr>
          <w:lang w:val="fr-FR"/>
        </w:rPr>
        <w:t xml:space="preserve">ainsi </w:t>
      </w:r>
      <w:r w:rsidR="001012A3" w:rsidRPr="00F60A3D">
        <w:rPr>
          <w:lang w:val="fr-FR"/>
        </w:rPr>
        <w:t>maintenant: le Ministère des affaires étrangères et de la coopération interna</w:t>
      </w:r>
      <w:r w:rsidR="007658DB" w:rsidRPr="00F60A3D">
        <w:rPr>
          <w:lang w:val="fr-FR"/>
        </w:rPr>
        <w:t>tionale – avec un mandat spécifique accordé au</w:t>
      </w:r>
      <w:r w:rsidR="002D7336" w:rsidRPr="00F60A3D">
        <w:rPr>
          <w:lang w:val="fr-FR"/>
        </w:rPr>
        <w:t xml:space="preserve"> Vice-Ministre des</w:t>
      </w:r>
      <w:r w:rsidR="001012A3" w:rsidRPr="00F60A3D">
        <w:rPr>
          <w:lang w:val="fr-FR"/>
        </w:rPr>
        <w:t xml:space="preserve"> affaires étrangè</w:t>
      </w:r>
      <w:r w:rsidR="00513FFD" w:rsidRPr="00F60A3D">
        <w:rPr>
          <w:lang w:val="fr-FR"/>
        </w:rPr>
        <w:t>res,</w:t>
      </w:r>
      <w:r w:rsidR="001012A3" w:rsidRPr="00F60A3D">
        <w:rPr>
          <w:lang w:val="fr-FR"/>
        </w:rPr>
        <w:t xml:space="preserve"> le Comité interministériel </w:t>
      </w:r>
      <w:r w:rsidR="00513FFD" w:rsidRPr="00F60A3D">
        <w:rPr>
          <w:lang w:val="fr-FR"/>
        </w:rPr>
        <w:t>de coopération au développement</w:t>
      </w:r>
      <w:r w:rsidR="00B23F13" w:rsidRPr="00F60A3D">
        <w:rPr>
          <w:lang w:val="fr-FR"/>
        </w:rPr>
        <w:t>,</w:t>
      </w:r>
      <w:r w:rsidR="001012A3" w:rsidRPr="00F60A3D">
        <w:rPr>
          <w:lang w:val="fr-FR"/>
        </w:rPr>
        <w:t xml:space="preserve"> et l</w:t>
      </w:r>
      <w:r w:rsidR="00B17AE1" w:rsidRPr="00F60A3D">
        <w:rPr>
          <w:lang w:val="fr-FR"/>
        </w:rPr>
        <w:t>’</w:t>
      </w:r>
      <w:r w:rsidR="001012A3" w:rsidRPr="00F60A3D">
        <w:rPr>
          <w:lang w:val="fr-FR"/>
        </w:rPr>
        <w:t>Agence nationale de coopération au développement, opérationn</w:t>
      </w:r>
      <w:r w:rsidR="00A7417B" w:rsidRPr="00F60A3D">
        <w:rPr>
          <w:lang w:val="fr-FR"/>
        </w:rPr>
        <w:t xml:space="preserve">elle depuis le </w:t>
      </w:r>
      <w:r w:rsidR="004365E0" w:rsidRPr="00F60A3D">
        <w:rPr>
          <w:lang w:val="fr-FR"/>
        </w:rPr>
        <w:t>1</w:t>
      </w:r>
      <w:r w:rsidR="004365E0" w:rsidRPr="00F60A3D">
        <w:rPr>
          <w:vertAlign w:val="superscript"/>
          <w:lang w:val="fr-FR"/>
        </w:rPr>
        <w:t>er</w:t>
      </w:r>
      <w:r w:rsidR="004365E0" w:rsidRPr="00F60A3D">
        <w:rPr>
          <w:lang w:val="fr-FR"/>
        </w:rPr>
        <w:t> </w:t>
      </w:r>
      <w:r w:rsidR="00A7417B" w:rsidRPr="00F60A3D">
        <w:rPr>
          <w:lang w:val="fr-FR"/>
        </w:rPr>
        <w:t>janvier 2016.</w:t>
      </w:r>
      <w:r w:rsidR="00731982" w:rsidRPr="00F60A3D">
        <w:rPr>
          <w:lang w:val="fr-FR"/>
        </w:rPr>
        <w:t xml:space="preserve"> </w:t>
      </w:r>
    </w:p>
    <w:p w:rsidR="001012A3" w:rsidRPr="00F60A3D" w:rsidRDefault="00224935" w:rsidP="004365E0">
      <w:pPr>
        <w:pStyle w:val="SingleTxtG"/>
        <w:rPr>
          <w:lang w:val="fr-FR"/>
        </w:rPr>
      </w:pPr>
      <w:r w:rsidRPr="00F60A3D">
        <w:rPr>
          <w:lang w:val="fr-FR"/>
        </w:rPr>
        <w:lastRenderedPageBreak/>
        <w:t>232.</w:t>
      </w:r>
      <w:r w:rsidR="001D2CCC" w:rsidRPr="00F60A3D">
        <w:rPr>
          <w:lang w:val="fr-FR"/>
        </w:rPr>
        <w:tab/>
      </w:r>
      <w:r w:rsidR="001012A3" w:rsidRPr="00F60A3D">
        <w:rPr>
          <w:lang w:val="fr-FR"/>
        </w:rPr>
        <w:t>En outre, la loi précitée définit également les objectifs de la coopération au dével</w:t>
      </w:r>
      <w:r w:rsidR="007658DB" w:rsidRPr="00F60A3D">
        <w:rPr>
          <w:lang w:val="fr-FR"/>
        </w:rPr>
        <w:t>oppement, notamment: l</w:t>
      </w:r>
      <w:r w:rsidR="00B17AE1" w:rsidRPr="00F60A3D">
        <w:rPr>
          <w:lang w:val="fr-FR"/>
        </w:rPr>
        <w:t>’</w:t>
      </w:r>
      <w:r w:rsidR="007658DB" w:rsidRPr="00F60A3D">
        <w:rPr>
          <w:lang w:val="fr-FR"/>
        </w:rPr>
        <w:t>éradication de la pauvreté, la ré</w:t>
      </w:r>
      <w:r w:rsidR="001012A3" w:rsidRPr="00F60A3D">
        <w:rPr>
          <w:lang w:val="fr-FR"/>
        </w:rPr>
        <w:t>duction des inégalités et la protection des droits de l</w:t>
      </w:r>
      <w:r w:rsidR="00B17AE1" w:rsidRPr="00F60A3D">
        <w:rPr>
          <w:lang w:val="fr-FR"/>
        </w:rPr>
        <w:t>’</w:t>
      </w:r>
      <w:r w:rsidR="001012A3" w:rsidRPr="00F60A3D">
        <w:rPr>
          <w:lang w:val="fr-FR"/>
        </w:rPr>
        <w:t xml:space="preserve">homme, en </w:t>
      </w:r>
      <w:r w:rsidR="002D7336" w:rsidRPr="00F60A3D">
        <w:rPr>
          <w:lang w:val="fr-FR"/>
        </w:rPr>
        <w:t>particulier l</w:t>
      </w:r>
      <w:r w:rsidR="00B17AE1" w:rsidRPr="00F60A3D">
        <w:rPr>
          <w:lang w:val="fr-FR"/>
        </w:rPr>
        <w:t>’</w:t>
      </w:r>
      <w:r w:rsidR="002D7336" w:rsidRPr="00F60A3D">
        <w:rPr>
          <w:lang w:val="fr-FR"/>
        </w:rPr>
        <w:t>égalité des sexes,</w:t>
      </w:r>
      <w:r w:rsidR="001012A3" w:rsidRPr="00F60A3D">
        <w:rPr>
          <w:lang w:val="fr-FR"/>
        </w:rPr>
        <w:t xml:space="preserve"> la préventio</w:t>
      </w:r>
      <w:r w:rsidR="00620E8E" w:rsidRPr="00F60A3D">
        <w:rPr>
          <w:lang w:val="fr-FR"/>
        </w:rPr>
        <w:t xml:space="preserve">n et le règlement des conflits </w:t>
      </w:r>
      <w:r w:rsidR="001012A3" w:rsidRPr="00F60A3D">
        <w:rPr>
          <w:lang w:val="fr-FR"/>
        </w:rPr>
        <w:t>et le soutien aux processus de paix. Elle prévoit également l</w:t>
      </w:r>
      <w:r w:rsidR="00B17AE1" w:rsidRPr="00F60A3D">
        <w:rPr>
          <w:lang w:val="fr-FR"/>
        </w:rPr>
        <w:t>’</w:t>
      </w:r>
      <w:r w:rsidR="001012A3" w:rsidRPr="00F60A3D">
        <w:rPr>
          <w:lang w:val="fr-FR"/>
        </w:rPr>
        <w:t>adoption d</w:t>
      </w:r>
      <w:r w:rsidR="00B17AE1" w:rsidRPr="00F60A3D">
        <w:rPr>
          <w:lang w:val="fr-FR"/>
        </w:rPr>
        <w:t>’</w:t>
      </w:r>
      <w:r w:rsidR="001012A3" w:rsidRPr="00F60A3D">
        <w:rPr>
          <w:lang w:val="fr-FR"/>
        </w:rPr>
        <w:t>un document d</w:t>
      </w:r>
      <w:r w:rsidR="00B17AE1" w:rsidRPr="00F60A3D">
        <w:rPr>
          <w:lang w:val="fr-FR"/>
        </w:rPr>
        <w:t>’</w:t>
      </w:r>
      <w:r w:rsidR="001012A3" w:rsidRPr="00F60A3D">
        <w:rPr>
          <w:lang w:val="fr-FR"/>
        </w:rPr>
        <w:t xml:space="preserve">orientation </w:t>
      </w:r>
      <w:r w:rsidR="00FE4548" w:rsidRPr="00F60A3D">
        <w:rPr>
          <w:lang w:val="fr-FR"/>
        </w:rPr>
        <w:t>triennal</w:t>
      </w:r>
      <w:r w:rsidR="001012A3" w:rsidRPr="00F60A3D">
        <w:rPr>
          <w:lang w:val="fr-FR"/>
        </w:rPr>
        <w:t xml:space="preserve"> qui devra être approuvé par</w:t>
      </w:r>
      <w:r w:rsidR="004B54BB" w:rsidRPr="00F60A3D">
        <w:rPr>
          <w:lang w:val="fr-FR"/>
        </w:rPr>
        <w:t xml:space="preserve"> le Conseil des ministres</w:t>
      </w:r>
      <w:r w:rsidR="00B23F13" w:rsidRPr="00F60A3D">
        <w:rPr>
          <w:lang w:val="fr-FR"/>
        </w:rPr>
        <w:t>,</w:t>
      </w:r>
      <w:r w:rsidR="00413E37" w:rsidRPr="00F60A3D">
        <w:rPr>
          <w:lang w:val="fr-FR"/>
        </w:rPr>
        <w:t xml:space="preserve"> et</w:t>
      </w:r>
      <w:r w:rsidR="001A121C" w:rsidRPr="00F60A3D">
        <w:rPr>
          <w:lang w:val="fr-FR"/>
        </w:rPr>
        <w:t xml:space="preserve"> </w:t>
      </w:r>
      <w:r w:rsidR="00413E37" w:rsidRPr="00F60A3D">
        <w:rPr>
          <w:lang w:val="fr-FR"/>
        </w:rPr>
        <w:t>la tenue d</w:t>
      </w:r>
      <w:r w:rsidR="00B17AE1" w:rsidRPr="00F60A3D">
        <w:rPr>
          <w:lang w:val="fr-FR"/>
        </w:rPr>
        <w:t>’</w:t>
      </w:r>
      <w:r w:rsidR="002C7761" w:rsidRPr="00F60A3D">
        <w:rPr>
          <w:lang w:val="fr-FR"/>
        </w:rPr>
        <w:t>u</w:t>
      </w:r>
      <w:r w:rsidR="009E2290" w:rsidRPr="00F60A3D">
        <w:rPr>
          <w:lang w:val="fr-FR"/>
        </w:rPr>
        <w:t>ne Conférence nationale inclu</w:t>
      </w:r>
      <w:r w:rsidR="002C7761" w:rsidRPr="00F60A3D">
        <w:rPr>
          <w:lang w:val="fr-FR"/>
        </w:rPr>
        <w:t>ant les s</w:t>
      </w:r>
      <w:r w:rsidR="001A121C" w:rsidRPr="00F60A3D">
        <w:rPr>
          <w:lang w:val="fr-FR"/>
        </w:rPr>
        <w:t>ecteurs publics et privés, à des fins de consultation</w:t>
      </w:r>
      <w:r w:rsidR="002C7761" w:rsidRPr="00F60A3D">
        <w:rPr>
          <w:lang w:val="fr-FR"/>
        </w:rPr>
        <w:t xml:space="preserve">. </w:t>
      </w:r>
    </w:p>
    <w:p w:rsidR="005063FC" w:rsidRPr="00F60A3D" w:rsidRDefault="00B27AF5" w:rsidP="00B27AF5">
      <w:pPr>
        <w:pStyle w:val="H1G"/>
        <w:rPr>
          <w:lang w:val="fr-FR"/>
        </w:rPr>
      </w:pPr>
      <w:bookmarkStart w:id="25" w:name="_Toc72567228"/>
      <w:bookmarkStart w:id="26" w:name="_Toc72567488"/>
      <w:bookmarkStart w:id="27" w:name="_Toc73328515"/>
      <w:bookmarkStart w:id="28" w:name="_Toc73946166"/>
      <w:bookmarkStart w:id="29" w:name="_Toc133268783"/>
      <w:r w:rsidRPr="00F60A3D">
        <w:rPr>
          <w:lang w:val="fr-FR"/>
        </w:rPr>
        <w:tab/>
        <w:t>C.</w:t>
      </w:r>
      <w:r w:rsidR="00EC4C96" w:rsidRPr="00F60A3D">
        <w:rPr>
          <w:lang w:val="fr-FR"/>
        </w:rPr>
        <w:tab/>
      </w:r>
      <w:r w:rsidR="002C7761" w:rsidRPr="00F60A3D">
        <w:rPr>
          <w:lang w:val="fr-FR"/>
        </w:rPr>
        <w:t xml:space="preserve">Cadre de </w:t>
      </w:r>
      <w:r w:rsidR="007C6E6B" w:rsidRPr="00F60A3D">
        <w:rPr>
          <w:lang w:val="fr-FR"/>
        </w:rPr>
        <w:t xml:space="preserve">la </w:t>
      </w:r>
      <w:r w:rsidR="002C7761" w:rsidRPr="00F60A3D">
        <w:rPr>
          <w:lang w:val="fr-FR"/>
        </w:rPr>
        <w:t>promotion</w:t>
      </w:r>
      <w:r w:rsidR="007C6E6B" w:rsidRPr="00F60A3D">
        <w:rPr>
          <w:lang w:val="fr-FR"/>
        </w:rPr>
        <w:t xml:space="preserve"> des droits de l</w:t>
      </w:r>
      <w:r w:rsidR="00B17AE1" w:rsidRPr="00F60A3D">
        <w:rPr>
          <w:lang w:val="fr-FR"/>
        </w:rPr>
        <w:t>’</w:t>
      </w:r>
      <w:r w:rsidR="007C6E6B" w:rsidRPr="00F60A3D">
        <w:rPr>
          <w:lang w:val="fr-FR"/>
        </w:rPr>
        <w:t>homme à l</w:t>
      </w:r>
      <w:r w:rsidR="00B17AE1" w:rsidRPr="00F60A3D">
        <w:rPr>
          <w:lang w:val="fr-FR"/>
        </w:rPr>
        <w:t>’</w:t>
      </w:r>
      <w:r w:rsidR="007C6E6B" w:rsidRPr="00F60A3D">
        <w:rPr>
          <w:lang w:val="fr-FR"/>
        </w:rPr>
        <w:t>échelon</w:t>
      </w:r>
      <w:r w:rsidR="002C7761" w:rsidRPr="00F60A3D">
        <w:rPr>
          <w:lang w:val="fr-FR"/>
        </w:rPr>
        <w:t xml:space="preserve"> national</w:t>
      </w:r>
      <w:bookmarkEnd w:id="25"/>
      <w:bookmarkEnd w:id="26"/>
      <w:bookmarkEnd w:id="27"/>
      <w:bookmarkEnd w:id="28"/>
      <w:bookmarkEnd w:id="29"/>
    </w:p>
    <w:p w:rsidR="002C7761" w:rsidRPr="00F60A3D" w:rsidRDefault="008736B9" w:rsidP="00FC4AA8">
      <w:pPr>
        <w:pStyle w:val="SingleTxtG"/>
        <w:spacing w:after="240"/>
        <w:rPr>
          <w:lang w:val="fr-FR"/>
        </w:rPr>
      </w:pPr>
      <w:r w:rsidRPr="00F60A3D">
        <w:rPr>
          <w:lang w:val="fr-FR"/>
        </w:rPr>
        <w:t>233</w:t>
      </w:r>
      <w:r w:rsidR="00931FBA" w:rsidRPr="00F60A3D">
        <w:rPr>
          <w:lang w:val="fr-FR"/>
        </w:rPr>
        <w:t>.</w:t>
      </w:r>
      <w:r w:rsidR="00931FBA" w:rsidRPr="00F60A3D">
        <w:rPr>
          <w:lang w:val="fr-FR"/>
        </w:rPr>
        <w:tab/>
        <w:t>Entre 201</w:t>
      </w:r>
      <w:r w:rsidR="00DD5FDA" w:rsidRPr="00F60A3D">
        <w:rPr>
          <w:lang w:val="fr-FR"/>
        </w:rPr>
        <w:t>0</w:t>
      </w:r>
      <w:r w:rsidR="00931FBA" w:rsidRPr="00F60A3D">
        <w:rPr>
          <w:lang w:val="fr-FR"/>
        </w:rPr>
        <w:t xml:space="preserve"> et 2014, l</w:t>
      </w:r>
      <w:r w:rsidR="00B17AE1" w:rsidRPr="00F60A3D">
        <w:rPr>
          <w:lang w:val="fr-FR"/>
        </w:rPr>
        <w:t>’</w:t>
      </w:r>
      <w:r w:rsidR="002C7761" w:rsidRPr="00F60A3D">
        <w:rPr>
          <w:lang w:val="fr-FR"/>
        </w:rPr>
        <w:t>Italie a consacré à la protection des droits de l</w:t>
      </w:r>
      <w:r w:rsidR="00B17AE1" w:rsidRPr="00F60A3D">
        <w:rPr>
          <w:lang w:val="fr-FR"/>
        </w:rPr>
        <w:t>’</w:t>
      </w:r>
      <w:r w:rsidR="00931FBA" w:rsidRPr="00F60A3D">
        <w:rPr>
          <w:lang w:val="fr-FR"/>
        </w:rPr>
        <w:t>homme</w:t>
      </w:r>
      <w:r w:rsidR="002C7761" w:rsidRPr="00F60A3D">
        <w:rPr>
          <w:lang w:val="fr-FR"/>
        </w:rPr>
        <w:t xml:space="preserve"> des ressources financières </w:t>
      </w:r>
      <w:r w:rsidR="00AC25B1" w:rsidRPr="00F60A3D">
        <w:rPr>
          <w:lang w:val="fr-FR"/>
        </w:rPr>
        <w:t xml:space="preserve">et humaines </w:t>
      </w:r>
      <w:r w:rsidR="002C7761" w:rsidRPr="00F60A3D">
        <w:rPr>
          <w:lang w:val="fr-FR"/>
        </w:rPr>
        <w:t>considérables qui s</w:t>
      </w:r>
      <w:r w:rsidR="00B17AE1" w:rsidRPr="00F60A3D">
        <w:rPr>
          <w:lang w:val="fr-FR"/>
        </w:rPr>
        <w:t>’</w:t>
      </w:r>
      <w:r w:rsidR="004365E0" w:rsidRPr="00F60A3D">
        <w:rPr>
          <w:lang w:val="fr-FR"/>
        </w:rPr>
        <w:t>élèvent à plus de 17,3 </w:t>
      </w:r>
      <w:r w:rsidR="002C7761" w:rsidRPr="00F60A3D">
        <w:rPr>
          <w:lang w:val="fr-FR"/>
        </w:rPr>
        <w:t>milliards d</w:t>
      </w:r>
      <w:r w:rsidR="00B17AE1" w:rsidRPr="00F60A3D">
        <w:rPr>
          <w:lang w:val="fr-FR"/>
        </w:rPr>
        <w:t>’</w:t>
      </w:r>
      <w:r w:rsidR="002C7761" w:rsidRPr="00F60A3D">
        <w:rPr>
          <w:lang w:val="fr-FR"/>
        </w:rPr>
        <w:t>euros. À cet ég</w:t>
      </w:r>
      <w:r w:rsidR="00513FFD" w:rsidRPr="00F60A3D">
        <w:rPr>
          <w:lang w:val="fr-FR"/>
        </w:rPr>
        <w:t xml:space="preserve">ard, il convient de mentionner </w:t>
      </w:r>
      <w:r w:rsidR="002C7761" w:rsidRPr="00F60A3D">
        <w:rPr>
          <w:lang w:val="fr-FR"/>
        </w:rPr>
        <w:t xml:space="preserve">la liste </w:t>
      </w:r>
      <w:r w:rsidR="00513FFD" w:rsidRPr="00F60A3D">
        <w:rPr>
          <w:lang w:val="fr-FR"/>
        </w:rPr>
        <w:t xml:space="preserve">ci-dessous (qui </w:t>
      </w:r>
      <w:r w:rsidR="002C7761" w:rsidRPr="00F60A3D">
        <w:rPr>
          <w:lang w:val="fr-FR"/>
        </w:rPr>
        <w:t>n</w:t>
      </w:r>
      <w:r w:rsidR="00B17AE1" w:rsidRPr="00F60A3D">
        <w:rPr>
          <w:lang w:val="fr-FR"/>
        </w:rPr>
        <w:t>’</w:t>
      </w:r>
      <w:r w:rsidR="002C7761" w:rsidRPr="00F60A3D">
        <w:rPr>
          <w:lang w:val="fr-FR"/>
        </w:rPr>
        <w:t xml:space="preserve">est pas exhaustive): </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764"/>
        <w:gridCol w:w="5606"/>
      </w:tblGrid>
      <w:tr w:rsidR="004B54BB" w:rsidRPr="00F60A3D" w:rsidTr="00C11182">
        <w:trPr>
          <w:trHeight w:val="240"/>
          <w:tblHeader/>
        </w:trPr>
        <w:tc>
          <w:tcPr>
            <w:tcW w:w="1764" w:type="dxa"/>
            <w:tcBorders>
              <w:top w:val="single" w:sz="4" w:space="0" w:color="auto"/>
              <w:bottom w:val="single" w:sz="12" w:space="0" w:color="auto"/>
            </w:tcBorders>
            <w:shd w:val="clear" w:color="auto" w:fill="auto"/>
            <w:vAlign w:val="bottom"/>
          </w:tcPr>
          <w:p w:rsidR="005063FC" w:rsidRPr="00F60A3D" w:rsidRDefault="009E2290" w:rsidP="00C11182">
            <w:pPr>
              <w:suppressAutoHyphens w:val="0"/>
              <w:spacing w:before="80" w:after="80" w:line="200" w:lineRule="exact"/>
              <w:rPr>
                <w:i/>
                <w:sz w:val="16"/>
                <w:lang w:val="fr-FR"/>
              </w:rPr>
            </w:pPr>
            <w:bookmarkStart w:id="30" w:name="_Toc72567230"/>
            <w:bookmarkStart w:id="31" w:name="_Toc72567490"/>
            <w:bookmarkStart w:id="32" w:name="_Toc73328516"/>
            <w:bookmarkStart w:id="33" w:name="_Toc73946167"/>
            <w:r w:rsidRPr="00F60A3D">
              <w:rPr>
                <w:i/>
                <w:sz w:val="16"/>
                <w:lang w:val="fr-FR"/>
              </w:rPr>
              <w:t>Politiques d</w:t>
            </w:r>
            <w:r w:rsidR="00B17AE1" w:rsidRPr="00F60A3D">
              <w:rPr>
                <w:i/>
                <w:sz w:val="16"/>
                <w:lang w:val="fr-FR"/>
              </w:rPr>
              <w:t>’</w:t>
            </w:r>
            <w:r w:rsidRPr="00F60A3D">
              <w:rPr>
                <w:i/>
                <w:sz w:val="16"/>
                <w:lang w:val="fr-FR"/>
              </w:rPr>
              <w:t>immigration et d</w:t>
            </w:r>
            <w:r w:rsidR="00B17AE1" w:rsidRPr="00F60A3D">
              <w:rPr>
                <w:i/>
                <w:sz w:val="16"/>
                <w:lang w:val="fr-FR"/>
              </w:rPr>
              <w:t>’</w:t>
            </w:r>
            <w:r w:rsidR="002C7761" w:rsidRPr="00F60A3D">
              <w:rPr>
                <w:i/>
                <w:sz w:val="16"/>
                <w:lang w:val="fr-FR"/>
              </w:rPr>
              <w:t>inté</w:t>
            </w:r>
            <w:r w:rsidR="00055227" w:rsidRPr="00F60A3D">
              <w:rPr>
                <w:i/>
                <w:sz w:val="16"/>
                <w:lang w:val="fr-FR"/>
              </w:rPr>
              <w:t>gration</w:t>
            </w:r>
            <w:r w:rsidR="005063FC" w:rsidRPr="00F60A3D">
              <w:rPr>
                <w:i/>
                <w:sz w:val="16"/>
                <w:lang w:val="fr-FR"/>
              </w:rPr>
              <w:t xml:space="preserve"> 2</w:t>
            </w:r>
            <w:r w:rsidR="00C11182" w:rsidRPr="00F60A3D">
              <w:rPr>
                <w:i/>
                <w:sz w:val="16"/>
                <w:lang w:val="fr-FR"/>
              </w:rPr>
              <w:t>84 000 </w:t>
            </w:r>
            <w:r w:rsidR="005063FC" w:rsidRPr="00F60A3D">
              <w:rPr>
                <w:i/>
                <w:sz w:val="16"/>
                <w:lang w:val="fr-FR"/>
              </w:rPr>
              <w:t>000</w:t>
            </w:r>
            <w:r w:rsidR="00C11182" w:rsidRPr="00F60A3D">
              <w:rPr>
                <w:i/>
                <w:sz w:val="16"/>
                <w:lang w:val="fr-FR"/>
              </w:rPr>
              <w:t> euros</w:t>
            </w:r>
          </w:p>
        </w:tc>
        <w:tc>
          <w:tcPr>
            <w:tcW w:w="5606" w:type="dxa"/>
            <w:tcBorders>
              <w:top w:val="single" w:sz="4" w:space="0" w:color="auto"/>
              <w:bottom w:val="single" w:sz="12" w:space="0" w:color="auto"/>
            </w:tcBorders>
            <w:shd w:val="clear" w:color="auto" w:fill="auto"/>
            <w:vAlign w:val="bottom"/>
          </w:tcPr>
          <w:p w:rsidR="005063FC" w:rsidRPr="00F60A3D" w:rsidRDefault="00055227" w:rsidP="00C11182">
            <w:pPr>
              <w:suppressAutoHyphens w:val="0"/>
              <w:spacing w:before="80" w:after="80" w:line="200" w:lineRule="exact"/>
              <w:ind w:left="113"/>
              <w:rPr>
                <w:i/>
                <w:sz w:val="16"/>
                <w:lang w:val="fr-FR"/>
              </w:rPr>
            </w:pPr>
            <w:r w:rsidRPr="00F60A3D">
              <w:rPr>
                <w:i/>
                <w:sz w:val="16"/>
                <w:lang w:val="fr-FR"/>
              </w:rPr>
              <w:t>Fonds spécial</w:t>
            </w:r>
            <w:r w:rsidR="005063FC" w:rsidRPr="00F60A3D">
              <w:rPr>
                <w:i/>
                <w:sz w:val="16"/>
                <w:lang w:val="fr-FR"/>
              </w:rPr>
              <w:t>:</w:t>
            </w:r>
            <w:r w:rsidRPr="00F60A3D">
              <w:rPr>
                <w:i/>
                <w:sz w:val="16"/>
                <w:lang w:val="fr-FR"/>
              </w:rPr>
              <w:t>190 millions</w:t>
            </w:r>
            <w:r w:rsidR="00731982" w:rsidRPr="00F60A3D">
              <w:rPr>
                <w:i/>
                <w:sz w:val="16"/>
                <w:lang w:val="fr-FR"/>
              </w:rPr>
              <w:t xml:space="preserve"> </w:t>
            </w:r>
            <w:r w:rsidR="0092753F" w:rsidRPr="00F60A3D">
              <w:rPr>
                <w:i/>
                <w:sz w:val="16"/>
                <w:lang w:val="fr-FR"/>
              </w:rPr>
              <w:t>d</w:t>
            </w:r>
            <w:r w:rsidR="00B17AE1" w:rsidRPr="00F60A3D">
              <w:rPr>
                <w:i/>
                <w:sz w:val="16"/>
                <w:lang w:val="fr-FR"/>
              </w:rPr>
              <w:t>’</w:t>
            </w:r>
            <w:r w:rsidR="0092753F" w:rsidRPr="00F60A3D">
              <w:rPr>
                <w:i/>
                <w:sz w:val="16"/>
                <w:lang w:val="fr-FR"/>
              </w:rPr>
              <w:t>euros</w:t>
            </w:r>
            <w:r w:rsidR="00731982" w:rsidRPr="00F60A3D">
              <w:rPr>
                <w:i/>
                <w:sz w:val="16"/>
                <w:lang w:val="fr-FR"/>
              </w:rPr>
              <w:t>;</w:t>
            </w:r>
            <w:r w:rsidR="00D26E07" w:rsidRPr="00F60A3D">
              <w:rPr>
                <w:i/>
                <w:sz w:val="16"/>
                <w:lang w:val="fr-FR"/>
              </w:rPr>
              <w:t xml:space="preserve"> </w:t>
            </w:r>
            <w:r w:rsidR="00731982" w:rsidRPr="00F60A3D">
              <w:rPr>
                <w:i/>
                <w:sz w:val="16"/>
                <w:lang w:val="fr-FR"/>
              </w:rPr>
              <w:t>«</w:t>
            </w:r>
            <w:r w:rsidR="00D26E07" w:rsidRPr="00F60A3D">
              <w:rPr>
                <w:i/>
                <w:sz w:val="16"/>
                <w:lang w:val="fr-FR"/>
              </w:rPr>
              <w:t>Mare Nostrum</w:t>
            </w:r>
            <w:r w:rsidR="00731982" w:rsidRPr="00F60A3D">
              <w:rPr>
                <w:i/>
                <w:sz w:val="16"/>
                <w:lang w:val="fr-FR"/>
              </w:rPr>
              <w:t>»</w:t>
            </w:r>
            <w:r w:rsidR="005063FC" w:rsidRPr="00F60A3D">
              <w:rPr>
                <w:i/>
                <w:sz w:val="16"/>
                <w:lang w:val="fr-FR"/>
              </w:rPr>
              <w:t>:</w:t>
            </w:r>
            <w:r w:rsidR="0092753F" w:rsidRPr="00F60A3D">
              <w:rPr>
                <w:i/>
                <w:sz w:val="16"/>
                <w:lang w:val="fr-FR"/>
              </w:rPr>
              <w:t>70 millions d</w:t>
            </w:r>
            <w:r w:rsidR="00B17AE1" w:rsidRPr="00F60A3D">
              <w:rPr>
                <w:i/>
                <w:sz w:val="16"/>
                <w:lang w:val="fr-FR"/>
              </w:rPr>
              <w:t>’</w:t>
            </w:r>
            <w:r w:rsidR="0092753F" w:rsidRPr="00F60A3D">
              <w:rPr>
                <w:i/>
                <w:sz w:val="16"/>
                <w:lang w:val="fr-FR"/>
              </w:rPr>
              <w:t>euros</w:t>
            </w:r>
            <w:r w:rsidRPr="00F60A3D">
              <w:rPr>
                <w:i/>
                <w:sz w:val="16"/>
                <w:lang w:val="fr-FR"/>
              </w:rPr>
              <w:t xml:space="preserve"> </w:t>
            </w:r>
            <w:r w:rsidR="004B54BB" w:rsidRPr="00F60A3D">
              <w:rPr>
                <w:i/>
                <w:sz w:val="16"/>
                <w:lang w:val="fr-FR"/>
              </w:rPr>
              <w:t xml:space="preserve">au </w:t>
            </w:r>
            <w:r w:rsidR="005063FC" w:rsidRPr="00F60A3D">
              <w:rPr>
                <w:i/>
                <w:sz w:val="16"/>
                <w:lang w:val="fr-FR"/>
              </w:rPr>
              <w:t>13</w:t>
            </w:r>
            <w:r w:rsidR="00C11182" w:rsidRPr="00F60A3D">
              <w:rPr>
                <w:i/>
                <w:sz w:val="16"/>
                <w:lang w:val="fr-FR"/>
              </w:rPr>
              <w:t xml:space="preserve"> juin </w:t>
            </w:r>
            <w:r w:rsidRPr="00F60A3D">
              <w:rPr>
                <w:i/>
                <w:sz w:val="16"/>
                <w:lang w:val="fr-FR"/>
              </w:rPr>
              <w:t>2014; Ré</w:t>
            </w:r>
            <w:r w:rsidR="005063FC" w:rsidRPr="00F60A3D">
              <w:rPr>
                <w:i/>
                <w:sz w:val="16"/>
                <w:lang w:val="fr-FR"/>
              </w:rPr>
              <w:t xml:space="preserve">gion </w:t>
            </w:r>
            <w:r w:rsidR="005F0E83" w:rsidRPr="00F60A3D">
              <w:rPr>
                <w:i/>
                <w:sz w:val="16"/>
                <w:lang w:val="fr-FR"/>
              </w:rPr>
              <w:t>du Piedmont</w:t>
            </w:r>
            <w:r w:rsidR="004B54BB" w:rsidRPr="00F60A3D">
              <w:rPr>
                <w:i/>
                <w:sz w:val="16"/>
                <w:lang w:val="fr-FR"/>
              </w:rPr>
              <w:t>:</w:t>
            </w:r>
            <w:r w:rsidR="005F0E83" w:rsidRPr="00F60A3D">
              <w:rPr>
                <w:i/>
                <w:sz w:val="16"/>
                <w:lang w:val="fr-FR"/>
              </w:rPr>
              <w:t xml:space="preserve"> </w:t>
            </w:r>
            <w:r w:rsidR="0092753F" w:rsidRPr="00F60A3D">
              <w:rPr>
                <w:i/>
                <w:sz w:val="16"/>
                <w:lang w:val="fr-FR"/>
              </w:rPr>
              <w:t xml:space="preserve">6 millions </w:t>
            </w:r>
            <w:r w:rsidR="005F0E83" w:rsidRPr="00F60A3D">
              <w:rPr>
                <w:i/>
                <w:sz w:val="16"/>
                <w:lang w:val="fr-FR"/>
              </w:rPr>
              <w:t>d</w:t>
            </w:r>
            <w:r w:rsidR="00B17AE1" w:rsidRPr="00F60A3D">
              <w:rPr>
                <w:i/>
                <w:sz w:val="16"/>
                <w:lang w:val="fr-FR"/>
              </w:rPr>
              <w:t>’</w:t>
            </w:r>
            <w:r w:rsidR="00D16A3E" w:rsidRPr="00F60A3D">
              <w:rPr>
                <w:i/>
                <w:sz w:val="16"/>
                <w:lang w:val="fr-FR"/>
              </w:rPr>
              <w:t xml:space="preserve">euros par an </w:t>
            </w:r>
            <w:r w:rsidR="004B54BB" w:rsidRPr="00F60A3D">
              <w:rPr>
                <w:i/>
                <w:sz w:val="16"/>
                <w:lang w:val="fr-FR"/>
              </w:rPr>
              <w:t>allou</w:t>
            </w:r>
            <w:r w:rsidR="0092753F" w:rsidRPr="00F60A3D">
              <w:rPr>
                <w:i/>
                <w:sz w:val="16"/>
                <w:lang w:val="fr-FR"/>
              </w:rPr>
              <w:t xml:space="preserve">és aux </w:t>
            </w:r>
            <w:r w:rsidR="004B54BB" w:rsidRPr="00F60A3D">
              <w:rPr>
                <w:i/>
                <w:sz w:val="16"/>
                <w:lang w:val="fr-FR"/>
              </w:rPr>
              <w:t>soins médicaux</w:t>
            </w:r>
            <w:r w:rsidR="005063FC" w:rsidRPr="00F60A3D">
              <w:rPr>
                <w:i/>
                <w:sz w:val="16"/>
                <w:lang w:val="fr-FR"/>
              </w:rPr>
              <w:t xml:space="preserve">. </w:t>
            </w:r>
          </w:p>
        </w:tc>
      </w:tr>
      <w:tr w:rsidR="004B54BB" w:rsidRPr="00F60A3D" w:rsidTr="00C11182">
        <w:trPr>
          <w:trHeight w:val="240"/>
        </w:trPr>
        <w:tc>
          <w:tcPr>
            <w:tcW w:w="1764" w:type="dxa"/>
            <w:tcBorders>
              <w:top w:val="single" w:sz="12" w:space="0" w:color="auto"/>
            </w:tcBorders>
            <w:shd w:val="clear" w:color="auto" w:fill="auto"/>
          </w:tcPr>
          <w:p w:rsidR="005063FC" w:rsidRPr="00F60A3D" w:rsidRDefault="00055227" w:rsidP="009072AA">
            <w:pPr>
              <w:suppressAutoHyphens w:val="0"/>
              <w:spacing w:before="40" w:after="120" w:line="240" w:lineRule="exact"/>
              <w:rPr>
                <w:lang w:val="fr-FR"/>
              </w:rPr>
            </w:pPr>
            <w:r w:rsidRPr="00F60A3D">
              <w:rPr>
                <w:lang w:val="fr-FR"/>
              </w:rPr>
              <w:t>Lutte contre la</w:t>
            </w:r>
            <w:r w:rsidR="005063FC" w:rsidRPr="00F60A3D">
              <w:rPr>
                <w:lang w:val="fr-FR"/>
              </w:rPr>
              <w:t xml:space="preserve"> discrimination</w:t>
            </w:r>
            <w:r w:rsidRPr="00F60A3D">
              <w:rPr>
                <w:lang w:val="fr-FR"/>
              </w:rPr>
              <w:t xml:space="preserve"> sous toutes ses formes</w:t>
            </w:r>
            <w:r w:rsidR="004B54BB" w:rsidRPr="00F60A3D">
              <w:rPr>
                <w:lang w:val="fr-FR"/>
              </w:rPr>
              <w:t>:</w:t>
            </w:r>
            <w:r w:rsidRPr="00F60A3D">
              <w:rPr>
                <w:lang w:val="fr-FR"/>
              </w:rPr>
              <w:t xml:space="preserve"> 550 000</w:t>
            </w:r>
            <w:r w:rsidR="005F0E83" w:rsidRPr="00F60A3D">
              <w:rPr>
                <w:lang w:val="fr-FR"/>
              </w:rPr>
              <w:t> </w:t>
            </w:r>
            <w:r w:rsidRPr="00F60A3D">
              <w:rPr>
                <w:lang w:val="fr-FR"/>
              </w:rPr>
              <w:t>000</w:t>
            </w:r>
            <w:r w:rsidR="00BB5534" w:rsidRPr="00F60A3D">
              <w:rPr>
                <w:lang w:val="fr-FR"/>
              </w:rPr>
              <w:t xml:space="preserve"> </w:t>
            </w:r>
            <w:r w:rsidR="00C11182" w:rsidRPr="00F60A3D">
              <w:rPr>
                <w:lang w:val="fr-FR"/>
              </w:rPr>
              <w:t>euros</w:t>
            </w:r>
          </w:p>
        </w:tc>
        <w:tc>
          <w:tcPr>
            <w:tcW w:w="5606" w:type="dxa"/>
            <w:tcBorders>
              <w:top w:val="single" w:sz="12" w:space="0" w:color="auto"/>
            </w:tcBorders>
            <w:shd w:val="clear" w:color="auto" w:fill="auto"/>
            <w:vAlign w:val="bottom"/>
          </w:tcPr>
          <w:p w:rsidR="005063FC" w:rsidRPr="00F60A3D" w:rsidRDefault="00055227" w:rsidP="009072AA">
            <w:pPr>
              <w:suppressAutoHyphens w:val="0"/>
              <w:spacing w:before="40" w:after="120" w:line="240" w:lineRule="exact"/>
              <w:ind w:left="113"/>
              <w:rPr>
                <w:lang w:val="fr-FR"/>
              </w:rPr>
            </w:pPr>
            <w:r w:rsidRPr="00F60A3D">
              <w:rPr>
                <w:lang w:val="fr-FR"/>
              </w:rPr>
              <w:t>Inté</w:t>
            </w:r>
            <w:r w:rsidR="005063FC" w:rsidRPr="00F60A3D">
              <w:rPr>
                <w:lang w:val="fr-FR"/>
              </w:rPr>
              <w:t>gration</w:t>
            </w:r>
            <w:r w:rsidRPr="00F60A3D">
              <w:rPr>
                <w:lang w:val="fr-FR"/>
              </w:rPr>
              <w:t xml:space="preserve"> européenne</w:t>
            </w:r>
            <w:r w:rsidR="005063FC" w:rsidRPr="00F60A3D">
              <w:rPr>
                <w:lang w:val="fr-FR"/>
              </w:rPr>
              <w:t>, 2013:</w:t>
            </w:r>
            <w:r w:rsidR="004B54BB" w:rsidRPr="00F60A3D">
              <w:rPr>
                <w:lang w:val="fr-FR"/>
              </w:rPr>
              <w:t xml:space="preserve"> 219 059 138,94 </w:t>
            </w:r>
            <w:r w:rsidR="00C11182" w:rsidRPr="00F60A3D">
              <w:rPr>
                <w:lang w:val="fr-FR"/>
              </w:rPr>
              <w:t>euros</w:t>
            </w:r>
            <w:r w:rsidR="00731982" w:rsidRPr="00F60A3D">
              <w:rPr>
                <w:lang w:val="fr-FR"/>
              </w:rPr>
              <w:t>;</w:t>
            </w:r>
            <w:r w:rsidRPr="00F60A3D">
              <w:rPr>
                <w:lang w:val="fr-FR"/>
              </w:rPr>
              <w:t xml:space="preserve"> Nouveau Fonds </w:t>
            </w:r>
            <w:r w:rsidR="00731982" w:rsidRPr="00F60A3D">
              <w:rPr>
                <w:lang w:val="fr-FR"/>
              </w:rPr>
              <w:t>«</w:t>
            </w:r>
            <w:r w:rsidRPr="00F60A3D">
              <w:rPr>
                <w:lang w:val="fr-FR"/>
              </w:rPr>
              <w:t>Asile, Migration et Intégration</w:t>
            </w:r>
            <w:r w:rsidR="00731982" w:rsidRPr="00F60A3D">
              <w:rPr>
                <w:lang w:val="fr-FR"/>
              </w:rPr>
              <w:t>»</w:t>
            </w:r>
            <w:r w:rsidR="004B54BB" w:rsidRPr="00F60A3D">
              <w:rPr>
                <w:lang w:val="fr-FR"/>
              </w:rPr>
              <w:t xml:space="preserve"> 2014-</w:t>
            </w:r>
            <w:r w:rsidRPr="00F60A3D">
              <w:rPr>
                <w:lang w:val="fr-FR"/>
              </w:rPr>
              <w:t>20</w:t>
            </w:r>
            <w:r w:rsidR="005063FC" w:rsidRPr="00F60A3D">
              <w:rPr>
                <w:lang w:val="fr-FR"/>
              </w:rPr>
              <w:t>20:</w:t>
            </w:r>
            <w:r w:rsidR="0092753F" w:rsidRPr="00F60A3D">
              <w:rPr>
                <w:lang w:val="fr-FR"/>
              </w:rPr>
              <w:t xml:space="preserve"> </w:t>
            </w:r>
            <w:r w:rsidRPr="00F60A3D">
              <w:rPr>
                <w:lang w:val="fr-FR"/>
              </w:rPr>
              <w:t xml:space="preserve">310 millions </w:t>
            </w:r>
            <w:r w:rsidR="0092753F" w:rsidRPr="00F60A3D">
              <w:rPr>
                <w:lang w:val="fr-FR"/>
              </w:rPr>
              <w:t>d</w:t>
            </w:r>
            <w:r w:rsidR="00B17AE1" w:rsidRPr="00F60A3D">
              <w:rPr>
                <w:lang w:val="fr-FR"/>
              </w:rPr>
              <w:t>’</w:t>
            </w:r>
            <w:r w:rsidR="0092753F" w:rsidRPr="00F60A3D">
              <w:rPr>
                <w:lang w:val="fr-FR"/>
              </w:rPr>
              <w:t>euros</w:t>
            </w:r>
            <w:r w:rsidR="005063FC" w:rsidRPr="00F60A3D">
              <w:rPr>
                <w:lang w:val="fr-FR"/>
              </w:rPr>
              <w:t xml:space="preserve">; </w:t>
            </w:r>
            <w:r w:rsidR="002964F5" w:rsidRPr="00F60A3D">
              <w:rPr>
                <w:lang w:val="fr-FR"/>
              </w:rPr>
              <w:t>Progr</w:t>
            </w:r>
            <w:r w:rsidR="00413E37" w:rsidRPr="00F60A3D">
              <w:rPr>
                <w:lang w:val="fr-FR"/>
              </w:rPr>
              <w:t>amme national opérationnel</w:t>
            </w:r>
            <w:r w:rsidR="002964F5" w:rsidRPr="00F60A3D">
              <w:rPr>
                <w:lang w:val="fr-FR"/>
              </w:rPr>
              <w:t xml:space="preserve"> pour la sécurité, </w:t>
            </w:r>
            <w:r w:rsidR="004B54BB" w:rsidRPr="00F60A3D">
              <w:rPr>
                <w:lang w:val="fr-FR"/>
              </w:rPr>
              <w:t>visant à accueillir l</w:t>
            </w:r>
            <w:r w:rsidR="0092753F" w:rsidRPr="00F60A3D">
              <w:rPr>
                <w:lang w:val="fr-FR"/>
              </w:rPr>
              <w:t>es demande</w:t>
            </w:r>
            <w:r w:rsidR="00D16A3E" w:rsidRPr="00F60A3D">
              <w:rPr>
                <w:lang w:val="fr-FR"/>
              </w:rPr>
              <w:t>u</w:t>
            </w:r>
            <w:r w:rsidR="0092753F" w:rsidRPr="00F60A3D">
              <w:rPr>
                <w:lang w:val="fr-FR"/>
              </w:rPr>
              <w:t>r</w:t>
            </w:r>
            <w:r w:rsidR="004B54BB" w:rsidRPr="00F60A3D">
              <w:rPr>
                <w:lang w:val="fr-FR"/>
              </w:rPr>
              <w:t>s d</w:t>
            </w:r>
            <w:r w:rsidR="00B17AE1" w:rsidRPr="00F60A3D">
              <w:rPr>
                <w:lang w:val="fr-FR"/>
              </w:rPr>
              <w:t>’</w:t>
            </w:r>
            <w:r w:rsidR="004B54BB" w:rsidRPr="00F60A3D">
              <w:rPr>
                <w:lang w:val="fr-FR"/>
              </w:rPr>
              <w:t>asile et l</w:t>
            </w:r>
            <w:r w:rsidR="002964F5" w:rsidRPr="00F60A3D">
              <w:rPr>
                <w:lang w:val="fr-FR"/>
              </w:rPr>
              <w:t>es réfugiés</w:t>
            </w:r>
            <w:r w:rsidR="004B54BB" w:rsidRPr="00F60A3D">
              <w:rPr>
                <w:lang w:val="fr-FR"/>
              </w:rPr>
              <w:t>, 2007-</w:t>
            </w:r>
            <w:r w:rsidR="002964F5" w:rsidRPr="00F60A3D">
              <w:rPr>
                <w:lang w:val="fr-FR"/>
              </w:rPr>
              <w:t>20</w:t>
            </w:r>
            <w:r w:rsidR="005063FC" w:rsidRPr="00F60A3D">
              <w:rPr>
                <w:lang w:val="fr-FR"/>
              </w:rPr>
              <w:t xml:space="preserve">13: </w:t>
            </w:r>
            <w:r w:rsidR="00BB5534" w:rsidRPr="00F60A3D">
              <w:rPr>
                <w:lang w:val="fr-FR"/>
              </w:rPr>
              <w:t xml:space="preserve">10 000 000 </w:t>
            </w:r>
            <w:r w:rsidR="00C11182" w:rsidRPr="00F60A3D">
              <w:rPr>
                <w:lang w:val="fr-FR"/>
              </w:rPr>
              <w:t>euros</w:t>
            </w:r>
          </w:p>
        </w:tc>
      </w:tr>
      <w:tr w:rsidR="004B54BB" w:rsidRPr="00F60A3D" w:rsidTr="00C11182">
        <w:trPr>
          <w:trHeight w:val="240"/>
        </w:trPr>
        <w:tc>
          <w:tcPr>
            <w:tcW w:w="1764" w:type="dxa"/>
            <w:tcBorders>
              <w:bottom w:val="single" w:sz="12" w:space="0" w:color="auto"/>
            </w:tcBorders>
            <w:shd w:val="clear" w:color="auto" w:fill="auto"/>
          </w:tcPr>
          <w:p w:rsidR="005063FC" w:rsidRPr="00F60A3D" w:rsidRDefault="00A06406" w:rsidP="009072AA">
            <w:pPr>
              <w:suppressAutoHyphens w:val="0"/>
              <w:spacing w:before="40" w:after="120" w:line="240" w:lineRule="exact"/>
              <w:rPr>
                <w:lang w:val="fr-FR"/>
              </w:rPr>
            </w:pPr>
            <w:r w:rsidRPr="00F60A3D">
              <w:rPr>
                <w:lang w:val="fr-FR"/>
              </w:rPr>
              <w:t xml:space="preserve">Roms, </w:t>
            </w:r>
            <w:r w:rsidR="00440E8D" w:rsidRPr="00F60A3D">
              <w:rPr>
                <w:lang w:val="fr-FR"/>
              </w:rPr>
              <w:t>Sintis, et Caminantis</w:t>
            </w:r>
            <w:r w:rsidR="004B54BB" w:rsidRPr="00F60A3D">
              <w:rPr>
                <w:lang w:val="fr-FR"/>
              </w:rPr>
              <w:t>:</w:t>
            </w:r>
            <w:r w:rsidR="005063FC" w:rsidRPr="00F60A3D">
              <w:rPr>
                <w:lang w:val="fr-FR"/>
              </w:rPr>
              <w:t xml:space="preserve"> </w:t>
            </w:r>
            <w:r w:rsidR="002240B3" w:rsidRPr="00F60A3D">
              <w:rPr>
                <w:lang w:val="fr-FR"/>
              </w:rPr>
              <w:t>19 830</w:t>
            </w:r>
            <w:r w:rsidR="00C11182" w:rsidRPr="00F60A3D">
              <w:rPr>
                <w:lang w:val="fr-FR"/>
              </w:rPr>
              <w:t> </w:t>
            </w:r>
            <w:r w:rsidR="002240B3" w:rsidRPr="00F60A3D">
              <w:rPr>
                <w:lang w:val="fr-FR"/>
              </w:rPr>
              <w:t>000</w:t>
            </w:r>
            <w:r w:rsidR="00C11182" w:rsidRPr="00F60A3D">
              <w:rPr>
                <w:lang w:val="fr-FR"/>
              </w:rPr>
              <w:t> euros</w:t>
            </w:r>
            <w:r w:rsidR="00731982" w:rsidRPr="00F60A3D">
              <w:rPr>
                <w:lang w:val="fr-FR"/>
              </w:rPr>
              <w:t xml:space="preserve"> </w:t>
            </w:r>
          </w:p>
        </w:tc>
        <w:tc>
          <w:tcPr>
            <w:tcW w:w="5606" w:type="dxa"/>
            <w:tcBorders>
              <w:bottom w:val="single" w:sz="12" w:space="0" w:color="auto"/>
            </w:tcBorders>
            <w:shd w:val="clear" w:color="auto" w:fill="auto"/>
            <w:vAlign w:val="bottom"/>
          </w:tcPr>
          <w:p w:rsidR="005063FC" w:rsidRPr="00F60A3D" w:rsidRDefault="002964F5" w:rsidP="009072AA">
            <w:pPr>
              <w:suppressAutoHyphens w:val="0"/>
              <w:spacing w:before="40" w:after="120" w:line="240" w:lineRule="exact"/>
              <w:ind w:left="113"/>
              <w:rPr>
                <w:lang w:val="fr-FR"/>
              </w:rPr>
            </w:pPr>
            <w:r w:rsidRPr="00F60A3D">
              <w:rPr>
                <w:lang w:val="fr-FR"/>
              </w:rPr>
              <w:t>Campagnes de sensibilisation</w:t>
            </w:r>
            <w:r w:rsidR="005063FC" w:rsidRPr="00F60A3D">
              <w:rPr>
                <w:lang w:val="fr-FR"/>
              </w:rPr>
              <w:t xml:space="preserve">: </w:t>
            </w:r>
            <w:r w:rsidR="002240B3" w:rsidRPr="00F60A3D">
              <w:rPr>
                <w:lang w:val="fr-FR"/>
              </w:rPr>
              <w:t xml:space="preserve">930 000 </w:t>
            </w:r>
            <w:r w:rsidR="00C11182" w:rsidRPr="00F60A3D">
              <w:rPr>
                <w:lang w:val="fr-FR"/>
              </w:rPr>
              <w:t>euros</w:t>
            </w:r>
            <w:r w:rsidRPr="00F60A3D">
              <w:rPr>
                <w:lang w:val="fr-FR"/>
              </w:rPr>
              <w:br/>
              <w:t>Collecte des données</w:t>
            </w:r>
            <w:r w:rsidR="005063FC" w:rsidRPr="00F60A3D">
              <w:rPr>
                <w:lang w:val="fr-FR"/>
              </w:rPr>
              <w:t xml:space="preserve">: </w:t>
            </w:r>
            <w:r w:rsidR="002240B3" w:rsidRPr="00F60A3D">
              <w:rPr>
                <w:lang w:val="fr-FR"/>
              </w:rPr>
              <w:t xml:space="preserve">750 000 </w:t>
            </w:r>
            <w:r w:rsidR="00C11182" w:rsidRPr="00F60A3D">
              <w:rPr>
                <w:lang w:val="fr-FR"/>
              </w:rPr>
              <w:t>euros</w:t>
            </w:r>
            <w:r w:rsidR="005F0E83" w:rsidRPr="00F60A3D">
              <w:rPr>
                <w:lang w:val="fr-FR"/>
              </w:rPr>
              <w:br/>
              <w:t>I</w:t>
            </w:r>
            <w:r w:rsidRPr="00F60A3D">
              <w:rPr>
                <w:lang w:val="fr-FR"/>
              </w:rPr>
              <w:t xml:space="preserve">nsertion sociale, formation, </w:t>
            </w:r>
            <w:r w:rsidR="00BB45A5" w:rsidRPr="00F60A3D">
              <w:rPr>
                <w:lang w:val="fr-FR"/>
              </w:rPr>
              <w:t>é</w:t>
            </w:r>
            <w:r w:rsidRPr="00F60A3D">
              <w:rPr>
                <w:lang w:val="fr-FR"/>
              </w:rPr>
              <w:t>ducation</w:t>
            </w:r>
            <w:r w:rsidR="002240B3" w:rsidRPr="00F60A3D">
              <w:rPr>
                <w:lang w:val="fr-FR"/>
              </w:rPr>
              <w:t xml:space="preserve"> et santé: 18 150 000 </w:t>
            </w:r>
            <w:r w:rsidR="00C11182" w:rsidRPr="00F60A3D">
              <w:rPr>
                <w:lang w:val="fr-FR"/>
              </w:rPr>
              <w:t>euros</w:t>
            </w:r>
          </w:p>
        </w:tc>
      </w:tr>
    </w:tbl>
    <w:p w:rsidR="005063FC" w:rsidRPr="00F60A3D" w:rsidRDefault="005063FC" w:rsidP="00B114D8">
      <w:pPr>
        <w:rPr>
          <w:lang w:val="fr-FR"/>
        </w:rPr>
      </w:pP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716"/>
        <w:gridCol w:w="5654"/>
      </w:tblGrid>
      <w:tr w:rsidR="00C43A0B" w:rsidRPr="00F60A3D" w:rsidTr="009072AA">
        <w:trPr>
          <w:trHeight w:val="240"/>
          <w:tblHeader/>
        </w:trPr>
        <w:tc>
          <w:tcPr>
            <w:tcW w:w="1716" w:type="dxa"/>
            <w:tcBorders>
              <w:top w:val="single" w:sz="4" w:space="0" w:color="auto"/>
              <w:bottom w:val="single" w:sz="12" w:space="0" w:color="auto"/>
            </w:tcBorders>
            <w:shd w:val="clear" w:color="auto" w:fill="auto"/>
            <w:vAlign w:val="bottom"/>
          </w:tcPr>
          <w:p w:rsidR="005063FC" w:rsidRPr="00F60A3D" w:rsidRDefault="0092753F" w:rsidP="00570416">
            <w:pPr>
              <w:suppressAutoHyphens w:val="0"/>
              <w:spacing w:before="80" w:after="80" w:line="200" w:lineRule="exact"/>
              <w:rPr>
                <w:i/>
                <w:sz w:val="16"/>
                <w:lang w:val="fr-FR"/>
              </w:rPr>
            </w:pPr>
            <w:r w:rsidRPr="00F60A3D">
              <w:rPr>
                <w:i/>
                <w:sz w:val="16"/>
                <w:lang w:val="fr-FR"/>
              </w:rPr>
              <w:t>Femmes</w:t>
            </w:r>
            <w:r w:rsidR="004B54BB" w:rsidRPr="00F60A3D">
              <w:rPr>
                <w:i/>
                <w:sz w:val="16"/>
                <w:lang w:val="fr-FR"/>
              </w:rPr>
              <w:t>:</w:t>
            </w:r>
            <w:r w:rsidRPr="00F60A3D">
              <w:rPr>
                <w:i/>
                <w:sz w:val="16"/>
                <w:lang w:val="fr-FR"/>
              </w:rPr>
              <w:t xml:space="preserve"> 75 500</w:t>
            </w:r>
            <w:r w:rsidR="00570416" w:rsidRPr="00F60A3D">
              <w:rPr>
                <w:i/>
                <w:sz w:val="16"/>
                <w:lang w:val="fr-FR"/>
              </w:rPr>
              <w:t> </w:t>
            </w:r>
            <w:r w:rsidRPr="00F60A3D">
              <w:rPr>
                <w:i/>
                <w:sz w:val="16"/>
                <w:lang w:val="fr-FR"/>
              </w:rPr>
              <w:t>000</w:t>
            </w:r>
            <w:r w:rsidR="00570416" w:rsidRPr="00F60A3D">
              <w:rPr>
                <w:i/>
                <w:sz w:val="16"/>
                <w:lang w:val="fr-FR"/>
              </w:rPr>
              <w:t> euros</w:t>
            </w:r>
          </w:p>
        </w:tc>
        <w:tc>
          <w:tcPr>
            <w:tcW w:w="5654" w:type="dxa"/>
            <w:tcBorders>
              <w:top w:val="single" w:sz="4" w:space="0" w:color="auto"/>
              <w:bottom w:val="single" w:sz="12" w:space="0" w:color="auto"/>
            </w:tcBorders>
            <w:shd w:val="clear" w:color="auto" w:fill="auto"/>
            <w:vAlign w:val="bottom"/>
          </w:tcPr>
          <w:p w:rsidR="005063FC" w:rsidRPr="00F60A3D" w:rsidRDefault="005063FC" w:rsidP="009072AA">
            <w:pPr>
              <w:suppressAutoHyphens w:val="0"/>
              <w:spacing w:before="80" w:after="80" w:line="200" w:lineRule="exact"/>
              <w:ind w:left="113"/>
              <w:rPr>
                <w:i/>
                <w:sz w:val="16"/>
                <w:lang w:val="fr-FR"/>
              </w:rPr>
            </w:pPr>
            <w:r w:rsidRPr="00F60A3D">
              <w:rPr>
                <w:i/>
                <w:sz w:val="16"/>
                <w:lang w:val="fr-FR"/>
              </w:rPr>
              <w:t>S</w:t>
            </w:r>
            <w:r w:rsidR="0092753F" w:rsidRPr="00F60A3D">
              <w:rPr>
                <w:i/>
                <w:sz w:val="16"/>
                <w:lang w:val="fr-FR"/>
              </w:rPr>
              <w:t>outien de l</w:t>
            </w:r>
            <w:r w:rsidR="00B17AE1" w:rsidRPr="00F60A3D">
              <w:rPr>
                <w:i/>
                <w:sz w:val="16"/>
                <w:lang w:val="fr-FR"/>
              </w:rPr>
              <w:t>’</w:t>
            </w:r>
            <w:r w:rsidR="0092753F" w:rsidRPr="00F60A3D">
              <w:rPr>
                <w:i/>
                <w:sz w:val="16"/>
                <w:lang w:val="fr-FR"/>
              </w:rPr>
              <w:t>entreprenariat</w:t>
            </w:r>
            <w:r w:rsidR="00513FFD" w:rsidRPr="00F60A3D">
              <w:rPr>
                <w:i/>
                <w:sz w:val="16"/>
                <w:lang w:val="fr-FR"/>
              </w:rPr>
              <w:t xml:space="preserve"> féminin: 20 millions d</w:t>
            </w:r>
            <w:r w:rsidR="00B17AE1" w:rsidRPr="00F60A3D">
              <w:rPr>
                <w:i/>
                <w:sz w:val="16"/>
                <w:lang w:val="fr-FR"/>
              </w:rPr>
              <w:t>’</w:t>
            </w:r>
            <w:r w:rsidR="00513FFD" w:rsidRPr="00F60A3D">
              <w:rPr>
                <w:i/>
                <w:sz w:val="16"/>
                <w:lang w:val="fr-FR"/>
              </w:rPr>
              <w:t>euros; É</w:t>
            </w:r>
            <w:r w:rsidR="0092753F" w:rsidRPr="00F60A3D">
              <w:rPr>
                <w:i/>
                <w:sz w:val="16"/>
                <w:lang w:val="fr-FR"/>
              </w:rPr>
              <w:t>quilibre entre vie p</w:t>
            </w:r>
            <w:r w:rsidR="00D16A3E" w:rsidRPr="00F60A3D">
              <w:rPr>
                <w:i/>
                <w:sz w:val="16"/>
                <w:lang w:val="fr-FR"/>
              </w:rPr>
              <w:t>rofe</w:t>
            </w:r>
            <w:r w:rsidR="006A35D8" w:rsidRPr="00F60A3D">
              <w:rPr>
                <w:i/>
                <w:sz w:val="16"/>
                <w:lang w:val="fr-FR"/>
              </w:rPr>
              <w:t>ssionnelle et vie privée, 2010-</w:t>
            </w:r>
            <w:r w:rsidR="00D16A3E" w:rsidRPr="00F60A3D">
              <w:rPr>
                <w:i/>
                <w:sz w:val="16"/>
                <w:lang w:val="fr-FR"/>
              </w:rPr>
              <w:t>20</w:t>
            </w:r>
            <w:r w:rsidR="0092753F" w:rsidRPr="00F60A3D">
              <w:rPr>
                <w:i/>
                <w:sz w:val="16"/>
                <w:lang w:val="fr-FR"/>
              </w:rPr>
              <w:t>12:</w:t>
            </w:r>
            <w:r w:rsidRPr="00F60A3D">
              <w:rPr>
                <w:i/>
                <w:sz w:val="16"/>
                <w:lang w:val="fr-FR"/>
              </w:rPr>
              <w:t xml:space="preserve"> 40 million</w:t>
            </w:r>
            <w:r w:rsidR="0092753F" w:rsidRPr="00F60A3D">
              <w:rPr>
                <w:i/>
                <w:sz w:val="16"/>
                <w:lang w:val="fr-FR"/>
              </w:rPr>
              <w:t>s d</w:t>
            </w:r>
            <w:r w:rsidR="00B17AE1" w:rsidRPr="00F60A3D">
              <w:rPr>
                <w:i/>
                <w:sz w:val="16"/>
                <w:lang w:val="fr-FR"/>
              </w:rPr>
              <w:t>’</w:t>
            </w:r>
            <w:r w:rsidR="0092753F" w:rsidRPr="00F60A3D">
              <w:rPr>
                <w:i/>
                <w:sz w:val="16"/>
                <w:lang w:val="fr-FR"/>
              </w:rPr>
              <w:t>euros</w:t>
            </w:r>
            <w:r w:rsidRPr="00F60A3D">
              <w:rPr>
                <w:i/>
                <w:sz w:val="16"/>
                <w:lang w:val="fr-FR"/>
              </w:rPr>
              <w:t xml:space="preserve">; </w:t>
            </w:r>
            <w:r w:rsidR="00513FFD" w:rsidRPr="00F60A3D">
              <w:rPr>
                <w:i/>
                <w:sz w:val="16"/>
                <w:lang w:val="fr-FR"/>
              </w:rPr>
              <w:t>L</w:t>
            </w:r>
            <w:r w:rsidR="00D16A3E" w:rsidRPr="00F60A3D">
              <w:rPr>
                <w:i/>
                <w:sz w:val="16"/>
                <w:lang w:val="fr-FR"/>
              </w:rPr>
              <w:t xml:space="preserve">utte contre la violence sexuelle </w:t>
            </w:r>
            <w:r w:rsidR="009072AA" w:rsidRPr="00F60A3D">
              <w:rPr>
                <w:i/>
                <w:sz w:val="16"/>
                <w:lang w:val="fr-FR"/>
              </w:rPr>
              <w:t>et sexiste: 15 </w:t>
            </w:r>
            <w:r w:rsidR="00513FFD" w:rsidRPr="00F60A3D">
              <w:rPr>
                <w:i/>
                <w:sz w:val="16"/>
                <w:lang w:val="fr-FR"/>
              </w:rPr>
              <w:t>millions d</w:t>
            </w:r>
            <w:r w:rsidR="00B17AE1" w:rsidRPr="00F60A3D">
              <w:rPr>
                <w:i/>
                <w:sz w:val="16"/>
                <w:lang w:val="fr-FR"/>
              </w:rPr>
              <w:t>’</w:t>
            </w:r>
            <w:r w:rsidR="00513FFD" w:rsidRPr="00F60A3D">
              <w:rPr>
                <w:i/>
                <w:sz w:val="16"/>
                <w:lang w:val="fr-FR"/>
              </w:rPr>
              <w:t>euros</w:t>
            </w:r>
            <w:r w:rsidR="00731982" w:rsidRPr="00F60A3D">
              <w:rPr>
                <w:i/>
                <w:sz w:val="16"/>
                <w:lang w:val="fr-FR"/>
              </w:rPr>
              <w:t>:</w:t>
            </w:r>
            <w:r w:rsidR="0049631B" w:rsidRPr="00F60A3D">
              <w:rPr>
                <w:i/>
                <w:sz w:val="16"/>
                <w:lang w:val="fr-FR"/>
              </w:rPr>
              <w:t xml:space="preserve"> r</w:t>
            </w:r>
            <w:r w:rsidR="00D16A3E" w:rsidRPr="00F60A3D">
              <w:rPr>
                <w:i/>
                <w:sz w:val="16"/>
                <w:lang w:val="fr-FR"/>
              </w:rPr>
              <w:t>égion de Vénétie</w:t>
            </w:r>
            <w:r w:rsidR="00AC25B1" w:rsidRPr="00F60A3D">
              <w:rPr>
                <w:i/>
                <w:sz w:val="16"/>
                <w:lang w:val="fr-FR"/>
              </w:rPr>
              <w:t>,</w:t>
            </w:r>
            <w:r w:rsidR="00D16A3E" w:rsidRPr="00F60A3D">
              <w:rPr>
                <w:i/>
                <w:sz w:val="16"/>
                <w:lang w:val="fr-FR"/>
              </w:rPr>
              <w:t xml:space="preserve"> 2013: 380</w:t>
            </w:r>
            <w:r w:rsidR="009072AA" w:rsidRPr="00F60A3D">
              <w:rPr>
                <w:i/>
                <w:sz w:val="16"/>
                <w:lang w:val="fr-FR"/>
              </w:rPr>
              <w:t> </w:t>
            </w:r>
            <w:r w:rsidRPr="00F60A3D">
              <w:rPr>
                <w:i/>
                <w:sz w:val="16"/>
                <w:lang w:val="fr-FR"/>
              </w:rPr>
              <w:t>000</w:t>
            </w:r>
            <w:r w:rsidR="009072AA" w:rsidRPr="00F60A3D">
              <w:rPr>
                <w:i/>
                <w:sz w:val="16"/>
                <w:lang w:val="fr-FR"/>
              </w:rPr>
              <w:t> euros</w:t>
            </w:r>
            <w:r w:rsidR="00A06406" w:rsidRPr="00F60A3D">
              <w:rPr>
                <w:i/>
                <w:sz w:val="16"/>
                <w:lang w:val="fr-FR"/>
              </w:rPr>
              <w:t>;</w:t>
            </w:r>
            <w:r w:rsidR="0049631B" w:rsidRPr="00F60A3D">
              <w:rPr>
                <w:i/>
                <w:sz w:val="16"/>
                <w:lang w:val="fr-FR"/>
              </w:rPr>
              <w:t xml:space="preserve"> P</w:t>
            </w:r>
            <w:r w:rsidR="00D16A3E" w:rsidRPr="00F60A3D">
              <w:rPr>
                <w:i/>
                <w:sz w:val="16"/>
                <w:lang w:val="fr-FR"/>
              </w:rPr>
              <w:t>révention des mutilations génitales féminines</w:t>
            </w:r>
            <w:r w:rsidR="0049631B" w:rsidRPr="00F60A3D">
              <w:rPr>
                <w:i/>
                <w:sz w:val="16"/>
                <w:lang w:val="fr-FR"/>
              </w:rPr>
              <w:t>, r</w:t>
            </w:r>
            <w:r w:rsidR="00A06406" w:rsidRPr="00F60A3D">
              <w:rPr>
                <w:i/>
                <w:sz w:val="16"/>
                <w:lang w:val="fr-FR"/>
              </w:rPr>
              <w:t>égion du Piedmont</w:t>
            </w:r>
            <w:r w:rsidR="00D16A3E" w:rsidRPr="00F60A3D">
              <w:rPr>
                <w:i/>
                <w:sz w:val="16"/>
                <w:lang w:val="fr-FR"/>
              </w:rPr>
              <w:t>: 205</w:t>
            </w:r>
            <w:r w:rsidR="009072AA" w:rsidRPr="00F60A3D">
              <w:rPr>
                <w:i/>
                <w:sz w:val="16"/>
                <w:lang w:val="fr-FR"/>
              </w:rPr>
              <w:t> </w:t>
            </w:r>
            <w:r w:rsidRPr="00F60A3D">
              <w:rPr>
                <w:i/>
                <w:sz w:val="16"/>
                <w:lang w:val="fr-FR"/>
              </w:rPr>
              <w:t>000</w:t>
            </w:r>
            <w:r w:rsidR="009072AA" w:rsidRPr="00F60A3D">
              <w:rPr>
                <w:i/>
                <w:sz w:val="16"/>
                <w:lang w:val="fr-FR"/>
              </w:rPr>
              <w:t> euros</w:t>
            </w:r>
            <w:r w:rsidR="00D16A3E" w:rsidRPr="00F60A3D">
              <w:rPr>
                <w:i/>
                <w:sz w:val="16"/>
                <w:lang w:val="fr-FR"/>
              </w:rPr>
              <w:t xml:space="preserve"> par an</w:t>
            </w:r>
            <w:r w:rsidRPr="00F60A3D">
              <w:rPr>
                <w:i/>
                <w:sz w:val="16"/>
                <w:lang w:val="fr-FR"/>
              </w:rPr>
              <w:t xml:space="preserve"> </w:t>
            </w:r>
          </w:p>
        </w:tc>
      </w:tr>
      <w:tr w:rsidR="00C43A0B" w:rsidRPr="00F60A3D" w:rsidTr="009072AA">
        <w:trPr>
          <w:trHeight w:val="240"/>
        </w:trPr>
        <w:tc>
          <w:tcPr>
            <w:tcW w:w="1716" w:type="dxa"/>
            <w:tcBorders>
              <w:top w:val="single" w:sz="12" w:space="0" w:color="auto"/>
            </w:tcBorders>
            <w:shd w:val="clear" w:color="auto" w:fill="auto"/>
          </w:tcPr>
          <w:p w:rsidR="005063FC" w:rsidRPr="00F60A3D" w:rsidRDefault="00D16A3E" w:rsidP="00570416">
            <w:pPr>
              <w:suppressAutoHyphens w:val="0"/>
              <w:spacing w:before="40" w:after="40" w:line="240" w:lineRule="exact"/>
              <w:rPr>
                <w:lang w:val="fr-FR"/>
              </w:rPr>
            </w:pPr>
            <w:r w:rsidRPr="00F60A3D">
              <w:rPr>
                <w:lang w:val="fr-FR"/>
              </w:rPr>
              <w:t>Enfants</w:t>
            </w:r>
            <w:r w:rsidR="004B54BB" w:rsidRPr="00F60A3D">
              <w:rPr>
                <w:lang w:val="fr-FR"/>
              </w:rPr>
              <w:t>:</w:t>
            </w:r>
            <w:r w:rsidRPr="00F60A3D">
              <w:rPr>
                <w:lang w:val="fr-FR"/>
              </w:rPr>
              <w:br/>
              <w:t>16 052</w:t>
            </w:r>
            <w:r w:rsidR="00127B5A" w:rsidRPr="00F60A3D">
              <w:rPr>
                <w:lang w:val="fr-FR"/>
              </w:rPr>
              <w:t> </w:t>
            </w:r>
            <w:r w:rsidR="00413E37" w:rsidRPr="00F60A3D">
              <w:rPr>
                <w:lang w:val="fr-FR"/>
              </w:rPr>
              <w:t>000</w:t>
            </w:r>
            <w:r w:rsidR="00127B5A" w:rsidRPr="00F60A3D">
              <w:rPr>
                <w:lang w:val="fr-FR"/>
              </w:rPr>
              <w:t xml:space="preserve"> </w:t>
            </w:r>
            <w:r w:rsidR="00570416" w:rsidRPr="00F60A3D">
              <w:rPr>
                <w:lang w:val="fr-FR"/>
              </w:rPr>
              <w:t>euros</w:t>
            </w:r>
          </w:p>
        </w:tc>
        <w:tc>
          <w:tcPr>
            <w:tcW w:w="5654" w:type="dxa"/>
            <w:tcBorders>
              <w:top w:val="single" w:sz="12" w:space="0" w:color="auto"/>
            </w:tcBorders>
            <w:shd w:val="clear" w:color="auto" w:fill="auto"/>
            <w:vAlign w:val="bottom"/>
          </w:tcPr>
          <w:p w:rsidR="005063FC" w:rsidRPr="00F60A3D" w:rsidRDefault="00127B5A" w:rsidP="006A35D8">
            <w:pPr>
              <w:suppressAutoHyphens w:val="0"/>
              <w:spacing w:before="40" w:after="40" w:line="240" w:lineRule="exact"/>
              <w:ind w:left="113"/>
              <w:rPr>
                <w:lang w:val="fr-FR"/>
              </w:rPr>
            </w:pPr>
            <w:r w:rsidRPr="00F60A3D">
              <w:rPr>
                <w:lang w:val="fr-FR"/>
              </w:rPr>
              <w:t>Élèves handicapés: 4 million</w:t>
            </w:r>
            <w:r w:rsidR="00D16A3E" w:rsidRPr="00F60A3D">
              <w:rPr>
                <w:lang w:val="fr-FR"/>
              </w:rPr>
              <w:t>s d</w:t>
            </w:r>
            <w:r w:rsidR="00B17AE1" w:rsidRPr="00F60A3D">
              <w:rPr>
                <w:lang w:val="fr-FR"/>
              </w:rPr>
              <w:t>’</w:t>
            </w:r>
            <w:r w:rsidR="00D16A3E" w:rsidRPr="00F60A3D">
              <w:rPr>
                <w:lang w:val="fr-FR"/>
              </w:rPr>
              <w:t>euros par an depuis</w:t>
            </w:r>
            <w:r w:rsidR="005063FC" w:rsidRPr="00F60A3D">
              <w:rPr>
                <w:lang w:val="fr-FR"/>
              </w:rPr>
              <w:t xml:space="preserve"> 2010; </w:t>
            </w:r>
            <w:r w:rsidR="00B97591" w:rsidRPr="00F60A3D">
              <w:rPr>
                <w:lang w:val="fr-FR"/>
              </w:rPr>
              <w:t>projet</w:t>
            </w:r>
            <w:r w:rsidR="00D16A3E" w:rsidRPr="00F60A3D">
              <w:rPr>
                <w:lang w:val="fr-FR"/>
              </w:rPr>
              <w:t xml:space="preserve"> CIF</w:t>
            </w:r>
            <w:r w:rsidR="009372C7" w:rsidRPr="00F60A3D">
              <w:rPr>
                <w:lang w:val="fr-FR"/>
              </w:rPr>
              <w:t xml:space="preserve"> (Classification du fonctionneme</w:t>
            </w:r>
            <w:r w:rsidR="00C47B25" w:rsidRPr="00F60A3D">
              <w:rPr>
                <w:lang w:val="fr-FR"/>
              </w:rPr>
              <w:t>n</w:t>
            </w:r>
            <w:r w:rsidR="009372C7" w:rsidRPr="00F60A3D">
              <w:rPr>
                <w:lang w:val="fr-FR"/>
              </w:rPr>
              <w:t>t, du handicap et de la santé)</w:t>
            </w:r>
            <w:r w:rsidR="00D16A3E" w:rsidRPr="00F60A3D">
              <w:rPr>
                <w:lang w:val="fr-FR"/>
              </w:rPr>
              <w:t xml:space="preserve"> </w:t>
            </w:r>
            <w:r w:rsidR="006D4C3A" w:rsidRPr="00F60A3D">
              <w:rPr>
                <w:lang w:val="fr-FR"/>
              </w:rPr>
              <w:t>sur le handicap: 1,</w:t>
            </w:r>
            <w:r w:rsidR="005063FC" w:rsidRPr="00F60A3D">
              <w:rPr>
                <w:lang w:val="fr-FR"/>
              </w:rPr>
              <w:t>7 million</w:t>
            </w:r>
            <w:r w:rsidR="006D4C3A" w:rsidRPr="00F60A3D">
              <w:rPr>
                <w:lang w:val="fr-FR"/>
              </w:rPr>
              <w:t xml:space="preserve"> d</w:t>
            </w:r>
            <w:r w:rsidR="00B17AE1" w:rsidRPr="00F60A3D">
              <w:rPr>
                <w:lang w:val="fr-FR"/>
              </w:rPr>
              <w:t>’</w:t>
            </w:r>
            <w:r w:rsidR="006D4C3A" w:rsidRPr="00F60A3D">
              <w:rPr>
                <w:lang w:val="fr-FR"/>
              </w:rPr>
              <w:t>euros</w:t>
            </w:r>
            <w:r w:rsidR="004B54BB" w:rsidRPr="00F60A3D">
              <w:rPr>
                <w:lang w:val="fr-FR"/>
              </w:rPr>
              <w:t>;</w:t>
            </w:r>
            <w:r w:rsidR="006D4C3A" w:rsidRPr="00F60A3D">
              <w:rPr>
                <w:lang w:val="fr-FR"/>
              </w:rPr>
              <w:t xml:space="preserve"> Centres régionaux de</w:t>
            </w:r>
            <w:r w:rsidR="00AC25B1" w:rsidRPr="00F60A3D">
              <w:rPr>
                <w:lang w:val="fr-FR"/>
              </w:rPr>
              <w:t xml:space="preserve"> soutien</w:t>
            </w:r>
            <w:r w:rsidR="004431D3" w:rsidRPr="00F60A3D">
              <w:rPr>
                <w:lang w:val="fr-FR"/>
              </w:rPr>
              <w:t>:</w:t>
            </w:r>
            <w:r w:rsidR="00731982" w:rsidRPr="00F60A3D">
              <w:rPr>
                <w:lang w:val="fr-FR"/>
              </w:rPr>
              <w:t xml:space="preserve"> </w:t>
            </w:r>
            <w:r w:rsidR="003D21C4" w:rsidRPr="00F60A3D">
              <w:rPr>
                <w:lang w:val="fr-FR"/>
              </w:rPr>
              <w:t xml:space="preserve">1 159 222 </w:t>
            </w:r>
            <w:r w:rsidR="00570416" w:rsidRPr="00F60A3D">
              <w:rPr>
                <w:lang w:val="fr-FR"/>
              </w:rPr>
              <w:t>euros</w:t>
            </w:r>
            <w:r w:rsidR="003D21C4" w:rsidRPr="00F60A3D">
              <w:rPr>
                <w:lang w:val="fr-FR"/>
              </w:rPr>
              <w:t xml:space="preserve"> et 400 000 </w:t>
            </w:r>
            <w:r w:rsidR="00570416" w:rsidRPr="00F60A3D">
              <w:rPr>
                <w:lang w:val="fr-FR"/>
              </w:rPr>
              <w:t>euros</w:t>
            </w:r>
            <w:r w:rsidR="006D4C3A" w:rsidRPr="00F60A3D">
              <w:rPr>
                <w:lang w:val="fr-FR"/>
              </w:rPr>
              <w:t xml:space="preserve"> po</w:t>
            </w:r>
            <w:r w:rsidR="004B54BB" w:rsidRPr="00F60A3D">
              <w:rPr>
                <w:lang w:val="fr-FR"/>
              </w:rPr>
              <w:t>ur la formation des enseignants,</w:t>
            </w:r>
            <w:r w:rsidR="006D4C3A" w:rsidRPr="00F60A3D">
              <w:rPr>
                <w:lang w:val="fr-FR"/>
              </w:rPr>
              <w:t xml:space="preserve"> 2011</w:t>
            </w:r>
            <w:r w:rsidR="006A35D8" w:rsidRPr="00F60A3D">
              <w:rPr>
                <w:lang w:val="fr-FR"/>
              </w:rPr>
              <w:t>-20</w:t>
            </w:r>
            <w:r w:rsidR="0049631B" w:rsidRPr="00F60A3D">
              <w:rPr>
                <w:lang w:val="fr-FR"/>
              </w:rPr>
              <w:t>14</w:t>
            </w:r>
            <w:r w:rsidR="00731982" w:rsidRPr="00F60A3D">
              <w:rPr>
                <w:lang w:val="fr-FR"/>
              </w:rPr>
              <w:t>;</w:t>
            </w:r>
            <w:r w:rsidR="0049631B" w:rsidRPr="00F60A3D">
              <w:rPr>
                <w:lang w:val="fr-FR"/>
              </w:rPr>
              <w:t xml:space="preserve"> É</w:t>
            </w:r>
            <w:r w:rsidR="006D4C3A" w:rsidRPr="00F60A3D">
              <w:rPr>
                <w:lang w:val="fr-FR"/>
              </w:rPr>
              <w:t>cole en milieu hospitalier et instructi</w:t>
            </w:r>
            <w:r w:rsidR="003D21C4" w:rsidRPr="00F60A3D">
              <w:rPr>
                <w:lang w:val="fr-FR"/>
              </w:rPr>
              <w:t xml:space="preserve">on à domicile: 8 000 000 </w:t>
            </w:r>
            <w:r w:rsidR="00570416" w:rsidRPr="00F60A3D">
              <w:rPr>
                <w:lang w:val="fr-FR"/>
              </w:rPr>
              <w:t>euros</w:t>
            </w:r>
            <w:r w:rsidR="0049631B" w:rsidRPr="00F60A3D">
              <w:rPr>
                <w:lang w:val="fr-FR"/>
              </w:rPr>
              <w:t>,</w:t>
            </w:r>
            <w:r w:rsidR="006D4C3A" w:rsidRPr="00F60A3D">
              <w:rPr>
                <w:lang w:val="fr-FR"/>
              </w:rPr>
              <w:t xml:space="preserve"> 2013</w:t>
            </w:r>
            <w:r w:rsidR="006A35D8" w:rsidRPr="00F60A3D">
              <w:rPr>
                <w:lang w:val="fr-FR"/>
              </w:rPr>
              <w:t>-20</w:t>
            </w:r>
            <w:r w:rsidR="005063FC" w:rsidRPr="00F60A3D">
              <w:rPr>
                <w:lang w:val="fr-FR"/>
              </w:rPr>
              <w:t>14</w:t>
            </w:r>
            <w:r w:rsidR="004B54BB" w:rsidRPr="00F60A3D">
              <w:rPr>
                <w:lang w:val="fr-FR"/>
              </w:rPr>
              <w:t>;</w:t>
            </w:r>
            <w:r w:rsidR="005063FC" w:rsidRPr="00F60A3D">
              <w:rPr>
                <w:lang w:val="fr-FR"/>
              </w:rPr>
              <w:t xml:space="preserve"> </w:t>
            </w:r>
            <w:r w:rsidR="0049631B" w:rsidRPr="00F60A3D">
              <w:rPr>
                <w:lang w:val="fr-FR"/>
              </w:rPr>
              <w:t>É</w:t>
            </w:r>
            <w:r w:rsidR="006D4C3A" w:rsidRPr="00F60A3D">
              <w:rPr>
                <w:lang w:val="fr-FR"/>
              </w:rPr>
              <w:t>ducation par des pairs dans des contextes multiculturels</w:t>
            </w:r>
            <w:r w:rsidR="004B54BB" w:rsidRPr="00F60A3D">
              <w:rPr>
                <w:lang w:val="fr-FR"/>
              </w:rPr>
              <w:t>:</w:t>
            </w:r>
            <w:r w:rsidR="00570416" w:rsidRPr="00F60A3D">
              <w:rPr>
                <w:lang w:val="fr-FR"/>
              </w:rPr>
              <w:t xml:space="preserve"> 300 000 euros</w:t>
            </w:r>
            <w:r w:rsidR="0049631B" w:rsidRPr="00F60A3D">
              <w:rPr>
                <w:lang w:val="fr-FR"/>
              </w:rPr>
              <w:t>; Mineurs non accompagnés</w:t>
            </w:r>
            <w:r w:rsidR="00731982" w:rsidRPr="00F60A3D">
              <w:rPr>
                <w:lang w:val="fr-FR"/>
              </w:rPr>
              <w:t xml:space="preserve"> </w:t>
            </w:r>
            <w:r w:rsidR="0049631B" w:rsidRPr="00F60A3D">
              <w:rPr>
                <w:lang w:val="fr-FR"/>
              </w:rPr>
              <w:t>(</w:t>
            </w:r>
            <w:r w:rsidR="006D4C3A" w:rsidRPr="00F60A3D">
              <w:rPr>
                <w:lang w:val="fr-FR"/>
              </w:rPr>
              <w:t>2014</w:t>
            </w:r>
            <w:r w:rsidR="0049631B" w:rsidRPr="00F60A3D">
              <w:rPr>
                <w:lang w:val="fr-FR"/>
              </w:rPr>
              <w:t>)</w:t>
            </w:r>
            <w:r w:rsidR="006D4C3A" w:rsidRPr="00F60A3D">
              <w:rPr>
                <w:lang w:val="fr-FR"/>
              </w:rPr>
              <w:t>:</w:t>
            </w:r>
            <w:r w:rsidR="005063FC" w:rsidRPr="00F60A3D">
              <w:rPr>
                <w:lang w:val="fr-FR"/>
              </w:rPr>
              <w:t xml:space="preserve"> 40 million</w:t>
            </w:r>
            <w:r w:rsidR="0049631B" w:rsidRPr="00F60A3D">
              <w:rPr>
                <w:lang w:val="fr-FR"/>
              </w:rPr>
              <w:t>s d</w:t>
            </w:r>
            <w:r w:rsidR="00B17AE1" w:rsidRPr="00F60A3D">
              <w:rPr>
                <w:lang w:val="fr-FR"/>
              </w:rPr>
              <w:t>’</w:t>
            </w:r>
            <w:r w:rsidR="0049631B" w:rsidRPr="00F60A3D">
              <w:rPr>
                <w:lang w:val="fr-FR"/>
              </w:rPr>
              <w:t>euros; A</w:t>
            </w:r>
            <w:r w:rsidR="006D4C3A" w:rsidRPr="00F60A3D">
              <w:rPr>
                <w:lang w:val="fr-FR"/>
              </w:rPr>
              <w:t>llocation versée aux familles comptant au moins trois enfants en bas âge</w:t>
            </w:r>
            <w:r w:rsidR="004B54BB" w:rsidRPr="00F60A3D">
              <w:rPr>
                <w:lang w:val="fr-FR"/>
              </w:rPr>
              <w:t>,</w:t>
            </w:r>
            <w:r w:rsidR="006D4C3A" w:rsidRPr="00F60A3D">
              <w:rPr>
                <w:lang w:val="fr-FR"/>
              </w:rPr>
              <w:t xml:space="preserve"> 2013</w:t>
            </w:r>
            <w:r w:rsidR="006A35D8" w:rsidRPr="00F60A3D">
              <w:rPr>
                <w:lang w:val="fr-FR"/>
              </w:rPr>
              <w:t>-20</w:t>
            </w:r>
            <w:r w:rsidR="006D4C3A" w:rsidRPr="00F60A3D">
              <w:rPr>
                <w:lang w:val="fr-FR"/>
              </w:rPr>
              <w:t>14:</w:t>
            </w:r>
            <w:r w:rsidR="00731982" w:rsidRPr="00F60A3D">
              <w:rPr>
                <w:lang w:val="fr-FR"/>
              </w:rPr>
              <w:t xml:space="preserve"> </w:t>
            </w:r>
            <w:r w:rsidR="006D4C3A" w:rsidRPr="00F60A3D">
              <w:rPr>
                <w:lang w:val="fr-FR"/>
              </w:rPr>
              <w:t>41,</w:t>
            </w:r>
            <w:r w:rsidR="005063FC" w:rsidRPr="00F60A3D">
              <w:rPr>
                <w:lang w:val="fr-FR"/>
              </w:rPr>
              <w:t>1 million</w:t>
            </w:r>
            <w:r w:rsidR="006D4C3A" w:rsidRPr="00F60A3D">
              <w:rPr>
                <w:lang w:val="fr-FR"/>
              </w:rPr>
              <w:t>s d</w:t>
            </w:r>
            <w:r w:rsidR="00B17AE1" w:rsidRPr="00F60A3D">
              <w:rPr>
                <w:lang w:val="fr-FR"/>
              </w:rPr>
              <w:t>’</w:t>
            </w:r>
            <w:r w:rsidR="006D4C3A" w:rsidRPr="00F60A3D">
              <w:rPr>
                <w:lang w:val="fr-FR"/>
              </w:rPr>
              <w:t>euros</w:t>
            </w:r>
            <w:r w:rsidR="005063FC" w:rsidRPr="00F60A3D">
              <w:rPr>
                <w:lang w:val="fr-FR"/>
              </w:rPr>
              <w:t xml:space="preserve"> </w:t>
            </w:r>
          </w:p>
        </w:tc>
      </w:tr>
      <w:tr w:rsidR="00C43A0B" w:rsidRPr="00F60A3D" w:rsidTr="009072AA">
        <w:trPr>
          <w:trHeight w:val="240"/>
        </w:trPr>
        <w:tc>
          <w:tcPr>
            <w:tcW w:w="1716" w:type="dxa"/>
            <w:shd w:val="clear" w:color="auto" w:fill="auto"/>
          </w:tcPr>
          <w:p w:rsidR="005063FC" w:rsidRPr="00F60A3D" w:rsidRDefault="004B54BB" w:rsidP="00570416">
            <w:pPr>
              <w:suppressAutoHyphens w:val="0"/>
              <w:spacing w:before="40" w:after="40" w:line="240" w:lineRule="exact"/>
              <w:rPr>
                <w:lang w:val="fr-FR"/>
              </w:rPr>
            </w:pPr>
            <w:r w:rsidRPr="00F60A3D">
              <w:rPr>
                <w:lang w:val="fr-FR"/>
              </w:rPr>
              <w:t>Minorité</w:t>
            </w:r>
            <w:r w:rsidR="006D4C3A" w:rsidRPr="00F60A3D">
              <w:rPr>
                <w:lang w:val="fr-FR"/>
              </w:rPr>
              <w:t>s</w:t>
            </w:r>
            <w:r w:rsidRPr="00F60A3D">
              <w:rPr>
                <w:lang w:val="fr-FR"/>
              </w:rPr>
              <w:t>:</w:t>
            </w:r>
            <w:r w:rsidR="003D21C4" w:rsidRPr="00F60A3D">
              <w:rPr>
                <w:lang w:val="fr-FR"/>
              </w:rPr>
              <w:br/>
              <w:t xml:space="preserve">15 500 000 </w:t>
            </w:r>
            <w:r w:rsidR="00570416" w:rsidRPr="00F60A3D">
              <w:rPr>
                <w:lang w:val="fr-FR"/>
              </w:rPr>
              <w:t>euros</w:t>
            </w:r>
            <w:r w:rsidR="005063FC" w:rsidRPr="00F60A3D">
              <w:rPr>
                <w:lang w:val="fr-FR"/>
              </w:rPr>
              <w:t xml:space="preserve"> </w:t>
            </w:r>
          </w:p>
        </w:tc>
        <w:tc>
          <w:tcPr>
            <w:tcW w:w="5654" w:type="dxa"/>
            <w:shd w:val="clear" w:color="auto" w:fill="auto"/>
            <w:vAlign w:val="bottom"/>
          </w:tcPr>
          <w:p w:rsidR="005063FC" w:rsidRPr="00F60A3D" w:rsidRDefault="005063FC" w:rsidP="006A35D8">
            <w:pPr>
              <w:suppressAutoHyphens w:val="0"/>
              <w:spacing w:before="40" w:after="40" w:line="240" w:lineRule="exact"/>
              <w:ind w:left="113"/>
              <w:rPr>
                <w:lang w:val="fr-FR"/>
              </w:rPr>
            </w:pPr>
            <w:r w:rsidRPr="00F60A3D">
              <w:rPr>
                <w:lang w:val="fr-FR"/>
              </w:rPr>
              <w:t>S</w:t>
            </w:r>
            <w:r w:rsidR="006D4C3A" w:rsidRPr="00F60A3D">
              <w:rPr>
                <w:lang w:val="fr-FR"/>
              </w:rPr>
              <w:t>outien aux langues minoritaires,</w:t>
            </w:r>
            <w:r w:rsidR="00731982" w:rsidRPr="00F60A3D">
              <w:rPr>
                <w:lang w:val="fr-FR"/>
              </w:rPr>
              <w:t xml:space="preserve"> </w:t>
            </w:r>
            <w:r w:rsidR="006D4C3A" w:rsidRPr="00F60A3D">
              <w:rPr>
                <w:lang w:val="fr-FR"/>
              </w:rPr>
              <w:t>2013</w:t>
            </w:r>
            <w:r w:rsidR="006A35D8" w:rsidRPr="00F60A3D">
              <w:rPr>
                <w:lang w:val="fr-FR"/>
              </w:rPr>
              <w:t>-20</w:t>
            </w:r>
            <w:r w:rsidR="006D4C3A" w:rsidRPr="00F60A3D">
              <w:rPr>
                <w:lang w:val="fr-FR"/>
              </w:rPr>
              <w:t xml:space="preserve">14: 15 500 000 </w:t>
            </w:r>
            <w:r w:rsidR="00570416" w:rsidRPr="00F60A3D">
              <w:rPr>
                <w:lang w:val="fr-FR"/>
              </w:rPr>
              <w:t>euros</w:t>
            </w:r>
            <w:r w:rsidRPr="00F60A3D">
              <w:rPr>
                <w:lang w:val="fr-FR"/>
              </w:rPr>
              <w:t xml:space="preserve"> </w:t>
            </w:r>
          </w:p>
        </w:tc>
      </w:tr>
      <w:tr w:rsidR="00C43A0B" w:rsidRPr="00F60A3D" w:rsidTr="009072AA">
        <w:trPr>
          <w:trHeight w:val="240"/>
        </w:trPr>
        <w:tc>
          <w:tcPr>
            <w:tcW w:w="1716" w:type="dxa"/>
            <w:shd w:val="clear" w:color="auto" w:fill="auto"/>
          </w:tcPr>
          <w:p w:rsidR="005063FC" w:rsidRPr="00F60A3D" w:rsidRDefault="006D4C3A" w:rsidP="00570416">
            <w:pPr>
              <w:suppressAutoHyphens w:val="0"/>
              <w:spacing w:before="40" w:after="40" w:line="240" w:lineRule="exact"/>
              <w:rPr>
                <w:lang w:val="fr-FR"/>
              </w:rPr>
            </w:pPr>
            <w:r w:rsidRPr="00F60A3D">
              <w:rPr>
                <w:lang w:val="fr-FR"/>
              </w:rPr>
              <w:t>Lutte contre la traite des êtres humains</w:t>
            </w:r>
            <w:r w:rsidR="004B54BB" w:rsidRPr="00F60A3D">
              <w:rPr>
                <w:lang w:val="fr-FR"/>
              </w:rPr>
              <w:t>:</w:t>
            </w:r>
            <w:r w:rsidRPr="00F60A3D">
              <w:rPr>
                <w:lang w:val="fr-FR"/>
              </w:rPr>
              <w:t xml:space="preserve"> 8 450 000 </w:t>
            </w:r>
            <w:r w:rsidR="00570416" w:rsidRPr="00F60A3D">
              <w:rPr>
                <w:lang w:val="fr-FR"/>
              </w:rPr>
              <w:t>euros</w:t>
            </w:r>
          </w:p>
        </w:tc>
        <w:tc>
          <w:tcPr>
            <w:tcW w:w="5654" w:type="dxa"/>
            <w:shd w:val="clear" w:color="auto" w:fill="auto"/>
            <w:vAlign w:val="bottom"/>
          </w:tcPr>
          <w:p w:rsidR="005063FC" w:rsidRPr="00F60A3D" w:rsidRDefault="005063FC" w:rsidP="00570416">
            <w:pPr>
              <w:suppressAutoHyphens w:val="0"/>
              <w:spacing w:before="40" w:after="40" w:line="240" w:lineRule="exact"/>
              <w:ind w:left="113"/>
              <w:rPr>
                <w:lang w:val="fr-FR"/>
              </w:rPr>
            </w:pPr>
            <w:r w:rsidRPr="00F60A3D">
              <w:rPr>
                <w:lang w:val="fr-FR"/>
              </w:rPr>
              <w:t>S</w:t>
            </w:r>
            <w:r w:rsidR="006D4C3A" w:rsidRPr="00F60A3D">
              <w:rPr>
                <w:lang w:val="fr-FR"/>
              </w:rPr>
              <w:t>outien aux victimes de la traite, 2012</w:t>
            </w:r>
            <w:r w:rsidR="002240B3" w:rsidRPr="00F60A3D">
              <w:rPr>
                <w:lang w:val="fr-FR"/>
              </w:rPr>
              <w:t xml:space="preserve">: 8 000 000 </w:t>
            </w:r>
            <w:r w:rsidR="00570416" w:rsidRPr="00F60A3D">
              <w:rPr>
                <w:lang w:val="fr-FR"/>
              </w:rPr>
              <w:t>euros</w:t>
            </w:r>
            <w:r w:rsidR="0049631B" w:rsidRPr="00F60A3D">
              <w:rPr>
                <w:lang w:val="fr-FR"/>
              </w:rPr>
              <w:t>; r</w:t>
            </w:r>
            <w:r w:rsidR="00C43A0B" w:rsidRPr="00F60A3D">
              <w:rPr>
                <w:lang w:val="fr-FR"/>
              </w:rPr>
              <w:t>égion de l</w:t>
            </w:r>
            <w:r w:rsidR="00B17AE1" w:rsidRPr="00F60A3D">
              <w:rPr>
                <w:lang w:val="fr-FR"/>
              </w:rPr>
              <w:t>’</w:t>
            </w:r>
            <w:r w:rsidR="00C43A0B" w:rsidRPr="00F60A3D">
              <w:rPr>
                <w:lang w:val="fr-FR"/>
              </w:rPr>
              <w:t>Ombrie, 2012-</w:t>
            </w:r>
            <w:r w:rsidR="006A35D8" w:rsidRPr="00F60A3D">
              <w:rPr>
                <w:lang w:val="fr-FR"/>
              </w:rPr>
              <w:t>20</w:t>
            </w:r>
            <w:r w:rsidR="00C43A0B" w:rsidRPr="00F60A3D">
              <w:rPr>
                <w:lang w:val="fr-FR"/>
              </w:rPr>
              <w:t xml:space="preserve">14: 450 000 </w:t>
            </w:r>
            <w:r w:rsidR="00570416" w:rsidRPr="00F60A3D">
              <w:rPr>
                <w:lang w:val="fr-FR"/>
              </w:rPr>
              <w:t>euros</w:t>
            </w:r>
          </w:p>
        </w:tc>
      </w:tr>
      <w:tr w:rsidR="00C43A0B" w:rsidRPr="00F60A3D" w:rsidTr="009072AA">
        <w:trPr>
          <w:trHeight w:val="240"/>
        </w:trPr>
        <w:tc>
          <w:tcPr>
            <w:tcW w:w="1716" w:type="dxa"/>
            <w:shd w:val="clear" w:color="auto" w:fill="auto"/>
          </w:tcPr>
          <w:p w:rsidR="005063FC" w:rsidRPr="00F60A3D" w:rsidRDefault="00C43A0B" w:rsidP="00570416">
            <w:pPr>
              <w:keepNext/>
              <w:keepLines/>
              <w:suppressAutoHyphens w:val="0"/>
              <w:spacing w:before="40" w:after="40" w:line="240" w:lineRule="exact"/>
              <w:rPr>
                <w:lang w:val="fr-FR"/>
              </w:rPr>
            </w:pPr>
            <w:r w:rsidRPr="00F60A3D">
              <w:rPr>
                <w:lang w:val="fr-FR"/>
              </w:rPr>
              <w:lastRenderedPageBreak/>
              <w:t>Droits économiques et réductio</w:t>
            </w:r>
            <w:r w:rsidR="003D21C4" w:rsidRPr="00F60A3D">
              <w:rPr>
                <w:lang w:val="fr-FR"/>
              </w:rPr>
              <w:t xml:space="preserve">n de la pauvreté: 257 000 000 </w:t>
            </w:r>
            <w:r w:rsidR="00570416" w:rsidRPr="00F60A3D">
              <w:rPr>
                <w:lang w:val="fr-FR"/>
              </w:rPr>
              <w:t>euros</w:t>
            </w:r>
          </w:p>
        </w:tc>
        <w:tc>
          <w:tcPr>
            <w:tcW w:w="5654" w:type="dxa"/>
            <w:shd w:val="clear" w:color="auto" w:fill="auto"/>
            <w:vAlign w:val="bottom"/>
          </w:tcPr>
          <w:p w:rsidR="005063FC" w:rsidRPr="00F60A3D" w:rsidRDefault="00C43A0B" w:rsidP="00570416">
            <w:pPr>
              <w:keepNext/>
              <w:keepLines/>
              <w:suppressAutoHyphens w:val="0"/>
              <w:spacing w:before="40" w:after="40" w:line="240" w:lineRule="exact"/>
              <w:ind w:left="113"/>
              <w:rPr>
                <w:lang w:val="fr-FR"/>
              </w:rPr>
            </w:pPr>
            <w:r w:rsidRPr="00F60A3D">
              <w:rPr>
                <w:lang w:val="fr-FR"/>
              </w:rPr>
              <w:t>Carte s</w:t>
            </w:r>
            <w:r w:rsidR="005063FC" w:rsidRPr="00F60A3D">
              <w:rPr>
                <w:lang w:val="fr-FR"/>
              </w:rPr>
              <w:t>ocial</w:t>
            </w:r>
            <w:r w:rsidRPr="00F60A3D">
              <w:rPr>
                <w:lang w:val="fr-FR"/>
              </w:rPr>
              <w:t xml:space="preserve">e: </w:t>
            </w:r>
            <w:r w:rsidR="005063FC" w:rsidRPr="00F60A3D">
              <w:rPr>
                <w:lang w:val="fr-FR"/>
              </w:rPr>
              <w:t>257 million</w:t>
            </w:r>
            <w:r w:rsidRPr="00F60A3D">
              <w:rPr>
                <w:lang w:val="fr-FR"/>
              </w:rPr>
              <w:t>s d</w:t>
            </w:r>
            <w:r w:rsidR="00B17AE1" w:rsidRPr="00F60A3D">
              <w:rPr>
                <w:lang w:val="fr-FR"/>
              </w:rPr>
              <w:t>’</w:t>
            </w:r>
            <w:r w:rsidRPr="00F60A3D">
              <w:rPr>
                <w:lang w:val="fr-FR"/>
              </w:rPr>
              <w:t>euros</w:t>
            </w:r>
            <w:r w:rsidR="00731982" w:rsidRPr="00F60A3D">
              <w:rPr>
                <w:lang w:val="fr-FR"/>
              </w:rPr>
              <w:t xml:space="preserve"> </w:t>
            </w:r>
            <w:r w:rsidRPr="00F60A3D">
              <w:rPr>
                <w:lang w:val="fr-FR"/>
              </w:rPr>
              <w:t>pour</w:t>
            </w:r>
            <w:r w:rsidR="005063FC" w:rsidRPr="00F60A3D">
              <w:rPr>
                <w:lang w:val="fr-FR"/>
              </w:rPr>
              <w:t xml:space="preserve"> 2012-2016 </w:t>
            </w:r>
          </w:p>
        </w:tc>
      </w:tr>
      <w:tr w:rsidR="00C43A0B" w:rsidRPr="00F60A3D" w:rsidTr="009072AA">
        <w:trPr>
          <w:trHeight w:val="240"/>
        </w:trPr>
        <w:tc>
          <w:tcPr>
            <w:tcW w:w="1716" w:type="dxa"/>
            <w:shd w:val="clear" w:color="auto" w:fill="auto"/>
          </w:tcPr>
          <w:p w:rsidR="005063FC" w:rsidRPr="00F60A3D" w:rsidRDefault="00C43A0B" w:rsidP="00570416">
            <w:pPr>
              <w:suppressAutoHyphens w:val="0"/>
              <w:spacing w:before="40" w:after="40" w:line="240" w:lineRule="exact"/>
              <w:rPr>
                <w:lang w:val="fr-FR"/>
              </w:rPr>
            </w:pPr>
            <w:r w:rsidRPr="00F60A3D">
              <w:rPr>
                <w:lang w:val="fr-FR"/>
              </w:rPr>
              <w:t>P</w:t>
            </w:r>
            <w:r w:rsidR="00F93D4F" w:rsidRPr="00F60A3D">
              <w:rPr>
                <w:lang w:val="fr-FR"/>
              </w:rPr>
              <w:t>ol</w:t>
            </w:r>
            <w:r w:rsidRPr="00F60A3D">
              <w:rPr>
                <w:lang w:val="fr-FR"/>
              </w:rPr>
              <w:t>lution de l</w:t>
            </w:r>
            <w:r w:rsidR="00B17AE1" w:rsidRPr="00F60A3D">
              <w:rPr>
                <w:lang w:val="fr-FR"/>
              </w:rPr>
              <w:t>’</w:t>
            </w:r>
            <w:r w:rsidR="003D21C4" w:rsidRPr="00F60A3D">
              <w:rPr>
                <w:lang w:val="fr-FR"/>
              </w:rPr>
              <w:t xml:space="preserve">environnement: 50 500 000 </w:t>
            </w:r>
            <w:r w:rsidR="00570416" w:rsidRPr="00F60A3D">
              <w:rPr>
                <w:lang w:val="fr-FR"/>
              </w:rPr>
              <w:t>euros</w:t>
            </w:r>
            <w:r w:rsidR="005063FC" w:rsidRPr="00F60A3D">
              <w:rPr>
                <w:lang w:val="fr-FR"/>
              </w:rPr>
              <w:t xml:space="preserve"> </w:t>
            </w:r>
          </w:p>
        </w:tc>
        <w:tc>
          <w:tcPr>
            <w:tcW w:w="5654" w:type="dxa"/>
            <w:shd w:val="clear" w:color="auto" w:fill="auto"/>
            <w:vAlign w:val="bottom"/>
          </w:tcPr>
          <w:p w:rsidR="005063FC" w:rsidRPr="00F60A3D" w:rsidRDefault="00C43A0B" w:rsidP="00570416">
            <w:pPr>
              <w:suppressAutoHyphens w:val="0"/>
              <w:spacing w:before="40" w:after="40" w:line="240" w:lineRule="exact"/>
              <w:ind w:left="113"/>
              <w:rPr>
                <w:lang w:val="fr-FR"/>
              </w:rPr>
            </w:pPr>
            <w:r w:rsidRPr="00F60A3D">
              <w:rPr>
                <w:lang w:val="fr-FR"/>
              </w:rPr>
              <w:t>Taranto et Statte:</w:t>
            </w:r>
            <w:r w:rsidR="003D21C4" w:rsidRPr="00F60A3D">
              <w:rPr>
                <w:lang w:val="fr-FR"/>
              </w:rPr>
              <w:t xml:space="preserve"> 50 450 000 </w:t>
            </w:r>
            <w:r w:rsidR="00570416" w:rsidRPr="00F60A3D">
              <w:rPr>
                <w:lang w:val="fr-FR"/>
              </w:rPr>
              <w:t>euros</w:t>
            </w:r>
            <w:r w:rsidRPr="00F60A3D">
              <w:rPr>
                <w:lang w:val="fr-FR"/>
              </w:rPr>
              <w:t xml:space="preserve"> p</w:t>
            </w:r>
            <w:r w:rsidR="005063FC" w:rsidRPr="00F60A3D">
              <w:rPr>
                <w:lang w:val="fr-FR"/>
              </w:rPr>
              <w:t>o</w:t>
            </w:r>
            <w:r w:rsidRPr="00F60A3D">
              <w:rPr>
                <w:lang w:val="fr-FR"/>
              </w:rPr>
              <w:t>u</w:t>
            </w:r>
            <w:r w:rsidR="005063FC" w:rsidRPr="00F60A3D">
              <w:rPr>
                <w:lang w:val="fr-FR"/>
              </w:rPr>
              <w:t xml:space="preserve">r 2014-2015 </w:t>
            </w:r>
          </w:p>
        </w:tc>
      </w:tr>
      <w:tr w:rsidR="00C43A0B" w:rsidRPr="00F60A3D" w:rsidTr="009072AA">
        <w:trPr>
          <w:trHeight w:val="240"/>
        </w:trPr>
        <w:tc>
          <w:tcPr>
            <w:tcW w:w="1716" w:type="dxa"/>
            <w:tcBorders>
              <w:bottom w:val="single" w:sz="12" w:space="0" w:color="auto"/>
            </w:tcBorders>
            <w:shd w:val="clear" w:color="auto" w:fill="auto"/>
          </w:tcPr>
          <w:p w:rsidR="005063FC" w:rsidRPr="00F60A3D" w:rsidRDefault="00C43A0B" w:rsidP="00570416">
            <w:pPr>
              <w:suppressAutoHyphens w:val="0"/>
              <w:spacing w:before="40" w:after="40" w:line="240" w:lineRule="exact"/>
              <w:rPr>
                <w:lang w:val="fr-FR"/>
              </w:rPr>
            </w:pPr>
            <w:r w:rsidRPr="00F60A3D">
              <w:rPr>
                <w:lang w:val="fr-FR"/>
              </w:rPr>
              <w:t>Formation du personnel</w:t>
            </w:r>
            <w:r w:rsidR="0094081A" w:rsidRPr="00F60A3D">
              <w:rPr>
                <w:lang w:val="fr-FR"/>
              </w:rPr>
              <w:t>,</w:t>
            </w:r>
            <w:r w:rsidR="00570416" w:rsidRPr="00F60A3D">
              <w:rPr>
                <w:lang w:val="fr-FR"/>
              </w:rPr>
              <w:t xml:space="preserve"> 2010-</w:t>
            </w:r>
            <w:r w:rsidR="0094081A" w:rsidRPr="00F60A3D">
              <w:rPr>
                <w:lang w:val="fr-FR"/>
              </w:rPr>
              <w:t>20</w:t>
            </w:r>
            <w:r w:rsidR="009372C7" w:rsidRPr="00F60A3D">
              <w:rPr>
                <w:lang w:val="fr-FR"/>
              </w:rPr>
              <w:t>14: plus de 25</w:t>
            </w:r>
            <w:r w:rsidR="00570416" w:rsidRPr="00F60A3D">
              <w:rPr>
                <w:lang w:val="fr-FR"/>
              </w:rPr>
              <w:t> </w:t>
            </w:r>
            <w:r w:rsidR="009372C7" w:rsidRPr="00F60A3D">
              <w:rPr>
                <w:lang w:val="fr-FR"/>
              </w:rPr>
              <w:t>000</w:t>
            </w:r>
            <w:r w:rsidR="00570416" w:rsidRPr="00F60A3D">
              <w:rPr>
                <w:lang w:val="fr-FR"/>
              </w:rPr>
              <w:t> </w:t>
            </w:r>
            <w:r w:rsidR="009372C7" w:rsidRPr="00F60A3D">
              <w:rPr>
                <w:lang w:val="fr-FR"/>
              </w:rPr>
              <w:t>personnes</w:t>
            </w:r>
            <w:r w:rsidR="005063FC" w:rsidRPr="00F60A3D">
              <w:rPr>
                <w:lang w:val="fr-FR"/>
              </w:rPr>
              <w:t xml:space="preserve"> </w:t>
            </w:r>
          </w:p>
        </w:tc>
        <w:tc>
          <w:tcPr>
            <w:tcW w:w="5654" w:type="dxa"/>
            <w:tcBorders>
              <w:bottom w:val="single" w:sz="12" w:space="0" w:color="auto"/>
            </w:tcBorders>
            <w:shd w:val="clear" w:color="auto" w:fill="auto"/>
            <w:vAlign w:val="bottom"/>
          </w:tcPr>
          <w:p w:rsidR="005063FC" w:rsidRPr="00F60A3D" w:rsidRDefault="00570416" w:rsidP="00570416">
            <w:pPr>
              <w:suppressAutoHyphens w:val="0"/>
              <w:spacing w:before="40" w:after="40" w:line="240" w:lineRule="exact"/>
              <w:ind w:left="113"/>
              <w:rPr>
                <w:lang w:val="fr-FR"/>
              </w:rPr>
            </w:pPr>
            <w:r w:rsidRPr="00F60A3D">
              <w:rPr>
                <w:lang w:val="fr-FR"/>
              </w:rPr>
              <w:t>2012-2014: 8 </w:t>
            </w:r>
            <w:r w:rsidR="005063FC" w:rsidRPr="00F60A3D">
              <w:rPr>
                <w:lang w:val="fr-FR"/>
              </w:rPr>
              <w:t xml:space="preserve">700 </w:t>
            </w:r>
            <w:r w:rsidR="007A2C0E" w:rsidRPr="00F60A3D">
              <w:rPr>
                <w:iCs/>
                <w:lang w:val="fr-FR"/>
              </w:rPr>
              <w:t>c</w:t>
            </w:r>
            <w:r w:rsidR="0094081A" w:rsidRPr="00F60A3D">
              <w:rPr>
                <w:iCs/>
                <w:lang w:val="fr-FR"/>
              </w:rPr>
              <w:t>arabiniers</w:t>
            </w:r>
            <w:r w:rsidR="005063FC" w:rsidRPr="00F60A3D">
              <w:rPr>
                <w:lang w:val="fr-FR"/>
              </w:rPr>
              <w:t xml:space="preserve">, </w:t>
            </w:r>
            <w:r w:rsidR="00C43A0B" w:rsidRPr="00F60A3D">
              <w:rPr>
                <w:lang w:val="fr-FR"/>
              </w:rPr>
              <w:t>fonctionnaires de police et personnels interforces.</w:t>
            </w:r>
            <w:r w:rsidRPr="00F60A3D">
              <w:rPr>
                <w:lang w:val="fr-FR"/>
              </w:rPr>
              <w:t xml:space="preserve"> </w:t>
            </w:r>
            <w:r w:rsidR="00C43A0B" w:rsidRPr="00F60A3D">
              <w:rPr>
                <w:lang w:val="fr-FR"/>
              </w:rPr>
              <w:t xml:space="preserve">2010-2013:16 </w:t>
            </w:r>
            <w:r w:rsidR="005063FC" w:rsidRPr="00F60A3D">
              <w:rPr>
                <w:lang w:val="fr-FR"/>
              </w:rPr>
              <w:t xml:space="preserve">800 </w:t>
            </w:r>
          </w:p>
        </w:tc>
      </w:tr>
    </w:tbl>
    <w:p w:rsidR="005063FC" w:rsidRPr="00F60A3D" w:rsidRDefault="00DD5FDA" w:rsidP="00570416">
      <w:pPr>
        <w:pStyle w:val="SingleTxtG"/>
        <w:spacing w:before="240"/>
        <w:rPr>
          <w:lang w:val="fr-FR"/>
        </w:rPr>
      </w:pPr>
      <w:r w:rsidRPr="00F60A3D">
        <w:rPr>
          <w:lang w:val="fr-FR"/>
        </w:rPr>
        <w:t>234</w:t>
      </w:r>
      <w:r w:rsidR="00F93D4F" w:rsidRPr="00F60A3D">
        <w:rPr>
          <w:lang w:val="fr-FR"/>
        </w:rPr>
        <w:t>.</w:t>
      </w:r>
      <w:r w:rsidR="00F93D4F" w:rsidRPr="00F60A3D">
        <w:rPr>
          <w:lang w:val="fr-FR"/>
        </w:rPr>
        <w:tab/>
        <w:t>En ce qui concerne la</w:t>
      </w:r>
      <w:r w:rsidR="00731982" w:rsidRPr="00F60A3D">
        <w:rPr>
          <w:lang w:val="fr-FR"/>
        </w:rPr>
        <w:t xml:space="preserve"> </w:t>
      </w:r>
      <w:r w:rsidR="005063FC" w:rsidRPr="00F60A3D">
        <w:rPr>
          <w:i/>
          <w:iCs/>
          <w:lang w:val="fr-FR"/>
        </w:rPr>
        <w:t xml:space="preserve">promotion </w:t>
      </w:r>
      <w:r w:rsidR="00F93D4F" w:rsidRPr="00F60A3D">
        <w:rPr>
          <w:i/>
          <w:iCs/>
          <w:lang w:val="fr-FR"/>
        </w:rPr>
        <w:t>des droits de l</w:t>
      </w:r>
      <w:r w:rsidR="00B17AE1" w:rsidRPr="00F60A3D">
        <w:rPr>
          <w:i/>
          <w:iCs/>
          <w:lang w:val="fr-FR"/>
        </w:rPr>
        <w:t>’</w:t>
      </w:r>
      <w:r w:rsidR="00F93D4F" w:rsidRPr="00F60A3D">
        <w:rPr>
          <w:i/>
          <w:iCs/>
          <w:lang w:val="fr-FR"/>
        </w:rPr>
        <w:t>homme</w:t>
      </w:r>
      <w:r w:rsidR="007A2C0E" w:rsidRPr="00F60A3D">
        <w:rPr>
          <w:lang w:val="fr-FR"/>
        </w:rPr>
        <w:t xml:space="preserve">, </w:t>
      </w:r>
      <w:r w:rsidR="00F93D4F" w:rsidRPr="00F60A3D">
        <w:rPr>
          <w:lang w:val="fr-FR"/>
        </w:rPr>
        <w:t>outre</w:t>
      </w:r>
      <w:r w:rsidR="00206AB2" w:rsidRPr="00F60A3D">
        <w:rPr>
          <w:lang w:val="fr-FR"/>
        </w:rPr>
        <w:t xml:space="preserve"> les projets de lois précités (</w:t>
      </w:r>
      <w:r w:rsidR="00570416" w:rsidRPr="00F60A3D">
        <w:rPr>
          <w:lang w:val="fr-FR"/>
        </w:rPr>
        <w:t xml:space="preserve">par. 149 et 161 à </w:t>
      </w:r>
      <w:r w:rsidR="00F93D4F" w:rsidRPr="00F60A3D">
        <w:rPr>
          <w:lang w:val="fr-FR"/>
        </w:rPr>
        <w:t>168 ci-dessus</w:t>
      </w:r>
      <w:r w:rsidR="005063FC" w:rsidRPr="00F60A3D">
        <w:rPr>
          <w:lang w:val="fr-FR"/>
        </w:rPr>
        <w:t xml:space="preserve">), </w:t>
      </w:r>
      <w:r w:rsidR="00F93D4F" w:rsidRPr="00F60A3D">
        <w:rPr>
          <w:lang w:val="fr-FR"/>
        </w:rPr>
        <w:t xml:space="preserve">diverses activités </w:t>
      </w:r>
      <w:r w:rsidR="007A2C0E" w:rsidRPr="00F60A3D">
        <w:rPr>
          <w:lang w:val="fr-FR"/>
        </w:rPr>
        <w:t>en matière d</w:t>
      </w:r>
      <w:r w:rsidR="00B17AE1" w:rsidRPr="00F60A3D">
        <w:rPr>
          <w:lang w:val="fr-FR"/>
        </w:rPr>
        <w:t>’</w:t>
      </w:r>
      <w:r w:rsidR="007A2C0E" w:rsidRPr="00F60A3D">
        <w:rPr>
          <w:lang w:val="fr-FR"/>
        </w:rPr>
        <w:t>éducation et de formation aux droits de l</w:t>
      </w:r>
      <w:r w:rsidR="00B17AE1" w:rsidRPr="00F60A3D">
        <w:rPr>
          <w:lang w:val="fr-FR"/>
        </w:rPr>
        <w:t>’</w:t>
      </w:r>
      <w:r w:rsidR="007A2C0E" w:rsidRPr="00F60A3D">
        <w:rPr>
          <w:lang w:val="fr-FR"/>
        </w:rPr>
        <w:t xml:space="preserve">homme </w:t>
      </w:r>
      <w:r w:rsidR="00F93D4F" w:rsidRPr="00F60A3D">
        <w:rPr>
          <w:lang w:val="fr-FR"/>
        </w:rPr>
        <w:t>ont été mises en œuvre au fil des ans à t</w:t>
      </w:r>
      <w:r w:rsidR="00CC3575" w:rsidRPr="00F60A3D">
        <w:rPr>
          <w:lang w:val="fr-FR"/>
        </w:rPr>
        <w:t>ous les niveaux, comme en témoigne</w:t>
      </w:r>
      <w:r w:rsidR="00F93D4F" w:rsidRPr="00F60A3D">
        <w:rPr>
          <w:lang w:val="fr-FR"/>
        </w:rPr>
        <w:t xml:space="preserve"> </w:t>
      </w:r>
      <w:r w:rsidR="00BD4674" w:rsidRPr="00F60A3D">
        <w:rPr>
          <w:lang w:val="fr-FR"/>
        </w:rPr>
        <w:t xml:space="preserve">le soutien </w:t>
      </w:r>
      <w:r w:rsidR="00F93D4F" w:rsidRPr="00F60A3D">
        <w:rPr>
          <w:lang w:val="fr-FR"/>
        </w:rPr>
        <w:t>acc</w:t>
      </w:r>
      <w:r w:rsidR="00BD4674" w:rsidRPr="00F60A3D">
        <w:rPr>
          <w:lang w:val="fr-FR"/>
        </w:rPr>
        <w:t>o</w:t>
      </w:r>
      <w:r w:rsidR="00F93D4F" w:rsidRPr="00F60A3D">
        <w:rPr>
          <w:lang w:val="fr-FR"/>
        </w:rPr>
        <w:t>rdé par l</w:t>
      </w:r>
      <w:r w:rsidR="00B17AE1" w:rsidRPr="00F60A3D">
        <w:rPr>
          <w:lang w:val="fr-FR"/>
        </w:rPr>
        <w:t>’</w:t>
      </w:r>
      <w:r w:rsidR="00BD4674" w:rsidRPr="00F60A3D">
        <w:rPr>
          <w:lang w:val="fr-FR"/>
        </w:rPr>
        <w:t>Italie à la Plateforme internati</w:t>
      </w:r>
      <w:r w:rsidR="00C22662" w:rsidRPr="00F60A3D">
        <w:rPr>
          <w:lang w:val="fr-FR"/>
        </w:rPr>
        <w:t>onale sur l</w:t>
      </w:r>
      <w:r w:rsidR="00B17AE1" w:rsidRPr="00F60A3D">
        <w:rPr>
          <w:lang w:val="fr-FR"/>
        </w:rPr>
        <w:t>’</w:t>
      </w:r>
      <w:r w:rsidR="00C22662" w:rsidRPr="00F60A3D">
        <w:rPr>
          <w:lang w:val="fr-FR"/>
        </w:rPr>
        <w:t>é</w:t>
      </w:r>
      <w:r w:rsidR="00F93D4F" w:rsidRPr="00F60A3D">
        <w:rPr>
          <w:lang w:val="fr-FR"/>
        </w:rPr>
        <w:t>ducation aux droits de l</w:t>
      </w:r>
      <w:r w:rsidR="00B17AE1" w:rsidRPr="00F60A3D">
        <w:rPr>
          <w:lang w:val="fr-FR"/>
        </w:rPr>
        <w:t>’</w:t>
      </w:r>
      <w:r w:rsidR="00F93D4F" w:rsidRPr="00F60A3D">
        <w:rPr>
          <w:lang w:val="fr-FR"/>
        </w:rPr>
        <w:t xml:space="preserve">homme </w:t>
      </w:r>
      <w:r w:rsidR="00BD4674" w:rsidRPr="00F60A3D">
        <w:rPr>
          <w:lang w:val="fr-FR"/>
        </w:rPr>
        <w:t>qui s</w:t>
      </w:r>
      <w:r w:rsidR="00B17AE1" w:rsidRPr="00F60A3D">
        <w:rPr>
          <w:lang w:val="fr-FR"/>
        </w:rPr>
        <w:t>’</w:t>
      </w:r>
      <w:r w:rsidR="00BD4674" w:rsidRPr="00F60A3D">
        <w:rPr>
          <w:lang w:val="fr-FR"/>
        </w:rPr>
        <w:t>est conclue par la Déclaration des Nations Unies sur l</w:t>
      </w:r>
      <w:r w:rsidR="00B17AE1" w:rsidRPr="00F60A3D">
        <w:rPr>
          <w:lang w:val="fr-FR"/>
        </w:rPr>
        <w:t>’</w:t>
      </w:r>
      <w:r w:rsidR="00BD4674" w:rsidRPr="00F60A3D">
        <w:rPr>
          <w:lang w:val="fr-FR"/>
        </w:rPr>
        <w:t>éducation et la formation aux droits de l</w:t>
      </w:r>
      <w:r w:rsidR="00B17AE1" w:rsidRPr="00F60A3D">
        <w:rPr>
          <w:lang w:val="fr-FR"/>
        </w:rPr>
        <w:t>’</w:t>
      </w:r>
      <w:r w:rsidR="00BD4674" w:rsidRPr="00F60A3D">
        <w:rPr>
          <w:lang w:val="fr-FR"/>
        </w:rPr>
        <w:t xml:space="preserve">homme </w:t>
      </w:r>
      <w:r w:rsidR="005063FC" w:rsidRPr="00F60A3D">
        <w:rPr>
          <w:lang w:val="fr-FR"/>
        </w:rPr>
        <w:t>(UN Doc.A/RES/66/137)</w:t>
      </w:r>
      <w:bookmarkStart w:id="34" w:name="_Toc133268784"/>
      <w:r w:rsidR="009372C7" w:rsidRPr="00F60A3D">
        <w:rPr>
          <w:lang w:val="fr-FR"/>
        </w:rPr>
        <w:t>,</w:t>
      </w:r>
      <w:r w:rsidR="005063FC" w:rsidRPr="00F60A3D">
        <w:rPr>
          <w:lang w:val="fr-FR"/>
        </w:rPr>
        <w:t xml:space="preserve"> </w:t>
      </w:r>
      <w:r w:rsidR="00BD4674" w:rsidRPr="00F60A3D">
        <w:rPr>
          <w:lang w:val="fr-FR"/>
        </w:rPr>
        <w:t>et toutes les initiatives ultérieures, dont la dernière a été adoptée en m</w:t>
      </w:r>
      <w:r w:rsidR="004431D3" w:rsidRPr="00F60A3D">
        <w:rPr>
          <w:lang w:val="fr-FR"/>
        </w:rPr>
        <w:t xml:space="preserve">ars 2016 lors de la session du </w:t>
      </w:r>
      <w:r w:rsidR="00BD4674" w:rsidRPr="00F60A3D">
        <w:rPr>
          <w:lang w:val="fr-FR"/>
        </w:rPr>
        <w:t>Conseil des droits de l</w:t>
      </w:r>
      <w:r w:rsidR="00B17AE1" w:rsidRPr="00F60A3D">
        <w:rPr>
          <w:lang w:val="fr-FR"/>
        </w:rPr>
        <w:t>’</w:t>
      </w:r>
      <w:r w:rsidR="00BD4674" w:rsidRPr="00F60A3D">
        <w:rPr>
          <w:lang w:val="fr-FR"/>
        </w:rPr>
        <w:t>homme</w:t>
      </w:r>
      <w:r w:rsidR="005063FC" w:rsidRPr="00F60A3D">
        <w:rPr>
          <w:lang w:val="fr-FR"/>
        </w:rPr>
        <w:t xml:space="preserve"> </w:t>
      </w:r>
      <w:r w:rsidR="00BD4674" w:rsidRPr="00F60A3D">
        <w:rPr>
          <w:lang w:val="fr-FR"/>
        </w:rPr>
        <w:t xml:space="preserve">des Nations Unies </w:t>
      </w:r>
      <w:r w:rsidR="0037034D" w:rsidRPr="00F60A3D">
        <w:rPr>
          <w:lang w:val="fr-FR"/>
        </w:rPr>
        <w:t>(HRC31)</w:t>
      </w:r>
      <w:r w:rsidR="00B114D8" w:rsidRPr="00F60A3D">
        <w:rPr>
          <w:rStyle w:val="FootnoteReference"/>
          <w:lang w:val="fr-FR"/>
        </w:rPr>
        <w:footnoteReference w:id="48"/>
      </w:r>
      <w:r w:rsidR="0037034D" w:rsidRPr="00F60A3D">
        <w:rPr>
          <w:lang w:val="fr-FR"/>
        </w:rPr>
        <w:t>.</w:t>
      </w:r>
    </w:p>
    <w:p w:rsidR="00E42AC6" w:rsidRPr="00F60A3D" w:rsidRDefault="00DD5FDA" w:rsidP="00B27AF5">
      <w:pPr>
        <w:pStyle w:val="SingleTxtG"/>
        <w:rPr>
          <w:lang w:val="fr-FR"/>
        </w:rPr>
      </w:pPr>
      <w:r w:rsidRPr="00F60A3D">
        <w:rPr>
          <w:lang w:val="fr-FR"/>
        </w:rPr>
        <w:t>235</w:t>
      </w:r>
      <w:r w:rsidR="00065CB2" w:rsidRPr="00F60A3D">
        <w:rPr>
          <w:lang w:val="fr-FR"/>
        </w:rPr>
        <w:t>.</w:t>
      </w:r>
      <w:r w:rsidR="00065CB2" w:rsidRPr="00F60A3D">
        <w:rPr>
          <w:lang w:val="fr-FR"/>
        </w:rPr>
        <w:tab/>
      </w:r>
      <w:r w:rsidR="00E42AC6" w:rsidRPr="00F60A3D">
        <w:rPr>
          <w:lang w:val="fr-FR"/>
        </w:rPr>
        <w:t>De manière plus spécifique, plusi</w:t>
      </w:r>
      <w:r w:rsidR="003722E6" w:rsidRPr="00F60A3D">
        <w:rPr>
          <w:lang w:val="fr-FR"/>
        </w:rPr>
        <w:t>eurs administrations, en particuli</w:t>
      </w:r>
      <w:r w:rsidR="00E42AC6" w:rsidRPr="00F60A3D">
        <w:rPr>
          <w:lang w:val="fr-FR"/>
        </w:rPr>
        <w:t>er les forces ar</w:t>
      </w:r>
      <w:r w:rsidR="007A2C0E" w:rsidRPr="00F60A3D">
        <w:rPr>
          <w:lang w:val="fr-FR"/>
        </w:rPr>
        <w:t>mées, la police nationale, les c</w:t>
      </w:r>
      <w:r w:rsidR="003722E6" w:rsidRPr="00F60A3D">
        <w:rPr>
          <w:lang w:val="fr-FR"/>
        </w:rPr>
        <w:t>arabiniers</w:t>
      </w:r>
      <w:r w:rsidR="00E42AC6" w:rsidRPr="00F60A3D">
        <w:rPr>
          <w:lang w:val="fr-FR"/>
        </w:rPr>
        <w:t xml:space="preserve">, la </w:t>
      </w:r>
      <w:r w:rsidR="009E2290" w:rsidRPr="00F60A3D">
        <w:rPr>
          <w:i/>
          <w:lang w:val="fr-FR"/>
        </w:rPr>
        <w:t xml:space="preserve">Guardia di Finanza </w:t>
      </w:r>
      <w:r w:rsidR="00E42AC6" w:rsidRPr="00F60A3D">
        <w:rPr>
          <w:lang w:val="fr-FR"/>
        </w:rPr>
        <w:t>et la p</w:t>
      </w:r>
      <w:r w:rsidR="003722E6" w:rsidRPr="00F60A3D">
        <w:rPr>
          <w:lang w:val="fr-FR"/>
        </w:rPr>
        <w:t>o</w:t>
      </w:r>
      <w:r w:rsidR="00E42AC6" w:rsidRPr="00F60A3D">
        <w:rPr>
          <w:lang w:val="fr-FR"/>
        </w:rPr>
        <w:t>lice pénitentiaire, prévoient une formation spécifique et/ou des services d</w:t>
      </w:r>
      <w:r w:rsidR="00B17AE1" w:rsidRPr="00F60A3D">
        <w:rPr>
          <w:lang w:val="fr-FR"/>
        </w:rPr>
        <w:t>’</w:t>
      </w:r>
      <w:r w:rsidR="00E42AC6" w:rsidRPr="00F60A3D">
        <w:rPr>
          <w:lang w:val="fr-FR"/>
        </w:rPr>
        <w:t>en</w:t>
      </w:r>
      <w:r w:rsidR="008F3558" w:rsidRPr="00F60A3D">
        <w:rPr>
          <w:lang w:val="fr-FR"/>
        </w:rPr>
        <w:t>quête</w:t>
      </w:r>
      <w:r w:rsidR="003722E6" w:rsidRPr="00F60A3D">
        <w:rPr>
          <w:lang w:val="fr-FR"/>
        </w:rPr>
        <w:t xml:space="preserve"> sur la violence exercée</w:t>
      </w:r>
      <w:r w:rsidR="00E42AC6" w:rsidRPr="00F60A3D">
        <w:rPr>
          <w:lang w:val="fr-FR"/>
        </w:rPr>
        <w:t xml:space="preserve"> contre les femmes et les enfants. </w:t>
      </w:r>
    </w:p>
    <w:p w:rsidR="00E42AC6" w:rsidRPr="00F60A3D" w:rsidRDefault="00570416" w:rsidP="00570416">
      <w:pPr>
        <w:pStyle w:val="SingleTxtG"/>
        <w:rPr>
          <w:lang w:val="fr-FR"/>
        </w:rPr>
      </w:pPr>
      <w:r w:rsidRPr="00F60A3D">
        <w:rPr>
          <w:lang w:val="fr-FR"/>
        </w:rPr>
        <w:t>236.</w:t>
      </w:r>
      <w:r w:rsidRPr="00F60A3D">
        <w:rPr>
          <w:lang w:val="fr-FR"/>
        </w:rPr>
        <w:tab/>
      </w:r>
      <w:r w:rsidR="00E42AC6" w:rsidRPr="00F60A3D">
        <w:rPr>
          <w:lang w:val="fr-FR"/>
        </w:rPr>
        <w:t xml:space="preserve">Par exemple, </w:t>
      </w:r>
      <w:r w:rsidR="00F47740" w:rsidRPr="00F60A3D">
        <w:rPr>
          <w:lang w:val="fr-FR"/>
        </w:rPr>
        <w:t>le Ministère d</w:t>
      </w:r>
      <w:r w:rsidR="00E42AC6" w:rsidRPr="00F60A3D">
        <w:rPr>
          <w:lang w:val="fr-FR"/>
        </w:rPr>
        <w:t>e</w:t>
      </w:r>
      <w:r w:rsidR="00F47740" w:rsidRPr="00F60A3D">
        <w:rPr>
          <w:lang w:val="fr-FR"/>
        </w:rPr>
        <w:t xml:space="preserve"> </w:t>
      </w:r>
      <w:r w:rsidR="00C47B25" w:rsidRPr="00F60A3D">
        <w:rPr>
          <w:lang w:val="fr-FR"/>
        </w:rPr>
        <w:t>la justice</w:t>
      </w:r>
      <w:r w:rsidR="00D26282" w:rsidRPr="00F60A3D">
        <w:rPr>
          <w:lang w:val="fr-FR"/>
        </w:rPr>
        <w:t xml:space="preserve"> – </w:t>
      </w:r>
      <w:r w:rsidR="000C33A6" w:rsidRPr="00F60A3D">
        <w:rPr>
          <w:lang w:val="fr-FR"/>
        </w:rPr>
        <w:t>l</w:t>
      </w:r>
      <w:r w:rsidR="00B17AE1" w:rsidRPr="00F60A3D">
        <w:rPr>
          <w:lang w:val="fr-FR"/>
        </w:rPr>
        <w:t>’</w:t>
      </w:r>
      <w:r w:rsidR="000C33A6" w:rsidRPr="00F60A3D">
        <w:rPr>
          <w:lang w:val="fr-FR"/>
        </w:rPr>
        <w:t>A</w:t>
      </w:r>
      <w:r w:rsidR="00E42AC6" w:rsidRPr="00F60A3D">
        <w:rPr>
          <w:lang w:val="fr-FR"/>
        </w:rPr>
        <w:t>dministration péni</w:t>
      </w:r>
      <w:r w:rsidR="00C47B25" w:rsidRPr="00F60A3D">
        <w:rPr>
          <w:lang w:val="fr-FR"/>
        </w:rPr>
        <w:t>tentiaire</w:t>
      </w:r>
      <w:r w:rsidR="000F3D3D" w:rsidRPr="00F60A3D">
        <w:rPr>
          <w:lang w:val="fr-FR"/>
        </w:rPr>
        <w:t>,</w:t>
      </w:r>
      <w:r w:rsidR="00C47B25" w:rsidRPr="00F60A3D">
        <w:rPr>
          <w:lang w:val="fr-FR"/>
        </w:rPr>
        <w:t xml:space="preserve"> ont</w:t>
      </w:r>
      <w:r w:rsidR="00E42AC6" w:rsidRPr="00F60A3D">
        <w:rPr>
          <w:lang w:val="fr-FR"/>
        </w:rPr>
        <w:t xml:space="preserve"> signé, notamment</w:t>
      </w:r>
      <w:r w:rsidR="001913B9" w:rsidRPr="00F60A3D">
        <w:rPr>
          <w:lang w:val="fr-FR"/>
        </w:rPr>
        <w:t>,</w:t>
      </w:r>
      <w:r w:rsidR="00E42AC6" w:rsidRPr="00F60A3D">
        <w:rPr>
          <w:lang w:val="fr-FR"/>
        </w:rPr>
        <w:t xml:space="preserve"> u</w:t>
      </w:r>
      <w:r w:rsidR="00F47740" w:rsidRPr="00F60A3D">
        <w:rPr>
          <w:lang w:val="fr-FR"/>
        </w:rPr>
        <w:t>n</w:t>
      </w:r>
      <w:r w:rsidR="00E42AC6" w:rsidRPr="00F60A3D">
        <w:rPr>
          <w:lang w:val="fr-FR"/>
        </w:rPr>
        <w:t xml:space="preserve"> </w:t>
      </w:r>
      <w:r w:rsidR="00F47740" w:rsidRPr="00F60A3D">
        <w:rPr>
          <w:lang w:val="fr-FR"/>
        </w:rPr>
        <w:t>mé</w:t>
      </w:r>
      <w:r w:rsidR="00E42AC6" w:rsidRPr="00F60A3D">
        <w:rPr>
          <w:lang w:val="fr-FR"/>
        </w:rPr>
        <w:t>morandum d</w:t>
      </w:r>
      <w:r w:rsidR="00B17AE1" w:rsidRPr="00F60A3D">
        <w:rPr>
          <w:lang w:val="fr-FR"/>
        </w:rPr>
        <w:t>’</w:t>
      </w:r>
      <w:r w:rsidR="00E42AC6" w:rsidRPr="00F60A3D">
        <w:rPr>
          <w:lang w:val="fr-FR"/>
        </w:rPr>
        <w:t>acco</w:t>
      </w:r>
      <w:r w:rsidR="00F47740" w:rsidRPr="00F60A3D">
        <w:rPr>
          <w:lang w:val="fr-FR"/>
        </w:rPr>
        <w:t>r</w:t>
      </w:r>
      <w:r w:rsidR="00E42AC6" w:rsidRPr="00F60A3D">
        <w:rPr>
          <w:lang w:val="fr-FR"/>
        </w:rPr>
        <w:t xml:space="preserve">d avec le Médiateur </w:t>
      </w:r>
      <w:r w:rsidR="003D21C4" w:rsidRPr="00F60A3D">
        <w:rPr>
          <w:lang w:val="fr-FR"/>
        </w:rPr>
        <w:t>national des droits de l</w:t>
      </w:r>
      <w:r w:rsidR="00B17AE1" w:rsidRPr="00F60A3D">
        <w:rPr>
          <w:lang w:val="fr-FR"/>
        </w:rPr>
        <w:t>’</w:t>
      </w:r>
      <w:r w:rsidR="003D21C4" w:rsidRPr="00F60A3D">
        <w:rPr>
          <w:lang w:val="fr-FR"/>
        </w:rPr>
        <w:t>enfant</w:t>
      </w:r>
      <w:r w:rsidR="00E42AC6" w:rsidRPr="00F60A3D">
        <w:rPr>
          <w:lang w:val="fr-FR"/>
        </w:rPr>
        <w:t xml:space="preserve">, en mars 2014. </w:t>
      </w:r>
    </w:p>
    <w:p w:rsidR="00F47740" w:rsidRPr="00F60A3D" w:rsidRDefault="00DD5FDA" w:rsidP="00B27AF5">
      <w:pPr>
        <w:pStyle w:val="SingleTxtG"/>
        <w:rPr>
          <w:lang w:val="fr-FR"/>
        </w:rPr>
      </w:pPr>
      <w:r w:rsidRPr="00F60A3D">
        <w:rPr>
          <w:lang w:val="fr-FR"/>
        </w:rPr>
        <w:t>237</w:t>
      </w:r>
      <w:r w:rsidR="00195E41" w:rsidRPr="00F60A3D">
        <w:rPr>
          <w:lang w:val="fr-FR"/>
        </w:rPr>
        <w:t>.</w:t>
      </w:r>
      <w:r w:rsidR="00195E41" w:rsidRPr="00F60A3D">
        <w:rPr>
          <w:lang w:val="fr-FR"/>
        </w:rPr>
        <w:tab/>
        <w:t>L</w:t>
      </w:r>
      <w:r w:rsidR="00B17AE1" w:rsidRPr="00F60A3D">
        <w:rPr>
          <w:lang w:val="fr-FR"/>
        </w:rPr>
        <w:t>’</w:t>
      </w:r>
      <w:r w:rsidR="00F47740" w:rsidRPr="00F60A3D">
        <w:rPr>
          <w:lang w:val="fr-FR"/>
        </w:rPr>
        <w:t>École du Conseil supérieur de la magistrature prévoit des cours ad hoc</w:t>
      </w:r>
      <w:r w:rsidR="00195E41" w:rsidRPr="00F60A3D">
        <w:rPr>
          <w:lang w:val="fr-FR"/>
        </w:rPr>
        <w:t xml:space="preserve"> relatifs aux programmes de remise à niveau destinés au corps judiciaire</w:t>
      </w:r>
      <w:r w:rsidR="00362710" w:rsidRPr="00F60A3D">
        <w:rPr>
          <w:lang w:val="fr-FR"/>
        </w:rPr>
        <w:t>. O</w:t>
      </w:r>
      <w:r w:rsidR="00F47740" w:rsidRPr="00F60A3D">
        <w:rPr>
          <w:lang w:val="fr-FR"/>
        </w:rPr>
        <w:t>utre</w:t>
      </w:r>
      <w:r w:rsidR="00362710" w:rsidRPr="00F60A3D">
        <w:rPr>
          <w:lang w:val="fr-FR"/>
        </w:rPr>
        <w:t xml:space="preserve"> les cours</w:t>
      </w:r>
      <w:r w:rsidR="00F47740" w:rsidRPr="00F60A3D">
        <w:rPr>
          <w:lang w:val="fr-FR"/>
        </w:rPr>
        <w:t>, depuis juin 2013, elle met particulièrement l</w:t>
      </w:r>
      <w:r w:rsidR="00B17AE1" w:rsidRPr="00F60A3D">
        <w:rPr>
          <w:lang w:val="fr-FR"/>
        </w:rPr>
        <w:t>’</w:t>
      </w:r>
      <w:r w:rsidR="00F47740" w:rsidRPr="00F60A3D">
        <w:rPr>
          <w:lang w:val="fr-FR"/>
        </w:rPr>
        <w:t>accent sur l</w:t>
      </w:r>
      <w:r w:rsidR="00B17AE1" w:rsidRPr="00F60A3D">
        <w:rPr>
          <w:lang w:val="fr-FR"/>
        </w:rPr>
        <w:t>’</w:t>
      </w:r>
      <w:r w:rsidR="00F47740" w:rsidRPr="00F60A3D">
        <w:rPr>
          <w:lang w:val="fr-FR"/>
        </w:rPr>
        <w:t>évaluation de la preuve et les protocoles d</w:t>
      </w:r>
      <w:r w:rsidR="00B17AE1" w:rsidRPr="00F60A3D">
        <w:rPr>
          <w:lang w:val="fr-FR"/>
        </w:rPr>
        <w:t>’</w:t>
      </w:r>
      <w:r w:rsidR="00F47740" w:rsidRPr="00F60A3D">
        <w:rPr>
          <w:lang w:val="fr-FR"/>
        </w:rPr>
        <w:t>enquête pour les infractions commises contre les groupes vulnérables, en s</w:t>
      </w:r>
      <w:r w:rsidR="00B17AE1" w:rsidRPr="00F60A3D">
        <w:rPr>
          <w:lang w:val="fr-FR"/>
        </w:rPr>
        <w:t>’</w:t>
      </w:r>
      <w:r w:rsidR="00F47740" w:rsidRPr="00F60A3D">
        <w:rPr>
          <w:lang w:val="fr-FR"/>
        </w:rPr>
        <w:t xml:space="preserve">attachant en particulier au harcèlement. </w:t>
      </w:r>
      <w:r w:rsidR="00E62000" w:rsidRPr="00F60A3D">
        <w:rPr>
          <w:lang w:val="fr-FR"/>
        </w:rPr>
        <w:t>La large participation des juges permet à ces programmes de suivr</w:t>
      </w:r>
      <w:r w:rsidR="00195E41" w:rsidRPr="00F60A3D">
        <w:rPr>
          <w:lang w:val="fr-FR"/>
        </w:rPr>
        <w:t>e les évolutions</w:t>
      </w:r>
      <w:r w:rsidR="00731982" w:rsidRPr="00F60A3D">
        <w:rPr>
          <w:lang w:val="fr-FR"/>
        </w:rPr>
        <w:t xml:space="preserve"> </w:t>
      </w:r>
      <w:r w:rsidR="003722E6" w:rsidRPr="00F60A3D">
        <w:rPr>
          <w:lang w:val="fr-FR"/>
        </w:rPr>
        <w:t>actuel</w:t>
      </w:r>
      <w:r w:rsidR="00195E41" w:rsidRPr="00F60A3D">
        <w:rPr>
          <w:lang w:val="fr-FR"/>
        </w:rPr>
        <w:t>le</w:t>
      </w:r>
      <w:r w:rsidR="003722E6" w:rsidRPr="00F60A3D">
        <w:rPr>
          <w:lang w:val="fr-FR"/>
        </w:rPr>
        <w:t>s (outre les cours centré</w:t>
      </w:r>
      <w:r w:rsidR="00E62000" w:rsidRPr="00F60A3D">
        <w:rPr>
          <w:lang w:val="fr-FR"/>
        </w:rPr>
        <w:t>s sur le droit international des droits de l</w:t>
      </w:r>
      <w:r w:rsidR="00B17AE1" w:rsidRPr="00F60A3D">
        <w:rPr>
          <w:lang w:val="fr-FR"/>
        </w:rPr>
        <w:t>’</w:t>
      </w:r>
      <w:r w:rsidR="00E62000" w:rsidRPr="00F60A3D">
        <w:rPr>
          <w:lang w:val="fr-FR"/>
        </w:rPr>
        <w:t xml:space="preserve">homme). </w:t>
      </w:r>
    </w:p>
    <w:p w:rsidR="00B17AE1" w:rsidRPr="00F60A3D" w:rsidRDefault="00DD5FDA" w:rsidP="00B27AF5">
      <w:pPr>
        <w:pStyle w:val="SingleTxtG"/>
        <w:rPr>
          <w:lang w:val="fr-FR"/>
        </w:rPr>
      </w:pPr>
      <w:r w:rsidRPr="00F60A3D">
        <w:rPr>
          <w:lang w:val="fr-FR"/>
        </w:rPr>
        <w:t>238</w:t>
      </w:r>
      <w:r w:rsidR="00E62000" w:rsidRPr="00F60A3D">
        <w:rPr>
          <w:lang w:val="fr-FR"/>
        </w:rPr>
        <w:t>.</w:t>
      </w:r>
      <w:r w:rsidR="00E62000" w:rsidRPr="00F60A3D">
        <w:rPr>
          <w:lang w:val="fr-FR"/>
        </w:rPr>
        <w:tab/>
        <w:t>La formation destinée aux groupes spécialisés et la coordination des activités au sein des services judiciaires, en particulier des parquets, sont conçues pour faire en sorte que les interventions judiciaires relatives aux cas de violence sexiste soient le</w:t>
      </w:r>
      <w:r w:rsidR="00570416" w:rsidRPr="00F60A3D">
        <w:rPr>
          <w:lang w:val="fr-FR"/>
        </w:rPr>
        <w:t>s</w:t>
      </w:r>
      <w:r w:rsidR="00E62000" w:rsidRPr="00F60A3D">
        <w:rPr>
          <w:lang w:val="fr-FR"/>
        </w:rPr>
        <w:t xml:space="preserve"> plus qu</w:t>
      </w:r>
      <w:r w:rsidR="003722E6" w:rsidRPr="00F60A3D">
        <w:rPr>
          <w:lang w:val="fr-FR"/>
        </w:rPr>
        <w:t>a</w:t>
      </w:r>
      <w:r w:rsidR="001913B9" w:rsidRPr="00F60A3D">
        <w:rPr>
          <w:lang w:val="fr-FR"/>
        </w:rPr>
        <w:t>lifiées possible</w:t>
      </w:r>
      <w:r w:rsidR="00570416" w:rsidRPr="00F60A3D">
        <w:rPr>
          <w:lang w:val="fr-FR"/>
        </w:rPr>
        <w:t>s</w:t>
      </w:r>
      <w:r w:rsidR="001913B9" w:rsidRPr="00F60A3D">
        <w:rPr>
          <w:lang w:val="fr-FR"/>
        </w:rPr>
        <w:t xml:space="preserve">. De même, </w:t>
      </w:r>
      <w:r w:rsidR="00E62000" w:rsidRPr="00F60A3D">
        <w:rPr>
          <w:lang w:val="fr-FR"/>
        </w:rPr>
        <w:t xml:space="preserve">la formation </w:t>
      </w:r>
      <w:r w:rsidR="004431D3" w:rsidRPr="00F60A3D">
        <w:rPr>
          <w:lang w:val="fr-FR"/>
        </w:rPr>
        <w:t xml:space="preserve">portant </w:t>
      </w:r>
      <w:r w:rsidR="00E62000" w:rsidRPr="00F60A3D">
        <w:rPr>
          <w:lang w:val="fr-FR"/>
        </w:rPr>
        <w:t xml:space="preserve">sur les </w:t>
      </w:r>
      <w:r w:rsidR="00B17AE1" w:rsidRPr="00F60A3D">
        <w:rPr>
          <w:lang w:val="fr-FR"/>
        </w:rPr>
        <w:t>«</w:t>
      </w:r>
      <w:r w:rsidR="00E62000" w:rsidRPr="00F60A3D">
        <w:rPr>
          <w:lang w:val="fr-FR"/>
        </w:rPr>
        <w:t>groupes vulnérables</w:t>
      </w:r>
      <w:r w:rsidR="00B17AE1" w:rsidRPr="00F60A3D">
        <w:rPr>
          <w:lang w:val="fr-FR"/>
        </w:rPr>
        <w:t>»</w:t>
      </w:r>
      <w:r w:rsidR="00E62000" w:rsidRPr="00F60A3D">
        <w:rPr>
          <w:lang w:val="fr-FR"/>
        </w:rPr>
        <w:t xml:space="preserve"> </w:t>
      </w:r>
      <w:r w:rsidR="00DF014B" w:rsidRPr="00F60A3D">
        <w:rPr>
          <w:lang w:val="fr-FR"/>
        </w:rPr>
        <w:t>permet un échange permanent d</w:t>
      </w:r>
      <w:r w:rsidR="00B17AE1" w:rsidRPr="00F60A3D">
        <w:rPr>
          <w:lang w:val="fr-FR"/>
        </w:rPr>
        <w:t>’</w:t>
      </w:r>
      <w:r w:rsidR="00DF014B" w:rsidRPr="00F60A3D">
        <w:rPr>
          <w:lang w:val="fr-FR"/>
        </w:rPr>
        <w:t>information</w:t>
      </w:r>
      <w:r w:rsidR="00206AB2" w:rsidRPr="00F60A3D">
        <w:rPr>
          <w:lang w:val="fr-FR"/>
        </w:rPr>
        <w:t>s</w:t>
      </w:r>
      <w:r w:rsidR="00DF014B" w:rsidRPr="00F60A3D">
        <w:rPr>
          <w:lang w:val="fr-FR"/>
        </w:rPr>
        <w:t xml:space="preserve"> sur les infractions liées à la violence. Il existe aussi un projet de</w:t>
      </w:r>
      <w:r w:rsidR="003722E6" w:rsidRPr="00F60A3D">
        <w:rPr>
          <w:lang w:val="fr-FR"/>
        </w:rPr>
        <w:t xml:space="preserve"> mémorandum</w:t>
      </w:r>
      <w:r w:rsidR="00362710" w:rsidRPr="00F60A3D">
        <w:rPr>
          <w:lang w:val="fr-FR"/>
        </w:rPr>
        <w:t>s</w:t>
      </w:r>
      <w:r w:rsidR="003722E6" w:rsidRPr="00F60A3D">
        <w:rPr>
          <w:lang w:val="fr-FR"/>
        </w:rPr>
        <w:t xml:space="preserve"> d</w:t>
      </w:r>
      <w:r w:rsidR="00B17AE1" w:rsidRPr="00F60A3D">
        <w:rPr>
          <w:lang w:val="fr-FR"/>
        </w:rPr>
        <w:t>’</w:t>
      </w:r>
      <w:r w:rsidR="003722E6" w:rsidRPr="00F60A3D">
        <w:rPr>
          <w:lang w:val="fr-FR"/>
        </w:rPr>
        <w:t>accord</w:t>
      </w:r>
      <w:r w:rsidR="00362710" w:rsidRPr="00F60A3D">
        <w:rPr>
          <w:lang w:val="fr-FR"/>
        </w:rPr>
        <w:t>s</w:t>
      </w:r>
      <w:r w:rsidR="003722E6" w:rsidRPr="00F60A3D">
        <w:rPr>
          <w:lang w:val="fr-FR"/>
        </w:rPr>
        <w:t xml:space="preserve"> visant à a</w:t>
      </w:r>
      <w:r w:rsidR="00DF014B" w:rsidRPr="00F60A3D">
        <w:rPr>
          <w:lang w:val="fr-FR"/>
        </w:rPr>
        <w:t>m</w:t>
      </w:r>
      <w:r w:rsidR="003722E6" w:rsidRPr="00F60A3D">
        <w:rPr>
          <w:lang w:val="fr-FR"/>
        </w:rPr>
        <w:t>é</w:t>
      </w:r>
      <w:r w:rsidR="00DF014B" w:rsidRPr="00F60A3D">
        <w:rPr>
          <w:lang w:val="fr-FR"/>
        </w:rPr>
        <w:t>liorer le réseau et les contacts existant entre les organes judiciaires et les établissements de soin (par exemple, services sociaux, ONG, centres de soins, notamment centres de lutte contre la vi</w:t>
      </w:r>
      <w:r w:rsidR="003722E6" w:rsidRPr="00F60A3D">
        <w:rPr>
          <w:lang w:val="fr-FR"/>
        </w:rPr>
        <w:t>olence</w:t>
      </w:r>
      <w:r w:rsidR="001913B9" w:rsidRPr="00F60A3D">
        <w:rPr>
          <w:lang w:val="fr-FR"/>
        </w:rPr>
        <w:t>,</w:t>
      </w:r>
      <w:r w:rsidR="003722E6" w:rsidRPr="00F60A3D">
        <w:rPr>
          <w:lang w:val="fr-FR"/>
        </w:rPr>
        <w:t xml:space="preserve"> et hôpitaux). Ces </w:t>
      </w:r>
      <w:r w:rsidR="003722E6" w:rsidRPr="00F60A3D">
        <w:rPr>
          <w:lang w:val="fr-FR"/>
        </w:rPr>
        <w:lastRenderedPageBreak/>
        <w:t>mé</w:t>
      </w:r>
      <w:r w:rsidR="00DF014B" w:rsidRPr="00F60A3D">
        <w:rPr>
          <w:lang w:val="fr-FR"/>
        </w:rPr>
        <w:t>morandums d</w:t>
      </w:r>
      <w:r w:rsidR="00B17AE1" w:rsidRPr="00F60A3D">
        <w:rPr>
          <w:lang w:val="fr-FR"/>
        </w:rPr>
        <w:t>’</w:t>
      </w:r>
      <w:r w:rsidR="00DF014B" w:rsidRPr="00F60A3D">
        <w:rPr>
          <w:lang w:val="fr-FR"/>
        </w:rPr>
        <w:t>accords – dans le cadre limité de ce type d</w:t>
      </w:r>
      <w:r w:rsidR="00B17AE1" w:rsidRPr="00F60A3D">
        <w:rPr>
          <w:lang w:val="fr-FR"/>
        </w:rPr>
        <w:t>’</w:t>
      </w:r>
      <w:r w:rsidR="00DF014B" w:rsidRPr="00F60A3D">
        <w:rPr>
          <w:lang w:val="fr-FR"/>
        </w:rPr>
        <w:t>accord</w:t>
      </w:r>
      <w:r w:rsidR="00362710" w:rsidRPr="00F60A3D">
        <w:rPr>
          <w:lang w:val="fr-FR"/>
        </w:rPr>
        <w:t>s</w:t>
      </w:r>
      <w:r w:rsidR="00DF014B" w:rsidRPr="00F60A3D">
        <w:rPr>
          <w:lang w:val="fr-FR"/>
        </w:rPr>
        <w:t xml:space="preserve"> – sont d</w:t>
      </w:r>
      <w:r w:rsidR="00B17AE1" w:rsidRPr="00F60A3D">
        <w:rPr>
          <w:lang w:val="fr-FR"/>
        </w:rPr>
        <w:t>’</w:t>
      </w:r>
      <w:r w:rsidR="001913B9" w:rsidRPr="00F60A3D">
        <w:rPr>
          <w:lang w:val="fr-FR"/>
        </w:rPr>
        <w:t>une grande utilité, en particulier</w:t>
      </w:r>
      <w:r w:rsidR="0095584A" w:rsidRPr="00F60A3D">
        <w:rPr>
          <w:lang w:val="fr-FR"/>
        </w:rPr>
        <w:t xml:space="preserve"> pour la formation des </w:t>
      </w:r>
      <w:r w:rsidR="00DF014B" w:rsidRPr="00F60A3D">
        <w:rPr>
          <w:lang w:val="fr-FR"/>
        </w:rPr>
        <w:t>intervenants</w:t>
      </w:r>
      <w:r w:rsidR="003722E6" w:rsidRPr="00F60A3D">
        <w:rPr>
          <w:lang w:val="fr-FR"/>
        </w:rPr>
        <w:t>,</w:t>
      </w:r>
      <w:r w:rsidR="00DF014B" w:rsidRPr="00F60A3D">
        <w:rPr>
          <w:lang w:val="fr-FR"/>
        </w:rPr>
        <w:t xml:space="preserve"> car ils offrent </w:t>
      </w:r>
      <w:r w:rsidR="005E68CA" w:rsidRPr="00F60A3D">
        <w:rPr>
          <w:lang w:val="fr-FR"/>
        </w:rPr>
        <w:t>une opportunité importante de débat</w:t>
      </w:r>
      <w:r w:rsidR="001913B9" w:rsidRPr="00F60A3D">
        <w:rPr>
          <w:lang w:val="fr-FR"/>
        </w:rPr>
        <w:t>tre</w:t>
      </w:r>
      <w:r w:rsidR="005E68CA" w:rsidRPr="00F60A3D">
        <w:rPr>
          <w:lang w:val="fr-FR"/>
        </w:rPr>
        <w:t xml:space="preserve"> de questions clé</w:t>
      </w:r>
      <w:r w:rsidR="00647EA4" w:rsidRPr="00F60A3D">
        <w:rPr>
          <w:lang w:val="fr-FR"/>
        </w:rPr>
        <w:t>s et, de manière globale, d</w:t>
      </w:r>
      <w:r w:rsidR="00B17AE1" w:rsidRPr="00F60A3D">
        <w:rPr>
          <w:lang w:val="fr-FR"/>
        </w:rPr>
        <w:t>’</w:t>
      </w:r>
      <w:r w:rsidR="005E68CA" w:rsidRPr="00F60A3D">
        <w:rPr>
          <w:lang w:val="fr-FR"/>
        </w:rPr>
        <w:t>analyse</w:t>
      </w:r>
      <w:r w:rsidR="001913B9" w:rsidRPr="00F60A3D">
        <w:rPr>
          <w:lang w:val="fr-FR"/>
        </w:rPr>
        <w:t>r</w:t>
      </w:r>
      <w:r w:rsidR="005E68CA" w:rsidRPr="00F60A3D">
        <w:rPr>
          <w:lang w:val="fr-FR"/>
        </w:rPr>
        <w:t xml:space="preserve"> de</w:t>
      </w:r>
      <w:r w:rsidR="001913B9" w:rsidRPr="00F60A3D">
        <w:rPr>
          <w:lang w:val="fr-FR"/>
        </w:rPr>
        <w:t>s</w:t>
      </w:r>
      <w:r w:rsidR="005E68CA" w:rsidRPr="00F60A3D">
        <w:rPr>
          <w:lang w:val="fr-FR"/>
        </w:rPr>
        <w:t xml:space="preserve"> </w:t>
      </w:r>
      <w:r w:rsidR="00892CE8" w:rsidRPr="00F60A3D">
        <w:rPr>
          <w:lang w:val="fr-FR"/>
        </w:rPr>
        <w:t xml:space="preserve">solutions concrètes </w:t>
      </w:r>
      <w:r w:rsidR="005E68CA" w:rsidRPr="00F60A3D">
        <w:rPr>
          <w:lang w:val="fr-FR"/>
        </w:rPr>
        <w:t xml:space="preserve">contre la violence sexiste. </w:t>
      </w:r>
    </w:p>
    <w:p w:rsidR="005063FC" w:rsidRPr="00F60A3D" w:rsidRDefault="00DD5FDA" w:rsidP="007B5559">
      <w:pPr>
        <w:pStyle w:val="SingleTxtG"/>
        <w:rPr>
          <w:lang w:val="fr-FR"/>
        </w:rPr>
      </w:pPr>
      <w:r w:rsidRPr="00F60A3D">
        <w:rPr>
          <w:lang w:val="fr-FR"/>
        </w:rPr>
        <w:t>239</w:t>
      </w:r>
      <w:r w:rsidR="00B23F13" w:rsidRPr="00F60A3D">
        <w:rPr>
          <w:lang w:val="fr-FR"/>
        </w:rPr>
        <w:t>.</w:t>
      </w:r>
      <w:r w:rsidR="00B23F13" w:rsidRPr="00F60A3D">
        <w:rPr>
          <w:lang w:val="fr-FR"/>
        </w:rPr>
        <w:tab/>
        <w:t>Plus précisé</w:t>
      </w:r>
      <w:r w:rsidR="003E479A" w:rsidRPr="00F60A3D">
        <w:rPr>
          <w:lang w:val="fr-FR"/>
        </w:rPr>
        <w:t>ment, cela fait longtemps que la police d</w:t>
      </w:r>
      <w:r w:rsidR="00B17AE1" w:rsidRPr="00F60A3D">
        <w:rPr>
          <w:lang w:val="fr-FR"/>
        </w:rPr>
        <w:t>’</w:t>
      </w:r>
      <w:r w:rsidR="003E479A" w:rsidRPr="00F60A3D">
        <w:rPr>
          <w:lang w:val="fr-FR"/>
        </w:rPr>
        <w:t>État intervient dans les cas de violence faite aux femmes, par l</w:t>
      </w:r>
      <w:r w:rsidR="00B17AE1" w:rsidRPr="00F60A3D">
        <w:rPr>
          <w:lang w:val="fr-FR"/>
        </w:rPr>
        <w:t>’</w:t>
      </w:r>
      <w:r w:rsidR="003E479A" w:rsidRPr="00F60A3D">
        <w:rPr>
          <w:lang w:val="fr-FR"/>
        </w:rPr>
        <w:t>intermédiaire d</w:t>
      </w:r>
      <w:r w:rsidR="00B17AE1" w:rsidRPr="00F60A3D">
        <w:rPr>
          <w:lang w:val="fr-FR"/>
        </w:rPr>
        <w:t>’</w:t>
      </w:r>
      <w:r w:rsidR="003E479A" w:rsidRPr="00F60A3D">
        <w:rPr>
          <w:lang w:val="fr-FR"/>
        </w:rPr>
        <w:t>unités spéciales qui mènent des activités de prévention et de poursuite,</w:t>
      </w:r>
      <w:r w:rsidR="000E525F" w:rsidRPr="00F60A3D">
        <w:rPr>
          <w:lang w:val="fr-FR"/>
        </w:rPr>
        <w:t xml:space="preserve"> aux niveaux central et local. C</w:t>
      </w:r>
      <w:r w:rsidR="003E479A" w:rsidRPr="00F60A3D">
        <w:rPr>
          <w:lang w:val="fr-FR"/>
        </w:rPr>
        <w:t xml:space="preserve">es </w:t>
      </w:r>
      <w:r w:rsidR="00262BEE" w:rsidRPr="00F60A3D">
        <w:rPr>
          <w:lang w:val="fr-FR"/>
        </w:rPr>
        <w:t>unité</w:t>
      </w:r>
      <w:r w:rsidR="000E525F" w:rsidRPr="00F60A3D">
        <w:rPr>
          <w:lang w:val="fr-FR"/>
        </w:rPr>
        <w:t>s spéciales</w:t>
      </w:r>
      <w:r w:rsidR="003E479A" w:rsidRPr="00F60A3D">
        <w:rPr>
          <w:lang w:val="fr-FR"/>
        </w:rPr>
        <w:t xml:space="preserve"> </w:t>
      </w:r>
      <w:r w:rsidR="00262BEE" w:rsidRPr="00F60A3D">
        <w:rPr>
          <w:lang w:val="fr-FR"/>
        </w:rPr>
        <w:t>assiste</w:t>
      </w:r>
      <w:r w:rsidR="003E479A" w:rsidRPr="00F60A3D">
        <w:rPr>
          <w:lang w:val="fr-FR"/>
        </w:rPr>
        <w:t>nt à des cours de formation axés sur les victimes et sur les mei</w:t>
      </w:r>
      <w:r w:rsidR="006D4F7C" w:rsidRPr="00F60A3D">
        <w:rPr>
          <w:lang w:val="fr-FR"/>
        </w:rPr>
        <w:t>lleurs moyens d</w:t>
      </w:r>
      <w:r w:rsidR="00B17AE1" w:rsidRPr="00F60A3D">
        <w:rPr>
          <w:lang w:val="fr-FR"/>
        </w:rPr>
        <w:t>’</w:t>
      </w:r>
      <w:r w:rsidR="006D4F7C" w:rsidRPr="00F60A3D">
        <w:rPr>
          <w:lang w:val="fr-FR"/>
        </w:rPr>
        <w:t>empêcher les</w:t>
      </w:r>
      <w:r w:rsidR="003E479A" w:rsidRPr="00F60A3D">
        <w:rPr>
          <w:lang w:val="fr-FR"/>
        </w:rPr>
        <w:t xml:space="preserve"> actes de viol</w:t>
      </w:r>
      <w:r w:rsidR="006D4F7C" w:rsidRPr="00F60A3D">
        <w:rPr>
          <w:lang w:val="fr-FR"/>
        </w:rPr>
        <w:t>ence et leur récurrence</w:t>
      </w:r>
      <w:r w:rsidR="003E479A" w:rsidRPr="00F60A3D">
        <w:rPr>
          <w:lang w:val="fr-FR"/>
        </w:rPr>
        <w:t>. Il faut ainsi mentionner</w:t>
      </w:r>
      <w:r w:rsidR="00731982" w:rsidRPr="00F60A3D">
        <w:rPr>
          <w:lang w:val="fr-FR"/>
        </w:rPr>
        <w:t>:</w:t>
      </w:r>
      <w:r w:rsidR="003E479A" w:rsidRPr="00F60A3D">
        <w:rPr>
          <w:lang w:val="fr-FR"/>
        </w:rPr>
        <w:t xml:space="preserve"> la formation sur les </w:t>
      </w:r>
      <w:r w:rsidR="00731982" w:rsidRPr="00F60A3D">
        <w:rPr>
          <w:lang w:val="fr-FR"/>
        </w:rPr>
        <w:t>«</w:t>
      </w:r>
      <w:r w:rsidR="0037034D" w:rsidRPr="00F60A3D">
        <w:rPr>
          <w:lang w:val="fr-FR"/>
        </w:rPr>
        <w:t>techniques d</w:t>
      </w:r>
      <w:r w:rsidR="00B17AE1" w:rsidRPr="00F60A3D">
        <w:rPr>
          <w:lang w:val="fr-FR"/>
        </w:rPr>
        <w:t>’</w:t>
      </w:r>
      <w:r w:rsidR="0037034D" w:rsidRPr="00F60A3D">
        <w:rPr>
          <w:lang w:val="fr-FR"/>
        </w:rPr>
        <w:t>enquête</w:t>
      </w:r>
      <w:r w:rsidR="00731982" w:rsidRPr="00F60A3D">
        <w:rPr>
          <w:lang w:val="fr-FR"/>
        </w:rPr>
        <w:t>»</w:t>
      </w:r>
      <w:r w:rsidR="00206AB2" w:rsidRPr="00F60A3D">
        <w:rPr>
          <w:lang w:val="fr-FR"/>
        </w:rPr>
        <w:t xml:space="preserve"> destinée</w:t>
      </w:r>
      <w:r w:rsidR="003E479A" w:rsidRPr="00F60A3D">
        <w:rPr>
          <w:lang w:val="fr-FR"/>
        </w:rPr>
        <w:t xml:space="preserve"> aux </w:t>
      </w:r>
      <w:r w:rsidR="00262BEE" w:rsidRPr="00F60A3D">
        <w:rPr>
          <w:lang w:val="fr-FR"/>
        </w:rPr>
        <w:t>unité</w:t>
      </w:r>
      <w:r w:rsidR="003E479A" w:rsidRPr="00F60A3D">
        <w:rPr>
          <w:lang w:val="fr-FR"/>
        </w:rPr>
        <w:t>s d</w:t>
      </w:r>
      <w:r w:rsidR="00B17AE1" w:rsidRPr="00F60A3D">
        <w:rPr>
          <w:lang w:val="fr-FR"/>
        </w:rPr>
        <w:t>’</w:t>
      </w:r>
      <w:r w:rsidR="003E479A" w:rsidRPr="00F60A3D">
        <w:rPr>
          <w:lang w:val="fr-FR"/>
        </w:rPr>
        <w:t>enquête locales (en italien,</w:t>
      </w:r>
      <w:r w:rsidR="005063FC" w:rsidRPr="00F60A3D">
        <w:rPr>
          <w:lang w:val="fr-FR"/>
        </w:rPr>
        <w:t xml:space="preserve"> </w:t>
      </w:r>
      <w:r w:rsidR="005063FC" w:rsidRPr="00F60A3D">
        <w:rPr>
          <w:i/>
          <w:iCs/>
          <w:lang w:val="fr-FR"/>
        </w:rPr>
        <w:t>Squadre Mobili</w:t>
      </w:r>
      <w:r w:rsidR="005063FC" w:rsidRPr="00F60A3D">
        <w:rPr>
          <w:lang w:val="fr-FR"/>
        </w:rPr>
        <w:t>);</w:t>
      </w:r>
      <w:r w:rsidR="003E479A" w:rsidRPr="00F60A3D">
        <w:rPr>
          <w:lang w:val="fr-FR"/>
        </w:rPr>
        <w:t xml:space="preserve"> l</w:t>
      </w:r>
      <w:r w:rsidR="00B17AE1" w:rsidRPr="00F60A3D">
        <w:rPr>
          <w:lang w:val="fr-FR"/>
        </w:rPr>
        <w:t>’</w:t>
      </w:r>
      <w:r w:rsidR="003E479A" w:rsidRPr="00F60A3D">
        <w:rPr>
          <w:lang w:val="fr-FR"/>
        </w:rPr>
        <w:t xml:space="preserve">inclusion </w:t>
      </w:r>
      <w:r w:rsidR="000E525F" w:rsidRPr="00F60A3D">
        <w:rPr>
          <w:lang w:val="fr-FR"/>
        </w:rPr>
        <w:t xml:space="preserve">dans les cours annuels de perfectionnement </w:t>
      </w:r>
      <w:r w:rsidR="003E479A" w:rsidRPr="00F60A3D">
        <w:rPr>
          <w:lang w:val="fr-FR"/>
        </w:rPr>
        <w:t>de l</w:t>
      </w:r>
      <w:r w:rsidR="00262BEE" w:rsidRPr="00F60A3D">
        <w:rPr>
          <w:lang w:val="fr-FR"/>
        </w:rPr>
        <w:t>a violence à l</w:t>
      </w:r>
      <w:r w:rsidR="00B17AE1" w:rsidRPr="00F60A3D">
        <w:rPr>
          <w:lang w:val="fr-FR"/>
        </w:rPr>
        <w:t>’</w:t>
      </w:r>
      <w:r w:rsidR="00262BEE" w:rsidRPr="00F60A3D">
        <w:rPr>
          <w:lang w:val="fr-FR"/>
        </w:rPr>
        <w:t>égard des femmes</w:t>
      </w:r>
      <w:r w:rsidR="006D4F7C" w:rsidRPr="00F60A3D">
        <w:rPr>
          <w:lang w:val="fr-FR"/>
        </w:rPr>
        <w:t>, y compris</w:t>
      </w:r>
      <w:r w:rsidR="000E525F" w:rsidRPr="00F60A3D">
        <w:rPr>
          <w:lang w:val="fr-FR"/>
        </w:rPr>
        <w:t xml:space="preserve"> </w:t>
      </w:r>
      <w:r w:rsidR="00181FD3" w:rsidRPr="00F60A3D">
        <w:rPr>
          <w:lang w:val="fr-FR"/>
        </w:rPr>
        <w:t>la violence intrafamiliale</w:t>
      </w:r>
      <w:r w:rsidR="006D4F7C" w:rsidRPr="00F60A3D">
        <w:rPr>
          <w:lang w:val="fr-FR"/>
        </w:rPr>
        <w:t xml:space="preserve">, le harcèlement et </w:t>
      </w:r>
      <w:r w:rsidR="003E479A" w:rsidRPr="00F60A3D">
        <w:rPr>
          <w:lang w:val="fr-FR"/>
        </w:rPr>
        <w:t xml:space="preserve">la lutte contre les actes de discrimination; le </w:t>
      </w:r>
      <w:r w:rsidR="00262BEE" w:rsidRPr="00F60A3D">
        <w:rPr>
          <w:lang w:val="fr-FR"/>
        </w:rPr>
        <w:t>mé</w:t>
      </w:r>
      <w:r w:rsidR="0037034D" w:rsidRPr="00F60A3D">
        <w:rPr>
          <w:lang w:val="fr-FR"/>
        </w:rPr>
        <w:t>morandum d</w:t>
      </w:r>
      <w:r w:rsidR="00B17AE1" w:rsidRPr="00F60A3D">
        <w:rPr>
          <w:lang w:val="fr-FR"/>
        </w:rPr>
        <w:t>’</w:t>
      </w:r>
      <w:r w:rsidR="0037034D" w:rsidRPr="00F60A3D">
        <w:rPr>
          <w:lang w:val="fr-FR"/>
        </w:rPr>
        <w:t xml:space="preserve">accord sur la </w:t>
      </w:r>
      <w:r w:rsidR="00731982" w:rsidRPr="00F60A3D">
        <w:rPr>
          <w:lang w:val="fr-FR"/>
        </w:rPr>
        <w:t>«</w:t>
      </w:r>
      <w:r w:rsidR="008939C4" w:rsidRPr="00F60A3D">
        <w:rPr>
          <w:lang w:val="fr-FR"/>
        </w:rPr>
        <w:t>F</w:t>
      </w:r>
      <w:r w:rsidR="003E479A" w:rsidRPr="00F60A3D">
        <w:rPr>
          <w:lang w:val="fr-FR"/>
        </w:rPr>
        <w:t>ormation destinée aux agents des forces de l</w:t>
      </w:r>
      <w:r w:rsidR="00B17AE1" w:rsidRPr="00F60A3D">
        <w:rPr>
          <w:lang w:val="fr-FR"/>
        </w:rPr>
        <w:t>’</w:t>
      </w:r>
      <w:r w:rsidR="003E479A" w:rsidRPr="00F60A3D">
        <w:rPr>
          <w:lang w:val="fr-FR"/>
        </w:rPr>
        <w:t>ordre en vue de normalise</w:t>
      </w:r>
      <w:r w:rsidR="003722E6" w:rsidRPr="00F60A3D">
        <w:rPr>
          <w:lang w:val="fr-FR"/>
        </w:rPr>
        <w:t>r leur approche à l</w:t>
      </w:r>
      <w:r w:rsidR="00B17AE1" w:rsidRPr="00F60A3D">
        <w:rPr>
          <w:lang w:val="fr-FR"/>
        </w:rPr>
        <w:t>’</w:t>
      </w:r>
      <w:r w:rsidR="003722E6" w:rsidRPr="00F60A3D">
        <w:rPr>
          <w:lang w:val="fr-FR"/>
        </w:rPr>
        <w:t xml:space="preserve">égard des </w:t>
      </w:r>
      <w:r w:rsidR="003E479A" w:rsidRPr="00F60A3D">
        <w:rPr>
          <w:lang w:val="fr-FR"/>
        </w:rPr>
        <w:t>v</w:t>
      </w:r>
      <w:r w:rsidR="003722E6" w:rsidRPr="00F60A3D">
        <w:rPr>
          <w:lang w:val="fr-FR"/>
        </w:rPr>
        <w:t>ictimes de violence</w:t>
      </w:r>
      <w:r w:rsidR="0037034D" w:rsidRPr="00F60A3D">
        <w:rPr>
          <w:lang w:val="fr-FR"/>
        </w:rPr>
        <w:t xml:space="preserve"> sexiste</w:t>
      </w:r>
      <w:r w:rsidR="00731982" w:rsidRPr="00F60A3D">
        <w:rPr>
          <w:lang w:val="fr-FR"/>
        </w:rPr>
        <w:t>»</w:t>
      </w:r>
      <w:r w:rsidR="00206AB2" w:rsidRPr="00F60A3D">
        <w:rPr>
          <w:lang w:val="fr-FR"/>
        </w:rPr>
        <w:t>, signé le 30</w:t>
      </w:r>
      <w:r w:rsidR="003E479A" w:rsidRPr="00F60A3D">
        <w:rPr>
          <w:lang w:val="fr-FR"/>
        </w:rPr>
        <w:t xml:space="preserve"> mai 2011 par le Département de l</w:t>
      </w:r>
      <w:r w:rsidR="00B17AE1" w:rsidRPr="00F60A3D">
        <w:rPr>
          <w:lang w:val="fr-FR"/>
        </w:rPr>
        <w:t>’</w:t>
      </w:r>
      <w:r w:rsidR="003E479A" w:rsidRPr="00F60A3D">
        <w:rPr>
          <w:lang w:val="fr-FR"/>
        </w:rPr>
        <w:t>égalité des chances et le Ministère de l</w:t>
      </w:r>
      <w:r w:rsidR="00B17AE1" w:rsidRPr="00F60A3D">
        <w:rPr>
          <w:lang w:val="fr-FR"/>
        </w:rPr>
        <w:t>’</w:t>
      </w:r>
      <w:r w:rsidR="003E479A" w:rsidRPr="00F60A3D">
        <w:rPr>
          <w:lang w:val="fr-FR"/>
        </w:rPr>
        <w:t xml:space="preserve">intérieur; plusieurs séminaires et cours </w:t>
      </w:r>
      <w:r w:rsidR="003722E6" w:rsidRPr="00F60A3D">
        <w:rPr>
          <w:lang w:val="fr-FR"/>
        </w:rPr>
        <w:t>organisé</w:t>
      </w:r>
      <w:r w:rsidR="003E479A" w:rsidRPr="00F60A3D">
        <w:rPr>
          <w:lang w:val="fr-FR"/>
        </w:rPr>
        <w:t>s à l</w:t>
      </w:r>
      <w:r w:rsidR="00B17AE1" w:rsidRPr="00F60A3D">
        <w:rPr>
          <w:lang w:val="fr-FR"/>
        </w:rPr>
        <w:t>’</w:t>
      </w:r>
      <w:r w:rsidR="003E479A" w:rsidRPr="00F60A3D">
        <w:rPr>
          <w:lang w:val="fr-FR"/>
        </w:rPr>
        <w:t>intention des fonctionnaires de rang supérieur</w:t>
      </w:r>
      <w:r w:rsidR="0037034D" w:rsidRPr="00F60A3D">
        <w:rPr>
          <w:lang w:val="fr-FR"/>
        </w:rPr>
        <w:t xml:space="preserve"> sur </w:t>
      </w:r>
      <w:r w:rsidR="00731982" w:rsidRPr="00F60A3D">
        <w:rPr>
          <w:lang w:val="fr-FR"/>
        </w:rPr>
        <w:t>«</w:t>
      </w:r>
      <w:r w:rsidR="007B5559" w:rsidRPr="00F60A3D">
        <w:rPr>
          <w:lang w:val="fr-FR"/>
        </w:rPr>
        <w:t>la manière de traiter le</w:t>
      </w:r>
      <w:r w:rsidR="0037034D" w:rsidRPr="00F60A3D">
        <w:rPr>
          <w:lang w:val="fr-FR"/>
        </w:rPr>
        <w:t>s victimes de violence sexuelle</w:t>
      </w:r>
      <w:r w:rsidR="00731982" w:rsidRPr="00F60A3D">
        <w:rPr>
          <w:lang w:val="fr-FR"/>
        </w:rPr>
        <w:t>»</w:t>
      </w:r>
      <w:r w:rsidR="007B5559" w:rsidRPr="00F60A3D">
        <w:rPr>
          <w:lang w:val="fr-FR"/>
        </w:rPr>
        <w:t xml:space="preserve">; </w:t>
      </w:r>
      <w:r w:rsidR="008939C4" w:rsidRPr="00F60A3D">
        <w:rPr>
          <w:lang w:val="fr-FR"/>
        </w:rPr>
        <w:t xml:space="preserve">la </w:t>
      </w:r>
      <w:r w:rsidR="007B5559" w:rsidRPr="00F60A3D">
        <w:rPr>
          <w:lang w:val="fr-FR"/>
        </w:rPr>
        <w:t xml:space="preserve">formation des instructeurs; </w:t>
      </w:r>
      <w:r w:rsidR="006D4F7C" w:rsidRPr="00F60A3D">
        <w:rPr>
          <w:lang w:val="fr-FR"/>
        </w:rPr>
        <w:t>l</w:t>
      </w:r>
      <w:r w:rsidR="008939C4" w:rsidRPr="00F60A3D">
        <w:rPr>
          <w:lang w:val="fr-FR"/>
        </w:rPr>
        <w:t xml:space="preserve">es </w:t>
      </w:r>
      <w:r w:rsidR="007B5559" w:rsidRPr="00F60A3D">
        <w:rPr>
          <w:lang w:val="fr-FR"/>
        </w:rPr>
        <w:t>sections de formation spéciale</w:t>
      </w:r>
      <w:r w:rsidR="00731982" w:rsidRPr="00F60A3D">
        <w:rPr>
          <w:lang w:val="fr-FR"/>
        </w:rPr>
        <w:t xml:space="preserve"> </w:t>
      </w:r>
      <w:r w:rsidR="007B5559" w:rsidRPr="00F60A3D">
        <w:rPr>
          <w:lang w:val="fr-FR"/>
        </w:rPr>
        <w:t>pour les élèves policiers</w:t>
      </w:r>
      <w:r w:rsidR="003722E6" w:rsidRPr="00F60A3D">
        <w:rPr>
          <w:lang w:val="fr-FR"/>
        </w:rPr>
        <w:t>;</w:t>
      </w:r>
      <w:r w:rsidR="007B5559" w:rsidRPr="00F60A3D">
        <w:rPr>
          <w:lang w:val="fr-FR"/>
        </w:rPr>
        <w:t xml:space="preserve"> </w:t>
      </w:r>
      <w:r w:rsidR="008939C4" w:rsidRPr="00F60A3D">
        <w:rPr>
          <w:lang w:val="fr-FR"/>
        </w:rPr>
        <w:t xml:space="preserve">la </w:t>
      </w:r>
      <w:r w:rsidR="007B5559" w:rsidRPr="00F60A3D">
        <w:rPr>
          <w:lang w:val="fr-FR"/>
        </w:rPr>
        <w:t xml:space="preserve">formation aux bonnes pratiques et </w:t>
      </w:r>
      <w:r w:rsidR="008939C4" w:rsidRPr="00F60A3D">
        <w:rPr>
          <w:lang w:val="fr-FR"/>
        </w:rPr>
        <w:t xml:space="preserve">le </w:t>
      </w:r>
      <w:r w:rsidR="0037034D" w:rsidRPr="00F60A3D">
        <w:rPr>
          <w:lang w:val="fr-FR"/>
        </w:rPr>
        <w:t xml:space="preserve">projet </w:t>
      </w:r>
      <w:r w:rsidR="00731982" w:rsidRPr="00F60A3D">
        <w:rPr>
          <w:lang w:val="fr-FR"/>
        </w:rPr>
        <w:t>«</w:t>
      </w:r>
      <w:r w:rsidR="007B5559" w:rsidRPr="00F60A3D">
        <w:rPr>
          <w:lang w:val="fr-FR"/>
        </w:rPr>
        <w:t>d</w:t>
      </w:r>
      <w:r w:rsidR="00B17AE1" w:rsidRPr="00F60A3D">
        <w:rPr>
          <w:lang w:val="fr-FR"/>
        </w:rPr>
        <w:t>’</w:t>
      </w:r>
      <w:r w:rsidR="007B5559" w:rsidRPr="00F60A3D">
        <w:rPr>
          <w:lang w:val="fr-FR"/>
        </w:rPr>
        <w:t xml:space="preserve">outils multimédias contre la </w:t>
      </w:r>
      <w:r w:rsidR="0037034D" w:rsidRPr="00F60A3D">
        <w:rPr>
          <w:lang w:val="fr-FR"/>
        </w:rPr>
        <w:t>violence</w:t>
      </w:r>
      <w:r w:rsidR="00731982" w:rsidRPr="00F60A3D">
        <w:rPr>
          <w:lang w:val="fr-FR"/>
        </w:rPr>
        <w:t>»</w:t>
      </w:r>
      <w:r w:rsidR="007B5559" w:rsidRPr="00F60A3D">
        <w:rPr>
          <w:lang w:val="fr-FR"/>
        </w:rPr>
        <w:t>. Une formation sur la violence sexiste est également dispensée par le Centre d</w:t>
      </w:r>
      <w:r w:rsidR="00B17AE1" w:rsidRPr="00F60A3D">
        <w:rPr>
          <w:lang w:val="fr-FR"/>
        </w:rPr>
        <w:t>’</w:t>
      </w:r>
      <w:r w:rsidR="007B5559" w:rsidRPr="00F60A3D">
        <w:rPr>
          <w:lang w:val="fr-FR"/>
        </w:rPr>
        <w:t xml:space="preserve">excellence pour les </w:t>
      </w:r>
      <w:r w:rsidR="003722E6" w:rsidRPr="00F60A3D">
        <w:rPr>
          <w:lang w:val="fr-FR"/>
        </w:rPr>
        <w:t>unité</w:t>
      </w:r>
      <w:r w:rsidR="007B5559" w:rsidRPr="00F60A3D">
        <w:rPr>
          <w:lang w:val="fr-FR"/>
        </w:rPr>
        <w:t xml:space="preserve">s de police spécialisées dans les </w:t>
      </w:r>
      <w:r w:rsidR="003722E6" w:rsidRPr="00F60A3D">
        <w:rPr>
          <w:lang w:val="fr-FR"/>
        </w:rPr>
        <w:t>opé</w:t>
      </w:r>
      <w:r w:rsidR="009B303F" w:rsidRPr="00F60A3D">
        <w:rPr>
          <w:lang w:val="fr-FR"/>
        </w:rPr>
        <w:t xml:space="preserve">rations de stabilité </w:t>
      </w:r>
      <w:r w:rsidR="007B5559" w:rsidRPr="00F60A3D">
        <w:rPr>
          <w:lang w:val="fr-FR"/>
        </w:rPr>
        <w:t xml:space="preserve">du Corps des carabiniers </w:t>
      </w:r>
      <w:r w:rsidR="006D4F7C" w:rsidRPr="00F60A3D">
        <w:rPr>
          <w:lang w:val="fr-FR"/>
        </w:rPr>
        <w:t xml:space="preserve">de Vicenza, en particulier </w:t>
      </w:r>
      <w:r w:rsidR="0095584A" w:rsidRPr="00F60A3D">
        <w:rPr>
          <w:lang w:val="fr-FR"/>
        </w:rPr>
        <w:t>au</w:t>
      </w:r>
      <w:r w:rsidR="0069779A" w:rsidRPr="00F60A3D">
        <w:rPr>
          <w:lang w:val="fr-FR"/>
        </w:rPr>
        <w:t xml:space="preserve"> personnel</w:t>
      </w:r>
      <w:r w:rsidR="006D4F7C" w:rsidRPr="00F60A3D">
        <w:rPr>
          <w:lang w:val="fr-FR"/>
        </w:rPr>
        <w:t xml:space="preserve"> </w:t>
      </w:r>
      <w:r w:rsidR="007B5559" w:rsidRPr="00F60A3D">
        <w:rPr>
          <w:lang w:val="fr-FR"/>
        </w:rPr>
        <w:t>déploy</w:t>
      </w:r>
      <w:r w:rsidR="0069779A" w:rsidRPr="00F60A3D">
        <w:rPr>
          <w:lang w:val="fr-FR"/>
        </w:rPr>
        <w:t>é</w:t>
      </w:r>
      <w:r w:rsidR="007B5559" w:rsidRPr="00F60A3D">
        <w:rPr>
          <w:lang w:val="fr-FR"/>
        </w:rPr>
        <w:t xml:space="preserve"> à l</w:t>
      </w:r>
      <w:r w:rsidR="00B17AE1" w:rsidRPr="00F60A3D">
        <w:rPr>
          <w:lang w:val="fr-FR"/>
        </w:rPr>
        <w:t>’</w:t>
      </w:r>
      <w:r w:rsidR="007B5559" w:rsidRPr="00F60A3D">
        <w:rPr>
          <w:lang w:val="fr-FR"/>
        </w:rPr>
        <w:t>étranger (voir le Plan d</w:t>
      </w:r>
      <w:r w:rsidR="00B17AE1" w:rsidRPr="00F60A3D">
        <w:rPr>
          <w:lang w:val="fr-FR"/>
        </w:rPr>
        <w:t>’</w:t>
      </w:r>
      <w:r w:rsidR="00001F07" w:rsidRPr="00F60A3D">
        <w:rPr>
          <w:lang w:val="fr-FR"/>
        </w:rPr>
        <w:t>action national d</w:t>
      </w:r>
      <w:r w:rsidR="007D4614" w:rsidRPr="00F60A3D">
        <w:rPr>
          <w:lang w:val="fr-FR"/>
        </w:rPr>
        <w:t>e l</w:t>
      </w:r>
      <w:r w:rsidR="00B17AE1" w:rsidRPr="00F60A3D">
        <w:rPr>
          <w:lang w:val="fr-FR"/>
        </w:rPr>
        <w:t>’</w:t>
      </w:r>
      <w:r w:rsidR="007D4614" w:rsidRPr="00F60A3D">
        <w:rPr>
          <w:lang w:val="fr-FR"/>
        </w:rPr>
        <w:t>Italie en conformité avec la résolution 1325 (2000), 2014-2016, du Conseil de sécurité des Nations Unies,</w:t>
      </w:r>
      <w:r w:rsidR="00731982" w:rsidRPr="00F60A3D">
        <w:rPr>
          <w:lang w:val="fr-FR"/>
        </w:rPr>
        <w:t xml:space="preserve"> </w:t>
      </w:r>
      <w:r w:rsidR="007D4614" w:rsidRPr="00F60A3D">
        <w:rPr>
          <w:lang w:val="fr-FR"/>
        </w:rPr>
        <w:t>à l</w:t>
      </w:r>
      <w:r w:rsidR="00B17AE1" w:rsidRPr="00F60A3D">
        <w:rPr>
          <w:lang w:val="fr-FR"/>
        </w:rPr>
        <w:t>’</w:t>
      </w:r>
      <w:r w:rsidR="007D4614" w:rsidRPr="00F60A3D">
        <w:rPr>
          <w:lang w:val="fr-FR"/>
        </w:rPr>
        <w:t xml:space="preserve">adresse </w:t>
      </w:r>
      <w:r w:rsidR="005063FC" w:rsidRPr="00F60A3D">
        <w:rPr>
          <w:lang w:val="fr-FR"/>
        </w:rPr>
        <w:t>www.cidu.esteri.it).</w:t>
      </w:r>
    </w:p>
    <w:p w:rsidR="005063FC" w:rsidRPr="00F60A3D" w:rsidRDefault="00DD5FDA" w:rsidP="005230A3">
      <w:pPr>
        <w:pStyle w:val="SingleTxtG"/>
        <w:rPr>
          <w:lang w:val="fr-FR"/>
        </w:rPr>
      </w:pPr>
      <w:r w:rsidRPr="00F60A3D">
        <w:rPr>
          <w:lang w:val="fr-FR"/>
        </w:rPr>
        <w:t>240</w:t>
      </w:r>
      <w:r w:rsidR="00001F07" w:rsidRPr="00F60A3D">
        <w:rPr>
          <w:lang w:val="fr-FR"/>
        </w:rPr>
        <w:t>.</w:t>
      </w:r>
      <w:r w:rsidR="00001F07" w:rsidRPr="00F60A3D">
        <w:rPr>
          <w:lang w:val="fr-FR"/>
        </w:rPr>
        <w:tab/>
        <w:t>Ces initiatives sont d</w:t>
      </w:r>
      <w:r w:rsidR="00B17AE1" w:rsidRPr="00F60A3D">
        <w:rPr>
          <w:lang w:val="fr-FR"/>
        </w:rPr>
        <w:t>’</w:t>
      </w:r>
      <w:r w:rsidR="00001F07" w:rsidRPr="00F60A3D">
        <w:rPr>
          <w:lang w:val="fr-FR"/>
        </w:rPr>
        <w:t>autant plus</w:t>
      </w:r>
      <w:r w:rsidR="003722E6" w:rsidRPr="00F60A3D">
        <w:rPr>
          <w:lang w:val="fr-FR"/>
        </w:rPr>
        <w:t xml:space="preserve"> </w:t>
      </w:r>
      <w:r w:rsidR="00001F07" w:rsidRPr="00F60A3D">
        <w:rPr>
          <w:lang w:val="fr-FR"/>
        </w:rPr>
        <w:t>efficaces qu</w:t>
      </w:r>
      <w:r w:rsidR="00B17AE1" w:rsidRPr="00F60A3D">
        <w:rPr>
          <w:lang w:val="fr-FR"/>
        </w:rPr>
        <w:t>’</w:t>
      </w:r>
      <w:r w:rsidR="00001F07" w:rsidRPr="00F60A3D">
        <w:rPr>
          <w:lang w:val="fr-FR"/>
        </w:rPr>
        <w:t>un réseau étendu d</w:t>
      </w:r>
      <w:r w:rsidR="00B17AE1" w:rsidRPr="00F60A3D">
        <w:rPr>
          <w:lang w:val="fr-FR"/>
        </w:rPr>
        <w:t>’</w:t>
      </w:r>
      <w:r w:rsidR="00001F07" w:rsidRPr="00F60A3D">
        <w:rPr>
          <w:lang w:val="fr-FR"/>
        </w:rPr>
        <w:t>acteurs institutionnels et priv</w:t>
      </w:r>
      <w:r w:rsidR="00CC510A" w:rsidRPr="00F60A3D">
        <w:rPr>
          <w:lang w:val="fr-FR"/>
        </w:rPr>
        <w:t>és y est associé. Une telle</w:t>
      </w:r>
      <w:r w:rsidR="00001F07" w:rsidRPr="00F60A3D">
        <w:rPr>
          <w:lang w:val="fr-FR"/>
        </w:rPr>
        <w:t xml:space="preserve"> coopér</w:t>
      </w:r>
      <w:r w:rsidR="0069779A" w:rsidRPr="00F60A3D">
        <w:rPr>
          <w:lang w:val="fr-FR"/>
        </w:rPr>
        <w:t>ation a été renforcée notamment</w:t>
      </w:r>
      <w:r w:rsidR="00892CE8" w:rsidRPr="00F60A3D">
        <w:rPr>
          <w:lang w:val="fr-FR"/>
        </w:rPr>
        <w:t xml:space="preserve"> par l</w:t>
      </w:r>
      <w:r w:rsidR="00B17AE1" w:rsidRPr="00F60A3D">
        <w:rPr>
          <w:lang w:val="fr-FR"/>
        </w:rPr>
        <w:t>’</w:t>
      </w:r>
      <w:r w:rsidR="00E467EF" w:rsidRPr="00F60A3D">
        <w:rPr>
          <w:lang w:val="fr-FR"/>
        </w:rPr>
        <w:t>obligation d</w:t>
      </w:r>
      <w:r w:rsidR="00B17AE1" w:rsidRPr="00F60A3D">
        <w:rPr>
          <w:lang w:val="fr-FR"/>
        </w:rPr>
        <w:t>’</w:t>
      </w:r>
      <w:r w:rsidR="00E467EF" w:rsidRPr="00F60A3D">
        <w:rPr>
          <w:lang w:val="fr-FR"/>
        </w:rPr>
        <w:t>informer les</w:t>
      </w:r>
      <w:r w:rsidR="00651A07" w:rsidRPr="00F60A3D">
        <w:rPr>
          <w:lang w:val="fr-FR"/>
        </w:rPr>
        <w:t xml:space="preserve"> victimes </w:t>
      </w:r>
      <w:r w:rsidR="00E467EF" w:rsidRPr="00F60A3D">
        <w:rPr>
          <w:lang w:val="fr-FR"/>
        </w:rPr>
        <w:t>d</w:t>
      </w:r>
      <w:r w:rsidR="00651A07" w:rsidRPr="00F60A3D">
        <w:rPr>
          <w:lang w:val="fr-FR"/>
        </w:rPr>
        <w:t>es</w:t>
      </w:r>
      <w:r w:rsidR="00001F07" w:rsidRPr="00F60A3D">
        <w:rPr>
          <w:lang w:val="fr-FR"/>
        </w:rPr>
        <w:t xml:space="preserve"> centres locau</w:t>
      </w:r>
      <w:r w:rsidR="00E467EF" w:rsidRPr="00F60A3D">
        <w:rPr>
          <w:lang w:val="fr-FR"/>
        </w:rPr>
        <w:t>x contre la violence</w:t>
      </w:r>
      <w:r w:rsidR="002920E8" w:rsidRPr="00F60A3D">
        <w:rPr>
          <w:lang w:val="fr-FR"/>
        </w:rPr>
        <w:t xml:space="preserve"> à leur disposition</w:t>
      </w:r>
      <w:r w:rsidR="00E467EF" w:rsidRPr="00F60A3D">
        <w:rPr>
          <w:lang w:val="fr-FR"/>
        </w:rPr>
        <w:t xml:space="preserve"> (obligation</w:t>
      </w:r>
      <w:r w:rsidR="00001F07" w:rsidRPr="00F60A3D">
        <w:rPr>
          <w:lang w:val="fr-FR"/>
        </w:rPr>
        <w:t xml:space="preserve"> étendue par la loi </w:t>
      </w:r>
      <w:r w:rsidR="005230A3" w:rsidRPr="00F60A3D">
        <w:rPr>
          <w:lang w:val="fr-FR"/>
        </w:rPr>
        <w:t>n</w:t>
      </w:r>
      <w:r w:rsidR="005230A3" w:rsidRPr="00F60A3D">
        <w:rPr>
          <w:vertAlign w:val="superscript"/>
          <w:lang w:val="fr-FR"/>
        </w:rPr>
        <w:t>o</w:t>
      </w:r>
      <w:r w:rsidR="005230A3" w:rsidRPr="00F60A3D">
        <w:rPr>
          <w:lang w:val="fr-FR"/>
        </w:rPr>
        <w:t> </w:t>
      </w:r>
      <w:r w:rsidR="00001F07" w:rsidRPr="00F60A3D">
        <w:rPr>
          <w:lang w:val="fr-FR"/>
        </w:rPr>
        <w:t xml:space="preserve">119/2013 à des infractions </w:t>
      </w:r>
      <w:r w:rsidR="0095584A" w:rsidRPr="00F60A3D">
        <w:rPr>
          <w:lang w:val="fr-FR"/>
        </w:rPr>
        <w:t xml:space="preserve">telles que </w:t>
      </w:r>
      <w:r w:rsidR="00E467EF" w:rsidRPr="00F60A3D">
        <w:rPr>
          <w:lang w:val="fr-FR"/>
        </w:rPr>
        <w:t>la violence intrafamilial</w:t>
      </w:r>
      <w:r w:rsidR="00001F07" w:rsidRPr="00F60A3D">
        <w:rPr>
          <w:lang w:val="fr-FR"/>
        </w:rPr>
        <w:t>e, l</w:t>
      </w:r>
      <w:r w:rsidR="00B17AE1" w:rsidRPr="00F60A3D">
        <w:rPr>
          <w:lang w:val="fr-FR"/>
        </w:rPr>
        <w:t>’</w:t>
      </w:r>
      <w:r w:rsidR="00001F07" w:rsidRPr="00F60A3D">
        <w:rPr>
          <w:lang w:val="fr-FR"/>
        </w:rPr>
        <w:t>esclavage, la traite des êtres humains, la prostitution enfantine, la pornograph</w:t>
      </w:r>
      <w:r w:rsidR="006D41FB" w:rsidRPr="00F60A3D">
        <w:rPr>
          <w:lang w:val="fr-FR"/>
        </w:rPr>
        <w:t>ie mettant en scène des enfants et</w:t>
      </w:r>
      <w:r w:rsidR="00001F07" w:rsidRPr="00F60A3D">
        <w:rPr>
          <w:lang w:val="fr-FR"/>
        </w:rPr>
        <w:t xml:space="preserve"> les infractions sexuelles). </w:t>
      </w:r>
    </w:p>
    <w:p w:rsidR="00124E60" w:rsidRPr="00F60A3D" w:rsidRDefault="00DD5FDA" w:rsidP="005230A3">
      <w:pPr>
        <w:pStyle w:val="SingleTxtG"/>
        <w:rPr>
          <w:rFonts w:eastAsia="MS ??"/>
          <w:lang w:val="fr-FR"/>
        </w:rPr>
      </w:pPr>
      <w:r w:rsidRPr="00F60A3D">
        <w:rPr>
          <w:rFonts w:eastAsia="MS ??"/>
          <w:bCs/>
          <w:lang w:val="fr-FR"/>
        </w:rPr>
        <w:t>241</w:t>
      </w:r>
      <w:r w:rsidR="005063FC" w:rsidRPr="00F60A3D">
        <w:rPr>
          <w:rFonts w:eastAsia="MS ??"/>
          <w:bCs/>
          <w:lang w:val="fr-FR"/>
        </w:rPr>
        <w:t>.</w:t>
      </w:r>
      <w:r w:rsidR="005063FC" w:rsidRPr="00F60A3D">
        <w:rPr>
          <w:rFonts w:eastAsia="MS ??"/>
          <w:bCs/>
          <w:lang w:val="fr-FR"/>
        </w:rPr>
        <w:tab/>
      </w:r>
      <w:r w:rsidR="00124E60" w:rsidRPr="00F60A3D">
        <w:rPr>
          <w:rFonts w:eastAsia="MS ??"/>
          <w:bCs/>
          <w:lang w:val="fr-FR"/>
        </w:rPr>
        <w:t>Plusieurs actions ont été entreprises pour lutter contre les stéréotypes. Depuis 2009, le Département de l</w:t>
      </w:r>
      <w:r w:rsidR="00B17AE1" w:rsidRPr="00F60A3D">
        <w:rPr>
          <w:rFonts w:eastAsia="MS ??"/>
          <w:bCs/>
          <w:lang w:val="fr-FR"/>
        </w:rPr>
        <w:t>’</w:t>
      </w:r>
      <w:r w:rsidR="00124E60" w:rsidRPr="00F60A3D">
        <w:rPr>
          <w:rFonts w:eastAsia="MS ??"/>
          <w:bCs/>
          <w:lang w:val="fr-FR"/>
        </w:rPr>
        <w:t>é</w:t>
      </w:r>
      <w:r w:rsidR="00736673" w:rsidRPr="00F60A3D">
        <w:rPr>
          <w:rFonts w:eastAsia="MS ??"/>
          <w:bCs/>
          <w:lang w:val="fr-FR"/>
        </w:rPr>
        <w:t xml:space="preserve">galité des chances organise la </w:t>
      </w:r>
      <w:r w:rsidR="00731982" w:rsidRPr="00F60A3D">
        <w:rPr>
          <w:rFonts w:eastAsia="MS ??"/>
          <w:bCs/>
          <w:lang w:val="fr-FR"/>
        </w:rPr>
        <w:t>«</w:t>
      </w:r>
      <w:r w:rsidR="00124E60" w:rsidRPr="00F60A3D">
        <w:rPr>
          <w:rFonts w:eastAsia="MS ??"/>
          <w:bCs/>
          <w:lang w:val="fr-FR"/>
        </w:rPr>
        <w:t>Semaine contre l</w:t>
      </w:r>
      <w:r w:rsidR="00736673" w:rsidRPr="00F60A3D">
        <w:rPr>
          <w:rFonts w:eastAsia="MS ??"/>
          <w:bCs/>
          <w:lang w:val="fr-FR"/>
        </w:rPr>
        <w:t>a violence et la discrimination</w:t>
      </w:r>
      <w:r w:rsidR="00731982" w:rsidRPr="00F60A3D">
        <w:rPr>
          <w:rFonts w:eastAsia="MS ??"/>
          <w:bCs/>
          <w:lang w:val="fr-FR"/>
        </w:rPr>
        <w:t>»</w:t>
      </w:r>
      <w:r w:rsidR="0069779A" w:rsidRPr="00F60A3D">
        <w:rPr>
          <w:rFonts w:eastAsia="MS ??"/>
          <w:bCs/>
          <w:lang w:val="fr-FR"/>
        </w:rPr>
        <w:t xml:space="preserve">, </w:t>
      </w:r>
      <w:r w:rsidR="00124E60" w:rsidRPr="00F60A3D">
        <w:rPr>
          <w:rFonts w:eastAsia="MS ??"/>
          <w:bCs/>
          <w:lang w:val="fr-FR"/>
        </w:rPr>
        <w:t xml:space="preserve">initiative </w:t>
      </w:r>
      <w:r w:rsidR="0069779A" w:rsidRPr="00F60A3D">
        <w:rPr>
          <w:rFonts w:eastAsia="MS ??"/>
          <w:bCs/>
          <w:lang w:val="fr-FR"/>
        </w:rPr>
        <w:t xml:space="preserve">menée </w:t>
      </w:r>
      <w:r w:rsidR="00124E60" w:rsidRPr="00F60A3D">
        <w:rPr>
          <w:rFonts w:eastAsia="MS ??"/>
          <w:bCs/>
          <w:lang w:val="fr-FR"/>
        </w:rPr>
        <w:t>à l</w:t>
      </w:r>
      <w:r w:rsidR="00B17AE1" w:rsidRPr="00F60A3D">
        <w:rPr>
          <w:rFonts w:eastAsia="MS ??"/>
          <w:bCs/>
          <w:lang w:val="fr-FR"/>
        </w:rPr>
        <w:t>’</w:t>
      </w:r>
      <w:r w:rsidR="0069779A" w:rsidRPr="00F60A3D">
        <w:rPr>
          <w:rFonts w:eastAsia="MS ??"/>
          <w:bCs/>
          <w:lang w:val="fr-FR"/>
        </w:rPr>
        <w:t xml:space="preserve">échelle nationale </w:t>
      </w:r>
      <w:r w:rsidR="00124E60" w:rsidRPr="00F60A3D">
        <w:rPr>
          <w:rFonts w:eastAsia="MS ??"/>
          <w:bCs/>
          <w:lang w:val="fr-FR"/>
        </w:rPr>
        <w:t xml:space="preserve">suite à un </w:t>
      </w:r>
      <w:r w:rsidR="003722E6" w:rsidRPr="00F60A3D">
        <w:rPr>
          <w:rFonts w:eastAsia="MS ??"/>
          <w:bCs/>
          <w:lang w:val="fr-FR"/>
        </w:rPr>
        <w:t>mé</w:t>
      </w:r>
      <w:r w:rsidR="00124E60" w:rsidRPr="00F60A3D">
        <w:rPr>
          <w:rFonts w:eastAsia="MS ??"/>
          <w:bCs/>
          <w:lang w:val="fr-FR"/>
        </w:rPr>
        <w:t>morandum d</w:t>
      </w:r>
      <w:r w:rsidR="00B17AE1" w:rsidRPr="00F60A3D">
        <w:rPr>
          <w:rFonts w:eastAsia="MS ??"/>
          <w:bCs/>
          <w:lang w:val="fr-FR"/>
        </w:rPr>
        <w:t>’</w:t>
      </w:r>
      <w:r w:rsidR="00124E60" w:rsidRPr="00F60A3D">
        <w:rPr>
          <w:rFonts w:eastAsia="MS ??"/>
          <w:bCs/>
          <w:lang w:val="fr-FR"/>
        </w:rPr>
        <w:t>accord</w:t>
      </w:r>
      <w:r w:rsidR="00124E60" w:rsidRPr="00F60A3D">
        <w:rPr>
          <w:rFonts w:eastAsia="MS ??"/>
          <w:b/>
          <w:bCs/>
          <w:lang w:val="fr-FR"/>
        </w:rPr>
        <w:t xml:space="preserve"> </w:t>
      </w:r>
      <w:r w:rsidR="00E467EF" w:rsidRPr="00F60A3D">
        <w:rPr>
          <w:rFonts w:eastAsia="MS ??"/>
          <w:bCs/>
          <w:lang w:val="fr-FR"/>
        </w:rPr>
        <w:t>signé</w:t>
      </w:r>
      <w:r w:rsidR="00E467EF" w:rsidRPr="00F60A3D">
        <w:rPr>
          <w:rFonts w:eastAsia="MS ??"/>
          <w:b/>
          <w:bCs/>
          <w:lang w:val="fr-FR"/>
        </w:rPr>
        <w:t xml:space="preserve"> </w:t>
      </w:r>
      <w:r w:rsidR="00124E60" w:rsidRPr="00F60A3D">
        <w:rPr>
          <w:rFonts w:eastAsia="MS ??"/>
          <w:lang w:val="fr-FR"/>
        </w:rPr>
        <w:t>avec le Ministère de l</w:t>
      </w:r>
      <w:r w:rsidR="00B17AE1" w:rsidRPr="00F60A3D">
        <w:rPr>
          <w:rFonts w:eastAsia="MS ??"/>
          <w:lang w:val="fr-FR"/>
        </w:rPr>
        <w:t>’</w:t>
      </w:r>
      <w:r w:rsidR="00124E60" w:rsidRPr="00F60A3D">
        <w:rPr>
          <w:rFonts w:eastAsia="MS ??"/>
          <w:lang w:val="fr-FR"/>
        </w:rPr>
        <w:t>éducation, de l</w:t>
      </w:r>
      <w:r w:rsidR="00B17AE1" w:rsidRPr="00F60A3D">
        <w:rPr>
          <w:rFonts w:eastAsia="MS ??"/>
          <w:lang w:val="fr-FR"/>
        </w:rPr>
        <w:t>’</w:t>
      </w:r>
      <w:r w:rsidR="00124E60" w:rsidRPr="00F60A3D">
        <w:rPr>
          <w:rFonts w:eastAsia="MS ??"/>
          <w:lang w:val="fr-FR"/>
        </w:rPr>
        <w:t>université et de la recherche. Pendant la semaine en question, les écoles organisent des activités de sensibilisation et des formations sur la prévention de la violence physique et psychologique à l</w:t>
      </w:r>
      <w:r w:rsidR="00B17AE1" w:rsidRPr="00F60A3D">
        <w:rPr>
          <w:rFonts w:eastAsia="MS ??"/>
          <w:lang w:val="fr-FR"/>
        </w:rPr>
        <w:t>’</w:t>
      </w:r>
      <w:r w:rsidR="00124E60" w:rsidRPr="00F60A3D">
        <w:rPr>
          <w:rFonts w:eastAsia="MS ??"/>
          <w:lang w:val="fr-FR"/>
        </w:rPr>
        <w:t>égard des femmes et de la violence fondée sur toutes les formes de discrimination. Depuis 2004, le Département de</w:t>
      </w:r>
      <w:r w:rsidR="009E42CC" w:rsidRPr="00F60A3D">
        <w:rPr>
          <w:rFonts w:eastAsia="MS ??"/>
          <w:lang w:val="fr-FR"/>
        </w:rPr>
        <w:t xml:space="preserve"> l</w:t>
      </w:r>
      <w:r w:rsidR="00B17AE1" w:rsidRPr="00F60A3D">
        <w:rPr>
          <w:rFonts w:eastAsia="MS ??"/>
          <w:lang w:val="fr-FR"/>
        </w:rPr>
        <w:t>’</w:t>
      </w:r>
      <w:r w:rsidR="009E42CC" w:rsidRPr="00F60A3D">
        <w:rPr>
          <w:rFonts w:eastAsia="MS ??"/>
          <w:lang w:val="fr-FR"/>
        </w:rPr>
        <w:t>égalité des chances et le Bureau national de lutte contre la discrimination raciale</w:t>
      </w:r>
      <w:r w:rsidR="002920E8" w:rsidRPr="00F60A3D">
        <w:rPr>
          <w:rFonts w:eastAsia="MS ??"/>
          <w:lang w:val="fr-FR"/>
        </w:rPr>
        <w:t xml:space="preserve"> organisent la S</w:t>
      </w:r>
      <w:r w:rsidR="00124E60" w:rsidRPr="00F60A3D">
        <w:rPr>
          <w:rFonts w:eastAsia="MS ??"/>
          <w:lang w:val="fr-FR"/>
        </w:rPr>
        <w:t xml:space="preserve">emaine contre le racisme, </w:t>
      </w:r>
      <w:r w:rsidR="00651A07" w:rsidRPr="00F60A3D">
        <w:rPr>
          <w:rFonts w:eastAsia="MS ??"/>
          <w:lang w:val="fr-FR"/>
        </w:rPr>
        <w:t>dont l</w:t>
      </w:r>
      <w:r w:rsidR="00B17AE1" w:rsidRPr="00F60A3D">
        <w:rPr>
          <w:rFonts w:eastAsia="MS ??"/>
          <w:lang w:val="fr-FR"/>
        </w:rPr>
        <w:t>’</w:t>
      </w:r>
      <w:r w:rsidR="00651A07" w:rsidRPr="00F60A3D">
        <w:rPr>
          <w:rFonts w:eastAsia="MS ??"/>
          <w:lang w:val="fr-FR"/>
        </w:rPr>
        <w:t xml:space="preserve">édition de </w:t>
      </w:r>
      <w:r w:rsidR="00124E60" w:rsidRPr="00F60A3D">
        <w:rPr>
          <w:rFonts w:eastAsia="MS ??"/>
          <w:lang w:val="fr-FR"/>
        </w:rPr>
        <w:t>mars 2015</w:t>
      </w:r>
      <w:r w:rsidR="00651A07" w:rsidRPr="00F60A3D">
        <w:rPr>
          <w:rFonts w:eastAsia="MS ??"/>
          <w:lang w:val="fr-FR"/>
        </w:rPr>
        <w:t>,</w:t>
      </w:r>
      <w:r w:rsidR="00124E60" w:rsidRPr="00F60A3D">
        <w:rPr>
          <w:rFonts w:eastAsia="MS ??"/>
          <w:lang w:val="fr-FR"/>
        </w:rPr>
        <w:t xml:space="preserve"> </w:t>
      </w:r>
      <w:r w:rsidR="00651A07" w:rsidRPr="00F60A3D">
        <w:rPr>
          <w:rFonts w:eastAsia="MS ??"/>
          <w:lang w:val="fr-FR"/>
        </w:rPr>
        <w:t>lancée c</w:t>
      </w:r>
      <w:r w:rsidR="00124E60" w:rsidRPr="00F60A3D">
        <w:rPr>
          <w:rFonts w:eastAsia="MS ??"/>
          <w:lang w:val="fr-FR"/>
        </w:rPr>
        <w:t>onjointement avec l</w:t>
      </w:r>
      <w:r w:rsidR="00B17AE1" w:rsidRPr="00F60A3D">
        <w:rPr>
          <w:rFonts w:eastAsia="MS ??"/>
          <w:lang w:val="fr-FR"/>
        </w:rPr>
        <w:t>’</w:t>
      </w:r>
      <w:r w:rsidR="00124E60" w:rsidRPr="00F60A3D">
        <w:rPr>
          <w:rFonts w:eastAsia="MS ??"/>
          <w:lang w:val="fr-FR"/>
        </w:rPr>
        <w:t>Association nationale des</w:t>
      </w:r>
      <w:r w:rsidR="009E42CC" w:rsidRPr="00F60A3D">
        <w:rPr>
          <w:rFonts w:eastAsia="MS ??"/>
          <w:lang w:val="fr-FR"/>
        </w:rPr>
        <w:t xml:space="preserve"> municipalités italiennes</w:t>
      </w:r>
      <w:r w:rsidR="00124E60" w:rsidRPr="00F60A3D">
        <w:rPr>
          <w:rFonts w:eastAsia="MS ??"/>
          <w:lang w:val="fr-FR"/>
        </w:rPr>
        <w:t>,</w:t>
      </w:r>
      <w:r w:rsidR="003722E6" w:rsidRPr="00F60A3D">
        <w:rPr>
          <w:rFonts w:eastAsia="MS ??"/>
          <w:lang w:val="fr-FR"/>
        </w:rPr>
        <w:t xml:space="preserve"> </w:t>
      </w:r>
      <w:r w:rsidR="00124E60" w:rsidRPr="00F60A3D">
        <w:rPr>
          <w:rFonts w:eastAsia="MS ??"/>
          <w:lang w:val="fr-FR"/>
        </w:rPr>
        <w:t>a réuni 700</w:t>
      </w:r>
      <w:r w:rsidR="005230A3" w:rsidRPr="00F60A3D">
        <w:rPr>
          <w:rFonts w:eastAsia="MS ??"/>
          <w:lang w:val="fr-FR"/>
        </w:rPr>
        <w:t> </w:t>
      </w:r>
      <w:r w:rsidR="00124E60" w:rsidRPr="00F60A3D">
        <w:rPr>
          <w:rFonts w:eastAsia="MS ??"/>
          <w:lang w:val="fr-FR"/>
        </w:rPr>
        <w:t xml:space="preserve">communes. </w:t>
      </w:r>
      <w:r w:rsidR="00736673" w:rsidRPr="00F60A3D">
        <w:rPr>
          <w:rFonts w:eastAsia="MS ??"/>
          <w:lang w:val="fr-FR"/>
        </w:rPr>
        <w:t xml:space="preserve">En outre, la </w:t>
      </w:r>
      <w:r w:rsidR="00731982" w:rsidRPr="00F60A3D">
        <w:rPr>
          <w:rFonts w:eastAsia="MS ??"/>
          <w:lang w:val="fr-FR"/>
        </w:rPr>
        <w:t>«</w:t>
      </w:r>
      <w:r w:rsidR="00201587" w:rsidRPr="00F60A3D">
        <w:rPr>
          <w:rFonts w:eastAsia="MS ??"/>
          <w:lang w:val="fr-FR"/>
        </w:rPr>
        <w:t>l</w:t>
      </w:r>
      <w:r w:rsidR="0046208F" w:rsidRPr="00F60A3D">
        <w:rPr>
          <w:rFonts w:eastAsia="MS ??"/>
          <w:lang w:val="fr-FR"/>
        </w:rPr>
        <w:t>oi sur les bonne</w:t>
      </w:r>
      <w:r w:rsidR="00181FD3" w:rsidRPr="00F60A3D">
        <w:rPr>
          <w:rFonts w:eastAsia="MS ??"/>
          <w:lang w:val="fr-FR"/>
        </w:rPr>
        <w:t>s</w:t>
      </w:r>
      <w:r w:rsidR="00736673" w:rsidRPr="00F60A3D">
        <w:rPr>
          <w:rFonts w:eastAsia="MS ??"/>
          <w:lang w:val="fr-FR"/>
        </w:rPr>
        <w:t xml:space="preserve"> écoles</w:t>
      </w:r>
      <w:r w:rsidR="00731982" w:rsidRPr="00F60A3D">
        <w:rPr>
          <w:rFonts w:eastAsia="MS ??"/>
          <w:lang w:val="fr-FR"/>
        </w:rPr>
        <w:t>»</w:t>
      </w:r>
      <w:r w:rsidR="0046208F" w:rsidRPr="00F60A3D">
        <w:rPr>
          <w:rFonts w:eastAsia="MS ??"/>
          <w:lang w:val="fr-FR"/>
        </w:rPr>
        <w:t xml:space="preserve"> adoptée en septembre 2015, prévoit la </w:t>
      </w:r>
      <w:r w:rsidR="003722E6" w:rsidRPr="00F60A3D">
        <w:rPr>
          <w:rFonts w:eastAsia="MS ??"/>
          <w:lang w:val="fr-FR"/>
        </w:rPr>
        <w:t>cré</w:t>
      </w:r>
      <w:r w:rsidR="0046208F" w:rsidRPr="00F60A3D">
        <w:rPr>
          <w:rFonts w:eastAsia="MS ??"/>
          <w:lang w:val="fr-FR"/>
        </w:rPr>
        <w:t>ation de modules spécifiques sur l</w:t>
      </w:r>
      <w:r w:rsidR="00B17AE1" w:rsidRPr="00F60A3D">
        <w:rPr>
          <w:rFonts w:eastAsia="MS ??"/>
          <w:lang w:val="fr-FR"/>
        </w:rPr>
        <w:t>’</w:t>
      </w:r>
      <w:r w:rsidR="0046208F" w:rsidRPr="00F60A3D">
        <w:rPr>
          <w:rFonts w:eastAsia="MS ??"/>
          <w:lang w:val="fr-FR"/>
        </w:rPr>
        <w:t>égalité des sexes dans les programmes scolaires. Une formation dans le domaine du droit international des droits de l</w:t>
      </w:r>
      <w:r w:rsidR="00B17AE1" w:rsidRPr="00F60A3D">
        <w:rPr>
          <w:rFonts w:eastAsia="MS ??"/>
          <w:lang w:val="fr-FR"/>
        </w:rPr>
        <w:t>’</w:t>
      </w:r>
      <w:r w:rsidR="0046208F" w:rsidRPr="00F60A3D">
        <w:rPr>
          <w:rFonts w:eastAsia="MS ??"/>
          <w:lang w:val="fr-FR"/>
        </w:rPr>
        <w:t xml:space="preserve">homme et du droit international humanitaire est également dispensée au personnel du Ministère des affaires </w:t>
      </w:r>
      <w:r w:rsidR="00FE4548" w:rsidRPr="00F60A3D">
        <w:rPr>
          <w:rFonts w:eastAsia="MS ??"/>
          <w:lang w:val="fr-FR"/>
        </w:rPr>
        <w:t>étrangères</w:t>
      </w:r>
      <w:r w:rsidR="003722E6" w:rsidRPr="00F60A3D">
        <w:rPr>
          <w:rFonts w:eastAsia="MS ??"/>
          <w:lang w:val="fr-FR"/>
        </w:rPr>
        <w:t xml:space="preserve"> et de la coopérati</w:t>
      </w:r>
      <w:r w:rsidR="0046208F" w:rsidRPr="00F60A3D">
        <w:rPr>
          <w:rFonts w:eastAsia="MS ??"/>
          <w:lang w:val="fr-FR"/>
        </w:rPr>
        <w:t>on internationale, notamment aux jeunes diplo</w:t>
      </w:r>
      <w:r w:rsidR="00955BB2" w:rsidRPr="00F60A3D">
        <w:rPr>
          <w:rFonts w:eastAsia="MS ??"/>
          <w:lang w:val="fr-FR"/>
        </w:rPr>
        <w:t>mates durant leur période probatoire</w:t>
      </w:r>
      <w:r w:rsidR="008939C4" w:rsidRPr="00F60A3D">
        <w:rPr>
          <w:rFonts w:eastAsia="MS ??"/>
          <w:lang w:val="fr-FR"/>
        </w:rPr>
        <w:t>,</w:t>
      </w:r>
      <w:r w:rsidR="0046208F" w:rsidRPr="00F60A3D">
        <w:rPr>
          <w:rFonts w:eastAsia="MS ??"/>
          <w:lang w:val="fr-FR"/>
        </w:rPr>
        <w:t xml:space="preserve"> et au personnel consulaire. </w:t>
      </w:r>
    </w:p>
    <w:p w:rsidR="0046208F" w:rsidRPr="00F60A3D" w:rsidRDefault="00224935" w:rsidP="005230A3">
      <w:pPr>
        <w:pStyle w:val="SingleTxtG"/>
        <w:rPr>
          <w:lang w:val="fr-FR"/>
        </w:rPr>
      </w:pPr>
      <w:r w:rsidRPr="00F60A3D">
        <w:rPr>
          <w:lang w:val="fr-FR"/>
        </w:rPr>
        <w:t>242.</w:t>
      </w:r>
      <w:r w:rsidR="001D2CCC" w:rsidRPr="00F60A3D">
        <w:rPr>
          <w:lang w:val="fr-FR"/>
        </w:rPr>
        <w:tab/>
      </w:r>
      <w:r w:rsidR="0046208F" w:rsidRPr="00F60A3D">
        <w:rPr>
          <w:lang w:val="fr-FR"/>
        </w:rPr>
        <w:t>Tous les Plans d</w:t>
      </w:r>
      <w:r w:rsidR="00B17AE1" w:rsidRPr="00F60A3D">
        <w:rPr>
          <w:lang w:val="fr-FR"/>
        </w:rPr>
        <w:t>’</w:t>
      </w:r>
      <w:r w:rsidR="0046208F" w:rsidRPr="00F60A3D">
        <w:rPr>
          <w:lang w:val="fr-FR"/>
        </w:rPr>
        <w:t xml:space="preserve">action nationaux précités incluent des sections spécifiques consacrées </w:t>
      </w:r>
      <w:r w:rsidR="000B746E" w:rsidRPr="00F60A3D">
        <w:rPr>
          <w:lang w:val="fr-FR"/>
        </w:rPr>
        <w:t>à des act</w:t>
      </w:r>
      <w:r w:rsidR="00A31E50" w:rsidRPr="00F60A3D">
        <w:rPr>
          <w:lang w:val="fr-FR"/>
        </w:rPr>
        <w:t>ivités globales de sensibilisati</w:t>
      </w:r>
      <w:r w:rsidR="000B746E" w:rsidRPr="00F60A3D">
        <w:rPr>
          <w:lang w:val="fr-FR"/>
        </w:rPr>
        <w:t>on, d</w:t>
      </w:r>
      <w:r w:rsidR="00B17AE1" w:rsidRPr="00F60A3D">
        <w:rPr>
          <w:lang w:val="fr-FR"/>
        </w:rPr>
        <w:t>’</w:t>
      </w:r>
      <w:r w:rsidR="000B746E" w:rsidRPr="00F60A3D">
        <w:rPr>
          <w:lang w:val="fr-FR"/>
        </w:rPr>
        <w:t>inform</w:t>
      </w:r>
      <w:r w:rsidR="009B303F" w:rsidRPr="00F60A3D">
        <w:rPr>
          <w:lang w:val="fr-FR"/>
        </w:rPr>
        <w:t>ation et d</w:t>
      </w:r>
      <w:r w:rsidR="009E42CC" w:rsidRPr="00F60A3D">
        <w:rPr>
          <w:lang w:val="fr-FR"/>
        </w:rPr>
        <w:t xml:space="preserve">e formation, y compris au </w:t>
      </w:r>
      <w:r w:rsidR="000B746E" w:rsidRPr="00F60A3D">
        <w:rPr>
          <w:lang w:val="fr-FR"/>
        </w:rPr>
        <w:t>secteur des médias. Dans ce cadre, il faut mentionner la Charte de Rome, un code d</w:t>
      </w:r>
      <w:r w:rsidR="00F5620B" w:rsidRPr="00F60A3D">
        <w:rPr>
          <w:lang w:val="fr-FR"/>
        </w:rPr>
        <w:t>e déontologie</w:t>
      </w:r>
      <w:r w:rsidR="000B746E" w:rsidRPr="00F60A3D">
        <w:rPr>
          <w:lang w:val="fr-FR"/>
        </w:rPr>
        <w:t xml:space="preserve"> qui </w:t>
      </w:r>
      <w:r w:rsidR="00F5620B" w:rsidRPr="00F60A3D">
        <w:rPr>
          <w:lang w:val="fr-FR"/>
        </w:rPr>
        <w:t>donne des orientations concernant la fourniture d</w:t>
      </w:r>
      <w:r w:rsidR="00B17AE1" w:rsidRPr="00F60A3D">
        <w:rPr>
          <w:lang w:val="fr-FR"/>
        </w:rPr>
        <w:t>’</w:t>
      </w:r>
      <w:r w:rsidR="00F5620B" w:rsidRPr="00F60A3D">
        <w:rPr>
          <w:lang w:val="fr-FR"/>
        </w:rPr>
        <w:t>une information correcte sur les questions d</w:t>
      </w:r>
      <w:r w:rsidR="00B17AE1" w:rsidRPr="00F60A3D">
        <w:rPr>
          <w:lang w:val="fr-FR"/>
        </w:rPr>
        <w:t>’</w:t>
      </w:r>
      <w:r w:rsidR="00F5620B" w:rsidRPr="00F60A3D">
        <w:rPr>
          <w:lang w:val="fr-FR"/>
        </w:rPr>
        <w:t>immigration, d</w:t>
      </w:r>
      <w:r w:rsidR="00B17AE1" w:rsidRPr="00F60A3D">
        <w:rPr>
          <w:lang w:val="fr-FR"/>
        </w:rPr>
        <w:t>’</w:t>
      </w:r>
      <w:r w:rsidR="00F5620B" w:rsidRPr="00F60A3D">
        <w:rPr>
          <w:lang w:val="fr-FR"/>
        </w:rPr>
        <w:t>asile et de traite des êtres humains.</w:t>
      </w:r>
      <w:r w:rsidR="00731982" w:rsidRPr="00F60A3D">
        <w:rPr>
          <w:lang w:val="fr-FR"/>
        </w:rPr>
        <w:t xml:space="preserve"> </w:t>
      </w:r>
    </w:p>
    <w:p w:rsidR="005063FC" w:rsidRPr="00F60A3D" w:rsidRDefault="00B27AF5" w:rsidP="00B27AF5">
      <w:pPr>
        <w:pStyle w:val="H1G"/>
        <w:rPr>
          <w:lang w:val="fr-FR"/>
        </w:rPr>
      </w:pPr>
      <w:r w:rsidRPr="00F60A3D">
        <w:rPr>
          <w:lang w:val="fr-FR"/>
        </w:rPr>
        <w:lastRenderedPageBreak/>
        <w:tab/>
      </w:r>
      <w:r w:rsidR="005063FC" w:rsidRPr="00F60A3D">
        <w:rPr>
          <w:lang w:val="fr-FR"/>
        </w:rPr>
        <w:t>D</w:t>
      </w:r>
      <w:r w:rsidRPr="00F60A3D">
        <w:rPr>
          <w:lang w:val="fr-FR"/>
        </w:rPr>
        <w:t>.</w:t>
      </w:r>
      <w:r w:rsidR="00065CB2" w:rsidRPr="00F60A3D">
        <w:rPr>
          <w:lang w:val="fr-FR"/>
        </w:rPr>
        <w:tab/>
      </w:r>
      <w:r w:rsidR="00F5620B" w:rsidRPr="00F60A3D">
        <w:rPr>
          <w:lang w:val="fr-FR"/>
        </w:rPr>
        <w:t>Élaboration du rapport à l</w:t>
      </w:r>
      <w:r w:rsidR="00B17AE1" w:rsidRPr="00F60A3D">
        <w:rPr>
          <w:lang w:val="fr-FR"/>
        </w:rPr>
        <w:t>’</w:t>
      </w:r>
      <w:r w:rsidR="00F5620B" w:rsidRPr="00F60A3D">
        <w:rPr>
          <w:lang w:val="fr-FR"/>
        </w:rPr>
        <w:t>échelon national</w:t>
      </w:r>
      <w:r w:rsidR="00731982" w:rsidRPr="00F60A3D">
        <w:rPr>
          <w:lang w:val="fr-FR"/>
        </w:rPr>
        <w:t xml:space="preserve"> </w:t>
      </w:r>
    </w:p>
    <w:p w:rsidR="005063FC" w:rsidRPr="00F60A3D" w:rsidRDefault="00DD5FDA" w:rsidP="00B53B34">
      <w:pPr>
        <w:pStyle w:val="SingleTxtG"/>
        <w:rPr>
          <w:lang w:val="fr-FR"/>
        </w:rPr>
      </w:pPr>
      <w:r w:rsidRPr="00F60A3D">
        <w:rPr>
          <w:lang w:val="fr-FR"/>
        </w:rPr>
        <w:t>243</w:t>
      </w:r>
      <w:r w:rsidR="00A8175B" w:rsidRPr="00F60A3D">
        <w:rPr>
          <w:lang w:val="fr-FR"/>
        </w:rPr>
        <w:t>.</w:t>
      </w:r>
      <w:r w:rsidR="00A8175B" w:rsidRPr="00F60A3D">
        <w:rPr>
          <w:lang w:val="fr-FR"/>
        </w:rPr>
        <w:tab/>
        <w:t>En sus d</w:t>
      </w:r>
      <w:r w:rsidR="00B53B34" w:rsidRPr="00F60A3D">
        <w:rPr>
          <w:lang w:val="fr-FR"/>
        </w:rPr>
        <w:t>es informations dé</w:t>
      </w:r>
      <w:r w:rsidR="003722E6" w:rsidRPr="00F60A3D">
        <w:rPr>
          <w:lang w:val="fr-FR"/>
        </w:rPr>
        <w:t>jà c</w:t>
      </w:r>
      <w:r w:rsidR="00B53B34" w:rsidRPr="00F60A3D">
        <w:rPr>
          <w:lang w:val="fr-FR"/>
        </w:rPr>
        <w:t>ommuniquée</w:t>
      </w:r>
      <w:r w:rsidR="003722E6" w:rsidRPr="00F60A3D">
        <w:rPr>
          <w:lang w:val="fr-FR"/>
        </w:rPr>
        <w:t>s</w:t>
      </w:r>
      <w:r w:rsidR="00CD76FB" w:rsidRPr="00F60A3D">
        <w:rPr>
          <w:lang w:val="fr-FR"/>
        </w:rPr>
        <w:t xml:space="preserve"> au paragraphe </w:t>
      </w:r>
      <w:r w:rsidR="00B53B34" w:rsidRPr="00F60A3D">
        <w:rPr>
          <w:lang w:val="fr-FR"/>
        </w:rPr>
        <w:t>150, le Comité international des droits de l</w:t>
      </w:r>
      <w:r w:rsidR="00B17AE1" w:rsidRPr="00F60A3D">
        <w:rPr>
          <w:lang w:val="fr-FR"/>
        </w:rPr>
        <w:t>’</w:t>
      </w:r>
      <w:r w:rsidR="00B53B34" w:rsidRPr="00F60A3D">
        <w:rPr>
          <w:lang w:val="fr-FR"/>
        </w:rPr>
        <w:t>homme est chargé des activités de sui</w:t>
      </w:r>
      <w:r w:rsidR="003722E6" w:rsidRPr="00F60A3D">
        <w:rPr>
          <w:lang w:val="fr-FR"/>
        </w:rPr>
        <w:t>vi</w:t>
      </w:r>
      <w:r w:rsidR="00312DD3" w:rsidRPr="00F60A3D">
        <w:rPr>
          <w:lang w:val="fr-FR"/>
        </w:rPr>
        <w:t xml:space="preserve"> concernant</w:t>
      </w:r>
      <w:r w:rsidR="00B53B34" w:rsidRPr="00F60A3D">
        <w:rPr>
          <w:lang w:val="fr-FR"/>
        </w:rPr>
        <w:t xml:space="preserve"> l</w:t>
      </w:r>
      <w:r w:rsidR="00B17AE1" w:rsidRPr="00F60A3D">
        <w:rPr>
          <w:lang w:val="fr-FR"/>
        </w:rPr>
        <w:t>’</w:t>
      </w:r>
      <w:r w:rsidR="00B53B34" w:rsidRPr="00F60A3D">
        <w:rPr>
          <w:lang w:val="fr-FR"/>
        </w:rPr>
        <w:t>Ex</w:t>
      </w:r>
      <w:r w:rsidR="003722E6" w:rsidRPr="00F60A3D">
        <w:rPr>
          <w:lang w:val="fr-FR"/>
        </w:rPr>
        <w:t>a</w:t>
      </w:r>
      <w:r w:rsidR="00312DD3" w:rsidRPr="00F60A3D">
        <w:rPr>
          <w:lang w:val="fr-FR"/>
        </w:rPr>
        <w:t>men périodique universel et les</w:t>
      </w:r>
      <w:r w:rsidR="00B53B34" w:rsidRPr="00F60A3D">
        <w:rPr>
          <w:lang w:val="fr-FR"/>
        </w:rPr>
        <w:t xml:space="preserve"> Observations finales/comment</w:t>
      </w:r>
      <w:r w:rsidR="00A31E50" w:rsidRPr="00F60A3D">
        <w:rPr>
          <w:lang w:val="fr-FR"/>
        </w:rPr>
        <w:t xml:space="preserve">aires des </w:t>
      </w:r>
      <w:r w:rsidR="00B53B34" w:rsidRPr="00F60A3D">
        <w:rPr>
          <w:lang w:val="fr-FR"/>
        </w:rPr>
        <w:t xml:space="preserve">organes </w:t>
      </w:r>
      <w:r w:rsidR="00A31E50" w:rsidRPr="00F60A3D">
        <w:rPr>
          <w:lang w:val="fr-FR"/>
        </w:rPr>
        <w:t>de l</w:t>
      </w:r>
      <w:r w:rsidR="00B17AE1" w:rsidRPr="00F60A3D">
        <w:rPr>
          <w:lang w:val="fr-FR"/>
        </w:rPr>
        <w:t>’</w:t>
      </w:r>
      <w:r w:rsidR="00A31E50" w:rsidRPr="00F60A3D">
        <w:rPr>
          <w:lang w:val="fr-FR"/>
        </w:rPr>
        <w:t xml:space="preserve">ONU </w:t>
      </w:r>
      <w:r w:rsidR="00B53B34" w:rsidRPr="00F60A3D">
        <w:rPr>
          <w:lang w:val="fr-FR"/>
        </w:rPr>
        <w:t>créés en vertu d</w:t>
      </w:r>
      <w:r w:rsidR="00B17AE1" w:rsidRPr="00F60A3D">
        <w:rPr>
          <w:lang w:val="fr-FR"/>
        </w:rPr>
        <w:t>’</w:t>
      </w:r>
      <w:r w:rsidR="00B53B34" w:rsidRPr="00F60A3D">
        <w:rPr>
          <w:lang w:val="fr-FR"/>
        </w:rPr>
        <w:t>instruments internationaux</w:t>
      </w:r>
      <w:r w:rsidR="00A31E50" w:rsidRPr="00F60A3D">
        <w:rPr>
          <w:lang w:val="fr-FR"/>
        </w:rPr>
        <w:t xml:space="preserve"> relatifs aux droits de l</w:t>
      </w:r>
      <w:r w:rsidR="00B17AE1" w:rsidRPr="00F60A3D">
        <w:rPr>
          <w:lang w:val="fr-FR"/>
        </w:rPr>
        <w:t>’</w:t>
      </w:r>
      <w:r w:rsidR="00A31E50" w:rsidRPr="00F60A3D">
        <w:rPr>
          <w:lang w:val="fr-FR"/>
        </w:rPr>
        <w:t>homme</w:t>
      </w:r>
      <w:r w:rsidR="009E42CC" w:rsidRPr="00F60A3D">
        <w:rPr>
          <w:lang w:val="fr-FR"/>
        </w:rPr>
        <w:t>. Le Comité international des droits de l</w:t>
      </w:r>
      <w:r w:rsidR="00B17AE1" w:rsidRPr="00F60A3D">
        <w:rPr>
          <w:lang w:val="fr-FR"/>
        </w:rPr>
        <w:t>’</w:t>
      </w:r>
      <w:r w:rsidR="009E42CC" w:rsidRPr="00F60A3D">
        <w:rPr>
          <w:lang w:val="fr-FR"/>
        </w:rPr>
        <w:t>homme</w:t>
      </w:r>
      <w:r w:rsidR="0069779A" w:rsidRPr="00F60A3D">
        <w:rPr>
          <w:lang w:val="fr-FR"/>
        </w:rPr>
        <w:t xml:space="preserve"> dispens</w:t>
      </w:r>
      <w:r w:rsidR="00B53B34" w:rsidRPr="00F60A3D">
        <w:rPr>
          <w:lang w:val="fr-FR"/>
        </w:rPr>
        <w:t>e des conseils à cet égar</w:t>
      </w:r>
      <w:r w:rsidR="008939C4" w:rsidRPr="00F60A3D">
        <w:rPr>
          <w:lang w:val="fr-FR"/>
        </w:rPr>
        <w:t>d et veille à la traduction en i</w:t>
      </w:r>
      <w:r w:rsidR="00B53B34" w:rsidRPr="00F60A3D">
        <w:rPr>
          <w:lang w:val="fr-FR"/>
        </w:rPr>
        <w:t>talien et à la diffusion des documents pertinents (à savoir, de</w:t>
      </w:r>
      <w:r w:rsidR="009E42CC" w:rsidRPr="00F60A3D">
        <w:rPr>
          <w:lang w:val="fr-FR"/>
        </w:rPr>
        <w:t>s observations finales). Il</w:t>
      </w:r>
      <w:r w:rsidR="00B53B34" w:rsidRPr="00F60A3D">
        <w:rPr>
          <w:lang w:val="fr-FR"/>
        </w:rPr>
        <w:t xml:space="preserve"> organise aussi et/ou </w:t>
      </w:r>
      <w:r w:rsidR="003722E6" w:rsidRPr="00F60A3D">
        <w:rPr>
          <w:lang w:val="fr-FR"/>
        </w:rPr>
        <w:t>particip</w:t>
      </w:r>
      <w:r w:rsidR="00B53B34" w:rsidRPr="00F60A3D">
        <w:rPr>
          <w:lang w:val="fr-FR"/>
        </w:rPr>
        <w:t xml:space="preserve">e à des </w:t>
      </w:r>
      <w:r w:rsidR="003722E6" w:rsidRPr="00F60A3D">
        <w:rPr>
          <w:lang w:val="fr-FR"/>
        </w:rPr>
        <w:t>colloqu</w:t>
      </w:r>
      <w:r w:rsidR="00300787" w:rsidRPr="00F60A3D">
        <w:rPr>
          <w:lang w:val="fr-FR"/>
        </w:rPr>
        <w:t xml:space="preserve">es, ateliers et </w:t>
      </w:r>
      <w:r w:rsidR="003722E6" w:rsidRPr="00F60A3D">
        <w:rPr>
          <w:lang w:val="fr-FR"/>
        </w:rPr>
        <w:t>confé</w:t>
      </w:r>
      <w:r w:rsidR="00B53B34" w:rsidRPr="00F60A3D">
        <w:rPr>
          <w:lang w:val="fr-FR"/>
        </w:rPr>
        <w:t xml:space="preserve">rences sur </w:t>
      </w:r>
      <w:r w:rsidR="006609D7" w:rsidRPr="00F60A3D">
        <w:rPr>
          <w:lang w:val="fr-FR"/>
        </w:rPr>
        <w:t>diverses questions portant sur les</w:t>
      </w:r>
      <w:r w:rsidR="00B53B34" w:rsidRPr="00F60A3D">
        <w:rPr>
          <w:lang w:val="fr-FR"/>
        </w:rPr>
        <w:t xml:space="preserve"> droits de l</w:t>
      </w:r>
      <w:r w:rsidR="00B17AE1" w:rsidRPr="00F60A3D">
        <w:rPr>
          <w:lang w:val="fr-FR"/>
        </w:rPr>
        <w:t>’</w:t>
      </w:r>
      <w:r w:rsidR="00B53B34" w:rsidRPr="00F60A3D">
        <w:rPr>
          <w:lang w:val="fr-FR"/>
        </w:rPr>
        <w:t>homme</w:t>
      </w:r>
      <w:r w:rsidR="005063FC" w:rsidRPr="00F60A3D">
        <w:rPr>
          <w:lang w:val="fr-FR"/>
        </w:rPr>
        <w:t xml:space="preserve"> (www.cidu.esteri.it).</w:t>
      </w:r>
      <w:r w:rsidR="00731982" w:rsidRPr="00F60A3D">
        <w:rPr>
          <w:lang w:val="fr-FR"/>
        </w:rPr>
        <w:t xml:space="preserve"> </w:t>
      </w:r>
    </w:p>
    <w:p w:rsidR="005063FC" w:rsidRPr="00F60A3D" w:rsidRDefault="00B27AF5" w:rsidP="00B27AF5">
      <w:pPr>
        <w:pStyle w:val="H1G"/>
        <w:rPr>
          <w:lang w:val="fr-FR"/>
        </w:rPr>
      </w:pPr>
      <w:r w:rsidRPr="00F60A3D">
        <w:rPr>
          <w:lang w:val="fr-FR"/>
        </w:rPr>
        <w:tab/>
      </w:r>
      <w:r w:rsidR="005063FC" w:rsidRPr="00F60A3D">
        <w:rPr>
          <w:lang w:val="fr-FR"/>
        </w:rPr>
        <w:t>E</w:t>
      </w:r>
      <w:r w:rsidRPr="00F60A3D">
        <w:rPr>
          <w:lang w:val="fr-FR"/>
        </w:rPr>
        <w:t>.</w:t>
      </w:r>
      <w:r w:rsidR="00065CB2" w:rsidRPr="00F60A3D">
        <w:rPr>
          <w:lang w:val="fr-FR"/>
        </w:rPr>
        <w:tab/>
      </w:r>
      <w:r w:rsidR="00B53B34" w:rsidRPr="00F60A3D">
        <w:rPr>
          <w:lang w:val="fr-FR"/>
        </w:rPr>
        <w:t>Autres informations relatives aux droits de l</w:t>
      </w:r>
      <w:r w:rsidR="00B17AE1" w:rsidRPr="00F60A3D">
        <w:rPr>
          <w:lang w:val="fr-FR"/>
        </w:rPr>
        <w:t>’</w:t>
      </w:r>
      <w:r w:rsidR="00B53B34" w:rsidRPr="00F60A3D">
        <w:rPr>
          <w:lang w:val="fr-FR"/>
        </w:rPr>
        <w:t>homme</w:t>
      </w:r>
      <w:r w:rsidR="00731982" w:rsidRPr="00F60A3D">
        <w:rPr>
          <w:lang w:val="fr-FR"/>
        </w:rPr>
        <w:t xml:space="preserve"> </w:t>
      </w:r>
    </w:p>
    <w:p w:rsidR="005063FC" w:rsidRPr="00F60A3D" w:rsidRDefault="00DD5FDA" w:rsidP="00B27AF5">
      <w:pPr>
        <w:pStyle w:val="SingleTxtG"/>
        <w:rPr>
          <w:lang w:val="fr-FR"/>
        </w:rPr>
      </w:pPr>
      <w:r w:rsidRPr="00F60A3D">
        <w:rPr>
          <w:lang w:val="fr-FR"/>
        </w:rPr>
        <w:t>244</w:t>
      </w:r>
      <w:r w:rsidR="00B53B34" w:rsidRPr="00F60A3D">
        <w:rPr>
          <w:lang w:val="fr-FR"/>
        </w:rPr>
        <w:t>.</w:t>
      </w:r>
      <w:r w:rsidR="00B53B34" w:rsidRPr="00F60A3D">
        <w:rPr>
          <w:lang w:val="fr-FR"/>
        </w:rPr>
        <w:tab/>
        <w:t xml:space="preserve">En ce qui concerne le suivi des </w:t>
      </w:r>
      <w:r w:rsidR="00262BEE" w:rsidRPr="00F60A3D">
        <w:rPr>
          <w:lang w:val="fr-FR"/>
        </w:rPr>
        <w:t>confé</w:t>
      </w:r>
      <w:r w:rsidR="00B53B34" w:rsidRPr="00F60A3D">
        <w:rPr>
          <w:lang w:val="fr-FR"/>
        </w:rPr>
        <w:t>rences</w:t>
      </w:r>
      <w:r w:rsidR="00262BEE" w:rsidRPr="00F60A3D">
        <w:rPr>
          <w:lang w:val="fr-FR"/>
        </w:rPr>
        <w:t xml:space="preserve"> internationales, se reporter</w:t>
      </w:r>
      <w:r w:rsidR="00B53B34" w:rsidRPr="00F60A3D">
        <w:rPr>
          <w:lang w:val="fr-FR"/>
        </w:rPr>
        <w:t xml:space="preserve"> aux informations fournies aux paragraphes 103 et suivants. </w:t>
      </w:r>
    </w:p>
    <w:p w:rsidR="005063FC" w:rsidRPr="00F60A3D" w:rsidRDefault="00B27AF5" w:rsidP="00B27AF5">
      <w:pPr>
        <w:pStyle w:val="HChG"/>
        <w:rPr>
          <w:lang w:val="fr-FR"/>
        </w:rPr>
      </w:pPr>
      <w:r w:rsidRPr="00F60A3D">
        <w:rPr>
          <w:lang w:val="fr-FR"/>
        </w:rPr>
        <w:tab/>
      </w:r>
      <w:r w:rsidR="005063FC" w:rsidRPr="00F60A3D">
        <w:rPr>
          <w:lang w:val="fr-FR"/>
        </w:rPr>
        <w:t>III</w:t>
      </w:r>
      <w:r w:rsidRPr="00F60A3D">
        <w:rPr>
          <w:lang w:val="fr-FR"/>
        </w:rPr>
        <w:t>.</w:t>
      </w:r>
      <w:r w:rsidR="00065CB2" w:rsidRPr="00F60A3D">
        <w:rPr>
          <w:lang w:val="fr-FR"/>
        </w:rPr>
        <w:tab/>
      </w:r>
      <w:r w:rsidR="005063FC" w:rsidRPr="00F60A3D">
        <w:rPr>
          <w:lang w:val="fr-FR"/>
        </w:rPr>
        <w:t xml:space="preserve">Information </w:t>
      </w:r>
      <w:r w:rsidR="00371C85" w:rsidRPr="00F60A3D">
        <w:rPr>
          <w:lang w:val="fr-FR"/>
        </w:rPr>
        <w:t>sur la</w:t>
      </w:r>
      <w:r w:rsidR="005063FC" w:rsidRPr="00F60A3D">
        <w:rPr>
          <w:lang w:val="fr-FR"/>
        </w:rPr>
        <w:t xml:space="preserve"> non-discrimination </w:t>
      </w:r>
      <w:r w:rsidR="00371C85" w:rsidRPr="00F60A3D">
        <w:rPr>
          <w:lang w:val="fr-FR"/>
        </w:rPr>
        <w:t>et l</w:t>
      </w:r>
      <w:r w:rsidR="00B17AE1" w:rsidRPr="00F60A3D">
        <w:rPr>
          <w:lang w:val="fr-FR"/>
        </w:rPr>
        <w:t>’</w:t>
      </w:r>
      <w:r w:rsidR="00371C85" w:rsidRPr="00F60A3D">
        <w:rPr>
          <w:lang w:val="fr-FR"/>
        </w:rPr>
        <w:t>égalité ainsi que sur les recours juridiques efficaces</w:t>
      </w:r>
      <w:r w:rsidR="005063FC" w:rsidRPr="00F60A3D">
        <w:rPr>
          <w:lang w:val="fr-FR"/>
        </w:rPr>
        <w:t xml:space="preserve"> </w:t>
      </w:r>
    </w:p>
    <w:p w:rsidR="005063FC" w:rsidRPr="00F60A3D" w:rsidRDefault="00B27AF5" w:rsidP="00B27AF5">
      <w:pPr>
        <w:pStyle w:val="H1G"/>
        <w:rPr>
          <w:lang w:val="fr-FR"/>
        </w:rPr>
      </w:pPr>
      <w:r w:rsidRPr="00F60A3D">
        <w:rPr>
          <w:lang w:val="fr-FR"/>
        </w:rPr>
        <w:tab/>
      </w:r>
      <w:r w:rsidRPr="00F60A3D">
        <w:rPr>
          <w:lang w:val="fr-FR"/>
        </w:rPr>
        <w:tab/>
      </w:r>
      <w:r w:rsidR="005063FC" w:rsidRPr="00F60A3D">
        <w:rPr>
          <w:lang w:val="fr-FR"/>
        </w:rPr>
        <w:t>Introduction</w:t>
      </w:r>
    </w:p>
    <w:p w:rsidR="00461DD0" w:rsidRPr="00F60A3D" w:rsidRDefault="00DD5FDA" w:rsidP="00B27AF5">
      <w:pPr>
        <w:pStyle w:val="SingleTxtG"/>
        <w:rPr>
          <w:lang w:val="fr-FR"/>
        </w:rPr>
      </w:pPr>
      <w:r w:rsidRPr="00F60A3D">
        <w:rPr>
          <w:lang w:val="fr-FR"/>
        </w:rPr>
        <w:t>245</w:t>
      </w:r>
      <w:r w:rsidR="00461DD0" w:rsidRPr="00F60A3D">
        <w:rPr>
          <w:lang w:val="fr-FR"/>
        </w:rPr>
        <w:t>.</w:t>
      </w:r>
      <w:r w:rsidR="00461DD0" w:rsidRPr="00F60A3D">
        <w:rPr>
          <w:lang w:val="fr-FR"/>
        </w:rPr>
        <w:tab/>
        <w:t xml:space="preserve">Le principe fondamental </w:t>
      </w:r>
      <w:r w:rsidR="00262BEE" w:rsidRPr="00F60A3D">
        <w:rPr>
          <w:lang w:val="fr-FR"/>
        </w:rPr>
        <w:t>don</w:t>
      </w:r>
      <w:r w:rsidR="00461DD0" w:rsidRPr="00F60A3D">
        <w:rPr>
          <w:lang w:val="fr-FR"/>
        </w:rPr>
        <w:t>t s</w:t>
      </w:r>
      <w:r w:rsidR="00B17AE1" w:rsidRPr="00F60A3D">
        <w:rPr>
          <w:lang w:val="fr-FR"/>
        </w:rPr>
        <w:t>’</w:t>
      </w:r>
      <w:r w:rsidR="00461DD0" w:rsidRPr="00F60A3D">
        <w:rPr>
          <w:lang w:val="fr-FR"/>
        </w:rPr>
        <w:t>inspirent les démocraties modernes en matière des droits de l</w:t>
      </w:r>
      <w:r w:rsidR="00B17AE1" w:rsidRPr="00F60A3D">
        <w:rPr>
          <w:lang w:val="fr-FR"/>
        </w:rPr>
        <w:t>’</w:t>
      </w:r>
      <w:r w:rsidR="000F2449" w:rsidRPr="00F60A3D">
        <w:rPr>
          <w:lang w:val="fr-FR"/>
        </w:rPr>
        <w:t>homme est la mise en œuvre effectiv</w:t>
      </w:r>
      <w:r w:rsidR="00461DD0" w:rsidRPr="00F60A3D">
        <w:rPr>
          <w:lang w:val="fr-FR"/>
        </w:rPr>
        <w:t>e des principes d</w:t>
      </w:r>
      <w:r w:rsidR="00B17AE1" w:rsidRPr="00F60A3D">
        <w:rPr>
          <w:lang w:val="fr-FR"/>
        </w:rPr>
        <w:t>’</w:t>
      </w:r>
      <w:r w:rsidR="00461DD0" w:rsidRPr="00F60A3D">
        <w:rPr>
          <w:lang w:val="fr-FR"/>
        </w:rPr>
        <w:t xml:space="preserve">égalité </w:t>
      </w:r>
      <w:r w:rsidR="000F2449" w:rsidRPr="00F60A3D">
        <w:rPr>
          <w:lang w:val="fr-FR"/>
        </w:rPr>
        <w:t>et de non-discrimination qui son</w:t>
      </w:r>
      <w:r w:rsidR="00461DD0" w:rsidRPr="00F60A3D">
        <w:rPr>
          <w:lang w:val="fr-FR"/>
        </w:rPr>
        <w:t>t</w:t>
      </w:r>
      <w:r w:rsidR="008F3558" w:rsidRPr="00F60A3D">
        <w:rPr>
          <w:lang w:val="fr-FR"/>
        </w:rPr>
        <w:t>,</w:t>
      </w:r>
      <w:r w:rsidR="00461DD0" w:rsidRPr="00F60A3D">
        <w:rPr>
          <w:lang w:val="fr-FR"/>
        </w:rPr>
        <w:t xml:space="preserve"> de fait</w:t>
      </w:r>
      <w:r w:rsidR="008F3558" w:rsidRPr="00F60A3D">
        <w:rPr>
          <w:lang w:val="fr-FR"/>
        </w:rPr>
        <w:t>,</w:t>
      </w:r>
      <w:r w:rsidR="00461DD0" w:rsidRPr="00F60A3D">
        <w:rPr>
          <w:lang w:val="fr-FR"/>
        </w:rPr>
        <w:t xml:space="preserve"> l</w:t>
      </w:r>
      <w:r w:rsidR="00B17AE1" w:rsidRPr="00F60A3D">
        <w:rPr>
          <w:lang w:val="fr-FR"/>
        </w:rPr>
        <w:t>’</w:t>
      </w:r>
      <w:r w:rsidR="00461DD0" w:rsidRPr="00F60A3D">
        <w:rPr>
          <w:lang w:val="fr-FR"/>
        </w:rPr>
        <w:t>un des piliers de notre Constitution sur lequel s</w:t>
      </w:r>
      <w:r w:rsidR="00B17AE1" w:rsidRPr="00F60A3D">
        <w:rPr>
          <w:lang w:val="fr-FR"/>
        </w:rPr>
        <w:t>’</w:t>
      </w:r>
      <w:r w:rsidR="00461DD0" w:rsidRPr="00F60A3D">
        <w:rPr>
          <w:lang w:val="fr-FR"/>
        </w:rPr>
        <w:t>appuie le système</w:t>
      </w:r>
      <w:r w:rsidR="00736673" w:rsidRPr="00F60A3D">
        <w:rPr>
          <w:lang w:val="fr-FR"/>
        </w:rPr>
        <w:t xml:space="preserve"> législatif national: </w:t>
      </w:r>
      <w:r w:rsidR="00731982" w:rsidRPr="00F60A3D">
        <w:rPr>
          <w:lang w:val="fr-FR"/>
        </w:rPr>
        <w:t>«</w:t>
      </w:r>
      <w:r w:rsidR="00736673" w:rsidRPr="00F60A3D">
        <w:rPr>
          <w:lang w:val="fr-FR"/>
        </w:rPr>
        <w:t>T</w:t>
      </w:r>
      <w:r w:rsidR="00461DD0" w:rsidRPr="00F60A3D">
        <w:rPr>
          <w:lang w:val="fr-FR"/>
        </w:rPr>
        <w:t>ous les citoyens ont une même dignité sociale et sont égaux devant la loi,</w:t>
      </w:r>
      <w:r w:rsidR="00262BEE" w:rsidRPr="00F60A3D">
        <w:rPr>
          <w:lang w:val="fr-FR"/>
        </w:rPr>
        <w:t xml:space="preserve"> </w:t>
      </w:r>
      <w:r w:rsidR="00461DD0" w:rsidRPr="00F60A3D">
        <w:rPr>
          <w:lang w:val="fr-FR"/>
        </w:rPr>
        <w:t>sans distinction de sexe, de race, de langue</w:t>
      </w:r>
      <w:r w:rsidR="001313C8" w:rsidRPr="00F60A3D">
        <w:rPr>
          <w:lang w:val="fr-FR"/>
        </w:rPr>
        <w:t>,</w:t>
      </w:r>
      <w:r w:rsidR="00461DD0" w:rsidRPr="00F60A3D">
        <w:rPr>
          <w:lang w:val="fr-FR"/>
        </w:rPr>
        <w:t xml:space="preserve"> de religion, d</w:t>
      </w:r>
      <w:r w:rsidR="00B17AE1" w:rsidRPr="00F60A3D">
        <w:rPr>
          <w:lang w:val="fr-FR"/>
        </w:rPr>
        <w:t>’</w:t>
      </w:r>
      <w:r w:rsidR="00461DD0" w:rsidRPr="00F60A3D">
        <w:rPr>
          <w:lang w:val="fr-FR"/>
        </w:rPr>
        <w:t xml:space="preserve">opinion politique et </w:t>
      </w:r>
      <w:r w:rsidR="00262BEE" w:rsidRPr="00F60A3D">
        <w:rPr>
          <w:lang w:val="fr-FR"/>
        </w:rPr>
        <w:t xml:space="preserve">de </w:t>
      </w:r>
      <w:r w:rsidR="00461DD0" w:rsidRPr="00F60A3D">
        <w:rPr>
          <w:lang w:val="fr-FR"/>
        </w:rPr>
        <w:t>conditions personne</w:t>
      </w:r>
      <w:r w:rsidR="00262BEE" w:rsidRPr="00F60A3D">
        <w:rPr>
          <w:lang w:val="fr-FR"/>
        </w:rPr>
        <w:t>lle</w:t>
      </w:r>
      <w:r w:rsidR="00461DD0" w:rsidRPr="00F60A3D">
        <w:rPr>
          <w:lang w:val="fr-FR"/>
        </w:rPr>
        <w:t>s et sociales. Il appartient à la République d</w:t>
      </w:r>
      <w:r w:rsidR="00B17AE1" w:rsidRPr="00F60A3D">
        <w:rPr>
          <w:lang w:val="fr-FR"/>
        </w:rPr>
        <w:t>’</w:t>
      </w:r>
      <w:r w:rsidR="00461DD0" w:rsidRPr="00F60A3D">
        <w:rPr>
          <w:lang w:val="fr-FR"/>
        </w:rPr>
        <w:t>écarter les obstacles d</w:t>
      </w:r>
      <w:r w:rsidR="00B17AE1" w:rsidRPr="00F60A3D">
        <w:rPr>
          <w:lang w:val="fr-FR"/>
        </w:rPr>
        <w:t>’</w:t>
      </w:r>
      <w:r w:rsidR="00461DD0" w:rsidRPr="00F60A3D">
        <w:rPr>
          <w:lang w:val="fr-FR"/>
        </w:rPr>
        <w:t xml:space="preserve">ordre économique et social qui, </w:t>
      </w:r>
      <w:r w:rsidR="008F3558" w:rsidRPr="00F60A3D">
        <w:rPr>
          <w:lang w:val="fr-FR"/>
        </w:rPr>
        <w:t xml:space="preserve">en limitant </w:t>
      </w:r>
      <w:r w:rsidR="00461DD0" w:rsidRPr="00F60A3D">
        <w:rPr>
          <w:lang w:val="fr-FR"/>
        </w:rPr>
        <w:t>la liberté et l</w:t>
      </w:r>
      <w:r w:rsidR="00B17AE1" w:rsidRPr="00F60A3D">
        <w:rPr>
          <w:lang w:val="fr-FR"/>
        </w:rPr>
        <w:t>’</w:t>
      </w:r>
      <w:r w:rsidR="00461DD0" w:rsidRPr="00F60A3D">
        <w:rPr>
          <w:lang w:val="fr-FR"/>
        </w:rPr>
        <w:t>égalité des citoyens</w:t>
      </w:r>
      <w:r w:rsidR="004B2019" w:rsidRPr="00F60A3D">
        <w:rPr>
          <w:lang w:val="fr-FR"/>
        </w:rPr>
        <w:t>,</w:t>
      </w:r>
      <w:r w:rsidR="00461DD0" w:rsidRPr="00F60A3D">
        <w:rPr>
          <w:lang w:val="fr-FR"/>
        </w:rPr>
        <w:t xml:space="preserve"> em</w:t>
      </w:r>
      <w:r w:rsidR="00262BEE" w:rsidRPr="00F60A3D">
        <w:rPr>
          <w:lang w:val="fr-FR"/>
        </w:rPr>
        <w:t>p</w:t>
      </w:r>
      <w:r w:rsidR="00461DD0" w:rsidRPr="00F60A3D">
        <w:rPr>
          <w:lang w:val="fr-FR"/>
        </w:rPr>
        <w:t>êchent le complet développement de la liberté humaine et la participation effective de tous</w:t>
      </w:r>
      <w:r w:rsidR="00262BEE" w:rsidRPr="00F60A3D">
        <w:rPr>
          <w:lang w:val="fr-FR"/>
        </w:rPr>
        <w:t xml:space="preserve"> les travailleurs à l</w:t>
      </w:r>
      <w:r w:rsidR="00B17AE1" w:rsidRPr="00F60A3D">
        <w:rPr>
          <w:lang w:val="fr-FR"/>
        </w:rPr>
        <w:t>’</w:t>
      </w:r>
      <w:r w:rsidR="00262BEE" w:rsidRPr="00F60A3D">
        <w:rPr>
          <w:lang w:val="fr-FR"/>
        </w:rPr>
        <w:t>organisati</w:t>
      </w:r>
      <w:r w:rsidR="00461DD0" w:rsidRPr="00F60A3D">
        <w:rPr>
          <w:lang w:val="fr-FR"/>
        </w:rPr>
        <w:t>on politique, économique et</w:t>
      </w:r>
      <w:r w:rsidR="00736673" w:rsidRPr="00F60A3D">
        <w:rPr>
          <w:lang w:val="fr-FR"/>
        </w:rPr>
        <w:t xml:space="preserve"> sociale du pays</w:t>
      </w:r>
      <w:r w:rsidR="00731982" w:rsidRPr="00F60A3D">
        <w:rPr>
          <w:lang w:val="fr-FR"/>
        </w:rPr>
        <w:t>»</w:t>
      </w:r>
      <w:r w:rsidR="00736673" w:rsidRPr="00F60A3D">
        <w:rPr>
          <w:lang w:val="fr-FR"/>
        </w:rPr>
        <w:t xml:space="preserve"> (</w:t>
      </w:r>
      <w:r w:rsidR="00731982" w:rsidRPr="00F60A3D">
        <w:rPr>
          <w:lang w:val="fr-FR"/>
        </w:rPr>
        <w:t>art. </w:t>
      </w:r>
      <w:r w:rsidR="00461DD0" w:rsidRPr="00F60A3D">
        <w:rPr>
          <w:lang w:val="fr-FR"/>
        </w:rPr>
        <w:t xml:space="preserve">3). </w:t>
      </w:r>
      <w:r w:rsidR="00FA4BA6" w:rsidRPr="00F60A3D">
        <w:rPr>
          <w:lang w:val="fr-FR"/>
        </w:rPr>
        <w:t>Comme cela a déjà été souligné, le principe constitutionnel d</w:t>
      </w:r>
      <w:r w:rsidR="00B17AE1" w:rsidRPr="00F60A3D">
        <w:rPr>
          <w:lang w:val="fr-FR"/>
        </w:rPr>
        <w:t>’</w:t>
      </w:r>
      <w:r w:rsidR="00FA4BA6" w:rsidRPr="00F60A3D">
        <w:rPr>
          <w:lang w:val="fr-FR"/>
        </w:rPr>
        <w:t>égalité a une incidence sur toutes les branch</w:t>
      </w:r>
      <w:r w:rsidR="005B6CC0" w:rsidRPr="00F60A3D">
        <w:rPr>
          <w:lang w:val="fr-FR"/>
        </w:rPr>
        <w:t>es du pouvoir. En tant qu</w:t>
      </w:r>
      <w:r w:rsidR="00B17AE1" w:rsidRPr="00F60A3D">
        <w:rPr>
          <w:lang w:val="fr-FR"/>
        </w:rPr>
        <w:t>’</w:t>
      </w:r>
      <w:r w:rsidR="005B6CC0" w:rsidRPr="00F60A3D">
        <w:rPr>
          <w:lang w:val="fr-FR"/>
        </w:rPr>
        <w:t>institution et</w:t>
      </w:r>
      <w:r w:rsidR="00FA4BA6" w:rsidRPr="00F60A3D">
        <w:rPr>
          <w:lang w:val="fr-FR"/>
        </w:rPr>
        <w:t xml:space="preserve"> d</w:t>
      </w:r>
      <w:r w:rsidR="00B17AE1" w:rsidRPr="00F60A3D">
        <w:rPr>
          <w:lang w:val="fr-FR"/>
        </w:rPr>
        <w:t>’</w:t>
      </w:r>
      <w:r w:rsidR="00FA4BA6" w:rsidRPr="00F60A3D">
        <w:rPr>
          <w:lang w:val="fr-FR"/>
        </w:rPr>
        <w:t>un point de vue constitutionnel, la Cour constitutionnelle et le système judiciaire en général jouent un</w:t>
      </w:r>
      <w:r w:rsidR="004F4F48" w:rsidRPr="00F60A3D">
        <w:rPr>
          <w:lang w:val="fr-FR"/>
        </w:rPr>
        <w:t xml:space="preserve"> rôle spécifique, tandis que le Bureau national de lutte contre la discrimination raciale</w:t>
      </w:r>
      <w:r w:rsidR="00206AB2" w:rsidRPr="00F60A3D">
        <w:rPr>
          <w:lang w:val="fr-FR"/>
        </w:rPr>
        <w:t xml:space="preserve"> </w:t>
      </w:r>
      <w:r w:rsidR="00FA4BA6" w:rsidRPr="00F60A3D">
        <w:rPr>
          <w:lang w:val="fr-FR"/>
        </w:rPr>
        <w:t xml:space="preserve">est particulièrement utile au niveau administratif. </w:t>
      </w:r>
    </w:p>
    <w:p w:rsidR="005063FC" w:rsidRPr="00F60A3D" w:rsidRDefault="00065CB2" w:rsidP="00F60A3D">
      <w:pPr>
        <w:pStyle w:val="H1G"/>
        <w:rPr>
          <w:lang w:val="fr-FR"/>
        </w:rPr>
      </w:pPr>
      <w:r w:rsidRPr="00F60A3D">
        <w:rPr>
          <w:lang w:val="fr-FR"/>
        </w:rPr>
        <w:tab/>
      </w:r>
      <w:r w:rsidR="005063FC" w:rsidRPr="00F60A3D">
        <w:rPr>
          <w:lang w:val="fr-FR"/>
        </w:rPr>
        <w:t>A.</w:t>
      </w:r>
      <w:r w:rsidRPr="00F60A3D">
        <w:rPr>
          <w:lang w:val="fr-FR"/>
        </w:rPr>
        <w:tab/>
      </w:r>
      <w:r w:rsidR="00F60A3D" w:rsidRPr="00F60A3D">
        <w:rPr>
          <w:lang w:val="fr-FR"/>
        </w:rPr>
        <w:t xml:space="preserve">Protection </w:t>
      </w:r>
      <w:r w:rsidR="005B6CC0" w:rsidRPr="00F60A3D">
        <w:rPr>
          <w:lang w:val="fr-FR"/>
        </w:rPr>
        <w:t>de l</w:t>
      </w:r>
      <w:r w:rsidR="00B17AE1" w:rsidRPr="00F60A3D">
        <w:rPr>
          <w:lang w:val="fr-FR"/>
        </w:rPr>
        <w:t>’</w:t>
      </w:r>
      <w:r w:rsidR="005B6CC0" w:rsidRPr="00F60A3D">
        <w:rPr>
          <w:lang w:val="fr-FR"/>
        </w:rPr>
        <w:t>égalité et de la</w:t>
      </w:r>
      <w:r w:rsidR="00B27AF5" w:rsidRPr="00F60A3D">
        <w:rPr>
          <w:lang w:val="fr-FR"/>
        </w:rPr>
        <w:t xml:space="preserve"> non-discrimination</w:t>
      </w:r>
    </w:p>
    <w:p w:rsidR="005063FC" w:rsidRPr="00F60A3D" w:rsidRDefault="00DD5FDA" w:rsidP="00B27AF5">
      <w:pPr>
        <w:pStyle w:val="SingleTxtG"/>
        <w:rPr>
          <w:lang w:val="fr-FR"/>
        </w:rPr>
      </w:pPr>
      <w:r w:rsidRPr="00F60A3D">
        <w:rPr>
          <w:lang w:val="fr-FR"/>
        </w:rPr>
        <w:t>246</w:t>
      </w:r>
      <w:r w:rsidR="005B6CC0" w:rsidRPr="00F60A3D">
        <w:rPr>
          <w:lang w:val="fr-FR"/>
        </w:rPr>
        <w:t>.</w:t>
      </w:r>
      <w:r w:rsidR="005B6CC0" w:rsidRPr="00F60A3D">
        <w:rPr>
          <w:lang w:val="fr-FR"/>
        </w:rPr>
        <w:tab/>
        <w:t>Il faut à ce sujet mentionner les dispositions législatives suivantes</w:t>
      </w:r>
      <w:r w:rsidR="00B114D8" w:rsidRPr="00F60A3D">
        <w:rPr>
          <w:rStyle w:val="FootnoteReference"/>
          <w:lang w:val="fr-FR"/>
        </w:rPr>
        <w:footnoteReference w:id="49"/>
      </w:r>
      <w:r w:rsidR="00243C33" w:rsidRPr="00F60A3D">
        <w:rPr>
          <w:lang w:val="fr-FR"/>
        </w:rPr>
        <w:t>:</w:t>
      </w:r>
    </w:p>
    <w:p w:rsidR="005D7C09" w:rsidRPr="00F60A3D" w:rsidRDefault="00224935" w:rsidP="00243C33">
      <w:pPr>
        <w:pStyle w:val="SingleTxtG"/>
        <w:rPr>
          <w:lang w:val="fr-FR"/>
        </w:rPr>
      </w:pPr>
      <w:r w:rsidRPr="00F60A3D">
        <w:rPr>
          <w:lang w:val="fr-FR"/>
        </w:rPr>
        <w:t>247.</w:t>
      </w:r>
      <w:r w:rsidR="001D2CCC" w:rsidRPr="00F60A3D">
        <w:rPr>
          <w:lang w:val="fr-FR"/>
        </w:rPr>
        <w:tab/>
      </w:r>
      <w:r w:rsidR="005D7C09" w:rsidRPr="00F60A3D">
        <w:rPr>
          <w:lang w:val="fr-FR"/>
        </w:rPr>
        <w:t xml:space="preserve">La loi </w:t>
      </w:r>
      <w:r w:rsidR="00B17AE1" w:rsidRPr="00F60A3D">
        <w:rPr>
          <w:lang w:val="fr-FR"/>
        </w:rPr>
        <w:t>n</w:t>
      </w:r>
      <w:r w:rsidR="00B17AE1" w:rsidRPr="00F60A3D">
        <w:rPr>
          <w:vertAlign w:val="superscript"/>
          <w:lang w:val="fr-FR"/>
        </w:rPr>
        <w:t>o</w:t>
      </w:r>
      <w:r w:rsidR="00B17AE1" w:rsidRPr="00F60A3D">
        <w:rPr>
          <w:lang w:val="fr-FR"/>
        </w:rPr>
        <w:t> </w:t>
      </w:r>
      <w:r w:rsidR="005063FC" w:rsidRPr="00F60A3D">
        <w:rPr>
          <w:lang w:val="fr-FR"/>
        </w:rPr>
        <w:t>654/1975 (</w:t>
      </w:r>
      <w:r w:rsidR="005D7C09" w:rsidRPr="00F60A3D">
        <w:rPr>
          <w:lang w:val="fr-FR"/>
        </w:rPr>
        <w:t>appelée loi Reale</w:t>
      </w:r>
      <w:r w:rsidR="005063FC" w:rsidRPr="00F60A3D">
        <w:rPr>
          <w:lang w:val="fr-FR"/>
        </w:rPr>
        <w:t xml:space="preserve">) </w:t>
      </w:r>
      <w:r w:rsidR="005D7C09" w:rsidRPr="00F60A3D">
        <w:rPr>
          <w:lang w:val="fr-FR"/>
        </w:rPr>
        <w:t>par laquelle l</w:t>
      </w:r>
      <w:r w:rsidR="00B17AE1" w:rsidRPr="00F60A3D">
        <w:rPr>
          <w:lang w:val="fr-FR"/>
        </w:rPr>
        <w:t>’</w:t>
      </w:r>
      <w:r w:rsidR="005D7C09" w:rsidRPr="00F60A3D">
        <w:rPr>
          <w:lang w:val="fr-FR"/>
        </w:rPr>
        <w:t>Italie a ratifié la Convention internationale sur l</w:t>
      </w:r>
      <w:r w:rsidR="00B17AE1" w:rsidRPr="00F60A3D">
        <w:rPr>
          <w:lang w:val="fr-FR"/>
        </w:rPr>
        <w:t>’</w:t>
      </w:r>
      <w:r w:rsidR="005D7C09" w:rsidRPr="00F60A3D">
        <w:rPr>
          <w:lang w:val="fr-FR"/>
        </w:rPr>
        <w:t>élimination de toutes les form</w:t>
      </w:r>
      <w:r w:rsidR="00CA3153" w:rsidRPr="00F60A3D">
        <w:rPr>
          <w:lang w:val="fr-FR"/>
        </w:rPr>
        <w:t xml:space="preserve">es de discrimination raciale. Son </w:t>
      </w:r>
      <w:r w:rsidR="00D26282" w:rsidRPr="00F60A3D">
        <w:rPr>
          <w:lang w:val="fr-FR"/>
        </w:rPr>
        <w:t>article </w:t>
      </w:r>
      <w:r w:rsidR="00CA3153" w:rsidRPr="00F60A3D">
        <w:rPr>
          <w:lang w:val="fr-FR"/>
        </w:rPr>
        <w:t xml:space="preserve">3 </w:t>
      </w:r>
      <w:r w:rsidR="005D7C09" w:rsidRPr="00F60A3D">
        <w:rPr>
          <w:lang w:val="fr-FR"/>
        </w:rPr>
        <w:t>intègre à la législation nationale diverses infractions dans ce domaine, notamment l</w:t>
      </w:r>
      <w:r w:rsidR="00B17AE1" w:rsidRPr="00F60A3D">
        <w:rPr>
          <w:lang w:val="fr-FR"/>
        </w:rPr>
        <w:t>’</w:t>
      </w:r>
      <w:r w:rsidR="005D7C09" w:rsidRPr="00F60A3D">
        <w:rPr>
          <w:lang w:val="fr-FR"/>
        </w:rPr>
        <w:t>incitation à la haine. Cette loi a</w:t>
      </w:r>
      <w:r w:rsidR="009C3B2B" w:rsidRPr="00F60A3D">
        <w:rPr>
          <w:lang w:val="fr-FR"/>
        </w:rPr>
        <w:t xml:space="preserve"> ultérieurement été modifiée par la loi </w:t>
      </w:r>
      <w:r w:rsidR="00B17AE1" w:rsidRPr="00F60A3D">
        <w:rPr>
          <w:lang w:val="fr-FR"/>
        </w:rPr>
        <w:t>n</w:t>
      </w:r>
      <w:r w:rsidR="00B17AE1" w:rsidRPr="00F60A3D">
        <w:rPr>
          <w:vertAlign w:val="superscript"/>
          <w:lang w:val="fr-FR"/>
        </w:rPr>
        <w:t>o</w:t>
      </w:r>
      <w:r w:rsidR="00B17AE1" w:rsidRPr="00F60A3D">
        <w:rPr>
          <w:lang w:val="fr-FR"/>
        </w:rPr>
        <w:t> </w:t>
      </w:r>
      <w:r w:rsidR="009C3B2B" w:rsidRPr="00F60A3D">
        <w:rPr>
          <w:lang w:val="fr-FR"/>
        </w:rPr>
        <w:t xml:space="preserve">205/1993 à </w:t>
      </w:r>
      <w:r w:rsidR="009C3B2B" w:rsidRPr="00F60A3D">
        <w:rPr>
          <w:lang w:val="fr-FR"/>
        </w:rPr>
        <w:lastRenderedPageBreak/>
        <w:t>laquelle elle a été coordonnée,</w:t>
      </w:r>
      <w:r w:rsidR="00201587" w:rsidRPr="00F60A3D">
        <w:rPr>
          <w:lang w:val="fr-FR"/>
        </w:rPr>
        <w:t xml:space="preserve"> (appelée </w:t>
      </w:r>
      <w:r w:rsidR="00731982" w:rsidRPr="00F60A3D">
        <w:rPr>
          <w:lang w:val="fr-FR"/>
        </w:rPr>
        <w:t>«</w:t>
      </w:r>
      <w:r w:rsidR="00201587" w:rsidRPr="00F60A3D">
        <w:rPr>
          <w:lang w:val="fr-FR"/>
        </w:rPr>
        <w:t>Loi Mancino</w:t>
      </w:r>
      <w:r w:rsidR="00731982" w:rsidRPr="00F60A3D">
        <w:rPr>
          <w:lang w:val="fr-FR"/>
        </w:rPr>
        <w:t>»</w:t>
      </w:r>
      <w:r w:rsidR="005D7C09" w:rsidRPr="00F60A3D">
        <w:rPr>
          <w:lang w:val="fr-FR"/>
        </w:rPr>
        <w:t>,</w:t>
      </w:r>
      <w:r w:rsidR="00731982" w:rsidRPr="00F60A3D">
        <w:rPr>
          <w:lang w:val="fr-FR"/>
        </w:rPr>
        <w:t xml:space="preserve"> </w:t>
      </w:r>
      <w:r w:rsidR="009C3B2B" w:rsidRPr="00F60A3D">
        <w:rPr>
          <w:lang w:val="fr-FR"/>
        </w:rPr>
        <w:t>telle que modifiée par la suite</w:t>
      </w:r>
      <w:r w:rsidR="005D7C09" w:rsidRPr="00F60A3D">
        <w:rPr>
          <w:lang w:val="fr-FR"/>
        </w:rPr>
        <w:t xml:space="preserve"> </w:t>
      </w:r>
      <w:r w:rsidR="009C3B2B" w:rsidRPr="00F60A3D">
        <w:rPr>
          <w:lang w:val="fr-FR"/>
        </w:rPr>
        <w:t>par l</w:t>
      </w:r>
      <w:r w:rsidR="00B17AE1" w:rsidRPr="00F60A3D">
        <w:rPr>
          <w:lang w:val="fr-FR"/>
        </w:rPr>
        <w:t>’</w:t>
      </w:r>
      <w:r w:rsidR="00D26282" w:rsidRPr="00F60A3D">
        <w:rPr>
          <w:lang w:val="fr-FR"/>
        </w:rPr>
        <w:t>article </w:t>
      </w:r>
      <w:r w:rsidR="009C3B2B" w:rsidRPr="00F60A3D">
        <w:rPr>
          <w:lang w:val="fr-FR"/>
        </w:rPr>
        <w:t xml:space="preserve">13 de la loi </w:t>
      </w:r>
      <w:r w:rsidR="00B17AE1" w:rsidRPr="00F60A3D">
        <w:rPr>
          <w:lang w:val="fr-FR"/>
        </w:rPr>
        <w:t>n</w:t>
      </w:r>
      <w:r w:rsidR="00B17AE1" w:rsidRPr="00F60A3D">
        <w:rPr>
          <w:vertAlign w:val="superscript"/>
          <w:lang w:val="fr-FR"/>
        </w:rPr>
        <w:t>o</w:t>
      </w:r>
      <w:r w:rsidR="00B17AE1" w:rsidRPr="00F60A3D">
        <w:rPr>
          <w:lang w:val="fr-FR"/>
        </w:rPr>
        <w:t> </w:t>
      </w:r>
      <w:r w:rsidR="009C3B2B" w:rsidRPr="00F60A3D">
        <w:rPr>
          <w:lang w:val="fr-FR"/>
        </w:rPr>
        <w:t xml:space="preserve">85/2006). </w:t>
      </w:r>
    </w:p>
    <w:p w:rsidR="009C3B2B" w:rsidRPr="00F60A3D" w:rsidRDefault="00DD5FDA" w:rsidP="00243C33">
      <w:pPr>
        <w:pStyle w:val="SingleTxtG"/>
        <w:rPr>
          <w:lang w:val="fr-FR"/>
        </w:rPr>
      </w:pPr>
      <w:r w:rsidRPr="00F60A3D">
        <w:rPr>
          <w:lang w:val="fr-FR"/>
        </w:rPr>
        <w:t>248</w:t>
      </w:r>
      <w:r w:rsidR="005063FC" w:rsidRPr="00F60A3D">
        <w:rPr>
          <w:lang w:val="fr-FR"/>
        </w:rPr>
        <w:t>.</w:t>
      </w:r>
      <w:r w:rsidR="005063FC" w:rsidRPr="00F60A3D">
        <w:rPr>
          <w:lang w:val="fr-FR"/>
        </w:rPr>
        <w:tab/>
      </w:r>
      <w:r w:rsidR="009C3B2B" w:rsidRPr="00F60A3D">
        <w:rPr>
          <w:lang w:val="fr-FR"/>
        </w:rPr>
        <w:t xml:space="preserve">La loi </w:t>
      </w:r>
      <w:r w:rsidR="00B17AE1" w:rsidRPr="00F60A3D">
        <w:rPr>
          <w:lang w:val="fr-FR"/>
        </w:rPr>
        <w:t>n</w:t>
      </w:r>
      <w:r w:rsidR="00B17AE1" w:rsidRPr="00F60A3D">
        <w:rPr>
          <w:vertAlign w:val="superscript"/>
          <w:lang w:val="fr-FR"/>
        </w:rPr>
        <w:t>o</w:t>
      </w:r>
      <w:r w:rsidR="00B17AE1" w:rsidRPr="00F60A3D">
        <w:rPr>
          <w:lang w:val="fr-FR"/>
        </w:rPr>
        <w:t> </w:t>
      </w:r>
      <w:r w:rsidR="009C3B2B" w:rsidRPr="00F60A3D">
        <w:rPr>
          <w:lang w:val="fr-FR"/>
        </w:rPr>
        <w:t>654 du 13</w:t>
      </w:r>
      <w:r w:rsidR="00243C33" w:rsidRPr="00F60A3D">
        <w:rPr>
          <w:lang w:val="fr-FR"/>
        </w:rPr>
        <w:t> </w:t>
      </w:r>
      <w:r w:rsidR="009C3B2B" w:rsidRPr="00F60A3D">
        <w:rPr>
          <w:lang w:val="fr-FR"/>
        </w:rPr>
        <w:t>octobre</w:t>
      </w:r>
      <w:r w:rsidR="005063FC" w:rsidRPr="00F60A3D">
        <w:rPr>
          <w:lang w:val="fr-FR"/>
        </w:rPr>
        <w:t xml:space="preserve"> 1975 (</w:t>
      </w:r>
      <w:r w:rsidR="00201587" w:rsidRPr="00F60A3D">
        <w:rPr>
          <w:lang w:val="fr-FR"/>
        </w:rPr>
        <w:t>dit</w:t>
      </w:r>
      <w:r w:rsidR="009C3B2B" w:rsidRPr="00F60A3D">
        <w:rPr>
          <w:lang w:val="fr-FR"/>
        </w:rPr>
        <w:t>e</w:t>
      </w:r>
      <w:r w:rsidR="00201587" w:rsidRPr="00F60A3D">
        <w:rPr>
          <w:lang w:val="fr-FR"/>
        </w:rPr>
        <w:t xml:space="preserve"> </w:t>
      </w:r>
      <w:r w:rsidR="00731982" w:rsidRPr="00F60A3D">
        <w:rPr>
          <w:lang w:val="fr-FR"/>
        </w:rPr>
        <w:t>«</w:t>
      </w:r>
      <w:r w:rsidR="00201587" w:rsidRPr="00F60A3D">
        <w:rPr>
          <w:lang w:val="fr-FR"/>
        </w:rPr>
        <w:t>loi Reale</w:t>
      </w:r>
      <w:r w:rsidR="00731982" w:rsidRPr="00F60A3D">
        <w:rPr>
          <w:lang w:val="fr-FR"/>
        </w:rPr>
        <w:t>»</w:t>
      </w:r>
      <w:r w:rsidR="009C3B2B" w:rsidRPr="00F60A3D">
        <w:rPr>
          <w:lang w:val="fr-FR"/>
        </w:rPr>
        <w:t>), telle que modifiée par la lo</w:t>
      </w:r>
      <w:r w:rsidR="00736673" w:rsidRPr="00F60A3D">
        <w:rPr>
          <w:lang w:val="fr-FR"/>
        </w:rPr>
        <w:t xml:space="preserve">i </w:t>
      </w:r>
      <w:r w:rsidR="00B17AE1" w:rsidRPr="00F60A3D">
        <w:rPr>
          <w:lang w:val="fr-FR"/>
        </w:rPr>
        <w:t>n</w:t>
      </w:r>
      <w:r w:rsidR="00B17AE1" w:rsidRPr="00F60A3D">
        <w:rPr>
          <w:vertAlign w:val="superscript"/>
          <w:lang w:val="fr-FR"/>
        </w:rPr>
        <w:t>o</w:t>
      </w:r>
      <w:r w:rsidR="00B17AE1" w:rsidRPr="00F60A3D">
        <w:rPr>
          <w:lang w:val="fr-FR"/>
        </w:rPr>
        <w:t> </w:t>
      </w:r>
      <w:r w:rsidR="00736673" w:rsidRPr="00F60A3D">
        <w:rPr>
          <w:lang w:val="fr-FR"/>
        </w:rPr>
        <w:t>205 du 25</w:t>
      </w:r>
      <w:r w:rsidR="00243C33" w:rsidRPr="00F60A3D">
        <w:rPr>
          <w:lang w:val="fr-FR"/>
        </w:rPr>
        <w:t> </w:t>
      </w:r>
      <w:r w:rsidR="00736673" w:rsidRPr="00F60A3D">
        <w:rPr>
          <w:lang w:val="fr-FR"/>
        </w:rPr>
        <w:t>juin 1993 (dit</w:t>
      </w:r>
      <w:r w:rsidR="009C3B2B" w:rsidRPr="00F60A3D">
        <w:rPr>
          <w:lang w:val="fr-FR"/>
        </w:rPr>
        <w:t>e</w:t>
      </w:r>
      <w:r w:rsidR="00201587" w:rsidRPr="00F60A3D">
        <w:rPr>
          <w:lang w:val="fr-FR"/>
        </w:rPr>
        <w:t xml:space="preserve"> </w:t>
      </w:r>
      <w:r w:rsidR="00731982" w:rsidRPr="00F60A3D">
        <w:rPr>
          <w:lang w:val="fr-FR"/>
        </w:rPr>
        <w:t>«</w:t>
      </w:r>
      <w:r w:rsidR="00201587" w:rsidRPr="00F60A3D">
        <w:rPr>
          <w:lang w:val="fr-FR"/>
        </w:rPr>
        <w:t>loi Mancino</w:t>
      </w:r>
      <w:r w:rsidR="00731982" w:rsidRPr="00F60A3D">
        <w:rPr>
          <w:lang w:val="fr-FR"/>
        </w:rPr>
        <w:t>»</w:t>
      </w:r>
      <w:r w:rsidR="009C3B2B" w:rsidRPr="00F60A3D">
        <w:rPr>
          <w:lang w:val="fr-FR"/>
        </w:rPr>
        <w:t>)</w:t>
      </w:r>
      <w:r w:rsidR="00206AB2" w:rsidRPr="00F60A3D">
        <w:rPr>
          <w:lang w:val="fr-FR"/>
        </w:rPr>
        <w:t>,</w:t>
      </w:r>
      <w:r w:rsidR="009C3B2B" w:rsidRPr="00F60A3D">
        <w:rPr>
          <w:lang w:val="fr-FR"/>
        </w:rPr>
        <w:t xml:space="preserve"> et la loi </w:t>
      </w:r>
      <w:r w:rsidR="00B17AE1" w:rsidRPr="00F60A3D">
        <w:rPr>
          <w:lang w:val="fr-FR"/>
        </w:rPr>
        <w:t>n</w:t>
      </w:r>
      <w:r w:rsidR="00B17AE1" w:rsidRPr="00F60A3D">
        <w:rPr>
          <w:vertAlign w:val="superscript"/>
          <w:lang w:val="fr-FR"/>
        </w:rPr>
        <w:t>o</w:t>
      </w:r>
      <w:r w:rsidR="00B17AE1" w:rsidRPr="00F60A3D">
        <w:rPr>
          <w:lang w:val="fr-FR"/>
        </w:rPr>
        <w:t> </w:t>
      </w:r>
      <w:r w:rsidR="009C3B2B" w:rsidRPr="00F60A3D">
        <w:rPr>
          <w:lang w:val="fr-FR"/>
        </w:rPr>
        <w:t>85 du</w:t>
      </w:r>
      <w:r w:rsidR="005063FC" w:rsidRPr="00F60A3D">
        <w:rPr>
          <w:lang w:val="fr-FR"/>
        </w:rPr>
        <w:t xml:space="preserve"> 24</w:t>
      </w:r>
      <w:r w:rsidR="00243C33" w:rsidRPr="00F60A3D">
        <w:rPr>
          <w:lang w:val="fr-FR"/>
        </w:rPr>
        <w:t> </w:t>
      </w:r>
      <w:r w:rsidR="009C3B2B" w:rsidRPr="00F60A3D">
        <w:rPr>
          <w:lang w:val="fr-FR"/>
        </w:rPr>
        <w:t xml:space="preserve">février </w:t>
      </w:r>
      <w:r w:rsidR="005063FC" w:rsidRPr="00F60A3D">
        <w:rPr>
          <w:lang w:val="fr-FR"/>
        </w:rPr>
        <w:t xml:space="preserve">2006, </w:t>
      </w:r>
      <w:r w:rsidR="009C3B2B" w:rsidRPr="00F60A3D">
        <w:rPr>
          <w:lang w:val="fr-FR"/>
        </w:rPr>
        <w:t>érigent en infractio</w:t>
      </w:r>
      <w:r w:rsidR="00262BEE" w:rsidRPr="00F60A3D">
        <w:rPr>
          <w:lang w:val="fr-FR"/>
        </w:rPr>
        <w:t>n</w:t>
      </w:r>
      <w:r w:rsidR="009C3B2B" w:rsidRPr="00F60A3D">
        <w:rPr>
          <w:lang w:val="fr-FR"/>
        </w:rPr>
        <w:t>: a)</w:t>
      </w:r>
      <w:r w:rsidR="00243C33" w:rsidRPr="00F60A3D">
        <w:rPr>
          <w:lang w:val="fr-FR"/>
        </w:rPr>
        <w:t> </w:t>
      </w:r>
      <w:r w:rsidR="009C3B2B" w:rsidRPr="00F60A3D">
        <w:rPr>
          <w:lang w:val="fr-FR"/>
        </w:rPr>
        <w:t>l</w:t>
      </w:r>
      <w:r w:rsidR="00B17AE1" w:rsidRPr="00F60A3D">
        <w:rPr>
          <w:lang w:val="fr-FR"/>
        </w:rPr>
        <w:t>’</w:t>
      </w:r>
      <w:r w:rsidR="009C3B2B" w:rsidRPr="00F60A3D">
        <w:rPr>
          <w:lang w:val="fr-FR"/>
        </w:rPr>
        <w:t>incitation à la discrimination raciale; b)</w:t>
      </w:r>
      <w:r w:rsidR="00243C33" w:rsidRPr="00F60A3D">
        <w:rPr>
          <w:lang w:val="fr-FR"/>
        </w:rPr>
        <w:t> </w:t>
      </w:r>
      <w:r w:rsidR="009C3B2B" w:rsidRPr="00F60A3D">
        <w:rPr>
          <w:lang w:val="fr-FR"/>
        </w:rPr>
        <w:t>la discrimination raciale; c)</w:t>
      </w:r>
      <w:r w:rsidR="00243C33" w:rsidRPr="00F60A3D">
        <w:rPr>
          <w:lang w:val="fr-FR"/>
        </w:rPr>
        <w:t> </w:t>
      </w:r>
      <w:r w:rsidR="009C3B2B" w:rsidRPr="00F60A3D">
        <w:rPr>
          <w:lang w:val="fr-FR"/>
        </w:rPr>
        <w:t>l</w:t>
      </w:r>
      <w:r w:rsidR="00B17AE1" w:rsidRPr="00F60A3D">
        <w:rPr>
          <w:lang w:val="fr-FR"/>
        </w:rPr>
        <w:t>’</w:t>
      </w:r>
      <w:r w:rsidR="009C3B2B" w:rsidRPr="00F60A3D">
        <w:rPr>
          <w:lang w:val="fr-FR"/>
        </w:rPr>
        <w:t>incitation à la violence raciale; d)</w:t>
      </w:r>
      <w:r w:rsidR="00243C33" w:rsidRPr="00F60A3D">
        <w:rPr>
          <w:lang w:val="fr-FR"/>
        </w:rPr>
        <w:t> </w:t>
      </w:r>
      <w:r w:rsidR="009C3B2B" w:rsidRPr="00F60A3D">
        <w:rPr>
          <w:lang w:val="fr-FR"/>
        </w:rPr>
        <w:t xml:space="preserve">la violence </w:t>
      </w:r>
      <w:r w:rsidR="00262BEE" w:rsidRPr="00F60A3D">
        <w:rPr>
          <w:lang w:val="fr-FR"/>
        </w:rPr>
        <w:t>r</w:t>
      </w:r>
      <w:r w:rsidR="009C3B2B" w:rsidRPr="00F60A3D">
        <w:rPr>
          <w:lang w:val="fr-FR"/>
        </w:rPr>
        <w:t>aciale; e)</w:t>
      </w:r>
      <w:r w:rsidR="00243C33" w:rsidRPr="00F60A3D">
        <w:rPr>
          <w:lang w:val="fr-FR"/>
        </w:rPr>
        <w:t> </w:t>
      </w:r>
      <w:r w:rsidR="00B63EBE" w:rsidRPr="00F60A3D">
        <w:rPr>
          <w:lang w:val="fr-FR"/>
        </w:rPr>
        <w:t>la diffusio</w:t>
      </w:r>
      <w:r w:rsidR="00262BEE" w:rsidRPr="00F60A3D">
        <w:rPr>
          <w:lang w:val="fr-FR"/>
        </w:rPr>
        <w:t>n d</w:t>
      </w:r>
      <w:r w:rsidR="00B17AE1" w:rsidRPr="00F60A3D">
        <w:rPr>
          <w:lang w:val="fr-FR"/>
        </w:rPr>
        <w:t>’</w:t>
      </w:r>
      <w:r w:rsidR="00262BEE" w:rsidRPr="00F60A3D">
        <w:rPr>
          <w:lang w:val="fr-FR"/>
        </w:rPr>
        <w:t>idées fondées sur la supéri</w:t>
      </w:r>
      <w:r w:rsidR="00B63EBE" w:rsidRPr="00F60A3D">
        <w:rPr>
          <w:lang w:val="fr-FR"/>
        </w:rPr>
        <w:t xml:space="preserve">orité </w:t>
      </w:r>
      <w:r w:rsidR="006609D7" w:rsidRPr="00F60A3D">
        <w:rPr>
          <w:lang w:val="fr-FR"/>
        </w:rPr>
        <w:t xml:space="preserve">raciale </w:t>
      </w:r>
      <w:r w:rsidR="00B63EBE" w:rsidRPr="00F60A3D">
        <w:rPr>
          <w:lang w:val="fr-FR"/>
        </w:rPr>
        <w:t xml:space="preserve">ou la haine </w:t>
      </w:r>
      <w:r w:rsidR="00184F9B" w:rsidRPr="00F60A3D">
        <w:rPr>
          <w:lang w:val="fr-FR"/>
        </w:rPr>
        <w:t>racial</w:t>
      </w:r>
      <w:r w:rsidR="006609D7" w:rsidRPr="00F60A3D">
        <w:rPr>
          <w:lang w:val="fr-FR"/>
        </w:rPr>
        <w:t>e ou ethnique</w:t>
      </w:r>
      <w:r w:rsidR="00B63EBE" w:rsidRPr="00F60A3D">
        <w:rPr>
          <w:lang w:val="fr-FR"/>
        </w:rPr>
        <w:t>; et f)</w:t>
      </w:r>
      <w:r w:rsidR="00243C33" w:rsidRPr="00F60A3D">
        <w:rPr>
          <w:lang w:val="fr-FR"/>
        </w:rPr>
        <w:t> </w:t>
      </w:r>
      <w:r w:rsidR="002C5737" w:rsidRPr="00F60A3D">
        <w:rPr>
          <w:lang w:val="fr-FR"/>
        </w:rPr>
        <w:t xml:space="preserve">la </w:t>
      </w:r>
      <w:r w:rsidR="00EA31B2" w:rsidRPr="00F60A3D">
        <w:rPr>
          <w:lang w:val="fr-FR"/>
        </w:rPr>
        <w:t>cré</w:t>
      </w:r>
      <w:r w:rsidR="002C5737" w:rsidRPr="00F60A3D">
        <w:rPr>
          <w:lang w:val="fr-FR"/>
        </w:rPr>
        <w:t xml:space="preserve">ation ou </w:t>
      </w:r>
      <w:r w:rsidR="004B2019" w:rsidRPr="00F60A3D">
        <w:rPr>
          <w:lang w:val="fr-FR"/>
        </w:rPr>
        <w:t xml:space="preserve">la gestion </w:t>
      </w:r>
      <w:r w:rsidR="00EA31B2" w:rsidRPr="00F60A3D">
        <w:rPr>
          <w:lang w:val="fr-FR"/>
        </w:rPr>
        <w:t>de toute organisation, association, mo</w:t>
      </w:r>
      <w:r w:rsidR="009A0F9A" w:rsidRPr="00F60A3D">
        <w:rPr>
          <w:lang w:val="fr-FR"/>
        </w:rPr>
        <w:t>u</w:t>
      </w:r>
      <w:r w:rsidR="00EA31B2" w:rsidRPr="00F60A3D">
        <w:rPr>
          <w:lang w:val="fr-FR"/>
        </w:rPr>
        <w:t xml:space="preserve">vement ou groupe </w:t>
      </w:r>
      <w:r w:rsidR="009A0F9A" w:rsidRPr="00F60A3D">
        <w:rPr>
          <w:lang w:val="fr-FR"/>
        </w:rPr>
        <w:t>don</w:t>
      </w:r>
      <w:r w:rsidR="00EA31B2" w:rsidRPr="00F60A3D">
        <w:rPr>
          <w:lang w:val="fr-FR"/>
        </w:rPr>
        <w:t>t l</w:t>
      </w:r>
      <w:r w:rsidR="00B17AE1" w:rsidRPr="00F60A3D">
        <w:rPr>
          <w:lang w:val="fr-FR"/>
        </w:rPr>
        <w:t>’</w:t>
      </w:r>
      <w:r w:rsidR="00EA31B2" w:rsidRPr="00F60A3D">
        <w:rPr>
          <w:lang w:val="fr-FR"/>
        </w:rPr>
        <w:t>objectif est</w:t>
      </w:r>
      <w:r w:rsidR="009A0F9A" w:rsidRPr="00F60A3D">
        <w:rPr>
          <w:lang w:val="fr-FR"/>
        </w:rPr>
        <w:t xml:space="preserve"> l</w:t>
      </w:r>
      <w:r w:rsidR="00B17AE1" w:rsidRPr="00F60A3D">
        <w:rPr>
          <w:lang w:val="fr-FR"/>
        </w:rPr>
        <w:t>’</w:t>
      </w:r>
      <w:r w:rsidR="009A0F9A" w:rsidRPr="00F60A3D">
        <w:rPr>
          <w:lang w:val="fr-FR"/>
        </w:rPr>
        <w:t>instigation de la discrimination ou</w:t>
      </w:r>
      <w:r w:rsidR="004B2019" w:rsidRPr="00F60A3D">
        <w:rPr>
          <w:lang w:val="fr-FR"/>
        </w:rPr>
        <w:t xml:space="preserve"> de la violence raciales, ou </w:t>
      </w:r>
      <w:r w:rsidR="009A0F9A" w:rsidRPr="00F60A3D">
        <w:rPr>
          <w:lang w:val="fr-FR"/>
        </w:rPr>
        <w:t xml:space="preserve">la participation ou </w:t>
      </w:r>
      <w:r w:rsidR="004B2019" w:rsidRPr="00F60A3D">
        <w:rPr>
          <w:lang w:val="fr-FR"/>
        </w:rPr>
        <w:t xml:space="preserve">le </w:t>
      </w:r>
      <w:r w:rsidR="009A0F9A" w:rsidRPr="00F60A3D">
        <w:rPr>
          <w:lang w:val="fr-FR"/>
        </w:rPr>
        <w:t>soutien qui leur est apporté. La loi Mancino interdit au</w:t>
      </w:r>
      <w:r w:rsidR="00C22662" w:rsidRPr="00F60A3D">
        <w:rPr>
          <w:lang w:val="fr-FR"/>
        </w:rPr>
        <w:t>ssi l</w:t>
      </w:r>
      <w:r w:rsidR="00B17AE1" w:rsidRPr="00F60A3D">
        <w:rPr>
          <w:lang w:val="fr-FR"/>
        </w:rPr>
        <w:t>’</w:t>
      </w:r>
      <w:r w:rsidR="00C22662" w:rsidRPr="00F60A3D">
        <w:rPr>
          <w:lang w:val="fr-FR"/>
        </w:rPr>
        <w:t>affichage public de symbole</w:t>
      </w:r>
      <w:r w:rsidR="009A0F9A" w:rsidRPr="00F60A3D">
        <w:rPr>
          <w:lang w:val="fr-FR"/>
        </w:rPr>
        <w:t>s</w:t>
      </w:r>
      <w:r w:rsidR="00312DD3" w:rsidRPr="00F60A3D">
        <w:rPr>
          <w:lang w:val="fr-FR"/>
        </w:rPr>
        <w:t xml:space="preserve"> ou d</w:t>
      </w:r>
      <w:r w:rsidR="00B17AE1" w:rsidRPr="00F60A3D">
        <w:rPr>
          <w:lang w:val="fr-FR"/>
        </w:rPr>
        <w:t>’</w:t>
      </w:r>
      <w:r w:rsidR="00312DD3" w:rsidRPr="00F60A3D">
        <w:rPr>
          <w:lang w:val="fr-FR"/>
        </w:rPr>
        <w:t>emblèmes de tell</w:t>
      </w:r>
      <w:r w:rsidR="004B2019" w:rsidRPr="00F60A3D">
        <w:rPr>
          <w:lang w:val="fr-FR"/>
        </w:rPr>
        <w:t>es organisati</w:t>
      </w:r>
      <w:r w:rsidR="009A0F9A" w:rsidRPr="00F60A3D">
        <w:rPr>
          <w:lang w:val="fr-FR"/>
        </w:rPr>
        <w:t>ons, et fait des préjugés raciste</w:t>
      </w:r>
      <w:r w:rsidR="002C3B29" w:rsidRPr="00F60A3D">
        <w:rPr>
          <w:lang w:val="fr-FR"/>
        </w:rPr>
        <w:t>s</w:t>
      </w:r>
      <w:r w:rsidR="009A0F9A" w:rsidRPr="00F60A3D">
        <w:rPr>
          <w:lang w:val="fr-FR"/>
        </w:rPr>
        <w:t xml:space="preserve"> une circonstance aggravante à la commission d</w:t>
      </w:r>
      <w:r w:rsidR="00B17AE1" w:rsidRPr="00F60A3D">
        <w:rPr>
          <w:lang w:val="fr-FR"/>
        </w:rPr>
        <w:t>’</w:t>
      </w:r>
      <w:r w:rsidR="009A0F9A" w:rsidRPr="00F60A3D">
        <w:rPr>
          <w:lang w:val="fr-FR"/>
        </w:rPr>
        <w:t>une infraction. De manière spéc</w:t>
      </w:r>
      <w:r w:rsidR="00215DF6" w:rsidRPr="00F60A3D">
        <w:rPr>
          <w:lang w:val="fr-FR"/>
        </w:rPr>
        <w:t xml:space="preserve">ifique, </w:t>
      </w:r>
      <w:r w:rsidR="0069779A" w:rsidRPr="00F60A3D">
        <w:rPr>
          <w:lang w:val="fr-FR"/>
        </w:rPr>
        <w:t>en vertu de l</w:t>
      </w:r>
      <w:r w:rsidR="00B17AE1" w:rsidRPr="00F60A3D">
        <w:rPr>
          <w:lang w:val="fr-FR"/>
        </w:rPr>
        <w:t>’</w:t>
      </w:r>
      <w:r w:rsidR="00D26282" w:rsidRPr="00F60A3D">
        <w:rPr>
          <w:lang w:val="fr-FR"/>
        </w:rPr>
        <w:t>article </w:t>
      </w:r>
      <w:r w:rsidR="0069779A" w:rsidRPr="00F60A3D">
        <w:rPr>
          <w:lang w:val="fr-FR"/>
        </w:rPr>
        <w:t xml:space="preserve">3 de la </w:t>
      </w:r>
      <w:r w:rsidR="00731982" w:rsidRPr="00F60A3D">
        <w:rPr>
          <w:lang w:val="fr-FR"/>
        </w:rPr>
        <w:t>«</w:t>
      </w:r>
      <w:r w:rsidR="0069779A" w:rsidRPr="00F60A3D">
        <w:rPr>
          <w:lang w:val="fr-FR"/>
        </w:rPr>
        <w:t>loi Mancino</w:t>
      </w:r>
      <w:r w:rsidR="00731982" w:rsidRPr="00F60A3D">
        <w:rPr>
          <w:lang w:val="fr-FR"/>
        </w:rPr>
        <w:t>»</w:t>
      </w:r>
      <w:r w:rsidR="0069779A" w:rsidRPr="00F60A3D">
        <w:rPr>
          <w:lang w:val="fr-FR"/>
        </w:rPr>
        <w:t xml:space="preserve">, </w:t>
      </w:r>
      <w:r w:rsidR="00215DF6" w:rsidRPr="00F60A3D">
        <w:rPr>
          <w:lang w:val="fr-FR"/>
        </w:rPr>
        <w:t>le motif raciste constitue une circonstance aggravante pour toutes les infractions.</w:t>
      </w:r>
      <w:r w:rsidR="00731982" w:rsidRPr="00F60A3D">
        <w:rPr>
          <w:lang w:val="fr-FR"/>
        </w:rPr>
        <w:t xml:space="preserve"> </w:t>
      </w:r>
    </w:p>
    <w:p w:rsidR="005063FC" w:rsidRPr="00F60A3D" w:rsidRDefault="00DD5FDA" w:rsidP="00215DF6">
      <w:pPr>
        <w:pStyle w:val="SingleTxtG"/>
        <w:rPr>
          <w:lang w:val="fr-FR"/>
        </w:rPr>
      </w:pPr>
      <w:r w:rsidRPr="00F60A3D">
        <w:rPr>
          <w:lang w:val="fr-FR"/>
        </w:rPr>
        <w:t>249</w:t>
      </w:r>
      <w:r w:rsidR="00215DF6" w:rsidRPr="00F60A3D">
        <w:rPr>
          <w:lang w:val="fr-FR"/>
        </w:rPr>
        <w:t>.</w:t>
      </w:r>
      <w:r w:rsidR="00215DF6" w:rsidRPr="00F60A3D">
        <w:rPr>
          <w:lang w:val="fr-FR"/>
        </w:rPr>
        <w:tab/>
        <w:t>Les principales dispositions du droit administratif et civil contre la discrimination raciale figurent dans les textes suivant</w:t>
      </w:r>
      <w:bookmarkStart w:id="35" w:name="_GoBack"/>
      <w:bookmarkEnd w:id="35"/>
      <w:r w:rsidR="00215DF6" w:rsidRPr="00F60A3D">
        <w:rPr>
          <w:lang w:val="fr-FR"/>
        </w:rPr>
        <w:t xml:space="preserve">s: </w:t>
      </w:r>
      <w:r w:rsidR="00262BEE" w:rsidRPr="00F60A3D">
        <w:rPr>
          <w:lang w:val="fr-FR"/>
        </w:rPr>
        <w:t xml:space="preserve">la </w:t>
      </w:r>
      <w:r w:rsidR="00215DF6" w:rsidRPr="00F60A3D">
        <w:rPr>
          <w:lang w:val="fr-FR"/>
        </w:rPr>
        <w:t xml:space="preserve">loi </w:t>
      </w:r>
      <w:r w:rsidR="00B17AE1" w:rsidRPr="00F60A3D">
        <w:rPr>
          <w:lang w:val="fr-FR"/>
        </w:rPr>
        <w:t>n</w:t>
      </w:r>
      <w:r w:rsidR="00B17AE1" w:rsidRPr="00F60A3D">
        <w:rPr>
          <w:vertAlign w:val="superscript"/>
          <w:lang w:val="fr-FR"/>
        </w:rPr>
        <w:t>o</w:t>
      </w:r>
      <w:r w:rsidR="00B17AE1" w:rsidRPr="00F60A3D">
        <w:rPr>
          <w:lang w:val="fr-FR"/>
        </w:rPr>
        <w:t> </w:t>
      </w:r>
      <w:r w:rsidR="005063FC" w:rsidRPr="00F60A3D">
        <w:rPr>
          <w:lang w:val="fr-FR"/>
        </w:rPr>
        <w:t xml:space="preserve">300/1970 </w:t>
      </w:r>
      <w:r w:rsidR="00215DF6" w:rsidRPr="00F60A3D">
        <w:rPr>
          <w:lang w:val="fr-FR"/>
        </w:rPr>
        <w:t>sur l</w:t>
      </w:r>
      <w:r w:rsidR="00B17AE1" w:rsidRPr="00F60A3D">
        <w:rPr>
          <w:lang w:val="fr-FR"/>
        </w:rPr>
        <w:t>’</w:t>
      </w:r>
      <w:r w:rsidR="00215DF6" w:rsidRPr="00F60A3D">
        <w:rPr>
          <w:lang w:val="fr-FR"/>
        </w:rPr>
        <w:t xml:space="preserve">emploi; </w:t>
      </w:r>
      <w:r w:rsidR="00262BEE" w:rsidRPr="00F60A3D">
        <w:rPr>
          <w:lang w:val="fr-FR"/>
        </w:rPr>
        <w:t xml:space="preserve">le </w:t>
      </w:r>
      <w:r w:rsidR="00215DF6" w:rsidRPr="00F60A3D">
        <w:rPr>
          <w:lang w:val="fr-FR"/>
        </w:rPr>
        <w:t xml:space="preserve">décret législatif </w:t>
      </w:r>
      <w:r w:rsidR="00B17AE1" w:rsidRPr="00F60A3D">
        <w:rPr>
          <w:lang w:val="fr-FR"/>
        </w:rPr>
        <w:t>n</w:t>
      </w:r>
      <w:r w:rsidR="00B17AE1" w:rsidRPr="00F60A3D">
        <w:rPr>
          <w:vertAlign w:val="superscript"/>
          <w:lang w:val="fr-FR"/>
        </w:rPr>
        <w:t>o</w:t>
      </w:r>
      <w:r w:rsidR="00B17AE1" w:rsidRPr="00F60A3D">
        <w:rPr>
          <w:lang w:val="fr-FR"/>
        </w:rPr>
        <w:t> </w:t>
      </w:r>
      <w:r w:rsidR="00215DF6" w:rsidRPr="00F60A3D">
        <w:rPr>
          <w:lang w:val="fr-FR"/>
        </w:rPr>
        <w:t>286/1998 sur l</w:t>
      </w:r>
      <w:r w:rsidR="00B17AE1" w:rsidRPr="00F60A3D">
        <w:rPr>
          <w:lang w:val="fr-FR"/>
        </w:rPr>
        <w:t>’</w:t>
      </w:r>
      <w:r w:rsidR="00215DF6" w:rsidRPr="00F60A3D">
        <w:rPr>
          <w:lang w:val="fr-FR"/>
        </w:rPr>
        <w:t>immigration (appelé l</w:t>
      </w:r>
      <w:r w:rsidR="00B511BB" w:rsidRPr="00F60A3D">
        <w:rPr>
          <w:lang w:val="fr-FR"/>
        </w:rPr>
        <w:t xml:space="preserve">oi </w:t>
      </w:r>
      <w:r w:rsidR="00731982" w:rsidRPr="00F60A3D">
        <w:rPr>
          <w:lang w:val="fr-FR"/>
        </w:rPr>
        <w:t>«</w:t>
      </w:r>
      <w:r w:rsidR="00215DF6" w:rsidRPr="00F60A3D">
        <w:rPr>
          <w:lang w:val="fr-FR"/>
        </w:rPr>
        <w:t>Turco-Napolitano</w:t>
      </w:r>
      <w:r w:rsidR="00731982" w:rsidRPr="00F60A3D">
        <w:rPr>
          <w:lang w:val="fr-FR"/>
        </w:rPr>
        <w:t>»</w:t>
      </w:r>
      <w:r w:rsidR="00184F9B" w:rsidRPr="00F60A3D">
        <w:rPr>
          <w:lang w:val="fr-FR"/>
        </w:rPr>
        <w:t>)</w:t>
      </w:r>
      <w:r w:rsidR="005063FC" w:rsidRPr="00F60A3D">
        <w:rPr>
          <w:i/>
          <w:iCs/>
          <w:lang w:val="fr-FR"/>
        </w:rPr>
        <w:t xml:space="preserve"> </w:t>
      </w:r>
      <w:r w:rsidR="00215DF6" w:rsidRPr="00F60A3D">
        <w:rPr>
          <w:lang w:val="fr-FR"/>
        </w:rPr>
        <w:t xml:space="preserve">et les décrets législatifs </w:t>
      </w:r>
      <w:r w:rsidR="00B17AE1" w:rsidRPr="00F60A3D">
        <w:rPr>
          <w:lang w:val="fr-FR"/>
        </w:rPr>
        <w:t>n</w:t>
      </w:r>
      <w:r w:rsidR="00B17AE1" w:rsidRPr="00F60A3D">
        <w:rPr>
          <w:vertAlign w:val="superscript"/>
          <w:lang w:val="fr-FR"/>
        </w:rPr>
        <w:t>o</w:t>
      </w:r>
      <w:r w:rsidR="00B17AE1" w:rsidRPr="00F60A3D">
        <w:rPr>
          <w:lang w:val="fr-FR"/>
        </w:rPr>
        <w:t> </w:t>
      </w:r>
      <w:r w:rsidR="00215DF6" w:rsidRPr="00F60A3D">
        <w:rPr>
          <w:lang w:val="fr-FR"/>
        </w:rPr>
        <w:t>215 et</w:t>
      </w:r>
      <w:r w:rsidR="005063FC" w:rsidRPr="00F60A3D">
        <w:rPr>
          <w:lang w:val="fr-FR"/>
        </w:rPr>
        <w:t xml:space="preserve"> 216/2003 </w:t>
      </w:r>
      <w:r w:rsidR="00215DF6" w:rsidRPr="00F60A3D">
        <w:rPr>
          <w:lang w:val="fr-FR"/>
        </w:rPr>
        <w:t xml:space="preserve">qui transposent les </w:t>
      </w:r>
      <w:r w:rsidR="005063FC" w:rsidRPr="00F60A3D">
        <w:rPr>
          <w:lang w:val="fr-FR"/>
        </w:rPr>
        <w:t xml:space="preserve">Directives </w:t>
      </w:r>
      <w:r w:rsidR="00B17AE1" w:rsidRPr="00F60A3D">
        <w:rPr>
          <w:lang w:val="fr-FR"/>
        </w:rPr>
        <w:t>n</w:t>
      </w:r>
      <w:r w:rsidR="00B17AE1" w:rsidRPr="00F60A3D">
        <w:rPr>
          <w:vertAlign w:val="superscript"/>
          <w:lang w:val="fr-FR"/>
        </w:rPr>
        <w:t>o</w:t>
      </w:r>
      <w:r w:rsidR="00B17AE1" w:rsidRPr="00F60A3D">
        <w:rPr>
          <w:lang w:val="fr-FR"/>
        </w:rPr>
        <w:t> </w:t>
      </w:r>
      <w:r w:rsidR="00215DF6" w:rsidRPr="00F60A3D">
        <w:rPr>
          <w:lang w:val="fr-FR"/>
        </w:rPr>
        <w:t>2000/43/</w:t>
      </w:r>
      <w:r w:rsidR="005063FC" w:rsidRPr="00F60A3D">
        <w:rPr>
          <w:lang w:val="fr-FR"/>
        </w:rPr>
        <w:t>C</w:t>
      </w:r>
      <w:r w:rsidR="00533A52" w:rsidRPr="00F60A3D">
        <w:rPr>
          <w:lang w:val="fr-FR"/>
        </w:rPr>
        <w:t>E et</w:t>
      </w:r>
      <w:r w:rsidR="00215DF6" w:rsidRPr="00F60A3D">
        <w:rPr>
          <w:lang w:val="fr-FR"/>
        </w:rPr>
        <w:t xml:space="preserve"> 2000/78/</w:t>
      </w:r>
      <w:r w:rsidR="005063FC" w:rsidRPr="00F60A3D">
        <w:rPr>
          <w:lang w:val="fr-FR"/>
        </w:rPr>
        <w:t>C</w:t>
      </w:r>
      <w:r w:rsidR="00215DF6" w:rsidRPr="00F60A3D">
        <w:rPr>
          <w:lang w:val="fr-FR"/>
        </w:rPr>
        <w:t>E</w:t>
      </w:r>
      <w:r w:rsidR="005063FC" w:rsidRPr="00F60A3D">
        <w:rPr>
          <w:i/>
          <w:iCs/>
          <w:lang w:val="fr-FR"/>
        </w:rPr>
        <w:t xml:space="preserve">21 </w:t>
      </w:r>
      <w:r w:rsidR="009C00EB" w:rsidRPr="00F60A3D">
        <w:rPr>
          <w:lang w:val="fr-FR"/>
        </w:rPr>
        <w:t>dans le système législatif italien.</w:t>
      </w:r>
    </w:p>
    <w:p w:rsidR="009C00EB" w:rsidRPr="00F60A3D" w:rsidRDefault="00DD5FDA" w:rsidP="00243C33">
      <w:pPr>
        <w:pStyle w:val="SingleTxtG"/>
        <w:rPr>
          <w:lang w:val="fr-FR"/>
        </w:rPr>
      </w:pPr>
      <w:r w:rsidRPr="00F60A3D">
        <w:rPr>
          <w:lang w:val="fr-FR"/>
        </w:rPr>
        <w:t>250</w:t>
      </w:r>
      <w:r w:rsidR="009C00EB" w:rsidRPr="00F60A3D">
        <w:rPr>
          <w:lang w:val="fr-FR"/>
        </w:rPr>
        <w:t>.</w:t>
      </w:r>
      <w:r w:rsidR="009C00EB" w:rsidRPr="00F60A3D">
        <w:rPr>
          <w:lang w:val="fr-FR"/>
        </w:rPr>
        <w:tab/>
        <w:t>Dans ce cadre, l</w:t>
      </w:r>
      <w:r w:rsidR="00B17AE1" w:rsidRPr="00F60A3D">
        <w:rPr>
          <w:lang w:val="fr-FR"/>
        </w:rPr>
        <w:t>’</w:t>
      </w:r>
      <w:r w:rsidR="00D26282" w:rsidRPr="00F60A3D">
        <w:rPr>
          <w:lang w:val="fr-FR"/>
        </w:rPr>
        <w:t>article </w:t>
      </w:r>
      <w:r w:rsidR="009C00EB" w:rsidRPr="00F60A3D">
        <w:rPr>
          <w:lang w:val="fr-FR"/>
        </w:rPr>
        <w:t xml:space="preserve">18-bis de la loi </w:t>
      </w:r>
      <w:r w:rsidR="00B17AE1" w:rsidRPr="00F60A3D">
        <w:rPr>
          <w:lang w:val="fr-FR"/>
        </w:rPr>
        <w:t>n</w:t>
      </w:r>
      <w:r w:rsidR="00B17AE1" w:rsidRPr="00F60A3D">
        <w:rPr>
          <w:vertAlign w:val="superscript"/>
          <w:lang w:val="fr-FR"/>
        </w:rPr>
        <w:t>o</w:t>
      </w:r>
      <w:r w:rsidR="00B17AE1" w:rsidRPr="00F60A3D">
        <w:rPr>
          <w:lang w:val="fr-FR"/>
        </w:rPr>
        <w:t> </w:t>
      </w:r>
      <w:r w:rsidR="005063FC" w:rsidRPr="00F60A3D">
        <w:rPr>
          <w:lang w:val="fr-FR"/>
        </w:rPr>
        <w:t xml:space="preserve">482/99 </w:t>
      </w:r>
      <w:r w:rsidR="009C00EB" w:rsidRPr="00F60A3D">
        <w:rPr>
          <w:lang w:val="fr-FR"/>
        </w:rPr>
        <w:t>concernant les minorités linguistiques historiques (voir par</w:t>
      </w:r>
      <w:r w:rsidR="00243C33" w:rsidRPr="00F60A3D">
        <w:rPr>
          <w:lang w:val="fr-FR"/>
        </w:rPr>
        <w:t>. </w:t>
      </w:r>
      <w:r w:rsidR="0032758D">
        <w:rPr>
          <w:lang w:val="fr-FR"/>
        </w:rPr>
        <w:t xml:space="preserve">195 et </w:t>
      </w:r>
      <w:proofErr w:type="spellStart"/>
      <w:r w:rsidR="0032758D">
        <w:rPr>
          <w:lang w:val="fr-FR"/>
        </w:rPr>
        <w:t>suiv</w:t>
      </w:r>
      <w:proofErr w:type="spellEnd"/>
      <w:r w:rsidR="0032758D">
        <w:rPr>
          <w:lang w:val="fr-FR"/>
        </w:rPr>
        <w:t>.</w:t>
      </w:r>
      <w:r w:rsidR="00184F9B" w:rsidRPr="00F60A3D">
        <w:rPr>
          <w:lang w:val="fr-FR"/>
        </w:rPr>
        <w:t xml:space="preserve"> ci-dessous)</w:t>
      </w:r>
      <w:r w:rsidR="009C00EB" w:rsidRPr="00F60A3D">
        <w:rPr>
          <w:lang w:val="fr-FR"/>
        </w:rPr>
        <w:t xml:space="preserve"> élargit </w:t>
      </w:r>
      <w:r w:rsidR="00736673" w:rsidRPr="00F60A3D">
        <w:rPr>
          <w:lang w:val="fr-FR"/>
        </w:rPr>
        <w:t>la portée de l</w:t>
      </w:r>
      <w:r w:rsidR="00B17AE1" w:rsidRPr="00F60A3D">
        <w:rPr>
          <w:lang w:val="fr-FR"/>
        </w:rPr>
        <w:t>’</w:t>
      </w:r>
      <w:r w:rsidR="00D26282" w:rsidRPr="00F60A3D">
        <w:rPr>
          <w:lang w:val="fr-FR"/>
        </w:rPr>
        <w:t>article </w:t>
      </w:r>
      <w:r w:rsidR="00736673" w:rsidRPr="00F60A3D">
        <w:rPr>
          <w:lang w:val="fr-FR"/>
        </w:rPr>
        <w:t xml:space="preserve">3 de la </w:t>
      </w:r>
      <w:r w:rsidR="00731982" w:rsidRPr="00F60A3D">
        <w:rPr>
          <w:lang w:val="fr-FR"/>
        </w:rPr>
        <w:t>«</w:t>
      </w:r>
      <w:r w:rsidR="00736673" w:rsidRPr="00F60A3D">
        <w:rPr>
          <w:lang w:val="fr-FR"/>
        </w:rPr>
        <w:t>loi Mancino</w:t>
      </w:r>
      <w:r w:rsidR="00731982" w:rsidRPr="00F60A3D">
        <w:rPr>
          <w:lang w:val="fr-FR"/>
        </w:rPr>
        <w:t>»</w:t>
      </w:r>
      <w:r w:rsidR="009C00EB" w:rsidRPr="00F60A3D">
        <w:rPr>
          <w:lang w:val="fr-FR"/>
        </w:rPr>
        <w:t>, pour prévenir et réprimer spécifiquement l</w:t>
      </w:r>
      <w:r w:rsidR="00B17AE1" w:rsidRPr="00F60A3D">
        <w:rPr>
          <w:lang w:val="fr-FR"/>
        </w:rPr>
        <w:t>’</w:t>
      </w:r>
      <w:r w:rsidR="009C00EB" w:rsidRPr="00F60A3D">
        <w:rPr>
          <w:lang w:val="fr-FR"/>
        </w:rPr>
        <w:t>int</w:t>
      </w:r>
      <w:r w:rsidR="008B48C8" w:rsidRPr="00F60A3D">
        <w:rPr>
          <w:lang w:val="fr-FR"/>
        </w:rPr>
        <w:t>olérance et la violence contre c</w:t>
      </w:r>
      <w:r w:rsidR="009C00EB" w:rsidRPr="00F60A3D">
        <w:rPr>
          <w:lang w:val="fr-FR"/>
        </w:rPr>
        <w:t>es min</w:t>
      </w:r>
      <w:r w:rsidR="008B48C8" w:rsidRPr="00F60A3D">
        <w:rPr>
          <w:lang w:val="fr-FR"/>
        </w:rPr>
        <w:t>orités</w:t>
      </w:r>
      <w:r w:rsidR="009C00EB" w:rsidRPr="00F60A3D">
        <w:rPr>
          <w:lang w:val="fr-FR"/>
        </w:rPr>
        <w:t xml:space="preserve">. </w:t>
      </w:r>
    </w:p>
    <w:p w:rsidR="009C00EB" w:rsidRPr="00F60A3D" w:rsidRDefault="00DD5FDA" w:rsidP="00243C33">
      <w:pPr>
        <w:pStyle w:val="SingleTxtG"/>
        <w:rPr>
          <w:lang w:val="fr-FR"/>
        </w:rPr>
      </w:pPr>
      <w:r w:rsidRPr="00F60A3D">
        <w:rPr>
          <w:lang w:val="fr-FR"/>
        </w:rPr>
        <w:t>251</w:t>
      </w:r>
      <w:r w:rsidR="009C00EB" w:rsidRPr="00F60A3D">
        <w:rPr>
          <w:lang w:val="fr-FR"/>
        </w:rPr>
        <w:t>.</w:t>
      </w:r>
      <w:r w:rsidR="009C00EB" w:rsidRPr="00F60A3D">
        <w:rPr>
          <w:lang w:val="fr-FR"/>
        </w:rPr>
        <w:tab/>
        <w:t>L</w:t>
      </w:r>
      <w:r w:rsidR="00B17AE1" w:rsidRPr="00F60A3D">
        <w:rPr>
          <w:lang w:val="fr-FR"/>
        </w:rPr>
        <w:t>’</w:t>
      </w:r>
      <w:r w:rsidR="009C00EB" w:rsidRPr="00F60A3D">
        <w:rPr>
          <w:lang w:val="fr-FR"/>
        </w:rPr>
        <w:t>Italie a transpos</w:t>
      </w:r>
      <w:r w:rsidR="00496A1E" w:rsidRPr="00F60A3D">
        <w:rPr>
          <w:lang w:val="fr-FR"/>
        </w:rPr>
        <w:t>é</w:t>
      </w:r>
      <w:r w:rsidR="009C00EB" w:rsidRPr="00F60A3D">
        <w:rPr>
          <w:lang w:val="fr-FR"/>
        </w:rPr>
        <w:t xml:space="preserve"> les Directives </w:t>
      </w:r>
      <w:r w:rsidR="00243C33" w:rsidRPr="00F60A3D">
        <w:rPr>
          <w:lang w:val="fr-FR"/>
        </w:rPr>
        <w:t>n</w:t>
      </w:r>
      <w:r w:rsidR="00243C33" w:rsidRPr="00F60A3D">
        <w:rPr>
          <w:vertAlign w:val="superscript"/>
          <w:lang w:val="fr-FR"/>
        </w:rPr>
        <w:t>o</w:t>
      </w:r>
      <w:r w:rsidR="00243C33" w:rsidRPr="00F60A3D">
        <w:rPr>
          <w:lang w:val="fr-FR"/>
        </w:rPr>
        <w:t> </w:t>
      </w:r>
      <w:r w:rsidR="00FA61AB" w:rsidRPr="00F60A3D">
        <w:rPr>
          <w:lang w:val="fr-FR"/>
        </w:rPr>
        <w:t>2000/43 et 2000/7</w:t>
      </w:r>
      <w:r w:rsidR="0088503C" w:rsidRPr="00F60A3D">
        <w:rPr>
          <w:lang w:val="fr-FR"/>
        </w:rPr>
        <w:t>8 de l</w:t>
      </w:r>
      <w:r w:rsidR="00B17AE1" w:rsidRPr="00F60A3D">
        <w:rPr>
          <w:lang w:val="fr-FR"/>
        </w:rPr>
        <w:t>’</w:t>
      </w:r>
      <w:r w:rsidR="0088503C" w:rsidRPr="00F60A3D">
        <w:rPr>
          <w:lang w:val="fr-FR"/>
        </w:rPr>
        <w:t>UE</w:t>
      </w:r>
      <w:r w:rsidR="00184F9B" w:rsidRPr="00F60A3D">
        <w:rPr>
          <w:lang w:val="fr-FR"/>
        </w:rPr>
        <w:t xml:space="preserve"> par</w:t>
      </w:r>
      <w:r w:rsidR="009C00EB" w:rsidRPr="00F60A3D">
        <w:rPr>
          <w:lang w:val="fr-FR"/>
        </w:rPr>
        <w:t xml:space="preserve"> les décrets législatifs </w:t>
      </w:r>
      <w:r w:rsidR="00B17AE1" w:rsidRPr="00F60A3D">
        <w:rPr>
          <w:lang w:val="fr-FR"/>
        </w:rPr>
        <w:t>n</w:t>
      </w:r>
      <w:r w:rsidR="00B17AE1" w:rsidRPr="00F60A3D">
        <w:rPr>
          <w:vertAlign w:val="superscript"/>
          <w:lang w:val="fr-FR"/>
        </w:rPr>
        <w:t>o</w:t>
      </w:r>
      <w:r w:rsidR="00B17AE1" w:rsidRPr="00F60A3D">
        <w:rPr>
          <w:lang w:val="fr-FR"/>
        </w:rPr>
        <w:t> </w:t>
      </w:r>
      <w:r w:rsidR="00736673" w:rsidRPr="00F60A3D">
        <w:rPr>
          <w:lang w:val="fr-FR"/>
        </w:rPr>
        <w:t>215-216/2003</w:t>
      </w:r>
      <w:r w:rsidR="00B114D8" w:rsidRPr="00F60A3D">
        <w:rPr>
          <w:rStyle w:val="FootnoteReference"/>
          <w:lang w:val="fr-FR"/>
        </w:rPr>
        <w:footnoteReference w:id="50"/>
      </w:r>
      <w:r w:rsidR="005063FC" w:rsidRPr="00F60A3D">
        <w:rPr>
          <w:lang w:val="fr-FR"/>
        </w:rPr>
        <w:t xml:space="preserve"> </w:t>
      </w:r>
      <w:r w:rsidR="00FA61AB" w:rsidRPr="00F60A3D">
        <w:rPr>
          <w:lang w:val="fr-FR"/>
        </w:rPr>
        <w:t>afin</w:t>
      </w:r>
      <w:r w:rsidR="00496A1E" w:rsidRPr="00F60A3D">
        <w:rPr>
          <w:lang w:val="fr-FR"/>
        </w:rPr>
        <w:t xml:space="preserve"> d</w:t>
      </w:r>
      <w:r w:rsidR="00B17AE1" w:rsidRPr="00F60A3D">
        <w:rPr>
          <w:lang w:val="fr-FR"/>
        </w:rPr>
        <w:t>’</w:t>
      </w:r>
      <w:r w:rsidR="00496A1E" w:rsidRPr="00F60A3D">
        <w:rPr>
          <w:lang w:val="fr-FR"/>
        </w:rPr>
        <w:t xml:space="preserve">interdire toutes les formes </w:t>
      </w:r>
      <w:r w:rsidR="00206AB2" w:rsidRPr="00F60A3D">
        <w:rPr>
          <w:lang w:val="fr-FR"/>
        </w:rPr>
        <w:t xml:space="preserve">de </w:t>
      </w:r>
      <w:r w:rsidR="00496A1E" w:rsidRPr="00F60A3D">
        <w:rPr>
          <w:lang w:val="fr-FR"/>
        </w:rPr>
        <w:t>discrimination fondées sur la race ou l</w:t>
      </w:r>
      <w:r w:rsidR="00B17AE1" w:rsidRPr="00F60A3D">
        <w:rPr>
          <w:lang w:val="fr-FR"/>
        </w:rPr>
        <w:t>’</w:t>
      </w:r>
      <w:r w:rsidR="00496A1E" w:rsidRPr="00F60A3D">
        <w:rPr>
          <w:lang w:val="fr-FR"/>
        </w:rPr>
        <w:t>origine ethnique, dans tous les domaines et secteurs</w:t>
      </w:r>
      <w:r w:rsidR="00DC580B" w:rsidRPr="00F60A3D">
        <w:rPr>
          <w:lang w:val="fr-FR"/>
        </w:rPr>
        <w:t>, aussi bien privés que publics</w:t>
      </w:r>
      <w:r w:rsidR="002C3B29" w:rsidRPr="00F60A3D">
        <w:rPr>
          <w:lang w:val="fr-FR"/>
        </w:rPr>
        <w:t>,</w:t>
      </w:r>
      <w:r w:rsidR="00262BEE" w:rsidRPr="00F60A3D">
        <w:rPr>
          <w:lang w:val="fr-FR"/>
        </w:rPr>
        <w:t xml:space="preserve"> </w:t>
      </w:r>
      <w:r w:rsidR="00312DD3" w:rsidRPr="00F60A3D">
        <w:rPr>
          <w:lang w:val="fr-FR"/>
        </w:rPr>
        <w:t xml:space="preserve">et de </w:t>
      </w:r>
      <w:r w:rsidR="00DC580B" w:rsidRPr="00F60A3D">
        <w:rPr>
          <w:lang w:val="fr-FR"/>
        </w:rPr>
        <w:t>réglementer l</w:t>
      </w:r>
      <w:r w:rsidR="00B17AE1" w:rsidRPr="00F60A3D">
        <w:rPr>
          <w:lang w:val="fr-FR"/>
        </w:rPr>
        <w:t>’</w:t>
      </w:r>
      <w:r w:rsidR="00DC580B" w:rsidRPr="00F60A3D">
        <w:rPr>
          <w:lang w:val="fr-FR"/>
        </w:rPr>
        <w:t>interdiction de la discrimination en matière d</w:t>
      </w:r>
      <w:r w:rsidR="00B17AE1" w:rsidRPr="00F60A3D">
        <w:rPr>
          <w:lang w:val="fr-FR"/>
        </w:rPr>
        <w:t>’</w:t>
      </w:r>
      <w:r w:rsidR="00DC580B" w:rsidRPr="00F60A3D">
        <w:rPr>
          <w:lang w:val="fr-FR"/>
        </w:rPr>
        <w:t>emploi et de travail</w:t>
      </w:r>
      <w:r w:rsidR="00876FA4" w:rsidRPr="00F60A3D">
        <w:rPr>
          <w:lang w:val="fr-FR"/>
        </w:rPr>
        <w:t>,</w:t>
      </w:r>
      <w:r w:rsidR="00DC580B" w:rsidRPr="00F60A3D">
        <w:rPr>
          <w:lang w:val="fr-FR"/>
        </w:rPr>
        <w:t xml:space="preserve"> fondée sur la religion</w:t>
      </w:r>
      <w:r w:rsidR="00262BEE" w:rsidRPr="00F60A3D">
        <w:rPr>
          <w:lang w:val="fr-FR"/>
        </w:rPr>
        <w:t xml:space="preserve"> </w:t>
      </w:r>
      <w:r w:rsidR="00DC580B" w:rsidRPr="00F60A3D">
        <w:rPr>
          <w:lang w:val="fr-FR"/>
        </w:rPr>
        <w:t>ou les convictions, le handicap, l</w:t>
      </w:r>
      <w:r w:rsidR="00B17AE1" w:rsidRPr="00F60A3D">
        <w:rPr>
          <w:lang w:val="fr-FR"/>
        </w:rPr>
        <w:t>’</w:t>
      </w:r>
      <w:r w:rsidR="00DC580B" w:rsidRPr="00F60A3D">
        <w:rPr>
          <w:lang w:val="fr-FR"/>
        </w:rPr>
        <w:t>âge ou l</w:t>
      </w:r>
      <w:r w:rsidR="00B17AE1" w:rsidRPr="00F60A3D">
        <w:rPr>
          <w:lang w:val="fr-FR"/>
        </w:rPr>
        <w:t>’</w:t>
      </w:r>
      <w:r w:rsidR="00DC580B" w:rsidRPr="00F60A3D">
        <w:rPr>
          <w:lang w:val="fr-FR"/>
        </w:rPr>
        <w:t>orientation sexuelle.</w:t>
      </w:r>
    </w:p>
    <w:p w:rsidR="005063FC" w:rsidRPr="00F60A3D" w:rsidRDefault="00DD5FDA" w:rsidP="00072460">
      <w:pPr>
        <w:pStyle w:val="SingleTxtG"/>
        <w:rPr>
          <w:lang w:val="fr-FR"/>
        </w:rPr>
      </w:pPr>
      <w:r w:rsidRPr="00F60A3D">
        <w:rPr>
          <w:lang w:val="fr-FR"/>
        </w:rPr>
        <w:t>252</w:t>
      </w:r>
      <w:r w:rsidR="00DC580B" w:rsidRPr="00F60A3D">
        <w:rPr>
          <w:lang w:val="fr-FR"/>
        </w:rPr>
        <w:t>.</w:t>
      </w:r>
      <w:r w:rsidR="00DC580B" w:rsidRPr="00F60A3D">
        <w:rPr>
          <w:lang w:val="fr-FR"/>
        </w:rPr>
        <w:tab/>
        <w:t>De manière plus spécifique, les d</w:t>
      </w:r>
      <w:r w:rsidR="00BD0CEF" w:rsidRPr="00F60A3D">
        <w:rPr>
          <w:lang w:val="fr-FR"/>
        </w:rPr>
        <w:t>é</w:t>
      </w:r>
      <w:r w:rsidR="00DC580B" w:rsidRPr="00F60A3D">
        <w:rPr>
          <w:lang w:val="fr-FR"/>
        </w:rPr>
        <w:t xml:space="preserve">finitions de la discrimination directe et indirecte se conforment à celle de la Directive </w:t>
      </w:r>
      <w:r w:rsidR="00B17AE1" w:rsidRPr="00F60A3D">
        <w:rPr>
          <w:lang w:val="fr-FR"/>
        </w:rPr>
        <w:t>n</w:t>
      </w:r>
      <w:r w:rsidR="00B17AE1" w:rsidRPr="00F60A3D">
        <w:rPr>
          <w:vertAlign w:val="superscript"/>
          <w:lang w:val="fr-FR"/>
        </w:rPr>
        <w:t>o</w:t>
      </w:r>
      <w:r w:rsidR="00B17AE1" w:rsidRPr="00F60A3D">
        <w:rPr>
          <w:lang w:val="fr-FR"/>
        </w:rPr>
        <w:t> </w:t>
      </w:r>
      <w:r w:rsidR="00072460" w:rsidRPr="00F60A3D">
        <w:rPr>
          <w:lang w:val="fr-FR"/>
        </w:rPr>
        <w:t>2000/43/</w:t>
      </w:r>
      <w:r w:rsidR="005063FC" w:rsidRPr="00F60A3D">
        <w:rPr>
          <w:lang w:val="fr-FR"/>
        </w:rPr>
        <w:t>U</w:t>
      </w:r>
      <w:r w:rsidR="00DC580B" w:rsidRPr="00F60A3D">
        <w:rPr>
          <w:lang w:val="fr-FR"/>
        </w:rPr>
        <w:t>E</w:t>
      </w:r>
      <w:r w:rsidR="005063FC" w:rsidRPr="00F60A3D">
        <w:rPr>
          <w:lang w:val="fr-FR"/>
        </w:rPr>
        <w:t xml:space="preserve">. </w:t>
      </w:r>
      <w:r w:rsidR="00731982" w:rsidRPr="00F60A3D">
        <w:rPr>
          <w:lang w:val="fr-FR"/>
        </w:rPr>
        <w:t>«</w:t>
      </w:r>
      <w:r w:rsidR="00072460" w:rsidRPr="00F60A3D">
        <w:rPr>
          <w:lang w:val="fr-FR"/>
        </w:rPr>
        <w:t>Le harcèlement favorise un groupe complexe de comportements qui ont pour objet de po</w:t>
      </w:r>
      <w:r w:rsidR="00BD0CEF" w:rsidRPr="00F60A3D">
        <w:rPr>
          <w:lang w:val="fr-FR"/>
        </w:rPr>
        <w:t>r</w:t>
      </w:r>
      <w:r w:rsidR="00072460" w:rsidRPr="00F60A3D">
        <w:rPr>
          <w:lang w:val="fr-FR"/>
        </w:rPr>
        <w:t>ter atteinte à la dignité de la personne, et de créer un environ</w:t>
      </w:r>
      <w:r w:rsidR="00FE4548" w:rsidRPr="00F60A3D">
        <w:rPr>
          <w:lang w:val="fr-FR"/>
        </w:rPr>
        <w:t>ne</w:t>
      </w:r>
      <w:r w:rsidR="00072460" w:rsidRPr="00F60A3D">
        <w:rPr>
          <w:lang w:val="fr-FR"/>
        </w:rPr>
        <w:t>ment intimidant, hostile, dégradant, humiliant ou offensant. Il s</w:t>
      </w:r>
      <w:r w:rsidR="00B17AE1" w:rsidRPr="00F60A3D">
        <w:rPr>
          <w:lang w:val="fr-FR"/>
        </w:rPr>
        <w:t>’</w:t>
      </w:r>
      <w:r w:rsidR="00072460" w:rsidRPr="00F60A3D">
        <w:rPr>
          <w:lang w:val="fr-FR"/>
        </w:rPr>
        <w:t>agit donc d</w:t>
      </w:r>
      <w:r w:rsidR="00B17AE1" w:rsidRPr="00F60A3D">
        <w:rPr>
          <w:lang w:val="fr-FR"/>
        </w:rPr>
        <w:t>’</w:t>
      </w:r>
      <w:r w:rsidR="00072460" w:rsidRPr="00F60A3D">
        <w:rPr>
          <w:lang w:val="fr-FR"/>
        </w:rPr>
        <w:t>une forme particulière de discrimination</w:t>
      </w:r>
      <w:r w:rsidR="00BD2304" w:rsidRPr="00F60A3D">
        <w:rPr>
          <w:lang w:val="fr-FR"/>
        </w:rPr>
        <w:t xml:space="preserve"> raciale, qui ne se manifeste pas par une </w:t>
      </w:r>
      <w:r w:rsidR="00072460" w:rsidRPr="00F60A3D">
        <w:rPr>
          <w:lang w:val="fr-FR"/>
        </w:rPr>
        <w:t>inégalité de traiteme</w:t>
      </w:r>
      <w:r w:rsidR="00184F9B" w:rsidRPr="00F60A3D">
        <w:rPr>
          <w:lang w:val="fr-FR"/>
        </w:rPr>
        <w:t>nt (par exemple, dans les dispositifs</w:t>
      </w:r>
      <w:r w:rsidR="00072460" w:rsidRPr="00F60A3D">
        <w:rPr>
          <w:lang w:val="fr-FR"/>
        </w:rPr>
        <w:t xml:space="preserve"> qui réglementent un certain type d</w:t>
      </w:r>
      <w:r w:rsidR="00B17AE1" w:rsidRPr="00F60A3D">
        <w:rPr>
          <w:lang w:val="fr-FR"/>
        </w:rPr>
        <w:t>’</w:t>
      </w:r>
      <w:r w:rsidR="00072460" w:rsidRPr="00F60A3D">
        <w:rPr>
          <w:lang w:val="fr-FR"/>
        </w:rPr>
        <w:t>accès à l</w:t>
      </w:r>
      <w:r w:rsidR="00B17AE1" w:rsidRPr="00F60A3D">
        <w:rPr>
          <w:lang w:val="fr-FR"/>
        </w:rPr>
        <w:t>’</w:t>
      </w:r>
      <w:r w:rsidR="00072460" w:rsidRPr="00F60A3D">
        <w:rPr>
          <w:lang w:val="fr-FR"/>
        </w:rPr>
        <w:t xml:space="preserve">emploi ou </w:t>
      </w:r>
      <w:r w:rsidR="00E7783F" w:rsidRPr="00F60A3D">
        <w:rPr>
          <w:lang w:val="fr-FR"/>
        </w:rPr>
        <w:t>l</w:t>
      </w:r>
      <w:r w:rsidR="00B17AE1" w:rsidRPr="00F60A3D">
        <w:rPr>
          <w:lang w:val="fr-FR"/>
        </w:rPr>
        <w:t>’</w:t>
      </w:r>
      <w:r w:rsidR="00BD0CEF" w:rsidRPr="00F60A3D">
        <w:rPr>
          <w:lang w:val="fr-FR"/>
        </w:rPr>
        <w:t>attribu</w:t>
      </w:r>
      <w:r w:rsidR="00072460" w:rsidRPr="00F60A3D">
        <w:rPr>
          <w:lang w:val="fr-FR"/>
        </w:rPr>
        <w:t>tion de logement)</w:t>
      </w:r>
      <w:r w:rsidR="002C3B29" w:rsidRPr="00F60A3D">
        <w:rPr>
          <w:lang w:val="fr-FR"/>
        </w:rPr>
        <w:t>,</w:t>
      </w:r>
      <w:r w:rsidR="00072460" w:rsidRPr="00F60A3D">
        <w:rPr>
          <w:lang w:val="fr-FR"/>
        </w:rPr>
        <w:t xml:space="preserve"> mais dans tous les comportements explicitement </w:t>
      </w:r>
      <w:r w:rsidR="00BD0CEF" w:rsidRPr="00F60A3D">
        <w:rPr>
          <w:lang w:val="fr-FR"/>
        </w:rPr>
        <w:t>xé</w:t>
      </w:r>
      <w:r w:rsidR="00072460" w:rsidRPr="00F60A3D">
        <w:rPr>
          <w:lang w:val="fr-FR"/>
        </w:rPr>
        <w:t>nophobes qui portent atteinte à la dignité de la personne</w:t>
      </w:r>
      <w:r w:rsidR="00315A42" w:rsidRPr="00F60A3D">
        <w:rPr>
          <w:rStyle w:val="FootnoteReference"/>
          <w:lang w:val="fr-FR"/>
        </w:rPr>
        <w:footnoteReference w:id="51"/>
      </w:r>
      <w:r w:rsidR="00736673" w:rsidRPr="00F60A3D">
        <w:rPr>
          <w:lang w:val="fr-FR"/>
        </w:rPr>
        <w:t>.</w:t>
      </w:r>
      <w:r w:rsidR="00731982" w:rsidRPr="00F60A3D">
        <w:rPr>
          <w:lang w:val="fr-FR"/>
        </w:rPr>
        <w:t>»</w:t>
      </w:r>
      <w:r w:rsidR="005063FC" w:rsidRPr="00F60A3D">
        <w:rPr>
          <w:lang w:val="fr-FR"/>
        </w:rPr>
        <w:t xml:space="preserve"> </w:t>
      </w:r>
    </w:p>
    <w:p w:rsidR="005063FC" w:rsidRPr="00F60A3D" w:rsidRDefault="00DD5FDA" w:rsidP="00931815">
      <w:pPr>
        <w:pStyle w:val="SingleTxtG"/>
        <w:rPr>
          <w:lang w:val="fr-FR"/>
        </w:rPr>
      </w:pPr>
      <w:r w:rsidRPr="00F60A3D">
        <w:rPr>
          <w:lang w:val="fr-FR"/>
        </w:rPr>
        <w:t>253</w:t>
      </w:r>
      <w:r w:rsidR="00BD0CEF" w:rsidRPr="00F60A3D">
        <w:rPr>
          <w:lang w:val="fr-FR"/>
        </w:rPr>
        <w:t>.</w:t>
      </w:r>
      <w:r w:rsidR="00BD0CEF" w:rsidRPr="00F60A3D">
        <w:rPr>
          <w:lang w:val="fr-FR"/>
        </w:rPr>
        <w:tab/>
        <w:t>S</w:t>
      </w:r>
      <w:r w:rsidR="00B17AE1" w:rsidRPr="00F60A3D">
        <w:rPr>
          <w:lang w:val="fr-FR"/>
        </w:rPr>
        <w:t>’</w:t>
      </w:r>
      <w:r w:rsidR="00BD0CEF" w:rsidRPr="00F60A3D">
        <w:rPr>
          <w:lang w:val="fr-FR"/>
        </w:rPr>
        <w:t>agissant du raci</w:t>
      </w:r>
      <w:r w:rsidR="005A2518" w:rsidRPr="00F60A3D">
        <w:rPr>
          <w:lang w:val="fr-FR"/>
        </w:rPr>
        <w:t>sme et de l</w:t>
      </w:r>
      <w:r w:rsidR="00B17AE1" w:rsidRPr="00F60A3D">
        <w:rPr>
          <w:lang w:val="fr-FR"/>
        </w:rPr>
        <w:t>’</w:t>
      </w:r>
      <w:r w:rsidR="005A2518" w:rsidRPr="00F60A3D">
        <w:rPr>
          <w:lang w:val="fr-FR"/>
        </w:rPr>
        <w:t>intolérance au cours d</w:t>
      </w:r>
      <w:r w:rsidR="00262BEE" w:rsidRPr="00F60A3D">
        <w:rPr>
          <w:lang w:val="fr-FR"/>
        </w:rPr>
        <w:t>es manifestations sportives, l</w:t>
      </w:r>
      <w:r w:rsidR="00B17AE1" w:rsidRPr="00F60A3D">
        <w:rPr>
          <w:lang w:val="fr-FR"/>
        </w:rPr>
        <w:t>’</w:t>
      </w:r>
      <w:r w:rsidR="00262BEE" w:rsidRPr="00F60A3D">
        <w:rPr>
          <w:lang w:val="fr-FR"/>
        </w:rPr>
        <w:t>I</w:t>
      </w:r>
      <w:r w:rsidR="00BD0CEF" w:rsidRPr="00F60A3D">
        <w:rPr>
          <w:lang w:val="fr-FR"/>
        </w:rPr>
        <w:t>talie a progr</w:t>
      </w:r>
      <w:r w:rsidR="00FA61AB" w:rsidRPr="00F60A3D">
        <w:rPr>
          <w:lang w:val="fr-FR"/>
        </w:rPr>
        <w:t>essivement renforcé s</w:t>
      </w:r>
      <w:r w:rsidR="00931815" w:rsidRPr="00F60A3D">
        <w:rPr>
          <w:lang w:val="fr-FR"/>
        </w:rPr>
        <w:t>a législati</w:t>
      </w:r>
      <w:r w:rsidR="00BD0CEF" w:rsidRPr="00F60A3D">
        <w:rPr>
          <w:lang w:val="fr-FR"/>
        </w:rPr>
        <w:t>on en prévoyant des sa</w:t>
      </w:r>
      <w:r w:rsidR="00262BEE" w:rsidRPr="00F60A3D">
        <w:rPr>
          <w:lang w:val="fr-FR"/>
        </w:rPr>
        <w:t>n</w:t>
      </w:r>
      <w:r w:rsidR="00BD0CEF" w:rsidRPr="00F60A3D">
        <w:rPr>
          <w:lang w:val="fr-FR"/>
        </w:rPr>
        <w:t xml:space="preserve">ctions pénales et </w:t>
      </w:r>
      <w:r w:rsidR="00BD0CEF" w:rsidRPr="00F60A3D">
        <w:rPr>
          <w:lang w:val="fr-FR"/>
        </w:rPr>
        <w:lastRenderedPageBreak/>
        <w:t>administratives en cas d</w:t>
      </w:r>
      <w:r w:rsidR="00B17AE1" w:rsidRPr="00F60A3D">
        <w:rPr>
          <w:lang w:val="fr-FR"/>
        </w:rPr>
        <w:t>’</w:t>
      </w:r>
      <w:r w:rsidR="00BD0CEF" w:rsidRPr="00F60A3D">
        <w:rPr>
          <w:lang w:val="fr-FR"/>
        </w:rPr>
        <w:t xml:space="preserve">incitation à la haine. La loi italienne en vigueur (loi </w:t>
      </w:r>
      <w:r w:rsidR="00B17AE1" w:rsidRPr="00F60A3D">
        <w:rPr>
          <w:lang w:val="fr-FR"/>
        </w:rPr>
        <w:t>n</w:t>
      </w:r>
      <w:r w:rsidR="00B17AE1" w:rsidRPr="00F60A3D">
        <w:rPr>
          <w:vertAlign w:val="superscript"/>
          <w:lang w:val="fr-FR"/>
        </w:rPr>
        <w:t>o</w:t>
      </w:r>
      <w:r w:rsidR="00B17AE1" w:rsidRPr="00F60A3D">
        <w:rPr>
          <w:lang w:val="fr-FR"/>
        </w:rPr>
        <w:t> </w:t>
      </w:r>
      <w:r w:rsidR="00BD0CEF" w:rsidRPr="00F60A3D">
        <w:rPr>
          <w:lang w:val="fr-FR"/>
        </w:rPr>
        <w:t>205/1993) prévoit l</w:t>
      </w:r>
      <w:r w:rsidR="00B17AE1" w:rsidRPr="00F60A3D">
        <w:rPr>
          <w:lang w:val="fr-FR"/>
        </w:rPr>
        <w:t>’</w:t>
      </w:r>
      <w:r w:rsidR="00BD0CEF" w:rsidRPr="00F60A3D">
        <w:rPr>
          <w:lang w:val="fr-FR"/>
        </w:rPr>
        <w:t>adoption de mesures répr</w:t>
      </w:r>
      <w:r w:rsidR="00262BEE" w:rsidRPr="00F60A3D">
        <w:rPr>
          <w:lang w:val="fr-FR"/>
        </w:rPr>
        <w:t>essives contre les comportement</w:t>
      </w:r>
      <w:r w:rsidR="00BD0CEF" w:rsidRPr="00F60A3D">
        <w:rPr>
          <w:lang w:val="fr-FR"/>
        </w:rPr>
        <w:t>s</w:t>
      </w:r>
      <w:r w:rsidR="00262BEE" w:rsidRPr="00F60A3D">
        <w:rPr>
          <w:lang w:val="fr-FR"/>
        </w:rPr>
        <w:t xml:space="preserve"> </w:t>
      </w:r>
      <w:r w:rsidR="00BD0CEF" w:rsidRPr="00F60A3D">
        <w:rPr>
          <w:lang w:val="fr-FR"/>
        </w:rPr>
        <w:t xml:space="preserve">discriminatoires pendant les </w:t>
      </w:r>
      <w:r w:rsidR="00262BEE" w:rsidRPr="00F60A3D">
        <w:rPr>
          <w:lang w:val="fr-FR"/>
        </w:rPr>
        <w:t>manifestations et les compétiti</w:t>
      </w:r>
      <w:r w:rsidR="00BD0CEF" w:rsidRPr="00F60A3D">
        <w:rPr>
          <w:lang w:val="fr-FR"/>
        </w:rPr>
        <w:t>ons sportives (et elle est</w:t>
      </w:r>
      <w:r w:rsidR="00262BEE" w:rsidRPr="00F60A3D">
        <w:rPr>
          <w:lang w:val="fr-FR"/>
        </w:rPr>
        <w:t xml:space="preserve"> complétée par le Code de justic</w:t>
      </w:r>
      <w:r w:rsidR="0088503C" w:rsidRPr="00F60A3D">
        <w:rPr>
          <w:lang w:val="fr-FR"/>
        </w:rPr>
        <w:t>e sportive en vertu duquel</w:t>
      </w:r>
      <w:r w:rsidR="00BD0CEF" w:rsidRPr="00F60A3D">
        <w:rPr>
          <w:lang w:val="fr-FR"/>
        </w:rPr>
        <w:t xml:space="preserve"> tout comportement discriminatoire doit être sanctionné lorsqu</w:t>
      </w:r>
      <w:r w:rsidR="00B17AE1" w:rsidRPr="00F60A3D">
        <w:rPr>
          <w:lang w:val="fr-FR"/>
        </w:rPr>
        <w:t>’</w:t>
      </w:r>
      <w:r w:rsidR="00BD0CEF" w:rsidRPr="00F60A3D">
        <w:rPr>
          <w:lang w:val="fr-FR"/>
        </w:rPr>
        <w:t>il est reconnu comme une infraction directe ou indirecte, un acte de dénigrement ou une insulte</w:t>
      </w:r>
      <w:r w:rsidR="002C3B29" w:rsidRPr="00F60A3D">
        <w:rPr>
          <w:lang w:val="fr-FR"/>
        </w:rPr>
        <w:t>,</w:t>
      </w:r>
      <w:r w:rsidR="00BD0CEF" w:rsidRPr="00F60A3D">
        <w:rPr>
          <w:lang w:val="fr-FR"/>
        </w:rPr>
        <w:t xml:space="preserve"> fondés sur la race, la couleur de peau, la religion, la langue, le sexe, la nationalité, </w:t>
      </w:r>
      <w:r w:rsidR="00931815" w:rsidRPr="00F60A3D">
        <w:rPr>
          <w:lang w:val="fr-FR"/>
        </w:rPr>
        <w:t>l</w:t>
      </w:r>
      <w:r w:rsidR="00B17AE1" w:rsidRPr="00F60A3D">
        <w:rPr>
          <w:lang w:val="fr-FR"/>
        </w:rPr>
        <w:t>’</w:t>
      </w:r>
      <w:r w:rsidR="00931815" w:rsidRPr="00F60A3D">
        <w:rPr>
          <w:lang w:val="fr-FR"/>
        </w:rPr>
        <w:t>origine gé</w:t>
      </w:r>
      <w:r w:rsidR="0088503C" w:rsidRPr="00F60A3D">
        <w:rPr>
          <w:lang w:val="fr-FR"/>
        </w:rPr>
        <w:t>ographique ou ethnique, ou qu</w:t>
      </w:r>
      <w:r w:rsidR="00B17AE1" w:rsidRPr="00F60A3D">
        <w:rPr>
          <w:lang w:val="fr-FR"/>
        </w:rPr>
        <w:t>’</w:t>
      </w:r>
      <w:r w:rsidR="0088503C" w:rsidRPr="00F60A3D">
        <w:rPr>
          <w:lang w:val="fr-FR"/>
        </w:rPr>
        <w:t xml:space="preserve">il </w:t>
      </w:r>
      <w:r w:rsidR="00262BEE" w:rsidRPr="00F60A3D">
        <w:rPr>
          <w:lang w:val="fr-FR"/>
        </w:rPr>
        <w:t>constitue un outil de propagand</w:t>
      </w:r>
      <w:r w:rsidR="00931815" w:rsidRPr="00F60A3D">
        <w:rPr>
          <w:lang w:val="fr-FR"/>
        </w:rPr>
        <w:t>e interd</w:t>
      </w:r>
      <w:r w:rsidR="0088503C" w:rsidRPr="00F60A3D">
        <w:rPr>
          <w:lang w:val="fr-FR"/>
        </w:rPr>
        <w:t>it par la loi, ou encourage</w:t>
      </w:r>
      <w:r w:rsidR="00931815" w:rsidRPr="00F60A3D">
        <w:rPr>
          <w:lang w:val="fr-FR"/>
        </w:rPr>
        <w:t xml:space="preserve"> des comportements discriminatoires</w:t>
      </w:r>
      <w:r w:rsidR="00736673" w:rsidRPr="00F60A3D">
        <w:rPr>
          <w:lang w:val="fr-FR"/>
        </w:rPr>
        <w:t>)</w:t>
      </w:r>
      <w:r w:rsidR="00315A42" w:rsidRPr="00F60A3D">
        <w:rPr>
          <w:rStyle w:val="FootnoteReference"/>
          <w:lang w:val="fr-FR"/>
        </w:rPr>
        <w:footnoteReference w:id="52"/>
      </w:r>
      <w:r w:rsidR="00736673" w:rsidRPr="00F60A3D">
        <w:rPr>
          <w:lang w:val="fr-FR"/>
        </w:rPr>
        <w:t>.</w:t>
      </w:r>
      <w:r w:rsidR="005063FC" w:rsidRPr="00F60A3D">
        <w:rPr>
          <w:lang w:val="fr-FR"/>
        </w:rPr>
        <w:t xml:space="preserve"> </w:t>
      </w:r>
    </w:p>
    <w:p w:rsidR="00395E3A" w:rsidRPr="00F60A3D" w:rsidRDefault="00DD5FDA" w:rsidP="00B27AF5">
      <w:pPr>
        <w:pStyle w:val="SingleTxtG"/>
        <w:rPr>
          <w:lang w:val="fr-FR"/>
        </w:rPr>
      </w:pPr>
      <w:r w:rsidRPr="00F60A3D">
        <w:rPr>
          <w:lang w:val="fr-FR"/>
        </w:rPr>
        <w:t>254</w:t>
      </w:r>
      <w:r w:rsidR="00395E3A" w:rsidRPr="00F60A3D">
        <w:rPr>
          <w:lang w:val="fr-FR"/>
        </w:rPr>
        <w:t>.</w:t>
      </w:r>
      <w:r w:rsidR="00395E3A" w:rsidRPr="00F60A3D">
        <w:rPr>
          <w:lang w:val="fr-FR"/>
        </w:rPr>
        <w:tab/>
        <w:t xml:space="preserve">Avec la conversion en loi du décret-loi </w:t>
      </w:r>
      <w:r w:rsidR="00B17AE1" w:rsidRPr="00F60A3D">
        <w:rPr>
          <w:lang w:val="fr-FR"/>
        </w:rPr>
        <w:t>n</w:t>
      </w:r>
      <w:r w:rsidR="00B17AE1" w:rsidRPr="00F60A3D">
        <w:rPr>
          <w:vertAlign w:val="superscript"/>
          <w:lang w:val="fr-FR"/>
        </w:rPr>
        <w:t>o</w:t>
      </w:r>
      <w:r w:rsidR="00B17AE1" w:rsidRPr="00F60A3D">
        <w:rPr>
          <w:lang w:val="fr-FR"/>
        </w:rPr>
        <w:t> </w:t>
      </w:r>
      <w:r w:rsidR="00395E3A" w:rsidRPr="00F60A3D">
        <w:rPr>
          <w:lang w:val="fr-FR"/>
        </w:rPr>
        <w:t xml:space="preserve">119/2014, de nouvelles dispositions sur </w:t>
      </w:r>
      <w:r w:rsidR="00B17AE1" w:rsidRPr="00F60A3D">
        <w:rPr>
          <w:lang w:val="fr-FR"/>
        </w:rPr>
        <w:t>«</w:t>
      </w:r>
      <w:r w:rsidR="00395E3A" w:rsidRPr="00F60A3D">
        <w:rPr>
          <w:lang w:val="fr-FR"/>
        </w:rPr>
        <w:t>les mesures urgentes de lutte contre les actes illégaux et violents pendant les manifestations sportives</w:t>
      </w:r>
      <w:r w:rsidR="00B17AE1" w:rsidRPr="00F60A3D">
        <w:rPr>
          <w:lang w:val="fr-FR"/>
        </w:rPr>
        <w:t>»</w:t>
      </w:r>
      <w:r w:rsidR="00395E3A" w:rsidRPr="00F60A3D">
        <w:rPr>
          <w:lang w:val="fr-FR"/>
        </w:rPr>
        <w:t xml:space="preserve">, sont entrées en vigueur; cette loi a étendu le </w:t>
      </w:r>
      <w:r w:rsidR="00EA3BC7" w:rsidRPr="00F60A3D">
        <w:rPr>
          <w:lang w:val="fr-FR"/>
        </w:rPr>
        <w:t>champ d</w:t>
      </w:r>
      <w:r w:rsidR="00B17AE1" w:rsidRPr="00F60A3D">
        <w:rPr>
          <w:lang w:val="fr-FR"/>
        </w:rPr>
        <w:t>’</w:t>
      </w:r>
      <w:r w:rsidR="00EA3BC7" w:rsidRPr="00F60A3D">
        <w:rPr>
          <w:lang w:val="fr-FR"/>
        </w:rPr>
        <w:t xml:space="preserve">application </w:t>
      </w:r>
      <w:r w:rsidR="00395E3A" w:rsidRPr="00F60A3D">
        <w:rPr>
          <w:lang w:val="fr-FR"/>
        </w:rPr>
        <w:t>de l</w:t>
      </w:r>
      <w:r w:rsidR="00B17AE1" w:rsidRPr="00F60A3D">
        <w:rPr>
          <w:lang w:val="fr-FR"/>
        </w:rPr>
        <w:t>’</w:t>
      </w:r>
      <w:r w:rsidR="00395E3A" w:rsidRPr="00F60A3D">
        <w:rPr>
          <w:lang w:val="fr-FR"/>
        </w:rPr>
        <w:t xml:space="preserve">interdiction </w:t>
      </w:r>
      <w:r w:rsidR="00CB7CE0" w:rsidRPr="00F60A3D">
        <w:rPr>
          <w:lang w:val="fr-FR"/>
        </w:rPr>
        <w:t>d</w:t>
      </w:r>
      <w:r w:rsidR="00B17AE1" w:rsidRPr="00F60A3D">
        <w:rPr>
          <w:lang w:val="fr-FR"/>
        </w:rPr>
        <w:t>’</w:t>
      </w:r>
      <w:r w:rsidR="00CB7CE0" w:rsidRPr="00F60A3D">
        <w:rPr>
          <w:lang w:val="fr-FR"/>
        </w:rPr>
        <w:t xml:space="preserve">accès </w:t>
      </w:r>
      <w:r w:rsidR="00395E3A" w:rsidRPr="00F60A3D">
        <w:rPr>
          <w:lang w:val="fr-FR"/>
        </w:rPr>
        <w:t>aux lieux où se déro</w:t>
      </w:r>
      <w:r w:rsidR="00EA3BC7" w:rsidRPr="00F60A3D">
        <w:rPr>
          <w:lang w:val="fr-FR"/>
        </w:rPr>
        <w:t>ulent des activités sportives</w:t>
      </w:r>
      <w:r w:rsidR="00CA3153" w:rsidRPr="00F60A3D">
        <w:rPr>
          <w:lang w:val="fr-FR"/>
        </w:rPr>
        <w:t xml:space="preserve"> </w:t>
      </w:r>
      <w:r w:rsidR="00EA3BC7" w:rsidRPr="00F60A3D">
        <w:rPr>
          <w:lang w:val="fr-FR"/>
        </w:rPr>
        <w:t>(</w:t>
      </w:r>
      <w:r w:rsidR="00DE4F7C" w:rsidRPr="00F60A3D">
        <w:rPr>
          <w:lang w:val="fr-FR"/>
        </w:rPr>
        <w:t xml:space="preserve">appelée </w:t>
      </w:r>
      <w:r w:rsidR="00395E3A" w:rsidRPr="00F60A3D">
        <w:rPr>
          <w:lang w:val="fr-FR"/>
        </w:rPr>
        <w:t xml:space="preserve">DASPO – </w:t>
      </w:r>
      <w:r w:rsidR="00EA3BC7" w:rsidRPr="00F60A3D">
        <w:rPr>
          <w:lang w:val="fr-FR"/>
        </w:rPr>
        <w:t>ordonnance d</w:t>
      </w:r>
      <w:r w:rsidR="00B17AE1" w:rsidRPr="00F60A3D">
        <w:rPr>
          <w:lang w:val="fr-FR"/>
        </w:rPr>
        <w:t>’</w:t>
      </w:r>
      <w:r w:rsidR="00EA3BC7" w:rsidRPr="00F60A3D">
        <w:rPr>
          <w:lang w:val="fr-FR"/>
        </w:rPr>
        <w:t>i</w:t>
      </w:r>
      <w:r w:rsidR="00395E3A" w:rsidRPr="00F60A3D">
        <w:rPr>
          <w:lang w:val="fr-FR"/>
        </w:rPr>
        <w:t>nterdiction d</w:t>
      </w:r>
      <w:r w:rsidR="00B17AE1" w:rsidRPr="00F60A3D">
        <w:rPr>
          <w:lang w:val="fr-FR"/>
        </w:rPr>
        <w:t>’</w:t>
      </w:r>
      <w:r w:rsidR="00395E3A" w:rsidRPr="00F60A3D">
        <w:rPr>
          <w:lang w:val="fr-FR"/>
        </w:rPr>
        <w:t>entrée dans l</w:t>
      </w:r>
      <w:r w:rsidR="00B17AE1" w:rsidRPr="00F60A3D">
        <w:rPr>
          <w:lang w:val="fr-FR"/>
        </w:rPr>
        <w:t>’</w:t>
      </w:r>
      <w:r w:rsidR="00EA3BC7" w:rsidRPr="00F60A3D">
        <w:rPr>
          <w:lang w:val="fr-FR"/>
        </w:rPr>
        <w:t>enceinte d</w:t>
      </w:r>
      <w:r w:rsidR="00395E3A" w:rsidRPr="00F60A3D">
        <w:rPr>
          <w:lang w:val="fr-FR"/>
        </w:rPr>
        <w:t xml:space="preserve">es stades). </w:t>
      </w:r>
    </w:p>
    <w:p w:rsidR="005063FC" w:rsidRPr="00F60A3D" w:rsidRDefault="00DD5FDA" w:rsidP="00243C33">
      <w:pPr>
        <w:pStyle w:val="SingleTxtG"/>
        <w:rPr>
          <w:rFonts w:eastAsia="MS ??"/>
          <w:lang w:val="fr-FR"/>
        </w:rPr>
      </w:pPr>
      <w:r w:rsidRPr="00F60A3D">
        <w:rPr>
          <w:lang w:val="fr-FR"/>
        </w:rPr>
        <w:t>255</w:t>
      </w:r>
      <w:r w:rsidR="005063FC" w:rsidRPr="00F60A3D">
        <w:rPr>
          <w:lang w:val="fr-FR"/>
        </w:rPr>
        <w:t>.</w:t>
      </w:r>
      <w:r w:rsidR="005063FC" w:rsidRPr="00F60A3D">
        <w:rPr>
          <w:lang w:val="fr-FR"/>
        </w:rPr>
        <w:tab/>
      </w:r>
      <w:r w:rsidR="00395E3A" w:rsidRPr="00F60A3D">
        <w:rPr>
          <w:rFonts w:eastAsia="MS ??"/>
          <w:lang w:val="fr-FR"/>
        </w:rPr>
        <w:t>La législation italienne</w:t>
      </w:r>
      <w:r w:rsidR="00315A42" w:rsidRPr="00F60A3D">
        <w:rPr>
          <w:rStyle w:val="FootnoteReference"/>
          <w:lang w:val="fr-FR"/>
        </w:rPr>
        <w:footnoteReference w:id="53"/>
      </w:r>
      <w:r w:rsidR="005063FC" w:rsidRPr="00F60A3D">
        <w:rPr>
          <w:rFonts w:eastAsia="MS ??"/>
          <w:bCs/>
          <w:lang w:val="fr-FR"/>
        </w:rPr>
        <w:t xml:space="preserve"> </w:t>
      </w:r>
      <w:r w:rsidR="006D7589" w:rsidRPr="00F60A3D">
        <w:rPr>
          <w:rFonts w:eastAsia="MS ??"/>
          <w:lang w:val="fr-FR"/>
        </w:rPr>
        <w:t>inclut également des dispositions</w:t>
      </w:r>
      <w:r w:rsidR="006D7589" w:rsidRPr="00F60A3D">
        <w:rPr>
          <w:rFonts w:eastAsia="MS ??"/>
          <w:b/>
          <w:lang w:val="fr-FR"/>
        </w:rPr>
        <w:t xml:space="preserve"> </w:t>
      </w:r>
      <w:r w:rsidR="006D7589" w:rsidRPr="00F60A3D">
        <w:rPr>
          <w:rFonts w:eastAsia="MS ??"/>
          <w:lang w:val="fr-FR"/>
        </w:rPr>
        <w:t>spécifiques visant à lutter contre le racism</w:t>
      </w:r>
      <w:r w:rsidR="008A5093" w:rsidRPr="00F60A3D">
        <w:rPr>
          <w:rFonts w:eastAsia="MS ??"/>
          <w:lang w:val="fr-FR"/>
        </w:rPr>
        <w:t>e</w:t>
      </w:r>
      <w:r w:rsidR="006D7589" w:rsidRPr="00F60A3D">
        <w:rPr>
          <w:rFonts w:eastAsia="MS ??"/>
          <w:lang w:val="fr-FR"/>
        </w:rPr>
        <w:t xml:space="preserve">, les propos racistes et </w:t>
      </w:r>
      <w:r w:rsidR="008A5093" w:rsidRPr="00F60A3D">
        <w:rPr>
          <w:rFonts w:eastAsia="MS ??"/>
          <w:lang w:val="fr-FR"/>
        </w:rPr>
        <w:t>xé</w:t>
      </w:r>
      <w:r w:rsidR="006D7589" w:rsidRPr="00F60A3D">
        <w:rPr>
          <w:rFonts w:eastAsia="MS ??"/>
          <w:lang w:val="fr-FR"/>
        </w:rPr>
        <w:t>nophobes et l</w:t>
      </w:r>
      <w:r w:rsidR="00B17AE1" w:rsidRPr="00F60A3D">
        <w:rPr>
          <w:rFonts w:eastAsia="MS ??"/>
          <w:lang w:val="fr-FR"/>
        </w:rPr>
        <w:t>’</w:t>
      </w:r>
      <w:r w:rsidR="006D7589" w:rsidRPr="00F60A3D">
        <w:rPr>
          <w:rFonts w:eastAsia="MS ??"/>
          <w:lang w:val="fr-FR"/>
        </w:rPr>
        <w:t>incitation à la violence fondée sur des motifs raciaux, ethniques ou religieux. Te</w:t>
      </w:r>
      <w:r w:rsidR="00EA54F0" w:rsidRPr="00F60A3D">
        <w:rPr>
          <w:rFonts w:eastAsia="MS ??"/>
          <w:lang w:val="fr-FR"/>
        </w:rPr>
        <w:t>l que mentionné plus haut, la lé</w:t>
      </w:r>
      <w:r w:rsidR="006D7589" w:rsidRPr="00F60A3D">
        <w:rPr>
          <w:rFonts w:eastAsia="MS ??"/>
          <w:lang w:val="fr-FR"/>
        </w:rPr>
        <w:t>g</w:t>
      </w:r>
      <w:r w:rsidR="00E3281D" w:rsidRPr="00F60A3D">
        <w:rPr>
          <w:rFonts w:eastAsia="MS ??"/>
          <w:lang w:val="fr-FR"/>
        </w:rPr>
        <w:t>islation en vigueur punit la cré</w:t>
      </w:r>
      <w:r w:rsidR="006D7589" w:rsidRPr="00F60A3D">
        <w:rPr>
          <w:rFonts w:eastAsia="MS ??"/>
          <w:lang w:val="fr-FR"/>
        </w:rPr>
        <w:t>ation</w:t>
      </w:r>
      <w:r w:rsidR="008A5093" w:rsidRPr="00F60A3D">
        <w:rPr>
          <w:rFonts w:eastAsia="MS ??"/>
          <w:lang w:val="fr-FR"/>
        </w:rPr>
        <w:t xml:space="preserve"> d</w:t>
      </w:r>
      <w:r w:rsidR="00B17AE1" w:rsidRPr="00F60A3D">
        <w:rPr>
          <w:rFonts w:eastAsia="MS ??"/>
          <w:lang w:val="fr-FR"/>
        </w:rPr>
        <w:t>’</w:t>
      </w:r>
      <w:r w:rsidR="008A5093" w:rsidRPr="00F60A3D">
        <w:rPr>
          <w:rFonts w:eastAsia="MS ??"/>
          <w:lang w:val="fr-FR"/>
        </w:rPr>
        <w:t>organisations</w:t>
      </w:r>
      <w:r w:rsidR="00BD2304" w:rsidRPr="00F60A3D">
        <w:rPr>
          <w:rFonts w:eastAsia="MS ??"/>
          <w:lang w:val="fr-FR"/>
        </w:rPr>
        <w:t xml:space="preserve">, associations, mouvements ou </w:t>
      </w:r>
      <w:r w:rsidR="006D7589" w:rsidRPr="00F60A3D">
        <w:rPr>
          <w:rFonts w:eastAsia="MS ??"/>
          <w:lang w:val="fr-FR"/>
        </w:rPr>
        <w:t>groupes qui ont notamment pour buts d</w:t>
      </w:r>
      <w:r w:rsidR="00B17AE1" w:rsidRPr="00F60A3D">
        <w:rPr>
          <w:rFonts w:eastAsia="MS ??"/>
          <w:lang w:val="fr-FR"/>
        </w:rPr>
        <w:t>’</w:t>
      </w:r>
      <w:r w:rsidR="006D7589" w:rsidRPr="00F60A3D">
        <w:rPr>
          <w:rFonts w:eastAsia="MS ??"/>
          <w:lang w:val="fr-FR"/>
        </w:rPr>
        <w:t xml:space="preserve">inciter à la discrimination ou à la violence motivées par des </w:t>
      </w:r>
      <w:r w:rsidR="008A5093" w:rsidRPr="00F60A3D">
        <w:rPr>
          <w:rFonts w:eastAsia="MS ??"/>
          <w:lang w:val="fr-FR"/>
        </w:rPr>
        <w:t>considé</w:t>
      </w:r>
      <w:r w:rsidR="006D7589" w:rsidRPr="00F60A3D">
        <w:rPr>
          <w:rFonts w:eastAsia="MS ??"/>
          <w:lang w:val="fr-FR"/>
        </w:rPr>
        <w:t>rations raciales, ethniques ou religieuses. Elle prévoit égaleme</w:t>
      </w:r>
      <w:r w:rsidR="008A5093" w:rsidRPr="00F60A3D">
        <w:rPr>
          <w:rFonts w:eastAsia="MS ??"/>
          <w:lang w:val="fr-FR"/>
        </w:rPr>
        <w:t>n</w:t>
      </w:r>
      <w:r w:rsidR="006D7589" w:rsidRPr="00F60A3D">
        <w:rPr>
          <w:rFonts w:eastAsia="MS ??"/>
          <w:lang w:val="fr-FR"/>
        </w:rPr>
        <w:t xml:space="preserve">t une circonstance aggravante spéciale pour toutes les infractions commises pour des motifs de discrimination ou de haine raciale. </w:t>
      </w:r>
    </w:p>
    <w:p w:rsidR="005063FC" w:rsidRPr="00F60A3D" w:rsidRDefault="00B27AF5" w:rsidP="00B27AF5">
      <w:pPr>
        <w:pStyle w:val="H1G"/>
        <w:rPr>
          <w:lang w:val="fr-FR"/>
        </w:rPr>
      </w:pPr>
      <w:r w:rsidRPr="00F60A3D">
        <w:rPr>
          <w:lang w:val="fr-FR"/>
        </w:rPr>
        <w:tab/>
      </w:r>
      <w:r w:rsidR="000B246D" w:rsidRPr="00F60A3D">
        <w:rPr>
          <w:lang w:val="fr-FR"/>
        </w:rPr>
        <w:t>B.</w:t>
      </w:r>
      <w:r w:rsidR="000B246D" w:rsidRPr="00F60A3D">
        <w:rPr>
          <w:lang w:val="fr-FR"/>
        </w:rPr>
        <w:tab/>
        <w:t>P</w:t>
      </w:r>
      <w:r w:rsidR="005063FC" w:rsidRPr="00F60A3D">
        <w:rPr>
          <w:lang w:val="fr-FR"/>
        </w:rPr>
        <w:t xml:space="preserve">rotection </w:t>
      </w:r>
      <w:r w:rsidR="000B246D" w:rsidRPr="00F60A3D">
        <w:rPr>
          <w:lang w:val="fr-FR"/>
        </w:rPr>
        <w:t>institutionnelle et judiciaire de l</w:t>
      </w:r>
      <w:r w:rsidR="00B17AE1" w:rsidRPr="00F60A3D">
        <w:rPr>
          <w:lang w:val="fr-FR"/>
        </w:rPr>
        <w:t>’</w:t>
      </w:r>
      <w:r w:rsidR="000B246D" w:rsidRPr="00F60A3D">
        <w:rPr>
          <w:lang w:val="fr-FR"/>
        </w:rPr>
        <w:t xml:space="preserve">égalité et de la </w:t>
      </w:r>
      <w:r w:rsidR="005063FC" w:rsidRPr="00F60A3D">
        <w:rPr>
          <w:lang w:val="fr-FR"/>
        </w:rPr>
        <w:t>non-discrimination</w:t>
      </w:r>
    </w:p>
    <w:p w:rsidR="000B246D" w:rsidRPr="00F60A3D" w:rsidRDefault="00DD5FDA" w:rsidP="00B27AF5">
      <w:pPr>
        <w:pStyle w:val="SingleTxtG"/>
        <w:rPr>
          <w:rFonts w:eastAsia="MS ??"/>
          <w:lang w:val="fr-FR"/>
        </w:rPr>
      </w:pPr>
      <w:r w:rsidRPr="00F60A3D">
        <w:rPr>
          <w:rFonts w:eastAsia="MS ??"/>
          <w:lang w:val="fr-FR"/>
        </w:rPr>
        <w:t>256</w:t>
      </w:r>
      <w:r w:rsidR="001018D4" w:rsidRPr="00F60A3D">
        <w:rPr>
          <w:rFonts w:eastAsia="MS ??"/>
          <w:lang w:val="fr-FR"/>
        </w:rPr>
        <w:t>.</w:t>
      </w:r>
      <w:r w:rsidR="001018D4" w:rsidRPr="00F60A3D">
        <w:rPr>
          <w:rFonts w:eastAsia="MS ??"/>
          <w:lang w:val="fr-FR"/>
        </w:rPr>
        <w:tab/>
        <w:t>À la lumière</w:t>
      </w:r>
      <w:r w:rsidR="000B246D" w:rsidRPr="00F60A3D">
        <w:rPr>
          <w:rFonts w:eastAsia="MS ??"/>
          <w:lang w:val="fr-FR"/>
        </w:rPr>
        <w:t xml:space="preserve"> des principes constitutionnels, le ministère public </w:t>
      </w:r>
      <w:r w:rsidR="002D6138" w:rsidRPr="00F60A3D">
        <w:rPr>
          <w:rFonts w:eastAsia="MS ??"/>
          <w:lang w:val="fr-FR"/>
        </w:rPr>
        <w:t>a l</w:t>
      </w:r>
      <w:r w:rsidR="00B17AE1" w:rsidRPr="00F60A3D">
        <w:rPr>
          <w:rFonts w:eastAsia="MS ??"/>
          <w:lang w:val="fr-FR"/>
        </w:rPr>
        <w:t>’</w:t>
      </w:r>
      <w:r w:rsidR="002D6138" w:rsidRPr="00F60A3D">
        <w:rPr>
          <w:rFonts w:eastAsia="MS ??"/>
          <w:lang w:val="fr-FR"/>
        </w:rPr>
        <w:t>obligation d</w:t>
      </w:r>
      <w:r w:rsidR="00B17AE1" w:rsidRPr="00F60A3D">
        <w:rPr>
          <w:rFonts w:eastAsia="MS ??"/>
          <w:lang w:val="fr-FR"/>
        </w:rPr>
        <w:t>’</w:t>
      </w:r>
      <w:r w:rsidR="002D6138" w:rsidRPr="00F60A3D">
        <w:rPr>
          <w:rFonts w:eastAsia="MS ??"/>
          <w:lang w:val="fr-FR"/>
        </w:rPr>
        <w:t>exercer l</w:t>
      </w:r>
      <w:r w:rsidR="00B17AE1" w:rsidRPr="00F60A3D">
        <w:rPr>
          <w:rFonts w:eastAsia="MS ??"/>
          <w:lang w:val="fr-FR"/>
        </w:rPr>
        <w:t>’</w:t>
      </w:r>
      <w:r w:rsidR="002D6138" w:rsidRPr="00F60A3D">
        <w:rPr>
          <w:rFonts w:eastAsia="MS ??"/>
          <w:lang w:val="fr-FR"/>
        </w:rPr>
        <w:t>action pénale</w:t>
      </w:r>
      <w:r w:rsidR="00736673" w:rsidRPr="00F60A3D">
        <w:rPr>
          <w:rFonts w:eastAsia="MS ??"/>
          <w:lang w:val="fr-FR"/>
        </w:rPr>
        <w:t xml:space="preserve"> (</w:t>
      </w:r>
      <w:r w:rsidR="00731982" w:rsidRPr="00F60A3D">
        <w:rPr>
          <w:rFonts w:eastAsia="MS ??"/>
          <w:lang w:val="fr-FR"/>
        </w:rPr>
        <w:t>art. </w:t>
      </w:r>
      <w:r w:rsidR="001870FA" w:rsidRPr="00F60A3D">
        <w:rPr>
          <w:rFonts w:eastAsia="MS ??"/>
          <w:lang w:val="fr-FR"/>
        </w:rPr>
        <w:t>112 de la Constitution)</w:t>
      </w:r>
      <w:r w:rsidR="001018D4" w:rsidRPr="00F60A3D">
        <w:rPr>
          <w:rFonts w:eastAsia="MS ??"/>
          <w:lang w:val="fr-FR"/>
        </w:rPr>
        <w:t>. Il s</w:t>
      </w:r>
      <w:r w:rsidR="00B17AE1" w:rsidRPr="00F60A3D">
        <w:rPr>
          <w:rFonts w:eastAsia="MS ??"/>
          <w:lang w:val="fr-FR"/>
        </w:rPr>
        <w:t>’</w:t>
      </w:r>
      <w:r w:rsidR="001018D4" w:rsidRPr="00F60A3D">
        <w:rPr>
          <w:rFonts w:eastAsia="MS ??"/>
          <w:lang w:val="fr-FR"/>
        </w:rPr>
        <w:t>ensuit que les procureurs sont habilités à enquêter sur toute allégation de motivation dis</w:t>
      </w:r>
      <w:r w:rsidR="001870FA" w:rsidRPr="00F60A3D">
        <w:rPr>
          <w:rFonts w:eastAsia="MS ??"/>
          <w:lang w:val="fr-FR"/>
        </w:rPr>
        <w:t>criminatoire associée à un</w:t>
      </w:r>
      <w:r w:rsidR="002D6138" w:rsidRPr="00F60A3D">
        <w:rPr>
          <w:rFonts w:eastAsia="MS ??"/>
          <w:lang w:val="fr-FR"/>
        </w:rPr>
        <w:t>e infraction</w:t>
      </w:r>
      <w:r w:rsidR="001870FA" w:rsidRPr="00F60A3D">
        <w:rPr>
          <w:rFonts w:eastAsia="MS ??"/>
          <w:lang w:val="fr-FR"/>
        </w:rPr>
        <w:t>,</w:t>
      </w:r>
      <w:r w:rsidR="001018D4" w:rsidRPr="00F60A3D">
        <w:rPr>
          <w:rFonts w:eastAsia="MS ??"/>
          <w:lang w:val="fr-FR"/>
        </w:rPr>
        <w:t xml:space="preserve"> qu</w:t>
      </w:r>
      <w:r w:rsidR="00B17AE1" w:rsidRPr="00F60A3D">
        <w:rPr>
          <w:rFonts w:eastAsia="MS ??"/>
          <w:lang w:val="fr-FR"/>
        </w:rPr>
        <w:t>’</w:t>
      </w:r>
      <w:r w:rsidR="001018D4" w:rsidRPr="00F60A3D">
        <w:rPr>
          <w:rFonts w:eastAsia="MS ??"/>
          <w:lang w:val="fr-FR"/>
        </w:rPr>
        <w:t>il ait ou non été fait mention d</w:t>
      </w:r>
      <w:r w:rsidR="00B17AE1" w:rsidRPr="00F60A3D">
        <w:rPr>
          <w:rFonts w:eastAsia="MS ??"/>
          <w:lang w:val="fr-FR"/>
        </w:rPr>
        <w:t>’</w:t>
      </w:r>
      <w:r w:rsidR="001018D4" w:rsidRPr="00F60A3D">
        <w:rPr>
          <w:rFonts w:eastAsia="MS ??"/>
          <w:lang w:val="fr-FR"/>
        </w:rPr>
        <w:t>une telle motiva</w:t>
      </w:r>
      <w:r w:rsidR="006071F1" w:rsidRPr="00F60A3D">
        <w:rPr>
          <w:rFonts w:eastAsia="MS ??"/>
          <w:lang w:val="fr-FR"/>
        </w:rPr>
        <w:t xml:space="preserve">tion dans le rapport </w:t>
      </w:r>
      <w:r w:rsidR="001870FA" w:rsidRPr="00F60A3D">
        <w:rPr>
          <w:rFonts w:eastAsia="MS ??"/>
          <w:lang w:val="fr-FR"/>
        </w:rPr>
        <w:t>de police.</w:t>
      </w:r>
    </w:p>
    <w:p w:rsidR="000B246D" w:rsidRPr="00F60A3D" w:rsidRDefault="00DD5FDA" w:rsidP="00B27AF5">
      <w:pPr>
        <w:pStyle w:val="SingleTxtG"/>
        <w:rPr>
          <w:rFonts w:eastAsia="MS ??"/>
          <w:lang w:val="fr-FR"/>
        </w:rPr>
      </w:pPr>
      <w:r w:rsidRPr="00F60A3D">
        <w:rPr>
          <w:rFonts w:eastAsia="MS ??"/>
          <w:lang w:val="fr-FR"/>
        </w:rPr>
        <w:t>257</w:t>
      </w:r>
      <w:r w:rsidR="000B246D" w:rsidRPr="00F60A3D">
        <w:rPr>
          <w:rFonts w:eastAsia="MS ??"/>
          <w:lang w:val="fr-FR"/>
        </w:rPr>
        <w:t>.</w:t>
      </w:r>
      <w:r w:rsidR="000B246D" w:rsidRPr="00F60A3D">
        <w:rPr>
          <w:rFonts w:eastAsia="MS ??"/>
          <w:lang w:val="fr-FR"/>
        </w:rPr>
        <w:tab/>
        <w:t>Du poin</w:t>
      </w:r>
      <w:r w:rsidR="005A7100" w:rsidRPr="00F60A3D">
        <w:rPr>
          <w:rFonts w:eastAsia="MS ??"/>
          <w:lang w:val="fr-FR"/>
        </w:rPr>
        <w:t xml:space="preserve">t de vue judiciaire, dans le respect </w:t>
      </w:r>
      <w:r w:rsidR="000B246D" w:rsidRPr="00F60A3D">
        <w:rPr>
          <w:rFonts w:eastAsia="MS ??"/>
          <w:lang w:val="fr-FR"/>
        </w:rPr>
        <w:t xml:space="preserve">et compte tenu des </w:t>
      </w:r>
      <w:r w:rsidR="008A5093" w:rsidRPr="00F60A3D">
        <w:rPr>
          <w:rFonts w:eastAsia="MS ??"/>
          <w:lang w:val="fr-FR"/>
        </w:rPr>
        <w:t>g</w:t>
      </w:r>
      <w:r w:rsidR="000B246D" w:rsidRPr="00F60A3D">
        <w:rPr>
          <w:rFonts w:eastAsia="MS ??"/>
          <w:lang w:val="fr-FR"/>
        </w:rPr>
        <w:t xml:space="preserve">aranties judiciaires </w:t>
      </w:r>
      <w:r w:rsidR="00F32853" w:rsidRPr="00F60A3D">
        <w:rPr>
          <w:rFonts w:eastAsia="MS ??"/>
          <w:lang w:val="fr-FR"/>
        </w:rPr>
        <w:t>pré</w:t>
      </w:r>
      <w:r w:rsidR="000B246D" w:rsidRPr="00F60A3D">
        <w:rPr>
          <w:rFonts w:eastAsia="MS ??"/>
          <w:lang w:val="fr-FR"/>
        </w:rPr>
        <w:t>vue</w:t>
      </w:r>
      <w:r w:rsidR="008A5093" w:rsidRPr="00F60A3D">
        <w:rPr>
          <w:rFonts w:eastAsia="MS ??"/>
          <w:lang w:val="fr-FR"/>
        </w:rPr>
        <w:t>s</w:t>
      </w:r>
      <w:r w:rsidR="000B246D" w:rsidRPr="00F60A3D">
        <w:rPr>
          <w:rFonts w:eastAsia="MS ??"/>
          <w:lang w:val="fr-FR"/>
        </w:rPr>
        <w:t xml:space="preserve"> par la Constitution et la </w:t>
      </w:r>
      <w:r w:rsidR="008A5093" w:rsidRPr="00F60A3D">
        <w:rPr>
          <w:rFonts w:eastAsia="MS ??"/>
          <w:lang w:val="fr-FR"/>
        </w:rPr>
        <w:t>lé</w:t>
      </w:r>
      <w:r w:rsidR="00F32853" w:rsidRPr="00F60A3D">
        <w:rPr>
          <w:rFonts w:eastAsia="MS ??"/>
          <w:lang w:val="fr-FR"/>
        </w:rPr>
        <w:t>gislation applicable, si des faits nouveaux sont portés à sa connaissance, la</w:t>
      </w:r>
      <w:r w:rsidR="001870FA" w:rsidRPr="00F60A3D">
        <w:rPr>
          <w:rFonts w:eastAsia="MS ??"/>
          <w:lang w:val="fr-FR"/>
        </w:rPr>
        <w:t xml:space="preserve"> C</w:t>
      </w:r>
      <w:r w:rsidR="00F32853" w:rsidRPr="00F60A3D">
        <w:rPr>
          <w:rFonts w:eastAsia="MS ??"/>
          <w:lang w:val="fr-FR"/>
        </w:rPr>
        <w:t>our</w:t>
      </w:r>
      <w:r w:rsidR="000B246D" w:rsidRPr="00F60A3D">
        <w:rPr>
          <w:rFonts w:eastAsia="MS ??"/>
          <w:lang w:val="fr-FR"/>
        </w:rPr>
        <w:t xml:space="preserve"> </w:t>
      </w:r>
      <w:r w:rsidR="008A5093" w:rsidRPr="00F60A3D">
        <w:rPr>
          <w:rFonts w:eastAsia="MS ??"/>
          <w:lang w:val="fr-FR"/>
        </w:rPr>
        <w:t xml:space="preserve">peut </w:t>
      </w:r>
      <w:r w:rsidR="00F32853" w:rsidRPr="00F60A3D">
        <w:rPr>
          <w:rFonts w:eastAsia="MS ??"/>
          <w:lang w:val="fr-FR"/>
        </w:rPr>
        <w:t>accepter</w:t>
      </w:r>
      <w:r w:rsidR="000B246D" w:rsidRPr="00F60A3D">
        <w:rPr>
          <w:rFonts w:eastAsia="MS ??"/>
          <w:lang w:val="fr-FR"/>
        </w:rPr>
        <w:t xml:space="preserve"> des éléments de preuve supplémentaires conformément aux </w:t>
      </w:r>
      <w:r w:rsidR="00D26282" w:rsidRPr="00F60A3D">
        <w:rPr>
          <w:rFonts w:eastAsia="MS ??"/>
          <w:lang w:val="fr-FR"/>
        </w:rPr>
        <w:t>articles </w:t>
      </w:r>
      <w:r w:rsidR="000B246D" w:rsidRPr="00F60A3D">
        <w:rPr>
          <w:rFonts w:eastAsia="MS ??"/>
          <w:lang w:val="fr-FR"/>
        </w:rPr>
        <w:t xml:space="preserve">516, 517, et 518 du Code de procédure pénale. </w:t>
      </w:r>
      <w:r w:rsidR="00F32853" w:rsidRPr="00F60A3D">
        <w:rPr>
          <w:rFonts w:eastAsia="MS ??"/>
          <w:lang w:val="fr-FR"/>
        </w:rPr>
        <w:t>De manière</w:t>
      </w:r>
      <w:r w:rsidR="009A5BC3" w:rsidRPr="00F60A3D">
        <w:rPr>
          <w:rFonts w:eastAsia="MS ??"/>
          <w:lang w:val="fr-FR"/>
        </w:rPr>
        <w:t xml:space="preserve"> gén</w:t>
      </w:r>
      <w:r w:rsidR="00F32853" w:rsidRPr="00F60A3D">
        <w:rPr>
          <w:rFonts w:eastAsia="MS ??"/>
          <w:lang w:val="fr-FR"/>
        </w:rPr>
        <w:t>érale, elle a toujours la possibilité de prononcer une peine plus sévère</w:t>
      </w:r>
      <w:r w:rsidR="009A5BC3" w:rsidRPr="00F60A3D">
        <w:rPr>
          <w:rFonts w:eastAsia="MS ??"/>
          <w:lang w:val="fr-FR"/>
        </w:rPr>
        <w:t xml:space="preserve"> au vu de circonstances nouvelles ou d</w:t>
      </w:r>
      <w:r w:rsidR="00B17AE1" w:rsidRPr="00F60A3D">
        <w:rPr>
          <w:rFonts w:eastAsia="MS ??"/>
          <w:lang w:val="fr-FR"/>
        </w:rPr>
        <w:t>’</w:t>
      </w:r>
      <w:r w:rsidR="009A5BC3" w:rsidRPr="00F60A3D">
        <w:rPr>
          <w:rFonts w:eastAsia="MS ??"/>
          <w:lang w:val="fr-FR"/>
        </w:rPr>
        <w:t>él</w:t>
      </w:r>
      <w:r w:rsidR="005A7100" w:rsidRPr="00F60A3D">
        <w:rPr>
          <w:rFonts w:eastAsia="MS ??"/>
          <w:lang w:val="fr-FR"/>
        </w:rPr>
        <w:t>éments de preuve particuliers. En présence de faits nouv</w:t>
      </w:r>
      <w:r w:rsidR="00052353" w:rsidRPr="00F60A3D">
        <w:rPr>
          <w:rFonts w:eastAsia="MS ??"/>
          <w:lang w:val="fr-FR"/>
        </w:rPr>
        <w:t>eaux par rapport à ceux</w:t>
      </w:r>
      <w:r w:rsidR="005A7100" w:rsidRPr="00F60A3D">
        <w:rPr>
          <w:rFonts w:eastAsia="MS ??"/>
          <w:lang w:val="fr-FR"/>
        </w:rPr>
        <w:t xml:space="preserve"> déjà à l</w:t>
      </w:r>
      <w:r w:rsidR="00B17AE1" w:rsidRPr="00F60A3D">
        <w:rPr>
          <w:rFonts w:eastAsia="MS ??"/>
          <w:lang w:val="fr-FR"/>
        </w:rPr>
        <w:t>’</w:t>
      </w:r>
      <w:r w:rsidR="005A7100" w:rsidRPr="00F60A3D">
        <w:rPr>
          <w:rFonts w:eastAsia="MS ??"/>
          <w:lang w:val="fr-FR"/>
        </w:rPr>
        <w:t>examen, elle doit charger le procureur de procéder de façon distincte, sauf décision contraire du ministère public et du défendeur</w:t>
      </w:r>
      <w:r w:rsidR="00736673" w:rsidRPr="00F60A3D">
        <w:rPr>
          <w:rFonts w:eastAsia="MS ??"/>
          <w:lang w:val="fr-FR"/>
        </w:rPr>
        <w:t xml:space="preserve"> (</w:t>
      </w:r>
      <w:r w:rsidR="00731982" w:rsidRPr="00F60A3D">
        <w:rPr>
          <w:rFonts w:eastAsia="MS ??"/>
          <w:lang w:val="fr-FR"/>
        </w:rPr>
        <w:t>art. </w:t>
      </w:r>
      <w:r w:rsidR="009768B9" w:rsidRPr="00F60A3D">
        <w:rPr>
          <w:rFonts w:eastAsia="MS ??"/>
          <w:lang w:val="fr-FR"/>
        </w:rPr>
        <w:t>518)</w:t>
      </w:r>
      <w:r w:rsidR="005A7100" w:rsidRPr="00F60A3D">
        <w:rPr>
          <w:rFonts w:eastAsia="MS ??"/>
          <w:lang w:val="fr-FR"/>
        </w:rPr>
        <w:t xml:space="preserve">. </w:t>
      </w:r>
    </w:p>
    <w:p w:rsidR="005063FC" w:rsidRPr="00F60A3D" w:rsidRDefault="00DD5FDA" w:rsidP="00EA43C5">
      <w:pPr>
        <w:pStyle w:val="SingleTxtG"/>
        <w:rPr>
          <w:lang w:val="fr-FR"/>
        </w:rPr>
      </w:pPr>
      <w:r w:rsidRPr="00F60A3D">
        <w:rPr>
          <w:lang w:val="fr-FR"/>
        </w:rPr>
        <w:t>258</w:t>
      </w:r>
      <w:r w:rsidR="009A5BC3" w:rsidRPr="00F60A3D">
        <w:rPr>
          <w:lang w:val="fr-FR"/>
        </w:rPr>
        <w:t>.</w:t>
      </w:r>
      <w:r w:rsidR="009A5BC3" w:rsidRPr="00F60A3D">
        <w:rPr>
          <w:lang w:val="fr-FR"/>
        </w:rPr>
        <w:tab/>
        <w:t>La personne victime de</w:t>
      </w:r>
      <w:r w:rsidR="00206AB2" w:rsidRPr="00F60A3D">
        <w:rPr>
          <w:lang w:val="fr-FR"/>
        </w:rPr>
        <w:t xml:space="preserve"> discrimination peut recourir à</w:t>
      </w:r>
      <w:r w:rsidR="009A5BC3" w:rsidRPr="00F60A3D">
        <w:rPr>
          <w:lang w:val="fr-FR"/>
        </w:rPr>
        <w:t xml:space="preserve"> des procédures pénales (si elle a été victime d</w:t>
      </w:r>
      <w:r w:rsidR="00B17AE1" w:rsidRPr="00F60A3D">
        <w:rPr>
          <w:lang w:val="fr-FR"/>
        </w:rPr>
        <w:t>’</w:t>
      </w:r>
      <w:r w:rsidR="009A5BC3" w:rsidRPr="00F60A3D">
        <w:rPr>
          <w:lang w:val="fr-FR"/>
        </w:rPr>
        <w:t>infraction</w:t>
      </w:r>
      <w:r w:rsidR="008A5093" w:rsidRPr="00F60A3D">
        <w:rPr>
          <w:lang w:val="fr-FR"/>
        </w:rPr>
        <w:t>s</w:t>
      </w:r>
      <w:r w:rsidR="009A5BC3" w:rsidRPr="00F60A3D">
        <w:rPr>
          <w:lang w:val="fr-FR"/>
        </w:rPr>
        <w:t xml:space="preserve"> de n</w:t>
      </w:r>
      <w:r w:rsidR="008A5093" w:rsidRPr="00F60A3D">
        <w:rPr>
          <w:lang w:val="fr-FR"/>
        </w:rPr>
        <w:t>ature pénale</w:t>
      </w:r>
      <w:r w:rsidR="001870FA" w:rsidRPr="00F60A3D">
        <w:rPr>
          <w:lang w:val="fr-FR"/>
        </w:rPr>
        <w:t>),</w:t>
      </w:r>
      <w:r w:rsidR="009A5BC3" w:rsidRPr="00F60A3D">
        <w:rPr>
          <w:lang w:val="fr-FR"/>
        </w:rPr>
        <w:t xml:space="preserve"> </w:t>
      </w:r>
      <w:r w:rsidR="00E7783F" w:rsidRPr="00F60A3D">
        <w:rPr>
          <w:lang w:val="fr-FR"/>
        </w:rPr>
        <w:t xml:space="preserve">à </w:t>
      </w:r>
      <w:r w:rsidR="009A5BC3" w:rsidRPr="00F60A3D">
        <w:rPr>
          <w:lang w:val="fr-FR"/>
        </w:rPr>
        <w:t xml:space="preserve">des procédures administratives (par </w:t>
      </w:r>
      <w:r w:rsidR="009A5BC3" w:rsidRPr="00F60A3D">
        <w:rPr>
          <w:lang w:val="fr-FR"/>
        </w:rPr>
        <w:lastRenderedPageBreak/>
        <w:t>exemple, une plainte déposée contre les actes d</w:t>
      </w:r>
      <w:r w:rsidR="00B17AE1" w:rsidRPr="00F60A3D">
        <w:rPr>
          <w:lang w:val="fr-FR"/>
        </w:rPr>
        <w:t>’</w:t>
      </w:r>
      <w:r w:rsidR="009A5BC3" w:rsidRPr="00F60A3D">
        <w:rPr>
          <w:lang w:val="fr-FR"/>
        </w:rPr>
        <w:t>un fonctionnaire ou d</w:t>
      </w:r>
      <w:r w:rsidR="00B17AE1" w:rsidRPr="00F60A3D">
        <w:rPr>
          <w:lang w:val="fr-FR"/>
        </w:rPr>
        <w:t>’</w:t>
      </w:r>
      <w:r w:rsidR="009A5BC3" w:rsidRPr="00F60A3D">
        <w:rPr>
          <w:lang w:val="fr-FR"/>
        </w:rPr>
        <w:t>u</w:t>
      </w:r>
      <w:r w:rsidR="00EA43C5" w:rsidRPr="00F60A3D">
        <w:rPr>
          <w:lang w:val="fr-FR"/>
        </w:rPr>
        <w:t>ne institution d</w:t>
      </w:r>
      <w:r w:rsidR="00B17AE1" w:rsidRPr="00F60A3D">
        <w:rPr>
          <w:lang w:val="fr-FR"/>
        </w:rPr>
        <w:t>’</w:t>
      </w:r>
      <w:r w:rsidR="00EA43C5" w:rsidRPr="00F60A3D">
        <w:rPr>
          <w:lang w:val="fr-FR"/>
        </w:rPr>
        <w:t>État</w:t>
      </w:r>
      <w:r w:rsidR="009A5BC3" w:rsidRPr="00F60A3D">
        <w:rPr>
          <w:lang w:val="fr-FR"/>
        </w:rPr>
        <w:t>/municipal</w:t>
      </w:r>
      <w:r w:rsidR="00EA43C5" w:rsidRPr="00F60A3D">
        <w:rPr>
          <w:lang w:val="fr-FR"/>
        </w:rPr>
        <w:t>e</w:t>
      </w:r>
      <w:r w:rsidR="001539E0" w:rsidRPr="00F60A3D">
        <w:rPr>
          <w:lang w:val="fr-FR"/>
        </w:rPr>
        <w:t>)</w:t>
      </w:r>
      <w:r w:rsidR="001870FA" w:rsidRPr="00F60A3D">
        <w:rPr>
          <w:lang w:val="fr-FR"/>
        </w:rPr>
        <w:t>,</w:t>
      </w:r>
      <w:r w:rsidR="009A5BC3" w:rsidRPr="00F60A3D">
        <w:rPr>
          <w:lang w:val="fr-FR"/>
        </w:rPr>
        <w:t xml:space="preserve"> et </w:t>
      </w:r>
      <w:r w:rsidR="00E7783F" w:rsidRPr="00F60A3D">
        <w:rPr>
          <w:lang w:val="fr-FR"/>
        </w:rPr>
        <w:t xml:space="preserve">à </w:t>
      </w:r>
      <w:r w:rsidR="009A5BC3" w:rsidRPr="00F60A3D">
        <w:rPr>
          <w:lang w:val="fr-FR"/>
        </w:rPr>
        <w:t xml:space="preserve">des procédures civiles (par exemple, </w:t>
      </w:r>
      <w:r w:rsidR="00EA43C5" w:rsidRPr="00F60A3D">
        <w:rPr>
          <w:lang w:val="fr-FR"/>
        </w:rPr>
        <w:t>pour dommages moraux</w:t>
      </w:r>
      <w:r w:rsidR="00736673" w:rsidRPr="00F60A3D">
        <w:rPr>
          <w:lang w:val="fr-FR"/>
        </w:rPr>
        <w:t>)</w:t>
      </w:r>
      <w:r w:rsidR="00315A42" w:rsidRPr="00F60A3D">
        <w:rPr>
          <w:rStyle w:val="FootnoteReference"/>
          <w:lang w:val="fr-FR"/>
        </w:rPr>
        <w:footnoteReference w:id="54"/>
      </w:r>
      <w:r w:rsidR="00736673" w:rsidRPr="00F60A3D">
        <w:rPr>
          <w:lang w:val="fr-FR"/>
        </w:rPr>
        <w:t>.</w:t>
      </w:r>
      <w:r w:rsidR="005063FC" w:rsidRPr="00F60A3D">
        <w:rPr>
          <w:bCs/>
          <w:lang w:val="fr-FR"/>
        </w:rPr>
        <w:t xml:space="preserve"> </w:t>
      </w:r>
      <w:r w:rsidR="00EA43C5" w:rsidRPr="00F60A3D">
        <w:rPr>
          <w:lang w:val="fr-FR"/>
        </w:rPr>
        <w:t>La victime pe</w:t>
      </w:r>
      <w:r w:rsidR="00E7783F" w:rsidRPr="00F60A3D">
        <w:rPr>
          <w:lang w:val="fr-FR"/>
        </w:rPr>
        <w:t>ut également recourir aux dispositifs</w:t>
      </w:r>
      <w:r w:rsidR="00EA43C5" w:rsidRPr="00F60A3D">
        <w:rPr>
          <w:lang w:val="fr-FR"/>
        </w:rPr>
        <w:t xml:space="preserve"> de lutte co</w:t>
      </w:r>
      <w:r w:rsidR="00DE4F7C" w:rsidRPr="00F60A3D">
        <w:rPr>
          <w:lang w:val="fr-FR"/>
        </w:rPr>
        <w:t>ntre la discrimination du Bureau national de lutte contre la discrimination</w:t>
      </w:r>
      <w:r w:rsidR="00315A42" w:rsidRPr="00F60A3D">
        <w:rPr>
          <w:rStyle w:val="FootnoteReference"/>
          <w:lang w:val="fr-FR"/>
        </w:rPr>
        <w:footnoteReference w:id="55"/>
      </w:r>
      <w:r w:rsidR="00736673" w:rsidRPr="00F60A3D">
        <w:rPr>
          <w:lang w:val="fr-FR"/>
        </w:rPr>
        <w:t>.</w:t>
      </w:r>
      <w:r w:rsidR="005063FC" w:rsidRPr="00F60A3D">
        <w:rPr>
          <w:lang w:val="fr-FR"/>
        </w:rPr>
        <w:t xml:space="preserve"> </w:t>
      </w:r>
    </w:p>
    <w:p w:rsidR="005063FC" w:rsidRPr="00F60A3D" w:rsidRDefault="00DD5FDA" w:rsidP="00B27AF5">
      <w:pPr>
        <w:pStyle w:val="SingleTxtG"/>
        <w:rPr>
          <w:i/>
          <w:iCs/>
          <w:lang w:val="fr-FR"/>
        </w:rPr>
      </w:pPr>
      <w:r w:rsidRPr="00F60A3D">
        <w:rPr>
          <w:lang w:val="fr-FR"/>
        </w:rPr>
        <w:t>259</w:t>
      </w:r>
      <w:r w:rsidR="005E205A" w:rsidRPr="00F60A3D">
        <w:rPr>
          <w:lang w:val="fr-FR"/>
        </w:rPr>
        <w:t>.</w:t>
      </w:r>
      <w:r w:rsidR="005E205A" w:rsidRPr="00F60A3D">
        <w:rPr>
          <w:lang w:val="fr-FR"/>
        </w:rPr>
        <w:tab/>
        <w:t xml:space="preserve">Dans ce cadre, il faut aussi mentionner: </w:t>
      </w:r>
    </w:p>
    <w:p w:rsidR="005063FC" w:rsidRPr="00F60A3D" w:rsidRDefault="00065CB2" w:rsidP="00243C33">
      <w:pPr>
        <w:pStyle w:val="SingleTxtG"/>
        <w:rPr>
          <w:lang w:val="fr-FR"/>
        </w:rPr>
      </w:pPr>
      <w:r w:rsidRPr="00F60A3D">
        <w:rPr>
          <w:lang w:val="fr-FR"/>
        </w:rPr>
        <w:tab/>
      </w:r>
      <w:r w:rsidR="00DD5FDA" w:rsidRPr="00F60A3D">
        <w:rPr>
          <w:lang w:val="fr-FR"/>
        </w:rPr>
        <w:t>a</w:t>
      </w:r>
      <w:r w:rsidR="001D2CCC" w:rsidRPr="00F60A3D">
        <w:rPr>
          <w:lang w:val="fr-FR"/>
        </w:rPr>
        <w:t>)</w:t>
      </w:r>
      <w:r w:rsidR="001D2CCC" w:rsidRPr="00F60A3D">
        <w:rPr>
          <w:lang w:val="fr-FR"/>
        </w:rPr>
        <w:tab/>
      </w:r>
      <w:r w:rsidR="0008373A" w:rsidRPr="00F60A3D">
        <w:rPr>
          <w:lang w:val="fr-FR"/>
        </w:rPr>
        <w:t>Le r</w:t>
      </w:r>
      <w:r w:rsidR="0012421D" w:rsidRPr="00F60A3D">
        <w:rPr>
          <w:lang w:val="fr-FR"/>
        </w:rPr>
        <w:t>envoi à la Cour de justice de l</w:t>
      </w:r>
      <w:r w:rsidR="00B17AE1" w:rsidRPr="00F60A3D">
        <w:rPr>
          <w:lang w:val="fr-FR"/>
        </w:rPr>
        <w:t>’</w:t>
      </w:r>
      <w:r w:rsidR="0012421D" w:rsidRPr="00F60A3D">
        <w:rPr>
          <w:lang w:val="fr-FR"/>
        </w:rPr>
        <w:t xml:space="preserve">Union européenne – </w:t>
      </w:r>
      <w:r w:rsidR="00052353" w:rsidRPr="00F60A3D">
        <w:rPr>
          <w:lang w:val="fr-FR"/>
        </w:rPr>
        <w:t>e</w:t>
      </w:r>
      <w:r w:rsidR="00186E47" w:rsidRPr="00F60A3D">
        <w:rPr>
          <w:lang w:val="fr-FR"/>
        </w:rPr>
        <w:t xml:space="preserve">n cas de question préjudicielle </w:t>
      </w:r>
      <w:r w:rsidR="005552D0" w:rsidRPr="00F60A3D">
        <w:rPr>
          <w:lang w:val="fr-FR"/>
        </w:rPr>
        <w:t>concernant</w:t>
      </w:r>
      <w:r w:rsidR="0012421D" w:rsidRPr="00F60A3D">
        <w:rPr>
          <w:lang w:val="fr-FR"/>
        </w:rPr>
        <w:t xml:space="preserve"> la </w:t>
      </w:r>
      <w:r w:rsidR="00186E47" w:rsidRPr="00F60A3D">
        <w:rPr>
          <w:lang w:val="fr-FR"/>
        </w:rPr>
        <w:t>lé</w:t>
      </w:r>
      <w:r w:rsidR="0012421D" w:rsidRPr="00F60A3D">
        <w:rPr>
          <w:lang w:val="fr-FR"/>
        </w:rPr>
        <w:t>gislation de l</w:t>
      </w:r>
      <w:r w:rsidR="00B17AE1" w:rsidRPr="00F60A3D">
        <w:rPr>
          <w:lang w:val="fr-FR"/>
        </w:rPr>
        <w:t>’</w:t>
      </w:r>
      <w:r w:rsidR="0012421D" w:rsidRPr="00F60A3D">
        <w:rPr>
          <w:lang w:val="fr-FR"/>
        </w:rPr>
        <w:t xml:space="preserve">UE </w:t>
      </w:r>
      <w:r w:rsidR="00186E47" w:rsidRPr="00F60A3D">
        <w:rPr>
          <w:lang w:val="fr-FR"/>
        </w:rPr>
        <w:t>et quand le juge hésite sur la manière d</w:t>
      </w:r>
      <w:r w:rsidR="00B17AE1" w:rsidRPr="00F60A3D">
        <w:rPr>
          <w:lang w:val="fr-FR"/>
        </w:rPr>
        <w:t>’</w:t>
      </w:r>
      <w:r w:rsidR="00186E47" w:rsidRPr="00F60A3D">
        <w:rPr>
          <w:lang w:val="fr-FR"/>
        </w:rPr>
        <w:t>i</w:t>
      </w:r>
      <w:r w:rsidR="005552D0" w:rsidRPr="00F60A3D">
        <w:rPr>
          <w:lang w:val="fr-FR"/>
        </w:rPr>
        <w:t>nterpréter une disposition de cette</w:t>
      </w:r>
      <w:r w:rsidR="00186E47" w:rsidRPr="00F60A3D">
        <w:rPr>
          <w:lang w:val="fr-FR"/>
        </w:rPr>
        <w:t xml:space="preserve"> </w:t>
      </w:r>
      <w:r w:rsidR="00BA7C52" w:rsidRPr="00F60A3D">
        <w:rPr>
          <w:lang w:val="fr-FR"/>
        </w:rPr>
        <w:t>lé</w:t>
      </w:r>
      <w:r w:rsidR="00186E47" w:rsidRPr="00F60A3D">
        <w:rPr>
          <w:lang w:val="fr-FR"/>
        </w:rPr>
        <w:t xml:space="preserve">gislation, </w:t>
      </w:r>
      <w:r w:rsidR="00BA7C52" w:rsidRPr="00F60A3D">
        <w:rPr>
          <w:lang w:val="fr-FR"/>
        </w:rPr>
        <w:t xml:space="preserve">un tribunal national peut adresser </w:t>
      </w:r>
      <w:r w:rsidR="00186E47" w:rsidRPr="00F60A3D">
        <w:rPr>
          <w:lang w:val="fr-FR"/>
        </w:rPr>
        <w:t>un renvoi à la Cour de justice de l</w:t>
      </w:r>
      <w:r w:rsidR="00B17AE1" w:rsidRPr="00F60A3D">
        <w:rPr>
          <w:lang w:val="fr-FR"/>
        </w:rPr>
        <w:t>’</w:t>
      </w:r>
      <w:r w:rsidR="00186E47" w:rsidRPr="00F60A3D">
        <w:rPr>
          <w:lang w:val="fr-FR"/>
        </w:rPr>
        <w:t>Union européenne à Luxembourg</w:t>
      </w:r>
      <w:r w:rsidR="00274661" w:rsidRPr="00F60A3D">
        <w:rPr>
          <w:lang w:val="fr-FR"/>
        </w:rPr>
        <w:t>,</w:t>
      </w:r>
      <w:r w:rsidR="00186E47" w:rsidRPr="00F60A3D">
        <w:rPr>
          <w:lang w:val="fr-FR"/>
        </w:rPr>
        <w:t xml:space="preserve"> en vertu de l</w:t>
      </w:r>
      <w:r w:rsidR="00B17AE1" w:rsidRPr="00F60A3D">
        <w:rPr>
          <w:lang w:val="fr-FR"/>
        </w:rPr>
        <w:t>’</w:t>
      </w:r>
      <w:r w:rsidR="00D26282" w:rsidRPr="00F60A3D">
        <w:rPr>
          <w:lang w:val="fr-FR"/>
        </w:rPr>
        <w:t>article </w:t>
      </w:r>
      <w:r w:rsidR="00274661" w:rsidRPr="00F60A3D">
        <w:rPr>
          <w:lang w:val="fr-FR"/>
        </w:rPr>
        <w:t>234 du Traité de Maastricht</w:t>
      </w:r>
      <w:r w:rsidR="00186E47" w:rsidRPr="00F60A3D">
        <w:rPr>
          <w:lang w:val="fr-FR"/>
        </w:rPr>
        <w:t xml:space="preserve">. </w:t>
      </w:r>
      <w:r w:rsidR="00274661" w:rsidRPr="00F60A3D">
        <w:rPr>
          <w:lang w:val="fr-FR"/>
        </w:rPr>
        <w:t>Les parties peuvent demander au juge national d</w:t>
      </w:r>
      <w:r w:rsidR="00B17AE1" w:rsidRPr="00F60A3D">
        <w:rPr>
          <w:lang w:val="fr-FR"/>
        </w:rPr>
        <w:t>’</w:t>
      </w:r>
      <w:r w:rsidR="00BA7C52" w:rsidRPr="00F60A3D">
        <w:rPr>
          <w:lang w:val="fr-FR"/>
        </w:rPr>
        <w:t>accorder une requête de</w:t>
      </w:r>
      <w:r w:rsidR="00274661" w:rsidRPr="00F60A3D">
        <w:rPr>
          <w:lang w:val="fr-FR"/>
        </w:rPr>
        <w:t xml:space="preserve"> renvoi</w:t>
      </w:r>
      <w:r w:rsidR="00555E7C" w:rsidRPr="00F60A3D">
        <w:rPr>
          <w:lang w:val="fr-FR"/>
        </w:rPr>
        <w:t>,</w:t>
      </w:r>
      <w:r w:rsidR="00274661" w:rsidRPr="00F60A3D">
        <w:rPr>
          <w:lang w:val="fr-FR"/>
        </w:rPr>
        <w:t xml:space="preserve"> ou le juge peut décider de so</w:t>
      </w:r>
      <w:r w:rsidR="00BA7C52" w:rsidRPr="00F60A3D">
        <w:rPr>
          <w:lang w:val="fr-FR"/>
        </w:rPr>
        <w:t>n propre chef de renvoyer l</w:t>
      </w:r>
      <w:r w:rsidR="00B17AE1" w:rsidRPr="00F60A3D">
        <w:rPr>
          <w:lang w:val="fr-FR"/>
        </w:rPr>
        <w:t>’</w:t>
      </w:r>
      <w:r w:rsidR="00BA7C52" w:rsidRPr="00F60A3D">
        <w:rPr>
          <w:lang w:val="fr-FR"/>
        </w:rPr>
        <w:t>affaire</w:t>
      </w:r>
      <w:r w:rsidR="00274661" w:rsidRPr="00F60A3D">
        <w:rPr>
          <w:lang w:val="fr-FR"/>
        </w:rPr>
        <w:t>. Tou</w:t>
      </w:r>
      <w:r w:rsidR="00BA7C52" w:rsidRPr="00F60A3D">
        <w:rPr>
          <w:lang w:val="fr-FR"/>
        </w:rPr>
        <w:t>t tribunal peut demander</w:t>
      </w:r>
      <w:r w:rsidR="00274661" w:rsidRPr="00F60A3D">
        <w:rPr>
          <w:lang w:val="fr-FR"/>
        </w:rPr>
        <w:t xml:space="preserve"> un renvoi, mais seul le tribunal nati</w:t>
      </w:r>
      <w:r w:rsidR="0008373A" w:rsidRPr="00F60A3D">
        <w:rPr>
          <w:lang w:val="fr-FR"/>
        </w:rPr>
        <w:t>onal qui statue en dernier recours est t</w:t>
      </w:r>
      <w:r w:rsidR="00F45952" w:rsidRPr="00F60A3D">
        <w:rPr>
          <w:lang w:val="fr-FR"/>
        </w:rPr>
        <w:t>enu de saisir la Cour de justice de l</w:t>
      </w:r>
      <w:r w:rsidR="00B17AE1" w:rsidRPr="00F60A3D">
        <w:rPr>
          <w:lang w:val="fr-FR"/>
        </w:rPr>
        <w:t>’</w:t>
      </w:r>
      <w:r w:rsidR="00F45952" w:rsidRPr="00F60A3D">
        <w:rPr>
          <w:lang w:val="fr-FR"/>
        </w:rPr>
        <w:t>UE. Seule celle-ci</w:t>
      </w:r>
      <w:r w:rsidR="00274661" w:rsidRPr="00F60A3D">
        <w:rPr>
          <w:lang w:val="fr-FR"/>
        </w:rPr>
        <w:t xml:space="preserve"> peut donner une </w:t>
      </w:r>
      <w:r w:rsidR="0008373A" w:rsidRPr="00F60A3D">
        <w:rPr>
          <w:lang w:val="fr-FR"/>
        </w:rPr>
        <w:t>interpré</w:t>
      </w:r>
      <w:r w:rsidR="00274661" w:rsidRPr="00F60A3D">
        <w:rPr>
          <w:lang w:val="fr-FR"/>
        </w:rPr>
        <w:t xml:space="preserve">tation </w:t>
      </w:r>
      <w:r w:rsidR="0008373A" w:rsidRPr="00F60A3D">
        <w:rPr>
          <w:lang w:val="fr-FR"/>
        </w:rPr>
        <w:t>dé</w:t>
      </w:r>
      <w:r w:rsidR="00274661" w:rsidRPr="00F60A3D">
        <w:rPr>
          <w:lang w:val="fr-FR"/>
        </w:rPr>
        <w:t>finitive des terme</w:t>
      </w:r>
      <w:r w:rsidR="00243C33" w:rsidRPr="00F60A3D">
        <w:rPr>
          <w:lang w:val="fr-FR"/>
        </w:rPr>
        <w:t>s employés dans les directives;</w:t>
      </w:r>
    </w:p>
    <w:p w:rsidR="0008373A" w:rsidRPr="00F60A3D" w:rsidRDefault="00065CB2" w:rsidP="00243C33">
      <w:pPr>
        <w:pStyle w:val="SingleTxtG"/>
        <w:rPr>
          <w:lang w:val="fr-FR"/>
        </w:rPr>
      </w:pPr>
      <w:r w:rsidRPr="00F60A3D">
        <w:rPr>
          <w:lang w:val="fr-FR"/>
        </w:rPr>
        <w:tab/>
      </w:r>
      <w:r w:rsidR="00DD5FDA" w:rsidRPr="00F60A3D">
        <w:rPr>
          <w:lang w:val="fr-FR"/>
        </w:rPr>
        <w:t>b</w:t>
      </w:r>
      <w:r w:rsidR="001D2CCC" w:rsidRPr="00F60A3D">
        <w:rPr>
          <w:lang w:val="fr-FR"/>
        </w:rPr>
        <w:t>)</w:t>
      </w:r>
      <w:r w:rsidR="001D2CCC" w:rsidRPr="00F60A3D">
        <w:rPr>
          <w:lang w:val="fr-FR"/>
        </w:rPr>
        <w:tab/>
      </w:r>
      <w:r w:rsidR="0008373A" w:rsidRPr="00F60A3D">
        <w:rPr>
          <w:bCs/>
          <w:lang w:val="fr-FR"/>
        </w:rPr>
        <w:t>Les p</w:t>
      </w:r>
      <w:r w:rsidR="00BA7C52" w:rsidRPr="00F60A3D">
        <w:rPr>
          <w:bCs/>
          <w:lang w:val="fr-FR"/>
        </w:rPr>
        <w:t>é</w:t>
      </w:r>
      <w:r w:rsidR="005063FC" w:rsidRPr="00F60A3D">
        <w:rPr>
          <w:bCs/>
          <w:lang w:val="fr-FR"/>
        </w:rPr>
        <w:t>tition</w:t>
      </w:r>
      <w:r w:rsidR="0008373A" w:rsidRPr="00F60A3D">
        <w:rPr>
          <w:bCs/>
          <w:lang w:val="fr-FR"/>
        </w:rPr>
        <w:t>s</w:t>
      </w:r>
      <w:r w:rsidR="005063FC" w:rsidRPr="00F60A3D">
        <w:rPr>
          <w:bCs/>
          <w:lang w:val="fr-FR"/>
        </w:rPr>
        <w:t xml:space="preserve"> </w:t>
      </w:r>
      <w:r w:rsidR="00BA7C52" w:rsidRPr="00F60A3D">
        <w:rPr>
          <w:bCs/>
          <w:lang w:val="fr-FR"/>
        </w:rPr>
        <w:t>au Parlement européen</w:t>
      </w:r>
      <w:r w:rsidR="005063FC" w:rsidRPr="00F60A3D">
        <w:rPr>
          <w:b/>
          <w:bCs/>
          <w:lang w:val="fr-FR"/>
        </w:rPr>
        <w:t xml:space="preserve"> </w:t>
      </w:r>
      <w:r w:rsidR="0008373A" w:rsidRPr="00F60A3D">
        <w:rPr>
          <w:b/>
          <w:bCs/>
          <w:lang w:val="fr-FR"/>
        </w:rPr>
        <w:t>–</w:t>
      </w:r>
      <w:r w:rsidR="005063FC" w:rsidRPr="00F60A3D">
        <w:rPr>
          <w:b/>
          <w:bCs/>
          <w:lang w:val="fr-FR"/>
        </w:rPr>
        <w:t xml:space="preserve"> </w:t>
      </w:r>
      <w:r w:rsidR="00052353" w:rsidRPr="00F60A3D">
        <w:rPr>
          <w:lang w:val="fr-FR"/>
        </w:rPr>
        <w:t>l</w:t>
      </w:r>
      <w:r w:rsidR="0008373A" w:rsidRPr="00F60A3D">
        <w:rPr>
          <w:lang w:val="fr-FR"/>
        </w:rPr>
        <w:t>a Commission des pétitions du Parleme</w:t>
      </w:r>
      <w:r w:rsidR="003A2B8B" w:rsidRPr="00F60A3D">
        <w:rPr>
          <w:lang w:val="fr-FR"/>
        </w:rPr>
        <w:t>nt européen peut recevoir les pé</w:t>
      </w:r>
      <w:r w:rsidR="0008373A" w:rsidRPr="00F60A3D">
        <w:rPr>
          <w:lang w:val="fr-FR"/>
        </w:rPr>
        <w:t>titions des citoyens de l</w:t>
      </w:r>
      <w:r w:rsidR="00B17AE1" w:rsidRPr="00F60A3D">
        <w:rPr>
          <w:lang w:val="fr-FR"/>
        </w:rPr>
        <w:t>’</w:t>
      </w:r>
      <w:r w:rsidR="0008373A" w:rsidRPr="00F60A3D">
        <w:rPr>
          <w:lang w:val="fr-FR"/>
        </w:rPr>
        <w:t>Union qui souhaite</w:t>
      </w:r>
      <w:r w:rsidR="005552D0" w:rsidRPr="00F60A3D">
        <w:rPr>
          <w:lang w:val="fr-FR"/>
        </w:rPr>
        <w:t>nt</w:t>
      </w:r>
      <w:r w:rsidR="0008373A" w:rsidRPr="00F60A3D">
        <w:rPr>
          <w:lang w:val="fr-FR"/>
        </w:rPr>
        <w:t xml:space="preserve"> voir la Commission enquê</w:t>
      </w:r>
      <w:r w:rsidR="009768B9" w:rsidRPr="00F60A3D">
        <w:rPr>
          <w:lang w:val="fr-FR"/>
        </w:rPr>
        <w:t>ter sur leurs droits découlant de</w:t>
      </w:r>
      <w:r w:rsidR="0008373A" w:rsidRPr="00F60A3D">
        <w:rPr>
          <w:lang w:val="fr-FR"/>
        </w:rPr>
        <w:t xml:space="preserve"> la législation de l</w:t>
      </w:r>
      <w:r w:rsidR="00B17AE1" w:rsidRPr="00F60A3D">
        <w:rPr>
          <w:lang w:val="fr-FR"/>
        </w:rPr>
        <w:t>’</w:t>
      </w:r>
      <w:r w:rsidR="0008373A" w:rsidRPr="00F60A3D">
        <w:rPr>
          <w:lang w:val="fr-FR"/>
        </w:rPr>
        <w:t>U</w:t>
      </w:r>
      <w:r w:rsidR="00052353" w:rsidRPr="00F60A3D">
        <w:rPr>
          <w:lang w:val="fr-FR"/>
        </w:rPr>
        <w:t>E</w:t>
      </w:r>
      <w:r w:rsidR="0008373A" w:rsidRPr="00F60A3D">
        <w:rPr>
          <w:lang w:val="fr-FR"/>
        </w:rPr>
        <w:t xml:space="preserve"> qui ne s</w:t>
      </w:r>
      <w:r w:rsidR="00243C33" w:rsidRPr="00F60A3D">
        <w:rPr>
          <w:lang w:val="fr-FR"/>
        </w:rPr>
        <w:t>ont pas correctement respectés;</w:t>
      </w:r>
    </w:p>
    <w:p w:rsidR="005063FC" w:rsidRPr="00F60A3D" w:rsidRDefault="00065CB2" w:rsidP="00243C33">
      <w:pPr>
        <w:pStyle w:val="SingleTxtG"/>
        <w:rPr>
          <w:lang w:val="fr-FR"/>
        </w:rPr>
      </w:pPr>
      <w:r w:rsidRPr="00F60A3D">
        <w:rPr>
          <w:lang w:val="fr-FR"/>
        </w:rPr>
        <w:tab/>
      </w:r>
      <w:r w:rsidR="00DD5FDA" w:rsidRPr="00F60A3D">
        <w:rPr>
          <w:lang w:val="fr-FR"/>
        </w:rPr>
        <w:t>c</w:t>
      </w:r>
      <w:r w:rsidR="001D2CCC" w:rsidRPr="00F60A3D">
        <w:rPr>
          <w:lang w:val="fr-FR"/>
        </w:rPr>
        <w:t>)</w:t>
      </w:r>
      <w:r w:rsidR="001D2CCC" w:rsidRPr="00F60A3D">
        <w:rPr>
          <w:lang w:val="fr-FR"/>
        </w:rPr>
        <w:tab/>
      </w:r>
      <w:r w:rsidR="0008373A" w:rsidRPr="00F60A3D">
        <w:rPr>
          <w:lang w:val="fr-FR"/>
        </w:rPr>
        <w:t>Les alertes adressées à la Commission européenne concernant des pratiques administratives discriminatoi</w:t>
      </w:r>
      <w:r w:rsidR="005552D0" w:rsidRPr="00F60A3D">
        <w:rPr>
          <w:lang w:val="fr-FR"/>
        </w:rPr>
        <w:t>r</w:t>
      </w:r>
      <w:r w:rsidR="00052353" w:rsidRPr="00F60A3D">
        <w:rPr>
          <w:lang w:val="fr-FR"/>
        </w:rPr>
        <w:t>es – i</w:t>
      </w:r>
      <w:r w:rsidR="0008373A" w:rsidRPr="00F60A3D">
        <w:rPr>
          <w:lang w:val="fr-FR"/>
        </w:rPr>
        <w:t>l est aussi possible d</w:t>
      </w:r>
      <w:r w:rsidR="00B17AE1" w:rsidRPr="00F60A3D">
        <w:rPr>
          <w:lang w:val="fr-FR"/>
        </w:rPr>
        <w:t>’</w:t>
      </w:r>
      <w:r w:rsidR="0008373A" w:rsidRPr="00F60A3D">
        <w:rPr>
          <w:lang w:val="fr-FR"/>
        </w:rPr>
        <w:t>écrire direc</w:t>
      </w:r>
      <w:r w:rsidR="005552D0" w:rsidRPr="00F60A3D">
        <w:rPr>
          <w:lang w:val="fr-FR"/>
        </w:rPr>
        <w:t>t</w:t>
      </w:r>
      <w:r w:rsidR="0008373A" w:rsidRPr="00F60A3D">
        <w:rPr>
          <w:lang w:val="fr-FR"/>
        </w:rPr>
        <w:t xml:space="preserve">ement à la Commission. Des informations complémentaires </w:t>
      </w:r>
      <w:r w:rsidR="005552D0" w:rsidRPr="00F60A3D">
        <w:rPr>
          <w:lang w:val="fr-FR"/>
        </w:rPr>
        <w:t>figure</w:t>
      </w:r>
      <w:r w:rsidR="0008373A" w:rsidRPr="00F60A3D">
        <w:rPr>
          <w:lang w:val="fr-FR"/>
        </w:rPr>
        <w:t>nt à l</w:t>
      </w:r>
      <w:r w:rsidR="00B17AE1" w:rsidRPr="00F60A3D">
        <w:rPr>
          <w:lang w:val="fr-FR"/>
        </w:rPr>
        <w:t>’</w:t>
      </w:r>
      <w:r w:rsidR="0008373A" w:rsidRPr="00F60A3D">
        <w:rPr>
          <w:lang w:val="fr-FR"/>
        </w:rPr>
        <w:t>adresse:</w:t>
      </w:r>
      <w:r w:rsidR="005063FC" w:rsidRPr="00F60A3D">
        <w:rPr>
          <w:lang w:val="fr-FR"/>
        </w:rPr>
        <w:t xml:space="preserve"> http://ec.europa.eu/</w:t>
      </w:r>
      <w:r w:rsidR="00243C33" w:rsidRPr="00F60A3D">
        <w:rPr>
          <w:lang w:val="fr-FR"/>
        </w:rPr>
        <w:br/>
      </w:r>
      <w:r w:rsidR="005063FC" w:rsidRPr="00F60A3D">
        <w:rPr>
          <w:lang w:val="fr-FR"/>
        </w:rPr>
        <w:t>italia/ue_italia/ue_in_italia/</w:t>
      </w:r>
      <w:r w:rsidR="00315A42" w:rsidRPr="00F60A3D">
        <w:rPr>
          <w:rStyle w:val="FootnoteReference"/>
          <w:lang w:val="fr-FR"/>
        </w:rPr>
        <w:footnoteReference w:id="56"/>
      </w:r>
      <w:r w:rsidR="005063FC" w:rsidRPr="00F60A3D">
        <w:rPr>
          <w:lang w:val="fr-FR"/>
        </w:rPr>
        <w:t>.</w:t>
      </w:r>
    </w:p>
    <w:p w:rsidR="005063FC" w:rsidRPr="00F60A3D" w:rsidRDefault="00C04828" w:rsidP="00C04828">
      <w:pPr>
        <w:pStyle w:val="H1G"/>
        <w:rPr>
          <w:lang w:val="fr-FR"/>
        </w:rPr>
      </w:pPr>
      <w:r w:rsidRPr="00F60A3D">
        <w:rPr>
          <w:lang w:val="fr-FR"/>
        </w:rPr>
        <w:tab/>
      </w:r>
      <w:r w:rsidR="000263BE" w:rsidRPr="00F60A3D">
        <w:rPr>
          <w:lang w:val="fr-FR"/>
        </w:rPr>
        <w:t>C.</w:t>
      </w:r>
      <w:r w:rsidR="000263BE" w:rsidRPr="00F60A3D">
        <w:rPr>
          <w:lang w:val="fr-FR"/>
        </w:rPr>
        <w:tab/>
        <w:t>Diver</w:t>
      </w:r>
      <w:r w:rsidR="005063FC" w:rsidRPr="00F60A3D">
        <w:rPr>
          <w:lang w:val="fr-FR"/>
        </w:rPr>
        <w:t>s</w:t>
      </w:r>
    </w:p>
    <w:p w:rsidR="005063FC" w:rsidRPr="00F60A3D" w:rsidRDefault="00DD5FDA" w:rsidP="00C04828">
      <w:pPr>
        <w:pStyle w:val="SingleTxtG"/>
        <w:rPr>
          <w:lang w:val="fr-FR"/>
        </w:rPr>
      </w:pPr>
      <w:r w:rsidRPr="00F60A3D">
        <w:rPr>
          <w:lang w:val="fr-FR"/>
        </w:rPr>
        <w:t>260</w:t>
      </w:r>
      <w:r w:rsidR="00052353" w:rsidRPr="00F60A3D">
        <w:rPr>
          <w:lang w:val="fr-FR"/>
        </w:rPr>
        <w:t>.</w:t>
      </w:r>
      <w:r w:rsidR="00052353" w:rsidRPr="00F60A3D">
        <w:rPr>
          <w:lang w:val="fr-FR"/>
        </w:rPr>
        <w:tab/>
        <w:t>L</w:t>
      </w:r>
      <w:r w:rsidR="000263BE" w:rsidRPr="00F60A3D">
        <w:rPr>
          <w:lang w:val="fr-FR"/>
        </w:rPr>
        <w:t>es minorités lingu</w:t>
      </w:r>
      <w:r w:rsidR="00052353" w:rsidRPr="00F60A3D">
        <w:rPr>
          <w:lang w:val="fr-FR"/>
        </w:rPr>
        <w:t xml:space="preserve">istiques historiques sont protégées conformément à </w:t>
      </w:r>
      <w:r w:rsidR="000263BE" w:rsidRPr="00F60A3D">
        <w:rPr>
          <w:lang w:val="fr-FR"/>
        </w:rPr>
        <w:t>l</w:t>
      </w:r>
      <w:r w:rsidR="00B17AE1" w:rsidRPr="00F60A3D">
        <w:rPr>
          <w:lang w:val="fr-FR"/>
        </w:rPr>
        <w:t>’</w:t>
      </w:r>
      <w:r w:rsidR="00D26282" w:rsidRPr="00F60A3D">
        <w:rPr>
          <w:lang w:val="fr-FR"/>
        </w:rPr>
        <w:t>article </w:t>
      </w:r>
      <w:r w:rsidR="00736673" w:rsidRPr="00F60A3D">
        <w:rPr>
          <w:lang w:val="fr-FR"/>
        </w:rPr>
        <w:t>6 de la Constitution (</w:t>
      </w:r>
      <w:r w:rsidR="00731982" w:rsidRPr="00F60A3D">
        <w:rPr>
          <w:lang w:val="fr-FR"/>
        </w:rPr>
        <w:t>«</w:t>
      </w:r>
      <w:r w:rsidR="000263BE" w:rsidRPr="00F60A3D">
        <w:rPr>
          <w:lang w:val="fr-FR"/>
        </w:rPr>
        <w:t>La République protège par des normes particuliè</w:t>
      </w:r>
      <w:r w:rsidR="00736673" w:rsidRPr="00F60A3D">
        <w:rPr>
          <w:lang w:val="fr-FR"/>
        </w:rPr>
        <w:t>res les minorités linguistiques</w:t>
      </w:r>
      <w:r w:rsidR="00731982" w:rsidRPr="00F60A3D">
        <w:rPr>
          <w:lang w:val="fr-FR"/>
        </w:rPr>
        <w:t>»</w:t>
      </w:r>
      <w:r w:rsidR="00052353" w:rsidRPr="00F60A3D">
        <w:rPr>
          <w:lang w:val="fr-FR"/>
        </w:rPr>
        <w:t xml:space="preserve">) et à </w:t>
      </w:r>
      <w:r w:rsidR="000263BE" w:rsidRPr="00F60A3D">
        <w:rPr>
          <w:lang w:val="fr-FR"/>
        </w:rPr>
        <w:t xml:space="preserve">la loi </w:t>
      </w:r>
      <w:r w:rsidR="00B17AE1" w:rsidRPr="00F60A3D">
        <w:rPr>
          <w:lang w:val="fr-FR"/>
        </w:rPr>
        <w:t>n</w:t>
      </w:r>
      <w:r w:rsidR="00B17AE1" w:rsidRPr="00F60A3D">
        <w:rPr>
          <w:vertAlign w:val="superscript"/>
          <w:lang w:val="fr-FR"/>
        </w:rPr>
        <w:t>o</w:t>
      </w:r>
      <w:r w:rsidR="00B17AE1" w:rsidRPr="00F60A3D">
        <w:rPr>
          <w:lang w:val="fr-FR"/>
        </w:rPr>
        <w:t> </w:t>
      </w:r>
      <w:r w:rsidR="000263BE" w:rsidRPr="00F60A3D">
        <w:rPr>
          <w:lang w:val="fr-FR"/>
        </w:rPr>
        <w:t>482/1999</w:t>
      </w:r>
      <w:r w:rsidR="005552D0" w:rsidRPr="00F60A3D">
        <w:rPr>
          <w:lang w:val="fr-FR"/>
        </w:rPr>
        <w:t xml:space="preserve"> </w:t>
      </w:r>
      <w:r w:rsidR="000263BE" w:rsidRPr="00F60A3D">
        <w:rPr>
          <w:lang w:val="fr-FR"/>
        </w:rPr>
        <w:t xml:space="preserve">concernant la protection des minorités linguistiques historiques. </w:t>
      </w:r>
    </w:p>
    <w:p w:rsidR="00B17AE1" w:rsidRPr="00F60A3D" w:rsidRDefault="00DD5FDA" w:rsidP="00243C33">
      <w:pPr>
        <w:pStyle w:val="SingleTxtG"/>
        <w:rPr>
          <w:lang w:val="fr-FR"/>
        </w:rPr>
      </w:pPr>
      <w:r w:rsidRPr="00F60A3D">
        <w:rPr>
          <w:lang w:val="fr-FR"/>
        </w:rPr>
        <w:t>261</w:t>
      </w:r>
      <w:r w:rsidR="000263BE" w:rsidRPr="00F60A3D">
        <w:rPr>
          <w:lang w:val="fr-FR"/>
        </w:rPr>
        <w:t>.</w:t>
      </w:r>
      <w:r w:rsidR="000263BE" w:rsidRPr="00F60A3D">
        <w:rPr>
          <w:lang w:val="fr-FR"/>
        </w:rPr>
        <w:tab/>
        <w:t>Plu</w:t>
      </w:r>
      <w:r w:rsidR="001D5AA5" w:rsidRPr="00F60A3D">
        <w:rPr>
          <w:lang w:val="fr-FR"/>
        </w:rPr>
        <w:t xml:space="preserve">s précisément, </w:t>
      </w:r>
      <w:r w:rsidR="000263BE" w:rsidRPr="00F60A3D">
        <w:rPr>
          <w:lang w:val="fr-FR"/>
        </w:rPr>
        <w:t>l</w:t>
      </w:r>
      <w:r w:rsidR="00B17AE1" w:rsidRPr="00F60A3D">
        <w:rPr>
          <w:lang w:val="fr-FR"/>
        </w:rPr>
        <w:t>’</w:t>
      </w:r>
      <w:r w:rsidR="000263BE" w:rsidRPr="00F60A3D">
        <w:rPr>
          <w:lang w:val="fr-FR"/>
        </w:rPr>
        <w:t xml:space="preserve">adoption de la loi </w:t>
      </w:r>
      <w:r w:rsidR="00B17AE1" w:rsidRPr="00F60A3D">
        <w:rPr>
          <w:lang w:val="fr-FR"/>
        </w:rPr>
        <w:t>n</w:t>
      </w:r>
      <w:r w:rsidR="00B17AE1" w:rsidRPr="00F60A3D">
        <w:rPr>
          <w:vertAlign w:val="superscript"/>
          <w:lang w:val="fr-FR"/>
        </w:rPr>
        <w:t>o</w:t>
      </w:r>
      <w:r w:rsidR="00B17AE1" w:rsidRPr="00F60A3D">
        <w:rPr>
          <w:lang w:val="fr-FR"/>
        </w:rPr>
        <w:t> </w:t>
      </w:r>
      <w:r w:rsidR="000263BE" w:rsidRPr="00F60A3D">
        <w:rPr>
          <w:lang w:val="fr-FR"/>
        </w:rPr>
        <w:t>482/1999 in</w:t>
      </w:r>
      <w:r w:rsidR="009B7585" w:rsidRPr="00F60A3D">
        <w:rPr>
          <w:lang w:val="fr-FR"/>
        </w:rPr>
        <w:t>t</w:t>
      </w:r>
      <w:r w:rsidR="00B511BB" w:rsidRPr="00F60A3D">
        <w:rPr>
          <w:lang w:val="fr-FR"/>
        </w:rPr>
        <w:t xml:space="preserve">itulée </w:t>
      </w:r>
      <w:r w:rsidR="00731982" w:rsidRPr="00F60A3D">
        <w:rPr>
          <w:lang w:val="fr-FR"/>
        </w:rPr>
        <w:t>«</w:t>
      </w:r>
      <w:r w:rsidR="000263BE" w:rsidRPr="00F60A3D">
        <w:rPr>
          <w:lang w:val="fr-FR"/>
        </w:rPr>
        <w:t>Dispositions sur la protection des mino</w:t>
      </w:r>
      <w:r w:rsidR="00B511BB" w:rsidRPr="00F60A3D">
        <w:rPr>
          <w:lang w:val="fr-FR"/>
        </w:rPr>
        <w:t>rités linguistiques historiques</w:t>
      </w:r>
      <w:r w:rsidR="00731982" w:rsidRPr="00F60A3D">
        <w:rPr>
          <w:lang w:val="fr-FR"/>
        </w:rPr>
        <w:t>»</w:t>
      </w:r>
      <w:r w:rsidR="001D5AA5" w:rsidRPr="00F60A3D">
        <w:rPr>
          <w:lang w:val="fr-FR"/>
        </w:rPr>
        <w:t xml:space="preserve"> a constitué une étape importante dans l</w:t>
      </w:r>
      <w:r w:rsidR="00B17AE1" w:rsidRPr="00F60A3D">
        <w:rPr>
          <w:lang w:val="fr-FR"/>
        </w:rPr>
        <w:t>’</w:t>
      </w:r>
      <w:r w:rsidR="001D5AA5" w:rsidRPr="00F60A3D">
        <w:rPr>
          <w:lang w:val="fr-FR"/>
        </w:rPr>
        <w:t>évolution de la législation italienne</w:t>
      </w:r>
      <w:r w:rsidR="000263BE" w:rsidRPr="00F60A3D">
        <w:rPr>
          <w:lang w:val="fr-FR"/>
        </w:rPr>
        <w:t>. Cette loi, tout en confirmant le principe de l</w:t>
      </w:r>
      <w:r w:rsidR="00B17AE1" w:rsidRPr="00F60A3D">
        <w:rPr>
          <w:lang w:val="fr-FR"/>
        </w:rPr>
        <w:t>’</w:t>
      </w:r>
      <w:r w:rsidR="000263BE" w:rsidRPr="00F60A3D">
        <w:rPr>
          <w:lang w:val="fr-FR"/>
        </w:rPr>
        <w:t xml:space="preserve">unité </w:t>
      </w:r>
      <w:r w:rsidR="000263BE" w:rsidRPr="00F60A3D">
        <w:rPr>
          <w:lang w:val="fr-FR"/>
        </w:rPr>
        <w:lastRenderedPageBreak/>
        <w:t>nationale, reconnaît la multiplicité des formes d</w:t>
      </w:r>
      <w:r w:rsidR="00B17AE1" w:rsidRPr="00F60A3D">
        <w:rPr>
          <w:lang w:val="fr-FR"/>
        </w:rPr>
        <w:t>’</w:t>
      </w:r>
      <w:r w:rsidR="000263BE" w:rsidRPr="00F60A3D">
        <w:rPr>
          <w:lang w:val="fr-FR"/>
        </w:rPr>
        <w:t>expression linguistique et cultu</w:t>
      </w:r>
      <w:r w:rsidR="00546214" w:rsidRPr="00F60A3D">
        <w:rPr>
          <w:lang w:val="fr-FR"/>
        </w:rPr>
        <w:t>relle dans le pays, et, dans le</w:t>
      </w:r>
      <w:r w:rsidR="000263BE" w:rsidRPr="00F60A3D">
        <w:rPr>
          <w:lang w:val="fr-FR"/>
        </w:rPr>
        <w:t xml:space="preserve"> même temps, renforce l</w:t>
      </w:r>
      <w:r w:rsidR="00B17AE1" w:rsidRPr="00F60A3D">
        <w:rPr>
          <w:lang w:val="fr-FR"/>
        </w:rPr>
        <w:t>’</w:t>
      </w:r>
      <w:r w:rsidR="000263BE" w:rsidRPr="00F60A3D">
        <w:rPr>
          <w:lang w:val="fr-FR"/>
        </w:rPr>
        <w:t xml:space="preserve">autonomie au sens de la </w:t>
      </w:r>
      <w:r w:rsidR="00982C5E" w:rsidRPr="00F60A3D">
        <w:rPr>
          <w:lang w:val="fr-FR"/>
        </w:rPr>
        <w:t>dé</w:t>
      </w:r>
      <w:r w:rsidR="000263BE" w:rsidRPr="00F60A3D">
        <w:rPr>
          <w:lang w:val="fr-FR"/>
        </w:rPr>
        <w:t>centralisation administrative</w:t>
      </w:r>
      <w:r w:rsidR="001D5AA5" w:rsidRPr="00F60A3D">
        <w:rPr>
          <w:lang w:val="fr-FR"/>
        </w:rPr>
        <w:t>,</w:t>
      </w:r>
      <w:r w:rsidR="000263BE" w:rsidRPr="00F60A3D">
        <w:rPr>
          <w:lang w:val="fr-FR"/>
        </w:rPr>
        <w:t xml:space="preserve"> en conférant aux autorités locales des missions fondamentales concernant </w:t>
      </w:r>
      <w:r w:rsidR="00982C5E" w:rsidRPr="00F60A3D">
        <w:rPr>
          <w:lang w:val="fr-FR"/>
        </w:rPr>
        <w:t>l</w:t>
      </w:r>
      <w:r w:rsidR="00B17AE1" w:rsidRPr="00F60A3D">
        <w:rPr>
          <w:lang w:val="fr-FR"/>
        </w:rPr>
        <w:t>’</w:t>
      </w:r>
      <w:r w:rsidR="00982C5E" w:rsidRPr="00F60A3D">
        <w:rPr>
          <w:lang w:val="fr-FR"/>
        </w:rPr>
        <w:t>applicati</w:t>
      </w:r>
      <w:r w:rsidR="000263BE" w:rsidRPr="00F60A3D">
        <w:rPr>
          <w:lang w:val="fr-FR"/>
        </w:rPr>
        <w:t>on des dispositions pertinentes</w:t>
      </w:r>
      <w:r w:rsidR="009B7585" w:rsidRPr="00F60A3D">
        <w:rPr>
          <w:lang w:val="fr-FR"/>
        </w:rPr>
        <w:t>. L</w:t>
      </w:r>
      <w:r w:rsidR="00B17AE1" w:rsidRPr="00F60A3D">
        <w:rPr>
          <w:lang w:val="fr-FR"/>
        </w:rPr>
        <w:t>’</w:t>
      </w:r>
      <w:r w:rsidR="009B7585" w:rsidRPr="00F60A3D">
        <w:rPr>
          <w:lang w:val="fr-FR"/>
        </w:rPr>
        <w:t xml:space="preserve">État italien reconnaît </w:t>
      </w:r>
      <w:r w:rsidR="00243C33" w:rsidRPr="00F60A3D">
        <w:rPr>
          <w:lang w:val="fr-FR"/>
        </w:rPr>
        <w:t>12</w:t>
      </w:r>
      <w:r w:rsidR="006A35D8" w:rsidRPr="00F60A3D">
        <w:rPr>
          <w:lang w:val="fr-FR"/>
        </w:rPr>
        <w:t> </w:t>
      </w:r>
      <w:r w:rsidR="00F76D4A" w:rsidRPr="00F60A3D">
        <w:rPr>
          <w:lang w:val="fr-FR"/>
        </w:rPr>
        <w:t xml:space="preserve">langues </w:t>
      </w:r>
      <w:r w:rsidR="009B7585" w:rsidRPr="00F60A3D">
        <w:rPr>
          <w:lang w:val="fr-FR"/>
        </w:rPr>
        <w:t>mi</w:t>
      </w:r>
      <w:r w:rsidR="00F76D4A" w:rsidRPr="00F60A3D">
        <w:rPr>
          <w:lang w:val="fr-FR"/>
        </w:rPr>
        <w:t>noritaires</w:t>
      </w:r>
      <w:r w:rsidR="009B7585" w:rsidRPr="00F60A3D">
        <w:rPr>
          <w:lang w:val="fr-FR"/>
        </w:rPr>
        <w:t xml:space="preserve"> historiques: le français, l</w:t>
      </w:r>
      <w:r w:rsidR="00B17AE1" w:rsidRPr="00F60A3D">
        <w:rPr>
          <w:lang w:val="fr-FR"/>
        </w:rPr>
        <w:t>’</w:t>
      </w:r>
      <w:r w:rsidR="00982C5E" w:rsidRPr="00F60A3D">
        <w:rPr>
          <w:lang w:val="fr-FR"/>
        </w:rPr>
        <w:t>occitan</w:t>
      </w:r>
      <w:r w:rsidR="009B7585" w:rsidRPr="00F60A3D">
        <w:rPr>
          <w:lang w:val="fr-FR"/>
        </w:rPr>
        <w:t>, le franco-provençal, l</w:t>
      </w:r>
      <w:r w:rsidR="00B17AE1" w:rsidRPr="00F60A3D">
        <w:rPr>
          <w:lang w:val="fr-FR"/>
        </w:rPr>
        <w:t>’</w:t>
      </w:r>
      <w:r w:rsidR="009B7585" w:rsidRPr="00F60A3D">
        <w:rPr>
          <w:lang w:val="fr-FR"/>
        </w:rPr>
        <w:t xml:space="preserve">allemand, le ladin, le frioulan, </w:t>
      </w:r>
      <w:r w:rsidR="003A2B8B" w:rsidRPr="00F60A3D">
        <w:rPr>
          <w:lang w:val="fr-FR"/>
        </w:rPr>
        <w:t xml:space="preserve">le slovène, </w:t>
      </w:r>
      <w:r w:rsidR="009B7585" w:rsidRPr="00F60A3D">
        <w:rPr>
          <w:lang w:val="fr-FR"/>
        </w:rPr>
        <w:t>le sard</w:t>
      </w:r>
      <w:r w:rsidR="00DE4F7C" w:rsidRPr="00F60A3D">
        <w:rPr>
          <w:lang w:val="fr-FR"/>
        </w:rPr>
        <w:t>e, le catalan, l</w:t>
      </w:r>
      <w:r w:rsidR="00B17AE1" w:rsidRPr="00F60A3D">
        <w:rPr>
          <w:lang w:val="fr-FR"/>
        </w:rPr>
        <w:t>’</w:t>
      </w:r>
      <w:r w:rsidR="00DE4F7C" w:rsidRPr="00F60A3D">
        <w:rPr>
          <w:lang w:val="fr-FR"/>
        </w:rPr>
        <w:t>arbëresh</w:t>
      </w:r>
      <w:r w:rsidR="00ED49C7" w:rsidRPr="00F60A3D">
        <w:rPr>
          <w:lang w:val="fr-FR"/>
        </w:rPr>
        <w:t xml:space="preserve"> (</w:t>
      </w:r>
      <w:r w:rsidR="009B7585" w:rsidRPr="00F60A3D">
        <w:rPr>
          <w:lang w:val="fr-FR"/>
        </w:rPr>
        <w:t>variante de l</w:t>
      </w:r>
      <w:r w:rsidR="00B17AE1" w:rsidRPr="00F60A3D">
        <w:rPr>
          <w:lang w:val="fr-FR"/>
        </w:rPr>
        <w:t>’</w:t>
      </w:r>
      <w:r w:rsidR="009B7585" w:rsidRPr="00F60A3D">
        <w:rPr>
          <w:lang w:val="fr-FR"/>
        </w:rPr>
        <w:t xml:space="preserve">albanais contemporain), le grec et le croate. </w:t>
      </w:r>
    </w:p>
    <w:p w:rsidR="00982C5E" w:rsidRPr="00F60A3D" w:rsidRDefault="00DD5FDA" w:rsidP="00C04828">
      <w:pPr>
        <w:pStyle w:val="SingleTxtG"/>
        <w:rPr>
          <w:lang w:val="fr-FR"/>
        </w:rPr>
      </w:pPr>
      <w:r w:rsidRPr="00F60A3D">
        <w:rPr>
          <w:lang w:val="fr-FR"/>
        </w:rPr>
        <w:t>262</w:t>
      </w:r>
      <w:r w:rsidR="00736673" w:rsidRPr="00F60A3D">
        <w:rPr>
          <w:lang w:val="fr-FR"/>
        </w:rPr>
        <w:t>.</w:t>
      </w:r>
      <w:r w:rsidR="00736673" w:rsidRPr="00F60A3D">
        <w:rPr>
          <w:lang w:val="fr-FR"/>
        </w:rPr>
        <w:tab/>
        <w:t xml:space="preserve">La loi </w:t>
      </w:r>
      <w:r w:rsidR="00B17AE1" w:rsidRPr="00F60A3D">
        <w:rPr>
          <w:lang w:val="fr-FR"/>
        </w:rPr>
        <w:t>n</w:t>
      </w:r>
      <w:r w:rsidR="00B17AE1" w:rsidRPr="00F60A3D">
        <w:rPr>
          <w:vertAlign w:val="superscript"/>
          <w:lang w:val="fr-FR"/>
        </w:rPr>
        <w:t>o</w:t>
      </w:r>
      <w:r w:rsidR="00B17AE1" w:rsidRPr="00F60A3D">
        <w:rPr>
          <w:lang w:val="fr-FR"/>
        </w:rPr>
        <w:t> </w:t>
      </w:r>
      <w:r w:rsidR="00736673" w:rsidRPr="00F60A3D">
        <w:rPr>
          <w:lang w:val="fr-FR"/>
        </w:rPr>
        <w:t>38/2001, intitulée</w:t>
      </w:r>
      <w:r w:rsidR="00731982" w:rsidRPr="00F60A3D">
        <w:rPr>
          <w:lang w:val="fr-FR"/>
        </w:rPr>
        <w:t xml:space="preserve"> </w:t>
      </w:r>
      <w:r w:rsidR="00736673" w:rsidRPr="00F60A3D">
        <w:rPr>
          <w:lang w:val="fr-FR"/>
        </w:rPr>
        <w:t>«</w:t>
      </w:r>
      <w:r w:rsidR="00982C5E" w:rsidRPr="00F60A3D">
        <w:rPr>
          <w:lang w:val="fr-FR"/>
        </w:rPr>
        <w:t xml:space="preserve">Dispositions en faveur de la minorité slovène du Frioul-Vénétie </w:t>
      </w:r>
      <w:r w:rsidR="00DD4796" w:rsidRPr="00F60A3D">
        <w:rPr>
          <w:lang w:val="fr-FR"/>
        </w:rPr>
        <w:t>J</w:t>
      </w:r>
      <w:r w:rsidR="00736673" w:rsidRPr="00F60A3D">
        <w:rPr>
          <w:lang w:val="fr-FR"/>
        </w:rPr>
        <w:t>ulienne</w:t>
      </w:r>
      <w:r w:rsidR="00731982" w:rsidRPr="00F60A3D">
        <w:rPr>
          <w:lang w:val="fr-FR"/>
        </w:rPr>
        <w:t>»</w:t>
      </w:r>
      <w:r w:rsidR="00982C5E" w:rsidRPr="00F60A3D">
        <w:rPr>
          <w:lang w:val="fr-FR"/>
        </w:rPr>
        <w:t xml:space="preserve"> complète le cadre juridique précité. Elle vise à garantir la </w:t>
      </w:r>
      <w:r w:rsidR="005552D0" w:rsidRPr="00F60A3D">
        <w:rPr>
          <w:lang w:val="fr-FR"/>
        </w:rPr>
        <w:t>cohé</w:t>
      </w:r>
      <w:r w:rsidR="00982C5E" w:rsidRPr="00F60A3D">
        <w:rPr>
          <w:lang w:val="fr-FR"/>
        </w:rPr>
        <w:t xml:space="preserve">rence des mesures de protection appliquées en faveur de la minorité slovène qui vit dans la </w:t>
      </w:r>
      <w:r w:rsidR="00522304" w:rsidRPr="00F60A3D">
        <w:rPr>
          <w:lang w:val="fr-FR"/>
        </w:rPr>
        <w:t>ré</w:t>
      </w:r>
      <w:r w:rsidR="00982C5E" w:rsidRPr="00F60A3D">
        <w:rPr>
          <w:lang w:val="fr-FR"/>
        </w:rPr>
        <w:t>gion. Auparavant, le système particulier de protection découlait</w:t>
      </w:r>
      <w:r w:rsidR="00522304" w:rsidRPr="00F60A3D">
        <w:rPr>
          <w:lang w:val="fr-FR"/>
        </w:rPr>
        <w:t xml:space="preserve"> </w:t>
      </w:r>
      <w:r w:rsidR="00982C5E" w:rsidRPr="00F60A3D">
        <w:rPr>
          <w:lang w:val="fr-FR"/>
        </w:rPr>
        <w:t>des acc</w:t>
      </w:r>
      <w:r w:rsidR="00522304" w:rsidRPr="00F60A3D">
        <w:rPr>
          <w:lang w:val="fr-FR"/>
        </w:rPr>
        <w:t>ords internationaux conclus après la S</w:t>
      </w:r>
      <w:r w:rsidR="00982C5E" w:rsidRPr="00F60A3D">
        <w:rPr>
          <w:lang w:val="fr-FR"/>
        </w:rPr>
        <w:t xml:space="preserve">econde guerre mondiale, à savoir </w:t>
      </w:r>
      <w:r w:rsidR="000F1DD4" w:rsidRPr="00F60A3D">
        <w:rPr>
          <w:lang w:val="fr-FR"/>
        </w:rPr>
        <w:t xml:space="preserve">de </w:t>
      </w:r>
      <w:r w:rsidR="00982C5E" w:rsidRPr="00F60A3D">
        <w:rPr>
          <w:lang w:val="fr-FR"/>
        </w:rPr>
        <w:t>l</w:t>
      </w:r>
      <w:r w:rsidR="00B17AE1" w:rsidRPr="00F60A3D">
        <w:rPr>
          <w:lang w:val="fr-FR"/>
        </w:rPr>
        <w:t>’</w:t>
      </w:r>
      <w:r w:rsidR="00D26282" w:rsidRPr="00F60A3D">
        <w:rPr>
          <w:lang w:val="fr-FR"/>
        </w:rPr>
        <w:t>article </w:t>
      </w:r>
      <w:r w:rsidR="00982C5E" w:rsidRPr="00F60A3D">
        <w:rPr>
          <w:lang w:val="fr-FR"/>
        </w:rPr>
        <w:t>8 du traité d</w:t>
      </w:r>
      <w:r w:rsidR="00B17AE1" w:rsidRPr="00F60A3D">
        <w:rPr>
          <w:lang w:val="fr-FR"/>
        </w:rPr>
        <w:t>’</w:t>
      </w:r>
      <w:r w:rsidR="00982C5E" w:rsidRPr="00F60A3D">
        <w:rPr>
          <w:lang w:val="fr-FR"/>
        </w:rPr>
        <w:t>Osimo, conclu avec l</w:t>
      </w:r>
      <w:r w:rsidR="00B17AE1" w:rsidRPr="00F60A3D">
        <w:rPr>
          <w:lang w:val="fr-FR"/>
        </w:rPr>
        <w:t>’</w:t>
      </w:r>
      <w:r w:rsidR="00982C5E" w:rsidRPr="00F60A3D">
        <w:rPr>
          <w:lang w:val="fr-FR"/>
        </w:rPr>
        <w:t>ancienne</w:t>
      </w:r>
      <w:r w:rsidR="00522304" w:rsidRPr="00F60A3D">
        <w:rPr>
          <w:lang w:val="fr-FR"/>
        </w:rPr>
        <w:t xml:space="preserve"> </w:t>
      </w:r>
      <w:r w:rsidR="00982C5E" w:rsidRPr="00F60A3D">
        <w:rPr>
          <w:lang w:val="fr-FR"/>
        </w:rPr>
        <w:t>Yougoslavie</w:t>
      </w:r>
      <w:r w:rsidR="00DD4796" w:rsidRPr="00F60A3D">
        <w:rPr>
          <w:lang w:val="fr-FR"/>
        </w:rPr>
        <w:t xml:space="preserve"> et</w:t>
      </w:r>
      <w:r w:rsidR="00982C5E" w:rsidRPr="00F60A3D">
        <w:rPr>
          <w:lang w:val="fr-FR"/>
        </w:rPr>
        <w:t xml:space="preserve"> ratifié par la l</w:t>
      </w:r>
      <w:r w:rsidR="00ED49C7" w:rsidRPr="00F60A3D">
        <w:rPr>
          <w:lang w:val="fr-FR"/>
        </w:rPr>
        <w:t xml:space="preserve">oi </w:t>
      </w:r>
      <w:r w:rsidR="00B17AE1" w:rsidRPr="00F60A3D">
        <w:rPr>
          <w:lang w:val="fr-FR"/>
        </w:rPr>
        <w:t>n</w:t>
      </w:r>
      <w:r w:rsidR="00B17AE1" w:rsidRPr="00F60A3D">
        <w:rPr>
          <w:vertAlign w:val="superscript"/>
          <w:lang w:val="fr-FR"/>
        </w:rPr>
        <w:t>o</w:t>
      </w:r>
      <w:r w:rsidR="00B17AE1" w:rsidRPr="00F60A3D">
        <w:rPr>
          <w:lang w:val="fr-FR"/>
        </w:rPr>
        <w:t> </w:t>
      </w:r>
      <w:r w:rsidR="00ED49C7" w:rsidRPr="00F60A3D">
        <w:rPr>
          <w:lang w:val="fr-FR"/>
        </w:rPr>
        <w:t>73/1977. L</w:t>
      </w:r>
      <w:r w:rsidR="00B17AE1" w:rsidRPr="00F60A3D">
        <w:rPr>
          <w:lang w:val="fr-FR"/>
        </w:rPr>
        <w:t>’</w:t>
      </w:r>
      <w:r w:rsidR="00D26282" w:rsidRPr="00F60A3D">
        <w:rPr>
          <w:lang w:val="fr-FR"/>
        </w:rPr>
        <w:t>article </w:t>
      </w:r>
      <w:r w:rsidR="00982C5E" w:rsidRPr="00F60A3D">
        <w:rPr>
          <w:lang w:val="fr-FR"/>
        </w:rPr>
        <w:t xml:space="preserve">8 a </w:t>
      </w:r>
      <w:r w:rsidR="00ED49C7" w:rsidRPr="00F60A3D">
        <w:rPr>
          <w:lang w:val="fr-FR"/>
        </w:rPr>
        <w:t xml:space="preserve">en particulier, </w:t>
      </w:r>
      <w:r w:rsidR="00982C5E" w:rsidRPr="00F60A3D">
        <w:rPr>
          <w:lang w:val="fr-FR"/>
        </w:rPr>
        <w:t xml:space="preserve">confirmé les dispositions de protection </w:t>
      </w:r>
      <w:r w:rsidR="00E12280" w:rsidRPr="00F60A3D">
        <w:rPr>
          <w:lang w:val="fr-FR"/>
        </w:rPr>
        <w:t xml:space="preserve">adoptées </w:t>
      </w:r>
      <w:r w:rsidR="00982C5E" w:rsidRPr="00F60A3D">
        <w:rPr>
          <w:lang w:val="fr-FR"/>
        </w:rPr>
        <w:t>en faveur de la minorité slovène qui étaient envisagées dans le Statu</w:t>
      </w:r>
      <w:r w:rsidR="00522304" w:rsidRPr="00F60A3D">
        <w:rPr>
          <w:lang w:val="fr-FR"/>
        </w:rPr>
        <w:t>t</w:t>
      </w:r>
      <w:r w:rsidR="00982C5E" w:rsidRPr="00F60A3D">
        <w:rPr>
          <w:lang w:val="fr-FR"/>
        </w:rPr>
        <w:t xml:space="preserve"> spécial annexé au Mémorandum d</w:t>
      </w:r>
      <w:r w:rsidR="00B17AE1" w:rsidRPr="00F60A3D">
        <w:rPr>
          <w:lang w:val="fr-FR"/>
        </w:rPr>
        <w:t>’</w:t>
      </w:r>
      <w:r w:rsidR="006A35D8" w:rsidRPr="00F60A3D">
        <w:rPr>
          <w:lang w:val="fr-FR"/>
        </w:rPr>
        <w:t>accord de Londres du 5 </w:t>
      </w:r>
      <w:r w:rsidR="00982C5E" w:rsidRPr="00F60A3D">
        <w:rPr>
          <w:lang w:val="fr-FR"/>
        </w:rPr>
        <w:t xml:space="preserve">octobre 1954. </w:t>
      </w:r>
    </w:p>
    <w:p w:rsidR="00E12280" w:rsidRPr="00F60A3D" w:rsidRDefault="00DD5FDA" w:rsidP="00C04828">
      <w:pPr>
        <w:pStyle w:val="SingleTxtG"/>
        <w:rPr>
          <w:lang w:val="fr-FR"/>
        </w:rPr>
      </w:pPr>
      <w:r w:rsidRPr="00F60A3D">
        <w:rPr>
          <w:lang w:val="fr-FR"/>
        </w:rPr>
        <w:t>263</w:t>
      </w:r>
      <w:r w:rsidR="00E12280" w:rsidRPr="00F60A3D">
        <w:rPr>
          <w:lang w:val="fr-FR"/>
        </w:rPr>
        <w:t>.</w:t>
      </w:r>
      <w:r w:rsidR="00E12280" w:rsidRPr="00F60A3D">
        <w:rPr>
          <w:lang w:val="fr-FR"/>
        </w:rPr>
        <w:tab/>
        <w:t>Il importe également de mentionner que – conformément aux principes généraux adoptés aux niveaux européen et international dans presque toutes les régions où vivent des minorités linguistiques</w:t>
      </w:r>
      <w:r w:rsidR="00DD4796" w:rsidRPr="00F60A3D">
        <w:rPr>
          <w:lang w:val="fr-FR"/>
        </w:rPr>
        <w:t xml:space="preserve"> historiques</w:t>
      </w:r>
      <w:r w:rsidR="00E12280" w:rsidRPr="00F60A3D">
        <w:rPr>
          <w:lang w:val="fr-FR"/>
        </w:rPr>
        <w:t>, des dispositions visant à protéger ces groupes ont été adoptées dans le cadre des responsabilités confér</w:t>
      </w:r>
      <w:r w:rsidR="00522304" w:rsidRPr="00F60A3D">
        <w:rPr>
          <w:lang w:val="fr-FR"/>
        </w:rPr>
        <w:t>ées aux régions par la C</w:t>
      </w:r>
      <w:r w:rsidR="00E12280" w:rsidRPr="00F60A3D">
        <w:rPr>
          <w:lang w:val="fr-FR"/>
        </w:rPr>
        <w:t xml:space="preserve">onstitution. </w:t>
      </w:r>
    </w:p>
    <w:p w:rsidR="00E12280" w:rsidRPr="00F60A3D" w:rsidRDefault="00DD5FDA" w:rsidP="00C04828">
      <w:pPr>
        <w:pStyle w:val="SingleTxtG"/>
        <w:rPr>
          <w:lang w:val="fr-FR"/>
        </w:rPr>
      </w:pPr>
      <w:r w:rsidRPr="00F60A3D">
        <w:rPr>
          <w:lang w:val="fr-FR"/>
        </w:rPr>
        <w:t>264</w:t>
      </w:r>
      <w:r w:rsidR="00E12280" w:rsidRPr="00F60A3D">
        <w:rPr>
          <w:lang w:val="fr-FR"/>
        </w:rPr>
        <w:t>.</w:t>
      </w:r>
      <w:r w:rsidR="00E12280" w:rsidRPr="00F60A3D">
        <w:rPr>
          <w:lang w:val="fr-FR"/>
        </w:rPr>
        <w:tab/>
        <w:t xml:space="preserve">Pour appliquer les </w:t>
      </w:r>
      <w:r w:rsidR="00D26282" w:rsidRPr="00F60A3D">
        <w:rPr>
          <w:lang w:val="fr-FR"/>
        </w:rPr>
        <w:t>articles </w:t>
      </w:r>
      <w:r w:rsidR="00E12280" w:rsidRPr="00F60A3D">
        <w:rPr>
          <w:lang w:val="fr-FR"/>
        </w:rPr>
        <w:t xml:space="preserve">9 et 15 de la loi </w:t>
      </w:r>
      <w:r w:rsidR="00B17AE1" w:rsidRPr="00F60A3D">
        <w:rPr>
          <w:lang w:val="fr-FR"/>
        </w:rPr>
        <w:t>n</w:t>
      </w:r>
      <w:r w:rsidR="00B17AE1" w:rsidRPr="00F60A3D">
        <w:rPr>
          <w:vertAlign w:val="superscript"/>
          <w:lang w:val="fr-FR"/>
        </w:rPr>
        <w:t>o</w:t>
      </w:r>
      <w:r w:rsidR="00B17AE1" w:rsidRPr="00F60A3D">
        <w:rPr>
          <w:lang w:val="fr-FR"/>
        </w:rPr>
        <w:t> </w:t>
      </w:r>
      <w:r w:rsidR="00E12280" w:rsidRPr="00F60A3D">
        <w:rPr>
          <w:lang w:val="fr-FR"/>
        </w:rPr>
        <w:t>82/1999 intitulé</w:t>
      </w:r>
      <w:r w:rsidR="00522304" w:rsidRPr="00F60A3D">
        <w:rPr>
          <w:lang w:val="fr-FR"/>
        </w:rPr>
        <w:t>e</w:t>
      </w:r>
      <w:r w:rsidR="00736673" w:rsidRPr="00F60A3D">
        <w:rPr>
          <w:lang w:val="fr-FR"/>
        </w:rPr>
        <w:t xml:space="preserve"> </w:t>
      </w:r>
      <w:r w:rsidR="00731982" w:rsidRPr="00F60A3D">
        <w:rPr>
          <w:lang w:val="fr-FR"/>
        </w:rPr>
        <w:t>«</w:t>
      </w:r>
      <w:r w:rsidR="00D758AF" w:rsidRPr="00F60A3D">
        <w:rPr>
          <w:lang w:val="fr-FR"/>
        </w:rPr>
        <w:t>Dispositions concernant la</w:t>
      </w:r>
      <w:r w:rsidR="00E12280" w:rsidRPr="00F60A3D">
        <w:rPr>
          <w:lang w:val="fr-FR"/>
        </w:rPr>
        <w:t xml:space="preserve"> protection des mino</w:t>
      </w:r>
      <w:r w:rsidR="00736673" w:rsidRPr="00F60A3D">
        <w:rPr>
          <w:lang w:val="fr-FR"/>
        </w:rPr>
        <w:t>rités linguistiques historiques</w:t>
      </w:r>
      <w:r w:rsidR="00731982" w:rsidRPr="00F60A3D">
        <w:rPr>
          <w:lang w:val="fr-FR"/>
        </w:rPr>
        <w:t>»</w:t>
      </w:r>
      <w:r w:rsidR="00206AB2" w:rsidRPr="00F60A3D">
        <w:rPr>
          <w:lang w:val="fr-FR"/>
        </w:rPr>
        <w:t>,</w:t>
      </w:r>
      <w:r w:rsidR="00E12280" w:rsidRPr="00F60A3D">
        <w:rPr>
          <w:lang w:val="fr-FR"/>
        </w:rPr>
        <w:t xml:space="preserve"> et l</w:t>
      </w:r>
      <w:r w:rsidR="00B17AE1" w:rsidRPr="00F60A3D">
        <w:rPr>
          <w:lang w:val="fr-FR"/>
        </w:rPr>
        <w:t>’</w:t>
      </w:r>
      <w:r w:rsidR="00D26282" w:rsidRPr="00F60A3D">
        <w:rPr>
          <w:lang w:val="fr-FR"/>
        </w:rPr>
        <w:t>article </w:t>
      </w:r>
      <w:r w:rsidR="00E12280" w:rsidRPr="00F60A3D">
        <w:rPr>
          <w:lang w:val="fr-FR"/>
        </w:rPr>
        <w:t xml:space="preserve">8 </w:t>
      </w:r>
      <w:r w:rsidR="00E42B82" w:rsidRPr="00F60A3D">
        <w:rPr>
          <w:lang w:val="fr-FR"/>
        </w:rPr>
        <w:t>d</w:t>
      </w:r>
      <w:r w:rsidR="00736673" w:rsidRPr="00F60A3D">
        <w:rPr>
          <w:lang w:val="fr-FR"/>
        </w:rPr>
        <w:t xml:space="preserve">e la loi </w:t>
      </w:r>
      <w:r w:rsidR="00B17AE1" w:rsidRPr="00F60A3D">
        <w:rPr>
          <w:lang w:val="fr-FR"/>
        </w:rPr>
        <w:t>n</w:t>
      </w:r>
      <w:r w:rsidR="00B17AE1" w:rsidRPr="00F60A3D">
        <w:rPr>
          <w:vertAlign w:val="superscript"/>
          <w:lang w:val="fr-FR"/>
        </w:rPr>
        <w:t>o</w:t>
      </w:r>
      <w:r w:rsidR="00B17AE1" w:rsidRPr="00F60A3D">
        <w:rPr>
          <w:lang w:val="fr-FR"/>
        </w:rPr>
        <w:t> </w:t>
      </w:r>
      <w:r w:rsidR="00736673" w:rsidRPr="00F60A3D">
        <w:rPr>
          <w:lang w:val="fr-FR"/>
        </w:rPr>
        <w:t xml:space="preserve">38/2001 intitulée </w:t>
      </w:r>
      <w:r w:rsidR="00731982" w:rsidRPr="00F60A3D">
        <w:rPr>
          <w:lang w:val="fr-FR"/>
        </w:rPr>
        <w:t>«</w:t>
      </w:r>
      <w:r w:rsidR="00E12280" w:rsidRPr="00F60A3D">
        <w:rPr>
          <w:lang w:val="fr-FR"/>
        </w:rPr>
        <w:t>Dispositions concernant la protection d</w:t>
      </w:r>
      <w:r w:rsidR="00DD4796" w:rsidRPr="00F60A3D">
        <w:rPr>
          <w:lang w:val="fr-FR"/>
        </w:rPr>
        <w:t>e la minorité slovène d</w:t>
      </w:r>
      <w:r w:rsidR="00794EA5" w:rsidRPr="00F60A3D">
        <w:rPr>
          <w:lang w:val="fr-FR"/>
        </w:rPr>
        <w:t xml:space="preserve">ans la région du Frioul-Vénétie </w:t>
      </w:r>
      <w:r w:rsidR="00DD4796" w:rsidRPr="00F60A3D">
        <w:rPr>
          <w:lang w:val="fr-FR"/>
        </w:rPr>
        <w:t>Julienne</w:t>
      </w:r>
      <w:r w:rsidR="00731982" w:rsidRPr="00F60A3D">
        <w:rPr>
          <w:lang w:val="fr-FR"/>
        </w:rPr>
        <w:t>»</w:t>
      </w:r>
      <w:r w:rsidR="00DD4796" w:rsidRPr="00F60A3D">
        <w:rPr>
          <w:lang w:val="fr-FR"/>
        </w:rPr>
        <w:t>, les autorités ré</w:t>
      </w:r>
      <w:r w:rsidR="00E12280" w:rsidRPr="00F60A3D">
        <w:rPr>
          <w:lang w:val="fr-FR"/>
        </w:rPr>
        <w:t>gional</w:t>
      </w:r>
      <w:r w:rsidR="004A7FF8" w:rsidRPr="00F60A3D">
        <w:rPr>
          <w:lang w:val="fr-FR"/>
        </w:rPr>
        <w:t>e</w:t>
      </w:r>
      <w:r w:rsidR="00E12280" w:rsidRPr="00F60A3D">
        <w:rPr>
          <w:lang w:val="fr-FR"/>
        </w:rPr>
        <w:t xml:space="preserve">s </w:t>
      </w:r>
      <w:r w:rsidR="004A7FF8" w:rsidRPr="00F60A3D">
        <w:rPr>
          <w:lang w:val="fr-FR"/>
        </w:rPr>
        <w:t>encouragent par des subventions spécifiques, l</w:t>
      </w:r>
      <w:r w:rsidR="00B17AE1" w:rsidRPr="00F60A3D">
        <w:rPr>
          <w:lang w:val="fr-FR"/>
        </w:rPr>
        <w:t>’</w:t>
      </w:r>
      <w:r w:rsidR="004A7FF8" w:rsidRPr="00F60A3D">
        <w:rPr>
          <w:lang w:val="fr-FR"/>
        </w:rPr>
        <w:t>usage des langues minoritaires dans la fonction publique et visent à garantir l</w:t>
      </w:r>
      <w:r w:rsidR="00B17AE1" w:rsidRPr="00F60A3D">
        <w:rPr>
          <w:lang w:val="fr-FR"/>
        </w:rPr>
        <w:t>’</w:t>
      </w:r>
      <w:r w:rsidR="004A7FF8" w:rsidRPr="00F60A3D">
        <w:rPr>
          <w:lang w:val="fr-FR"/>
        </w:rPr>
        <w:t>utilisation orale et écrite de</w:t>
      </w:r>
      <w:r w:rsidR="00DD4796" w:rsidRPr="00F60A3D">
        <w:rPr>
          <w:lang w:val="fr-FR"/>
        </w:rPr>
        <w:t xml:space="preserve">s </w:t>
      </w:r>
      <w:r w:rsidR="004A7FF8" w:rsidRPr="00F60A3D">
        <w:rPr>
          <w:lang w:val="fr-FR"/>
        </w:rPr>
        <w:t>langue</w:t>
      </w:r>
      <w:r w:rsidR="00DD4796" w:rsidRPr="00F60A3D">
        <w:rPr>
          <w:lang w:val="fr-FR"/>
        </w:rPr>
        <w:t>s</w:t>
      </w:r>
      <w:r w:rsidR="004A7FF8" w:rsidRPr="00F60A3D">
        <w:rPr>
          <w:lang w:val="fr-FR"/>
        </w:rPr>
        <w:t xml:space="preserve"> protégée</w:t>
      </w:r>
      <w:r w:rsidR="00DD4796" w:rsidRPr="00F60A3D">
        <w:rPr>
          <w:lang w:val="fr-FR"/>
        </w:rPr>
        <w:t>s</w:t>
      </w:r>
      <w:r w:rsidR="004A7FF8" w:rsidRPr="00F60A3D">
        <w:rPr>
          <w:lang w:val="fr-FR"/>
        </w:rPr>
        <w:t xml:space="preserve"> dans l</w:t>
      </w:r>
      <w:r w:rsidR="00B17AE1" w:rsidRPr="00F60A3D">
        <w:rPr>
          <w:lang w:val="fr-FR"/>
        </w:rPr>
        <w:t>’</w:t>
      </w:r>
      <w:r w:rsidR="004A7FF8" w:rsidRPr="00F60A3D">
        <w:rPr>
          <w:lang w:val="fr-FR"/>
        </w:rPr>
        <w:t>administration publique.</w:t>
      </w:r>
      <w:r w:rsidR="00731982" w:rsidRPr="00F60A3D">
        <w:rPr>
          <w:lang w:val="fr-FR"/>
        </w:rPr>
        <w:t xml:space="preserve"> </w:t>
      </w:r>
    </w:p>
    <w:p w:rsidR="004A7FF8" w:rsidRPr="00F60A3D" w:rsidRDefault="00DD5FDA" w:rsidP="00C04828">
      <w:pPr>
        <w:pStyle w:val="SingleTxtG"/>
        <w:rPr>
          <w:lang w:val="fr-FR"/>
        </w:rPr>
      </w:pPr>
      <w:r w:rsidRPr="00F60A3D">
        <w:rPr>
          <w:lang w:val="fr-FR"/>
        </w:rPr>
        <w:t>265</w:t>
      </w:r>
      <w:r w:rsidR="004A7FF8" w:rsidRPr="00F60A3D">
        <w:rPr>
          <w:lang w:val="fr-FR"/>
        </w:rPr>
        <w:t>.</w:t>
      </w:r>
      <w:r w:rsidR="004A7FF8" w:rsidRPr="00F60A3D">
        <w:rPr>
          <w:lang w:val="fr-FR"/>
        </w:rPr>
        <w:tab/>
        <w:t>Pour encourager l</w:t>
      </w:r>
      <w:r w:rsidR="00B17AE1" w:rsidRPr="00F60A3D">
        <w:rPr>
          <w:lang w:val="fr-FR"/>
        </w:rPr>
        <w:t>’</w:t>
      </w:r>
      <w:r w:rsidR="004A7FF8" w:rsidRPr="00F60A3D">
        <w:rPr>
          <w:lang w:val="fr-FR"/>
        </w:rPr>
        <w:t>usage du slovène dans le domaine public, plusieurs administrations provincial</w:t>
      </w:r>
      <w:r w:rsidR="00962E56" w:rsidRPr="00F60A3D">
        <w:rPr>
          <w:lang w:val="fr-FR"/>
        </w:rPr>
        <w:t>e</w:t>
      </w:r>
      <w:r w:rsidR="004A7FF8" w:rsidRPr="00F60A3D">
        <w:rPr>
          <w:lang w:val="fr-FR"/>
        </w:rPr>
        <w:t xml:space="preserve">s et municipales ont mis en place des cours de slovène destinés aux employés de la fonction publique. </w:t>
      </w:r>
      <w:r w:rsidR="0056334C" w:rsidRPr="00F60A3D">
        <w:rPr>
          <w:lang w:val="fr-FR"/>
        </w:rPr>
        <w:t xml:space="preserve">Grâce aux fonds </w:t>
      </w:r>
      <w:r w:rsidR="00794EA5" w:rsidRPr="00F60A3D">
        <w:rPr>
          <w:lang w:val="fr-FR"/>
        </w:rPr>
        <w:t xml:space="preserve">prévus par la loi </w:t>
      </w:r>
      <w:r w:rsidR="00B17AE1" w:rsidRPr="00F60A3D">
        <w:rPr>
          <w:lang w:val="fr-FR"/>
        </w:rPr>
        <w:t>n</w:t>
      </w:r>
      <w:r w:rsidR="00B17AE1" w:rsidRPr="00F60A3D">
        <w:rPr>
          <w:vertAlign w:val="superscript"/>
          <w:lang w:val="fr-FR"/>
        </w:rPr>
        <w:t>o</w:t>
      </w:r>
      <w:r w:rsidR="00B17AE1" w:rsidRPr="00F60A3D">
        <w:rPr>
          <w:lang w:val="fr-FR"/>
        </w:rPr>
        <w:t> </w:t>
      </w:r>
      <w:r w:rsidR="00794EA5" w:rsidRPr="00F60A3D">
        <w:rPr>
          <w:lang w:val="fr-FR"/>
        </w:rPr>
        <w:t>38/2001, elle</w:t>
      </w:r>
      <w:r w:rsidR="0056334C" w:rsidRPr="00F60A3D">
        <w:rPr>
          <w:lang w:val="fr-FR"/>
        </w:rPr>
        <w:t>s ont engagé des personnels temporaire</w:t>
      </w:r>
      <w:r w:rsidR="00DD4796" w:rsidRPr="00F60A3D">
        <w:rPr>
          <w:lang w:val="fr-FR"/>
        </w:rPr>
        <w:t>s</w:t>
      </w:r>
      <w:r w:rsidR="0056334C" w:rsidRPr="00F60A3D">
        <w:rPr>
          <w:lang w:val="fr-FR"/>
        </w:rPr>
        <w:t xml:space="preserve"> et permanent</w:t>
      </w:r>
      <w:r w:rsidR="00DD4796" w:rsidRPr="00F60A3D">
        <w:rPr>
          <w:lang w:val="fr-FR"/>
        </w:rPr>
        <w:t>s</w:t>
      </w:r>
      <w:r w:rsidR="0056334C" w:rsidRPr="00F60A3D">
        <w:rPr>
          <w:lang w:val="fr-FR"/>
        </w:rPr>
        <w:t xml:space="preserve"> pour effectuer des travaux de tr</w:t>
      </w:r>
      <w:r w:rsidR="00505680" w:rsidRPr="00F60A3D">
        <w:rPr>
          <w:lang w:val="fr-FR"/>
        </w:rPr>
        <w:t xml:space="preserve">aduction et </w:t>
      </w:r>
      <w:r w:rsidR="0056334C" w:rsidRPr="00F60A3D">
        <w:rPr>
          <w:lang w:val="fr-FR"/>
        </w:rPr>
        <w:t xml:space="preserve">mis en place </w:t>
      </w:r>
      <w:r w:rsidR="00522304" w:rsidRPr="00F60A3D">
        <w:rPr>
          <w:lang w:val="fr-FR"/>
        </w:rPr>
        <w:t xml:space="preserve">des guichets et/ou des bureaux </w:t>
      </w:r>
      <w:r w:rsidR="0056334C" w:rsidRPr="00F60A3D">
        <w:rPr>
          <w:lang w:val="fr-FR"/>
        </w:rPr>
        <w:t>pour la minorité slovène. En outre, des organismes privés titulaires d</w:t>
      </w:r>
      <w:r w:rsidR="00B17AE1" w:rsidRPr="00F60A3D">
        <w:rPr>
          <w:lang w:val="fr-FR"/>
        </w:rPr>
        <w:t>’</w:t>
      </w:r>
      <w:r w:rsidR="0056334C" w:rsidRPr="00F60A3D">
        <w:rPr>
          <w:lang w:val="fr-FR"/>
        </w:rPr>
        <w:t>une concession de service public ont lancé des initiatives spécifiques. Depuis 2001, l</w:t>
      </w:r>
      <w:r w:rsidR="00B17AE1" w:rsidRPr="00F60A3D">
        <w:rPr>
          <w:lang w:val="fr-FR"/>
        </w:rPr>
        <w:t>’</w:t>
      </w:r>
      <w:r w:rsidR="0056334C" w:rsidRPr="00F60A3D">
        <w:rPr>
          <w:lang w:val="fr-FR"/>
        </w:rPr>
        <w:t>usage du slovène s</w:t>
      </w:r>
      <w:r w:rsidR="00B17AE1" w:rsidRPr="00F60A3D">
        <w:rPr>
          <w:lang w:val="fr-FR"/>
        </w:rPr>
        <w:t>’</w:t>
      </w:r>
      <w:r w:rsidR="00522304" w:rsidRPr="00F60A3D">
        <w:rPr>
          <w:lang w:val="fr-FR"/>
        </w:rPr>
        <w:t>est considérablement étendu au</w:t>
      </w:r>
      <w:r w:rsidR="0056334C" w:rsidRPr="00F60A3D">
        <w:rPr>
          <w:lang w:val="fr-FR"/>
        </w:rPr>
        <w:t>p</w:t>
      </w:r>
      <w:r w:rsidR="00522304" w:rsidRPr="00F60A3D">
        <w:rPr>
          <w:lang w:val="fr-FR"/>
        </w:rPr>
        <w:t>r</w:t>
      </w:r>
      <w:r w:rsidR="0056334C" w:rsidRPr="00F60A3D">
        <w:rPr>
          <w:lang w:val="fr-FR"/>
        </w:rPr>
        <w:t>ès des organes élus</w:t>
      </w:r>
      <w:r w:rsidR="00DD4796" w:rsidRPr="00F60A3D">
        <w:rPr>
          <w:lang w:val="fr-FR"/>
        </w:rPr>
        <w:t>,</w:t>
      </w:r>
      <w:r w:rsidR="0056334C" w:rsidRPr="00F60A3D">
        <w:rPr>
          <w:lang w:val="fr-FR"/>
        </w:rPr>
        <w:t xml:space="preserve"> et de nombreuses salles de </w:t>
      </w:r>
      <w:r w:rsidR="00FE116A" w:rsidRPr="00F60A3D">
        <w:rPr>
          <w:lang w:val="fr-FR"/>
        </w:rPr>
        <w:t>conférence ont été dotées d</w:t>
      </w:r>
      <w:r w:rsidR="00B17AE1" w:rsidRPr="00F60A3D">
        <w:rPr>
          <w:lang w:val="fr-FR"/>
        </w:rPr>
        <w:t>’</w:t>
      </w:r>
      <w:r w:rsidR="00FE116A" w:rsidRPr="00F60A3D">
        <w:rPr>
          <w:lang w:val="fr-FR"/>
        </w:rPr>
        <w:t>un équipement d</w:t>
      </w:r>
      <w:r w:rsidR="00B17AE1" w:rsidRPr="00F60A3D">
        <w:rPr>
          <w:lang w:val="fr-FR"/>
        </w:rPr>
        <w:t>’</w:t>
      </w:r>
      <w:r w:rsidR="00FE116A" w:rsidRPr="00F60A3D">
        <w:rPr>
          <w:lang w:val="fr-FR"/>
        </w:rPr>
        <w:t>interprétation simultanée. En dépit de l</w:t>
      </w:r>
      <w:r w:rsidR="00B17AE1" w:rsidRPr="00F60A3D">
        <w:rPr>
          <w:lang w:val="fr-FR"/>
        </w:rPr>
        <w:t>’</w:t>
      </w:r>
      <w:r w:rsidR="00FE116A" w:rsidRPr="00F60A3D">
        <w:rPr>
          <w:lang w:val="fr-FR"/>
        </w:rPr>
        <w:t>existence de ce type d</w:t>
      </w:r>
      <w:r w:rsidR="00B17AE1" w:rsidRPr="00F60A3D">
        <w:rPr>
          <w:lang w:val="fr-FR"/>
        </w:rPr>
        <w:t>’</w:t>
      </w:r>
      <w:r w:rsidR="00FE116A" w:rsidRPr="00F60A3D">
        <w:rPr>
          <w:lang w:val="fr-FR"/>
        </w:rPr>
        <w:t xml:space="preserve">équipement, certaines difficultés ont été </w:t>
      </w:r>
      <w:r w:rsidR="00443C7A" w:rsidRPr="00F60A3D">
        <w:rPr>
          <w:lang w:val="fr-FR"/>
        </w:rPr>
        <w:t>rencontrées dans la commune</w:t>
      </w:r>
      <w:r w:rsidR="00FE116A" w:rsidRPr="00F60A3D">
        <w:rPr>
          <w:lang w:val="fr-FR"/>
        </w:rPr>
        <w:t xml:space="preserve"> de Gorizia où l</w:t>
      </w:r>
      <w:r w:rsidR="00B17AE1" w:rsidRPr="00F60A3D">
        <w:rPr>
          <w:lang w:val="fr-FR"/>
        </w:rPr>
        <w:t>’</w:t>
      </w:r>
      <w:r w:rsidR="00FE116A" w:rsidRPr="00F60A3D">
        <w:rPr>
          <w:lang w:val="fr-FR"/>
        </w:rPr>
        <w:t>usage du slovène au conseil municipal est encore impossible.</w:t>
      </w:r>
    </w:p>
    <w:p w:rsidR="00FE116A" w:rsidRPr="00F60A3D" w:rsidRDefault="00DD5FDA" w:rsidP="00C04828">
      <w:pPr>
        <w:pStyle w:val="SingleTxtG"/>
        <w:rPr>
          <w:lang w:val="fr-FR"/>
        </w:rPr>
      </w:pPr>
      <w:r w:rsidRPr="00F60A3D">
        <w:rPr>
          <w:lang w:val="fr-FR"/>
        </w:rPr>
        <w:t>266</w:t>
      </w:r>
      <w:r w:rsidR="00FE116A" w:rsidRPr="00F60A3D">
        <w:rPr>
          <w:lang w:val="fr-FR"/>
        </w:rPr>
        <w:t>.</w:t>
      </w:r>
      <w:r w:rsidR="00FE116A" w:rsidRPr="00F60A3D">
        <w:rPr>
          <w:lang w:val="fr-FR"/>
        </w:rPr>
        <w:tab/>
        <w:t>Le nombre d</w:t>
      </w:r>
      <w:r w:rsidR="00B17AE1" w:rsidRPr="00F60A3D">
        <w:rPr>
          <w:lang w:val="fr-FR"/>
        </w:rPr>
        <w:t>’</w:t>
      </w:r>
      <w:r w:rsidR="00FE116A" w:rsidRPr="00F60A3D">
        <w:rPr>
          <w:lang w:val="fr-FR"/>
        </w:rPr>
        <w:t>organes qui demande</w:t>
      </w:r>
      <w:r w:rsidR="00443C7A" w:rsidRPr="00F60A3D">
        <w:rPr>
          <w:lang w:val="fr-FR"/>
        </w:rPr>
        <w:t>nt</w:t>
      </w:r>
      <w:r w:rsidR="00FE116A" w:rsidRPr="00F60A3D">
        <w:rPr>
          <w:lang w:val="fr-FR"/>
        </w:rPr>
        <w:t xml:space="preserve"> le financement de projets concernant des guichets linguistiques e</w:t>
      </w:r>
      <w:r w:rsidR="00522304" w:rsidRPr="00F60A3D">
        <w:rPr>
          <w:lang w:val="fr-FR"/>
        </w:rPr>
        <w:t>s</w:t>
      </w:r>
      <w:r w:rsidR="00FE116A" w:rsidRPr="00F60A3D">
        <w:rPr>
          <w:lang w:val="fr-FR"/>
        </w:rPr>
        <w:t>t constant dans le temps</w:t>
      </w:r>
      <w:r w:rsidR="00DD4796" w:rsidRPr="00F60A3D">
        <w:rPr>
          <w:lang w:val="fr-FR"/>
        </w:rPr>
        <w:t>,</w:t>
      </w:r>
      <w:r w:rsidR="001D5AA5" w:rsidRPr="00F60A3D">
        <w:rPr>
          <w:lang w:val="fr-FR"/>
        </w:rPr>
        <w:t xml:space="preserve"> mais seuls quelques-</w:t>
      </w:r>
      <w:r w:rsidR="00FE116A" w:rsidRPr="00F60A3D">
        <w:rPr>
          <w:lang w:val="fr-FR"/>
        </w:rPr>
        <w:t xml:space="preserve">uns </w:t>
      </w:r>
      <w:r w:rsidR="00962E56" w:rsidRPr="00F60A3D">
        <w:rPr>
          <w:lang w:val="fr-FR"/>
        </w:rPr>
        <w:t>dé</w:t>
      </w:r>
      <w:r w:rsidR="00FE116A" w:rsidRPr="00F60A3D">
        <w:rPr>
          <w:lang w:val="fr-FR"/>
        </w:rPr>
        <w:t xml:space="preserve">cident de partager le service en créant un réseau et en optimisant les ressources et les </w:t>
      </w:r>
      <w:r w:rsidR="00522304" w:rsidRPr="00F60A3D">
        <w:rPr>
          <w:lang w:val="fr-FR"/>
        </w:rPr>
        <w:t>expé</w:t>
      </w:r>
      <w:r w:rsidR="00FE116A" w:rsidRPr="00F60A3D">
        <w:rPr>
          <w:lang w:val="fr-FR"/>
        </w:rPr>
        <w:t xml:space="preserve">riences. Le guichet unique </w:t>
      </w:r>
      <w:r w:rsidR="004A72A8" w:rsidRPr="00F60A3D">
        <w:rPr>
          <w:lang w:val="fr-FR"/>
        </w:rPr>
        <w:t>destiné</w:t>
      </w:r>
      <w:r w:rsidR="00FE116A" w:rsidRPr="00F60A3D">
        <w:rPr>
          <w:lang w:val="fr-FR"/>
        </w:rPr>
        <w:t xml:space="preserve"> aux Slovènes a été créé au Bureau </w:t>
      </w:r>
      <w:r w:rsidR="004A72A8" w:rsidRPr="00F60A3D">
        <w:rPr>
          <w:lang w:val="fr-FR"/>
        </w:rPr>
        <w:t>du Commissaire du gouvernement – Préfecture de Tri</w:t>
      </w:r>
      <w:r w:rsidR="00505680" w:rsidRPr="00F60A3D">
        <w:rPr>
          <w:lang w:val="fr-FR"/>
        </w:rPr>
        <w:t>este, en application de</w:t>
      </w:r>
      <w:r w:rsidR="006071F1" w:rsidRPr="00F60A3D">
        <w:rPr>
          <w:lang w:val="fr-FR"/>
        </w:rPr>
        <w:t xml:space="preserve"> l</w:t>
      </w:r>
      <w:r w:rsidR="00B17AE1" w:rsidRPr="00F60A3D">
        <w:rPr>
          <w:lang w:val="fr-FR"/>
        </w:rPr>
        <w:t>’</w:t>
      </w:r>
      <w:r w:rsidR="00D26282" w:rsidRPr="00F60A3D">
        <w:rPr>
          <w:lang w:val="fr-FR"/>
        </w:rPr>
        <w:t>article </w:t>
      </w:r>
      <w:r w:rsidR="006071F1" w:rsidRPr="00F60A3D">
        <w:rPr>
          <w:lang w:val="fr-FR"/>
        </w:rPr>
        <w:t xml:space="preserve">8 </w:t>
      </w:r>
      <w:r w:rsidR="004A72A8" w:rsidRPr="00F60A3D">
        <w:rPr>
          <w:lang w:val="fr-FR"/>
        </w:rPr>
        <w:t xml:space="preserve">4) de la loi </w:t>
      </w:r>
      <w:r w:rsidR="00B17AE1" w:rsidRPr="00F60A3D">
        <w:rPr>
          <w:lang w:val="fr-FR"/>
        </w:rPr>
        <w:t>n</w:t>
      </w:r>
      <w:r w:rsidR="00B17AE1" w:rsidRPr="00F60A3D">
        <w:rPr>
          <w:vertAlign w:val="superscript"/>
          <w:lang w:val="fr-FR"/>
        </w:rPr>
        <w:t>o</w:t>
      </w:r>
      <w:r w:rsidR="00B17AE1" w:rsidRPr="00F60A3D">
        <w:rPr>
          <w:lang w:val="fr-FR"/>
        </w:rPr>
        <w:t> </w:t>
      </w:r>
      <w:r w:rsidR="004A72A8" w:rsidRPr="00F60A3D">
        <w:rPr>
          <w:lang w:val="fr-FR"/>
        </w:rPr>
        <w:t>38/2001, qui permet aux administrations publiques de s</w:t>
      </w:r>
      <w:r w:rsidR="00B17AE1" w:rsidRPr="00F60A3D">
        <w:rPr>
          <w:lang w:val="fr-FR"/>
        </w:rPr>
        <w:t>’</w:t>
      </w:r>
      <w:r w:rsidR="004A72A8" w:rsidRPr="00F60A3D">
        <w:rPr>
          <w:lang w:val="fr-FR"/>
        </w:rPr>
        <w:t>en reme</w:t>
      </w:r>
      <w:r w:rsidR="00443C7A" w:rsidRPr="00F60A3D">
        <w:rPr>
          <w:lang w:val="fr-FR"/>
        </w:rPr>
        <w:t>ttre à un seul bureau pour donner</w:t>
      </w:r>
      <w:r w:rsidR="004A72A8" w:rsidRPr="00F60A3D">
        <w:rPr>
          <w:lang w:val="fr-FR"/>
        </w:rPr>
        <w:t xml:space="preserve"> aux citoyens slovènes</w:t>
      </w:r>
      <w:r w:rsidR="00443C7A" w:rsidRPr="00F60A3D">
        <w:rPr>
          <w:lang w:val="fr-FR"/>
        </w:rPr>
        <w:t xml:space="preserve"> la capacité</w:t>
      </w:r>
      <w:r w:rsidR="004A72A8" w:rsidRPr="00F60A3D">
        <w:rPr>
          <w:lang w:val="fr-FR"/>
        </w:rPr>
        <w:t xml:space="preserve"> d</w:t>
      </w:r>
      <w:r w:rsidR="00B17AE1" w:rsidRPr="00F60A3D">
        <w:rPr>
          <w:lang w:val="fr-FR"/>
        </w:rPr>
        <w:t>’</w:t>
      </w:r>
      <w:r w:rsidR="004A72A8" w:rsidRPr="00F60A3D">
        <w:rPr>
          <w:lang w:val="fr-FR"/>
        </w:rPr>
        <w:t>exercer réellement leur droit d</w:t>
      </w:r>
      <w:r w:rsidR="00B17AE1" w:rsidRPr="00F60A3D">
        <w:rPr>
          <w:lang w:val="fr-FR"/>
        </w:rPr>
        <w:t>’</w:t>
      </w:r>
      <w:r w:rsidR="004A72A8" w:rsidRPr="00F60A3D">
        <w:rPr>
          <w:lang w:val="fr-FR"/>
        </w:rPr>
        <w:t>utiliser leur propre langue. Le guichet unique a été ouvert par le Commissaire du Gouverne</w:t>
      </w:r>
      <w:r w:rsidR="00522304" w:rsidRPr="00F60A3D">
        <w:rPr>
          <w:lang w:val="fr-FR"/>
        </w:rPr>
        <w:t>ment avec le financement de la Présidence du C</w:t>
      </w:r>
      <w:r w:rsidR="00206AB2" w:rsidRPr="00F60A3D">
        <w:rPr>
          <w:lang w:val="fr-FR"/>
        </w:rPr>
        <w:t>onseil des ministres; inauguré en décembre 2007,</w:t>
      </w:r>
      <w:r w:rsidR="004A72A8" w:rsidRPr="00F60A3D">
        <w:rPr>
          <w:lang w:val="fr-FR"/>
        </w:rPr>
        <w:t xml:space="preserve"> les organes suivants y participent: </w:t>
      </w:r>
      <w:r w:rsidR="001539AF" w:rsidRPr="00F60A3D">
        <w:rPr>
          <w:lang w:val="fr-FR"/>
        </w:rPr>
        <w:t>les bureaux principaux de la police provincial</w:t>
      </w:r>
      <w:r w:rsidR="00522304" w:rsidRPr="00F60A3D">
        <w:rPr>
          <w:lang w:val="fr-FR"/>
        </w:rPr>
        <w:t>e</w:t>
      </w:r>
      <w:r w:rsidR="001539AF" w:rsidRPr="00F60A3D">
        <w:rPr>
          <w:lang w:val="fr-FR"/>
        </w:rPr>
        <w:t>, l</w:t>
      </w:r>
      <w:r w:rsidR="00B17AE1" w:rsidRPr="00F60A3D">
        <w:rPr>
          <w:lang w:val="fr-FR"/>
        </w:rPr>
        <w:t>’</w:t>
      </w:r>
      <w:r w:rsidR="001539AF" w:rsidRPr="00F60A3D">
        <w:rPr>
          <w:lang w:val="fr-FR"/>
        </w:rPr>
        <w:t>Autorité régionale de l</w:t>
      </w:r>
      <w:r w:rsidR="00B17AE1" w:rsidRPr="00F60A3D">
        <w:rPr>
          <w:lang w:val="fr-FR"/>
        </w:rPr>
        <w:t>’</w:t>
      </w:r>
      <w:r w:rsidR="001539AF" w:rsidRPr="00F60A3D">
        <w:rPr>
          <w:lang w:val="fr-FR"/>
        </w:rPr>
        <w:t>enseignement, l</w:t>
      </w:r>
      <w:r w:rsidR="00B17AE1" w:rsidRPr="00F60A3D">
        <w:rPr>
          <w:lang w:val="fr-FR"/>
        </w:rPr>
        <w:t>’</w:t>
      </w:r>
      <w:r w:rsidR="001539AF" w:rsidRPr="00F60A3D">
        <w:rPr>
          <w:lang w:val="fr-FR"/>
        </w:rPr>
        <w:t>Agence régionale du revenu et des douanes, l</w:t>
      </w:r>
      <w:r w:rsidR="00B17AE1" w:rsidRPr="00F60A3D">
        <w:rPr>
          <w:lang w:val="fr-FR"/>
        </w:rPr>
        <w:t>’</w:t>
      </w:r>
      <w:r w:rsidR="001539AF" w:rsidRPr="00F60A3D">
        <w:rPr>
          <w:lang w:val="fr-FR"/>
        </w:rPr>
        <w:t>Institut national de la sécurité sociale</w:t>
      </w:r>
      <w:r w:rsidR="00ED49C7" w:rsidRPr="00F60A3D">
        <w:rPr>
          <w:lang w:val="fr-FR"/>
        </w:rPr>
        <w:t xml:space="preserve"> </w:t>
      </w:r>
      <w:r w:rsidR="001539AF" w:rsidRPr="00F60A3D">
        <w:rPr>
          <w:lang w:val="fr-FR"/>
        </w:rPr>
        <w:t>et l</w:t>
      </w:r>
      <w:r w:rsidR="00B17AE1" w:rsidRPr="00F60A3D">
        <w:rPr>
          <w:lang w:val="fr-FR"/>
        </w:rPr>
        <w:t>’</w:t>
      </w:r>
      <w:r w:rsidR="001539AF" w:rsidRPr="00F60A3D">
        <w:rPr>
          <w:lang w:val="fr-FR"/>
        </w:rPr>
        <w:t>Institut national de l</w:t>
      </w:r>
      <w:r w:rsidR="00B17AE1" w:rsidRPr="00F60A3D">
        <w:rPr>
          <w:lang w:val="fr-FR"/>
        </w:rPr>
        <w:t>’</w:t>
      </w:r>
      <w:r w:rsidR="001539AF" w:rsidRPr="00F60A3D">
        <w:rPr>
          <w:lang w:val="fr-FR"/>
        </w:rPr>
        <w:t>assurance contre les acc</w:t>
      </w:r>
      <w:r w:rsidR="00ED49C7" w:rsidRPr="00F60A3D">
        <w:rPr>
          <w:lang w:val="fr-FR"/>
        </w:rPr>
        <w:t>idents du travail</w:t>
      </w:r>
      <w:r w:rsidR="007F0B77" w:rsidRPr="00F60A3D">
        <w:rPr>
          <w:lang w:val="fr-FR"/>
        </w:rPr>
        <w:t>.</w:t>
      </w:r>
      <w:r w:rsidR="001539AF" w:rsidRPr="00F60A3D">
        <w:rPr>
          <w:lang w:val="fr-FR"/>
        </w:rPr>
        <w:t xml:space="preserve"> </w:t>
      </w:r>
    </w:p>
    <w:p w:rsidR="001539AF" w:rsidRPr="00F60A3D" w:rsidRDefault="00DD5FDA" w:rsidP="00C04828">
      <w:pPr>
        <w:pStyle w:val="SingleTxtG"/>
        <w:rPr>
          <w:lang w:val="fr-FR"/>
        </w:rPr>
      </w:pPr>
      <w:r w:rsidRPr="00F60A3D">
        <w:rPr>
          <w:lang w:val="fr-FR"/>
        </w:rPr>
        <w:lastRenderedPageBreak/>
        <w:t>267</w:t>
      </w:r>
      <w:r w:rsidR="005063FC" w:rsidRPr="00F60A3D">
        <w:rPr>
          <w:lang w:val="fr-FR"/>
        </w:rPr>
        <w:t>.</w:t>
      </w:r>
      <w:r w:rsidR="005063FC" w:rsidRPr="00F60A3D">
        <w:rPr>
          <w:lang w:val="fr-FR"/>
        </w:rPr>
        <w:tab/>
      </w:r>
      <w:r w:rsidR="0014019B" w:rsidRPr="00F60A3D">
        <w:rPr>
          <w:lang w:val="fr-FR"/>
        </w:rPr>
        <w:t>Les projets visant à soutenir les</w:t>
      </w:r>
      <w:r w:rsidR="001539AF" w:rsidRPr="00F60A3D">
        <w:rPr>
          <w:lang w:val="fr-FR"/>
        </w:rPr>
        <w:t xml:space="preserve"> bureaux provinciaux des administrations de l</w:t>
      </w:r>
      <w:r w:rsidR="00B17AE1" w:rsidRPr="00F60A3D">
        <w:rPr>
          <w:lang w:val="fr-FR"/>
        </w:rPr>
        <w:t>’</w:t>
      </w:r>
      <w:r w:rsidR="001539AF" w:rsidRPr="00F60A3D">
        <w:rPr>
          <w:lang w:val="fr-FR"/>
        </w:rPr>
        <w:t>État ont été mis en œuvre avec les fonds prévus par l</w:t>
      </w:r>
      <w:r w:rsidR="00B17AE1" w:rsidRPr="00F60A3D">
        <w:rPr>
          <w:lang w:val="fr-FR"/>
        </w:rPr>
        <w:t>’</w:t>
      </w:r>
      <w:r w:rsidR="00D26282" w:rsidRPr="00F60A3D">
        <w:rPr>
          <w:lang w:val="fr-FR"/>
        </w:rPr>
        <w:t>article </w:t>
      </w:r>
      <w:r w:rsidR="001539AF" w:rsidRPr="00F60A3D">
        <w:rPr>
          <w:lang w:val="fr-FR"/>
        </w:rPr>
        <w:t xml:space="preserve">9 de la loi </w:t>
      </w:r>
      <w:r w:rsidR="00B17AE1" w:rsidRPr="00F60A3D">
        <w:rPr>
          <w:lang w:val="fr-FR"/>
        </w:rPr>
        <w:t>n</w:t>
      </w:r>
      <w:r w:rsidR="00B17AE1" w:rsidRPr="00F60A3D">
        <w:rPr>
          <w:vertAlign w:val="superscript"/>
          <w:lang w:val="fr-FR"/>
        </w:rPr>
        <w:t>o</w:t>
      </w:r>
      <w:r w:rsidR="00B17AE1" w:rsidRPr="00F60A3D">
        <w:rPr>
          <w:lang w:val="fr-FR"/>
        </w:rPr>
        <w:t> </w:t>
      </w:r>
      <w:r w:rsidR="001539AF" w:rsidRPr="00F60A3D">
        <w:rPr>
          <w:lang w:val="fr-FR"/>
        </w:rPr>
        <w:t>482/1999, afin de perme</w:t>
      </w:r>
      <w:r w:rsidR="00522304" w:rsidRPr="00F60A3D">
        <w:rPr>
          <w:lang w:val="fr-FR"/>
        </w:rPr>
        <w:t>ttre aux citoyens qui le souhaitent</w:t>
      </w:r>
      <w:r w:rsidR="00731982" w:rsidRPr="00F60A3D">
        <w:rPr>
          <w:lang w:val="fr-FR"/>
        </w:rPr>
        <w:t xml:space="preserve"> </w:t>
      </w:r>
      <w:r w:rsidR="001539AF" w:rsidRPr="00F60A3D">
        <w:rPr>
          <w:lang w:val="fr-FR"/>
        </w:rPr>
        <w:t>d</w:t>
      </w:r>
      <w:r w:rsidR="00B17AE1" w:rsidRPr="00F60A3D">
        <w:rPr>
          <w:lang w:val="fr-FR"/>
        </w:rPr>
        <w:t>’</w:t>
      </w:r>
      <w:r w:rsidR="001539AF" w:rsidRPr="00F60A3D">
        <w:rPr>
          <w:lang w:val="fr-FR"/>
        </w:rPr>
        <w:t xml:space="preserve">utiliser le slovène. Cette mesure répond à un double besoin – rédiger </w:t>
      </w:r>
      <w:r w:rsidR="00A0004C" w:rsidRPr="00F60A3D">
        <w:rPr>
          <w:lang w:val="fr-FR"/>
        </w:rPr>
        <w:t xml:space="preserve">une série </w:t>
      </w:r>
      <w:r w:rsidR="00962E56" w:rsidRPr="00F60A3D">
        <w:rPr>
          <w:lang w:val="fr-FR"/>
        </w:rPr>
        <w:t>complè</w:t>
      </w:r>
      <w:r w:rsidR="00A0004C" w:rsidRPr="00F60A3D">
        <w:rPr>
          <w:lang w:val="fr-FR"/>
        </w:rPr>
        <w:t xml:space="preserve">te </w:t>
      </w:r>
      <w:r w:rsidR="00962E56" w:rsidRPr="00F60A3D">
        <w:rPr>
          <w:lang w:val="fr-FR"/>
        </w:rPr>
        <w:t>de formulaires bili</w:t>
      </w:r>
      <w:r w:rsidR="00A0004C" w:rsidRPr="00F60A3D">
        <w:rPr>
          <w:lang w:val="fr-FR"/>
        </w:rPr>
        <w:t>ngues pour les membres de la minorité slovène</w:t>
      </w:r>
      <w:r w:rsidR="00F45952" w:rsidRPr="00F60A3D">
        <w:rPr>
          <w:lang w:val="fr-FR"/>
        </w:rPr>
        <w:t>,</w:t>
      </w:r>
      <w:r w:rsidR="00505680" w:rsidRPr="00F60A3D">
        <w:rPr>
          <w:lang w:val="fr-FR"/>
        </w:rPr>
        <w:t xml:space="preserve"> et dispenser des cours de langue au</w:t>
      </w:r>
      <w:r w:rsidR="00A0004C" w:rsidRPr="00F60A3D">
        <w:rPr>
          <w:lang w:val="fr-FR"/>
        </w:rPr>
        <w:t xml:space="preserve"> personnel des organismes concernés</w:t>
      </w:r>
      <w:r w:rsidR="00C175C5" w:rsidRPr="00F60A3D">
        <w:rPr>
          <w:lang w:val="fr-FR"/>
        </w:rPr>
        <w:t>,</w:t>
      </w:r>
      <w:r w:rsidR="00522304" w:rsidRPr="00F60A3D">
        <w:rPr>
          <w:lang w:val="fr-FR"/>
        </w:rPr>
        <w:t xml:space="preserve"> </w:t>
      </w:r>
      <w:r w:rsidR="00A0004C" w:rsidRPr="00F60A3D">
        <w:rPr>
          <w:lang w:val="fr-FR"/>
        </w:rPr>
        <w:t>pour lui permettre de communiquer avec les personnes qui souhaitent exercer leur droit à utiliser le slovène dans leurs relations avec les services publics.</w:t>
      </w:r>
      <w:r w:rsidR="00731982" w:rsidRPr="00F60A3D">
        <w:rPr>
          <w:lang w:val="fr-FR"/>
        </w:rPr>
        <w:t xml:space="preserve"> </w:t>
      </w:r>
    </w:p>
    <w:p w:rsidR="00A0004C" w:rsidRPr="00F60A3D" w:rsidRDefault="00DD5FDA" w:rsidP="00C04828">
      <w:pPr>
        <w:pStyle w:val="SingleTxtG"/>
        <w:rPr>
          <w:lang w:val="fr-FR"/>
        </w:rPr>
      </w:pPr>
      <w:r w:rsidRPr="00F60A3D">
        <w:rPr>
          <w:lang w:val="fr-FR"/>
        </w:rPr>
        <w:t>268</w:t>
      </w:r>
      <w:r w:rsidR="00462003" w:rsidRPr="00F60A3D">
        <w:rPr>
          <w:lang w:val="fr-FR"/>
        </w:rPr>
        <w:t>.</w:t>
      </w:r>
      <w:r w:rsidR="00462003" w:rsidRPr="00F60A3D">
        <w:rPr>
          <w:lang w:val="fr-FR"/>
        </w:rPr>
        <w:tab/>
      </w:r>
      <w:r w:rsidR="00A0004C" w:rsidRPr="00F60A3D">
        <w:rPr>
          <w:lang w:val="fr-FR"/>
        </w:rPr>
        <w:t>Les activités de l</w:t>
      </w:r>
      <w:r w:rsidR="00B17AE1" w:rsidRPr="00F60A3D">
        <w:rPr>
          <w:lang w:val="fr-FR"/>
        </w:rPr>
        <w:t>’</w:t>
      </w:r>
      <w:r w:rsidR="00A0004C" w:rsidRPr="00F60A3D">
        <w:rPr>
          <w:lang w:val="fr-FR"/>
        </w:rPr>
        <w:t>Autorité régionale sont aussi importantes</w:t>
      </w:r>
      <w:r w:rsidR="00C175C5" w:rsidRPr="00F60A3D">
        <w:rPr>
          <w:lang w:val="fr-FR"/>
        </w:rPr>
        <w:t>,</w:t>
      </w:r>
      <w:r w:rsidR="00A0004C" w:rsidRPr="00F60A3D">
        <w:rPr>
          <w:lang w:val="fr-FR"/>
        </w:rPr>
        <w:t xml:space="preserve"> car elle</w:t>
      </w:r>
      <w:r w:rsidR="00522304" w:rsidRPr="00F60A3D">
        <w:rPr>
          <w:lang w:val="fr-FR"/>
        </w:rPr>
        <w:t>s</w:t>
      </w:r>
      <w:r w:rsidR="00A0004C" w:rsidRPr="00F60A3D">
        <w:rPr>
          <w:lang w:val="fr-FR"/>
        </w:rPr>
        <w:t xml:space="preserve"> affecte</w:t>
      </w:r>
      <w:r w:rsidR="00522304" w:rsidRPr="00F60A3D">
        <w:rPr>
          <w:lang w:val="fr-FR"/>
        </w:rPr>
        <w:t>nt d</w:t>
      </w:r>
      <w:r w:rsidR="00A0004C" w:rsidRPr="00F60A3D">
        <w:rPr>
          <w:lang w:val="fr-FR"/>
        </w:rPr>
        <w:t>es fonds au niveau local aux projets des administrations publiques compétentes</w:t>
      </w:r>
      <w:r w:rsidR="00794F6A" w:rsidRPr="00F60A3D">
        <w:rPr>
          <w:lang w:val="fr-FR"/>
        </w:rPr>
        <w:t>,</w:t>
      </w:r>
      <w:r w:rsidR="00A0004C" w:rsidRPr="00F60A3D">
        <w:rPr>
          <w:lang w:val="fr-FR"/>
        </w:rPr>
        <w:t xml:space="preserve"> pour mettre en œuvre le droit à l</w:t>
      </w:r>
      <w:r w:rsidR="00B17AE1" w:rsidRPr="00F60A3D">
        <w:rPr>
          <w:lang w:val="fr-FR"/>
        </w:rPr>
        <w:t>’</w:t>
      </w:r>
      <w:r w:rsidR="00A0004C" w:rsidRPr="00F60A3D">
        <w:rPr>
          <w:lang w:val="fr-FR"/>
        </w:rPr>
        <w:t>utilisation publique des langues minoritaire</w:t>
      </w:r>
      <w:r w:rsidR="001E7355" w:rsidRPr="00F60A3D">
        <w:rPr>
          <w:lang w:val="fr-FR"/>
        </w:rPr>
        <w:t>s</w:t>
      </w:r>
      <w:r w:rsidR="00A0004C" w:rsidRPr="00F60A3D">
        <w:rPr>
          <w:lang w:val="fr-FR"/>
        </w:rPr>
        <w:t xml:space="preserve"> reconnues. Les disposition</w:t>
      </w:r>
      <w:r w:rsidR="00522304" w:rsidRPr="00F60A3D">
        <w:rPr>
          <w:lang w:val="fr-FR"/>
        </w:rPr>
        <w:t>s</w:t>
      </w:r>
      <w:r w:rsidR="00A0004C" w:rsidRPr="00F60A3D">
        <w:rPr>
          <w:lang w:val="fr-FR"/>
        </w:rPr>
        <w:t xml:space="preserve"> </w:t>
      </w:r>
      <w:r w:rsidR="004D1254" w:rsidRPr="00F60A3D">
        <w:rPr>
          <w:lang w:val="fr-FR"/>
        </w:rPr>
        <w:t xml:space="preserve">respectives </w:t>
      </w:r>
      <w:r w:rsidR="00A0004C" w:rsidRPr="00F60A3D">
        <w:rPr>
          <w:lang w:val="fr-FR"/>
        </w:rPr>
        <w:t>de</w:t>
      </w:r>
      <w:r w:rsidR="00C175C5" w:rsidRPr="00F60A3D">
        <w:rPr>
          <w:lang w:val="fr-FR"/>
        </w:rPr>
        <w:t xml:space="preserve">s </w:t>
      </w:r>
      <w:r w:rsidR="00A0004C" w:rsidRPr="00F60A3D">
        <w:rPr>
          <w:lang w:val="fr-FR"/>
        </w:rPr>
        <w:t>loi</w:t>
      </w:r>
      <w:r w:rsidR="00C175C5" w:rsidRPr="00F60A3D">
        <w:rPr>
          <w:lang w:val="fr-FR"/>
        </w:rPr>
        <w:t>s</w:t>
      </w:r>
      <w:r w:rsidR="00A0004C" w:rsidRPr="00F60A3D">
        <w:rPr>
          <w:lang w:val="fr-FR"/>
        </w:rPr>
        <w:t xml:space="preserve"> </w:t>
      </w:r>
      <w:r w:rsidR="00B17AE1" w:rsidRPr="00F60A3D">
        <w:rPr>
          <w:lang w:val="fr-FR"/>
        </w:rPr>
        <w:t>n</w:t>
      </w:r>
      <w:r w:rsidR="00B17AE1" w:rsidRPr="00F60A3D">
        <w:rPr>
          <w:vertAlign w:val="superscript"/>
          <w:lang w:val="fr-FR"/>
        </w:rPr>
        <w:t>o</w:t>
      </w:r>
      <w:r w:rsidR="00B17AE1" w:rsidRPr="00F60A3D">
        <w:rPr>
          <w:lang w:val="fr-FR"/>
        </w:rPr>
        <w:t> </w:t>
      </w:r>
      <w:r w:rsidR="00A0004C" w:rsidRPr="00F60A3D">
        <w:rPr>
          <w:lang w:val="fr-FR"/>
        </w:rPr>
        <w:t xml:space="preserve">482/1999 </w:t>
      </w:r>
      <w:r w:rsidR="004D1254" w:rsidRPr="00F60A3D">
        <w:rPr>
          <w:lang w:val="fr-FR"/>
        </w:rPr>
        <w:t>et 38/2001</w:t>
      </w:r>
      <w:r w:rsidR="00C175C5" w:rsidRPr="00F60A3D">
        <w:rPr>
          <w:lang w:val="fr-FR"/>
        </w:rPr>
        <w:t xml:space="preserve"> </w:t>
      </w:r>
      <w:r w:rsidR="00A0004C" w:rsidRPr="00F60A3D">
        <w:rPr>
          <w:lang w:val="fr-FR"/>
        </w:rPr>
        <w:t>sont appliqu</w:t>
      </w:r>
      <w:r w:rsidR="00505680" w:rsidRPr="00F60A3D">
        <w:rPr>
          <w:lang w:val="fr-FR"/>
        </w:rPr>
        <w:t>ées de manières diverses,</w:t>
      </w:r>
      <w:r w:rsidR="00A0004C" w:rsidRPr="00F60A3D">
        <w:rPr>
          <w:lang w:val="fr-FR"/>
        </w:rPr>
        <w:t xml:space="preserve"> entraîne </w:t>
      </w:r>
      <w:r w:rsidR="00505680" w:rsidRPr="00F60A3D">
        <w:rPr>
          <w:lang w:val="fr-FR"/>
        </w:rPr>
        <w:t xml:space="preserve">ainsi </w:t>
      </w:r>
      <w:r w:rsidR="00A0004C" w:rsidRPr="00F60A3D">
        <w:rPr>
          <w:lang w:val="fr-FR"/>
        </w:rPr>
        <w:t xml:space="preserve">des </w:t>
      </w:r>
      <w:r w:rsidR="00522304" w:rsidRPr="00F60A3D">
        <w:rPr>
          <w:lang w:val="fr-FR"/>
        </w:rPr>
        <w:t>diffé</w:t>
      </w:r>
      <w:r w:rsidR="00A0004C" w:rsidRPr="00F60A3D">
        <w:rPr>
          <w:lang w:val="fr-FR"/>
        </w:rPr>
        <w:t>rences de procédure, mais les types de projets éligibles aux financements régionaux comprennent notamment</w:t>
      </w:r>
      <w:r w:rsidR="00C175C5" w:rsidRPr="00F60A3D">
        <w:rPr>
          <w:lang w:val="fr-FR"/>
        </w:rPr>
        <w:t>:</w:t>
      </w:r>
      <w:r w:rsidR="00A0004C" w:rsidRPr="00F60A3D">
        <w:rPr>
          <w:lang w:val="fr-FR"/>
        </w:rPr>
        <w:t xml:space="preserve"> l</w:t>
      </w:r>
      <w:r w:rsidR="00B17AE1" w:rsidRPr="00F60A3D">
        <w:rPr>
          <w:lang w:val="fr-FR"/>
        </w:rPr>
        <w:t>’</w:t>
      </w:r>
      <w:r w:rsidR="00A0004C" w:rsidRPr="00F60A3D">
        <w:rPr>
          <w:lang w:val="fr-FR"/>
        </w:rPr>
        <w:t>installation de guichet</w:t>
      </w:r>
      <w:r w:rsidR="00C175C5" w:rsidRPr="00F60A3D">
        <w:rPr>
          <w:lang w:val="fr-FR"/>
        </w:rPr>
        <w:t>s</w:t>
      </w:r>
      <w:r w:rsidR="00A0004C" w:rsidRPr="00F60A3D">
        <w:rPr>
          <w:lang w:val="fr-FR"/>
        </w:rPr>
        <w:t xml:space="preserve"> d</w:t>
      </w:r>
      <w:r w:rsidR="00B17AE1" w:rsidRPr="00F60A3D">
        <w:rPr>
          <w:lang w:val="fr-FR"/>
        </w:rPr>
        <w:t>’</w:t>
      </w:r>
      <w:r w:rsidR="00A0004C" w:rsidRPr="00F60A3D">
        <w:rPr>
          <w:lang w:val="fr-FR"/>
        </w:rPr>
        <w:t>aide linguistique pou</w:t>
      </w:r>
      <w:r w:rsidR="00794F6A" w:rsidRPr="00F60A3D">
        <w:rPr>
          <w:lang w:val="fr-FR"/>
        </w:rPr>
        <w:t>r les personnes qui utilisent les</w:t>
      </w:r>
      <w:r w:rsidR="00962E56" w:rsidRPr="00F60A3D">
        <w:rPr>
          <w:lang w:val="fr-FR"/>
        </w:rPr>
        <w:t xml:space="preserve"> langue</w:t>
      </w:r>
      <w:r w:rsidR="00794F6A" w:rsidRPr="00F60A3D">
        <w:rPr>
          <w:lang w:val="fr-FR"/>
        </w:rPr>
        <w:t>s</w:t>
      </w:r>
      <w:r w:rsidR="00962E56" w:rsidRPr="00F60A3D">
        <w:rPr>
          <w:lang w:val="fr-FR"/>
        </w:rPr>
        <w:t xml:space="preserve"> minoritaire</w:t>
      </w:r>
      <w:r w:rsidR="00794F6A" w:rsidRPr="00F60A3D">
        <w:rPr>
          <w:lang w:val="fr-FR"/>
        </w:rPr>
        <w:t>s</w:t>
      </w:r>
      <w:r w:rsidR="000B3BB1" w:rsidRPr="00F60A3D">
        <w:rPr>
          <w:lang w:val="fr-FR"/>
        </w:rPr>
        <w:t>,</w:t>
      </w:r>
      <w:r w:rsidR="00962E56" w:rsidRPr="00F60A3D">
        <w:rPr>
          <w:lang w:val="fr-FR"/>
        </w:rPr>
        <w:t xml:space="preserve"> des formati</w:t>
      </w:r>
      <w:r w:rsidR="00A0004C" w:rsidRPr="00F60A3D">
        <w:rPr>
          <w:lang w:val="fr-FR"/>
        </w:rPr>
        <w:t>ons en langue</w:t>
      </w:r>
      <w:r w:rsidR="00794F6A" w:rsidRPr="00F60A3D">
        <w:rPr>
          <w:lang w:val="fr-FR"/>
        </w:rPr>
        <w:t>s</w:t>
      </w:r>
      <w:r w:rsidR="00A0004C" w:rsidRPr="00F60A3D">
        <w:rPr>
          <w:lang w:val="fr-FR"/>
        </w:rPr>
        <w:t xml:space="preserve"> minoritaire</w:t>
      </w:r>
      <w:r w:rsidR="00794F6A" w:rsidRPr="00F60A3D">
        <w:rPr>
          <w:lang w:val="fr-FR"/>
        </w:rPr>
        <w:t>s</w:t>
      </w:r>
      <w:r w:rsidR="00A0004C" w:rsidRPr="00F60A3D">
        <w:rPr>
          <w:lang w:val="fr-FR"/>
        </w:rPr>
        <w:t xml:space="preserve"> pour le personnel</w:t>
      </w:r>
      <w:r w:rsidR="000B3BB1" w:rsidRPr="00F60A3D">
        <w:rPr>
          <w:lang w:val="fr-FR"/>
        </w:rPr>
        <w:t xml:space="preserve"> des administrations concernées,</w:t>
      </w:r>
      <w:r w:rsidR="00A0004C" w:rsidRPr="00F60A3D">
        <w:rPr>
          <w:lang w:val="fr-FR"/>
        </w:rPr>
        <w:t xml:space="preserve"> </w:t>
      </w:r>
      <w:r w:rsidR="00962E56" w:rsidRPr="00F60A3D">
        <w:rPr>
          <w:lang w:val="fr-FR"/>
        </w:rPr>
        <w:t>la traduction des actes</w:t>
      </w:r>
      <w:r w:rsidR="00522304" w:rsidRPr="00F60A3D">
        <w:rPr>
          <w:lang w:val="fr-FR"/>
        </w:rPr>
        <w:t xml:space="preserve"> </w:t>
      </w:r>
      <w:r w:rsidR="00962E56" w:rsidRPr="00F60A3D">
        <w:rPr>
          <w:lang w:val="fr-FR"/>
        </w:rPr>
        <w:t>et documents officiels de</w:t>
      </w:r>
      <w:r w:rsidR="00314FC0" w:rsidRPr="00F60A3D">
        <w:rPr>
          <w:lang w:val="fr-FR"/>
        </w:rPr>
        <w:t xml:space="preserve">s </w:t>
      </w:r>
      <w:r w:rsidR="00962E56" w:rsidRPr="00F60A3D">
        <w:rPr>
          <w:lang w:val="fr-FR"/>
        </w:rPr>
        <w:t>administration</w:t>
      </w:r>
      <w:r w:rsidR="00314FC0" w:rsidRPr="00F60A3D">
        <w:rPr>
          <w:lang w:val="fr-FR"/>
        </w:rPr>
        <w:t>s</w:t>
      </w:r>
      <w:r w:rsidR="00962E56" w:rsidRPr="00F60A3D">
        <w:rPr>
          <w:lang w:val="fr-FR"/>
        </w:rPr>
        <w:t xml:space="preserve"> publique</w:t>
      </w:r>
      <w:r w:rsidR="00314FC0" w:rsidRPr="00F60A3D">
        <w:rPr>
          <w:lang w:val="fr-FR"/>
        </w:rPr>
        <w:t>s</w:t>
      </w:r>
      <w:r w:rsidR="00B611B1" w:rsidRPr="00F60A3D">
        <w:rPr>
          <w:lang w:val="fr-FR"/>
        </w:rPr>
        <w:t xml:space="preserve">, </w:t>
      </w:r>
      <w:r w:rsidR="00962E56" w:rsidRPr="00F60A3D">
        <w:rPr>
          <w:lang w:val="fr-FR"/>
        </w:rPr>
        <w:t>et la mise en p</w:t>
      </w:r>
      <w:r w:rsidR="00C175C5" w:rsidRPr="00F60A3D">
        <w:rPr>
          <w:lang w:val="fr-FR"/>
        </w:rPr>
        <w:t>l</w:t>
      </w:r>
      <w:r w:rsidR="00962E56" w:rsidRPr="00F60A3D">
        <w:rPr>
          <w:lang w:val="fr-FR"/>
        </w:rPr>
        <w:t>ace de services d</w:t>
      </w:r>
      <w:r w:rsidR="00B17AE1" w:rsidRPr="00F60A3D">
        <w:rPr>
          <w:lang w:val="fr-FR"/>
        </w:rPr>
        <w:t>’</w:t>
      </w:r>
      <w:r w:rsidR="00962E56" w:rsidRPr="00F60A3D">
        <w:rPr>
          <w:lang w:val="fr-FR"/>
        </w:rPr>
        <w:t>interprétation conce</w:t>
      </w:r>
      <w:r w:rsidR="00522304" w:rsidRPr="00F60A3D">
        <w:rPr>
          <w:lang w:val="fr-FR"/>
        </w:rPr>
        <w:t>rnant les activités des différe</w:t>
      </w:r>
      <w:r w:rsidR="00962E56" w:rsidRPr="00F60A3D">
        <w:rPr>
          <w:lang w:val="fr-FR"/>
        </w:rPr>
        <w:t>n</w:t>
      </w:r>
      <w:r w:rsidR="00522304" w:rsidRPr="00F60A3D">
        <w:rPr>
          <w:lang w:val="fr-FR"/>
        </w:rPr>
        <w:t>t</w:t>
      </w:r>
      <w:r w:rsidR="00962E56" w:rsidRPr="00F60A3D">
        <w:rPr>
          <w:lang w:val="fr-FR"/>
        </w:rPr>
        <w:t xml:space="preserve">s organismes, </w:t>
      </w:r>
      <w:r w:rsidR="00794F6A" w:rsidRPr="00F60A3D">
        <w:rPr>
          <w:lang w:val="fr-FR"/>
        </w:rPr>
        <w:t>la</w:t>
      </w:r>
      <w:r w:rsidR="00C175C5" w:rsidRPr="00F60A3D">
        <w:rPr>
          <w:lang w:val="fr-FR"/>
        </w:rPr>
        <w:t xml:space="preserve"> </w:t>
      </w:r>
      <w:r w:rsidR="00F81C11" w:rsidRPr="00F60A3D">
        <w:rPr>
          <w:lang w:val="fr-FR"/>
        </w:rPr>
        <w:t>fabrication</w:t>
      </w:r>
      <w:r w:rsidR="00B611B1" w:rsidRPr="00F60A3D">
        <w:rPr>
          <w:lang w:val="fr-FR"/>
        </w:rPr>
        <w:t xml:space="preserve"> de </w:t>
      </w:r>
      <w:r w:rsidR="00CF43B7" w:rsidRPr="00F60A3D">
        <w:rPr>
          <w:lang w:val="fr-FR"/>
        </w:rPr>
        <w:t>panneaux</w:t>
      </w:r>
      <w:r w:rsidR="00794F6A" w:rsidRPr="00F60A3D">
        <w:rPr>
          <w:lang w:val="fr-FR"/>
        </w:rPr>
        <w:t xml:space="preserve"> sign</w:t>
      </w:r>
      <w:r w:rsidR="001E7355" w:rsidRPr="00F60A3D">
        <w:rPr>
          <w:lang w:val="fr-FR"/>
        </w:rPr>
        <w:t>alé</w:t>
      </w:r>
      <w:r w:rsidR="00CF43B7" w:rsidRPr="00F60A3D">
        <w:rPr>
          <w:lang w:val="fr-FR"/>
        </w:rPr>
        <w:t>tiques</w:t>
      </w:r>
      <w:r w:rsidR="00794F6A" w:rsidRPr="00F60A3D">
        <w:rPr>
          <w:lang w:val="fr-FR"/>
        </w:rPr>
        <w:t xml:space="preserve"> </w:t>
      </w:r>
      <w:r w:rsidR="00CF43B7" w:rsidRPr="00F60A3D">
        <w:rPr>
          <w:lang w:val="fr-FR"/>
        </w:rPr>
        <w:t xml:space="preserve">publics et </w:t>
      </w:r>
      <w:r w:rsidR="00B611B1" w:rsidRPr="00F60A3D">
        <w:rPr>
          <w:lang w:val="fr-FR"/>
        </w:rPr>
        <w:t>institutionnels,</w:t>
      </w:r>
      <w:r w:rsidR="00731982" w:rsidRPr="00F60A3D">
        <w:rPr>
          <w:lang w:val="fr-FR"/>
        </w:rPr>
        <w:t xml:space="preserve"> </w:t>
      </w:r>
      <w:r w:rsidR="00794F6A" w:rsidRPr="00F60A3D">
        <w:rPr>
          <w:lang w:val="fr-FR"/>
        </w:rPr>
        <w:t xml:space="preserve">la </w:t>
      </w:r>
      <w:r w:rsidR="00962E56" w:rsidRPr="00F60A3D">
        <w:rPr>
          <w:lang w:val="fr-FR"/>
        </w:rPr>
        <w:t>conception de sites Internet institutionnels</w:t>
      </w:r>
      <w:r w:rsidR="00314FC0" w:rsidRPr="00F60A3D">
        <w:rPr>
          <w:lang w:val="fr-FR"/>
        </w:rPr>
        <w:t xml:space="preserve"> dans</w:t>
      </w:r>
      <w:r w:rsidR="00A35AD6" w:rsidRPr="00F60A3D">
        <w:rPr>
          <w:lang w:val="fr-FR"/>
        </w:rPr>
        <w:t xml:space="preserve"> les langues minoritaires</w:t>
      </w:r>
      <w:r w:rsidR="00962E56" w:rsidRPr="00F60A3D">
        <w:rPr>
          <w:lang w:val="fr-FR"/>
        </w:rPr>
        <w:t xml:space="preserve">, </w:t>
      </w:r>
      <w:r w:rsidR="00794F6A" w:rsidRPr="00F60A3D">
        <w:rPr>
          <w:lang w:val="fr-FR"/>
        </w:rPr>
        <w:t xml:space="preserve">la </w:t>
      </w:r>
      <w:r w:rsidR="00314FC0" w:rsidRPr="00F60A3D">
        <w:rPr>
          <w:lang w:val="fr-FR"/>
        </w:rPr>
        <w:t>conception de sites Internet</w:t>
      </w:r>
      <w:r w:rsidR="00A35AD6" w:rsidRPr="00F60A3D">
        <w:rPr>
          <w:lang w:val="fr-FR"/>
        </w:rPr>
        <w:t xml:space="preserve"> institutionnels, </w:t>
      </w:r>
      <w:r w:rsidR="000255BB" w:rsidRPr="00F60A3D">
        <w:rPr>
          <w:lang w:val="fr-FR"/>
        </w:rPr>
        <w:t xml:space="preserve">et </w:t>
      </w:r>
      <w:r w:rsidR="00794F6A" w:rsidRPr="00F60A3D">
        <w:rPr>
          <w:lang w:val="fr-FR"/>
        </w:rPr>
        <w:t xml:space="preserve">la </w:t>
      </w:r>
      <w:r w:rsidR="00B611B1" w:rsidRPr="00F60A3D">
        <w:rPr>
          <w:lang w:val="fr-FR"/>
        </w:rPr>
        <w:t xml:space="preserve">publication et </w:t>
      </w:r>
      <w:r w:rsidR="00794F6A" w:rsidRPr="00F60A3D">
        <w:rPr>
          <w:lang w:val="fr-FR"/>
        </w:rPr>
        <w:t xml:space="preserve">la </w:t>
      </w:r>
      <w:r w:rsidR="00B611B1" w:rsidRPr="00F60A3D">
        <w:rPr>
          <w:lang w:val="fr-FR"/>
        </w:rPr>
        <w:t>diffusion de maté</w:t>
      </w:r>
      <w:r w:rsidR="00962E56" w:rsidRPr="00F60A3D">
        <w:rPr>
          <w:lang w:val="fr-FR"/>
        </w:rPr>
        <w:t xml:space="preserve">riel promotionnel. </w:t>
      </w:r>
    </w:p>
    <w:p w:rsidR="00962E56" w:rsidRPr="00F60A3D" w:rsidRDefault="00DD5FDA" w:rsidP="00C04828">
      <w:pPr>
        <w:pStyle w:val="SingleTxtG"/>
        <w:rPr>
          <w:lang w:val="fr-FR"/>
        </w:rPr>
      </w:pPr>
      <w:r w:rsidRPr="00F60A3D">
        <w:rPr>
          <w:lang w:val="fr-FR"/>
        </w:rPr>
        <w:t>269</w:t>
      </w:r>
      <w:r w:rsidR="005063FC" w:rsidRPr="00F60A3D">
        <w:rPr>
          <w:lang w:val="fr-FR"/>
        </w:rPr>
        <w:t>.</w:t>
      </w:r>
      <w:r w:rsidR="005063FC" w:rsidRPr="00F60A3D">
        <w:rPr>
          <w:lang w:val="fr-FR"/>
        </w:rPr>
        <w:tab/>
      </w:r>
      <w:r w:rsidR="00F45952" w:rsidRPr="00F60A3D">
        <w:rPr>
          <w:lang w:val="fr-FR"/>
        </w:rPr>
        <w:t xml:space="preserve">En Italie, de nombreuses mesures </w:t>
      </w:r>
      <w:r w:rsidR="00962E56" w:rsidRPr="00F60A3D">
        <w:rPr>
          <w:lang w:val="fr-FR"/>
        </w:rPr>
        <w:t xml:space="preserve">ont renforcé la protection et la promotion des droits des minorités linguistiques. La </w:t>
      </w:r>
      <w:r w:rsidR="00522304" w:rsidRPr="00F60A3D">
        <w:rPr>
          <w:lang w:val="fr-FR"/>
        </w:rPr>
        <w:t>lé</w:t>
      </w:r>
      <w:r w:rsidR="00962E56" w:rsidRPr="00F60A3D">
        <w:rPr>
          <w:lang w:val="fr-FR"/>
        </w:rPr>
        <w:t>gislat</w:t>
      </w:r>
      <w:r w:rsidR="00564980" w:rsidRPr="00F60A3D">
        <w:rPr>
          <w:lang w:val="fr-FR"/>
        </w:rPr>
        <w:t>ion régionale visant à encourag</w:t>
      </w:r>
      <w:r w:rsidR="00B611B1" w:rsidRPr="00F60A3D">
        <w:rPr>
          <w:lang w:val="fr-FR"/>
        </w:rPr>
        <w:t>er</w:t>
      </w:r>
      <w:r w:rsidR="00962E56" w:rsidRPr="00F60A3D">
        <w:rPr>
          <w:lang w:val="fr-FR"/>
        </w:rPr>
        <w:t xml:space="preserve"> l</w:t>
      </w:r>
      <w:r w:rsidR="00B17AE1" w:rsidRPr="00F60A3D">
        <w:rPr>
          <w:lang w:val="fr-FR"/>
        </w:rPr>
        <w:t>’</w:t>
      </w:r>
      <w:r w:rsidR="00962E56" w:rsidRPr="00F60A3D">
        <w:rPr>
          <w:lang w:val="fr-FR"/>
        </w:rPr>
        <w:t>usage des langues et des cultures locales a été considérablement développée</w:t>
      </w:r>
      <w:r w:rsidR="00522304" w:rsidRPr="00F60A3D">
        <w:rPr>
          <w:lang w:val="fr-FR"/>
        </w:rPr>
        <w:t>. Le Département des affaires ré</w:t>
      </w:r>
      <w:r w:rsidR="00B611B1" w:rsidRPr="00F60A3D">
        <w:rPr>
          <w:lang w:val="fr-FR"/>
        </w:rPr>
        <w:t>gionales au sein de</w:t>
      </w:r>
      <w:r w:rsidR="00314FC0" w:rsidRPr="00F60A3D">
        <w:rPr>
          <w:lang w:val="fr-FR"/>
        </w:rPr>
        <w:t xml:space="preserve"> </w:t>
      </w:r>
      <w:r w:rsidR="00962E56" w:rsidRPr="00F60A3D">
        <w:rPr>
          <w:lang w:val="fr-FR"/>
        </w:rPr>
        <w:t xml:space="preserve">la Présidence du Conseil des ministres a apporté son </w:t>
      </w:r>
      <w:r w:rsidR="00522304" w:rsidRPr="00F60A3D">
        <w:rPr>
          <w:lang w:val="fr-FR"/>
        </w:rPr>
        <w:t>soutien à la proposition de la C</w:t>
      </w:r>
      <w:r w:rsidR="00962E56" w:rsidRPr="00F60A3D">
        <w:rPr>
          <w:lang w:val="fr-FR"/>
        </w:rPr>
        <w:t>ommission consultative technique de protection des minorités linguistiques historiques et a</w:t>
      </w:r>
      <w:r w:rsidR="009A1FDF" w:rsidRPr="00F60A3D">
        <w:rPr>
          <w:lang w:val="fr-FR"/>
        </w:rPr>
        <w:t>,</w:t>
      </w:r>
      <w:r w:rsidR="00962E56" w:rsidRPr="00F60A3D">
        <w:rPr>
          <w:lang w:val="fr-FR"/>
        </w:rPr>
        <w:t xml:space="preserve"> de ce fait</w:t>
      </w:r>
      <w:r w:rsidR="009A1FDF" w:rsidRPr="00F60A3D">
        <w:rPr>
          <w:lang w:val="fr-FR"/>
        </w:rPr>
        <w:t>,</w:t>
      </w:r>
      <w:r w:rsidR="00962E56" w:rsidRPr="00F60A3D">
        <w:rPr>
          <w:lang w:val="fr-FR"/>
        </w:rPr>
        <w:t xml:space="preserve"> </w:t>
      </w:r>
      <w:r w:rsidR="001211D9" w:rsidRPr="00F60A3D">
        <w:rPr>
          <w:lang w:val="fr-FR"/>
        </w:rPr>
        <w:t>alloué les ressources nécessaires pour organiser ou poursuivre les activités des bureaux d</w:t>
      </w:r>
      <w:r w:rsidR="00B17AE1" w:rsidRPr="00F60A3D">
        <w:rPr>
          <w:lang w:val="fr-FR"/>
        </w:rPr>
        <w:t>’</w:t>
      </w:r>
      <w:r w:rsidR="001211D9" w:rsidRPr="00F60A3D">
        <w:rPr>
          <w:lang w:val="fr-FR"/>
        </w:rPr>
        <w:t>aide linguistique, seuls point</w:t>
      </w:r>
      <w:r w:rsidR="00505680" w:rsidRPr="00F60A3D">
        <w:rPr>
          <w:lang w:val="fr-FR"/>
        </w:rPr>
        <w:t>s</w:t>
      </w:r>
      <w:r w:rsidR="001211D9" w:rsidRPr="00F60A3D">
        <w:rPr>
          <w:lang w:val="fr-FR"/>
        </w:rPr>
        <w:t xml:space="preserve"> de contact entre la population qui parle une langue minoritaire et l</w:t>
      </w:r>
      <w:r w:rsidR="00B17AE1" w:rsidRPr="00F60A3D">
        <w:rPr>
          <w:lang w:val="fr-FR"/>
        </w:rPr>
        <w:t>’</w:t>
      </w:r>
      <w:r w:rsidR="001211D9" w:rsidRPr="00F60A3D">
        <w:rPr>
          <w:lang w:val="fr-FR"/>
        </w:rPr>
        <w:t xml:space="preserve">administration publique. </w:t>
      </w:r>
    </w:p>
    <w:p w:rsidR="005063FC" w:rsidRPr="00F60A3D" w:rsidRDefault="00DD5FDA" w:rsidP="001211D9">
      <w:pPr>
        <w:pStyle w:val="SingleTxtG"/>
        <w:rPr>
          <w:lang w:val="fr-FR"/>
        </w:rPr>
      </w:pPr>
      <w:r w:rsidRPr="00F60A3D">
        <w:rPr>
          <w:lang w:val="fr-FR"/>
        </w:rPr>
        <w:t>270</w:t>
      </w:r>
      <w:r w:rsidR="001211D9" w:rsidRPr="00F60A3D">
        <w:rPr>
          <w:lang w:val="fr-FR"/>
        </w:rPr>
        <w:t>.</w:t>
      </w:r>
      <w:r w:rsidR="001211D9" w:rsidRPr="00F60A3D">
        <w:rPr>
          <w:lang w:val="fr-FR"/>
        </w:rPr>
        <w:tab/>
        <w:t>Malgré la crise économique et les coupures budgétaires qui en ont résulté, les allocations en faveur des minorités linguistiques ont</w:t>
      </w:r>
      <w:r w:rsidR="000255BB" w:rsidRPr="00F60A3D">
        <w:rPr>
          <w:lang w:val="fr-FR"/>
        </w:rPr>
        <w:t xml:space="preserve"> été progressivement augmentées en matière d</w:t>
      </w:r>
      <w:r w:rsidR="00B17AE1" w:rsidRPr="00F60A3D">
        <w:rPr>
          <w:lang w:val="fr-FR"/>
        </w:rPr>
        <w:t>’</w:t>
      </w:r>
      <w:r w:rsidR="000255BB" w:rsidRPr="00F60A3D">
        <w:rPr>
          <w:lang w:val="fr-FR"/>
        </w:rPr>
        <w:t>aide aux activités prévue</w:t>
      </w:r>
      <w:r w:rsidR="001211D9" w:rsidRPr="00F60A3D">
        <w:rPr>
          <w:lang w:val="fr-FR"/>
        </w:rPr>
        <w:t xml:space="preserve"> respectivement par les lois </w:t>
      </w:r>
      <w:r w:rsidR="00B17AE1" w:rsidRPr="00F60A3D">
        <w:rPr>
          <w:lang w:val="fr-FR"/>
        </w:rPr>
        <w:t>n</w:t>
      </w:r>
      <w:r w:rsidR="00B17AE1" w:rsidRPr="00F60A3D">
        <w:rPr>
          <w:vertAlign w:val="superscript"/>
          <w:lang w:val="fr-FR"/>
        </w:rPr>
        <w:t>o</w:t>
      </w:r>
      <w:r w:rsidR="00B17AE1" w:rsidRPr="00F60A3D">
        <w:rPr>
          <w:lang w:val="fr-FR"/>
        </w:rPr>
        <w:t> </w:t>
      </w:r>
      <w:r w:rsidR="001211D9" w:rsidRPr="00F60A3D">
        <w:rPr>
          <w:lang w:val="fr-FR"/>
        </w:rPr>
        <w:t>482/1999 et 38/2001 (cette dernière en faveur de la minorité linguistique slovène)</w:t>
      </w:r>
      <w:r w:rsidR="005063FC" w:rsidRPr="00F60A3D">
        <w:rPr>
          <w:lang w:val="fr-FR"/>
        </w:rPr>
        <w:t xml:space="preserve">. </w:t>
      </w:r>
    </w:p>
    <w:p w:rsidR="005063FC" w:rsidRPr="00F60A3D" w:rsidRDefault="00DD5FDA" w:rsidP="00C04828">
      <w:pPr>
        <w:pStyle w:val="SingleTxtG"/>
        <w:rPr>
          <w:lang w:val="fr-FR"/>
        </w:rPr>
      </w:pPr>
      <w:r w:rsidRPr="00F60A3D">
        <w:rPr>
          <w:lang w:val="fr-FR"/>
        </w:rPr>
        <w:t>271</w:t>
      </w:r>
      <w:r w:rsidR="00522304" w:rsidRPr="00F60A3D">
        <w:rPr>
          <w:lang w:val="fr-FR"/>
        </w:rPr>
        <w:t>.</w:t>
      </w:r>
      <w:r w:rsidR="00522304" w:rsidRPr="00F60A3D">
        <w:rPr>
          <w:lang w:val="fr-FR"/>
        </w:rPr>
        <w:tab/>
        <w:t>Il faut aussi</w:t>
      </w:r>
      <w:r w:rsidR="00F453C2" w:rsidRPr="00F60A3D">
        <w:rPr>
          <w:lang w:val="fr-FR"/>
        </w:rPr>
        <w:t xml:space="preserve"> noter que l</w:t>
      </w:r>
      <w:r w:rsidR="004D1254" w:rsidRPr="00F60A3D">
        <w:rPr>
          <w:lang w:val="fr-FR"/>
        </w:rPr>
        <w:t>es régions telles</w:t>
      </w:r>
      <w:r w:rsidR="00522304" w:rsidRPr="00F60A3D">
        <w:rPr>
          <w:lang w:val="fr-FR"/>
        </w:rPr>
        <w:t xml:space="preserve"> la</w:t>
      </w:r>
      <w:r w:rsidR="00736673" w:rsidRPr="00F60A3D">
        <w:rPr>
          <w:lang w:val="fr-FR"/>
        </w:rPr>
        <w:t xml:space="preserve"> </w:t>
      </w:r>
      <w:r w:rsidR="005063FC" w:rsidRPr="00F60A3D">
        <w:rPr>
          <w:lang w:val="fr-FR"/>
        </w:rPr>
        <w:t>Vallée d</w:t>
      </w:r>
      <w:r w:rsidR="00B17AE1" w:rsidRPr="00F60A3D">
        <w:rPr>
          <w:lang w:val="fr-FR"/>
        </w:rPr>
        <w:t>’</w:t>
      </w:r>
      <w:r w:rsidR="005063FC" w:rsidRPr="00F60A3D">
        <w:rPr>
          <w:lang w:val="fr-FR"/>
        </w:rPr>
        <w:t xml:space="preserve">Aoste, </w:t>
      </w:r>
      <w:r w:rsidR="00522304" w:rsidRPr="00F60A3D">
        <w:rPr>
          <w:lang w:val="fr-FR"/>
        </w:rPr>
        <w:t>le Fr</w:t>
      </w:r>
      <w:r w:rsidR="00B611B1" w:rsidRPr="00F60A3D">
        <w:rPr>
          <w:lang w:val="fr-FR"/>
        </w:rPr>
        <w:t>i</w:t>
      </w:r>
      <w:r w:rsidR="00522304" w:rsidRPr="00F60A3D">
        <w:rPr>
          <w:lang w:val="fr-FR"/>
        </w:rPr>
        <w:t>oul</w:t>
      </w:r>
      <w:r w:rsidR="00F453C2" w:rsidRPr="00F60A3D">
        <w:rPr>
          <w:lang w:val="fr-FR"/>
        </w:rPr>
        <w:t>-</w:t>
      </w:r>
      <w:r w:rsidR="00522304" w:rsidRPr="00F60A3D">
        <w:rPr>
          <w:lang w:val="fr-FR"/>
        </w:rPr>
        <w:t>Vénétie Julienne</w:t>
      </w:r>
      <w:r w:rsidR="005063FC" w:rsidRPr="00F60A3D">
        <w:rPr>
          <w:lang w:val="fr-FR"/>
        </w:rPr>
        <w:t xml:space="preserve">, </w:t>
      </w:r>
      <w:r w:rsidR="00522304" w:rsidRPr="00F60A3D">
        <w:rPr>
          <w:lang w:val="fr-FR"/>
        </w:rPr>
        <w:t>la Sar</w:t>
      </w:r>
      <w:r w:rsidR="00F453C2" w:rsidRPr="00F60A3D">
        <w:rPr>
          <w:lang w:val="fr-FR"/>
        </w:rPr>
        <w:t>daigne et le Trentin-H</w:t>
      </w:r>
      <w:r w:rsidR="00522304" w:rsidRPr="00F60A3D">
        <w:rPr>
          <w:lang w:val="fr-FR"/>
        </w:rPr>
        <w:t>aut</w:t>
      </w:r>
      <w:r w:rsidR="00564980" w:rsidRPr="00F60A3D">
        <w:rPr>
          <w:lang w:val="fr-FR"/>
        </w:rPr>
        <w:t>-</w:t>
      </w:r>
      <w:r w:rsidR="00522304" w:rsidRPr="00F60A3D">
        <w:rPr>
          <w:lang w:val="fr-FR"/>
        </w:rPr>
        <w:t>Adige</w:t>
      </w:r>
      <w:r w:rsidR="00F453C2" w:rsidRPr="00F60A3D">
        <w:rPr>
          <w:lang w:val="fr-FR"/>
        </w:rPr>
        <w:t>/Sud T</w:t>
      </w:r>
      <w:r w:rsidR="005063FC" w:rsidRPr="00F60A3D">
        <w:rPr>
          <w:lang w:val="fr-FR"/>
        </w:rPr>
        <w:t xml:space="preserve">yrol </w:t>
      </w:r>
      <w:r w:rsidR="00F453C2" w:rsidRPr="00F60A3D">
        <w:rPr>
          <w:lang w:val="fr-FR"/>
        </w:rPr>
        <w:t>possèdent une législation ad hoc qui permet de compléter de manière substantielle les fonds accordés par l</w:t>
      </w:r>
      <w:r w:rsidR="00B17AE1" w:rsidRPr="00F60A3D">
        <w:rPr>
          <w:lang w:val="fr-FR"/>
        </w:rPr>
        <w:t>’</w:t>
      </w:r>
      <w:r w:rsidR="00F453C2" w:rsidRPr="00F60A3D">
        <w:rPr>
          <w:lang w:val="fr-FR"/>
        </w:rPr>
        <w:t>État aux minorités</w:t>
      </w:r>
      <w:r w:rsidR="00314FC0" w:rsidRPr="00F60A3D">
        <w:rPr>
          <w:lang w:val="fr-FR"/>
        </w:rPr>
        <w:t xml:space="preserve"> linguistiques et qui favorise</w:t>
      </w:r>
      <w:r w:rsidR="00F453C2" w:rsidRPr="00F60A3D">
        <w:rPr>
          <w:lang w:val="fr-FR"/>
        </w:rPr>
        <w:t xml:space="preserve"> la promotion approfondie des langues et des cultures des minorités concerné</w:t>
      </w:r>
      <w:r w:rsidR="00736673" w:rsidRPr="00F60A3D">
        <w:rPr>
          <w:lang w:val="fr-FR"/>
        </w:rPr>
        <w:t>es</w:t>
      </w:r>
      <w:r w:rsidR="00315A42" w:rsidRPr="00F60A3D">
        <w:rPr>
          <w:rStyle w:val="FootnoteReference"/>
          <w:lang w:val="fr-FR"/>
        </w:rPr>
        <w:footnoteReference w:id="57"/>
      </w:r>
      <w:r w:rsidR="00736673" w:rsidRPr="00F60A3D">
        <w:rPr>
          <w:bCs/>
          <w:lang w:val="fr-FR"/>
        </w:rPr>
        <w:t>.</w:t>
      </w:r>
    </w:p>
    <w:p w:rsidR="005063FC" w:rsidRPr="00F60A3D" w:rsidRDefault="00DD5FDA" w:rsidP="00243C33">
      <w:pPr>
        <w:pStyle w:val="SingleTxtG"/>
        <w:rPr>
          <w:rFonts w:eastAsia="MS ??"/>
          <w:b/>
          <w:bCs/>
          <w:lang w:val="fr-FR"/>
        </w:rPr>
      </w:pPr>
      <w:r w:rsidRPr="00F60A3D">
        <w:rPr>
          <w:rFonts w:eastAsia="MS ??"/>
          <w:bCs/>
          <w:lang w:val="fr-FR"/>
        </w:rPr>
        <w:t>2</w:t>
      </w:r>
      <w:r w:rsidR="005063FC" w:rsidRPr="00F60A3D">
        <w:rPr>
          <w:rFonts w:eastAsia="MS ??"/>
          <w:bCs/>
          <w:lang w:val="fr-FR"/>
        </w:rPr>
        <w:t>7</w:t>
      </w:r>
      <w:r w:rsidRPr="00F60A3D">
        <w:rPr>
          <w:rFonts w:eastAsia="MS ??"/>
          <w:bCs/>
          <w:lang w:val="fr-FR"/>
        </w:rPr>
        <w:t>2</w:t>
      </w:r>
      <w:r w:rsidR="005063FC" w:rsidRPr="00F60A3D">
        <w:rPr>
          <w:rFonts w:eastAsia="MS ??"/>
          <w:bCs/>
          <w:lang w:val="fr-FR"/>
        </w:rPr>
        <w:t>.</w:t>
      </w:r>
      <w:r w:rsidR="005063FC" w:rsidRPr="00F60A3D">
        <w:rPr>
          <w:rFonts w:eastAsia="MS ??"/>
          <w:bCs/>
          <w:lang w:val="fr-FR"/>
        </w:rPr>
        <w:tab/>
      </w:r>
      <w:r w:rsidR="00F453C2" w:rsidRPr="00F60A3D">
        <w:rPr>
          <w:rFonts w:eastAsia="MS ??"/>
          <w:lang w:val="fr-FR"/>
        </w:rPr>
        <w:t>Quelque 160</w:t>
      </w:r>
      <w:r w:rsidR="00243C33" w:rsidRPr="00F60A3D">
        <w:rPr>
          <w:rFonts w:eastAsia="MS ??"/>
          <w:lang w:val="fr-FR"/>
        </w:rPr>
        <w:t> </w:t>
      </w:r>
      <w:r w:rsidR="005063FC" w:rsidRPr="00F60A3D">
        <w:rPr>
          <w:rFonts w:eastAsia="MS ??"/>
          <w:lang w:val="fr-FR"/>
        </w:rPr>
        <w:t xml:space="preserve">000 </w:t>
      </w:r>
      <w:r w:rsidR="000270BE" w:rsidRPr="00F60A3D">
        <w:rPr>
          <w:rFonts w:eastAsia="MS ??"/>
          <w:lang w:val="fr-FR"/>
        </w:rPr>
        <w:t>Roms vivent en Italie</w:t>
      </w:r>
      <w:r w:rsidR="00315A42" w:rsidRPr="00F60A3D">
        <w:rPr>
          <w:rStyle w:val="FootnoteReference"/>
          <w:lang w:val="fr-FR"/>
        </w:rPr>
        <w:footnoteReference w:id="58"/>
      </w:r>
      <w:r w:rsidR="00736673" w:rsidRPr="00F60A3D">
        <w:rPr>
          <w:rFonts w:eastAsia="MS ??"/>
          <w:lang w:val="fr-FR"/>
        </w:rPr>
        <w:t xml:space="preserve">. </w:t>
      </w:r>
      <w:r w:rsidR="00934155" w:rsidRPr="00F60A3D">
        <w:rPr>
          <w:rFonts w:eastAsia="MS ??"/>
          <w:lang w:val="fr-FR"/>
        </w:rPr>
        <w:t xml:space="preserve">Comme </w:t>
      </w:r>
      <w:r w:rsidR="004D1254" w:rsidRPr="00F60A3D">
        <w:rPr>
          <w:rFonts w:eastAsia="MS ??"/>
          <w:lang w:val="fr-FR"/>
        </w:rPr>
        <w:t>l</w:t>
      </w:r>
      <w:r w:rsidR="00B17AE1" w:rsidRPr="00F60A3D">
        <w:rPr>
          <w:rFonts w:eastAsia="MS ??"/>
          <w:lang w:val="fr-FR"/>
        </w:rPr>
        <w:t>’</w:t>
      </w:r>
      <w:r w:rsidR="004D1254" w:rsidRPr="00F60A3D">
        <w:rPr>
          <w:rFonts w:eastAsia="MS ??"/>
          <w:lang w:val="fr-FR"/>
        </w:rPr>
        <w:t>indique</w:t>
      </w:r>
      <w:r w:rsidR="00934155" w:rsidRPr="00F60A3D">
        <w:rPr>
          <w:rFonts w:eastAsia="MS ??"/>
          <w:lang w:val="fr-FR"/>
        </w:rPr>
        <w:t xml:space="preserve"> la Stratégie nationale d</w:t>
      </w:r>
      <w:r w:rsidR="00B17AE1" w:rsidRPr="00F60A3D">
        <w:rPr>
          <w:rFonts w:eastAsia="MS ??"/>
          <w:lang w:val="fr-FR"/>
        </w:rPr>
        <w:t>’</w:t>
      </w:r>
      <w:r w:rsidR="00934155" w:rsidRPr="00F60A3D">
        <w:rPr>
          <w:rFonts w:eastAsia="MS ??"/>
          <w:lang w:val="fr-FR"/>
        </w:rPr>
        <w:t>intégration des Roms</w:t>
      </w:r>
      <w:r w:rsidR="005063FC" w:rsidRPr="00F60A3D">
        <w:rPr>
          <w:rFonts w:eastAsia="MS ??"/>
          <w:lang w:val="fr-FR"/>
        </w:rPr>
        <w:t xml:space="preserve"> 2012</w:t>
      </w:r>
      <w:r w:rsidR="00243C33" w:rsidRPr="00F60A3D">
        <w:rPr>
          <w:rFonts w:eastAsia="MS ??"/>
          <w:lang w:val="fr-FR"/>
        </w:rPr>
        <w:t>-</w:t>
      </w:r>
      <w:r w:rsidR="005063FC" w:rsidRPr="00F60A3D">
        <w:rPr>
          <w:rFonts w:eastAsia="MS ??"/>
          <w:lang w:val="fr-FR"/>
        </w:rPr>
        <w:t xml:space="preserve">2020, </w:t>
      </w:r>
      <w:r w:rsidR="00934155" w:rsidRPr="00F60A3D">
        <w:rPr>
          <w:rFonts w:eastAsia="MS ??"/>
          <w:lang w:val="fr-FR"/>
        </w:rPr>
        <w:t>l</w:t>
      </w:r>
      <w:r w:rsidR="00B17AE1" w:rsidRPr="00F60A3D">
        <w:rPr>
          <w:rFonts w:eastAsia="MS ??"/>
          <w:lang w:val="fr-FR"/>
        </w:rPr>
        <w:t>’</w:t>
      </w:r>
      <w:r w:rsidR="00934155" w:rsidRPr="00F60A3D">
        <w:rPr>
          <w:rFonts w:eastAsia="MS ??"/>
          <w:lang w:val="fr-FR"/>
        </w:rPr>
        <w:t xml:space="preserve">hétérogénéité de leur statut dans la </w:t>
      </w:r>
      <w:r w:rsidR="0054413F" w:rsidRPr="00F60A3D">
        <w:rPr>
          <w:rFonts w:eastAsia="MS ??"/>
          <w:lang w:val="fr-FR"/>
        </w:rPr>
        <w:t>cité ne permet plu</w:t>
      </w:r>
      <w:r w:rsidR="00F453C2" w:rsidRPr="00F60A3D">
        <w:rPr>
          <w:rFonts w:eastAsia="MS ??"/>
          <w:lang w:val="fr-FR"/>
        </w:rPr>
        <w:t>s</w:t>
      </w:r>
      <w:r w:rsidR="00934155" w:rsidRPr="00F60A3D">
        <w:rPr>
          <w:rFonts w:eastAsia="MS ??"/>
          <w:lang w:val="fr-FR"/>
        </w:rPr>
        <w:t xml:space="preserve"> </w:t>
      </w:r>
      <w:r w:rsidR="00934155" w:rsidRPr="00F60A3D">
        <w:rPr>
          <w:rFonts w:eastAsia="MS ??"/>
          <w:lang w:val="fr-FR"/>
        </w:rPr>
        <w:lastRenderedPageBreak/>
        <w:t>de les traiter dans le cadre élargi des politiques relatives à l</w:t>
      </w:r>
      <w:r w:rsidR="00B17AE1" w:rsidRPr="00F60A3D">
        <w:rPr>
          <w:rFonts w:eastAsia="MS ??"/>
          <w:lang w:val="fr-FR"/>
        </w:rPr>
        <w:t>’</w:t>
      </w:r>
      <w:r w:rsidR="00934155" w:rsidRPr="00F60A3D">
        <w:rPr>
          <w:rFonts w:eastAsia="MS ??"/>
          <w:lang w:val="fr-FR"/>
        </w:rPr>
        <w:t>immigration</w:t>
      </w:r>
      <w:r w:rsidR="00315A42" w:rsidRPr="00F60A3D">
        <w:rPr>
          <w:rStyle w:val="FootnoteReference"/>
          <w:lang w:val="fr-FR"/>
        </w:rPr>
        <w:footnoteReference w:id="59"/>
      </w:r>
      <w:r w:rsidR="00B511BB" w:rsidRPr="00F60A3D">
        <w:rPr>
          <w:rFonts w:eastAsia="MS ??"/>
          <w:lang w:val="fr-FR"/>
        </w:rPr>
        <w:t>.</w:t>
      </w:r>
      <w:r w:rsidR="00731982" w:rsidRPr="00F60A3D">
        <w:rPr>
          <w:rFonts w:eastAsia="MS ??"/>
          <w:lang w:val="fr-FR"/>
        </w:rPr>
        <w:t xml:space="preserve"> </w:t>
      </w:r>
      <w:r w:rsidR="00934155" w:rsidRPr="00F60A3D">
        <w:rPr>
          <w:rFonts w:eastAsia="MS ??"/>
          <w:lang w:val="fr-FR"/>
        </w:rPr>
        <w:t>Mais surtout, cette S</w:t>
      </w:r>
      <w:r w:rsidR="00F453C2" w:rsidRPr="00F60A3D">
        <w:rPr>
          <w:rFonts w:eastAsia="MS ??"/>
          <w:lang w:val="fr-FR"/>
        </w:rPr>
        <w:t>tratégie a permis d</w:t>
      </w:r>
      <w:r w:rsidR="00B17AE1" w:rsidRPr="00F60A3D">
        <w:rPr>
          <w:rFonts w:eastAsia="MS ??"/>
          <w:lang w:val="fr-FR"/>
        </w:rPr>
        <w:t>’</w:t>
      </w:r>
      <w:r w:rsidR="00F453C2" w:rsidRPr="00F60A3D">
        <w:rPr>
          <w:rFonts w:eastAsia="MS ??"/>
          <w:lang w:val="fr-FR"/>
        </w:rPr>
        <w:t>abandonner</w:t>
      </w:r>
      <w:r w:rsidR="004D1254" w:rsidRPr="00F60A3D">
        <w:rPr>
          <w:rFonts w:eastAsia="MS ??"/>
          <w:lang w:val="fr-FR"/>
        </w:rPr>
        <w:t xml:space="preserve"> à leur endroit</w:t>
      </w:r>
      <w:r w:rsidR="00731982" w:rsidRPr="00F60A3D">
        <w:rPr>
          <w:rFonts w:eastAsia="MS ??"/>
          <w:lang w:val="fr-FR"/>
        </w:rPr>
        <w:t xml:space="preserve"> </w:t>
      </w:r>
      <w:r w:rsidR="00736673" w:rsidRPr="00F60A3D">
        <w:rPr>
          <w:rFonts w:eastAsia="MS ??"/>
          <w:lang w:val="fr-FR"/>
        </w:rPr>
        <w:t xml:space="preserve">le qualificatif de </w:t>
      </w:r>
      <w:r w:rsidR="00731982" w:rsidRPr="00F60A3D">
        <w:rPr>
          <w:rFonts w:eastAsia="MS ??"/>
          <w:lang w:val="fr-FR"/>
        </w:rPr>
        <w:t>«</w:t>
      </w:r>
      <w:r w:rsidR="00736673" w:rsidRPr="00F60A3D">
        <w:rPr>
          <w:rFonts w:eastAsia="MS ??"/>
          <w:lang w:val="fr-FR"/>
        </w:rPr>
        <w:t>nomade</w:t>
      </w:r>
      <w:r w:rsidR="00731982" w:rsidRPr="00F60A3D">
        <w:rPr>
          <w:rFonts w:eastAsia="MS ??"/>
          <w:lang w:val="fr-FR"/>
        </w:rPr>
        <w:t>»</w:t>
      </w:r>
      <w:r w:rsidR="00934155" w:rsidRPr="00F60A3D">
        <w:rPr>
          <w:rFonts w:eastAsia="MS ??"/>
          <w:lang w:val="fr-FR"/>
        </w:rPr>
        <w:t>.</w:t>
      </w:r>
      <w:r w:rsidR="00731982" w:rsidRPr="00F60A3D">
        <w:rPr>
          <w:rFonts w:eastAsia="MS ??"/>
          <w:lang w:val="fr-FR"/>
        </w:rPr>
        <w:t xml:space="preserve"> </w:t>
      </w:r>
    </w:p>
    <w:p w:rsidR="00022C62" w:rsidRPr="00F60A3D" w:rsidRDefault="00D02407" w:rsidP="00243C33">
      <w:pPr>
        <w:pStyle w:val="SingleTxtG"/>
        <w:rPr>
          <w:lang w:val="fr-FR"/>
        </w:rPr>
      </w:pPr>
      <w:r w:rsidRPr="00F60A3D">
        <w:rPr>
          <w:lang w:val="fr-FR"/>
        </w:rPr>
        <w:t>273.</w:t>
      </w:r>
      <w:r w:rsidR="001D2CCC" w:rsidRPr="00F60A3D">
        <w:rPr>
          <w:lang w:val="fr-FR"/>
        </w:rPr>
        <w:tab/>
      </w:r>
      <w:r w:rsidR="00700F95" w:rsidRPr="00F60A3D">
        <w:rPr>
          <w:lang w:val="fr-FR"/>
        </w:rPr>
        <w:t>Au plan opération</w:t>
      </w:r>
      <w:r w:rsidR="000331C5" w:rsidRPr="00F60A3D">
        <w:rPr>
          <w:lang w:val="fr-FR"/>
        </w:rPr>
        <w:t>nel, le Bureau national de lutte contre la discrimination raciale</w:t>
      </w:r>
      <w:r w:rsidR="00F453C2" w:rsidRPr="00F60A3D">
        <w:rPr>
          <w:lang w:val="fr-FR"/>
        </w:rPr>
        <w:t xml:space="preserve"> a été désigné fin 2</w:t>
      </w:r>
      <w:r w:rsidR="00700F95" w:rsidRPr="00F60A3D">
        <w:rPr>
          <w:lang w:val="fr-FR"/>
        </w:rPr>
        <w:t>011, point de contact national</w:t>
      </w:r>
      <w:r w:rsidR="00315A42" w:rsidRPr="00F60A3D">
        <w:rPr>
          <w:rStyle w:val="FootnoteReference"/>
          <w:lang w:val="fr-FR"/>
        </w:rPr>
        <w:footnoteReference w:id="60"/>
      </w:r>
      <w:r w:rsidR="000536B1" w:rsidRPr="00F60A3D">
        <w:rPr>
          <w:lang w:val="fr-FR"/>
        </w:rPr>
        <w:t>.</w:t>
      </w:r>
      <w:r w:rsidR="005063FC" w:rsidRPr="00F60A3D">
        <w:rPr>
          <w:lang w:val="fr-FR"/>
        </w:rPr>
        <w:t xml:space="preserve"> </w:t>
      </w:r>
      <w:r w:rsidR="00022C62" w:rsidRPr="00F60A3D">
        <w:rPr>
          <w:lang w:val="fr-FR"/>
        </w:rPr>
        <w:t>Sous la responsabilité politique du Ministre de l</w:t>
      </w:r>
      <w:r w:rsidR="00B17AE1" w:rsidRPr="00F60A3D">
        <w:rPr>
          <w:lang w:val="fr-FR"/>
        </w:rPr>
        <w:t>’</w:t>
      </w:r>
      <w:r w:rsidR="00022C62" w:rsidRPr="00F60A3D">
        <w:rPr>
          <w:lang w:val="fr-FR"/>
        </w:rPr>
        <w:t>intégration de l</w:t>
      </w:r>
      <w:r w:rsidR="00B17AE1" w:rsidRPr="00F60A3D">
        <w:rPr>
          <w:lang w:val="fr-FR"/>
        </w:rPr>
        <w:t>’</w:t>
      </w:r>
      <w:r w:rsidR="00022C62" w:rsidRPr="00F60A3D">
        <w:rPr>
          <w:lang w:val="fr-FR"/>
        </w:rPr>
        <w:t>époque, il a élaboré la stratégie en question dans le cadre d</w:t>
      </w:r>
      <w:r w:rsidR="00B17AE1" w:rsidRPr="00F60A3D">
        <w:rPr>
          <w:lang w:val="fr-FR"/>
        </w:rPr>
        <w:t>’</w:t>
      </w:r>
      <w:r w:rsidR="00022C62" w:rsidRPr="00F60A3D">
        <w:rPr>
          <w:lang w:val="fr-FR"/>
        </w:rPr>
        <w:t xml:space="preserve">une </w:t>
      </w:r>
      <w:r w:rsidR="00F453C2" w:rsidRPr="00F60A3D">
        <w:rPr>
          <w:lang w:val="fr-FR"/>
        </w:rPr>
        <w:t>dé</w:t>
      </w:r>
      <w:r w:rsidR="00022C62" w:rsidRPr="00F60A3D">
        <w:rPr>
          <w:lang w:val="fr-FR"/>
        </w:rPr>
        <w:t>marche interministérielle inclusive et participative. La stratégie est axée sur les priorités de l</w:t>
      </w:r>
      <w:r w:rsidR="00B17AE1" w:rsidRPr="00F60A3D">
        <w:rPr>
          <w:lang w:val="fr-FR"/>
        </w:rPr>
        <w:t>’</w:t>
      </w:r>
      <w:r w:rsidR="00022C62" w:rsidRPr="00F60A3D">
        <w:rPr>
          <w:lang w:val="fr-FR"/>
        </w:rPr>
        <w:t>UE (logement, emploi, éducation, santé), mais l</w:t>
      </w:r>
      <w:r w:rsidR="00B17AE1" w:rsidRPr="00F60A3D">
        <w:rPr>
          <w:lang w:val="fr-FR"/>
        </w:rPr>
        <w:t>’</w:t>
      </w:r>
      <w:r w:rsidR="00022C62" w:rsidRPr="00F60A3D">
        <w:rPr>
          <w:lang w:val="fr-FR"/>
        </w:rPr>
        <w:t>Italie a décidé d</w:t>
      </w:r>
      <w:r w:rsidR="00B17AE1" w:rsidRPr="00F60A3D">
        <w:rPr>
          <w:lang w:val="fr-FR"/>
        </w:rPr>
        <w:t>’</w:t>
      </w:r>
      <w:r w:rsidR="00022C62" w:rsidRPr="00F60A3D">
        <w:rPr>
          <w:lang w:val="fr-FR"/>
        </w:rPr>
        <w:t xml:space="preserve">introduire </w:t>
      </w:r>
      <w:r w:rsidR="00716E53" w:rsidRPr="00F60A3D">
        <w:rPr>
          <w:lang w:val="fr-FR"/>
        </w:rPr>
        <w:t xml:space="preserve">comme activités et thèmes transversaux, </w:t>
      </w:r>
      <w:r w:rsidR="00420BD1" w:rsidRPr="00F60A3D">
        <w:rPr>
          <w:lang w:val="fr-FR"/>
        </w:rPr>
        <w:t>u</w:t>
      </w:r>
      <w:r w:rsidR="00716E53" w:rsidRPr="00F60A3D">
        <w:rPr>
          <w:lang w:val="fr-FR"/>
        </w:rPr>
        <w:t xml:space="preserve">ne perspective liée </w:t>
      </w:r>
      <w:r w:rsidR="00740EAF" w:rsidRPr="00F60A3D">
        <w:rPr>
          <w:lang w:val="fr-FR"/>
        </w:rPr>
        <w:t>au genre</w:t>
      </w:r>
      <w:r w:rsidR="00716E53" w:rsidRPr="00F60A3D">
        <w:rPr>
          <w:lang w:val="fr-FR"/>
        </w:rPr>
        <w:t xml:space="preserve"> et </w:t>
      </w:r>
      <w:r w:rsidR="00420BD1" w:rsidRPr="00F60A3D">
        <w:rPr>
          <w:lang w:val="fr-FR"/>
        </w:rPr>
        <w:t>une approche fondée sur les droits fondamentaux et l</w:t>
      </w:r>
      <w:r w:rsidR="00B17AE1" w:rsidRPr="00F60A3D">
        <w:rPr>
          <w:lang w:val="fr-FR"/>
        </w:rPr>
        <w:t>’</w:t>
      </w:r>
      <w:r w:rsidR="00420BD1" w:rsidRPr="00F60A3D">
        <w:rPr>
          <w:lang w:val="fr-FR"/>
        </w:rPr>
        <w:t>éducation aux droits de l</w:t>
      </w:r>
      <w:r w:rsidR="00B17AE1" w:rsidRPr="00F60A3D">
        <w:rPr>
          <w:lang w:val="fr-FR"/>
        </w:rPr>
        <w:t>’</w:t>
      </w:r>
      <w:r w:rsidR="00420BD1" w:rsidRPr="00F60A3D">
        <w:rPr>
          <w:lang w:val="fr-FR"/>
        </w:rPr>
        <w:t>homme.</w:t>
      </w:r>
      <w:r w:rsidR="00731982" w:rsidRPr="00F60A3D">
        <w:rPr>
          <w:lang w:val="fr-FR"/>
        </w:rPr>
        <w:t xml:space="preserve"> </w:t>
      </w:r>
    </w:p>
    <w:p w:rsidR="005063FC" w:rsidRPr="00F60A3D" w:rsidRDefault="00DD5FDA" w:rsidP="00420BD1">
      <w:pPr>
        <w:pStyle w:val="SingleTxtG"/>
        <w:rPr>
          <w:rFonts w:eastAsia="MS ??"/>
          <w:lang w:val="fr-FR" w:eastAsia="de-DE"/>
        </w:rPr>
      </w:pPr>
      <w:r w:rsidRPr="00F60A3D">
        <w:rPr>
          <w:rFonts w:eastAsia="MS ??"/>
          <w:lang w:val="fr-FR"/>
        </w:rPr>
        <w:t>274</w:t>
      </w:r>
      <w:r w:rsidR="005063FC" w:rsidRPr="00F60A3D">
        <w:rPr>
          <w:rFonts w:eastAsia="MS ??"/>
          <w:lang w:val="fr-FR"/>
        </w:rPr>
        <w:t>.</w:t>
      </w:r>
      <w:r w:rsidR="005063FC" w:rsidRPr="00F60A3D">
        <w:rPr>
          <w:rFonts w:eastAsia="MS ??"/>
          <w:lang w:val="fr-FR"/>
        </w:rPr>
        <w:tab/>
      </w:r>
      <w:r w:rsidR="00420BD1" w:rsidRPr="00F60A3D">
        <w:rPr>
          <w:rFonts w:eastAsia="MS ??"/>
          <w:lang w:val="fr-FR" w:eastAsia="de-DE"/>
        </w:rPr>
        <w:t>Dans</w:t>
      </w:r>
      <w:r w:rsidR="005552D0" w:rsidRPr="00F60A3D">
        <w:rPr>
          <w:rFonts w:eastAsia="MS ??"/>
          <w:lang w:val="fr-FR" w:eastAsia="de-DE"/>
        </w:rPr>
        <w:t xml:space="preserve"> </w:t>
      </w:r>
      <w:r w:rsidR="00420BD1" w:rsidRPr="00F60A3D">
        <w:rPr>
          <w:rFonts w:eastAsia="MS ??"/>
          <w:lang w:val="fr-FR" w:eastAsia="de-DE"/>
        </w:rPr>
        <w:t>un souci de conformité avec les normes applicables, la gouvernance de la stratégie prévoit</w:t>
      </w:r>
      <w:r w:rsidR="00261196" w:rsidRPr="00F60A3D">
        <w:rPr>
          <w:rFonts w:eastAsia="MS ??"/>
          <w:lang w:val="fr-FR" w:eastAsia="de-DE"/>
        </w:rPr>
        <w:t>,</w:t>
      </w:r>
      <w:r w:rsidR="00420BD1" w:rsidRPr="00F60A3D">
        <w:rPr>
          <w:rFonts w:eastAsia="MS ??"/>
          <w:lang w:val="fr-FR" w:eastAsia="de-DE"/>
        </w:rPr>
        <w:t xml:space="preserve"> </w:t>
      </w:r>
      <w:r w:rsidR="00261196" w:rsidRPr="00F60A3D">
        <w:rPr>
          <w:rFonts w:eastAsia="MS ??"/>
          <w:lang w:val="fr-FR" w:eastAsia="de-DE"/>
        </w:rPr>
        <w:t>outre des plans locaux d</w:t>
      </w:r>
      <w:r w:rsidR="00B17AE1" w:rsidRPr="00F60A3D">
        <w:rPr>
          <w:rFonts w:eastAsia="MS ??"/>
          <w:lang w:val="fr-FR" w:eastAsia="de-DE"/>
        </w:rPr>
        <w:t>’</w:t>
      </w:r>
      <w:r w:rsidR="00261196" w:rsidRPr="00F60A3D">
        <w:rPr>
          <w:rFonts w:eastAsia="MS ??"/>
          <w:lang w:val="fr-FR" w:eastAsia="de-DE"/>
        </w:rPr>
        <w:t xml:space="preserve">insertion sociale, </w:t>
      </w:r>
      <w:r w:rsidR="00420BD1" w:rsidRPr="00F60A3D">
        <w:rPr>
          <w:rFonts w:eastAsia="MS ??"/>
          <w:lang w:val="fr-FR" w:eastAsia="de-DE"/>
        </w:rPr>
        <w:t>des groupes de travail</w:t>
      </w:r>
      <w:r w:rsidR="0009454C" w:rsidRPr="00F60A3D">
        <w:rPr>
          <w:rFonts w:eastAsia="MS ??"/>
          <w:lang w:val="fr-FR" w:eastAsia="de-DE"/>
        </w:rPr>
        <w:t xml:space="preserve"> thématiques nationaux et</w:t>
      </w:r>
      <w:r w:rsidR="00420BD1" w:rsidRPr="00F60A3D">
        <w:rPr>
          <w:rFonts w:eastAsia="MS ??"/>
          <w:lang w:val="fr-FR" w:eastAsia="de-DE"/>
        </w:rPr>
        <w:t xml:space="preserve"> </w:t>
      </w:r>
      <w:r w:rsidR="003A634C" w:rsidRPr="00F60A3D">
        <w:rPr>
          <w:rFonts w:eastAsia="MS ??"/>
          <w:lang w:val="fr-FR" w:eastAsia="de-DE"/>
        </w:rPr>
        <w:t xml:space="preserve">des groupes de travail </w:t>
      </w:r>
      <w:r w:rsidR="00420BD1" w:rsidRPr="00F60A3D">
        <w:rPr>
          <w:rFonts w:eastAsia="MS ??"/>
          <w:lang w:val="fr-FR" w:eastAsia="de-DE"/>
        </w:rPr>
        <w:t>r</w:t>
      </w:r>
      <w:r w:rsidR="008A5093" w:rsidRPr="00F60A3D">
        <w:rPr>
          <w:rFonts w:eastAsia="MS ??"/>
          <w:lang w:val="fr-FR" w:eastAsia="de-DE"/>
        </w:rPr>
        <w:t>é</w:t>
      </w:r>
      <w:r w:rsidR="00420BD1" w:rsidRPr="00F60A3D">
        <w:rPr>
          <w:rFonts w:eastAsia="MS ??"/>
          <w:lang w:val="fr-FR" w:eastAsia="de-DE"/>
        </w:rPr>
        <w:t>gi</w:t>
      </w:r>
      <w:r w:rsidR="008A5093" w:rsidRPr="00F60A3D">
        <w:rPr>
          <w:rFonts w:eastAsia="MS ??"/>
          <w:lang w:val="fr-FR" w:eastAsia="de-DE"/>
        </w:rPr>
        <w:t>o</w:t>
      </w:r>
      <w:r w:rsidR="00420BD1" w:rsidRPr="00F60A3D">
        <w:rPr>
          <w:rFonts w:eastAsia="MS ??"/>
          <w:lang w:val="fr-FR" w:eastAsia="de-DE"/>
        </w:rPr>
        <w:t>naux progressivement mis en place depuis décembre 2012.</w:t>
      </w:r>
      <w:r w:rsidR="00731982" w:rsidRPr="00F60A3D">
        <w:rPr>
          <w:rFonts w:eastAsia="MS ??"/>
          <w:lang w:val="fr-FR" w:eastAsia="de-DE"/>
        </w:rPr>
        <w:t xml:space="preserve"> </w:t>
      </w:r>
      <w:r w:rsidR="0009454C" w:rsidRPr="00F60A3D">
        <w:rPr>
          <w:rFonts w:eastAsia="MS ??"/>
          <w:lang w:val="fr-FR" w:eastAsia="de-DE"/>
        </w:rPr>
        <w:t>Créé en janvier 2013, l</w:t>
      </w:r>
      <w:r w:rsidR="00420BD1" w:rsidRPr="00F60A3D">
        <w:rPr>
          <w:rFonts w:eastAsia="MS ??"/>
          <w:lang w:val="fr-FR" w:eastAsia="de-DE"/>
        </w:rPr>
        <w:t xml:space="preserve">e groupe de travail national sur le statut juridique des Roms se penche sur la situation </w:t>
      </w:r>
      <w:r w:rsidR="008A5093" w:rsidRPr="00F60A3D">
        <w:rPr>
          <w:rFonts w:eastAsia="MS ??"/>
          <w:lang w:val="fr-FR" w:eastAsia="de-DE"/>
        </w:rPr>
        <w:t>d</w:t>
      </w:r>
      <w:r w:rsidR="00420BD1" w:rsidRPr="00F60A3D">
        <w:rPr>
          <w:rFonts w:eastAsia="MS ??"/>
          <w:lang w:val="fr-FR" w:eastAsia="de-DE"/>
        </w:rPr>
        <w:t>es Roms et des Sintis qui ne possèdent</w:t>
      </w:r>
      <w:r w:rsidR="00A86B17" w:rsidRPr="00F60A3D">
        <w:rPr>
          <w:rFonts w:eastAsia="MS ??"/>
          <w:lang w:val="fr-FR" w:eastAsia="de-DE"/>
        </w:rPr>
        <w:t xml:space="preserve"> pas de carte d</w:t>
      </w:r>
      <w:r w:rsidR="00B17AE1" w:rsidRPr="00F60A3D">
        <w:rPr>
          <w:rFonts w:eastAsia="MS ??"/>
          <w:lang w:val="fr-FR" w:eastAsia="de-DE"/>
        </w:rPr>
        <w:t>’</w:t>
      </w:r>
      <w:r w:rsidR="00A86B17" w:rsidRPr="00F60A3D">
        <w:rPr>
          <w:rFonts w:eastAsia="MS ??"/>
          <w:lang w:val="fr-FR" w:eastAsia="de-DE"/>
        </w:rPr>
        <w:t xml:space="preserve">identité et </w:t>
      </w:r>
      <w:r w:rsidR="00420BD1" w:rsidRPr="00F60A3D">
        <w:rPr>
          <w:rFonts w:eastAsia="MS ??"/>
          <w:lang w:val="fr-FR" w:eastAsia="de-DE"/>
        </w:rPr>
        <w:t>n</w:t>
      </w:r>
      <w:r w:rsidR="00B17AE1" w:rsidRPr="00F60A3D">
        <w:rPr>
          <w:rFonts w:eastAsia="MS ??"/>
          <w:lang w:val="fr-FR" w:eastAsia="de-DE"/>
        </w:rPr>
        <w:t>’</w:t>
      </w:r>
      <w:r w:rsidR="00420BD1" w:rsidRPr="00F60A3D">
        <w:rPr>
          <w:rFonts w:eastAsia="MS ??"/>
          <w:lang w:val="fr-FR" w:eastAsia="de-DE"/>
        </w:rPr>
        <w:t>ont plus d</w:t>
      </w:r>
      <w:r w:rsidR="00B17AE1" w:rsidRPr="00F60A3D">
        <w:rPr>
          <w:rFonts w:eastAsia="MS ??"/>
          <w:lang w:val="fr-FR" w:eastAsia="de-DE"/>
        </w:rPr>
        <w:t>’</w:t>
      </w:r>
      <w:r w:rsidR="00420BD1" w:rsidRPr="00F60A3D">
        <w:rPr>
          <w:rFonts w:eastAsia="MS ??"/>
          <w:lang w:val="fr-FR" w:eastAsia="de-DE"/>
        </w:rPr>
        <w:t>attaches dans leur pays d</w:t>
      </w:r>
      <w:r w:rsidR="00B17AE1" w:rsidRPr="00F60A3D">
        <w:rPr>
          <w:rFonts w:eastAsia="MS ??"/>
          <w:lang w:val="fr-FR" w:eastAsia="de-DE"/>
        </w:rPr>
        <w:t>’</w:t>
      </w:r>
      <w:r w:rsidR="00420BD1" w:rsidRPr="00F60A3D">
        <w:rPr>
          <w:rFonts w:eastAsia="MS ??"/>
          <w:lang w:val="fr-FR" w:eastAsia="de-DE"/>
        </w:rPr>
        <w:t>origine</w:t>
      </w:r>
      <w:r w:rsidR="00315A42" w:rsidRPr="00F60A3D">
        <w:rPr>
          <w:rStyle w:val="FootnoteReference"/>
          <w:lang w:val="fr-FR"/>
        </w:rPr>
        <w:footnoteReference w:id="61"/>
      </w:r>
      <w:r w:rsidR="00736673" w:rsidRPr="00F60A3D">
        <w:rPr>
          <w:rFonts w:eastAsia="MS ??"/>
          <w:lang w:val="fr-FR" w:eastAsia="de-DE"/>
        </w:rPr>
        <w:t>.</w:t>
      </w:r>
      <w:r w:rsidR="005063FC" w:rsidRPr="00F60A3D">
        <w:rPr>
          <w:rFonts w:eastAsia="MS ??"/>
          <w:b/>
          <w:lang w:val="fr-FR" w:eastAsia="de-DE"/>
        </w:rPr>
        <w:t xml:space="preserve"> </w:t>
      </w:r>
      <w:r w:rsidR="0009454C" w:rsidRPr="00F60A3D">
        <w:rPr>
          <w:rFonts w:eastAsia="MS ??"/>
          <w:lang w:val="fr-FR" w:eastAsia="de-DE"/>
        </w:rPr>
        <w:t>Un groupe de travail spécial a d</w:t>
      </w:r>
      <w:r w:rsidR="00B17AE1" w:rsidRPr="00F60A3D">
        <w:rPr>
          <w:rFonts w:eastAsia="MS ??"/>
          <w:lang w:val="fr-FR" w:eastAsia="de-DE"/>
        </w:rPr>
        <w:t>’</w:t>
      </w:r>
      <w:r w:rsidR="0009454C" w:rsidRPr="00F60A3D">
        <w:rPr>
          <w:rFonts w:eastAsia="MS ??"/>
          <w:lang w:val="fr-FR" w:eastAsia="de-DE"/>
        </w:rPr>
        <w:t>autre part été établi avec</w:t>
      </w:r>
      <w:r w:rsidR="0093215E" w:rsidRPr="00F60A3D">
        <w:rPr>
          <w:rFonts w:eastAsia="MS ??"/>
          <w:lang w:val="fr-FR" w:eastAsia="de-DE"/>
        </w:rPr>
        <w:t xml:space="preserve"> l</w:t>
      </w:r>
      <w:r w:rsidR="00B17AE1" w:rsidRPr="00F60A3D">
        <w:rPr>
          <w:rFonts w:eastAsia="MS ??"/>
          <w:lang w:val="fr-FR" w:eastAsia="de-DE"/>
        </w:rPr>
        <w:t>’</w:t>
      </w:r>
      <w:r w:rsidR="00511819" w:rsidRPr="00F60A3D">
        <w:rPr>
          <w:rFonts w:eastAsia="MS ??"/>
          <w:lang w:val="fr-FR" w:eastAsia="de-DE"/>
        </w:rPr>
        <w:t>Inst</w:t>
      </w:r>
      <w:r w:rsidR="000331C5" w:rsidRPr="00F60A3D">
        <w:rPr>
          <w:rFonts w:eastAsia="MS ??"/>
          <w:lang w:val="fr-FR" w:eastAsia="de-DE"/>
        </w:rPr>
        <w:t xml:space="preserve">itut national de statistique </w:t>
      </w:r>
      <w:r w:rsidR="0009454C" w:rsidRPr="00F60A3D">
        <w:rPr>
          <w:rFonts w:eastAsia="MS ??"/>
          <w:lang w:val="fr-FR" w:eastAsia="de-DE"/>
        </w:rPr>
        <w:t xml:space="preserve">et </w:t>
      </w:r>
      <w:r w:rsidR="0093215E" w:rsidRPr="00F60A3D">
        <w:rPr>
          <w:rFonts w:eastAsia="MS ??"/>
          <w:lang w:val="fr-FR" w:eastAsia="de-DE"/>
        </w:rPr>
        <w:t>l</w:t>
      </w:r>
      <w:r w:rsidR="00B17AE1" w:rsidRPr="00F60A3D">
        <w:rPr>
          <w:rFonts w:eastAsia="MS ??"/>
          <w:lang w:val="fr-FR" w:eastAsia="de-DE"/>
        </w:rPr>
        <w:t>’</w:t>
      </w:r>
      <w:r w:rsidR="0093215E" w:rsidRPr="00F60A3D">
        <w:rPr>
          <w:rFonts w:eastAsia="MS ??"/>
          <w:lang w:val="fr-FR" w:eastAsia="de-DE"/>
        </w:rPr>
        <w:t>A</w:t>
      </w:r>
      <w:r w:rsidR="00511819" w:rsidRPr="00F60A3D">
        <w:rPr>
          <w:rFonts w:eastAsia="MS ??"/>
          <w:lang w:val="fr-FR" w:eastAsia="de-DE"/>
        </w:rPr>
        <w:t>ssociation nationale des municipalités italiennes</w:t>
      </w:r>
      <w:r w:rsidR="0093215E" w:rsidRPr="00F60A3D">
        <w:rPr>
          <w:rFonts w:eastAsia="MS ??"/>
          <w:lang w:val="fr-FR" w:eastAsia="de-DE"/>
        </w:rPr>
        <w:t>, sur la collecte des données et les exercices de relevés possibles</w:t>
      </w:r>
      <w:r w:rsidR="00315A42" w:rsidRPr="00F60A3D">
        <w:rPr>
          <w:rStyle w:val="FootnoteReference"/>
          <w:lang w:val="fr-FR"/>
        </w:rPr>
        <w:footnoteReference w:id="62"/>
      </w:r>
      <w:r w:rsidR="00736673" w:rsidRPr="00F60A3D">
        <w:rPr>
          <w:rFonts w:eastAsia="MS ??"/>
          <w:lang w:val="fr-FR" w:eastAsia="de-DE"/>
        </w:rPr>
        <w:t>.</w:t>
      </w:r>
      <w:r w:rsidR="005063FC" w:rsidRPr="00F60A3D">
        <w:rPr>
          <w:rFonts w:eastAsia="MS ??"/>
          <w:lang w:val="fr-FR" w:eastAsia="de-DE"/>
        </w:rPr>
        <w:t xml:space="preserve"> </w:t>
      </w:r>
    </w:p>
    <w:p w:rsidR="005063FC" w:rsidRPr="00F60A3D" w:rsidRDefault="00DD5FDA" w:rsidP="00736673">
      <w:pPr>
        <w:pStyle w:val="SingleTxtG"/>
        <w:rPr>
          <w:rFonts w:eastAsia="MS ??"/>
          <w:lang w:val="fr-FR" w:eastAsia="de-DE"/>
        </w:rPr>
      </w:pPr>
      <w:r w:rsidRPr="00F60A3D">
        <w:rPr>
          <w:rFonts w:eastAsia="MS ??"/>
          <w:lang w:val="fr-FR" w:eastAsia="de-DE"/>
        </w:rPr>
        <w:t>275</w:t>
      </w:r>
      <w:r w:rsidR="005063FC" w:rsidRPr="00F60A3D">
        <w:rPr>
          <w:rFonts w:eastAsia="MS ??"/>
          <w:lang w:val="fr-FR" w:eastAsia="de-DE"/>
        </w:rPr>
        <w:t>.</w:t>
      </w:r>
      <w:r w:rsidR="005063FC" w:rsidRPr="00F60A3D">
        <w:rPr>
          <w:rFonts w:eastAsia="MS ??"/>
          <w:lang w:val="fr-FR" w:eastAsia="de-DE"/>
        </w:rPr>
        <w:tab/>
      </w:r>
      <w:r w:rsidR="00461CE4" w:rsidRPr="00F60A3D">
        <w:rPr>
          <w:rFonts w:eastAsia="MS ??"/>
          <w:lang w:val="fr-FR" w:eastAsia="de-DE"/>
        </w:rPr>
        <w:t>Le Bureau national de lutte contre la discrimination raciale</w:t>
      </w:r>
      <w:r w:rsidR="00E932FA" w:rsidRPr="00F60A3D">
        <w:rPr>
          <w:rFonts w:eastAsia="MS ??"/>
          <w:lang w:val="fr-FR" w:eastAsia="de-DE"/>
        </w:rPr>
        <w:t xml:space="preserve"> prome</w:t>
      </w:r>
      <w:r w:rsidR="009033DA" w:rsidRPr="00F60A3D">
        <w:rPr>
          <w:rFonts w:eastAsia="MS ??"/>
          <w:lang w:val="fr-FR" w:eastAsia="de-DE"/>
        </w:rPr>
        <w:t>ut des activités de sensibilisa</w:t>
      </w:r>
      <w:r w:rsidR="00E932FA" w:rsidRPr="00F60A3D">
        <w:rPr>
          <w:rFonts w:eastAsia="MS ??"/>
          <w:lang w:val="fr-FR" w:eastAsia="de-DE"/>
        </w:rPr>
        <w:t>t</w:t>
      </w:r>
      <w:r w:rsidR="009033DA" w:rsidRPr="00F60A3D">
        <w:rPr>
          <w:rFonts w:eastAsia="MS ??"/>
          <w:lang w:val="fr-FR" w:eastAsia="de-DE"/>
        </w:rPr>
        <w:t>i</w:t>
      </w:r>
      <w:r w:rsidR="00E932FA" w:rsidRPr="00F60A3D">
        <w:rPr>
          <w:rFonts w:eastAsia="MS ??"/>
          <w:lang w:val="fr-FR" w:eastAsia="de-DE"/>
        </w:rPr>
        <w:t>on et de formation dans le cadre de plusieurs initiatives tell</w:t>
      </w:r>
      <w:r w:rsidR="009033DA" w:rsidRPr="00F60A3D">
        <w:rPr>
          <w:rFonts w:eastAsia="MS ??"/>
          <w:lang w:val="fr-FR" w:eastAsia="de-DE"/>
        </w:rPr>
        <w:t>e</w:t>
      </w:r>
      <w:r w:rsidR="00E932FA" w:rsidRPr="00F60A3D">
        <w:rPr>
          <w:rFonts w:eastAsia="MS ??"/>
          <w:lang w:val="fr-FR" w:eastAsia="de-DE"/>
        </w:rPr>
        <w:t>s que le projet Com.IN.Rom, les programmes ROMED et ROMACT et la campagne DOSTA (</w:t>
      </w:r>
      <w:r w:rsidR="00E932FA" w:rsidRPr="00F60A3D">
        <w:rPr>
          <w:rFonts w:eastAsia="MS ??"/>
          <w:i/>
          <w:lang w:val="fr-FR" w:eastAsia="de-DE"/>
        </w:rPr>
        <w:t>Basta!)</w:t>
      </w:r>
      <w:r w:rsidR="009033DA" w:rsidRPr="00F60A3D">
        <w:rPr>
          <w:rFonts w:eastAsia="MS ??"/>
          <w:lang w:val="fr-FR" w:eastAsia="de-DE"/>
        </w:rPr>
        <w:t xml:space="preserve"> du C</w:t>
      </w:r>
      <w:r w:rsidR="007D5F75" w:rsidRPr="00F60A3D">
        <w:rPr>
          <w:rFonts w:eastAsia="MS ??"/>
          <w:lang w:val="fr-FR" w:eastAsia="de-DE"/>
        </w:rPr>
        <w:t>onseil de l</w:t>
      </w:r>
      <w:r w:rsidR="00B17AE1" w:rsidRPr="00F60A3D">
        <w:rPr>
          <w:rFonts w:eastAsia="MS ??"/>
          <w:lang w:val="fr-FR" w:eastAsia="de-DE"/>
        </w:rPr>
        <w:t>’</w:t>
      </w:r>
      <w:r w:rsidR="007D5F75" w:rsidRPr="00F60A3D">
        <w:rPr>
          <w:rFonts w:eastAsia="MS ??"/>
          <w:lang w:val="fr-FR" w:eastAsia="de-DE"/>
        </w:rPr>
        <w:t>Europe</w:t>
      </w:r>
      <w:r w:rsidR="009033DA" w:rsidRPr="00F60A3D">
        <w:rPr>
          <w:rFonts w:eastAsia="MS ??"/>
          <w:lang w:val="fr-FR" w:eastAsia="de-DE"/>
        </w:rPr>
        <w:t>,</w:t>
      </w:r>
      <w:r w:rsidR="00261196" w:rsidRPr="00F60A3D">
        <w:rPr>
          <w:rFonts w:eastAsia="MS ??"/>
          <w:lang w:val="fr-FR" w:eastAsia="de-DE"/>
        </w:rPr>
        <w:t xml:space="preserve"> outre</w:t>
      </w:r>
      <w:r w:rsidR="007D5F75" w:rsidRPr="00F60A3D">
        <w:rPr>
          <w:rFonts w:eastAsia="MS ??"/>
          <w:lang w:val="fr-FR" w:eastAsia="de-DE"/>
        </w:rPr>
        <w:t xml:space="preserve"> des init</w:t>
      </w:r>
      <w:r w:rsidR="009033DA" w:rsidRPr="00F60A3D">
        <w:rPr>
          <w:rFonts w:eastAsia="MS ??"/>
          <w:lang w:val="fr-FR" w:eastAsia="de-DE"/>
        </w:rPr>
        <w:t>i</w:t>
      </w:r>
      <w:r w:rsidR="007D5F75" w:rsidRPr="00F60A3D">
        <w:rPr>
          <w:rFonts w:eastAsia="MS ??"/>
          <w:lang w:val="fr-FR" w:eastAsia="de-DE"/>
        </w:rPr>
        <w:t>atives concernant la mé</w:t>
      </w:r>
      <w:r w:rsidR="007314E6" w:rsidRPr="00F60A3D">
        <w:rPr>
          <w:rFonts w:eastAsia="MS ??"/>
          <w:lang w:val="fr-FR" w:eastAsia="de-DE"/>
        </w:rPr>
        <w:t>moire des victimes du</w:t>
      </w:r>
      <w:r w:rsidR="007D5F75" w:rsidRPr="00F60A3D">
        <w:rPr>
          <w:rFonts w:eastAsia="MS ??"/>
          <w:lang w:val="fr-FR" w:eastAsia="de-DE"/>
        </w:rPr>
        <w:t xml:space="preserve"> </w:t>
      </w:r>
      <w:r w:rsidR="007D5F75" w:rsidRPr="00F60A3D">
        <w:rPr>
          <w:rFonts w:eastAsia="MS ??"/>
          <w:i/>
          <w:lang w:val="fr-FR" w:eastAsia="de-DE"/>
        </w:rPr>
        <w:t>Porajmos</w:t>
      </w:r>
      <w:r w:rsidR="009033DA" w:rsidRPr="00F60A3D">
        <w:rPr>
          <w:rFonts w:eastAsia="MS ??"/>
          <w:lang w:val="fr-FR" w:eastAsia="de-DE"/>
        </w:rPr>
        <w:t>,</w:t>
      </w:r>
      <w:r w:rsidR="007D5F75" w:rsidRPr="00F60A3D">
        <w:rPr>
          <w:rFonts w:eastAsia="MS ??"/>
          <w:lang w:val="fr-FR" w:eastAsia="de-DE"/>
        </w:rPr>
        <w:t xml:space="preserve"> la Journée internationa</w:t>
      </w:r>
      <w:r w:rsidR="001806AE" w:rsidRPr="00F60A3D">
        <w:rPr>
          <w:rFonts w:eastAsia="MS ??"/>
          <w:lang w:val="fr-FR" w:eastAsia="de-DE"/>
        </w:rPr>
        <w:t>l</w:t>
      </w:r>
      <w:r w:rsidR="007D5F75" w:rsidRPr="00F60A3D">
        <w:rPr>
          <w:rFonts w:eastAsia="MS ??"/>
          <w:lang w:val="fr-FR" w:eastAsia="de-DE"/>
        </w:rPr>
        <w:t>e des Roms</w:t>
      </w:r>
      <w:r w:rsidR="007314E6" w:rsidRPr="00F60A3D">
        <w:rPr>
          <w:rFonts w:eastAsia="MS ??"/>
          <w:lang w:val="fr-FR" w:eastAsia="de-DE"/>
        </w:rPr>
        <w:t>,</w:t>
      </w:r>
      <w:r w:rsidR="007D5F75" w:rsidRPr="00F60A3D">
        <w:rPr>
          <w:rFonts w:eastAsia="MS ??"/>
          <w:lang w:val="fr-FR" w:eastAsia="de-DE"/>
        </w:rPr>
        <w:t xml:space="preserve"> ou la Semaine contre le racisme. S</w:t>
      </w:r>
      <w:r w:rsidR="00B17AE1" w:rsidRPr="00F60A3D">
        <w:rPr>
          <w:rFonts w:eastAsia="MS ??"/>
          <w:lang w:val="fr-FR" w:eastAsia="de-DE"/>
        </w:rPr>
        <w:t>’</w:t>
      </w:r>
      <w:r w:rsidR="007D5F75" w:rsidRPr="00F60A3D">
        <w:rPr>
          <w:rFonts w:eastAsia="MS ??"/>
          <w:lang w:val="fr-FR" w:eastAsia="de-DE"/>
        </w:rPr>
        <w:t>agissant de bonnes pratiques, on pe</w:t>
      </w:r>
      <w:r w:rsidR="00B511BB" w:rsidRPr="00F60A3D">
        <w:rPr>
          <w:rFonts w:eastAsia="MS ??"/>
          <w:lang w:val="fr-FR" w:eastAsia="de-DE"/>
        </w:rPr>
        <w:t xml:space="preserve">ut citer le projet italien </w:t>
      </w:r>
      <w:r w:rsidR="00731982" w:rsidRPr="00F60A3D">
        <w:rPr>
          <w:rFonts w:eastAsia="MS ??"/>
          <w:lang w:val="fr-FR" w:eastAsia="de-DE"/>
        </w:rPr>
        <w:t>«</w:t>
      </w:r>
      <w:r w:rsidR="007A7306" w:rsidRPr="00F60A3D">
        <w:rPr>
          <w:rFonts w:eastAsia="MS ??"/>
          <w:lang w:val="fr-FR" w:eastAsia="de-DE"/>
        </w:rPr>
        <w:t>ACCE</w:t>
      </w:r>
      <w:r w:rsidR="005063FC" w:rsidRPr="00F60A3D">
        <w:rPr>
          <w:rFonts w:eastAsia="MS ??"/>
          <w:lang w:val="fr-FR" w:eastAsia="de-DE"/>
        </w:rPr>
        <w:t>DER</w:t>
      </w:r>
      <w:r w:rsidR="00C04828" w:rsidRPr="00F60A3D">
        <w:rPr>
          <w:rStyle w:val="FootnoteReference"/>
          <w:lang w:val="fr-FR"/>
        </w:rPr>
        <w:footnoteReference w:id="63"/>
      </w:r>
      <w:r w:rsidR="00731982" w:rsidRPr="00F60A3D">
        <w:rPr>
          <w:rFonts w:eastAsia="MS ??"/>
          <w:lang w:val="fr-FR" w:eastAsia="de-DE"/>
        </w:rPr>
        <w:t>«</w:t>
      </w:r>
      <w:r w:rsidR="005063FC" w:rsidRPr="00F60A3D">
        <w:rPr>
          <w:rFonts w:eastAsia="MS ??"/>
          <w:lang w:val="fr-FR" w:eastAsia="de-DE"/>
        </w:rPr>
        <w:t xml:space="preserve">– </w:t>
      </w:r>
      <w:r w:rsidR="007D5F75" w:rsidRPr="00F60A3D">
        <w:rPr>
          <w:rFonts w:eastAsia="MS ??"/>
          <w:lang w:val="fr-FR" w:eastAsia="de-DE"/>
        </w:rPr>
        <w:t>destiné à</w:t>
      </w:r>
      <w:r w:rsidR="00731982" w:rsidRPr="00F60A3D">
        <w:rPr>
          <w:rFonts w:eastAsia="MS ??"/>
          <w:lang w:val="fr-FR" w:eastAsia="de-DE"/>
        </w:rPr>
        <w:t xml:space="preserve"> </w:t>
      </w:r>
      <w:r w:rsidR="007D5F75" w:rsidRPr="00F60A3D">
        <w:rPr>
          <w:rFonts w:eastAsia="MS ??"/>
          <w:lang w:val="fr-FR" w:eastAsia="de-DE"/>
        </w:rPr>
        <w:t>faciliter l</w:t>
      </w:r>
      <w:r w:rsidR="00B17AE1" w:rsidRPr="00F60A3D">
        <w:rPr>
          <w:rFonts w:eastAsia="MS ??"/>
          <w:lang w:val="fr-FR" w:eastAsia="de-DE"/>
        </w:rPr>
        <w:t>’</w:t>
      </w:r>
      <w:r w:rsidR="007D5F75" w:rsidRPr="00F60A3D">
        <w:rPr>
          <w:rFonts w:eastAsia="MS ??"/>
          <w:lang w:val="fr-FR" w:eastAsia="de-DE"/>
        </w:rPr>
        <w:t xml:space="preserve">accès des </w:t>
      </w:r>
      <w:r w:rsidR="007D5F75" w:rsidRPr="00F60A3D">
        <w:rPr>
          <w:rFonts w:eastAsia="MS ??"/>
          <w:lang w:val="fr-FR" w:eastAsia="de-DE"/>
        </w:rPr>
        <w:lastRenderedPageBreak/>
        <w:t>femmes et des jeunes roms au marc</w:t>
      </w:r>
      <w:r w:rsidR="006807EA" w:rsidRPr="00F60A3D">
        <w:rPr>
          <w:rFonts w:eastAsia="MS ??"/>
          <w:lang w:val="fr-FR" w:eastAsia="de-DE"/>
        </w:rPr>
        <w:t>hé de l</w:t>
      </w:r>
      <w:r w:rsidR="00B17AE1" w:rsidRPr="00F60A3D">
        <w:rPr>
          <w:rFonts w:eastAsia="MS ??"/>
          <w:lang w:val="fr-FR" w:eastAsia="de-DE"/>
        </w:rPr>
        <w:t>’</w:t>
      </w:r>
      <w:r w:rsidR="006807EA" w:rsidRPr="00F60A3D">
        <w:rPr>
          <w:rFonts w:eastAsia="MS ??"/>
          <w:lang w:val="fr-FR" w:eastAsia="de-DE"/>
        </w:rPr>
        <w:t>emploi en Italie du S</w:t>
      </w:r>
      <w:r w:rsidR="0079595D" w:rsidRPr="00F60A3D">
        <w:rPr>
          <w:rFonts w:eastAsia="MS ??"/>
          <w:lang w:val="fr-FR" w:eastAsia="de-DE"/>
        </w:rPr>
        <w:t>ud</w:t>
      </w:r>
      <w:r w:rsidR="007D5F75" w:rsidRPr="00F60A3D">
        <w:rPr>
          <w:rFonts w:eastAsia="MS ??"/>
          <w:lang w:val="fr-FR" w:eastAsia="de-DE"/>
        </w:rPr>
        <w:t>; le proje</w:t>
      </w:r>
      <w:r w:rsidR="00461CE4" w:rsidRPr="00F60A3D">
        <w:rPr>
          <w:rFonts w:eastAsia="MS ??"/>
          <w:lang w:val="fr-FR" w:eastAsia="de-DE"/>
        </w:rPr>
        <w:t>t mené conjointement avec l</w:t>
      </w:r>
      <w:r w:rsidR="00B17AE1" w:rsidRPr="00F60A3D">
        <w:rPr>
          <w:rFonts w:eastAsia="MS ??"/>
          <w:lang w:val="fr-FR" w:eastAsia="de-DE"/>
        </w:rPr>
        <w:t>’</w:t>
      </w:r>
      <w:r w:rsidR="00461CE4" w:rsidRPr="00F60A3D">
        <w:rPr>
          <w:rFonts w:eastAsia="MS ??"/>
          <w:lang w:val="fr-FR" w:eastAsia="de-DE"/>
        </w:rPr>
        <w:t>Association nationale des municipalités italiennes</w:t>
      </w:r>
      <w:r w:rsidR="007D5F75" w:rsidRPr="00F60A3D">
        <w:rPr>
          <w:rFonts w:eastAsia="MS ??"/>
          <w:lang w:val="fr-FR" w:eastAsia="de-DE"/>
        </w:rPr>
        <w:t xml:space="preserve"> e</w:t>
      </w:r>
      <w:r w:rsidR="00461CE4" w:rsidRPr="00F60A3D">
        <w:rPr>
          <w:rFonts w:eastAsia="MS ??"/>
          <w:lang w:val="fr-FR" w:eastAsia="de-DE"/>
        </w:rPr>
        <w:t>t l</w:t>
      </w:r>
      <w:r w:rsidR="00B17AE1" w:rsidRPr="00F60A3D">
        <w:rPr>
          <w:rFonts w:eastAsia="MS ??"/>
          <w:lang w:val="fr-FR" w:eastAsia="de-DE"/>
        </w:rPr>
        <w:t>’</w:t>
      </w:r>
      <w:r w:rsidR="00461CE4" w:rsidRPr="00F60A3D">
        <w:rPr>
          <w:rFonts w:eastAsia="MS ??"/>
          <w:lang w:val="fr-FR" w:eastAsia="de-DE"/>
        </w:rPr>
        <w:t>Institut national de statistique</w:t>
      </w:r>
      <w:r w:rsidR="008D56EF" w:rsidRPr="00F60A3D">
        <w:rPr>
          <w:rFonts w:eastAsia="MS ??"/>
          <w:lang w:val="fr-FR" w:eastAsia="de-DE"/>
        </w:rPr>
        <w:t>,</w:t>
      </w:r>
      <w:r w:rsidR="000536B1" w:rsidRPr="00F60A3D">
        <w:rPr>
          <w:rFonts w:eastAsia="MS ??"/>
          <w:lang w:val="fr-FR" w:eastAsia="de-DE"/>
        </w:rPr>
        <w:t xml:space="preserve"> visant à</w:t>
      </w:r>
      <w:r w:rsidR="009033DA" w:rsidRPr="00F60A3D">
        <w:rPr>
          <w:rFonts w:eastAsia="MS ??"/>
          <w:lang w:val="fr-FR" w:eastAsia="de-DE"/>
        </w:rPr>
        <w:t xml:space="preserve"> recenser les sour</w:t>
      </w:r>
      <w:r w:rsidR="00B50F1E" w:rsidRPr="00F60A3D">
        <w:rPr>
          <w:rFonts w:eastAsia="MS ??"/>
          <w:lang w:val="fr-FR" w:eastAsia="de-DE"/>
        </w:rPr>
        <w:t xml:space="preserve">ces administratives </w:t>
      </w:r>
      <w:r w:rsidR="007D5F75" w:rsidRPr="00F60A3D">
        <w:rPr>
          <w:rFonts w:eastAsia="MS ??"/>
          <w:lang w:val="fr-FR" w:eastAsia="de-DE"/>
        </w:rPr>
        <w:t xml:space="preserve">pertinentes et </w:t>
      </w:r>
      <w:r w:rsidR="000536B1" w:rsidRPr="00F60A3D">
        <w:rPr>
          <w:rFonts w:eastAsia="MS ??"/>
          <w:lang w:val="fr-FR" w:eastAsia="de-DE"/>
        </w:rPr>
        <w:t xml:space="preserve">à </w:t>
      </w:r>
      <w:r w:rsidR="007D5F75" w:rsidRPr="00F60A3D">
        <w:rPr>
          <w:rFonts w:eastAsia="MS ??"/>
          <w:lang w:val="fr-FR" w:eastAsia="de-DE"/>
        </w:rPr>
        <w:t>collecter des données sur le logement</w:t>
      </w:r>
      <w:r w:rsidR="007314E6" w:rsidRPr="00F60A3D">
        <w:rPr>
          <w:rFonts w:eastAsia="MS ??"/>
          <w:lang w:val="fr-FR" w:eastAsia="de-DE"/>
        </w:rPr>
        <w:t>,</w:t>
      </w:r>
      <w:r w:rsidR="007D5F75" w:rsidRPr="00F60A3D">
        <w:rPr>
          <w:rFonts w:eastAsia="MS ??"/>
          <w:lang w:val="fr-FR" w:eastAsia="de-DE"/>
        </w:rPr>
        <w:t xml:space="preserve"> et le projet mené conjointem</w:t>
      </w:r>
      <w:r w:rsidR="00461CE4" w:rsidRPr="00F60A3D">
        <w:rPr>
          <w:rFonts w:eastAsia="MS ??"/>
          <w:lang w:val="fr-FR" w:eastAsia="de-DE"/>
        </w:rPr>
        <w:t>ent par le Bureau national de lutte contre la discrimination, l</w:t>
      </w:r>
      <w:r w:rsidR="00B17AE1" w:rsidRPr="00F60A3D">
        <w:rPr>
          <w:rFonts w:eastAsia="MS ??"/>
          <w:lang w:val="fr-FR" w:eastAsia="de-DE"/>
        </w:rPr>
        <w:t>’</w:t>
      </w:r>
      <w:r w:rsidR="00461CE4" w:rsidRPr="00F60A3D">
        <w:rPr>
          <w:rFonts w:eastAsia="MS ??"/>
          <w:lang w:val="fr-FR" w:eastAsia="de-DE"/>
        </w:rPr>
        <w:t>Association nationale des municipalités italiennes</w:t>
      </w:r>
      <w:r w:rsidR="008D3E6A" w:rsidRPr="00F60A3D">
        <w:rPr>
          <w:rFonts w:eastAsia="MS ??"/>
          <w:lang w:val="fr-FR" w:eastAsia="de-DE"/>
        </w:rPr>
        <w:t xml:space="preserve"> et Formez (</w:t>
      </w:r>
      <w:r w:rsidR="00277C68" w:rsidRPr="00F60A3D">
        <w:rPr>
          <w:rFonts w:eastAsia="MS ??"/>
          <w:lang w:val="fr-FR" w:eastAsia="de-DE"/>
        </w:rPr>
        <w:t>organe destiné</w:t>
      </w:r>
      <w:r w:rsidR="00064A73" w:rsidRPr="00F60A3D">
        <w:rPr>
          <w:rFonts w:eastAsia="MS ??"/>
          <w:lang w:val="fr-FR" w:eastAsia="de-DE"/>
        </w:rPr>
        <w:t xml:space="preserve"> à faciliter la coopération entre les</w:t>
      </w:r>
      <w:r w:rsidR="00E95A69" w:rsidRPr="00F60A3D">
        <w:rPr>
          <w:rFonts w:eastAsia="MS ??"/>
          <w:lang w:val="fr-FR" w:eastAsia="de-DE"/>
        </w:rPr>
        <w:t xml:space="preserve"> différents niveaux des s</w:t>
      </w:r>
      <w:r w:rsidR="00064A73" w:rsidRPr="00F60A3D">
        <w:rPr>
          <w:rFonts w:eastAsia="MS ??"/>
          <w:lang w:val="fr-FR" w:eastAsia="de-DE"/>
        </w:rPr>
        <w:t>ervices gouvernementaux</w:t>
      </w:r>
      <w:r w:rsidR="0056418F" w:rsidRPr="00F60A3D">
        <w:rPr>
          <w:rFonts w:eastAsia="MS ??"/>
          <w:lang w:val="fr-FR" w:eastAsia="de-DE"/>
        </w:rPr>
        <w:t>),</w:t>
      </w:r>
      <w:r w:rsidR="000536B1" w:rsidRPr="00F60A3D">
        <w:rPr>
          <w:rFonts w:eastAsia="MS ??"/>
          <w:lang w:val="fr-FR" w:eastAsia="de-DE"/>
        </w:rPr>
        <w:t xml:space="preserve"> </w:t>
      </w:r>
      <w:r w:rsidR="003A634C" w:rsidRPr="00F60A3D">
        <w:rPr>
          <w:rFonts w:eastAsia="MS ??"/>
          <w:lang w:val="fr-FR" w:eastAsia="de-DE"/>
        </w:rPr>
        <w:t xml:space="preserve">et </w:t>
      </w:r>
      <w:r w:rsidR="000536B1" w:rsidRPr="00F60A3D">
        <w:rPr>
          <w:rFonts w:eastAsia="MS ??"/>
          <w:lang w:val="fr-FR" w:eastAsia="de-DE"/>
        </w:rPr>
        <w:t>visant à</w:t>
      </w:r>
      <w:r w:rsidR="007D5F75" w:rsidRPr="00F60A3D">
        <w:rPr>
          <w:rFonts w:eastAsia="MS ??"/>
          <w:lang w:val="fr-FR" w:eastAsia="de-DE"/>
        </w:rPr>
        <w:t xml:space="preserve"> promouvoir l</w:t>
      </w:r>
      <w:r w:rsidR="00B17AE1" w:rsidRPr="00F60A3D">
        <w:rPr>
          <w:rFonts w:eastAsia="MS ??"/>
          <w:lang w:val="fr-FR" w:eastAsia="de-DE"/>
        </w:rPr>
        <w:t>’</w:t>
      </w:r>
      <w:r w:rsidR="007D5F75" w:rsidRPr="00F60A3D">
        <w:rPr>
          <w:rFonts w:eastAsia="MS ??"/>
          <w:lang w:val="fr-FR" w:eastAsia="de-DE"/>
        </w:rPr>
        <w:t>adoption de plans locaux d</w:t>
      </w:r>
      <w:r w:rsidR="00B17AE1" w:rsidRPr="00F60A3D">
        <w:rPr>
          <w:rFonts w:eastAsia="MS ??"/>
          <w:lang w:val="fr-FR" w:eastAsia="de-DE"/>
        </w:rPr>
        <w:t>’</w:t>
      </w:r>
      <w:r w:rsidR="007D5F75" w:rsidRPr="00F60A3D">
        <w:rPr>
          <w:rFonts w:eastAsia="MS ??"/>
          <w:lang w:val="fr-FR" w:eastAsia="de-DE"/>
        </w:rPr>
        <w:t>insertion sociale. D</w:t>
      </w:r>
      <w:r w:rsidR="00B17AE1" w:rsidRPr="00F60A3D">
        <w:rPr>
          <w:rFonts w:eastAsia="MS ??"/>
          <w:lang w:val="fr-FR" w:eastAsia="de-DE"/>
        </w:rPr>
        <w:t>’</w:t>
      </w:r>
      <w:r w:rsidR="007D5F75" w:rsidRPr="00F60A3D">
        <w:rPr>
          <w:rFonts w:eastAsia="MS ??"/>
          <w:lang w:val="fr-FR" w:eastAsia="de-DE"/>
        </w:rPr>
        <w:t>autre</w:t>
      </w:r>
      <w:r w:rsidR="0056418F" w:rsidRPr="00F60A3D">
        <w:rPr>
          <w:rFonts w:eastAsia="MS ??"/>
          <w:lang w:val="fr-FR" w:eastAsia="de-DE"/>
        </w:rPr>
        <w:t>s</w:t>
      </w:r>
      <w:r w:rsidR="007D5F75" w:rsidRPr="00F60A3D">
        <w:rPr>
          <w:rFonts w:eastAsia="MS ??"/>
          <w:lang w:val="fr-FR" w:eastAsia="de-DE"/>
        </w:rPr>
        <w:t xml:space="preserve"> projets sont </w:t>
      </w:r>
      <w:r w:rsidR="0079595D" w:rsidRPr="00F60A3D">
        <w:rPr>
          <w:rFonts w:eastAsia="MS ??"/>
          <w:lang w:val="fr-FR" w:eastAsia="de-DE"/>
        </w:rPr>
        <w:t>gér</w:t>
      </w:r>
      <w:r w:rsidR="009033DA" w:rsidRPr="00F60A3D">
        <w:rPr>
          <w:rFonts w:eastAsia="MS ??"/>
          <w:lang w:val="fr-FR" w:eastAsia="de-DE"/>
        </w:rPr>
        <w:t>é</w:t>
      </w:r>
      <w:r w:rsidR="00206AB2" w:rsidRPr="00F60A3D">
        <w:rPr>
          <w:rFonts w:eastAsia="MS ??"/>
          <w:lang w:val="fr-FR" w:eastAsia="de-DE"/>
        </w:rPr>
        <w:t>s par</w:t>
      </w:r>
      <w:r w:rsidR="007D5F75" w:rsidRPr="00F60A3D">
        <w:rPr>
          <w:rFonts w:eastAsia="MS ??"/>
          <w:lang w:val="fr-FR" w:eastAsia="de-DE"/>
        </w:rPr>
        <w:t xml:space="preserve"> le Ministère du trava</w:t>
      </w:r>
      <w:r w:rsidR="0056418F" w:rsidRPr="00F60A3D">
        <w:rPr>
          <w:rFonts w:eastAsia="MS ??"/>
          <w:lang w:val="fr-FR" w:eastAsia="de-DE"/>
        </w:rPr>
        <w:t>i</w:t>
      </w:r>
      <w:r w:rsidR="007D5F75" w:rsidRPr="00F60A3D">
        <w:rPr>
          <w:rFonts w:eastAsia="MS ??"/>
          <w:lang w:val="fr-FR" w:eastAsia="de-DE"/>
        </w:rPr>
        <w:t xml:space="preserve">l (en particulier au titre de la loi </w:t>
      </w:r>
      <w:r w:rsidR="00B17AE1" w:rsidRPr="00F60A3D">
        <w:rPr>
          <w:rFonts w:eastAsia="MS ??"/>
          <w:lang w:val="fr-FR" w:eastAsia="de-DE"/>
        </w:rPr>
        <w:t>n</w:t>
      </w:r>
      <w:r w:rsidR="00B17AE1" w:rsidRPr="00F60A3D">
        <w:rPr>
          <w:rFonts w:eastAsia="MS ??"/>
          <w:vertAlign w:val="superscript"/>
          <w:lang w:val="fr-FR" w:eastAsia="de-DE"/>
        </w:rPr>
        <w:t>o</w:t>
      </w:r>
      <w:r w:rsidR="00B17AE1" w:rsidRPr="00F60A3D">
        <w:rPr>
          <w:rFonts w:eastAsia="MS ??"/>
          <w:lang w:val="fr-FR" w:eastAsia="de-DE"/>
        </w:rPr>
        <w:t> </w:t>
      </w:r>
      <w:r w:rsidR="007D5F75" w:rsidRPr="00F60A3D">
        <w:rPr>
          <w:rFonts w:eastAsia="MS ??"/>
          <w:lang w:val="fr-FR" w:eastAsia="de-DE"/>
        </w:rPr>
        <w:t>285/1997,</w:t>
      </w:r>
      <w:r w:rsidR="009033DA" w:rsidRPr="00F60A3D">
        <w:rPr>
          <w:rFonts w:eastAsia="MS ??"/>
          <w:lang w:val="fr-FR" w:eastAsia="de-DE"/>
        </w:rPr>
        <w:t xml:space="preserve"> en faveur de la famille Rom </w:t>
      </w:r>
      <w:r w:rsidR="007D5F75" w:rsidRPr="00F60A3D">
        <w:rPr>
          <w:rFonts w:eastAsia="MS ??"/>
          <w:lang w:val="fr-FR" w:eastAsia="de-DE"/>
        </w:rPr>
        <w:t>et de l</w:t>
      </w:r>
      <w:r w:rsidR="009033DA" w:rsidRPr="00F60A3D">
        <w:rPr>
          <w:rFonts w:eastAsia="MS ??"/>
          <w:lang w:val="fr-FR" w:eastAsia="de-DE"/>
        </w:rPr>
        <w:t>a scolarisati</w:t>
      </w:r>
      <w:r w:rsidR="001806AE" w:rsidRPr="00F60A3D">
        <w:rPr>
          <w:rFonts w:eastAsia="MS ??"/>
          <w:lang w:val="fr-FR" w:eastAsia="de-DE"/>
        </w:rPr>
        <w:t>on des jeunes Roms</w:t>
      </w:r>
      <w:r w:rsidR="00736673" w:rsidRPr="00F60A3D">
        <w:rPr>
          <w:rFonts w:eastAsia="MS ??"/>
          <w:lang w:val="fr-FR" w:eastAsia="de-DE"/>
        </w:rPr>
        <w:t>)</w:t>
      </w:r>
      <w:r w:rsidR="00C04828" w:rsidRPr="00F60A3D">
        <w:rPr>
          <w:rStyle w:val="FootnoteReference"/>
          <w:lang w:val="fr-FR"/>
        </w:rPr>
        <w:footnoteReference w:id="64"/>
      </w:r>
      <w:r w:rsidR="003A634C" w:rsidRPr="00F60A3D">
        <w:rPr>
          <w:rFonts w:eastAsia="MS ??"/>
          <w:lang w:val="fr-FR" w:eastAsia="de-DE"/>
        </w:rPr>
        <w:t>,</w:t>
      </w:r>
      <w:r w:rsidR="00736673" w:rsidRPr="00F60A3D">
        <w:rPr>
          <w:rFonts w:eastAsia="MS ??"/>
          <w:lang w:val="fr-FR" w:eastAsia="de-DE"/>
        </w:rPr>
        <w:t xml:space="preserve"> </w:t>
      </w:r>
      <w:r w:rsidR="001806AE" w:rsidRPr="00F60A3D">
        <w:rPr>
          <w:rFonts w:eastAsia="MS ??"/>
          <w:lang w:val="fr-FR" w:eastAsia="de-DE"/>
        </w:rPr>
        <w:t>le Ministère de la santé (dans le cadre d</w:t>
      </w:r>
      <w:r w:rsidR="00B17AE1" w:rsidRPr="00F60A3D">
        <w:rPr>
          <w:rFonts w:eastAsia="MS ??"/>
          <w:lang w:val="fr-FR" w:eastAsia="de-DE"/>
        </w:rPr>
        <w:t>’</w:t>
      </w:r>
      <w:r w:rsidR="001806AE" w:rsidRPr="00F60A3D">
        <w:rPr>
          <w:rFonts w:eastAsia="MS ??"/>
          <w:lang w:val="fr-FR" w:eastAsia="de-DE"/>
        </w:rPr>
        <w:t>un plan sectoriel lancé en mai 2015)</w:t>
      </w:r>
      <w:r w:rsidR="00A86B17" w:rsidRPr="00F60A3D">
        <w:rPr>
          <w:rFonts w:eastAsia="MS ??"/>
          <w:lang w:val="fr-FR" w:eastAsia="de-DE"/>
        </w:rPr>
        <w:t>,</w:t>
      </w:r>
      <w:r w:rsidR="00736673" w:rsidRPr="00F60A3D">
        <w:rPr>
          <w:rFonts w:eastAsia="MS ??"/>
          <w:lang w:val="fr-FR" w:eastAsia="de-DE"/>
        </w:rPr>
        <w:t xml:space="preserve"> </w:t>
      </w:r>
      <w:r w:rsidR="001806AE" w:rsidRPr="00F60A3D">
        <w:rPr>
          <w:rFonts w:eastAsia="MS ??"/>
          <w:lang w:val="fr-FR" w:eastAsia="de-DE"/>
        </w:rPr>
        <w:t>le Ministère de l</w:t>
      </w:r>
      <w:r w:rsidR="00B17AE1" w:rsidRPr="00F60A3D">
        <w:rPr>
          <w:rFonts w:eastAsia="MS ??"/>
          <w:lang w:val="fr-FR" w:eastAsia="de-DE"/>
        </w:rPr>
        <w:t>’</w:t>
      </w:r>
      <w:r w:rsidR="001806AE" w:rsidRPr="00F60A3D">
        <w:rPr>
          <w:rFonts w:eastAsia="MS ??"/>
          <w:lang w:val="fr-FR" w:eastAsia="de-DE"/>
        </w:rPr>
        <w:t>éducation (avec notam</w:t>
      </w:r>
      <w:r w:rsidR="0056418F" w:rsidRPr="00F60A3D">
        <w:rPr>
          <w:rFonts w:eastAsia="MS ??"/>
          <w:lang w:val="fr-FR" w:eastAsia="de-DE"/>
        </w:rPr>
        <w:t>ment, un projet ad hoc relatif au</w:t>
      </w:r>
      <w:r w:rsidR="005063FC" w:rsidRPr="00F60A3D">
        <w:rPr>
          <w:rFonts w:eastAsia="MS ??"/>
          <w:lang w:val="fr-FR" w:eastAsia="de-DE"/>
        </w:rPr>
        <w:t xml:space="preserve"> </w:t>
      </w:r>
      <w:r w:rsidR="007A7306" w:rsidRPr="00F60A3D">
        <w:rPr>
          <w:rFonts w:eastAsia="MS ??"/>
          <w:i/>
          <w:lang w:val="fr-FR" w:eastAsia="de-DE"/>
        </w:rPr>
        <w:t>Por</w:t>
      </w:r>
      <w:r w:rsidR="005063FC" w:rsidRPr="00F60A3D">
        <w:rPr>
          <w:rFonts w:eastAsia="MS ??"/>
          <w:i/>
          <w:lang w:val="fr-FR" w:eastAsia="de-DE"/>
        </w:rPr>
        <w:t>ajmos</w:t>
      </w:r>
      <w:r w:rsidR="00736673" w:rsidRPr="00F60A3D">
        <w:rPr>
          <w:rFonts w:eastAsia="MS ??"/>
          <w:lang w:val="fr-FR" w:eastAsia="de-DE"/>
        </w:rPr>
        <w:t>)</w:t>
      </w:r>
      <w:r w:rsidR="00C04828" w:rsidRPr="00F60A3D">
        <w:rPr>
          <w:rStyle w:val="FootnoteReference"/>
          <w:lang w:val="fr-FR"/>
        </w:rPr>
        <w:footnoteReference w:id="65"/>
      </w:r>
      <w:r w:rsidR="003A634C" w:rsidRPr="00F60A3D">
        <w:rPr>
          <w:rFonts w:eastAsia="MS ??"/>
          <w:lang w:val="fr-FR" w:eastAsia="de-DE"/>
        </w:rPr>
        <w:t>,</w:t>
      </w:r>
      <w:r w:rsidR="005063FC" w:rsidRPr="00F60A3D">
        <w:rPr>
          <w:rFonts w:eastAsia="MS ??"/>
          <w:lang w:val="fr-FR" w:eastAsia="de-DE"/>
        </w:rPr>
        <w:t xml:space="preserve"> </w:t>
      </w:r>
      <w:r w:rsidR="001806AE" w:rsidRPr="00F60A3D">
        <w:rPr>
          <w:rFonts w:eastAsia="MS ??"/>
          <w:lang w:val="fr-FR" w:eastAsia="de-DE"/>
        </w:rPr>
        <w:t>le Ministère de l</w:t>
      </w:r>
      <w:r w:rsidR="00B17AE1" w:rsidRPr="00F60A3D">
        <w:rPr>
          <w:rFonts w:eastAsia="MS ??"/>
          <w:lang w:val="fr-FR" w:eastAsia="de-DE"/>
        </w:rPr>
        <w:t>’</w:t>
      </w:r>
      <w:r w:rsidR="001806AE" w:rsidRPr="00F60A3D">
        <w:rPr>
          <w:rFonts w:eastAsia="MS ??"/>
          <w:lang w:val="fr-FR" w:eastAsia="de-DE"/>
        </w:rPr>
        <w:t>intérieur (via notamment, la coordination du groupe de travail sur le statut juridique)</w:t>
      </w:r>
      <w:r w:rsidR="00A86B17" w:rsidRPr="00F60A3D">
        <w:rPr>
          <w:rFonts w:eastAsia="MS ??"/>
          <w:lang w:val="fr-FR" w:eastAsia="de-DE"/>
        </w:rPr>
        <w:t>,</w:t>
      </w:r>
      <w:r w:rsidR="001806AE" w:rsidRPr="00F60A3D">
        <w:rPr>
          <w:rFonts w:eastAsia="MS ??"/>
          <w:lang w:val="fr-FR" w:eastAsia="de-DE"/>
        </w:rPr>
        <w:t xml:space="preserve"> et le </w:t>
      </w:r>
      <w:r w:rsidR="00511819" w:rsidRPr="00F60A3D">
        <w:rPr>
          <w:rFonts w:eastAsia="MS ??"/>
          <w:lang w:val="fr-FR" w:eastAsia="de-DE"/>
        </w:rPr>
        <w:t>Départ</w:t>
      </w:r>
      <w:r w:rsidR="00461CE4" w:rsidRPr="00F60A3D">
        <w:rPr>
          <w:rFonts w:eastAsia="MS ??"/>
          <w:lang w:val="fr-FR" w:eastAsia="de-DE"/>
        </w:rPr>
        <w:t>ement de l</w:t>
      </w:r>
      <w:r w:rsidR="00B17AE1" w:rsidRPr="00F60A3D">
        <w:rPr>
          <w:rFonts w:eastAsia="MS ??"/>
          <w:lang w:val="fr-FR" w:eastAsia="de-DE"/>
        </w:rPr>
        <w:t>’</w:t>
      </w:r>
      <w:r w:rsidR="00461CE4" w:rsidRPr="00F60A3D">
        <w:rPr>
          <w:rFonts w:eastAsia="MS ??"/>
          <w:lang w:val="fr-FR" w:eastAsia="de-DE"/>
        </w:rPr>
        <w:t xml:space="preserve">égalité des chances </w:t>
      </w:r>
      <w:r w:rsidR="001806AE" w:rsidRPr="00F60A3D">
        <w:rPr>
          <w:rFonts w:eastAsia="MS ??"/>
          <w:lang w:val="fr-FR" w:eastAsia="de-DE"/>
        </w:rPr>
        <w:t>qui</w:t>
      </w:r>
      <w:r w:rsidR="00F509CF" w:rsidRPr="00F60A3D">
        <w:rPr>
          <w:rFonts w:eastAsia="MS ??"/>
          <w:lang w:val="fr-FR" w:eastAsia="de-DE"/>
        </w:rPr>
        <w:t>,</w:t>
      </w:r>
      <w:r w:rsidR="001806AE" w:rsidRPr="00F60A3D">
        <w:rPr>
          <w:rFonts w:eastAsia="MS ??"/>
          <w:lang w:val="fr-FR" w:eastAsia="de-DE"/>
        </w:rPr>
        <w:t xml:space="preserve"> à</w:t>
      </w:r>
      <w:r w:rsidR="00F509CF" w:rsidRPr="00F60A3D">
        <w:rPr>
          <w:rFonts w:eastAsia="MS ??"/>
          <w:lang w:val="fr-FR" w:eastAsia="de-DE"/>
        </w:rPr>
        <w:t xml:space="preserve"> partir des expé</w:t>
      </w:r>
      <w:r w:rsidR="001806AE" w:rsidRPr="00F60A3D">
        <w:rPr>
          <w:rFonts w:eastAsia="MS ??"/>
          <w:lang w:val="fr-FR" w:eastAsia="de-DE"/>
        </w:rPr>
        <w:t>riences de formation antérieures de médiateurs roms et sintis</w:t>
      </w:r>
      <w:r w:rsidR="0056418F" w:rsidRPr="00F60A3D">
        <w:rPr>
          <w:rFonts w:eastAsia="MS ??"/>
          <w:lang w:val="fr-FR" w:eastAsia="de-DE"/>
        </w:rPr>
        <w:t xml:space="preserve"> </w:t>
      </w:r>
      <w:r w:rsidR="001806AE" w:rsidRPr="00F60A3D">
        <w:rPr>
          <w:rFonts w:eastAsia="MS ??"/>
          <w:lang w:val="fr-FR" w:eastAsia="de-DE"/>
        </w:rPr>
        <w:t>da</w:t>
      </w:r>
      <w:r w:rsidR="00F509CF" w:rsidRPr="00F60A3D">
        <w:rPr>
          <w:rFonts w:eastAsia="MS ??"/>
          <w:lang w:val="fr-FR" w:eastAsia="de-DE"/>
        </w:rPr>
        <w:t>ns le cadre du projet ROMED du C</w:t>
      </w:r>
      <w:r w:rsidR="001806AE" w:rsidRPr="00F60A3D">
        <w:rPr>
          <w:rFonts w:eastAsia="MS ??"/>
          <w:lang w:val="fr-FR" w:eastAsia="de-DE"/>
        </w:rPr>
        <w:t>onseil de l</w:t>
      </w:r>
      <w:r w:rsidR="00B17AE1" w:rsidRPr="00F60A3D">
        <w:rPr>
          <w:rFonts w:eastAsia="MS ??"/>
          <w:lang w:val="fr-FR" w:eastAsia="de-DE"/>
        </w:rPr>
        <w:t>’</w:t>
      </w:r>
      <w:r w:rsidR="001806AE" w:rsidRPr="00F60A3D">
        <w:rPr>
          <w:rFonts w:eastAsia="MS ??"/>
          <w:lang w:val="fr-FR" w:eastAsia="de-DE"/>
        </w:rPr>
        <w:t xml:space="preserve">Europe, a mis en </w:t>
      </w:r>
      <w:r w:rsidR="00736673" w:rsidRPr="00F60A3D">
        <w:rPr>
          <w:rFonts w:eastAsia="MS ??"/>
          <w:lang w:val="fr-FR" w:eastAsia="de-DE"/>
        </w:rPr>
        <w:t>œuvre un projet pilote pour la «</w:t>
      </w:r>
      <w:r w:rsidR="001806AE" w:rsidRPr="00F60A3D">
        <w:rPr>
          <w:rFonts w:eastAsia="MS ??"/>
          <w:lang w:val="fr-FR" w:eastAsia="de-DE"/>
        </w:rPr>
        <w:t>Promotion d</w:t>
      </w:r>
      <w:r w:rsidR="00B17AE1" w:rsidRPr="00F60A3D">
        <w:rPr>
          <w:rFonts w:eastAsia="MS ??"/>
          <w:lang w:val="fr-FR" w:eastAsia="de-DE"/>
        </w:rPr>
        <w:t>’</w:t>
      </w:r>
      <w:r w:rsidR="001806AE" w:rsidRPr="00F60A3D">
        <w:rPr>
          <w:rFonts w:eastAsia="MS ??"/>
          <w:lang w:val="fr-FR" w:eastAsia="de-DE"/>
        </w:rPr>
        <w:t>un réseau de médiateurs cul</w:t>
      </w:r>
      <w:r w:rsidR="008D3E6A" w:rsidRPr="00F60A3D">
        <w:rPr>
          <w:rFonts w:eastAsia="MS ??"/>
          <w:lang w:val="fr-FR" w:eastAsia="de-DE"/>
        </w:rPr>
        <w:t xml:space="preserve">turels et linguistiques dédiés aux Roms, </w:t>
      </w:r>
      <w:r w:rsidR="001806AE" w:rsidRPr="00F60A3D">
        <w:rPr>
          <w:rFonts w:eastAsia="MS ??"/>
          <w:lang w:val="fr-FR" w:eastAsia="de-DE"/>
        </w:rPr>
        <w:t>Sint</w:t>
      </w:r>
      <w:r w:rsidR="008D3E6A" w:rsidRPr="00F60A3D">
        <w:rPr>
          <w:rFonts w:eastAsia="MS ??"/>
          <w:lang w:val="fr-FR" w:eastAsia="de-DE"/>
        </w:rPr>
        <w:t xml:space="preserve">is et </w:t>
      </w:r>
      <w:r w:rsidR="00440E8D" w:rsidRPr="00F60A3D">
        <w:rPr>
          <w:rFonts w:eastAsia="MS ??"/>
          <w:lang w:val="fr-FR" w:eastAsia="de-DE"/>
        </w:rPr>
        <w:t>Caminantis</w:t>
      </w:r>
      <w:r w:rsidR="00731982" w:rsidRPr="00F60A3D">
        <w:rPr>
          <w:rFonts w:eastAsia="MS ??"/>
          <w:lang w:val="fr-FR" w:eastAsia="de-DE"/>
        </w:rPr>
        <w:t>»</w:t>
      </w:r>
      <w:r w:rsidR="001806AE" w:rsidRPr="00F60A3D">
        <w:rPr>
          <w:rFonts w:eastAsia="MS ??"/>
          <w:lang w:val="fr-FR" w:eastAsia="de-DE"/>
        </w:rPr>
        <w:t>.</w:t>
      </w:r>
    </w:p>
    <w:p w:rsidR="00BE1181" w:rsidRPr="00F60A3D" w:rsidRDefault="00DD5FDA" w:rsidP="004170A2">
      <w:pPr>
        <w:pStyle w:val="SingleTxtG"/>
        <w:rPr>
          <w:rFonts w:eastAsia="MS ??"/>
          <w:bCs/>
          <w:lang w:val="fr-FR"/>
        </w:rPr>
      </w:pPr>
      <w:r w:rsidRPr="00F60A3D">
        <w:rPr>
          <w:rFonts w:eastAsia="MS ??"/>
          <w:bCs/>
          <w:lang w:val="fr-FR"/>
        </w:rPr>
        <w:t>276</w:t>
      </w:r>
      <w:r w:rsidR="005063FC" w:rsidRPr="00F60A3D">
        <w:rPr>
          <w:rFonts w:eastAsia="MS ??"/>
          <w:bCs/>
          <w:lang w:val="fr-FR"/>
        </w:rPr>
        <w:t>.</w:t>
      </w:r>
      <w:r w:rsidR="005063FC" w:rsidRPr="00F60A3D">
        <w:rPr>
          <w:rFonts w:eastAsia="MS ??"/>
          <w:bCs/>
          <w:lang w:val="fr-FR"/>
        </w:rPr>
        <w:tab/>
        <w:t>L</w:t>
      </w:r>
      <w:r w:rsidR="00BE1181" w:rsidRPr="00F60A3D">
        <w:rPr>
          <w:rFonts w:eastAsia="MS ??"/>
          <w:bCs/>
          <w:lang w:val="fr-FR"/>
        </w:rPr>
        <w:t xml:space="preserve">e décret-loi </w:t>
      </w:r>
      <w:r w:rsidR="004170A2" w:rsidRPr="00F60A3D">
        <w:rPr>
          <w:rFonts w:eastAsia="MS ??"/>
          <w:bCs/>
          <w:lang w:val="fr-FR"/>
        </w:rPr>
        <w:t>n</w:t>
      </w:r>
      <w:r w:rsidR="004170A2" w:rsidRPr="00F60A3D">
        <w:rPr>
          <w:rFonts w:eastAsia="MS ??"/>
          <w:bCs/>
          <w:vertAlign w:val="superscript"/>
          <w:lang w:val="fr-FR"/>
        </w:rPr>
        <w:t>o</w:t>
      </w:r>
      <w:r w:rsidR="004170A2" w:rsidRPr="00F60A3D">
        <w:rPr>
          <w:rFonts w:eastAsia="MS ??"/>
          <w:bCs/>
          <w:lang w:val="fr-FR"/>
        </w:rPr>
        <w:t> </w:t>
      </w:r>
      <w:r w:rsidR="00BE1181" w:rsidRPr="00F60A3D">
        <w:rPr>
          <w:rFonts w:eastAsia="MS ??"/>
          <w:bCs/>
          <w:lang w:val="fr-FR"/>
        </w:rPr>
        <w:t xml:space="preserve">69/2013, converti en loi </w:t>
      </w:r>
      <w:r w:rsidR="00B17AE1" w:rsidRPr="00F60A3D">
        <w:rPr>
          <w:rFonts w:eastAsia="MS ??"/>
          <w:bCs/>
          <w:lang w:val="fr-FR"/>
        </w:rPr>
        <w:t>n</w:t>
      </w:r>
      <w:r w:rsidR="00B17AE1" w:rsidRPr="00F60A3D">
        <w:rPr>
          <w:rFonts w:eastAsia="MS ??"/>
          <w:bCs/>
          <w:vertAlign w:val="superscript"/>
          <w:lang w:val="fr-FR"/>
        </w:rPr>
        <w:t>o</w:t>
      </w:r>
      <w:r w:rsidR="00B17AE1" w:rsidRPr="00F60A3D">
        <w:rPr>
          <w:rFonts w:eastAsia="MS ??"/>
          <w:bCs/>
          <w:lang w:val="fr-FR"/>
        </w:rPr>
        <w:t> </w:t>
      </w:r>
      <w:r w:rsidR="005063FC" w:rsidRPr="00F60A3D">
        <w:rPr>
          <w:rFonts w:eastAsia="MS ??"/>
          <w:bCs/>
          <w:lang w:val="fr-FR"/>
        </w:rPr>
        <w:t xml:space="preserve">98/2013, </w:t>
      </w:r>
      <w:r w:rsidR="00BE1181" w:rsidRPr="00F60A3D">
        <w:rPr>
          <w:rFonts w:eastAsia="MS ??"/>
          <w:bCs/>
          <w:lang w:val="fr-FR"/>
        </w:rPr>
        <w:t>a pou</w:t>
      </w:r>
      <w:r w:rsidR="00F509CF" w:rsidRPr="00F60A3D">
        <w:rPr>
          <w:rFonts w:eastAsia="MS ??"/>
          <w:bCs/>
          <w:lang w:val="fr-FR"/>
        </w:rPr>
        <w:t>r objet de simplifier l</w:t>
      </w:r>
      <w:r w:rsidR="00B17AE1" w:rsidRPr="00F60A3D">
        <w:rPr>
          <w:rFonts w:eastAsia="MS ??"/>
          <w:bCs/>
          <w:lang w:val="fr-FR"/>
        </w:rPr>
        <w:t>’</w:t>
      </w:r>
      <w:r w:rsidR="00F509CF" w:rsidRPr="00F60A3D">
        <w:rPr>
          <w:rFonts w:eastAsia="MS ??"/>
          <w:bCs/>
          <w:lang w:val="fr-FR"/>
        </w:rPr>
        <w:t>acquis</w:t>
      </w:r>
      <w:r w:rsidR="00525E06" w:rsidRPr="00F60A3D">
        <w:rPr>
          <w:rFonts w:eastAsia="MS ??"/>
          <w:bCs/>
          <w:lang w:val="fr-FR"/>
        </w:rPr>
        <w:t>i</w:t>
      </w:r>
      <w:r w:rsidR="00F509CF" w:rsidRPr="00F60A3D">
        <w:rPr>
          <w:rFonts w:eastAsia="MS ??"/>
          <w:bCs/>
          <w:lang w:val="fr-FR"/>
        </w:rPr>
        <w:t>ti</w:t>
      </w:r>
      <w:r w:rsidR="00BE1181" w:rsidRPr="00F60A3D">
        <w:rPr>
          <w:rFonts w:eastAsia="MS ??"/>
          <w:bCs/>
          <w:lang w:val="fr-FR"/>
        </w:rPr>
        <w:t>on de la nationalité</w:t>
      </w:r>
      <w:r w:rsidR="00F509CF" w:rsidRPr="00F60A3D">
        <w:rPr>
          <w:rFonts w:eastAsia="MS ??"/>
          <w:bCs/>
          <w:lang w:val="fr-FR"/>
        </w:rPr>
        <w:t xml:space="preserve"> pour les personnes qui ont atte</w:t>
      </w:r>
      <w:r w:rsidR="00BE1181" w:rsidRPr="00F60A3D">
        <w:rPr>
          <w:rFonts w:eastAsia="MS ??"/>
          <w:bCs/>
          <w:lang w:val="fr-FR"/>
        </w:rPr>
        <w:t>int l</w:t>
      </w:r>
      <w:r w:rsidR="00B17AE1" w:rsidRPr="00F60A3D">
        <w:rPr>
          <w:rFonts w:eastAsia="MS ??"/>
          <w:bCs/>
          <w:lang w:val="fr-FR"/>
        </w:rPr>
        <w:t>’</w:t>
      </w:r>
      <w:r w:rsidR="00BE1181" w:rsidRPr="00F60A3D">
        <w:rPr>
          <w:rFonts w:eastAsia="MS ??"/>
          <w:bCs/>
          <w:lang w:val="fr-FR"/>
        </w:rPr>
        <w:t>âge de la majorité et ne sont pas en m</w:t>
      </w:r>
      <w:r w:rsidR="00F509CF" w:rsidRPr="00F60A3D">
        <w:rPr>
          <w:rFonts w:eastAsia="MS ??"/>
          <w:bCs/>
          <w:lang w:val="fr-FR"/>
        </w:rPr>
        <w:t>esure de prouver qu</w:t>
      </w:r>
      <w:r w:rsidR="00B17AE1" w:rsidRPr="00F60A3D">
        <w:rPr>
          <w:rFonts w:eastAsia="MS ??"/>
          <w:bCs/>
          <w:lang w:val="fr-FR"/>
        </w:rPr>
        <w:t>’</w:t>
      </w:r>
      <w:r w:rsidR="00F509CF" w:rsidRPr="00F60A3D">
        <w:rPr>
          <w:rFonts w:eastAsia="MS ??"/>
          <w:bCs/>
          <w:lang w:val="fr-FR"/>
        </w:rPr>
        <w:t>elles ont résidé</w:t>
      </w:r>
      <w:r w:rsidR="00BE1181" w:rsidRPr="00F60A3D">
        <w:rPr>
          <w:rFonts w:eastAsia="MS ??"/>
          <w:bCs/>
          <w:lang w:val="fr-FR"/>
        </w:rPr>
        <w:t xml:space="preserve"> en permanence sur le territoire it</w:t>
      </w:r>
      <w:r w:rsidR="008869D9" w:rsidRPr="00F60A3D">
        <w:rPr>
          <w:rFonts w:eastAsia="MS ??"/>
          <w:bCs/>
          <w:lang w:val="fr-FR"/>
        </w:rPr>
        <w:t xml:space="preserve">alien au cours des </w:t>
      </w:r>
      <w:r w:rsidR="00F509CF" w:rsidRPr="00F60A3D">
        <w:rPr>
          <w:rFonts w:eastAsia="MS ??"/>
          <w:bCs/>
          <w:lang w:val="fr-FR"/>
        </w:rPr>
        <w:t>dix</w:t>
      </w:r>
      <w:r w:rsidR="00BE1181" w:rsidRPr="00F60A3D">
        <w:rPr>
          <w:rFonts w:eastAsia="MS ??"/>
          <w:bCs/>
          <w:lang w:val="fr-FR"/>
        </w:rPr>
        <w:t xml:space="preserve">-huit </w:t>
      </w:r>
      <w:r w:rsidR="008869D9" w:rsidRPr="00F60A3D">
        <w:rPr>
          <w:rFonts w:eastAsia="MS ??"/>
          <w:bCs/>
          <w:lang w:val="fr-FR"/>
        </w:rPr>
        <w:t xml:space="preserve">dernières </w:t>
      </w:r>
      <w:r w:rsidR="00BE1181" w:rsidRPr="00F60A3D">
        <w:rPr>
          <w:rFonts w:eastAsia="MS ??"/>
          <w:bCs/>
          <w:lang w:val="fr-FR"/>
        </w:rPr>
        <w:t>années</w:t>
      </w:r>
      <w:r w:rsidR="00F509CF" w:rsidRPr="00F60A3D">
        <w:rPr>
          <w:rFonts w:eastAsia="MS ??"/>
          <w:bCs/>
          <w:lang w:val="fr-FR"/>
        </w:rPr>
        <w:t>,</w:t>
      </w:r>
      <w:r w:rsidR="00BE1181" w:rsidRPr="00F60A3D">
        <w:rPr>
          <w:rFonts w:eastAsia="MS ??"/>
          <w:bCs/>
          <w:lang w:val="fr-FR"/>
        </w:rPr>
        <w:t xml:space="preserve"> à cause de défaillance</w:t>
      </w:r>
      <w:r w:rsidR="00245267" w:rsidRPr="00F60A3D">
        <w:rPr>
          <w:rFonts w:eastAsia="MS ??"/>
          <w:bCs/>
          <w:lang w:val="fr-FR"/>
        </w:rPr>
        <w:t>s</w:t>
      </w:r>
      <w:r w:rsidR="00BE1181" w:rsidRPr="00F60A3D">
        <w:rPr>
          <w:rFonts w:eastAsia="MS ??"/>
          <w:bCs/>
          <w:lang w:val="fr-FR"/>
        </w:rPr>
        <w:t xml:space="preserve"> administratives </w:t>
      </w:r>
      <w:r w:rsidR="003A634C" w:rsidRPr="00F60A3D">
        <w:rPr>
          <w:rFonts w:eastAsia="MS ??"/>
          <w:bCs/>
          <w:lang w:val="fr-FR"/>
        </w:rPr>
        <w:t>q</w:t>
      </w:r>
      <w:r w:rsidR="00BE1181" w:rsidRPr="00F60A3D">
        <w:rPr>
          <w:rFonts w:eastAsia="MS ??"/>
          <w:bCs/>
          <w:lang w:val="fr-FR"/>
        </w:rPr>
        <w:t>ui ne so</w:t>
      </w:r>
      <w:r w:rsidR="00F509CF" w:rsidRPr="00F60A3D">
        <w:rPr>
          <w:rFonts w:eastAsia="MS ??"/>
          <w:bCs/>
          <w:lang w:val="fr-FR"/>
        </w:rPr>
        <w:t>n</w:t>
      </w:r>
      <w:r w:rsidR="00BE1181" w:rsidRPr="00F60A3D">
        <w:rPr>
          <w:rFonts w:eastAsia="MS ??"/>
          <w:bCs/>
          <w:lang w:val="fr-FR"/>
        </w:rPr>
        <w:t>t pas directement de leur fait</w:t>
      </w:r>
      <w:r w:rsidR="00F509CF" w:rsidRPr="00F60A3D">
        <w:rPr>
          <w:rFonts w:eastAsia="MS ??"/>
          <w:bCs/>
          <w:lang w:val="fr-FR"/>
        </w:rPr>
        <w:t>, mais sont dues à la négligence de leurs parents ou des ag</w:t>
      </w:r>
      <w:r w:rsidR="00BE1181" w:rsidRPr="00F60A3D">
        <w:rPr>
          <w:rFonts w:eastAsia="MS ??"/>
          <w:bCs/>
          <w:lang w:val="fr-FR"/>
        </w:rPr>
        <w:t>ents de l</w:t>
      </w:r>
      <w:r w:rsidR="00B17AE1" w:rsidRPr="00F60A3D">
        <w:rPr>
          <w:rFonts w:eastAsia="MS ??"/>
          <w:bCs/>
          <w:lang w:val="fr-FR"/>
        </w:rPr>
        <w:t>’</w:t>
      </w:r>
      <w:r w:rsidR="00BE1181" w:rsidRPr="00F60A3D">
        <w:rPr>
          <w:rFonts w:eastAsia="MS ??"/>
          <w:bCs/>
          <w:lang w:val="fr-FR"/>
        </w:rPr>
        <w:t xml:space="preserve">état </w:t>
      </w:r>
      <w:r w:rsidR="00525E06" w:rsidRPr="00F60A3D">
        <w:rPr>
          <w:rFonts w:eastAsia="MS ??"/>
          <w:bCs/>
          <w:lang w:val="fr-FR"/>
        </w:rPr>
        <w:t>civil. Conformément à l</w:t>
      </w:r>
      <w:r w:rsidR="00B17AE1" w:rsidRPr="00F60A3D">
        <w:rPr>
          <w:rFonts w:eastAsia="MS ??"/>
          <w:bCs/>
          <w:lang w:val="fr-FR"/>
        </w:rPr>
        <w:t>’</w:t>
      </w:r>
      <w:r w:rsidR="00D26282" w:rsidRPr="00F60A3D">
        <w:rPr>
          <w:rFonts w:eastAsia="MS ??"/>
          <w:bCs/>
          <w:lang w:val="fr-FR"/>
        </w:rPr>
        <w:t>article </w:t>
      </w:r>
      <w:r w:rsidR="00F509CF" w:rsidRPr="00F60A3D">
        <w:rPr>
          <w:rFonts w:eastAsia="MS ??"/>
          <w:bCs/>
          <w:lang w:val="fr-FR"/>
        </w:rPr>
        <w:t>33, les fonctionnaire</w:t>
      </w:r>
      <w:r w:rsidR="003A634C" w:rsidRPr="00F60A3D">
        <w:rPr>
          <w:rFonts w:eastAsia="MS ??"/>
          <w:bCs/>
          <w:lang w:val="fr-FR"/>
        </w:rPr>
        <w:t xml:space="preserve">s compétents doivent </w:t>
      </w:r>
      <w:r w:rsidR="00F509CF" w:rsidRPr="00F60A3D">
        <w:rPr>
          <w:rFonts w:eastAsia="MS ??"/>
          <w:bCs/>
          <w:lang w:val="fr-FR"/>
        </w:rPr>
        <w:t>utiliser</w:t>
      </w:r>
      <w:r w:rsidR="00BE1181" w:rsidRPr="00F60A3D">
        <w:rPr>
          <w:rFonts w:eastAsia="MS ??"/>
          <w:bCs/>
          <w:lang w:val="fr-FR"/>
        </w:rPr>
        <w:t xml:space="preserve"> de</w:t>
      </w:r>
      <w:r w:rsidR="00F509CF" w:rsidRPr="00F60A3D">
        <w:rPr>
          <w:rFonts w:eastAsia="MS ??"/>
          <w:bCs/>
          <w:lang w:val="fr-FR"/>
        </w:rPr>
        <w:t>s</w:t>
      </w:r>
      <w:r w:rsidR="00BE1181" w:rsidRPr="00F60A3D">
        <w:rPr>
          <w:rFonts w:eastAsia="MS ??"/>
          <w:bCs/>
          <w:lang w:val="fr-FR"/>
        </w:rPr>
        <w:t xml:space="preserve"> programmes informatiques pour accélérer la procédure et la rendre moins coûteuse. En 2013, </w:t>
      </w:r>
      <w:r w:rsidR="008B6B2E" w:rsidRPr="00F60A3D">
        <w:rPr>
          <w:rFonts w:eastAsia="MS ??"/>
          <w:bCs/>
          <w:lang w:val="fr-FR"/>
        </w:rPr>
        <w:t>on a cons</w:t>
      </w:r>
      <w:r w:rsidR="00F509CF" w:rsidRPr="00F60A3D">
        <w:rPr>
          <w:rFonts w:eastAsia="MS ??"/>
          <w:bCs/>
          <w:lang w:val="fr-FR"/>
        </w:rPr>
        <w:t>taté une augmentation de 54</w:t>
      </w:r>
      <w:r w:rsidR="00B17AE1" w:rsidRPr="00F60A3D">
        <w:rPr>
          <w:rFonts w:eastAsia="MS ??"/>
          <w:bCs/>
          <w:lang w:val="fr-FR"/>
        </w:rPr>
        <w:t> %</w:t>
      </w:r>
      <w:r w:rsidR="00F509CF" w:rsidRPr="00F60A3D">
        <w:rPr>
          <w:rFonts w:eastAsia="MS ??"/>
          <w:bCs/>
          <w:lang w:val="fr-FR"/>
        </w:rPr>
        <w:t xml:space="preserve"> du</w:t>
      </w:r>
      <w:r w:rsidR="008B6B2E" w:rsidRPr="00F60A3D">
        <w:rPr>
          <w:rFonts w:eastAsia="MS ??"/>
          <w:bCs/>
          <w:lang w:val="fr-FR"/>
        </w:rPr>
        <w:t xml:space="preserve"> nombre d</w:t>
      </w:r>
      <w:r w:rsidR="00F509CF" w:rsidRPr="00F60A3D">
        <w:rPr>
          <w:rFonts w:eastAsia="MS ??"/>
          <w:bCs/>
          <w:lang w:val="fr-FR"/>
        </w:rPr>
        <w:t>e demandes traitées (101 712). I</w:t>
      </w:r>
      <w:r w:rsidR="008B6B2E" w:rsidRPr="00F60A3D">
        <w:rPr>
          <w:rFonts w:eastAsia="MS ??"/>
          <w:bCs/>
          <w:lang w:val="fr-FR"/>
        </w:rPr>
        <w:t>l s</w:t>
      </w:r>
      <w:r w:rsidR="00B17AE1" w:rsidRPr="00F60A3D">
        <w:rPr>
          <w:rFonts w:eastAsia="MS ??"/>
          <w:bCs/>
          <w:lang w:val="fr-FR"/>
        </w:rPr>
        <w:t>’</w:t>
      </w:r>
      <w:r w:rsidR="008B6B2E" w:rsidRPr="00F60A3D">
        <w:rPr>
          <w:rFonts w:eastAsia="MS ??"/>
          <w:bCs/>
          <w:lang w:val="fr-FR"/>
        </w:rPr>
        <w:t>agissait s</w:t>
      </w:r>
      <w:r w:rsidR="00F509CF" w:rsidRPr="00F60A3D">
        <w:rPr>
          <w:rFonts w:eastAsia="MS ??"/>
          <w:bCs/>
          <w:lang w:val="fr-FR"/>
        </w:rPr>
        <w:t>urtout de demandes soumises en I</w:t>
      </w:r>
      <w:r w:rsidR="008B6B2E" w:rsidRPr="00F60A3D">
        <w:rPr>
          <w:rFonts w:eastAsia="MS ??"/>
          <w:bCs/>
          <w:lang w:val="fr-FR"/>
        </w:rPr>
        <w:t>tal</w:t>
      </w:r>
      <w:r w:rsidR="00F509CF" w:rsidRPr="00F60A3D">
        <w:rPr>
          <w:rFonts w:eastAsia="MS ??"/>
          <w:bCs/>
          <w:lang w:val="fr-FR"/>
        </w:rPr>
        <w:t>ie du Nord (72,2</w:t>
      </w:r>
      <w:r w:rsidR="00B17AE1" w:rsidRPr="00F60A3D">
        <w:rPr>
          <w:rFonts w:eastAsia="MS ??"/>
          <w:bCs/>
          <w:lang w:val="fr-FR"/>
        </w:rPr>
        <w:t> %</w:t>
      </w:r>
      <w:r w:rsidR="00F509CF" w:rsidRPr="00F60A3D">
        <w:rPr>
          <w:rFonts w:eastAsia="MS ??"/>
          <w:bCs/>
          <w:lang w:val="fr-FR"/>
        </w:rPr>
        <w:t>), l</w:t>
      </w:r>
      <w:r w:rsidR="008B6B2E" w:rsidRPr="00F60A3D">
        <w:rPr>
          <w:rFonts w:eastAsia="MS ??"/>
          <w:bCs/>
          <w:lang w:val="fr-FR"/>
        </w:rPr>
        <w:t>e pourcentage pour l</w:t>
      </w:r>
      <w:r w:rsidR="00B17AE1" w:rsidRPr="00F60A3D">
        <w:rPr>
          <w:rFonts w:eastAsia="MS ??"/>
          <w:bCs/>
          <w:lang w:val="fr-FR"/>
        </w:rPr>
        <w:t>’</w:t>
      </w:r>
      <w:r w:rsidR="008B6B2E" w:rsidRPr="00F60A3D">
        <w:rPr>
          <w:rFonts w:eastAsia="MS ??"/>
          <w:bCs/>
          <w:lang w:val="fr-FR"/>
        </w:rPr>
        <w:t>Italie du Sud et les îles étant respectivement de 34,2</w:t>
      </w:r>
      <w:r w:rsidR="00B17AE1" w:rsidRPr="00F60A3D">
        <w:rPr>
          <w:rFonts w:eastAsia="MS ??"/>
          <w:bCs/>
          <w:lang w:val="fr-FR"/>
        </w:rPr>
        <w:t> %</w:t>
      </w:r>
      <w:r w:rsidR="008B6B2E" w:rsidRPr="00F60A3D">
        <w:rPr>
          <w:rFonts w:eastAsia="MS ??"/>
          <w:bCs/>
          <w:lang w:val="fr-FR"/>
        </w:rPr>
        <w:t xml:space="preserve"> et de 27,2</w:t>
      </w:r>
      <w:r w:rsidR="00B17AE1" w:rsidRPr="00F60A3D">
        <w:rPr>
          <w:rFonts w:eastAsia="MS ??"/>
          <w:bCs/>
          <w:lang w:val="fr-FR"/>
        </w:rPr>
        <w:t> %</w:t>
      </w:r>
      <w:r w:rsidR="008B6B2E" w:rsidRPr="00F60A3D">
        <w:rPr>
          <w:rFonts w:eastAsia="MS ??"/>
          <w:bCs/>
          <w:lang w:val="fr-FR"/>
        </w:rPr>
        <w:t xml:space="preserve">. </w:t>
      </w:r>
    </w:p>
    <w:p w:rsidR="008B6B2E" w:rsidRPr="00F60A3D" w:rsidRDefault="00DD5FDA" w:rsidP="00C04828">
      <w:pPr>
        <w:pStyle w:val="SingleTxtG"/>
        <w:rPr>
          <w:rFonts w:eastAsia="MS ??"/>
          <w:lang w:val="fr-FR"/>
        </w:rPr>
      </w:pPr>
      <w:r w:rsidRPr="00F60A3D">
        <w:rPr>
          <w:rFonts w:eastAsia="MS ??"/>
          <w:lang w:val="fr-FR"/>
        </w:rPr>
        <w:t>277</w:t>
      </w:r>
      <w:r w:rsidR="008B6B2E" w:rsidRPr="00F60A3D">
        <w:rPr>
          <w:rFonts w:eastAsia="MS ??"/>
          <w:lang w:val="fr-FR"/>
        </w:rPr>
        <w:t>.</w:t>
      </w:r>
      <w:r w:rsidR="008B6B2E" w:rsidRPr="00F60A3D">
        <w:rPr>
          <w:rFonts w:eastAsia="MS ??"/>
          <w:lang w:val="fr-FR"/>
        </w:rPr>
        <w:tab/>
        <w:t>S</w:t>
      </w:r>
      <w:r w:rsidR="00B17AE1" w:rsidRPr="00F60A3D">
        <w:rPr>
          <w:rFonts w:eastAsia="MS ??"/>
          <w:lang w:val="fr-FR"/>
        </w:rPr>
        <w:t>’</w:t>
      </w:r>
      <w:r w:rsidR="008B6B2E" w:rsidRPr="00F60A3D">
        <w:rPr>
          <w:rFonts w:eastAsia="MS ??"/>
          <w:lang w:val="fr-FR"/>
        </w:rPr>
        <w:t>agissant de l</w:t>
      </w:r>
      <w:r w:rsidR="00B17AE1" w:rsidRPr="00F60A3D">
        <w:rPr>
          <w:rFonts w:eastAsia="MS ??"/>
          <w:lang w:val="fr-FR"/>
        </w:rPr>
        <w:t>’</w:t>
      </w:r>
      <w:r w:rsidR="008B6B2E" w:rsidRPr="00F60A3D">
        <w:rPr>
          <w:rFonts w:eastAsia="MS ??"/>
          <w:lang w:val="fr-FR"/>
        </w:rPr>
        <w:t>entrée des ressortissants de pays non membres de l</w:t>
      </w:r>
      <w:r w:rsidR="00B17AE1" w:rsidRPr="00F60A3D">
        <w:rPr>
          <w:rFonts w:eastAsia="MS ??"/>
          <w:lang w:val="fr-FR"/>
        </w:rPr>
        <w:t>’</w:t>
      </w:r>
      <w:r w:rsidR="008B6B2E" w:rsidRPr="00F60A3D">
        <w:rPr>
          <w:rFonts w:eastAsia="MS ??"/>
          <w:lang w:val="fr-FR"/>
        </w:rPr>
        <w:t>UE en 2013, les donnée</w:t>
      </w:r>
      <w:r w:rsidR="0013576C" w:rsidRPr="00F60A3D">
        <w:rPr>
          <w:rFonts w:eastAsia="MS ??"/>
          <w:lang w:val="fr-FR"/>
        </w:rPr>
        <w:t>s indiquent que les femmes arriv</w:t>
      </w:r>
      <w:r w:rsidR="008B6B2E" w:rsidRPr="00F60A3D">
        <w:rPr>
          <w:rFonts w:eastAsia="MS ??"/>
          <w:lang w:val="fr-FR"/>
        </w:rPr>
        <w:t xml:space="preserve">ent surtout à des </w:t>
      </w:r>
      <w:r w:rsidR="00F509CF" w:rsidRPr="00F60A3D">
        <w:rPr>
          <w:rFonts w:eastAsia="MS ??"/>
          <w:lang w:val="fr-FR"/>
        </w:rPr>
        <w:t>fins de ma</w:t>
      </w:r>
      <w:r w:rsidR="008B6B2E" w:rsidRPr="00F60A3D">
        <w:rPr>
          <w:rFonts w:eastAsia="MS ??"/>
          <w:lang w:val="fr-FR"/>
        </w:rPr>
        <w:t>riage ou de regroupement familial. Depui</w:t>
      </w:r>
      <w:r w:rsidR="00F509CF" w:rsidRPr="00F60A3D">
        <w:rPr>
          <w:rFonts w:eastAsia="MS ??"/>
          <w:lang w:val="fr-FR"/>
        </w:rPr>
        <w:t>s 2006</w:t>
      </w:r>
      <w:r w:rsidR="00525E06" w:rsidRPr="00F60A3D">
        <w:rPr>
          <w:rFonts w:eastAsia="MS ??"/>
          <w:lang w:val="fr-FR"/>
        </w:rPr>
        <w:t>,</w:t>
      </w:r>
      <w:r w:rsidR="00F509CF" w:rsidRPr="00F60A3D">
        <w:rPr>
          <w:rFonts w:eastAsia="MS ??"/>
          <w:lang w:val="fr-FR"/>
        </w:rPr>
        <w:t xml:space="preserve"> le permis de séjour en I</w:t>
      </w:r>
      <w:r w:rsidR="008B6B2E" w:rsidRPr="00F60A3D">
        <w:rPr>
          <w:rFonts w:eastAsia="MS ??"/>
          <w:lang w:val="fr-FR"/>
        </w:rPr>
        <w:t>talie est délivré sous la forme d</w:t>
      </w:r>
      <w:r w:rsidR="00B17AE1" w:rsidRPr="00F60A3D">
        <w:rPr>
          <w:rFonts w:eastAsia="MS ??"/>
          <w:lang w:val="fr-FR"/>
        </w:rPr>
        <w:t>’</w:t>
      </w:r>
      <w:r w:rsidR="008B6B2E" w:rsidRPr="00F60A3D">
        <w:rPr>
          <w:rFonts w:eastAsia="MS ??"/>
          <w:lang w:val="fr-FR"/>
        </w:rPr>
        <w:t>une carte à microprocesseur. Il est toujours possible de faire appel d</w:t>
      </w:r>
      <w:r w:rsidR="00B17AE1" w:rsidRPr="00F60A3D">
        <w:rPr>
          <w:rFonts w:eastAsia="MS ??"/>
          <w:lang w:val="fr-FR"/>
        </w:rPr>
        <w:t>’</w:t>
      </w:r>
      <w:r w:rsidR="008B6B2E" w:rsidRPr="00F60A3D">
        <w:rPr>
          <w:rFonts w:eastAsia="MS ??"/>
          <w:lang w:val="fr-FR"/>
        </w:rPr>
        <w:t xml:space="preserve">un refus de permis de séjour auprès des autorités judiciaires administratives. </w:t>
      </w:r>
    </w:p>
    <w:bookmarkEnd w:id="30"/>
    <w:bookmarkEnd w:id="31"/>
    <w:bookmarkEnd w:id="32"/>
    <w:bookmarkEnd w:id="33"/>
    <w:bookmarkEnd w:id="34"/>
    <w:p w:rsidR="008B6B2E" w:rsidRPr="00F60A3D" w:rsidRDefault="00DD5FDA" w:rsidP="00C04828">
      <w:pPr>
        <w:pStyle w:val="SingleTxtG"/>
        <w:rPr>
          <w:rFonts w:eastAsia="MS ??"/>
          <w:bCs/>
          <w:lang w:val="fr-FR"/>
        </w:rPr>
      </w:pPr>
      <w:r w:rsidRPr="00F60A3D">
        <w:rPr>
          <w:rFonts w:eastAsia="MS ??"/>
          <w:bCs/>
          <w:lang w:val="fr-FR"/>
        </w:rPr>
        <w:t>278</w:t>
      </w:r>
      <w:r w:rsidR="008B6B2E" w:rsidRPr="00F60A3D">
        <w:rPr>
          <w:rFonts w:eastAsia="MS ??"/>
          <w:bCs/>
          <w:lang w:val="fr-FR"/>
        </w:rPr>
        <w:t>.</w:t>
      </w:r>
      <w:r w:rsidR="008B6B2E" w:rsidRPr="00F60A3D">
        <w:rPr>
          <w:rFonts w:eastAsia="MS ??"/>
          <w:bCs/>
          <w:lang w:val="fr-FR"/>
        </w:rPr>
        <w:tab/>
        <w:t>En 2014, 136 </w:t>
      </w:r>
      <w:r w:rsidR="005063FC" w:rsidRPr="00F60A3D">
        <w:rPr>
          <w:rFonts w:eastAsia="MS ??"/>
          <w:bCs/>
          <w:lang w:val="fr-FR"/>
        </w:rPr>
        <w:t>905</w:t>
      </w:r>
      <w:r w:rsidR="00FC5BC0" w:rsidRPr="00F60A3D">
        <w:rPr>
          <w:rFonts w:eastAsia="MS ??"/>
          <w:bCs/>
          <w:lang w:val="fr-FR"/>
        </w:rPr>
        <w:t xml:space="preserve"> migrants, dont 10 000 </w:t>
      </w:r>
      <w:r w:rsidR="008B6B2E" w:rsidRPr="00F60A3D">
        <w:rPr>
          <w:rFonts w:eastAsia="MS ??"/>
          <w:bCs/>
          <w:lang w:val="fr-FR"/>
        </w:rPr>
        <w:t xml:space="preserve">mineurs non accompagnés sont arrivés par la mer sur </w:t>
      </w:r>
      <w:r w:rsidR="00461CE4" w:rsidRPr="00F60A3D">
        <w:rPr>
          <w:rFonts w:eastAsia="MS ??"/>
          <w:bCs/>
          <w:lang w:val="fr-FR"/>
        </w:rPr>
        <w:t>l</w:t>
      </w:r>
      <w:r w:rsidR="00B17AE1" w:rsidRPr="00F60A3D">
        <w:rPr>
          <w:rFonts w:eastAsia="MS ??"/>
          <w:bCs/>
          <w:lang w:val="fr-FR"/>
        </w:rPr>
        <w:t>’</w:t>
      </w:r>
      <w:r w:rsidR="00461CE4" w:rsidRPr="00F60A3D">
        <w:rPr>
          <w:rFonts w:eastAsia="MS ??"/>
          <w:bCs/>
          <w:lang w:val="fr-FR"/>
        </w:rPr>
        <w:t xml:space="preserve">île de Lampedusa. </w:t>
      </w:r>
      <w:r w:rsidR="003476ED" w:rsidRPr="00F60A3D">
        <w:rPr>
          <w:rFonts w:eastAsia="MS ??"/>
          <w:bCs/>
          <w:lang w:val="fr-FR"/>
        </w:rPr>
        <w:t>Selon le Haut-Commissariat des N</w:t>
      </w:r>
      <w:r w:rsidR="00461CE4" w:rsidRPr="00F60A3D">
        <w:rPr>
          <w:rFonts w:eastAsia="MS ??"/>
          <w:bCs/>
          <w:lang w:val="fr-FR"/>
        </w:rPr>
        <w:t>ations Unies pour les réfugiés</w:t>
      </w:r>
      <w:r w:rsidR="003476ED" w:rsidRPr="00F60A3D">
        <w:rPr>
          <w:rFonts w:eastAsia="MS ??"/>
          <w:bCs/>
          <w:lang w:val="fr-FR"/>
        </w:rPr>
        <w:t xml:space="preserve"> (HCR)</w:t>
      </w:r>
      <w:r w:rsidR="008B6B2E" w:rsidRPr="00F60A3D">
        <w:rPr>
          <w:rFonts w:eastAsia="MS ??"/>
          <w:bCs/>
          <w:lang w:val="fr-FR"/>
        </w:rPr>
        <w:t>, 170 000 mig</w:t>
      </w:r>
      <w:r w:rsidR="008D3CCD" w:rsidRPr="00F60A3D">
        <w:rPr>
          <w:rFonts w:eastAsia="MS ??"/>
          <w:bCs/>
          <w:lang w:val="fr-FR"/>
        </w:rPr>
        <w:t>rants sont arrivé</w:t>
      </w:r>
      <w:r w:rsidR="008B6B2E" w:rsidRPr="00F60A3D">
        <w:rPr>
          <w:rFonts w:eastAsia="MS ??"/>
          <w:bCs/>
          <w:lang w:val="fr-FR"/>
        </w:rPr>
        <w:t>s en 2014</w:t>
      </w:r>
      <w:r w:rsidR="00D74FE3" w:rsidRPr="00F60A3D">
        <w:rPr>
          <w:rFonts w:eastAsia="MS ??"/>
          <w:bCs/>
          <w:lang w:val="fr-FR"/>
        </w:rPr>
        <w:t xml:space="preserve"> en Italie</w:t>
      </w:r>
      <w:r w:rsidR="008B6B2E" w:rsidRPr="00F60A3D">
        <w:rPr>
          <w:rFonts w:eastAsia="MS ??"/>
          <w:bCs/>
          <w:lang w:val="fr-FR"/>
        </w:rPr>
        <w:t xml:space="preserve">, </w:t>
      </w:r>
      <w:r w:rsidR="00497F35" w:rsidRPr="00F60A3D">
        <w:rPr>
          <w:rFonts w:eastAsia="MS ??"/>
          <w:bCs/>
          <w:lang w:val="fr-FR"/>
        </w:rPr>
        <w:t>don</w:t>
      </w:r>
      <w:r w:rsidR="008B6B2E" w:rsidRPr="00F60A3D">
        <w:rPr>
          <w:rFonts w:eastAsia="MS ??"/>
          <w:bCs/>
          <w:lang w:val="fr-FR"/>
        </w:rPr>
        <w:t>t 64 625 ont demandé l</w:t>
      </w:r>
      <w:r w:rsidR="00B17AE1" w:rsidRPr="00F60A3D">
        <w:rPr>
          <w:rFonts w:eastAsia="MS ??"/>
          <w:bCs/>
          <w:lang w:val="fr-FR"/>
        </w:rPr>
        <w:t>’</w:t>
      </w:r>
      <w:r w:rsidR="008B6B2E" w:rsidRPr="00F60A3D">
        <w:rPr>
          <w:rFonts w:eastAsia="MS ??"/>
          <w:bCs/>
          <w:lang w:val="fr-FR"/>
        </w:rPr>
        <w:t xml:space="preserve">asile. En 2015, </w:t>
      </w:r>
      <w:r w:rsidR="00D74FE3" w:rsidRPr="00F60A3D">
        <w:rPr>
          <w:rFonts w:eastAsia="MS ??"/>
          <w:bCs/>
          <w:lang w:val="fr-FR"/>
        </w:rPr>
        <w:t>ils étaient 114 000</w:t>
      </w:r>
      <w:r w:rsidR="008D3CCD" w:rsidRPr="00F60A3D">
        <w:rPr>
          <w:rFonts w:eastAsia="MS ??"/>
          <w:bCs/>
          <w:lang w:val="fr-FR"/>
        </w:rPr>
        <w:t>. L</w:t>
      </w:r>
      <w:r w:rsidR="00B17AE1" w:rsidRPr="00F60A3D">
        <w:rPr>
          <w:rFonts w:eastAsia="MS ??"/>
          <w:bCs/>
          <w:lang w:val="fr-FR"/>
        </w:rPr>
        <w:t>’</w:t>
      </w:r>
      <w:r w:rsidR="008D3CCD" w:rsidRPr="00F60A3D">
        <w:rPr>
          <w:rFonts w:eastAsia="MS ??"/>
          <w:bCs/>
          <w:lang w:val="fr-FR"/>
        </w:rPr>
        <w:t>I</w:t>
      </w:r>
      <w:r w:rsidR="00497F35" w:rsidRPr="00F60A3D">
        <w:rPr>
          <w:rFonts w:eastAsia="MS ??"/>
          <w:bCs/>
          <w:lang w:val="fr-FR"/>
        </w:rPr>
        <w:t>talie a développé sa capacité d</w:t>
      </w:r>
      <w:r w:rsidR="00B17AE1" w:rsidRPr="00F60A3D">
        <w:rPr>
          <w:rFonts w:eastAsia="MS ??"/>
          <w:bCs/>
          <w:lang w:val="fr-FR"/>
        </w:rPr>
        <w:t>’</w:t>
      </w:r>
      <w:r w:rsidR="00497F35" w:rsidRPr="00F60A3D">
        <w:rPr>
          <w:rFonts w:eastAsia="MS ??"/>
          <w:bCs/>
          <w:lang w:val="fr-FR"/>
        </w:rPr>
        <w:t xml:space="preserve">accueil. </w:t>
      </w:r>
      <w:r w:rsidR="008D3CCD" w:rsidRPr="00F60A3D">
        <w:rPr>
          <w:rFonts w:eastAsia="MS ??"/>
          <w:bCs/>
          <w:lang w:val="fr-FR"/>
        </w:rPr>
        <w:t>Dans les six</w:t>
      </w:r>
      <w:r w:rsidR="00525E06" w:rsidRPr="00F60A3D">
        <w:rPr>
          <w:rFonts w:eastAsia="MS ??"/>
          <w:bCs/>
          <w:lang w:val="fr-FR"/>
        </w:rPr>
        <w:t xml:space="preserve"> premiers mois de 2015, environ</w:t>
      </w:r>
      <w:r w:rsidR="008D3CCD" w:rsidRPr="00F60A3D">
        <w:rPr>
          <w:rFonts w:eastAsia="MS ??"/>
          <w:bCs/>
          <w:lang w:val="fr-FR"/>
        </w:rPr>
        <w:t xml:space="preserve"> 30 000 migrants ont demandé la protection internationale. </w:t>
      </w:r>
    </w:p>
    <w:p w:rsidR="00497F35" w:rsidRPr="00F60A3D" w:rsidRDefault="00E117BA" w:rsidP="00C04828">
      <w:pPr>
        <w:pStyle w:val="SingleTxtG"/>
        <w:rPr>
          <w:rFonts w:eastAsia="MS ??"/>
          <w:lang w:val="fr-FR" w:eastAsia="de-DE"/>
        </w:rPr>
      </w:pPr>
      <w:r w:rsidRPr="00F60A3D">
        <w:rPr>
          <w:rFonts w:eastAsia="MS ??"/>
          <w:lang w:val="fr-FR" w:eastAsia="de-DE"/>
        </w:rPr>
        <w:lastRenderedPageBreak/>
        <w:t>279</w:t>
      </w:r>
      <w:r w:rsidR="00497F35" w:rsidRPr="00F60A3D">
        <w:rPr>
          <w:rFonts w:eastAsia="MS ??"/>
          <w:lang w:val="fr-FR" w:eastAsia="de-DE"/>
        </w:rPr>
        <w:t>.</w:t>
      </w:r>
      <w:r w:rsidR="00497F35" w:rsidRPr="00F60A3D">
        <w:rPr>
          <w:rFonts w:eastAsia="MS ??"/>
          <w:lang w:val="fr-FR" w:eastAsia="de-DE"/>
        </w:rPr>
        <w:tab/>
        <w:t>Entre août 2013 et septembre 2014,</w:t>
      </w:r>
      <w:r w:rsidR="005063FC" w:rsidRPr="00F60A3D">
        <w:rPr>
          <w:rFonts w:eastAsia="MS ??"/>
          <w:lang w:val="fr-FR" w:eastAsia="de-DE"/>
        </w:rPr>
        <w:t xml:space="preserve"> 67</w:t>
      </w:r>
      <w:r w:rsidR="00B17AE1" w:rsidRPr="00F60A3D">
        <w:rPr>
          <w:rFonts w:eastAsia="MS ??"/>
          <w:lang w:val="fr-FR" w:eastAsia="de-DE"/>
        </w:rPr>
        <w:t> %</w:t>
      </w:r>
      <w:r w:rsidR="005063FC" w:rsidRPr="00F60A3D">
        <w:rPr>
          <w:rFonts w:eastAsia="MS ??"/>
          <w:lang w:val="fr-FR" w:eastAsia="de-DE"/>
        </w:rPr>
        <w:t xml:space="preserve"> </w:t>
      </w:r>
      <w:r w:rsidR="00497F35" w:rsidRPr="00F60A3D">
        <w:rPr>
          <w:rFonts w:eastAsia="MS ??"/>
          <w:lang w:val="fr-FR" w:eastAsia="de-DE"/>
        </w:rPr>
        <w:t>des demandes soumises aux commissions territoriales de reconnaissance de la protection internationale, ont</w:t>
      </w:r>
      <w:r w:rsidR="008D3CCD" w:rsidRPr="00F60A3D">
        <w:rPr>
          <w:rFonts w:eastAsia="MS ??"/>
          <w:lang w:val="fr-FR" w:eastAsia="de-DE"/>
        </w:rPr>
        <w:t xml:space="preserve"> é</w:t>
      </w:r>
      <w:r w:rsidR="00497F35" w:rsidRPr="00F60A3D">
        <w:rPr>
          <w:rFonts w:eastAsia="MS ??"/>
          <w:lang w:val="fr-FR" w:eastAsia="de-DE"/>
        </w:rPr>
        <w:t>té acceptées. Dans un souci de transpar</w:t>
      </w:r>
      <w:r w:rsidR="008D3CCD" w:rsidRPr="00F60A3D">
        <w:rPr>
          <w:rFonts w:eastAsia="MS ??"/>
          <w:lang w:val="fr-FR" w:eastAsia="de-DE"/>
        </w:rPr>
        <w:t>ence, un représentant du HCR siè</w:t>
      </w:r>
      <w:r w:rsidR="00497F35" w:rsidRPr="00F60A3D">
        <w:rPr>
          <w:rFonts w:eastAsia="MS ??"/>
          <w:lang w:val="fr-FR" w:eastAsia="de-DE"/>
        </w:rPr>
        <w:t xml:space="preserve">ge dans chaque commission. </w:t>
      </w:r>
    </w:p>
    <w:p w:rsidR="00497F35" w:rsidRPr="00F60A3D" w:rsidRDefault="00E117BA" w:rsidP="00C04828">
      <w:pPr>
        <w:pStyle w:val="SingleTxtG"/>
        <w:rPr>
          <w:rFonts w:eastAsia="MS ??"/>
          <w:lang w:val="fr-FR" w:eastAsia="de-DE"/>
        </w:rPr>
      </w:pPr>
      <w:r w:rsidRPr="00F60A3D">
        <w:rPr>
          <w:rFonts w:eastAsia="MS ??"/>
          <w:lang w:val="fr-FR" w:eastAsia="de-DE"/>
        </w:rPr>
        <w:t>280</w:t>
      </w:r>
      <w:r w:rsidR="00497F35" w:rsidRPr="00F60A3D">
        <w:rPr>
          <w:rFonts w:eastAsia="MS ??"/>
          <w:lang w:val="fr-FR" w:eastAsia="de-DE"/>
        </w:rPr>
        <w:t>.</w:t>
      </w:r>
      <w:r w:rsidR="00497F35" w:rsidRPr="00F60A3D">
        <w:rPr>
          <w:rFonts w:eastAsia="MS ??"/>
          <w:lang w:val="fr-FR" w:eastAsia="de-DE"/>
        </w:rPr>
        <w:tab/>
        <w:t>S</w:t>
      </w:r>
      <w:r w:rsidR="00B17AE1" w:rsidRPr="00F60A3D">
        <w:rPr>
          <w:rFonts w:eastAsia="MS ??"/>
          <w:lang w:val="fr-FR" w:eastAsia="de-DE"/>
        </w:rPr>
        <w:t>’</w:t>
      </w:r>
      <w:r w:rsidR="00497F35" w:rsidRPr="00F60A3D">
        <w:rPr>
          <w:rFonts w:eastAsia="MS ??"/>
          <w:lang w:val="fr-FR" w:eastAsia="de-DE"/>
        </w:rPr>
        <w:t>il n</w:t>
      </w:r>
      <w:r w:rsidR="00B17AE1" w:rsidRPr="00F60A3D">
        <w:rPr>
          <w:rFonts w:eastAsia="MS ??"/>
          <w:lang w:val="fr-FR" w:eastAsia="de-DE"/>
        </w:rPr>
        <w:t>’</w:t>
      </w:r>
      <w:r w:rsidR="00497F35" w:rsidRPr="00F60A3D">
        <w:rPr>
          <w:rFonts w:eastAsia="MS ??"/>
          <w:lang w:val="fr-FR" w:eastAsia="de-DE"/>
        </w:rPr>
        <w:t xml:space="preserve">est pas </w:t>
      </w:r>
      <w:r w:rsidR="007A7306" w:rsidRPr="00F60A3D">
        <w:rPr>
          <w:rFonts w:eastAsia="MS ??"/>
          <w:lang w:val="fr-FR" w:eastAsia="de-DE"/>
        </w:rPr>
        <w:t>statué</w:t>
      </w:r>
      <w:r w:rsidR="00497F35" w:rsidRPr="00F60A3D">
        <w:rPr>
          <w:rFonts w:eastAsia="MS ??"/>
          <w:lang w:val="fr-FR" w:eastAsia="de-DE"/>
        </w:rPr>
        <w:t xml:space="preserve"> sur so</w:t>
      </w:r>
      <w:r w:rsidR="007A7306" w:rsidRPr="00F60A3D">
        <w:rPr>
          <w:rFonts w:eastAsia="MS ??"/>
          <w:lang w:val="fr-FR" w:eastAsia="de-DE"/>
        </w:rPr>
        <w:t>n</w:t>
      </w:r>
      <w:r w:rsidR="00497F35" w:rsidRPr="00F60A3D">
        <w:rPr>
          <w:rFonts w:eastAsia="MS ??"/>
          <w:lang w:val="fr-FR" w:eastAsia="de-DE"/>
        </w:rPr>
        <w:t xml:space="preserve"> cas dans un délai de six mois – période durant laquelle son hébergement peut être pris</w:t>
      </w:r>
      <w:r w:rsidR="007A7306" w:rsidRPr="00F60A3D">
        <w:rPr>
          <w:rFonts w:eastAsia="MS ??"/>
          <w:lang w:val="fr-FR" w:eastAsia="de-DE"/>
        </w:rPr>
        <w:t xml:space="preserve"> e</w:t>
      </w:r>
      <w:r w:rsidR="00497F35" w:rsidRPr="00F60A3D">
        <w:rPr>
          <w:rFonts w:eastAsia="MS ??"/>
          <w:lang w:val="fr-FR" w:eastAsia="de-DE"/>
        </w:rPr>
        <w:t>n charge par l</w:t>
      </w:r>
      <w:r w:rsidR="00B17AE1" w:rsidRPr="00F60A3D">
        <w:rPr>
          <w:rFonts w:eastAsia="MS ??"/>
          <w:lang w:val="fr-FR" w:eastAsia="de-DE"/>
        </w:rPr>
        <w:t>’</w:t>
      </w:r>
      <w:r w:rsidR="00497F35" w:rsidRPr="00F60A3D">
        <w:rPr>
          <w:rFonts w:eastAsia="MS ??"/>
          <w:lang w:val="fr-FR" w:eastAsia="de-DE"/>
        </w:rPr>
        <w:t>État – le requérant obtient un titre de séjour qui lui permet de travailler.</w:t>
      </w:r>
      <w:r w:rsidR="00731982" w:rsidRPr="00F60A3D">
        <w:rPr>
          <w:rFonts w:eastAsia="MS ??"/>
          <w:lang w:val="fr-FR" w:eastAsia="de-DE"/>
        </w:rPr>
        <w:t xml:space="preserve"> </w:t>
      </w:r>
      <w:r w:rsidR="00497F35" w:rsidRPr="00F60A3D">
        <w:rPr>
          <w:rFonts w:eastAsia="MS ??"/>
          <w:lang w:val="fr-FR" w:eastAsia="de-DE"/>
        </w:rPr>
        <w:t xml:space="preserve">La </w:t>
      </w:r>
      <w:r w:rsidR="007A7306" w:rsidRPr="00F60A3D">
        <w:rPr>
          <w:rFonts w:eastAsia="MS ??"/>
          <w:lang w:val="fr-FR" w:eastAsia="de-DE"/>
        </w:rPr>
        <w:t>lé</w:t>
      </w:r>
      <w:r w:rsidR="00497F35" w:rsidRPr="00F60A3D">
        <w:rPr>
          <w:rFonts w:eastAsia="MS ??"/>
          <w:lang w:val="fr-FR" w:eastAsia="de-DE"/>
        </w:rPr>
        <w:t>gislation</w:t>
      </w:r>
      <w:r w:rsidR="007A7306" w:rsidRPr="00F60A3D">
        <w:rPr>
          <w:rFonts w:eastAsia="MS ??"/>
          <w:lang w:val="fr-FR" w:eastAsia="de-DE"/>
        </w:rPr>
        <w:t xml:space="preserve"> i</w:t>
      </w:r>
      <w:r w:rsidR="00497F35" w:rsidRPr="00F60A3D">
        <w:rPr>
          <w:rFonts w:eastAsia="MS ??"/>
          <w:lang w:val="fr-FR" w:eastAsia="de-DE"/>
        </w:rPr>
        <w:t xml:space="preserve">talienne prévoit également une protection humanitaire pour les personnes qui ne peuvent pas </w:t>
      </w:r>
      <w:r w:rsidR="007A7306" w:rsidRPr="00F60A3D">
        <w:rPr>
          <w:rFonts w:eastAsia="MS ??"/>
          <w:lang w:val="fr-FR" w:eastAsia="de-DE"/>
        </w:rPr>
        <w:t>prétend</w:t>
      </w:r>
      <w:r w:rsidR="00497F35" w:rsidRPr="00F60A3D">
        <w:rPr>
          <w:rFonts w:eastAsia="MS ??"/>
          <w:lang w:val="fr-FR" w:eastAsia="de-DE"/>
        </w:rPr>
        <w:t>r</w:t>
      </w:r>
      <w:r w:rsidR="007A7306" w:rsidRPr="00F60A3D">
        <w:rPr>
          <w:rFonts w:eastAsia="MS ??"/>
          <w:lang w:val="fr-FR" w:eastAsia="de-DE"/>
        </w:rPr>
        <w:t>e au statut de réfugié ni</w:t>
      </w:r>
      <w:r w:rsidR="00497F35" w:rsidRPr="00F60A3D">
        <w:rPr>
          <w:rFonts w:eastAsia="MS ??"/>
          <w:lang w:val="fr-FR" w:eastAsia="de-DE"/>
        </w:rPr>
        <w:t xml:space="preserve"> à une protect</w:t>
      </w:r>
      <w:r w:rsidR="008D3CCD" w:rsidRPr="00F60A3D">
        <w:rPr>
          <w:rFonts w:eastAsia="MS ??"/>
          <w:lang w:val="fr-FR" w:eastAsia="de-DE"/>
        </w:rPr>
        <w:t>ion subsidiaire au titre de la C</w:t>
      </w:r>
      <w:r w:rsidR="00497F35" w:rsidRPr="00F60A3D">
        <w:rPr>
          <w:rFonts w:eastAsia="MS ??"/>
          <w:lang w:val="fr-FR" w:eastAsia="de-DE"/>
        </w:rPr>
        <w:t>onventio</w:t>
      </w:r>
      <w:r w:rsidR="003A634C" w:rsidRPr="00F60A3D">
        <w:rPr>
          <w:rFonts w:eastAsia="MS ??"/>
          <w:lang w:val="fr-FR" w:eastAsia="de-DE"/>
        </w:rPr>
        <w:t>n de 1951 et du droit de l</w:t>
      </w:r>
      <w:r w:rsidR="00B17AE1" w:rsidRPr="00F60A3D">
        <w:rPr>
          <w:rFonts w:eastAsia="MS ??"/>
          <w:lang w:val="fr-FR" w:eastAsia="de-DE"/>
        </w:rPr>
        <w:t>’</w:t>
      </w:r>
      <w:r w:rsidR="003A634C" w:rsidRPr="00F60A3D">
        <w:rPr>
          <w:rFonts w:eastAsia="MS ??"/>
          <w:lang w:val="fr-FR" w:eastAsia="de-DE"/>
        </w:rPr>
        <w:t>UE</w:t>
      </w:r>
      <w:r w:rsidR="00245267" w:rsidRPr="00F60A3D">
        <w:rPr>
          <w:rFonts w:eastAsia="MS ??"/>
          <w:lang w:val="fr-FR" w:eastAsia="de-DE"/>
        </w:rPr>
        <w:t>,</w:t>
      </w:r>
      <w:r w:rsidR="008D3CCD" w:rsidRPr="00F60A3D">
        <w:rPr>
          <w:rFonts w:eastAsia="MS ??"/>
          <w:lang w:val="fr-FR" w:eastAsia="de-DE"/>
        </w:rPr>
        <w:t xml:space="preserve"> mais</w:t>
      </w:r>
      <w:r w:rsidR="00497F35" w:rsidRPr="00F60A3D">
        <w:rPr>
          <w:rFonts w:eastAsia="MS ??"/>
          <w:lang w:val="fr-FR" w:eastAsia="de-DE"/>
        </w:rPr>
        <w:t xml:space="preserve"> qui ne peuvent </w:t>
      </w:r>
      <w:r w:rsidR="008D3CCD" w:rsidRPr="00F60A3D">
        <w:rPr>
          <w:rFonts w:eastAsia="MS ??"/>
          <w:lang w:val="fr-FR" w:eastAsia="de-DE"/>
        </w:rPr>
        <w:t>être rapatriée</w:t>
      </w:r>
      <w:r w:rsidR="00497F35" w:rsidRPr="00F60A3D">
        <w:rPr>
          <w:rFonts w:eastAsia="MS ??"/>
          <w:lang w:val="fr-FR" w:eastAsia="de-DE"/>
        </w:rPr>
        <w:t>s pour des raisons humanitaires (il s</w:t>
      </w:r>
      <w:r w:rsidR="00B17AE1" w:rsidRPr="00F60A3D">
        <w:rPr>
          <w:rFonts w:eastAsia="MS ??"/>
          <w:lang w:val="fr-FR" w:eastAsia="de-DE"/>
        </w:rPr>
        <w:t>’</w:t>
      </w:r>
      <w:r w:rsidR="00497F35" w:rsidRPr="00F60A3D">
        <w:rPr>
          <w:rFonts w:eastAsia="MS ??"/>
          <w:lang w:val="fr-FR" w:eastAsia="de-DE"/>
        </w:rPr>
        <w:t>agit en général d</w:t>
      </w:r>
      <w:r w:rsidR="00B17AE1" w:rsidRPr="00F60A3D">
        <w:rPr>
          <w:rFonts w:eastAsia="MS ??"/>
          <w:lang w:val="fr-FR" w:eastAsia="de-DE"/>
        </w:rPr>
        <w:t>’</w:t>
      </w:r>
      <w:r w:rsidR="00497F35" w:rsidRPr="00F60A3D">
        <w:rPr>
          <w:rFonts w:eastAsia="MS ??"/>
          <w:lang w:val="fr-FR" w:eastAsia="de-DE"/>
        </w:rPr>
        <w:t>un permis de séjour d</w:t>
      </w:r>
      <w:r w:rsidR="00B17AE1" w:rsidRPr="00F60A3D">
        <w:rPr>
          <w:rFonts w:eastAsia="MS ??"/>
          <w:lang w:val="fr-FR" w:eastAsia="de-DE"/>
        </w:rPr>
        <w:t>’</w:t>
      </w:r>
      <w:r w:rsidR="00497F35" w:rsidRPr="00F60A3D">
        <w:rPr>
          <w:rFonts w:eastAsia="MS ??"/>
          <w:lang w:val="fr-FR" w:eastAsia="de-DE"/>
        </w:rPr>
        <w:t>une durée d</w:t>
      </w:r>
      <w:r w:rsidR="00B17AE1" w:rsidRPr="00F60A3D">
        <w:rPr>
          <w:rFonts w:eastAsia="MS ??"/>
          <w:lang w:val="fr-FR" w:eastAsia="de-DE"/>
        </w:rPr>
        <w:t>’</w:t>
      </w:r>
      <w:r w:rsidR="00497F35" w:rsidRPr="00F60A3D">
        <w:rPr>
          <w:rFonts w:eastAsia="MS ??"/>
          <w:lang w:val="fr-FR" w:eastAsia="de-DE"/>
        </w:rPr>
        <w:t>un an renouvelable ta</w:t>
      </w:r>
      <w:r w:rsidR="008D3CCD" w:rsidRPr="00F60A3D">
        <w:rPr>
          <w:rFonts w:eastAsia="MS ??"/>
          <w:lang w:val="fr-FR" w:eastAsia="de-DE"/>
        </w:rPr>
        <w:t>nt que la situation humanitaire le justifie</w:t>
      </w:r>
      <w:r w:rsidR="00497F35" w:rsidRPr="00F60A3D">
        <w:rPr>
          <w:rFonts w:eastAsia="MS ??"/>
          <w:lang w:val="fr-FR" w:eastAsia="de-DE"/>
        </w:rPr>
        <w:t xml:space="preserve">). </w:t>
      </w:r>
    </w:p>
    <w:p w:rsidR="00213F2F" w:rsidRPr="00F60A3D" w:rsidRDefault="00E117BA" w:rsidP="00C04828">
      <w:pPr>
        <w:pStyle w:val="SingleTxtG"/>
        <w:rPr>
          <w:rFonts w:eastAsia="MS ??"/>
          <w:lang w:val="fr-FR"/>
        </w:rPr>
      </w:pPr>
      <w:r w:rsidRPr="00F60A3D">
        <w:rPr>
          <w:rFonts w:eastAsia="MS ??"/>
          <w:lang w:val="fr-FR"/>
        </w:rPr>
        <w:t>281</w:t>
      </w:r>
      <w:r w:rsidR="005063FC" w:rsidRPr="00F60A3D">
        <w:rPr>
          <w:rFonts w:eastAsia="MS ??"/>
          <w:lang w:val="fr-FR"/>
        </w:rPr>
        <w:t>.</w:t>
      </w:r>
      <w:r w:rsidR="005063FC" w:rsidRPr="00F60A3D">
        <w:rPr>
          <w:rFonts w:eastAsia="MS ??"/>
          <w:lang w:val="fr-FR"/>
        </w:rPr>
        <w:tab/>
      </w:r>
      <w:r w:rsidR="00FC5BC0" w:rsidRPr="00F60A3D">
        <w:rPr>
          <w:rFonts w:eastAsia="MS ??"/>
          <w:lang w:val="fr-FR"/>
        </w:rPr>
        <w:t>En 2013, on comptait 22 </w:t>
      </w:r>
      <w:r w:rsidR="00213F2F" w:rsidRPr="00F60A3D">
        <w:rPr>
          <w:rFonts w:eastAsia="MS ??"/>
          <w:lang w:val="fr-FR"/>
        </w:rPr>
        <w:t>millions de femmes dans les zones rurales; 19,5</w:t>
      </w:r>
      <w:r w:rsidR="00B17AE1" w:rsidRPr="00F60A3D">
        <w:rPr>
          <w:rFonts w:eastAsia="MS ??"/>
          <w:lang w:val="fr-FR"/>
        </w:rPr>
        <w:t> %</w:t>
      </w:r>
      <w:r w:rsidR="007A7306" w:rsidRPr="00F60A3D">
        <w:rPr>
          <w:rFonts w:eastAsia="MS ??"/>
          <w:lang w:val="fr-FR"/>
        </w:rPr>
        <w:t xml:space="preserve"> de la population rurale, pour </w:t>
      </w:r>
      <w:r w:rsidR="00213F2F" w:rsidRPr="00F60A3D">
        <w:rPr>
          <w:rFonts w:eastAsia="MS ??"/>
          <w:lang w:val="fr-FR"/>
        </w:rPr>
        <w:t>50</w:t>
      </w:r>
      <w:r w:rsidR="00B17AE1" w:rsidRPr="00F60A3D">
        <w:rPr>
          <w:rFonts w:eastAsia="MS ??"/>
          <w:lang w:val="fr-FR"/>
        </w:rPr>
        <w:t> %</w:t>
      </w:r>
      <w:r w:rsidR="00213F2F" w:rsidRPr="00F60A3D">
        <w:rPr>
          <w:rFonts w:eastAsia="MS ??"/>
          <w:lang w:val="fr-FR"/>
        </w:rPr>
        <w:t xml:space="preserve"> composée de femmes, vit dans les régions les moins développées. </w:t>
      </w:r>
    </w:p>
    <w:p w:rsidR="00213F2F" w:rsidRPr="00F60A3D" w:rsidRDefault="00213F2F" w:rsidP="00FC5BC0">
      <w:pPr>
        <w:pStyle w:val="Bullet1G"/>
      </w:pPr>
      <w:r w:rsidRPr="00F60A3D">
        <w:t>Les femmes représentent 41</w:t>
      </w:r>
      <w:r w:rsidR="00B17AE1" w:rsidRPr="00F60A3D">
        <w:t> %</w:t>
      </w:r>
      <w:r w:rsidRPr="00F60A3D">
        <w:t xml:space="preserve"> de la main-d</w:t>
      </w:r>
      <w:r w:rsidR="00B17AE1" w:rsidRPr="00F60A3D">
        <w:t>’</w:t>
      </w:r>
      <w:r w:rsidRPr="00F60A3D">
        <w:t>œuvre rurale, dont 18</w:t>
      </w:r>
      <w:r w:rsidR="00B17AE1" w:rsidRPr="00F60A3D">
        <w:t> %</w:t>
      </w:r>
      <w:r w:rsidRPr="00F60A3D">
        <w:t xml:space="preserve"> dans les régions les moins développées. Plusieu</w:t>
      </w:r>
      <w:r w:rsidR="006A685D" w:rsidRPr="00F60A3D">
        <w:t>rs initiatives visent à</w:t>
      </w:r>
      <w:r w:rsidRPr="00F60A3D">
        <w:t xml:space="preserve"> renforcer </w:t>
      </w:r>
      <w:r w:rsidR="008D3E6A" w:rsidRPr="00F60A3D">
        <w:t xml:space="preserve">(notamment localement) </w:t>
      </w:r>
      <w:r w:rsidRPr="00F60A3D">
        <w:t>la participation et l</w:t>
      </w:r>
      <w:r w:rsidR="00B17AE1" w:rsidRPr="00F60A3D">
        <w:t>’</w:t>
      </w:r>
      <w:r w:rsidRPr="00F60A3D">
        <w:t xml:space="preserve">accès des femmes au secteur </w:t>
      </w:r>
      <w:r w:rsidR="0057373F" w:rsidRPr="00F60A3D">
        <w:t>agricole (par le biais par exemple</w:t>
      </w:r>
      <w:r w:rsidR="00736673" w:rsidRPr="00F60A3D">
        <w:t xml:space="preserve"> de </w:t>
      </w:r>
      <w:r w:rsidR="00731982" w:rsidRPr="00F60A3D">
        <w:t>«</w:t>
      </w:r>
      <w:r w:rsidRPr="00F60A3D">
        <w:t>l</w:t>
      </w:r>
      <w:r w:rsidR="00B17AE1" w:rsidRPr="00F60A3D">
        <w:t>’</w:t>
      </w:r>
      <w:r w:rsidRPr="00F60A3D">
        <w:t xml:space="preserve">approche </w:t>
      </w:r>
      <w:r w:rsidR="0057373F" w:rsidRPr="00F60A3D">
        <w:t>Leader</w:t>
      </w:r>
      <w:r w:rsidR="00731982" w:rsidRPr="00F60A3D">
        <w:t>»</w:t>
      </w:r>
      <w:r w:rsidR="0057373F" w:rsidRPr="00F60A3D">
        <w:t>, de projets intégrés et d</w:t>
      </w:r>
      <w:r w:rsidR="00B17AE1" w:rsidRPr="00F60A3D">
        <w:t>’</w:t>
      </w:r>
      <w:r w:rsidR="0057373F" w:rsidRPr="00F60A3D">
        <w:t xml:space="preserve">activités de </w:t>
      </w:r>
      <w:r w:rsidR="008D3E6A" w:rsidRPr="00F60A3D">
        <w:t xml:space="preserve">formation), </w:t>
      </w:r>
      <w:r w:rsidR="0057373F" w:rsidRPr="00F60A3D">
        <w:t xml:space="preserve">et </w:t>
      </w:r>
      <w:r w:rsidR="00525E06" w:rsidRPr="00F60A3D">
        <w:t xml:space="preserve">également </w:t>
      </w:r>
      <w:r w:rsidR="006A685D" w:rsidRPr="00F60A3D">
        <w:t>à</w:t>
      </w:r>
      <w:r w:rsidR="0057373F" w:rsidRPr="00F60A3D">
        <w:t xml:space="preserve"> réduire la fracture numérique</w:t>
      </w:r>
      <w:r w:rsidR="00FC5BC0" w:rsidRPr="00F60A3D">
        <w:t>;</w:t>
      </w:r>
    </w:p>
    <w:p w:rsidR="0057373F" w:rsidRPr="00F60A3D" w:rsidRDefault="0057373F" w:rsidP="00462003">
      <w:pPr>
        <w:pStyle w:val="Bullet2G"/>
      </w:pPr>
      <w:r w:rsidRPr="00F60A3D">
        <w:t>Le VIème recensement du secteur agricole évalue à 500 000 le nombre de femmes à la tête d</w:t>
      </w:r>
      <w:r w:rsidR="00B17AE1" w:rsidRPr="00F60A3D">
        <w:t>’</w:t>
      </w:r>
      <w:r w:rsidRPr="00F60A3D">
        <w:t xml:space="preserve">une entreprise agricole, </w:t>
      </w:r>
      <w:r w:rsidR="00B177F0" w:rsidRPr="00F60A3D">
        <w:t>dont 58</w:t>
      </w:r>
      <w:r w:rsidR="00B17AE1" w:rsidRPr="00F60A3D">
        <w:t> %</w:t>
      </w:r>
      <w:r w:rsidR="00B177F0" w:rsidRPr="00F60A3D">
        <w:t xml:space="preserve"> en Italie du Sud; le pourcentage</w:t>
      </w:r>
      <w:r w:rsidRPr="00F60A3D">
        <w:t xml:space="preserve"> de femmes qui possèdent, dirigent ou contrôlent ce type d</w:t>
      </w:r>
      <w:r w:rsidR="00B17AE1" w:rsidRPr="00F60A3D">
        <w:t>’</w:t>
      </w:r>
      <w:r w:rsidRPr="00F60A3D">
        <w:t>entreprise</w:t>
      </w:r>
      <w:r w:rsidR="007A7306" w:rsidRPr="00F60A3D">
        <w:t>s</w:t>
      </w:r>
      <w:r w:rsidRPr="00F60A3D">
        <w:t xml:space="preserve"> est passé de 26 à 31</w:t>
      </w:r>
      <w:r w:rsidR="00B17AE1" w:rsidRPr="00F60A3D">
        <w:t> %</w:t>
      </w:r>
      <w:r w:rsidRPr="00F60A3D">
        <w:t xml:space="preserve"> en 1990</w:t>
      </w:r>
      <w:r w:rsidR="00FC5BC0" w:rsidRPr="00F60A3D">
        <w:t>-</w:t>
      </w:r>
      <w:r w:rsidRPr="00F60A3D">
        <w:t>2010, en particulier dans le Sud</w:t>
      </w:r>
      <w:r w:rsidR="00E72377" w:rsidRPr="00F60A3D">
        <w:t>,</w:t>
      </w:r>
      <w:r w:rsidRPr="00F60A3D">
        <w:t xml:space="preserve"> dans la région de Molise où il atteint 39,4</w:t>
      </w:r>
      <w:r w:rsidR="00B17AE1" w:rsidRPr="00F60A3D">
        <w:t> %</w:t>
      </w:r>
      <w:r w:rsidR="00FC5BC0" w:rsidRPr="00F60A3D">
        <w:t>;</w:t>
      </w:r>
    </w:p>
    <w:p w:rsidR="0057373F" w:rsidRPr="00F60A3D" w:rsidRDefault="006A685D" w:rsidP="00FC5BC0">
      <w:pPr>
        <w:pStyle w:val="Bullet1G"/>
      </w:pPr>
      <w:r w:rsidRPr="00F60A3D">
        <w:t xml:space="preserve">Les </w:t>
      </w:r>
      <w:r w:rsidR="0057373F" w:rsidRPr="00F60A3D">
        <w:t>migrantes représentent 29</w:t>
      </w:r>
      <w:r w:rsidR="00B17AE1" w:rsidRPr="00F60A3D">
        <w:t> %</w:t>
      </w:r>
      <w:r w:rsidR="0057373F" w:rsidRPr="00F60A3D">
        <w:t xml:space="preserve"> de la main-d</w:t>
      </w:r>
      <w:r w:rsidR="00B17AE1" w:rsidRPr="00F60A3D">
        <w:t>’</w:t>
      </w:r>
      <w:r w:rsidR="0057373F" w:rsidRPr="00F60A3D">
        <w:t>œuvre rurale totale (Source</w:t>
      </w:r>
      <w:r w:rsidR="00B86BFB" w:rsidRPr="00F60A3D">
        <w:t xml:space="preserve">: </w:t>
      </w:r>
      <w:r w:rsidR="00896FD0" w:rsidRPr="00F60A3D">
        <w:t>Institut national de l</w:t>
      </w:r>
      <w:r w:rsidR="00B17AE1" w:rsidRPr="00F60A3D">
        <w:t>’</w:t>
      </w:r>
      <w:r w:rsidR="00896FD0" w:rsidRPr="00F60A3D">
        <w:t>économie agraire</w:t>
      </w:r>
      <w:r w:rsidR="00D26282" w:rsidRPr="00F60A3D">
        <w:t xml:space="preserve"> – </w:t>
      </w:r>
      <w:r w:rsidR="00896FD0" w:rsidRPr="00F60A3D">
        <w:t>Conseil p</w:t>
      </w:r>
      <w:r w:rsidR="00B86BFB" w:rsidRPr="00F60A3D">
        <w:t>our la recherche en agriculture</w:t>
      </w:r>
      <w:r w:rsidR="008F4C5E" w:rsidRPr="00F60A3D">
        <w:t>,</w:t>
      </w:r>
      <w:r w:rsidR="00896FD0" w:rsidRPr="00F60A3D">
        <w:t xml:space="preserve"> </w:t>
      </w:r>
      <w:r w:rsidR="0079595D" w:rsidRPr="00F60A3D">
        <w:t>(</w:t>
      </w:r>
      <w:r w:rsidR="003476ED" w:rsidRPr="00F60A3D">
        <w:t>données 2013 de l</w:t>
      </w:r>
      <w:r w:rsidR="00B17AE1" w:rsidRPr="00F60A3D">
        <w:t>’</w:t>
      </w:r>
      <w:r w:rsidR="00896FD0" w:rsidRPr="00F60A3D">
        <w:t>Institut national de sécurité sociale</w:t>
      </w:r>
      <w:r w:rsidR="0079595D" w:rsidRPr="00F60A3D">
        <w:t>)</w:t>
      </w:r>
      <w:r w:rsidR="00896FD0" w:rsidRPr="00F60A3D">
        <w:t>), et</w:t>
      </w:r>
      <w:r w:rsidR="007A7306" w:rsidRPr="00F60A3D">
        <w:t xml:space="preserve"> 22</w:t>
      </w:r>
      <w:r w:rsidR="00B17AE1" w:rsidRPr="00F60A3D">
        <w:t> %</w:t>
      </w:r>
      <w:r w:rsidR="007A7306" w:rsidRPr="00F60A3D">
        <w:t xml:space="preserve"> de la main-d</w:t>
      </w:r>
      <w:r w:rsidR="00B17AE1" w:rsidRPr="00F60A3D">
        <w:t>’</w:t>
      </w:r>
      <w:r w:rsidR="007A7306" w:rsidRPr="00F60A3D">
        <w:t>œuvre fémini</w:t>
      </w:r>
      <w:r w:rsidR="00896FD0" w:rsidRPr="00F60A3D">
        <w:t xml:space="preserve">ne rurale totale. </w:t>
      </w:r>
    </w:p>
    <w:p w:rsidR="005063FC" w:rsidRPr="00F60A3D" w:rsidRDefault="006A685D" w:rsidP="00462003">
      <w:pPr>
        <w:pStyle w:val="Bullet2G"/>
      </w:pPr>
      <w:r w:rsidRPr="00F60A3D">
        <w:t>Les migrantes sont</w:t>
      </w:r>
      <w:r w:rsidR="00896FD0" w:rsidRPr="00F60A3D">
        <w:t xml:space="preserve"> concentrée</w:t>
      </w:r>
      <w:r w:rsidRPr="00F60A3D">
        <w:t>s en majorité</w:t>
      </w:r>
      <w:r w:rsidR="00896FD0" w:rsidRPr="00F60A3D">
        <w:t xml:space="preserve"> dans cinq régions: Émilie- Romagne (17</w:t>
      </w:r>
      <w:r w:rsidR="00B17AE1" w:rsidRPr="00F60A3D">
        <w:t> %</w:t>
      </w:r>
      <w:r w:rsidR="00896FD0" w:rsidRPr="00F60A3D">
        <w:t>); Pouilles</w:t>
      </w:r>
      <w:r w:rsidR="005063FC" w:rsidRPr="00F60A3D">
        <w:t xml:space="preserve"> (12,4</w:t>
      </w:r>
      <w:r w:rsidR="00B17AE1" w:rsidRPr="00F60A3D">
        <w:t> %</w:t>
      </w:r>
      <w:r w:rsidR="005063FC" w:rsidRPr="00F60A3D">
        <w:t>); Cala</w:t>
      </w:r>
      <w:r w:rsidR="00E73A55" w:rsidRPr="00F60A3D">
        <w:t>bre (11</w:t>
      </w:r>
      <w:r w:rsidR="00B17AE1" w:rsidRPr="00F60A3D">
        <w:t> %</w:t>
      </w:r>
      <w:r w:rsidR="00E73A55" w:rsidRPr="00F60A3D">
        <w:t>), Sicile (8</w:t>
      </w:r>
      <w:r w:rsidR="00B17AE1" w:rsidRPr="00F60A3D">
        <w:t> %</w:t>
      </w:r>
      <w:r w:rsidR="00E73A55" w:rsidRPr="00F60A3D">
        <w:t>); et</w:t>
      </w:r>
      <w:r w:rsidR="00896FD0" w:rsidRPr="00F60A3D">
        <w:t xml:space="preserve"> Vénétie</w:t>
      </w:r>
      <w:r w:rsidR="005063FC" w:rsidRPr="00F60A3D">
        <w:t xml:space="preserve"> (9</w:t>
      </w:r>
      <w:r w:rsidR="00B17AE1" w:rsidRPr="00F60A3D">
        <w:t> %</w:t>
      </w:r>
      <w:r w:rsidR="00FC5BC0" w:rsidRPr="00F60A3D">
        <w:t>);</w:t>
      </w:r>
    </w:p>
    <w:p w:rsidR="009D38B4" w:rsidRPr="00F60A3D" w:rsidRDefault="00896FD0" w:rsidP="00FC5BC0">
      <w:pPr>
        <w:pStyle w:val="Bullet1G"/>
      </w:pPr>
      <w:r w:rsidRPr="00F60A3D">
        <w:t>La participation des femmes aux nouvelles formes de gouvernance s</w:t>
      </w:r>
      <w:r w:rsidR="00B17AE1" w:rsidRPr="00F60A3D">
        <w:t>’</w:t>
      </w:r>
      <w:r w:rsidRPr="00F60A3D">
        <w:t>est accrue au cours des dix dernières années, en particulier dans le cadre</w:t>
      </w:r>
      <w:r w:rsidR="009033DA" w:rsidRPr="00F60A3D">
        <w:t xml:space="preserve"> des projets locaux intégré</w:t>
      </w:r>
      <w:r w:rsidR="009D38B4" w:rsidRPr="00F60A3D">
        <w:t>s et des plans lo</w:t>
      </w:r>
      <w:r w:rsidR="009033DA" w:rsidRPr="00F60A3D">
        <w:t>caux de développement mis en œu</w:t>
      </w:r>
      <w:r w:rsidR="009D38B4" w:rsidRPr="00F60A3D">
        <w:t>vre par les groupes d</w:t>
      </w:r>
      <w:r w:rsidR="00B17AE1" w:rsidRPr="00F60A3D">
        <w:t>’</w:t>
      </w:r>
      <w:r w:rsidR="009D38B4" w:rsidRPr="00F60A3D">
        <w:t xml:space="preserve">action locaux </w:t>
      </w:r>
      <w:r w:rsidR="009033DA" w:rsidRPr="00F60A3D">
        <w:t xml:space="preserve">au </w:t>
      </w:r>
      <w:r w:rsidR="00B511BB" w:rsidRPr="00F60A3D">
        <w:t>titre de l</w:t>
      </w:r>
      <w:r w:rsidR="00B17AE1" w:rsidRPr="00F60A3D">
        <w:t>’</w:t>
      </w:r>
      <w:r w:rsidR="00B511BB" w:rsidRPr="00F60A3D">
        <w:t xml:space="preserve">initiative </w:t>
      </w:r>
      <w:r w:rsidR="00731982" w:rsidRPr="00F60A3D">
        <w:t>«</w:t>
      </w:r>
      <w:r w:rsidR="009033DA" w:rsidRPr="00F60A3D">
        <w:t>L</w:t>
      </w:r>
      <w:r w:rsidR="009D38B4" w:rsidRPr="00F60A3D">
        <w:t>eader</w:t>
      </w:r>
      <w:r w:rsidR="00731982" w:rsidRPr="00F60A3D">
        <w:t>»</w:t>
      </w:r>
      <w:r w:rsidR="009D38B4" w:rsidRPr="00F60A3D">
        <w:t xml:space="preserve"> de l</w:t>
      </w:r>
      <w:r w:rsidR="00B17AE1" w:rsidRPr="00F60A3D">
        <w:t>’</w:t>
      </w:r>
      <w:r w:rsidR="00FC5BC0" w:rsidRPr="00F60A3D">
        <w:t>Union européenne;</w:t>
      </w:r>
    </w:p>
    <w:p w:rsidR="009D38B4" w:rsidRPr="00F60A3D" w:rsidRDefault="009D38B4" w:rsidP="00462003">
      <w:pPr>
        <w:pStyle w:val="Bullet2G"/>
      </w:pPr>
      <w:r w:rsidRPr="00F60A3D">
        <w:t>De manière plus spéci</w:t>
      </w:r>
      <w:r w:rsidR="009033DA" w:rsidRPr="00F60A3D">
        <w:t xml:space="preserve">fique, </w:t>
      </w:r>
      <w:r w:rsidR="00834681" w:rsidRPr="00F60A3D">
        <w:t>les femmes occup</w:t>
      </w:r>
      <w:r w:rsidR="00AF3166" w:rsidRPr="00F60A3D">
        <w:t xml:space="preserve">ent </w:t>
      </w:r>
      <w:r w:rsidRPr="00F60A3D">
        <w:t>70</w:t>
      </w:r>
      <w:r w:rsidR="00B17AE1" w:rsidRPr="00F60A3D">
        <w:t> %</w:t>
      </w:r>
      <w:r w:rsidRPr="00F60A3D">
        <w:t xml:space="preserve"> </w:t>
      </w:r>
      <w:r w:rsidR="00834681" w:rsidRPr="00F60A3D">
        <w:t>des postes de premier plan tels</w:t>
      </w:r>
      <w:r w:rsidR="00B87A01" w:rsidRPr="00F60A3D">
        <w:t xml:space="preserve"> que directrices de projets, formatrices et </w:t>
      </w:r>
      <w:r w:rsidRPr="00F60A3D">
        <w:t>a</w:t>
      </w:r>
      <w:r w:rsidR="00FC5BC0" w:rsidRPr="00F60A3D">
        <w:t>nimatrices de nouveaux réseaux;</w:t>
      </w:r>
    </w:p>
    <w:p w:rsidR="005063FC" w:rsidRPr="00F60A3D" w:rsidRDefault="009D38B4" w:rsidP="00462003">
      <w:pPr>
        <w:pStyle w:val="Bullet2G"/>
      </w:pPr>
      <w:r w:rsidRPr="00F60A3D">
        <w:t>Le Ministère de l</w:t>
      </w:r>
      <w:r w:rsidR="00B17AE1" w:rsidRPr="00F60A3D">
        <w:t>’</w:t>
      </w:r>
      <w:r w:rsidRPr="00F60A3D">
        <w:t>agriculture et les associations</w:t>
      </w:r>
      <w:r w:rsidR="005063FC" w:rsidRPr="00F60A3D">
        <w:t xml:space="preserve"> </w:t>
      </w:r>
      <w:r w:rsidRPr="00F60A3D">
        <w:t xml:space="preserve">telles </w:t>
      </w:r>
      <w:r w:rsidR="00CF56F1" w:rsidRPr="00F60A3D">
        <w:t xml:space="preserve">que </w:t>
      </w:r>
      <w:r w:rsidR="00731982" w:rsidRPr="00F60A3D">
        <w:t>«</w:t>
      </w:r>
      <w:r w:rsidR="005063FC" w:rsidRPr="00F60A3D">
        <w:rPr>
          <w:iCs/>
        </w:rPr>
        <w:t>Donne</w:t>
      </w:r>
      <w:r w:rsidR="00B511BB" w:rsidRPr="00F60A3D">
        <w:rPr>
          <w:iCs/>
        </w:rPr>
        <w:t xml:space="preserve"> in Campo</w:t>
      </w:r>
      <w:r w:rsidR="00731982" w:rsidRPr="00F60A3D">
        <w:rPr>
          <w:iCs/>
        </w:rPr>
        <w:t>»</w:t>
      </w:r>
      <w:r w:rsidR="00B511BB" w:rsidRPr="00F60A3D">
        <w:rPr>
          <w:iCs/>
        </w:rPr>
        <w:t xml:space="preserve">, </w:t>
      </w:r>
      <w:r w:rsidR="00731982" w:rsidRPr="00F60A3D">
        <w:rPr>
          <w:iCs/>
        </w:rPr>
        <w:t>«</w:t>
      </w:r>
      <w:r w:rsidR="00B511BB" w:rsidRPr="00F60A3D">
        <w:rPr>
          <w:iCs/>
        </w:rPr>
        <w:t>Donne Impresa</w:t>
      </w:r>
      <w:r w:rsidR="00731982" w:rsidRPr="00F60A3D">
        <w:rPr>
          <w:iCs/>
        </w:rPr>
        <w:t>»</w:t>
      </w:r>
      <w:r w:rsidRPr="00F60A3D">
        <w:rPr>
          <w:iCs/>
        </w:rPr>
        <w:t xml:space="preserve"> et</w:t>
      </w:r>
      <w:r w:rsidR="00B511BB" w:rsidRPr="00F60A3D">
        <w:rPr>
          <w:iCs/>
        </w:rPr>
        <w:t xml:space="preserve"> </w:t>
      </w:r>
      <w:r w:rsidR="00731982" w:rsidRPr="00F60A3D">
        <w:rPr>
          <w:iCs/>
        </w:rPr>
        <w:t>«</w:t>
      </w:r>
      <w:r w:rsidR="00B511BB" w:rsidRPr="00F60A3D">
        <w:rPr>
          <w:iCs/>
        </w:rPr>
        <w:t>Confagricoltura Donna</w:t>
      </w:r>
      <w:r w:rsidR="00731982" w:rsidRPr="00F60A3D">
        <w:rPr>
          <w:iCs/>
        </w:rPr>
        <w:t>»</w:t>
      </w:r>
      <w:r w:rsidR="005063FC" w:rsidRPr="00F60A3D">
        <w:t xml:space="preserve"> </w:t>
      </w:r>
      <w:r w:rsidRPr="00F60A3D">
        <w:t xml:space="preserve">soutiennent les activités agricoles dirigées par des femmes. </w:t>
      </w:r>
    </w:p>
    <w:p w:rsidR="005063FC" w:rsidRPr="00F60A3D" w:rsidRDefault="00E117BA" w:rsidP="00C04828">
      <w:pPr>
        <w:pStyle w:val="SingleTxtG"/>
        <w:rPr>
          <w:lang w:val="fr-FR"/>
        </w:rPr>
      </w:pPr>
      <w:r w:rsidRPr="00F60A3D">
        <w:rPr>
          <w:lang w:val="fr-FR"/>
        </w:rPr>
        <w:t>282</w:t>
      </w:r>
      <w:r w:rsidR="00887DE6" w:rsidRPr="00F60A3D">
        <w:rPr>
          <w:lang w:val="fr-FR"/>
        </w:rPr>
        <w:t>.</w:t>
      </w:r>
      <w:r w:rsidR="00887DE6" w:rsidRPr="00F60A3D">
        <w:rPr>
          <w:lang w:val="fr-FR"/>
        </w:rPr>
        <w:tab/>
        <w:t xml:space="preserve">Les hôpitaux psychiatriques judiciaires ont été fermés par la loi </w:t>
      </w:r>
      <w:r w:rsidR="00B17AE1" w:rsidRPr="00F60A3D">
        <w:rPr>
          <w:lang w:val="fr-FR"/>
        </w:rPr>
        <w:t>n</w:t>
      </w:r>
      <w:r w:rsidR="00B17AE1" w:rsidRPr="00F60A3D">
        <w:rPr>
          <w:vertAlign w:val="superscript"/>
          <w:lang w:val="fr-FR"/>
        </w:rPr>
        <w:t>o</w:t>
      </w:r>
      <w:r w:rsidR="00B17AE1" w:rsidRPr="00F60A3D">
        <w:rPr>
          <w:lang w:val="fr-FR"/>
        </w:rPr>
        <w:t> </w:t>
      </w:r>
      <w:r w:rsidR="00FC5BC0" w:rsidRPr="00F60A3D">
        <w:rPr>
          <w:lang w:val="fr-FR"/>
        </w:rPr>
        <w:t>81/2014 du 31 </w:t>
      </w:r>
      <w:r w:rsidR="00887DE6" w:rsidRPr="00F60A3D">
        <w:rPr>
          <w:lang w:val="fr-FR"/>
        </w:rPr>
        <w:t xml:space="preserve">mars 2015. </w:t>
      </w:r>
    </w:p>
    <w:p w:rsidR="005063FC" w:rsidRPr="00F60A3D" w:rsidRDefault="00E117BA" w:rsidP="00887DE6">
      <w:pPr>
        <w:pStyle w:val="SingleTxtG"/>
        <w:rPr>
          <w:rFonts w:eastAsia="MS ??"/>
          <w:lang w:val="fr-FR"/>
        </w:rPr>
      </w:pPr>
      <w:r w:rsidRPr="00F60A3D">
        <w:rPr>
          <w:lang w:val="fr-FR"/>
        </w:rPr>
        <w:t>283</w:t>
      </w:r>
      <w:r w:rsidR="005063FC" w:rsidRPr="00F60A3D">
        <w:rPr>
          <w:lang w:val="fr-FR"/>
        </w:rPr>
        <w:t>.</w:t>
      </w:r>
      <w:r w:rsidR="005063FC" w:rsidRPr="00F60A3D">
        <w:rPr>
          <w:lang w:val="fr-FR"/>
        </w:rPr>
        <w:tab/>
      </w:r>
      <w:r w:rsidR="00887DE6" w:rsidRPr="00F60A3D">
        <w:rPr>
          <w:rFonts w:eastAsia="MS ??"/>
          <w:lang w:val="fr-FR"/>
        </w:rPr>
        <w:t>D</w:t>
      </w:r>
      <w:r w:rsidR="00B17AE1" w:rsidRPr="00F60A3D">
        <w:rPr>
          <w:rFonts w:eastAsia="MS ??"/>
          <w:lang w:val="fr-FR"/>
        </w:rPr>
        <w:t>’</w:t>
      </w:r>
      <w:r w:rsidR="00887DE6" w:rsidRPr="00F60A3D">
        <w:rPr>
          <w:rFonts w:eastAsia="MS ??"/>
          <w:lang w:val="fr-FR"/>
        </w:rPr>
        <w:t>autre part, dans le cadre de la réforme générale de la justice en cours, le Ministère de la justice a mis en place des mesures destinées à limiter le recours à la détention provisoire et à réduire ainsi la surpopulation carcé</w:t>
      </w:r>
      <w:r w:rsidR="00E73A55" w:rsidRPr="00F60A3D">
        <w:rPr>
          <w:rFonts w:eastAsia="MS ??"/>
          <w:lang w:val="fr-FR"/>
        </w:rPr>
        <w:t xml:space="preserve">rale: le décret-loi </w:t>
      </w:r>
      <w:r w:rsidR="00B17AE1" w:rsidRPr="00F60A3D">
        <w:rPr>
          <w:rFonts w:eastAsia="MS ??"/>
          <w:lang w:val="fr-FR"/>
        </w:rPr>
        <w:t>n</w:t>
      </w:r>
      <w:r w:rsidR="00B17AE1" w:rsidRPr="00F60A3D">
        <w:rPr>
          <w:rFonts w:eastAsia="MS ??"/>
          <w:vertAlign w:val="superscript"/>
          <w:lang w:val="fr-FR"/>
        </w:rPr>
        <w:t>o</w:t>
      </w:r>
      <w:r w:rsidR="00B17AE1" w:rsidRPr="00F60A3D">
        <w:rPr>
          <w:rFonts w:eastAsia="MS ??"/>
          <w:lang w:val="fr-FR"/>
        </w:rPr>
        <w:t> </w:t>
      </w:r>
      <w:r w:rsidR="00E73A55" w:rsidRPr="00F60A3D">
        <w:rPr>
          <w:rFonts w:eastAsia="MS ??"/>
          <w:lang w:val="fr-FR"/>
        </w:rPr>
        <w:t xml:space="preserve">211/2011, la loi </w:t>
      </w:r>
      <w:r w:rsidR="00B17AE1" w:rsidRPr="00F60A3D">
        <w:rPr>
          <w:rFonts w:eastAsia="MS ??"/>
          <w:lang w:val="fr-FR"/>
        </w:rPr>
        <w:t>n</w:t>
      </w:r>
      <w:r w:rsidR="00B17AE1" w:rsidRPr="00F60A3D">
        <w:rPr>
          <w:rFonts w:eastAsia="MS ??"/>
          <w:vertAlign w:val="superscript"/>
          <w:lang w:val="fr-FR"/>
        </w:rPr>
        <w:t>o</w:t>
      </w:r>
      <w:r w:rsidR="00B17AE1" w:rsidRPr="00F60A3D">
        <w:rPr>
          <w:rFonts w:eastAsia="MS ??"/>
          <w:lang w:val="fr-FR"/>
        </w:rPr>
        <w:t> </w:t>
      </w:r>
      <w:r w:rsidR="00E73A55" w:rsidRPr="00F60A3D">
        <w:rPr>
          <w:rFonts w:eastAsia="MS ??"/>
          <w:lang w:val="fr-FR"/>
        </w:rPr>
        <w:t>94/2013,</w:t>
      </w:r>
      <w:r w:rsidR="00887DE6" w:rsidRPr="00F60A3D">
        <w:rPr>
          <w:rFonts w:eastAsia="MS ??"/>
          <w:lang w:val="fr-FR"/>
        </w:rPr>
        <w:t xml:space="preserve"> et</w:t>
      </w:r>
      <w:r w:rsidR="005063FC" w:rsidRPr="00F60A3D">
        <w:rPr>
          <w:rFonts w:eastAsia="MS ??"/>
          <w:lang w:val="fr-FR"/>
        </w:rPr>
        <w:t>,</w:t>
      </w:r>
      <w:r w:rsidR="00887DE6" w:rsidRPr="00F60A3D">
        <w:rPr>
          <w:rFonts w:eastAsia="MS ??"/>
          <w:lang w:val="fr-FR"/>
        </w:rPr>
        <w:t xml:space="preserve"> suite à l</w:t>
      </w:r>
      <w:r w:rsidR="00B17AE1" w:rsidRPr="00F60A3D">
        <w:rPr>
          <w:rFonts w:eastAsia="MS ??"/>
          <w:lang w:val="fr-FR"/>
        </w:rPr>
        <w:t>’</w:t>
      </w:r>
      <w:r w:rsidR="00887DE6" w:rsidRPr="00F60A3D">
        <w:rPr>
          <w:rFonts w:eastAsia="MS ??"/>
          <w:lang w:val="fr-FR"/>
        </w:rPr>
        <w:t>arrêt rendu par la Cour européenne des droits de l</w:t>
      </w:r>
      <w:r w:rsidR="00B17AE1" w:rsidRPr="00F60A3D">
        <w:rPr>
          <w:rFonts w:eastAsia="MS ??"/>
          <w:lang w:val="fr-FR"/>
        </w:rPr>
        <w:t>’</w:t>
      </w:r>
      <w:r w:rsidR="00887DE6" w:rsidRPr="00F60A3D">
        <w:rPr>
          <w:rFonts w:eastAsia="MS ??"/>
          <w:lang w:val="fr-FR"/>
        </w:rPr>
        <w:t>homme dans l</w:t>
      </w:r>
      <w:r w:rsidR="00B17AE1" w:rsidRPr="00F60A3D">
        <w:rPr>
          <w:rFonts w:eastAsia="MS ??"/>
          <w:lang w:val="fr-FR"/>
        </w:rPr>
        <w:t>’</w:t>
      </w:r>
      <w:r w:rsidR="00887DE6" w:rsidRPr="00F60A3D">
        <w:rPr>
          <w:rFonts w:eastAsia="MS ??"/>
          <w:lang w:val="fr-FR"/>
        </w:rPr>
        <w:t>affaire</w:t>
      </w:r>
      <w:r w:rsidR="005063FC" w:rsidRPr="00F60A3D">
        <w:rPr>
          <w:rFonts w:eastAsia="MS ??"/>
          <w:lang w:val="fr-FR"/>
        </w:rPr>
        <w:t xml:space="preserve"> </w:t>
      </w:r>
      <w:r w:rsidR="00887DE6" w:rsidRPr="00F60A3D">
        <w:rPr>
          <w:rFonts w:eastAsia="MS ??"/>
          <w:lang w:val="fr-FR"/>
        </w:rPr>
        <w:t xml:space="preserve">Torreggiani, la loi </w:t>
      </w:r>
      <w:r w:rsidR="00B17AE1" w:rsidRPr="00F60A3D">
        <w:rPr>
          <w:rFonts w:eastAsia="MS ??"/>
          <w:lang w:val="fr-FR"/>
        </w:rPr>
        <w:t>n</w:t>
      </w:r>
      <w:r w:rsidR="00B17AE1" w:rsidRPr="00F60A3D">
        <w:rPr>
          <w:rFonts w:eastAsia="MS ??"/>
          <w:vertAlign w:val="superscript"/>
          <w:lang w:val="fr-FR"/>
        </w:rPr>
        <w:t>o</w:t>
      </w:r>
      <w:r w:rsidR="00B17AE1" w:rsidRPr="00F60A3D">
        <w:rPr>
          <w:rFonts w:eastAsia="MS ??"/>
          <w:lang w:val="fr-FR"/>
        </w:rPr>
        <w:t> </w:t>
      </w:r>
      <w:r w:rsidR="005063FC" w:rsidRPr="00F60A3D">
        <w:rPr>
          <w:rFonts w:eastAsia="MS ??"/>
          <w:lang w:val="fr-FR"/>
        </w:rPr>
        <w:t xml:space="preserve">10/2014 </w:t>
      </w:r>
      <w:r w:rsidR="00887DE6" w:rsidRPr="00F60A3D">
        <w:rPr>
          <w:rFonts w:eastAsia="MS ??"/>
          <w:lang w:val="fr-FR"/>
        </w:rPr>
        <w:t xml:space="preserve">prévoyant </w:t>
      </w:r>
      <w:r w:rsidR="00887DE6" w:rsidRPr="00F60A3D">
        <w:rPr>
          <w:rFonts w:eastAsia="MS ??"/>
          <w:i/>
          <w:lang w:val="fr-FR"/>
        </w:rPr>
        <w:t>notamment</w:t>
      </w:r>
      <w:r w:rsidR="00EC2787" w:rsidRPr="00F60A3D">
        <w:rPr>
          <w:rFonts w:eastAsia="MS ??"/>
          <w:lang w:val="fr-FR"/>
        </w:rPr>
        <w:t xml:space="preserve"> une</w:t>
      </w:r>
      <w:r w:rsidR="00731982" w:rsidRPr="00F60A3D">
        <w:rPr>
          <w:rFonts w:eastAsia="MS ??"/>
          <w:lang w:val="fr-FR"/>
        </w:rPr>
        <w:t xml:space="preserve"> «</w:t>
      </w:r>
      <w:r w:rsidR="007B26E1" w:rsidRPr="00F60A3D">
        <w:rPr>
          <w:rFonts w:eastAsia="MS ??"/>
          <w:lang w:val="fr-FR"/>
        </w:rPr>
        <w:t>mesure de mi</w:t>
      </w:r>
      <w:r w:rsidR="009033DA" w:rsidRPr="00F60A3D">
        <w:rPr>
          <w:rFonts w:eastAsia="MS ??"/>
          <w:lang w:val="fr-FR"/>
        </w:rPr>
        <w:t>s</w:t>
      </w:r>
      <w:r w:rsidR="00EC2787" w:rsidRPr="00F60A3D">
        <w:rPr>
          <w:rFonts w:eastAsia="MS ??"/>
          <w:lang w:val="fr-FR"/>
        </w:rPr>
        <w:t>e en liberté anticipée spéciale</w:t>
      </w:r>
      <w:r w:rsidR="00731982" w:rsidRPr="00F60A3D">
        <w:rPr>
          <w:rFonts w:eastAsia="MS ??"/>
          <w:lang w:val="fr-FR"/>
        </w:rPr>
        <w:t>»</w:t>
      </w:r>
      <w:r w:rsidR="005063FC" w:rsidRPr="00F60A3D">
        <w:rPr>
          <w:rFonts w:eastAsia="MS ??"/>
          <w:lang w:val="fr-FR"/>
        </w:rPr>
        <w:t xml:space="preserve">. </w:t>
      </w:r>
    </w:p>
    <w:p w:rsidR="005063FC" w:rsidRPr="00F60A3D" w:rsidRDefault="00E117BA" w:rsidP="00FC5BC0">
      <w:pPr>
        <w:pStyle w:val="SingleTxtG"/>
        <w:rPr>
          <w:rFonts w:eastAsia="MS ??"/>
          <w:lang w:val="fr-FR"/>
        </w:rPr>
      </w:pPr>
      <w:r w:rsidRPr="00F60A3D">
        <w:rPr>
          <w:rFonts w:eastAsia="MS ??"/>
          <w:lang w:val="fr-FR"/>
        </w:rPr>
        <w:lastRenderedPageBreak/>
        <w:t>284</w:t>
      </w:r>
      <w:r w:rsidR="007B26E1" w:rsidRPr="00F60A3D">
        <w:rPr>
          <w:rFonts w:eastAsia="MS ??"/>
          <w:lang w:val="fr-FR"/>
        </w:rPr>
        <w:t>.</w:t>
      </w:r>
      <w:r w:rsidR="007B26E1" w:rsidRPr="00F60A3D">
        <w:rPr>
          <w:rFonts w:eastAsia="MS ??"/>
          <w:lang w:val="fr-FR"/>
        </w:rPr>
        <w:tab/>
        <w:t xml:space="preserve">La loi </w:t>
      </w:r>
      <w:r w:rsidR="00FC5BC0" w:rsidRPr="00F60A3D">
        <w:rPr>
          <w:rFonts w:eastAsia="MS ??"/>
          <w:lang w:val="fr-FR"/>
        </w:rPr>
        <w:t>n</w:t>
      </w:r>
      <w:r w:rsidR="00FC5BC0" w:rsidRPr="00F60A3D">
        <w:rPr>
          <w:rFonts w:eastAsia="MS ??"/>
          <w:vertAlign w:val="superscript"/>
          <w:lang w:val="fr-FR"/>
        </w:rPr>
        <w:t>o</w:t>
      </w:r>
      <w:r w:rsidR="00FC5BC0" w:rsidRPr="00F60A3D">
        <w:rPr>
          <w:rFonts w:eastAsia="MS ??"/>
          <w:lang w:val="fr-FR"/>
        </w:rPr>
        <w:t> </w:t>
      </w:r>
      <w:r w:rsidR="005063FC" w:rsidRPr="00F60A3D">
        <w:rPr>
          <w:rFonts w:eastAsia="MS ??"/>
          <w:lang w:val="fr-FR"/>
        </w:rPr>
        <w:t xml:space="preserve">117/2014 </w:t>
      </w:r>
      <w:r w:rsidR="007B26E1" w:rsidRPr="00F60A3D">
        <w:rPr>
          <w:rFonts w:eastAsia="MS ??"/>
          <w:lang w:val="fr-FR"/>
        </w:rPr>
        <w:t>prévoit une indemnisation des préjudices: le magistrat superviseur</w:t>
      </w:r>
      <w:r w:rsidR="005063FC" w:rsidRPr="00F60A3D">
        <w:rPr>
          <w:rFonts w:eastAsia="MS ??"/>
          <w:lang w:val="fr-FR"/>
        </w:rPr>
        <w:t xml:space="preserve"> (</w:t>
      </w:r>
      <w:r w:rsidR="005063FC" w:rsidRPr="00F60A3D">
        <w:rPr>
          <w:rFonts w:eastAsia="MS ??"/>
          <w:i/>
          <w:lang w:val="fr-FR"/>
        </w:rPr>
        <w:t>Giudice di sorveglianza</w:t>
      </w:r>
      <w:r w:rsidR="005063FC" w:rsidRPr="00F60A3D">
        <w:rPr>
          <w:rFonts w:eastAsia="MS ??"/>
          <w:lang w:val="fr-FR"/>
        </w:rPr>
        <w:t>)</w:t>
      </w:r>
      <w:r w:rsidR="007B26E1" w:rsidRPr="00F60A3D">
        <w:rPr>
          <w:rFonts w:eastAsia="MS ??"/>
          <w:lang w:val="fr-FR"/>
        </w:rPr>
        <w:t xml:space="preserve"> </w:t>
      </w:r>
      <w:r w:rsidR="0066761F" w:rsidRPr="00F60A3D">
        <w:rPr>
          <w:rFonts w:eastAsia="MS ??"/>
          <w:lang w:val="fr-FR"/>
        </w:rPr>
        <w:t>peut indemniser le détenu à hauteur</w:t>
      </w:r>
      <w:r w:rsidR="007B26E1" w:rsidRPr="00F60A3D">
        <w:rPr>
          <w:rFonts w:eastAsia="MS ??"/>
          <w:lang w:val="fr-FR"/>
        </w:rPr>
        <w:t xml:space="preserve"> de 8 eu</w:t>
      </w:r>
      <w:r w:rsidR="009033DA" w:rsidRPr="00F60A3D">
        <w:rPr>
          <w:rFonts w:eastAsia="MS ??"/>
          <w:lang w:val="fr-FR"/>
        </w:rPr>
        <w:t>ro</w:t>
      </w:r>
      <w:r w:rsidR="0066761F" w:rsidRPr="00F60A3D">
        <w:rPr>
          <w:rFonts w:eastAsia="MS ??"/>
          <w:lang w:val="fr-FR"/>
        </w:rPr>
        <w:t>s par jour s</w:t>
      </w:r>
      <w:r w:rsidR="00B17AE1" w:rsidRPr="00F60A3D">
        <w:rPr>
          <w:rFonts w:eastAsia="MS ??"/>
          <w:lang w:val="fr-FR"/>
        </w:rPr>
        <w:t>’</w:t>
      </w:r>
      <w:r w:rsidR="0066761F" w:rsidRPr="00F60A3D">
        <w:rPr>
          <w:rFonts w:eastAsia="MS ??"/>
          <w:lang w:val="fr-FR"/>
        </w:rPr>
        <w:t xml:space="preserve">il est établi que ses conditions de vie en prison sont </w:t>
      </w:r>
      <w:r w:rsidR="007B26E1" w:rsidRPr="00F60A3D">
        <w:rPr>
          <w:rFonts w:eastAsia="MS ??"/>
          <w:lang w:val="fr-FR"/>
        </w:rPr>
        <w:t xml:space="preserve">inhumaines et dégradantes. La loi prévoit également: des mesures </w:t>
      </w:r>
      <w:r w:rsidR="00D810F4" w:rsidRPr="00F60A3D">
        <w:rPr>
          <w:rFonts w:eastAsia="MS ??"/>
          <w:lang w:val="fr-FR"/>
        </w:rPr>
        <w:t>d</w:t>
      </w:r>
      <w:r w:rsidR="00B17AE1" w:rsidRPr="00F60A3D">
        <w:rPr>
          <w:rFonts w:eastAsia="MS ??"/>
          <w:lang w:val="fr-FR"/>
        </w:rPr>
        <w:t>’</w:t>
      </w:r>
      <w:r w:rsidR="00D810F4" w:rsidRPr="00F60A3D">
        <w:rPr>
          <w:rFonts w:eastAsia="MS ??"/>
          <w:lang w:val="fr-FR"/>
        </w:rPr>
        <w:t>urgence</w:t>
      </w:r>
      <w:r w:rsidR="007B26E1" w:rsidRPr="00F60A3D">
        <w:rPr>
          <w:rFonts w:eastAsia="MS ??"/>
          <w:lang w:val="fr-FR"/>
        </w:rPr>
        <w:t xml:space="preserve"> pour infléchir la surpopulation carcérale, y comp</w:t>
      </w:r>
      <w:r w:rsidR="00D810F4" w:rsidRPr="00F60A3D">
        <w:rPr>
          <w:rFonts w:eastAsia="MS ??"/>
          <w:lang w:val="fr-FR"/>
        </w:rPr>
        <w:t>ris d</w:t>
      </w:r>
      <w:r w:rsidR="00B17AE1" w:rsidRPr="00F60A3D">
        <w:rPr>
          <w:rFonts w:eastAsia="MS ??"/>
          <w:lang w:val="fr-FR"/>
        </w:rPr>
        <w:t>’</w:t>
      </w:r>
      <w:r w:rsidR="00D810F4" w:rsidRPr="00F60A3D">
        <w:rPr>
          <w:rFonts w:eastAsia="MS ??"/>
          <w:lang w:val="fr-FR"/>
        </w:rPr>
        <w:t>éventuels dommages et intérêts</w:t>
      </w:r>
      <w:r w:rsidR="00261196" w:rsidRPr="00F60A3D">
        <w:rPr>
          <w:rFonts w:eastAsia="MS ??"/>
          <w:lang w:val="fr-FR"/>
        </w:rPr>
        <w:t xml:space="preserve"> en cas de défaut de conformité</w:t>
      </w:r>
      <w:r w:rsidR="00D810F4" w:rsidRPr="00F60A3D">
        <w:rPr>
          <w:rFonts w:eastAsia="MS ??"/>
          <w:lang w:val="fr-FR"/>
        </w:rPr>
        <w:t>; l</w:t>
      </w:r>
      <w:r w:rsidR="00B17AE1" w:rsidRPr="00F60A3D">
        <w:rPr>
          <w:rFonts w:eastAsia="MS ??"/>
          <w:lang w:val="fr-FR"/>
        </w:rPr>
        <w:t>’</w:t>
      </w:r>
      <w:r w:rsidR="0066761F" w:rsidRPr="00F60A3D">
        <w:rPr>
          <w:rFonts w:eastAsia="MS ??"/>
          <w:lang w:val="fr-FR"/>
        </w:rPr>
        <w:t>accès à une audience spé</w:t>
      </w:r>
      <w:r w:rsidR="00D810F4" w:rsidRPr="00F60A3D">
        <w:rPr>
          <w:rFonts w:eastAsia="MS ??"/>
          <w:lang w:val="fr-FR"/>
        </w:rPr>
        <w:t>cifique en cas de procédur</w:t>
      </w:r>
      <w:r w:rsidR="005427A5" w:rsidRPr="00F60A3D">
        <w:rPr>
          <w:rFonts w:eastAsia="MS ??"/>
          <w:lang w:val="fr-FR"/>
        </w:rPr>
        <w:t xml:space="preserve">e présumée non conforme aux </w:t>
      </w:r>
      <w:r w:rsidR="004A6B51" w:rsidRPr="00F60A3D">
        <w:rPr>
          <w:rFonts w:eastAsia="MS ??"/>
          <w:lang w:val="fr-FR"/>
        </w:rPr>
        <w:t>règlements</w:t>
      </w:r>
      <w:r w:rsidR="00D810F4" w:rsidRPr="00F60A3D">
        <w:rPr>
          <w:rFonts w:eastAsia="MS ??"/>
          <w:lang w:val="fr-FR"/>
        </w:rPr>
        <w:t xml:space="preserve"> de l</w:t>
      </w:r>
      <w:r w:rsidR="00B17AE1" w:rsidRPr="00F60A3D">
        <w:rPr>
          <w:rFonts w:eastAsia="MS ??"/>
          <w:lang w:val="fr-FR"/>
        </w:rPr>
        <w:t>’</w:t>
      </w:r>
      <w:r w:rsidR="00D810F4" w:rsidRPr="00F60A3D">
        <w:rPr>
          <w:rFonts w:eastAsia="MS ??"/>
          <w:lang w:val="fr-FR"/>
        </w:rPr>
        <w:t>établissement pénitentiaire</w:t>
      </w:r>
      <w:r w:rsidR="007B26E1" w:rsidRPr="00F60A3D">
        <w:rPr>
          <w:rFonts w:eastAsia="MS ??"/>
          <w:lang w:val="fr-FR"/>
        </w:rPr>
        <w:t xml:space="preserve"> (Loi pénitentiaire) et </w:t>
      </w:r>
      <w:r w:rsidR="00D810F4" w:rsidRPr="00F60A3D">
        <w:rPr>
          <w:rFonts w:eastAsia="MS ??"/>
          <w:lang w:val="fr-FR"/>
        </w:rPr>
        <w:t xml:space="preserve">portant </w:t>
      </w:r>
      <w:r w:rsidR="00731982" w:rsidRPr="00F60A3D">
        <w:rPr>
          <w:rFonts w:eastAsia="MS ??"/>
          <w:lang w:val="fr-FR"/>
        </w:rPr>
        <w:t>«</w:t>
      </w:r>
      <w:r w:rsidR="00D810F4" w:rsidRPr="00F60A3D">
        <w:rPr>
          <w:rFonts w:eastAsia="MS ??"/>
          <w:lang w:val="fr-FR"/>
        </w:rPr>
        <w:t>gravement atteinte, en l</w:t>
      </w:r>
      <w:r w:rsidR="00B17AE1" w:rsidRPr="00F60A3D">
        <w:rPr>
          <w:rFonts w:eastAsia="MS ??"/>
          <w:lang w:val="fr-FR"/>
        </w:rPr>
        <w:t>’</w:t>
      </w:r>
      <w:r w:rsidR="00D810F4" w:rsidRPr="00F60A3D">
        <w:rPr>
          <w:rFonts w:eastAsia="MS ??"/>
          <w:lang w:val="fr-FR"/>
        </w:rPr>
        <w:t>état, à l</w:t>
      </w:r>
      <w:r w:rsidR="00B17AE1" w:rsidRPr="00F60A3D">
        <w:rPr>
          <w:rFonts w:eastAsia="MS ??"/>
          <w:lang w:val="fr-FR"/>
        </w:rPr>
        <w:t>’</w:t>
      </w:r>
      <w:r w:rsidR="00D810F4" w:rsidRPr="00F60A3D">
        <w:rPr>
          <w:rFonts w:eastAsia="MS ??"/>
          <w:lang w:val="fr-FR"/>
        </w:rPr>
        <w:t>exercice des droits</w:t>
      </w:r>
      <w:r w:rsidR="00731982" w:rsidRPr="00F60A3D">
        <w:rPr>
          <w:rFonts w:eastAsia="MS ??"/>
          <w:lang w:val="fr-FR"/>
        </w:rPr>
        <w:t>»</w:t>
      </w:r>
      <w:r w:rsidR="00D810F4" w:rsidRPr="00F60A3D">
        <w:rPr>
          <w:rFonts w:eastAsia="MS ??"/>
          <w:lang w:val="fr-FR"/>
        </w:rPr>
        <w:t>; le pouvoir d</w:t>
      </w:r>
      <w:r w:rsidR="00B17AE1" w:rsidRPr="00F60A3D">
        <w:rPr>
          <w:rFonts w:eastAsia="MS ??"/>
          <w:lang w:val="fr-FR"/>
        </w:rPr>
        <w:t>’</w:t>
      </w:r>
      <w:r w:rsidR="00D810F4" w:rsidRPr="00F60A3D">
        <w:rPr>
          <w:rFonts w:eastAsia="MS ??"/>
          <w:lang w:val="fr-FR"/>
        </w:rPr>
        <w:t>ordonner la réalisation des obligations de l</w:t>
      </w:r>
      <w:r w:rsidR="00B17AE1" w:rsidRPr="00F60A3D">
        <w:rPr>
          <w:rFonts w:eastAsia="MS ??"/>
          <w:lang w:val="fr-FR"/>
        </w:rPr>
        <w:t>’</w:t>
      </w:r>
      <w:r w:rsidR="00D810F4" w:rsidRPr="00F60A3D">
        <w:rPr>
          <w:rFonts w:eastAsia="MS ??"/>
          <w:lang w:val="fr-FR"/>
        </w:rPr>
        <w:t>administration</w:t>
      </w:r>
      <w:r w:rsidR="00731982" w:rsidRPr="00F60A3D">
        <w:rPr>
          <w:rFonts w:eastAsia="MS ??"/>
          <w:lang w:val="fr-FR"/>
        </w:rPr>
        <w:t>;</w:t>
      </w:r>
      <w:r w:rsidR="00D810F4" w:rsidRPr="00F60A3D">
        <w:rPr>
          <w:rFonts w:eastAsia="MS ??"/>
          <w:lang w:val="fr-FR"/>
        </w:rPr>
        <w:t xml:space="preserve"> des modalités plus souples pour l</w:t>
      </w:r>
      <w:r w:rsidR="00B17AE1" w:rsidRPr="00F60A3D">
        <w:rPr>
          <w:rFonts w:eastAsia="MS ??"/>
          <w:lang w:val="fr-FR"/>
        </w:rPr>
        <w:t>’</w:t>
      </w:r>
      <w:r w:rsidR="00D810F4" w:rsidRPr="00F60A3D">
        <w:rPr>
          <w:rFonts w:eastAsia="MS ??"/>
          <w:lang w:val="fr-FR"/>
        </w:rPr>
        <w:t>exécu</w:t>
      </w:r>
      <w:r w:rsidR="00493773" w:rsidRPr="00F60A3D">
        <w:rPr>
          <w:rFonts w:eastAsia="MS ??"/>
          <w:lang w:val="fr-FR"/>
        </w:rPr>
        <w:t>tion de l</w:t>
      </w:r>
      <w:r w:rsidR="00B17AE1" w:rsidRPr="00F60A3D">
        <w:rPr>
          <w:rFonts w:eastAsia="MS ??"/>
          <w:lang w:val="fr-FR"/>
        </w:rPr>
        <w:t>’</w:t>
      </w:r>
      <w:r w:rsidR="00493773" w:rsidRPr="00F60A3D">
        <w:rPr>
          <w:rFonts w:eastAsia="MS ??"/>
          <w:lang w:val="fr-FR"/>
        </w:rPr>
        <w:t>assignation à résidence</w:t>
      </w:r>
      <w:r w:rsidR="000F0F5D" w:rsidRPr="00F60A3D">
        <w:rPr>
          <w:rFonts w:eastAsia="MS ??"/>
          <w:lang w:val="fr-FR"/>
        </w:rPr>
        <w:t>; et une</w:t>
      </w:r>
      <w:r w:rsidR="0034091F" w:rsidRPr="00F60A3D">
        <w:rPr>
          <w:rFonts w:eastAsia="MS ??"/>
          <w:lang w:val="fr-FR"/>
        </w:rPr>
        <w:t xml:space="preserve"> limita</w:t>
      </w:r>
      <w:r w:rsidR="000F0F5D" w:rsidRPr="00F60A3D">
        <w:rPr>
          <w:rFonts w:eastAsia="MS ??"/>
          <w:lang w:val="fr-FR"/>
        </w:rPr>
        <w:t>tion</w:t>
      </w:r>
      <w:r w:rsidR="00493773" w:rsidRPr="00F60A3D">
        <w:rPr>
          <w:rFonts w:eastAsia="MS ??"/>
          <w:lang w:val="fr-FR"/>
        </w:rPr>
        <w:t xml:space="preserve"> suppl</w:t>
      </w:r>
      <w:r w:rsidR="000F0F5D" w:rsidRPr="00F60A3D">
        <w:rPr>
          <w:rFonts w:eastAsia="MS ??"/>
          <w:lang w:val="fr-FR"/>
        </w:rPr>
        <w:t>émentaire de</w:t>
      </w:r>
      <w:r w:rsidR="00493773" w:rsidRPr="00F60A3D">
        <w:rPr>
          <w:rFonts w:eastAsia="MS ??"/>
          <w:lang w:val="fr-FR"/>
        </w:rPr>
        <w:t xml:space="preserve"> la détention provisoire pour l</w:t>
      </w:r>
      <w:r w:rsidR="0034091F" w:rsidRPr="00F60A3D">
        <w:rPr>
          <w:rFonts w:eastAsia="MS ??"/>
          <w:lang w:val="fr-FR"/>
        </w:rPr>
        <w:t>es adultes. Un groupe de travail spécial a en outre été cr</w:t>
      </w:r>
      <w:r w:rsidR="00493773" w:rsidRPr="00F60A3D">
        <w:rPr>
          <w:rFonts w:eastAsia="MS ??"/>
          <w:lang w:val="fr-FR"/>
        </w:rPr>
        <w:t>éé au sein de l</w:t>
      </w:r>
      <w:r w:rsidR="00B17AE1" w:rsidRPr="00F60A3D">
        <w:rPr>
          <w:rFonts w:eastAsia="MS ??"/>
          <w:lang w:val="fr-FR"/>
        </w:rPr>
        <w:t>’</w:t>
      </w:r>
      <w:r w:rsidR="00493773" w:rsidRPr="00F60A3D">
        <w:rPr>
          <w:rFonts w:eastAsia="MS ??"/>
          <w:lang w:val="fr-FR"/>
        </w:rPr>
        <w:t>a</w:t>
      </w:r>
      <w:r w:rsidR="0034091F" w:rsidRPr="00F60A3D">
        <w:rPr>
          <w:rFonts w:eastAsia="MS ??"/>
          <w:lang w:val="fr-FR"/>
        </w:rPr>
        <w:t xml:space="preserve">dministration pénitentiaire pour </w:t>
      </w:r>
      <w:r w:rsidR="00493773" w:rsidRPr="00F60A3D">
        <w:rPr>
          <w:rFonts w:eastAsia="MS ??"/>
          <w:lang w:val="fr-FR"/>
        </w:rPr>
        <w:t>surveiller constamment</w:t>
      </w:r>
      <w:r w:rsidR="0034091F" w:rsidRPr="00F60A3D">
        <w:rPr>
          <w:rFonts w:eastAsia="MS ??"/>
          <w:lang w:val="fr-FR"/>
        </w:rPr>
        <w:t xml:space="preserve"> le respect du nombre réglementaire de détenus par cellule, compte te</w:t>
      </w:r>
      <w:r w:rsidR="00493773" w:rsidRPr="00F60A3D">
        <w:rPr>
          <w:rFonts w:eastAsia="MS ??"/>
          <w:lang w:val="fr-FR"/>
        </w:rPr>
        <w:t>nu des norme</w:t>
      </w:r>
      <w:r w:rsidR="00307877" w:rsidRPr="00F60A3D">
        <w:rPr>
          <w:rFonts w:eastAsia="MS ??"/>
          <w:lang w:val="fr-FR"/>
        </w:rPr>
        <w:t>s de la C</w:t>
      </w:r>
      <w:r w:rsidR="000761A8" w:rsidRPr="00F60A3D">
        <w:rPr>
          <w:rFonts w:eastAsia="MS ??"/>
          <w:lang w:val="fr-FR"/>
        </w:rPr>
        <w:t>our européenne des droits de l</w:t>
      </w:r>
      <w:r w:rsidR="00B17AE1" w:rsidRPr="00F60A3D">
        <w:rPr>
          <w:rFonts w:eastAsia="MS ??"/>
          <w:lang w:val="fr-FR"/>
        </w:rPr>
        <w:t>’</w:t>
      </w:r>
      <w:r w:rsidR="000761A8" w:rsidRPr="00F60A3D">
        <w:rPr>
          <w:rFonts w:eastAsia="MS ??"/>
          <w:lang w:val="fr-FR"/>
        </w:rPr>
        <w:t xml:space="preserve">homme </w:t>
      </w:r>
      <w:r w:rsidR="0034091F" w:rsidRPr="00F60A3D">
        <w:rPr>
          <w:rFonts w:eastAsia="MS ??"/>
          <w:lang w:val="fr-FR"/>
        </w:rPr>
        <w:t>concernant la taille et l</w:t>
      </w:r>
      <w:r w:rsidR="00B17AE1" w:rsidRPr="00F60A3D">
        <w:rPr>
          <w:rFonts w:eastAsia="MS ??"/>
          <w:lang w:val="fr-FR"/>
        </w:rPr>
        <w:t>’</w:t>
      </w:r>
      <w:r w:rsidR="0034091F" w:rsidRPr="00F60A3D">
        <w:rPr>
          <w:rFonts w:eastAsia="MS ??"/>
          <w:lang w:val="fr-FR"/>
        </w:rPr>
        <w:t xml:space="preserve">occupation des cellules. </w:t>
      </w:r>
    </w:p>
    <w:p w:rsidR="005063FC" w:rsidRPr="00F60A3D" w:rsidRDefault="00E117BA" w:rsidP="00C04828">
      <w:pPr>
        <w:pStyle w:val="SingleTxtG"/>
        <w:rPr>
          <w:lang w:val="fr-FR"/>
        </w:rPr>
      </w:pPr>
      <w:r w:rsidRPr="00F60A3D">
        <w:rPr>
          <w:lang w:val="fr-FR"/>
        </w:rPr>
        <w:t>285</w:t>
      </w:r>
      <w:r w:rsidR="0034091F" w:rsidRPr="00F60A3D">
        <w:rPr>
          <w:lang w:val="fr-FR"/>
        </w:rPr>
        <w:t>.</w:t>
      </w:r>
      <w:r w:rsidR="0034091F" w:rsidRPr="00F60A3D">
        <w:rPr>
          <w:lang w:val="fr-FR"/>
        </w:rPr>
        <w:tab/>
        <w:t>Au</w:t>
      </w:r>
      <w:r w:rsidR="005063FC" w:rsidRPr="00F60A3D">
        <w:rPr>
          <w:lang w:val="fr-FR"/>
        </w:rPr>
        <w:t xml:space="preserve"> 31</w:t>
      </w:r>
      <w:r w:rsidR="00FC5BC0" w:rsidRPr="00F60A3D">
        <w:rPr>
          <w:lang w:val="fr-FR"/>
        </w:rPr>
        <w:t> </w:t>
      </w:r>
      <w:r w:rsidR="007B5D1D" w:rsidRPr="00F60A3D">
        <w:rPr>
          <w:lang w:val="fr-FR"/>
        </w:rPr>
        <w:t>mars 2016, le nombre de prisonnier</w:t>
      </w:r>
      <w:r w:rsidR="0034091F" w:rsidRPr="00F60A3D">
        <w:rPr>
          <w:lang w:val="fr-FR"/>
        </w:rPr>
        <w:t>s s</w:t>
      </w:r>
      <w:r w:rsidR="00B17AE1" w:rsidRPr="00F60A3D">
        <w:rPr>
          <w:lang w:val="fr-FR"/>
        </w:rPr>
        <w:t>’</w:t>
      </w:r>
      <w:r w:rsidR="0034091F" w:rsidRPr="00F60A3D">
        <w:rPr>
          <w:lang w:val="fr-FR"/>
        </w:rPr>
        <w:t>élevait à 53</w:t>
      </w:r>
      <w:r w:rsidR="00FC5BC0" w:rsidRPr="00F60A3D">
        <w:rPr>
          <w:lang w:val="fr-FR"/>
        </w:rPr>
        <w:t> </w:t>
      </w:r>
      <w:r w:rsidR="00EC2787" w:rsidRPr="00F60A3D">
        <w:rPr>
          <w:lang w:val="fr-FR"/>
        </w:rPr>
        <w:t>495</w:t>
      </w:r>
      <w:r w:rsidR="00C04828" w:rsidRPr="00F60A3D">
        <w:rPr>
          <w:rStyle w:val="FootnoteReference"/>
          <w:lang w:val="fr-FR"/>
        </w:rPr>
        <w:footnoteReference w:id="66"/>
      </w:r>
      <w:r w:rsidR="00EC2787" w:rsidRPr="00F60A3D">
        <w:rPr>
          <w:lang w:val="fr-FR"/>
        </w:rPr>
        <w:t>,</w:t>
      </w:r>
      <w:r w:rsidR="0034091F" w:rsidRPr="00F60A3D">
        <w:rPr>
          <w:lang w:val="fr-FR"/>
        </w:rPr>
        <w:t xml:space="preserve"> dont 17</w:t>
      </w:r>
      <w:r w:rsidR="00FC5BC0" w:rsidRPr="00F60A3D">
        <w:rPr>
          <w:lang w:val="fr-FR"/>
        </w:rPr>
        <w:t> </w:t>
      </w:r>
      <w:r w:rsidR="0034091F" w:rsidRPr="00F60A3D">
        <w:rPr>
          <w:lang w:val="fr-FR"/>
        </w:rPr>
        <w:t>920 étranger</w:t>
      </w:r>
      <w:r w:rsidR="005063FC" w:rsidRPr="00F60A3D">
        <w:rPr>
          <w:lang w:val="fr-FR"/>
        </w:rPr>
        <w:t>s</w:t>
      </w:r>
      <w:r w:rsidR="00C04828" w:rsidRPr="00F60A3D">
        <w:rPr>
          <w:rStyle w:val="FootnoteReference"/>
          <w:lang w:val="fr-FR"/>
        </w:rPr>
        <w:footnoteReference w:id="67"/>
      </w:r>
      <w:r w:rsidR="00EC2787" w:rsidRPr="00F60A3D">
        <w:rPr>
          <w:lang w:val="fr-FR"/>
        </w:rPr>
        <w:t xml:space="preserve">. </w:t>
      </w:r>
      <w:r w:rsidR="0034091F" w:rsidRPr="00F60A3D">
        <w:rPr>
          <w:lang w:val="fr-FR"/>
        </w:rPr>
        <w:t>(Au</w:t>
      </w:r>
      <w:r w:rsidR="005063FC" w:rsidRPr="00F60A3D">
        <w:rPr>
          <w:lang w:val="fr-FR"/>
        </w:rPr>
        <w:t xml:space="preserve"> 30</w:t>
      </w:r>
      <w:r w:rsidR="00FC5BC0" w:rsidRPr="00F60A3D">
        <w:rPr>
          <w:lang w:val="fr-FR"/>
        </w:rPr>
        <w:t> </w:t>
      </w:r>
      <w:r w:rsidR="0034091F" w:rsidRPr="00F60A3D">
        <w:rPr>
          <w:lang w:val="fr-FR"/>
        </w:rPr>
        <w:t>juin 2015, 18</w:t>
      </w:r>
      <w:r w:rsidR="00FC5BC0" w:rsidRPr="00F60A3D">
        <w:rPr>
          <w:lang w:val="fr-FR"/>
        </w:rPr>
        <w:t> </w:t>
      </w:r>
      <w:r w:rsidR="0034091F" w:rsidRPr="00F60A3D">
        <w:rPr>
          <w:lang w:val="fr-FR"/>
        </w:rPr>
        <w:t>312</w:t>
      </w:r>
      <w:r w:rsidR="00FC5BC0" w:rsidRPr="00F60A3D">
        <w:rPr>
          <w:lang w:val="fr-FR"/>
        </w:rPr>
        <w:t> </w:t>
      </w:r>
      <w:r w:rsidR="0034091F" w:rsidRPr="00F60A3D">
        <w:rPr>
          <w:lang w:val="fr-FR"/>
        </w:rPr>
        <w:t xml:space="preserve">personnes étaient détenues pour </w:t>
      </w:r>
      <w:r w:rsidR="00D30E7A" w:rsidRPr="00F60A3D">
        <w:rPr>
          <w:lang w:val="fr-FR"/>
        </w:rPr>
        <w:t>des infractions liées à la drogue</w:t>
      </w:r>
      <w:r w:rsidR="00C04828" w:rsidRPr="00F60A3D">
        <w:rPr>
          <w:rStyle w:val="FootnoteReference"/>
          <w:lang w:val="fr-FR"/>
        </w:rPr>
        <w:footnoteReference w:id="68"/>
      </w:r>
      <w:r w:rsidR="005063FC" w:rsidRPr="00F60A3D">
        <w:rPr>
          <w:lang w:val="fr-FR"/>
        </w:rPr>
        <w:t xml:space="preserve">). </w:t>
      </w:r>
    </w:p>
    <w:p w:rsidR="005063FC" w:rsidRPr="00F60A3D" w:rsidRDefault="00E117BA" w:rsidP="00C04828">
      <w:pPr>
        <w:pStyle w:val="SingleTxtG"/>
        <w:rPr>
          <w:lang w:val="fr-FR"/>
        </w:rPr>
      </w:pPr>
      <w:r w:rsidRPr="00F60A3D">
        <w:rPr>
          <w:lang w:val="fr-FR"/>
        </w:rPr>
        <w:t>286</w:t>
      </w:r>
      <w:r w:rsidR="00233DA0" w:rsidRPr="00F60A3D">
        <w:rPr>
          <w:lang w:val="fr-FR"/>
        </w:rPr>
        <w:t>.</w:t>
      </w:r>
      <w:r w:rsidR="00233DA0" w:rsidRPr="00F60A3D">
        <w:rPr>
          <w:lang w:val="fr-FR"/>
        </w:rPr>
        <w:tab/>
        <w:t xml:space="preserve">Conformément à la loi </w:t>
      </w:r>
      <w:r w:rsidR="00B17AE1" w:rsidRPr="00F60A3D">
        <w:rPr>
          <w:lang w:val="fr-FR"/>
        </w:rPr>
        <w:t>n</w:t>
      </w:r>
      <w:r w:rsidR="00B17AE1" w:rsidRPr="00F60A3D">
        <w:rPr>
          <w:vertAlign w:val="superscript"/>
          <w:lang w:val="fr-FR"/>
        </w:rPr>
        <w:t>o</w:t>
      </w:r>
      <w:r w:rsidR="00B17AE1" w:rsidRPr="00F60A3D">
        <w:rPr>
          <w:lang w:val="fr-FR"/>
        </w:rPr>
        <w:t> </w:t>
      </w:r>
      <w:r w:rsidR="005063FC" w:rsidRPr="00F60A3D">
        <w:rPr>
          <w:lang w:val="fr-FR"/>
        </w:rPr>
        <w:t xml:space="preserve">199/2010, </w:t>
      </w:r>
      <w:r w:rsidR="0005728A" w:rsidRPr="00F60A3D">
        <w:rPr>
          <w:lang w:val="fr-FR"/>
        </w:rPr>
        <w:t>18</w:t>
      </w:r>
      <w:r w:rsidR="00FC5BC0" w:rsidRPr="00F60A3D">
        <w:rPr>
          <w:lang w:val="fr-FR"/>
        </w:rPr>
        <w:t> </w:t>
      </w:r>
      <w:r w:rsidR="0005728A" w:rsidRPr="00F60A3D">
        <w:rPr>
          <w:lang w:val="fr-FR"/>
        </w:rPr>
        <w:t>771</w:t>
      </w:r>
      <w:r w:rsidR="00FC5BC0" w:rsidRPr="00F60A3D">
        <w:rPr>
          <w:lang w:val="fr-FR"/>
        </w:rPr>
        <w:t> </w:t>
      </w:r>
      <w:r w:rsidR="0005728A" w:rsidRPr="00F60A3D">
        <w:rPr>
          <w:lang w:val="fr-FR"/>
        </w:rPr>
        <w:t>détenu</w:t>
      </w:r>
      <w:r w:rsidR="00233DA0" w:rsidRPr="00F60A3D">
        <w:rPr>
          <w:lang w:val="fr-FR"/>
        </w:rPr>
        <w:t>s</w:t>
      </w:r>
      <w:r w:rsidR="005063FC" w:rsidRPr="00F60A3D">
        <w:rPr>
          <w:lang w:val="fr-FR"/>
        </w:rPr>
        <w:t xml:space="preserve">, </w:t>
      </w:r>
      <w:r w:rsidR="00233DA0" w:rsidRPr="00F60A3D">
        <w:rPr>
          <w:lang w:val="fr-FR"/>
        </w:rPr>
        <w:t>dont 5</w:t>
      </w:r>
      <w:r w:rsidR="00FC5BC0" w:rsidRPr="00F60A3D">
        <w:rPr>
          <w:lang w:val="fr-FR"/>
        </w:rPr>
        <w:t> </w:t>
      </w:r>
      <w:r w:rsidR="00233DA0" w:rsidRPr="00F60A3D">
        <w:rPr>
          <w:lang w:val="fr-FR"/>
        </w:rPr>
        <w:t>744</w:t>
      </w:r>
      <w:r w:rsidR="00FC5BC0" w:rsidRPr="00F60A3D">
        <w:rPr>
          <w:lang w:val="fr-FR"/>
        </w:rPr>
        <w:t> </w:t>
      </w:r>
      <w:r w:rsidR="00233DA0" w:rsidRPr="00F60A3D">
        <w:rPr>
          <w:lang w:val="fr-FR"/>
        </w:rPr>
        <w:t>étrangers</w:t>
      </w:r>
      <w:r w:rsidR="005063FC" w:rsidRPr="00F60A3D">
        <w:rPr>
          <w:lang w:val="fr-FR"/>
        </w:rPr>
        <w:t xml:space="preserve">, </w:t>
      </w:r>
      <w:r w:rsidR="00233DA0" w:rsidRPr="00F60A3D">
        <w:rPr>
          <w:lang w:val="fr-FR"/>
        </w:rPr>
        <w:t>ont</w:t>
      </w:r>
      <w:r w:rsidR="007E2BD4" w:rsidRPr="00F60A3D">
        <w:rPr>
          <w:lang w:val="fr-FR"/>
        </w:rPr>
        <w:t xml:space="preserve"> été libérés</w:t>
      </w:r>
      <w:r w:rsidR="00731982" w:rsidRPr="00F60A3D">
        <w:rPr>
          <w:lang w:val="fr-FR"/>
        </w:rPr>
        <w:t xml:space="preserve"> </w:t>
      </w:r>
      <w:r w:rsidR="00233DA0" w:rsidRPr="00F60A3D">
        <w:rPr>
          <w:lang w:val="fr-FR"/>
        </w:rPr>
        <w:t>(au 31 mars</w:t>
      </w:r>
      <w:r w:rsidR="00EC2787" w:rsidRPr="00F60A3D">
        <w:rPr>
          <w:lang w:val="fr-FR"/>
        </w:rPr>
        <w:t xml:space="preserve"> 2016)</w:t>
      </w:r>
      <w:r w:rsidR="00FC5BC0" w:rsidRPr="00F60A3D">
        <w:rPr>
          <w:rStyle w:val="FootnoteReference"/>
          <w:lang w:val="fr-FR"/>
        </w:rPr>
        <w:footnoteReference w:id="69"/>
      </w:r>
      <w:r w:rsidR="00EC2787" w:rsidRPr="00F60A3D">
        <w:rPr>
          <w:lang w:val="fr-FR"/>
        </w:rPr>
        <w:t>.</w:t>
      </w:r>
    </w:p>
    <w:p w:rsidR="00AB495F" w:rsidRPr="00F60A3D" w:rsidRDefault="00AB495F" w:rsidP="00AB495F">
      <w:pPr>
        <w:pStyle w:val="SingleTxtG"/>
        <w:spacing w:before="240" w:after="0"/>
        <w:jc w:val="center"/>
        <w:rPr>
          <w:u w:val="single"/>
          <w:lang w:val="fr-FR"/>
        </w:rPr>
      </w:pPr>
      <w:r w:rsidRPr="00F60A3D">
        <w:rPr>
          <w:u w:val="single"/>
          <w:lang w:val="fr-FR"/>
        </w:rPr>
        <w:tab/>
      </w:r>
      <w:r w:rsidRPr="00F60A3D">
        <w:rPr>
          <w:u w:val="single"/>
          <w:lang w:val="fr-FR"/>
        </w:rPr>
        <w:tab/>
      </w:r>
      <w:r w:rsidRPr="00F60A3D">
        <w:rPr>
          <w:u w:val="single"/>
          <w:lang w:val="fr-FR"/>
        </w:rPr>
        <w:tab/>
      </w:r>
    </w:p>
    <w:sectPr w:rsidR="00AB495F" w:rsidRPr="00F60A3D" w:rsidSect="00113584">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DE1" w:rsidRDefault="007A2DE1"/>
  </w:endnote>
  <w:endnote w:type="continuationSeparator" w:id="0">
    <w:p w:rsidR="007A2DE1" w:rsidRDefault="007A2DE1"/>
  </w:endnote>
  <w:endnote w:type="continuationNotice" w:id="1">
    <w:p w:rsidR="007A2DE1" w:rsidRDefault="007A2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華康細明體">
    <w:charset w:val="88"/>
    <w:family w:val="modern"/>
    <w:pitch w:val="fixed"/>
    <w:sig w:usb0="F1007BFF" w:usb1="29FFFFFF" w:usb2="00000037" w:usb3="00000000" w:csb0="003F00FF" w:csb1="00000000"/>
  </w:font>
  <w:font w:name="華康中黑體">
    <w:charset w:val="88"/>
    <w:family w:val="modern"/>
    <w:pitch w:val="fixed"/>
    <w:sig w:usb0="F1007BFF" w:usb1="29FFFFFF" w:usb2="00000037" w:usb3="00000000" w:csb0="003F00FF" w:csb1="00000000"/>
  </w:font>
  <w:font w:name="Verdana">
    <w:panose1 w:val="020B0604030504040204"/>
    <w:charset w:val="00"/>
    <w:family w:val="swiss"/>
    <w:pitch w:val="variable"/>
    <w:sig w:usb0="A10006FF" w:usb1="4000205B" w:usb2="00000010" w:usb3="00000000" w:csb0="0000019F" w:csb1="00000000"/>
  </w:font>
  <w:font w:name="華康粗明體">
    <w:altName w:val="Arial Unicode MS"/>
    <w:charset w:val="88"/>
    <w:family w:val="modern"/>
    <w:pitch w:val="fixed"/>
    <w:sig w:usb0="00000000" w:usb1="3A6F9C38"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A4" w:rsidRPr="00C775CC" w:rsidRDefault="008301A4" w:rsidP="00BE2F38">
    <w:pPr>
      <w:pStyle w:val="Footer"/>
      <w:tabs>
        <w:tab w:val="right" w:pos="9638"/>
      </w:tabs>
      <w:rPr>
        <w:b/>
        <w:sz w:val="18"/>
      </w:rPr>
    </w:pPr>
    <w:r w:rsidRPr="00BE2F38">
      <w:rPr>
        <w:b/>
        <w:sz w:val="18"/>
      </w:rPr>
      <w:fldChar w:fldCharType="begin"/>
    </w:r>
    <w:r w:rsidRPr="00BE2F38">
      <w:rPr>
        <w:b/>
        <w:sz w:val="18"/>
      </w:rPr>
      <w:instrText xml:space="preserve"> PAGE  \* MERGEFORMAT </w:instrText>
    </w:r>
    <w:r w:rsidRPr="00BE2F38">
      <w:rPr>
        <w:b/>
        <w:sz w:val="18"/>
      </w:rPr>
      <w:fldChar w:fldCharType="separate"/>
    </w:r>
    <w:r w:rsidR="0032758D">
      <w:rPr>
        <w:b/>
        <w:noProof/>
        <w:sz w:val="18"/>
      </w:rPr>
      <w:t>48</w:t>
    </w:r>
    <w:r w:rsidRPr="00BE2F38">
      <w:rPr>
        <w:b/>
        <w:sz w:val="18"/>
      </w:rPr>
      <w:fldChar w:fldCharType="end"/>
    </w:r>
    <w:r>
      <w:rPr>
        <w:sz w:val="20"/>
      </w:rPr>
      <w:tab/>
    </w:r>
    <w:r w:rsidRPr="00F604AC">
      <w:rPr>
        <w:szCs w:val="16"/>
      </w:rPr>
      <w:t>GE.16-12828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A4" w:rsidRPr="00BE2F38" w:rsidRDefault="008301A4" w:rsidP="00BE2F38">
    <w:pPr>
      <w:pStyle w:val="Footer"/>
      <w:tabs>
        <w:tab w:val="right" w:pos="9638"/>
      </w:tabs>
      <w:rPr>
        <w:b/>
        <w:sz w:val="18"/>
      </w:rPr>
    </w:pPr>
    <w:r w:rsidRPr="00F604AC">
      <w:rPr>
        <w:szCs w:val="16"/>
      </w:rPr>
      <w:t>GE.16-12828  (EXT)</w:t>
    </w:r>
    <w:r>
      <w:rPr>
        <w:sz w:val="18"/>
      </w:rPr>
      <w:tab/>
    </w:r>
    <w:r w:rsidRPr="00BE2F38">
      <w:rPr>
        <w:b/>
        <w:sz w:val="18"/>
      </w:rPr>
      <w:fldChar w:fldCharType="begin"/>
    </w:r>
    <w:r w:rsidRPr="00BE2F38">
      <w:rPr>
        <w:b/>
        <w:sz w:val="18"/>
      </w:rPr>
      <w:instrText xml:space="preserve"> PAGE  \* MERGEFORMAT </w:instrText>
    </w:r>
    <w:r w:rsidRPr="00BE2F38">
      <w:rPr>
        <w:b/>
        <w:sz w:val="18"/>
      </w:rPr>
      <w:fldChar w:fldCharType="separate"/>
    </w:r>
    <w:r w:rsidR="0032758D">
      <w:rPr>
        <w:b/>
        <w:noProof/>
        <w:sz w:val="18"/>
      </w:rPr>
      <w:t>47</w:t>
    </w:r>
    <w:r w:rsidRPr="00BE2F3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A4" w:rsidRDefault="00EA55E3" w:rsidP="00EA55E3">
    <w:pPr>
      <w:pStyle w:val="Footer"/>
      <w:spacing w:before="240"/>
      <w:rPr>
        <w:sz w:val="20"/>
        <w:lang w:val="fr-FR"/>
      </w:rPr>
    </w:pPr>
    <w:r>
      <w:rPr>
        <w:rFonts w:ascii="C39T30Lfz" w:hAnsi="C39T30Lfz"/>
        <w:noProof/>
        <w:sz w:val="56"/>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9.65pt;margin-top:632.95pt;width:50.25pt;height:50.25pt;z-index:251658752;mso-position-horizontal-relative:margin;mso-position-vertical-relative:margin">
          <v:imagedata r:id="rId1" o:title="2016&amp;Size=2&amp;Lang=F"/>
          <w10:wrap anchorx="margin" anchory="margin"/>
        </v:shape>
      </w:pict>
    </w:r>
    <w:r w:rsidR="008301A4" w:rsidRPr="00F604AC">
      <w:rPr>
        <w:sz w:val="20"/>
        <w:lang w:val="fr-FR"/>
      </w:rPr>
      <w:t>GE.16-12828  (EXT)</w:t>
    </w:r>
  </w:p>
  <w:p w:rsidR="00EA55E3" w:rsidRPr="00EA55E3" w:rsidRDefault="00EA55E3" w:rsidP="00EA55E3">
    <w:pPr>
      <w:rPr>
        <w:rFonts w:ascii="C39T30Lfz" w:hAnsi="C39T30Lfz"/>
        <w:sz w:val="56"/>
        <w:lang w:val="fr-FR"/>
      </w:rPr>
    </w:pPr>
    <w:r>
      <w:rPr>
        <w:noProof/>
        <w:lang w:val="en-US" w:eastAsia="zh-CN"/>
      </w:rPr>
      <w:drawing>
        <wp:anchor distT="0" distB="0" distL="114300" distR="114300" simplePos="0" relativeHeight="251657728" behindDoc="0" locked="0" layoutInCell="1" allowOverlap="1" wp14:anchorId="25087385" wp14:editId="50446D10">
          <wp:simplePos x="0" y="0"/>
          <wp:positionH relativeFrom="margin">
            <wp:posOffset>4302125</wp:posOffset>
          </wp:positionH>
          <wp:positionV relativeFrom="margin">
            <wp:posOffset>8275320</wp:posOffset>
          </wp:positionV>
          <wp:extent cx="1111250" cy="2286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srcRect/>
                  <a:stretch>
                    <a:fillRect/>
                  </a:stretch>
                </pic:blipFill>
                <pic:spPr bwMode="auto">
                  <a:xfrm>
                    <a:off x="0" y="0"/>
                    <a:ext cx="1111250" cy="228600"/>
                  </a:xfrm>
                  <a:prstGeom prst="rect">
                    <a:avLst/>
                  </a:prstGeom>
                  <a:noFill/>
                  <a:ln w="9525">
                    <a:noFill/>
                    <a:miter lim="800000"/>
                    <a:headEnd/>
                    <a:tailEnd/>
                  </a:ln>
                </pic:spPr>
              </pic:pic>
            </a:graphicData>
          </a:graphic>
        </wp:anchor>
      </w:drawing>
    </w:r>
    <w:r>
      <w:rPr>
        <w:rFonts w:ascii="C39T30Lfz" w:hAnsi="C39T30Lfz"/>
        <w:sz w:val="56"/>
        <w:lang w:val="fr-FR"/>
      </w:rPr>
      <w:t></w:t>
    </w:r>
    <w:r>
      <w:rPr>
        <w:rFonts w:ascii="C39T30Lfz" w:hAnsi="C39T30Lfz"/>
        <w:sz w:val="56"/>
        <w:lang w:val="fr-FR"/>
      </w:rPr>
      <w:t></w:t>
    </w:r>
    <w:r>
      <w:rPr>
        <w:rFonts w:ascii="C39T30Lfz" w:hAnsi="C39T30Lfz"/>
        <w:sz w:val="56"/>
        <w:lang w:val="fr-FR"/>
      </w:rPr>
      <w:t></w:t>
    </w:r>
    <w:r>
      <w:rPr>
        <w:rFonts w:ascii="C39T30Lfz" w:hAnsi="C39T30Lfz"/>
        <w:sz w:val="56"/>
        <w:lang w:val="fr-FR"/>
      </w:rPr>
      <w:t></w:t>
    </w:r>
    <w:r>
      <w:rPr>
        <w:rFonts w:ascii="C39T30Lfz" w:hAnsi="C39T30Lfz"/>
        <w:sz w:val="56"/>
        <w:lang w:val="fr-FR"/>
      </w:rPr>
      <w:t></w:t>
    </w:r>
    <w:r>
      <w:rPr>
        <w:rFonts w:ascii="C39T30Lfz" w:hAnsi="C39T30Lfz"/>
        <w:sz w:val="56"/>
        <w:lang w:val="fr-FR"/>
      </w:rPr>
      <w:t></w:t>
    </w:r>
    <w:r>
      <w:rPr>
        <w:rFonts w:ascii="C39T30Lfz" w:hAnsi="C39T30Lfz"/>
        <w:sz w:val="56"/>
        <w:lang w:val="fr-FR"/>
      </w:rPr>
      <w:t></w:t>
    </w:r>
    <w:r>
      <w:rPr>
        <w:rFonts w:ascii="C39T30Lfz" w:hAnsi="C39T30Lfz"/>
        <w:sz w:val="56"/>
        <w:lang w:val="fr-FR"/>
      </w:rPr>
      <w:t></w:t>
    </w:r>
    <w:r>
      <w:rPr>
        <w:rFonts w:ascii="C39T30Lfz" w:hAnsi="C39T30Lfz"/>
        <w:sz w:val="56"/>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DE1" w:rsidRPr="000B175B" w:rsidRDefault="007A2DE1" w:rsidP="000B175B">
      <w:pPr>
        <w:tabs>
          <w:tab w:val="right" w:pos="2155"/>
        </w:tabs>
        <w:spacing w:after="80"/>
        <w:ind w:left="680"/>
        <w:rPr>
          <w:u w:val="single"/>
        </w:rPr>
      </w:pPr>
      <w:r>
        <w:rPr>
          <w:u w:val="single"/>
        </w:rPr>
        <w:tab/>
      </w:r>
    </w:p>
  </w:footnote>
  <w:footnote w:type="continuationSeparator" w:id="0">
    <w:p w:rsidR="007A2DE1" w:rsidRPr="00FC68B7" w:rsidRDefault="007A2DE1" w:rsidP="00FC68B7">
      <w:pPr>
        <w:tabs>
          <w:tab w:val="left" w:pos="2155"/>
        </w:tabs>
        <w:spacing w:after="80"/>
        <w:ind w:left="680"/>
        <w:rPr>
          <w:u w:val="single"/>
        </w:rPr>
      </w:pPr>
      <w:r>
        <w:rPr>
          <w:u w:val="single"/>
        </w:rPr>
        <w:tab/>
      </w:r>
    </w:p>
  </w:footnote>
  <w:footnote w:type="continuationNotice" w:id="1">
    <w:p w:rsidR="007A2DE1" w:rsidRDefault="007A2DE1"/>
  </w:footnote>
  <w:footnote w:id="2">
    <w:p w:rsidR="008301A4" w:rsidRPr="00F60A3D" w:rsidRDefault="008301A4" w:rsidP="00113584">
      <w:pPr>
        <w:pStyle w:val="FootnoteText"/>
        <w:rPr>
          <w:lang w:val="fr-FR"/>
        </w:rPr>
      </w:pPr>
      <w:r w:rsidRPr="00F60A3D">
        <w:rPr>
          <w:rStyle w:val="FootnoteReference"/>
          <w:lang w:val="fr-FR"/>
        </w:rPr>
        <w:tab/>
      </w:r>
      <w:r w:rsidRPr="00F60A3D">
        <w:rPr>
          <w:rStyle w:val="FootnoteReference"/>
          <w:sz w:val="20"/>
          <w:vertAlign w:val="baseline"/>
          <w:lang w:val="fr-FR"/>
        </w:rPr>
        <w:t>*</w:t>
      </w:r>
      <w:r w:rsidRPr="00F60A3D">
        <w:rPr>
          <w:rStyle w:val="FootnoteReference"/>
          <w:sz w:val="20"/>
          <w:vertAlign w:val="baseline"/>
          <w:lang w:val="fr-FR"/>
        </w:rPr>
        <w:tab/>
      </w:r>
      <w:r w:rsidRPr="00F60A3D">
        <w:rPr>
          <w:lang w:val="fr-FR"/>
        </w:rPr>
        <w:t>Le présent document n’a pas fait l’objet d’une relecture sur le fond par les services d’édition.</w:t>
      </w:r>
    </w:p>
  </w:footnote>
  <w:footnote w:id="3">
    <w:p w:rsidR="008301A4" w:rsidRPr="00F60A3D" w:rsidRDefault="008301A4" w:rsidP="00D8092D">
      <w:pPr>
        <w:pStyle w:val="FootnoteText"/>
        <w:widowControl w:val="0"/>
        <w:tabs>
          <w:tab w:val="clear" w:pos="1021"/>
          <w:tab w:val="right" w:pos="1020"/>
        </w:tabs>
        <w:rPr>
          <w:szCs w:val="18"/>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 xml:space="preserve">S’agissant du rôle et des pouvoirs du Roi (art. 3 à 23), il était le chef du gouvernement et exerçait le droit de choisir les membres du Conseil des ministres (art. 65 à 67) et de nommer les juges (art. 68 à 73). Il avait également un droit de veto sur les projets de loi: les lois ne pouvaient entrer en vigueur sans son approbation. Ce droit de veto s’expliquait par le fait que le Roi ayant décidé du contenu du </w:t>
      </w:r>
      <w:r w:rsidRPr="00F60A3D">
        <w:rPr>
          <w:i/>
          <w:szCs w:val="18"/>
          <w:lang w:val="fr-FR"/>
        </w:rPr>
        <w:t>Statuto,</w:t>
      </w:r>
      <w:r w:rsidRPr="00F60A3D">
        <w:rPr>
          <w:szCs w:val="18"/>
          <w:lang w:val="fr-FR"/>
        </w:rPr>
        <w:t xml:space="preserve"> il était le seul en mesure d’en disposer.</w:t>
      </w:r>
    </w:p>
  </w:footnote>
  <w:footnote w:id="4">
    <w:p w:rsidR="008301A4" w:rsidRPr="00F60A3D" w:rsidRDefault="008301A4" w:rsidP="00D8092D">
      <w:pPr>
        <w:pStyle w:val="FootnoteText"/>
        <w:widowControl w:val="0"/>
        <w:tabs>
          <w:tab w:val="clear" w:pos="1021"/>
          <w:tab w:val="right" w:pos="1020"/>
        </w:tabs>
        <w:rPr>
          <w:szCs w:val="18"/>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 xml:space="preserve">Le traité de paix de 1947 a modifié les frontières de l’Italie: la région de la frontière orientale a été transférée à la Yougoslavie, celle située autour de la ville de Trieste a été déclarée territoire libre. En 1954, ce territoire libre qui était resté sous l’administration des forces anglo-américaines (zone A, y compris la ville de Trieste) et des forces yougoslaves (zone B), a été divisé entre l’Italie et la Yougoslavie. Le traité italo-yougoslave d’Osimo, ratifié en 1977, a rendu cette configuration permanente. Le traité de paix de 1947 a aussi amené l’Italie à céder ses territoires d’outremer et certaines îles méditerranéennes. </w:t>
      </w:r>
    </w:p>
  </w:footnote>
  <w:footnote w:id="5">
    <w:p w:rsidR="008301A4" w:rsidRPr="00F60A3D" w:rsidRDefault="008301A4" w:rsidP="00546036">
      <w:pPr>
        <w:pStyle w:val="FootnoteText"/>
        <w:rPr>
          <w:lang w:val="fr-FR"/>
        </w:rPr>
      </w:pPr>
      <w:r w:rsidRPr="00F60A3D">
        <w:rPr>
          <w:lang w:val="fr-FR"/>
        </w:rPr>
        <w:tab/>
      </w:r>
      <w:r w:rsidRPr="00F60A3D">
        <w:rPr>
          <w:rStyle w:val="FootnoteReference"/>
          <w:lang w:val="fr-FR"/>
        </w:rPr>
        <w:footnoteRef/>
      </w:r>
      <w:r w:rsidRPr="00F60A3D">
        <w:rPr>
          <w:lang w:val="fr-FR"/>
        </w:rPr>
        <w:tab/>
        <w:t>https://www.senato.it/application/xmanager/projects/leg17/file/repository/relazioni/biblioteca/</w:t>
      </w:r>
      <w:r w:rsidRPr="00F60A3D">
        <w:rPr>
          <w:lang w:val="fr-FR"/>
        </w:rPr>
        <w:br/>
        <w:t>emeroteca/Donnedellacostituente.pdf.</w:t>
      </w:r>
    </w:p>
  </w:footnote>
  <w:footnote w:id="6">
    <w:p w:rsidR="008301A4" w:rsidRPr="00F60A3D" w:rsidRDefault="008301A4" w:rsidP="00652F35">
      <w:pPr>
        <w:pStyle w:val="FootnoteText"/>
        <w:widowControl w:val="0"/>
        <w:tabs>
          <w:tab w:val="clear" w:pos="1021"/>
          <w:tab w:val="right" w:pos="1020"/>
        </w:tabs>
        <w:rPr>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 xml:space="preserve">La Déclaration des droits de l’homme a été adoptée quelques mois plus tard. </w:t>
      </w:r>
    </w:p>
  </w:footnote>
  <w:footnote w:id="7">
    <w:p w:rsidR="008301A4" w:rsidRPr="00F60A3D" w:rsidRDefault="008301A4" w:rsidP="00D8092D">
      <w:pPr>
        <w:pStyle w:val="FootnoteText"/>
        <w:widowControl w:val="0"/>
        <w:tabs>
          <w:tab w:val="clear" w:pos="1021"/>
          <w:tab w:val="right" w:pos="1020"/>
        </w:tabs>
        <w:rPr>
          <w:iCs/>
          <w:szCs w:val="18"/>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 xml:space="preserve">On a tenté à plusieurs reprises de modifier ce qu’il est convenu d’appeler «le bicaméralisme parfait» en vigueur en Italie aujourd’hui. Voir les informations concernant </w:t>
      </w:r>
      <w:r w:rsidRPr="00F60A3D">
        <w:rPr>
          <w:i/>
          <w:szCs w:val="18"/>
          <w:lang w:val="fr-FR"/>
        </w:rPr>
        <w:t>Italicum</w:t>
      </w:r>
      <w:r w:rsidRPr="00F60A3D">
        <w:rPr>
          <w:szCs w:val="18"/>
          <w:lang w:val="fr-FR"/>
        </w:rPr>
        <w:t xml:space="preserve"> (</w:t>
      </w:r>
      <w:r w:rsidRPr="00F60A3D">
        <w:rPr>
          <w:iCs/>
          <w:szCs w:val="18"/>
          <w:lang w:val="fr-FR"/>
        </w:rPr>
        <w:t>note de bas de page n</w:t>
      </w:r>
      <w:r w:rsidRPr="00F60A3D">
        <w:rPr>
          <w:iCs/>
          <w:szCs w:val="18"/>
          <w:vertAlign w:val="superscript"/>
          <w:lang w:val="fr-FR"/>
        </w:rPr>
        <w:t>o</w:t>
      </w:r>
      <w:r w:rsidRPr="00F60A3D">
        <w:rPr>
          <w:iCs/>
          <w:szCs w:val="18"/>
          <w:lang w:val="fr-FR"/>
        </w:rPr>
        <w:t> 16 ci-dessous).</w:t>
      </w:r>
    </w:p>
  </w:footnote>
  <w:footnote w:id="8">
    <w:p w:rsidR="008301A4" w:rsidRPr="00F60A3D" w:rsidRDefault="008301A4" w:rsidP="005D1027">
      <w:pPr>
        <w:pStyle w:val="FootnoteText"/>
        <w:widowControl w:val="0"/>
        <w:tabs>
          <w:tab w:val="clear" w:pos="1021"/>
          <w:tab w:val="right" w:pos="1020"/>
        </w:tabs>
        <w:rPr>
          <w:lang w:val="fr-FR"/>
        </w:rPr>
      </w:pPr>
      <w:r w:rsidRPr="00F60A3D">
        <w:rPr>
          <w:lang w:val="fr-FR"/>
        </w:rPr>
        <w:tab/>
      </w:r>
      <w:r w:rsidRPr="00F60A3D">
        <w:rPr>
          <w:rStyle w:val="FootnoteReference"/>
          <w:lang w:val="fr-FR"/>
        </w:rPr>
        <w:footnoteRef/>
      </w:r>
      <w:r w:rsidRPr="00F60A3D">
        <w:rPr>
          <w:lang w:val="fr-FR"/>
        </w:rPr>
        <w:tab/>
        <w:t xml:space="preserve">L’article 75 de la Constitution dispose ce qui suit: «Un référendum populaire peut être organisé pour décider l’abrogation, totale ou partielle, d’une loi ou d’un acte ayant force de loi, lorsque cinq cent mille électeurs ou cinq conseils régionaux le demandent. Le référendum n’est pas admis pour des lois fiscales et budgétaires, d’amnistie ou de remise de peine, ou une loi autorisant la ratification de traités internationaux. Tout citoyen habilité à élire la Chambre des députés a le droit de participer au référendum. La proposition soumise à référendum est approuvée si la majorité des électeurs a participé au scrutin et si la majorité des suffrages valablement exprimés a été obtenue». </w:t>
      </w:r>
    </w:p>
  </w:footnote>
  <w:footnote w:id="9">
    <w:p w:rsidR="008301A4" w:rsidRPr="00F60A3D" w:rsidRDefault="008301A4" w:rsidP="008301A4">
      <w:pPr>
        <w:pStyle w:val="FootnoteText"/>
        <w:spacing w:after="60"/>
        <w:rPr>
          <w:szCs w:val="18"/>
          <w:lang w:val="fr-FR"/>
        </w:rPr>
      </w:pPr>
      <w:r w:rsidRPr="00F60A3D">
        <w:rPr>
          <w:sz w:val="16"/>
          <w:szCs w:val="16"/>
          <w:lang w:val="fr-FR"/>
        </w:rPr>
        <w:tab/>
      </w:r>
      <w:r w:rsidRPr="00F60A3D">
        <w:rPr>
          <w:rStyle w:val="FootnoteReference"/>
          <w:lang w:val="fr-FR"/>
        </w:rPr>
        <w:footnoteRef/>
      </w:r>
      <w:r w:rsidRPr="00F60A3D">
        <w:rPr>
          <w:sz w:val="16"/>
          <w:szCs w:val="16"/>
          <w:lang w:val="fr-FR"/>
        </w:rPr>
        <w:tab/>
      </w:r>
      <w:r w:rsidRPr="00F60A3D">
        <w:rPr>
          <w:szCs w:val="18"/>
          <w:lang w:val="fr-FR"/>
        </w:rPr>
        <w:t>Sur le plan historique, il convient de mentionner l’ouvrage de Cesare Beccaria: «</w:t>
      </w:r>
      <w:r w:rsidRPr="00F60A3D">
        <w:rPr>
          <w:i/>
          <w:szCs w:val="18"/>
          <w:lang w:val="fr-FR"/>
        </w:rPr>
        <w:t xml:space="preserve">Des délits et des peines» </w:t>
      </w:r>
      <w:r w:rsidRPr="00F60A3D">
        <w:rPr>
          <w:szCs w:val="18"/>
          <w:lang w:val="fr-FR"/>
        </w:rPr>
        <w:t>(1764), dans lequel il décrit le lien entre contrat social et droit à la vie. Beccaria démontre en particulier que la peine de mort a des effets délétères sur la société en réduisant la sensibilité à la souffrance humaine. L’usage de la peine capitale est ainsi expressément critiqué. Elle n’a, à son sens, pas d’effet dissuasif; contrairement à la détention à perpétuité/de longue durée, nettement plus efficace à cet égard (à condition que son application soit effective). Beccaria conclut donc en invitant instamment les dirigeants à adopter son point de vue contre la peine capitale, et il leur prédit en outre à ce titre une renommée durable en tant que bâtisseurs de paix.</w:t>
      </w:r>
    </w:p>
    <w:p w:rsidR="008301A4" w:rsidRPr="00F60A3D" w:rsidRDefault="008301A4" w:rsidP="008301A4">
      <w:pPr>
        <w:pStyle w:val="FootnoteText"/>
        <w:spacing w:after="60"/>
        <w:rPr>
          <w:szCs w:val="18"/>
          <w:lang w:val="fr-FR"/>
        </w:rPr>
      </w:pPr>
      <w:r w:rsidRPr="00F60A3D">
        <w:rPr>
          <w:sz w:val="16"/>
          <w:szCs w:val="16"/>
          <w:lang w:val="fr-FR"/>
        </w:rPr>
        <w:tab/>
        <w:t>-</w:t>
      </w:r>
      <w:r w:rsidRPr="00F60A3D">
        <w:rPr>
          <w:sz w:val="16"/>
          <w:szCs w:val="16"/>
          <w:lang w:val="fr-FR"/>
        </w:rPr>
        <w:tab/>
      </w:r>
      <w:r w:rsidRPr="00F60A3D">
        <w:rPr>
          <w:szCs w:val="18"/>
          <w:lang w:val="fr-FR"/>
        </w:rPr>
        <w:t>Plus tard, cette question a été examinée au niveau politique par le Grand Duché de Toscane, premier État dans le monde en 1786 à avoir aboli tant la torture que la peine capitale. La création du Royaume d’Italie en 1860 a toutefois entraîné une division de la législation car la peine de mort était en vigueur dans toutes les régions, excepté en Toscane. En 1889, la peine de mort a été définitivement abolie à la quasi-unanimité des deux Chambres du Parlement, à l’initiative du Ministre de la justice d’alors, Giuseppe Zanardelli. Sa proposition – et les mesures qui en découlent – ont été intégrées au Code pénal de l’époque, appelé Code Zanardelli. La peine de mort restait toutefois inscrite dans le Code pénal militaire.</w:t>
      </w:r>
    </w:p>
    <w:p w:rsidR="008301A4" w:rsidRPr="00F60A3D" w:rsidRDefault="008301A4" w:rsidP="008301A4">
      <w:pPr>
        <w:pStyle w:val="FootnoteText"/>
        <w:spacing w:after="60"/>
        <w:rPr>
          <w:szCs w:val="18"/>
          <w:lang w:val="fr-FR"/>
        </w:rPr>
      </w:pPr>
      <w:r w:rsidRPr="00F60A3D">
        <w:rPr>
          <w:szCs w:val="18"/>
          <w:lang w:val="fr-FR"/>
        </w:rPr>
        <w:tab/>
        <w:t>-</w:t>
      </w:r>
      <w:r w:rsidRPr="00F60A3D">
        <w:rPr>
          <w:szCs w:val="18"/>
          <w:lang w:val="fr-FR"/>
        </w:rPr>
        <w:tab/>
        <w:t>Ultérieurement, la peine de mort a été réintroduite dans le Code pénal ordinaire en 1926, et le nouveau Code pénal, appelé Code Rocco, en vigueur au 1</w:t>
      </w:r>
      <w:r w:rsidRPr="00F60A3D">
        <w:rPr>
          <w:szCs w:val="18"/>
          <w:vertAlign w:val="superscript"/>
          <w:lang w:val="fr-FR"/>
        </w:rPr>
        <w:t>er</w:t>
      </w:r>
      <w:r w:rsidRPr="00F60A3D">
        <w:rPr>
          <w:szCs w:val="18"/>
          <w:lang w:val="fr-FR"/>
        </w:rPr>
        <w:t xml:space="preserve"> juillet 1931, a ajouté des infractions à la liste de celles passibles de la peine capitale, tout en réinstaurant également celle-ci pour certains délits de droit commun. L’article 21 du Code pénal italien de l’époque – qui fût ensuite aboli – précisait que la peine de mort par exécution, devait être appliquée dans un établissement pénitentiaire ou tout autre lieu indiqué par le Ministère de la justice. L’exécution n’était pas publique, sauf si le Ministère de la justice en disposait autrement. La dernière exécution en date en Italie remonte au 4 mars 1947. </w:t>
      </w:r>
    </w:p>
    <w:p w:rsidR="008301A4" w:rsidRPr="00F60A3D" w:rsidRDefault="008301A4" w:rsidP="008301A4">
      <w:pPr>
        <w:pStyle w:val="FootnoteText"/>
        <w:spacing w:after="60"/>
        <w:rPr>
          <w:szCs w:val="18"/>
          <w:lang w:val="fr-FR"/>
        </w:rPr>
      </w:pPr>
      <w:r w:rsidRPr="00F60A3D">
        <w:rPr>
          <w:szCs w:val="18"/>
          <w:lang w:val="fr-FR"/>
        </w:rPr>
        <w:tab/>
        <w:t>-</w:t>
      </w:r>
      <w:r w:rsidRPr="00F60A3D">
        <w:rPr>
          <w:szCs w:val="18"/>
          <w:lang w:val="fr-FR"/>
        </w:rPr>
        <w:tab/>
        <w:t>La Constitution italienne, en vigueur depuis janvier 1948, a complètement aboli la peine capitale en temps de paix pour tous les délits de droit commun tant militaires que civils. Cette mesure a été mise en application par le décret législatif n</w:t>
      </w:r>
      <w:r w:rsidRPr="00F60A3D">
        <w:rPr>
          <w:szCs w:val="18"/>
          <w:vertAlign w:val="superscript"/>
          <w:lang w:val="fr-FR"/>
        </w:rPr>
        <w:t>o</w:t>
      </w:r>
      <w:r w:rsidRPr="00F60A3D">
        <w:rPr>
          <w:szCs w:val="18"/>
          <w:lang w:val="fr-FR"/>
        </w:rPr>
        <w:t xml:space="preserve"> 21/48. La peine capitale est toutefois restée en vigueur en Italie dans le cadre du Code pénal militaire mais aucune exécution n’a eu lieu. </w:t>
      </w:r>
    </w:p>
    <w:p w:rsidR="008301A4" w:rsidRPr="00F60A3D" w:rsidRDefault="008301A4" w:rsidP="008301A4">
      <w:pPr>
        <w:pStyle w:val="FootnoteText"/>
        <w:spacing w:after="60"/>
        <w:rPr>
          <w:szCs w:val="18"/>
          <w:lang w:val="fr-FR"/>
        </w:rPr>
      </w:pPr>
      <w:r w:rsidRPr="00F60A3D">
        <w:rPr>
          <w:szCs w:val="18"/>
          <w:lang w:val="fr-FR"/>
        </w:rPr>
        <w:tab/>
        <w:t>-</w:t>
      </w:r>
      <w:r w:rsidRPr="00F60A3D">
        <w:rPr>
          <w:szCs w:val="18"/>
          <w:lang w:val="fr-FR"/>
        </w:rPr>
        <w:tab/>
        <w:t>Pleinement abolie par la loi n</w:t>
      </w:r>
      <w:r w:rsidRPr="00F60A3D">
        <w:rPr>
          <w:szCs w:val="18"/>
          <w:vertAlign w:val="superscript"/>
          <w:lang w:val="fr-FR"/>
        </w:rPr>
        <w:t>o</w:t>
      </w:r>
      <w:r w:rsidRPr="00F60A3D">
        <w:rPr>
          <w:szCs w:val="18"/>
          <w:lang w:val="fr-FR"/>
        </w:rPr>
        <w:t xml:space="preserve"> 589/94, elle a été remplacée par la peine maximale (la réclusion à perpétuité). </w:t>
      </w:r>
    </w:p>
    <w:p w:rsidR="008301A4" w:rsidRPr="00F60A3D" w:rsidRDefault="008301A4" w:rsidP="00B17AE1">
      <w:pPr>
        <w:pStyle w:val="FootnoteText"/>
        <w:tabs>
          <w:tab w:val="clear" w:pos="1021"/>
          <w:tab w:val="right" w:pos="1020"/>
        </w:tabs>
        <w:rPr>
          <w:szCs w:val="18"/>
          <w:lang w:val="fr-FR"/>
        </w:rPr>
      </w:pPr>
      <w:r w:rsidRPr="00F60A3D">
        <w:rPr>
          <w:szCs w:val="18"/>
          <w:lang w:val="fr-FR"/>
        </w:rPr>
        <w:tab/>
      </w:r>
      <w:r w:rsidRPr="00F60A3D">
        <w:rPr>
          <w:szCs w:val="18"/>
          <w:lang w:val="fr-FR"/>
        </w:rPr>
        <w:tab/>
        <w:t>Tout au long du XX</w:t>
      </w:r>
      <w:r w:rsidRPr="00F60A3D">
        <w:rPr>
          <w:szCs w:val="18"/>
          <w:vertAlign w:val="superscript"/>
          <w:lang w:val="fr-FR"/>
        </w:rPr>
        <w:t>e</w:t>
      </w:r>
      <w:r w:rsidRPr="00F60A3D">
        <w:rPr>
          <w:szCs w:val="18"/>
          <w:lang w:val="fr-FR"/>
        </w:rPr>
        <w:t> siècle, grâce à des efforts constants, le droit à la vie a acquis une reconnaissance croissante tant au niveau théorique qu’au niveau des lois importantes. Le Conseil de l’Europe et le Parlement de l’Union européenne ont adopté une position claire sur la peine de mort (voir respectivement l’article 2 de la Convention européenne des droits de l’homme et la Recommandation n</w:t>
      </w:r>
      <w:r w:rsidRPr="00F60A3D">
        <w:rPr>
          <w:szCs w:val="18"/>
          <w:vertAlign w:val="superscript"/>
          <w:lang w:val="fr-FR"/>
        </w:rPr>
        <w:t>o</w:t>
      </w:r>
      <w:r w:rsidRPr="00F60A3D">
        <w:rPr>
          <w:szCs w:val="18"/>
          <w:lang w:val="fr-FR"/>
        </w:rPr>
        <w:t> 10044/1994). De même, l’article 27 de la Constitution italienne souligne et confirme l’importance majeure reconnue au droit à la vie, sans exception. L’Italie a en conséquence ratifié le Protocole n</w:t>
      </w:r>
      <w:r w:rsidRPr="00F60A3D">
        <w:rPr>
          <w:szCs w:val="18"/>
          <w:vertAlign w:val="superscript"/>
          <w:lang w:val="fr-FR"/>
        </w:rPr>
        <w:t>o</w:t>
      </w:r>
      <w:r w:rsidRPr="00F60A3D">
        <w:rPr>
          <w:szCs w:val="18"/>
          <w:lang w:val="fr-FR"/>
        </w:rPr>
        <w:t> 13 se rapportant à la Convention européenne des droits de l’homme, le 3 mars 2009. Qui plus est, la législation interne relative à la transplantation d’organes (loi n</w:t>
      </w:r>
      <w:r w:rsidRPr="00F60A3D">
        <w:rPr>
          <w:szCs w:val="18"/>
          <w:vertAlign w:val="superscript"/>
          <w:lang w:val="fr-FR"/>
        </w:rPr>
        <w:t>o</w:t>
      </w:r>
      <w:r w:rsidRPr="00F60A3D">
        <w:rPr>
          <w:szCs w:val="18"/>
          <w:lang w:val="fr-FR"/>
        </w:rPr>
        <w:t xml:space="preserve"> 91/1999) interdit l’importation d’organes ou de tissus depuis les États où la loi autorise la vente et le prélèvement forcé d’organes de citoyens condamnés à la peine capitale. </w:t>
      </w:r>
    </w:p>
  </w:footnote>
  <w:footnote w:id="10">
    <w:p w:rsidR="008301A4" w:rsidRPr="00F60A3D" w:rsidRDefault="008301A4" w:rsidP="00B17AE1">
      <w:pPr>
        <w:pStyle w:val="FootnoteText"/>
        <w:widowControl w:val="0"/>
        <w:tabs>
          <w:tab w:val="clear" w:pos="1021"/>
          <w:tab w:val="right" w:pos="1020"/>
        </w:tabs>
        <w:rPr>
          <w:lang w:val="fr-FR"/>
        </w:rPr>
      </w:pPr>
      <w:r w:rsidRPr="00F60A3D">
        <w:rPr>
          <w:lang w:val="fr-FR"/>
        </w:rPr>
        <w:tab/>
      </w:r>
      <w:r w:rsidRPr="00F60A3D">
        <w:rPr>
          <w:rStyle w:val="EndnoteReference"/>
          <w:lang w:val="fr-FR"/>
        </w:rPr>
        <w:footnoteRef/>
      </w:r>
      <w:r w:rsidRPr="00F60A3D">
        <w:rPr>
          <w:lang w:val="fr-FR"/>
        </w:rPr>
        <w:tab/>
        <w:t xml:space="preserve">En avril 1996, les élections ont consacré la victoire d’une coalition de centre-gauche (la Coalition de l’Olivier) placée sous la direction de M. Romano Prodi devenu Président du Conseil des ministres. En octobre 1998, celui-ci perd un vote de confiance et un nouveau gouvernement est formé par les Démocrates de gauche (appelé alors Parti démocrate de gauche) sous la direction de M. Massimo D’Alema. En avril 2000, suite aux élections régionales, M. D’Alema démissionne (il est remplacé par le gouvernement Amato). Des élections nationales sont organisées peu après, le 13 mai 2001 et M. Silvio Berlusconi revient au pouvoir à la tête d’une coalition de cinq partis de centre-droit, composée de son propre parti, Forza Italia, du parti de l’Alliance nationale, de la Ligue du Nord, du Centre démocrate-chrétien et des Démocrates-chrétiens unis. </w:t>
      </w:r>
    </w:p>
  </w:footnote>
  <w:footnote w:id="11">
    <w:p w:rsidR="008301A4" w:rsidRPr="00F60A3D" w:rsidRDefault="008301A4" w:rsidP="00B17AE1">
      <w:pPr>
        <w:pStyle w:val="FootnoteText"/>
        <w:widowControl w:val="0"/>
        <w:tabs>
          <w:tab w:val="clear" w:pos="1021"/>
          <w:tab w:val="right" w:pos="1020"/>
        </w:tabs>
        <w:rPr>
          <w:szCs w:val="18"/>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Article 131 de la Constitution italienne:</w:t>
      </w:r>
      <w:r w:rsidRPr="00F60A3D">
        <w:rPr>
          <w:i/>
          <w:szCs w:val="18"/>
          <w:lang w:val="fr-FR"/>
        </w:rPr>
        <w:t xml:space="preserve"> «</w:t>
      </w:r>
      <w:r w:rsidRPr="00F60A3D">
        <w:rPr>
          <w:szCs w:val="18"/>
          <w:lang w:val="fr-FR"/>
        </w:rPr>
        <w:t>Les régions suivantes seront créées: Piedmont, Vallée</w:t>
      </w:r>
      <w:r w:rsidRPr="00F60A3D">
        <w:rPr>
          <w:b/>
          <w:szCs w:val="18"/>
          <w:lang w:val="fr-FR"/>
        </w:rPr>
        <w:t xml:space="preserve"> </w:t>
      </w:r>
      <w:r w:rsidRPr="00F60A3D">
        <w:rPr>
          <w:szCs w:val="18"/>
          <w:lang w:val="fr-FR"/>
        </w:rPr>
        <w:t>d’Aoste; Lombardie; Trentin-Haut-Adige; Vénétie; Frioul-Vénétie Julienne; Ligurie; Emilie-Romagne; Toscane; Ombrie; Marches; Latium; Abruzzes; Molise; Campanie; Pouilles; Basilicate; Calabre; Sicile; Sardaigne».</w:t>
      </w:r>
    </w:p>
  </w:footnote>
  <w:footnote w:id="12">
    <w:p w:rsidR="008301A4" w:rsidRPr="00F60A3D" w:rsidRDefault="008301A4" w:rsidP="005D1027">
      <w:pPr>
        <w:pStyle w:val="FootnoteText"/>
        <w:widowControl w:val="0"/>
        <w:tabs>
          <w:tab w:val="clear" w:pos="1021"/>
          <w:tab w:val="right" w:pos="1020"/>
        </w:tabs>
        <w:rPr>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En ce qui concerne l’évolution des provinces, se reporter au paragraphe 24.</w:t>
      </w:r>
    </w:p>
  </w:footnote>
  <w:footnote w:id="13">
    <w:p w:rsidR="008301A4" w:rsidRPr="00F60A3D" w:rsidRDefault="008301A4" w:rsidP="00B17AE1">
      <w:pPr>
        <w:pStyle w:val="FootnoteText"/>
        <w:rPr>
          <w:lang w:val="fr-FR"/>
        </w:rPr>
      </w:pPr>
      <w:r w:rsidRPr="00F60A3D">
        <w:rPr>
          <w:lang w:val="fr-FR"/>
        </w:rPr>
        <w:tab/>
      </w:r>
      <w:r w:rsidRPr="00F60A3D">
        <w:rPr>
          <w:rStyle w:val="FootnoteReference"/>
          <w:lang w:val="fr-FR"/>
        </w:rPr>
        <w:footnoteRef/>
      </w:r>
      <w:r w:rsidRPr="00F60A3D">
        <w:rPr>
          <w:lang w:val="fr-FR"/>
        </w:rPr>
        <w:tab/>
        <w:t xml:space="preserve">http://europa.eu/about-eu/countries/member-countries/italy/index_en.htm. </w:t>
      </w:r>
    </w:p>
  </w:footnote>
  <w:footnote w:id="14">
    <w:p w:rsidR="008301A4" w:rsidRPr="00F60A3D" w:rsidRDefault="008301A4" w:rsidP="005D1027">
      <w:pPr>
        <w:pStyle w:val="FootnoteText"/>
        <w:widowControl w:val="0"/>
        <w:tabs>
          <w:tab w:val="clear" w:pos="1021"/>
          <w:tab w:val="right" w:pos="1020"/>
        </w:tabs>
        <w:rPr>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Conformément à la législation relative à la protection des données et à la vie privée, la collecte de données ventilées fondées sur l’appartenance ethnique et religieuse est interdite.</w:t>
      </w:r>
      <w:r w:rsidRPr="00F60A3D">
        <w:rPr>
          <w:sz w:val="16"/>
          <w:szCs w:val="16"/>
          <w:lang w:val="fr-FR"/>
        </w:rPr>
        <w:t xml:space="preserve"> </w:t>
      </w:r>
    </w:p>
  </w:footnote>
  <w:footnote w:id="15">
    <w:p w:rsidR="008301A4" w:rsidRPr="00F60A3D" w:rsidRDefault="008301A4" w:rsidP="005D1027">
      <w:pPr>
        <w:pStyle w:val="FootnoteText"/>
        <w:widowControl w:val="0"/>
        <w:tabs>
          <w:tab w:val="clear" w:pos="1021"/>
          <w:tab w:val="right" w:pos="1020"/>
        </w:tabs>
        <w:rPr>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http://www.istat.it/it/files/2015/10/Religione-stranieri.pdf?title=Religione+tra+i+cittadini+stranieri+-+02 %2Fott %2F2015+-+Testo+integrale.pdf</w:t>
      </w:r>
      <w:r w:rsidRPr="00F60A3D">
        <w:rPr>
          <w:lang w:val="fr-FR"/>
        </w:rPr>
        <w:t>.</w:t>
      </w:r>
    </w:p>
  </w:footnote>
  <w:footnote w:id="16">
    <w:p w:rsidR="008301A4" w:rsidRPr="00F60A3D" w:rsidRDefault="008301A4" w:rsidP="005D1027">
      <w:pPr>
        <w:pStyle w:val="FootnoteText"/>
        <w:widowControl w:val="0"/>
        <w:tabs>
          <w:tab w:val="clear" w:pos="1021"/>
          <w:tab w:val="right" w:pos="1020"/>
        </w:tabs>
        <w:rPr>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 xml:space="preserve">Conformément à la législation italienne relative à la protection des données et à la vie privée, la collecte de données ventilées fondées sur l’appartenance ethnique et religieuse est interdite. </w:t>
      </w:r>
    </w:p>
  </w:footnote>
  <w:footnote w:id="17">
    <w:p w:rsidR="008301A4" w:rsidRPr="00F60A3D" w:rsidRDefault="008301A4" w:rsidP="008301A4">
      <w:pPr>
        <w:pStyle w:val="FootnoteText"/>
        <w:widowControl w:val="0"/>
        <w:tabs>
          <w:tab w:val="clear" w:pos="1021"/>
          <w:tab w:val="right" w:pos="1020"/>
        </w:tabs>
        <w:rPr>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L’annexe n</w:t>
      </w:r>
      <w:r w:rsidRPr="00F60A3D">
        <w:rPr>
          <w:szCs w:val="18"/>
          <w:vertAlign w:val="superscript"/>
          <w:lang w:val="fr-FR"/>
        </w:rPr>
        <w:t>o</w:t>
      </w:r>
      <w:r w:rsidRPr="00F60A3D">
        <w:rPr>
          <w:szCs w:val="18"/>
          <w:lang w:val="fr-FR"/>
        </w:rPr>
        <w:t xml:space="preserve"> 3 inclut des informations sur la violence faite aux femmes. Mi-2015, l’Institut national de statistique a publié la deuxième étude sur la violence à l’égard des femmes. </w:t>
      </w:r>
      <w:r w:rsidRPr="00F60A3D">
        <w:rPr>
          <w:sz w:val="16"/>
          <w:szCs w:val="16"/>
          <w:lang w:val="fr-FR"/>
        </w:rPr>
        <w:t>(</w:t>
      </w:r>
      <w:r w:rsidRPr="00F60A3D">
        <w:rPr>
          <w:szCs w:val="18"/>
          <w:lang w:val="fr-FR"/>
        </w:rPr>
        <w:t>http://www.istat.it/en/</w:t>
      </w:r>
      <w:r w:rsidRPr="00F60A3D">
        <w:rPr>
          <w:szCs w:val="18"/>
          <w:lang w:val="fr-FR"/>
        </w:rPr>
        <w:br/>
        <w:t>files/2015/09/EN_Violence_women.pdf?title=Violence+against+women+-+23+Sep+2015+-+Full+text.pdf).</w:t>
      </w:r>
    </w:p>
  </w:footnote>
  <w:footnote w:id="18">
    <w:p w:rsidR="008301A4" w:rsidRPr="00F60A3D" w:rsidRDefault="008301A4" w:rsidP="008301A4">
      <w:pPr>
        <w:pStyle w:val="FootnoteText"/>
        <w:spacing w:after="60"/>
        <w:rPr>
          <w:szCs w:val="18"/>
          <w:lang w:val="fr-FR"/>
        </w:rPr>
      </w:pPr>
      <w:r w:rsidRPr="00F60A3D">
        <w:rPr>
          <w:sz w:val="16"/>
          <w:szCs w:val="16"/>
          <w:lang w:val="fr-FR"/>
        </w:rPr>
        <w:tab/>
      </w:r>
      <w:r w:rsidRPr="00F60A3D">
        <w:rPr>
          <w:rStyle w:val="FootnoteReference"/>
          <w:lang w:val="fr-FR"/>
        </w:rPr>
        <w:footnoteRef/>
      </w:r>
      <w:r w:rsidRPr="00F60A3D">
        <w:rPr>
          <w:sz w:val="16"/>
          <w:szCs w:val="16"/>
          <w:lang w:val="fr-FR"/>
        </w:rPr>
        <w:tab/>
      </w:r>
      <w:r w:rsidRPr="00F60A3D">
        <w:rPr>
          <w:szCs w:val="18"/>
          <w:lang w:val="fr-FR"/>
        </w:rPr>
        <w:t>En marge, suite à l’arrêt de la Cour constitutionnelle n</w:t>
      </w:r>
      <w:r w:rsidRPr="00F60A3D">
        <w:rPr>
          <w:szCs w:val="18"/>
          <w:vertAlign w:val="superscript"/>
          <w:lang w:val="fr-FR"/>
        </w:rPr>
        <w:t>o</w:t>
      </w:r>
      <w:r w:rsidRPr="00F60A3D">
        <w:rPr>
          <w:szCs w:val="18"/>
          <w:lang w:val="fr-FR"/>
        </w:rPr>
        <w:t> 1/2014, qui a supprimé divers éléments inconstitutionnels intégrés à la loi précitée, la nouvelle loi électorale italienne (</w:t>
      </w:r>
      <w:r w:rsidRPr="00F60A3D">
        <w:rPr>
          <w:i/>
          <w:szCs w:val="18"/>
          <w:lang w:val="fr-FR"/>
        </w:rPr>
        <w:t>Italicum</w:t>
      </w:r>
      <w:r w:rsidRPr="00F60A3D">
        <w:rPr>
          <w:szCs w:val="18"/>
          <w:lang w:val="fr-FR"/>
        </w:rPr>
        <w:t>) n</w:t>
      </w:r>
      <w:r w:rsidRPr="00F60A3D">
        <w:rPr>
          <w:szCs w:val="18"/>
          <w:vertAlign w:val="superscript"/>
          <w:lang w:val="fr-FR"/>
        </w:rPr>
        <w:t>o</w:t>
      </w:r>
      <w:r w:rsidRPr="00F60A3D">
        <w:rPr>
          <w:szCs w:val="18"/>
          <w:lang w:val="fr-FR"/>
        </w:rPr>
        <w:t> 52/2015, a été adoptée. Elle prévoit un seuil électoral de 3 % et un système à deux tours fondé sur une représentation proportionnelle des listes de partis, éventuellement corrigée par une prime (appelée prime de majorité). Elle prévoit aussi la création dans tout le pays de 100 collèges où des candidats doivent se présenter, en complément de la liste ouverte de candidats, dont seul le candidat placé en tête peut être désigné par chaque parti et sera le premier à être élu. Cette loi entrera en vigueur le 1</w:t>
      </w:r>
      <w:r w:rsidRPr="00F60A3D">
        <w:rPr>
          <w:szCs w:val="18"/>
          <w:vertAlign w:val="superscript"/>
          <w:lang w:val="fr-FR"/>
        </w:rPr>
        <w:t>er</w:t>
      </w:r>
      <w:r w:rsidRPr="00F60A3D">
        <w:rPr>
          <w:szCs w:val="18"/>
          <w:lang w:val="fr-FR"/>
        </w:rPr>
        <w:t xml:space="preserve"> juillet 2016 et s’appliquera seulement aux élections à la Chambre des députés. </w:t>
      </w:r>
    </w:p>
    <w:p w:rsidR="008301A4" w:rsidRPr="00F60A3D" w:rsidRDefault="008301A4" w:rsidP="008301A4">
      <w:pPr>
        <w:pStyle w:val="FootnoteText"/>
        <w:spacing w:after="60"/>
        <w:rPr>
          <w:szCs w:val="18"/>
          <w:lang w:val="fr-FR"/>
        </w:rPr>
      </w:pPr>
      <w:r w:rsidRPr="00F60A3D">
        <w:rPr>
          <w:szCs w:val="18"/>
          <w:lang w:val="fr-FR"/>
        </w:rPr>
        <w:tab/>
      </w:r>
      <w:r w:rsidRPr="00F60A3D">
        <w:rPr>
          <w:szCs w:val="18"/>
          <w:lang w:val="fr-FR"/>
        </w:rPr>
        <w:tab/>
        <w:t xml:space="preserve">La loi </w:t>
      </w:r>
      <w:r w:rsidRPr="00F60A3D">
        <w:rPr>
          <w:i/>
          <w:szCs w:val="18"/>
          <w:lang w:val="fr-FR"/>
        </w:rPr>
        <w:t>Italicum</w:t>
      </w:r>
      <w:r w:rsidRPr="00F60A3D">
        <w:rPr>
          <w:szCs w:val="18"/>
          <w:lang w:val="fr-FR"/>
        </w:rPr>
        <w:t xml:space="preserve"> réglemente l’attribution de 617 des 630 sièges de la Chambre des députés, hormis les 12 sièges attribués aux représentants des Italiens vivant à l’étranger et d’un siège attribué à la région de la vallée d’Aoste. Elle prévoit également ce qu’il est convenu d’appeler </w:t>
      </w:r>
      <w:r w:rsidRPr="00F60A3D">
        <w:rPr>
          <w:i/>
          <w:szCs w:val="18"/>
          <w:lang w:val="fr-FR"/>
        </w:rPr>
        <w:t>la prime de</w:t>
      </w:r>
      <w:r w:rsidRPr="00F60A3D">
        <w:rPr>
          <w:szCs w:val="18"/>
          <w:lang w:val="fr-FR"/>
        </w:rPr>
        <w:t xml:space="preserve"> </w:t>
      </w:r>
      <w:r w:rsidRPr="00F60A3D">
        <w:rPr>
          <w:i/>
          <w:szCs w:val="18"/>
          <w:lang w:val="fr-FR"/>
        </w:rPr>
        <w:t xml:space="preserve">majorité </w:t>
      </w:r>
      <w:r w:rsidRPr="00F60A3D">
        <w:rPr>
          <w:szCs w:val="18"/>
          <w:lang w:val="fr-FR"/>
        </w:rPr>
        <w:t xml:space="preserve">attribuée au parti vainqueur, éventuellement après un second tour. </w:t>
      </w:r>
    </w:p>
    <w:p w:rsidR="008301A4" w:rsidRPr="00F60A3D" w:rsidRDefault="008301A4" w:rsidP="008301A4">
      <w:pPr>
        <w:pStyle w:val="FootnoteText"/>
        <w:spacing w:after="60"/>
        <w:rPr>
          <w:szCs w:val="18"/>
          <w:lang w:val="fr-FR"/>
        </w:rPr>
      </w:pPr>
      <w:r w:rsidRPr="00F60A3D">
        <w:rPr>
          <w:szCs w:val="18"/>
          <w:lang w:val="fr-FR"/>
        </w:rPr>
        <w:tab/>
      </w:r>
      <w:r w:rsidRPr="00F60A3D">
        <w:rPr>
          <w:szCs w:val="18"/>
          <w:lang w:val="fr-FR"/>
        </w:rPr>
        <w:tab/>
        <w:t xml:space="preserve">Si aucun parti n’a franchi le seuil de 40 % des voix, un second tour est organisé deux semaines après le premier: les électeurs reçoivent alors un bulletin grâce auquel ils choisissent entre les deux partis qui ont enregistré le plus de voix. Le parti qui emporte le second tour se voit attribuer 340 sièges, les 277 sièges restants sont répartis de manière proportionnelle entre les autres partis, selon les résultats du premier tour. </w:t>
      </w:r>
    </w:p>
    <w:p w:rsidR="008301A4" w:rsidRPr="00F60A3D" w:rsidRDefault="008301A4" w:rsidP="008301A4">
      <w:pPr>
        <w:pStyle w:val="FootnoteText"/>
        <w:spacing w:after="60"/>
        <w:rPr>
          <w:szCs w:val="18"/>
          <w:lang w:val="fr-FR"/>
        </w:rPr>
      </w:pPr>
      <w:r w:rsidRPr="00F60A3D">
        <w:rPr>
          <w:szCs w:val="18"/>
          <w:lang w:val="fr-FR"/>
        </w:rPr>
        <w:tab/>
      </w:r>
      <w:r w:rsidRPr="00F60A3D">
        <w:rPr>
          <w:szCs w:val="18"/>
          <w:lang w:val="fr-FR"/>
        </w:rPr>
        <w:tab/>
        <w:t xml:space="preserve">L’attribution proportionnelle des sièges implique que chaque parti reçoive un certain nombre de sièges selon les résultats qu’il a obtenu au niveau national dans les 100 collèges, en commençant par les têtes de listes, puis selon le nombre de </w:t>
      </w:r>
      <w:r w:rsidR="00F60A3D" w:rsidRPr="00F60A3D">
        <w:rPr>
          <w:szCs w:val="18"/>
          <w:lang w:val="fr-FR"/>
        </w:rPr>
        <w:t>voix</w:t>
      </w:r>
      <w:r w:rsidRPr="00F60A3D">
        <w:rPr>
          <w:szCs w:val="18"/>
          <w:lang w:val="fr-FR"/>
        </w:rPr>
        <w:t xml:space="preserve"> obtenues. </w:t>
      </w:r>
    </w:p>
    <w:p w:rsidR="008301A4" w:rsidRPr="00F60A3D" w:rsidRDefault="008301A4" w:rsidP="008301A4">
      <w:pPr>
        <w:pStyle w:val="FootnoteText"/>
        <w:spacing w:after="60"/>
        <w:rPr>
          <w:szCs w:val="18"/>
          <w:lang w:val="fr-FR"/>
        </w:rPr>
      </w:pPr>
      <w:r w:rsidRPr="00F60A3D">
        <w:rPr>
          <w:szCs w:val="18"/>
          <w:lang w:val="fr-FR"/>
        </w:rPr>
        <w:tab/>
        <w:t>-</w:t>
      </w:r>
      <w:r w:rsidRPr="00F60A3D">
        <w:rPr>
          <w:szCs w:val="18"/>
          <w:lang w:val="fr-FR"/>
        </w:rPr>
        <w:tab/>
        <w:t xml:space="preserve">Dans chaque circonscription, le nombre de députés à élire varie de 3 à 9. Tel que mentionné plus haut, les partis établissent la liste des candidats. Les têtes de listes peuvent se présenter dans un maximum de 10 circonscriptions; les autres candidats sont limités à une seule. Dans chaque région, les têtes de listes de chaque sexe appartenant au même parti ne doivent pas dépasser 60 % de la totalité; en outre, sur toutes les listes, les candidats des deux sexes doivent être inscrits en alternance. </w:t>
      </w:r>
    </w:p>
    <w:p w:rsidR="008301A4" w:rsidRPr="00F60A3D" w:rsidRDefault="008301A4" w:rsidP="008301A4">
      <w:pPr>
        <w:pStyle w:val="FootnoteText"/>
        <w:spacing w:after="60"/>
        <w:rPr>
          <w:szCs w:val="18"/>
          <w:lang w:val="fr-FR"/>
        </w:rPr>
      </w:pPr>
      <w:r w:rsidRPr="00F60A3D">
        <w:rPr>
          <w:sz w:val="16"/>
          <w:szCs w:val="16"/>
          <w:lang w:val="fr-FR"/>
        </w:rPr>
        <w:tab/>
        <w:t>-</w:t>
      </w:r>
      <w:r w:rsidRPr="00F60A3D">
        <w:rPr>
          <w:sz w:val="16"/>
          <w:szCs w:val="16"/>
          <w:lang w:val="fr-FR"/>
        </w:rPr>
        <w:tab/>
      </w:r>
      <w:r w:rsidRPr="00F60A3D">
        <w:rPr>
          <w:szCs w:val="18"/>
          <w:lang w:val="fr-FR"/>
        </w:rPr>
        <w:t>Un amendement, appelé «amendement Érasmus» permet aux élèves italiens qui participent au programme Érasmus à l’étranger de voter.</w:t>
      </w:r>
    </w:p>
    <w:p w:rsidR="008301A4" w:rsidRPr="00F60A3D" w:rsidRDefault="008301A4" w:rsidP="008301A4">
      <w:pPr>
        <w:pStyle w:val="FootnoteText"/>
        <w:rPr>
          <w:szCs w:val="18"/>
          <w:lang w:val="fr-FR"/>
        </w:rPr>
      </w:pPr>
      <w:r w:rsidRPr="00F60A3D">
        <w:rPr>
          <w:szCs w:val="18"/>
          <w:lang w:val="fr-FR"/>
        </w:rPr>
        <w:tab/>
      </w:r>
      <w:r w:rsidRPr="00F60A3D">
        <w:rPr>
          <w:szCs w:val="18"/>
          <w:lang w:val="fr-FR"/>
        </w:rPr>
        <w:tab/>
        <w:t xml:space="preserve">S’agissant du Sénat, il ne comprendra que 100 sénateurs et représentera les régions, avec des pouvoirs spécifiques réduits. Enfin, la réforme globale de la partie II de la Constitution fera l’objet d’un référendum constitutionnel, prévu aux environs d’octobre 2016. </w:t>
      </w:r>
    </w:p>
  </w:footnote>
  <w:footnote w:id="19">
    <w:p w:rsidR="008301A4" w:rsidRPr="00F60A3D" w:rsidRDefault="008301A4" w:rsidP="00D70154">
      <w:pPr>
        <w:pStyle w:val="FootnoteText"/>
        <w:widowControl w:val="0"/>
        <w:tabs>
          <w:tab w:val="clear" w:pos="1021"/>
          <w:tab w:val="right" w:pos="1020"/>
        </w:tabs>
        <w:rPr>
          <w:szCs w:val="18"/>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Le 16 novembre 2013, «Peuple de la liberté» a approuvé son autosuspension afin de relancer le parti «</w:t>
      </w:r>
      <w:r w:rsidRPr="00F60A3D">
        <w:rPr>
          <w:i/>
          <w:szCs w:val="18"/>
          <w:lang w:val="fr-FR"/>
        </w:rPr>
        <w:t xml:space="preserve">Forza Italia», </w:t>
      </w:r>
      <w:r w:rsidRPr="00F60A3D">
        <w:rPr>
          <w:szCs w:val="18"/>
          <w:lang w:val="fr-FR"/>
        </w:rPr>
        <w:t>auquel n’appartient plus le «Nouveau Centre-droit», dirigé par M. Angelino Alfano</w:t>
      </w:r>
      <w:r w:rsidRPr="00F60A3D">
        <w:rPr>
          <w:i/>
          <w:szCs w:val="18"/>
          <w:lang w:val="fr-FR"/>
        </w:rPr>
        <w:t xml:space="preserve">. </w:t>
      </w:r>
      <w:r w:rsidRPr="00F60A3D">
        <w:rPr>
          <w:szCs w:val="18"/>
          <w:lang w:val="fr-FR"/>
        </w:rPr>
        <w:t xml:space="preserve">Ce parti a décidé de soutenir le gouvernement d’alors conduit par Enrico Letta. </w:t>
      </w:r>
    </w:p>
  </w:footnote>
  <w:footnote w:id="20">
    <w:p w:rsidR="008301A4" w:rsidRPr="00F60A3D" w:rsidRDefault="008301A4" w:rsidP="004170A2">
      <w:pPr>
        <w:pStyle w:val="FootnoteText"/>
        <w:widowControl w:val="0"/>
        <w:tabs>
          <w:tab w:val="clear" w:pos="1021"/>
          <w:tab w:val="right" w:pos="1020"/>
        </w:tabs>
        <w:rPr>
          <w:lang w:val="fr-FR"/>
        </w:rPr>
      </w:pPr>
      <w:r w:rsidRPr="00F60A3D">
        <w:rPr>
          <w:lang w:val="fr-FR"/>
        </w:rPr>
        <w:tab/>
      </w:r>
      <w:r w:rsidRPr="00F60A3D">
        <w:rPr>
          <w:rStyle w:val="FootnoteReference"/>
          <w:lang w:val="fr-FR"/>
        </w:rPr>
        <w:footnoteRef/>
      </w:r>
      <w:r w:rsidRPr="00F60A3D">
        <w:rPr>
          <w:lang w:val="fr-FR"/>
        </w:rPr>
        <w:tab/>
      </w:r>
      <w:r w:rsidRPr="00F60A3D">
        <w:rPr>
          <w:color w:val="141414"/>
          <w:szCs w:val="18"/>
          <w:lang w:val="fr-FR"/>
        </w:rPr>
        <w:t>La loi n</w:t>
      </w:r>
      <w:r w:rsidRPr="00F60A3D">
        <w:rPr>
          <w:color w:val="141414"/>
          <w:szCs w:val="18"/>
          <w:vertAlign w:val="superscript"/>
          <w:lang w:val="fr-FR"/>
        </w:rPr>
        <w:t>o</w:t>
      </w:r>
      <w:r w:rsidRPr="00F60A3D">
        <w:rPr>
          <w:color w:val="141414"/>
          <w:szCs w:val="18"/>
          <w:lang w:val="fr-FR"/>
        </w:rPr>
        <w:t> 49/1987 sur la coopération au développement a été abrogée et remplacée par la loi n</w:t>
      </w:r>
      <w:r w:rsidRPr="00F60A3D">
        <w:rPr>
          <w:color w:val="141414"/>
          <w:szCs w:val="18"/>
          <w:vertAlign w:val="superscript"/>
          <w:lang w:val="fr-FR"/>
        </w:rPr>
        <w:t>o</w:t>
      </w:r>
      <w:r w:rsidRPr="00F60A3D">
        <w:rPr>
          <w:color w:val="141414"/>
          <w:szCs w:val="18"/>
          <w:lang w:val="fr-FR"/>
        </w:rPr>
        <w:t> 125/2014, qui prévoit, notamment, la création de l’Agence italienne de coopération au développement.</w:t>
      </w:r>
    </w:p>
  </w:footnote>
  <w:footnote w:id="21">
    <w:p w:rsidR="008301A4" w:rsidRPr="00F60A3D" w:rsidRDefault="008301A4" w:rsidP="00546036">
      <w:pPr>
        <w:pStyle w:val="FootnoteText"/>
        <w:tabs>
          <w:tab w:val="clear" w:pos="1021"/>
          <w:tab w:val="right" w:pos="1020"/>
        </w:tabs>
        <w:rPr>
          <w:szCs w:val="18"/>
          <w:lang w:val="fr-FR"/>
        </w:rPr>
      </w:pPr>
      <w:r w:rsidRPr="00F60A3D">
        <w:rPr>
          <w:sz w:val="16"/>
          <w:szCs w:val="16"/>
          <w:lang w:val="fr-FR"/>
        </w:rPr>
        <w:tab/>
      </w:r>
      <w:r w:rsidRPr="00F60A3D">
        <w:rPr>
          <w:rStyle w:val="FootnoteReference"/>
          <w:lang w:val="fr-FR"/>
        </w:rPr>
        <w:footnoteRef/>
      </w:r>
      <w:r w:rsidRPr="00F60A3D">
        <w:rPr>
          <w:sz w:val="16"/>
          <w:szCs w:val="16"/>
          <w:lang w:val="fr-FR"/>
        </w:rPr>
        <w:tab/>
      </w:r>
      <w:r w:rsidRPr="00F60A3D">
        <w:rPr>
          <w:szCs w:val="18"/>
          <w:lang w:val="fr-FR"/>
        </w:rPr>
        <w:t xml:space="preserve">Le titre V (Partie II de la Constitution) consacré aux Autorités locales a été modifié respectivement le 18 octobre et le 31 décembre 2001. Il a ainsi été établi que le nouveau Titre V de la Loi fondamentale s’appliquerait aussi aux cinq régions dotées d’un statut spécial. Il prévoit en outre que les Chambres devraient changer leur règlement intérieur de manière à permettre aux représentants des régions et aux autres organes publics locaux de participer aux procédures des Commissions parlementaires concernant les affaires régionales, quand elles étudient des projets de loi contenant des «principes fondamentaux» concernant des pouvoirs législatifs parallèles, comme en dispose l’article 117 3), ou l’exercice de l’autonomie financière, énoncé à l’article 119. Le 7 octobre 2001, un amendement constitutionnel important portant sur l’intégralité du Titre V de la Constitution (régions, provinces, municipalités) a été approuvé par référendum populaire avec 64,2 % de votes favorables, bien que le taux de participation n’ait été que de 34 %. Le 18 avril 1999, 91 % des électeurs ont voté en faveur de la suppression du système proportionnel, avec un taux de participation de seulement 49,6 % (contre 50 % + 1 requis par la Constitution, pour valider un référendum abrogatif). Le référendum a été déclaré nul. Le 18 avril 1993, un référendum a entraîné une réforme majeure du système électoral. Le 9 juin 1991, un nombre important de votes favorables a modifié la loi électorale qui est passée d’un système proportionnel à un système mixte majoritaire. Le 2 mai 1974 a été organisé le premier référendum de l’histoire constitutionnelle italienne, et la loi autorisant le divorce a été adoptée avec une majorité de 59,3 % des suffrages du corps électoral italien. Le 7 juin 1970, les premières élections régionales ont concrétisé la décentralisation. </w:t>
      </w:r>
    </w:p>
  </w:footnote>
  <w:footnote w:id="22">
    <w:p w:rsidR="008301A4" w:rsidRPr="00F60A3D" w:rsidRDefault="008301A4" w:rsidP="002F3319">
      <w:pPr>
        <w:pStyle w:val="FootnoteText"/>
        <w:widowControl w:val="0"/>
        <w:tabs>
          <w:tab w:val="clear" w:pos="1021"/>
          <w:tab w:val="right" w:pos="1020"/>
        </w:tabs>
        <w:rPr>
          <w:szCs w:val="18"/>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Voir note de bas de page n</w:t>
      </w:r>
      <w:r w:rsidRPr="00F60A3D">
        <w:rPr>
          <w:szCs w:val="18"/>
          <w:vertAlign w:val="superscript"/>
          <w:lang w:val="fr-FR"/>
        </w:rPr>
        <w:t>o</w:t>
      </w:r>
      <w:r w:rsidRPr="00F60A3D">
        <w:rPr>
          <w:szCs w:val="18"/>
          <w:lang w:val="fr-FR"/>
        </w:rPr>
        <w:t xml:space="preserve"> 17 ci-dessus. </w:t>
      </w:r>
    </w:p>
  </w:footnote>
  <w:footnote w:id="23">
    <w:p w:rsidR="008301A4" w:rsidRPr="00F60A3D" w:rsidRDefault="008301A4" w:rsidP="002F3319">
      <w:pPr>
        <w:pStyle w:val="FootnoteText"/>
        <w:widowControl w:val="0"/>
        <w:tabs>
          <w:tab w:val="clear" w:pos="1021"/>
          <w:tab w:val="right" w:pos="1020"/>
        </w:tabs>
        <w:rPr>
          <w:lang w:val="fr-FR"/>
        </w:rPr>
      </w:pPr>
      <w:r w:rsidRPr="00F60A3D">
        <w:rPr>
          <w:lang w:val="fr-FR"/>
        </w:rPr>
        <w:tab/>
      </w:r>
      <w:r w:rsidRPr="00F60A3D">
        <w:rPr>
          <w:rStyle w:val="FootnoteReference"/>
          <w:lang w:val="fr-FR"/>
        </w:rPr>
        <w:footnoteRef/>
      </w:r>
      <w:r w:rsidRPr="00F60A3D">
        <w:rPr>
          <w:lang w:val="fr-FR"/>
        </w:rPr>
        <w:tab/>
        <w:t>Voir annexe 2 (disponible à l’adresse: https://www.senato.it/documenti/repository/istituzione/</w:t>
      </w:r>
      <w:r w:rsidRPr="00F60A3D">
        <w:rPr>
          <w:lang w:val="fr-FR"/>
        </w:rPr>
        <w:br/>
        <w:t>costituzione_inglese.pdf).</w:t>
      </w:r>
    </w:p>
  </w:footnote>
  <w:footnote w:id="24">
    <w:p w:rsidR="008301A4" w:rsidRPr="00F60A3D" w:rsidRDefault="008301A4" w:rsidP="0022658C">
      <w:pPr>
        <w:pStyle w:val="FootnoteText"/>
        <w:widowControl w:val="0"/>
        <w:tabs>
          <w:tab w:val="clear" w:pos="1021"/>
          <w:tab w:val="right" w:pos="1020"/>
        </w:tabs>
        <w:rPr>
          <w:szCs w:val="18"/>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La loi n</w:t>
      </w:r>
      <w:r w:rsidRPr="00F60A3D">
        <w:rPr>
          <w:szCs w:val="18"/>
          <w:vertAlign w:val="superscript"/>
          <w:lang w:val="fr-FR"/>
        </w:rPr>
        <w:t>o</w:t>
      </w:r>
      <w:r w:rsidRPr="00F60A3D">
        <w:rPr>
          <w:szCs w:val="18"/>
          <w:lang w:val="fr-FR"/>
        </w:rPr>
        <w:t> 56/2014, a transformé les provinces des régions ordinaires en autorités administratives de deuxième degré. Parallèlement, il a été prévu de transformer dix provinces en «métropoles». La loi a aboli les gouvernements provinciaux (</w:t>
      </w:r>
      <w:r w:rsidRPr="00F60A3D">
        <w:rPr>
          <w:i/>
          <w:szCs w:val="18"/>
          <w:lang w:val="fr-FR"/>
        </w:rPr>
        <w:t>Giunta provinciale</w:t>
      </w:r>
      <w:r w:rsidRPr="00F60A3D">
        <w:rPr>
          <w:szCs w:val="18"/>
          <w:lang w:val="fr-FR"/>
        </w:rPr>
        <w:t>) et réparti leurs compétences au sein des Conseils provinciaux respectifs. La mise en place d’un nouvel organe a également été prévue: l’Assemblée des maires chargée d’approuver le budget et les éventuelles modifications de la réglementation. Par la loi n</w:t>
      </w:r>
      <w:r w:rsidRPr="00F60A3D">
        <w:rPr>
          <w:szCs w:val="18"/>
          <w:vertAlign w:val="superscript"/>
          <w:lang w:val="fr-FR"/>
        </w:rPr>
        <w:t>o</w:t>
      </w:r>
      <w:r w:rsidRPr="00F60A3D">
        <w:rPr>
          <w:szCs w:val="18"/>
          <w:lang w:val="fr-FR"/>
        </w:rPr>
        <w:t xml:space="preserve"> 15/2015, la région sicilienne a approuvé la suppression des provinces et leur remplacement par six «groupements municipaux» libres et trois grandes métropoles: Palerme, Catane et Messine – bien que cette dernière ait conservé les fonctions locales et régionales des anciennes provinces. </w:t>
      </w:r>
    </w:p>
  </w:footnote>
  <w:footnote w:id="25">
    <w:p w:rsidR="008301A4" w:rsidRPr="00F60A3D" w:rsidRDefault="008301A4" w:rsidP="002F3319">
      <w:pPr>
        <w:pStyle w:val="FootnoteText"/>
        <w:widowControl w:val="0"/>
        <w:tabs>
          <w:tab w:val="clear" w:pos="1021"/>
          <w:tab w:val="right" w:pos="1020"/>
        </w:tabs>
        <w:rPr>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http://europa.eu/about-eu/countries/member-countries/italy/index_en.htm</w:t>
      </w:r>
      <w:r w:rsidRPr="00F60A3D">
        <w:rPr>
          <w:lang w:val="fr-FR"/>
        </w:rPr>
        <w:t>.</w:t>
      </w:r>
    </w:p>
  </w:footnote>
  <w:footnote w:id="26">
    <w:p w:rsidR="008301A4" w:rsidRPr="00F60A3D" w:rsidRDefault="008301A4" w:rsidP="0022658C">
      <w:pPr>
        <w:pStyle w:val="FootnoteText"/>
        <w:rPr>
          <w:lang w:val="fr-FR"/>
        </w:rPr>
      </w:pPr>
      <w:r w:rsidRPr="00F60A3D">
        <w:rPr>
          <w:lang w:val="fr-FR"/>
        </w:rPr>
        <w:tab/>
      </w:r>
      <w:r w:rsidRPr="00F60A3D">
        <w:rPr>
          <w:rStyle w:val="FootnoteReference"/>
          <w:lang w:val="fr-FR"/>
        </w:rPr>
        <w:footnoteRef/>
      </w:r>
      <w:r w:rsidRPr="00F60A3D">
        <w:rPr>
          <w:lang w:val="fr-FR"/>
        </w:rPr>
        <w:tab/>
        <w:t xml:space="preserve">Par exemple, les limites sociales à la propriété privée conformément à l’article 42 (par.3). </w:t>
      </w:r>
    </w:p>
  </w:footnote>
  <w:footnote w:id="27">
    <w:p w:rsidR="008301A4" w:rsidRPr="00F60A3D" w:rsidRDefault="008301A4" w:rsidP="0022658C">
      <w:pPr>
        <w:pStyle w:val="FootnoteText"/>
        <w:spacing w:after="120"/>
        <w:rPr>
          <w:lang w:val="fr-FR"/>
        </w:rPr>
      </w:pPr>
      <w:r w:rsidRPr="00F60A3D">
        <w:rPr>
          <w:lang w:val="fr-FR"/>
        </w:rPr>
        <w:tab/>
      </w:r>
      <w:r w:rsidRPr="00F60A3D">
        <w:rPr>
          <w:rStyle w:val="FootnoteReference"/>
          <w:lang w:val="fr-FR"/>
        </w:rPr>
        <w:footnoteRef/>
      </w:r>
      <w:r w:rsidRPr="00F60A3D">
        <w:rPr>
          <w:lang w:val="fr-FR"/>
        </w:rPr>
        <w:tab/>
        <w:t>S’agissant du patrimoine culturel de l’Italie:</w:t>
      </w:r>
      <w:r w:rsidRPr="00F60A3D">
        <w:rPr>
          <w:b/>
          <w:lang w:val="fr-FR"/>
        </w:rPr>
        <w:t xml:space="preserve"> </w:t>
      </w:r>
      <w:r w:rsidRPr="00F60A3D">
        <w:rPr>
          <w:lang w:val="fr-FR"/>
        </w:rPr>
        <w:t>bien que la crise économique ait eu une incidence sur la protection du patrimoine culturel, l’analyse ci-dessous – qui porte sur les travaux publics, les revenus de la loterie nationale, les programmes d’urgence et les programmes intégrés, les aides financières aux propriétaires privés de biens culturels – indique l’évolution de 2007 (début de la crise économique) à 2015 (</w:t>
      </w:r>
      <w:r w:rsidRPr="00F60A3D">
        <w:rPr>
          <w:i/>
          <w:iCs/>
          <w:lang w:val="fr-FR"/>
        </w:rPr>
        <w:t>Source</w:t>
      </w:r>
      <w:r w:rsidRPr="00F60A3D">
        <w:rPr>
          <w:lang w:val="fr-FR"/>
        </w:rPr>
        <w:t xml:space="preserve">: Ministère italien du patrimoine culturel et du tourisme). </w:t>
      </w:r>
    </w:p>
    <w:tbl>
      <w:tblPr>
        <w:tblW w:w="7371" w:type="dxa"/>
        <w:tblInd w:w="1134" w:type="dxa"/>
        <w:tblBorders>
          <w:top w:val="single" w:sz="4" w:space="0" w:color="auto"/>
        </w:tblBorders>
        <w:tblCellMar>
          <w:left w:w="0" w:type="dxa"/>
          <w:right w:w="0" w:type="dxa"/>
        </w:tblCellMar>
        <w:tblLook w:val="00A0" w:firstRow="1" w:lastRow="0" w:firstColumn="1" w:lastColumn="0" w:noHBand="0" w:noVBand="0"/>
      </w:tblPr>
      <w:tblGrid>
        <w:gridCol w:w="409"/>
        <w:gridCol w:w="1392"/>
        <w:gridCol w:w="1392"/>
        <w:gridCol w:w="1392"/>
        <w:gridCol w:w="1489"/>
        <w:gridCol w:w="1297"/>
      </w:tblGrid>
      <w:tr w:rsidR="008301A4" w:rsidRPr="00F60A3D" w:rsidTr="00497D03">
        <w:trPr>
          <w:trHeight w:val="231"/>
          <w:tblHeader/>
        </w:trPr>
        <w:tc>
          <w:tcPr>
            <w:tcW w:w="5000" w:type="pct"/>
            <w:gridSpan w:val="6"/>
            <w:tcBorders>
              <w:top w:val="single" w:sz="4" w:space="0" w:color="auto"/>
              <w:bottom w:val="single" w:sz="4" w:space="0" w:color="auto"/>
            </w:tcBorders>
            <w:shd w:val="clear" w:color="auto" w:fill="auto"/>
            <w:noWrap/>
            <w:vAlign w:val="bottom"/>
          </w:tcPr>
          <w:p w:rsidR="008301A4" w:rsidRPr="00F60A3D" w:rsidRDefault="008301A4" w:rsidP="00497D03">
            <w:pPr>
              <w:suppressAutoHyphens w:val="0"/>
              <w:spacing w:before="80" w:after="80" w:line="200" w:lineRule="exact"/>
              <w:jc w:val="center"/>
              <w:rPr>
                <w:i/>
                <w:iCs/>
                <w:sz w:val="16"/>
                <w:szCs w:val="16"/>
                <w:lang w:val="fr-FR" w:eastAsia="it-IT"/>
              </w:rPr>
            </w:pPr>
            <w:r w:rsidRPr="00F60A3D">
              <w:rPr>
                <w:i/>
                <w:iCs/>
                <w:sz w:val="16"/>
                <w:szCs w:val="16"/>
                <w:lang w:val="fr-FR" w:eastAsia="it-IT"/>
              </w:rPr>
              <w:t>Italie – Conservation des ressources (en euros)</w:t>
            </w:r>
          </w:p>
        </w:tc>
      </w:tr>
      <w:tr w:rsidR="008301A4" w:rsidRPr="00F60A3D" w:rsidTr="0022658C">
        <w:trPr>
          <w:trHeight w:val="231"/>
        </w:trPr>
        <w:tc>
          <w:tcPr>
            <w:tcW w:w="278" w:type="pct"/>
            <w:tcBorders>
              <w:top w:val="single" w:sz="4" w:space="0" w:color="auto"/>
              <w:bottom w:val="single" w:sz="12" w:space="0" w:color="auto"/>
            </w:tcBorders>
            <w:shd w:val="clear" w:color="auto" w:fill="auto"/>
            <w:noWrap/>
            <w:vAlign w:val="bottom"/>
          </w:tcPr>
          <w:p w:rsidR="008301A4" w:rsidRPr="00F60A3D" w:rsidRDefault="008301A4" w:rsidP="0022658C">
            <w:pPr>
              <w:suppressAutoHyphens w:val="0"/>
              <w:spacing w:before="80" w:after="80" w:line="200" w:lineRule="exact"/>
              <w:rPr>
                <w:bCs/>
                <w:i/>
                <w:sz w:val="16"/>
                <w:szCs w:val="16"/>
                <w:lang w:val="fr-FR" w:eastAsia="it-IT"/>
              </w:rPr>
            </w:pPr>
            <w:r w:rsidRPr="00F60A3D">
              <w:rPr>
                <w:bCs/>
                <w:i/>
                <w:sz w:val="16"/>
                <w:szCs w:val="16"/>
                <w:lang w:val="fr-FR" w:eastAsia="it-IT"/>
              </w:rPr>
              <w:t>Année</w:t>
            </w:r>
          </w:p>
        </w:tc>
        <w:tc>
          <w:tcPr>
            <w:tcW w:w="944" w:type="pct"/>
            <w:tcBorders>
              <w:top w:val="single" w:sz="4" w:space="0" w:color="auto"/>
              <w:bottom w:val="single" w:sz="12" w:space="0" w:color="auto"/>
            </w:tcBorders>
            <w:shd w:val="clear" w:color="auto" w:fill="auto"/>
            <w:vAlign w:val="bottom"/>
          </w:tcPr>
          <w:p w:rsidR="008301A4" w:rsidRPr="00F60A3D" w:rsidRDefault="008301A4" w:rsidP="0022658C">
            <w:pPr>
              <w:suppressAutoHyphens w:val="0"/>
              <w:spacing w:before="80" w:after="80" w:line="200" w:lineRule="exact"/>
              <w:jc w:val="right"/>
              <w:rPr>
                <w:bCs/>
                <w:i/>
                <w:sz w:val="16"/>
                <w:szCs w:val="16"/>
                <w:lang w:val="fr-FR" w:eastAsia="it-IT"/>
              </w:rPr>
            </w:pPr>
            <w:r w:rsidRPr="00F60A3D">
              <w:rPr>
                <w:bCs/>
                <w:i/>
                <w:sz w:val="16"/>
                <w:szCs w:val="16"/>
                <w:lang w:val="fr-FR" w:eastAsia="it-IT"/>
              </w:rPr>
              <w:t xml:space="preserve">Revenus de la </w:t>
            </w:r>
            <w:r w:rsidRPr="00F60A3D">
              <w:rPr>
                <w:bCs/>
                <w:i/>
                <w:sz w:val="16"/>
                <w:szCs w:val="16"/>
                <w:lang w:val="fr-FR" w:eastAsia="it-IT"/>
              </w:rPr>
              <w:br/>
              <w:t>loterie nationale</w:t>
            </w:r>
          </w:p>
        </w:tc>
        <w:tc>
          <w:tcPr>
            <w:tcW w:w="944" w:type="pct"/>
            <w:tcBorders>
              <w:top w:val="single" w:sz="4" w:space="0" w:color="auto"/>
              <w:bottom w:val="single" w:sz="12" w:space="0" w:color="auto"/>
            </w:tcBorders>
            <w:shd w:val="clear" w:color="auto" w:fill="auto"/>
            <w:vAlign w:val="bottom"/>
          </w:tcPr>
          <w:p w:rsidR="008301A4" w:rsidRPr="00F60A3D" w:rsidRDefault="008301A4" w:rsidP="0022658C">
            <w:pPr>
              <w:suppressAutoHyphens w:val="0"/>
              <w:spacing w:before="80" w:after="80" w:line="200" w:lineRule="exact"/>
              <w:jc w:val="right"/>
              <w:rPr>
                <w:bCs/>
                <w:i/>
                <w:sz w:val="16"/>
                <w:szCs w:val="16"/>
                <w:lang w:val="fr-FR" w:eastAsia="it-IT"/>
              </w:rPr>
            </w:pPr>
            <w:r w:rsidRPr="00F60A3D">
              <w:rPr>
                <w:bCs/>
                <w:i/>
                <w:sz w:val="16"/>
                <w:szCs w:val="16"/>
                <w:lang w:val="fr-FR" w:eastAsia="it-IT"/>
              </w:rPr>
              <w:t xml:space="preserve">Programme </w:t>
            </w:r>
            <w:r w:rsidRPr="00F60A3D">
              <w:rPr>
                <w:bCs/>
                <w:i/>
                <w:sz w:val="16"/>
                <w:szCs w:val="16"/>
                <w:lang w:val="fr-FR" w:eastAsia="it-IT"/>
              </w:rPr>
              <w:br/>
              <w:t>ordinaire Travaux publics</w:t>
            </w:r>
          </w:p>
        </w:tc>
        <w:tc>
          <w:tcPr>
            <w:tcW w:w="944" w:type="pct"/>
            <w:tcBorders>
              <w:top w:val="single" w:sz="4" w:space="0" w:color="auto"/>
              <w:bottom w:val="single" w:sz="12" w:space="0" w:color="auto"/>
            </w:tcBorders>
            <w:shd w:val="clear" w:color="auto" w:fill="auto"/>
            <w:vAlign w:val="bottom"/>
          </w:tcPr>
          <w:p w:rsidR="008301A4" w:rsidRPr="00F60A3D" w:rsidRDefault="008301A4" w:rsidP="0022658C">
            <w:pPr>
              <w:suppressAutoHyphens w:val="0"/>
              <w:spacing w:before="80" w:after="80" w:line="200" w:lineRule="exact"/>
              <w:jc w:val="right"/>
              <w:rPr>
                <w:bCs/>
                <w:i/>
                <w:sz w:val="16"/>
                <w:szCs w:val="16"/>
                <w:lang w:val="fr-FR" w:eastAsia="it-IT"/>
              </w:rPr>
            </w:pPr>
            <w:r w:rsidRPr="00F60A3D">
              <w:rPr>
                <w:bCs/>
                <w:i/>
                <w:sz w:val="16"/>
                <w:szCs w:val="16"/>
                <w:lang w:val="fr-FR" w:eastAsia="it-IT"/>
              </w:rPr>
              <w:t>Programmes d’urgence et programmes</w:t>
            </w:r>
            <w:r w:rsidRPr="00F60A3D">
              <w:rPr>
                <w:bCs/>
                <w:i/>
                <w:sz w:val="16"/>
                <w:szCs w:val="16"/>
                <w:lang w:val="fr-FR" w:eastAsia="it-IT"/>
              </w:rPr>
              <w:br/>
              <w:t xml:space="preserve"> intégrés </w:t>
            </w:r>
          </w:p>
        </w:tc>
        <w:tc>
          <w:tcPr>
            <w:tcW w:w="1010" w:type="pct"/>
            <w:tcBorders>
              <w:top w:val="single" w:sz="4" w:space="0" w:color="auto"/>
              <w:bottom w:val="single" w:sz="12" w:space="0" w:color="auto"/>
            </w:tcBorders>
            <w:shd w:val="clear" w:color="auto" w:fill="auto"/>
            <w:vAlign w:val="bottom"/>
          </w:tcPr>
          <w:p w:rsidR="008301A4" w:rsidRPr="00F60A3D" w:rsidRDefault="008301A4" w:rsidP="0022658C">
            <w:pPr>
              <w:suppressAutoHyphens w:val="0"/>
              <w:spacing w:before="80" w:after="80" w:line="200" w:lineRule="exact"/>
              <w:jc w:val="right"/>
              <w:rPr>
                <w:bCs/>
                <w:i/>
                <w:sz w:val="16"/>
                <w:szCs w:val="16"/>
                <w:lang w:val="fr-FR" w:eastAsia="it-IT"/>
              </w:rPr>
            </w:pPr>
            <w:r w:rsidRPr="00F60A3D">
              <w:rPr>
                <w:bCs/>
                <w:i/>
                <w:sz w:val="16"/>
                <w:szCs w:val="16"/>
                <w:lang w:val="fr-FR" w:eastAsia="it-IT"/>
              </w:rPr>
              <w:t>Soutiens financiers aux propriétaires privés de biens culturels</w:t>
            </w:r>
          </w:p>
        </w:tc>
        <w:tc>
          <w:tcPr>
            <w:tcW w:w="879" w:type="pct"/>
            <w:tcBorders>
              <w:top w:val="single" w:sz="4" w:space="0" w:color="auto"/>
              <w:bottom w:val="single" w:sz="12" w:space="0" w:color="auto"/>
            </w:tcBorders>
            <w:shd w:val="clear" w:color="auto" w:fill="auto"/>
            <w:noWrap/>
            <w:vAlign w:val="bottom"/>
          </w:tcPr>
          <w:p w:rsidR="008301A4" w:rsidRPr="00F60A3D" w:rsidRDefault="008301A4" w:rsidP="0022658C">
            <w:pPr>
              <w:suppressAutoHyphens w:val="0"/>
              <w:spacing w:before="80" w:after="80" w:line="200" w:lineRule="exact"/>
              <w:jc w:val="right"/>
              <w:rPr>
                <w:b/>
                <w:i/>
                <w:sz w:val="16"/>
                <w:szCs w:val="16"/>
                <w:lang w:val="fr-FR" w:eastAsia="it-IT"/>
              </w:rPr>
            </w:pPr>
            <w:r w:rsidRPr="00F60A3D">
              <w:rPr>
                <w:b/>
                <w:i/>
                <w:sz w:val="16"/>
                <w:szCs w:val="16"/>
                <w:lang w:val="fr-FR" w:eastAsia="it-IT"/>
              </w:rPr>
              <w:t>Total</w:t>
            </w:r>
          </w:p>
        </w:tc>
      </w:tr>
      <w:tr w:rsidR="008301A4" w:rsidRPr="00F60A3D" w:rsidTr="0022658C">
        <w:trPr>
          <w:trHeight w:val="231"/>
        </w:trPr>
        <w:tc>
          <w:tcPr>
            <w:tcW w:w="278" w:type="pct"/>
            <w:tcBorders>
              <w:top w:val="single" w:sz="12" w:space="0" w:color="auto"/>
            </w:tcBorders>
            <w:shd w:val="clear" w:color="auto" w:fill="auto"/>
            <w:noWrap/>
          </w:tcPr>
          <w:p w:rsidR="008301A4" w:rsidRPr="00F60A3D" w:rsidRDefault="008301A4" w:rsidP="00AD79A7">
            <w:pPr>
              <w:suppressAutoHyphens w:val="0"/>
              <w:spacing w:before="40" w:after="40" w:line="220" w:lineRule="exact"/>
              <w:rPr>
                <w:bCs/>
                <w:sz w:val="18"/>
                <w:szCs w:val="18"/>
                <w:lang w:val="fr-FR" w:eastAsia="it-IT"/>
              </w:rPr>
            </w:pPr>
            <w:r w:rsidRPr="00F60A3D">
              <w:rPr>
                <w:bCs/>
                <w:sz w:val="18"/>
                <w:szCs w:val="18"/>
                <w:lang w:val="fr-FR" w:eastAsia="it-IT"/>
              </w:rPr>
              <w:t>2007</w:t>
            </w:r>
          </w:p>
        </w:tc>
        <w:tc>
          <w:tcPr>
            <w:tcW w:w="944" w:type="pct"/>
            <w:tcBorders>
              <w:top w:val="single" w:sz="12" w:space="0" w:color="auto"/>
            </w:tcBorders>
            <w:shd w:val="clear" w:color="auto" w:fill="auto"/>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106 028 882,11</w:t>
            </w:r>
          </w:p>
        </w:tc>
        <w:tc>
          <w:tcPr>
            <w:tcW w:w="944" w:type="pct"/>
            <w:tcBorders>
              <w:top w:val="single" w:sz="12" w:space="0" w:color="auto"/>
            </w:tcBorders>
            <w:shd w:val="clear" w:color="auto" w:fill="auto"/>
            <w:noWrap/>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148 152 624,56</w:t>
            </w:r>
          </w:p>
        </w:tc>
        <w:tc>
          <w:tcPr>
            <w:tcW w:w="944" w:type="pct"/>
            <w:tcBorders>
              <w:top w:val="single" w:sz="12" w:space="0" w:color="auto"/>
            </w:tcBorders>
            <w:shd w:val="clear" w:color="auto" w:fill="auto"/>
            <w:noWrap/>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79 000 000,00</w:t>
            </w:r>
          </w:p>
        </w:tc>
        <w:tc>
          <w:tcPr>
            <w:tcW w:w="1010" w:type="pct"/>
            <w:tcBorders>
              <w:top w:val="single" w:sz="12" w:space="0" w:color="auto"/>
            </w:tcBorders>
            <w:shd w:val="clear" w:color="auto" w:fill="auto"/>
            <w:noWrap/>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26 200 000,00</w:t>
            </w:r>
          </w:p>
        </w:tc>
        <w:tc>
          <w:tcPr>
            <w:tcW w:w="879" w:type="pct"/>
            <w:tcBorders>
              <w:top w:val="single" w:sz="12" w:space="0" w:color="auto"/>
            </w:tcBorders>
            <w:shd w:val="clear" w:color="auto" w:fill="auto"/>
            <w:noWrap/>
          </w:tcPr>
          <w:p w:rsidR="008301A4" w:rsidRPr="00F60A3D" w:rsidRDefault="008301A4" w:rsidP="00AD79A7">
            <w:pPr>
              <w:suppressAutoHyphens w:val="0"/>
              <w:spacing w:before="40" w:after="40" w:line="220" w:lineRule="exact"/>
              <w:jc w:val="right"/>
              <w:rPr>
                <w:b/>
                <w:bCs/>
                <w:sz w:val="18"/>
                <w:szCs w:val="18"/>
                <w:lang w:val="fr-FR" w:eastAsia="it-IT"/>
              </w:rPr>
            </w:pPr>
            <w:r w:rsidRPr="00F60A3D">
              <w:rPr>
                <w:b/>
                <w:bCs/>
                <w:sz w:val="18"/>
                <w:szCs w:val="18"/>
                <w:lang w:val="fr-FR" w:eastAsia="it-IT"/>
              </w:rPr>
              <w:t>359 381 506,67</w:t>
            </w:r>
          </w:p>
        </w:tc>
      </w:tr>
      <w:tr w:rsidR="008301A4" w:rsidRPr="00F60A3D" w:rsidTr="0022658C">
        <w:trPr>
          <w:trHeight w:val="231"/>
        </w:trPr>
        <w:tc>
          <w:tcPr>
            <w:tcW w:w="278" w:type="pct"/>
            <w:shd w:val="clear" w:color="auto" w:fill="auto"/>
            <w:noWrap/>
          </w:tcPr>
          <w:p w:rsidR="008301A4" w:rsidRPr="00F60A3D" w:rsidRDefault="008301A4" w:rsidP="00AD79A7">
            <w:pPr>
              <w:suppressAutoHyphens w:val="0"/>
              <w:spacing w:before="40" w:after="40" w:line="220" w:lineRule="exact"/>
              <w:rPr>
                <w:bCs/>
                <w:sz w:val="18"/>
                <w:szCs w:val="18"/>
                <w:lang w:val="fr-FR" w:eastAsia="it-IT"/>
              </w:rPr>
            </w:pPr>
            <w:r w:rsidRPr="00F60A3D">
              <w:rPr>
                <w:bCs/>
                <w:sz w:val="18"/>
                <w:szCs w:val="18"/>
                <w:lang w:val="fr-FR" w:eastAsia="it-IT"/>
              </w:rPr>
              <w:t>2008</w:t>
            </w:r>
          </w:p>
        </w:tc>
        <w:tc>
          <w:tcPr>
            <w:tcW w:w="944" w:type="pct"/>
            <w:shd w:val="clear" w:color="auto" w:fill="auto"/>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89 228 322,42</w:t>
            </w:r>
          </w:p>
        </w:tc>
        <w:tc>
          <w:tcPr>
            <w:tcW w:w="944" w:type="pct"/>
            <w:shd w:val="clear" w:color="auto" w:fill="auto"/>
            <w:noWrap/>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99 543 800,48</w:t>
            </w:r>
          </w:p>
        </w:tc>
        <w:tc>
          <w:tcPr>
            <w:tcW w:w="944" w:type="pct"/>
            <w:shd w:val="clear" w:color="auto" w:fill="auto"/>
            <w:noWrap/>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65 878 758,00</w:t>
            </w:r>
          </w:p>
        </w:tc>
        <w:tc>
          <w:tcPr>
            <w:tcW w:w="1010" w:type="pct"/>
            <w:shd w:val="clear" w:color="auto" w:fill="auto"/>
            <w:noWrap/>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21 985 261,00</w:t>
            </w:r>
          </w:p>
        </w:tc>
        <w:tc>
          <w:tcPr>
            <w:tcW w:w="879" w:type="pct"/>
            <w:shd w:val="clear" w:color="auto" w:fill="auto"/>
            <w:noWrap/>
          </w:tcPr>
          <w:p w:rsidR="008301A4" w:rsidRPr="00F60A3D" w:rsidRDefault="008301A4" w:rsidP="00AD79A7">
            <w:pPr>
              <w:suppressAutoHyphens w:val="0"/>
              <w:spacing w:before="40" w:after="40" w:line="220" w:lineRule="exact"/>
              <w:jc w:val="right"/>
              <w:rPr>
                <w:b/>
                <w:bCs/>
                <w:sz w:val="18"/>
                <w:szCs w:val="18"/>
                <w:lang w:val="fr-FR" w:eastAsia="it-IT"/>
              </w:rPr>
            </w:pPr>
            <w:r w:rsidRPr="00F60A3D">
              <w:rPr>
                <w:b/>
                <w:bCs/>
                <w:sz w:val="18"/>
                <w:szCs w:val="18"/>
                <w:lang w:val="fr-FR" w:eastAsia="it-IT"/>
              </w:rPr>
              <w:t>276 636 141,90</w:t>
            </w:r>
          </w:p>
        </w:tc>
      </w:tr>
      <w:tr w:rsidR="008301A4" w:rsidRPr="00F60A3D" w:rsidTr="0022658C">
        <w:trPr>
          <w:trHeight w:val="231"/>
        </w:trPr>
        <w:tc>
          <w:tcPr>
            <w:tcW w:w="278" w:type="pct"/>
            <w:shd w:val="clear" w:color="auto" w:fill="auto"/>
            <w:noWrap/>
          </w:tcPr>
          <w:p w:rsidR="008301A4" w:rsidRPr="00F60A3D" w:rsidRDefault="008301A4" w:rsidP="00AD79A7">
            <w:pPr>
              <w:suppressAutoHyphens w:val="0"/>
              <w:spacing w:before="40" w:after="40" w:line="220" w:lineRule="exact"/>
              <w:rPr>
                <w:bCs/>
                <w:sz w:val="18"/>
                <w:szCs w:val="18"/>
                <w:lang w:val="fr-FR" w:eastAsia="it-IT"/>
              </w:rPr>
            </w:pPr>
            <w:r w:rsidRPr="00F60A3D">
              <w:rPr>
                <w:bCs/>
                <w:sz w:val="18"/>
                <w:szCs w:val="18"/>
                <w:lang w:val="fr-FR" w:eastAsia="it-IT"/>
              </w:rPr>
              <w:t>2009</w:t>
            </w:r>
          </w:p>
        </w:tc>
        <w:tc>
          <w:tcPr>
            <w:tcW w:w="944" w:type="pct"/>
            <w:shd w:val="clear" w:color="auto" w:fill="auto"/>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78 669 102,90</w:t>
            </w:r>
          </w:p>
        </w:tc>
        <w:tc>
          <w:tcPr>
            <w:tcW w:w="944" w:type="pct"/>
            <w:shd w:val="clear" w:color="auto" w:fill="auto"/>
            <w:noWrap/>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76 396 369,00</w:t>
            </w:r>
          </w:p>
        </w:tc>
        <w:tc>
          <w:tcPr>
            <w:tcW w:w="944" w:type="pct"/>
            <w:shd w:val="clear" w:color="auto" w:fill="auto"/>
            <w:noWrap/>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53 516 475,00</w:t>
            </w:r>
          </w:p>
        </w:tc>
        <w:tc>
          <w:tcPr>
            <w:tcW w:w="1010" w:type="pct"/>
            <w:shd w:val="clear" w:color="auto" w:fill="auto"/>
            <w:noWrap/>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17 670 782,00</w:t>
            </w:r>
          </w:p>
        </w:tc>
        <w:tc>
          <w:tcPr>
            <w:tcW w:w="879" w:type="pct"/>
            <w:shd w:val="clear" w:color="auto" w:fill="auto"/>
            <w:noWrap/>
          </w:tcPr>
          <w:p w:rsidR="008301A4" w:rsidRPr="00F60A3D" w:rsidRDefault="008301A4" w:rsidP="00AD79A7">
            <w:pPr>
              <w:suppressAutoHyphens w:val="0"/>
              <w:spacing w:before="40" w:after="40" w:line="220" w:lineRule="exact"/>
              <w:jc w:val="right"/>
              <w:rPr>
                <w:b/>
                <w:bCs/>
                <w:sz w:val="18"/>
                <w:szCs w:val="18"/>
                <w:lang w:val="fr-FR" w:eastAsia="it-IT"/>
              </w:rPr>
            </w:pPr>
            <w:r w:rsidRPr="00F60A3D">
              <w:rPr>
                <w:b/>
                <w:bCs/>
                <w:sz w:val="18"/>
                <w:szCs w:val="18"/>
                <w:lang w:val="fr-FR" w:eastAsia="it-IT"/>
              </w:rPr>
              <w:t>226 252 728,90</w:t>
            </w:r>
          </w:p>
        </w:tc>
      </w:tr>
      <w:tr w:rsidR="008301A4" w:rsidRPr="00F60A3D" w:rsidTr="0022658C">
        <w:trPr>
          <w:trHeight w:val="231"/>
        </w:trPr>
        <w:tc>
          <w:tcPr>
            <w:tcW w:w="278" w:type="pct"/>
            <w:shd w:val="clear" w:color="auto" w:fill="auto"/>
            <w:noWrap/>
          </w:tcPr>
          <w:p w:rsidR="008301A4" w:rsidRPr="00F60A3D" w:rsidRDefault="008301A4" w:rsidP="00AD79A7">
            <w:pPr>
              <w:suppressAutoHyphens w:val="0"/>
              <w:spacing w:before="40" w:after="40" w:line="220" w:lineRule="exact"/>
              <w:rPr>
                <w:bCs/>
                <w:sz w:val="18"/>
                <w:szCs w:val="18"/>
                <w:lang w:val="fr-FR" w:eastAsia="it-IT"/>
              </w:rPr>
            </w:pPr>
            <w:r w:rsidRPr="00F60A3D">
              <w:rPr>
                <w:bCs/>
                <w:sz w:val="18"/>
                <w:szCs w:val="18"/>
                <w:lang w:val="fr-FR" w:eastAsia="it-IT"/>
              </w:rPr>
              <w:t>2010</w:t>
            </w:r>
          </w:p>
        </w:tc>
        <w:tc>
          <w:tcPr>
            <w:tcW w:w="944" w:type="pct"/>
            <w:shd w:val="clear" w:color="auto" w:fill="auto"/>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60 860 584,00</w:t>
            </w:r>
          </w:p>
        </w:tc>
        <w:tc>
          <w:tcPr>
            <w:tcW w:w="944" w:type="pct"/>
            <w:shd w:val="clear" w:color="auto" w:fill="auto"/>
            <w:noWrap/>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87 640 381,43</w:t>
            </w:r>
          </w:p>
        </w:tc>
        <w:tc>
          <w:tcPr>
            <w:tcW w:w="944" w:type="pct"/>
            <w:shd w:val="clear" w:color="auto" w:fill="auto"/>
            <w:noWrap/>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51 211 759,00</w:t>
            </w:r>
          </w:p>
        </w:tc>
        <w:tc>
          <w:tcPr>
            <w:tcW w:w="1010" w:type="pct"/>
            <w:shd w:val="clear" w:color="auto" w:fill="auto"/>
            <w:noWrap/>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24 369 132,00</w:t>
            </w:r>
          </w:p>
        </w:tc>
        <w:tc>
          <w:tcPr>
            <w:tcW w:w="879" w:type="pct"/>
            <w:shd w:val="clear" w:color="auto" w:fill="auto"/>
            <w:noWrap/>
          </w:tcPr>
          <w:p w:rsidR="008301A4" w:rsidRPr="00F60A3D" w:rsidRDefault="008301A4" w:rsidP="00AD79A7">
            <w:pPr>
              <w:suppressAutoHyphens w:val="0"/>
              <w:spacing w:before="40" w:after="40" w:line="220" w:lineRule="exact"/>
              <w:jc w:val="right"/>
              <w:rPr>
                <w:b/>
                <w:bCs/>
                <w:sz w:val="18"/>
                <w:szCs w:val="18"/>
                <w:lang w:val="fr-FR" w:eastAsia="it-IT"/>
              </w:rPr>
            </w:pPr>
            <w:r w:rsidRPr="00F60A3D">
              <w:rPr>
                <w:b/>
                <w:bCs/>
                <w:sz w:val="18"/>
                <w:szCs w:val="18"/>
                <w:lang w:val="fr-FR" w:eastAsia="it-IT"/>
              </w:rPr>
              <w:t>224 081 856,43</w:t>
            </w:r>
          </w:p>
        </w:tc>
      </w:tr>
      <w:tr w:rsidR="008301A4" w:rsidRPr="00F60A3D" w:rsidTr="0022658C">
        <w:trPr>
          <w:trHeight w:val="231"/>
        </w:trPr>
        <w:tc>
          <w:tcPr>
            <w:tcW w:w="278" w:type="pct"/>
            <w:shd w:val="clear" w:color="auto" w:fill="auto"/>
            <w:noWrap/>
          </w:tcPr>
          <w:p w:rsidR="008301A4" w:rsidRPr="00F60A3D" w:rsidRDefault="008301A4" w:rsidP="00AD79A7">
            <w:pPr>
              <w:suppressAutoHyphens w:val="0"/>
              <w:spacing w:before="40" w:after="40" w:line="220" w:lineRule="exact"/>
              <w:rPr>
                <w:bCs/>
                <w:sz w:val="18"/>
                <w:szCs w:val="18"/>
                <w:lang w:val="fr-FR" w:eastAsia="it-IT"/>
              </w:rPr>
            </w:pPr>
            <w:r w:rsidRPr="00F60A3D">
              <w:rPr>
                <w:bCs/>
                <w:sz w:val="18"/>
                <w:szCs w:val="18"/>
                <w:lang w:val="fr-FR" w:eastAsia="it-IT"/>
              </w:rPr>
              <w:t>2011</w:t>
            </w:r>
          </w:p>
        </w:tc>
        <w:tc>
          <w:tcPr>
            <w:tcW w:w="944" w:type="pct"/>
            <w:shd w:val="clear" w:color="auto" w:fill="auto"/>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47 761 541,00</w:t>
            </w:r>
          </w:p>
        </w:tc>
        <w:tc>
          <w:tcPr>
            <w:tcW w:w="944" w:type="pct"/>
            <w:shd w:val="clear" w:color="auto" w:fill="auto"/>
            <w:noWrap/>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110 811 902,00</w:t>
            </w:r>
          </w:p>
        </w:tc>
        <w:tc>
          <w:tcPr>
            <w:tcW w:w="944" w:type="pct"/>
            <w:shd w:val="clear" w:color="auto" w:fill="auto"/>
            <w:noWrap/>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46 867 890,00</w:t>
            </w:r>
          </w:p>
        </w:tc>
        <w:tc>
          <w:tcPr>
            <w:tcW w:w="1010" w:type="pct"/>
            <w:shd w:val="clear" w:color="auto" w:fill="auto"/>
            <w:noWrap/>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23 663 485,00</w:t>
            </w:r>
          </w:p>
        </w:tc>
        <w:tc>
          <w:tcPr>
            <w:tcW w:w="879" w:type="pct"/>
            <w:shd w:val="clear" w:color="auto" w:fill="auto"/>
            <w:noWrap/>
          </w:tcPr>
          <w:p w:rsidR="008301A4" w:rsidRPr="00F60A3D" w:rsidRDefault="008301A4" w:rsidP="00AD79A7">
            <w:pPr>
              <w:suppressAutoHyphens w:val="0"/>
              <w:spacing w:before="40" w:after="40" w:line="220" w:lineRule="exact"/>
              <w:jc w:val="right"/>
              <w:rPr>
                <w:b/>
                <w:bCs/>
                <w:sz w:val="18"/>
                <w:szCs w:val="18"/>
                <w:lang w:val="fr-FR" w:eastAsia="it-IT"/>
              </w:rPr>
            </w:pPr>
            <w:r w:rsidRPr="00F60A3D">
              <w:rPr>
                <w:b/>
                <w:bCs/>
                <w:sz w:val="18"/>
                <w:szCs w:val="18"/>
                <w:lang w:val="fr-FR" w:eastAsia="it-IT"/>
              </w:rPr>
              <w:t>229 104 818,00</w:t>
            </w:r>
          </w:p>
        </w:tc>
      </w:tr>
      <w:tr w:rsidR="008301A4" w:rsidRPr="00F60A3D" w:rsidTr="0022658C">
        <w:trPr>
          <w:trHeight w:val="231"/>
        </w:trPr>
        <w:tc>
          <w:tcPr>
            <w:tcW w:w="278" w:type="pct"/>
            <w:shd w:val="clear" w:color="auto" w:fill="auto"/>
            <w:noWrap/>
          </w:tcPr>
          <w:p w:rsidR="008301A4" w:rsidRPr="00F60A3D" w:rsidRDefault="008301A4" w:rsidP="00AD79A7">
            <w:pPr>
              <w:suppressAutoHyphens w:val="0"/>
              <w:spacing w:before="40" w:after="40" w:line="220" w:lineRule="exact"/>
              <w:rPr>
                <w:bCs/>
                <w:sz w:val="18"/>
                <w:szCs w:val="18"/>
                <w:lang w:val="fr-FR" w:eastAsia="it-IT"/>
              </w:rPr>
            </w:pPr>
            <w:r w:rsidRPr="00F60A3D">
              <w:rPr>
                <w:bCs/>
                <w:sz w:val="18"/>
                <w:szCs w:val="18"/>
                <w:lang w:val="fr-FR" w:eastAsia="it-IT"/>
              </w:rPr>
              <w:t>2012</w:t>
            </w:r>
          </w:p>
        </w:tc>
        <w:tc>
          <w:tcPr>
            <w:tcW w:w="944" w:type="pct"/>
            <w:shd w:val="clear" w:color="auto" w:fill="auto"/>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48 480 233,00</w:t>
            </w:r>
          </w:p>
        </w:tc>
        <w:tc>
          <w:tcPr>
            <w:tcW w:w="944" w:type="pct"/>
            <w:shd w:val="clear" w:color="auto" w:fill="auto"/>
            <w:noWrap/>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70 557 600,00</w:t>
            </w:r>
          </w:p>
        </w:tc>
        <w:tc>
          <w:tcPr>
            <w:tcW w:w="944" w:type="pct"/>
            <w:shd w:val="clear" w:color="auto" w:fill="auto"/>
            <w:noWrap/>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37 017 890,00</w:t>
            </w:r>
          </w:p>
        </w:tc>
        <w:tc>
          <w:tcPr>
            <w:tcW w:w="1010" w:type="pct"/>
            <w:shd w:val="clear" w:color="auto" w:fill="auto"/>
            <w:noWrap/>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50 663 485,00</w:t>
            </w:r>
          </w:p>
        </w:tc>
        <w:tc>
          <w:tcPr>
            <w:tcW w:w="879" w:type="pct"/>
            <w:shd w:val="clear" w:color="auto" w:fill="auto"/>
            <w:noWrap/>
          </w:tcPr>
          <w:p w:rsidR="008301A4" w:rsidRPr="00F60A3D" w:rsidRDefault="008301A4" w:rsidP="00AD79A7">
            <w:pPr>
              <w:suppressAutoHyphens w:val="0"/>
              <w:spacing w:before="40" w:after="40" w:line="220" w:lineRule="exact"/>
              <w:jc w:val="right"/>
              <w:rPr>
                <w:b/>
                <w:bCs/>
                <w:sz w:val="18"/>
                <w:szCs w:val="18"/>
                <w:lang w:val="fr-FR" w:eastAsia="it-IT"/>
              </w:rPr>
            </w:pPr>
            <w:r w:rsidRPr="00F60A3D">
              <w:rPr>
                <w:b/>
                <w:bCs/>
                <w:sz w:val="18"/>
                <w:szCs w:val="18"/>
                <w:lang w:val="fr-FR" w:eastAsia="it-IT"/>
              </w:rPr>
              <w:t>206 719 208,00</w:t>
            </w:r>
          </w:p>
        </w:tc>
      </w:tr>
      <w:tr w:rsidR="008301A4" w:rsidRPr="00F60A3D" w:rsidTr="0022658C">
        <w:trPr>
          <w:trHeight w:val="231"/>
        </w:trPr>
        <w:tc>
          <w:tcPr>
            <w:tcW w:w="278" w:type="pct"/>
            <w:shd w:val="clear" w:color="auto" w:fill="auto"/>
            <w:noWrap/>
          </w:tcPr>
          <w:p w:rsidR="008301A4" w:rsidRPr="00F60A3D" w:rsidRDefault="008301A4" w:rsidP="00AD79A7">
            <w:pPr>
              <w:suppressAutoHyphens w:val="0"/>
              <w:spacing w:before="40" w:after="40" w:line="220" w:lineRule="exact"/>
              <w:rPr>
                <w:bCs/>
                <w:sz w:val="18"/>
                <w:szCs w:val="18"/>
                <w:lang w:val="fr-FR" w:eastAsia="it-IT"/>
              </w:rPr>
            </w:pPr>
            <w:r w:rsidRPr="00F60A3D">
              <w:rPr>
                <w:bCs/>
                <w:sz w:val="18"/>
                <w:szCs w:val="18"/>
                <w:lang w:val="fr-FR" w:eastAsia="it-IT"/>
              </w:rPr>
              <w:t>2013</w:t>
            </w:r>
          </w:p>
        </w:tc>
        <w:tc>
          <w:tcPr>
            <w:tcW w:w="944" w:type="pct"/>
            <w:shd w:val="clear" w:color="auto" w:fill="auto"/>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29 382 091,00</w:t>
            </w:r>
          </w:p>
        </w:tc>
        <w:tc>
          <w:tcPr>
            <w:tcW w:w="944" w:type="pct"/>
            <w:shd w:val="clear" w:color="auto" w:fill="auto"/>
            <w:noWrap/>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47 777 663,00</w:t>
            </w:r>
          </w:p>
        </w:tc>
        <w:tc>
          <w:tcPr>
            <w:tcW w:w="944" w:type="pct"/>
            <w:shd w:val="clear" w:color="auto" w:fill="auto"/>
            <w:noWrap/>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27 472 900,00</w:t>
            </w:r>
          </w:p>
        </w:tc>
        <w:tc>
          <w:tcPr>
            <w:tcW w:w="1010" w:type="pct"/>
            <w:shd w:val="clear" w:color="auto" w:fill="auto"/>
            <w:noWrap/>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15 047 923,00</w:t>
            </w:r>
          </w:p>
        </w:tc>
        <w:tc>
          <w:tcPr>
            <w:tcW w:w="879" w:type="pct"/>
            <w:shd w:val="clear" w:color="auto" w:fill="auto"/>
            <w:noWrap/>
          </w:tcPr>
          <w:p w:rsidR="008301A4" w:rsidRPr="00F60A3D" w:rsidRDefault="008301A4" w:rsidP="00AD79A7">
            <w:pPr>
              <w:suppressAutoHyphens w:val="0"/>
              <w:spacing w:before="40" w:after="40" w:line="220" w:lineRule="exact"/>
              <w:jc w:val="right"/>
              <w:rPr>
                <w:b/>
                <w:bCs/>
                <w:sz w:val="18"/>
                <w:szCs w:val="18"/>
                <w:lang w:val="fr-FR" w:eastAsia="it-IT"/>
              </w:rPr>
            </w:pPr>
            <w:r w:rsidRPr="00F60A3D">
              <w:rPr>
                <w:b/>
                <w:bCs/>
                <w:sz w:val="18"/>
                <w:szCs w:val="18"/>
                <w:lang w:val="fr-FR" w:eastAsia="it-IT"/>
              </w:rPr>
              <w:t>119 680 577,00</w:t>
            </w:r>
          </w:p>
        </w:tc>
      </w:tr>
      <w:tr w:rsidR="008301A4" w:rsidRPr="00F60A3D" w:rsidTr="0022658C">
        <w:trPr>
          <w:trHeight w:val="231"/>
        </w:trPr>
        <w:tc>
          <w:tcPr>
            <w:tcW w:w="278" w:type="pct"/>
            <w:shd w:val="clear" w:color="auto" w:fill="auto"/>
            <w:noWrap/>
          </w:tcPr>
          <w:p w:rsidR="008301A4" w:rsidRPr="00F60A3D" w:rsidRDefault="008301A4" w:rsidP="00AD79A7">
            <w:pPr>
              <w:suppressAutoHyphens w:val="0"/>
              <w:spacing w:before="40" w:after="40" w:line="220" w:lineRule="exact"/>
              <w:rPr>
                <w:bCs/>
                <w:sz w:val="18"/>
                <w:szCs w:val="18"/>
                <w:lang w:val="fr-FR" w:eastAsia="it-IT"/>
              </w:rPr>
            </w:pPr>
            <w:r w:rsidRPr="00F60A3D">
              <w:rPr>
                <w:bCs/>
                <w:sz w:val="18"/>
                <w:szCs w:val="18"/>
                <w:lang w:val="fr-FR" w:eastAsia="it-IT"/>
              </w:rPr>
              <w:t>2014</w:t>
            </w:r>
          </w:p>
        </w:tc>
        <w:tc>
          <w:tcPr>
            <w:tcW w:w="944" w:type="pct"/>
            <w:shd w:val="clear" w:color="auto" w:fill="auto"/>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22 570 339,00</w:t>
            </w:r>
          </w:p>
        </w:tc>
        <w:tc>
          <w:tcPr>
            <w:tcW w:w="944" w:type="pct"/>
            <w:shd w:val="clear" w:color="auto" w:fill="auto"/>
            <w:noWrap/>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51 370 063,00</w:t>
            </w:r>
          </w:p>
        </w:tc>
        <w:tc>
          <w:tcPr>
            <w:tcW w:w="944" w:type="pct"/>
            <w:shd w:val="clear" w:color="auto" w:fill="auto"/>
            <w:noWrap/>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8 868 182,07</w:t>
            </w:r>
          </w:p>
        </w:tc>
        <w:tc>
          <w:tcPr>
            <w:tcW w:w="1010" w:type="pct"/>
            <w:shd w:val="clear" w:color="auto" w:fill="auto"/>
            <w:noWrap/>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17 830 222,00</w:t>
            </w:r>
          </w:p>
        </w:tc>
        <w:tc>
          <w:tcPr>
            <w:tcW w:w="879" w:type="pct"/>
            <w:shd w:val="clear" w:color="auto" w:fill="auto"/>
            <w:noWrap/>
          </w:tcPr>
          <w:p w:rsidR="008301A4" w:rsidRPr="00F60A3D" w:rsidRDefault="008301A4" w:rsidP="00AD79A7">
            <w:pPr>
              <w:suppressAutoHyphens w:val="0"/>
              <w:spacing w:before="40" w:after="40" w:line="220" w:lineRule="exact"/>
              <w:jc w:val="right"/>
              <w:rPr>
                <w:b/>
                <w:bCs/>
                <w:sz w:val="18"/>
                <w:szCs w:val="18"/>
                <w:lang w:val="fr-FR" w:eastAsia="it-IT"/>
              </w:rPr>
            </w:pPr>
            <w:r w:rsidRPr="00F60A3D">
              <w:rPr>
                <w:b/>
                <w:bCs/>
                <w:sz w:val="18"/>
                <w:szCs w:val="18"/>
                <w:lang w:val="fr-FR" w:eastAsia="it-IT"/>
              </w:rPr>
              <w:t>100 638 806,07</w:t>
            </w:r>
          </w:p>
        </w:tc>
      </w:tr>
      <w:tr w:rsidR="008301A4" w:rsidRPr="00F60A3D" w:rsidTr="0022658C">
        <w:trPr>
          <w:trHeight w:val="231"/>
        </w:trPr>
        <w:tc>
          <w:tcPr>
            <w:tcW w:w="278" w:type="pct"/>
            <w:tcBorders>
              <w:bottom w:val="single" w:sz="12" w:space="0" w:color="auto"/>
            </w:tcBorders>
            <w:shd w:val="clear" w:color="auto" w:fill="auto"/>
            <w:noWrap/>
          </w:tcPr>
          <w:p w:rsidR="008301A4" w:rsidRPr="00F60A3D" w:rsidRDefault="008301A4" w:rsidP="00AD79A7">
            <w:pPr>
              <w:suppressAutoHyphens w:val="0"/>
              <w:spacing w:before="40" w:after="40" w:line="220" w:lineRule="exact"/>
              <w:rPr>
                <w:bCs/>
                <w:sz w:val="18"/>
                <w:szCs w:val="18"/>
                <w:lang w:val="fr-FR" w:eastAsia="it-IT"/>
              </w:rPr>
            </w:pPr>
            <w:r w:rsidRPr="00F60A3D">
              <w:rPr>
                <w:bCs/>
                <w:sz w:val="18"/>
                <w:szCs w:val="18"/>
                <w:lang w:val="fr-FR" w:eastAsia="it-IT"/>
              </w:rPr>
              <w:t>2015</w:t>
            </w:r>
          </w:p>
        </w:tc>
        <w:tc>
          <w:tcPr>
            <w:tcW w:w="944" w:type="pct"/>
            <w:tcBorders>
              <w:bottom w:val="single" w:sz="12" w:space="0" w:color="auto"/>
            </w:tcBorders>
            <w:shd w:val="clear" w:color="auto" w:fill="auto"/>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21 462 230,00</w:t>
            </w:r>
          </w:p>
        </w:tc>
        <w:tc>
          <w:tcPr>
            <w:tcW w:w="944" w:type="pct"/>
            <w:tcBorders>
              <w:bottom w:val="single" w:sz="12" w:space="0" w:color="auto"/>
            </w:tcBorders>
            <w:shd w:val="clear" w:color="auto" w:fill="auto"/>
            <w:noWrap/>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35 287 163,75</w:t>
            </w:r>
          </w:p>
        </w:tc>
        <w:tc>
          <w:tcPr>
            <w:tcW w:w="944" w:type="pct"/>
            <w:tcBorders>
              <w:bottom w:val="single" w:sz="12" w:space="0" w:color="auto"/>
            </w:tcBorders>
            <w:shd w:val="clear" w:color="auto" w:fill="auto"/>
            <w:noWrap/>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822 361,00</w:t>
            </w:r>
          </w:p>
        </w:tc>
        <w:tc>
          <w:tcPr>
            <w:tcW w:w="1010" w:type="pct"/>
            <w:tcBorders>
              <w:bottom w:val="single" w:sz="12" w:space="0" w:color="auto"/>
            </w:tcBorders>
            <w:shd w:val="clear" w:color="auto" w:fill="auto"/>
            <w:noWrap/>
          </w:tcPr>
          <w:p w:rsidR="008301A4" w:rsidRPr="00F60A3D" w:rsidRDefault="008301A4" w:rsidP="00AD79A7">
            <w:pPr>
              <w:suppressAutoHyphens w:val="0"/>
              <w:spacing w:before="40" w:after="40" w:line="220" w:lineRule="exact"/>
              <w:jc w:val="right"/>
              <w:rPr>
                <w:sz w:val="18"/>
                <w:szCs w:val="18"/>
                <w:lang w:val="fr-FR" w:eastAsia="it-IT"/>
              </w:rPr>
            </w:pPr>
            <w:r w:rsidRPr="00F60A3D">
              <w:rPr>
                <w:sz w:val="18"/>
                <w:szCs w:val="18"/>
                <w:lang w:val="fr-FR" w:eastAsia="it-IT"/>
              </w:rPr>
              <w:t>10 136 445,00</w:t>
            </w:r>
          </w:p>
        </w:tc>
        <w:tc>
          <w:tcPr>
            <w:tcW w:w="879" w:type="pct"/>
            <w:tcBorders>
              <w:bottom w:val="single" w:sz="12" w:space="0" w:color="auto"/>
            </w:tcBorders>
            <w:shd w:val="clear" w:color="auto" w:fill="auto"/>
            <w:noWrap/>
          </w:tcPr>
          <w:p w:rsidR="008301A4" w:rsidRPr="00F60A3D" w:rsidRDefault="008301A4" w:rsidP="00AD79A7">
            <w:pPr>
              <w:suppressAutoHyphens w:val="0"/>
              <w:spacing w:before="40" w:after="40" w:line="220" w:lineRule="exact"/>
              <w:jc w:val="right"/>
              <w:rPr>
                <w:b/>
                <w:bCs/>
                <w:sz w:val="18"/>
                <w:szCs w:val="18"/>
                <w:lang w:val="fr-FR" w:eastAsia="it-IT"/>
              </w:rPr>
            </w:pPr>
            <w:r w:rsidRPr="00F60A3D">
              <w:rPr>
                <w:b/>
                <w:bCs/>
                <w:sz w:val="18"/>
                <w:szCs w:val="18"/>
                <w:lang w:val="fr-FR" w:eastAsia="it-IT"/>
              </w:rPr>
              <w:t>67 708 199,75</w:t>
            </w:r>
          </w:p>
        </w:tc>
      </w:tr>
    </w:tbl>
    <w:p w:rsidR="008301A4" w:rsidRPr="00F60A3D" w:rsidRDefault="008301A4" w:rsidP="00806668">
      <w:pPr>
        <w:pStyle w:val="FootnoteText"/>
        <w:widowControl w:val="0"/>
        <w:spacing w:before="120" w:after="120"/>
        <w:rPr>
          <w:szCs w:val="18"/>
          <w:lang w:val="fr-FR"/>
        </w:rPr>
      </w:pPr>
      <w:r w:rsidRPr="00F60A3D">
        <w:rPr>
          <w:szCs w:val="18"/>
          <w:lang w:val="fr-FR"/>
        </w:rPr>
        <w:tab/>
      </w:r>
      <w:r w:rsidRPr="00F60A3D">
        <w:rPr>
          <w:szCs w:val="18"/>
          <w:lang w:val="fr-FR"/>
        </w:rPr>
        <w:tab/>
        <w:t xml:space="preserve">Malgré les difficultés, la protection du patrimoine culturel est manifeste, et le nombre de visiteurs dans les musées, les galeries d’art et les sites culturels induit une évolution positive: </w:t>
      </w:r>
    </w:p>
    <w:tbl>
      <w:tblPr>
        <w:tblW w:w="7371"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2457"/>
        <w:gridCol w:w="2457"/>
        <w:gridCol w:w="2457"/>
      </w:tblGrid>
      <w:tr w:rsidR="008301A4" w:rsidRPr="00F60A3D" w:rsidTr="00806668">
        <w:trPr>
          <w:trHeight w:val="114"/>
          <w:tblHeader/>
        </w:trPr>
        <w:tc>
          <w:tcPr>
            <w:tcW w:w="7105" w:type="dxa"/>
            <w:gridSpan w:val="3"/>
            <w:tcBorders>
              <w:top w:val="single" w:sz="4" w:space="0" w:color="auto"/>
              <w:bottom w:val="single" w:sz="4" w:space="0" w:color="auto"/>
            </w:tcBorders>
            <w:shd w:val="clear" w:color="auto" w:fill="auto"/>
            <w:vAlign w:val="bottom"/>
          </w:tcPr>
          <w:p w:rsidR="008301A4" w:rsidRPr="00F60A3D" w:rsidRDefault="008301A4" w:rsidP="00806668">
            <w:pPr>
              <w:suppressAutoHyphens w:val="0"/>
              <w:spacing w:before="80" w:after="80" w:line="200" w:lineRule="exact"/>
              <w:jc w:val="center"/>
              <w:rPr>
                <w:i/>
                <w:iCs/>
                <w:sz w:val="16"/>
                <w:szCs w:val="16"/>
                <w:lang w:val="fr-FR"/>
              </w:rPr>
            </w:pPr>
            <w:r w:rsidRPr="00F60A3D">
              <w:rPr>
                <w:i/>
                <w:iCs/>
                <w:sz w:val="16"/>
                <w:szCs w:val="16"/>
                <w:lang w:val="fr-FR"/>
              </w:rPr>
              <w:t>Visiteurs des musées, monuments, galeries et sites archéologiques (2008-2013)</w:t>
            </w:r>
          </w:p>
        </w:tc>
      </w:tr>
      <w:tr w:rsidR="008301A4" w:rsidRPr="00F60A3D" w:rsidTr="00806668">
        <w:trPr>
          <w:trHeight w:val="114"/>
        </w:trPr>
        <w:tc>
          <w:tcPr>
            <w:tcW w:w="2369" w:type="dxa"/>
            <w:tcBorders>
              <w:top w:val="single" w:sz="4" w:space="0" w:color="auto"/>
              <w:left w:val="nil"/>
              <w:bottom w:val="single" w:sz="12" w:space="0" w:color="auto"/>
              <w:right w:val="nil"/>
            </w:tcBorders>
            <w:shd w:val="clear" w:color="auto" w:fill="auto"/>
          </w:tcPr>
          <w:p w:rsidR="008301A4" w:rsidRPr="00F60A3D" w:rsidRDefault="008301A4" w:rsidP="00806668">
            <w:pPr>
              <w:suppressAutoHyphens w:val="0"/>
              <w:spacing w:before="80" w:after="80" w:line="200" w:lineRule="exact"/>
              <w:rPr>
                <w:i/>
                <w:sz w:val="16"/>
                <w:szCs w:val="16"/>
                <w:lang w:val="fr-FR"/>
              </w:rPr>
            </w:pPr>
            <w:r w:rsidRPr="00F60A3D">
              <w:rPr>
                <w:i/>
                <w:sz w:val="16"/>
                <w:szCs w:val="16"/>
                <w:lang w:val="fr-FR"/>
              </w:rPr>
              <w:t>Années</w:t>
            </w:r>
          </w:p>
        </w:tc>
        <w:tc>
          <w:tcPr>
            <w:tcW w:w="2368" w:type="dxa"/>
            <w:tcBorders>
              <w:top w:val="single" w:sz="4" w:space="0" w:color="auto"/>
              <w:left w:val="nil"/>
              <w:bottom w:val="single" w:sz="12" w:space="0" w:color="auto"/>
              <w:right w:val="nil"/>
            </w:tcBorders>
            <w:shd w:val="clear" w:color="auto" w:fill="auto"/>
            <w:vAlign w:val="bottom"/>
          </w:tcPr>
          <w:p w:rsidR="008301A4" w:rsidRPr="00F60A3D" w:rsidRDefault="008301A4" w:rsidP="00806668">
            <w:pPr>
              <w:suppressAutoHyphens w:val="0"/>
              <w:spacing w:before="80" w:after="80" w:line="200" w:lineRule="exact"/>
              <w:jc w:val="right"/>
              <w:rPr>
                <w:i/>
                <w:sz w:val="16"/>
                <w:szCs w:val="16"/>
                <w:lang w:val="fr-FR"/>
              </w:rPr>
            </w:pPr>
            <w:r w:rsidRPr="00F60A3D">
              <w:rPr>
                <w:i/>
                <w:sz w:val="16"/>
                <w:szCs w:val="16"/>
                <w:lang w:val="fr-FR"/>
              </w:rPr>
              <w:t>Visiteurs</w:t>
            </w:r>
          </w:p>
        </w:tc>
        <w:tc>
          <w:tcPr>
            <w:tcW w:w="2368" w:type="dxa"/>
            <w:tcBorders>
              <w:top w:val="single" w:sz="4" w:space="0" w:color="auto"/>
              <w:left w:val="nil"/>
              <w:bottom w:val="single" w:sz="12" w:space="0" w:color="auto"/>
              <w:right w:val="nil"/>
            </w:tcBorders>
            <w:shd w:val="clear" w:color="auto" w:fill="auto"/>
            <w:vAlign w:val="bottom"/>
          </w:tcPr>
          <w:p w:rsidR="008301A4" w:rsidRPr="00F60A3D" w:rsidRDefault="008301A4" w:rsidP="00806668">
            <w:pPr>
              <w:suppressAutoHyphens w:val="0"/>
              <w:spacing w:before="80" w:after="80" w:line="200" w:lineRule="exact"/>
              <w:jc w:val="right"/>
              <w:rPr>
                <w:i/>
                <w:sz w:val="16"/>
                <w:szCs w:val="16"/>
                <w:lang w:val="fr-FR"/>
              </w:rPr>
            </w:pPr>
            <w:r w:rsidRPr="00F60A3D">
              <w:rPr>
                <w:i/>
                <w:sz w:val="16"/>
                <w:szCs w:val="16"/>
                <w:lang w:val="fr-FR"/>
              </w:rPr>
              <w:t>Évolution en pourcentage</w:t>
            </w:r>
          </w:p>
        </w:tc>
      </w:tr>
      <w:tr w:rsidR="008301A4" w:rsidRPr="00F60A3D" w:rsidTr="00806668">
        <w:trPr>
          <w:trHeight w:val="114"/>
        </w:trPr>
        <w:tc>
          <w:tcPr>
            <w:tcW w:w="2369" w:type="dxa"/>
            <w:tcBorders>
              <w:top w:val="single" w:sz="12" w:space="0" w:color="auto"/>
              <w:left w:val="nil"/>
              <w:bottom w:val="nil"/>
              <w:right w:val="nil"/>
            </w:tcBorders>
            <w:shd w:val="clear" w:color="auto" w:fill="auto"/>
            <w:noWrap/>
          </w:tcPr>
          <w:p w:rsidR="008301A4" w:rsidRPr="00F60A3D" w:rsidRDefault="008301A4" w:rsidP="00AD79A7">
            <w:pPr>
              <w:suppressAutoHyphens w:val="0"/>
              <w:spacing w:before="40" w:after="40" w:line="220" w:lineRule="exact"/>
              <w:rPr>
                <w:bCs/>
                <w:sz w:val="18"/>
                <w:szCs w:val="18"/>
                <w:lang w:val="fr-FR"/>
              </w:rPr>
            </w:pPr>
            <w:r w:rsidRPr="00F60A3D">
              <w:rPr>
                <w:bCs/>
                <w:sz w:val="18"/>
                <w:szCs w:val="18"/>
                <w:lang w:val="fr-FR"/>
              </w:rPr>
              <w:t>2008</w:t>
            </w:r>
          </w:p>
        </w:tc>
        <w:tc>
          <w:tcPr>
            <w:tcW w:w="2368" w:type="dxa"/>
            <w:tcBorders>
              <w:top w:val="single" w:sz="12" w:space="0" w:color="auto"/>
              <w:left w:val="nil"/>
              <w:bottom w:val="nil"/>
              <w:right w:val="nil"/>
            </w:tcBorders>
            <w:shd w:val="clear" w:color="auto" w:fill="auto"/>
            <w:noWrap/>
            <w:vAlign w:val="bottom"/>
          </w:tcPr>
          <w:p w:rsidR="008301A4" w:rsidRPr="00F60A3D" w:rsidRDefault="008301A4" w:rsidP="00806668">
            <w:pPr>
              <w:suppressAutoHyphens w:val="0"/>
              <w:spacing w:before="40" w:after="40" w:line="220" w:lineRule="exact"/>
              <w:jc w:val="right"/>
              <w:rPr>
                <w:bCs/>
                <w:sz w:val="18"/>
                <w:szCs w:val="18"/>
                <w:lang w:val="fr-FR"/>
              </w:rPr>
            </w:pPr>
            <w:r w:rsidRPr="00F60A3D">
              <w:rPr>
                <w:bCs/>
                <w:sz w:val="18"/>
                <w:szCs w:val="18"/>
                <w:lang w:val="fr-FR"/>
              </w:rPr>
              <w:t>33 106 648</w:t>
            </w:r>
          </w:p>
        </w:tc>
        <w:tc>
          <w:tcPr>
            <w:tcW w:w="2368" w:type="dxa"/>
            <w:tcBorders>
              <w:top w:val="single" w:sz="12" w:space="0" w:color="auto"/>
              <w:left w:val="nil"/>
              <w:bottom w:val="nil"/>
              <w:right w:val="nil"/>
            </w:tcBorders>
            <w:shd w:val="clear" w:color="auto" w:fill="auto"/>
            <w:noWrap/>
            <w:vAlign w:val="bottom"/>
          </w:tcPr>
          <w:p w:rsidR="008301A4" w:rsidRPr="00F60A3D" w:rsidRDefault="008301A4" w:rsidP="00806668">
            <w:pPr>
              <w:suppressAutoHyphens w:val="0"/>
              <w:spacing w:before="40" w:after="40" w:line="220" w:lineRule="exact"/>
              <w:jc w:val="right"/>
              <w:rPr>
                <w:sz w:val="18"/>
                <w:szCs w:val="18"/>
                <w:lang w:val="fr-FR"/>
              </w:rPr>
            </w:pPr>
          </w:p>
        </w:tc>
      </w:tr>
      <w:tr w:rsidR="008301A4" w:rsidRPr="00F60A3D" w:rsidTr="00806668">
        <w:trPr>
          <w:trHeight w:val="114"/>
        </w:trPr>
        <w:tc>
          <w:tcPr>
            <w:tcW w:w="2369" w:type="dxa"/>
            <w:tcBorders>
              <w:top w:val="nil"/>
              <w:left w:val="nil"/>
              <w:bottom w:val="nil"/>
              <w:right w:val="nil"/>
            </w:tcBorders>
            <w:shd w:val="clear" w:color="auto" w:fill="auto"/>
            <w:noWrap/>
          </w:tcPr>
          <w:p w:rsidR="008301A4" w:rsidRPr="00F60A3D" w:rsidRDefault="008301A4" w:rsidP="00AD79A7">
            <w:pPr>
              <w:suppressAutoHyphens w:val="0"/>
              <w:spacing w:before="40" w:after="40" w:line="220" w:lineRule="exact"/>
              <w:rPr>
                <w:bCs/>
                <w:sz w:val="18"/>
                <w:szCs w:val="18"/>
                <w:lang w:val="fr-FR"/>
              </w:rPr>
            </w:pPr>
            <w:r w:rsidRPr="00F60A3D">
              <w:rPr>
                <w:bCs/>
                <w:sz w:val="18"/>
                <w:szCs w:val="18"/>
                <w:lang w:val="fr-FR"/>
              </w:rPr>
              <w:t>2009</w:t>
            </w:r>
          </w:p>
        </w:tc>
        <w:tc>
          <w:tcPr>
            <w:tcW w:w="2368" w:type="dxa"/>
            <w:tcBorders>
              <w:top w:val="nil"/>
              <w:left w:val="nil"/>
              <w:bottom w:val="nil"/>
              <w:right w:val="nil"/>
            </w:tcBorders>
            <w:shd w:val="clear" w:color="auto" w:fill="auto"/>
            <w:noWrap/>
            <w:vAlign w:val="bottom"/>
          </w:tcPr>
          <w:p w:rsidR="008301A4" w:rsidRPr="00F60A3D" w:rsidRDefault="008301A4" w:rsidP="00806668">
            <w:pPr>
              <w:suppressAutoHyphens w:val="0"/>
              <w:spacing w:before="40" w:after="40" w:line="220" w:lineRule="exact"/>
              <w:jc w:val="right"/>
              <w:rPr>
                <w:bCs/>
                <w:sz w:val="18"/>
                <w:szCs w:val="18"/>
                <w:lang w:val="fr-FR"/>
              </w:rPr>
            </w:pPr>
            <w:r w:rsidRPr="00F60A3D">
              <w:rPr>
                <w:bCs/>
                <w:sz w:val="18"/>
                <w:szCs w:val="18"/>
                <w:lang w:val="fr-FR"/>
              </w:rPr>
              <w:t>32 380 144</w:t>
            </w:r>
          </w:p>
        </w:tc>
        <w:tc>
          <w:tcPr>
            <w:tcW w:w="2368" w:type="dxa"/>
            <w:tcBorders>
              <w:top w:val="nil"/>
              <w:left w:val="nil"/>
              <w:bottom w:val="nil"/>
              <w:right w:val="nil"/>
            </w:tcBorders>
            <w:shd w:val="clear" w:color="auto" w:fill="auto"/>
            <w:noWrap/>
            <w:vAlign w:val="bottom"/>
          </w:tcPr>
          <w:p w:rsidR="008301A4" w:rsidRPr="00F60A3D" w:rsidRDefault="008301A4" w:rsidP="00806668">
            <w:pPr>
              <w:suppressAutoHyphens w:val="0"/>
              <w:spacing w:before="40" w:after="40" w:line="220" w:lineRule="exact"/>
              <w:jc w:val="right"/>
              <w:rPr>
                <w:bCs/>
                <w:sz w:val="18"/>
                <w:szCs w:val="18"/>
                <w:lang w:val="fr-FR"/>
              </w:rPr>
            </w:pPr>
            <w:r w:rsidRPr="00F60A3D">
              <w:rPr>
                <w:bCs/>
                <w:sz w:val="18"/>
                <w:szCs w:val="18"/>
                <w:lang w:val="fr-FR"/>
              </w:rPr>
              <w:t>-2,19 %</w:t>
            </w:r>
          </w:p>
        </w:tc>
      </w:tr>
      <w:tr w:rsidR="008301A4" w:rsidRPr="00F60A3D" w:rsidTr="00806668">
        <w:trPr>
          <w:trHeight w:val="114"/>
        </w:trPr>
        <w:tc>
          <w:tcPr>
            <w:tcW w:w="2369" w:type="dxa"/>
            <w:tcBorders>
              <w:top w:val="nil"/>
              <w:left w:val="nil"/>
              <w:bottom w:val="nil"/>
              <w:right w:val="nil"/>
            </w:tcBorders>
            <w:shd w:val="clear" w:color="auto" w:fill="auto"/>
            <w:noWrap/>
          </w:tcPr>
          <w:p w:rsidR="008301A4" w:rsidRPr="00F60A3D" w:rsidRDefault="008301A4" w:rsidP="00AD79A7">
            <w:pPr>
              <w:suppressAutoHyphens w:val="0"/>
              <w:spacing w:before="40" w:after="40" w:line="220" w:lineRule="exact"/>
              <w:rPr>
                <w:bCs/>
                <w:sz w:val="18"/>
                <w:szCs w:val="18"/>
                <w:lang w:val="fr-FR"/>
              </w:rPr>
            </w:pPr>
            <w:r w:rsidRPr="00F60A3D">
              <w:rPr>
                <w:bCs/>
                <w:sz w:val="18"/>
                <w:szCs w:val="18"/>
                <w:lang w:val="fr-FR"/>
              </w:rPr>
              <w:t>2010</w:t>
            </w:r>
          </w:p>
        </w:tc>
        <w:tc>
          <w:tcPr>
            <w:tcW w:w="2368" w:type="dxa"/>
            <w:tcBorders>
              <w:top w:val="nil"/>
              <w:left w:val="nil"/>
              <w:bottom w:val="nil"/>
              <w:right w:val="nil"/>
            </w:tcBorders>
            <w:shd w:val="clear" w:color="auto" w:fill="auto"/>
            <w:noWrap/>
            <w:vAlign w:val="bottom"/>
          </w:tcPr>
          <w:p w:rsidR="008301A4" w:rsidRPr="00F60A3D" w:rsidRDefault="008301A4" w:rsidP="00806668">
            <w:pPr>
              <w:suppressAutoHyphens w:val="0"/>
              <w:spacing w:before="40" w:after="40" w:line="220" w:lineRule="exact"/>
              <w:jc w:val="right"/>
              <w:rPr>
                <w:bCs/>
                <w:sz w:val="18"/>
                <w:szCs w:val="18"/>
                <w:lang w:val="fr-FR"/>
              </w:rPr>
            </w:pPr>
            <w:r w:rsidRPr="00F60A3D">
              <w:rPr>
                <w:bCs/>
                <w:sz w:val="18"/>
                <w:szCs w:val="18"/>
                <w:lang w:val="fr-FR"/>
              </w:rPr>
              <w:t>37 336 961</w:t>
            </w:r>
          </w:p>
        </w:tc>
        <w:tc>
          <w:tcPr>
            <w:tcW w:w="2368" w:type="dxa"/>
            <w:tcBorders>
              <w:top w:val="nil"/>
              <w:left w:val="nil"/>
              <w:bottom w:val="nil"/>
              <w:right w:val="nil"/>
            </w:tcBorders>
            <w:shd w:val="clear" w:color="auto" w:fill="auto"/>
            <w:noWrap/>
            <w:vAlign w:val="bottom"/>
          </w:tcPr>
          <w:p w:rsidR="008301A4" w:rsidRPr="00F60A3D" w:rsidRDefault="008301A4" w:rsidP="00806668">
            <w:pPr>
              <w:suppressAutoHyphens w:val="0"/>
              <w:spacing w:before="40" w:after="40" w:line="220" w:lineRule="exact"/>
              <w:jc w:val="right"/>
              <w:rPr>
                <w:bCs/>
                <w:sz w:val="18"/>
                <w:szCs w:val="18"/>
                <w:lang w:val="fr-FR"/>
              </w:rPr>
            </w:pPr>
            <w:r w:rsidRPr="00F60A3D">
              <w:rPr>
                <w:bCs/>
                <w:sz w:val="18"/>
                <w:szCs w:val="18"/>
                <w:lang w:val="fr-FR"/>
              </w:rPr>
              <w:t>15,31 %</w:t>
            </w:r>
          </w:p>
        </w:tc>
      </w:tr>
      <w:tr w:rsidR="008301A4" w:rsidRPr="00F60A3D" w:rsidTr="00806668">
        <w:trPr>
          <w:trHeight w:val="114"/>
        </w:trPr>
        <w:tc>
          <w:tcPr>
            <w:tcW w:w="2369" w:type="dxa"/>
            <w:tcBorders>
              <w:top w:val="nil"/>
              <w:left w:val="nil"/>
              <w:bottom w:val="nil"/>
              <w:right w:val="nil"/>
            </w:tcBorders>
            <w:shd w:val="clear" w:color="auto" w:fill="auto"/>
            <w:noWrap/>
          </w:tcPr>
          <w:p w:rsidR="008301A4" w:rsidRPr="00F60A3D" w:rsidRDefault="008301A4" w:rsidP="00AD79A7">
            <w:pPr>
              <w:suppressAutoHyphens w:val="0"/>
              <w:spacing w:before="40" w:after="40" w:line="220" w:lineRule="exact"/>
              <w:rPr>
                <w:bCs/>
                <w:sz w:val="18"/>
                <w:szCs w:val="18"/>
                <w:lang w:val="fr-FR"/>
              </w:rPr>
            </w:pPr>
            <w:r w:rsidRPr="00F60A3D">
              <w:rPr>
                <w:bCs/>
                <w:sz w:val="18"/>
                <w:szCs w:val="18"/>
                <w:lang w:val="fr-FR"/>
              </w:rPr>
              <w:t>2011</w:t>
            </w:r>
          </w:p>
        </w:tc>
        <w:tc>
          <w:tcPr>
            <w:tcW w:w="2368" w:type="dxa"/>
            <w:tcBorders>
              <w:top w:val="nil"/>
              <w:left w:val="nil"/>
              <w:bottom w:val="nil"/>
              <w:right w:val="nil"/>
            </w:tcBorders>
            <w:shd w:val="clear" w:color="auto" w:fill="auto"/>
            <w:noWrap/>
            <w:vAlign w:val="bottom"/>
          </w:tcPr>
          <w:p w:rsidR="008301A4" w:rsidRPr="00F60A3D" w:rsidRDefault="008301A4" w:rsidP="00806668">
            <w:pPr>
              <w:suppressAutoHyphens w:val="0"/>
              <w:spacing w:before="40" w:after="40" w:line="220" w:lineRule="exact"/>
              <w:jc w:val="right"/>
              <w:rPr>
                <w:bCs/>
                <w:sz w:val="18"/>
                <w:szCs w:val="18"/>
                <w:lang w:val="fr-FR"/>
              </w:rPr>
            </w:pPr>
            <w:r w:rsidRPr="00F60A3D">
              <w:rPr>
                <w:bCs/>
                <w:sz w:val="18"/>
                <w:szCs w:val="18"/>
                <w:lang w:val="fr-FR"/>
              </w:rPr>
              <w:t>41 223 634</w:t>
            </w:r>
          </w:p>
        </w:tc>
        <w:tc>
          <w:tcPr>
            <w:tcW w:w="2368" w:type="dxa"/>
            <w:tcBorders>
              <w:top w:val="nil"/>
              <w:left w:val="nil"/>
              <w:bottom w:val="nil"/>
              <w:right w:val="nil"/>
            </w:tcBorders>
            <w:shd w:val="clear" w:color="auto" w:fill="auto"/>
            <w:noWrap/>
            <w:vAlign w:val="bottom"/>
          </w:tcPr>
          <w:p w:rsidR="008301A4" w:rsidRPr="00F60A3D" w:rsidRDefault="008301A4" w:rsidP="00806668">
            <w:pPr>
              <w:suppressAutoHyphens w:val="0"/>
              <w:spacing w:before="40" w:after="40" w:line="220" w:lineRule="exact"/>
              <w:jc w:val="right"/>
              <w:rPr>
                <w:bCs/>
                <w:sz w:val="18"/>
                <w:szCs w:val="18"/>
                <w:lang w:val="fr-FR"/>
              </w:rPr>
            </w:pPr>
            <w:r w:rsidRPr="00F60A3D">
              <w:rPr>
                <w:bCs/>
                <w:sz w:val="18"/>
                <w:szCs w:val="18"/>
                <w:lang w:val="fr-FR"/>
              </w:rPr>
              <w:t>10,41 %</w:t>
            </w:r>
          </w:p>
        </w:tc>
      </w:tr>
      <w:tr w:rsidR="008301A4" w:rsidRPr="00F60A3D" w:rsidTr="00806668">
        <w:trPr>
          <w:trHeight w:val="114"/>
        </w:trPr>
        <w:tc>
          <w:tcPr>
            <w:tcW w:w="2369" w:type="dxa"/>
            <w:tcBorders>
              <w:top w:val="nil"/>
              <w:left w:val="nil"/>
              <w:bottom w:val="nil"/>
              <w:right w:val="nil"/>
            </w:tcBorders>
            <w:shd w:val="clear" w:color="auto" w:fill="auto"/>
            <w:noWrap/>
          </w:tcPr>
          <w:p w:rsidR="008301A4" w:rsidRPr="00F60A3D" w:rsidRDefault="008301A4" w:rsidP="00AD79A7">
            <w:pPr>
              <w:suppressAutoHyphens w:val="0"/>
              <w:spacing w:before="40" w:after="40" w:line="220" w:lineRule="exact"/>
              <w:rPr>
                <w:bCs/>
                <w:sz w:val="18"/>
                <w:szCs w:val="18"/>
                <w:lang w:val="fr-FR"/>
              </w:rPr>
            </w:pPr>
            <w:r w:rsidRPr="00F60A3D">
              <w:rPr>
                <w:bCs/>
                <w:sz w:val="18"/>
                <w:szCs w:val="18"/>
                <w:lang w:val="fr-FR"/>
              </w:rPr>
              <w:t>2012</w:t>
            </w:r>
          </w:p>
        </w:tc>
        <w:tc>
          <w:tcPr>
            <w:tcW w:w="2368" w:type="dxa"/>
            <w:tcBorders>
              <w:top w:val="nil"/>
              <w:left w:val="nil"/>
              <w:bottom w:val="nil"/>
              <w:right w:val="nil"/>
            </w:tcBorders>
            <w:shd w:val="clear" w:color="auto" w:fill="auto"/>
            <w:noWrap/>
            <w:vAlign w:val="bottom"/>
          </w:tcPr>
          <w:p w:rsidR="008301A4" w:rsidRPr="00F60A3D" w:rsidRDefault="008301A4" w:rsidP="00806668">
            <w:pPr>
              <w:suppressAutoHyphens w:val="0"/>
              <w:spacing w:before="40" w:after="40" w:line="220" w:lineRule="exact"/>
              <w:jc w:val="right"/>
              <w:rPr>
                <w:bCs/>
                <w:sz w:val="18"/>
                <w:szCs w:val="18"/>
                <w:lang w:val="fr-FR"/>
              </w:rPr>
            </w:pPr>
            <w:r w:rsidRPr="00F60A3D">
              <w:rPr>
                <w:bCs/>
                <w:sz w:val="18"/>
                <w:szCs w:val="18"/>
                <w:lang w:val="fr-FR"/>
              </w:rPr>
              <w:t>37 198 795</w:t>
            </w:r>
          </w:p>
        </w:tc>
        <w:tc>
          <w:tcPr>
            <w:tcW w:w="2368" w:type="dxa"/>
            <w:tcBorders>
              <w:top w:val="nil"/>
              <w:left w:val="nil"/>
              <w:bottom w:val="nil"/>
              <w:right w:val="nil"/>
            </w:tcBorders>
            <w:shd w:val="clear" w:color="auto" w:fill="auto"/>
            <w:noWrap/>
            <w:vAlign w:val="bottom"/>
          </w:tcPr>
          <w:p w:rsidR="008301A4" w:rsidRPr="00F60A3D" w:rsidRDefault="008301A4" w:rsidP="00806668">
            <w:pPr>
              <w:suppressAutoHyphens w:val="0"/>
              <w:spacing w:before="40" w:after="40" w:line="220" w:lineRule="exact"/>
              <w:jc w:val="right"/>
              <w:rPr>
                <w:bCs/>
                <w:sz w:val="18"/>
                <w:szCs w:val="18"/>
                <w:lang w:val="fr-FR"/>
              </w:rPr>
            </w:pPr>
            <w:r w:rsidRPr="00F60A3D">
              <w:rPr>
                <w:bCs/>
                <w:sz w:val="18"/>
                <w:szCs w:val="18"/>
                <w:lang w:val="fr-FR"/>
              </w:rPr>
              <w:t>-9,76 %</w:t>
            </w:r>
          </w:p>
        </w:tc>
      </w:tr>
      <w:tr w:rsidR="008301A4" w:rsidRPr="00F60A3D" w:rsidTr="00806668">
        <w:trPr>
          <w:trHeight w:val="114"/>
        </w:trPr>
        <w:tc>
          <w:tcPr>
            <w:tcW w:w="2369" w:type="dxa"/>
            <w:tcBorders>
              <w:top w:val="nil"/>
              <w:bottom w:val="single" w:sz="12" w:space="0" w:color="auto"/>
            </w:tcBorders>
            <w:shd w:val="clear" w:color="auto" w:fill="auto"/>
            <w:noWrap/>
          </w:tcPr>
          <w:p w:rsidR="008301A4" w:rsidRPr="00F60A3D" w:rsidRDefault="008301A4" w:rsidP="00AD79A7">
            <w:pPr>
              <w:suppressAutoHyphens w:val="0"/>
              <w:spacing w:before="40" w:after="40" w:line="220" w:lineRule="exact"/>
              <w:rPr>
                <w:bCs/>
                <w:sz w:val="18"/>
                <w:szCs w:val="18"/>
                <w:lang w:val="fr-FR"/>
              </w:rPr>
            </w:pPr>
            <w:r w:rsidRPr="00F60A3D">
              <w:rPr>
                <w:bCs/>
                <w:sz w:val="18"/>
                <w:szCs w:val="18"/>
                <w:lang w:val="fr-FR"/>
              </w:rPr>
              <w:t>2013</w:t>
            </w:r>
          </w:p>
        </w:tc>
        <w:tc>
          <w:tcPr>
            <w:tcW w:w="2368" w:type="dxa"/>
            <w:tcBorders>
              <w:top w:val="nil"/>
              <w:bottom w:val="single" w:sz="12" w:space="0" w:color="auto"/>
            </w:tcBorders>
            <w:shd w:val="clear" w:color="auto" w:fill="auto"/>
            <w:noWrap/>
            <w:vAlign w:val="bottom"/>
          </w:tcPr>
          <w:p w:rsidR="008301A4" w:rsidRPr="00F60A3D" w:rsidRDefault="008301A4" w:rsidP="00806668">
            <w:pPr>
              <w:suppressAutoHyphens w:val="0"/>
              <w:spacing w:before="40" w:after="40" w:line="220" w:lineRule="exact"/>
              <w:jc w:val="right"/>
              <w:rPr>
                <w:bCs/>
                <w:sz w:val="18"/>
                <w:szCs w:val="18"/>
                <w:lang w:val="fr-FR"/>
              </w:rPr>
            </w:pPr>
            <w:r w:rsidRPr="00F60A3D">
              <w:rPr>
                <w:bCs/>
                <w:sz w:val="18"/>
                <w:szCs w:val="18"/>
                <w:lang w:val="fr-FR"/>
              </w:rPr>
              <w:t>38 424 587</w:t>
            </w:r>
          </w:p>
        </w:tc>
        <w:tc>
          <w:tcPr>
            <w:tcW w:w="2368" w:type="dxa"/>
            <w:tcBorders>
              <w:top w:val="nil"/>
              <w:bottom w:val="single" w:sz="12" w:space="0" w:color="auto"/>
            </w:tcBorders>
            <w:shd w:val="clear" w:color="auto" w:fill="auto"/>
            <w:noWrap/>
            <w:vAlign w:val="bottom"/>
          </w:tcPr>
          <w:p w:rsidR="008301A4" w:rsidRPr="00F60A3D" w:rsidRDefault="008301A4" w:rsidP="00806668">
            <w:pPr>
              <w:suppressAutoHyphens w:val="0"/>
              <w:spacing w:before="40" w:after="40" w:line="220" w:lineRule="exact"/>
              <w:jc w:val="right"/>
              <w:rPr>
                <w:bCs/>
                <w:sz w:val="18"/>
                <w:szCs w:val="18"/>
                <w:lang w:val="fr-FR"/>
              </w:rPr>
            </w:pPr>
            <w:r w:rsidRPr="00F60A3D">
              <w:rPr>
                <w:bCs/>
                <w:sz w:val="18"/>
                <w:szCs w:val="18"/>
                <w:lang w:val="fr-FR"/>
              </w:rPr>
              <w:t>3,30 %</w:t>
            </w:r>
          </w:p>
        </w:tc>
      </w:tr>
    </w:tbl>
    <w:p w:rsidR="008301A4" w:rsidRPr="00F60A3D" w:rsidRDefault="008301A4" w:rsidP="00806668">
      <w:pPr>
        <w:pStyle w:val="FootnoteText"/>
        <w:widowControl w:val="0"/>
        <w:tabs>
          <w:tab w:val="clear" w:pos="1021"/>
          <w:tab w:val="right" w:pos="1020"/>
        </w:tabs>
        <w:rPr>
          <w:szCs w:val="18"/>
          <w:lang w:val="fr-FR"/>
        </w:rPr>
      </w:pPr>
      <w:r w:rsidRPr="00F60A3D">
        <w:rPr>
          <w:sz w:val="16"/>
          <w:szCs w:val="16"/>
          <w:lang w:val="fr-FR"/>
        </w:rPr>
        <w:tab/>
      </w:r>
      <w:r w:rsidRPr="00F60A3D">
        <w:rPr>
          <w:szCs w:val="18"/>
          <w:lang w:val="fr-FR"/>
        </w:rPr>
        <w:tab/>
        <w:t xml:space="preserve">Enfin, certains crédits spéciaux ont été alloués au financement de projets de sauvegarde du patrimoine culturel; leurs principaux effets sont attendus dès 2016. </w:t>
      </w:r>
    </w:p>
  </w:footnote>
  <w:footnote w:id="28">
    <w:p w:rsidR="008301A4" w:rsidRPr="00F60A3D" w:rsidRDefault="008301A4" w:rsidP="00DA6421">
      <w:pPr>
        <w:pStyle w:val="FootnoteText"/>
        <w:rPr>
          <w:lang w:val="fr-FR"/>
        </w:rPr>
      </w:pPr>
      <w:r w:rsidRPr="00F60A3D">
        <w:rPr>
          <w:b/>
          <w:sz w:val="16"/>
          <w:szCs w:val="16"/>
          <w:lang w:val="fr-FR"/>
        </w:rPr>
        <w:tab/>
      </w:r>
      <w:r w:rsidRPr="00F60A3D">
        <w:rPr>
          <w:rStyle w:val="FootnoteReference"/>
          <w:lang w:val="fr-FR"/>
        </w:rPr>
        <w:footnoteRef/>
      </w:r>
      <w:r w:rsidRPr="00F60A3D">
        <w:rPr>
          <w:b/>
          <w:sz w:val="16"/>
          <w:szCs w:val="16"/>
          <w:lang w:val="fr-FR"/>
        </w:rPr>
        <w:tab/>
      </w:r>
      <w:r w:rsidRPr="00F60A3D">
        <w:rPr>
          <w:i/>
          <w:iCs/>
          <w:lang w:val="fr-FR"/>
        </w:rPr>
        <w:t>Article 15, paragraphe 1</w:t>
      </w:r>
      <w:r w:rsidRPr="00F60A3D">
        <w:rPr>
          <w:lang w:val="fr-FR"/>
        </w:rPr>
        <w:t>:</w:t>
      </w:r>
      <w:r w:rsidRPr="00F60A3D">
        <w:rPr>
          <w:rFonts w:ascii="MS Mincho" w:eastAsia="MS Mincho" w:hAnsi="MS Mincho" w:cs="MS Mincho"/>
          <w:i/>
          <w:iCs/>
          <w:lang w:val="fr-FR"/>
        </w:rPr>
        <w:t> </w:t>
      </w:r>
      <w:r w:rsidRPr="00F60A3D">
        <w:rPr>
          <w:lang w:val="fr-FR"/>
        </w:rPr>
        <w:t xml:space="preserve">S’agissant de l’article 15, dernière phrase du paragraphe 1: «Si, postérieurement à la commission de l’infraction, la loi prévoit l’application d’une peine plus légère, le délinquant doit en bénéficier», la République italienne considère que cette disposition ne s’applique qu’aux affaires en cours. De ce fait, une personne qui a déjà été reconnue coupable par un jugement définitif ne bénéficiera pas des dispositions de la loi postérieures à ce jugement, en faveur de l’imposition d’une peine plus légère. </w:t>
      </w:r>
      <w:r w:rsidRPr="00F60A3D">
        <w:rPr>
          <w:i/>
          <w:iCs/>
          <w:lang w:val="fr-FR"/>
        </w:rPr>
        <w:t>Article 19, paragraphe 3</w:t>
      </w:r>
      <w:r w:rsidRPr="00F60A3D">
        <w:rPr>
          <w:lang w:val="fr-FR"/>
        </w:rPr>
        <w:t>:</w:t>
      </w:r>
      <w:r w:rsidRPr="00F60A3D">
        <w:rPr>
          <w:i/>
          <w:iCs/>
          <w:lang w:val="fr-FR"/>
        </w:rPr>
        <w:t xml:space="preserve"> </w:t>
      </w:r>
      <w:r w:rsidRPr="00F60A3D">
        <w:rPr>
          <w:lang w:val="fr-FR"/>
        </w:rPr>
        <w:t xml:space="preserve">Les dispositions de l’article 19, alinéa 3, sont interprétées comme étant compatibles avec le système d’octroi de licence existant pour la radio et la télévision nationales et avec les restrictions énoncées par la loi pour les sociétés de radio et télédiffusion locales et les stations qui retransmettent les programmes étrangers. </w:t>
      </w:r>
    </w:p>
  </w:footnote>
  <w:footnote w:id="29">
    <w:p w:rsidR="008301A4" w:rsidRPr="00F60A3D" w:rsidRDefault="008301A4" w:rsidP="002830B6">
      <w:pPr>
        <w:pStyle w:val="FootnoteText"/>
        <w:rPr>
          <w:lang w:val="fr-FR"/>
        </w:rPr>
      </w:pPr>
      <w:r w:rsidRPr="00F60A3D">
        <w:rPr>
          <w:sz w:val="16"/>
          <w:szCs w:val="16"/>
          <w:lang w:val="fr-FR"/>
        </w:rPr>
        <w:tab/>
      </w:r>
      <w:r w:rsidRPr="00F60A3D">
        <w:rPr>
          <w:rStyle w:val="FootnoteReference"/>
          <w:lang w:val="fr-FR"/>
        </w:rPr>
        <w:footnoteRef/>
      </w:r>
      <w:r w:rsidRPr="00F60A3D">
        <w:rPr>
          <w:sz w:val="16"/>
          <w:szCs w:val="16"/>
          <w:lang w:val="fr-FR"/>
        </w:rPr>
        <w:tab/>
      </w:r>
      <w:r w:rsidRPr="00F60A3D">
        <w:rPr>
          <w:i/>
          <w:iCs/>
          <w:lang w:val="fr-FR"/>
        </w:rPr>
        <w:t xml:space="preserve">Déclaration faite lors de la signature et confirmée lors de la ratification: </w:t>
      </w:r>
      <w:r w:rsidRPr="00F60A3D">
        <w:rPr>
          <w:lang w:val="fr-FR"/>
        </w:rPr>
        <w:t>a) Les mesures positives, prévues à l’article 4 de la Convention et spécifiquement décrites aux sous-alinéas a) et b) de cet article, destinées à éliminer toute incitation à la discrimination ou tout acte de discrimination, doivent être interprétées comme cet article le prévoit, «en tenant dûment compte des principes formulés dans la Déclaration universelle des droits de l’homme et des droits expressément énoncés à l’article 5» de la Convention. En conséquence, les obligations découlant de l’article 4 précité qui ne portent pas atteinte au droit à la liberté d’opinion et d’expression et au droit à la liberté de réunion et d’association pacifiques énoncés dans les articles 19 et 20 de la Déclaration universelle des droits de l’homme, ont été réaffirmées par l’Assemblée générale des Nations Unies lors de l’adoption des articles 19 et 21 du Pacte international relatif aux droits civils et politiques, et sont mentionnées aux articles 5 d) viii) et ix) de la Convention. En fait, le Gouvernement italien, conformément aux obligations découlant des articles 55 c) et 56 de la Charte des Nations Unies, reste fidèle au principe énoncé à l’article 29 2) de la Déclaration universelle qui dispose ce qui suit: «dans l’exercice de ses droits et dans la jouissance de ses libertés, chacun n’est soumis qu’aux limitations établies par la loi exclusivement en vue d’assurer la reconnaissance et le respect des droits et libertés d’autrui et afin de satisfaire aux justes exigences de la morale, de l’ordre public et du bien-être général dans une société démocratique». b) Des voies de recours effectives seront assurées par les tribunaux ordinaires dans le cadre de leur juridiction respective, contre tous actes de discrimination raciale qui violent les droits individuels et les libertés fondamentales des personnes, conformément à l’article 6 de la Convention. Le droit de demander réparation pour tout dommage subi par suite d’actes de discrimination raciale doit être exercé contre les personnes responsables des actes malveillants ou délictueux à l’origine d’un tel dommage.</w:t>
      </w:r>
    </w:p>
  </w:footnote>
  <w:footnote w:id="30">
    <w:p w:rsidR="008301A4" w:rsidRPr="00F60A3D" w:rsidRDefault="008301A4" w:rsidP="002830B6">
      <w:pPr>
        <w:pStyle w:val="FootnoteText"/>
        <w:rPr>
          <w:lang w:val="fr-FR"/>
        </w:rPr>
      </w:pPr>
      <w:r w:rsidRPr="00F60A3D">
        <w:rPr>
          <w:sz w:val="16"/>
          <w:szCs w:val="16"/>
          <w:lang w:val="fr-FR"/>
        </w:rPr>
        <w:tab/>
      </w:r>
      <w:r w:rsidRPr="00F60A3D">
        <w:rPr>
          <w:rStyle w:val="FootnoteReference"/>
          <w:lang w:val="fr-FR"/>
        </w:rPr>
        <w:footnoteRef/>
      </w:r>
      <w:r w:rsidRPr="00F60A3D">
        <w:rPr>
          <w:sz w:val="16"/>
          <w:szCs w:val="16"/>
          <w:lang w:val="fr-FR"/>
        </w:rPr>
        <w:tab/>
      </w:r>
      <w:r w:rsidRPr="00F60A3D">
        <w:rPr>
          <w:i/>
          <w:iCs/>
          <w:lang w:val="fr-FR"/>
        </w:rPr>
        <w:t xml:space="preserve">Réserve faite à la signature: </w:t>
      </w:r>
      <w:r w:rsidRPr="00F60A3D">
        <w:rPr>
          <w:lang w:val="fr-FR"/>
        </w:rPr>
        <w:t xml:space="preserve">Lors du dépôt de l’instrument de ratification, l’Italie se réserve le droit d’exercer l’option prévue à l’article 19 de la Convention de Vienne sur le droit des traités du 23 mai 1969. </w:t>
      </w:r>
    </w:p>
  </w:footnote>
  <w:footnote w:id="31">
    <w:p w:rsidR="008301A4" w:rsidRPr="00F60A3D" w:rsidRDefault="008301A4" w:rsidP="002830B6">
      <w:pPr>
        <w:pStyle w:val="FootnoteText"/>
        <w:rPr>
          <w:lang w:val="fr-FR"/>
        </w:rPr>
      </w:pPr>
      <w:r w:rsidRPr="00F60A3D">
        <w:rPr>
          <w:lang w:val="fr-FR"/>
        </w:rPr>
        <w:tab/>
      </w:r>
      <w:r w:rsidRPr="00F60A3D">
        <w:rPr>
          <w:rStyle w:val="FootnoteReference"/>
          <w:lang w:val="fr-FR"/>
        </w:rPr>
        <w:footnoteRef/>
      </w:r>
      <w:r w:rsidRPr="00F60A3D">
        <w:rPr>
          <w:lang w:val="fr-FR"/>
        </w:rPr>
        <w:tab/>
      </w:r>
      <w:r w:rsidRPr="00F60A3D">
        <w:rPr>
          <w:i/>
          <w:iCs/>
          <w:lang w:val="fr-FR"/>
        </w:rPr>
        <w:t>Déclaration</w:t>
      </w:r>
      <w:r w:rsidRPr="00F60A3D">
        <w:rPr>
          <w:lang w:val="fr-FR"/>
        </w:rPr>
        <w:t xml:space="preserve">: Le Gouvernement de la République italienne déclare, conformément à l’article 3: La législation italienne relative à l’engagement volontaire prévoit un âge minimum requis de 17 ans en ce qui concerne les demandes d’engagement précoce au service militaire obligatoire ou d’engagement volontaire (service militaire de courte durée et annuel); la législation en vigueur garantit l’application, lors de l’engagement volontaire, des dispositions de l’article 3, alinéa 3 du Protocole, notamment en ce qui concerne la nécessité de consentement des parents ou gardiens légaux de l’intéressé. </w:t>
      </w:r>
    </w:p>
  </w:footnote>
  <w:footnote w:id="32">
    <w:p w:rsidR="008301A4" w:rsidRPr="00F60A3D" w:rsidRDefault="008301A4" w:rsidP="002830B6">
      <w:pPr>
        <w:pStyle w:val="FootnoteText"/>
        <w:rPr>
          <w:lang w:val="fr-FR"/>
        </w:rPr>
      </w:pPr>
      <w:r w:rsidRPr="00F60A3D">
        <w:rPr>
          <w:b/>
          <w:sz w:val="16"/>
          <w:szCs w:val="16"/>
          <w:lang w:val="fr-FR"/>
        </w:rPr>
        <w:tab/>
      </w:r>
      <w:r w:rsidRPr="00F60A3D">
        <w:rPr>
          <w:rStyle w:val="FootnoteReference"/>
          <w:lang w:val="fr-FR"/>
        </w:rPr>
        <w:footnoteRef/>
      </w:r>
      <w:r w:rsidRPr="00F60A3D">
        <w:rPr>
          <w:b/>
          <w:sz w:val="16"/>
          <w:szCs w:val="16"/>
          <w:lang w:val="fr-FR"/>
        </w:rPr>
        <w:tab/>
      </w:r>
      <w:r w:rsidRPr="00F60A3D">
        <w:rPr>
          <w:lang w:val="fr-FR"/>
        </w:rPr>
        <w:t xml:space="preserve">La République italienne a ratifié le Protocole facultatif se rapportant au Pacte international relatif aux droits civils et politiques, étant entendu que les dispositions de l’article 5, alinéa 2 du Protocole signifient que le Comité prévu à l’article 28 du Pacte n’examinera aucune communication d’un particulier, sans s’être assuré que la même question n’est pas déjà en cours d’examen devant une autre instance internationale d’enquête ou de règlement. </w:t>
      </w:r>
    </w:p>
  </w:footnote>
  <w:footnote w:id="33">
    <w:p w:rsidR="008301A4" w:rsidRPr="00F60A3D" w:rsidRDefault="008301A4" w:rsidP="002830B6">
      <w:pPr>
        <w:pStyle w:val="FootnoteText"/>
        <w:rPr>
          <w:sz w:val="16"/>
          <w:szCs w:val="16"/>
          <w:lang w:val="fr-FR"/>
        </w:rPr>
      </w:pPr>
      <w:r w:rsidRPr="00F60A3D">
        <w:rPr>
          <w:b/>
          <w:sz w:val="16"/>
          <w:szCs w:val="16"/>
          <w:lang w:val="fr-FR"/>
        </w:rPr>
        <w:tab/>
      </w:r>
      <w:r w:rsidRPr="00F60A3D">
        <w:rPr>
          <w:rStyle w:val="FootnoteReference"/>
          <w:lang w:val="fr-FR"/>
        </w:rPr>
        <w:footnoteRef/>
      </w:r>
      <w:r w:rsidRPr="00F60A3D">
        <w:rPr>
          <w:b/>
          <w:sz w:val="16"/>
          <w:szCs w:val="16"/>
          <w:lang w:val="fr-FR"/>
        </w:rPr>
        <w:tab/>
      </w:r>
      <w:r w:rsidRPr="00F60A3D">
        <w:rPr>
          <w:lang w:val="fr-FR"/>
        </w:rPr>
        <w:t xml:space="preserve">Les dispositions des articles 17 et 18 sont considérées comme des recommandations seulement. </w:t>
      </w:r>
    </w:p>
  </w:footnote>
  <w:footnote w:id="34">
    <w:p w:rsidR="008301A4" w:rsidRPr="00F60A3D" w:rsidRDefault="008301A4" w:rsidP="002830B6">
      <w:pPr>
        <w:pStyle w:val="FootnoteText"/>
        <w:rPr>
          <w:lang w:val="fr-FR"/>
        </w:rPr>
      </w:pPr>
      <w:r w:rsidRPr="00F60A3D">
        <w:rPr>
          <w:b/>
          <w:lang w:val="fr-FR"/>
        </w:rPr>
        <w:tab/>
      </w:r>
      <w:r w:rsidRPr="00F60A3D">
        <w:rPr>
          <w:rStyle w:val="FootnoteReference"/>
          <w:lang w:val="fr-FR"/>
        </w:rPr>
        <w:footnoteRef/>
      </w:r>
      <w:r w:rsidRPr="00F60A3D">
        <w:rPr>
          <w:b/>
          <w:lang w:val="fr-FR"/>
        </w:rPr>
        <w:tab/>
      </w:r>
      <w:r w:rsidRPr="00F60A3D">
        <w:rPr>
          <w:lang w:val="fr-FR"/>
        </w:rPr>
        <w:t>D’autres Conventions et leur processus de ratification respectif sont disponibles à l’adresse: http://www.unesco.org/eri/la/conventions_by_country.asp?contr=IT&amp;language=E&amp;typeconv=1.</w:t>
      </w:r>
    </w:p>
  </w:footnote>
  <w:footnote w:id="35">
    <w:p w:rsidR="008301A4" w:rsidRPr="00F60A3D" w:rsidRDefault="008301A4" w:rsidP="002830B6">
      <w:pPr>
        <w:pStyle w:val="FootnoteText"/>
        <w:rPr>
          <w:lang w:val="fr-FR"/>
        </w:rPr>
      </w:pPr>
      <w:r w:rsidRPr="00F60A3D">
        <w:rPr>
          <w:lang w:val="fr-FR"/>
        </w:rPr>
        <w:tab/>
      </w:r>
      <w:r w:rsidRPr="00F60A3D">
        <w:rPr>
          <w:rStyle w:val="FootnoteReference"/>
          <w:lang w:val="fr-FR"/>
        </w:rPr>
        <w:footnoteRef/>
      </w:r>
      <w:r w:rsidRPr="00F60A3D">
        <w:rPr>
          <w:lang w:val="fr-FR"/>
        </w:rPr>
        <w:tab/>
        <w:t>La Déclaration relative au Protocole I, figure à l’adresse: https://www.icrc.org/applic/ihl/ihl.nsf/</w:t>
      </w:r>
      <w:r w:rsidRPr="00F60A3D">
        <w:rPr>
          <w:lang w:val="fr-FR"/>
        </w:rPr>
        <w:br/>
        <w:t xml:space="preserve">Notification.xsp?action=openDocument&amp;documentId=E2F248CE54CF09B5C1256402003FB443. </w:t>
      </w:r>
    </w:p>
  </w:footnote>
  <w:footnote w:id="36">
    <w:p w:rsidR="008301A4" w:rsidRPr="00F60A3D" w:rsidRDefault="008301A4" w:rsidP="00710CED">
      <w:pPr>
        <w:pStyle w:val="FootnoteText"/>
        <w:widowControl w:val="0"/>
        <w:tabs>
          <w:tab w:val="clear" w:pos="1021"/>
          <w:tab w:val="right" w:pos="1020"/>
        </w:tabs>
        <w:rPr>
          <w:bCs/>
          <w:szCs w:val="18"/>
          <w:lang w:val="fr-FR"/>
        </w:rPr>
      </w:pPr>
      <w:r w:rsidRPr="00F60A3D">
        <w:rPr>
          <w:lang w:val="fr-FR"/>
        </w:rPr>
        <w:tab/>
      </w:r>
      <w:r w:rsidRPr="00F60A3D">
        <w:rPr>
          <w:rStyle w:val="FootnoteReference"/>
          <w:lang w:val="fr-FR"/>
        </w:rPr>
        <w:footnoteRef/>
      </w:r>
      <w:r w:rsidRPr="00F60A3D">
        <w:rPr>
          <w:lang w:val="fr-FR"/>
        </w:rPr>
        <w:tab/>
      </w:r>
      <w:r w:rsidRPr="00F60A3D">
        <w:rPr>
          <w:bCs/>
          <w:szCs w:val="18"/>
          <w:lang w:val="fr-FR"/>
        </w:rPr>
        <w:t>La Cour constitutionnelle a souligné l’égalité entre ressortissants italiens et non italiens dans l’exercice des droits fondamentaux (arrêt n</w:t>
      </w:r>
      <w:r w:rsidRPr="00F60A3D">
        <w:rPr>
          <w:bCs/>
          <w:szCs w:val="18"/>
          <w:vertAlign w:val="superscript"/>
          <w:lang w:val="fr-FR"/>
        </w:rPr>
        <w:t>o</w:t>
      </w:r>
      <w:r w:rsidRPr="00F60A3D">
        <w:rPr>
          <w:bCs/>
          <w:szCs w:val="18"/>
          <w:lang w:val="fr-FR"/>
        </w:rPr>
        <w:t> 187/10) et que le seul critère de la nationalité ne peut suffire en lui-même. En fait, quand l’administration publique constate l’existence d’un critère à remplir, celui-ci ne peut se limiter au critère de durée minimale de séjour (arrêt n</w:t>
      </w:r>
      <w:r w:rsidRPr="00F60A3D">
        <w:rPr>
          <w:bCs/>
          <w:szCs w:val="18"/>
          <w:vertAlign w:val="superscript"/>
          <w:lang w:val="fr-FR"/>
        </w:rPr>
        <w:t>o</w:t>
      </w:r>
      <w:r w:rsidRPr="00F60A3D">
        <w:rPr>
          <w:bCs/>
          <w:szCs w:val="18"/>
          <w:lang w:val="fr-FR"/>
        </w:rPr>
        <w:t> 2/2013).</w:t>
      </w:r>
      <w:r w:rsidRPr="00F60A3D">
        <w:rPr>
          <w:lang w:val="fr-FR"/>
        </w:rPr>
        <w:t xml:space="preserve"> </w:t>
      </w:r>
    </w:p>
  </w:footnote>
  <w:footnote w:id="37">
    <w:p w:rsidR="008301A4" w:rsidRPr="00F60A3D" w:rsidRDefault="008301A4" w:rsidP="00F75496">
      <w:pPr>
        <w:pStyle w:val="FootnoteText"/>
        <w:widowControl w:val="0"/>
        <w:tabs>
          <w:tab w:val="clear" w:pos="1021"/>
          <w:tab w:val="right" w:pos="1020"/>
        </w:tabs>
        <w:rPr>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w:t>
      </w:r>
      <w:r w:rsidRPr="00F60A3D">
        <w:rPr>
          <w:i/>
          <w:iCs/>
          <w:szCs w:val="18"/>
          <w:lang w:val="fr-FR"/>
        </w:rPr>
        <w:t>Source</w:t>
      </w:r>
      <w:r w:rsidRPr="00F60A3D">
        <w:rPr>
          <w:bCs/>
          <w:szCs w:val="18"/>
          <w:lang w:val="fr-FR"/>
        </w:rPr>
        <w:t xml:space="preserve">: </w:t>
      </w:r>
      <w:r w:rsidRPr="00F60A3D">
        <w:rPr>
          <w:szCs w:val="18"/>
          <w:lang w:val="fr-FR"/>
        </w:rPr>
        <w:t>VII rapport périodique de l’Italie soumis en application de la Convention sur l’élimination de toutes les formes de discrimination à l’égard des femmes). Le décret législatif n</w:t>
      </w:r>
      <w:r w:rsidRPr="00F60A3D">
        <w:rPr>
          <w:szCs w:val="18"/>
          <w:vertAlign w:val="superscript"/>
          <w:lang w:val="fr-FR"/>
        </w:rPr>
        <w:t>o</w:t>
      </w:r>
      <w:r w:rsidRPr="00F60A3D">
        <w:rPr>
          <w:szCs w:val="18"/>
          <w:lang w:val="fr-FR"/>
        </w:rPr>
        <w:t xml:space="preserve"> 154/2013 place sur le même pied enfants légitimes et enfants nés hors mariage (ce qui a des effets sur la cohabitation </w:t>
      </w:r>
      <w:r w:rsidRPr="00F60A3D">
        <w:rPr>
          <w:i/>
          <w:iCs/>
          <w:szCs w:val="18"/>
          <w:lang w:val="fr-FR"/>
        </w:rPr>
        <w:t>more uxorio</w:t>
      </w:r>
      <w:r w:rsidRPr="00F60A3D">
        <w:rPr>
          <w:szCs w:val="18"/>
          <w:lang w:val="fr-FR"/>
        </w:rPr>
        <w:t xml:space="preserve"> (non maritale), tout en étendant le droit d’être entendu. Le 26 mai 2015 est entrée en vigueur la loi n</w:t>
      </w:r>
      <w:r w:rsidRPr="00F60A3D">
        <w:rPr>
          <w:szCs w:val="18"/>
          <w:vertAlign w:val="superscript"/>
          <w:lang w:val="fr-FR"/>
        </w:rPr>
        <w:t>o</w:t>
      </w:r>
      <w:r w:rsidRPr="00F60A3D">
        <w:rPr>
          <w:szCs w:val="18"/>
          <w:lang w:val="fr-FR"/>
        </w:rPr>
        <w:t> 55/2015 qui accélère la procédure de divorce (dont la durée ne doit pas excéder 12 mois – 6 mois en cas de consentement mutuel).</w:t>
      </w:r>
      <w:r w:rsidRPr="00F60A3D">
        <w:rPr>
          <w:sz w:val="16"/>
          <w:szCs w:val="16"/>
          <w:lang w:val="fr-FR"/>
        </w:rPr>
        <w:t xml:space="preserve"> </w:t>
      </w:r>
    </w:p>
  </w:footnote>
  <w:footnote w:id="38">
    <w:p w:rsidR="008301A4" w:rsidRPr="00F60A3D" w:rsidRDefault="008301A4" w:rsidP="00620377">
      <w:pPr>
        <w:pStyle w:val="FootnoteText"/>
        <w:widowControl w:val="0"/>
        <w:tabs>
          <w:tab w:val="clear" w:pos="1021"/>
          <w:tab w:val="right" w:pos="1020"/>
        </w:tabs>
        <w:rPr>
          <w:szCs w:val="18"/>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Outre l’article 3 de la Constitution italienne, l’article 1 du Code de l’égalité des chances entre les femmes et les hommes (décret législatif n</w:t>
      </w:r>
      <w:r w:rsidRPr="00F60A3D">
        <w:rPr>
          <w:szCs w:val="18"/>
          <w:vertAlign w:val="superscript"/>
          <w:lang w:val="fr-FR"/>
        </w:rPr>
        <w:t>o</w:t>
      </w:r>
      <w:r w:rsidRPr="00F60A3D">
        <w:rPr>
          <w:szCs w:val="18"/>
          <w:lang w:val="fr-FR"/>
        </w:rPr>
        <w:t> 198/2006) énonce ce qui suit: «Les dispositions pertinentes prévoient des mesures destinées à éliminer toute distinction, exclusion ou limite fondée sur le sexe, susceptible de porter atteinte à la jouissance et à l’exercice des droits de l’homme et des libertés fondamentales ou de les restreindre</w:t>
      </w:r>
      <w:r w:rsidRPr="00F60A3D">
        <w:rPr>
          <w:iCs/>
          <w:szCs w:val="18"/>
          <w:lang w:val="fr-FR"/>
        </w:rPr>
        <w:t xml:space="preserve"> (..) dans tous les domaines de la vie»</w:t>
      </w:r>
      <w:r w:rsidRPr="00F60A3D">
        <w:rPr>
          <w:szCs w:val="18"/>
          <w:lang w:val="fr-FR"/>
        </w:rPr>
        <w:t xml:space="preserve">. </w:t>
      </w:r>
      <w:r w:rsidRPr="00F60A3D">
        <w:rPr>
          <w:bCs/>
          <w:szCs w:val="18"/>
          <w:lang w:val="fr-FR"/>
        </w:rPr>
        <w:t>De ce fait, il n’y a pas de discrimination légale concernant les droits civils, politiques, sociaux, économiques ou culturels, entre hommes et femmes.</w:t>
      </w:r>
    </w:p>
  </w:footnote>
  <w:footnote w:id="39">
    <w:p w:rsidR="008301A4" w:rsidRPr="00F60A3D" w:rsidRDefault="008301A4" w:rsidP="006930F3">
      <w:pPr>
        <w:pStyle w:val="FootnoteText"/>
        <w:rPr>
          <w:b/>
          <w:lang w:val="fr-FR"/>
        </w:rPr>
      </w:pPr>
      <w:r w:rsidRPr="00F60A3D">
        <w:rPr>
          <w:b/>
          <w:sz w:val="16"/>
          <w:szCs w:val="16"/>
          <w:lang w:val="fr-FR"/>
        </w:rPr>
        <w:tab/>
      </w:r>
      <w:r w:rsidRPr="00F60A3D">
        <w:rPr>
          <w:rStyle w:val="FootnoteReference"/>
          <w:lang w:val="fr-FR"/>
        </w:rPr>
        <w:footnoteRef/>
      </w:r>
      <w:r w:rsidRPr="00F60A3D">
        <w:rPr>
          <w:b/>
          <w:sz w:val="16"/>
          <w:szCs w:val="16"/>
          <w:lang w:val="fr-FR"/>
        </w:rPr>
        <w:tab/>
      </w:r>
      <w:r w:rsidRPr="00F60A3D">
        <w:rPr>
          <w:lang w:val="fr-FR"/>
        </w:rPr>
        <w:t>Les domaines prioritaires des interventions pertinentes concernent: le développement de l’emploi ciblé par la définition de l’amélioration de l’équilibre entre l’offre et la demande d’emplois; les primes au recrutement; la base de données des emplois ciblés; l’incidence des programmes d’insertion professionnelle destinés au plein emploi des personnes handicapées. Les données tirées du rapport au Parlement sur l’application de la loi n</w:t>
      </w:r>
      <w:r w:rsidRPr="00F60A3D">
        <w:rPr>
          <w:vertAlign w:val="superscript"/>
          <w:lang w:val="fr-FR"/>
        </w:rPr>
        <w:t>o</w:t>
      </w:r>
      <w:r w:rsidRPr="00F60A3D">
        <w:rPr>
          <w:lang w:val="fr-FR"/>
        </w:rPr>
        <w:t> 68/99, relatives aux bienniums 2010-2011 et</w:t>
      </w:r>
      <w:r w:rsidRPr="00F60A3D">
        <w:rPr>
          <w:b/>
          <w:lang w:val="fr-FR"/>
        </w:rPr>
        <w:t xml:space="preserve"> </w:t>
      </w:r>
      <w:r w:rsidRPr="00F60A3D">
        <w:rPr>
          <w:lang w:val="fr-FR"/>
        </w:rPr>
        <w:t xml:space="preserve">2012-2013 figurent ci-dessous. Ainsi, en ce qui concerne l’inscription sur les listes de demandeurs d’emploi des provinces, il faut mentionner les chiffres suivants: 2010: 743 623 personnes enregistrées, dont 359 553 femmes. 2011: 644 029 personnes enregistrées, dont 308 412 femmes. 2012: 728 326 personnes enregistrées, dont 346 430 femmes. 2013: 676 775 personnes enregistrées dont 319 673 femmes. En ce qui concerne l’accès à l’emploi des personnes handicapées inscrites sur les listes de demandeurs d’emplois, il faut mentionner les chiffres suivants: 2010: 22 023 personnes recrutées, dont 8 902 femmes; 2012: 19 114 personnes recrutées dont 7 941 femmes. 2013: personnes recrutées 18 295, dont 7 453 femmes. </w:t>
      </w:r>
    </w:p>
  </w:footnote>
  <w:footnote w:id="40">
    <w:p w:rsidR="008301A4" w:rsidRPr="00F60A3D" w:rsidRDefault="008301A4" w:rsidP="00B114D8">
      <w:pPr>
        <w:pStyle w:val="FootnoteText"/>
        <w:widowControl w:val="0"/>
        <w:tabs>
          <w:tab w:val="clear" w:pos="1021"/>
          <w:tab w:val="right" w:pos="1020"/>
        </w:tabs>
        <w:rPr>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http://www.parlamento.it/604); http://www.parlamento.it/leg/17/BGT/Schede/Bicamerali/v3/</w:t>
      </w:r>
      <w:r w:rsidR="002E680B" w:rsidRPr="00F60A3D">
        <w:rPr>
          <w:szCs w:val="18"/>
          <w:lang w:val="fr-FR"/>
        </w:rPr>
        <w:br/>
      </w:r>
      <w:r w:rsidRPr="00F60A3D">
        <w:rPr>
          <w:szCs w:val="18"/>
          <w:lang w:val="fr-FR"/>
        </w:rPr>
        <w:t>4-00128.htm.</w:t>
      </w:r>
      <w:r w:rsidRPr="00F60A3D">
        <w:rPr>
          <w:lang w:val="fr-FR"/>
        </w:rPr>
        <w:t xml:space="preserve"> </w:t>
      </w:r>
    </w:p>
  </w:footnote>
  <w:footnote w:id="41">
    <w:p w:rsidR="008301A4" w:rsidRPr="00F60A3D" w:rsidRDefault="008301A4" w:rsidP="00B114D8">
      <w:pPr>
        <w:pStyle w:val="FootnoteText"/>
        <w:widowControl w:val="0"/>
        <w:tabs>
          <w:tab w:val="clear" w:pos="1021"/>
          <w:tab w:val="right" w:pos="1020"/>
        </w:tabs>
        <w:rPr>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Fermé en juillet 2012 suite à l’examen des dépenses, il a été réouvert en septembre 2013.</w:t>
      </w:r>
    </w:p>
  </w:footnote>
  <w:footnote w:id="42">
    <w:p w:rsidR="008301A4" w:rsidRPr="00F60A3D" w:rsidRDefault="008301A4" w:rsidP="00B114D8">
      <w:pPr>
        <w:pStyle w:val="FootnoteText"/>
        <w:widowControl w:val="0"/>
        <w:tabs>
          <w:tab w:val="clear" w:pos="1021"/>
          <w:tab w:val="right" w:pos="1020"/>
        </w:tabs>
        <w:rPr>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http://www2.ohchr.org/english/bodies/HRTD/docs/HCReportTBStrengthening.pdf.</w:t>
      </w:r>
    </w:p>
  </w:footnote>
  <w:footnote w:id="43">
    <w:p w:rsidR="008301A4" w:rsidRPr="00F60A3D" w:rsidRDefault="008301A4" w:rsidP="00B114D8">
      <w:pPr>
        <w:pStyle w:val="FootnoteText"/>
        <w:widowControl w:val="0"/>
        <w:tabs>
          <w:tab w:val="clear" w:pos="1021"/>
          <w:tab w:val="right" w:pos="1020"/>
        </w:tabs>
        <w:rPr>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 xml:space="preserve">Le Ministère italien des affaires étrangères et de la coopération internationale a soumis au Conseil de l’Europe, les «Fondements du Plan national d’action sur les entreprises et les droits de l’homme», à la fin décembre 2013. </w:t>
      </w:r>
    </w:p>
  </w:footnote>
  <w:footnote w:id="44">
    <w:p w:rsidR="008301A4" w:rsidRPr="00F60A3D" w:rsidRDefault="008301A4" w:rsidP="002E680B">
      <w:pPr>
        <w:pStyle w:val="FootnoteText"/>
        <w:widowControl w:val="0"/>
        <w:tabs>
          <w:tab w:val="clear" w:pos="1021"/>
          <w:tab w:val="right" w:pos="1020"/>
        </w:tabs>
        <w:rPr>
          <w:lang w:val="fr-FR"/>
        </w:rPr>
      </w:pPr>
      <w:r w:rsidRPr="00F60A3D">
        <w:rPr>
          <w:lang w:val="fr-FR"/>
        </w:rPr>
        <w:tab/>
      </w:r>
      <w:r w:rsidRPr="00F60A3D">
        <w:rPr>
          <w:rStyle w:val="FootnoteReference"/>
          <w:lang w:val="fr-FR"/>
        </w:rPr>
        <w:footnoteRef/>
      </w:r>
      <w:r w:rsidRPr="00F60A3D">
        <w:rPr>
          <w:lang w:val="fr-FR"/>
        </w:rPr>
        <w:tab/>
      </w:r>
      <w:r w:rsidRPr="00F60A3D">
        <w:rPr>
          <w:rFonts w:eastAsia="MS ??"/>
          <w:szCs w:val="18"/>
          <w:lang w:val="fr-FR"/>
        </w:rPr>
        <w:t xml:space="preserve">D’après les </w:t>
      </w:r>
      <w:r w:rsidRPr="00F60A3D">
        <w:rPr>
          <w:rFonts w:eastAsia="MS ??"/>
          <w:bCs/>
          <w:szCs w:val="18"/>
          <w:lang w:val="fr-FR"/>
        </w:rPr>
        <w:t>données annuelles du Bureau national de lutte contre la discrimination raciale (2013)</w:t>
      </w:r>
      <w:r w:rsidRPr="00F60A3D">
        <w:rPr>
          <w:rFonts w:eastAsia="MS ??"/>
          <w:szCs w:val="18"/>
          <w:lang w:val="fr-FR"/>
        </w:rPr>
        <w:t xml:space="preserve">, près de 70 % des appels téléphoniques signalés ont été considérés comme des actes et des comportements à caractère discriminatoire. Un recul de la discrimination institutionnelle (émanant des services publics) a été constaté (7,7 %), de même qu’un recul de la discrimination dans l’accès à l’emploi ou au logement (respectivement, 7,5 % et 5,1 %). Une attention particulière a été portée aux 139 cas visant des Roms et des Sintis. La majorité des cas de discrimination concernaient l’Italie du Nord, avec 55,3 %. C’est dans le Latium que la proportion de cas était la plus élevée (22,1 % et 156 cas signalés dans la municipalité de Rome). La plupart des victimes étaient italiennes (26,5 %), suivies des Marocains et des Roumains (8, 5 % pour chacune de ces nationalités), et des ressortissants de 38 autres pays. Les plaintes émanaient directement des victimes dans 29,2 % des cas, puis des témoins (19,5 %) et des associations agissant au nom des victimes (10,2 %). </w:t>
      </w:r>
    </w:p>
  </w:footnote>
  <w:footnote w:id="45">
    <w:p w:rsidR="008301A4" w:rsidRPr="00F60A3D" w:rsidRDefault="008301A4" w:rsidP="004170A2">
      <w:pPr>
        <w:pStyle w:val="FootnoteText"/>
        <w:widowControl w:val="0"/>
        <w:tabs>
          <w:tab w:val="clear" w:pos="1021"/>
          <w:tab w:val="right" w:pos="1020"/>
        </w:tabs>
        <w:rPr>
          <w:lang w:val="fr-FR"/>
        </w:rPr>
      </w:pPr>
      <w:r w:rsidRPr="00F60A3D">
        <w:rPr>
          <w:lang w:val="fr-FR"/>
        </w:rPr>
        <w:tab/>
      </w:r>
      <w:r w:rsidRPr="00F60A3D">
        <w:rPr>
          <w:rStyle w:val="FootnoteReference"/>
          <w:lang w:val="fr-FR"/>
        </w:rPr>
        <w:footnoteRef/>
      </w:r>
      <w:r w:rsidRPr="00F60A3D">
        <w:rPr>
          <w:lang w:val="fr-FR"/>
        </w:rPr>
        <w:tab/>
      </w:r>
      <w:r w:rsidRPr="00F60A3D">
        <w:rPr>
          <w:color w:val="000000"/>
          <w:szCs w:val="18"/>
          <w:lang w:val="fr-FR"/>
        </w:rPr>
        <w:t>Des mesures complémentaires visant à prévenir les formes de traitement cruel, inhumain ou dégradant des personnes en détention ont été mises en place par le décret-loi n</w:t>
      </w:r>
      <w:r w:rsidRPr="00F60A3D">
        <w:rPr>
          <w:color w:val="000000"/>
          <w:szCs w:val="18"/>
          <w:vertAlign w:val="superscript"/>
          <w:lang w:val="fr-FR"/>
        </w:rPr>
        <w:t>o</w:t>
      </w:r>
      <w:r w:rsidRPr="00F60A3D">
        <w:rPr>
          <w:color w:val="000000"/>
          <w:szCs w:val="18"/>
          <w:lang w:val="fr-FR"/>
        </w:rPr>
        <w:t> 78/2013, converti en loi n</w:t>
      </w:r>
      <w:r w:rsidRPr="00F60A3D">
        <w:rPr>
          <w:color w:val="000000"/>
          <w:szCs w:val="18"/>
          <w:vertAlign w:val="superscript"/>
          <w:lang w:val="fr-FR"/>
        </w:rPr>
        <w:t>o</w:t>
      </w:r>
      <w:r w:rsidRPr="00F60A3D">
        <w:rPr>
          <w:color w:val="000000"/>
          <w:szCs w:val="18"/>
          <w:lang w:val="fr-FR"/>
        </w:rPr>
        <w:t> 94/2013, le décret-loi n</w:t>
      </w:r>
      <w:r w:rsidRPr="00F60A3D">
        <w:rPr>
          <w:color w:val="000000"/>
          <w:szCs w:val="18"/>
          <w:vertAlign w:val="superscript"/>
          <w:lang w:val="fr-FR"/>
        </w:rPr>
        <w:t>o</w:t>
      </w:r>
      <w:r w:rsidRPr="00F60A3D">
        <w:rPr>
          <w:color w:val="000000"/>
          <w:szCs w:val="18"/>
          <w:lang w:val="fr-FR"/>
        </w:rPr>
        <w:t> 146/2013, converti en loi n</w:t>
      </w:r>
      <w:r w:rsidRPr="00F60A3D">
        <w:rPr>
          <w:color w:val="000000"/>
          <w:szCs w:val="18"/>
          <w:vertAlign w:val="superscript"/>
          <w:lang w:val="fr-FR"/>
        </w:rPr>
        <w:t>o</w:t>
      </w:r>
      <w:r w:rsidRPr="00F60A3D">
        <w:rPr>
          <w:color w:val="000000"/>
          <w:szCs w:val="18"/>
          <w:lang w:val="fr-FR"/>
        </w:rPr>
        <w:t> 10/2014 et le décret-loi n</w:t>
      </w:r>
      <w:r w:rsidRPr="00F60A3D">
        <w:rPr>
          <w:color w:val="000000"/>
          <w:szCs w:val="18"/>
          <w:vertAlign w:val="superscript"/>
          <w:lang w:val="fr-FR"/>
        </w:rPr>
        <w:t>o</w:t>
      </w:r>
      <w:r w:rsidRPr="00F60A3D">
        <w:rPr>
          <w:color w:val="000000"/>
          <w:szCs w:val="18"/>
          <w:lang w:val="fr-FR"/>
        </w:rPr>
        <w:t> 92/2014, converti en loi n</w:t>
      </w:r>
      <w:r w:rsidRPr="00F60A3D">
        <w:rPr>
          <w:color w:val="000000"/>
          <w:szCs w:val="18"/>
          <w:vertAlign w:val="superscript"/>
          <w:lang w:val="fr-FR"/>
        </w:rPr>
        <w:t>o</w:t>
      </w:r>
      <w:r w:rsidRPr="00F60A3D">
        <w:rPr>
          <w:color w:val="000000"/>
          <w:szCs w:val="18"/>
          <w:lang w:val="fr-FR"/>
        </w:rPr>
        <w:t> 117/2015.</w:t>
      </w:r>
    </w:p>
  </w:footnote>
  <w:footnote w:id="46">
    <w:p w:rsidR="008301A4" w:rsidRPr="00F60A3D" w:rsidRDefault="008301A4" w:rsidP="004365E0">
      <w:pPr>
        <w:pStyle w:val="FootnoteText"/>
        <w:widowControl w:val="0"/>
        <w:tabs>
          <w:tab w:val="clear" w:pos="1021"/>
          <w:tab w:val="right" w:pos="1020"/>
        </w:tabs>
        <w:rPr>
          <w:lang w:val="fr-FR"/>
        </w:rPr>
      </w:pPr>
      <w:r w:rsidRPr="00F60A3D">
        <w:rPr>
          <w:lang w:val="fr-FR"/>
        </w:rPr>
        <w:tab/>
      </w:r>
      <w:r w:rsidRPr="00F60A3D">
        <w:rPr>
          <w:rStyle w:val="FootnoteReference"/>
          <w:lang w:val="fr-FR"/>
        </w:rPr>
        <w:footnoteRef/>
      </w:r>
      <w:r w:rsidRPr="00F60A3D">
        <w:rPr>
          <w:lang w:val="fr-FR"/>
        </w:rPr>
        <w:tab/>
      </w:r>
      <w:r w:rsidRPr="00F60A3D">
        <w:rPr>
          <w:color w:val="000000"/>
          <w:szCs w:val="18"/>
          <w:lang w:val="fr-FR"/>
        </w:rPr>
        <w:t>En ce qui concerne la procédure civile, il convient de mentionner: le décret-loi n</w:t>
      </w:r>
      <w:r w:rsidRPr="00F60A3D">
        <w:rPr>
          <w:color w:val="000000"/>
          <w:szCs w:val="18"/>
          <w:vertAlign w:val="superscript"/>
          <w:lang w:val="fr-FR"/>
        </w:rPr>
        <w:t>o</w:t>
      </w:r>
      <w:r w:rsidRPr="00F60A3D">
        <w:rPr>
          <w:color w:val="000000"/>
          <w:szCs w:val="18"/>
          <w:lang w:val="fr-FR"/>
        </w:rPr>
        <w:t> 90/2014, converti en loi n</w:t>
      </w:r>
      <w:r w:rsidRPr="00F60A3D">
        <w:rPr>
          <w:color w:val="000000"/>
          <w:szCs w:val="18"/>
          <w:vertAlign w:val="superscript"/>
          <w:lang w:val="fr-FR"/>
        </w:rPr>
        <w:t>o</w:t>
      </w:r>
      <w:r w:rsidRPr="00F60A3D">
        <w:rPr>
          <w:color w:val="000000"/>
          <w:szCs w:val="18"/>
          <w:lang w:val="fr-FR"/>
        </w:rPr>
        <w:t> 114/2014; le décret-loi n</w:t>
      </w:r>
      <w:r w:rsidRPr="00F60A3D">
        <w:rPr>
          <w:color w:val="000000"/>
          <w:szCs w:val="18"/>
          <w:vertAlign w:val="superscript"/>
          <w:lang w:val="fr-FR"/>
        </w:rPr>
        <w:t>o</w:t>
      </w:r>
      <w:r w:rsidRPr="00F60A3D">
        <w:rPr>
          <w:color w:val="000000"/>
          <w:szCs w:val="18"/>
          <w:lang w:val="fr-FR"/>
        </w:rPr>
        <w:t> 132/2014, converti en loi n</w:t>
      </w:r>
      <w:r w:rsidRPr="00F60A3D">
        <w:rPr>
          <w:color w:val="000000"/>
          <w:szCs w:val="18"/>
          <w:vertAlign w:val="superscript"/>
          <w:lang w:val="fr-FR"/>
        </w:rPr>
        <w:t>o</w:t>
      </w:r>
      <w:r w:rsidRPr="00F60A3D">
        <w:rPr>
          <w:color w:val="000000"/>
          <w:szCs w:val="18"/>
          <w:lang w:val="fr-FR"/>
        </w:rPr>
        <w:t> 162/2014; et le décret-loi n</w:t>
      </w:r>
      <w:r w:rsidRPr="00F60A3D">
        <w:rPr>
          <w:color w:val="000000"/>
          <w:szCs w:val="18"/>
          <w:vertAlign w:val="superscript"/>
          <w:lang w:val="fr-FR"/>
        </w:rPr>
        <w:t>o</w:t>
      </w:r>
      <w:r w:rsidRPr="00F60A3D">
        <w:rPr>
          <w:color w:val="000000"/>
          <w:szCs w:val="18"/>
          <w:lang w:val="fr-FR"/>
        </w:rPr>
        <w:t> 69/2013, converti en loi n</w:t>
      </w:r>
      <w:r w:rsidRPr="00F60A3D">
        <w:rPr>
          <w:color w:val="000000"/>
          <w:szCs w:val="18"/>
          <w:vertAlign w:val="superscript"/>
          <w:lang w:val="fr-FR"/>
        </w:rPr>
        <w:t>o</w:t>
      </w:r>
      <w:r w:rsidRPr="00F60A3D">
        <w:rPr>
          <w:color w:val="000000"/>
          <w:szCs w:val="18"/>
          <w:lang w:val="fr-FR"/>
        </w:rPr>
        <w:t> 98/2013. Ces textes visent essentiellement à réduire la durée excessive des procédures, à mettre en place et à renforcer les technologies de l’information et de la communication (TIC) dans les procédures pertinentes.</w:t>
      </w:r>
    </w:p>
  </w:footnote>
  <w:footnote w:id="47">
    <w:p w:rsidR="008301A4" w:rsidRPr="00F60A3D" w:rsidRDefault="008301A4" w:rsidP="004365E0">
      <w:pPr>
        <w:pStyle w:val="FootnoteText"/>
        <w:widowControl w:val="0"/>
        <w:tabs>
          <w:tab w:val="clear" w:pos="1021"/>
          <w:tab w:val="right" w:pos="1020"/>
        </w:tabs>
        <w:rPr>
          <w:szCs w:val="18"/>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En ce qui concerne l’accès à l’information</w:t>
      </w:r>
      <w:r w:rsidRPr="00F60A3D">
        <w:rPr>
          <w:b/>
          <w:szCs w:val="18"/>
          <w:lang w:val="fr-FR"/>
        </w:rPr>
        <w:t xml:space="preserve">, </w:t>
      </w:r>
      <w:r w:rsidRPr="00F60A3D">
        <w:rPr>
          <w:szCs w:val="18"/>
          <w:lang w:val="fr-FR"/>
        </w:rPr>
        <w:t>de nouvelles obligations en matière de transparence ont été imposées. Le décret législatif n</w:t>
      </w:r>
      <w:r w:rsidRPr="00F60A3D">
        <w:rPr>
          <w:szCs w:val="18"/>
          <w:vertAlign w:val="superscript"/>
          <w:lang w:val="fr-FR"/>
        </w:rPr>
        <w:t>o</w:t>
      </w:r>
      <w:r w:rsidRPr="00F60A3D">
        <w:rPr>
          <w:szCs w:val="18"/>
          <w:lang w:val="fr-FR"/>
        </w:rPr>
        <w:t xml:space="preserve"> 33/2013, place le droit d’accès à l’information au cœur du système administratif. L’article 5 met en place «l’accès civique», à savoir le droit de demander à une administration de publier sans délai en ligne tout document: les contrevenants, y compris les hauts fonctionnaires, s’exposent à des sanctions, notamment pour atteinte à la réputation de l’Administration. </w:t>
      </w:r>
    </w:p>
  </w:footnote>
  <w:footnote w:id="48">
    <w:p w:rsidR="008301A4" w:rsidRPr="00F60A3D" w:rsidRDefault="008301A4" w:rsidP="00B114D8">
      <w:pPr>
        <w:pStyle w:val="FootnoteText"/>
        <w:widowControl w:val="0"/>
        <w:tabs>
          <w:tab w:val="clear" w:pos="1021"/>
          <w:tab w:val="right" w:pos="1020"/>
        </w:tabs>
        <w:rPr>
          <w:lang w:val="fr-FR"/>
        </w:rPr>
      </w:pPr>
      <w:r w:rsidRPr="00F60A3D">
        <w:rPr>
          <w:lang w:val="fr-FR"/>
        </w:rPr>
        <w:tab/>
      </w:r>
      <w:r w:rsidRPr="00F60A3D">
        <w:rPr>
          <w:rStyle w:val="FootnoteReference"/>
          <w:lang w:val="fr-FR"/>
        </w:rPr>
        <w:footnoteRef/>
      </w:r>
      <w:r w:rsidRPr="00F60A3D">
        <w:rPr>
          <w:lang w:val="fr-FR"/>
        </w:rPr>
        <w:tab/>
        <w:t>Voir la Résolution du Conseil des droits de l’homme des Nations Unies, A/HRC/31/L.21.</w:t>
      </w:r>
    </w:p>
  </w:footnote>
  <w:footnote w:id="49">
    <w:p w:rsidR="008301A4" w:rsidRPr="00F60A3D" w:rsidRDefault="008301A4" w:rsidP="00B114D8">
      <w:pPr>
        <w:pStyle w:val="FootnoteText"/>
        <w:widowControl w:val="0"/>
        <w:tabs>
          <w:tab w:val="clear" w:pos="1021"/>
          <w:tab w:val="right" w:pos="1020"/>
        </w:tabs>
        <w:rPr>
          <w:szCs w:val="18"/>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 xml:space="preserve">Tiré de «Activité nationale – </w:t>
      </w:r>
      <w:r w:rsidRPr="00F60A3D">
        <w:rPr>
          <w:bCs/>
          <w:szCs w:val="18"/>
          <w:lang w:val="fr-FR"/>
        </w:rPr>
        <w:t>Rapport de l’Italie sur la formation à la diversité et à la lutte contre la discrimination» établi par l’Association de promotion sociale italienne et le Bureau national de lutte contre la discrimination raciale, 8, disponible à l’adresse: http://ec.europa.eu/justice/discrimination/</w:t>
      </w:r>
      <w:r w:rsidRPr="00F60A3D">
        <w:rPr>
          <w:bCs/>
          <w:szCs w:val="18"/>
          <w:lang w:val="fr-FR"/>
        </w:rPr>
        <w:br/>
        <w:t>files/antidiscrimination_training_italy_en.pdf</w:t>
      </w:r>
      <w:r w:rsidRPr="00F60A3D">
        <w:rPr>
          <w:szCs w:val="18"/>
          <w:lang w:val="fr-FR"/>
        </w:rPr>
        <w:t xml:space="preserve"> </w:t>
      </w:r>
    </w:p>
  </w:footnote>
  <w:footnote w:id="50">
    <w:p w:rsidR="008301A4" w:rsidRPr="00F60A3D" w:rsidRDefault="008301A4" w:rsidP="00243C33">
      <w:pPr>
        <w:pStyle w:val="FootnoteText"/>
        <w:widowControl w:val="0"/>
        <w:tabs>
          <w:tab w:val="clear" w:pos="1021"/>
          <w:tab w:val="right" w:pos="1020"/>
        </w:tabs>
        <w:rPr>
          <w:szCs w:val="18"/>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 xml:space="preserve">Ces décrets ont permis d’inclure dans les règlements nationaux d’importantes dispositions réglementaires et administratives garantissant la mise en œuvre d’instruments de protection efficaces contre toutes les formes de discrimination fondée sur la race ou l’origine ethnique, selon une approche globale qui s’appuie sur le principe de l’égalité de traitement dans les secteurs public et privé, en ce qui concerne l’accès à l’emploi, la profession, l’orientation et la formation professionnelles, l’appartenance à des organisations d’employeurs ou de travailleurs, la protection sociale, les soins médicaux, les avantages sociaux, l’éducation et l’accès aux biens et aux services, ainsi que la protection judiciaire des victimes, au moyen d’actions civiles pour discrimination prévoyant notamment la recevabilité des preuves par présomption en faveur de la victime et l’indemnisation de celle-ci. </w:t>
      </w:r>
    </w:p>
  </w:footnote>
  <w:footnote w:id="51">
    <w:p w:rsidR="008301A4" w:rsidRPr="00F60A3D" w:rsidRDefault="008301A4" w:rsidP="00315A42">
      <w:pPr>
        <w:pStyle w:val="FootnoteText"/>
        <w:widowControl w:val="0"/>
        <w:tabs>
          <w:tab w:val="clear" w:pos="1021"/>
          <w:tab w:val="right" w:pos="1020"/>
        </w:tabs>
        <w:rPr>
          <w:szCs w:val="18"/>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http://ec.europa.eu/justice/discrimination/files/antidiscrimination_training_italy_en.pdf.</w:t>
      </w:r>
    </w:p>
  </w:footnote>
  <w:footnote w:id="52">
    <w:p w:rsidR="008301A4" w:rsidRPr="00F60A3D" w:rsidRDefault="008301A4" w:rsidP="00315A42">
      <w:pPr>
        <w:pStyle w:val="FootnoteText"/>
        <w:widowControl w:val="0"/>
        <w:tabs>
          <w:tab w:val="clear" w:pos="1021"/>
          <w:tab w:val="right" w:pos="1020"/>
        </w:tabs>
        <w:rPr>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 xml:space="preserve">Le joueur de football, le responsable de l’équipe de football, les associés et les partenaires sont alors sanctionnés. Les clubs de football sont tenus responsables de la publication et de l’exposition de photographies, slogans, symboles, emblèmes et autres objets constituant des expressions racistes et des manifestations de discrimination dans les sports. </w:t>
      </w:r>
    </w:p>
  </w:footnote>
  <w:footnote w:id="53">
    <w:p w:rsidR="008301A4" w:rsidRPr="00F60A3D" w:rsidRDefault="008301A4" w:rsidP="00FD55FD">
      <w:pPr>
        <w:pStyle w:val="FootnoteText"/>
        <w:widowControl w:val="0"/>
        <w:tabs>
          <w:tab w:val="clear" w:pos="1021"/>
          <w:tab w:val="right" w:pos="1020"/>
        </w:tabs>
        <w:rPr>
          <w:szCs w:val="18"/>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Le Parlement italien travaille à la transposition dans la législation italienne de la Décision-cadre n</w:t>
      </w:r>
      <w:r w:rsidRPr="00F60A3D">
        <w:rPr>
          <w:szCs w:val="18"/>
          <w:vertAlign w:val="superscript"/>
          <w:lang w:val="fr-FR"/>
        </w:rPr>
        <w:t>o</w:t>
      </w:r>
      <w:r w:rsidRPr="00F60A3D">
        <w:rPr>
          <w:szCs w:val="18"/>
          <w:lang w:val="fr-FR"/>
        </w:rPr>
        <w:t xml:space="preserve"> 2008/913/JHA du Conseil de l’Union européenne, en définissant de nouvelles infractions telles que le fait de cautionner publiquement des crimes de génocide, des crimes contre l’humanité ou des crimes de guerre, d’en nier l’existence ou de les banaliser (inscrits dans les articles 6, 7 et 8 du Statut de la Cour pénale internationale), actes qui peuvent être considérés comme des formes et des expressions de racisme et de xénophobie. </w:t>
      </w:r>
    </w:p>
  </w:footnote>
  <w:footnote w:id="54">
    <w:p w:rsidR="008301A4" w:rsidRPr="00F60A3D" w:rsidRDefault="008301A4" w:rsidP="00315A42">
      <w:pPr>
        <w:pStyle w:val="FootnoteText"/>
        <w:widowControl w:val="0"/>
        <w:tabs>
          <w:tab w:val="clear" w:pos="1021"/>
          <w:tab w:val="right" w:pos="1020"/>
        </w:tabs>
        <w:rPr>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L’action civile contre la discrimination est recevable conformément à l’article 44 du décret législatif n</w:t>
      </w:r>
      <w:r w:rsidRPr="00F60A3D">
        <w:rPr>
          <w:szCs w:val="18"/>
          <w:vertAlign w:val="superscript"/>
          <w:lang w:val="fr-FR"/>
        </w:rPr>
        <w:t>o</w:t>
      </w:r>
      <w:r w:rsidRPr="00F60A3D">
        <w:rPr>
          <w:szCs w:val="18"/>
          <w:lang w:val="fr-FR"/>
        </w:rPr>
        <w:t> 286/1998.</w:t>
      </w:r>
    </w:p>
  </w:footnote>
  <w:footnote w:id="55">
    <w:p w:rsidR="008301A4" w:rsidRPr="00F60A3D" w:rsidRDefault="008301A4" w:rsidP="00243C33">
      <w:pPr>
        <w:pStyle w:val="FootnoteText"/>
        <w:widowControl w:val="0"/>
        <w:tabs>
          <w:tab w:val="clear" w:pos="1021"/>
          <w:tab w:val="right" w:pos="1020"/>
        </w:tabs>
        <w:rPr>
          <w:szCs w:val="18"/>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 xml:space="preserve">L’Italie, lors de sa présidence du Conseil de l’Union européenne (par l’intermédiaire du Bureau national de lutte contre la discrimination) et de la Commission européenne, a organisé à Rome, les 6 et 7 novembre 2014, une réunion conjointe de haut niveau sur la non-discrimination, la diversité et l’égalité dont le thème était: «Concevoir le futur des politiques antidiscriminatoires au sein de l’Union européenne». Deux cent cinquante représentants de haut niveau (États, partenaires sociaux, entreprises, organisations de la société civile, médias et universités, ainsi que des experts indépendants) de pays membres et non membres de l’UE ont participé à la réunion. Cinq tables rondes ont été organisées, dont une réunion ministérielle et une séance consacrée à l’examen de l’initiative prévoyant la création par la Commission européenne en 2015, d’un groupe de haut niveau sur la non-discrimination, l’égalité et la diversité. Les thèmes suivants ont été abordés: égalité et non-discrimination dans le cadre du relèvement économique, nouvelles orientations de la gestion de la diversité, nouvelles possibilités de mettre en valeur l’égalité et la diversité dans la perspective d’un changement d’ordre culturel, et perspectives d’accès à la justice. La Déclaration de Rome a ainsi été adoptée. </w:t>
      </w:r>
    </w:p>
  </w:footnote>
  <w:footnote w:id="56">
    <w:p w:rsidR="008301A4" w:rsidRPr="00F60A3D" w:rsidRDefault="008301A4" w:rsidP="00315A42">
      <w:pPr>
        <w:pStyle w:val="FootnoteText"/>
        <w:widowControl w:val="0"/>
        <w:tabs>
          <w:tab w:val="clear" w:pos="1021"/>
          <w:tab w:val="right" w:pos="1020"/>
        </w:tabs>
        <w:rPr>
          <w:lang w:val="fr-FR"/>
        </w:rPr>
      </w:pPr>
      <w:r w:rsidRPr="00F60A3D">
        <w:rPr>
          <w:lang w:val="fr-FR"/>
        </w:rPr>
        <w:tab/>
      </w:r>
      <w:r w:rsidRPr="00F60A3D">
        <w:rPr>
          <w:rStyle w:val="FootnoteReference"/>
          <w:lang w:val="fr-FR"/>
        </w:rPr>
        <w:footnoteRef/>
      </w:r>
      <w:r w:rsidRPr="00F60A3D">
        <w:rPr>
          <w:szCs w:val="18"/>
          <w:lang w:val="fr-FR"/>
        </w:rPr>
        <w:tab/>
        <w:t>http://ec.europa.eu/justice/discrimination/files/antidiscrimination_training_italy_en.pdf.</w:t>
      </w:r>
    </w:p>
  </w:footnote>
  <w:footnote w:id="57">
    <w:p w:rsidR="008301A4" w:rsidRPr="00F60A3D" w:rsidRDefault="008301A4" w:rsidP="006A35D8">
      <w:pPr>
        <w:pStyle w:val="FootnoteText"/>
        <w:widowControl w:val="0"/>
        <w:tabs>
          <w:tab w:val="clear" w:pos="1021"/>
          <w:tab w:val="right" w:pos="1020"/>
        </w:tabs>
        <w:rPr>
          <w:rFonts w:eastAsia="MS ??"/>
          <w:szCs w:val="18"/>
          <w:lang w:val="fr-FR" w:eastAsia="it-IT"/>
        </w:rPr>
      </w:pPr>
      <w:r w:rsidRPr="00F60A3D">
        <w:rPr>
          <w:lang w:val="fr-FR"/>
        </w:rPr>
        <w:tab/>
      </w:r>
      <w:r w:rsidRPr="00F60A3D">
        <w:rPr>
          <w:rStyle w:val="FootnoteReference"/>
          <w:lang w:val="fr-FR"/>
        </w:rPr>
        <w:footnoteRef/>
      </w:r>
      <w:r w:rsidRPr="00F60A3D">
        <w:rPr>
          <w:lang w:val="fr-FR"/>
        </w:rPr>
        <w:tab/>
      </w:r>
      <w:r w:rsidRPr="00F60A3D">
        <w:rPr>
          <w:rFonts w:eastAsia="MS ??"/>
          <w:szCs w:val="18"/>
          <w:lang w:val="fr-FR" w:eastAsia="it-IT"/>
        </w:rPr>
        <w:t xml:space="preserve">Conformément à la loi </w:t>
      </w:r>
      <w:r w:rsidRPr="00F60A3D">
        <w:rPr>
          <w:rFonts w:eastAsia="MS ??"/>
          <w:bCs/>
          <w:szCs w:val="18"/>
          <w:lang w:val="fr-FR" w:eastAsia="it-IT"/>
        </w:rPr>
        <w:t>n</w:t>
      </w:r>
      <w:r w:rsidRPr="00F60A3D">
        <w:rPr>
          <w:rFonts w:eastAsia="MS ??"/>
          <w:bCs/>
          <w:szCs w:val="18"/>
          <w:vertAlign w:val="superscript"/>
          <w:lang w:val="fr-FR" w:eastAsia="it-IT"/>
        </w:rPr>
        <w:t>o</w:t>
      </w:r>
      <w:r w:rsidRPr="00F60A3D">
        <w:rPr>
          <w:rFonts w:eastAsia="MS ??"/>
          <w:bCs/>
          <w:szCs w:val="18"/>
          <w:lang w:val="fr-FR" w:eastAsia="it-IT"/>
        </w:rPr>
        <w:t> 482/1999</w:t>
      </w:r>
      <w:r w:rsidRPr="00F60A3D">
        <w:rPr>
          <w:rFonts w:eastAsia="MS ??"/>
          <w:szCs w:val="18"/>
          <w:lang w:val="fr-FR" w:eastAsia="it-IT"/>
        </w:rPr>
        <w:t xml:space="preserve">, le Ministère de l’intérieur met régulièrement à jour la liste des municipalités où vivent des minorités linguistiques, et considère l’inclusion des autres communautés qui en font la demande en application de ladite loi. Il convient aussi de mentionner les différentes ONG qui œuvrent en faveur de la protection des minorités linguistiques locales, telle CONFEMILI (Comité fédéral des minorités linguistiques d’Italie) qui représente les associations des 12 minorités linguistiques historiques reconnues et qui mène des activités de coordination, d’orientation, de conseil et de planification, au profit des autorités locales comme des associations. </w:t>
      </w:r>
    </w:p>
  </w:footnote>
  <w:footnote w:id="58">
    <w:p w:rsidR="008301A4" w:rsidRPr="00F60A3D" w:rsidRDefault="008301A4" w:rsidP="00315A42">
      <w:pPr>
        <w:pStyle w:val="FootnoteText"/>
        <w:widowControl w:val="0"/>
        <w:tabs>
          <w:tab w:val="clear" w:pos="1021"/>
          <w:tab w:val="right" w:pos="1020"/>
        </w:tabs>
        <w:rPr>
          <w:lang w:val="fr-FR"/>
        </w:rPr>
      </w:pPr>
      <w:r w:rsidRPr="00F60A3D">
        <w:rPr>
          <w:szCs w:val="18"/>
          <w:lang w:val="fr-FR"/>
        </w:rPr>
        <w:tab/>
      </w:r>
      <w:r w:rsidRPr="00F60A3D">
        <w:rPr>
          <w:rStyle w:val="FootnoteReference"/>
          <w:lang w:val="fr-FR"/>
        </w:rPr>
        <w:footnoteRef/>
      </w:r>
      <w:r w:rsidRPr="00F60A3D">
        <w:rPr>
          <w:szCs w:val="18"/>
          <w:lang w:val="fr-FR"/>
        </w:rPr>
        <w:tab/>
        <w:t>Environ la moitié d’entre eux sont Italiens.</w:t>
      </w:r>
    </w:p>
  </w:footnote>
  <w:footnote w:id="59">
    <w:p w:rsidR="008301A4" w:rsidRPr="00F60A3D" w:rsidRDefault="008301A4" w:rsidP="00243C33">
      <w:pPr>
        <w:pStyle w:val="FootnoteText"/>
        <w:widowControl w:val="0"/>
        <w:tabs>
          <w:tab w:val="clear" w:pos="1021"/>
          <w:tab w:val="right" w:pos="1020"/>
        </w:tabs>
        <w:rPr>
          <w:szCs w:val="18"/>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En outre, la Cour constitutionnelle a souligné l’égalité des citoyens italiens et des ressortissants étrangers pour ce qui est de la jouissance des droits de l’homme fondamentaux (arrêt 187/10) et établi que le seul critère de la nationalité ne peut suffire en soi. En fait, lorsque l’administration publique constate un besoin, celui-ci ne peut être limité au critère de durée minimale du séjour (arrêt 2/2013).</w:t>
      </w:r>
    </w:p>
  </w:footnote>
  <w:footnote w:id="60">
    <w:p w:rsidR="008301A4" w:rsidRPr="00F60A3D" w:rsidRDefault="008301A4" w:rsidP="00243C33">
      <w:pPr>
        <w:pStyle w:val="FootnoteText"/>
        <w:widowControl w:val="0"/>
        <w:tabs>
          <w:tab w:val="clear" w:pos="1021"/>
          <w:tab w:val="right" w:pos="1020"/>
        </w:tabs>
        <w:rPr>
          <w:szCs w:val="18"/>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 xml:space="preserve">En 2012, l’Italie s’est associée au programme du Conseil de l’Europe intitulé: «Combattre la discrimination fondée sur l’orientation sexuelle, et l’identité de genre». Le Département de l’égalité des chances, par l’intermédiaire du Bureau national de lutte contre la discrimination raciale agissant comme point de contact national, met actuellement en œuvre la «Stratégie nationale pour la prévention et la lutte contre les discriminations fondées sur l’orientation sexuelle ou l’identité de genre, 2013-2015» qui porte sur les questions suivantes: éducation (intégration, lutte contre les stéréotypes et contre les brimades), sécurité et prisons, communication et médias (des activités de sensibilisation et de formation dans ces domaines à l’intention des responsables des écoles, des centres pour l’emploi et des forces de l’ordre sont mises en œuvre dans le cadre de séminaires nationaux et de projets pilotes au niveau local, ainsi que via une plateforme Web ad hoc). Le Bureau national de lutte contre la discrimination raciale vient en outre de terminer l’élaboration d’un plan national d’action contre le racisme (approuvé en mai 2015 par la Conférence unifiée de l’État et des régions) qui, s’agissant du groupe visé et du champ d’action, concerne aussi bien les étrangers qui résident en Italie que les ressortissants italiens d’origine étrangère, y compris ceux appartenant à des minorités religieuses, ethniques, ou linguistiques. </w:t>
      </w:r>
    </w:p>
  </w:footnote>
  <w:footnote w:id="61">
    <w:p w:rsidR="008301A4" w:rsidRPr="00F60A3D" w:rsidRDefault="008301A4" w:rsidP="00315A42">
      <w:pPr>
        <w:pStyle w:val="FootnoteText"/>
        <w:widowControl w:val="0"/>
        <w:tabs>
          <w:tab w:val="clear" w:pos="1021"/>
          <w:tab w:val="right" w:pos="1020"/>
        </w:tabs>
        <w:rPr>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 xml:space="preserve">Dans ce cadre, le Parlement a adopté le 10 septembre 2015 une loi portant ratification de la Convention des Nations Unies sur la réduction des cas d’apatridie (1961). </w:t>
      </w:r>
    </w:p>
  </w:footnote>
  <w:footnote w:id="62">
    <w:p w:rsidR="008301A4" w:rsidRPr="00F60A3D" w:rsidRDefault="008301A4" w:rsidP="00243C33">
      <w:pPr>
        <w:pStyle w:val="FootnoteText"/>
        <w:widowControl w:val="0"/>
        <w:tabs>
          <w:tab w:val="clear" w:pos="1021"/>
          <w:tab w:val="right" w:pos="1020"/>
        </w:tabs>
        <w:rPr>
          <w:szCs w:val="18"/>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 xml:space="preserve">Il convient de noter que conformément à la législation italienne sur la protection de la vie privée, la collecte de données ventilées fondées sur des motifs ethniques ou religieux est interdite. </w:t>
      </w:r>
    </w:p>
  </w:footnote>
  <w:footnote w:id="63">
    <w:p w:rsidR="008301A4" w:rsidRPr="00F60A3D" w:rsidRDefault="008301A4" w:rsidP="00243C33">
      <w:pPr>
        <w:pStyle w:val="FootnoteText"/>
        <w:widowControl w:val="0"/>
        <w:tabs>
          <w:tab w:val="clear" w:pos="1021"/>
          <w:tab w:val="right" w:pos="1020"/>
        </w:tabs>
        <w:rPr>
          <w:szCs w:val="18"/>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Entre 2013 et 2015, dans le cadre du programme du Fonds social européen «Gouvernance et actions systémiques, objectif Convergence, Axe B, Employabilité», le Bureau national de lutte contre la discrimination raciale a mis au point une action spécifique concernant des «modèles positifs de formation, d’orientation et d’insertion professionnelles» correspondant à l’objectif n</w:t>
      </w:r>
      <w:r w:rsidRPr="00F60A3D">
        <w:rPr>
          <w:szCs w:val="18"/>
          <w:vertAlign w:val="superscript"/>
          <w:lang w:val="fr-FR"/>
        </w:rPr>
        <w:t>o</w:t>
      </w:r>
      <w:r w:rsidRPr="00F60A3D">
        <w:rPr>
          <w:szCs w:val="18"/>
          <w:lang w:val="fr-FR"/>
        </w:rPr>
        <w:t xml:space="preserve"> 2.3 de la Stratégie nationale en question. L’idée était de reproduire le projet espagnol ACCEDER. À ce jour, 100 Roms ont été associés avec succès à cette action, dont une majorité de femmes. </w:t>
      </w:r>
    </w:p>
  </w:footnote>
  <w:footnote w:id="64">
    <w:p w:rsidR="008301A4" w:rsidRPr="00F60A3D" w:rsidRDefault="008301A4" w:rsidP="00243C33">
      <w:pPr>
        <w:pStyle w:val="FootnoteText"/>
        <w:widowControl w:val="0"/>
        <w:tabs>
          <w:tab w:val="clear" w:pos="1021"/>
          <w:tab w:val="right" w:pos="1020"/>
        </w:tabs>
        <w:rPr>
          <w:szCs w:val="18"/>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Projets mis en œuvre par le Ministère du travail en collaboration avec le Ministère de l’éducation, conformément à la loi n</w:t>
      </w:r>
      <w:r w:rsidRPr="00F60A3D">
        <w:rPr>
          <w:szCs w:val="18"/>
          <w:vertAlign w:val="superscript"/>
          <w:lang w:val="fr-FR"/>
        </w:rPr>
        <w:t>o</w:t>
      </w:r>
      <w:r w:rsidRPr="00F60A3D">
        <w:rPr>
          <w:szCs w:val="18"/>
          <w:lang w:val="fr-FR"/>
        </w:rPr>
        <w:t> 285/1997, dans le cadre du projet plus large intitulé «Pour l’insertion des enfants et adolescents appartenant aux communautés rom, sinti et caminanti». Treize municipalités ont été associées et des débats et échanges de bonnes pratiques ont eu lieu autour de deux grands axes de travail: la participation des familles, avec un accent particulier sur les femmes et les filles, et l’accueil scolaire.</w:t>
      </w:r>
    </w:p>
  </w:footnote>
  <w:footnote w:id="65">
    <w:p w:rsidR="008301A4" w:rsidRPr="00F60A3D" w:rsidRDefault="008301A4" w:rsidP="00BE1181">
      <w:pPr>
        <w:pStyle w:val="FootnoteText"/>
        <w:widowControl w:val="0"/>
        <w:tabs>
          <w:tab w:val="clear" w:pos="1021"/>
          <w:tab w:val="right" w:pos="1020"/>
        </w:tabs>
        <w:rPr>
          <w:rFonts w:eastAsia="MS ??"/>
          <w:szCs w:val="18"/>
          <w:lang w:val="fr-FR"/>
        </w:rPr>
      </w:pPr>
      <w:r w:rsidRPr="00F60A3D">
        <w:rPr>
          <w:lang w:val="fr-FR"/>
        </w:rPr>
        <w:tab/>
      </w:r>
      <w:r w:rsidRPr="00F60A3D">
        <w:rPr>
          <w:rStyle w:val="FootnoteReference"/>
          <w:lang w:val="fr-FR"/>
        </w:rPr>
        <w:footnoteRef/>
      </w:r>
      <w:r w:rsidRPr="00F60A3D">
        <w:rPr>
          <w:lang w:val="fr-FR"/>
        </w:rPr>
        <w:tab/>
      </w:r>
      <w:r w:rsidRPr="00F60A3D">
        <w:rPr>
          <w:rFonts w:eastAsia="MS ??"/>
          <w:szCs w:val="18"/>
          <w:lang w:val="fr-FR"/>
        </w:rPr>
        <w:t xml:space="preserve">Sur la question de l’abandon scolaire des élèves roms et sintis, le groupe de travail national a tenu une première réunion le 11 février 2013. Un groupe de travail subsidiaire a été créé et a lancé un projet pilote spécial, destiné à la fois aux élèves et aux enseignants, sur l’histoire rom/le </w:t>
      </w:r>
      <w:r w:rsidRPr="00F60A3D">
        <w:rPr>
          <w:rFonts w:eastAsia="MS ??"/>
          <w:i/>
          <w:szCs w:val="18"/>
          <w:lang w:val="fr-FR" w:eastAsia="fr-FR"/>
        </w:rPr>
        <w:t>Porrajmos</w:t>
      </w:r>
      <w:r w:rsidRPr="00F60A3D">
        <w:rPr>
          <w:rFonts w:eastAsia="MS ??"/>
          <w:szCs w:val="18"/>
          <w:lang w:val="fr-FR" w:eastAsia="fr-FR"/>
        </w:rPr>
        <w:t xml:space="preserve">, la non-discrimination, et les droits de l’homme. Dans le cadre de la sensibilisation aux droits, à la culture et à l’histoire, un site Web sur le </w:t>
      </w:r>
      <w:r w:rsidRPr="00F60A3D">
        <w:rPr>
          <w:rFonts w:eastAsia="MS ??"/>
          <w:i/>
          <w:szCs w:val="18"/>
          <w:lang w:val="fr-FR" w:eastAsia="fr-FR"/>
        </w:rPr>
        <w:t>Porajmos</w:t>
      </w:r>
      <w:r w:rsidRPr="00F60A3D">
        <w:rPr>
          <w:rFonts w:eastAsia="MS ??"/>
          <w:szCs w:val="18"/>
          <w:lang w:val="fr-FR" w:eastAsia="fr-FR"/>
        </w:rPr>
        <w:t xml:space="preserve"> destiné principalement au système scolaire, a été créé par la Fondation pour la mémoire de la Shoah et l’Université catholique de Milan.</w:t>
      </w:r>
      <w:r w:rsidRPr="00F60A3D">
        <w:rPr>
          <w:rFonts w:eastAsia="MS ??"/>
          <w:sz w:val="16"/>
          <w:szCs w:val="16"/>
          <w:lang w:val="fr-FR" w:eastAsia="fr-FR"/>
        </w:rPr>
        <w:t xml:space="preserve"> </w:t>
      </w:r>
    </w:p>
  </w:footnote>
  <w:footnote w:id="66">
    <w:p w:rsidR="008301A4" w:rsidRPr="00F60A3D" w:rsidRDefault="008301A4" w:rsidP="00C04828">
      <w:pPr>
        <w:pStyle w:val="FootnoteText"/>
        <w:widowControl w:val="0"/>
        <w:tabs>
          <w:tab w:val="clear" w:pos="1021"/>
          <w:tab w:val="right" w:pos="1020"/>
        </w:tabs>
        <w:rPr>
          <w:lang w:val="fr-FR"/>
        </w:rPr>
      </w:pPr>
      <w:r w:rsidRPr="00F60A3D">
        <w:rPr>
          <w:lang w:val="fr-FR"/>
        </w:rPr>
        <w:tab/>
      </w:r>
      <w:r w:rsidRPr="00F60A3D">
        <w:rPr>
          <w:rStyle w:val="FootnoteReference"/>
          <w:lang w:val="fr-FR"/>
        </w:rPr>
        <w:footnoteRef/>
      </w:r>
      <w:r w:rsidRPr="00F60A3D">
        <w:rPr>
          <w:lang w:val="fr-FR"/>
        </w:rPr>
        <w:tab/>
      </w:r>
      <w:r w:rsidRPr="00F60A3D">
        <w:rPr>
          <w:szCs w:val="18"/>
          <w:lang w:val="fr-FR"/>
        </w:rPr>
        <w:t>Selon les données collectées en 2014, 800 personnes étaient détenues en régime de semi-liberté et 31 000 personnes bénéficiaient de mesures de substitution à la détention.</w:t>
      </w:r>
      <w:r w:rsidRPr="00F60A3D">
        <w:rPr>
          <w:lang w:val="fr-FR"/>
        </w:rPr>
        <w:t xml:space="preserve"> </w:t>
      </w:r>
    </w:p>
  </w:footnote>
  <w:footnote w:id="67">
    <w:p w:rsidR="008301A4" w:rsidRPr="00F60A3D" w:rsidRDefault="008301A4" w:rsidP="00333E69">
      <w:pPr>
        <w:pStyle w:val="FootnoteText"/>
        <w:widowControl w:val="0"/>
        <w:tabs>
          <w:tab w:val="clear" w:pos="1021"/>
          <w:tab w:val="right" w:pos="1020"/>
        </w:tabs>
        <w:rPr>
          <w:spacing w:val="-2"/>
          <w:lang w:val="fr-FR"/>
        </w:rPr>
      </w:pPr>
      <w:r w:rsidRPr="00F60A3D">
        <w:rPr>
          <w:lang w:val="fr-FR"/>
        </w:rPr>
        <w:tab/>
      </w:r>
      <w:r w:rsidRPr="00F60A3D">
        <w:rPr>
          <w:rStyle w:val="FootnoteReference"/>
          <w:lang w:val="fr-FR"/>
        </w:rPr>
        <w:footnoteRef/>
      </w:r>
      <w:r w:rsidRPr="00F60A3D">
        <w:rPr>
          <w:lang w:val="fr-FR"/>
        </w:rPr>
        <w:tab/>
      </w:r>
      <w:r w:rsidRPr="00F60A3D">
        <w:rPr>
          <w:spacing w:val="-2"/>
          <w:lang w:val="fr-FR"/>
        </w:rPr>
        <w:t>https://www.giustizia.it/giustizia/it/mg_1_14_1.wp?previsiousPage=mg_1_14&amp;contentId=SST1225348</w:t>
      </w:r>
      <w:r w:rsidR="00333E69" w:rsidRPr="00F60A3D">
        <w:rPr>
          <w:spacing w:val="-2"/>
          <w:lang w:val="fr-FR"/>
        </w:rPr>
        <w:t>.</w:t>
      </w:r>
    </w:p>
  </w:footnote>
  <w:footnote w:id="68">
    <w:p w:rsidR="008301A4" w:rsidRPr="00F60A3D" w:rsidRDefault="008301A4" w:rsidP="00333E69">
      <w:pPr>
        <w:pStyle w:val="FootnoteText"/>
        <w:rPr>
          <w:spacing w:val="-2"/>
          <w:lang w:val="fr-FR"/>
        </w:rPr>
      </w:pPr>
      <w:r w:rsidRPr="00F60A3D">
        <w:rPr>
          <w:lang w:val="fr-FR"/>
        </w:rPr>
        <w:tab/>
      </w:r>
      <w:r w:rsidRPr="00F60A3D">
        <w:rPr>
          <w:rStyle w:val="FootnoteReference"/>
          <w:lang w:val="fr-FR"/>
        </w:rPr>
        <w:footnoteRef/>
      </w:r>
      <w:r w:rsidRPr="00F60A3D">
        <w:rPr>
          <w:lang w:val="fr-FR"/>
        </w:rPr>
        <w:tab/>
      </w:r>
      <w:r w:rsidRPr="00F60A3D">
        <w:rPr>
          <w:spacing w:val="-2"/>
          <w:lang w:val="fr-FR"/>
        </w:rPr>
        <w:t>https://www.giustizia.it/giustizia/it/mg_1_14_1.wp?previsiousPage=mg_1_14&amp;contentId=SST1164516</w:t>
      </w:r>
      <w:r w:rsidR="00333E69" w:rsidRPr="00F60A3D">
        <w:rPr>
          <w:spacing w:val="-2"/>
          <w:lang w:val="fr-FR"/>
        </w:rPr>
        <w:t>.</w:t>
      </w:r>
    </w:p>
  </w:footnote>
  <w:footnote w:id="69">
    <w:p w:rsidR="008301A4" w:rsidRPr="00F60A3D" w:rsidRDefault="008301A4" w:rsidP="00333E69">
      <w:pPr>
        <w:pStyle w:val="FootnoteText"/>
        <w:rPr>
          <w:spacing w:val="-2"/>
          <w:lang w:val="fr-FR"/>
        </w:rPr>
      </w:pPr>
      <w:r w:rsidRPr="00F60A3D">
        <w:rPr>
          <w:lang w:val="fr-FR"/>
        </w:rPr>
        <w:tab/>
      </w:r>
      <w:r w:rsidRPr="00F60A3D">
        <w:rPr>
          <w:rStyle w:val="FootnoteReference"/>
          <w:lang w:val="fr-FR"/>
        </w:rPr>
        <w:footnoteRef/>
      </w:r>
      <w:r w:rsidRPr="00F60A3D">
        <w:rPr>
          <w:lang w:val="fr-FR"/>
        </w:rPr>
        <w:tab/>
      </w:r>
      <w:r w:rsidRPr="00F60A3D">
        <w:rPr>
          <w:spacing w:val="-2"/>
          <w:lang w:val="fr-FR"/>
        </w:rPr>
        <w:t>https://www.giustizia.it/giustizia/it/mg_1_14_1.wp?previsiousPage=mg_1_14&amp;contentId=SST1225336</w:t>
      </w:r>
      <w:r w:rsidR="00333E69" w:rsidRPr="00F60A3D">
        <w:rPr>
          <w:spacing w:val="-2"/>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A4" w:rsidRPr="00BE2F38" w:rsidRDefault="008301A4" w:rsidP="002E68D7">
    <w:pPr>
      <w:pStyle w:val="Header"/>
    </w:pPr>
    <w:r>
      <w:t>HRI/CORE/ITA/2016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A4" w:rsidRPr="00BE2F38" w:rsidRDefault="008301A4" w:rsidP="00BE2F38">
    <w:pPr>
      <w:pStyle w:val="Header"/>
      <w:jc w:val="right"/>
    </w:pPr>
    <w:r>
      <w:t>HRI/CORE/ITA/2016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0791A"/>
    <w:multiLevelType w:val="hybridMultilevel"/>
    <w:tmpl w:val="9E98D7F8"/>
    <w:lvl w:ilvl="0" w:tplc="03B6B61A">
      <w:start w:val="1"/>
      <w:numFmt w:val="bullet"/>
      <w:pStyle w:val="ParaNo"/>
      <w:lvlText w:val="-"/>
      <w:lvlJc w:val="left"/>
      <w:pPr>
        <w:ind w:left="1440" w:hanging="72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F2036B"/>
    <w:multiLevelType w:val="hybridMultilevel"/>
    <w:tmpl w:val="AB1AA7BA"/>
    <w:lvl w:ilvl="0" w:tplc="399EBD84">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3F49C6"/>
    <w:multiLevelType w:val="singleLevel"/>
    <w:tmpl w:val="62BC65BC"/>
    <w:lvl w:ilvl="0">
      <w:start w:val="1"/>
      <w:numFmt w:val="lowerRoman"/>
      <w:pStyle w:val="Rom2"/>
      <w:lvlText w:val="(%1)"/>
      <w:lvlJc w:val="right"/>
      <w:pPr>
        <w:tabs>
          <w:tab w:val="num" w:pos="2160"/>
        </w:tabs>
        <w:ind w:left="2160" w:hanging="516"/>
      </w:pPr>
    </w:lvl>
  </w:abstractNum>
  <w:abstractNum w:abstractNumId="16">
    <w:nsid w:val="2CF43868"/>
    <w:multiLevelType w:val="hybridMultilevel"/>
    <w:tmpl w:val="91BEC0B2"/>
    <w:lvl w:ilvl="0" w:tplc="B8B8F756">
      <w:start w:val="4"/>
      <w:numFmt w:val="lowerRoman"/>
      <w:lvlText w:val="(%1)"/>
      <w:lvlJc w:val="left"/>
      <w:pPr>
        <w:tabs>
          <w:tab w:val="num" w:pos="1701"/>
        </w:tabs>
        <w:ind w:left="1701" w:hanging="170"/>
      </w:pPr>
      <w:rPr>
        <w:rFont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6D54EFF"/>
    <w:multiLevelType w:val="hybridMultilevel"/>
    <w:tmpl w:val="2D347450"/>
    <w:lvl w:ilvl="0" w:tplc="E6D0423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nsid w:val="3ACF4EB2"/>
    <w:multiLevelType w:val="hybridMultilevel"/>
    <w:tmpl w:val="3F2CCC0E"/>
    <w:lvl w:ilvl="0" w:tplc="B994F082">
      <w:start w:val="1"/>
      <w:numFmt w:val="bullet"/>
      <w:lvlText w:val="•"/>
      <w:lvlJc w:val="left"/>
      <w:pPr>
        <w:tabs>
          <w:tab w:val="num" w:pos="2268"/>
        </w:tabs>
        <w:ind w:left="2268" w:hanging="170"/>
      </w:pPr>
      <w:rPr>
        <w:rFonts w:ascii="Times New Roman" w:hAnsi="Times New Roman" w:cs="Times New Roman" w:hint="default"/>
      </w:rPr>
    </w:lvl>
    <w:lvl w:ilvl="1" w:tplc="70CCC85E" w:tentative="1">
      <w:start w:val="1"/>
      <w:numFmt w:val="bullet"/>
      <w:lvlText w:val="o"/>
      <w:lvlJc w:val="left"/>
      <w:pPr>
        <w:tabs>
          <w:tab w:val="num" w:pos="3708"/>
        </w:tabs>
        <w:ind w:left="3708" w:hanging="360"/>
      </w:pPr>
      <w:rPr>
        <w:rFonts w:ascii="Courier New" w:hAnsi="Courier New" w:hint="default"/>
      </w:rPr>
    </w:lvl>
    <w:lvl w:ilvl="2" w:tplc="7172855C" w:tentative="1">
      <w:start w:val="1"/>
      <w:numFmt w:val="bullet"/>
      <w:lvlText w:val=""/>
      <w:lvlJc w:val="left"/>
      <w:pPr>
        <w:tabs>
          <w:tab w:val="num" w:pos="4428"/>
        </w:tabs>
        <w:ind w:left="4428" w:hanging="360"/>
      </w:pPr>
      <w:rPr>
        <w:rFonts w:ascii="Wingdings" w:hAnsi="Wingdings" w:hint="default"/>
      </w:rPr>
    </w:lvl>
    <w:lvl w:ilvl="3" w:tplc="82B49172" w:tentative="1">
      <w:start w:val="1"/>
      <w:numFmt w:val="bullet"/>
      <w:lvlText w:val=""/>
      <w:lvlJc w:val="left"/>
      <w:pPr>
        <w:tabs>
          <w:tab w:val="num" w:pos="5148"/>
        </w:tabs>
        <w:ind w:left="5148" w:hanging="360"/>
      </w:pPr>
      <w:rPr>
        <w:rFonts w:ascii="Symbol" w:hAnsi="Symbol" w:hint="default"/>
      </w:rPr>
    </w:lvl>
    <w:lvl w:ilvl="4" w:tplc="6D34F9B6" w:tentative="1">
      <w:start w:val="1"/>
      <w:numFmt w:val="bullet"/>
      <w:lvlText w:val="o"/>
      <w:lvlJc w:val="left"/>
      <w:pPr>
        <w:tabs>
          <w:tab w:val="num" w:pos="5868"/>
        </w:tabs>
        <w:ind w:left="5868" w:hanging="360"/>
      </w:pPr>
      <w:rPr>
        <w:rFonts w:ascii="Courier New" w:hAnsi="Courier New" w:hint="default"/>
      </w:rPr>
    </w:lvl>
    <w:lvl w:ilvl="5" w:tplc="6D62B27C" w:tentative="1">
      <w:start w:val="1"/>
      <w:numFmt w:val="bullet"/>
      <w:lvlText w:val=""/>
      <w:lvlJc w:val="left"/>
      <w:pPr>
        <w:tabs>
          <w:tab w:val="num" w:pos="6588"/>
        </w:tabs>
        <w:ind w:left="6588" w:hanging="360"/>
      </w:pPr>
      <w:rPr>
        <w:rFonts w:ascii="Wingdings" w:hAnsi="Wingdings" w:hint="default"/>
      </w:rPr>
    </w:lvl>
    <w:lvl w:ilvl="6" w:tplc="EE4ECEC4" w:tentative="1">
      <w:start w:val="1"/>
      <w:numFmt w:val="bullet"/>
      <w:lvlText w:val=""/>
      <w:lvlJc w:val="left"/>
      <w:pPr>
        <w:tabs>
          <w:tab w:val="num" w:pos="7308"/>
        </w:tabs>
        <w:ind w:left="7308" w:hanging="360"/>
      </w:pPr>
      <w:rPr>
        <w:rFonts w:ascii="Symbol" w:hAnsi="Symbol" w:hint="default"/>
      </w:rPr>
    </w:lvl>
    <w:lvl w:ilvl="7" w:tplc="D90C31E8" w:tentative="1">
      <w:start w:val="1"/>
      <w:numFmt w:val="bullet"/>
      <w:lvlText w:val="o"/>
      <w:lvlJc w:val="left"/>
      <w:pPr>
        <w:tabs>
          <w:tab w:val="num" w:pos="8028"/>
        </w:tabs>
        <w:ind w:left="8028" w:hanging="360"/>
      </w:pPr>
      <w:rPr>
        <w:rFonts w:ascii="Courier New" w:hAnsi="Courier New" w:hint="default"/>
      </w:rPr>
    </w:lvl>
    <w:lvl w:ilvl="8" w:tplc="DC3EECCA" w:tentative="1">
      <w:start w:val="1"/>
      <w:numFmt w:val="bullet"/>
      <w:lvlText w:val=""/>
      <w:lvlJc w:val="left"/>
      <w:pPr>
        <w:tabs>
          <w:tab w:val="num" w:pos="8748"/>
        </w:tabs>
        <w:ind w:left="8748" w:hanging="360"/>
      </w:pPr>
      <w:rPr>
        <w:rFonts w:ascii="Wingdings" w:hAnsi="Wingdings" w:hint="default"/>
      </w:rPr>
    </w:lvl>
  </w:abstractNum>
  <w:abstractNum w:abstractNumId="19">
    <w:nsid w:val="3ECC4E66"/>
    <w:multiLevelType w:val="hybridMultilevel"/>
    <w:tmpl w:val="887440B8"/>
    <w:lvl w:ilvl="0" w:tplc="94842BF4">
      <w:start w:val="57"/>
      <w:numFmt w:val="bullet"/>
      <w:lvlText w:val="-"/>
      <w:lvlJc w:val="left"/>
      <w:pPr>
        <w:ind w:left="1080" w:hanging="360"/>
      </w:pPr>
      <w:rPr>
        <w:rFonts w:ascii="Times New Roman" w:eastAsia="MS Mincho" w:hAnsi="Times New Roman"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42626922"/>
    <w:multiLevelType w:val="hybridMultilevel"/>
    <w:tmpl w:val="13CAA112"/>
    <w:lvl w:ilvl="0" w:tplc="218C47DA">
      <w:start w:val="1"/>
      <w:numFmt w:val="lowerRoman"/>
      <w:lvlText w:val="(%1)"/>
      <w:lvlJc w:val="left"/>
      <w:pPr>
        <w:tabs>
          <w:tab w:val="num" w:pos="1701"/>
        </w:tabs>
        <w:ind w:left="1701" w:hanging="17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85C3F2E"/>
    <w:multiLevelType w:val="hybridMultilevel"/>
    <w:tmpl w:val="0F8CEB1A"/>
    <w:lvl w:ilvl="0" w:tplc="218C47DA">
      <w:start w:val="1"/>
      <w:numFmt w:val="lowerRoman"/>
      <w:lvlText w:val="(%1)"/>
      <w:lvlJc w:val="left"/>
      <w:pPr>
        <w:tabs>
          <w:tab w:val="num" w:pos="1701"/>
        </w:tabs>
        <w:ind w:left="1701" w:hanging="17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3D677C2"/>
    <w:multiLevelType w:val="hybridMultilevel"/>
    <w:tmpl w:val="05DAB674"/>
    <w:lvl w:ilvl="0" w:tplc="0809000F">
      <w:start w:val="1"/>
      <w:numFmt w:val="decimal"/>
      <w:lvlText w:val="%1."/>
      <w:lvlJc w:val="left"/>
      <w:pPr>
        <w:ind w:left="1854" w:hanging="360"/>
      </w:pPr>
    </w:lvl>
    <w:lvl w:ilvl="1" w:tplc="F44A6C24">
      <w:start w:val="13"/>
      <w:numFmt w:val="bullet"/>
      <w:lvlText w:val="-"/>
      <w:lvlJc w:val="left"/>
      <w:pPr>
        <w:ind w:left="2769" w:hanging="555"/>
      </w:pPr>
      <w:rPr>
        <w:rFonts w:ascii="Times New Roman" w:eastAsia="Times New Roman" w:hAnsi="Times New Roman" w:cs="Times New Roman"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70D2666"/>
    <w:multiLevelType w:val="hybridMultilevel"/>
    <w:tmpl w:val="7C9868E2"/>
    <w:lvl w:ilvl="0" w:tplc="B65C55DE">
      <w:start w:val="110"/>
      <w:numFmt w:val="decimal"/>
      <w:lvlText w:val="%1."/>
      <w:lvlJc w:val="left"/>
      <w:pPr>
        <w:ind w:left="2458" w:hanging="360"/>
      </w:pPr>
      <w:rPr>
        <w:rFonts w:hint="default"/>
      </w:rPr>
    </w:lvl>
    <w:lvl w:ilvl="1" w:tplc="040C0019" w:tentative="1">
      <w:start w:val="1"/>
      <w:numFmt w:val="lowerLetter"/>
      <w:lvlText w:val="%2."/>
      <w:lvlJc w:val="left"/>
      <w:pPr>
        <w:ind w:left="3178" w:hanging="360"/>
      </w:pPr>
    </w:lvl>
    <w:lvl w:ilvl="2" w:tplc="040C001B" w:tentative="1">
      <w:start w:val="1"/>
      <w:numFmt w:val="lowerRoman"/>
      <w:lvlText w:val="%3."/>
      <w:lvlJc w:val="right"/>
      <w:pPr>
        <w:ind w:left="3898" w:hanging="180"/>
      </w:pPr>
    </w:lvl>
    <w:lvl w:ilvl="3" w:tplc="040C000F" w:tentative="1">
      <w:start w:val="1"/>
      <w:numFmt w:val="decimal"/>
      <w:lvlText w:val="%4."/>
      <w:lvlJc w:val="left"/>
      <w:pPr>
        <w:ind w:left="4618" w:hanging="360"/>
      </w:pPr>
    </w:lvl>
    <w:lvl w:ilvl="4" w:tplc="040C0019" w:tentative="1">
      <w:start w:val="1"/>
      <w:numFmt w:val="lowerLetter"/>
      <w:lvlText w:val="%5."/>
      <w:lvlJc w:val="left"/>
      <w:pPr>
        <w:ind w:left="5338" w:hanging="360"/>
      </w:pPr>
    </w:lvl>
    <w:lvl w:ilvl="5" w:tplc="040C001B" w:tentative="1">
      <w:start w:val="1"/>
      <w:numFmt w:val="lowerRoman"/>
      <w:lvlText w:val="%6."/>
      <w:lvlJc w:val="right"/>
      <w:pPr>
        <w:ind w:left="6058" w:hanging="180"/>
      </w:pPr>
    </w:lvl>
    <w:lvl w:ilvl="6" w:tplc="040C000F" w:tentative="1">
      <w:start w:val="1"/>
      <w:numFmt w:val="decimal"/>
      <w:lvlText w:val="%7."/>
      <w:lvlJc w:val="left"/>
      <w:pPr>
        <w:ind w:left="6778" w:hanging="360"/>
      </w:pPr>
    </w:lvl>
    <w:lvl w:ilvl="7" w:tplc="040C0019" w:tentative="1">
      <w:start w:val="1"/>
      <w:numFmt w:val="lowerLetter"/>
      <w:lvlText w:val="%8."/>
      <w:lvlJc w:val="left"/>
      <w:pPr>
        <w:ind w:left="7498" w:hanging="360"/>
      </w:pPr>
    </w:lvl>
    <w:lvl w:ilvl="8" w:tplc="040C001B" w:tentative="1">
      <w:start w:val="1"/>
      <w:numFmt w:val="lowerRoman"/>
      <w:lvlText w:val="%9."/>
      <w:lvlJc w:val="right"/>
      <w:pPr>
        <w:ind w:left="8218" w:hanging="180"/>
      </w:pPr>
    </w:lvl>
  </w:abstractNum>
  <w:abstractNum w:abstractNumId="25">
    <w:nsid w:val="68862366"/>
    <w:multiLevelType w:val="hybridMultilevel"/>
    <w:tmpl w:val="BAD4DBBA"/>
    <w:lvl w:ilvl="0" w:tplc="02781E8E">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B631634"/>
    <w:multiLevelType w:val="hybridMultilevel"/>
    <w:tmpl w:val="F6ACD320"/>
    <w:lvl w:ilvl="0" w:tplc="E602A21E">
      <w:start w:val="140"/>
      <w:numFmt w:val="decimal"/>
      <w:lvlText w:val="%1."/>
      <w:lvlJc w:val="left"/>
      <w:pPr>
        <w:ind w:left="1891" w:hanging="360"/>
      </w:pPr>
      <w:rPr>
        <w:rFonts w:hint="default"/>
        <w:b w:val="0"/>
      </w:rPr>
    </w:lvl>
    <w:lvl w:ilvl="1" w:tplc="040C0019" w:tentative="1">
      <w:start w:val="1"/>
      <w:numFmt w:val="lowerLetter"/>
      <w:lvlText w:val="%2."/>
      <w:lvlJc w:val="left"/>
      <w:pPr>
        <w:ind w:left="2611" w:hanging="360"/>
      </w:pPr>
    </w:lvl>
    <w:lvl w:ilvl="2" w:tplc="040C001B" w:tentative="1">
      <w:start w:val="1"/>
      <w:numFmt w:val="lowerRoman"/>
      <w:lvlText w:val="%3."/>
      <w:lvlJc w:val="right"/>
      <w:pPr>
        <w:ind w:left="3331" w:hanging="180"/>
      </w:pPr>
    </w:lvl>
    <w:lvl w:ilvl="3" w:tplc="040C000F" w:tentative="1">
      <w:start w:val="1"/>
      <w:numFmt w:val="decimal"/>
      <w:lvlText w:val="%4."/>
      <w:lvlJc w:val="left"/>
      <w:pPr>
        <w:ind w:left="4051" w:hanging="360"/>
      </w:pPr>
    </w:lvl>
    <w:lvl w:ilvl="4" w:tplc="040C0019" w:tentative="1">
      <w:start w:val="1"/>
      <w:numFmt w:val="lowerLetter"/>
      <w:lvlText w:val="%5."/>
      <w:lvlJc w:val="left"/>
      <w:pPr>
        <w:ind w:left="4771" w:hanging="360"/>
      </w:pPr>
    </w:lvl>
    <w:lvl w:ilvl="5" w:tplc="040C001B" w:tentative="1">
      <w:start w:val="1"/>
      <w:numFmt w:val="lowerRoman"/>
      <w:lvlText w:val="%6."/>
      <w:lvlJc w:val="right"/>
      <w:pPr>
        <w:ind w:left="5491" w:hanging="180"/>
      </w:pPr>
    </w:lvl>
    <w:lvl w:ilvl="6" w:tplc="040C000F" w:tentative="1">
      <w:start w:val="1"/>
      <w:numFmt w:val="decimal"/>
      <w:lvlText w:val="%7."/>
      <w:lvlJc w:val="left"/>
      <w:pPr>
        <w:ind w:left="6211" w:hanging="360"/>
      </w:pPr>
    </w:lvl>
    <w:lvl w:ilvl="7" w:tplc="040C0019" w:tentative="1">
      <w:start w:val="1"/>
      <w:numFmt w:val="lowerLetter"/>
      <w:lvlText w:val="%8."/>
      <w:lvlJc w:val="left"/>
      <w:pPr>
        <w:ind w:left="6931" w:hanging="360"/>
      </w:pPr>
    </w:lvl>
    <w:lvl w:ilvl="8" w:tplc="040C001B" w:tentative="1">
      <w:start w:val="1"/>
      <w:numFmt w:val="lowerRoman"/>
      <w:lvlText w:val="%9."/>
      <w:lvlJc w:val="right"/>
      <w:pPr>
        <w:ind w:left="7651" w:hanging="180"/>
      </w:pPr>
    </w:lvl>
  </w:abstractNum>
  <w:abstractNum w:abstractNumId="27">
    <w:nsid w:val="72FC7587"/>
    <w:multiLevelType w:val="hybridMultilevel"/>
    <w:tmpl w:val="8658416A"/>
    <w:lvl w:ilvl="0" w:tplc="FF1EE234">
      <w:start w:val="1"/>
      <w:numFmt w:val="bullet"/>
      <w:lvlText w:val="•"/>
      <w:lvlJc w:val="left"/>
      <w:pPr>
        <w:ind w:left="1704" w:hanging="1344"/>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D3292F"/>
    <w:multiLevelType w:val="hybridMultilevel"/>
    <w:tmpl w:val="772C5B04"/>
    <w:lvl w:ilvl="0" w:tplc="218C47DA">
      <w:start w:val="1"/>
      <w:numFmt w:val="lowerRoman"/>
      <w:lvlText w:val="(%1)"/>
      <w:lvlJc w:val="left"/>
      <w:pPr>
        <w:tabs>
          <w:tab w:val="num" w:pos="1701"/>
        </w:tabs>
        <w:ind w:left="1701" w:hanging="17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4"/>
  </w:num>
  <w:num w:numId="13">
    <w:abstractNumId w:val="13"/>
  </w:num>
  <w:num w:numId="14">
    <w:abstractNumId w:val="18"/>
  </w:num>
  <w:num w:numId="15">
    <w:abstractNumId w:val="11"/>
  </w:num>
  <w:num w:numId="16">
    <w:abstractNumId w:val="15"/>
  </w:num>
  <w:num w:numId="17">
    <w:abstractNumId w:val="12"/>
  </w:num>
  <w:num w:numId="18">
    <w:abstractNumId w:val="22"/>
  </w:num>
  <w:num w:numId="19">
    <w:abstractNumId w:val="10"/>
  </w:num>
  <w:num w:numId="20">
    <w:abstractNumId w:val="19"/>
  </w:num>
  <w:num w:numId="21">
    <w:abstractNumId w:val="21"/>
  </w:num>
  <w:num w:numId="22">
    <w:abstractNumId w:val="28"/>
  </w:num>
  <w:num w:numId="23">
    <w:abstractNumId w:val="16"/>
  </w:num>
  <w:num w:numId="24">
    <w:abstractNumId w:val="20"/>
  </w:num>
  <w:num w:numId="25">
    <w:abstractNumId w:val="12"/>
  </w:num>
  <w:num w:numId="26">
    <w:abstractNumId w:val="12"/>
  </w:num>
  <w:num w:numId="27">
    <w:abstractNumId w:val="12"/>
  </w:num>
  <w:num w:numId="28">
    <w:abstractNumId w:val="12"/>
  </w:num>
  <w:num w:numId="29">
    <w:abstractNumId w:val="12"/>
  </w:num>
  <w:num w:numId="30">
    <w:abstractNumId w:val="17"/>
  </w:num>
  <w:num w:numId="31">
    <w:abstractNumId w:val="24"/>
  </w:num>
  <w:num w:numId="32">
    <w:abstractNumId w:val="26"/>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25"/>
  </w:num>
  <w:num w:numId="41">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en-CA" w:vendorID="64" w:dllVersion="131078" w:nlCheck="1" w:checkStyle="0"/>
  <w:activeWritingStyle w:appName="MSWord" w:lang="fr-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2"/>
  </w:compat>
  <w:rsids>
    <w:rsidRoot w:val="00BE2F38"/>
    <w:rsid w:val="00000C22"/>
    <w:rsid w:val="0000114D"/>
    <w:rsid w:val="00001F07"/>
    <w:rsid w:val="00002323"/>
    <w:rsid w:val="000024AD"/>
    <w:rsid w:val="0000286A"/>
    <w:rsid w:val="0000338A"/>
    <w:rsid w:val="000038A8"/>
    <w:rsid w:val="00003BE3"/>
    <w:rsid w:val="0000506C"/>
    <w:rsid w:val="000059AA"/>
    <w:rsid w:val="00006075"/>
    <w:rsid w:val="00006790"/>
    <w:rsid w:val="00006F69"/>
    <w:rsid w:val="000104DD"/>
    <w:rsid w:val="00011B3C"/>
    <w:rsid w:val="00013A97"/>
    <w:rsid w:val="00013AA2"/>
    <w:rsid w:val="00014300"/>
    <w:rsid w:val="00014C34"/>
    <w:rsid w:val="000150DB"/>
    <w:rsid w:val="000154ED"/>
    <w:rsid w:val="0002109B"/>
    <w:rsid w:val="000222F7"/>
    <w:rsid w:val="00022C62"/>
    <w:rsid w:val="00023014"/>
    <w:rsid w:val="00023572"/>
    <w:rsid w:val="00023D0C"/>
    <w:rsid w:val="00025313"/>
    <w:rsid w:val="000255BB"/>
    <w:rsid w:val="000263BE"/>
    <w:rsid w:val="000270BE"/>
    <w:rsid w:val="00027624"/>
    <w:rsid w:val="00027756"/>
    <w:rsid w:val="00027B54"/>
    <w:rsid w:val="000331C5"/>
    <w:rsid w:val="00033A7A"/>
    <w:rsid w:val="00033E31"/>
    <w:rsid w:val="000401F7"/>
    <w:rsid w:val="00040D9B"/>
    <w:rsid w:val="00041283"/>
    <w:rsid w:val="00041547"/>
    <w:rsid w:val="00041C94"/>
    <w:rsid w:val="00041F6F"/>
    <w:rsid w:val="00042654"/>
    <w:rsid w:val="00043672"/>
    <w:rsid w:val="0004395D"/>
    <w:rsid w:val="000462B0"/>
    <w:rsid w:val="0005037B"/>
    <w:rsid w:val="00050654"/>
    <w:rsid w:val="00050B79"/>
    <w:rsid w:val="00050CC9"/>
    <w:rsid w:val="00050F6B"/>
    <w:rsid w:val="00052353"/>
    <w:rsid w:val="000530AE"/>
    <w:rsid w:val="000536B1"/>
    <w:rsid w:val="00053A80"/>
    <w:rsid w:val="0005499D"/>
    <w:rsid w:val="00055227"/>
    <w:rsid w:val="00055518"/>
    <w:rsid w:val="00055D92"/>
    <w:rsid w:val="0005728A"/>
    <w:rsid w:val="000574EC"/>
    <w:rsid w:val="00060866"/>
    <w:rsid w:val="00060D3D"/>
    <w:rsid w:val="0006188C"/>
    <w:rsid w:val="00061F70"/>
    <w:rsid w:val="00063446"/>
    <w:rsid w:val="0006380B"/>
    <w:rsid w:val="00064676"/>
    <w:rsid w:val="00064A73"/>
    <w:rsid w:val="00064E11"/>
    <w:rsid w:val="00065078"/>
    <w:rsid w:val="000655E1"/>
    <w:rsid w:val="00065633"/>
    <w:rsid w:val="00065CB2"/>
    <w:rsid w:val="00066B53"/>
    <w:rsid w:val="00066C0E"/>
    <w:rsid w:val="00070036"/>
    <w:rsid w:val="00071583"/>
    <w:rsid w:val="00071C73"/>
    <w:rsid w:val="00072460"/>
    <w:rsid w:val="000725BD"/>
    <w:rsid w:val="00072C8C"/>
    <w:rsid w:val="000737FB"/>
    <w:rsid w:val="00073D59"/>
    <w:rsid w:val="0007430D"/>
    <w:rsid w:val="00074DDA"/>
    <w:rsid w:val="000760DB"/>
    <w:rsid w:val="000761A8"/>
    <w:rsid w:val="0007728D"/>
    <w:rsid w:val="0007768D"/>
    <w:rsid w:val="00081CE0"/>
    <w:rsid w:val="00082772"/>
    <w:rsid w:val="00082943"/>
    <w:rsid w:val="00083152"/>
    <w:rsid w:val="0008373A"/>
    <w:rsid w:val="00083EB0"/>
    <w:rsid w:val="000840FC"/>
    <w:rsid w:val="00084D30"/>
    <w:rsid w:val="000858FC"/>
    <w:rsid w:val="00091419"/>
    <w:rsid w:val="00091DC5"/>
    <w:rsid w:val="00092638"/>
    <w:rsid w:val="00092A34"/>
    <w:rsid w:val="000931C0"/>
    <w:rsid w:val="0009454C"/>
    <w:rsid w:val="00094C59"/>
    <w:rsid w:val="00095E8D"/>
    <w:rsid w:val="00096E30"/>
    <w:rsid w:val="000972EA"/>
    <w:rsid w:val="00097300"/>
    <w:rsid w:val="000978BE"/>
    <w:rsid w:val="000978D1"/>
    <w:rsid w:val="00097A05"/>
    <w:rsid w:val="000A0D17"/>
    <w:rsid w:val="000A1092"/>
    <w:rsid w:val="000A289E"/>
    <w:rsid w:val="000A2E09"/>
    <w:rsid w:val="000A636F"/>
    <w:rsid w:val="000A63BA"/>
    <w:rsid w:val="000A6586"/>
    <w:rsid w:val="000A70D3"/>
    <w:rsid w:val="000A7C29"/>
    <w:rsid w:val="000B1370"/>
    <w:rsid w:val="000B175B"/>
    <w:rsid w:val="000B246D"/>
    <w:rsid w:val="000B3A0F"/>
    <w:rsid w:val="000B3BB1"/>
    <w:rsid w:val="000B4530"/>
    <w:rsid w:val="000B4582"/>
    <w:rsid w:val="000B563A"/>
    <w:rsid w:val="000B6C38"/>
    <w:rsid w:val="000B746E"/>
    <w:rsid w:val="000B78D1"/>
    <w:rsid w:val="000B7DB9"/>
    <w:rsid w:val="000C11CF"/>
    <w:rsid w:val="000C13BC"/>
    <w:rsid w:val="000C1655"/>
    <w:rsid w:val="000C33A6"/>
    <w:rsid w:val="000C3CE1"/>
    <w:rsid w:val="000C5B7C"/>
    <w:rsid w:val="000C5F70"/>
    <w:rsid w:val="000D0C07"/>
    <w:rsid w:val="000D0F0A"/>
    <w:rsid w:val="000D31FA"/>
    <w:rsid w:val="000D540F"/>
    <w:rsid w:val="000D5519"/>
    <w:rsid w:val="000D6007"/>
    <w:rsid w:val="000D6171"/>
    <w:rsid w:val="000D6E7E"/>
    <w:rsid w:val="000D7863"/>
    <w:rsid w:val="000E020E"/>
    <w:rsid w:val="000E0415"/>
    <w:rsid w:val="000E1A9B"/>
    <w:rsid w:val="000E2EC1"/>
    <w:rsid w:val="000E382E"/>
    <w:rsid w:val="000E4072"/>
    <w:rsid w:val="000E525F"/>
    <w:rsid w:val="000E66B9"/>
    <w:rsid w:val="000E6D8C"/>
    <w:rsid w:val="000E772C"/>
    <w:rsid w:val="000F02D6"/>
    <w:rsid w:val="000F0F5D"/>
    <w:rsid w:val="000F14A3"/>
    <w:rsid w:val="000F1DD4"/>
    <w:rsid w:val="000F2449"/>
    <w:rsid w:val="000F3D3D"/>
    <w:rsid w:val="000F4EF1"/>
    <w:rsid w:val="000F64EF"/>
    <w:rsid w:val="000F659E"/>
    <w:rsid w:val="000F6BE2"/>
    <w:rsid w:val="000F75BF"/>
    <w:rsid w:val="000F7715"/>
    <w:rsid w:val="001012A3"/>
    <w:rsid w:val="0010140C"/>
    <w:rsid w:val="001018D4"/>
    <w:rsid w:val="00102E1D"/>
    <w:rsid w:val="00102E6A"/>
    <w:rsid w:val="00104262"/>
    <w:rsid w:val="00106A34"/>
    <w:rsid w:val="001103F8"/>
    <w:rsid w:val="00112B8C"/>
    <w:rsid w:val="0011303D"/>
    <w:rsid w:val="00113584"/>
    <w:rsid w:val="00114160"/>
    <w:rsid w:val="001153AA"/>
    <w:rsid w:val="00115455"/>
    <w:rsid w:val="001171C4"/>
    <w:rsid w:val="001211D9"/>
    <w:rsid w:val="00121DE8"/>
    <w:rsid w:val="001222B8"/>
    <w:rsid w:val="00122BE4"/>
    <w:rsid w:val="00122EF1"/>
    <w:rsid w:val="00123334"/>
    <w:rsid w:val="0012389B"/>
    <w:rsid w:val="0012421D"/>
    <w:rsid w:val="00124E60"/>
    <w:rsid w:val="0012564B"/>
    <w:rsid w:val="00126668"/>
    <w:rsid w:val="00126F0C"/>
    <w:rsid w:val="00127067"/>
    <w:rsid w:val="00127775"/>
    <w:rsid w:val="00127B5A"/>
    <w:rsid w:val="001303B2"/>
    <w:rsid w:val="00131114"/>
    <w:rsid w:val="001313C8"/>
    <w:rsid w:val="001349C4"/>
    <w:rsid w:val="0013576C"/>
    <w:rsid w:val="0013676A"/>
    <w:rsid w:val="00136ABA"/>
    <w:rsid w:val="0014019B"/>
    <w:rsid w:val="00140FCA"/>
    <w:rsid w:val="0014195E"/>
    <w:rsid w:val="00141AE2"/>
    <w:rsid w:val="00142FB7"/>
    <w:rsid w:val="001430D5"/>
    <w:rsid w:val="00143925"/>
    <w:rsid w:val="0014579A"/>
    <w:rsid w:val="0014582A"/>
    <w:rsid w:val="001459C8"/>
    <w:rsid w:val="00146CDE"/>
    <w:rsid w:val="00147163"/>
    <w:rsid w:val="00147500"/>
    <w:rsid w:val="00147F7C"/>
    <w:rsid w:val="0015294E"/>
    <w:rsid w:val="00152B78"/>
    <w:rsid w:val="001539AF"/>
    <w:rsid w:val="001539E0"/>
    <w:rsid w:val="00153FA0"/>
    <w:rsid w:val="001564CA"/>
    <w:rsid w:val="00156B99"/>
    <w:rsid w:val="0016117E"/>
    <w:rsid w:val="0016441D"/>
    <w:rsid w:val="0016551E"/>
    <w:rsid w:val="00166124"/>
    <w:rsid w:val="00170179"/>
    <w:rsid w:val="00170441"/>
    <w:rsid w:val="00171542"/>
    <w:rsid w:val="00171E78"/>
    <w:rsid w:val="001725C6"/>
    <w:rsid w:val="00172C6A"/>
    <w:rsid w:val="00172EF0"/>
    <w:rsid w:val="00173860"/>
    <w:rsid w:val="00173DD0"/>
    <w:rsid w:val="001740BC"/>
    <w:rsid w:val="00174A51"/>
    <w:rsid w:val="00175533"/>
    <w:rsid w:val="001762C1"/>
    <w:rsid w:val="0017682F"/>
    <w:rsid w:val="00176CE5"/>
    <w:rsid w:val="00176F6A"/>
    <w:rsid w:val="00177508"/>
    <w:rsid w:val="001776D1"/>
    <w:rsid w:val="00177B85"/>
    <w:rsid w:val="001806AE"/>
    <w:rsid w:val="001807AE"/>
    <w:rsid w:val="00180A38"/>
    <w:rsid w:val="00181598"/>
    <w:rsid w:val="00181D04"/>
    <w:rsid w:val="00181FD3"/>
    <w:rsid w:val="001825B4"/>
    <w:rsid w:val="001830C6"/>
    <w:rsid w:val="00183490"/>
    <w:rsid w:val="0018379D"/>
    <w:rsid w:val="00184957"/>
    <w:rsid w:val="00184B7A"/>
    <w:rsid w:val="00184DDA"/>
    <w:rsid w:val="00184E7A"/>
    <w:rsid w:val="00184F9B"/>
    <w:rsid w:val="0018578B"/>
    <w:rsid w:val="00185A35"/>
    <w:rsid w:val="00186E47"/>
    <w:rsid w:val="001870FA"/>
    <w:rsid w:val="001900CD"/>
    <w:rsid w:val="001913B9"/>
    <w:rsid w:val="001936C9"/>
    <w:rsid w:val="00195E41"/>
    <w:rsid w:val="0019609F"/>
    <w:rsid w:val="001968A3"/>
    <w:rsid w:val="00196A58"/>
    <w:rsid w:val="00196D3B"/>
    <w:rsid w:val="001A02A2"/>
    <w:rsid w:val="001A121C"/>
    <w:rsid w:val="001A191E"/>
    <w:rsid w:val="001A2877"/>
    <w:rsid w:val="001A2C7C"/>
    <w:rsid w:val="001A2D41"/>
    <w:rsid w:val="001A3075"/>
    <w:rsid w:val="001A3305"/>
    <w:rsid w:val="001A36F9"/>
    <w:rsid w:val="001A423E"/>
    <w:rsid w:val="001A53DD"/>
    <w:rsid w:val="001A7CEE"/>
    <w:rsid w:val="001B325C"/>
    <w:rsid w:val="001B38ED"/>
    <w:rsid w:val="001B3F5F"/>
    <w:rsid w:val="001B4235"/>
    <w:rsid w:val="001B4B04"/>
    <w:rsid w:val="001B6FF0"/>
    <w:rsid w:val="001B7109"/>
    <w:rsid w:val="001B7460"/>
    <w:rsid w:val="001C1101"/>
    <w:rsid w:val="001C1175"/>
    <w:rsid w:val="001C1E3B"/>
    <w:rsid w:val="001C1EA3"/>
    <w:rsid w:val="001C2286"/>
    <w:rsid w:val="001C259C"/>
    <w:rsid w:val="001C2E46"/>
    <w:rsid w:val="001C2E97"/>
    <w:rsid w:val="001C4705"/>
    <w:rsid w:val="001C48E4"/>
    <w:rsid w:val="001C4D72"/>
    <w:rsid w:val="001C527F"/>
    <w:rsid w:val="001C5A66"/>
    <w:rsid w:val="001C6115"/>
    <w:rsid w:val="001C64DE"/>
    <w:rsid w:val="001C6663"/>
    <w:rsid w:val="001C6DE7"/>
    <w:rsid w:val="001C723B"/>
    <w:rsid w:val="001C785C"/>
    <w:rsid w:val="001C7895"/>
    <w:rsid w:val="001D144B"/>
    <w:rsid w:val="001D26DF"/>
    <w:rsid w:val="001D2903"/>
    <w:rsid w:val="001D2B2E"/>
    <w:rsid w:val="001D2CCC"/>
    <w:rsid w:val="001D2FDC"/>
    <w:rsid w:val="001D56F9"/>
    <w:rsid w:val="001D57C5"/>
    <w:rsid w:val="001D5817"/>
    <w:rsid w:val="001D5AA5"/>
    <w:rsid w:val="001D5E47"/>
    <w:rsid w:val="001D5E48"/>
    <w:rsid w:val="001D63FF"/>
    <w:rsid w:val="001D67F5"/>
    <w:rsid w:val="001D6ECA"/>
    <w:rsid w:val="001D7157"/>
    <w:rsid w:val="001D7E4B"/>
    <w:rsid w:val="001E13AA"/>
    <w:rsid w:val="001E1CF9"/>
    <w:rsid w:val="001E2122"/>
    <w:rsid w:val="001E36E0"/>
    <w:rsid w:val="001E3807"/>
    <w:rsid w:val="001E3FBC"/>
    <w:rsid w:val="001E4136"/>
    <w:rsid w:val="001E4E58"/>
    <w:rsid w:val="001E6865"/>
    <w:rsid w:val="001E6A81"/>
    <w:rsid w:val="001E7355"/>
    <w:rsid w:val="001E76F8"/>
    <w:rsid w:val="001E7EE3"/>
    <w:rsid w:val="001F0CC8"/>
    <w:rsid w:val="001F1599"/>
    <w:rsid w:val="001F19C4"/>
    <w:rsid w:val="001F29CA"/>
    <w:rsid w:val="001F4B79"/>
    <w:rsid w:val="001F4D7B"/>
    <w:rsid w:val="001F5428"/>
    <w:rsid w:val="001F657C"/>
    <w:rsid w:val="001F65A3"/>
    <w:rsid w:val="001F74AE"/>
    <w:rsid w:val="001F7718"/>
    <w:rsid w:val="00200586"/>
    <w:rsid w:val="00200B61"/>
    <w:rsid w:val="00201587"/>
    <w:rsid w:val="0020197E"/>
    <w:rsid w:val="002023CE"/>
    <w:rsid w:val="00202C1C"/>
    <w:rsid w:val="00203885"/>
    <w:rsid w:val="00203C70"/>
    <w:rsid w:val="00203E4C"/>
    <w:rsid w:val="002043F0"/>
    <w:rsid w:val="00204B30"/>
    <w:rsid w:val="00206AB2"/>
    <w:rsid w:val="002078DA"/>
    <w:rsid w:val="00210CB5"/>
    <w:rsid w:val="00211910"/>
    <w:rsid w:val="00211E0B"/>
    <w:rsid w:val="00213F2F"/>
    <w:rsid w:val="002143DB"/>
    <w:rsid w:val="00215DF6"/>
    <w:rsid w:val="00216A45"/>
    <w:rsid w:val="00216B8F"/>
    <w:rsid w:val="00220404"/>
    <w:rsid w:val="00221603"/>
    <w:rsid w:val="002232B6"/>
    <w:rsid w:val="00223361"/>
    <w:rsid w:val="00223525"/>
    <w:rsid w:val="00223E73"/>
    <w:rsid w:val="002240B3"/>
    <w:rsid w:val="00224935"/>
    <w:rsid w:val="002252D1"/>
    <w:rsid w:val="00226168"/>
    <w:rsid w:val="0022658C"/>
    <w:rsid w:val="00226920"/>
    <w:rsid w:val="00226A5B"/>
    <w:rsid w:val="00227915"/>
    <w:rsid w:val="00230DF7"/>
    <w:rsid w:val="00232B57"/>
    <w:rsid w:val="00232F57"/>
    <w:rsid w:val="00233979"/>
    <w:rsid w:val="00233D8F"/>
    <w:rsid w:val="00233DA0"/>
    <w:rsid w:val="00233EDC"/>
    <w:rsid w:val="00234A9A"/>
    <w:rsid w:val="00235704"/>
    <w:rsid w:val="00236F23"/>
    <w:rsid w:val="00237785"/>
    <w:rsid w:val="00240988"/>
    <w:rsid w:val="00240FC9"/>
    <w:rsid w:val="00241466"/>
    <w:rsid w:val="00241711"/>
    <w:rsid w:val="00242D25"/>
    <w:rsid w:val="002434D5"/>
    <w:rsid w:val="00243C33"/>
    <w:rsid w:val="002442EC"/>
    <w:rsid w:val="00244BDA"/>
    <w:rsid w:val="00245267"/>
    <w:rsid w:val="0024710C"/>
    <w:rsid w:val="00247258"/>
    <w:rsid w:val="00247427"/>
    <w:rsid w:val="00251AA0"/>
    <w:rsid w:val="00251D9D"/>
    <w:rsid w:val="00252D01"/>
    <w:rsid w:val="00254CA1"/>
    <w:rsid w:val="002563E4"/>
    <w:rsid w:val="00257CAC"/>
    <w:rsid w:val="00257D01"/>
    <w:rsid w:val="00261196"/>
    <w:rsid w:val="002611E6"/>
    <w:rsid w:val="002614DB"/>
    <w:rsid w:val="00262BEE"/>
    <w:rsid w:val="002636F0"/>
    <w:rsid w:val="002678C7"/>
    <w:rsid w:val="00271279"/>
    <w:rsid w:val="002722FF"/>
    <w:rsid w:val="00274060"/>
    <w:rsid w:val="00274661"/>
    <w:rsid w:val="00274A04"/>
    <w:rsid w:val="00277C68"/>
    <w:rsid w:val="00280053"/>
    <w:rsid w:val="00280665"/>
    <w:rsid w:val="0028090C"/>
    <w:rsid w:val="00280B70"/>
    <w:rsid w:val="00280F75"/>
    <w:rsid w:val="002830B6"/>
    <w:rsid w:val="002840C0"/>
    <w:rsid w:val="002845B9"/>
    <w:rsid w:val="00284AB7"/>
    <w:rsid w:val="0028531E"/>
    <w:rsid w:val="002859DB"/>
    <w:rsid w:val="00287856"/>
    <w:rsid w:val="002878D5"/>
    <w:rsid w:val="002879F5"/>
    <w:rsid w:val="00287ECB"/>
    <w:rsid w:val="00290090"/>
    <w:rsid w:val="002919B2"/>
    <w:rsid w:val="002920E8"/>
    <w:rsid w:val="002933FE"/>
    <w:rsid w:val="0029422B"/>
    <w:rsid w:val="002964F5"/>
    <w:rsid w:val="002971D6"/>
    <w:rsid w:val="002974E9"/>
    <w:rsid w:val="00297956"/>
    <w:rsid w:val="002979EB"/>
    <w:rsid w:val="00297A82"/>
    <w:rsid w:val="00297E43"/>
    <w:rsid w:val="002A096D"/>
    <w:rsid w:val="002A0A1D"/>
    <w:rsid w:val="002A1465"/>
    <w:rsid w:val="002A1A9D"/>
    <w:rsid w:val="002A292E"/>
    <w:rsid w:val="002A316C"/>
    <w:rsid w:val="002A497A"/>
    <w:rsid w:val="002A5896"/>
    <w:rsid w:val="002A77AC"/>
    <w:rsid w:val="002B0351"/>
    <w:rsid w:val="002B0C29"/>
    <w:rsid w:val="002B109A"/>
    <w:rsid w:val="002B112B"/>
    <w:rsid w:val="002B2EBD"/>
    <w:rsid w:val="002B3590"/>
    <w:rsid w:val="002B36BB"/>
    <w:rsid w:val="002B60AF"/>
    <w:rsid w:val="002B61CD"/>
    <w:rsid w:val="002B6BF9"/>
    <w:rsid w:val="002B752A"/>
    <w:rsid w:val="002B7A05"/>
    <w:rsid w:val="002C0DE4"/>
    <w:rsid w:val="002C1ED0"/>
    <w:rsid w:val="002C2708"/>
    <w:rsid w:val="002C27CF"/>
    <w:rsid w:val="002C2986"/>
    <w:rsid w:val="002C29E1"/>
    <w:rsid w:val="002C2D6B"/>
    <w:rsid w:val="002C30E4"/>
    <w:rsid w:val="002C329B"/>
    <w:rsid w:val="002C33B3"/>
    <w:rsid w:val="002C3B29"/>
    <w:rsid w:val="002C3CF7"/>
    <w:rsid w:val="002C3EFF"/>
    <w:rsid w:val="002C42BA"/>
    <w:rsid w:val="002C4532"/>
    <w:rsid w:val="002C465B"/>
    <w:rsid w:val="002C4773"/>
    <w:rsid w:val="002C5065"/>
    <w:rsid w:val="002C5737"/>
    <w:rsid w:val="002C5C72"/>
    <w:rsid w:val="002C6112"/>
    <w:rsid w:val="002C7761"/>
    <w:rsid w:val="002D1A8E"/>
    <w:rsid w:val="002D2025"/>
    <w:rsid w:val="002D381E"/>
    <w:rsid w:val="002D53E4"/>
    <w:rsid w:val="002D6138"/>
    <w:rsid w:val="002D6C12"/>
    <w:rsid w:val="002D6E53"/>
    <w:rsid w:val="002D7336"/>
    <w:rsid w:val="002D749F"/>
    <w:rsid w:val="002E1A3A"/>
    <w:rsid w:val="002E1D92"/>
    <w:rsid w:val="002E384F"/>
    <w:rsid w:val="002E62A2"/>
    <w:rsid w:val="002E680B"/>
    <w:rsid w:val="002E68D7"/>
    <w:rsid w:val="002F046D"/>
    <w:rsid w:val="002F11DD"/>
    <w:rsid w:val="002F196B"/>
    <w:rsid w:val="002F2C7F"/>
    <w:rsid w:val="002F3319"/>
    <w:rsid w:val="002F33E8"/>
    <w:rsid w:val="002F387A"/>
    <w:rsid w:val="002F4970"/>
    <w:rsid w:val="002F4C82"/>
    <w:rsid w:val="002F4ECA"/>
    <w:rsid w:val="002F5160"/>
    <w:rsid w:val="002F60DF"/>
    <w:rsid w:val="002F633F"/>
    <w:rsid w:val="002F6EFA"/>
    <w:rsid w:val="00300787"/>
    <w:rsid w:val="00300E06"/>
    <w:rsid w:val="00301414"/>
    <w:rsid w:val="00301764"/>
    <w:rsid w:val="0030198E"/>
    <w:rsid w:val="0030365F"/>
    <w:rsid w:val="00304A80"/>
    <w:rsid w:val="00305099"/>
    <w:rsid w:val="0030527A"/>
    <w:rsid w:val="00305352"/>
    <w:rsid w:val="003055BA"/>
    <w:rsid w:val="00305F1C"/>
    <w:rsid w:val="00306BCA"/>
    <w:rsid w:val="00307877"/>
    <w:rsid w:val="003100D3"/>
    <w:rsid w:val="003107FA"/>
    <w:rsid w:val="00311D8A"/>
    <w:rsid w:val="00312DD3"/>
    <w:rsid w:val="0031350F"/>
    <w:rsid w:val="0031352B"/>
    <w:rsid w:val="00314FC0"/>
    <w:rsid w:val="00315A42"/>
    <w:rsid w:val="00315D1A"/>
    <w:rsid w:val="00316D15"/>
    <w:rsid w:val="00317A25"/>
    <w:rsid w:val="00320440"/>
    <w:rsid w:val="00320DA9"/>
    <w:rsid w:val="00321588"/>
    <w:rsid w:val="00321FD1"/>
    <w:rsid w:val="00322909"/>
    <w:rsid w:val="003229D8"/>
    <w:rsid w:val="00322DDD"/>
    <w:rsid w:val="00325359"/>
    <w:rsid w:val="003259F9"/>
    <w:rsid w:val="0032636B"/>
    <w:rsid w:val="003265DE"/>
    <w:rsid w:val="00326615"/>
    <w:rsid w:val="003272E7"/>
    <w:rsid w:val="0032758D"/>
    <w:rsid w:val="00327A7F"/>
    <w:rsid w:val="00327F4A"/>
    <w:rsid w:val="00330D76"/>
    <w:rsid w:val="00331950"/>
    <w:rsid w:val="00331D1A"/>
    <w:rsid w:val="00331FDF"/>
    <w:rsid w:val="00332114"/>
    <w:rsid w:val="00332C62"/>
    <w:rsid w:val="00333828"/>
    <w:rsid w:val="00333861"/>
    <w:rsid w:val="00333E69"/>
    <w:rsid w:val="00333F6F"/>
    <w:rsid w:val="00334DE5"/>
    <w:rsid w:val="0033552E"/>
    <w:rsid w:val="003358FF"/>
    <w:rsid w:val="00336C97"/>
    <w:rsid w:val="00337768"/>
    <w:rsid w:val="0034091F"/>
    <w:rsid w:val="00341288"/>
    <w:rsid w:val="00342432"/>
    <w:rsid w:val="0034272E"/>
    <w:rsid w:val="0034325C"/>
    <w:rsid w:val="0034365C"/>
    <w:rsid w:val="00343D86"/>
    <w:rsid w:val="00345ECE"/>
    <w:rsid w:val="00346085"/>
    <w:rsid w:val="00346149"/>
    <w:rsid w:val="00346DDC"/>
    <w:rsid w:val="00346F12"/>
    <w:rsid w:val="003476ED"/>
    <w:rsid w:val="003477B5"/>
    <w:rsid w:val="0034798F"/>
    <w:rsid w:val="00347E1E"/>
    <w:rsid w:val="003501A8"/>
    <w:rsid w:val="00352B04"/>
    <w:rsid w:val="00354D50"/>
    <w:rsid w:val="003553B9"/>
    <w:rsid w:val="0035638C"/>
    <w:rsid w:val="003577D3"/>
    <w:rsid w:val="00360227"/>
    <w:rsid w:val="00360619"/>
    <w:rsid w:val="003608F4"/>
    <w:rsid w:val="003609E2"/>
    <w:rsid w:val="003615C5"/>
    <w:rsid w:val="00362554"/>
    <w:rsid w:val="00362710"/>
    <w:rsid w:val="00363537"/>
    <w:rsid w:val="00363AE2"/>
    <w:rsid w:val="0036457A"/>
    <w:rsid w:val="003649FE"/>
    <w:rsid w:val="00365703"/>
    <w:rsid w:val="00366803"/>
    <w:rsid w:val="00367C60"/>
    <w:rsid w:val="00367E5C"/>
    <w:rsid w:val="0037034D"/>
    <w:rsid w:val="00371C85"/>
    <w:rsid w:val="00371D37"/>
    <w:rsid w:val="003722E6"/>
    <w:rsid w:val="00373B54"/>
    <w:rsid w:val="0037463B"/>
    <w:rsid w:val="00374E87"/>
    <w:rsid w:val="00376143"/>
    <w:rsid w:val="003766E1"/>
    <w:rsid w:val="003772CB"/>
    <w:rsid w:val="0038018E"/>
    <w:rsid w:val="00380293"/>
    <w:rsid w:val="0038335C"/>
    <w:rsid w:val="00383F5A"/>
    <w:rsid w:val="00384416"/>
    <w:rsid w:val="003900F2"/>
    <w:rsid w:val="00390E96"/>
    <w:rsid w:val="0039277A"/>
    <w:rsid w:val="0039336B"/>
    <w:rsid w:val="003934E8"/>
    <w:rsid w:val="00393D98"/>
    <w:rsid w:val="003940C3"/>
    <w:rsid w:val="003941BD"/>
    <w:rsid w:val="003954C8"/>
    <w:rsid w:val="00395752"/>
    <w:rsid w:val="00395E3A"/>
    <w:rsid w:val="003972E0"/>
    <w:rsid w:val="003A06FD"/>
    <w:rsid w:val="003A07E9"/>
    <w:rsid w:val="003A1065"/>
    <w:rsid w:val="003A1A14"/>
    <w:rsid w:val="003A1BE5"/>
    <w:rsid w:val="003A2753"/>
    <w:rsid w:val="003A2B8B"/>
    <w:rsid w:val="003A2F38"/>
    <w:rsid w:val="003A328E"/>
    <w:rsid w:val="003A40FF"/>
    <w:rsid w:val="003A46BB"/>
    <w:rsid w:val="003A483D"/>
    <w:rsid w:val="003A4C3A"/>
    <w:rsid w:val="003A4EC7"/>
    <w:rsid w:val="003A634C"/>
    <w:rsid w:val="003A6646"/>
    <w:rsid w:val="003A6760"/>
    <w:rsid w:val="003A7295"/>
    <w:rsid w:val="003A76A9"/>
    <w:rsid w:val="003A7CB7"/>
    <w:rsid w:val="003B07D2"/>
    <w:rsid w:val="003B07D7"/>
    <w:rsid w:val="003B0F92"/>
    <w:rsid w:val="003B1913"/>
    <w:rsid w:val="003B24C1"/>
    <w:rsid w:val="003B6153"/>
    <w:rsid w:val="003B6700"/>
    <w:rsid w:val="003B686C"/>
    <w:rsid w:val="003B78BA"/>
    <w:rsid w:val="003B7C32"/>
    <w:rsid w:val="003C2243"/>
    <w:rsid w:val="003C24BB"/>
    <w:rsid w:val="003C276A"/>
    <w:rsid w:val="003C2CC4"/>
    <w:rsid w:val="003C33B7"/>
    <w:rsid w:val="003C4919"/>
    <w:rsid w:val="003C4A2B"/>
    <w:rsid w:val="003C6839"/>
    <w:rsid w:val="003C6EC4"/>
    <w:rsid w:val="003C7B03"/>
    <w:rsid w:val="003D04F5"/>
    <w:rsid w:val="003D0D70"/>
    <w:rsid w:val="003D1180"/>
    <w:rsid w:val="003D1303"/>
    <w:rsid w:val="003D18DB"/>
    <w:rsid w:val="003D1C21"/>
    <w:rsid w:val="003D1E82"/>
    <w:rsid w:val="003D209B"/>
    <w:rsid w:val="003D21C4"/>
    <w:rsid w:val="003D21EB"/>
    <w:rsid w:val="003D36EF"/>
    <w:rsid w:val="003D477E"/>
    <w:rsid w:val="003D4B23"/>
    <w:rsid w:val="003D594D"/>
    <w:rsid w:val="003D74CF"/>
    <w:rsid w:val="003D7AC6"/>
    <w:rsid w:val="003E0BED"/>
    <w:rsid w:val="003E191A"/>
    <w:rsid w:val="003E1A77"/>
    <w:rsid w:val="003E21DF"/>
    <w:rsid w:val="003E2452"/>
    <w:rsid w:val="003E278A"/>
    <w:rsid w:val="003E479A"/>
    <w:rsid w:val="003E6671"/>
    <w:rsid w:val="003E75DD"/>
    <w:rsid w:val="003F0434"/>
    <w:rsid w:val="003F150E"/>
    <w:rsid w:val="003F41EE"/>
    <w:rsid w:val="003F6DD9"/>
    <w:rsid w:val="0040010A"/>
    <w:rsid w:val="00401CB8"/>
    <w:rsid w:val="00402EF6"/>
    <w:rsid w:val="00402F71"/>
    <w:rsid w:val="00403F02"/>
    <w:rsid w:val="00407AF2"/>
    <w:rsid w:val="0041014B"/>
    <w:rsid w:val="00410D4F"/>
    <w:rsid w:val="004116D3"/>
    <w:rsid w:val="00413520"/>
    <w:rsid w:val="00413E37"/>
    <w:rsid w:val="004143EA"/>
    <w:rsid w:val="00414738"/>
    <w:rsid w:val="004165E6"/>
    <w:rsid w:val="00416FA8"/>
    <w:rsid w:val="004170A2"/>
    <w:rsid w:val="00417547"/>
    <w:rsid w:val="004179D6"/>
    <w:rsid w:val="00420409"/>
    <w:rsid w:val="00420BD1"/>
    <w:rsid w:val="00426039"/>
    <w:rsid w:val="00426234"/>
    <w:rsid w:val="00427711"/>
    <w:rsid w:val="004277D5"/>
    <w:rsid w:val="00427F60"/>
    <w:rsid w:val="00431A51"/>
    <w:rsid w:val="004325CB"/>
    <w:rsid w:val="00434365"/>
    <w:rsid w:val="00434888"/>
    <w:rsid w:val="0043615C"/>
    <w:rsid w:val="0043635D"/>
    <w:rsid w:val="004365E0"/>
    <w:rsid w:val="004406C9"/>
    <w:rsid w:val="00440A07"/>
    <w:rsid w:val="00440E8D"/>
    <w:rsid w:val="004431D3"/>
    <w:rsid w:val="00443C7A"/>
    <w:rsid w:val="00443FE5"/>
    <w:rsid w:val="004447D7"/>
    <w:rsid w:val="00446DE4"/>
    <w:rsid w:val="00447C69"/>
    <w:rsid w:val="00447ED9"/>
    <w:rsid w:val="00451FF9"/>
    <w:rsid w:val="0045302C"/>
    <w:rsid w:val="004538C6"/>
    <w:rsid w:val="00453AD5"/>
    <w:rsid w:val="004556E2"/>
    <w:rsid w:val="004561F8"/>
    <w:rsid w:val="00456586"/>
    <w:rsid w:val="004570C1"/>
    <w:rsid w:val="00457ABA"/>
    <w:rsid w:val="00460255"/>
    <w:rsid w:val="004608AC"/>
    <w:rsid w:val="00460B4F"/>
    <w:rsid w:val="00461270"/>
    <w:rsid w:val="00461BDF"/>
    <w:rsid w:val="00461CE4"/>
    <w:rsid w:val="00461DD0"/>
    <w:rsid w:val="00462003"/>
    <w:rsid w:val="0046208F"/>
    <w:rsid w:val="00462810"/>
    <w:rsid w:val="0046283F"/>
    <w:rsid w:val="00462F94"/>
    <w:rsid w:val="004634BA"/>
    <w:rsid w:val="00463579"/>
    <w:rsid w:val="00464C01"/>
    <w:rsid w:val="004668A3"/>
    <w:rsid w:val="00467707"/>
    <w:rsid w:val="00470DF9"/>
    <w:rsid w:val="004712D6"/>
    <w:rsid w:val="0047134F"/>
    <w:rsid w:val="00472B9C"/>
    <w:rsid w:val="00473FF8"/>
    <w:rsid w:val="004746D7"/>
    <w:rsid w:val="00475222"/>
    <w:rsid w:val="00476620"/>
    <w:rsid w:val="004766C2"/>
    <w:rsid w:val="0047699C"/>
    <w:rsid w:val="00476E7D"/>
    <w:rsid w:val="00477998"/>
    <w:rsid w:val="0048242B"/>
    <w:rsid w:val="00482862"/>
    <w:rsid w:val="00483C20"/>
    <w:rsid w:val="004847DD"/>
    <w:rsid w:val="00485E9C"/>
    <w:rsid w:val="004915F9"/>
    <w:rsid w:val="00491C67"/>
    <w:rsid w:val="00492579"/>
    <w:rsid w:val="00493654"/>
    <w:rsid w:val="00493773"/>
    <w:rsid w:val="00495F89"/>
    <w:rsid w:val="0049631B"/>
    <w:rsid w:val="00496A1E"/>
    <w:rsid w:val="00496D07"/>
    <w:rsid w:val="00496DC1"/>
    <w:rsid w:val="00497D03"/>
    <w:rsid w:val="00497D4A"/>
    <w:rsid w:val="00497F35"/>
    <w:rsid w:val="004A140D"/>
    <w:rsid w:val="004A1AC7"/>
    <w:rsid w:val="004A4DDF"/>
    <w:rsid w:val="004A5217"/>
    <w:rsid w:val="004A59BC"/>
    <w:rsid w:val="004A6B51"/>
    <w:rsid w:val="004A6F3A"/>
    <w:rsid w:val="004A72A8"/>
    <w:rsid w:val="004A7FF8"/>
    <w:rsid w:val="004B0161"/>
    <w:rsid w:val="004B2019"/>
    <w:rsid w:val="004B2645"/>
    <w:rsid w:val="004B39A9"/>
    <w:rsid w:val="004B3C91"/>
    <w:rsid w:val="004B43B2"/>
    <w:rsid w:val="004B47EC"/>
    <w:rsid w:val="004B54BB"/>
    <w:rsid w:val="004B552A"/>
    <w:rsid w:val="004B5999"/>
    <w:rsid w:val="004B5D8E"/>
    <w:rsid w:val="004B5DA4"/>
    <w:rsid w:val="004B6351"/>
    <w:rsid w:val="004B7969"/>
    <w:rsid w:val="004B7ACC"/>
    <w:rsid w:val="004C0A41"/>
    <w:rsid w:val="004C2222"/>
    <w:rsid w:val="004C345F"/>
    <w:rsid w:val="004C3CA3"/>
    <w:rsid w:val="004C4BB9"/>
    <w:rsid w:val="004C55B0"/>
    <w:rsid w:val="004C5CA0"/>
    <w:rsid w:val="004D0081"/>
    <w:rsid w:val="004D10A3"/>
    <w:rsid w:val="004D1254"/>
    <w:rsid w:val="004D17C7"/>
    <w:rsid w:val="004D20D7"/>
    <w:rsid w:val="004D23A4"/>
    <w:rsid w:val="004D4B92"/>
    <w:rsid w:val="004D5FF2"/>
    <w:rsid w:val="004D615D"/>
    <w:rsid w:val="004E22A6"/>
    <w:rsid w:val="004E24E9"/>
    <w:rsid w:val="004E2898"/>
    <w:rsid w:val="004E2AC2"/>
    <w:rsid w:val="004E3097"/>
    <w:rsid w:val="004E4DD1"/>
    <w:rsid w:val="004E52AA"/>
    <w:rsid w:val="004E7F00"/>
    <w:rsid w:val="004F07BA"/>
    <w:rsid w:val="004F0EFD"/>
    <w:rsid w:val="004F0FAA"/>
    <w:rsid w:val="004F2114"/>
    <w:rsid w:val="004F4CEB"/>
    <w:rsid w:val="004F4F48"/>
    <w:rsid w:val="004F5328"/>
    <w:rsid w:val="004F5A94"/>
    <w:rsid w:val="004F5C58"/>
    <w:rsid w:val="004F619C"/>
    <w:rsid w:val="004F652C"/>
    <w:rsid w:val="004F682D"/>
    <w:rsid w:val="004F6AED"/>
    <w:rsid w:val="004F6BA0"/>
    <w:rsid w:val="004F73DE"/>
    <w:rsid w:val="004F7C72"/>
    <w:rsid w:val="004F7CD6"/>
    <w:rsid w:val="005018EC"/>
    <w:rsid w:val="005019EA"/>
    <w:rsid w:val="00501A90"/>
    <w:rsid w:val="00502088"/>
    <w:rsid w:val="005037CF"/>
    <w:rsid w:val="00503BEA"/>
    <w:rsid w:val="00505168"/>
    <w:rsid w:val="00505198"/>
    <w:rsid w:val="00505680"/>
    <w:rsid w:val="005063FC"/>
    <w:rsid w:val="00507EFB"/>
    <w:rsid w:val="00510950"/>
    <w:rsid w:val="00510E9B"/>
    <w:rsid w:val="00511819"/>
    <w:rsid w:val="00511C12"/>
    <w:rsid w:val="00513FFD"/>
    <w:rsid w:val="00515CB3"/>
    <w:rsid w:val="00520687"/>
    <w:rsid w:val="00521505"/>
    <w:rsid w:val="005217F3"/>
    <w:rsid w:val="00521B44"/>
    <w:rsid w:val="00521E6F"/>
    <w:rsid w:val="00522304"/>
    <w:rsid w:val="0052269D"/>
    <w:rsid w:val="005230A3"/>
    <w:rsid w:val="005240E1"/>
    <w:rsid w:val="00524C6C"/>
    <w:rsid w:val="00525E06"/>
    <w:rsid w:val="005309BB"/>
    <w:rsid w:val="00530CC5"/>
    <w:rsid w:val="00531510"/>
    <w:rsid w:val="00533616"/>
    <w:rsid w:val="0053363D"/>
    <w:rsid w:val="00533A52"/>
    <w:rsid w:val="00533C6D"/>
    <w:rsid w:val="00534CCB"/>
    <w:rsid w:val="005351C0"/>
    <w:rsid w:val="00535466"/>
    <w:rsid w:val="00535778"/>
    <w:rsid w:val="00535ABA"/>
    <w:rsid w:val="00535FA8"/>
    <w:rsid w:val="005363D5"/>
    <w:rsid w:val="005367CB"/>
    <w:rsid w:val="005367EC"/>
    <w:rsid w:val="0053680C"/>
    <w:rsid w:val="0053768B"/>
    <w:rsid w:val="005379C2"/>
    <w:rsid w:val="00540190"/>
    <w:rsid w:val="005420F2"/>
    <w:rsid w:val="005427A5"/>
    <w:rsid w:val="005427B2"/>
    <w:rsid w:val="0054285C"/>
    <w:rsid w:val="00542DC0"/>
    <w:rsid w:val="0054413F"/>
    <w:rsid w:val="00544934"/>
    <w:rsid w:val="00544DDB"/>
    <w:rsid w:val="00545BEA"/>
    <w:rsid w:val="00546036"/>
    <w:rsid w:val="00546214"/>
    <w:rsid w:val="005465AF"/>
    <w:rsid w:val="005467AD"/>
    <w:rsid w:val="00546CF3"/>
    <w:rsid w:val="00547456"/>
    <w:rsid w:val="00547FFB"/>
    <w:rsid w:val="00550338"/>
    <w:rsid w:val="00550D71"/>
    <w:rsid w:val="00551FBA"/>
    <w:rsid w:val="005534EE"/>
    <w:rsid w:val="0055445D"/>
    <w:rsid w:val="005550DF"/>
    <w:rsid w:val="005552D0"/>
    <w:rsid w:val="00555E7C"/>
    <w:rsid w:val="0055796C"/>
    <w:rsid w:val="00560A3F"/>
    <w:rsid w:val="00561042"/>
    <w:rsid w:val="00561403"/>
    <w:rsid w:val="0056334C"/>
    <w:rsid w:val="0056337A"/>
    <w:rsid w:val="00563EFF"/>
    <w:rsid w:val="0056418F"/>
    <w:rsid w:val="00564710"/>
    <w:rsid w:val="00564980"/>
    <w:rsid w:val="00565073"/>
    <w:rsid w:val="00565158"/>
    <w:rsid w:val="005654A3"/>
    <w:rsid w:val="00565E60"/>
    <w:rsid w:val="005670E4"/>
    <w:rsid w:val="00570416"/>
    <w:rsid w:val="00571041"/>
    <w:rsid w:val="00571BEE"/>
    <w:rsid w:val="00571E89"/>
    <w:rsid w:val="0057373F"/>
    <w:rsid w:val="005751EC"/>
    <w:rsid w:val="00575A6E"/>
    <w:rsid w:val="00575FB3"/>
    <w:rsid w:val="00577B81"/>
    <w:rsid w:val="0058086A"/>
    <w:rsid w:val="00582E38"/>
    <w:rsid w:val="005832A7"/>
    <w:rsid w:val="00584173"/>
    <w:rsid w:val="00584421"/>
    <w:rsid w:val="00584530"/>
    <w:rsid w:val="00585A25"/>
    <w:rsid w:val="005867FA"/>
    <w:rsid w:val="00587094"/>
    <w:rsid w:val="0058759E"/>
    <w:rsid w:val="00587CFC"/>
    <w:rsid w:val="00590695"/>
    <w:rsid w:val="0059107E"/>
    <w:rsid w:val="0059142D"/>
    <w:rsid w:val="00592AA9"/>
    <w:rsid w:val="00592CC0"/>
    <w:rsid w:val="005969EF"/>
    <w:rsid w:val="005970A4"/>
    <w:rsid w:val="00597645"/>
    <w:rsid w:val="005A00C7"/>
    <w:rsid w:val="005A0DB2"/>
    <w:rsid w:val="005A11CA"/>
    <w:rsid w:val="005A2518"/>
    <w:rsid w:val="005A3A00"/>
    <w:rsid w:val="005A44B9"/>
    <w:rsid w:val="005A5964"/>
    <w:rsid w:val="005A62CB"/>
    <w:rsid w:val="005A7100"/>
    <w:rsid w:val="005A7984"/>
    <w:rsid w:val="005B1727"/>
    <w:rsid w:val="005B1BA0"/>
    <w:rsid w:val="005B1E07"/>
    <w:rsid w:val="005B297A"/>
    <w:rsid w:val="005B2CB6"/>
    <w:rsid w:val="005B3274"/>
    <w:rsid w:val="005B36FD"/>
    <w:rsid w:val="005B3DB3"/>
    <w:rsid w:val="005B4045"/>
    <w:rsid w:val="005B6328"/>
    <w:rsid w:val="005B6B06"/>
    <w:rsid w:val="005B6CC0"/>
    <w:rsid w:val="005C0236"/>
    <w:rsid w:val="005C0BC7"/>
    <w:rsid w:val="005C1068"/>
    <w:rsid w:val="005C21EB"/>
    <w:rsid w:val="005C2333"/>
    <w:rsid w:val="005C2C07"/>
    <w:rsid w:val="005C36AB"/>
    <w:rsid w:val="005C3AFD"/>
    <w:rsid w:val="005C4B0E"/>
    <w:rsid w:val="005C4E80"/>
    <w:rsid w:val="005D0A38"/>
    <w:rsid w:val="005D0D78"/>
    <w:rsid w:val="005D1027"/>
    <w:rsid w:val="005D13AA"/>
    <w:rsid w:val="005D159B"/>
    <w:rsid w:val="005D15CA"/>
    <w:rsid w:val="005D219B"/>
    <w:rsid w:val="005D4CBF"/>
    <w:rsid w:val="005D57EA"/>
    <w:rsid w:val="005D5913"/>
    <w:rsid w:val="005D68FC"/>
    <w:rsid w:val="005D6907"/>
    <w:rsid w:val="005D7547"/>
    <w:rsid w:val="005D7A71"/>
    <w:rsid w:val="005D7C09"/>
    <w:rsid w:val="005E081A"/>
    <w:rsid w:val="005E0A3F"/>
    <w:rsid w:val="005E1286"/>
    <w:rsid w:val="005E1A53"/>
    <w:rsid w:val="005E205A"/>
    <w:rsid w:val="005E26FD"/>
    <w:rsid w:val="005E279E"/>
    <w:rsid w:val="005E2E49"/>
    <w:rsid w:val="005E38AE"/>
    <w:rsid w:val="005E445C"/>
    <w:rsid w:val="005E46A8"/>
    <w:rsid w:val="005E4F6C"/>
    <w:rsid w:val="005E674C"/>
    <w:rsid w:val="005E68CA"/>
    <w:rsid w:val="005E70BE"/>
    <w:rsid w:val="005F0CE6"/>
    <w:rsid w:val="005F0E83"/>
    <w:rsid w:val="005F2AF6"/>
    <w:rsid w:val="005F3E61"/>
    <w:rsid w:val="005F51B7"/>
    <w:rsid w:val="005F58A5"/>
    <w:rsid w:val="005F7494"/>
    <w:rsid w:val="00600287"/>
    <w:rsid w:val="00600356"/>
    <w:rsid w:val="0060146A"/>
    <w:rsid w:val="00601522"/>
    <w:rsid w:val="0060287D"/>
    <w:rsid w:val="0060410A"/>
    <w:rsid w:val="00605642"/>
    <w:rsid w:val="00605CE0"/>
    <w:rsid w:val="0060642A"/>
    <w:rsid w:val="00606525"/>
    <w:rsid w:val="006071F1"/>
    <w:rsid w:val="006115CC"/>
    <w:rsid w:val="00611E41"/>
    <w:rsid w:val="00611FC4"/>
    <w:rsid w:val="00612229"/>
    <w:rsid w:val="00612F57"/>
    <w:rsid w:val="0061482E"/>
    <w:rsid w:val="0061598E"/>
    <w:rsid w:val="00617243"/>
    <w:rsid w:val="006176FB"/>
    <w:rsid w:val="00620377"/>
    <w:rsid w:val="006207EB"/>
    <w:rsid w:val="00620E8E"/>
    <w:rsid w:val="00621524"/>
    <w:rsid w:val="00621F1D"/>
    <w:rsid w:val="00622710"/>
    <w:rsid w:val="00622735"/>
    <w:rsid w:val="006227B2"/>
    <w:rsid w:val="00624BCD"/>
    <w:rsid w:val="00625AF6"/>
    <w:rsid w:val="00627F5B"/>
    <w:rsid w:val="00630DBA"/>
    <w:rsid w:val="00630ECD"/>
    <w:rsid w:val="00630FCB"/>
    <w:rsid w:val="00631E18"/>
    <w:rsid w:val="0063259F"/>
    <w:rsid w:val="006325C2"/>
    <w:rsid w:val="00632656"/>
    <w:rsid w:val="00634944"/>
    <w:rsid w:val="0063578A"/>
    <w:rsid w:val="006365F2"/>
    <w:rsid w:val="00640B26"/>
    <w:rsid w:val="00641093"/>
    <w:rsid w:val="00643615"/>
    <w:rsid w:val="00643AEE"/>
    <w:rsid w:val="006440E5"/>
    <w:rsid w:val="006447B2"/>
    <w:rsid w:val="00645F64"/>
    <w:rsid w:val="00646688"/>
    <w:rsid w:val="00646D9B"/>
    <w:rsid w:val="00646DA4"/>
    <w:rsid w:val="006476F9"/>
    <w:rsid w:val="00647EA4"/>
    <w:rsid w:val="006515A3"/>
    <w:rsid w:val="00651A07"/>
    <w:rsid w:val="00651A7F"/>
    <w:rsid w:val="0065260D"/>
    <w:rsid w:val="0065298E"/>
    <w:rsid w:val="00652F35"/>
    <w:rsid w:val="0065351F"/>
    <w:rsid w:val="0065419F"/>
    <w:rsid w:val="00654FAF"/>
    <w:rsid w:val="0065574D"/>
    <w:rsid w:val="00655F6B"/>
    <w:rsid w:val="00656046"/>
    <w:rsid w:val="0066024A"/>
    <w:rsid w:val="006603F7"/>
    <w:rsid w:val="006609D7"/>
    <w:rsid w:val="00662982"/>
    <w:rsid w:val="00665237"/>
    <w:rsid w:val="0066761F"/>
    <w:rsid w:val="00670145"/>
    <w:rsid w:val="00670903"/>
    <w:rsid w:val="0067115B"/>
    <w:rsid w:val="0067145B"/>
    <w:rsid w:val="006719D4"/>
    <w:rsid w:val="00671CAA"/>
    <w:rsid w:val="006742E1"/>
    <w:rsid w:val="00674947"/>
    <w:rsid w:val="00674B38"/>
    <w:rsid w:val="00675411"/>
    <w:rsid w:val="0067573B"/>
    <w:rsid w:val="00675FE6"/>
    <w:rsid w:val="006762A4"/>
    <w:rsid w:val="0067647A"/>
    <w:rsid w:val="006770B2"/>
    <w:rsid w:val="00680349"/>
    <w:rsid w:val="0068037D"/>
    <w:rsid w:val="006807EA"/>
    <w:rsid w:val="00680CCF"/>
    <w:rsid w:val="00681CB6"/>
    <w:rsid w:val="00681DDD"/>
    <w:rsid w:val="00682290"/>
    <w:rsid w:val="006831BA"/>
    <w:rsid w:val="00684C7C"/>
    <w:rsid w:val="0068528B"/>
    <w:rsid w:val="006857AD"/>
    <w:rsid w:val="00687627"/>
    <w:rsid w:val="00690B12"/>
    <w:rsid w:val="00690F02"/>
    <w:rsid w:val="00691496"/>
    <w:rsid w:val="006930F3"/>
    <w:rsid w:val="00693C2A"/>
    <w:rsid w:val="00693D50"/>
    <w:rsid w:val="00693F8E"/>
    <w:rsid w:val="006940E1"/>
    <w:rsid w:val="00694D1B"/>
    <w:rsid w:val="006955AC"/>
    <w:rsid w:val="00695A61"/>
    <w:rsid w:val="00696191"/>
    <w:rsid w:val="006970EB"/>
    <w:rsid w:val="006971AC"/>
    <w:rsid w:val="0069779A"/>
    <w:rsid w:val="00697CDE"/>
    <w:rsid w:val="006A00A5"/>
    <w:rsid w:val="006A0DC0"/>
    <w:rsid w:val="006A0DEE"/>
    <w:rsid w:val="006A2624"/>
    <w:rsid w:val="006A2AAB"/>
    <w:rsid w:val="006A343C"/>
    <w:rsid w:val="006A35D8"/>
    <w:rsid w:val="006A3C72"/>
    <w:rsid w:val="006A685D"/>
    <w:rsid w:val="006A6D7D"/>
    <w:rsid w:val="006A7392"/>
    <w:rsid w:val="006A77DF"/>
    <w:rsid w:val="006B03A1"/>
    <w:rsid w:val="006B154E"/>
    <w:rsid w:val="006B1A31"/>
    <w:rsid w:val="006B4947"/>
    <w:rsid w:val="006B4AF8"/>
    <w:rsid w:val="006B4E9E"/>
    <w:rsid w:val="006B5DAE"/>
    <w:rsid w:val="006B66B8"/>
    <w:rsid w:val="006C0D34"/>
    <w:rsid w:val="006C1123"/>
    <w:rsid w:val="006C15AD"/>
    <w:rsid w:val="006C1AD3"/>
    <w:rsid w:val="006C259C"/>
    <w:rsid w:val="006C2670"/>
    <w:rsid w:val="006C268E"/>
    <w:rsid w:val="006C33B6"/>
    <w:rsid w:val="006C36B4"/>
    <w:rsid w:val="006C3E29"/>
    <w:rsid w:val="006C421E"/>
    <w:rsid w:val="006C4AB6"/>
    <w:rsid w:val="006C507C"/>
    <w:rsid w:val="006C5535"/>
    <w:rsid w:val="006C5827"/>
    <w:rsid w:val="006C59BB"/>
    <w:rsid w:val="006C5C09"/>
    <w:rsid w:val="006C6E80"/>
    <w:rsid w:val="006D002B"/>
    <w:rsid w:val="006D05A7"/>
    <w:rsid w:val="006D0CE2"/>
    <w:rsid w:val="006D24AC"/>
    <w:rsid w:val="006D41FB"/>
    <w:rsid w:val="006D424E"/>
    <w:rsid w:val="006D4B72"/>
    <w:rsid w:val="006D4C3A"/>
    <w:rsid w:val="006D4F7C"/>
    <w:rsid w:val="006D7589"/>
    <w:rsid w:val="006E1073"/>
    <w:rsid w:val="006E118E"/>
    <w:rsid w:val="006E1C3F"/>
    <w:rsid w:val="006E1F89"/>
    <w:rsid w:val="006E2516"/>
    <w:rsid w:val="006E2834"/>
    <w:rsid w:val="006E2D7F"/>
    <w:rsid w:val="006E34DC"/>
    <w:rsid w:val="006E3DED"/>
    <w:rsid w:val="006E5066"/>
    <w:rsid w:val="006E564B"/>
    <w:rsid w:val="006E5D00"/>
    <w:rsid w:val="006E7154"/>
    <w:rsid w:val="006F03D7"/>
    <w:rsid w:val="006F092E"/>
    <w:rsid w:val="006F1128"/>
    <w:rsid w:val="006F16AD"/>
    <w:rsid w:val="006F356C"/>
    <w:rsid w:val="006F4BB7"/>
    <w:rsid w:val="006F5D09"/>
    <w:rsid w:val="006F6BE0"/>
    <w:rsid w:val="006F7B4B"/>
    <w:rsid w:val="0070030A"/>
    <w:rsid w:val="007003CD"/>
    <w:rsid w:val="007005D3"/>
    <w:rsid w:val="00700F95"/>
    <w:rsid w:val="00701A3A"/>
    <w:rsid w:val="007030D2"/>
    <w:rsid w:val="00703FD9"/>
    <w:rsid w:val="00704445"/>
    <w:rsid w:val="007078C6"/>
    <w:rsid w:val="00707AB3"/>
    <w:rsid w:val="00710CED"/>
    <w:rsid w:val="00710DF8"/>
    <w:rsid w:val="00712732"/>
    <w:rsid w:val="00712D6E"/>
    <w:rsid w:val="0071659B"/>
    <w:rsid w:val="00716817"/>
    <w:rsid w:val="00716E53"/>
    <w:rsid w:val="007171B7"/>
    <w:rsid w:val="00717BE0"/>
    <w:rsid w:val="0072119A"/>
    <w:rsid w:val="00721A3D"/>
    <w:rsid w:val="00721F35"/>
    <w:rsid w:val="007225CB"/>
    <w:rsid w:val="00726042"/>
    <w:rsid w:val="0072632A"/>
    <w:rsid w:val="00730052"/>
    <w:rsid w:val="007300B8"/>
    <w:rsid w:val="00730375"/>
    <w:rsid w:val="007314E6"/>
    <w:rsid w:val="00731982"/>
    <w:rsid w:val="007332AE"/>
    <w:rsid w:val="007334FF"/>
    <w:rsid w:val="00734F4E"/>
    <w:rsid w:val="00735555"/>
    <w:rsid w:val="007358E8"/>
    <w:rsid w:val="00736673"/>
    <w:rsid w:val="00736ECE"/>
    <w:rsid w:val="0074097C"/>
    <w:rsid w:val="00740EAF"/>
    <w:rsid w:val="0074166E"/>
    <w:rsid w:val="00743D7D"/>
    <w:rsid w:val="007442DD"/>
    <w:rsid w:val="00744E0F"/>
    <w:rsid w:val="007450FA"/>
    <w:rsid w:val="0074533B"/>
    <w:rsid w:val="00745433"/>
    <w:rsid w:val="0074565F"/>
    <w:rsid w:val="007470CD"/>
    <w:rsid w:val="0074755B"/>
    <w:rsid w:val="007531BC"/>
    <w:rsid w:val="007560FE"/>
    <w:rsid w:val="00756284"/>
    <w:rsid w:val="00756488"/>
    <w:rsid w:val="007565AE"/>
    <w:rsid w:val="007566CE"/>
    <w:rsid w:val="00760359"/>
    <w:rsid w:val="00764058"/>
    <w:rsid w:val="007643BC"/>
    <w:rsid w:val="00764988"/>
    <w:rsid w:val="00764D57"/>
    <w:rsid w:val="007658DB"/>
    <w:rsid w:val="0076595A"/>
    <w:rsid w:val="00765D6F"/>
    <w:rsid w:val="00765FBB"/>
    <w:rsid w:val="007678FC"/>
    <w:rsid w:val="00770A52"/>
    <w:rsid w:val="00771E6F"/>
    <w:rsid w:val="00773142"/>
    <w:rsid w:val="007742C6"/>
    <w:rsid w:val="00774D41"/>
    <w:rsid w:val="00775D0B"/>
    <w:rsid w:val="007829EA"/>
    <w:rsid w:val="00783489"/>
    <w:rsid w:val="007862F3"/>
    <w:rsid w:val="0078694C"/>
    <w:rsid w:val="00790F9C"/>
    <w:rsid w:val="00791E7C"/>
    <w:rsid w:val="007939FA"/>
    <w:rsid w:val="00794EA5"/>
    <w:rsid w:val="00794F6A"/>
    <w:rsid w:val="00795903"/>
    <w:rsid w:val="0079595D"/>
    <w:rsid w:val="007959FE"/>
    <w:rsid w:val="007960D1"/>
    <w:rsid w:val="007968A1"/>
    <w:rsid w:val="00796E72"/>
    <w:rsid w:val="007970F7"/>
    <w:rsid w:val="00797D31"/>
    <w:rsid w:val="007A0CF1"/>
    <w:rsid w:val="007A0F44"/>
    <w:rsid w:val="007A177F"/>
    <w:rsid w:val="007A1B77"/>
    <w:rsid w:val="007A1C92"/>
    <w:rsid w:val="007A2C0E"/>
    <w:rsid w:val="007A2DE1"/>
    <w:rsid w:val="007A2F6E"/>
    <w:rsid w:val="007A4546"/>
    <w:rsid w:val="007A5710"/>
    <w:rsid w:val="007A5D08"/>
    <w:rsid w:val="007A61E2"/>
    <w:rsid w:val="007A66E7"/>
    <w:rsid w:val="007A7306"/>
    <w:rsid w:val="007B1ACA"/>
    <w:rsid w:val="007B1AEA"/>
    <w:rsid w:val="007B204F"/>
    <w:rsid w:val="007B26E1"/>
    <w:rsid w:val="007B282A"/>
    <w:rsid w:val="007B46D1"/>
    <w:rsid w:val="007B483A"/>
    <w:rsid w:val="007B4B6B"/>
    <w:rsid w:val="007B50CD"/>
    <w:rsid w:val="007B5559"/>
    <w:rsid w:val="007B5D1D"/>
    <w:rsid w:val="007B6049"/>
    <w:rsid w:val="007B6BA5"/>
    <w:rsid w:val="007B6E43"/>
    <w:rsid w:val="007B74AC"/>
    <w:rsid w:val="007B78B9"/>
    <w:rsid w:val="007C0879"/>
    <w:rsid w:val="007C0BDF"/>
    <w:rsid w:val="007C2851"/>
    <w:rsid w:val="007C3390"/>
    <w:rsid w:val="007C3DD4"/>
    <w:rsid w:val="007C42D8"/>
    <w:rsid w:val="007C4F4B"/>
    <w:rsid w:val="007C6E6B"/>
    <w:rsid w:val="007D0FAF"/>
    <w:rsid w:val="007D1239"/>
    <w:rsid w:val="007D20AA"/>
    <w:rsid w:val="007D25AB"/>
    <w:rsid w:val="007D3171"/>
    <w:rsid w:val="007D38CF"/>
    <w:rsid w:val="007D394B"/>
    <w:rsid w:val="007D43C7"/>
    <w:rsid w:val="007D4614"/>
    <w:rsid w:val="007D5951"/>
    <w:rsid w:val="007D5A49"/>
    <w:rsid w:val="007D5EF5"/>
    <w:rsid w:val="007D5F64"/>
    <w:rsid w:val="007D5F75"/>
    <w:rsid w:val="007E118C"/>
    <w:rsid w:val="007E1865"/>
    <w:rsid w:val="007E2BD4"/>
    <w:rsid w:val="007E45CE"/>
    <w:rsid w:val="007E4B6C"/>
    <w:rsid w:val="007E5B3A"/>
    <w:rsid w:val="007E6B19"/>
    <w:rsid w:val="007F025D"/>
    <w:rsid w:val="007F041D"/>
    <w:rsid w:val="007F0B77"/>
    <w:rsid w:val="007F2419"/>
    <w:rsid w:val="007F3657"/>
    <w:rsid w:val="007F39B0"/>
    <w:rsid w:val="007F47DB"/>
    <w:rsid w:val="007F5318"/>
    <w:rsid w:val="007F5547"/>
    <w:rsid w:val="007F5CE2"/>
    <w:rsid w:val="007F6611"/>
    <w:rsid w:val="007F6966"/>
    <w:rsid w:val="008016CE"/>
    <w:rsid w:val="0080170A"/>
    <w:rsid w:val="00801972"/>
    <w:rsid w:val="00801E9A"/>
    <w:rsid w:val="008022DC"/>
    <w:rsid w:val="0080270D"/>
    <w:rsid w:val="008040C3"/>
    <w:rsid w:val="008050B7"/>
    <w:rsid w:val="00805CE3"/>
    <w:rsid w:val="008064AE"/>
    <w:rsid w:val="008065B7"/>
    <w:rsid w:val="00806668"/>
    <w:rsid w:val="00807A6A"/>
    <w:rsid w:val="00810BAC"/>
    <w:rsid w:val="00810C3F"/>
    <w:rsid w:val="008114CC"/>
    <w:rsid w:val="00812C6E"/>
    <w:rsid w:val="00814AB1"/>
    <w:rsid w:val="00814D0E"/>
    <w:rsid w:val="0081588D"/>
    <w:rsid w:val="0081626F"/>
    <w:rsid w:val="008164DB"/>
    <w:rsid w:val="00816A6C"/>
    <w:rsid w:val="008175E9"/>
    <w:rsid w:val="00820C10"/>
    <w:rsid w:val="00823EEB"/>
    <w:rsid w:val="00824285"/>
    <w:rsid w:val="008242D7"/>
    <w:rsid w:val="008250C9"/>
    <w:rsid w:val="00825FB0"/>
    <w:rsid w:val="00827F39"/>
    <w:rsid w:val="008301A4"/>
    <w:rsid w:val="00831AEA"/>
    <w:rsid w:val="00834681"/>
    <w:rsid w:val="00834EF1"/>
    <w:rsid w:val="00835427"/>
    <w:rsid w:val="00836779"/>
    <w:rsid w:val="00837C66"/>
    <w:rsid w:val="00837EEE"/>
    <w:rsid w:val="008403AF"/>
    <w:rsid w:val="008413BD"/>
    <w:rsid w:val="00842075"/>
    <w:rsid w:val="0084322A"/>
    <w:rsid w:val="00843885"/>
    <w:rsid w:val="00843B33"/>
    <w:rsid w:val="00843EF7"/>
    <w:rsid w:val="00844905"/>
    <w:rsid w:val="00844DBD"/>
    <w:rsid w:val="00846266"/>
    <w:rsid w:val="00850598"/>
    <w:rsid w:val="008508DF"/>
    <w:rsid w:val="00850AA5"/>
    <w:rsid w:val="008517CE"/>
    <w:rsid w:val="00852449"/>
    <w:rsid w:val="008541A3"/>
    <w:rsid w:val="008549D9"/>
    <w:rsid w:val="0085576A"/>
    <w:rsid w:val="008567F2"/>
    <w:rsid w:val="00857330"/>
    <w:rsid w:val="008578E0"/>
    <w:rsid w:val="008603FE"/>
    <w:rsid w:val="0086162F"/>
    <w:rsid w:val="0086231E"/>
    <w:rsid w:val="008626BC"/>
    <w:rsid w:val="0086338B"/>
    <w:rsid w:val="008634F4"/>
    <w:rsid w:val="008639D7"/>
    <w:rsid w:val="00864135"/>
    <w:rsid w:val="00866893"/>
    <w:rsid w:val="008669D2"/>
    <w:rsid w:val="00866F02"/>
    <w:rsid w:val="00867D18"/>
    <w:rsid w:val="00870095"/>
    <w:rsid w:val="00870AF0"/>
    <w:rsid w:val="00871EBD"/>
    <w:rsid w:val="00871FD5"/>
    <w:rsid w:val="008728CF"/>
    <w:rsid w:val="00872CBE"/>
    <w:rsid w:val="008736A3"/>
    <w:rsid w:val="008736B9"/>
    <w:rsid w:val="00873775"/>
    <w:rsid w:val="0087395F"/>
    <w:rsid w:val="00873D44"/>
    <w:rsid w:val="00874078"/>
    <w:rsid w:val="0087409E"/>
    <w:rsid w:val="00875543"/>
    <w:rsid w:val="00875BDE"/>
    <w:rsid w:val="00876AEC"/>
    <w:rsid w:val="00876B3F"/>
    <w:rsid w:val="00876FA4"/>
    <w:rsid w:val="00880F6E"/>
    <w:rsid w:val="00882076"/>
    <w:rsid w:val="0088320A"/>
    <w:rsid w:val="00883A1B"/>
    <w:rsid w:val="0088503C"/>
    <w:rsid w:val="00885AF1"/>
    <w:rsid w:val="008869D9"/>
    <w:rsid w:val="00886F18"/>
    <w:rsid w:val="008877CC"/>
    <w:rsid w:val="008879BC"/>
    <w:rsid w:val="00887B3D"/>
    <w:rsid w:val="00887DE6"/>
    <w:rsid w:val="00887EAF"/>
    <w:rsid w:val="00890567"/>
    <w:rsid w:val="0089255D"/>
    <w:rsid w:val="00892CE8"/>
    <w:rsid w:val="008932E1"/>
    <w:rsid w:val="008933A9"/>
    <w:rsid w:val="00893563"/>
    <w:rsid w:val="008939C4"/>
    <w:rsid w:val="00894453"/>
    <w:rsid w:val="0089486C"/>
    <w:rsid w:val="00895885"/>
    <w:rsid w:val="008963EE"/>
    <w:rsid w:val="00896A6F"/>
    <w:rsid w:val="00896FD0"/>
    <w:rsid w:val="008972B0"/>
    <w:rsid w:val="008979B1"/>
    <w:rsid w:val="008A0445"/>
    <w:rsid w:val="008A1871"/>
    <w:rsid w:val="008A235F"/>
    <w:rsid w:val="008A2C8F"/>
    <w:rsid w:val="008A2EAA"/>
    <w:rsid w:val="008A3A77"/>
    <w:rsid w:val="008A3E15"/>
    <w:rsid w:val="008A5093"/>
    <w:rsid w:val="008A513F"/>
    <w:rsid w:val="008A6B25"/>
    <w:rsid w:val="008A6C4F"/>
    <w:rsid w:val="008A70A8"/>
    <w:rsid w:val="008A7D8F"/>
    <w:rsid w:val="008B1BC4"/>
    <w:rsid w:val="008B1BD1"/>
    <w:rsid w:val="008B32FC"/>
    <w:rsid w:val="008B389E"/>
    <w:rsid w:val="008B4537"/>
    <w:rsid w:val="008B46CC"/>
    <w:rsid w:val="008B48C8"/>
    <w:rsid w:val="008B5DC2"/>
    <w:rsid w:val="008B61B4"/>
    <w:rsid w:val="008B641F"/>
    <w:rsid w:val="008B6B2E"/>
    <w:rsid w:val="008B6E94"/>
    <w:rsid w:val="008C15C2"/>
    <w:rsid w:val="008C1D44"/>
    <w:rsid w:val="008C2177"/>
    <w:rsid w:val="008C24F3"/>
    <w:rsid w:val="008C3247"/>
    <w:rsid w:val="008C4B1F"/>
    <w:rsid w:val="008C4E50"/>
    <w:rsid w:val="008C6E80"/>
    <w:rsid w:val="008D045E"/>
    <w:rsid w:val="008D206D"/>
    <w:rsid w:val="008D29B6"/>
    <w:rsid w:val="008D2A97"/>
    <w:rsid w:val="008D3CCD"/>
    <w:rsid w:val="008D3DD0"/>
    <w:rsid w:val="008D3E6A"/>
    <w:rsid w:val="008D3F25"/>
    <w:rsid w:val="008D4D82"/>
    <w:rsid w:val="008D50DB"/>
    <w:rsid w:val="008D561F"/>
    <w:rsid w:val="008D56EF"/>
    <w:rsid w:val="008D6D57"/>
    <w:rsid w:val="008D7090"/>
    <w:rsid w:val="008E054F"/>
    <w:rsid w:val="008E083B"/>
    <w:rsid w:val="008E0E2A"/>
    <w:rsid w:val="008E0E46"/>
    <w:rsid w:val="008E174A"/>
    <w:rsid w:val="008E330F"/>
    <w:rsid w:val="008E38DA"/>
    <w:rsid w:val="008E43C6"/>
    <w:rsid w:val="008E637C"/>
    <w:rsid w:val="008E6EFD"/>
    <w:rsid w:val="008E7112"/>
    <w:rsid w:val="008E7291"/>
    <w:rsid w:val="008E754B"/>
    <w:rsid w:val="008E7DF7"/>
    <w:rsid w:val="008E7FE3"/>
    <w:rsid w:val="008F1B12"/>
    <w:rsid w:val="008F30A4"/>
    <w:rsid w:val="008F3345"/>
    <w:rsid w:val="008F3558"/>
    <w:rsid w:val="008F3882"/>
    <w:rsid w:val="008F41F7"/>
    <w:rsid w:val="008F4B7C"/>
    <w:rsid w:val="008F4C5E"/>
    <w:rsid w:val="008F5263"/>
    <w:rsid w:val="008F5424"/>
    <w:rsid w:val="008F6591"/>
    <w:rsid w:val="008F6C80"/>
    <w:rsid w:val="008F721F"/>
    <w:rsid w:val="008F759B"/>
    <w:rsid w:val="008F7E8E"/>
    <w:rsid w:val="00900280"/>
    <w:rsid w:val="00901F0D"/>
    <w:rsid w:val="0090228A"/>
    <w:rsid w:val="009033DA"/>
    <w:rsid w:val="009034D8"/>
    <w:rsid w:val="00905745"/>
    <w:rsid w:val="00907015"/>
    <w:rsid w:val="00907199"/>
    <w:rsid w:val="009072AA"/>
    <w:rsid w:val="00907A07"/>
    <w:rsid w:val="00907D2B"/>
    <w:rsid w:val="00912AF9"/>
    <w:rsid w:val="00912DA5"/>
    <w:rsid w:val="0091377D"/>
    <w:rsid w:val="0091447D"/>
    <w:rsid w:val="0091530A"/>
    <w:rsid w:val="009163E3"/>
    <w:rsid w:val="0091782E"/>
    <w:rsid w:val="00921366"/>
    <w:rsid w:val="00923F5A"/>
    <w:rsid w:val="00924C1B"/>
    <w:rsid w:val="0092691D"/>
    <w:rsid w:val="00926E47"/>
    <w:rsid w:val="0092753F"/>
    <w:rsid w:val="00927E15"/>
    <w:rsid w:val="00930DAF"/>
    <w:rsid w:val="009310C5"/>
    <w:rsid w:val="00931815"/>
    <w:rsid w:val="00931DDA"/>
    <w:rsid w:val="00931FBA"/>
    <w:rsid w:val="0093215E"/>
    <w:rsid w:val="00932C11"/>
    <w:rsid w:val="009334A5"/>
    <w:rsid w:val="00934033"/>
    <w:rsid w:val="00934155"/>
    <w:rsid w:val="00936593"/>
    <w:rsid w:val="009372C7"/>
    <w:rsid w:val="009376D1"/>
    <w:rsid w:val="00937E3C"/>
    <w:rsid w:val="0094081A"/>
    <w:rsid w:val="00941160"/>
    <w:rsid w:val="00941DFA"/>
    <w:rsid w:val="0094222C"/>
    <w:rsid w:val="00946645"/>
    <w:rsid w:val="00946F12"/>
    <w:rsid w:val="00947162"/>
    <w:rsid w:val="00947927"/>
    <w:rsid w:val="00950330"/>
    <w:rsid w:val="00950BEA"/>
    <w:rsid w:val="00951853"/>
    <w:rsid w:val="00951A4E"/>
    <w:rsid w:val="009523F0"/>
    <w:rsid w:val="0095268C"/>
    <w:rsid w:val="00952A67"/>
    <w:rsid w:val="0095340D"/>
    <w:rsid w:val="00953E4F"/>
    <w:rsid w:val="009557F5"/>
    <w:rsid w:val="0095584A"/>
    <w:rsid w:val="00955BB2"/>
    <w:rsid w:val="00955D70"/>
    <w:rsid w:val="0095627E"/>
    <w:rsid w:val="00956355"/>
    <w:rsid w:val="00960DB1"/>
    <w:rsid w:val="009618FB"/>
    <w:rsid w:val="009624B5"/>
    <w:rsid w:val="00962E56"/>
    <w:rsid w:val="00963016"/>
    <w:rsid w:val="00963A52"/>
    <w:rsid w:val="00963C43"/>
    <w:rsid w:val="00963CBA"/>
    <w:rsid w:val="00965B9E"/>
    <w:rsid w:val="009662E6"/>
    <w:rsid w:val="00967169"/>
    <w:rsid w:val="00967EFF"/>
    <w:rsid w:val="0097095E"/>
    <w:rsid w:val="0097222F"/>
    <w:rsid w:val="00972CD7"/>
    <w:rsid w:val="00972D29"/>
    <w:rsid w:val="009768B9"/>
    <w:rsid w:val="00980540"/>
    <w:rsid w:val="00980AF4"/>
    <w:rsid w:val="00980FBD"/>
    <w:rsid w:val="0098205C"/>
    <w:rsid w:val="00982C5E"/>
    <w:rsid w:val="00983910"/>
    <w:rsid w:val="00983A72"/>
    <w:rsid w:val="00983B6E"/>
    <w:rsid w:val="00984745"/>
    <w:rsid w:val="00984CE8"/>
    <w:rsid w:val="009851AC"/>
    <w:rsid w:val="0098552B"/>
    <w:rsid w:val="0098592B"/>
    <w:rsid w:val="00985B7A"/>
    <w:rsid w:val="00985FC4"/>
    <w:rsid w:val="009860D3"/>
    <w:rsid w:val="009862CE"/>
    <w:rsid w:val="00986439"/>
    <w:rsid w:val="00986453"/>
    <w:rsid w:val="00986DB0"/>
    <w:rsid w:val="00990766"/>
    <w:rsid w:val="00990ADC"/>
    <w:rsid w:val="00991005"/>
    <w:rsid w:val="00991261"/>
    <w:rsid w:val="00991787"/>
    <w:rsid w:val="00993658"/>
    <w:rsid w:val="0099398E"/>
    <w:rsid w:val="0099462F"/>
    <w:rsid w:val="00994733"/>
    <w:rsid w:val="00995638"/>
    <w:rsid w:val="009962E8"/>
    <w:rsid w:val="009964C4"/>
    <w:rsid w:val="00997567"/>
    <w:rsid w:val="009A0F9A"/>
    <w:rsid w:val="009A1C65"/>
    <w:rsid w:val="009A1FDF"/>
    <w:rsid w:val="009A31A1"/>
    <w:rsid w:val="009A36B4"/>
    <w:rsid w:val="009A37AC"/>
    <w:rsid w:val="009A3905"/>
    <w:rsid w:val="009A3953"/>
    <w:rsid w:val="009A3F3A"/>
    <w:rsid w:val="009A40EA"/>
    <w:rsid w:val="009A45A3"/>
    <w:rsid w:val="009A4810"/>
    <w:rsid w:val="009A5BC3"/>
    <w:rsid w:val="009A5E42"/>
    <w:rsid w:val="009A64BC"/>
    <w:rsid w:val="009A7B81"/>
    <w:rsid w:val="009B020D"/>
    <w:rsid w:val="009B08F8"/>
    <w:rsid w:val="009B22B1"/>
    <w:rsid w:val="009B303F"/>
    <w:rsid w:val="009B37C2"/>
    <w:rsid w:val="009B41B1"/>
    <w:rsid w:val="009B4B9C"/>
    <w:rsid w:val="009B4F27"/>
    <w:rsid w:val="009B626F"/>
    <w:rsid w:val="009B641A"/>
    <w:rsid w:val="009B6FD4"/>
    <w:rsid w:val="009B7585"/>
    <w:rsid w:val="009C00EB"/>
    <w:rsid w:val="009C0EDE"/>
    <w:rsid w:val="009C262F"/>
    <w:rsid w:val="009C2900"/>
    <w:rsid w:val="009C33C5"/>
    <w:rsid w:val="009C356B"/>
    <w:rsid w:val="009C3B2B"/>
    <w:rsid w:val="009C51F1"/>
    <w:rsid w:val="009C5F8F"/>
    <w:rsid w:val="009C61ED"/>
    <w:rsid w:val="009C63BD"/>
    <w:rsid w:val="009C6CF8"/>
    <w:rsid w:val="009D0C5E"/>
    <w:rsid w:val="009D0F89"/>
    <w:rsid w:val="009D1CE7"/>
    <w:rsid w:val="009D1F4D"/>
    <w:rsid w:val="009D38A5"/>
    <w:rsid w:val="009D38B4"/>
    <w:rsid w:val="009D4508"/>
    <w:rsid w:val="009D4758"/>
    <w:rsid w:val="009D491F"/>
    <w:rsid w:val="009D4A5A"/>
    <w:rsid w:val="009D5BE7"/>
    <w:rsid w:val="009D607C"/>
    <w:rsid w:val="009D6A08"/>
    <w:rsid w:val="009D6B4A"/>
    <w:rsid w:val="009D713A"/>
    <w:rsid w:val="009D7621"/>
    <w:rsid w:val="009E0A16"/>
    <w:rsid w:val="009E119C"/>
    <w:rsid w:val="009E1398"/>
    <w:rsid w:val="009E1C68"/>
    <w:rsid w:val="009E2290"/>
    <w:rsid w:val="009E23DF"/>
    <w:rsid w:val="009E30A5"/>
    <w:rsid w:val="009E3498"/>
    <w:rsid w:val="009E353E"/>
    <w:rsid w:val="009E4024"/>
    <w:rsid w:val="009E42CC"/>
    <w:rsid w:val="009E7970"/>
    <w:rsid w:val="009F027E"/>
    <w:rsid w:val="009F1E45"/>
    <w:rsid w:val="009F1F9A"/>
    <w:rsid w:val="009F2EAC"/>
    <w:rsid w:val="009F3ED2"/>
    <w:rsid w:val="009F4322"/>
    <w:rsid w:val="009F57E3"/>
    <w:rsid w:val="009F5869"/>
    <w:rsid w:val="009F5A5E"/>
    <w:rsid w:val="009F5DCC"/>
    <w:rsid w:val="00A0004C"/>
    <w:rsid w:val="00A007B4"/>
    <w:rsid w:val="00A00C6A"/>
    <w:rsid w:val="00A02507"/>
    <w:rsid w:val="00A026C7"/>
    <w:rsid w:val="00A02FDA"/>
    <w:rsid w:val="00A058BD"/>
    <w:rsid w:val="00A06331"/>
    <w:rsid w:val="00A06406"/>
    <w:rsid w:val="00A07039"/>
    <w:rsid w:val="00A07A0E"/>
    <w:rsid w:val="00A1015C"/>
    <w:rsid w:val="00A10817"/>
    <w:rsid w:val="00A11067"/>
    <w:rsid w:val="00A11175"/>
    <w:rsid w:val="00A1237F"/>
    <w:rsid w:val="00A1427D"/>
    <w:rsid w:val="00A14D35"/>
    <w:rsid w:val="00A153AC"/>
    <w:rsid w:val="00A158A4"/>
    <w:rsid w:val="00A16544"/>
    <w:rsid w:val="00A16993"/>
    <w:rsid w:val="00A1704A"/>
    <w:rsid w:val="00A172F0"/>
    <w:rsid w:val="00A1785E"/>
    <w:rsid w:val="00A20C8A"/>
    <w:rsid w:val="00A23588"/>
    <w:rsid w:val="00A235F1"/>
    <w:rsid w:val="00A241E8"/>
    <w:rsid w:val="00A25581"/>
    <w:rsid w:val="00A25930"/>
    <w:rsid w:val="00A2743B"/>
    <w:rsid w:val="00A27C7B"/>
    <w:rsid w:val="00A30676"/>
    <w:rsid w:val="00A306A5"/>
    <w:rsid w:val="00A30A8D"/>
    <w:rsid w:val="00A30EF5"/>
    <w:rsid w:val="00A3122C"/>
    <w:rsid w:val="00A31324"/>
    <w:rsid w:val="00A31E50"/>
    <w:rsid w:val="00A323A9"/>
    <w:rsid w:val="00A35AD6"/>
    <w:rsid w:val="00A36436"/>
    <w:rsid w:val="00A36509"/>
    <w:rsid w:val="00A40CE2"/>
    <w:rsid w:val="00A40F9F"/>
    <w:rsid w:val="00A424AB"/>
    <w:rsid w:val="00A425EB"/>
    <w:rsid w:val="00A4447A"/>
    <w:rsid w:val="00A45B87"/>
    <w:rsid w:val="00A46F1E"/>
    <w:rsid w:val="00A47E25"/>
    <w:rsid w:val="00A505D5"/>
    <w:rsid w:val="00A5102D"/>
    <w:rsid w:val="00A5132F"/>
    <w:rsid w:val="00A53A18"/>
    <w:rsid w:val="00A5482B"/>
    <w:rsid w:val="00A54F10"/>
    <w:rsid w:val="00A55EE7"/>
    <w:rsid w:val="00A5673E"/>
    <w:rsid w:val="00A60026"/>
    <w:rsid w:val="00A60F30"/>
    <w:rsid w:val="00A61ABD"/>
    <w:rsid w:val="00A62C01"/>
    <w:rsid w:val="00A62FC9"/>
    <w:rsid w:val="00A63867"/>
    <w:rsid w:val="00A6482A"/>
    <w:rsid w:val="00A64D80"/>
    <w:rsid w:val="00A6601D"/>
    <w:rsid w:val="00A66A82"/>
    <w:rsid w:val="00A700D0"/>
    <w:rsid w:val="00A70210"/>
    <w:rsid w:val="00A705A6"/>
    <w:rsid w:val="00A7108B"/>
    <w:rsid w:val="00A711BA"/>
    <w:rsid w:val="00A72F22"/>
    <w:rsid w:val="00A733BC"/>
    <w:rsid w:val="00A7417B"/>
    <w:rsid w:val="00A748A6"/>
    <w:rsid w:val="00A76A69"/>
    <w:rsid w:val="00A76E65"/>
    <w:rsid w:val="00A76F4C"/>
    <w:rsid w:val="00A77C04"/>
    <w:rsid w:val="00A812AE"/>
    <w:rsid w:val="00A8175B"/>
    <w:rsid w:val="00A81E64"/>
    <w:rsid w:val="00A81FC9"/>
    <w:rsid w:val="00A82B7C"/>
    <w:rsid w:val="00A8507A"/>
    <w:rsid w:val="00A859F7"/>
    <w:rsid w:val="00A85D80"/>
    <w:rsid w:val="00A86B17"/>
    <w:rsid w:val="00A879A4"/>
    <w:rsid w:val="00A90B39"/>
    <w:rsid w:val="00A93520"/>
    <w:rsid w:val="00A94BB4"/>
    <w:rsid w:val="00A9573B"/>
    <w:rsid w:val="00A96FC2"/>
    <w:rsid w:val="00A96FDE"/>
    <w:rsid w:val="00A97A5F"/>
    <w:rsid w:val="00AA0E9B"/>
    <w:rsid w:val="00AA0F2C"/>
    <w:rsid w:val="00AA25E1"/>
    <w:rsid w:val="00AA2A37"/>
    <w:rsid w:val="00AA4503"/>
    <w:rsid w:val="00AA7A6C"/>
    <w:rsid w:val="00AB0706"/>
    <w:rsid w:val="00AB0B88"/>
    <w:rsid w:val="00AB21F5"/>
    <w:rsid w:val="00AB2FAB"/>
    <w:rsid w:val="00AB3379"/>
    <w:rsid w:val="00AB368E"/>
    <w:rsid w:val="00AB3C95"/>
    <w:rsid w:val="00AB3F2A"/>
    <w:rsid w:val="00AB456B"/>
    <w:rsid w:val="00AB4760"/>
    <w:rsid w:val="00AB495F"/>
    <w:rsid w:val="00AB5112"/>
    <w:rsid w:val="00AB5136"/>
    <w:rsid w:val="00AB58B9"/>
    <w:rsid w:val="00AB5A78"/>
    <w:rsid w:val="00AB6FC2"/>
    <w:rsid w:val="00AB7A22"/>
    <w:rsid w:val="00AC0000"/>
    <w:rsid w:val="00AC0A6D"/>
    <w:rsid w:val="00AC0F2C"/>
    <w:rsid w:val="00AC25B1"/>
    <w:rsid w:val="00AC303C"/>
    <w:rsid w:val="00AC3B08"/>
    <w:rsid w:val="00AC3C9A"/>
    <w:rsid w:val="00AC4070"/>
    <w:rsid w:val="00AC48DB"/>
    <w:rsid w:val="00AC502A"/>
    <w:rsid w:val="00AC5247"/>
    <w:rsid w:val="00AC547E"/>
    <w:rsid w:val="00AC71E6"/>
    <w:rsid w:val="00AD0313"/>
    <w:rsid w:val="00AD0F90"/>
    <w:rsid w:val="00AD0FEA"/>
    <w:rsid w:val="00AD128C"/>
    <w:rsid w:val="00AD31DD"/>
    <w:rsid w:val="00AD4DAA"/>
    <w:rsid w:val="00AD4F91"/>
    <w:rsid w:val="00AD57CD"/>
    <w:rsid w:val="00AD5EF5"/>
    <w:rsid w:val="00AD6285"/>
    <w:rsid w:val="00AD69FC"/>
    <w:rsid w:val="00AD79A7"/>
    <w:rsid w:val="00AD7CD7"/>
    <w:rsid w:val="00AE006D"/>
    <w:rsid w:val="00AE06BE"/>
    <w:rsid w:val="00AE23A7"/>
    <w:rsid w:val="00AE262F"/>
    <w:rsid w:val="00AE3AC6"/>
    <w:rsid w:val="00AE3FC3"/>
    <w:rsid w:val="00AE41C5"/>
    <w:rsid w:val="00AE49F4"/>
    <w:rsid w:val="00AE5D28"/>
    <w:rsid w:val="00AE69FB"/>
    <w:rsid w:val="00AE6A79"/>
    <w:rsid w:val="00AE7471"/>
    <w:rsid w:val="00AF035A"/>
    <w:rsid w:val="00AF2BB8"/>
    <w:rsid w:val="00AF3166"/>
    <w:rsid w:val="00AF3DFE"/>
    <w:rsid w:val="00AF4EB1"/>
    <w:rsid w:val="00AF5351"/>
    <w:rsid w:val="00AF58C1"/>
    <w:rsid w:val="00AF63D5"/>
    <w:rsid w:val="00AF6747"/>
    <w:rsid w:val="00AF7CC2"/>
    <w:rsid w:val="00B00A7C"/>
    <w:rsid w:val="00B016D7"/>
    <w:rsid w:val="00B02C2D"/>
    <w:rsid w:val="00B03B68"/>
    <w:rsid w:val="00B043BE"/>
    <w:rsid w:val="00B04C56"/>
    <w:rsid w:val="00B04FA7"/>
    <w:rsid w:val="00B06643"/>
    <w:rsid w:val="00B06BBA"/>
    <w:rsid w:val="00B114D8"/>
    <w:rsid w:val="00B11FFC"/>
    <w:rsid w:val="00B122DC"/>
    <w:rsid w:val="00B131F9"/>
    <w:rsid w:val="00B13D90"/>
    <w:rsid w:val="00B1461C"/>
    <w:rsid w:val="00B14728"/>
    <w:rsid w:val="00B149D9"/>
    <w:rsid w:val="00B15055"/>
    <w:rsid w:val="00B157C5"/>
    <w:rsid w:val="00B16A3A"/>
    <w:rsid w:val="00B16F11"/>
    <w:rsid w:val="00B177F0"/>
    <w:rsid w:val="00B17AE1"/>
    <w:rsid w:val="00B17B0E"/>
    <w:rsid w:val="00B20045"/>
    <w:rsid w:val="00B2059B"/>
    <w:rsid w:val="00B2318A"/>
    <w:rsid w:val="00B23F13"/>
    <w:rsid w:val="00B23F5D"/>
    <w:rsid w:val="00B24AAB"/>
    <w:rsid w:val="00B24C28"/>
    <w:rsid w:val="00B26D7D"/>
    <w:rsid w:val="00B27AF5"/>
    <w:rsid w:val="00B30179"/>
    <w:rsid w:val="00B301EE"/>
    <w:rsid w:val="00B308FE"/>
    <w:rsid w:val="00B323A5"/>
    <w:rsid w:val="00B3317B"/>
    <w:rsid w:val="00B3335A"/>
    <w:rsid w:val="00B3342B"/>
    <w:rsid w:val="00B347A4"/>
    <w:rsid w:val="00B347E3"/>
    <w:rsid w:val="00B3519A"/>
    <w:rsid w:val="00B358D2"/>
    <w:rsid w:val="00B359E2"/>
    <w:rsid w:val="00B35E7D"/>
    <w:rsid w:val="00B35F94"/>
    <w:rsid w:val="00B37B15"/>
    <w:rsid w:val="00B403B5"/>
    <w:rsid w:val="00B406EF"/>
    <w:rsid w:val="00B40D93"/>
    <w:rsid w:val="00B413FA"/>
    <w:rsid w:val="00B42488"/>
    <w:rsid w:val="00B44010"/>
    <w:rsid w:val="00B456B4"/>
    <w:rsid w:val="00B45C02"/>
    <w:rsid w:val="00B46E3A"/>
    <w:rsid w:val="00B50491"/>
    <w:rsid w:val="00B50981"/>
    <w:rsid w:val="00B50F1E"/>
    <w:rsid w:val="00B50F39"/>
    <w:rsid w:val="00B511BB"/>
    <w:rsid w:val="00B51616"/>
    <w:rsid w:val="00B52AC0"/>
    <w:rsid w:val="00B52F61"/>
    <w:rsid w:val="00B52FBC"/>
    <w:rsid w:val="00B5373A"/>
    <w:rsid w:val="00B53B34"/>
    <w:rsid w:val="00B53D08"/>
    <w:rsid w:val="00B54E73"/>
    <w:rsid w:val="00B556B2"/>
    <w:rsid w:val="00B56D89"/>
    <w:rsid w:val="00B606E5"/>
    <w:rsid w:val="00B611B1"/>
    <w:rsid w:val="00B613A2"/>
    <w:rsid w:val="00B6283C"/>
    <w:rsid w:val="00B62DFD"/>
    <w:rsid w:val="00B6356B"/>
    <w:rsid w:val="00B63EBE"/>
    <w:rsid w:val="00B63EDE"/>
    <w:rsid w:val="00B64DC1"/>
    <w:rsid w:val="00B6644F"/>
    <w:rsid w:val="00B66A14"/>
    <w:rsid w:val="00B66A6C"/>
    <w:rsid w:val="00B70424"/>
    <w:rsid w:val="00B70741"/>
    <w:rsid w:val="00B7077B"/>
    <w:rsid w:val="00B71D21"/>
    <w:rsid w:val="00B728F7"/>
    <w:rsid w:val="00B72A1E"/>
    <w:rsid w:val="00B72C09"/>
    <w:rsid w:val="00B734C9"/>
    <w:rsid w:val="00B746B0"/>
    <w:rsid w:val="00B770B5"/>
    <w:rsid w:val="00B80095"/>
    <w:rsid w:val="00B81E12"/>
    <w:rsid w:val="00B82C40"/>
    <w:rsid w:val="00B82EB5"/>
    <w:rsid w:val="00B84057"/>
    <w:rsid w:val="00B85446"/>
    <w:rsid w:val="00B85638"/>
    <w:rsid w:val="00B868C5"/>
    <w:rsid w:val="00B86BFB"/>
    <w:rsid w:val="00B87A01"/>
    <w:rsid w:val="00B90D72"/>
    <w:rsid w:val="00B910DE"/>
    <w:rsid w:val="00B93068"/>
    <w:rsid w:val="00B9423D"/>
    <w:rsid w:val="00B9505B"/>
    <w:rsid w:val="00B95C26"/>
    <w:rsid w:val="00B9667F"/>
    <w:rsid w:val="00B966D7"/>
    <w:rsid w:val="00B96803"/>
    <w:rsid w:val="00B96CD4"/>
    <w:rsid w:val="00B97131"/>
    <w:rsid w:val="00B97591"/>
    <w:rsid w:val="00BA0800"/>
    <w:rsid w:val="00BA137B"/>
    <w:rsid w:val="00BA297E"/>
    <w:rsid w:val="00BA339B"/>
    <w:rsid w:val="00BA5F8D"/>
    <w:rsid w:val="00BA61A9"/>
    <w:rsid w:val="00BA6BDD"/>
    <w:rsid w:val="00BA74A5"/>
    <w:rsid w:val="00BA7C52"/>
    <w:rsid w:val="00BB00B6"/>
    <w:rsid w:val="00BB0B3E"/>
    <w:rsid w:val="00BB1DCD"/>
    <w:rsid w:val="00BB2286"/>
    <w:rsid w:val="00BB38E3"/>
    <w:rsid w:val="00BB45A5"/>
    <w:rsid w:val="00BB5534"/>
    <w:rsid w:val="00BB5D9A"/>
    <w:rsid w:val="00BB6CDF"/>
    <w:rsid w:val="00BB6FE3"/>
    <w:rsid w:val="00BB7D78"/>
    <w:rsid w:val="00BC1E7E"/>
    <w:rsid w:val="00BC2D44"/>
    <w:rsid w:val="00BC512D"/>
    <w:rsid w:val="00BC6348"/>
    <w:rsid w:val="00BC63DB"/>
    <w:rsid w:val="00BC74E9"/>
    <w:rsid w:val="00BC7853"/>
    <w:rsid w:val="00BC7950"/>
    <w:rsid w:val="00BC7BEB"/>
    <w:rsid w:val="00BD034E"/>
    <w:rsid w:val="00BD0CEF"/>
    <w:rsid w:val="00BD1207"/>
    <w:rsid w:val="00BD2304"/>
    <w:rsid w:val="00BD282B"/>
    <w:rsid w:val="00BD4674"/>
    <w:rsid w:val="00BD48EA"/>
    <w:rsid w:val="00BD4F58"/>
    <w:rsid w:val="00BD599C"/>
    <w:rsid w:val="00BD5E82"/>
    <w:rsid w:val="00BD66F0"/>
    <w:rsid w:val="00BD790D"/>
    <w:rsid w:val="00BD7B3F"/>
    <w:rsid w:val="00BD7E9C"/>
    <w:rsid w:val="00BE0C3C"/>
    <w:rsid w:val="00BE1181"/>
    <w:rsid w:val="00BE1D49"/>
    <w:rsid w:val="00BE1E95"/>
    <w:rsid w:val="00BE2F38"/>
    <w:rsid w:val="00BE36A9"/>
    <w:rsid w:val="00BE4751"/>
    <w:rsid w:val="00BE618E"/>
    <w:rsid w:val="00BE7BEC"/>
    <w:rsid w:val="00BF0E63"/>
    <w:rsid w:val="00BF1059"/>
    <w:rsid w:val="00BF1270"/>
    <w:rsid w:val="00BF12A3"/>
    <w:rsid w:val="00BF16D7"/>
    <w:rsid w:val="00BF1734"/>
    <w:rsid w:val="00BF1E5F"/>
    <w:rsid w:val="00BF2373"/>
    <w:rsid w:val="00BF4215"/>
    <w:rsid w:val="00BF48B0"/>
    <w:rsid w:val="00BF5FAD"/>
    <w:rsid w:val="00C007D0"/>
    <w:rsid w:val="00C00A8A"/>
    <w:rsid w:val="00C00BFD"/>
    <w:rsid w:val="00C029BA"/>
    <w:rsid w:val="00C044E2"/>
    <w:rsid w:val="00C04828"/>
    <w:rsid w:val="00C048CB"/>
    <w:rsid w:val="00C04ACD"/>
    <w:rsid w:val="00C04F4C"/>
    <w:rsid w:val="00C05600"/>
    <w:rsid w:val="00C05623"/>
    <w:rsid w:val="00C05F2E"/>
    <w:rsid w:val="00C07193"/>
    <w:rsid w:val="00C104AB"/>
    <w:rsid w:val="00C11182"/>
    <w:rsid w:val="00C13869"/>
    <w:rsid w:val="00C14D08"/>
    <w:rsid w:val="00C16697"/>
    <w:rsid w:val="00C175C5"/>
    <w:rsid w:val="00C17CEC"/>
    <w:rsid w:val="00C21985"/>
    <w:rsid w:val="00C21E5B"/>
    <w:rsid w:val="00C22662"/>
    <w:rsid w:val="00C227A5"/>
    <w:rsid w:val="00C23CB9"/>
    <w:rsid w:val="00C2493D"/>
    <w:rsid w:val="00C24E9D"/>
    <w:rsid w:val="00C256A6"/>
    <w:rsid w:val="00C259BF"/>
    <w:rsid w:val="00C26064"/>
    <w:rsid w:val="00C2658C"/>
    <w:rsid w:val="00C27D23"/>
    <w:rsid w:val="00C27FC5"/>
    <w:rsid w:val="00C306A2"/>
    <w:rsid w:val="00C30AD2"/>
    <w:rsid w:val="00C31967"/>
    <w:rsid w:val="00C32946"/>
    <w:rsid w:val="00C33529"/>
    <w:rsid w:val="00C335B6"/>
    <w:rsid w:val="00C33850"/>
    <w:rsid w:val="00C3393E"/>
    <w:rsid w:val="00C344CB"/>
    <w:rsid w:val="00C348A1"/>
    <w:rsid w:val="00C35234"/>
    <w:rsid w:val="00C3558D"/>
    <w:rsid w:val="00C35924"/>
    <w:rsid w:val="00C35B27"/>
    <w:rsid w:val="00C37308"/>
    <w:rsid w:val="00C419D3"/>
    <w:rsid w:val="00C41D06"/>
    <w:rsid w:val="00C41F9F"/>
    <w:rsid w:val="00C420D2"/>
    <w:rsid w:val="00C42D33"/>
    <w:rsid w:val="00C42FF1"/>
    <w:rsid w:val="00C43A0B"/>
    <w:rsid w:val="00C441B0"/>
    <w:rsid w:val="00C46103"/>
    <w:rsid w:val="00C463DD"/>
    <w:rsid w:val="00C465DB"/>
    <w:rsid w:val="00C46F29"/>
    <w:rsid w:val="00C47750"/>
    <w:rsid w:val="00C47B25"/>
    <w:rsid w:val="00C51B5B"/>
    <w:rsid w:val="00C528D1"/>
    <w:rsid w:val="00C53FFF"/>
    <w:rsid w:val="00C54602"/>
    <w:rsid w:val="00C54E9E"/>
    <w:rsid w:val="00C551AD"/>
    <w:rsid w:val="00C55411"/>
    <w:rsid w:val="00C55865"/>
    <w:rsid w:val="00C55FFE"/>
    <w:rsid w:val="00C56382"/>
    <w:rsid w:val="00C56DE0"/>
    <w:rsid w:val="00C63658"/>
    <w:rsid w:val="00C6389C"/>
    <w:rsid w:val="00C63AF4"/>
    <w:rsid w:val="00C64212"/>
    <w:rsid w:val="00C647BC"/>
    <w:rsid w:val="00C664CE"/>
    <w:rsid w:val="00C6686F"/>
    <w:rsid w:val="00C704AD"/>
    <w:rsid w:val="00C73A91"/>
    <w:rsid w:val="00C745C3"/>
    <w:rsid w:val="00C754E5"/>
    <w:rsid w:val="00C7675A"/>
    <w:rsid w:val="00C7679C"/>
    <w:rsid w:val="00C775CC"/>
    <w:rsid w:val="00C8092C"/>
    <w:rsid w:val="00C820B0"/>
    <w:rsid w:val="00C82EBC"/>
    <w:rsid w:val="00C8306A"/>
    <w:rsid w:val="00C857EE"/>
    <w:rsid w:val="00C86D41"/>
    <w:rsid w:val="00C903C2"/>
    <w:rsid w:val="00C91084"/>
    <w:rsid w:val="00C911AA"/>
    <w:rsid w:val="00C911EE"/>
    <w:rsid w:val="00C91CF7"/>
    <w:rsid w:val="00C928FC"/>
    <w:rsid w:val="00C92A1D"/>
    <w:rsid w:val="00C92B24"/>
    <w:rsid w:val="00C92C05"/>
    <w:rsid w:val="00C93492"/>
    <w:rsid w:val="00C93F14"/>
    <w:rsid w:val="00C94A18"/>
    <w:rsid w:val="00C95B73"/>
    <w:rsid w:val="00CA01B1"/>
    <w:rsid w:val="00CA06EC"/>
    <w:rsid w:val="00CA1FC3"/>
    <w:rsid w:val="00CA2731"/>
    <w:rsid w:val="00CA2EC8"/>
    <w:rsid w:val="00CA3153"/>
    <w:rsid w:val="00CA3224"/>
    <w:rsid w:val="00CA39ED"/>
    <w:rsid w:val="00CA41B2"/>
    <w:rsid w:val="00CA5778"/>
    <w:rsid w:val="00CA5901"/>
    <w:rsid w:val="00CA6534"/>
    <w:rsid w:val="00CA6664"/>
    <w:rsid w:val="00CA721C"/>
    <w:rsid w:val="00CB0459"/>
    <w:rsid w:val="00CB0E03"/>
    <w:rsid w:val="00CB1E99"/>
    <w:rsid w:val="00CB20BE"/>
    <w:rsid w:val="00CB3192"/>
    <w:rsid w:val="00CB348D"/>
    <w:rsid w:val="00CB3D1E"/>
    <w:rsid w:val="00CB4999"/>
    <w:rsid w:val="00CB535C"/>
    <w:rsid w:val="00CB735C"/>
    <w:rsid w:val="00CB7CE0"/>
    <w:rsid w:val="00CC00BC"/>
    <w:rsid w:val="00CC00EB"/>
    <w:rsid w:val="00CC14A4"/>
    <w:rsid w:val="00CC2FDE"/>
    <w:rsid w:val="00CC3575"/>
    <w:rsid w:val="00CC3676"/>
    <w:rsid w:val="00CC3C53"/>
    <w:rsid w:val="00CC510A"/>
    <w:rsid w:val="00CC528F"/>
    <w:rsid w:val="00CC585F"/>
    <w:rsid w:val="00CC69D4"/>
    <w:rsid w:val="00CC6F71"/>
    <w:rsid w:val="00CC7FB3"/>
    <w:rsid w:val="00CD0AB4"/>
    <w:rsid w:val="00CD2B83"/>
    <w:rsid w:val="00CD3B49"/>
    <w:rsid w:val="00CD3C15"/>
    <w:rsid w:val="00CD425B"/>
    <w:rsid w:val="00CD43BD"/>
    <w:rsid w:val="00CD46F5"/>
    <w:rsid w:val="00CD5AE7"/>
    <w:rsid w:val="00CD76FB"/>
    <w:rsid w:val="00CE0052"/>
    <w:rsid w:val="00CE0C8D"/>
    <w:rsid w:val="00CE3137"/>
    <w:rsid w:val="00CE4A8F"/>
    <w:rsid w:val="00CE4AB8"/>
    <w:rsid w:val="00CF071D"/>
    <w:rsid w:val="00CF08D8"/>
    <w:rsid w:val="00CF2204"/>
    <w:rsid w:val="00CF232E"/>
    <w:rsid w:val="00CF2A34"/>
    <w:rsid w:val="00CF3619"/>
    <w:rsid w:val="00CF379B"/>
    <w:rsid w:val="00CF3CA5"/>
    <w:rsid w:val="00CF3FF2"/>
    <w:rsid w:val="00CF43B7"/>
    <w:rsid w:val="00CF56F1"/>
    <w:rsid w:val="00CF5CB4"/>
    <w:rsid w:val="00CF6195"/>
    <w:rsid w:val="00CF6B95"/>
    <w:rsid w:val="00CF7C56"/>
    <w:rsid w:val="00D0026D"/>
    <w:rsid w:val="00D02407"/>
    <w:rsid w:val="00D05630"/>
    <w:rsid w:val="00D0605B"/>
    <w:rsid w:val="00D06869"/>
    <w:rsid w:val="00D06C0C"/>
    <w:rsid w:val="00D06D52"/>
    <w:rsid w:val="00D06EDC"/>
    <w:rsid w:val="00D11869"/>
    <w:rsid w:val="00D13F20"/>
    <w:rsid w:val="00D148EE"/>
    <w:rsid w:val="00D15B04"/>
    <w:rsid w:val="00D15EC7"/>
    <w:rsid w:val="00D16A3E"/>
    <w:rsid w:val="00D17BA7"/>
    <w:rsid w:val="00D2007E"/>
    <w:rsid w:val="00D20279"/>
    <w:rsid w:val="00D2028A"/>
    <w:rsid w:val="00D2031B"/>
    <w:rsid w:val="00D22203"/>
    <w:rsid w:val="00D2393B"/>
    <w:rsid w:val="00D23A67"/>
    <w:rsid w:val="00D23D53"/>
    <w:rsid w:val="00D24CE4"/>
    <w:rsid w:val="00D24FD5"/>
    <w:rsid w:val="00D25CB5"/>
    <w:rsid w:val="00D25D8A"/>
    <w:rsid w:val="00D25FE2"/>
    <w:rsid w:val="00D26282"/>
    <w:rsid w:val="00D26381"/>
    <w:rsid w:val="00D26E07"/>
    <w:rsid w:val="00D303CC"/>
    <w:rsid w:val="00D305B7"/>
    <w:rsid w:val="00D30E7A"/>
    <w:rsid w:val="00D31852"/>
    <w:rsid w:val="00D32845"/>
    <w:rsid w:val="00D3341F"/>
    <w:rsid w:val="00D339C2"/>
    <w:rsid w:val="00D37F6A"/>
    <w:rsid w:val="00D406A7"/>
    <w:rsid w:val="00D40CA8"/>
    <w:rsid w:val="00D42CFD"/>
    <w:rsid w:val="00D43252"/>
    <w:rsid w:val="00D43456"/>
    <w:rsid w:val="00D436C2"/>
    <w:rsid w:val="00D44E02"/>
    <w:rsid w:val="00D451C5"/>
    <w:rsid w:val="00D46048"/>
    <w:rsid w:val="00D47DCF"/>
    <w:rsid w:val="00D47E66"/>
    <w:rsid w:val="00D50B7D"/>
    <w:rsid w:val="00D52B80"/>
    <w:rsid w:val="00D54497"/>
    <w:rsid w:val="00D55814"/>
    <w:rsid w:val="00D56298"/>
    <w:rsid w:val="00D61DC2"/>
    <w:rsid w:val="00D622E0"/>
    <w:rsid w:val="00D62954"/>
    <w:rsid w:val="00D643E6"/>
    <w:rsid w:val="00D6454F"/>
    <w:rsid w:val="00D64F8F"/>
    <w:rsid w:val="00D64FBA"/>
    <w:rsid w:val="00D65772"/>
    <w:rsid w:val="00D65B39"/>
    <w:rsid w:val="00D665EF"/>
    <w:rsid w:val="00D66BB6"/>
    <w:rsid w:val="00D67903"/>
    <w:rsid w:val="00D67B91"/>
    <w:rsid w:val="00D67F4B"/>
    <w:rsid w:val="00D67F53"/>
    <w:rsid w:val="00D70154"/>
    <w:rsid w:val="00D704E5"/>
    <w:rsid w:val="00D713E1"/>
    <w:rsid w:val="00D72727"/>
    <w:rsid w:val="00D74165"/>
    <w:rsid w:val="00D74FE3"/>
    <w:rsid w:val="00D75627"/>
    <w:rsid w:val="00D75859"/>
    <w:rsid w:val="00D758AF"/>
    <w:rsid w:val="00D76C33"/>
    <w:rsid w:val="00D7725A"/>
    <w:rsid w:val="00D7729B"/>
    <w:rsid w:val="00D77A30"/>
    <w:rsid w:val="00D8048D"/>
    <w:rsid w:val="00D8092D"/>
    <w:rsid w:val="00D80B80"/>
    <w:rsid w:val="00D810F4"/>
    <w:rsid w:val="00D816E9"/>
    <w:rsid w:val="00D822BD"/>
    <w:rsid w:val="00D823F2"/>
    <w:rsid w:val="00D82481"/>
    <w:rsid w:val="00D837B3"/>
    <w:rsid w:val="00D84308"/>
    <w:rsid w:val="00D85905"/>
    <w:rsid w:val="00D8631C"/>
    <w:rsid w:val="00D86558"/>
    <w:rsid w:val="00D87053"/>
    <w:rsid w:val="00D8786D"/>
    <w:rsid w:val="00D87B03"/>
    <w:rsid w:val="00D91A4F"/>
    <w:rsid w:val="00D938B4"/>
    <w:rsid w:val="00D939C6"/>
    <w:rsid w:val="00D9539C"/>
    <w:rsid w:val="00D95E71"/>
    <w:rsid w:val="00D964C6"/>
    <w:rsid w:val="00D978C6"/>
    <w:rsid w:val="00D97ABA"/>
    <w:rsid w:val="00DA0956"/>
    <w:rsid w:val="00DA1A65"/>
    <w:rsid w:val="00DA1DB7"/>
    <w:rsid w:val="00DA1EAA"/>
    <w:rsid w:val="00DA2199"/>
    <w:rsid w:val="00DA31E8"/>
    <w:rsid w:val="00DA357F"/>
    <w:rsid w:val="00DA3C64"/>
    <w:rsid w:val="00DA3E12"/>
    <w:rsid w:val="00DA3E7A"/>
    <w:rsid w:val="00DA44F3"/>
    <w:rsid w:val="00DA4E2E"/>
    <w:rsid w:val="00DA5A23"/>
    <w:rsid w:val="00DA6421"/>
    <w:rsid w:val="00DA6640"/>
    <w:rsid w:val="00DA67AD"/>
    <w:rsid w:val="00DA6F74"/>
    <w:rsid w:val="00DB1898"/>
    <w:rsid w:val="00DB3240"/>
    <w:rsid w:val="00DB3503"/>
    <w:rsid w:val="00DB4556"/>
    <w:rsid w:val="00DB4EF0"/>
    <w:rsid w:val="00DB5D9E"/>
    <w:rsid w:val="00DB62EC"/>
    <w:rsid w:val="00DB73C8"/>
    <w:rsid w:val="00DB7D4D"/>
    <w:rsid w:val="00DC0482"/>
    <w:rsid w:val="00DC18AD"/>
    <w:rsid w:val="00DC3584"/>
    <w:rsid w:val="00DC3B04"/>
    <w:rsid w:val="00DC427E"/>
    <w:rsid w:val="00DC5132"/>
    <w:rsid w:val="00DC5296"/>
    <w:rsid w:val="00DC580B"/>
    <w:rsid w:val="00DC5E95"/>
    <w:rsid w:val="00DC5EB9"/>
    <w:rsid w:val="00DD04B0"/>
    <w:rsid w:val="00DD0A8C"/>
    <w:rsid w:val="00DD2291"/>
    <w:rsid w:val="00DD2E51"/>
    <w:rsid w:val="00DD3091"/>
    <w:rsid w:val="00DD3176"/>
    <w:rsid w:val="00DD327C"/>
    <w:rsid w:val="00DD4332"/>
    <w:rsid w:val="00DD4796"/>
    <w:rsid w:val="00DD537D"/>
    <w:rsid w:val="00DD5FDA"/>
    <w:rsid w:val="00DD6B89"/>
    <w:rsid w:val="00DD739D"/>
    <w:rsid w:val="00DD7E9C"/>
    <w:rsid w:val="00DE160A"/>
    <w:rsid w:val="00DE29D7"/>
    <w:rsid w:val="00DE439C"/>
    <w:rsid w:val="00DE4F0C"/>
    <w:rsid w:val="00DE4F7C"/>
    <w:rsid w:val="00DE51A8"/>
    <w:rsid w:val="00DE6485"/>
    <w:rsid w:val="00DE7D83"/>
    <w:rsid w:val="00DE7E98"/>
    <w:rsid w:val="00DF014B"/>
    <w:rsid w:val="00DF120E"/>
    <w:rsid w:val="00DF1916"/>
    <w:rsid w:val="00DF51AB"/>
    <w:rsid w:val="00DF5216"/>
    <w:rsid w:val="00DF52FC"/>
    <w:rsid w:val="00DF67DD"/>
    <w:rsid w:val="00DF6E19"/>
    <w:rsid w:val="00DF7B3D"/>
    <w:rsid w:val="00DF7CAE"/>
    <w:rsid w:val="00E00514"/>
    <w:rsid w:val="00E00C8A"/>
    <w:rsid w:val="00E00DA0"/>
    <w:rsid w:val="00E03192"/>
    <w:rsid w:val="00E04904"/>
    <w:rsid w:val="00E05471"/>
    <w:rsid w:val="00E06888"/>
    <w:rsid w:val="00E072BA"/>
    <w:rsid w:val="00E11483"/>
    <w:rsid w:val="00E117BA"/>
    <w:rsid w:val="00E12280"/>
    <w:rsid w:val="00E12D7B"/>
    <w:rsid w:val="00E130AB"/>
    <w:rsid w:val="00E139E4"/>
    <w:rsid w:val="00E16F69"/>
    <w:rsid w:val="00E178A4"/>
    <w:rsid w:val="00E21160"/>
    <w:rsid w:val="00E21183"/>
    <w:rsid w:val="00E212F3"/>
    <w:rsid w:val="00E2216B"/>
    <w:rsid w:val="00E22202"/>
    <w:rsid w:val="00E2264F"/>
    <w:rsid w:val="00E24313"/>
    <w:rsid w:val="00E254D0"/>
    <w:rsid w:val="00E25DE2"/>
    <w:rsid w:val="00E3128A"/>
    <w:rsid w:val="00E31A55"/>
    <w:rsid w:val="00E3281D"/>
    <w:rsid w:val="00E32F68"/>
    <w:rsid w:val="00E3733A"/>
    <w:rsid w:val="00E37671"/>
    <w:rsid w:val="00E37961"/>
    <w:rsid w:val="00E4009D"/>
    <w:rsid w:val="00E41891"/>
    <w:rsid w:val="00E4191B"/>
    <w:rsid w:val="00E4228E"/>
    <w:rsid w:val="00E423C0"/>
    <w:rsid w:val="00E42AC6"/>
    <w:rsid w:val="00E42B82"/>
    <w:rsid w:val="00E45EB2"/>
    <w:rsid w:val="00E46128"/>
    <w:rsid w:val="00E467EF"/>
    <w:rsid w:val="00E50051"/>
    <w:rsid w:val="00E5048A"/>
    <w:rsid w:val="00E50D95"/>
    <w:rsid w:val="00E5208C"/>
    <w:rsid w:val="00E53566"/>
    <w:rsid w:val="00E53EC1"/>
    <w:rsid w:val="00E5454F"/>
    <w:rsid w:val="00E54916"/>
    <w:rsid w:val="00E54D22"/>
    <w:rsid w:val="00E54FDF"/>
    <w:rsid w:val="00E550A9"/>
    <w:rsid w:val="00E5644E"/>
    <w:rsid w:val="00E57B4A"/>
    <w:rsid w:val="00E618F4"/>
    <w:rsid w:val="00E62000"/>
    <w:rsid w:val="00E627C2"/>
    <w:rsid w:val="00E62A47"/>
    <w:rsid w:val="00E63B56"/>
    <w:rsid w:val="00E6414C"/>
    <w:rsid w:val="00E665A8"/>
    <w:rsid w:val="00E66B81"/>
    <w:rsid w:val="00E67047"/>
    <w:rsid w:val="00E7072D"/>
    <w:rsid w:val="00E717CF"/>
    <w:rsid w:val="00E7189F"/>
    <w:rsid w:val="00E72377"/>
    <w:rsid w:val="00E7260F"/>
    <w:rsid w:val="00E73A55"/>
    <w:rsid w:val="00E73FCD"/>
    <w:rsid w:val="00E753FB"/>
    <w:rsid w:val="00E754B7"/>
    <w:rsid w:val="00E767D0"/>
    <w:rsid w:val="00E7783F"/>
    <w:rsid w:val="00E7788C"/>
    <w:rsid w:val="00E77BB1"/>
    <w:rsid w:val="00E8037C"/>
    <w:rsid w:val="00E81033"/>
    <w:rsid w:val="00E8222D"/>
    <w:rsid w:val="00E8498C"/>
    <w:rsid w:val="00E85719"/>
    <w:rsid w:val="00E863FF"/>
    <w:rsid w:val="00E8702D"/>
    <w:rsid w:val="00E90CFE"/>
    <w:rsid w:val="00E916B4"/>
    <w:rsid w:val="00E916DE"/>
    <w:rsid w:val="00E924D7"/>
    <w:rsid w:val="00E930AF"/>
    <w:rsid w:val="00E932FA"/>
    <w:rsid w:val="00E948B8"/>
    <w:rsid w:val="00E94A58"/>
    <w:rsid w:val="00E95212"/>
    <w:rsid w:val="00E95A69"/>
    <w:rsid w:val="00E95A6A"/>
    <w:rsid w:val="00E96170"/>
    <w:rsid w:val="00E9639A"/>
    <w:rsid w:val="00E96630"/>
    <w:rsid w:val="00EA0733"/>
    <w:rsid w:val="00EA0A23"/>
    <w:rsid w:val="00EA0E66"/>
    <w:rsid w:val="00EA239F"/>
    <w:rsid w:val="00EA31B2"/>
    <w:rsid w:val="00EA3502"/>
    <w:rsid w:val="00EA3AB0"/>
    <w:rsid w:val="00EA3BC7"/>
    <w:rsid w:val="00EA3DA6"/>
    <w:rsid w:val="00EA43C5"/>
    <w:rsid w:val="00EA5053"/>
    <w:rsid w:val="00EA54F0"/>
    <w:rsid w:val="00EA55E3"/>
    <w:rsid w:val="00EA643C"/>
    <w:rsid w:val="00EA6826"/>
    <w:rsid w:val="00EB03B1"/>
    <w:rsid w:val="00EB21F2"/>
    <w:rsid w:val="00EB22F5"/>
    <w:rsid w:val="00EB2FD4"/>
    <w:rsid w:val="00EB3B02"/>
    <w:rsid w:val="00EB430D"/>
    <w:rsid w:val="00EB4417"/>
    <w:rsid w:val="00EB5705"/>
    <w:rsid w:val="00EC1788"/>
    <w:rsid w:val="00EC2787"/>
    <w:rsid w:val="00EC33BF"/>
    <w:rsid w:val="00EC4A2E"/>
    <w:rsid w:val="00EC4C96"/>
    <w:rsid w:val="00EC72E6"/>
    <w:rsid w:val="00EC78EA"/>
    <w:rsid w:val="00EC7E32"/>
    <w:rsid w:val="00ED036D"/>
    <w:rsid w:val="00ED1053"/>
    <w:rsid w:val="00ED18DC"/>
    <w:rsid w:val="00ED49C7"/>
    <w:rsid w:val="00ED4CE8"/>
    <w:rsid w:val="00ED79E6"/>
    <w:rsid w:val="00ED7A2A"/>
    <w:rsid w:val="00EE0230"/>
    <w:rsid w:val="00EE1108"/>
    <w:rsid w:val="00EE201B"/>
    <w:rsid w:val="00EE21DC"/>
    <w:rsid w:val="00EE375F"/>
    <w:rsid w:val="00EE4285"/>
    <w:rsid w:val="00EE5383"/>
    <w:rsid w:val="00EE5A28"/>
    <w:rsid w:val="00EE65CB"/>
    <w:rsid w:val="00EE7C79"/>
    <w:rsid w:val="00EE7FC0"/>
    <w:rsid w:val="00EF02C3"/>
    <w:rsid w:val="00EF1B50"/>
    <w:rsid w:val="00EF1D7F"/>
    <w:rsid w:val="00EF3BE0"/>
    <w:rsid w:val="00EF425D"/>
    <w:rsid w:val="00EF4859"/>
    <w:rsid w:val="00EF4994"/>
    <w:rsid w:val="00EF4D9E"/>
    <w:rsid w:val="00EF685A"/>
    <w:rsid w:val="00F0137E"/>
    <w:rsid w:val="00F028A8"/>
    <w:rsid w:val="00F05D12"/>
    <w:rsid w:val="00F06162"/>
    <w:rsid w:val="00F0744A"/>
    <w:rsid w:val="00F13DE3"/>
    <w:rsid w:val="00F153DF"/>
    <w:rsid w:val="00F1640E"/>
    <w:rsid w:val="00F16F8E"/>
    <w:rsid w:val="00F17012"/>
    <w:rsid w:val="00F1779C"/>
    <w:rsid w:val="00F17E9D"/>
    <w:rsid w:val="00F20363"/>
    <w:rsid w:val="00F20EE4"/>
    <w:rsid w:val="00F21423"/>
    <w:rsid w:val="00F21786"/>
    <w:rsid w:val="00F21AF7"/>
    <w:rsid w:val="00F223D3"/>
    <w:rsid w:val="00F23AB2"/>
    <w:rsid w:val="00F23DF6"/>
    <w:rsid w:val="00F24272"/>
    <w:rsid w:val="00F245E8"/>
    <w:rsid w:val="00F24CAC"/>
    <w:rsid w:val="00F25303"/>
    <w:rsid w:val="00F26547"/>
    <w:rsid w:val="00F26DE3"/>
    <w:rsid w:val="00F27530"/>
    <w:rsid w:val="00F2759B"/>
    <w:rsid w:val="00F30335"/>
    <w:rsid w:val="00F310D6"/>
    <w:rsid w:val="00F31D1A"/>
    <w:rsid w:val="00F3269B"/>
    <w:rsid w:val="00F32853"/>
    <w:rsid w:val="00F33D1F"/>
    <w:rsid w:val="00F347BE"/>
    <w:rsid w:val="00F35BC6"/>
    <w:rsid w:val="00F3742B"/>
    <w:rsid w:val="00F379A2"/>
    <w:rsid w:val="00F40E75"/>
    <w:rsid w:val="00F41C88"/>
    <w:rsid w:val="00F43DDC"/>
    <w:rsid w:val="00F445B8"/>
    <w:rsid w:val="00F44B2E"/>
    <w:rsid w:val="00F453C2"/>
    <w:rsid w:val="00F45952"/>
    <w:rsid w:val="00F46EBC"/>
    <w:rsid w:val="00F47740"/>
    <w:rsid w:val="00F509CF"/>
    <w:rsid w:val="00F510E7"/>
    <w:rsid w:val="00F51B25"/>
    <w:rsid w:val="00F520A7"/>
    <w:rsid w:val="00F52982"/>
    <w:rsid w:val="00F52DAB"/>
    <w:rsid w:val="00F54368"/>
    <w:rsid w:val="00F5528C"/>
    <w:rsid w:val="00F552B4"/>
    <w:rsid w:val="00F55C39"/>
    <w:rsid w:val="00F5620B"/>
    <w:rsid w:val="00F563BC"/>
    <w:rsid w:val="00F5685E"/>
    <w:rsid w:val="00F570E4"/>
    <w:rsid w:val="00F575FC"/>
    <w:rsid w:val="00F60277"/>
    <w:rsid w:val="00F604AC"/>
    <w:rsid w:val="00F60A3D"/>
    <w:rsid w:val="00F618AA"/>
    <w:rsid w:val="00F625D3"/>
    <w:rsid w:val="00F627C5"/>
    <w:rsid w:val="00F654C3"/>
    <w:rsid w:val="00F65B88"/>
    <w:rsid w:val="00F661AD"/>
    <w:rsid w:val="00F67F29"/>
    <w:rsid w:val="00F700D2"/>
    <w:rsid w:val="00F70FAE"/>
    <w:rsid w:val="00F72848"/>
    <w:rsid w:val="00F740F7"/>
    <w:rsid w:val="00F74795"/>
    <w:rsid w:val="00F75496"/>
    <w:rsid w:val="00F76D4A"/>
    <w:rsid w:val="00F76D84"/>
    <w:rsid w:val="00F76DBB"/>
    <w:rsid w:val="00F76E20"/>
    <w:rsid w:val="00F77671"/>
    <w:rsid w:val="00F77ACC"/>
    <w:rsid w:val="00F808F2"/>
    <w:rsid w:val="00F81C11"/>
    <w:rsid w:val="00F82B10"/>
    <w:rsid w:val="00F8433C"/>
    <w:rsid w:val="00F85046"/>
    <w:rsid w:val="00F867EC"/>
    <w:rsid w:val="00F90457"/>
    <w:rsid w:val="00F91B2B"/>
    <w:rsid w:val="00F93D4F"/>
    <w:rsid w:val="00F94A8D"/>
    <w:rsid w:val="00F9576F"/>
    <w:rsid w:val="00F96550"/>
    <w:rsid w:val="00F97186"/>
    <w:rsid w:val="00F97858"/>
    <w:rsid w:val="00F97A63"/>
    <w:rsid w:val="00FA0692"/>
    <w:rsid w:val="00FA3B60"/>
    <w:rsid w:val="00FA4BA6"/>
    <w:rsid w:val="00FA4FA7"/>
    <w:rsid w:val="00FA5588"/>
    <w:rsid w:val="00FA61AB"/>
    <w:rsid w:val="00FA63E4"/>
    <w:rsid w:val="00FA6F19"/>
    <w:rsid w:val="00FB131A"/>
    <w:rsid w:val="00FB1FC8"/>
    <w:rsid w:val="00FB2987"/>
    <w:rsid w:val="00FB66C5"/>
    <w:rsid w:val="00FB7AC2"/>
    <w:rsid w:val="00FB7C29"/>
    <w:rsid w:val="00FC03CD"/>
    <w:rsid w:val="00FC0646"/>
    <w:rsid w:val="00FC129A"/>
    <w:rsid w:val="00FC137F"/>
    <w:rsid w:val="00FC4AA8"/>
    <w:rsid w:val="00FC4CDD"/>
    <w:rsid w:val="00FC4E6C"/>
    <w:rsid w:val="00FC5BC0"/>
    <w:rsid w:val="00FC5E01"/>
    <w:rsid w:val="00FC68B7"/>
    <w:rsid w:val="00FC759D"/>
    <w:rsid w:val="00FD0569"/>
    <w:rsid w:val="00FD0C29"/>
    <w:rsid w:val="00FD0D8E"/>
    <w:rsid w:val="00FD122F"/>
    <w:rsid w:val="00FD1D23"/>
    <w:rsid w:val="00FD23AB"/>
    <w:rsid w:val="00FD2509"/>
    <w:rsid w:val="00FD2F49"/>
    <w:rsid w:val="00FD3F6A"/>
    <w:rsid w:val="00FD4B3E"/>
    <w:rsid w:val="00FD55FD"/>
    <w:rsid w:val="00FD599B"/>
    <w:rsid w:val="00FD66B4"/>
    <w:rsid w:val="00FE116A"/>
    <w:rsid w:val="00FE1659"/>
    <w:rsid w:val="00FE1895"/>
    <w:rsid w:val="00FE2A67"/>
    <w:rsid w:val="00FE43A0"/>
    <w:rsid w:val="00FE4548"/>
    <w:rsid w:val="00FE4F2C"/>
    <w:rsid w:val="00FE6985"/>
    <w:rsid w:val="00FE6E28"/>
    <w:rsid w:val="00FE78AB"/>
    <w:rsid w:val="00FF1050"/>
    <w:rsid w:val="00FF2A01"/>
    <w:rsid w:val="00FF2C53"/>
    <w:rsid w:val="00FF3C3C"/>
    <w:rsid w:val="00FF41D5"/>
    <w:rsid w:val="00FF5AD3"/>
    <w:rsid w:val="00FF6AD3"/>
    <w:rsid w:val="00FF6B6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uiPriority="99" w:qFormat="1"/>
    <w:lsdException w:name="footnote text" w:uiPriority="99"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page number"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7D7"/>
    <w:pPr>
      <w:suppressAutoHyphens/>
      <w:spacing w:line="240" w:lineRule="atLeast"/>
    </w:pPr>
    <w:rPr>
      <w:lang w:val="en-GB" w:eastAsia="en-US"/>
    </w:rPr>
  </w:style>
  <w:style w:type="paragraph" w:styleId="Heading1">
    <w:name w:val="heading 1"/>
    <w:aliases w:val="Table_G"/>
    <w:basedOn w:val="SingleTxtG"/>
    <w:next w:val="SingleTxtG"/>
    <w:link w:val="Heading1Char"/>
    <w:uiPriority w:val="99"/>
    <w:qFormat/>
    <w:rsid w:val="00443FE5"/>
    <w:pPr>
      <w:keepNext/>
      <w:keepLines/>
      <w:spacing w:after="0" w:line="240" w:lineRule="auto"/>
      <w:ind w:right="0"/>
      <w:jc w:val="left"/>
      <w:outlineLvl w:val="0"/>
    </w:pPr>
  </w:style>
  <w:style w:type="paragraph" w:styleId="Heading2">
    <w:name w:val="heading 2"/>
    <w:basedOn w:val="Normal"/>
    <w:next w:val="Normal"/>
    <w:link w:val="Heading2Char"/>
    <w:uiPriority w:val="99"/>
    <w:qFormat/>
    <w:rsid w:val="00443FE5"/>
    <w:pPr>
      <w:outlineLvl w:val="1"/>
    </w:pPr>
    <w:rPr>
      <w:lang w:val="fr-CH"/>
    </w:rPr>
  </w:style>
  <w:style w:type="paragraph" w:styleId="Heading3">
    <w:name w:val="heading 3"/>
    <w:basedOn w:val="Normal"/>
    <w:next w:val="Normal"/>
    <w:link w:val="Heading3Char"/>
    <w:uiPriority w:val="99"/>
    <w:qFormat/>
    <w:rsid w:val="00443FE5"/>
    <w:pPr>
      <w:outlineLvl w:val="2"/>
    </w:pPr>
    <w:rPr>
      <w:lang w:val="fr-CH"/>
    </w:rPr>
  </w:style>
  <w:style w:type="paragraph" w:styleId="Heading4">
    <w:name w:val="heading 4"/>
    <w:basedOn w:val="Normal"/>
    <w:next w:val="Normal"/>
    <w:link w:val="Heading4Char"/>
    <w:uiPriority w:val="99"/>
    <w:qFormat/>
    <w:rsid w:val="00443FE5"/>
    <w:pPr>
      <w:outlineLvl w:val="3"/>
    </w:pPr>
    <w:rPr>
      <w:lang w:val="fr-CH"/>
    </w:rPr>
  </w:style>
  <w:style w:type="paragraph" w:styleId="Heading5">
    <w:name w:val="heading 5"/>
    <w:basedOn w:val="Normal"/>
    <w:next w:val="Normal"/>
    <w:link w:val="Heading5Char"/>
    <w:uiPriority w:val="99"/>
    <w:qFormat/>
    <w:rsid w:val="00443FE5"/>
    <w:pPr>
      <w:outlineLvl w:val="4"/>
    </w:pPr>
    <w:rPr>
      <w:lang w:val="fr-CH"/>
    </w:rPr>
  </w:style>
  <w:style w:type="paragraph" w:styleId="Heading6">
    <w:name w:val="heading 6"/>
    <w:basedOn w:val="Normal"/>
    <w:next w:val="Normal"/>
    <w:qFormat/>
    <w:rsid w:val="00443FE5"/>
    <w:pPr>
      <w:outlineLvl w:val="5"/>
    </w:pPr>
    <w:rPr>
      <w:lang w:val="fr-CH"/>
    </w:rPr>
  </w:style>
  <w:style w:type="paragraph" w:styleId="Heading7">
    <w:name w:val="heading 7"/>
    <w:basedOn w:val="Normal"/>
    <w:next w:val="Normal"/>
    <w:qFormat/>
    <w:rsid w:val="00443FE5"/>
    <w:pPr>
      <w:outlineLvl w:val="6"/>
    </w:pPr>
    <w:rPr>
      <w:lang w:val="fr-CH"/>
    </w:rPr>
  </w:style>
  <w:style w:type="paragraph" w:styleId="Heading8">
    <w:name w:val="heading 8"/>
    <w:basedOn w:val="Normal"/>
    <w:next w:val="Normal"/>
    <w:qFormat/>
    <w:rsid w:val="00443FE5"/>
    <w:pPr>
      <w:outlineLvl w:val="7"/>
    </w:pPr>
    <w:rPr>
      <w:lang w:val="fr-CH"/>
    </w:rPr>
  </w:style>
  <w:style w:type="paragraph" w:styleId="Heading9">
    <w:name w:val="heading 9"/>
    <w:basedOn w:val="Normal"/>
    <w:next w:val="Normal"/>
    <w:link w:val="Heading9Char"/>
    <w:uiPriority w:val="99"/>
    <w:qFormat/>
    <w:rsid w:val="00443FE5"/>
    <w:pPr>
      <w:outlineLvl w:val="8"/>
    </w:pPr>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271279"/>
    <w:pPr>
      <w:keepNext/>
      <w:keepLines/>
      <w:tabs>
        <w:tab w:val="right" w:pos="851"/>
      </w:tabs>
      <w:spacing w:before="240" w:after="240" w:line="360" w:lineRule="exact"/>
      <w:ind w:left="1134" w:right="1134" w:hanging="1134"/>
    </w:pPr>
    <w:rPr>
      <w:b/>
      <w:sz w:val="34"/>
      <w:lang w:val="fr-CH"/>
    </w:rPr>
  </w:style>
  <w:style w:type="paragraph" w:customStyle="1" w:styleId="HChG">
    <w:name w:val="_ H _Ch_G"/>
    <w:basedOn w:val="Normal"/>
    <w:next w:val="Normal"/>
    <w:rsid w:val="00271279"/>
    <w:pPr>
      <w:keepNext/>
      <w:keepLines/>
      <w:tabs>
        <w:tab w:val="right" w:pos="851"/>
      </w:tabs>
      <w:spacing w:before="360" w:after="240" w:line="300" w:lineRule="exact"/>
      <w:ind w:left="1134" w:right="1134" w:hanging="1134"/>
    </w:pPr>
    <w:rPr>
      <w:b/>
      <w:sz w:val="28"/>
      <w:lang w:val="fr-CH"/>
    </w:rPr>
  </w:style>
  <w:style w:type="paragraph" w:customStyle="1" w:styleId="SingleTxtG">
    <w:name w:val="_ Single Txt_G"/>
    <w:basedOn w:val="Normal"/>
    <w:link w:val="SingleTxtGChar"/>
    <w:rsid w:val="00271279"/>
    <w:pPr>
      <w:spacing w:after="120"/>
      <w:ind w:left="1134" w:right="1134"/>
      <w:jc w:val="both"/>
    </w:pPr>
    <w:rPr>
      <w:lang w:val="fr-CH"/>
    </w:rPr>
  </w:style>
  <w:style w:type="character" w:styleId="PageNumber">
    <w:name w:val="page number"/>
    <w:aliases w:val="7_G"/>
    <w:uiPriority w:val="99"/>
    <w:rsid w:val="00271279"/>
    <w:rPr>
      <w:rFonts w:ascii="Times New Roman" w:hAnsi="Times New Roman"/>
      <w:b/>
      <w:sz w:val="18"/>
      <w:lang w:val="fr-CH"/>
    </w:rPr>
  </w:style>
  <w:style w:type="paragraph" w:styleId="PlainText">
    <w:name w:val="Plain Text"/>
    <w:basedOn w:val="Normal"/>
    <w:semiHidden/>
    <w:rsid w:val="003B07D7"/>
    <w:rPr>
      <w:rFonts w:cs="Courier New"/>
    </w:rPr>
  </w:style>
  <w:style w:type="paragraph" w:customStyle="1" w:styleId="Bullet1G">
    <w:name w:val="_Bullet 1_G"/>
    <w:basedOn w:val="Normal"/>
    <w:rsid w:val="00184957"/>
    <w:pPr>
      <w:numPr>
        <w:numId w:val="39"/>
      </w:numPr>
      <w:spacing w:after="120"/>
      <w:ind w:right="1134"/>
      <w:jc w:val="both"/>
    </w:pPr>
    <w:rPr>
      <w:lang w:val="fr-FR" w:eastAsia="zh-CN"/>
    </w:rPr>
  </w:style>
  <w:style w:type="paragraph" w:styleId="BodyTextIndent">
    <w:name w:val="Body Text Indent"/>
    <w:basedOn w:val="Normal"/>
    <w:semiHidden/>
    <w:rsid w:val="003B07D7"/>
    <w:pPr>
      <w:spacing w:after="120"/>
      <w:ind w:left="283"/>
    </w:pPr>
  </w:style>
  <w:style w:type="paragraph" w:styleId="BlockText">
    <w:name w:val="Block Text"/>
    <w:basedOn w:val="Normal"/>
    <w:semiHidden/>
    <w:rsid w:val="003B07D7"/>
    <w:pPr>
      <w:ind w:left="1440" w:right="1440"/>
    </w:pPr>
  </w:style>
  <w:style w:type="paragraph" w:customStyle="1" w:styleId="SMG">
    <w:name w:val="__S_M_G"/>
    <w:basedOn w:val="Normal"/>
    <w:next w:val="Normal"/>
    <w:rsid w:val="00271279"/>
    <w:pPr>
      <w:keepNext/>
      <w:keepLines/>
      <w:spacing w:before="240" w:after="240" w:line="420" w:lineRule="exact"/>
      <w:ind w:left="1134" w:right="1134"/>
    </w:pPr>
    <w:rPr>
      <w:b/>
      <w:sz w:val="40"/>
      <w:lang w:val="fr-CH"/>
    </w:rPr>
  </w:style>
  <w:style w:type="paragraph" w:customStyle="1" w:styleId="SLG">
    <w:name w:val="__S_L_G"/>
    <w:basedOn w:val="Normal"/>
    <w:next w:val="Normal"/>
    <w:rsid w:val="00271279"/>
    <w:pPr>
      <w:keepNext/>
      <w:keepLines/>
      <w:spacing w:before="240" w:after="240" w:line="580" w:lineRule="exact"/>
      <w:ind w:left="1134" w:right="1134"/>
    </w:pPr>
    <w:rPr>
      <w:b/>
      <w:sz w:val="56"/>
      <w:lang w:val="fr-CH"/>
    </w:rPr>
  </w:style>
  <w:style w:type="paragraph" w:customStyle="1" w:styleId="SSG">
    <w:name w:val="__S_S_G"/>
    <w:basedOn w:val="Normal"/>
    <w:next w:val="Normal"/>
    <w:rsid w:val="00271279"/>
    <w:pPr>
      <w:keepNext/>
      <w:keepLines/>
      <w:spacing w:before="240" w:after="240" w:line="300" w:lineRule="exact"/>
      <w:ind w:left="1134" w:right="1134"/>
    </w:pPr>
    <w:rPr>
      <w:b/>
      <w:sz w:val="28"/>
      <w:lang w:val="fr-CH"/>
    </w:rPr>
  </w:style>
  <w:style w:type="character" w:styleId="EndnoteReference">
    <w:name w:val="endnote reference"/>
    <w:aliases w:val="1_G"/>
    <w:rsid w:val="00271279"/>
    <w:rPr>
      <w:rFonts w:ascii="Times New Roman" w:hAnsi="Times New Roman"/>
      <w:sz w:val="18"/>
      <w:vertAlign w:val="superscript"/>
      <w:lang w:val="fr-CH"/>
    </w:rPr>
  </w:style>
  <w:style w:type="character" w:styleId="FootnoteReference">
    <w:name w:val="footnote reference"/>
    <w:aliases w:val="4_G,Rimando nota a piè di pagina1,Footnote symbol,referencia nota al pie,Texto de nota al pie,BVI fnr,Ref. de nota al pie2,Nota de pie,Ref,de nota al pie,Pie de pagina,Ref. ...,Ref1,FC,Footnotes refss,ft,4_GR"/>
    <w:qFormat/>
    <w:rsid w:val="004365E0"/>
    <w:rPr>
      <w:sz w:val="18"/>
      <w:szCs w:val="18"/>
      <w:vertAlign w:val="superscript"/>
    </w:rPr>
  </w:style>
  <w:style w:type="paragraph" w:styleId="FootnoteText">
    <w:name w:val="footnote text"/>
    <w:aliases w:val="5_G,stile 1,Footnote,Footnote1,Footnote2,Footnote3,Footnote4,Footnote5,Footnote6,Footnote7,Footnote8,Footnote9,Footnote10,Footnote11,Footnote21,Footnote31,Footnote41,Footnote51,Footnote61,Footnote71,Footnote81,Footnote91,FA Fu"/>
    <w:basedOn w:val="Normal"/>
    <w:link w:val="FootnoteTextChar"/>
    <w:uiPriority w:val="99"/>
    <w:qFormat/>
    <w:rsid w:val="007A2F6E"/>
    <w:pPr>
      <w:tabs>
        <w:tab w:val="right" w:pos="1021"/>
      </w:tabs>
      <w:kinsoku w:val="0"/>
      <w:overflowPunct w:val="0"/>
      <w:autoSpaceDE w:val="0"/>
      <w:autoSpaceDN w:val="0"/>
      <w:adjustRightInd w:val="0"/>
      <w:snapToGrid w:val="0"/>
      <w:spacing w:line="220" w:lineRule="exact"/>
      <w:ind w:left="1134" w:right="1134" w:hanging="1134"/>
    </w:pPr>
    <w:rPr>
      <w:sz w:val="18"/>
    </w:rPr>
  </w:style>
  <w:style w:type="paragraph" w:customStyle="1" w:styleId="XLargeG">
    <w:name w:val="__XLarge_G"/>
    <w:basedOn w:val="Normal"/>
    <w:next w:val="Normal"/>
    <w:rsid w:val="00271279"/>
    <w:pPr>
      <w:keepNext/>
      <w:keepLines/>
      <w:spacing w:before="240" w:after="240" w:line="420" w:lineRule="exact"/>
      <w:ind w:left="1134" w:right="1134"/>
    </w:pPr>
    <w:rPr>
      <w:b/>
      <w:sz w:val="40"/>
      <w:lang w:val="fr-CH"/>
    </w:rPr>
  </w:style>
  <w:style w:type="paragraph" w:customStyle="1" w:styleId="H23G">
    <w:name w:val="_ H_2/3_G"/>
    <w:basedOn w:val="Normal"/>
    <w:next w:val="Normal"/>
    <w:rsid w:val="0065351F"/>
    <w:pPr>
      <w:keepNext/>
      <w:keepLines/>
      <w:tabs>
        <w:tab w:val="right" w:pos="851"/>
      </w:tabs>
      <w:spacing w:before="240" w:after="120" w:line="240" w:lineRule="exact"/>
      <w:ind w:left="1134" w:right="1134" w:hanging="1134"/>
    </w:pPr>
    <w:rPr>
      <w:b/>
      <w:lang w:eastAsia="zh-CN"/>
    </w:rPr>
  </w:style>
  <w:style w:type="paragraph" w:styleId="EndnoteText">
    <w:name w:val="endnote text"/>
    <w:aliases w:val="2_G"/>
    <w:basedOn w:val="FootnoteText"/>
    <w:rsid w:val="00271279"/>
  </w:style>
  <w:style w:type="character" w:styleId="CommentReference">
    <w:name w:val="annotation reference"/>
    <w:uiPriority w:val="99"/>
    <w:semiHidden/>
    <w:rsid w:val="003B07D7"/>
    <w:rPr>
      <w:sz w:val="6"/>
    </w:rPr>
  </w:style>
  <w:style w:type="paragraph" w:styleId="CommentText">
    <w:name w:val="annotation text"/>
    <w:basedOn w:val="Normal"/>
    <w:link w:val="CommentTextChar"/>
    <w:uiPriority w:val="99"/>
    <w:semiHidden/>
    <w:rsid w:val="003B07D7"/>
  </w:style>
  <w:style w:type="character" w:styleId="LineNumber">
    <w:name w:val="line number"/>
    <w:semiHidden/>
    <w:rsid w:val="003B07D7"/>
    <w:rPr>
      <w:sz w:val="14"/>
    </w:rPr>
  </w:style>
  <w:style w:type="paragraph" w:customStyle="1" w:styleId="Bullet2G">
    <w:name w:val="_Bullet 2_G"/>
    <w:basedOn w:val="Normal"/>
    <w:rsid w:val="00184957"/>
    <w:pPr>
      <w:numPr>
        <w:numId w:val="40"/>
      </w:numPr>
      <w:spacing w:after="120"/>
      <w:ind w:right="1134"/>
      <w:jc w:val="both"/>
    </w:pPr>
    <w:rPr>
      <w:rFonts w:eastAsia="Times New Roman"/>
      <w:lang w:val="fr-FR"/>
    </w:rPr>
  </w:style>
  <w:style w:type="paragraph" w:customStyle="1" w:styleId="H1G">
    <w:name w:val="_ H_1_G"/>
    <w:basedOn w:val="Normal"/>
    <w:next w:val="Normal"/>
    <w:rsid w:val="00271279"/>
    <w:pPr>
      <w:keepNext/>
      <w:keepLines/>
      <w:tabs>
        <w:tab w:val="right" w:pos="851"/>
      </w:tabs>
      <w:spacing w:before="360" w:after="240" w:line="270" w:lineRule="exact"/>
      <w:ind w:left="1134" w:right="1134" w:hanging="1134"/>
    </w:pPr>
    <w:rPr>
      <w:b/>
      <w:sz w:val="24"/>
      <w:lang w:val="fr-CH"/>
    </w:rPr>
  </w:style>
  <w:style w:type="paragraph" w:customStyle="1" w:styleId="H4G">
    <w:name w:val="_ H_4_G"/>
    <w:basedOn w:val="Normal"/>
    <w:next w:val="Normal"/>
    <w:rsid w:val="005E081A"/>
    <w:pPr>
      <w:keepNext/>
      <w:keepLines/>
      <w:tabs>
        <w:tab w:val="right" w:pos="851"/>
      </w:tabs>
      <w:spacing w:before="240" w:after="120" w:line="240" w:lineRule="exact"/>
      <w:ind w:left="1134" w:right="1134" w:hanging="1134"/>
    </w:pPr>
    <w:rPr>
      <w:i/>
      <w:lang w:eastAsia="zh-CN"/>
    </w:rPr>
  </w:style>
  <w:style w:type="paragraph" w:styleId="BalloonText">
    <w:name w:val="Balloon Text"/>
    <w:basedOn w:val="Normal"/>
    <w:link w:val="BalloonTextChar"/>
    <w:uiPriority w:val="99"/>
    <w:rsid w:val="00F05D12"/>
    <w:pPr>
      <w:spacing w:line="240" w:lineRule="auto"/>
    </w:pPr>
    <w:rPr>
      <w:rFonts w:ascii="Tahoma" w:hAnsi="Tahoma"/>
      <w:sz w:val="16"/>
      <w:szCs w:val="16"/>
    </w:rPr>
  </w:style>
  <w:style w:type="paragraph" w:customStyle="1" w:styleId="H56G">
    <w:name w:val="_ H_5/6_G"/>
    <w:basedOn w:val="Normal"/>
    <w:next w:val="Normal"/>
    <w:rsid w:val="00271279"/>
    <w:pPr>
      <w:keepNext/>
      <w:keepLines/>
      <w:tabs>
        <w:tab w:val="right" w:pos="851"/>
      </w:tabs>
      <w:spacing w:before="240" w:after="120" w:line="240" w:lineRule="exact"/>
      <w:ind w:left="1134" w:right="1134" w:hanging="1134"/>
    </w:pPr>
    <w:rPr>
      <w:lang w:val="fr-CH"/>
    </w:r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Normal"/>
    <w:semiHidden/>
    <w:rsid w:val="0065351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character" w:customStyle="1" w:styleId="BalloonTextChar">
    <w:name w:val="Balloon Text Char"/>
    <w:link w:val="BalloonText"/>
    <w:uiPriority w:val="99"/>
    <w:rsid w:val="00F05D12"/>
    <w:rPr>
      <w:rFonts w:ascii="Tahoma" w:hAnsi="Tahoma" w:cs="Tahoma"/>
      <w:sz w:val="16"/>
      <w:szCs w:val="16"/>
      <w:lang w:eastAsia="en-US"/>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443FE5"/>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443FE5"/>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uiPriority w:val="99"/>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aliases w:val="webb,Normal (Web) Char"/>
    <w:basedOn w:val="Normal"/>
    <w:link w:val="NormalWebChar1"/>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99"/>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27127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
    <w:name w:val="Без разредка"/>
    <w:uiPriority w:val="1"/>
    <w:qFormat/>
    <w:rsid w:val="006A0DC0"/>
    <w:pPr>
      <w:jc w:val="both"/>
    </w:pPr>
    <w:rPr>
      <w:rFonts w:eastAsia="Calibri"/>
      <w:sz w:val="24"/>
      <w:szCs w:val="24"/>
      <w:lang w:val="bg-BG" w:eastAsia="en-US"/>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next w:val="Normal"/>
    <w:link w:val="FooterChar"/>
    <w:uiPriority w:val="99"/>
    <w:rsid w:val="00443FE5"/>
    <w:pPr>
      <w:spacing w:line="240" w:lineRule="auto"/>
    </w:pPr>
    <w:rPr>
      <w:sz w:val="16"/>
      <w:lang w:val="fr-CH"/>
    </w:rPr>
  </w:style>
  <w:style w:type="paragraph" w:styleId="Header">
    <w:name w:val="header"/>
    <w:aliases w:val="6_G"/>
    <w:basedOn w:val="Normal"/>
    <w:next w:val="Normal"/>
    <w:link w:val="HeaderChar"/>
    <w:uiPriority w:val="99"/>
    <w:rsid w:val="00443FE5"/>
    <w:pPr>
      <w:pBdr>
        <w:bottom w:val="single" w:sz="4" w:space="4" w:color="auto"/>
      </w:pBdr>
      <w:spacing w:line="240" w:lineRule="auto"/>
    </w:pPr>
    <w:rPr>
      <w:b/>
      <w:sz w:val="18"/>
      <w:lang w:val="fr-CH"/>
    </w:rPr>
  </w:style>
  <w:style w:type="character" w:customStyle="1" w:styleId="SingleTxtGChar">
    <w:name w:val="_ Single Txt_G Char"/>
    <w:link w:val="SingleTxtG"/>
    <w:rsid w:val="00E618F4"/>
    <w:rPr>
      <w:lang w:val="fr-CH" w:eastAsia="en-US"/>
    </w:rPr>
  </w:style>
  <w:style w:type="character" w:customStyle="1" w:styleId="FootnoteTextChar">
    <w:name w:val="Footnote Text Char"/>
    <w:aliases w:val="5_G Char1,stile 1 Char,Footnote Char,Footnote1 Char,Footnote2 Char,Footnote3 Char,Footnote4 Char,Footnote5 Char,Footnote6 Char,Footnote7 Char,Footnote8 Char,Footnote9 Char,Footnote10 Char,Footnote11 Char,Footnote21 Char,FA Fu Char"/>
    <w:link w:val="FootnoteText"/>
    <w:uiPriority w:val="99"/>
    <w:rsid w:val="00E618F4"/>
    <w:rPr>
      <w:rFonts w:eastAsia="SimSun"/>
      <w:sz w:val="18"/>
    </w:rPr>
  </w:style>
  <w:style w:type="character" w:customStyle="1" w:styleId="5GChar">
    <w:name w:val="5_G Char"/>
    <w:aliases w:val="註腳文字 字元 Char 字元 Char Char"/>
    <w:rsid w:val="0081588D"/>
    <w:rPr>
      <w:sz w:val="18"/>
      <w:lang w:val="en-GB" w:eastAsia="en-US" w:bidi="ar-SA"/>
    </w:rPr>
  </w:style>
  <w:style w:type="paragraph" w:customStyle="1" w:styleId="ParaNoG">
    <w:name w:val="_ParaNo._G"/>
    <w:basedOn w:val="SingleTxtG"/>
    <w:rsid w:val="0081588D"/>
    <w:pPr>
      <w:numPr>
        <w:numId w:val="15"/>
      </w:numPr>
      <w:tabs>
        <w:tab w:val="clear" w:pos="0"/>
      </w:tabs>
    </w:pPr>
    <w:rPr>
      <w:lang w:val="en-GB"/>
    </w:rPr>
  </w:style>
  <w:style w:type="character" w:customStyle="1" w:styleId="Heading1Char">
    <w:name w:val="Heading 1 Char"/>
    <w:aliases w:val="Table_G Char"/>
    <w:link w:val="Heading1"/>
    <w:uiPriority w:val="99"/>
    <w:rsid w:val="0081588D"/>
    <w:rPr>
      <w:lang w:val="fr-CH" w:eastAsia="en-US" w:bidi="ar-SA"/>
    </w:rPr>
  </w:style>
  <w:style w:type="character" w:customStyle="1" w:styleId="longtext">
    <w:name w:val="long_text"/>
    <w:rsid w:val="006A0DC0"/>
  </w:style>
  <w:style w:type="character" w:customStyle="1" w:styleId="st1">
    <w:name w:val="st1"/>
    <w:rsid w:val="006A0DC0"/>
  </w:style>
  <w:style w:type="character" w:customStyle="1" w:styleId="Heading2Char">
    <w:name w:val="Heading 2 Char"/>
    <w:link w:val="Heading2"/>
    <w:uiPriority w:val="99"/>
    <w:rsid w:val="0081588D"/>
    <w:rPr>
      <w:lang w:val="fr-CH" w:eastAsia="en-US" w:bidi="ar-SA"/>
    </w:rPr>
  </w:style>
  <w:style w:type="paragraph" w:styleId="DocumentMap">
    <w:name w:val="Document Map"/>
    <w:basedOn w:val="Normal"/>
    <w:link w:val="DocumentMapChar"/>
    <w:rsid w:val="006A0DC0"/>
    <w:pPr>
      <w:shd w:val="clear" w:color="auto" w:fill="000080"/>
      <w:suppressAutoHyphens w:val="0"/>
      <w:spacing w:after="200" w:line="460" w:lineRule="exact"/>
      <w:jc w:val="both"/>
    </w:pPr>
    <w:rPr>
      <w:rFonts w:ascii="Tahoma" w:eastAsia="Calibri" w:hAnsi="Tahoma"/>
      <w:lang w:val="bg-BG"/>
    </w:rPr>
  </w:style>
  <w:style w:type="character" w:customStyle="1" w:styleId="DocumentMapChar">
    <w:name w:val="Document Map Char"/>
    <w:link w:val="DocumentMap"/>
    <w:rsid w:val="006A0DC0"/>
    <w:rPr>
      <w:rFonts w:ascii="Tahoma" w:eastAsia="Calibri" w:hAnsi="Tahoma" w:cs="Tahoma"/>
      <w:shd w:val="clear" w:color="auto" w:fill="000080"/>
      <w:lang w:val="bg-BG" w:eastAsia="en-US"/>
    </w:rPr>
  </w:style>
  <w:style w:type="paragraph" w:customStyle="1" w:styleId="Rom2">
    <w:name w:val="Rom2"/>
    <w:basedOn w:val="Normal"/>
    <w:uiPriority w:val="99"/>
    <w:rsid w:val="0081588D"/>
    <w:pPr>
      <w:numPr>
        <w:numId w:val="16"/>
      </w:numPr>
      <w:suppressAutoHyphens w:val="0"/>
      <w:spacing w:after="240" w:line="240" w:lineRule="auto"/>
    </w:pPr>
    <w:rPr>
      <w:rFonts w:eastAsia="PMingLiU"/>
      <w:sz w:val="24"/>
    </w:rPr>
  </w:style>
  <w:style w:type="character" w:customStyle="1" w:styleId="NormalWebChar1">
    <w:name w:val="Normal (Web) Char1"/>
    <w:aliases w:val="webb Char,Normal (Web) Char Char"/>
    <w:link w:val="NormalWeb"/>
    <w:rsid w:val="006A0DC0"/>
    <w:rPr>
      <w:sz w:val="24"/>
      <w:szCs w:val="24"/>
      <w:lang w:eastAsia="en-US"/>
    </w:rPr>
  </w:style>
  <w:style w:type="paragraph" w:customStyle="1" w:styleId="singletxtg0">
    <w:name w:val="singletxtg"/>
    <w:basedOn w:val="Normal"/>
    <w:rsid w:val="006A0DC0"/>
    <w:pPr>
      <w:suppressAutoHyphens w:val="0"/>
      <w:spacing w:after="120"/>
      <w:ind w:left="1134" w:right="1134"/>
      <w:jc w:val="both"/>
    </w:pPr>
    <w:rPr>
      <w:lang w:val="bg-BG" w:eastAsia="bg-BG"/>
    </w:rPr>
  </w:style>
  <w:style w:type="paragraph" w:customStyle="1" w:styleId="Default">
    <w:name w:val="Default"/>
    <w:rsid w:val="0081588D"/>
    <w:pPr>
      <w:widowControl w:val="0"/>
      <w:autoSpaceDE w:val="0"/>
      <w:autoSpaceDN w:val="0"/>
      <w:adjustRightInd w:val="0"/>
    </w:pPr>
    <w:rPr>
      <w:rFonts w:eastAsia="PMingLiU"/>
      <w:color w:val="000000"/>
      <w:sz w:val="24"/>
      <w:szCs w:val="24"/>
      <w:lang w:val="en-US" w:eastAsia="zh-TW"/>
    </w:rPr>
  </w:style>
  <w:style w:type="character" w:customStyle="1" w:styleId="text">
    <w:name w:val="text"/>
    <w:basedOn w:val="DefaultParagraphFont"/>
    <w:rsid w:val="0081588D"/>
  </w:style>
  <w:style w:type="character" w:customStyle="1" w:styleId="HeaderChar">
    <w:name w:val="Header Char"/>
    <w:aliases w:val="6_G Char"/>
    <w:link w:val="Header"/>
    <w:uiPriority w:val="99"/>
    <w:rsid w:val="0081588D"/>
    <w:rPr>
      <w:b/>
      <w:sz w:val="18"/>
      <w:lang w:val="fr-CH" w:eastAsia="en-US" w:bidi="ar-SA"/>
    </w:rPr>
  </w:style>
  <w:style w:type="character" w:customStyle="1" w:styleId="FooterChar">
    <w:name w:val="Footer Char"/>
    <w:aliases w:val="3_G Char"/>
    <w:link w:val="Footer"/>
    <w:uiPriority w:val="99"/>
    <w:rsid w:val="0081588D"/>
    <w:rPr>
      <w:sz w:val="16"/>
      <w:lang w:val="fr-CH" w:eastAsia="en-US" w:bidi="ar-SA"/>
    </w:rPr>
  </w:style>
  <w:style w:type="paragraph" w:customStyle="1" w:styleId="Text0">
    <w:name w:val="__Text"/>
    <w:rsid w:val="0081588D"/>
    <w:pPr>
      <w:tabs>
        <w:tab w:val="left" w:pos="340"/>
      </w:tabs>
      <w:suppressAutoHyphens/>
      <w:overflowPunct w:val="0"/>
      <w:autoSpaceDE w:val="0"/>
      <w:autoSpaceDN w:val="0"/>
      <w:adjustRightInd w:val="0"/>
      <w:spacing w:line="200" w:lineRule="exact"/>
      <w:jc w:val="both"/>
      <w:textAlignment w:val="baseline"/>
    </w:pPr>
    <w:rPr>
      <w:rFonts w:ascii="Arial" w:eastAsia="華康細明體" w:hAnsi="Arial"/>
      <w:sz w:val="19"/>
      <w:lang w:val="en-US" w:eastAsia="zh-TW"/>
    </w:rPr>
  </w:style>
  <w:style w:type="paragraph" w:customStyle="1" w:styleId="TextBold">
    <w:name w:val="__Text_Bold"/>
    <w:basedOn w:val="Text0"/>
    <w:next w:val="Text0"/>
    <w:rsid w:val="0081588D"/>
    <w:pPr>
      <w:tabs>
        <w:tab w:val="clear" w:pos="340"/>
        <w:tab w:val="left" w:pos="397"/>
      </w:tabs>
      <w:suppressAutoHyphens w:val="0"/>
      <w:overflowPunct/>
      <w:autoSpaceDE/>
      <w:autoSpaceDN/>
      <w:spacing w:before="200"/>
    </w:pPr>
    <w:rPr>
      <w:rFonts w:eastAsia="華康中黑體"/>
      <w:b/>
    </w:rPr>
  </w:style>
  <w:style w:type="paragraph" w:customStyle="1" w:styleId="content">
    <w:name w:val="content"/>
    <w:basedOn w:val="Normal"/>
    <w:rsid w:val="0081588D"/>
    <w:pPr>
      <w:suppressAutoHyphens w:val="0"/>
      <w:spacing w:before="100" w:beforeAutospacing="1" w:line="338" w:lineRule="atLeast"/>
      <w:ind w:firstLine="300"/>
      <w:jc w:val="both"/>
    </w:pPr>
    <w:rPr>
      <w:rFonts w:ascii="Verdana" w:eastAsia="PMingLiU" w:hAnsi="Verdana" w:cs="PMingLiU"/>
      <w:color w:val="555555"/>
      <w:sz w:val="18"/>
      <w:szCs w:val="18"/>
      <w:lang w:val="en-US" w:eastAsia="zh-TW"/>
    </w:rPr>
  </w:style>
  <w:style w:type="paragraph" w:customStyle="1" w:styleId="m">
    <w:name w:val="m"/>
    <w:basedOn w:val="Normal"/>
    <w:rsid w:val="006A0DC0"/>
    <w:pPr>
      <w:suppressAutoHyphens w:val="0"/>
      <w:spacing w:line="240" w:lineRule="auto"/>
      <w:ind w:firstLine="760"/>
      <w:jc w:val="both"/>
    </w:pPr>
    <w:rPr>
      <w:color w:val="000000"/>
      <w:sz w:val="24"/>
      <w:szCs w:val="24"/>
      <w:lang w:val="bg-BG" w:eastAsia="bg-BG"/>
    </w:rPr>
  </w:style>
  <w:style w:type="paragraph" w:customStyle="1" w:styleId="Title1">
    <w:name w:val="Title1"/>
    <w:basedOn w:val="Heading1"/>
    <w:rsid w:val="0081588D"/>
    <w:pPr>
      <w:keepLines w:val="0"/>
      <w:widowControl w:val="0"/>
      <w:suppressAutoHyphens w:val="0"/>
      <w:adjustRightInd w:val="0"/>
      <w:spacing w:line="280" w:lineRule="atLeast"/>
      <w:ind w:left="851" w:hanging="851"/>
      <w:textAlignment w:val="baseline"/>
      <w:outlineLvl w:val="9"/>
    </w:pPr>
    <w:rPr>
      <w:rFonts w:eastAsia="華康粗明體"/>
      <w:b/>
      <w:kern w:val="52"/>
      <w:sz w:val="24"/>
      <w:lang w:val="en-US" w:eastAsia="zh-TW"/>
    </w:rPr>
  </w:style>
  <w:style w:type="paragraph" w:customStyle="1" w:styleId="a0">
    <w:name w:val="清單段落"/>
    <w:basedOn w:val="Normal"/>
    <w:qFormat/>
    <w:rsid w:val="0081588D"/>
    <w:pPr>
      <w:suppressAutoHyphens w:val="0"/>
      <w:spacing w:after="240" w:line="240" w:lineRule="auto"/>
      <w:ind w:leftChars="200" w:left="480"/>
    </w:pPr>
    <w:rPr>
      <w:rFonts w:eastAsia="PMingLiU"/>
      <w:sz w:val="24"/>
    </w:rPr>
  </w:style>
  <w:style w:type="paragraph" w:customStyle="1" w:styleId="11">
    <w:name w:val="內文 + 11 點"/>
    <w:aliases w:val="靠右,套用後:  0 pt,行距:  最小行高 20 pt"/>
    <w:basedOn w:val="Normal"/>
    <w:rsid w:val="0081588D"/>
    <w:pPr>
      <w:suppressAutoHyphens w:val="0"/>
      <w:adjustRightInd w:val="0"/>
      <w:snapToGrid w:val="0"/>
      <w:spacing w:line="400" w:lineRule="atLeast"/>
      <w:jc w:val="right"/>
    </w:pPr>
    <w:rPr>
      <w:rFonts w:eastAsia="PMingLiU"/>
      <w:sz w:val="22"/>
      <w:szCs w:val="22"/>
    </w:rPr>
  </w:style>
  <w:style w:type="paragraph" w:styleId="CommentSubject">
    <w:name w:val="annotation subject"/>
    <w:basedOn w:val="CommentText"/>
    <w:next w:val="CommentText"/>
    <w:link w:val="CommentSubjectChar"/>
    <w:rsid w:val="008963EE"/>
    <w:rPr>
      <w:b/>
      <w:bCs/>
    </w:rPr>
  </w:style>
  <w:style w:type="paragraph" w:styleId="ListParagraph">
    <w:name w:val="List Paragraph"/>
    <w:basedOn w:val="Normal"/>
    <w:uiPriority w:val="99"/>
    <w:qFormat/>
    <w:rsid w:val="00CF3FF2"/>
    <w:pPr>
      <w:suppressAutoHyphens w:val="0"/>
      <w:spacing w:line="240" w:lineRule="auto"/>
      <w:ind w:left="720"/>
      <w:contextualSpacing/>
    </w:pPr>
    <w:rPr>
      <w:sz w:val="24"/>
      <w:szCs w:val="24"/>
      <w:lang w:val="sk-SK" w:eastAsia="sk-SK"/>
    </w:rPr>
  </w:style>
  <w:style w:type="character" w:customStyle="1" w:styleId="ms-rtefontsize-2">
    <w:name w:val="ms-rtefontsize-2"/>
    <w:rsid w:val="00CF3FF2"/>
  </w:style>
  <w:style w:type="character" w:customStyle="1" w:styleId="CommentTextChar">
    <w:name w:val="Comment Text Char"/>
    <w:link w:val="CommentText"/>
    <w:uiPriority w:val="99"/>
    <w:semiHidden/>
    <w:rsid w:val="008963EE"/>
    <w:rPr>
      <w:lang w:val="en-GB" w:eastAsia="en-US"/>
    </w:rPr>
  </w:style>
  <w:style w:type="character" w:customStyle="1" w:styleId="Odkaznapoznmkupodiarou1">
    <w:name w:val="Odkaz na poznámku pod čiarou1"/>
    <w:rsid w:val="00CF3FF2"/>
    <w:rPr>
      <w:sz w:val="20"/>
      <w:vertAlign w:val="superscript"/>
    </w:rPr>
  </w:style>
  <w:style w:type="character" w:customStyle="1" w:styleId="CommentSubjectChar">
    <w:name w:val="Comment Subject Char"/>
    <w:link w:val="CommentSubject"/>
    <w:rsid w:val="008963EE"/>
    <w:rPr>
      <w:b/>
      <w:bCs/>
      <w:lang w:val="en-GB" w:eastAsia="en-US"/>
    </w:rPr>
  </w:style>
  <w:style w:type="character" w:customStyle="1" w:styleId="Heading3Char">
    <w:name w:val="Heading 3 Char"/>
    <w:basedOn w:val="DefaultParagraphFont"/>
    <w:link w:val="Heading3"/>
    <w:uiPriority w:val="99"/>
    <w:locked/>
    <w:rsid w:val="00675411"/>
    <w:rPr>
      <w:lang w:val="fr-CH"/>
    </w:rPr>
  </w:style>
  <w:style w:type="character" w:customStyle="1" w:styleId="FootnoteTextChar2">
    <w:name w:val="Footnote Text Char2"/>
    <w:aliases w:val="stile 1 Char1,Footnote Char1,Footnote1 Char1,Footnote2 Char1,Footnote3 Char1,Footnote4 Char1,Footnote5 Char1,Footnote6 Char1,Footnote7 Char1,Footnote8 Char1,Footnote9 Char1,Footnote10 Char1,Footnote11 Char1,Footnote21 Char1,5_G Char2"/>
    <w:basedOn w:val="DefaultParagraphFont"/>
    <w:uiPriority w:val="99"/>
    <w:locked/>
    <w:rsid w:val="00675411"/>
    <w:rPr>
      <w:rFonts w:ascii="Times New Roman" w:hAnsi="Times New Roman" w:cs="Times New Roman"/>
      <w:sz w:val="20"/>
      <w:szCs w:val="20"/>
      <w:lang w:val="en-GB"/>
    </w:rPr>
  </w:style>
  <w:style w:type="character" w:customStyle="1" w:styleId="hps">
    <w:name w:val="hps"/>
    <w:basedOn w:val="DefaultParagraphFont"/>
    <w:uiPriority w:val="99"/>
    <w:rsid w:val="00127067"/>
    <w:rPr>
      <w:rFonts w:cs="Times New Roman"/>
    </w:rPr>
  </w:style>
  <w:style w:type="character" w:customStyle="1" w:styleId="Heading4Char">
    <w:name w:val="Heading 4 Char"/>
    <w:basedOn w:val="DefaultParagraphFont"/>
    <w:link w:val="Heading4"/>
    <w:uiPriority w:val="99"/>
    <w:locked/>
    <w:rsid w:val="00CC6F71"/>
    <w:rPr>
      <w:lang w:val="fr-CH"/>
    </w:rPr>
  </w:style>
  <w:style w:type="character" w:customStyle="1" w:styleId="Heading5Char">
    <w:name w:val="Heading 5 Char"/>
    <w:basedOn w:val="DefaultParagraphFont"/>
    <w:link w:val="Heading5"/>
    <w:uiPriority w:val="99"/>
    <w:locked/>
    <w:rsid w:val="00CC6F71"/>
    <w:rPr>
      <w:lang w:val="fr-CH"/>
    </w:rPr>
  </w:style>
  <w:style w:type="character" w:customStyle="1" w:styleId="Heading9Char">
    <w:name w:val="Heading 9 Char"/>
    <w:basedOn w:val="DefaultParagraphFont"/>
    <w:link w:val="Heading9"/>
    <w:uiPriority w:val="99"/>
    <w:locked/>
    <w:rsid w:val="00CC6F71"/>
    <w:rPr>
      <w:lang w:val="fr-CH"/>
    </w:rPr>
  </w:style>
  <w:style w:type="character" w:customStyle="1" w:styleId="FootnoteTextChar3">
    <w:name w:val="Footnote Text Char3"/>
    <w:aliases w:val="stile 1 Char2,Footnote Char2,Footnote1 Char2,Footnote2 Char2,Footnote3 Char2,Footnote4 Char2,Footnote5 Char2,Footnote6 Char2,Footnote7 Char2,Footnote8 Char2,Footnote9 Char2,Footnote10 Char2,Footnote11 Char2,Footnote21 Char2,5_G Cha"/>
    <w:basedOn w:val="DefaultParagraphFont"/>
    <w:uiPriority w:val="99"/>
    <w:semiHidden/>
    <w:locked/>
    <w:rsid w:val="00CC6F71"/>
    <w:rPr>
      <w:rFonts w:cs="Times New Roman"/>
      <w:sz w:val="20"/>
      <w:szCs w:val="20"/>
      <w:lang w:val="en-US" w:eastAsia="en-US"/>
    </w:rPr>
  </w:style>
  <w:style w:type="paragraph" w:customStyle="1" w:styleId="ParaNo">
    <w:name w:val="ParaNo."/>
    <w:basedOn w:val="Normal"/>
    <w:uiPriority w:val="99"/>
    <w:rsid w:val="00CC6F71"/>
    <w:pPr>
      <w:numPr>
        <w:numId w:val="19"/>
      </w:numPr>
      <w:tabs>
        <w:tab w:val="left" w:pos="737"/>
      </w:tabs>
      <w:suppressAutoHyphens w:val="0"/>
      <w:spacing w:after="240" w:line="240" w:lineRule="auto"/>
    </w:pPr>
    <w:rPr>
      <w:rFonts w:eastAsia="MS Mincho"/>
      <w:sz w:val="24"/>
      <w:lang w:val="fr-CH"/>
    </w:rPr>
  </w:style>
  <w:style w:type="paragraph" w:customStyle="1" w:styleId="NormaleWeb1">
    <w:name w:val="Normale (Web)1"/>
    <w:basedOn w:val="Normal"/>
    <w:uiPriority w:val="99"/>
    <w:rsid w:val="00CC6F71"/>
    <w:pPr>
      <w:suppressAutoHyphens w:val="0"/>
      <w:spacing w:before="100" w:after="100" w:line="240" w:lineRule="auto"/>
    </w:pPr>
    <w:rPr>
      <w:rFonts w:eastAsia="MS Mincho"/>
      <w:color w:val="000000"/>
      <w:sz w:val="24"/>
      <w:lang w:val="it-IT"/>
    </w:rPr>
  </w:style>
  <w:style w:type="paragraph" w:customStyle="1" w:styleId="H3">
    <w:name w:val="H3"/>
    <w:basedOn w:val="Normal"/>
    <w:next w:val="Normal"/>
    <w:uiPriority w:val="99"/>
    <w:rsid w:val="00CC6F71"/>
    <w:pPr>
      <w:keepNext/>
      <w:suppressAutoHyphens w:val="0"/>
      <w:spacing w:before="100" w:after="100" w:line="240" w:lineRule="auto"/>
      <w:outlineLvl w:val="3"/>
    </w:pPr>
    <w:rPr>
      <w:rFonts w:eastAsia="MS Mincho"/>
      <w:b/>
      <w:sz w:val="28"/>
      <w:lang w:val="it-IT"/>
    </w:rPr>
  </w:style>
  <w:style w:type="paragraph" w:customStyle="1" w:styleId="Blockquote">
    <w:name w:val="Blockquote"/>
    <w:basedOn w:val="Normal"/>
    <w:uiPriority w:val="99"/>
    <w:rsid w:val="00CC6F71"/>
    <w:pPr>
      <w:suppressAutoHyphens w:val="0"/>
      <w:spacing w:before="100" w:after="100" w:line="240" w:lineRule="auto"/>
      <w:ind w:left="360" w:right="360"/>
    </w:pPr>
    <w:rPr>
      <w:rFonts w:eastAsia="MS Mincho"/>
      <w:sz w:val="24"/>
      <w:lang w:val="it-IT"/>
    </w:rPr>
  </w:style>
  <w:style w:type="paragraph" w:styleId="Revision">
    <w:name w:val="Revision"/>
    <w:hidden/>
    <w:uiPriority w:val="99"/>
    <w:semiHidden/>
    <w:rsid w:val="00CC6F71"/>
    <w:rPr>
      <w:rFonts w:ascii="Cambria" w:eastAsia="MS Mincho" w:hAnsi="Cambria"/>
      <w:sz w:val="24"/>
      <w:szCs w:val="24"/>
      <w:lang w:val="en-US" w:eastAsia="en-US"/>
    </w:rPr>
  </w:style>
  <w:style w:type="character" w:customStyle="1" w:styleId="mw-headline">
    <w:name w:val="mw-headline"/>
    <w:basedOn w:val="DefaultParagraphFont"/>
    <w:uiPriority w:val="99"/>
    <w:rsid w:val="00CC6F71"/>
    <w:rPr>
      <w:rFonts w:cs="Times New Roman"/>
    </w:rPr>
  </w:style>
  <w:style w:type="character" w:customStyle="1" w:styleId="systranseg">
    <w:name w:val="systran_seg"/>
    <w:basedOn w:val="DefaultParagraphFont"/>
    <w:uiPriority w:val="99"/>
    <w:rsid w:val="00CC6F71"/>
    <w:rPr>
      <w:rFonts w:cs="Times New Roman"/>
    </w:rPr>
  </w:style>
  <w:style w:type="character" w:customStyle="1" w:styleId="s16">
    <w:name w:val="s16"/>
    <w:uiPriority w:val="99"/>
    <w:rsid w:val="00CC6F71"/>
  </w:style>
  <w:style w:type="character" w:customStyle="1" w:styleId="s13">
    <w:name w:val="s13"/>
    <w:uiPriority w:val="99"/>
    <w:rsid w:val="00CC6F71"/>
  </w:style>
  <w:style w:type="character" w:customStyle="1" w:styleId="EndnoteCharacters">
    <w:name w:val="Endnote Characters"/>
    <w:uiPriority w:val="99"/>
    <w:rsid w:val="00CC6F71"/>
    <w:rPr>
      <w:vertAlign w:val="superscript"/>
    </w:rPr>
  </w:style>
  <w:style w:type="character" w:customStyle="1" w:styleId="EndnoteReference1">
    <w:name w:val="Endnote Reference1"/>
    <w:uiPriority w:val="99"/>
    <w:rsid w:val="00CC6F71"/>
    <w:rPr>
      <w:vertAlign w:val="superscript"/>
    </w:rPr>
  </w:style>
  <w:style w:type="character" w:customStyle="1" w:styleId="mw-editsection1">
    <w:name w:val="mw-editsection1"/>
    <w:basedOn w:val="DefaultParagraphFont"/>
    <w:uiPriority w:val="99"/>
    <w:rsid w:val="00CC6F71"/>
    <w:rPr>
      <w:rFonts w:cs="Times New Roman"/>
    </w:rPr>
  </w:style>
  <w:style w:type="character" w:customStyle="1" w:styleId="mw-editsection-bracket">
    <w:name w:val="mw-editsection-bracket"/>
    <w:basedOn w:val="DefaultParagraphFont"/>
    <w:uiPriority w:val="99"/>
    <w:rsid w:val="00CC6F71"/>
    <w:rPr>
      <w:rFonts w:cs="Times New Roman"/>
    </w:rPr>
  </w:style>
  <w:style w:type="paragraph" w:customStyle="1" w:styleId="Bullettableau">
    <w:name w:val="Bullet tableau"/>
    <w:basedOn w:val="Bullet1G"/>
    <w:rsid w:val="00DA6421"/>
    <w:pPr>
      <w:keepNext/>
      <w:keepLines/>
      <w:numPr>
        <w:numId w:val="0"/>
      </w:numPr>
      <w:suppressAutoHyphens w:val="0"/>
      <w:ind w:left="170" w:right="170" w:hanging="170"/>
      <w:jc w:val="left"/>
    </w:pPr>
    <w:rPr>
      <w:rFonts w:eastAsia="Times New Roman"/>
      <w:lang w:eastAsia="en-US"/>
    </w:rPr>
  </w:style>
  <w:style w:type="paragraph" w:customStyle="1" w:styleId="bullettableau2">
    <w:name w:val="bullet tableau 2"/>
    <w:basedOn w:val="Bullettableau"/>
    <w:qFormat/>
    <w:rsid w:val="00DA6421"/>
    <w:pPr>
      <w:keepNext w:val="0"/>
      <w:keepLines w:val="0"/>
      <w:ind w:left="397" w:right="11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HRI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1AC14-E0EE-4DE9-95F8-DA30138E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HRI_E.dotm</Template>
  <TotalTime>45</TotalTime>
  <Pages>56</Pages>
  <Words>23973</Words>
  <Characters>136649</Characters>
  <Application>Microsoft Office Word</Application>
  <DocSecurity>0</DocSecurity>
  <Lines>1138</Lines>
  <Paragraphs>320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160302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Danielle KIRBY</dc:creator>
  <cp:lastModifiedBy>AdayMartin</cp:lastModifiedBy>
  <cp:revision>14</cp:revision>
  <cp:lastPrinted>2016-10-24T08:09:00Z</cp:lastPrinted>
  <dcterms:created xsi:type="dcterms:W3CDTF">2016-10-24T07:28:00Z</dcterms:created>
  <dcterms:modified xsi:type="dcterms:W3CDTF">2016-10-24T08:17:00Z</dcterms:modified>
</cp:coreProperties>
</file>