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7053651" w14:textId="77777777" w:rsidTr="003A3D90">
        <w:trPr>
          <w:trHeight w:hRule="exact" w:val="851"/>
        </w:trPr>
        <w:tc>
          <w:tcPr>
            <w:tcW w:w="142" w:type="dxa"/>
            <w:tcBorders>
              <w:bottom w:val="single" w:sz="4" w:space="0" w:color="auto"/>
            </w:tcBorders>
          </w:tcPr>
          <w:p w14:paraId="502EAA53" w14:textId="77777777" w:rsidR="002D5AAC" w:rsidRDefault="002D5AAC" w:rsidP="00A40DE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9490CAB"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77BFC7" w14:textId="77777777" w:rsidR="002D5AAC" w:rsidRDefault="00A40DEA" w:rsidP="00A40DEA">
            <w:pPr>
              <w:jc w:val="right"/>
            </w:pPr>
            <w:r w:rsidRPr="00A40DEA">
              <w:rPr>
                <w:sz w:val="40"/>
              </w:rPr>
              <w:t>HRI</w:t>
            </w:r>
            <w:r>
              <w:t>/CORE/FIN/2020</w:t>
            </w:r>
          </w:p>
        </w:tc>
      </w:tr>
      <w:tr w:rsidR="002D5AAC" w:rsidRPr="00BA0275" w14:paraId="479BF331" w14:textId="77777777" w:rsidTr="003A3D90">
        <w:trPr>
          <w:trHeight w:hRule="exact" w:val="2835"/>
        </w:trPr>
        <w:tc>
          <w:tcPr>
            <w:tcW w:w="1280" w:type="dxa"/>
            <w:gridSpan w:val="2"/>
            <w:tcBorders>
              <w:top w:val="single" w:sz="4" w:space="0" w:color="auto"/>
              <w:bottom w:val="single" w:sz="12" w:space="0" w:color="auto"/>
            </w:tcBorders>
          </w:tcPr>
          <w:p w14:paraId="1E01B98A" w14:textId="77777777" w:rsidR="002D5AAC" w:rsidRDefault="007B5263" w:rsidP="003A3D90">
            <w:pPr>
              <w:spacing w:before="120"/>
              <w:jc w:val="center"/>
            </w:pPr>
            <w:r>
              <w:rPr>
                <w:noProof/>
                <w:lang w:val="fr-CH" w:eastAsia="fr-CH"/>
              </w:rPr>
              <w:drawing>
                <wp:inline distT="0" distB="0" distL="0" distR="0" wp14:anchorId="1A13752F" wp14:editId="7783411F">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3379D34"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4796A4F7" w14:textId="77777777" w:rsidR="002D5AAC" w:rsidRPr="00A40DEA" w:rsidRDefault="00A40DEA" w:rsidP="003A3D90">
            <w:pPr>
              <w:spacing w:before="240"/>
              <w:rPr>
                <w:lang w:val="en-US"/>
              </w:rPr>
            </w:pPr>
            <w:r w:rsidRPr="00A40DEA">
              <w:rPr>
                <w:lang w:val="en-US"/>
              </w:rPr>
              <w:t>Distr.: General</w:t>
            </w:r>
          </w:p>
          <w:p w14:paraId="79435FBC" w14:textId="77777777" w:rsidR="00A40DEA" w:rsidRPr="00A40DEA" w:rsidRDefault="0030249E" w:rsidP="00A40DEA">
            <w:pPr>
              <w:spacing w:line="240" w:lineRule="exact"/>
              <w:rPr>
                <w:lang w:val="en-US"/>
              </w:rPr>
            </w:pPr>
            <w:r>
              <w:rPr>
                <w:lang w:val="en-US"/>
              </w:rPr>
              <w:t>4</w:t>
            </w:r>
            <w:r w:rsidR="00A40DEA" w:rsidRPr="00A40DEA">
              <w:rPr>
                <w:lang w:val="en-US"/>
              </w:rPr>
              <w:t xml:space="preserve"> </w:t>
            </w:r>
            <w:r>
              <w:rPr>
                <w:lang w:val="en-US"/>
              </w:rPr>
              <w:t xml:space="preserve">August </w:t>
            </w:r>
            <w:r w:rsidR="00A40DEA" w:rsidRPr="00A40DEA">
              <w:rPr>
                <w:lang w:val="en-US"/>
              </w:rPr>
              <w:t>2020</w:t>
            </w:r>
          </w:p>
          <w:p w14:paraId="28BC9E7E" w14:textId="77777777" w:rsidR="00A40DEA" w:rsidRPr="00A40DEA" w:rsidRDefault="00A40DEA" w:rsidP="00A40DEA">
            <w:pPr>
              <w:spacing w:line="240" w:lineRule="exact"/>
              <w:rPr>
                <w:lang w:val="en-US"/>
              </w:rPr>
            </w:pPr>
            <w:r w:rsidRPr="00A40DEA">
              <w:rPr>
                <w:lang w:val="en-US"/>
              </w:rPr>
              <w:t>Russian</w:t>
            </w:r>
          </w:p>
          <w:p w14:paraId="67191087" w14:textId="77777777" w:rsidR="00A40DEA" w:rsidRPr="00A40DEA" w:rsidRDefault="00A40DEA" w:rsidP="00A40DEA">
            <w:pPr>
              <w:spacing w:line="240" w:lineRule="exact"/>
              <w:rPr>
                <w:lang w:val="en-US"/>
              </w:rPr>
            </w:pPr>
            <w:r w:rsidRPr="00A40DEA">
              <w:rPr>
                <w:lang w:val="en-US"/>
              </w:rPr>
              <w:t>Original: English</w:t>
            </w:r>
          </w:p>
        </w:tc>
      </w:tr>
    </w:tbl>
    <w:p w14:paraId="44CD8B12" w14:textId="77777777" w:rsidR="009F4FCC" w:rsidRPr="00684CF8" w:rsidRDefault="009F4FCC" w:rsidP="009F4FCC">
      <w:pPr>
        <w:pStyle w:val="HMG"/>
      </w:pPr>
      <w:r w:rsidRPr="0030249E">
        <w:rPr>
          <w:lang w:val="en-US"/>
        </w:rPr>
        <w:tab/>
      </w:r>
      <w:r w:rsidRPr="0030249E">
        <w:rPr>
          <w:lang w:val="en-US"/>
        </w:rPr>
        <w:tab/>
      </w:r>
      <w:r w:rsidRPr="00684CF8">
        <w:t>Общий базовый документ, являющийся составной частью докладов государств-участников</w:t>
      </w:r>
    </w:p>
    <w:p w14:paraId="1C5D1D70" w14:textId="77777777" w:rsidR="009F4FCC" w:rsidRPr="00684CF8" w:rsidRDefault="009F4FCC" w:rsidP="009F4FCC">
      <w:pPr>
        <w:pStyle w:val="HMG"/>
      </w:pPr>
      <w:r w:rsidRPr="00684CF8">
        <w:tab/>
      </w:r>
      <w:r w:rsidRPr="00684CF8">
        <w:tab/>
        <w:t>Финляндия</w:t>
      </w:r>
      <w:r w:rsidR="00BE49D0" w:rsidRPr="00684CF8">
        <w:rPr>
          <w:rStyle w:val="aa"/>
          <w:b w:val="0"/>
          <w:bCs/>
          <w:sz w:val="20"/>
          <w:vertAlign w:val="baseline"/>
        </w:rPr>
        <w:footnoteReference w:customMarkFollows="1" w:id="1"/>
        <w:t>*</w:t>
      </w:r>
      <w:r w:rsidR="00BE49D0" w:rsidRPr="0030249E">
        <w:rPr>
          <w:b w:val="0"/>
          <w:bCs/>
          <w:sz w:val="20"/>
        </w:rPr>
        <w:t xml:space="preserve"> </w:t>
      </w:r>
      <w:r w:rsidR="00BE49D0" w:rsidRPr="0030249E">
        <w:rPr>
          <w:rStyle w:val="aa"/>
          <w:b w:val="0"/>
          <w:bCs/>
          <w:sz w:val="20"/>
          <w:vertAlign w:val="baseline"/>
        </w:rPr>
        <w:footnoteReference w:customMarkFollows="1" w:id="2"/>
        <w:t>**</w:t>
      </w:r>
    </w:p>
    <w:p w14:paraId="3B3F1ABE" w14:textId="77777777" w:rsidR="009F4FCC" w:rsidRPr="00684CF8" w:rsidRDefault="009F4FCC" w:rsidP="00BE49D0">
      <w:pPr>
        <w:pStyle w:val="SingleTxtG"/>
        <w:jc w:val="right"/>
      </w:pPr>
      <w:r w:rsidRPr="00684CF8">
        <w:t>[Дата получения: 17 марта 2020 года]</w:t>
      </w:r>
    </w:p>
    <w:p w14:paraId="7EF1C8AE" w14:textId="77777777" w:rsidR="00BE49D0" w:rsidRPr="00684CF8" w:rsidRDefault="00BE49D0">
      <w:pPr>
        <w:suppressAutoHyphens w:val="0"/>
        <w:spacing w:line="240" w:lineRule="auto"/>
        <w:rPr>
          <w:rFonts w:eastAsia="Times New Roman" w:cs="Times New Roman"/>
          <w:szCs w:val="20"/>
        </w:rPr>
      </w:pPr>
      <w:r w:rsidRPr="00684CF8">
        <w:br w:type="page"/>
      </w:r>
    </w:p>
    <w:p w14:paraId="1CACBD5D" w14:textId="77777777" w:rsidR="00BE49D0" w:rsidRPr="00684CF8" w:rsidRDefault="00BE49D0" w:rsidP="00BE49D0">
      <w:pPr>
        <w:pStyle w:val="HChG"/>
      </w:pPr>
      <w:r w:rsidRPr="00684CF8">
        <w:lastRenderedPageBreak/>
        <w:tab/>
      </w:r>
      <w:r w:rsidRPr="00684CF8">
        <w:rPr>
          <w:lang w:val="en-US"/>
        </w:rPr>
        <w:t>I</w:t>
      </w:r>
      <w:r w:rsidRPr="00684CF8">
        <w:t>.</w:t>
      </w:r>
      <w:r w:rsidRPr="00684CF8">
        <w:tab/>
        <w:t>Общие сведения о Финляндии</w:t>
      </w:r>
    </w:p>
    <w:p w14:paraId="29E95FE5" w14:textId="77777777" w:rsidR="00BE49D0" w:rsidRPr="00684CF8" w:rsidRDefault="00BE49D0" w:rsidP="00BE49D0">
      <w:pPr>
        <w:pStyle w:val="H1G"/>
      </w:pPr>
      <w:r w:rsidRPr="00684CF8">
        <w:tab/>
      </w:r>
      <w:r w:rsidRPr="00684CF8">
        <w:rPr>
          <w:lang w:val="en-US"/>
        </w:rPr>
        <w:t>A</w:t>
      </w:r>
      <w:r w:rsidRPr="00684CF8">
        <w:t>.</w:t>
      </w:r>
      <w:r w:rsidRPr="00684CF8">
        <w:tab/>
        <w:t>Жители страны, экономика, здравоохранение, социальное обеспечение, воспитание и обучение детей младшего возраста, образование и профессиональная подготовка и занятость</w:t>
      </w:r>
    </w:p>
    <w:p w14:paraId="79109620" w14:textId="77777777" w:rsidR="00BE49D0" w:rsidRPr="00684CF8" w:rsidRDefault="00BE49D0" w:rsidP="00BE49D0">
      <w:pPr>
        <w:pStyle w:val="H23G"/>
      </w:pPr>
      <w:bookmarkStart w:id="0" w:name="_Toc32364268"/>
      <w:r w:rsidRPr="00684CF8">
        <w:tab/>
        <w:t>a)</w:t>
      </w:r>
      <w:r w:rsidRPr="00684CF8">
        <w:tab/>
      </w:r>
      <w:bookmarkStart w:id="1" w:name="_Hlk47699080"/>
      <w:bookmarkEnd w:id="0"/>
      <w:r w:rsidRPr="00684CF8">
        <w:t>Жители страны</w:t>
      </w:r>
      <w:bookmarkEnd w:id="1"/>
    </w:p>
    <w:p w14:paraId="0C5C43D6" w14:textId="77777777" w:rsidR="00BE49D0" w:rsidRPr="00684CF8" w:rsidRDefault="00BE49D0" w:rsidP="00111C09">
      <w:pPr>
        <w:pStyle w:val="H23G"/>
      </w:pPr>
      <w:bookmarkStart w:id="2" w:name="_Toc32364269"/>
      <w:r w:rsidRPr="00684CF8">
        <w:tab/>
      </w:r>
      <w:r w:rsidRPr="00684CF8">
        <w:tab/>
      </w:r>
      <w:bookmarkEnd w:id="2"/>
      <w:r w:rsidRPr="00684CF8">
        <w:t>Население</w:t>
      </w:r>
    </w:p>
    <w:p w14:paraId="4AA3261C" w14:textId="77777777" w:rsidR="00BE49D0" w:rsidRPr="00684CF8" w:rsidRDefault="00BE49D0" w:rsidP="00BE49D0">
      <w:pPr>
        <w:pStyle w:val="SingleTxtG"/>
      </w:pPr>
      <w:r w:rsidRPr="00684CF8">
        <w:tab/>
        <w:t>1.</w:t>
      </w:r>
      <w:r w:rsidRPr="00684CF8">
        <w:tab/>
        <w:t>Финляндия занимает седьмое место в Европе по площади (338 424 км</w:t>
      </w:r>
      <w:r w:rsidRPr="00684CF8">
        <w:rPr>
          <w:vertAlign w:val="superscript"/>
        </w:rPr>
        <w:t>2</w:t>
      </w:r>
      <w:r w:rsidRPr="00684CF8">
        <w:t>). Несмотря на свои размеры, по численности населения Финляндия входит в число самых малонаселенных стран Европы (около 5,5 млн жителей). Женщин насчитывается немного больше, чем мужчин. В начале 2018 года плотность населения Финляндии составляла 18 человек на км</w:t>
      </w:r>
      <w:r w:rsidRPr="00684CF8">
        <w:rPr>
          <w:vertAlign w:val="superscript"/>
        </w:rPr>
        <w:t>2</w:t>
      </w:r>
      <w:r w:rsidRPr="00684CF8">
        <w:t>.</w:t>
      </w:r>
    </w:p>
    <w:p w14:paraId="6FF9D0F1" w14:textId="77777777" w:rsidR="00BE49D0" w:rsidRPr="00684CF8" w:rsidRDefault="00BE49D0" w:rsidP="00BE49D0">
      <w:pPr>
        <w:pStyle w:val="SingleTxtG"/>
      </w:pPr>
      <w:r w:rsidRPr="00684CF8">
        <w:t>2.</w:t>
      </w:r>
      <w:r w:rsidRPr="00684CF8">
        <w:tab/>
        <w:t>Статистический учет народонаселения Финляндии ведется с 1749 года, когда численность населения страны составляла 410 400 человек. С тех пор население Финляндии неуклонно росло; исключением стали всего несколько лет. Наибольшие потери наблюдались в голодном 1868 году, когда численность населения сократилась более чем на 96 000 человек. В более поздний период потери населения, вызванные массовой миграцией финских граждан в Швецию, были отмечены в 1969 и 1970 годах. На конец 2018 года население Финляндии составляло 5 517 919 человек.</w:t>
      </w:r>
    </w:p>
    <w:p w14:paraId="5DD1A669" w14:textId="77777777" w:rsidR="00BE49D0" w:rsidRPr="00684CF8" w:rsidRDefault="00BE49D0" w:rsidP="00BE49D0">
      <w:pPr>
        <w:pStyle w:val="SingleTxtG"/>
      </w:pPr>
      <w:r w:rsidRPr="00684CF8">
        <w:t>3.</w:t>
      </w:r>
      <w:r w:rsidRPr="00684CF8">
        <w:tab/>
        <w:t>В последние годы население Финляндии росло примерно на 0,5</w:t>
      </w:r>
      <w:r w:rsidR="0030249E">
        <w:rPr>
          <w:lang w:val="en-US"/>
        </w:rPr>
        <w:t> </w:t>
      </w:r>
      <w:r w:rsidRPr="00684CF8">
        <w:t xml:space="preserve">% в год. </w:t>
      </w:r>
      <w:r w:rsidR="00111C09" w:rsidRPr="00684CF8">
        <w:br/>
      </w:r>
      <w:r w:rsidRPr="00684CF8">
        <w:t>В 2000-е годы доля иностранной чистой миграции в приросте населения увеличивалась, и с 2007 года население Финляндии растет скорее за счет чистой миграции, чем на основе превышения числа рождений.</w:t>
      </w:r>
    </w:p>
    <w:p w14:paraId="4EE9E389" w14:textId="77777777" w:rsidR="00BE49D0" w:rsidRPr="00684CF8" w:rsidRDefault="00BE49D0" w:rsidP="00BE49D0">
      <w:pPr>
        <w:pStyle w:val="SingleTxtG"/>
      </w:pPr>
      <w:r w:rsidRPr="00684CF8">
        <w:t>4.</w:t>
      </w:r>
      <w:r w:rsidRPr="00684CF8">
        <w:tab/>
        <w:t xml:space="preserve">2018 год будет третьим годом подряд, на протяжении которых в Финляндии отмечается более высокий уровень смертности, чем рождаемости. По прогнозам, число рождений будет продолжать сокращаться, а число смертей </w:t>
      </w:r>
      <w:r w:rsidR="00111C09" w:rsidRPr="00684CF8">
        <w:t>—</w:t>
      </w:r>
      <w:r w:rsidRPr="00684CF8">
        <w:t xml:space="preserve"> увеличиваться, несмотря на рост продолжительности жизни. Прогнозируется, что за счет чистой миграции рост численности населения сохранится до 2035 года, когда численность населения Финляндии составит 5,62 млн человек. В дальнейшем прогнозируется, что уже в </w:t>
      </w:r>
      <w:r w:rsidR="0030249E" w:rsidRPr="0030249E">
        <w:t>20</w:t>
      </w:r>
      <w:r w:rsidRPr="00684CF8">
        <w:t>50-х годах численность населения начнет сокращаться и опустится ниже текущего показателя.</w:t>
      </w:r>
    </w:p>
    <w:p w14:paraId="7DCACCFE" w14:textId="77777777" w:rsidR="00BE49D0" w:rsidRPr="00684CF8" w:rsidRDefault="00BE49D0" w:rsidP="00BE49D0">
      <w:pPr>
        <w:pStyle w:val="SingleTxtG"/>
      </w:pPr>
      <w:r w:rsidRPr="00684CF8">
        <w:t>5.</w:t>
      </w:r>
      <w:r w:rsidRPr="00684CF8">
        <w:tab/>
        <w:t>Быстрыми темпами продолжается внутренняя миграция из сельских районов в города, и население Финляндии все больше концентрируется в крупнейших городских районах. В Финляндии насчитывается девять городов с населением свыше 100</w:t>
      </w:r>
      <w:r w:rsidR="00111C09" w:rsidRPr="00684CF8">
        <w:rPr>
          <w:lang w:val="en-US"/>
        </w:rPr>
        <w:t> </w:t>
      </w:r>
      <w:r w:rsidRPr="00684CF8">
        <w:t>000</w:t>
      </w:r>
      <w:r w:rsidR="00111C09" w:rsidRPr="00684CF8">
        <w:rPr>
          <w:lang w:val="en-US"/>
        </w:rPr>
        <w:t> </w:t>
      </w:r>
      <w:r w:rsidRPr="00684CF8">
        <w:t>человек, в которых проживает около 40</w:t>
      </w:r>
      <w:r w:rsidR="0030249E">
        <w:rPr>
          <w:lang w:val="en-US"/>
        </w:rPr>
        <w:t> </w:t>
      </w:r>
      <w:r w:rsidRPr="00684CF8">
        <w:t>% населения страны.</w:t>
      </w:r>
    </w:p>
    <w:p w14:paraId="68271E63" w14:textId="77777777" w:rsidR="00BE49D0" w:rsidRPr="00684CF8" w:rsidRDefault="00BE49D0" w:rsidP="00BE49D0">
      <w:pPr>
        <w:pStyle w:val="SingleTxtG"/>
      </w:pPr>
      <w:r w:rsidRPr="00684CF8">
        <w:t>6.</w:t>
      </w:r>
      <w:r w:rsidRPr="00684CF8">
        <w:tab/>
        <w:t>Коэффициент демографической зависимости в Финляндии на конец 2018 года составил 60,8. Этот коэффициент показывает число лиц в возрасте до 15 лет и старше 65 лет на 100 человек трудоспособного возраста (в возрасте от 15 до 64 лет).</w:t>
      </w:r>
    </w:p>
    <w:p w14:paraId="3FC5AE61" w14:textId="77777777" w:rsidR="00BE49D0" w:rsidRPr="00684CF8" w:rsidRDefault="00BE49D0" w:rsidP="00BE49D0">
      <w:pPr>
        <w:pStyle w:val="SingleTxtG"/>
      </w:pPr>
      <w:r w:rsidRPr="00684CF8">
        <w:t>7.</w:t>
      </w:r>
      <w:r w:rsidRPr="00684CF8">
        <w:tab/>
        <w:t xml:space="preserve">Согласно статистической группировке муниципальных образований, коэффициент демографической зависимости составил 55,7 в городских муниципалитетах, 72,1 в полугородских муниципалитетах и 79,0 в сельских муниципалитетах. Классификация муниципалитетов на основе муниципальных границ стала несколько проблематичной в связи с увеличением земельной территории муниципалитетов. Слияние муниципалитетов привело к тому, что в рамках одного и того же муниципалитета некоторые районы имеют городской характер, а другие </w:t>
      </w:r>
      <w:r w:rsidR="00111C09" w:rsidRPr="00684CF8">
        <w:t>—</w:t>
      </w:r>
      <w:r w:rsidRPr="00684CF8">
        <w:t xml:space="preserve"> сельский.</w:t>
      </w:r>
    </w:p>
    <w:p w14:paraId="1DBFA717" w14:textId="77777777" w:rsidR="00BE49D0" w:rsidRPr="00684CF8" w:rsidRDefault="00BE49D0" w:rsidP="00BE49D0">
      <w:pPr>
        <w:pStyle w:val="SingleTxtG"/>
      </w:pPr>
      <w:r w:rsidRPr="00684CF8">
        <w:t>8.</w:t>
      </w:r>
      <w:r w:rsidRPr="00684CF8">
        <w:tab/>
        <w:t xml:space="preserve">Использование географических данных, не зависящих от границ муниципальных образований, позволяет более точно идентифицировать и классифицировать территории. Совместно с факультетом географии Оулусского университета Финский институт окружающей среды разработал новую классификацию территорий на основе географических данных. Коэффициент </w:t>
      </w:r>
      <w:r w:rsidRPr="00684CF8">
        <w:lastRenderedPageBreak/>
        <w:t>демографической зависимости, определенный с помощью этой классификации, составил 55,6 в городской и 77,1 в сельской местности.</w:t>
      </w:r>
    </w:p>
    <w:p w14:paraId="5C79EDC1" w14:textId="77777777" w:rsidR="00BE49D0" w:rsidRPr="00684CF8" w:rsidRDefault="00BE49D0" w:rsidP="00BE49D0">
      <w:pPr>
        <w:pStyle w:val="SingleTxtG"/>
      </w:pPr>
      <w:r w:rsidRPr="00684CF8">
        <w:t>9.</w:t>
      </w:r>
      <w:r w:rsidRPr="00684CF8">
        <w:tab/>
        <w:t>В городских районах проживает 70,3</w:t>
      </w:r>
      <w:r w:rsidR="0030249E">
        <w:rPr>
          <w:lang w:val="en-US"/>
        </w:rPr>
        <w:t> </w:t>
      </w:r>
      <w:r w:rsidRPr="00684CF8">
        <w:t xml:space="preserve">% населения Финляндии, а в сельских районах </w:t>
      </w:r>
      <w:r w:rsidR="00111C09" w:rsidRPr="00684CF8">
        <w:t>—</w:t>
      </w:r>
      <w:r w:rsidRPr="00684CF8">
        <w:t xml:space="preserve"> 28,4</w:t>
      </w:r>
      <w:r w:rsidR="0030249E">
        <w:rPr>
          <w:lang w:val="en-US"/>
        </w:rPr>
        <w:t> </w:t>
      </w:r>
      <w:r w:rsidRPr="00684CF8">
        <w:t>%. В этих данных не учитываются лица, у которых нет постоянного места жительства (например, лица, постоянно пребывающие в учреждениях по уходу). Ниже приводится более детальная разбивка коэффициента демографической зависимости в 2018 году:</w:t>
      </w:r>
    </w:p>
    <w:p w14:paraId="4CA2DB21" w14:textId="77777777" w:rsidR="00BE49D0" w:rsidRPr="00684CF8" w:rsidRDefault="00BE49D0" w:rsidP="00111C09">
      <w:pPr>
        <w:pStyle w:val="Bullet1G"/>
      </w:pPr>
      <w:r w:rsidRPr="00684CF8">
        <w:t xml:space="preserve">внутренние городские районы </w:t>
      </w:r>
      <w:r w:rsidR="00111C09" w:rsidRPr="00684CF8">
        <w:rPr>
          <w:lang w:val="en-US"/>
        </w:rPr>
        <w:t>—</w:t>
      </w:r>
      <w:r w:rsidRPr="00684CF8">
        <w:t xml:space="preserve"> 50,7</w:t>
      </w:r>
      <w:r w:rsidR="00111C09" w:rsidRPr="00684CF8">
        <w:t>;</w:t>
      </w:r>
    </w:p>
    <w:p w14:paraId="1EBD6EE9" w14:textId="77777777" w:rsidR="00BE49D0" w:rsidRPr="00684CF8" w:rsidRDefault="00BE49D0" w:rsidP="00111C09">
      <w:pPr>
        <w:pStyle w:val="Bullet1G"/>
      </w:pPr>
      <w:r w:rsidRPr="00684CF8">
        <w:t xml:space="preserve">внешние городские районы </w:t>
      </w:r>
      <w:r w:rsidR="00111C09" w:rsidRPr="00684CF8">
        <w:t>—</w:t>
      </w:r>
      <w:r w:rsidRPr="00684CF8">
        <w:t xml:space="preserve"> 58,6</w:t>
      </w:r>
      <w:r w:rsidR="00111C09" w:rsidRPr="00684CF8">
        <w:t>;</w:t>
      </w:r>
    </w:p>
    <w:p w14:paraId="6454A607" w14:textId="77777777" w:rsidR="00BE49D0" w:rsidRPr="00684CF8" w:rsidRDefault="00BE49D0" w:rsidP="00111C09">
      <w:pPr>
        <w:pStyle w:val="Bullet1G"/>
      </w:pPr>
      <w:r w:rsidRPr="00684CF8">
        <w:t xml:space="preserve">пригородные районы </w:t>
      </w:r>
      <w:r w:rsidR="00111C09" w:rsidRPr="00684CF8">
        <w:t>—</w:t>
      </w:r>
      <w:r w:rsidRPr="00684CF8">
        <w:t xml:space="preserve"> 64,1</w:t>
      </w:r>
      <w:r w:rsidR="00111C09" w:rsidRPr="00684CF8">
        <w:t>;</w:t>
      </w:r>
    </w:p>
    <w:p w14:paraId="1E723C07" w14:textId="77777777" w:rsidR="00BE49D0" w:rsidRPr="00684CF8" w:rsidRDefault="00BE49D0" w:rsidP="00111C09">
      <w:pPr>
        <w:pStyle w:val="Bullet1G"/>
      </w:pPr>
      <w:r w:rsidRPr="00684CF8">
        <w:t xml:space="preserve">сельские районы, близкие к городским </w:t>
      </w:r>
      <w:r w:rsidR="00111C09" w:rsidRPr="00684CF8">
        <w:t>—</w:t>
      </w:r>
      <w:r w:rsidRPr="00684CF8">
        <w:t xml:space="preserve"> 70,3</w:t>
      </w:r>
      <w:r w:rsidR="00111C09" w:rsidRPr="00684CF8">
        <w:t>;</w:t>
      </w:r>
    </w:p>
    <w:p w14:paraId="1F759816" w14:textId="77777777" w:rsidR="00BE49D0" w:rsidRPr="00684CF8" w:rsidRDefault="00BE49D0" w:rsidP="00111C09">
      <w:pPr>
        <w:pStyle w:val="Bullet1G"/>
      </w:pPr>
      <w:r w:rsidRPr="00684CF8">
        <w:t xml:space="preserve">местные центры в сельской местности </w:t>
      </w:r>
      <w:r w:rsidR="00111C09" w:rsidRPr="00684CF8">
        <w:t>—</w:t>
      </w:r>
      <w:r w:rsidRPr="00684CF8">
        <w:t xml:space="preserve"> 75,7</w:t>
      </w:r>
      <w:r w:rsidR="00111C09" w:rsidRPr="00684CF8">
        <w:t>;</w:t>
      </w:r>
    </w:p>
    <w:p w14:paraId="7D5838AA" w14:textId="77777777" w:rsidR="00BE49D0" w:rsidRPr="00684CF8" w:rsidRDefault="00BE49D0" w:rsidP="00111C09">
      <w:pPr>
        <w:pStyle w:val="Bullet1G"/>
      </w:pPr>
      <w:r w:rsidRPr="00684CF8">
        <w:t xml:space="preserve">центральные сельские районы </w:t>
      </w:r>
      <w:r w:rsidR="00111C09" w:rsidRPr="00684CF8">
        <w:t>—</w:t>
      </w:r>
      <w:r w:rsidRPr="00684CF8">
        <w:t xml:space="preserve"> 79,3</w:t>
      </w:r>
      <w:r w:rsidR="00111C09" w:rsidRPr="00684CF8">
        <w:t>;</w:t>
      </w:r>
    </w:p>
    <w:p w14:paraId="3C82C632" w14:textId="77777777" w:rsidR="00BE49D0" w:rsidRPr="00684CF8" w:rsidRDefault="00BE49D0" w:rsidP="00111C09">
      <w:pPr>
        <w:pStyle w:val="Bullet1G"/>
      </w:pPr>
      <w:r w:rsidRPr="00684CF8">
        <w:t xml:space="preserve">малонаселенные сельские районы </w:t>
      </w:r>
      <w:r w:rsidR="00111C09" w:rsidRPr="00684CF8">
        <w:t>—</w:t>
      </w:r>
      <w:r w:rsidRPr="00684CF8">
        <w:t xml:space="preserve"> 84,1.</w:t>
      </w:r>
    </w:p>
    <w:p w14:paraId="7FFA507D" w14:textId="77777777" w:rsidR="00BE49D0" w:rsidRPr="00684CF8" w:rsidRDefault="00BE49D0" w:rsidP="00BE49D0">
      <w:pPr>
        <w:pStyle w:val="SingleTxtG"/>
      </w:pPr>
      <w:r w:rsidRPr="00684CF8">
        <w:t>10.</w:t>
      </w:r>
      <w:r w:rsidRPr="00684CF8">
        <w:tab/>
        <w:t xml:space="preserve">Коэффициент демографической зависимости Финляндии в последние годы ухудшился. В 2017 году это соотношение по всей стране составляло 60,1, однако между районами имеются значительные различия. В регионе Уусимаа три крупнейших города страны имеют более выгодное соотношение демографической зависимости </w:t>
      </w:r>
      <w:r w:rsidR="00111C09" w:rsidRPr="00684CF8">
        <w:t>—</w:t>
      </w:r>
      <w:r w:rsidRPr="00684CF8">
        <w:t xml:space="preserve"> 51,1, в то время как менее населенные регионы имеют значительно менее выгодную возрастную структуру, чем городские районы страны. Регион Южное Саво имеет самый неблагоприятный коэффициент демографической зависимости </w:t>
      </w:r>
      <w:r w:rsidR="00111C09" w:rsidRPr="00684CF8">
        <w:t>—</w:t>
      </w:r>
      <w:r w:rsidRPr="00684CF8">
        <w:t xml:space="preserve"> 72,8. Прогнозируется, что по мере старения населения коэффициент демографической зависимости будет продолжать ухудшаться по всей стране. В относительном выражении старение населения будет оказывать более сильное воздействие на городские районы.</w:t>
      </w:r>
    </w:p>
    <w:p w14:paraId="40EED3EE" w14:textId="77777777" w:rsidR="00BE49D0" w:rsidRPr="00684CF8" w:rsidRDefault="00BE49D0" w:rsidP="00BE49D0">
      <w:pPr>
        <w:pStyle w:val="SingleTxtG"/>
      </w:pPr>
      <w:r w:rsidRPr="00684CF8">
        <w:t>11.</w:t>
      </w:r>
      <w:r w:rsidRPr="00684CF8">
        <w:tab/>
        <w:t>Поскольку иностранные граждане составляют лишь 5</w:t>
      </w:r>
      <w:r w:rsidR="0030249E">
        <w:rPr>
          <w:lang w:val="en-US"/>
        </w:rPr>
        <w:t> </w:t>
      </w:r>
      <w:r w:rsidRPr="00684CF8">
        <w:t>% населения (257</w:t>
      </w:r>
      <w:r w:rsidR="00111C09" w:rsidRPr="00684CF8">
        <w:t> </w:t>
      </w:r>
      <w:r w:rsidRPr="00684CF8">
        <w:t>572</w:t>
      </w:r>
      <w:r w:rsidR="00111C09" w:rsidRPr="00684CF8">
        <w:t> </w:t>
      </w:r>
      <w:r w:rsidRPr="00684CF8">
        <w:t>человека в 2018 году), Финляндия имеет весьма однородное население. Самые многочисленные группы иностранных граждан составляют граждане Эстонии и России.</w:t>
      </w:r>
    </w:p>
    <w:p w14:paraId="25452981" w14:textId="77777777" w:rsidR="00BE49D0" w:rsidRPr="00684CF8" w:rsidRDefault="00BE49D0" w:rsidP="00BE49D0">
      <w:pPr>
        <w:pStyle w:val="SingleTxtG"/>
      </w:pPr>
      <w:r w:rsidRPr="00684CF8">
        <w:t>12.</w:t>
      </w:r>
      <w:r w:rsidRPr="00684CF8">
        <w:tab/>
        <w:t xml:space="preserve">Финляндия </w:t>
      </w:r>
      <w:r w:rsidR="00111C09" w:rsidRPr="00684CF8">
        <w:t>—</w:t>
      </w:r>
      <w:r w:rsidRPr="00684CF8">
        <w:t xml:space="preserve"> двуязычная страна, и ее национальными языками являются финский и шведский. Около 5</w:t>
      </w:r>
      <w:r w:rsidR="0030249E">
        <w:rPr>
          <w:lang w:val="en-US"/>
        </w:rPr>
        <w:t> </w:t>
      </w:r>
      <w:r w:rsidRPr="00684CF8">
        <w:t>% населения составляют шведскоязычные финны. В</w:t>
      </w:r>
      <w:r w:rsidR="00111C09" w:rsidRPr="00684CF8">
        <w:t> </w:t>
      </w:r>
      <w:r w:rsidRPr="00684CF8">
        <w:t>соответствии с Конституцией Финляндии (731/1999) органы государственной власти должны удовлетворять культурные и общественные потребности финскоязычного и шведскоязычного населения страны на равноправной основе. Каждый имеет право пользоваться своим родным языком, будь то финским или шведским, в суде или других органах власти.</w:t>
      </w:r>
    </w:p>
    <w:p w14:paraId="6955FDBF" w14:textId="77777777" w:rsidR="00BE49D0" w:rsidRPr="00684CF8" w:rsidRDefault="00BE49D0" w:rsidP="00111C09">
      <w:pPr>
        <w:pStyle w:val="1"/>
        <w:spacing w:before="240" w:after="120"/>
        <w:ind w:left="1134" w:hanging="1134"/>
        <w:jc w:val="left"/>
      </w:pPr>
      <w:r w:rsidRPr="00684CF8">
        <w:rPr>
          <w:b w:val="0"/>
          <w:bCs w:val="0"/>
        </w:rPr>
        <w:tab/>
      </w:r>
      <w:r w:rsidRPr="00684CF8">
        <w:rPr>
          <w:b w:val="0"/>
          <w:bCs w:val="0"/>
        </w:rPr>
        <w:tab/>
        <w:t>Таблица 1</w:t>
      </w:r>
      <w:r w:rsidR="00111C09" w:rsidRPr="00684CF8">
        <w:rPr>
          <w:b w:val="0"/>
          <w:bCs w:val="0"/>
        </w:rPr>
        <w:br/>
      </w:r>
      <w:r w:rsidRPr="00684CF8">
        <w:t xml:space="preserve">Население в разбивке по языкам, 2013–2018 годы </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968"/>
        <w:gridCol w:w="968"/>
        <w:gridCol w:w="969"/>
        <w:gridCol w:w="968"/>
        <w:gridCol w:w="968"/>
        <w:gridCol w:w="969"/>
      </w:tblGrid>
      <w:tr w:rsidR="00E97D4E" w:rsidRPr="00684CF8" w14:paraId="110E05DE" w14:textId="77777777" w:rsidTr="00E97D4E">
        <w:trPr>
          <w:tblHeader/>
        </w:trPr>
        <w:tc>
          <w:tcPr>
            <w:tcW w:w="1560" w:type="dxa"/>
            <w:tcBorders>
              <w:top w:val="single" w:sz="4" w:space="0" w:color="auto"/>
              <w:bottom w:val="single" w:sz="12" w:space="0" w:color="auto"/>
            </w:tcBorders>
            <w:shd w:val="clear" w:color="auto" w:fill="auto"/>
            <w:noWrap/>
            <w:vAlign w:val="bottom"/>
            <w:hideMark/>
          </w:tcPr>
          <w:p w14:paraId="22F477F5" w14:textId="77777777" w:rsidR="00E97D4E" w:rsidRPr="00684CF8" w:rsidRDefault="00E97D4E" w:rsidP="00E97D4E">
            <w:pPr>
              <w:suppressAutoHyphens w:val="0"/>
              <w:spacing w:before="80" w:after="80" w:line="200" w:lineRule="exact"/>
              <w:rPr>
                <w:rFonts w:cs="Times New Roman"/>
                <w:i/>
                <w:sz w:val="16"/>
              </w:rPr>
            </w:pPr>
          </w:p>
        </w:tc>
        <w:tc>
          <w:tcPr>
            <w:tcW w:w="968" w:type="dxa"/>
            <w:tcBorders>
              <w:top w:val="single" w:sz="4" w:space="0" w:color="auto"/>
              <w:bottom w:val="single" w:sz="12" w:space="0" w:color="auto"/>
            </w:tcBorders>
            <w:shd w:val="clear" w:color="auto" w:fill="auto"/>
            <w:noWrap/>
            <w:vAlign w:val="bottom"/>
            <w:hideMark/>
          </w:tcPr>
          <w:p w14:paraId="17AAB73E" w14:textId="77777777" w:rsidR="00E97D4E" w:rsidRPr="00684CF8" w:rsidRDefault="00E97D4E" w:rsidP="00E97D4E">
            <w:pPr>
              <w:suppressAutoHyphens w:val="0"/>
              <w:spacing w:before="80" w:after="80" w:line="200" w:lineRule="exact"/>
              <w:jc w:val="right"/>
              <w:rPr>
                <w:rFonts w:cs="Times New Roman"/>
                <w:i/>
                <w:sz w:val="16"/>
              </w:rPr>
            </w:pPr>
            <w:r w:rsidRPr="00684CF8">
              <w:rPr>
                <w:rFonts w:cs="Times New Roman"/>
                <w:i/>
                <w:sz w:val="16"/>
              </w:rPr>
              <w:t xml:space="preserve">2013 </w:t>
            </w:r>
          </w:p>
        </w:tc>
        <w:tc>
          <w:tcPr>
            <w:tcW w:w="968" w:type="dxa"/>
            <w:tcBorders>
              <w:top w:val="single" w:sz="4" w:space="0" w:color="auto"/>
              <w:bottom w:val="single" w:sz="12" w:space="0" w:color="auto"/>
            </w:tcBorders>
            <w:shd w:val="clear" w:color="auto" w:fill="auto"/>
            <w:noWrap/>
            <w:vAlign w:val="bottom"/>
            <w:hideMark/>
          </w:tcPr>
          <w:p w14:paraId="0B4472B5" w14:textId="77777777" w:rsidR="00E97D4E" w:rsidRPr="00684CF8" w:rsidRDefault="00E97D4E" w:rsidP="00E97D4E">
            <w:pPr>
              <w:suppressAutoHyphens w:val="0"/>
              <w:spacing w:before="80" w:after="80" w:line="200" w:lineRule="exact"/>
              <w:jc w:val="right"/>
              <w:rPr>
                <w:rFonts w:cs="Times New Roman"/>
                <w:i/>
                <w:sz w:val="16"/>
              </w:rPr>
            </w:pPr>
            <w:r w:rsidRPr="00684CF8">
              <w:rPr>
                <w:rFonts w:cs="Times New Roman"/>
                <w:i/>
                <w:sz w:val="16"/>
              </w:rPr>
              <w:t xml:space="preserve">2014 </w:t>
            </w:r>
          </w:p>
        </w:tc>
        <w:tc>
          <w:tcPr>
            <w:tcW w:w="969" w:type="dxa"/>
            <w:tcBorders>
              <w:top w:val="single" w:sz="4" w:space="0" w:color="auto"/>
              <w:bottom w:val="single" w:sz="12" w:space="0" w:color="auto"/>
            </w:tcBorders>
            <w:shd w:val="clear" w:color="auto" w:fill="auto"/>
            <w:noWrap/>
            <w:vAlign w:val="bottom"/>
            <w:hideMark/>
          </w:tcPr>
          <w:p w14:paraId="5BF15189" w14:textId="77777777" w:rsidR="00E97D4E" w:rsidRPr="00684CF8" w:rsidRDefault="00E97D4E" w:rsidP="00E97D4E">
            <w:pPr>
              <w:suppressAutoHyphens w:val="0"/>
              <w:spacing w:before="80" w:after="80" w:line="200" w:lineRule="exact"/>
              <w:jc w:val="right"/>
              <w:rPr>
                <w:rFonts w:cs="Times New Roman"/>
                <w:i/>
                <w:sz w:val="16"/>
              </w:rPr>
            </w:pPr>
            <w:r w:rsidRPr="00684CF8">
              <w:rPr>
                <w:rFonts w:cs="Times New Roman"/>
                <w:i/>
                <w:sz w:val="16"/>
              </w:rPr>
              <w:t xml:space="preserve">2015 </w:t>
            </w:r>
          </w:p>
        </w:tc>
        <w:tc>
          <w:tcPr>
            <w:tcW w:w="968" w:type="dxa"/>
            <w:tcBorders>
              <w:top w:val="single" w:sz="4" w:space="0" w:color="auto"/>
              <w:bottom w:val="single" w:sz="12" w:space="0" w:color="auto"/>
            </w:tcBorders>
            <w:shd w:val="clear" w:color="auto" w:fill="auto"/>
            <w:noWrap/>
            <w:vAlign w:val="bottom"/>
            <w:hideMark/>
          </w:tcPr>
          <w:p w14:paraId="53D1CF0F" w14:textId="77777777" w:rsidR="00E97D4E" w:rsidRPr="00684CF8" w:rsidRDefault="00E97D4E" w:rsidP="00E97D4E">
            <w:pPr>
              <w:suppressAutoHyphens w:val="0"/>
              <w:spacing w:before="80" w:after="80" w:line="200" w:lineRule="exact"/>
              <w:jc w:val="right"/>
              <w:rPr>
                <w:rFonts w:cs="Times New Roman"/>
                <w:i/>
                <w:sz w:val="16"/>
              </w:rPr>
            </w:pPr>
            <w:r w:rsidRPr="00684CF8">
              <w:rPr>
                <w:rFonts w:cs="Times New Roman"/>
                <w:i/>
                <w:sz w:val="16"/>
              </w:rPr>
              <w:t xml:space="preserve">2016 </w:t>
            </w:r>
          </w:p>
        </w:tc>
        <w:tc>
          <w:tcPr>
            <w:tcW w:w="968" w:type="dxa"/>
            <w:tcBorders>
              <w:top w:val="single" w:sz="4" w:space="0" w:color="auto"/>
              <w:bottom w:val="single" w:sz="12" w:space="0" w:color="auto"/>
            </w:tcBorders>
            <w:shd w:val="clear" w:color="auto" w:fill="auto"/>
            <w:vAlign w:val="bottom"/>
            <w:hideMark/>
          </w:tcPr>
          <w:p w14:paraId="33014792" w14:textId="77777777" w:rsidR="00E97D4E" w:rsidRPr="00684CF8" w:rsidRDefault="00E97D4E" w:rsidP="00E97D4E">
            <w:pPr>
              <w:suppressAutoHyphens w:val="0"/>
              <w:spacing w:before="80" w:after="80" w:line="200" w:lineRule="exact"/>
              <w:jc w:val="right"/>
              <w:rPr>
                <w:rFonts w:cs="Times New Roman"/>
                <w:i/>
                <w:sz w:val="16"/>
              </w:rPr>
            </w:pPr>
            <w:r w:rsidRPr="00684CF8">
              <w:rPr>
                <w:rFonts w:cs="Times New Roman"/>
                <w:i/>
                <w:sz w:val="16"/>
              </w:rPr>
              <w:t xml:space="preserve">2017 </w:t>
            </w:r>
          </w:p>
        </w:tc>
        <w:tc>
          <w:tcPr>
            <w:tcW w:w="969" w:type="dxa"/>
            <w:tcBorders>
              <w:top w:val="single" w:sz="4" w:space="0" w:color="auto"/>
              <w:bottom w:val="single" w:sz="12" w:space="0" w:color="auto"/>
            </w:tcBorders>
            <w:shd w:val="clear" w:color="auto" w:fill="auto"/>
            <w:vAlign w:val="bottom"/>
            <w:hideMark/>
          </w:tcPr>
          <w:p w14:paraId="53236CB4" w14:textId="77777777" w:rsidR="00E97D4E" w:rsidRPr="00684CF8" w:rsidRDefault="00E97D4E" w:rsidP="00E97D4E">
            <w:pPr>
              <w:suppressAutoHyphens w:val="0"/>
              <w:spacing w:before="80" w:after="80" w:line="200" w:lineRule="exact"/>
              <w:jc w:val="right"/>
              <w:rPr>
                <w:rFonts w:cs="Times New Roman"/>
                <w:i/>
                <w:sz w:val="16"/>
              </w:rPr>
            </w:pPr>
            <w:r w:rsidRPr="00684CF8">
              <w:rPr>
                <w:rFonts w:cs="Times New Roman"/>
                <w:i/>
                <w:sz w:val="16"/>
              </w:rPr>
              <w:t xml:space="preserve">2018 </w:t>
            </w:r>
          </w:p>
        </w:tc>
      </w:tr>
      <w:tr w:rsidR="00E97D4E" w:rsidRPr="00684CF8" w14:paraId="0FE2EBCE" w14:textId="77777777" w:rsidTr="00E97D4E">
        <w:tc>
          <w:tcPr>
            <w:tcW w:w="1560" w:type="dxa"/>
            <w:tcBorders>
              <w:top w:val="single" w:sz="12" w:space="0" w:color="auto"/>
            </w:tcBorders>
            <w:shd w:val="clear" w:color="auto" w:fill="auto"/>
            <w:noWrap/>
            <w:hideMark/>
          </w:tcPr>
          <w:p w14:paraId="6203CC45" w14:textId="77777777" w:rsidR="00E97D4E" w:rsidRPr="00684CF8" w:rsidRDefault="00E97D4E" w:rsidP="00E97D4E">
            <w:pPr>
              <w:suppressAutoHyphens w:val="0"/>
              <w:spacing w:before="40" w:after="40" w:line="220" w:lineRule="exact"/>
              <w:rPr>
                <w:rFonts w:cs="Times New Roman"/>
                <w:sz w:val="18"/>
                <w:lang w:eastAsia="fi-FI"/>
              </w:rPr>
            </w:pPr>
            <w:r w:rsidRPr="00684CF8">
              <w:rPr>
                <w:rFonts w:cs="Times New Roman"/>
                <w:sz w:val="18"/>
                <w:lang w:eastAsia="fi-FI"/>
              </w:rPr>
              <w:t>Финский</w:t>
            </w:r>
          </w:p>
        </w:tc>
        <w:tc>
          <w:tcPr>
            <w:tcW w:w="968" w:type="dxa"/>
            <w:tcBorders>
              <w:top w:val="single" w:sz="12" w:space="0" w:color="auto"/>
            </w:tcBorders>
            <w:shd w:val="clear" w:color="auto" w:fill="auto"/>
            <w:noWrap/>
            <w:vAlign w:val="bottom"/>
            <w:hideMark/>
          </w:tcPr>
          <w:p w14:paraId="46C05CDD"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lang w:eastAsia="fi-FI"/>
              </w:rPr>
              <w:t>4 869 362</w:t>
            </w:r>
          </w:p>
        </w:tc>
        <w:tc>
          <w:tcPr>
            <w:tcW w:w="968" w:type="dxa"/>
            <w:tcBorders>
              <w:top w:val="single" w:sz="12" w:space="0" w:color="auto"/>
            </w:tcBorders>
            <w:shd w:val="clear" w:color="auto" w:fill="auto"/>
            <w:noWrap/>
            <w:vAlign w:val="bottom"/>
            <w:hideMark/>
          </w:tcPr>
          <w:p w14:paraId="5CB7766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lang w:eastAsia="fi-FI"/>
              </w:rPr>
              <w:t>4 868 751</w:t>
            </w:r>
          </w:p>
        </w:tc>
        <w:tc>
          <w:tcPr>
            <w:tcW w:w="969" w:type="dxa"/>
            <w:tcBorders>
              <w:top w:val="single" w:sz="12" w:space="0" w:color="auto"/>
            </w:tcBorders>
            <w:shd w:val="clear" w:color="auto" w:fill="auto"/>
            <w:noWrap/>
            <w:vAlign w:val="bottom"/>
            <w:hideMark/>
          </w:tcPr>
          <w:p w14:paraId="054651BF"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lang w:eastAsia="fi-FI"/>
              </w:rPr>
              <w:t>4 865 628</w:t>
            </w:r>
          </w:p>
        </w:tc>
        <w:tc>
          <w:tcPr>
            <w:tcW w:w="968" w:type="dxa"/>
            <w:tcBorders>
              <w:top w:val="single" w:sz="12" w:space="0" w:color="auto"/>
            </w:tcBorders>
            <w:shd w:val="clear" w:color="auto" w:fill="auto"/>
            <w:noWrap/>
            <w:vAlign w:val="bottom"/>
            <w:hideMark/>
          </w:tcPr>
          <w:p w14:paraId="75BAB751"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lang w:eastAsia="fi-FI"/>
              </w:rPr>
              <w:t>4 857 795</w:t>
            </w:r>
          </w:p>
        </w:tc>
        <w:tc>
          <w:tcPr>
            <w:tcW w:w="968" w:type="dxa"/>
            <w:tcBorders>
              <w:top w:val="single" w:sz="12" w:space="0" w:color="auto"/>
            </w:tcBorders>
            <w:shd w:val="clear" w:color="auto" w:fill="auto"/>
            <w:vAlign w:val="bottom"/>
            <w:hideMark/>
          </w:tcPr>
          <w:p w14:paraId="1717A1B4"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lang w:eastAsia="fi-FI"/>
              </w:rPr>
              <w:t>4 848 761</w:t>
            </w:r>
          </w:p>
        </w:tc>
        <w:tc>
          <w:tcPr>
            <w:tcW w:w="969" w:type="dxa"/>
            <w:tcBorders>
              <w:top w:val="single" w:sz="12" w:space="0" w:color="auto"/>
            </w:tcBorders>
            <w:shd w:val="clear" w:color="auto" w:fill="auto"/>
            <w:vAlign w:val="bottom"/>
            <w:hideMark/>
          </w:tcPr>
          <w:p w14:paraId="00A332DD"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lang w:eastAsia="fi-FI"/>
              </w:rPr>
              <w:t>4 835 778</w:t>
            </w:r>
          </w:p>
        </w:tc>
      </w:tr>
      <w:tr w:rsidR="00E97D4E" w:rsidRPr="00684CF8" w14:paraId="1EF91285" w14:textId="77777777" w:rsidTr="00E97D4E">
        <w:tc>
          <w:tcPr>
            <w:tcW w:w="1560" w:type="dxa"/>
            <w:shd w:val="clear" w:color="auto" w:fill="auto"/>
            <w:noWrap/>
            <w:hideMark/>
          </w:tcPr>
          <w:p w14:paraId="0F7CF510"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Шведский</w:t>
            </w:r>
          </w:p>
        </w:tc>
        <w:tc>
          <w:tcPr>
            <w:tcW w:w="968" w:type="dxa"/>
            <w:shd w:val="clear" w:color="auto" w:fill="auto"/>
            <w:noWrap/>
            <w:vAlign w:val="bottom"/>
            <w:hideMark/>
          </w:tcPr>
          <w:p w14:paraId="47D220C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290 910</w:t>
            </w:r>
          </w:p>
        </w:tc>
        <w:tc>
          <w:tcPr>
            <w:tcW w:w="968" w:type="dxa"/>
            <w:shd w:val="clear" w:color="auto" w:fill="auto"/>
            <w:noWrap/>
            <w:vAlign w:val="bottom"/>
            <w:hideMark/>
          </w:tcPr>
          <w:p w14:paraId="633FFF5E"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290 747</w:t>
            </w:r>
          </w:p>
        </w:tc>
        <w:tc>
          <w:tcPr>
            <w:tcW w:w="969" w:type="dxa"/>
            <w:shd w:val="clear" w:color="auto" w:fill="auto"/>
            <w:noWrap/>
            <w:vAlign w:val="bottom"/>
            <w:hideMark/>
          </w:tcPr>
          <w:p w14:paraId="29349A8F"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290 161</w:t>
            </w:r>
          </w:p>
        </w:tc>
        <w:tc>
          <w:tcPr>
            <w:tcW w:w="968" w:type="dxa"/>
            <w:shd w:val="clear" w:color="auto" w:fill="auto"/>
            <w:noWrap/>
            <w:vAlign w:val="bottom"/>
            <w:hideMark/>
          </w:tcPr>
          <w:p w14:paraId="621A188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289 540</w:t>
            </w:r>
          </w:p>
        </w:tc>
        <w:tc>
          <w:tcPr>
            <w:tcW w:w="968" w:type="dxa"/>
            <w:shd w:val="clear" w:color="auto" w:fill="auto"/>
            <w:vAlign w:val="bottom"/>
            <w:hideMark/>
          </w:tcPr>
          <w:p w14:paraId="1E2B857A"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289 052</w:t>
            </w:r>
          </w:p>
        </w:tc>
        <w:tc>
          <w:tcPr>
            <w:tcW w:w="969" w:type="dxa"/>
            <w:shd w:val="clear" w:color="auto" w:fill="auto"/>
            <w:vAlign w:val="bottom"/>
            <w:hideMark/>
          </w:tcPr>
          <w:p w14:paraId="06AC6706"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288 400</w:t>
            </w:r>
          </w:p>
        </w:tc>
      </w:tr>
      <w:tr w:rsidR="00E97D4E" w:rsidRPr="00684CF8" w14:paraId="1CBF5A0D" w14:textId="77777777" w:rsidTr="00E97D4E">
        <w:tc>
          <w:tcPr>
            <w:tcW w:w="1560" w:type="dxa"/>
            <w:shd w:val="clear" w:color="auto" w:fill="auto"/>
            <w:noWrap/>
            <w:hideMark/>
          </w:tcPr>
          <w:p w14:paraId="54483AC7"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Саами</w:t>
            </w:r>
          </w:p>
        </w:tc>
        <w:tc>
          <w:tcPr>
            <w:tcW w:w="968" w:type="dxa"/>
            <w:shd w:val="clear" w:color="auto" w:fill="auto"/>
            <w:noWrap/>
            <w:vAlign w:val="bottom"/>
            <w:hideMark/>
          </w:tcPr>
          <w:p w14:paraId="7203C28D"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1 930</w:t>
            </w:r>
          </w:p>
        </w:tc>
        <w:tc>
          <w:tcPr>
            <w:tcW w:w="968" w:type="dxa"/>
            <w:shd w:val="clear" w:color="auto" w:fill="auto"/>
            <w:noWrap/>
            <w:vAlign w:val="bottom"/>
            <w:hideMark/>
          </w:tcPr>
          <w:p w14:paraId="154B886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1 949</w:t>
            </w:r>
          </w:p>
        </w:tc>
        <w:tc>
          <w:tcPr>
            <w:tcW w:w="969" w:type="dxa"/>
            <w:shd w:val="clear" w:color="auto" w:fill="auto"/>
            <w:noWrap/>
            <w:vAlign w:val="bottom"/>
            <w:hideMark/>
          </w:tcPr>
          <w:p w14:paraId="0DBC5732"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1 957</w:t>
            </w:r>
          </w:p>
        </w:tc>
        <w:tc>
          <w:tcPr>
            <w:tcW w:w="968" w:type="dxa"/>
            <w:shd w:val="clear" w:color="auto" w:fill="auto"/>
            <w:noWrap/>
            <w:vAlign w:val="bottom"/>
            <w:hideMark/>
          </w:tcPr>
          <w:p w14:paraId="0D69DE1A"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1 969</w:t>
            </w:r>
          </w:p>
        </w:tc>
        <w:tc>
          <w:tcPr>
            <w:tcW w:w="968" w:type="dxa"/>
            <w:shd w:val="clear" w:color="auto" w:fill="auto"/>
            <w:vAlign w:val="bottom"/>
            <w:hideMark/>
          </w:tcPr>
          <w:p w14:paraId="317A431E"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1 992</w:t>
            </w:r>
          </w:p>
        </w:tc>
        <w:tc>
          <w:tcPr>
            <w:tcW w:w="969" w:type="dxa"/>
            <w:shd w:val="clear" w:color="auto" w:fill="auto"/>
            <w:vAlign w:val="bottom"/>
            <w:hideMark/>
          </w:tcPr>
          <w:p w14:paraId="3A6DAE2A"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1 995</w:t>
            </w:r>
          </w:p>
        </w:tc>
      </w:tr>
      <w:tr w:rsidR="00E97D4E" w:rsidRPr="00684CF8" w14:paraId="259345A7" w14:textId="77777777" w:rsidTr="00E97D4E">
        <w:tc>
          <w:tcPr>
            <w:tcW w:w="1560" w:type="dxa"/>
            <w:shd w:val="clear" w:color="auto" w:fill="auto"/>
            <w:noWrap/>
            <w:hideMark/>
          </w:tcPr>
          <w:p w14:paraId="73EE6190"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Другие языки:</w:t>
            </w:r>
          </w:p>
        </w:tc>
        <w:tc>
          <w:tcPr>
            <w:tcW w:w="968" w:type="dxa"/>
            <w:shd w:val="clear" w:color="auto" w:fill="auto"/>
            <w:noWrap/>
            <w:vAlign w:val="bottom"/>
            <w:hideMark/>
          </w:tcPr>
          <w:p w14:paraId="1B21BE09" w14:textId="77777777" w:rsidR="00E97D4E" w:rsidRPr="00684CF8" w:rsidRDefault="00E97D4E" w:rsidP="00E97D4E">
            <w:pPr>
              <w:suppressAutoHyphens w:val="0"/>
              <w:spacing w:before="40" w:after="40" w:line="220" w:lineRule="exact"/>
              <w:jc w:val="right"/>
              <w:rPr>
                <w:rFonts w:cs="Times New Roman"/>
                <w:sz w:val="18"/>
              </w:rPr>
            </w:pPr>
          </w:p>
        </w:tc>
        <w:tc>
          <w:tcPr>
            <w:tcW w:w="968" w:type="dxa"/>
            <w:shd w:val="clear" w:color="auto" w:fill="auto"/>
            <w:noWrap/>
            <w:vAlign w:val="bottom"/>
            <w:hideMark/>
          </w:tcPr>
          <w:p w14:paraId="78842852" w14:textId="77777777" w:rsidR="00E97D4E" w:rsidRPr="00684CF8" w:rsidRDefault="00E97D4E" w:rsidP="00E97D4E">
            <w:pPr>
              <w:suppressAutoHyphens w:val="0"/>
              <w:spacing w:before="40" w:after="40" w:line="220" w:lineRule="exact"/>
              <w:jc w:val="right"/>
              <w:rPr>
                <w:rFonts w:cs="Times New Roman"/>
                <w:sz w:val="18"/>
              </w:rPr>
            </w:pPr>
          </w:p>
        </w:tc>
        <w:tc>
          <w:tcPr>
            <w:tcW w:w="969" w:type="dxa"/>
            <w:shd w:val="clear" w:color="auto" w:fill="auto"/>
            <w:noWrap/>
            <w:vAlign w:val="bottom"/>
            <w:hideMark/>
          </w:tcPr>
          <w:p w14:paraId="010BD5D1" w14:textId="77777777" w:rsidR="00E97D4E" w:rsidRPr="00684CF8" w:rsidRDefault="00E97D4E" w:rsidP="00E97D4E">
            <w:pPr>
              <w:suppressAutoHyphens w:val="0"/>
              <w:spacing w:before="40" w:after="40" w:line="220" w:lineRule="exact"/>
              <w:jc w:val="right"/>
              <w:rPr>
                <w:rFonts w:cs="Times New Roman"/>
                <w:sz w:val="18"/>
              </w:rPr>
            </w:pPr>
          </w:p>
        </w:tc>
        <w:tc>
          <w:tcPr>
            <w:tcW w:w="968" w:type="dxa"/>
            <w:shd w:val="clear" w:color="auto" w:fill="auto"/>
            <w:noWrap/>
            <w:vAlign w:val="bottom"/>
            <w:hideMark/>
          </w:tcPr>
          <w:p w14:paraId="3E166880" w14:textId="77777777" w:rsidR="00E97D4E" w:rsidRPr="00684CF8" w:rsidRDefault="00E97D4E" w:rsidP="00E97D4E">
            <w:pPr>
              <w:suppressAutoHyphens w:val="0"/>
              <w:spacing w:before="40" w:after="40" w:line="220" w:lineRule="exact"/>
              <w:jc w:val="right"/>
              <w:rPr>
                <w:rFonts w:cs="Times New Roman"/>
                <w:sz w:val="18"/>
              </w:rPr>
            </w:pPr>
          </w:p>
        </w:tc>
        <w:tc>
          <w:tcPr>
            <w:tcW w:w="968" w:type="dxa"/>
            <w:shd w:val="clear" w:color="auto" w:fill="auto"/>
            <w:vAlign w:val="bottom"/>
          </w:tcPr>
          <w:p w14:paraId="7CB3CB77" w14:textId="77777777" w:rsidR="00E97D4E" w:rsidRPr="00684CF8" w:rsidRDefault="00E97D4E" w:rsidP="00E97D4E">
            <w:pPr>
              <w:suppressAutoHyphens w:val="0"/>
              <w:spacing w:before="40" w:after="40" w:line="220" w:lineRule="exact"/>
              <w:jc w:val="right"/>
              <w:rPr>
                <w:rFonts w:cs="Times New Roman"/>
                <w:sz w:val="18"/>
              </w:rPr>
            </w:pPr>
          </w:p>
        </w:tc>
        <w:tc>
          <w:tcPr>
            <w:tcW w:w="969" w:type="dxa"/>
            <w:shd w:val="clear" w:color="auto" w:fill="auto"/>
            <w:vAlign w:val="bottom"/>
          </w:tcPr>
          <w:p w14:paraId="18919F26" w14:textId="77777777" w:rsidR="00E97D4E" w:rsidRPr="00684CF8" w:rsidRDefault="00E97D4E" w:rsidP="00E97D4E">
            <w:pPr>
              <w:suppressAutoHyphens w:val="0"/>
              <w:spacing w:before="40" w:after="40" w:line="220" w:lineRule="exact"/>
              <w:jc w:val="right"/>
              <w:rPr>
                <w:rFonts w:cs="Times New Roman"/>
                <w:sz w:val="18"/>
              </w:rPr>
            </w:pPr>
          </w:p>
        </w:tc>
      </w:tr>
      <w:tr w:rsidR="00E97D4E" w:rsidRPr="00684CF8" w14:paraId="40DBBA74" w14:textId="77777777" w:rsidTr="00E97D4E">
        <w:tc>
          <w:tcPr>
            <w:tcW w:w="1560" w:type="dxa"/>
            <w:shd w:val="clear" w:color="auto" w:fill="auto"/>
            <w:noWrap/>
            <w:hideMark/>
          </w:tcPr>
          <w:p w14:paraId="1DE3F122"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Русский</w:t>
            </w:r>
          </w:p>
        </w:tc>
        <w:tc>
          <w:tcPr>
            <w:tcW w:w="968" w:type="dxa"/>
            <w:shd w:val="clear" w:color="auto" w:fill="auto"/>
            <w:noWrap/>
            <w:vAlign w:val="bottom"/>
            <w:hideMark/>
          </w:tcPr>
          <w:p w14:paraId="4CA67A8B"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66 379</w:t>
            </w:r>
          </w:p>
        </w:tc>
        <w:tc>
          <w:tcPr>
            <w:tcW w:w="968" w:type="dxa"/>
            <w:shd w:val="clear" w:color="auto" w:fill="auto"/>
            <w:noWrap/>
            <w:vAlign w:val="bottom"/>
            <w:hideMark/>
          </w:tcPr>
          <w:p w14:paraId="29B8147E"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69 614</w:t>
            </w:r>
          </w:p>
        </w:tc>
        <w:tc>
          <w:tcPr>
            <w:tcW w:w="969" w:type="dxa"/>
            <w:shd w:val="clear" w:color="auto" w:fill="auto"/>
            <w:noWrap/>
            <w:vAlign w:val="bottom"/>
            <w:hideMark/>
          </w:tcPr>
          <w:p w14:paraId="15F6F221"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72 436</w:t>
            </w:r>
          </w:p>
        </w:tc>
        <w:tc>
          <w:tcPr>
            <w:tcW w:w="968" w:type="dxa"/>
            <w:shd w:val="clear" w:color="auto" w:fill="auto"/>
            <w:noWrap/>
            <w:vAlign w:val="bottom"/>
            <w:hideMark/>
          </w:tcPr>
          <w:p w14:paraId="3DB392FC"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75 444</w:t>
            </w:r>
          </w:p>
        </w:tc>
        <w:tc>
          <w:tcPr>
            <w:tcW w:w="968" w:type="dxa"/>
            <w:shd w:val="clear" w:color="auto" w:fill="auto"/>
            <w:vAlign w:val="bottom"/>
            <w:hideMark/>
          </w:tcPr>
          <w:p w14:paraId="2D1AB3D3"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77 177</w:t>
            </w:r>
          </w:p>
        </w:tc>
        <w:tc>
          <w:tcPr>
            <w:tcW w:w="969" w:type="dxa"/>
            <w:shd w:val="clear" w:color="auto" w:fill="auto"/>
            <w:vAlign w:val="bottom"/>
            <w:hideMark/>
          </w:tcPr>
          <w:p w14:paraId="74717D2A"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79 225</w:t>
            </w:r>
          </w:p>
        </w:tc>
      </w:tr>
      <w:tr w:rsidR="00E97D4E" w:rsidRPr="00684CF8" w14:paraId="07984F63" w14:textId="77777777" w:rsidTr="00E97D4E">
        <w:tc>
          <w:tcPr>
            <w:tcW w:w="1560" w:type="dxa"/>
            <w:shd w:val="clear" w:color="auto" w:fill="auto"/>
            <w:noWrap/>
            <w:hideMark/>
          </w:tcPr>
          <w:p w14:paraId="488CDA45"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Эстонский</w:t>
            </w:r>
          </w:p>
        </w:tc>
        <w:tc>
          <w:tcPr>
            <w:tcW w:w="968" w:type="dxa"/>
            <w:shd w:val="clear" w:color="auto" w:fill="auto"/>
            <w:noWrap/>
            <w:vAlign w:val="bottom"/>
            <w:hideMark/>
          </w:tcPr>
          <w:p w14:paraId="5E9E52A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42 936</w:t>
            </w:r>
          </w:p>
        </w:tc>
        <w:tc>
          <w:tcPr>
            <w:tcW w:w="968" w:type="dxa"/>
            <w:shd w:val="clear" w:color="auto" w:fill="auto"/>
            <w:noWrap/>
            <w:vAlign w:val="bottom"/>
            <w:hideMark/>
          </w:tcPr>
          <w:p w14:paraId="7AD56C0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46 195</w:t>
            </w:r>
          </w:p>
        </w:tc>
        <w:tc>
          <w:tcPr>
            <w:tcW w:w="969" w:type="dxa"/>
            <w:shd w:val="clear" w:color="auto" w:fill="auto"/>
            <w:noWrap/>
            <w:vAlign w:val="bottom"/>
            <w:hideMark/>
          </w:tcPr>
          <w:p w14:paraId="689DBAC1"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48 087</w:t>
            </w:r>
          </w:p>
        </w:tc>
        <w:tc>
          <w:tcPr>
            <w:tcW w:w="968" w:type="dxa"/>
            <w:shd w:val="clear" w:color="auto" w:fill="auto"/>
            <w:noWrap/>
            <w:vAlign w:val="bottom"/>
            <w:hideMark/>
          </w:tcPr>
          <w:p w14:paraId="06126E2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49 241</w:t>
            </w:r>
          </w:p>
        </w:tc>
        <w:tc>
          <w:tcPr>
            <w:tcW w:w="968" w:type="dxa"/>
            <w:shd w:val="clear" w:color="auto" w:fill="auto"/>
            <w:vAlign w:val="bottom"/>
            <w:hideMark/>
          </w:tcPr>
          <w:p w14:paraId="0C17D709"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49 590</w:t>
            </w:r>
          </w:p>
        </w:tc>
        <w:tc>
          <w:tcPr>
            <w:tcW w:w="969" w:type="dxa"/>
            <w:shd w:val="clear" w:color="auto" w:fill="auto"/>
            <w:vAlign w:val="bottom"/>
            <w:hideMark/>
          </w:tcPr>
          <w:p w14:paraId="09A12F1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49 691</w:t>
            </w:r>
          </w:p>
        </w:tc>
      </w:tr>
      <w:tr w:rsidR="00E97D4E" w:rsidRPr="00684CF8" w14:paraId="67CDF157" w14:textId="77777777" w:rsidTr="00E97D4E">
        <w:tc>
          <w:tcPr>
            <w:tcW w:w="1560" w:type="dxa"/>
            <w:shd w:val="clear" w:color="auto" w:fill="auto"/>
            <w:noWrap/>
            <w:hideMark/>
          </w:tcPr>
          <w:p w14:paraId="792A4E1F"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Арабский</w:t>
            </w:r>
          </w:p>
        </w:tc>
        <w:tc>
          <w:tcPr>
            <w:tcW w:w="968" w:type="dxa"/>
            <w:shd w:val="clear" w:color="auto" w:fill="auto"/>
            <w:noWrap/>
            <w:vAlign w:val="bottom"/>
            <w:hideMark/>
          </w:tcPr>
          <w:p w14:paraId="6703EE3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13 170</w:t>
            </w:r>
          </w:p>
        </w:tc>
        <w:tc>
          <w:tcPr>
            <w:tcW w:w="968" w:type="dxa"/>
            <w:shd w:val="clear" w:color="auto" w:fill="auto"/>
            <w:noWrap/>
            <w:vAlign w:val="bottom"/>
            <w:hideMark/>
          </w:tcPr>
          <w:p w14:paraId="1CD60CF2"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14 825</w:t>
            </w:r>
          </w:p>
        </w:tc>
        <w:tc>
          <w:tcPr>
            <w:tcW w:w="969" w:type="dxa"/>
            <w:shd w:val="clear" w:color="auto" w:fill="auto"/>
            <w:noWrap/>
            <w:vAlign w:val="bottom"/>
            <w:hideMark/>
          </w:tcPr>
          <w:p w14:paraId="5ABB6166"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16 713</w:t>
            </w:r>
          </w:p>
        </w:tc>
        <w:tc>
          <w:tcPr>
            <w:tcW w:w="968" w:type="dxa"/>
            <w:shd w:val="clear" w:color="auto" w:fill="auto"/>
            <w:noWrap/>
            <w:vAlign w:val="bottom"/>
            <w:hideMark/>
          </w:tcPr>
          <w:p w14:paraId="61947CD0"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21 783</w:t>
            </w:r>
          </w:p>
        </w:tc>
        <w:tc>
          <w:tcPr>
            <w:tcW w:w="968" w:type="dxa"/>
            <w:shd w:val="clear" w:color="auto" w:fill="auto"/>
            <w:vAlign w:val="bottom"/>
            <w:hideMark/>
          </w:tcPr>
          <w:p w14:paraId="188533F2"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26 467</w:t>
            </w:r>
          </w:p>
        </w:tc>
        <w:tc>
          <w:tcPr>
            <w:tcW w:w="969" w:type="dxa"/>
            <w:shd w:val="clear" w:color="auto" w:fill="auto"/>
            <w:vAlign w:val="bottom"/>
            <w:hideMark/>
          </w:tcPr>
          <w:p w14:paraId="4926927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29 462</w:t>
            </w:r>
          </w:p>
        </w:tc>
      </w:tr>
      <w:tr w:rsidR="00E97D4E" w:rsidRPr="00684CF8" w14:paraId="36A1E4CE" w14:textId="77777777" w:rsidTr="00E97D4E">
        <w:tc>
          <w:tcPr>
            <w:tcW w:w="1560" w:type="dxa"/>
            <w:shd w:val="clear" w:color="auto" w:fill="auto"/>
            <w:noWrap/>
            <w:hideMark/>
          </w:tcPr>
          <w:p w14:paraId="62B07816"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Сомалийский</w:t>
            </w:r>
          </w:p>
        </w:tc>
        <w:tc>
          <w:tcPr>
            <w:tcW w:w="968" w:type="dxa"/>
            <w:shd w:val="clear" w:color="auto" w:fill="auto"/>
            <w:noWrap/>
            <w:vAlign w:val="bottom"/>
            <w:hideMark/>
          </w:tcPr>
          <w:p w14:paraId="26FBC9E6"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15 789</w:t>
            </w:r>
          </w:p>
        </w:tc>
        <w:tc>
          <w:tcPr>
            <w:tcW w:w="968" w:type="dxa"/>
            <w:shd w:val="clear" w:color="auto" w:fill="auto"/>
            <w:noWrap/>
            <w:vAlign w:val="bottom"/>
            <w:hideMark/>
          </w:tcPr>
          <w:p w14:paraId="247D313B"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16 721</w:t>
            </w:r>
          </w:p>
        </w:tc>
        <w:tc>
          <w:tcPr>
            <w:tcW w:w="969" w:type="dxa"/>
            <w:shd w:val="clear" w:color="auto" w:fill="auto"/>
            <w:noWrap/>
            <w:vAlign w:val="bottom"/>
            <w:hideMark/>
          </w:tcPr>
          <w:p w14:paraId="71D67282"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17 871</w:t>
            </w:r>
          </w:p>
        </w:tc>
        <w:tc>
          <w:tcPr>
            <w:tcW w:w="968" w:type="dxa"/>
            <w:shd w:val="clear" w:color="auto" w:fill="auto"/>
            <w:noWrap/>
            <w:vAlign w:val="bottom"/>
            <w:hideMark/>
          </w:tcPr>
          <w:p w14:paraId="4AF3C968"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19 059</w:t>
            </w:r>
          </w:p>
        </w:tc>
        <w:tc>
          <w:tcPr>
            <w:tcW w:w="968" w:type="dxa"/>
            <w:shd w:val="clear" w:color="auto" w:fill="auto"/>
            <w:vAlign w:val="bottom"/>
            <w:hideMark/>
          </w:tcPr>
          <w:p w14:paraId="05826F14"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20 007</w:t>
            </w:r>
          </w:p>
        </w:tc>
        <w:tc>
          <w:tcPr>
            <w:tcW w:w="969" w:type="dxa"/>
            <w:shd w:val="clear" w:color="auto" w:fill="auto"/>
            <w:vAlign w:val="bottom"/>
            <w:hideMark/>
          </w:tcPr>
          <w:p w14:paraId="77EC1300"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20 944</w:t>
            </w:r>
          </w:p>
        </w:tc>
      </w:tr>
      <w:tr w:rsidR="00E97D4E" w:rsidRPr="00684CF8" w14:paraId="457230A2" w14:textId="77777777" w:rsidTr="00E97D4E">
        <w:tc>
          <w:tcPr>
            <w:tcW w:w="1560" w:type="dxa"/>
            <w:shd w:val="clear" w:color="auto" w:fill="auto"/>
            <w:noWrap/>
            <w:hideMark/>
          </w:tcPr>
          <w:p w14:paraId="7BD38BC6"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Английский</w:t>
            </w:r>
          </w:p>
        </w:tc>
        <w:tc>
          <w:tcPr>
            <w:tcW w:w="968" w:type="dxa"/>
            <w:shd w:val="clear" w:color="auto" w:fill="auto"/>
            <w:noWrap/>
            <w:vAlign w:val="bottom"/>
            <w:hideMark/>
          </w:tcPr>
          <w:p w14:paraId="7DA61C11"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15 570</w:t>
            </w:r>
          </w:p>
        </w:tc>
        <w:tc>
          <w:tcPr>
            <w:tcW w:w="968" w:type="dxa"/>
            <w:shd w:val="clear" w:color="auto" w:fill="auto"/>
            <w:noWrap/>
            <w:vAlign w:val="bottom"/>
            <w:hideMark/>
          </w:tcPr>
          <w:p w14:paraId="688FC32A"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16 732</w:t>
            </w:r>
          </w:p>
        </w:tc>
        <w:tc>
          <w:tcPr>
            <w:tcW w:w="969" w:type="dxa"/>
            <w:shd w:val="clear" w:color="auto" w:fill="auto"/>
            <w:noWrap/>
            <w:vAlign w:val="bottom"/>
            <w:hideMark/>
          </w:tcPr>
          <w:p w14:paraId="6E3F205C"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17 784</w:t>
            </w:r>
          </w:p>
        </w:tc>
        <w:tc>
          <w:tcPr>
            <w:tcW w:w="968" w:type="dxa"/>
            <w:shd w:val="clear" w:color="auto" w:fill="auto"/>
            <w:noWrap/>
            <w:vAlign w:val="bottom"/>
            <w:hideMark/>
          </w:tcPr>
          <w:p w14:paraId="06C95E2A"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18 758</w:t>
            </w:r>
          </w:p>
        </w:tc>
        <w:tc>
          <w:tcPr>
            <w:tcW w:w="968" w:type="dxa"/>
            <w:shd w:val="clear" w:color="auto" w:fill="auto"/>
            <w:vAlign w:val="bottom"/>
            <w:hideMark/>
          </w:tcPr>
          <w:p w14:paraId="762E24BB"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19 626</w:t>
            </w:r>
          </w:p>
        </w:tc>
        <w:tc>
          <w:tcPr>
            <w:tcW w:w="969" w:type="dxa"/>
            <w:shd w:val="clear" w:color="auto" w:fill="auto"/>
            <w:vAlign w:val="bottom"/>
            <w:hideMark/>
          </w:tcPr>
          <w:p w14:paraId="634411F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20 713</w:t>
            </w:r>
          </w:p>
        </w:tc>
      </w:tr>
      <w:tr w:rsidR="00E97D4E" w:rsidRPr="00684CF8" w14:paraId="06C89B8C" w14:textId="77777777" w:rsidTr="00E97D4E">
        <w:tc>
          <w:tcPr>
            <w:tcW w:w="1560" w:type="dxa"/>
            <w:shd w:val="clear" w:color="auto" w:fill="auto"/>
            <w:noWrap/>
            <w:hideMark/>
          </w:tcPr>
          <w:p w14:paraId="48C09303"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Курдский</w:t>
            </w:r>
          </w:p>
        </w:tc>
        <w:tc>
          <w:tcPr>
            <w:tcW w:w="968" w:type="dxa"/>
            <w:shd w:val="clear" w:color="auto" w:fill="auto"/>
            <w:noWrap/>
            <w:vAlign w:val="bottom"/>
            <w:hideMark/>
          </w:tcPr>
          <w:p w14:paraId="1ED4C3F7"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10 075</w:t>
            </w:r>
          </w:p>
        </w:tc>
        <w:tc>
          <w:tcPr>
            <w:tcW w:w="968" w:type="dxa"/>
            <w:shd w:val="clear" w:color="auto" w:fill="auto"/>
            <w:noWrap/>
            <w:vAlign w:val="bottom"/>
            <w:hideMark/>
          </w:tcPr>
          <w:p w14:paraId="636EA77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10 731</w:t>
            </w:r>
          </w:p>
        </w:tc>
        <w:tc>
          <w:tcPr>
            <w:tcW w:w="969" w:type="dxa"/>
            <w:shd w:val="clear" w:color="auto" w:fill="auto"/>
            <w:noWrap/>
            <w:vAlign w:val="bottom"/>
            <w:hideMark/>
          </w:tcPr>
          <w:p w14:paraId="271B0D58"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11 271</w:t>
            </w:r>
          </w:p>
        </w:tc>
        <w:tc>
          <w:tcPr>
            <w:tcW w:w="968" w:type="dxa"/>
            <w:shd w:val="clear" w:color="auto" w:fill="auto"/>
            <w:noWrap/>
            <w:vAlign w:val="bottom"/>
            <w:hideMark/>
          </w:tcPr>
          <w:p w14:paraId="53DBBAA4"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12 226</w:t>
            </w:r>
          </w:p>
        </w:tc>
        <w:tc>
          <w:tcPr>
            <w:tcW w:w="968" w:type="dxa"/>
            <w:shd w:val="clear" w:color="auto" w:fill="auto"/>
            <w:vAlign w:val="bottom"/>
            <w:hideMark/>
          </w:tcPr>
          <w:p w14:paraId="2F93FEF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13 327</w:t>
            </w:r>
          </w:p>
        </w:tc>
        <w:tc>
          <w:tcPr>
            <w:tcW w:w="969" w:type="dxa"/>
            <w:shd w:val="clear" w:color="auto" w:fill="auto"/>
            <w:vAlign w:val="bottom"/>
            <w:hideMark/>
          </w:tcPr>
          <w:p w14:paraId="5BA93E51"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14 054</w:t>
            </w:r>
          </w:p>
        </w:tc>
      </w:tr>
      <w:tr w:rsidR="00E97D4E" w:rsidRPr="00684CF8" w14:paraId="151D9FB1" w14:textId="77777777" w:rsidTr="00E97D4E">
        <w:tc>
          <w:tcPr>
            <w:tcW w:w="1560" w:type="dxa"/>
            <w:shd w:val="clear" w:color="auto" w:fill="auto"/>
            <w:noWrap/>
            <w:hideMark/>
          </w:tcPr>
          <w:p w14:paraId="5903EF79"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lastRenderedPageBreak/>
              <w:t>Персидский</w:t>
            </w:r>
          </w:p>
        </w:tc>
        <w:tc>
          <w:tcPr>
            <w:tcW w:w="968" w:type="dxa"/>
            <w:shd w:val="clear" w:color="auto" w:fill="auto"/>
            <w:noWrap/>
            <w:vAlign w:val="bottom"/>
            <w:hideMark/>
          </w:tcPr>
          <w:p w14:paraId="0706D5D8"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7 281</w:t>
            </w:r>
          </w:p>
        </w:tc>
        <w:tc>
          <w:tcPr>
            <w:tcW w:w="968" w:type="dxa"/>
            <w:shd w:val="clear" w:color="auto" w:fill="auto"/>
            <w:noWrap/>
            <w:vAlign w:val="bottom"/>
            <w:hideMark/>
          </w:tcPr>
          <w:p w14:paraId="2C466DA0"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8 103</w:t>
            </w:r>
          </w:p>
        </w:tc>
        <w:tc>
          <w:tcPr>
            <w:tcW w:w="969" w:type="dxa"/>
            <w:shd w:val="clear" w:color="auto" w:fill="auto"/>
            <w:noWrap/>
            <w:vAlign w:val="bottom"/>
            <w:hideMark/>
          </w:tcPr>
          <w:p w14:paraId="24E868C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8 745</w:t>
            </w:r>
          </w:p>
        </w:tc>
        <w:tc>
          <w:tcPr>
            <w:tcW w:w="968" w:type="dxa"/>
            <w:shd w:val="clear" w:color="auto" w:fill="auto"/>
            <w:noWrap/>
            <w:vAlign w:val="bottom"/>
            <w:hideMark/>
          </w:tcPr>
          <w:p w14:paraId="030818A6"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10 882</w:t>
            </w:r>
          </w:p>
        </w:tc>
        <w:tc>
          <w:tcPr>
            <w:tcW w:w="968" w:type="dxa"/>
            <w:shd w:val="clear" w:color="auto" w:fill="auto"/>
            <w:vAlign w:val="bottom"/>
            <w:hideMark/>
          </w:tcPr>
          <w:p w14:paraId="68A64BEE"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12 090</w:t>
            </w:r>
          </w:p>
        </w:tc>
        <w:tc>
          <w:tcPr>
            <w:tcW w:w="969" w:type="dxa"/>
            <w:shd w:val="clear" w:color="auto" w:fill="auto"/>
            <w:vAlign w:val="bottom"/>
            <w:hideMark/>
          </w:tcPr>
          <w:p w14:paraId="4EBBC912"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13 017</w:t>
            </w:r>
          </w:p>
        </w:tc>
      </w:tr>
      <w:tr w:rsidR="00E97D4E" w:rsidRPr="00684CF8" w14:paraId="1F557DD1" w14:textId="77777777" w:rsidTr="00E97D4E">
        <w:tc>
          <w:tcPr>
            <w:tcW w:w="1560" w:type="dxa"/>
            <w:shd w:val="clear" w:color="auto" w:fill="auto"/>
            <w:noWrap/>
            <w:hideMark/>
          </w:tcPr>
          <w:p w14:paraId="2C840F36"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Китайский</w:t>
            </w:r>
          </w:p>
        </w:tc>
        <w:tc>
          <w:tcPr>
            <w:tcW w:w="968" w:type="dxa"/>
            <w:shd w:val="clear" w:color="auto" w:fill="auto"/>
            <w:noWrap/>
            <w:vAlign w:val="bottom"/>
            <w:hideMark/>
          </w:tcPr>
          <w:p w14:paraId="61485026"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9 496</w:t>
            </w:r>
          </w:p>
        </w:tc>
        <w:tc>
          <w:tcPr>
            <w:tcW w:w="968" w:type="dxa"/>
            <w:shd w:val="clear" w:color="auto" w:fill="auto"/>
            <w:noWrap/>
            <w:vAlign w:val="bottom"/>
            <w:hideMark/>
          </w:tcPr>
          <w:p w14:paraId="2E37B139"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10 110</w:t>
            </w:r>
          </w:p>
        </w:tc>
        <w:tc>
          <w:tcPr>
            <w:tcW w:w="969" w:type="dxa"/>
            <w:shd w:val="clear" w:color="auto" w:fill="auto"/>
            <w:noWrap/>
            <w:vAlign w:val="bottom"/>
            <w:hideMark/>
          </w:tcPr>
          <w:p w14:paraId="2996B55E"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10 722</w:t>
            </w:r>
          </w:p>
        </w:tc>
        <w:tc>
          <w:tcPr>
            <w:tcW w:w="968" w:type="dxa"/>
            <w:shd w:val="clear" w:color="auto" w:fill="auto"/>
            <w:noWrap/>
            <w:vAlign w:val="bottom"/>
            <w:hideMark/>
          </w:tcPr>
          <w:p w14:paraId="15B8B2F0"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11 334</w:t>
            </w:r>
          </w:p>
        </w:tc>
        <w:tc>
          <w:tcPr>
            <w:tcW w:w="968" w:type="dxa"/>
            <w:shd w:val="clear" w:color="auto" w:fill="auto"/>
            <w:vAlign w:val="bottom"/>
            <w:hideMark/>
          </w:tcPr>
          <w:p w14:paraId="69B5683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11 825</w:t>
            </w:r>
          </w:p>
        </w:tc>
        <w:tc>
          <w:tcPr>
            <w:tcW w:w="969" w:type="dxa"/>
            <w:shd w:val="clear" w:color="auto" w:fill="auto"/>
            <w:vAlign w:val="bottom"/>
            <w:hideMark/>
          </w:tcPr>
          <w:p w14:paraId="6F6C0DAC"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12 407</w:t>
            </w:r>
          </w:p>
        </w:tc>
      </w:tr>
      <w:tr w:rsidR="00E97D4E" w:rsidRPr="00684CF8" w14:paraId="366A5262" w14:textId="77777777" w:rsidTr="00E97D4E">
        <w:tc>
          <w:tcPr>
            <w:tcW w:w="1560" w:type="dxa"/>
            <w:shd w:val="clear" w:color="auto" w:fill="auto"/>
            <w:noWrap/>
            <w:hideMark/>
          </w:tcPr>
          <w:p w14:paraId="2DC877FE"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Албанский</w:t>
            </w:r>
          </w:p>
        </w:tc>
        <w:tc>
          <w:tcPr>
            <w:tcW w:w="968" w:type="dxa"/>
            <w:shd w:val="clear" w:color="auto" w:fill="auto"/>
            <w:noWrap/>
            <w:vAlign w:val="bottom"/>
            <w:hideMark/>
          </w:tcPr>
          <w:p w14:paraId="7EB02688"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8 214</w:t>
            </w:r>
          </w:p>
        </w:tc>
        <w:tc>
          <w:tcPr>
            <w:tcW w:w="968" w:type="dxa"/>
            <w:shd w:val="clear" w:color="auto" w:fill="auto"/>
            <w:noWrap/>
            <w:vAlign w:val="bottom"/>
            <w:hideMark/>
          </w:tcPr>
          <w:p w14:paraId="46C338C0"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8 754</w:t>
            </w:r>
          </w:p>
        </w:tc>
        <w:tc>
          <w:tcPr>
            <w:tcW w:w="969" w:type="dxa"/>
            <w:shd w:val="clear" w:color="auto" w:fill="auto"/>
            <w:noWrap/>
            <w:vAlign w:val="bottom"/>
            <w:hideMark/>
          </w:tcPr>
          <w:p w14:paraId="4A64F5A4"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9 233</w:t>
            </w:r>
          </w:p>
        </w:tc>
        <w:tc>
          <w:tcPr>
            <w:tcW w:w="968" w:type="dxa"/>
            <w:shd w:val="clear" w:color="auto" w:fill="auto"/>
            <w:noWrap/>
            <w:vAlign w:val="bottom"/>
            <w:hideMark/>
          </w:tcPr>
          <w:p w14:paraId="1E3070E4"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9 791</w:t>
            </w:r>
          </w:p>
        </w:tc>
        <w:tc>
          <w:tcPr>
            <w:tcW w:w="968" w:type="dxa"/>
            <w:shd w:val="clear" w:color="auto" w:fill="auto"/>
            <w:vAlign w:val="bottom"/>
            <w:hideMark/>
          </w:tcPr>
          <w:p w14:paraId="4367AC46"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10 391</w:t>
            </w:r>
          </w:p>
        </w:tc>
        <w:tc>
          <w:tcPr>
            <w:tcW w:w="969" w:type="dxa"/>
            <w:shd w:val="clear" w:color="auto" w:fill="auto"/>
            <w:vAlign w:val="bottom"/>
            <w:hideMark/>
          </w:tcPr>
          <w:p w14:paraId="7B48E446"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10 990</w:t>
            </w:r>
          </w:p>
        </w:tc>
      </w:tr>
      <w:tr w:rsidR="00E97D4E" w:rsidRPr="00684CF8" w14:paraId="206C4994" w14:textId="77777777" w:rsidTr="00E97D4E">
        <w:tc>
          <w:tcPr>
            <w:tcW w:w="1560" w:type="dxa"/>
            <w:shd w:val="clear" w:color="auto" w:fill="auto"/>
            <w:noWrap/>
            <w:hideMark/>
          </w:tcPr>
          <w:p w14:paraId="27E7444F"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Вьетнамский</w:t>
            </w:r>
          </w:p>
        </w:tc>
        <w:tc>
          <w:tcPr>
            <w:tcW w:w="968" w:type="dxa"/>
            <w:shd w:val="clear" w:color="auto" w:fill="auto"/>
            <w:noWrap/>
            <w:vAlign w:val="bottom"/>
            <w:hideMark/>
          </w:tcPr>
          <w:p w14:paraId="6E3441D8"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6 991</w:t>
            </w:r>
          </w:p>
        </w:tc>
        <w:tc>
          <w:tcPr>
            <w:tcW w:w="968" w:type="dxa"/>
            <w:shd w:val="clear" w:color="auto" w:fill="auto"/>
            <w:noWrap/>
            <w:vAlign w:val="bottom"/>
            <w:hideMark/>
          </w:tcPr>
          <w:p w14:paraId="65CEEFAE"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7 532</w:t>
            </w:r>
          </w:p>
        </w:tc>
        <w:tc>
          <w:tcPr>
            <w:tcW w:w="969" w:type="dxa"/>
            <w:shd w:val="clear" w:color="auto" w:fill="auto"/>
            <w:noWrap/>
            <w:vAlign w:val="bottom"/>
            <w:hideMark/>
          </w:tcPr>
          <w:p w14:paraId="4ECDDBEC"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8 273</w:t>
            </w:r>
          </w:p>
        </w:tc>
        <w:tc>
          <w:tcPr>
            <w:tcW w:w="968" w:type="dxa"/>
            <w:shd w:val="clear" w:color="auto" w:fill="auto"/>
            <w:noWrap/>
            <w:vAlign w:val="bottom"/>
            <w:hideMark/>
          </w:tcPr>
          <w:p w14:paraId="4A7AD449"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9 248</w:t>
            </w:r>
          </w:p>
        </w:tc>
        <w:tc>
          <w:tcPr>
            <w:tcW w:w="968" w:type="dxa"/>
            <w:shd w:val="clear" w:color="auto" w:fill="auto"/>
            <w:vAlign w:val="bottom"/>
            <w:hideMark/>
          </w:tcPr>
          <w:p w14:paraId="652ECF6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9 872</w:t>
            </w:r>
          </w:p>
        </w:tc>
        <w:tc>
          <w:tcPr>
            <w:tcW w:w="969" w:type="dxa"/>
            <w:shd w:val="clear" w:color="auto" w:fill="auto"/>
            <w:vAlign w:val="bottom"/>
            <w:hideMark/>
          </w:tcPr>
          <w:p w14:paraId="4FD7AF4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10 440</w:t>
            </w:r>
          </w:p>
        </w:tc>
      </w:tr>
      <w:tr w:rsidR="00E97D4E" w:rsidRPr="00684CF8" w14:paraId="028C6391" w14:textId="77777777" w:rsidTr="00E97D4E">
        <w:tc>
          <w:tcPr>
            <w:tcW w:w="1560" w:type="dxa"/>
            <w:shd w:val="clear" w:color="auto" w:fill="auto"/>
            <w:noWrap/>
            <w:hideMark/>
          </w:tcPr>
          <w:p w14:paraId="754F863C"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Тайский</w:t>
            </w:r>
          </w:p>
        </w:tc>
        <w:tc>
          <w:tcPr>
            <w:tcW w:w="968" w:type="dxa"/>
            <w:shd w:val="clear" w:color="auto" w:fill="auto"/>
            <w:noWrap/>
            <w:vAlign w:val="bottom"/>
            <w:hideMark/>
          </w:tcPr>
          <w:p w14:paraId="06DD92FA"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7 513</w:t>
            </w:r>
          </w:p>
        </w:tc>
        <w:tc>
          <w:tcPr>
            <w:tcW w:w="968" w:type="dxa"/>
            <w:shd w:val="clear" w:color="auto" w:fill="auto"/>
            <w:noWrap/>
            <w:vAlign w:val="bottom"/>
            <w:hideMark/>
          </w:tcPr>
          <w:p w14:paraId="7D5C38F0"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8 038</w:t>
            </w:r>
          </w:p>
        </w:tc>
        <w:tc>
          <w:tcPr>
            <w:tcW w:w="969" w:type="dxa"/>
            <w:shd w:val="clear" w:color="auto" w:fill="auto"/>
            <w:noWrap/>
            <w:vAlign w:val="bottom"/>
            <w:hideMark/>
          </w:tcPr>
          <w:p w14:paraId="5601514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8 582</w:t>
            </w:r>
          </w:p>
        </w:tc>
        <w:tc>
          <w:tcPr>
            <w:tcW w:w="968" w:type="dxa"/>
            <w:shd w:val="clear" w:color="auto" w:fill="auto"/>
            <w:noWrap/>
            <w:vAlign w:val="bottom"/>
            <w:hideMark/>
          </w:tcPr>
          <w:p w14:paraId="0B975DC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9 047</w:t>
            </w:r>
          </w:p>
        </w:tc>
        <w:tc>
          <w:tcPr>
            <w:tcW w:w="968" w:type="dxa"/>
            <w:shd w:val="clear" w:color="auto" w:fill="auto"/>
            <w:vAlign w:val="bottom"/>
            <w:hideMark/>
          </w:tcPr>
          <w:p w14:paraId="48F50DA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9 403</w:t>
            </w:r>
          </w:p>
        </w:tc>
        <w:tc>
          <w:tcPr>
            <w:tcW w:w="969" w:type="dxa"/>
            <w:shd w:val="clear" w:color="auto" w:fill="auto"/>
            <w:vAlign w:val="bottom"/>
            <w:hideMark/>
          </w:tcPr>
          <w:p w14:paraId="7C19BD9E"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9 763</w:t>
            </w:r>
          </w:p>
        </w:tc>
      </w:tr>
      <w:tr w:rsidR="00E97D4E" w:rsidRPr="00684CF8" w14:paraId="7C559272" w14:textId="77777777" w:rsidTr="00E97D4E">
        <w:tc>
          <w:tcPr>
            <w:tcW w:w="1560" w:type="dxa"/>
            <w:shd w:val="clear" w:color="auto" w:fill="auto"/>
            <w:noWrap/>
            <w:hideMark/>
          </w:tcPr>
          <w:p w14:paraId="5ED46D3E"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Турецкий</w:t>
            </w:r>
          </w:p>
        </w:tc>
        <w:tc>
          <w:tcPr>
            <w:tcW w:w="968" w:type="dxa"/>
            <w:shd w:val="clear" w:color="auto" w:fill="auto"/>
            <w:noWrap/>
            <w:vAlign w:val="bottom"/>
            <w:hideMark/>
          </w:tcPr>
          <w:p w14:paraId="166FCCE1"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6 441</w:t>
            </w:r>
          </w:p>
        </w:tc>
        <w:tc>
          <w:tcPr>
            <w:tcW w:w="968" w:type="dxa"/>
            <w:shd w:val="clear" w:color="auto" w:fill="auto"/>
            <w:noWrap/>
            <w:vAlign w:val="bottom"/>
            <w:hideMark/>
          </w:tcPr>
          <w:p w14:paraId="5A1386B0"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6 766</w:t>
            </w:r>
          </w:p>
        </w:tc>
        <w:tc>
          <w:tcPr>
            <w:tcW w:w="969" w:type="dxa"/>
            <w:shd w:val="clear" w:color="auto" w:fill="auto"/>
            <w:noWrap/>
            <w:vAlign w:val="bottom"/>
            <w:hideMark/>
          </w:tcPr>
          <w:p w14:paraId="3A22FB8F"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7 082</w:t>
            </w:r>
          </w:p>
        </w:tc>
        <w:tc>
          <w:tcPr>
            <w:tcW w:w="968" w:type="dxa"/>
            <w:shd w:val="clear" w:color="auto" w:fill="auto"/>
            <w:noWrap/>
            <w:vAlign w:val="bottom"/>
            <w:hideMark/>
          </w:tcPr>
          <w:p w14:paraId="6B196CD2"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7 403</w:t>
            </w:r>
          </w:p>
        </w:tc>
        <w:tc>
          <w:tcPr>
            <w:tcW w:w="968" w:type="dxa"/>
            <w:shd w:val="clear" w:color="auto" w:fill="auto"/>
            <w:vAlign w:val="bottom"/>
            <w:hideMark/>
          </w:tcPr>
          <w:p w14:paraId="4970A641"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7 739</w:t>
            </w:r>
          </w:p>
        </w:tc>
        <w:tc>
          <w:tcPr>
            <w:tcW w:w="969" w:type="dxa"/>
            <w:shd w:val="clear" w:color="auto" w:fill="auto"/>
            <w:vAlign w:val="bottom"/>
            <w:hideMark/>
          </w:tcPr>
          <w:p w14:paraId="01A6F019"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8 127</w:t>
            </w:r>
          </w:p>
        </w:tc>
      </w:tr>
      <w:tr w:rsidR="00E97D4E" w:rsidRPr="00684CF8" w14:paraId="0DB744C0" w14:textId="77777777" w:rsidTr="00E97D4E">
        <w:tc>
          <w:tcPr>
            <w:tcW w:w="1560" w:type="dxa"/>
            <w:shd w:val="clear" w:color="auto" w:fill="auto"/>
            <w:noWrap/>
            <w:hideMark/>
          </w:tcPr>
          <w:p w14:paraId="79E0156D"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Испанский</w:t>
            </w:r>
          </w:p>
        </w:tc>
        <w:tc>
          <w:tcPr>
            <w:tcW w:w="968" w:type="dxa"/>
            <w:shd w:val="clear" w:color="auto" w:fill="auto"/>
            <w:noWrap/>
            <w:vAlign w:val="bottom"/>
            <w:hideMark/>
          </w:tcPr>
          <w:p w14:paraId="24A2DF46"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6 022</w:t>
            </w:r>
          </w:p>
        </w:tc>
        <w:tc>
          <w:tcPr>
            <w:tcW w:w="968" w:type="dxa"/>
            <w:shd w:val="clear" w:color="auto" w:fill="auto"/>
            <w:noWrap/>
            <w:vAlign w:val="bottom"/>
            <w:hideMark/>
          </w:tcPr>
          <w:p w14:paraId="175C50D5"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6 583</w:t>
            </w:r>
          </w:p>
        </w:tc>
        <w:tc>
          <w:tcPr>
            <w:tcW w:w="969" w:type="dxa"/>
            <w:shd w:val="clear" w:color="auto" w:fill="auto"/>
            <w:noWrap/>
            <w:vAlign w:val="bottom"/>
            <w:hideMark/>
          </w:tcPr>
          <w:p w14:paraId="4B95AB08"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7 025</w:t>
            </w:r>
          </w:p>
        </w:tc>
        <w:tc>
          <w:tcPr>
            <w:tcW w:w="968" w:type="dxa"/>
            <w:shd w:val="clear" w:color="auto" w:fill="auto"/>
            <w:noWrap/>
            <w:vAlign w:val="bottom"/>
            <w:hideMark/>
          </w:tcPr>
          <w:p w14:paraId="47CF3FD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7 449</w:t>
            </w:r>
          </w:p>
        </w:tc>
        <w:tc>
          <w:tcPr>
            <w:tcW w:w="968" w:type="dxa"/>
            <w:shd w:val="clear" w:color="auto" w:fill="auto"/>
            <w:vAlign w:val="bottom"/>
            <w:hideMark/>
          </w:tcPr>
          <w:p w14:paraId="74D06D65"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7 770</w:t>
            </w:r>
          </w:p>
        </w:tc>
        <w:tc>
          <w:tcPr>
            <w:tcW w:w="969" w:type="dxa"/>
            <w:shd w:val="clear" w:color="auto" w:fill="auto"/>
            <w:vAlign w:val="bottom"/>
            <w:hideMark/>
          </w:tcPr>
          <w:p w14:paraId="7B01C388"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8 099</w:t>
            </w:r>
          </w:p>
        </w:tc>
      </w:tr>
      <w:tr w:rsidR="00E97D4E" w:rsidRPr="00684CF8" w14:paraId="74BEEE12" w14:textId="77777777" w:rsidTr="00E97D4E">
        <w:tc>
          <w:tcPr>
            <w:tcW w:w="1560" w:type="dxa"/>
            <w:shd w:val="clear" w:color="auto" w:fill="auto"/>
            <w:noWrap/>
            <w:hideMark/>
          </w:tcPr>
          <w:p w14:paraId="4AD53578"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Немецкий</w:t>
            </w:r>
          </w:p>
        </w:tc>
        <w:tc>
          <w:tcPr>
            <w:tcW w:w="968" w:type="dxa"/>
            <w:shd w:val="clear" w:color="auto" w:fill="auto"/>
            <w:noWrap/>
            <w:vAlign w:val="bottom"/>
            <w:hideMark/>
          </w:tcPr>
          <w:p w14:paraId="70710D84"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5 902</w:t>
            </w:r>
          </w:p>
        </w:tc>
        <w:tc>
          <w:tcPr>
            <w:tcW w:w="968" w:type="dxa"/>
            <w:shd w:val="clear" w:color="auto" w:fill="auto"/>
            <w:noWrap/>
            <w:vAlign w:val="bottom"/>
            <w:hideMark/>
          </w:tcPr>
          <w:p w14:paraId="3C20616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6 059</w:t>
            </w:r>
          </w:p>
        </w:tc>
        <w:tc>
          <w:tcPr>
            <w:tcW w:w="969" w:type="dxa"/>
            <w:shd w:val="clear" w:color="auto" w:fill="auto"/>
            <w:noWrap/>
            <w:vAlign w:val="bottom"/>
            <w:hideMark/>
          </w:tcPr>
          <w:p w14:paraId="4144E41D"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6 168</w:t>
            </w:r>
          </w:p>
        </w:tc>
        <w:tc>
          <w:tcPr>
            <w:tcW w:w="968" w:type="dxa"/>
            <w:shd w:val="clear" w:color="auto" w:fill="auto"/>
            <w:noWrap/>
            <w:vAlign w:val="bottom"/>
            <w:hideMark/>
          </w:tcPr>
          <w:p w14:paraId="0AEFFB8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6 256</w:t>
            </w:r>
          </w:p>
        </w:tc>
        <w:tc>
          <w:tcPr>
            <w:tcW w:w="968" w:type="dxa"/>
            <w:shd w:val="clear" w:color="auto" w:fill="auto"/>
            <w:vAlign w:val="bottom"/>
            <w:hideMark/>
          </w:tcPr>
          <w:p w14:paraId="3390954D"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6 183</w:t>
            </w:r>
          </w:p>
        </w:tc>
        <w:tc>
          <w:tcPr>
            <w:tcW w:w="969" w:type="dxa"/>
            <w:shd w:val="clear" w:color="auto" w:fill="auto"/>
            <w:vAlign w:val="bottom"/>
            <w:hideMark/>
          </w:tcPr>
          <w:p w14:paraId="4CBC741A"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6 317</w:t>
            </w:r>
          </w:p>
        </w:tc>
      </w:tr>
      <w:tr w:rsidR="00E97D4E" w:rsidRPr="00684CF8" w14:paraId="7CEABF44" w14:textId="77777777" w:rsidTr="00E97D4E">
        <w:tc>
          <w:tcPr>
            <w:tcW w:w="1560" w:type="dxa"/>
            <w:shd w:val="clear" w:color="auto" w:fill="auto"/>
            <w:noWrap/>
            <w:hideMark/>
          </w:tcPr>
          <w:p w14:paraId="5BC02691"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Польский</w:t>
            </w:r>
          </w:p>
        </w:tc>
        <w:tc>
          <w:tcPr>
            <w:tcW w:w="968" w:type="dxa"/>
            <w:shd w:val="clear" w:color="auto" w:fill="auto"/>
            <w:noWrap/>
            <w:vAlign w:val="bottom"/>
            <w:hideMark/>
          </w:tcPr>
          <w:p w14:paraId="75947698"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4 060</w:t>
            </w:r>
          </w:p>
        </w:tc>
        <w:tc>
          <w:tcPr>
            <w:tcW w:w="968" w:type="dxa"/>
            <w:shd w:val="clear" w:color="auto" w:fill="auto"/>
            <w:noWrap/>
            <w:vAlign w:val="bottom"/>
            <w:hideMark/>
          </w:tcPr>
          <w:p w14:paraId="5B9690F7"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4 459</w:t>
            </w:r>
          </w:p>
        </w:tc>
        <w:tc>
          <w:tcPr>
            <w:tcW w:w="969" w:type="dxa"/>
            <w:shd w:val="clear" w:color="auto" w:fill="auto"/>
            <w:noWrap/>
            <w:vAlign w:val="bottom"/>
            <w:hideMark/>
          </w:tcPr>
          <w:p w14:paraId="3A44355D"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4 794</w:t>
            </w:r>
          </w:p>
        </w:tc>
        <w:tc>
          <w:tcPr>
            <w:tcW w:w="968" w:type="dxa"/>
            <w:shd w:val="clear" w:color="auto" w:fill="auto"/>
            <w:noWrap/>
            <w:vAlign w:val="bottom"/>
            <w:hideMark/>
          </w:tcPr>
          <w:p w14:paraId="65BFFE42"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5 081</w:t>
            </w:r>
          </w:p>
        </w:tc>
        <w:tc>
          <w:tcPr>
            <w:tcW w:w="968" w:type="dxa"/>
            <w:shd w:val="clear" w:color="auto" w:fill="auto"/>
            <w:vAlign w:val="bottom"/>
            <w:hideMark/>
          </w:tcPr>
          <w:p w14:paraId="118A2324"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5 274</w:t>
            </w:r>
          </w:p>
        </w:tc>
        <w:tc>
          <w:tcPr>
            <w:tcW w:w="969" w:type="dxa"/>
            <w:shd w:val="clear" w:color="auto" w:fill="auto"/>
            <w:vAlign w:val="bottom"/>
            <w:hideMark/>
          </w:tcPr>
          <w:p w14:paraId="7B72C489" w14:textId="77777777" w:rsidR="00E97D4E" w:rsidRPr="00684CF8" w:rsidRDefault="00E97D4E" w:rsidP="00E97D4E">
            <w:pPr>
              <w:suppressAutoHyphens w:val="0"/>
              <w:spacing w:before="40" w:after="40" w:line="220" w:lineRule="exact"/>
              <w:jc w:val="right"/>
              <w:rPr>
                <w:rFonts w:cs="Times New Roman"/>
                <w:sz w:val="18"/>
                <w:lang w:eastAsia="fi-FI"/>
              </w:rPr>
            </w:pPr>
            <w:r w:rsidRPr="00684CF8">
              <w:rPr>
                <w:rFonts w:cs="Times New Roman"/>
                <w:sz w:val="18"/>
              </w:rPr>
              <w:t>5 441</w:t>
            </w:r>
          </w:p>
        </w:tc>
      </w:tr>
      <w:tr w:rsidR="00E97D4E" w:rsidRPr="00684CF8" w14:paraId="02F20035" w14:textId="77777777" w:rsidTr="00365FFD">
        <w:tc>
          <w:tcPr>
            <w:tcW w:w="1560" w:type="dxa"/>
            <w:tcBorders>
              <w:bottom w:val="single" w:sz="4" w:space="0" w:color="auto"/>
            </w:tcBorders>
            <w:shd w:val="clear" w:color="auto" w:fill="auto"/>
            <w:noWrap/>
            <w:hideMark/>
          </w:tcPr>
          <w:p w14:paraId="54B88B83" w14:textId="77777777" w:rsidR="00E97D4E" w:rsidRPr="00684CF8" w:rsidRDefault="00E97D4E" w:rsidP="00E97D4E">
            <w:pPr>
              <w:suppressAutoHyphens w:val="0"/>
              <w:spacing w:before="40" w:after="40" w:line="220" w:lineRule="exact"/>
              <w:rPr>
                <w:rFonts w:cs="Times New Roman"/>
                <w:sz w:val="18"/>
              </w:rPr>
            </w:pPr>
            <w:r w:rsidRPr="00684CF8">
              <w:rPr>
                <w:rFonts w:cs="Times New Roman"/>
                <w:sz w:val="18"/>
              </w:rPr>
              <w:t>Прочие</w:t>
            </w:r>
          </w:p>
        </w:tc>
        <w:tc>
          <w:tcPr>
            <w:tcW w:w="968" w:type="dxa"/>
            <w:tcBorders>
              <w:bottom w:val="single" w:sz="4" w:space="0" w:color="auto"/>
            </w:tcBorders>
            <w:shd w:val="clear" w:color="auto" w:fill="auto"/>
            <w:noWrap/>
            <w:vAlign w:val="bottom"/>
            <w:hideMark/>
          </w:tcPr>
          <w:p w14:paraId="46CD0B8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63 229</w:t>
            </w:r>
          </w:p>
        </w:tc>
        <w:tc>
          <w:tcPr>
            <w:tcW w:w="968" w:type="dxa"/>
            <w:tcBorders>
              <w:bottom w:val="single" w:sz="4" w:space="0" w:color="auto"/>
            </w:tcBorders>
            <w:shd w:val="clear" w:color="auto" w:fill="auto"/>
            <w:noWrap/>
            <w:vAlign w:val="bottom"/>
            <w:hideMark/>
          </w:tcPr>
          <w:p w14:paraId="433F8226"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69 084</w:t>
            </w:r>
          </w:p>
        </w:tc>
        <w:tc>
          <w:tcPr>
            <w:tcW w:w="969" w:type="dxa"/>
            <w:tcBorders>
              <w:bottom w:val="single" w:sz="4" w:space="0" w:color="auto"/>
            </w:tcBorders>
            <w:shd w:val="clear" w:color="auto" w:fill="auto"/>
            <w:noWrap/>
            <w:vAlign w:val="bottom"/>
            <w:hideMark/>
          </w:tcPr>
          <w:p w14:paraId="7670B24F"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74 776</w:t>
            </w:r>
          </w:p>
        </w:tc>
        <w:tc>
          <w:tcPr>
            <w:tcW w:w="968" w:type="dxa"/>
            <w:tcBorders>
              <w:bottom w:val="single" w:sz="4" w:space="0" w:color="auto"/>
            </w:tcBorders>
            <w:shd w:val="clear" w:color="auto" w:fill="auto"/>
            <w:noWrap/>
            <w:vAlign w:val="bottom"/>
            <w:hideMark/>
          </w:tcPr>
          <w:p w14:paraId="5C757DFA"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80 991</w:t>
            </w:r>
          </w:p>
        </w:tc>
        <w:tc>
          <w:tcPr>
            <w:tcW w:w="968" w:type="dxa"/>
            <w:tcBorders>
              <w:bottom w:val="single" w:sz="4" w:space="0" w:color="auto"/>
            </w:tcBorders>
            <w:shd w:val="clear" w:color="auto" w:fill="auto"/>
            <w:vAlign w:val="bottom"/>
            <w:hideMark/>
          </w:tcPr>
          <w:p w14:paraId="226ED4A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86 584</w:t>
            </w:r>
          </w:p>
        </w:tc>
        <w:tc>
          <w:tcPr>
            <w:tcW w:w="969" w:type="dxa"/>
            <w:tcBorders>
              <w:bottom w:val="single" w:sz="4" w:space="0" w:color="auto"/>
            </w:tcBorders>
            <w:shd w:val="clear" w:color="auto" w:fill="auto"/>
            <w:vAlign w:val="bottom"/>
            <w:hideMark/>
          </w:tcPr>
          <w:p w14:paraId="10E02B83" w14:textId="77777777" w:rsidR="00E97D4E" w:rsidRPr="00684CF8" w:rsidRDefault="00E97D4E" w:rsidP="00E97D4E">
            <w:pPr>
              <w:suppressAutoHyphens w:val="0"/>
              <w:spacing w:before="40" w:after="40" w:line="220" w:lineRule="exact"/>
              <w:jc w:val="right"/>
              <w:rPr>
                <w:rFonts w:cs="Times New Roman"/>
                <w:sz w:val="18"/>
              </w:rPr>
            </w:pPr>
            <w:r w:rsidRPr="00684CF8">
              <w:rPr>
                <w:rFonts w:cs="Times New Roman"/>
                <w:sz w:val="18"/>
              </w:rPr>
              <w:t>93 056</w:t>
            </w:r>
          </w:p>
        </w:tc>
      </w:tr>
      <w:tr w:rsidR="00365FFD" w:rsidRPr="00684CF8" w14:paraId="1E656A37" w14:textId="77777777" w:rsidTr="00365FFD">
        <w:tc>
          <w:tcPr>
            <w:tcW w:w="1560" w:type="dxa"/>
            <w:tcBorders>
              <w:top w:val="single" w:sz="4" w:space="0" w:color="auto"/>
              <w:bottom w:val="single" w:sz="12" w:space="0" w:color="auto"/>
            </w:tcBorders>
            <w:shd w:val="clear" w:color="auto" w:fill="auto"/>
            <w:noWrap/>
            <w:hideMark/>
          </w:tcPr>
          <w:p w14:paraId="18FEACE6" w14:textId="77777777" w:rsidR="00E97D4E" w:rsidRPr="00684CF8" w:rsidRDefault="00E97D4E" w:rsidP="00365FFD">
            <w:pPr>
              <w:suppressAutoHyphens w:val="0"/>
              <w:spacing w:before="80" w:after="80" w:line="240" w:lineRule="exact"/>
              <w:ind w:firstLine="143"/>
              <w:rPr>
                <w:rFonts w:cs="Times New Roman"/>
                <w:b/>
                <w:sz w:val="18"/>
              </w:rPr>
            </w:pPr>
            <w:r w:rsidRPr="00684CF8">
              <w:rPr>
                <w:rFonts w:cs="Times New Roman"/>
                <w:b/>
                <w:sz w:val="18"/>
              </w:rPr>
              <w:t>Итого</w:t>
            </w:r>
          </w:p>
        </w:tc>
        <w:tc>
          <w:tcPr>
            <w:tcW w:w="968" w:type="dxa"/>
            <w:tcBorders>
              <w:top w:val="single" w:sz="4" w:space="0" w:color="auto"/>
              <w:bottom w:val="single" w:sz="12" w:space="0" w:color="auto"/>
            </w:tcBorders>
            <w:shd w:val="clear" w:color="auto" w:fill="auto"/>
            <w:noWrap/>
            <w:vAlign w:val="bottom"/>
            <w:hideMark/>
          </w:tcPr>
          <w:p w14:paraId="7D3BBD82" w14:textId="77777777" w:rsidR="00E97D4E" w:rsidRPr="00684CF8" w:rsidRDefault="00E97D4E" w:rsidP="00365FFD">
            <w:pPr>
              <w:suppressAutoHyphens w:val="0"/>
              <w:spacing w:before="80" w:after="80" w:line="240" w:lineRule="exact"/>
              <w:jc w:val="right"/>
              <w:rPr>
                <w:rFonts w:cs="Times New Roman"/>
                <w:b/>
                <w:sz w:val="18"/>
              </w:rPr>
            </w:pPr>
            <w:r w:rsidRPr="00684CF8">
              <w:rPr>
                <w:rFonts w:cs="Times New Roman"/>
                <w:b/>
                <w:sz w:val="18"/>
              </w:rPr>
              <w:t>5 451 270</w:t>
            </w:r>
          </w:p>
        </w:tc>
        <w:tc>
          <w:tcPr>
            <w:tcW w:w="968" w:type="dxa"/>
            <w:tcBorders>
              <w:top w:val="single" w:sz="4" w:space="0" w:color="auto"/>
              <w:bottom w:val="single" w:sz="12" w:space="0" w:color="auto"/>
            </w:tcBorders>
            <w:shd w:val="clear" w:color="auto" w:fill="auto"/>
            <w:noWrap/>
            <w:vAlign w:val="bottom"/>
            <w:hideMark/>
          </w:tcPr>
          <w:p w14:paraId="77E21FC8" w14:textId="77777777" w:rsidR="00E97D4E" w:rsidRPr="00684CF8" w:rsidRDefault="00E97D4E" w:rsidP="00365FFD">
            <w:pPr>
              <w:suppressAutoHyphens w:val="0"/>
              <w:spacing w:before="80" w:after="80" w:line="240" w:lineRule="exact"/>
              <w:jc w:val="right"/>
              <w:rPr>
                <w:rFonts w:cs="Times New Roman"/>
                <w:b/>
                <w:sz w:val="18"/>
              </w:rPr>
            </w:pPr>
            <w:r w:rsidRPr="00684CF8">
              <w:rPr>
                <w:rFonts w:cs="Times New Roman"/>
                <w:b/>
                <w:sz w:val="18"/>
              </w:rPr>
              <w:t>5 471 753</w:t>
            </w:r>
          </w:p>
        </w:tc>
        <w:tc>
          <w:tcPr>
            <w:tcW w:w="969" w:type="dxa"/>
            <w:tcBorders>
              <w:top w:val="single" w:sz="4" w:space="0" w:color="auto"/>
              <w:bottom w:val="single" w:sz="12" w:space="0" w:color="auto"/>
            </w:tcBorders>
            <w:shd w:val="clear" w:color="auto" w:fill="auto"/>
            <w:noWrap/>
            <w:vAlign w:val="bottom"/>
            <w:hideMark/>
          </w:tcPr>
          <w:p w14:paraId="38EA29BA" w14:textId="77777777" w:rsidR="00E97D4E" w:rsidRPr="00684CF8" w:rsidRDefault="00E97D4E" w:rsidP="00365FFD">
            <w:pPr>
              <w:suppressAutoHyphens w:val="0"/>
              <w:spacing w:before="80" w:after="80" w:line="240" w:lineRule="exact"/>
              <w:jc w:val="right"/>
              <w:rPr>
                <w:rFonts w:cs="Times New Roman"/>
                <w:b/>
                <w:sz w:val="18"/>
              </w:rPr>
            </w:pPr>
            <w:r w:rsidRPr="00684CF8">
              <w:rPr>
                <w:rFonts w:cs="Times New Roman"/>
                <w:b/>
                <w:sz w:val="18"/>
              </w:rPr>
              <w:t>5 487 308</w:t>
            </w:r>
          </w:p>
        </w:tc>
        <w:tc>
          <w:tcPr>
            <w:tcW w:w="968" w:type="dxa"/>
            <w:tcBorders>
              <w:top w:val="single" w:sz="4" w:space="0" w:color="auto"/>
              <w:bottom w:val="single" w:sz="12" w:space="0" w:color="auto"/>
            </w:tcBorders>
            <w:shd w:val="clear" w:color="auto" w:fill="auto"/>
            <w:noWrap/>
            <w:vAlign w:val="bottom"/>
            <w:hideMark/>
          </w:tcPr>
          <w:p w14:paraId="0A4F97F8" w14:textId="77777777" w:rsidR="00E97D4E" w:rsidRPr="00684CF8" w:rsidRDefault="00E97D4E" w:rsidP="00365FFD">
            <w:pPr>
              <w:suppressAutoHyphens w:val="0"/>
              <w:spacing w:before="80" w:after="80" w:line="240" w:lineRule="exact"/>
              <w:jc w:val="right"/>
              <w:rPr>
                <w:rFonts w:cs="Times New Roman"/>
                <w:b/>
                <w:sz w:val="18"/>
              </w:rPr>
            </w:pPr>
            <w:r w:rsidRPr="00684CF8">
              <w:rPr>
                <w:rFonts w:cs="Times New Roman"/>
                <w:b/>
                <w:sz w:val="18"/>
              </w:rPr>
              <w:t>5 503 297</w:t>
            </w:r>
          </w:p>
        </w:tc>
        <w:tc>
          <w:tcPr>
            <w:tcW w:w="968" w:type="dxa"/>
            <w:tcBorders>
              <w:top w:val="single" w:sz="4" w:space="0" w:color="auto"/>
              <w:bottom w:val="single" w:sz="12" w:space="0" w:color="auto"/>
            </w:tcBorders>
            <w:shd w:val="clear" w:color="auto" w:fill="auto"/>
            <w:vAlign w:val="bottom"/>
            <w:hideMark/>
          </w:tcPr>
          <w:p w14:paraId="2A85BEF1" w14:textId="77777777" w:rsidR="00E97D4E" w:rsidRPr="00684CF8" w:rsidRDefault="00E97D4E" w:rsidP="00365FFD">
            <w:pPr>
              <w:suppressAutoHyphens w:val="0"/>
              <w:spacing w:before="80" w:after="80" w:line="240" w:lineRule="exact"/>
              <w:jc w:val="right"/>
              <w:rPr>
                <w:rFonts w:cs="Times New Roman"/>
                <w:b/>
                <w:sz w:val="18"/>
                <w:lang w:eastAsia="fi-FI"/>
              </w:rPr>
            </w:pPr>
            <w:r w:rsidRPr="00684CF8">
              <w:rPr>
                <w:rFonts w:cs="Times New Roman"/>
                <w:b/>
                <w:sz w:val="18"/>
              </w:rPr>
              <w:t>5 513 130</w:t>
            </w:r>
          </w:p>
        </w:tc>
        <w:tc>
          <w:tcPr>
            <w:tcW w:w="969" w:type="dxa"/>
            <w:tcBorders>
              <w:top w:val="single" w:sz="4" w:space="0" w:color="auto"/>
              <w:bottom w:val="single" w:sz="12" w:space="0" w:color="auto"/>
            </w:tcBorders>
            <w:shd w:val="clear" w:color="auto" w:fill="auto"/>
            <w:vAlign w:val="bottom"/>
            <w:hideMark/>
          </w:tcPr>
          <w:p w14:paraId="67FADFB7" w14:textId="77777777" w:rsidR="00E97D4E" w:rsidRPr="00684CF8" w:rsidRDefault="00E97D4E" w:rsidP="00365FFD">
            <w:pPr>
              <w:suppressAutoHyphens w:val="0"/>
              <w:spacing w:before="80" w:after="80" w:line="240" w:lineRule="exact"/>
              <w:jc w:val="right"/>
              <w:rPr>
                <w:rFonts w:cs="Times New Roman"/>
                <w:b/>
                <w:sz w:val="18"/>
                <w:lang w:eastAsia="fi-FI"/>
              </w:rPr>
            </w:pPr>
            <w:r w:rsidRPr="00684CF8">
              <w:rPr>
                <w:rFonts w:cs="Times New Roman"/>
                <w:b/>
                <w:sz w:val="18"/>
              </w:rPr>
              <w:t>5 517 919</w:t>
            </w:r>
          </w:p>
        </w:tc>
      </w:tr>
    </w:tbl>
    <w:p w14:paraId="33A887B0" w14:textId="77777777" w:rsidR="00B223EA" w:rsidRPr="00684CF8" w:rsidRDefault="00B223EA" w:rsidP="00B223EA">
      <w:pPr>
        <w:pStyle w:val="SingleTxtG"/>
        <w:spacing w:before="120" w:after="240" w:line="220" w:lineRule="exact"/>
        <w:ind w:firstLine="170"/>
        <w:rPr>
          <w:sz w:val="18"/>
          <w:szCs w:val="18"/>
        </w:rPr>
      </w:pPr>
      <w:bookmarkStart w:id="3" w:name="_Hlk47704596"/>
      <w:r w:rsidRPr="00684CF8">
        <w:rPr>
          <w:i/>
          <w:iCs/>
          <w:sz w:val="18"/>
          <w:szCs w:val="18"/>
        </w:rPr>
        <w:t>Источник:</w:t>
      </w:r>
      <w:r w:rsidRPr="00684CF8">
        <w:rPr>
          <w:sz w:val="18"/>
          <w:szCs w:val="18"/>
        </w:rPr>
        <w:t xml:space="preserve"> Статистические сведения о Финляндии, структура населения</w:t>
      </w:r>
      <w:bookmarkEnd w:id="3"/>
      <w:r w:rsidRPr="00684CF8">
        <w:rPr>
          <w:sz w:val="18"/>
          <w:szCs w:val="18"/>
        </w:rPr>
        <w:t>.</w:t>
      </w:r>
    </w:p>
    <w:p w14:paraId="636A3E42" w14:textId="77777777" w:rsidR="00B223EA" w:rsidRPr="00684CF8" w:rsidRDefault="00B223EA" w:rsidP="00B223EA">
      <w:pPr>
        <w:pStyle w:val="SingleTxtG"/>
      </w:pPr>
      <w:r w:rsidRPr="00684CF8">
        <w:tab/>
        <w:t>13.</w:t>
      </w:r>
      <w:r w:rsidRPr="00684CF8">
        <w:tab/>
        <w:t>Религиозная принадлежность населения в 2018 году была следующей: евангелическо-лютеранская церковь — 70</w:t>
      </w:r>
      <w:r w:rsidR="0030249E">
        <w:rPr>
          <w:lang w:val="en-US"/>
        </w:rPr>
        <w:t> </w:t>
      </w:r>
      <w:r w:rsidRPr="00684CF8">
        <w:t>%, православная — 1</w:t>
      </w:r>
      <w:r w:rsidR="0030249E">
        <w:rPr>
          <w:lang w:val="en-US"/>
        </w:rPr>
        <w:t> </w:t>
      </w:r>
      <w:r w:rsidRPr="00684CF8">
        <w:t>% и другие — 12</w:t>
      </w:r>
      <w:r w:rsidR="0030249E">
        <w:rPr>
          <w:lang w:val="en-US"/>
        </w:rPr>
        <w:t> </w:t>
      </w:r>
      <w:r w:rsidRPr="00684CF8">
        <w:t>%, в то время как 27</w:t>
      </w:r>
      <w:r w:rsidR="0030249E">
        <w:rPr>
          <w:lang w:val="en-US"/>
        </w:rPr>
        <w:t> </w:t>
      </w:r>
      <w:r w:rsidRPr="00684CF8">
        <w:t>% населения не принадлежали к какой-либо религиозной общине.</w:t>
      </w:r>
    </w:p>
    <w:p w14:paraId="7DE34336" w14:textId="77777777" w:rsidR="00B223EA" w:rsidRPr="00684CF8" w:rsidRDefault="00B223EA" w:rsidP="00B223EA">
      <w:pPr>
        <w:pStyle w:val="SingleTxtG"/>
      </w:pPr>
      <w:r w:rsidRPr="00684CF8">
        <w:t>14.</w:t>
      </w:r>
      <w:r w:rsidRPr="00684CF8">
        <w:tab/>
        <w:t>Финляндия не ведет учет статистических данных о принадлежности к той или иной этнической группе. Согласно Постановлению 2016/679 Европейского парламента и Совета (ЕС) (Общее постановление о защите данных), далее именуемое ОПЗД, обработка персональных данных, раскрывающих расовое или этническое происхождение, в принципе запрещена. В настоящее время Статистическое управление Финляндии собирает статистические данные не только о языке и стране рождения лиц, но и об их гражданстве и происхождении.</w:t>
      </w:r>
    </w:p>
    <w:p w14:paraId="12967BA3" w14:textId="77777777" w:rsidR="00B223EA" w:rsidRPr="00684CF8" w:rsidRDefault="00B223EA" w:rsidP="00B223EA">
      <w:pPr>
        <w:pStyle w:val="H23G"/>
      </w:pPr>
      <w:bookmarkStart w:id="4" w:name="_Toc32364270"/>
      <w:r w:rsidRPr="00684CF8">
        <w:tab/>
      </w:r>
      <w:r w:rsidRPr="00684CF8">
        <w:tab/>
        <w:t>Народ саами</w:t>
      </w:r>
      <w:bookmarkEnd w:id="4"/>
    </w:p>
    <w:p w14:paraId="3211C9FF" w14:textId="77777777" w:rsidR="00B223EA" w:rsidRPr="00684CF8" w:rsidRDefault="00B223EA" w:rsidP="00B223EA">
      <w:pPr>
        <w:pStyle w:val="SingleTxtG"/>
      </w:pPr>
      <w:r w:rsidRPr="00684CF8">
        <w:t>15.</w:t>
      </w:r>
      <w:r w:rsidRPr="00684CF8">
        <w:tab/>
        <w:t>Коренным народом Финляндии являются саами. Согласно информации, собранной Парламентом саами, в 2015 году в Финляндии насчитывалось 10 463 саами. Только 33,44</w:t>
      </w:r>
      <w:r w:rsidR="0030249E">
        <w:rPr>
          <w:lang w:val="en-US"/>
        </w:rPr>
        <w:t> </w:t>
      </w:r>
      <w:r w:rsidRPr="00684CF8">
        <w:t>% саами Финляндии проживают в своем исконном регионе, который является Родным краем саами (муниципалитеты Энонтекиё, Утсйоки и Инари, а также район объединения оленеводов Лапландии в Соданкюля), 60,47</w:t>
      </w:r>
      <w:r w:rsidR="0030249E">
        <w:rPr>
          <w:lang w:val="en-US"/>
        </w:rPr>
        <w:t> </w:t>
      </w:r>
      <w:r w:rsidRPr="00684CF8">
        <w:t>% из них проживают в других районах Финляндии, а остальные — за границей.</w:t>
      </w:r>
    </w:p>
    <w:p w14:paraId="6F7F14CC" w14:textId="77777777" w:rsidR="00B223EA" w:rsidRPr="00684CF8" w:rsidRDefault="00B223EA" w:rsidP="00B223EA">
      <w:pPr>
        <w:pStyle w:val="SingleTxtG"/>
      </w:pPr>
      <w:r w:rsidRPr="00684CF8">
        <w:t>16.</w:t>
      </w:r>
      <w:r w:rsidRPr="00684CF8">
        <w:tab/>
        <w:t>В соответствии с пунктом 3 статьи 17 Конституции Финляндии саами как древние обитатели страны вправе сохранять и развивать свои собственные язык и культуру. В пункте 4 статьи 121 указывается, что саами имеют на своей территории обитания языковую и культурную автономию в соответствии с предписаниями закона. Культура саами включает язык саами, культурное наследие, ремесленное наследие, формы культурного самовыражения и традиционные для саами занятия, дающие средства к существованию, такие как оленеводство, рыболовство, ремесла, собирательство и охота, наряду с современными формами их использования. Право саами пользоваться своим языком в органах власти предусмотрено в Законе о языке саами (1086/2003).</w:t>
      </w:r>
    </w:p>
    <w:p w14:paraId="794DDC27" w14:textId="77777777" w:rsidR="00B223EA" w:rsidRPr="00684CF8" w:rsidRDefault="00B223EA" w:rsidP="00B223EA">
      <w:pPr>
        <w:pStyle w:val="SingleTxtG"/>
      </w:pPr>
      <w:r w:rsidRPr="00684CF8">
        <w:t>17.</w:t>
      </w:r>
      <w:r w:rsidRPr="00684CF8">
        <w:tab/>
        <w:t xml:space="preserve">Финляндия приняла Закон о сколтах (253/1995) в целях поддержки саами-сколтов, улучшения условий жизни и обеспечения средств к существованию в местах их проживания, а также сохранения культуры сколтов. В Законе определена территория обитания сколтов, а сельский сход сколтов признан древним административным органом, управляющим делами сколтов. </w:t>
      </w:r>
    </w:p>
    <w:p w14:paraId="3B03C2B9" w14:textId="77777777" w:rsidR="00B223EA" w:rsidRPr="00684CF8" w:rsidRDefault="00B223EA" w:rsidP="00B223EA">
      <w:pPr>
        <w:pStyle w:val="SingleTxtG"/>
      </w:pPr>
      <w:r w:rsidRPr="00684CF8">
        <w:t>18.</w:t>
      </w:r>
      <w:r w:rsidRPr="00684CF8">
        <w:tab/>
        <w:t xml:space="preserve">В Финляндии говорят на трех языках саами: северном саами, инари-саами и сколт-саами, причем два последних языка находятся под серьезной угрозой исчезновения. В соответствии с Законом о языке саами под языком саами понимаются все три языка саами. По состоянию на конец 2018 года 1995 человек в Финляндии объявили язык саами своим родным языком в Информационной системе учета </w:t>
      </w:r>
      <w:r w:rsidRPr="00684CF8">
        <w:lastRenderedPageBreak/>
        <w:t xml:space="preserve">народонаселения. В соответствии со статьей 7 Закона о языке саами народ саами имеет право объявлять саами своим родным языком в регистре народонаселения. Поскольку не все носители языка саами воспользовались этим правом, число носителей языка саами, приводимое в официальной статистике, не всегда соответствует их фактическому числу. </w:t>
      </w:r>
      <w:bookmarkStart w:id="5" w:name="_Hlk48133640"/>
      <w:r w:rsidRPr="00684CF8">
        <w:t xml:space="preserve">Информационная система учета народонаселения </w:t>
      </w:r>
      <w:bookmarkEnd w:id="5"/>
      <w:r w:rsidRPr="00684CF8">
        <w:t>позволяет объявить родным только один язык, а саами часто объявляют финский своим родным языком, несмотря на наличие двух или даже трех родных языков. Кроме того, значительное число лиц, говорящих на саамском языке, также говорят на другом языке.</w:t>
      </w:r>
    </w:p>
    <w:p w14:paraId="1A52051B" w14:textId="77777777" w:rsidR="00B223EA" w:rsidRPr="00684CF8" w:rsidRDefault="00B223EA" w:rsidP="00B223EA">
      <w:pPr>
        <w:pStyle w:val="SingleTxtG"/>
      </w:pPr>
      <w:r w:rsidRPr="00684CF8">
        <w:t>19.</w:t>
      </w:r>
      <w:r w:rsidRPr="00684CF8">
        <w:tab/>
        <w:t>Парламент саами является автономным правительством народа саами, созданным на основании закона (Закон о Парламенте саами, 974/1995). Парламент саами функционирует в рамках административной структуры Министерства юстиции, но независим от центральных правительственных органов. Парламенту саами поручено выполнять обязанности, возложенные на него Конституцией Финляндии, а именно обеспечивать языковое и культурное самоуправление народа саами и гарантировать сохранение и развитие культуры коренного народа саами.</w:t>
      </w:r>
    </w:p>
    <w:p w14:paraId="579AA4BD" w14:textId="77777777" w:rsidR="00B223EA" w:rsidRPr="00684CF8" w:rsidRDefault="00B223EA" w:rsidP="00B223EA">
      <w:pPr>
        <w:pStyle w:val="SingleTxtG"/>
      </w:pPr>
      <w:r w:rsidRPr="00684CF8">
        <w:t>20.</w:t>
      </w:r>
      <w:r w:rsidRPr="00684CF8">
        <w:tab/>
        <w:t>В статье 9 Закона о Парламенте саами предусматривается обязанность властей вести переговоры с Парламентом саами по всем далеко идущим и важным мерам, которые могут непосредственно и конкретно повлиять на статус саами как коренного народа и которые касаются общинного планирования; регулирования, использования, аренды и передачи прав в отношении государственных земель, заповедных зон и районов дикой природы; разведки и разработки месторождений полезных ископаемых и золотодобычи, проводимых на государственных землях и акваториях; законодательных или административных изменений в перечне занятий, имеющих отношение к саамской культуре; развития преподавания и использования саамского языка в школах, а также социальных и медико-санитарных услуг; любых других вопросов, затрагивающих язык, культуру и статус саами как коренного народа в своем Родном крае.</w:t>
      </w:r>
    </w:p>
    <w:p w14:paraId="62AECEE2" w14:textId="77777777" w:rsidR="00B223EA" w:rsidRPr="00684CF8" w:rsidRDefault="00B223EA" w:rsidP="00B223EA">
      <w:pPr>
        <w:pStyle w:val="SingleTxtG"/>
      </w:pPr>
      <w:r w:rsidRPr="00684CF8">
        <w:t>21.</w:t>
      </w:r>
      <w:r w:rsidRPr="00684CF8">
        <w:tab/>
        <w:t>Парламент саами служит каналом для финансирования саамской культуры и объединений, молодежных мероприятий, воспитания и обучения детей младшего возраста на языке саами, а также медицинских и социальных услуг. Кроме того, Парламент саами выпускает учебные материалы на языке саами за счет средств, ежегодно выделяемых ему в бюджете.</w:t>
      </w:r>
    </w:p>
    <w:p w14:paraId="6743A757" w14:textId="77777777" w:rsidR="00B223EA" w:rsidRPr="00684CF8" w:rsidRDefault="00B223EA" w:rsidP="00B223EA">
      <w:pPr>
        <w:pStyle w:val="SingleTxtG"/>
      </w:pPr>
      <w:r w:rsidRPr="00684CF8">
        <w:t>22.</w:t>
      </w:r>
      <w:r w:rsidRPr="00684CF8">
        <w:tab/>
        <w:t>Парламент саами получает бюджетные средства для своей деятельности. В 2019 году общий объем государственных целевых ассигнований, выделенных на поддержание языковой и культурной автономии народа саами, составил 3 787 000 евро.</w:t>
      </w:r>
    </w:p>
    <w:p w14:paraId="29779C62" w14:textId="77777777" w:rsidR="00B223EA" w:rsidRPr="00684CF8" w:rsidRDefault="00B223EA" w:rsidP="00B223EA">
      <w:pPr>
        <w:pStyle w:val="SingleTxtG"/>
      </w:pPr>
      <w:r w:rsidRPr="00684CF8">
        <w:t>23.</w:t>
      </w:r>
      <w:r w:rsidRPr="00684CF8">
        <w:tab/>
        <w:t>В соответствии со статьей 10 Закона о базовом образовании (628/1998) язык саами может быть языком обучения в системе базового образования. Учащиеся, проживающие в своем Родном крае и владеющие саамским языком, проходят обучение в первую очередь на саамском языке. Саами также преподается в рамках предмета «родной язык и литература», причем финский или шведский языки преподаются вместе с саами в соответствии с программой, адаптированной для лиц, говорящих на саами. Саами может также преподаваться как иностранный язык на основе либо языковой программы, начинающейся в 1–6 классах базового образования, либо более короткой программы, начинающейся в 7–9 классах базового образования, а также на старшей ступени общего среднего образования. Саами также может быть языком обучения в рамках преподавания с погружением в языковую среду или двуязычного обучения. Законодательные положения в равной степени применимы ко всем трем языкам саами. Муниципалитеты в Родном крае саами следуют национальным учебным планам и планам распределения уроков при обучении саами и преподавании на саамском языке. За пределами исконной территории проживания саами обучение не ведется на языке саами, и преподавание саами представляет собой дополнительное базовое образование, в котором саами не имеет статуса субъекта, а учебные заведения по усмотрению правительства предлагают два одночасовых урока в неделю.</w:t>
      </w:r>
    </w:p>
    <w:p w14:paraId="6CB72507" w14:textId="77777777" w:rsidR="00B223EA" w:rsidRPr="00684CF8" w:rsidRDefault="00B223EA" w:rsidP="00B223EA">
      <w:pPr>
        <w:pStyle w:val="SingleTxtG"/>
      </w:pPr>
      <w:r w:rsidRPr="00684CF8">
        <w:lastRenderedPageBreak/>
        <w:t>24.</w:t>
      </w:r>
      <w:r w:rsidRPr="00684CF8">
        <w:tab/>
        <w:t>В муниципалитетах Родного края саами осуществление и развитие образования стало возможным благодаря целевому финансированию, выделяемому этим муниципалитетам. Целевое финансирование окладов учителей, преподающих язык саами и предметы на этом языке, может составлять до 100</w:t>
      </w:r>
      <w:r w:rsidR="0030249E">
        <w:rPr>
          <w:lang w:val="en-US"/>
        </w:rPr>
        <w:t> </w:t>
      </w:r>
      <w:r w:rsidRPr="00684CF8">
        <w:t>% заработной платы. Совокупное число учеников и часов обучения саами и преподавания на языке саами в рамках базового образования, предоставляемого муниципалитетами в Родном крае саами, увеличивается, тогда как в средних общеобразовательных школах второй ступени число учеников, изучающих саами, сократилось, а преподавание на языке саами прекратилось. В начале 2000-х годов число учащихся, говорящих на инари-саами и северном саами, несколько возросло, в то время как положение в области образования на сколт-саами является неустойчивым, а число учащихся не растет.</w:t>
      </w:r>
    </w:p>
    <w:p w14:paraId="49147E0B" w14:textId="77777777" w:rsidR="00B223EA" w:rsidRPr="00684CF8" w:rsidRDefault="00B223EA" w:rsidP="00B223EA">
      <w:pPr>
        <w:pStyle w:val="H23G"/>
      </w:pPr>
      <w:bookmarkStart w:id="6" w:name="_Toc32364271"/>
      <w:r w:rsidRPr="00684CF8">
        <w:tab/>
      </w:r>
      <w:r w:rsidRPr="00684CF8">
        <w:tab/>
        <w:t>Национальные меньшинства и другие группы меньшинств</w:t>
      </w:r>
      <w:bookmarkEnd w:id="6"/>
    </w:p>
    <w:p w14:paraId="3234599E" w14:textId="77777777" w:rsidR="00B223EA" w:rsidRPr="00684CF8" w:rsidRDefault="00B223EA" w:rsidP="00B223EA">
      <w:pPr>
        <w:pStyle w:val="SingleTxtG"/>
      </w:pPr>
      <w:r w:rsidRPr="00684CF8">
        <w:t>25.</w:t>
      </w:r>
      <w:r w:rsidRPr="00684CF8">
        <w:tab/>
        <w:t xml:space="preserve">По оценкам Национального консультативного совета по делам рома, в настоящее время численность рома в Финляндии составляет около 10 000–12 000 человек. Также по оценкам, в Швеции проживают еще 3000–4000 финских рома. Население рома рассеяно по всей Финляндии, однако его географическое распределение неравномерно. По оценкам Финского национального агентства по вопросам образования, на юге Финляндии проживают около 4500 человек из числа рома, в западных, внутренних и юго-западных районах страны — около 2500 человек, на востоке — 1500 человек и на крайнем севере — 1000 человек. Неуклонно растет число мигрантов-рома из других государств </w:t>
      </w:r>
      <w:r w:rsidR="00D9638A" w:rsidRPr="00684CF8">
        <w:t>—</w:t>
      </w:r>
      <w:r w:rsidRPr="00684CF8">
        <w:t xml:space="preserve"> членов ЕС в Финляндию, а также число носителей таких диалектов, как болгарский и румынский. В настоящее время в Финляндии насчитывается около 500 граждан ЕС из числа рома.</w:t>
      </w:r>
    </w:p>
    <w:p w14:paraId="1D5ED246" w14:textId="77777777" w:rsidR="00B223EA" w:rsidRPr="00684CF8" w:rsidRDefault="00B223EA" w:rsidP="00B223EA">
      <w:pPr>
        <w:pStyle w:val="SingleTxtG"/>
      </w:pPr>
      <w:r w:rsidRPr="00684CF8">
        <w:t>26.</w:t>
      </w:r>
      <w:r w:rsidRPr="00684CF8">
        <w:tab/>
        <w:t>По состоянию на конец 2018 года в Финляндии проживало 79 225 человек, родным языком которых был русский. Традиционное русское меньшинство Финляндии за последнее десятилетие пополнилось большим количеством новых мигрантов, и в настоящее время русскоязычные составляют самую большую группу иноязычных иммигрантов в Финляндии. С точки зрения географического распределения русскоязычное население сконцентрировано в крупнейших муниципалитетах, а что касается муниципалитетов меньшего размера, то наибольшее количество русскоязычных жителей проживает в тех из них, которые расположены вблизи границы с Россией.</w:t>
      </w:r>
    </w:p>
    <w:p w14:paraId="59B59308" w14:textId="77777777" w:rsidR="00B223EA" w:rsidRPr="00684CF8" w:rsidRDefault="00B223EA" w:rsidP="00B223EA">
      <w:pPr>
        <w:pStyle w:val="SingleTxtG"/>
      </w:pPr>
      <w:r w:rsidRPr="00684CF8">
        <w:t>27.</w:t>
      </w:r>
      <w:r w:rsidRPr="00684CF8">
        <w:tab/>
        <w:t xml:space="preserve">В Финляндии значительно возросло количество лиц, говорящих на эстонском языке, и в настоящее время они составляют вторую по величине группу иноязычных жителей. По состоянию на конец 2018 года в Финляндии проживало </w:t>
      </w:r>
      <w:r w:rsidR="0030249E" w:rsidRPr="0030249E">
        <w:t>49</w:t>
      </w:r>
      <w:r w:rsidR="0030249E">
        <w:rPr>
          <w:lang w:val="en-US"/>
        </w:rPr>
        <w:t> </w:t>
      </w:r>
      <w:r w:rsidR="0030249E" w:rsidRPr="0030249E">
        <w:t>69</w:t>
      </w:r>
      <w:r w:rsidR="0030249E" w:rsidRPr="008221B3">
        <w:t>1</w:t>
      </w:r>
      <w:r w:rsidRPr="00684CF8">
        <w:t xml:space="preserve"> человек, родным языком которых был эстонский. Миграция эстонцев в Финляндию началась в 1990-х годах (в 1990 году в Финляндии проживало 1394 эстонца) и стала набирать темпы после вступления Эстонии в ЕС в 2004 году. Многие эстонцы в Финляндии являются трудовыми мигрантами.</w:t>
      </w:r>
    </w:p>
    <w:p w14:paraId="25D67E50" w14:textId="77777777" w:rsidR="00B223EA" w:rsidRPr="00684CF8" w:rsidRDefault="00B223EA" w:rsidP="00B223EA">
      <w:pPr>
        <w:pStyle w:val="SingleTxtG"/>
      </w:pPr>
      <w:r w:rsidRPr="00684CF8">
        <w:t>28.</w:t>
      </w:r>
      <w:r w:rsidRPr="00684CF8">
        <w:tab/>
        <w:t>По оценкам, в Финляндии проживает 700–800 татар турецкого происхождения, и более половины из них до сих пор считают татарский своим родным языком. Финские татары говорят на мишарском (западном) диалекте татарского языка, который относится к группе тюркских языков. В 2015 году 184 человека указали в регистрах данных о населении, что татарский является их родным языком. Большинство татарского населения Финляндии проживает в районе Хельсинки.</w:t>
      </w:r>
    </w:p>
    <w:p w14:paraId="30B885D3" w14:textId="77777777" w:rsidR="00B223EA" w:rsidRPr="00684CF8" w:rsidRDefault="00B223EA" w:rsidP="00B223EA">
      <w:pPr>
        <w:pStyle w:val="SingleTxtG"/>
      </w:pPr>
      <w:r w:rsidRPr="00684CF8">
        <w:t>29.</w:t>
      </w:r>
      <w:r w:rsidRPr="00684CF8">
        <w:tab/>
        <w:t xml:space="preserve">В еврейских общинах Хельсинки и Турку насчитывается около 100 человек, говорящих на идише, для 20 из которых это родной язык. На иврите говорят около 150 человек, а еще по крайней мере для 200 человек он является вторым родным языком. В Финляндии нет официальной статистики по лицам, говорящим на идише и иврите. Идиш в качестве разговорного языка находится в Финляндии на грани исчезновения, однако культурное наследие на идише и в будущем сохранит большое значение для еврейской идентичности, и этот язык останется предметом изучения и будет вызывать интерес. Основным языком еврейского населения Финляндии, а также родным языком для большинства из них является финский. Потрясения в Восточной Европе в 1990-х годах привели к возвращению в еврейскую общину Финляндии русского языка несмотря на то, что он является родным лишь для небольшого </w:t>
      </w:r>
      <w:r w:rsidRPr="00684CF8">
        <w:lastRenderedPageBreak/>
        <w:t>меньшинства. Евреи Финляндии становятся все более разнообразными в культурном отношении, и еврейская община в стране отражает более широкую культурную диверсификацию финского общества.</w:t>
      </w:r>
    </w:p>
    <w:p w14:paraId="31F2C36C" w14:textId="77777777" w:rsidR="00B223EA" w:rsidRPr="00684CF8" w:rsidRDefault="00B223EA" w:rsidP="00B223EA">
      <w:pPr>
        <w:pStyle w:val="SingleTxtG"/>
      </w:pPr>
      <w:r w:rsidRPr="00684CF8">
        <w:t>30.</w:t>
      </w:r>
      <w:r w:rsidRPr="00684CF8">
        <w:tab/>
        <w:t>В Финляндии проживает около 5000 носителей карельского языка. Еще около 20 000 человек определяют себя в качестве носителей карельского языка, понимают этот язык и говорят на нем, по крайней мере, в некоторой степени. Однако всеобъемлющей статистики о говорящих на карельском языке в Финляндии нет. С 2011 года карельский язык считается одним из родных языков в Информационной системе учета народонаселения, которую ведет Центр демографической регистрации. В 2015 году 152 человека объявили карельский своим родным языком.</w:t>
      </w:r>
    </w:p>
    <w:p w14:paraId="493FE2EC" w14:textId="77777777" w:rsidR="00B223EA" w:rsidRPr="00684CF8" w:rsidRDefault="00B223EA" w:rsidP="00B223EA">
      <w:pPr>
        <w:pStyle w:val="SingleTxtG"/>
      </w:pPr>
      <w:r w:rsidRPr="00684CF8">
        <w:t>31.</w:t>
      </w:r>
      <w:r w:rsidRPr="00684CF8">
        <w:tab/>
        <w:t xml:space="preserve">Права лиц, пользующихся языком жестов, и лиц, нуждающихся в устном или письменном переводе по причине инвалидности, гарантируются отдельным законом. Пользователи языка жестов являются языковым и культурным меньшинством Финляндии. В Программе языковой политики для национальных языков жестов Финляндии государству рекомендуется следить за развитием статуса языков меньшинств, в том числе языков жестов, на европейском уровне, например, в рамках Европейской хартии региональных языков или языков меньшинств и других документов о языках. В Финляндии существуют два национальных языка жестов: финский язык жестов и финско-шведский язык жестов. Первый является родным языком примерно для 4000–5000 глухих или слабослышащих лиц. В общей сложности финским языком жестов пользуются около 14 000 человек, включая слабослышащих. Финско-шведский язык жестов, по оценкам, уже давно насчитывает около 300 пользователей, половина из которых являются глухими. Однако исследование, проведенное в 2014–2015 годах, показало, что число глухих пользователей финско-шведского языка жестов составляет около 90 человек, большинство из которых относятся к группе достаточно пожилых лиц. Финско-шведский язык жестов — это язык, находящийся под серьезной угрозой исчезновения. </w:t>
      </w:r>
    </w:p>
    <w:p w14:paraId="32F145A9" w14:textId="77777777" w:rsidR="00B223EA" w:rsidRPr="00684CF8" w:rsidRDefault="00B223EA" w:rsidP="00B223EA">
      <w:pPr>
        <w:pStyle w:val="H23G"/>
      </w:pPr>
      <w:bookmarkStart w:id="7" w:name="_Toc32364272"/>
      <w:r w:rsidRPr="00684CF8">
        <w:tab/>
      </w:r>
      <w:r w:rsidRPr="00684CF8">
        <w:tab/>
        <w:t>Уровни рождаемости и смертности</w:t>
      </w:r>
      <w:bookmarkEnd w:id="7"/>
    </w:p>
    <w:p w14:paraId="6D0A3AA2" w14:textId="77777777" w:rsidR="00B223EA" w:rsidRPr="00684CF8" w:rsidRDefault="00B223EA" w:rsidP="00B223EA">
      <w:pPr>
        <w:pStyle w:val="SingleTxtG"/>
      </w:pPr>
      <w:r w:rsidRPr="00684CF8">
        <w:t>32.</w:t>
      </w:r>
      <w:r w:rsidRPr="00684CF8">
        <w:tab/>
        <w:t>В 2018 году в Финляндии родилось 47 577 детей. Коэффициент рождаемости снижается уже восемь лет подряд. Снижение с 2017 года составило 2744 рождения, или 5,5</w:t>
      </w:r>
      <w:r w:rsidR="008221B3">
        <w:rPr>
          <w:lang w:val="en-US"/>
        </w:rPr>
        <w:t> </w:t>
      </w:r>
      <w:r w:rsidRPr="00684CF8">
        <w:t>%, что является самым высоким годовым снижением в относительном выражении с начала 1970-х годов. В дополнение к этому в 2018 году продолжалось снижение уровня фертильности. При коэффициенте фертильности, преобладавшем в 2018 году, каждая женщина сможет родить в среднем 1,41 ребенка.</w:t>
      </w:r>
    </w:p>
    <w:p w14:paraId="3C785BAD" w14:textId="77777777" w:rsidR="00B223EA" w:rsidRPr="00684CF8" w:rsidRDefault="00B223EA" w:rsidP="00B223EA">
      <w:pPr>
        <w:pStyle w:val="SingleTxtG"/>
      </w:pPr>
      <w:r w:rsidRPr="00684CF8">
        <w:t>33.</w:t>
      </w:r>
      <w:r w:rsidRPr="00684CF8">
        <w:tab/>
        <w:t>В 2018 году умерло в общей сложности 54 527 человек, что является самым высоким показателем с 1944 года. Предыдущим рекордным после 1940-х годов был 2016 год, когда число умерших было на 604 человека меньше, чем в 2018 году.</w:t>
      </w:r>
    </w:p>
    <w:p w14:paraId="7061DB61" w14:textId="77777777" w:rsidR="00B223EA" w:rsidRPr="00684CF8" w:rsidRDefault="00B223EA" w:rsidP="00B223EA">
      <w:pPr>
        <w:pStyle w:val="SingleTxtG"/>
      </w:pPr>
      <w:r w:rsidRPr="00684CF8">
        <w:t>34.</w:t>
      </w:r>
      <w:r w:rsidRPr="00684CF8">
        <w:tab/>
        <w:t>Среди населения Финляндии 22</w:t>
      </w:r>
      <w:r w:rsidR="008221B3">
        <w:rPr>
          <w:lang w:val="en-US"/>
        </w:rPr>
        <w:t> </w:t>
      </w:r>
      <w:r w:rsidRPr="00684CF8">
        <w:t>% составляют люди в возрасте старше 65 лет и 16</w:t>
      </w:r>
      <w:r w:rsidR="008221B3">
        <w:rPr>
          <w:lang w:val="en-US"/>
        </w:rPr>
        <w:t> </w:t>
      </w:r>
      <w:r w:rsidRPr="00684CF8">
        <w:t>% — в возрасте до 15 лет. В 2018 году во всей стране на 100 человек трудоспособного возраста (от 15 до 64 лет) приходился 61 человек в возрасте до 15 лет и старше 65 лет.</w:t>
      </w:r>
    </w:p>
    <w:p w14:paraId="752A08C7" w14:textId="77777777" w:rsidR="00B223EA" w:rsidRPr="00684CF8" w:rsidRDefault="00B223EA" w:rsidP="00B223EA">
      <w:pPr>
        <w:pStyle w:val="H23G"/>
      </w:pPr>
      <w:bookmarkStart w:id="8" w:name="_Toc32364273"/>
      <w:r w:rsidRPr="00684CF8">
        <w:tab/>
      </w:r>
      <w:r w:rsidRPr="00684CF8">
        <w:tab/>
        <w:t>Семья</w:t>
      </w:r>
      <w:bookmarkEnd w:id="8"/>
    </w:p>
    <w:p w14:paraId="689FB3E6" w14:textId="77777777" w:rsidR="00B223EA" w:rsidRPr="00684CF8" w:rsidRDefault="00B223EA" w:rsidP="00B223EA">
      <w:pPr>
        <w:pStyle w:val="SingleTxtG"/>
      </w:pPr>
      <w:r w:rsidRPr="00684CF8">
        <w:t>35.</w:t>
      </w:r>
      <w:r w:rsidRPr="00684CF8">
        <w:tab/>
        <w:t>По состоянию на конец 2018 года в Финляндии насчитывалось 1 469 000 семей. Количество семей постоянно росло до 2016 года, однако в 2017 и 2018 годах их число сократилось. Средний размер семьи в 2018 году составлял 2,7, и 73</w:t>
      </w:r>
      <w:r w:rsidR="008221B3">
        <w:rPr>
          <w:lang w:val="en-US"/>
        </w:rPr>
        <w:t> </w:t>
      </w:r>
      <w:r w:rsidRPr="00684CF8">
        <w:t>% населения были членами семей. В 2018 году насчитывалось 186 180 неполных семей, в том числе 152 888 семей, состоящих из матери и детей, и 33 292 семьи, состоящих из отца и детей.</w:t>
      </w:r>
    </w:p>
    <w:p w14:paraId="51C57743" w14:textId="77777777" w:rsidR="00B223EA" w:rsidRPr="00684CF8" w:rsidRDefault="00B223EA" w:rsidP="00B223EA">
      <w:pPr>
        <w:pStyle w:val="H23G"/>
      </w:pPr>
      <w:bookmarkStart w:id="9" w:name="_Toc32364274"/>
      <w:r w:rsidRPr="00684CF8">
        <w:tab/>
      </w:r>
      <w:r w:rsidRPr="00684CF8">
        <w:tab/>
        <w:t>Миграция</w:t>
      </w:r>
      <w:bookmarkEnd w:id="9"/>
    </w:p>
    <w:p w14:paraId="1F7D3715" w14:textId="77777777" w:rsidR="00B223EA" w:rsidRPr="00684CF8" w:rsidRDefault="00B223EA" w:rsidP="00B223EA">
      <w:pPr>
        <w:pStyle w:val="SingleTxtG"/>
      </w:pPr>
      <w:r w:rsidRPr="00684CF8">
        <w:t>36.</w:t>
      </w:r>
      <w:r w:rsidRPr="00684CF8">
        <w:tab/>
        <w:t>Миграционная политика Финляндии и связанная с ней законодательная деятельность основываются на общей политике ЕС в области миграции и предоставления убежища, международных договорах и целях, поставленных правительством.</w:t>
      </w:r>
    </w:p>
    <w:p w14:paraId="21B6F021" w14:textId="77777777" w:rsidR="00B223EA" w:rsidRPr="00684CF8" w:rsidRDefault="00B223EA" w:rsidP="00B223EA">
      <w:pPr>
        <w:pStyle w:val="SingleTxtG"/>
      </w:pPr>
      <w:r w:rsidRPr="00684CF8">
        <w:lastRenderedPageBreak/>
        <w:t>37.</w:t>
      </w:r>
      <w:r w:rsidRPr="00684CF8">
        <w:tab/>
        <w:t>В условиях снижения рождаемости в течение нескольких лет подряд и интенсивного старения населения Финляндия признала необходимость привлечения иностранной рабочей силы. Иностранная рабочая сила необходима для содействия экономическому росту и занятости в стране. Целью правительства премьер-министра Санны Марин (с декабря 2019 года) является повышение уровня трудовой иммиграции, а также иммиграции сезонных рабочих и студентов. Правительство премьер-министра Юхи Сипиля (2015–2019 годы) также приняло ряд законодательных поправок с целью поощрения миграции специалистов и студентов с помощью различных средств.</w:t>
      </w:r>
    </w:p>
    <w:p w14:paraId="0226F11E" w14:textId="77777777" w:rsidR="00B223EA" w:rsidRPr="00684CF8" w:rsidRDefault="00B223EA" w:rsidP="00B223EA">
      <w:pPr>
        <w:pStyle w:val="SingleTxtG"/>
      </w:pPr>
      <w:r w:rsidRPr="00684CF8">
        <w:t>38.</w:t>
      </w:r>
      <w:r w:rsidRPr="00684CF8">
        <w:tab/>
        <w:t>Число рабочих и студентов, мигрирующих в Финляндию, растет уже несколько лет подряд. В 2018 году в общей сложности 6281 человек подали заявление на получение первоначального вида на жительство в связи с учебой (в 2017 году — 5646 человек). Вид на жительство в связи с учебой был выдан 5202 заявителям (в 2017 году — 5194). В 2018 году было подано 10 805 заявлений на получение первоначального вида на жительство на основании трудового договора (</w:t>
      </w:r>
      <w:bookmarkStart w:id="10" w:name="_Hlk48146249"/>
      <w:r w:rsidRPr="00684CF8">
        <w:t xml:space="preserve">в 2017 году — </w:t>
      </w:r>
      <w:bookmarkEnd w:id="10"/>
      <w:r w:rsidRPr="00684CF8">
        <w:t>8650). Вид на жительство на основании трудового договора был предоставлен 7687 заявителям (в 2017 году — 6751). Разрешения для сезонных работников дополнительно получили 6916 человек. Ежегодно Иммиграционная служба Финляндии предоставляет гражданство Финляндии примерно 10 000 человек.</w:t>
      </w:r>
    </w:p>
    <w:p w14:paraId="2AFCB82F" w14:textId="77777777" w:rsidR="00B223EA" w:rsidRPr="00684CF8" w:rsidRDefault="00B223EA" w:rsidP="00B223EA">
      <w:pPr>
        <w:pStyle w:val="SingleTxtG"/>
      </w:pPr>
      <w:r w:rsidRPr="00684CF8">
        <w:t>39.</w:t>
      </w:r>
      <w:r w:rsidRPr="00684CF8">
        <w:tab/>
        <w:t>Лица, пользующиеся международной защитой, составляют довольно небольшую долю тех, кто мигрирует в Финляндию. В 2018 году Иммиграционная служба Финляндии получила 4548 ходатайств о предоставлении убежища, почти половина из которых была подана после въезда в страну. Несмотря на то, что в последние годы число просителей убежища весьма значительно сократилось, финская система предоставления убежища по-прежнему перегружена в связи с исключительно высоким числом просителей в 2015 году. В последние годы были приняты законодательные поправки, направленные на ускорение процедуры предоставления убежища, а время рассмотрения ходатайств сократилось.</w:t>
      </w:r>
    </w:p>
    <w:p w14:paraId="3C32A3F7" w14:textId="77777777" w:rsidR="00B223EA" w:rsidRPr="00684CF8" w:rsidRDefault="00B223EA" w:rsidP="00B223EA">
      <w:pPr>
        <w:pStyle w:val="SingleTxtG"/>
      </w:pPr>
      <w:r w:rsidRPr="00684CF8">
        <w:t>40.</w:t>
      </w:r>
      <w:r w:rsidRPr="00684CF8">
        <w:tab/>
        <w:t>Что касается высылки лиц, в отношении которых было принято решение об отказе во въезде или депортации, то Финляндия продолжает вести двусторонние переговоры с ключевыми странами в целях создания систем репатриации. Высылка лиц, которые совершили преступления или которые могут рассматриваться как угроза общественному порядку и безопасности, была ускорена посредством внесения поправки в Закон об иностранцах (301/2004). В Закон о гражданстве (359/2003) также были внесены поправки, позволяющие лишать гражданства Финляндии лиц, совершивших определенные серьезные преступления.</w:t>
      </w:r>
    </w:p>
    <w:p w14:paraId="7DC910BF" w14:textId="77777777" w:rsidR="00B223EA" w:rsidRPr="00684CF8" w:rsidRDefault="00B223EA" w:rsidP="00B223EA">
      <w:pPr>
        <w:pStyle w:val="1"/>
        <w:spacing w:before="240" w:after="120"/>
        <w:ind w:left="1134" w:hanging="1134"/>
        <w:jc w:val="left"/>
      </w:pPr>
      <w:r w:rsidRPr="00684CF8">
        <w:rPr>
          <w:b w:val="0"/>
          <w:bCs w:val="0"/>
        </w:rPr>
        <w:tab/>
      </w:r>
      <w:r w:rsidRPr="00684CF8">
        <w:rPr>
          <w:b w:val="0"/>
          <w:bCs w:val="0"/>
        </w:rPr>
        <w:tab/>
        <w:t>Таблица 2</w:t>
      </w:r>
      <w:r w:rsidRPr="00684CF8">
        <w:rPr>
          <w:b w:val="0"/>
          <w:bCs w:val="0"/>
        </w:rPr>
        <w:br/>
      </w:r>
      <w:r w:rsidRPr="00684CF8">
        <w:t>Иностранные граждане, 2017–2018 годы</w:t>
      </w:r>
    </w:p>
    <w:tbl>
      <w:tblPr>
        <w:tblW w:w="7370" w:type="dxa"/>
        <w:tblInd w:w="1134" w:type="dxa"/>
        <w:tblLayout w:type="fixed"/>
        <w:tblCellMar>
          <w:left w:w="0" w:type="dxa"/>
          <w:right w:w="0" w:type="dxa"/>
        </w:tblCellMar>
        <w:tblLook w:val="04A0" w:firstRow="1" w:lastRow="0" w:firstColumn="1" w:lastColumn="0" w:noHBand="0" w:noVBand="1"/>
      </w:tblPr>
      <w:tblGrid>
        <w:gridCol w:w="1403"/>
        <w:gridCol w:w="724"/>
        <w:gridCol w:w="567"/>
        <w:gridCol w:w="1689"/>
        <w:gridCol w:w="720"/>
        <w:gridCol w:w="567"/>
        <w:gridCol w:w="1700"/>
      </w:tblGrid>
      <w:tr w:rsidR="00B223EA" w:rsidRPr="00684CF8" w14:paraId="2830DCB6" w14:textId="77777777" w:rsidTr="00B223EA">
        <w:trPr>
          <w:tblHeader/>
        </w:trPr>
        <w:tc>
          <w:tcPr>
            <w:tcW w:w="1403" w:type="dxa"/>
            <w:tcBorders>
              <w:top w:val="single" w:sz="4" w:space="0" w:color="auto"/>
              <w:bottom w:val="single" w:sz="12" w:space="0" w:color="auto"/>
            </w:tcBorders>
            <w:shd w:val="clear" w:color="auto" w:fill="auto"/>
            <w:noWrap/>
            <w:vAlign w:val="bottom"/>
            <w:hideMark/>
          </w:tcPr>
          <w:p w14:paraId="25945D4F" w14:textId="77777777" w:rsidR="00B223EA" w:rsidRPr="00684CF8" w:rsidRDefault="00B223EA" w:rsidP="00B223EA">
            <w:pPr>
              <w:suppressAutoHyphens w:val="0"/>
              <w:spacing w:before="80" w:after="80" w:line="200" w:lineRule="exact"/>
              <w:rPr>
                <w:rFonts w:cs="Times New Roman"/>
                <w:i/>
                <w:sz w:val="16"/>
              </w:rPr>
            </w:pPr>
            <w:r w:rsidRPr="00684CF8">
              <w:rPr>
                <w:rFonts w:cs="Times New Roman"/>
                <w:i/>
                <w:sz w:val="16"/>
              </w:rPr>
              <w:t xml:space="preserve">Страна </w:t>
            </w:r>
            <w:r w:rsidRPr="00684CF8">
              <w:rPr>
                <w:rFonts w:cs="Times New Roman"/>
                <w:i/>
                <w:sz w:val="16"/>
              </w:rPr>
              <w:br/>
              <w:t>гражданства</w:t>
            </w:r>
          </w:p>
        </w:tc>
        <w:tc>
          <w:tcPr>
            <w:tcW w:w="724" w:type="dxa"/>
            <w:tcBorders>
              <w:top w:val="single" w:sz="4" w:space="0" w:color="auto"/>
              <w:bottom w:val="single" w:sz="12" w:space="0" w:color="auto"/>
            </w:tcBorders>
            <w:shd w:val="clear" w:color="auto" w:fill="auto"/>
            <w:noWrap/>
            <w:vAlign w:val="bottom"/>
            <w:hideMark/>
          </w:tcPr>
          <w:p w14:paraId="47CC6528" w14:textId="77777777" w:rsidR="00B223EA" w:rsidRPr="00684CF8" w:rsidRDefault="00B223EA" w:rsidP="00B223EA">
            <w:pPr>
              <w:suppressAutoHyphens w:val="0"/>
              <w:spacing w:before="80" w:after="80" w:line="200" w:lineRule="exact"/>
              <w:jc w:val="right"/>
              <w:rPr>
                <w:rFonts w:cs="Times New Roman"/>
                <w:bCs/>
                <w:i/>
                <w:sz w:val="16"/>
                <w:szCs w:val="24"/>
              </w:rPr>
            </w:pPr>
            <w:r w:rsidRPr="00684CF8">
              <w:rPr>
                <w:rFonts w:cs="Times New Roman"/>
                <w:bCs/>
                <w:i/>
                <w:sz w:val="16"/>
                <w:szCs w:val="24"/>
              </w:rPr>
              <w:t>2017</w:t>
            </w:r>
          </w:p>
        </w:tc>
        <w:tc>
          <w:tcPr>
            <w:tcW w:w="567" w:type="dxa"/>
            <w:tcBorders>
              <w:top w:val="single" w:sz="4" w:space="0" w:color="auto"/>
              <w:bottom w:val="single" w:sz="12" w:space="0" w:color="auto"/>
            </w:tcBorders>
            <w:shd w:val="clear" w:color="auto" w:fill="auto"/>
            <w:noWrap/>
            <w:vAlign w:val="bottom"/>
            <w:hideMark/>
          </w:tcPr>
          <w:p w14:paraId="075197FC" w14:textId="77777777" w:rsidR="00B223EA" w:rsidRPr="00684CF8" w:rsidRDefault="00B223EA" w:rsidP="00B223EA">
            <w:pPr>
              <w:suppressAutoHyphens w:val="0"/>
              <w:spacing w:before="80" w:after="80" w:line="200" w:lineRule="exact"/>
              <w:jc w:val="right"/>
              <w:rPr>
                <w:rFonts w:cs="Times New Roman"/>
                <w:bCs/>
                <w:i/>
                <w:sz w:val="16"/>
                <w:szCs w:val="24"/>
              </w:rPr>
            </w:pPr>
            <w:r w:rsidRPr="00684CF8">
              <w:rPr>
                <w:rFonts w:cs="Times New Roman"/>
                <w:bCs/>
                <w:i/>
                <w:sz w:val="16"/>
                <w:szCs w:val="24"/>
              </w:rPr>
              <w:t>%</w:t>
            </w:r>
          </w:p>
        </w:tc>
        <w:tc>
          <w:tcPr>
            <w:tcW w:w="1689" w:type="dxa"/>
            <w:tcBorders>
              <w:top w:val="single" w:sz="4" w:space="0" w:color="auto"/>
              <w:bottom w:val="single" w:sz="12" w:space="0" w:color="auto"/>
            </w:tcBorders>
            <w:shd w:val="clear" w:color="auto" w:fill="auto"/>
            <w:noWrap/>
            <w:vAlign w:val="bottom"/>
            <w:hideMark/>
          </w:tcPr>
          <w:p w14:paraId="604059F7" w14:textId="77777777" w:rsidR="00B223EA" w:rsidRPr="00684CF8" w:rsidRDefault="00B223EA" w:rsidP="00B223EA">
            <w:pPr>
              <w:suppressAutoHyphens w:val="0"/>
              <w:spacing w:before="80" w:after="80" w:line="200" w:lineRule="exact"/>
              <w:jc w:val="right"/>
              <w:rPr>
                <w:rFonts w:cs="Times New Roman"/>
                <w:bCs/>
                <w:i/>
                <w:sz w:val="16"/>
                <w:szCs w:val="24"/>
              </w:rPr>
            </w:pPr>
            <w:r w:rsidRPr="00684CF8">
              <w:rPr>
                <w:rFonts w:cs="Times New Roman"/>
                <w:bCs/>
                <w:i/>
                <w:sz w:val="16"/>
                <w:szCs w:val="24"/>
              </w:rPr>
              <w:t xml:space="preserve">Изменение </w:t>
            </w:r>
            <w:r w:rsidRPr="00684CF8">
              <w:rPr>
                <w:rFonts w:cs="Times New Roman"/>
                <w:bCs/>
                <w:i/>
                <w:sz w:val="16"/>
                <w:szCs w:val="24"/>
              </w:rPr>
              <w:br/>
              <w:t xml:space="preserve">по сравнению </w:t>
            </w:r>
            <w:r w:rsidRPr="00684CF8">
              <w:rPr>
                <w:rFonts w:cs="Times New Roman"/>
                <w:bCs/>
                <w:i/>
                <w:sz w:val="16"/>
                <w:szCs w:val="24"/>
              </w:rPr>
              <w:br/>
              <w:t xml:space="preserve">с предыдущим годом, </w:t>
            </w:r>
            <w:r w:rsidRPr="00684CF8">
              <w:rPr>
                <w:rFonts w:cs="Times New Roman"/>
                <w:bCs/>
                <w:i/>
                <w:sz w:val="16"/>
                <w:szCs w:val="24"/>
              </w:rPr>
              <w:br/>
              <w:t>%</w:t>
            </w:r>
          </w:p>
        </w:tc>
        <w:tc>
          <w:tcPr>
            <w:tcW w:w="720" w:type="dxa"/>
            <w:tcBorders>
              <w:top w:val="single" w:sz="4" w:space="0" w:color="auto"/>
              <w:bottom w:val="single" w:sz="12" w:space="0" w:color="auto"/>
            </w:tcBorders>
            <w:shd w:val="clear" w:color="auto" w:fill="auto"/>
            <w:noWrap/>
            <w:vAlign w:val="bottom"/>
            <w:hideMark/>
          </w:tcPr>
          <w:p w14:paraId="1FC83425" w14:textId="77777777" w:rsidR="00B223EA" w:rsidRPr="00684CF8" w:rsidRDefault="00B223EA" w:rsidP="00B223EA">
            <w:pPr>
              <w:suppressAutoHyphens w:val="0"/>
              <w:spacing w:before="80" w:after="80" w:line="200" w:lineRule="exact"/>
              <w:jc w:val="right"/>
              <w:rPr>
                <w:rFonts w:cs="Times New Roman"/>
                <w:bCs/>
                <w:i/>
                <w:sz w:val="16"/>
                <w:szCs w:val="24"/>
              </w:rPr>
            </w:pPr>
            <w:r w:rsidRPr="00684CF8">
              <w:rPr>
                <w:rFonts w:cs="Times New Roman"/>
                <w:bCs/>
                <w:i/>
                <w:sz w:val="16"/>
                <w:szCs w:val="24"/>
              </w:rPr>
              <w:t>2018</w:t>
            </w:r>
          </w:p>
        </w:tc>
        <w:tc>
          <w:tcPr>
            <w:tcW w:w="567" w:type="dxa"/>
            <w:tcBorders>
              <w:top w:val="single" w:sz="4" w:space="0" w:color="auto"/>
              <w:bottom w:val="single" w:sz="12" w:space="0" w:color="auto"/>
            </w:tcBorders>
            <w:shd w:val="clear" w:color="auto" w:fill="auto"/>
            <w:noWrap/>
            <w:vAlign w:val="bottom"/>
            <w:hideMark/>
          </w:tcPr>
          <w:p w14:paraId="5E8539FE" w14:textId="77777777" w:rsidR="00B223EA" w:rsidRPr="00684CF8" w:rsidRDefault="00B223EA" w:rsidP="00B223EA">
            <w:pPr>
              <w:suppressAutoHyphens w:val="0"/>
              <w:spacing w:before="80" w:after="80" w:line="200" w:lineRule="exact"/>
              <w:jc w:val="right"/>
              <w:rPr>
                <w:rFonts w:cs="Times New Roman"/>
                <w:bCs/>
                <w:i/>
                <w:sz w:val="16"/>
                <w:szCs w:val="24"/>
              </w:rPr>
            </w:pPr>
            <w:r w:rsidRPr="00684CF8">
              <w:rPr>
                <w:rFonts w:cs="Times New Roman"/>
                <w:bCs/>
                <w:i/>
                <w:sz w:val="16"/>
                <w:szCs w:val="24"/>
              </w:rPr>
              <w:t>%</w:t>
            </w:r>
          </w:p>
        </w:tc>
        <w:tc>
          <w:tcPr>
            <w:tcW w:w="1700" w:type="dxa"/>
            <w:tcBorders>
              <w:top w:val="single" w:sz="4" w:space="0" w:color="auto"/>
              <w:bottom w:val="single" w:sz="12" w:space="0" w:color="auto"/>
            </w:tcBorders>
            <w:shd w:val="clear" w:color="auto" w:fill="auto"/>
            <w:noWrap/>
            <w:vAlign w:val="bottom"/>
            <w:hideMark/>
          </w:tcPr>
          <w:p w14:paraId="380EBB36" w14:textId="77777777" w:rsidR="00B223EA" w:rsidRPr="00684CF8" w:rsidRDefault="00B223EA" w:rsidP="00B223EA">
            <w:pPr>
              <w:suppressAutoHyphens w:val="0"/>
              <w:spacing w:before="80" w:after="80" w:line="200" w:lineRule="exact"/>
              <w:jc w:val="right"/>
              <w:rPr>
                <w:rFonts w:cs="Times New Roman"/>
                <w:bCs/>
                <w:i/>
                <w:sz w:val="16"/>
                <w:szCs w:val="24"/>
              </w:rPr>
            </w:pPr>
            <w:r w:rsidRPr="00684CF8">
              <w:rPr>
                <w:rFonts w:cs="Times New Roman"/>
                <w:bCs/>
                <w:i/>
                <w:sz w:val="16"/>
                <w:szCs w:val="24"/>
              </w:rPr>
              <w:t xml:space="preserve">Изменение </w:t>
            </w:r>
            <w:r w:rsidRPr="00684CF8">
              <w:rPr>
                <w:rFonts w:cs="Times New Roman"/>
                <w:bCs/>
                <w:i/>
                <w:sz w:val="16"/>
                <w:szCs w:val="24"/>
              </w:rPr>
              <w:br/>
              <w:t xml:space="preserve">по сравнению </w:t>
            </w:r>
            <w:r w:rsidRPr="00684CF8">
              <w:rPr>
                <w:rFonts w:cs="Times New Roman"/>
                <w:bCs/>
                <w:i/>
                <w:sz w:val="16"/>
                <w:szCs w:val="24"/>
              </w:rPr>
              <w:br/>
              <w:t xml:space="preserve">с предыдущим годом, </w:t>
            </w:r>
            <w:r w:rsidRPr="00684CF8">
              <w:rPr>
                <w:rFonts w:cs="Times New Roman"/>
                <w:bCs/>
                <w:i/>
                <w:sz w:val="16"/>
                <w:szCs w:val="24"/>
              </w:rPr>
              <w:br/>
              <w:t>%</w:t>
            </w:r>
          </w:p>
        </w:tc>
      </w:tr>
      <w:tr w:rsidR="00B223EA" w:rsidRPr="00684CF8" w14:paraId="2C190706" w14:textId="77777777" w:rsidTr="00B223EA">
        <w:tc>
          <w:tcPr>
            <w:tcW w:w="1403" w:type="dxa"/>
            <w:shd w:val="clear" w:color="auto" w:fill="auto"/>
            <w:noWrap/>
            <w:hideMark/>
          </w:tcPr>
          <w:p w14:paraId="759000A4"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Эстония</w:t>
            </w:r>
          </w:p>
        </w:tc>
        <w:tc>
          <w:tcPr>
            <w:tcW w:w="724" w:type="dxa"/>
            <w:shd w:val="clear" w:color="auto" w:fill="auto"/>
            <w:noWrap/>
            <w:vAlign w:val="bottom"/>
            <w:hideMark/>
          </w:tcPr>
          <w:p w14:paraId="30757B35"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51 539</w:t>
            </w:r>
          </w:p>
        </w:tc>
        <w:tc>
          <w:tcPr>
            <w:tcW w:w="567" w:type="dxa"/>
            <w:shd w:val="clear" w:color="auto" w:fill="auto"/>
            <w:noWrap/>
            <w:vAlign w:val="bottom"/>
            <w:hideMark/>
          </w:tcPr>
          <w:p w14:paraId="26045BD3"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20,7</w:t>
            </w:r>
          </w:p>
        </w:tc>
        <w:tc>
          <w:tcPr>
            <w:tcW w:w="1689" w:type="dxa"/>
            <w:shd w:val="clear" w:color="auto" w:fill="auto"/>
            <w:noWrap/>
            <w:vAlign w:val="bottom"/>
            <w:hideMark/>
          </w:tcPr>
          <w:p w14:paraId="104370A4"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0,1</w:t>
            </w:r>
          </w:p>
        </w:tc>
        <w:tc>
          <w:tcPr>
            <w:tcW w:w="720" w:type="dxa"/>
            <w:shd w:val="clear" w:color="auto" w:fill="auto"/>
            <w:noWrap/>
            <w:vAlign w:val="bottom"/>
            <w:hideMark/>
          </w:tcPr>
          <w:p w14:paraId="064505E5"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51 456</w:t>
            </w:r>
          </w:p>
        </w:tc>
        <w:tc>
          <w:tcPr>
            <w:tcW w:w="567" w:type="dxa"/>
            <w:shd w:val="clear" w:color="auto" w:fill="auto"/>
            <w:noWrap/>
            <w:vAlign w:val="bottom"/>
            <w:hideMark/>
          </w:tcPr>
          <w:p w14:paraId="20FFCC27"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20,0</w:t>
            </w:r>
          </w:p>
        </w:tc>
        <w:tc>
          <w:tcPr>
            <w:tcW w:w="1700" w:type="dxa"/>
            <w:shd w:val="clear" w:color="auto" w:fill="auto"/>
            <w:noWrap/>
            <w:vAlign w:val="bottom"/>
            <w:hideMark/>
          </w:tcPr>
          <w:p w14:paraId="1047C338"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0,2</w:t>
            </w:r>
          </w:p>
        </w:tc>
      </w:tr>
      <w:tr w:rsidR="00B223EA" w:rsidRPr="00684CF8" w14:paraId="53BB6107" w14:textId="77777777" w:rsidTr="00B223EA">
        <w:tc>
          <w:tcPr>
            <w:tcW w:w="1403" w:type="dxa"/>
            <w:shd w:val="clear" w:color="auto" w:fill="auto"/>
            <w:noWrap/>
            <w:hideMark/>
          </w:tcPr>
          <w:p w14:paraId="572F3630"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Россия</w:t>
            </w:r>
          </w:p>
        </w:tc>
        <w:tc>
          <w:tcPr>
            <w:tcW w:w="724" w:type="dxa"/>
            <w:shd w:val="clear" w:color="auto" w:fill="auto"/>
            <w:noWrap/>
            <w:vAlign w:val="bottom"/>
            <w:hideMark/>
          </w:tcPr>
          <w:p w14:paraId="493EB47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29 183</w:t>
            </w:r>
          </w:p>
        </w:tc>
        <w:tc>
          <w:tcPr>
            <w:tcW w:w="567" w:type="dxa"/>
            <w:shd w:val="clear" w:color="auto" w:fill="auto"/>
            <w:noWrap/>
            <w:vAlign w:val="bottom"/>
            <w:hideMark/>
          </w:tcPr>
          <w:p w14:paraId="059D2733"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11,7</w:t>
            </w:r>
          </w:p>
        </w:tc>
        <w:tc>
          <w:tcPr>
            <w:tcW w:w="1689" w:type="dxa"/>
            <w:shd w:val="clear" w:color="auto" w:fill="auto"/>
            <w:noWrap/>
            <w:vAlign w:val="bottom"/>
            <w:hideMark/>
          </w:tcPr>
          <w:p w14:paraId="78F58253"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5,8</w:t>
            </w:r>
          </w:p>
        </w:tc>
        <w:tc>
          <w:tcPr>
            <w:tcW w:w="720" w:type="dxa"/>
            <w:shd w:val="clear" w:color="auto" w:fill="auto"/>
            <w:noWrap/>
            <w:vAlign w:val="bottom"/>
            <w:hideMark/>
          </w:tcPr>
          <w:p w14:paraId="7D95B032"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28 747</w:t>
            </w:r>
          </w:p>
        </w:tc>
        <w:tc>
          <w:tcPr>
            <w:tcW w:w="567" w:type="dxa"/>
            <w:shd w:val="clear" w:color="auto" w:fill="auto"/>
            <w:noWrap/>
            <w:vAlign w:val="bottom"/>
            <w:hideMark/>
          </w:tcPr>
          <w:p w14:paraId="72956CB7"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11,2</w:t>
            </w:r>
          </w:p>
        </w:tc>
        <w:tc>
          <w:tcPr>
            <w:tcW w:w="1700" w:type="dxa"/>
            <w:shd w:val="clear" w:color="auto" w:fill="auto"/>
            <w:noWrap/>
            <w:vAlign w:val="bottom"/>
            <w:hideMark/>
          </w:tcPr>
          <w:p w14:paraId="6978A0BD"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1,5</w:t>
            </w:r>
          </w:p>
        </w:tc>
      </w:tr>
      <w:tr w:rsidR="00B223EA" w:rsidRPr="00684CF8" w14:paraId="58918444" w14:textId="77777777" w:rsidTr="00B223EA">
        <w:tc>
          <w:tcPr>
            <w:tcW w:w="1403" w:type="dxa"/>
            <w:shd w:val="clear" w:color="auto" w:fill="auto"/>
            <w:noWrap/>
            <w:hideMark/>
          </w:tcPr>
          <w:p w14:paraId="568638BC"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Ирак</w:t>
            </w:r>
          </w:p>
        </w:tc>
        <w:tc>
          <w:tcPr>
            <w:tcW w:w="724" w:type="dxa"/>
            <w:shd w:val="clear" w:color="auto" w:fill="auto"/>
            <w:noWrap/>
            <w:vAlign w:val="bottom"/>
            <w:hideMark/>
          </w:tcPr>
          <w:p w14:paraId="763B736A"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11 729</w:t>
            </w:r>
          </w:p>
        </w:tc>
        <w:tc>
          <w:tcPr>
            <w:tcW w:w="567" w:type="dxa"/>
            <w:shd w:val="clear" w:color="auto" w:fill="auto"/>
            <w:noWrap/>
            <w:vAlign w:val="bottom"/>
            <w:hideMark/>
          </w:tcPr>
          <w:p w14:paraId="61C791A8"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4,7</w:t>
            </w:r>
          </w:p>
        </w:tc>
        <w:tc>
          <w:tcPr>
            <w:tcW w:w="1689" w:type="dxa"/>
            <w:shd w:val="clear" w:color="auto" w:fill="auto"/>
            <w:noWrap/>
            <w:vAlign w:val="bottom"/>
            <w:hideMark/>
          </w:tcPr>
          <w:p w14:paraId="402BC674"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19,5</w:t>
            </w:r>
          </w:p>
        </w:tc>
        <w:tc>
          <w:tcPr>
            <w:tcW w:w="720" w:type="dxa"/>
            <w:shd w:val="clear" w:color="auto" w:fill="auto"/>
            <w:noWrap/>
            <w:vAlign w:val="bottom"/>
            <w:hideMark/>
          </w:tcPr>
          <w:p w14:paraId="6A69239C"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13 078</w:t>
            </w:r>
          </w:p>
        </w:tc>
        <w:tc>
          <w:tcPr>
            <w:tcW w:w="567" w:type="dxa"/>
            <w:shd w:val="clear" w:color="auto" w:fill="auto"/>
            <w:noWrap/>
            <w:vAlign w:val="bottom"/>
            <w:hideMark/>
          </w:tcPr>
          <w:p w14:paraId="5E87FED9"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5,1</w:t>
            </w:r>
          </w:p>
        </w:tc>
        <w:tc>
          <w:tcPr>
            <w:tcW w:w="1700" w:type="dxa"/>
            <w:shd w:val="clear" w:color="auto" w:fill="auto"/>
            <w:noWrap/>
            <w:vAlign w:val="bottom"/>
            <w:hideMark/>
          </w:tcPr>
          <w:p w14:paraId="2248A93E"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11,5</w:t>
            </w:r>
          </w:p>
        </w:tc>
      </w:tr>
      <w:tr w:rsidR="00B223EA" w:rsidRPr="00684CF8" w14:paraId="7C72A59A" w14:textId="77777777" w:rsidTr="00B223EA">
        <w:tc>
          <w:tcPr>
            <w:tcW w:w="1403" w:type="dxa"/>
            <w:shd w:val="clear" w:color="auto" w:fill="auto"/>
            <w:noWrap/>
            <w:hideMark/>
          </w:tcPr>
          <w:p w14:paraId="618C0F40"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Китай</w:t>
            </w:r>
          </w:p>
        </w:tc>
        <w:tc>
          <w:tcPr>
            <w:tcW w:w="724" w:type="dxa"/>
            <w:shd w:val="clear" w:color="auto" w:fill="auto"/>
            <w:noWrap/>
            <w:vAlign w:val="bottom"/>
            <w:hideMark/>
          </w:tcPr>
          <w:p w14:paraId="5531EF54"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8 742</w:t>
            </w:r>
          </w:p>
        </w:tc>
        <w:tc>
          <w:tcPr>
            <w:tcW w:w="567" w:type="dxa"/>
            <w:shd w:val="clear" w:color="auto" w:fill="auto"/>
            <w:noWrap/>
            <w:vAlign w:val="bottom"/>
            <w:hideMark/>
          </w:tcPr>
          <w:p w14:paraId="77B744A0"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3,5</w:t>
            </w:r>
          </w:p>
        </w:tc>
        <w:tc>
          <w:tcPr>
            <w:tcW w:w="1689" w:type="dxa"/>
            <w:shd w:val="clear" w:color="auto" w:fill="auto"/>
            <w:noWrap/>
            <w:vAlign w:val="bottom"/>
            <w:hideMark/>
          </w:tcPr>
          <w:p w14:paraId="4CD0A988"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3,1</w:t>
            </w:r>
          </w:p>
        </w:tc>
        <w:tc>
          <w:tcPr>
            <w:tcW w:w="720" w:type="dxa"/>
            <w:shd w:val="clear" w:color="auto" w:fill="auto"/>
            <w:noWrap/>
            <w:vAlign w:val="bottom"/>
            <w:hideMark/>
          </w:tcPr>
          <w:p w14:paraId="7C04A689"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9 230</w:t>
            </w:r>
          </w:p>
        </w:tc>
        <w:tc>
          <w:tcPr>
            <w:tcW w:w="567" w:type="dxa"/>
            <w:shd w:val="clear" w:color="auto" w:fill="auto"/>
            <w:noWrap/>
            <w:vAlign w:val="bottom"/>
            <w:hideMark/>
          </w:tcPr>
          <w:p w14:paraId="5975D7B2"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3,6</w:t>
            </w:r>
          </w:p>
        </w:tc>
        <w:tc>
          <w:tcPr>
            <w:tcW w:w="1700" w:type="dxa"/>
            <w:shd w:val="clear" w:color="auto" w:fill="auto"/>
            <w:noWrap/>
            <w:vAlign w:val="bottom"/>
            <w:hideMark/>
          </w:tcPr>
          <w:p w14:paraId="18E0A04F"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5,6</w:t>
            </w:r>
          </w:p>
        </w:tc>
      </w:tr>
      <w:tr w:rsidR="00B223EA" w:rsidRPr="00684CF8" w14:paraId="3EA1117D" w14:textId="77777777" w:rsidTr="00B223EA">
        <w:tc>
          <w:tcPr>
            <w:tcW w:w="1403" w:type="dxa"/>
            <w:shd w:val="clear" w:color="auto" w:fill="auto"/>
            <w:noWrap/>
            <w:hideMark/>
          </w:tcPr>
          <w:p w14:paraId="5547F9E8"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Швеция</w:t>
            </w:r>
          </w:p>
        </w:tc>
        <w:tc>
          <w:tcPr>
            <w:tcW w:w="724" w:type="dxa"/>
            <w:shd w:val="clear" w:color="auto" w:fill="auto"/>
            <w:noWrap/>
            <w:vAlign w:val="bottom"/>
            <w:hideMark/>
          </w:tcPr>
          <w:p w14:paraId="454B27F3"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8 018</w:t>
            </w:r>
          </w:p>
        </w:tc>
        <w:tc>
          <w:tcPr>
            <w:tcW w:w="567" w:type="dxa"/>
            <w:shd w:val="clear" w:color="auto" w:fill="auto"/>
            <w:noWrap/>
            <w:vAlign w:val="bottom"/>
            <w:hideMark/>
          </w:tcPr>
          <w:p w14:paraId="6F4879FA"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3,2</w:t>
            </w:r>
          </w:p>
        </w:tc>
        <w:tc>
          <w:tcPr>
            <w:tcW w:w="1689" w:type="dxa"/>
            <w:shd w:val="clear" w:color="auto" w:fill="auto"/>
            <w:noWrap/>
            <w:vAlign w:val="bottom"/>
            <w:hideMark/>
          </w:tcPr>
          <w:p w14:paraId="4A7C70D1"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0,3</w:t>
            </w:r>
          </w:p>
        </w:tc>
        <w:tc>
          <w:tcPr>
            <w:tcW w:w="720" w:type="dxa"/>
            <w:shd w:val="clear" w:color="auto" w:fill="auto"/>
            <w:noWrap/>
            <w:vAlign w:val="bottom"/>
            <w:hideMark/>
          </w:tcPr>
          <w:p w14:paraId="2300EBA7"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7 996</w:t>
            </w:r>
          </w:p>
        </w:tc>
        <w:tc>
          <w:tcPr>
            <w:tcW w:w="567" w:type="dxa"/>
            <w:shd w:val="clear" w:color="auto" w:fill="auto"/>
            <w:noWrap/>
            <w:vAlign w:val="bottom"/>
            <w:hideMark/>
          </w:tcPr>
          <w:p w14:paraId="755D2474"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3,1</w:t>
            </w:r>
          </w:p>
        </w:tc>
        <w:tc>
          <w:tcPr>
            <w:tcW w:w="1700" w:type="dxa"/>
            <w:shd w:val="clear" w:color="auto" w:fill="auto"/>
            <w:noWrap/>
            <w:vAlign w:val="bottom"/>
            <w:hideMark/>
          </w:tcPr>
          <w:p w14:paraId="114C7E97"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0,3</w:t>
            </w:r>
          </w:p>
        </w:tc>
      </w:tr>
      <w:tr w:rsidR="00B223EA" w:rsidRPr="00684CF8" w14:paraId="611DA241" w14:textId="77777777" w:rsidTr="00B223EA">
        <w:tc>
          <w:tcPr>
            <w:tcW w:w="1403" w:type="dxa"/>
            <w:shd w:val="clear" w:color="auto" w:fill="auto"/>
            <w:noWrap/>
            <w:hideMark/>
          </w:tcPr>
          <w:p w14:paraId="4428CFD0"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Таиланд</w:t>
            </w:r>
          </w:p>
        </w:tc>
        <w:tc>
          <w:tcPr>
            <w:tcW w:w="724" w:type="dxa"/>
            <w:shd w:val="clear" w:color="auto" w:fill="auto"/>
            <w:noWrap/>
            <w:vAlign w:val="bottom"/>
            <w:hideMark/>
          </w:tcPr>
          <w:p w14:paraId="6CB92B83"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7 533</w:t>
            </w:r>
          </w:p>
        </w:tc>
        <w:tc>
          <w:tcPr>
            <w:tcW w:w="567" w:type="dxa"/>
            <w:shd w:val="clear" w:color="auto" w:fill="auto"/>
            <w:noWrap/>
            <w:vAlign w:val="bottom"/>
            <w:hideMark/>
          </w:tcPr>
          <w:p w14:paraId="16C72F56"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3,0</w:t>
            </w:r>
          </w:p>
        </w:tc>
        <w:tc>
          <w:tcPr>
            <w:tcW w:w="1689" w:type="dxa"/>
            <w:shd w:val="clear" w:color="auto" w:fill="auto"/>
            <w:noWrap/>
            <w:vAlign w:val="bottom"/>
            <w:hideMark/>
          </w:tcPr>
          <w:p w14:paraId="726FBBB3"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0,6</w:t>
            </w:r>
          </w:p>
        </w:tc>
        <w:tc>
          <w:tcPr>
            <w:tcW w:w="720" w:type="dxa"/>
            <w:shd w:val="clear" w:color="auto" w:fill="auto"/>
            <w:noWrap/>
            <w:vAlign w:val="bottom"/>
            <w:hideMark/>
          </w:tcPr>
          <w:p w14:paraId="4380AA7A"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7 632</w:t>
            </w:r>
          </w:p>
        </w:tc>
        <w:tc>
          <w:tcPr>
            <w:tcW w:w="567" w:type="dxa"/>
            <w:shd w:val="clear" w:color="auto" w:fill="auto"/>
            <w:noWrap/>
            <w:vAlign w:val="bottom"/>
            <w:hideMark/>
          </w:tcPr>
          <w:p w14:paraId="3A18EC4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3,0</w:t>
            </w:r>
          </w:p>
        </w:tc>
        <w:tc>
          <w:tcPr>
            <w:tcW w:w="1700" w:type="dxa"/>
            <w:shd w:val="clear" w:color="auto" w:fill="auto"/>
            <w:noWrap/>
            <w:vAlign w:val="bottom"/>
            <w:hideMark/>
          </w:tcPr>
          <w:p w14:paraId="692C3C99"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1,3</w:t>
            </w:r>
          </w:p>
        </w:tc>
      </w:tr>
      <w:tr w:rsidR="00B223EA" w:rsidRPr="00684CF8" w14:paraId="25B9A785" w14:textId="77777777" w:rsidTr="00B223EA">
        <w:tc>
          <w:tcPr>
            <w:tcW w:w="1403" w:type="dxa"/>
            <w:shd w:val="clear" w:color="auto" w:fill="auto"/>
            <w:noWrap/>
            <w:hideMark/>
          </w:tcPr>
          <w:p w14:paraId="48E68E4D"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Сомали</w:t>
            </w:r>
          </w:p>
        </w:tc>
        <w:tc>
          <w:tcPr>
            <w:tcW w:w="724" w:type="dxa"/>
            <w:shd w:val="clear" w:color="auto" w:fill="auto"/>
            <w:noWrap/>
            <w:vAlign w:val="bottom"/>
            <w:hideMark/>
          </w:tcPr>
          <w:p w14:paraId="4FEDEF05"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6 677</w:t>
            </w:r>
          </w:p>
        </w:tc>
        <w:tc>
          <w:tcPr>
            <w:tcW w:w="567" w:type="dxa"/>
            <w:shd w:val="clear" w:color="auto" w:fill="auto"/>
            <w:noWrap/>
            <w:vAlign w:val="bottom"/>
            <w:hideMark/>
          </w:tcPr>
          <w:p w14:paraId="75F784DB"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2,7</w:t>
            </w:r>
          </w:p>
        </w:tc>
        <w:tc>
          <w:tcPr>
            <w:tcW w:w="1689" w:type="dxa"/>
            <w:shd w:val="clear" w:color="auto" w:fill="auto"/>
            <w:noWrap/>
            <w:vAlign w:val="bottom"/>
            <w:hideMark/>
          </w:tcPr>
          <w:p w14:paraId="33B0B0EF"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4,9</w:t>
            </w:r>
          </w:p>
        </w:tc>
        <w:tc>
          <w:tcPr>
            <w:tcW w:w="720" w:type="dxa"/>
            <w:shd w:val="clear" w:color="auto" w:fill="auto"/>
            <w:noWrap/>
            <w:vAlign w:val="bottom"/>
            <w:hideMark/>
          </w:tcPr>
          <w:p w14:paraId="1C807F8B"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6 448</w:t>
            </w:r>
          </w:p>
        </w:tc>
        <w:tc>
          <w:tcPr>
            <w:tcW w:w="567" w:type="dxa"/>
            <w:shd w:val="clear" w:color="auto" w:fill="auto"/>
            <w:noWrap/>
            <w:vAlign w:val="bottom"/>
            <w:hideMark/>
          </w:tcPr>
          <w:p w14:paraId="08A9AC40"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2,5</w:t>
            </w:r>
          </w:p>
        </w:tc>
        <w:tc>
          <w:tcPr>
            <w:tcW w:w="1700" w:type="dxa"/>
            <w:shd w:val="clear" w:color="auto" w:fill="auto"/>
            <w:noWrap/>
            <w:vAlign w:val="bottom"/>
            <w:hideMark/>
          </w:tcPr>
          <w:p w14:paraId="7041C1ED"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3,4</w:t>
            </w:r>
          </w:p>
        </w:tc>
      </w:tr>
      <w:tr w:rsidR="00B223EA" w:rsidRPr="00684CF8" w14:paraId="2AE508EB" w14:textId="77777777" w:rsidTr="00B223EA">
        <w:tc>
          <w:tcPr>
            <w:tcW w:w="1403" w:type="dxa"/>
            <w:shd w:val="clear" w:color="auto" w:fill="auto"/>
            <w:noWrap/>
            <w:hideMark/>
          </w:tcPr>
          <w:p w14:paraId="5E5C6E0F"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Афганистан</w:t>
            </w:r>
          </w:p>
        </w:tc>
        <w:tc>
          <w:tcPr>
            <w:tcW w:w="724" w:type="dxa"/>
            <w:shd w:val="clear" w:color="auto" w:fill="auto"/>
            <w:noWrap/>
            <w:vAlign w:val="bottom"/>
            <w:hideMark/>
          </w:tcPr>
          <w:p w14:paraId="1AF72000"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5 792</w:t>
            </w:r>
          </w:p>
        </w:tc>
        <w:tc>
          <w:tcPr>
            <w:tcW w:w="567" w:type="dxa"/>
            <w:shd w:val="clear" w:color="auto" w:fill="auto"/>
            <w:noWrap/>
            <w:vAlign w:val="bottom"/>
            <w:hideMark/>
          </w:tcPr>
          <w:p w14:paraId="15935EB8"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2,3</w:t>
            </w:r>
          </w:p>
        </w:tc>
        <w:tc>
          <w:tcPr>
            <w:tcW w:w="1689" w:type="dxa"/>
            <w:shd w:val="clear" w:color="auto" w:fill="auto"/>
            <w:noWrap/>
            <w:vAlign w:val="bottom"/>
            <w:hideMark/>
          </w:tcPr>
          <w:p w14:paraId="51A56D98"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9,4</w:t>
            </w:r>
          </w:p>
        </w:tc>
        <w:tc>
          <w:tcPr>
            <w:tcW w:w="720" w:type="dxa"/>
            <w:shd w:val="clear" w:color="auto" w:fill="auto"/>
            <w:noWrap/>
            <w:vAlign w:val="bottom"/>
            <w:hideMark/>
          </w:tcPr>
          <w:p w14:paraId="526A3543"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6 198</w:t>
            </w:r>
          </w:p>
        </w:tc>
        <w:tc>
          <w:tcPr>
            <w:tcW w:w="567" w:type="dxa"/>
            <w:shd w:val="clear" w:color="auto" w:fill="auto"/>
            <w:noWrap/>
            <w:vAlign w:val="bottom"/>
            <w:hideMark/>
          </w:tcPr>
          <w:p w14:paraId="4F8A2B66"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2,4</w:t>
            </w:r>
          </w:p>
        </w:tc>
        <w:tc>
          <w:tcPr>
            <w:tcW w:w="1700" w:type="dxa"/>
            <w:shd w:val="clear" w:color="auto" w:fill="auto"/>
            <w:noWrap/>
            <w:vAlign w:val="bottom"/>
            <w:hideMark/>
          </w:tcPr>
          <w:p w14:paraId="02AFBCA7"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7,0</w:t>
            </w:r>
          </w:p>
        </w:tc>
      </w:tr>
      <w:tr w:rsidR="00B223EA" w:rsidRPr="00684CF8" w14:paraId="626F7FA1" w14:textId="77777777" w:rsidTr="00B223EA">
        <w:tc>
          <w:tcPr>
            <w:tcW w:w="1403" w:type="dxa"/>
            <w:shd w:val="clear" w:color="auto" w:fill="auto"/>
            <w:noWrap/>
            <w:hideMark/>
          </w:tcPr>
          <w:p w14:paraId="2F93E655"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Сирия</w:t>
            </w:r>
          </w:p>
        </w:tc>
        <w:tc>
          <w:tcPr>
            <w:tcW w:w="724" w:type="dxa"/>
            <w:shd w:val="clear" w:color="auto" w:fill="auto"/>
            <w:noWrap/>
            <w:vAlign w:val="bottom"/>
            <w:hideMark/>
          </w:tcPr>
          <w:p w14:paraId="57F815E2"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5 290</w:t>
            </w:r>
          </w:p>
        </w:tc>
        <w:tc>
          <w:tcPr>
            <w:tcW w:w="567" w:type="dxa"/>
            <w:shd w:val="clear" w:color="auto" w:fill="auto"/>
            <w:noWrap/>
            <w:vAlign w:val="bottom"/>
            <w:hideMark/>
          </w:tcPr>
          <w:p w14:paraId="636C521F"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2,1</w:t>
            </w:r>
          </w:p>
        </w:tc>
        <w:tc>
          <w:tcPr>
            <w:tcW w:w="1689" w:type="dxa"/>
            <w:shd w:val="clear" w:color="auto" w:fill="auto"/>
            <w:noWrap/>
            <w:vAlign w:val="bottom"/>
            <w:hideMark/>
          </w:tcPr>
          <w:p w14:paraId="4D9752FE"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57,7</w:t>
            </w:r>
          </w:p>
        </w:tc>
        <w:tc>
          <w:tcPr>
            <w:tcW w:w="720" w:type="dxa"/>
            <w:shd w:val="clear" w:color="auto" w:fill="auto"/>
            <w:noWrap/>
            <w:vAlign w:val="bottom"/>
            <w:hideMark/>
          </w:tcPr>
          <w:p w14:paraId="4157AB0C"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6 016</w:t>
            </w:r>
          </w:p>
        </w:tc>
        <w:tc>
          <w:tcPr>
            <w:tcW w:w="567" w:type="dxa"/>
            <w:shd w:val="clear" w:color="auto" w:fill="auto"/>
            <w:noWrap/>
            <w:vAlign w:val="bottom"/>
            <w:hideMark/>
          </w:tcPr>
          <w:p w14:paraId="5B49BDDB"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2,3</w:t>
            </w:r>
          </w:p>
        </w:tc>
        <w:tc>
          <w:tcPr>
            <w:tcW w:w="1700" w:type="dxa"/>
            <w:shd w:val="clear" w:color="auto" w:fill="auto"/>
            <w:noWrap/>
            <w:vAlign w:val="bottom"/>
            <w:hideMark/>
          </w:tcPr>
          <w:p w14:paraId="370553E0"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13,7</w:t>
            </w:r>
          </w:p>
        </w:tc>
      </w:tr>
      <w:tr w:rsidR="00B223EA" w:rsidRPr="00684CF8" w14:paraId="3A415716" w14:textId="77777777" w:rsidTr="00B223EA">
        <w:tc>
          <w:tcPr>
            <w:tcW w:w="1403" w:type="dxa"/>
            <w:shd w:val="clear" w:color="auto" w:fill="auto"/>
            <w:noWrap/>
            <w:hideMark/>
          </w:tcPr>
          <w:p w14:paraId="6A8039B9"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Вьетнам</w:t>
            </w:r>
          </w:p>
        </w:tc>
        <w:tc>
          <w:tcPr>
            <w:tcW w:w="724" w:type="dxa"/>
            <w:shd w:val="clear" w:color="auto" w:fill="auto"/>
            <w:noWrap/>
            <w:vAlign w:val="bottom"/>
            <w:hideMark/>
          </w:tcPr>
          <w:p w14:paraId="5433602C"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5 603</w:t>
            </w:r>
          </w:p>
        </w:tc>
        <w:tc>
          <w:tcPr>
            <w:tcW w:w="567" w:type="dxa"/>
            <w:shd w:val="clear" w:color="auto" w:fill="auto"/>
            <w:noWrap/>
            <w:vAlign w:val="bottom"/>
            <w:hideMark/>
          </w:tcPr>
          <w:p w14:paraId="51FD5C63"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2,2</w:t>
            </w:r>
          </w:p>
        </w:tc>
        <w:tc>
          <w:tcPr>
            <w:tcW w:w="1689" w:type="dxa"/>
            <w:shd w:val="clear" w:color="auto" w:fill="auto"/>
            <w:noWrap/>
            <w:vAlign w:val="bottom"/>
            <w:hideMark/>
          </w:tcPr>
          <w:p w14:paraId="7FCE2B16"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6,7</w:t>
            </w:r>
          </w:p>
        </w:tc>
        <w:tc>
          <w:tcPr>
            <w:tcW w:w="720" w:type="dxa"/>
            <w:shd w:val="clear" w:color="auto" w:fill="auto"/>
            <w:noWrap/>
            <w:vAlign w:val="bottom"/>
            <w:hideMark/>
          </w:tcPr>
          <w:p w14:paraId="2357E52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5 941</w:t>
            </w:r>
          </w:p>
        </w:tc>
        <w:tc>
          <w:tcPr>
            <w:tcW w:w="567" w:type="dxa"/>
            <w:shd w:val="clear" w:color="auto" w:fill="auto"/>
            <w:noWrap/>
            <w:vAlign w:val="bottom"/>
            <w:hideMark/>
          </w:tcPr>
          <w:p w14:paraId="7DFDD975"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2,3</w:t>
            </w:r>
          </w:p>
        </w:tc>
        <w:tc>
          <w:tcPr>
            <w:tcW w:w="1700" w:type="dxa"/>
            <w:shd w:val="clear" w:color="auto" w:fill="auto"/>
            <w:noWrap/>
            <w:vAlign w:val="bottom"/>
            <w:hideMark/>
          </w:tcPr>
          <w:p w14:paraId="0E8C5FBC"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6,0</w:t>
            </w:r>
          </w:p>
        </w:tc>
      </w:tr>
      <w:tr w:rsidR="00B223EA" w:rsidRPr="00684CF8" w14:paraId="7D212D64" w14:textId="77777777" w:rsidTr="00B223EA">
        <w:tc>
          <w:tcPr>
            <w:tcW w:w="1403" w:type="dxa"/>
            <w:shd w:val="clear" w:color="auto" w:fill="auto"/>
            <w:noWrap/>
            <w:hideMark/>
          </w:tcPr>
          <w:p w14:paraId="77B6ABC6" w14:textId="77777777" w:rsidR="00B223EA" w:rsidRPr="00684CF8" w:rsidRDefault="00B223EA" w:rsidP="004253D3">
            <w:pPr>
              <w:keepNext/>
              <w:suppressAutoHyphens w:val="0"/>
              <w:spacing w:before="40" w:after="40" w:line="220" w:lineRule="exact"/>
              <w:rPr>
                <w:rFonts w:cs="Times New Roman"/>
                <w:bCs/>
                <w:sz w:val="18"/>
                <w:szCs w:val="18"/>
              </w:rPr>
            </w:pPr>
            <w:r w:rsidRPr="00684CF8">
              <w:rPr>
                <w:rFonts w:cs="Times New Roman"/>
                <w:sz w:val="18"/>
                <w:szCs w:val="18"/>
              </w:rPr>
              <w:lastRenderedPageBreak/>
              <w:t>Индия</w:t>
            </w:r>
          </w:p>
        </w:tc>
        <w:tc>
          <w:tcPr>
            <w:tcW w:w="724" w:type="dxa"/>
            <w:shd w:val="clear" w:color="auto" w:fill="auto"/>
            <w:noWrap/>
            <w:vAlign w:val="bottom"/>
            <w:hideMark/>
          </w:tcPr>
          <w:p w14:paraId="35E8C164" w14:textId="77777777" w:rsidR="00B223EA" w:rsidRPr="00684CF8" w:rsidRDefault="00B223EA" w:rsidP="004253D3">
            <w:pPr>
              <w:keepNext/>
              <w:suppressAutoHyphens w:val="0"/>
              <w:spacing w:before="40" w:after="40" w:line="220" w:lineRule="exact"/>
              <w:jc w:val="right"/>
              <w:rPr>
                <w:rFonts w:cs="Times New Roman"/>
                <w:sz w:val="18"/>
                <w:szCs w:val="24"/>
              </w:rPr>
            </w:pPr>
            <w:r w:rsidRPr="00684CF8">
              <w:rPr>
                <w:rFonts w:cs="Times New Roman"/>
                <w:sz w:val="18"/>
                <w:szCs w:val="24"/>
              </w:rPr>
              <w:t>5 159</w:t>
            </w:r>
          </w:p>
        </w:tc>
        <w:tc>
          <w:tcPr>
            <w:tcW w:w="567" w:type="dxa"/>
            <w:shd w:val="clear" w:color="auto" w:fill="auto"/>
            <w:noWrap/>
            <w:vAlign w:val="bottom"/>
            <w:hideMark/>
          </w:tcPr>
          <w:p w14:paraId="3D4FF9E9" w14:textId="77777777" w:rsidR="00B223EA" w:rsidRPr="00684CF8" w:rsidRDefault="00B223EA" w:rsidP="004253D3">
            <w:pPr>
              <w:keepNext/>
              <w:suppressAutoHyphens w:val="0"/>
              <w:spacing w:before="40" w:after="40" w:line="220" w:lineRule="exact"/>
              <w:jc w:val="right"/>
              <w:rPr>
                <w:rFonts w:cs="Times New Roman"/>
                <w:sz w:val="18"/>
                <w:szCs w:val="24"/>
              </w:rPr>
            </w:pPr>
            <w:r w:rsidRPr="00684CF8">
              <w:rPr>
                <w:rFonts w:cs="Times New Roman"/>
                <w:sz w:val="18"/>
                <w:szCs w:val="24"/>
              </w:rPr>
              <w:t>2,1</w:t>
            </w:r>
          </w:p>
        </w:tc>
        <w:tc>
          <w:tcPr>
            <w:tcW w:w="1689" w:type="dxa"/>
            <w:shd w:val="clear" w:color="auto" w:fill="auto"/>
            <w:noWrap/>
            <w:vAlign w:val="bottom"/>
            <w:hideMark/>
          </w:tcPr>
          <w:p w14:paraId="40333EA7" w14:textId="77777777" w:rsidR="00B223EA" w:rsidRPr="00684CF8" w:rsidRDefault="00B223EA" w:rsidP="004253D3">
            <w:pPr>
              <w:keepNext/>
              <w:suppressAutoHyphens w:val="0"/>
              <w:spacing w:before="40" w:after="40" w:line="220" w:lineRule="exact"/>
              <w:jc w:val="right"/>
              <w:rPr>
                <w:rFonts w:cs="Times New Roman"/>
                <w:sz w:val="18"/>
                <w:szCs w:val="24"/>
              </w:rPr>
            </w:pPr>
            <w:r w:rsidRPr="00684CF8">
              <w:rPr>
                <w:rFonts w:cs="Times New Roman"/>
                <w:sz w:val="18"/>
                <w:szCs w:val="24"/>
              </w:rPr>
              <w:t>2,9</w:t>
            </w:r>
          </w:p>
        </w:tc>
        <w:tc>
          <w:tcPr>
            <w:tcW w:w="720" w:type="dxa"/>
            <w:shd w:val="clear" w:color="auto" w:fill="auto"/>
            <w:noWrap/>
            <w:vAlign w:val="bottom"/>
            <w:hideMark/>
          </w:tcPr>
          <w:p w14:paraId="08F772CD" w14:textId="77777777" w:rsidR="00B223EA" w:rsidRPr="00684CF8" w:rsidRDefault="00B223EA" w:rsidP="004253D3">
            <w:pPr>
              <w:keepNext/>
              <w:suppressAutoHyphens w:val="0"/>
              <w:spacing w:before="40" w:after="40" w:line="220" w:lineRule="exact"/>
              <w:jc w:val="right"/>
              <w:rPr>
                <w:rFonts w:cs="Times New Roman"/>
                <w:sz w:val="18"/>
                <w:szCs w:val="24"/>
              </w:rPr>
            </w:pPr>
            <w:r w:rsidRPr="00684CF8">
              <w:rPr>
                <w:rFonts w:cs="Times New Roman"/>
                <w:sz w:val="18"/>
                <w:szCs w:val="24"/>
              </w:rPr>
              <w:t>5 730</w:t>
            </w:r>
          </w:p>
        </w:tc>
        <w:tc>
          <w:tcPr>
            <w:tcW w:w="567" w:type="dxa"/>
            <w:shd w:val="clear" w:color="auto" w:fill="auto"/>
            <w:noWrap/>
            <w:vAlign w:val="bottom"/>
            <w:hideMark/>
          </w:tcPr>
          <w:p w14:paraId="17FBC5B1" w14:textId="77777777" w:rsidR="00B223EA" w:rsidRPr="00684CF8" w:rsidRDefault="00B223EA" w:rsidP="004253D3">
            <w:pPr>
              <w:keepNext/>
              <w:suppressAutoHyphens w:val="0"/>
              <w:spacing w:before="40" w:after="40" w:line="220" w:lineRule="exact"/>
              <w:jc w:val="right"/>
              <w:rPr>
                <w:rFonts w:cs="Times New Roman"/>
                <w:sz w:val="18"/>
                <w:szCs w:val="24"/>
              </w:rPr>
            </w:pPr>
            <w:r w:rsidRPr="00684CF8">
              <w:rPr>
                <w:rFonts w:cs="Times New Roman"/>
                <w:sz w:val="18"/>
                <w:szCs w:val="24"/>
              </w:rPr>
              <w:t>2,2</w:t>
            </w:r>
          </w:p>
        </w:tc>
        <w:tc>
          <w:tcPr>
            <w:tcW w:w="1700" w:type="dxa"/>
            <w:shd w:val="clear" w:color="auto" w:fill="auto"/>
            <w:noWrap/>
            <w:vAlign w:val="bottom"/>
            <w:hideMark/>
          </w:tcPr>
          <w:p w14:paraId="30DBD904" w14:textId="77777777" w:rsidR="00B223EA" w:rsidRPr="00684CF8" w:rsidRDefault="00B223EA" w:rsidP="004253D3">
            <w:pPr>
              <w:keepNext/>
              <w:suppressAutoHyphens w:val="0"/>
              <w:spacing w:before="40" w:after="40" w:line="220" w:lineRule="exact"/>
              <w:jc w:val="right"/>
              <w:rPr>
                <w:rFonts w:cs="Times New Roman"/>
                <w:sz w:val="18"/>
                <w:szCs w:val="24"/>
              </w:rPr>
            </w:pPr>
            <w:r w:rsidRPr="00684CF8">
              <w:rPr>
                <w:rFonts w:cs="Times New Roman"/>
                <w:sz w:val="18"/>
                <w:szCs w:val="24"/>
              </w:rPr>
              <w:t>11,1</w:t>
            </w:r>
          </w:p>
        </w:tc>
      </w:tr>
      <w:tr w:rsidR="00B223EA" w:rsidRPr="00684CF8" w14:paraId="0540453D" w14:textId="77777777" w:rsidTr="00B223EA">
        <w:tc>
          <w:tcPr>
            <w:tcW w:w="1403" w:type="dxa"/>
            <w:shd w:val="clear" w:color="auto" w:fill="auto"/>
            <w:noWrap/>
            <w:hideMark/>
          </w:tcPr>
          <w:p w14:paraId="7CD74558"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Турция</w:t>
            </w:r>
          </w:p>
        </w:tc>
        <w:tc>
          <w:tcPr>
            <w:tcW w:w="724" w:type="dxa"/>
            <w:shd w:val="clear" w:color="auto" w:fill="auto"/>
            <w:noWrap/>
            <w:vAlign w:val="bottom"/>
            <w:hideMark/>
          </w:tcPr>
          <w:p w14:paraId="698C3016"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4 660</w:t>
            </w:r>
          </w:p>
        </w:tc>
        <w:tc>
          <w:tcPr>
            <w:tcW w:w="567" w:type="dxa"/>
            <w:shd w:val="clear" w:color="auto" w:fill="auto"/>
            <w:noWrap/>
            <w:vAlign w:val="bottom"/>
            <w:hideMark/>
          </w:tcPr>
          <w:p w14:paraId="421DA438"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1,9</w:t>
            </w:r>
          </w:p>
        </w:tc>
        <w:tc>
          <w:tcPr>
            <w:tcW w:w="1689" w:type="dxa"/>
            <w:shd w:val="clear" w:color="auto" w:fill="auto"/>
            <w:noWrap/>
            <w:vAlign w:val="bottom"/>
            <w:hideMark/>
          </w:tcPr>
          <w:p w14:paraId="0631C539"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0,1</w:t>
            </w:r>
          </w:p>
        </w:tc>
        <w:tc>
          <w:tcPr>
            <w:tcW w:w="720" w:type="dxa"/>
            <w:shd w:val="clear" w:color="auto" w:fill="auto"/>
            <w:noWrap/>
            <w:vAlign w:val="bottom"/>
            <w:hideMark/>
          </w:tcPr>
          <w:p w14:paraId="3E67DD1F"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4 794</w:t>
            </w:r>
          </w:p>
        </w:tc>
        <w:tc>
          <w:tcPr>
            <w:tcW w:w="567" w:type="dxa"/>
            <w:shd w:val="clear" w:color="auto" w:fill="auto"/>
            <w:noWrap/>
            <w:vAlign w:val="bottom"/>
            <w:hideMark/>
          </w:tcPr>
          <w:p w14:paraId="319AB7B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1,9</w:t>
            </w:r>
          </w:p>
        </w:tc>
        <w:tc>
          <w:tcPr>
            <w:tcW w:w="1700" w:type="dxa"/>
            <w:shd w:val="clear" w:color="auto" w:fill="auto"/>
            <w:noWrap/>
            <w:vAlign w:val="bottom"/>
            <w:hideMark/>
          </w:tcPr>
          <w:p w14:paraId="1785DB7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2,9</w:t>
            </w:r>
          </w:p>
        </w:tc>
      </w:tr>
      <w:tr w:rsidR="00B223EA" w:rsidRPr="00684CF8" w14:paraId="7D92E727" w14:textId="77777777" w:rsidTr="00B223EA">
        <w:tc>
          <w:tcPr>
            <w:tcW w:w="1403" w:type="dxa"/>
            <w:shd w:val="clear" w:color="auto" w:fill="auto"/>
            <w:noWrap/>
            <w:hideMark/>
          </w:tcPr>
          <w:p w14:paraId="0DACD7B5"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bCs/>
                <w:sz w:val="18"/>
                <w:szCs w:val="18"/>
              </w:rPr>
              <w:t xml:space="preserve">Соединенное </w:t>
            </w:r>
            <w:r w:rsidRPr="00684CF8">
              <w:rPr>
                <w:rFonts w:cs="Times New Roman"/>
                <w:bCs/>
                <w:sz w:val="18"/>
                <w:szCs w:val="18"/>
              </w:rPr>
              <w:br/>
              <w:t>Королевство</w:t>
            </w:r>
          </w:p>
        </w:tc>
        <w:tc>
          <w:tcPr>
            <w:tcW w:w="724" w:type="dxa"/>
            <w:shd w:val="clear" w:color="auto" w:fill="auto"/>
            <w:noWrap/>
            <w:vAlign w:val="bottom"/>
            <w:hideMark/>
          </w:tcPr>
          <w:p w14:paraId="3ADBE41D"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4 518</w:t>
            </w:r>
          </w:p>
        </w:tc>
        <w:tc>
          <w:tcPr>
            <w:tcW w:w="567" w:type="dxa"/>
            <w:shd w:val="clear" w:color="auto" w:fill="auto"/>
            <w:noWrap/>
            <w:vAlign w:val="bottom"/>
            <w:hideMark/>
          </w:tcPr>
          <w:p w14:paraId="20CB109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1,8</w:t>
            </w:r>
          </w:p>
        </w:tc>
        <w:tc>
          <w:tcPr>
            <w:tcW w:w="1689" w:type="dxa"/>
            <w:shd w:val="clear" w:color="auto" w:fill="auto"/>
            <w:noWrap/>
            <w:vAlign w:val="bottom"/>
            <w:hideMark/>
          </w:tcPr>
          <w:p w14:paraId="294750F6"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1,0</w:t>
            </w:r>
          </w:p>
        </w:tc>
        <w:tc>
          <w:tcPr>
            <w:tcW w:w="720" w:type="dxa"/>
            <w:shd w:val="clear" w:color="auto" w:fill="auto"/>
            <w:noWrap/>
            <w:vAlign w:val="bottom"/>
            <w:hideMark/>
          </w:tcPr>
          <w:p w14:paraId="2FF9AF6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4 619</w:t>
            </w:r>
          </w:p>
        </w:tc>
        <w:tc>
          <w:tcPr>
            <w:tcW w:w="567" w:type="dxa"/>
            <w:shd w:val="clear" w:color="auto" w:fill="auto"/>
            <w:noWrap/>
            <w:vAlign w:val="bottom"/>
            <w:hideMark/>
          </w:tcPr>
          <w:p w14:paraId="18C9F70E"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1,8</w:t>
            </w:r>
          </w:p>
        </w:tc>
        <w:tc>
          <w:tcPr>
            <w:tcW w:w="1700" w:type="dxa"/>
            <w:shd w:val="clear" w:color="auto" w:fill="auto"/>
            <w:noWrap/>
            <w:vAlign w:val="bottom"/>
            <w:hideMark/>
          </w:tcPr>
          <w:p w14:paraId="17178D42"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2,2</w:t>
            </w:r>
          </w:p>
        </w:tc>
      </w:tr>
      <w:tr w:rsidR="00B223EA" w:rsidRPr="00684CF8" w14:paraId="1C9E7A47" w14:textId="77777777" w:rsidTr="00B223EA">
        <w:tc>
          <w:tcPr>
            <w:tcW w:w="1403" w:type="dxa"/>
            <w:shd w:val="clear" w:color="auto" w:fill="auto"/>
            <w:noWrap/>
            <w:hideMark/>
          </w:tcPr>
          <w:p w14:paraId="07BABCA1"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Украина</w:t>
            </w:r>
          </w:p>
        </w:tc>
        <w:tc>
          <w:tcPr>
            <w:tcW w:w="724" w:type="dxa"/>
            <w:shd w:val="clear" w:color="auto" w:fill="auto"/>
            <w:noWrap/>
            <w:vAlign w:val="bottom"/>
            <w:hideMark/>
          </w:tcPr>
          <w:p w14:paraId="21E330E6"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4 033</w:t>
            </w:r>
          </w:p>
        </w:tc>
        <w:tc>
          <w:tcPr>
            <w:tcW w:w="567" w:type="dxa"/>
            <w:shd w:val="clear" w:color="auto" w:fill="auto"/>
            <w:noWrap/>
            <w:vAlign w:val="bottom"/>
            <w:hideMark/>
          </w:tcPr>
          <w:p w14:paraId="23D7BB2D"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1,6</w:t>
            </w:r>
          </w:p>
        </w:tc>
        <w:tc>
          <w:tcPr>
            <w:tcW w:w="1689" w:type="dxa"/>
            <w:shd w:val="clear" w:color="auto" w:fill="auto"/>
            <w:noWrap/>
            <w:vAlign w:val="bottom"/>
            <w:hideMark/>
          </w:tcPr>
          <w:p w14:paraId="26347C19"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7,2</w:t>
            </w:r>
          </w:p>
        </w:tc>
        <w:tc>
          <w:tcPr>
            <w:tcW w:w="720" w:type="dxa"/>
            <w:shd w:val="clear" w:color="auto" w:fill="auto"/>
            <w:noWrap/>
            <w:vAlign w:val="bottom"/>
            <w:hideMark/>
          </w:tcPr>
          <w:p w14:paraId="4689A140"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4 593</w:t>
            </w:r>
          </w:p>
        </w:tc>
        <w:tc>
          <w:tcPr>
            <w:tcW w:w="567" w:type="dxa"/>
            <w:shd w:val="clear" w:color="auto" w:fill="auto"/>
            <w:noWrap/>
            <w:vAlign w:val="bottom"/>
            <w:hideMark/>
          </w:tcPr>
          <w:p w14:paraId="28FBE9BF"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1,8</w:t>
            </w:r>
          </w:p>
        </w:tc>
        <w:tc>
          <w:tcPr>
            <w:tcW w:w="1700" w:type="dxa"/>
            <w:shd w:val="clear" w:color="auto" w:fill="auto"/>
            <w:noWrap/>
            <w:vAlign w:val="bottom"/>
            <w:hideMark/>
          </w:tcPr>
          <w:p w14:paraId="63430187"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13,9</w:t>
            </w:r>
          </w:p>
        </w:tc>
      </w:tr>
      <w:tr w:rsidR="00B223EA" w:rsidRPr="00684CF8" w14:paraId="3DB6D907" w14:textId="77777777" w:rsidTr="00B223EA">
        <w:tc>
          <w:tcPr>
            <w:tcW w:w="1403" w:type="dxa"/>
            <w:shd w:val="clear" w:color="auto" w:fill="auto"/>
            <w:noWrap/>
            <w:hideMark/>
          </w:tcPr>
          <w:p w14:paraId="06C5AE4B"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Польша</w:t>
            </w:r>
          </w:p>
        </w:tc>
        <w:tc>
          <w:tcPr>
            <w:tcW w:w="724" w:type="dxa"/>
            <w:shd w:val="clear" w:color="auto" w:fill="auto"/>
            <w:noWrap/>
            <w:vAlign w:val="bottom"/>
            <w:hideMark/>
          </w:tcPr>
          <w:p w14:paraId="68BC2512"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4 284</w:t>
            </w:r>
          </w:p>
        </w:tc>
        <w:tc>
          <w:tcPr>
            <w:tcW w:w="567" w:type="dxa"/>
            <w:shd w:val="clear" w:color="auto" w:fill="auto"/>
            <w:noWrap/>
            <w:vAlign w:val="bottom"/>
            <w:hideMark/>
          </w:tcPr>
          <w:p w14:paraId="14E71BBA"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1,7</w:t>
            </w:r>
          </w:p>
        </w:tc>
        <w:tc>
          <w:tcPr>
            <w:tcW w:w="1689" w:type="dxa"/>
            <w:shd w:val="clear" w:color="auto" w:fill="auto"/>
            <w:noWrap/>
            <w:vAlign w:val="bottom"/>
            <w:hideMark/>
          </w:tcPr>
          <w:p w14:paraId="011F6F8A"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2,2</w:t>
            </w:r>
          </w:p>
        </w:tc>
        <w:tc>
          <w:tcPr>
            <w:tcW w:w="720" w:type="dxa"/>
            <w:shd w:val="clear" w:color="auto" w:fill="auto"/>
            <w:noWrap/>
            <w:vAlign w:val="bottom"/>
            <w:hideMark/>
          </w:tcPr>
          <w:p w14:paraId="2E06A0C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4 410</w:t>
            </w:r>
          </w:p>
        </w:tc>
        <w:tc>
          <w:tcPr>
            <w:tcW w:w="567" w:type="dxa"/>
            <w:shd w:val="clear" w:color="auto" w:fill="auto"/>
            <w:noWrap/>
            <w:vAlign w:val="bottom"/>
            <w:hideMark/>
          </w:tcPr>
          <w:p w14:paraId="4F51D89E"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1,7</w:t>
            </w:r>
          </w:p>
        </w:tc>
        <w:tc>
          <w:tcPr>
            <w:tcW w:w="1700" w:type="dxa"/>
            <w:shd w:val="clear" w:color="auto" w:fill="auto"/>
            <w:noWrap/>
            <w:vAlign w:val="bottom"/>
            <w:hideMark/>
          </w:tcPr>
          <w:p w14:paraId="11EFF5D6"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2,9</w:t>
            </w:r>
          </w:p>
        </w:tc>
      </w:tr>
      <w:tr w:rsidR="00B223EA" w:rsidRPr="00684CF8" w14:paraId="09C9FCFA" w14:textId="77777777" w:rsidTr="00B223EA">
        <w:tc>
          <w:tcPr>
            <w:tcW w:w="1403" w:type="dxa"/>
            <w:shd w:val="clear" w:color="auto" w:fill="auto"/>
            <w:noWrap/>
            <w:hideMark/>
          </w:tcPr>
          <w:p w14:paraId="2AB0A38E" w14:textId="77777777" w:rsidR="00B223EA" w:rsidRPr="00684CF8" w:rsidRDefault="00B223EA" w:rsidP="00B223EA">
            <w:pPr>
              <w:suppressAutoHyphens w:val="0"/>
              <w:spacing w:before="40" w:after="40" w:line="220" w:lineRule="exact"/>
              <w:rPr>
                <w:rFonts w:cs="Times New Roman"/>
                <w:bCs/>
                <w:sz w:val="18"/>
                <w:szCs w:val="18"/>
              </w:rPr>
            </w:pPr>
            <w:r w:rsidRPr="00684CF8">
              <w:rPr>
                <w:rFonts w:cs="Times New Roman"/>
                <w:sz w:val="18"/>
                <w:szCs w:val="18"/>
              </w:rPr>
              <w:t>Германия</w:t>
            </w:r>
          </w:p>
        </w:tc>
        <w:tc>
          <w:tcPr>
            <w:tcW w:w="724" w:type="dxa"/>
            <w:shd w:val="clear" w:color="auto" w:fill="auto"/>
            <w:noWrap/>
            <w:vAlign w:val="bottom"/>
            <w:hideMark/>
          </w:tcPr>
          <w:p w14:paraId="557F5966"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4 014</w:t>
            </w:r>
          </w:p>
        </w:tc>
        <w:tc>
          <w:tcPr>
            <w:tcW w:w="567" w:type="dxa"/>
            <w:shd w:val="clear" w:color="auto" w:fill="auto"/>
            <w:noWrap/>
            <w:vAlign w:val="bottom"/>
            <w:hideMark/>
          </w:tcPr>
          <w:p w14:paraId="11957D97"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1,6</w:t>
            </w:r>
          </w:p>
        </w:tc>
        <w:tc>
          <w:tcPr>
            <w:tcW w:w="1689" w:type="dxa"/>
            <w:shd w:val="clear" w:color="auto" w:fill="auto"/>
            <w:noWrap/>
            <w:vAlign w:val="bottom"/>
            <w:hideMark/>
          </w:tcPr>
          <w:p w14:paraId="2EFFD409" w14:textId="77777777" w:rsidR="00B223EA" w:rsidRPr="00684CF8" w:rsidRDefault="00B872CB" w:rsidP="00B223EA">
            <w:pPr>
              <w:suppressAutoHyphens w:val="0"/>
              <w:spacing w:before="40" w:after="40" w:line="220" w:lineRule="exact"/>
              <w:jc w:val="right"/>
              <w:rPr>
                <w:rFonts w:cs="Times New Roman"/>
                <w:sz w:val="18"/>
                <w:szCs w:val="24"/>
              </w:rPr>
            </w:pPr>
            <w:r w:rsidRPr="00684CF8">
              <w:t>–</w:t>
            </w:r>
            <w:r w:rsidR="00B223EA" w:rsidRPr="00684CF8">
              <w:rPr>
                <w:rFonts w:cs="Times New Roman"/>
                <w:sz w:val="18"/>
                <w:szCs w:val="24"/>
              </w:rPr>
              <w:t>3,3</w:t>
            </w:r>
          </w:p>
        </w:tc>
        <w:tc>
          <w:tcPr>
            <w:tcW w:w="720" w:type="dxa"/>
            <w:shd w:val="clear" w:color="auto" w:fill="auto"/>
            <w:noWrap/>
            <w:vAlign w:val="bottom"/>
            <w:hideMark/>
          </w:tcPr>
          <w:p w14:paraId="2776305E"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4 102</w:t>
            </w:r>
          </w:p>
        </w:tc>
        <w:tc>
          <w:tcPr>
            <w:tcW w:w="567" w:type="dxa"/>
            <w:shd w:val="clear" w:color="auto" w:fill="auto"/>
            <w:noWrap/>
            <w:vAlign w:val="bottom"/>
            <w:hideMark/>
          </w:tcPr>
          <w:p w14:paraId="7C2A4A7B"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1,6</w:t>
            </w:r>
          </w:p>
        </w:tc>
        <w:tc>
          <w:tcPr>
            <w:tcW w:w="1700" w:type="dxa"/>
            <w:shd w:val="clear" w:color="auto" w:fill="auto"/>
            <w:noWrap/>
            <w:vAlign w:val="bottom"/>
            <w:hideMark/>
          </w:tcPr>
          <w:p w14:paraId="7D7843B2"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2,2</w:t>
            </w:r>
          </w:p>
        </w:tc>
      </w:tr>
      <w:tr w:rsidR="00B223EA" w:rsidRPr="00684CF8" w14:paraId="4D359A90" w14:textId="77777777" w:rsidTr="00B872CB">
        <w:tc>
          <w:tcPr>
            <w:tcW w:w="1403" w:type="dxa"/>
            <w:tcBorders>
              <w:bottom w:val="single" w:sz="4" w:space="0" w:color="auto"/>
            </w:tcBorders>
            <w:shd w:val="clear" w:color="auto" w:fill="auto"/>
            <w:noWrap/>
            <w:hideMark/>
          </w:tcPr>
          <w:p w14:paraId="24FAB94C" w14:textId="77777777" w:rsidR="00B223EA" w:rsidRPr="00684CF8" w:rsidRDefault="00B223EA" w:rsidP="00B223EA">
            <w:pPr>
              <w:suppressAutoHyphens w:val="0"/>
              <w:spacing w:before="40" w:after="40" w:line="220" w:lineRule="exact"/>
              <w:rPr>
                <w:rFonts w:cs="Times New Roman"/>
                <w:bCs/>
                <w:sz w:val="18"/>
                <w:szCs w:val="24"/>
              </w:rPr>
            </w:pPr>
            <w:r w:rsidRPr="00684CF8">
              <w:rPr>
                <w:rFonts w:cs="Times New Roman"/>
                <w:bCs/>
                <w:sz w:val="18"/>
                <w:szCs w:val="24"/>
              </w:rPr>
              <w:t>Прочие страны</w:t>
            </w:r>
          </w:p>
        </w:tc>
        <w:tc>
          <w:tcPr>
            <w:tcW w:w="724" w:type="dxa"/>
            <w:tcBorders>
              <w:bottom w:val="single" w:sz="4" w:space="0" w:color="auto"/>
            </w:tcBorders>
            <w:shd w:val="clear" w:color="auto" w:fill="auto"/>
            <w:noWrap/>
            <w:vAlign w:val="bottom"/>
            <w:hideMark/>
          </w:tcPr>
          <w:p w14:paraId="41A34E1C"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82 678</w:t>
            </w:r>
          </w:p>
        </w:tc>
        <w:tc>
          <w:tcPr>
            <w:tcW w:w="567" w:type="dxa"/>
            <w:tcBorders>
              <w:bottom w:val="single" w:sz="4" w:space="0" w:color="auto"/>
            </w:tcBorders>
            <w:shd w:val="clear" w:color="auto" w:fill="auto"/>
            <w:noWrap/>
            <w:vAlign w:val="bottom"/>
            <w:hideMark/>
          </w:tcPr>
          <w:p w14:paraId="30F8562C"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33,1</w:t>
            </w:r>
          </w:p>
        </w:tc>
        <w:tc>
          <w:tcPr>
            <w:tcW w:w="1689" w:type="dxa"/>
            <w:tcBorders>
              <w:bottom w:val="single" w:sz="4" w:space="0" w:color="auto"/>
            </w:tcBorders>
            <w:shd w:val="clear" w:color="auto" w:fill="auto"/>
            <w:noWrap/>
            <w:vAlign w:val="bottom"/>
            <w:hideMark/>
          </w:tcPr>
          <w:p w14:paraId="420EB332"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3,2</w:t>
            </w:r>
          </w:p>
        </w:tc>
        <w:tc>
          <w:tcPr>
            <w:tcW w:w="720" w:type="dxa"/>
            <w:tcBorders>
              <w:bottom w:val="single" w:sz="4" w:space="0" w:color="auto"/>
            </w:tcBorders>
            <w:shd w:val="clear" w:color="auto" w:fill="auto"/>
            <w:noWrap/>
            <w:vAlign w:val="bottom"/>
            <w:hideMark/>
          </w:tcPr>
          <w:p w14:paraId="48FD5D81"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86 582</w:t>
            </w:r>
          </w:p>
        </w:tc>
        <w:tc>
          <w:tcPr>
            <w:tcW w:w="567" w:type="dxa"/>
            <w:tcBorders>
              <w:bottom w:val="single" w:sz="4" w:space="0" w:color="auto"/>
            </w:tcBorders>
            <w:shd w:val="clear" w:color="auto" w:fill="auto"/>
            <w:noWrap/>
            <w:vAlign w:val="bottom"/>
            <w:hideMark/>
          </w:tcPr>
          <w:p w14:paraId="3AF8FD9F"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33,6</w:t>
            </w:r>
          </w:p>
        </w:tc>
        <w:tc>
          <w:tcPr>
            <w:tcW w:w="1700" w:type="dxa"/>
            <w:tcBorders>
              <w:bottom w:val="single" w:sz="4" w:space="0" w:color="auto"/>
            </w:tcBorders>
            <w:shd w:val="clear" w:color="auto" w:fill="auto"/>
            <w:noWrap/>
            <w:vAlign w:val="bottom"/>
            <w:hideMark/>
          </w:tcPr>
          <w:p w14:paraId="7D269BD8" w14:textId="77777777" w:rsidR="00B223EA" w:rsidRPr="00684CF8" w:rsidRDefault="00B223EA" w:rsidP="00B223EA">
            <w:pPr>
              <w:suppressAutoHyphens w:val="0"/>
              <w:spacing w:before="40" w:after="40" w:line="220" w:lineRule="exact"/>
              <w:jc w:val="right"/>
              <w:rPr>
                <w:rFonts w:cs="Times New Roman"/>
                <w:sz w:val="18"/>
                <w:szCs w:val="24"/>
              </w:rPr>
            </w:pPr>
            <w:r w:rsidRPr="00684CF8">
              <w:rPr>
                <w:rFonts w:cs="Times New Roman"/>
                <w:sz w:val="18"/>
                <w:szCs w:val="24"/>
              </w:rPr>
              <w:t>4,7</w:t>
            </w:r>
          </w:p>
        </w:tc>
      </w:tr>
      <w:tr w:rsidR="00B223EA" w:rsidRPr="00684CF8" w14:paraId="37993727" w14:textId="77777777" w:rsidTr="00B872CB">
        <w:tc>
          <w:tcPr>
            <w:tcW w:w="1403" w:type="dxa"/>
            <w:tcBorders>
              <w:top w:val="single" w:sz="4" w:space="0" w:color="auto"/>
              <w:bottom w:val="single" w:sz="12" w:space="0" w:color="auto"/>
            </w:tcBorders>
            <w:shd w:val="clear" w:color="auto" w:fill="auto"/>
            <w:noWrap/>
            <w:hideMark/>
          </w:tcPr>
          <w:p w14:paraId="1C777223" w14:textId="77777777" w:rsidR="00B223EA" w:rsidRPr="00684CF8" w:rsidRDefault="00B223EA" w:rsidP="00B872CB">
            <w:pPr>
              <w:suppressAutoHyphens w:val="0"/>
              <w:spacing w:before="80" w:after="80" w:line="220" w:lineRule="exact"/>
              <w:ind w:firstLine="143"/>
              <w:rPr>
                <w:rFonts w:cs="Times New Roman"/>
                <w:b/>
                <w:bCs/>
                <w:sz w:val="18"/>
                <w:szCs w:val="24"/>
              </w:rPr>
            </w:pPr>
            <w:r w:rsidRPr="00684CF8">
              <w:rPr>
                <w:rFonts w:cs="Times New Roman"/>
                <w:b/>
                <w:bCs/>
                <w:sz w:val="18"/>
                <w:szCs w:val="24"/>
              </w:rPr>
              <w:t>Итого</w:t>
            </w:r>
          </w:p>
        </w:tc>
        <w:tc>
          <w:tcPr>
            <w:tcW w:w="724" w:type="dxa"/>
            <w:tcBorders>
              <w:top w:val="single" w:sz="4" w:space="0" w:color="auto"/>
              <w:bottom w:val="single" w:sz="12" w:space="0" w:color="auto"/>
            </w:tcBorders>
            <w:shd w:val="clear" w:color="auto" w:fill="auto"/>
            <w:noWrap/>
            <w:vAlign w:val="bottom"/>
            <w:hideMark/>
          </w:tcPr>
          <w:p w14:paraId="2D626ACE" w14:textId="77777777" w:rsidR="00B223EA" w:rsidRPr="00684CF8" w:rsidRDefault="00B223EA" w:rsidP="00B872CB">
            <w:pPr>
              <w:suppressAutoHyphens w:val="0"/>
              <w:spacing w:before="80" w:after="80" w:line="220" w:lineRule="exact"/>
              <w:jc w:val="right"/>
              <w:rPr>
                <w:rFonts w:cs="Times New Roman"/>
                <w:b/>
                <w:bCs/>
                <w:sz w:val="18"/>
                <w:szCs w:val="24"/>
              </w:rPr>
            </w:pPr>
            <w:r w:rsidRPr="00684CF8">
              <w:rPr>
                <w:rFonts w:cs="Times New Roman"/>
                <w:b/>
                <w:bCs/>
                <w:sz w:val="18"/>
                <w:szCs w:val="24"/>
              </w:rPr>
              <w:t>249 452</w:t>
            </w:r>
          </w:p>
        </w:tc>
        <w:tc>
          <w:tcPr>
            <w:tcW w:w="567" w:type="dxa"/>
            <w:tcBorders>
              <w:top w:val="single" w:sz="4" w:space="0" w:color="auto"/>
              <w:bottom w:val="single" w:sz="12" w:space="0" w:color="auto"/>
            </w:tcBorders>
            <w:shd w:val="clear" w:color="auto" w:fill="auto"/>
            <w:noWrap/>
            <w:vAlign w:val="bottom"/>
            <w:hideMark/>
          </w:tcPr>
          <w:p w14:paraId="33A81C41" w14:textId="77777777" w:rsidR="00B223EA" w:rsidRPr="00684CF8" w:rsidRDefault="00B223EA" w:rsidP="00B872CB">
            <w:pPr>
              <w:suppressAutoHyphens w:val="0"/>
              <w:spacing w:before="80" w:after="80" w:line="220" w:lineRule="exact"/>
              <w:jc w:val="right"/>
              <w:rPr>
                <w:rFonts w:cs="Times New Roman"/>
                <w:b/>
                <w:bCs/>
                <w:sz w:val="18"/>
                <w:szCs w:val="24"/>
              </w:rPr>
            </w:pPr>
            <w:r w:rsidRPr="00684CF8">
              <w:rPr>
                <w:rFonts w:cs="Times New Roman"/>
                <w:b/>
                <w:bCs/>
                <w:sz w:val="18"/>
                <w:szCs w:val="24"/>
              </w:rPr>
              <w:t>100</w:t>
            </w:r>
          </w:p>
        </w:tc>
        <w:tc>
          <w:tcPr>
            <w:tcW w:w="1689" w:type="dxa"/>
            <w:tcBorders>
              <w:top w:val="single" w:sz="4" w:space="0" w:color="auto"/>
              <w:bottom w:val="single" w:sz="12" w:space="0" w:color="auto"/>
            </w:tcBorders>
            <w:shd w:val="clear" w:color="auto" w:fill="auto"/>
            <w:noWrap/>
            <w:vAlign w:val="bottom"/>
            <w:hideMark/>
          </w:tcPr>
          <w:p w14:paraId="5350C506" w14:textId="77777777" w:rsidR="00B223EA" w:rsidRPr="00684CF8" w:rsidRDefault="00B223EA" w:rsidP="00B872CB">
            <w:pPr>
              <w:suppressAutoHyphens w:val="0"/>
              <w:spacing w:before="80" w:after="80" w:line="220" w:lineRule="exact"/>
              <w:jc w:val="right"/>
              <w:rPr>
                <w:rFonts w:cs="Times New Roman"/>
                <w:b/>
                <w:bCs/>
                <w:sz w:val="18"/>
                <w:szCs w:val="24"/>
              </w:rPr>
            </w:pPr>
            <w:r w:rsidRPr="00684CF8">
              <w:rPr>
                <w:rFonts w:cs="Times New Roman"/>
                <w:b/>
                <w:bCs/>
                <w:sz w:val="18"/>
                <w:szCs w:val="24"/>
              </w:rPr>
              <w:t>2,4</w:t>
            </w:r>
          </w:p>
        </w:tc>
        <w:tc>
          <w:tcPr>
            <w:tcW w:w="720" w:type="dxa"/>
            <w:tcBorders>
              <w:top w:val="single" w:sz="4" w:space="0" w:color="auto"/>
              <w:bottom w:val="single" w:sz="12" w:space="0" w:color="auto"/>
            </w:tcBorders>
            <w:shd w:val="clear" w:color="auto" w:fill="auto"/>
            <w:noWrap/>
            <w:vAlign w:val="bottom"/>
            <w:hideMark/>
          </w:tcPr>
          <w:p w14:paraId="5CA36818" w14:textId="77777777" w:rsidR="00B223EA" w:rsidRPr="00684CF8" w:rsidRDefault="00B223EA" w:rsidP="00B872CB">
            <w:pPr>
              <w:suppressAutoHyphens w:val="0"/>
              <w:spacing w:before="80" w:after="80" w:line="220" w:lineRule="exact"/>
              <w:jc w:val="right"/>
              <w:rPr>
                <w:rFonts w:cs="Times New Roman"/>
                <w:b/>
                <w:bCs/>
                <w:sz w:val="18"/>
                <w:szCs w:val="24"/>
              </w:rPr>
            </w:pPr>
            <w:r w:rsidRPr="00684CF8">
              <w:rPr>
                <w:rFonts w:cs="Times New Roman"/>
                <w:b/>
                <w:bCs/>
                <w:sz w:val="18"/>
                <w:szCs w:val="24"/>
              </w:rPr>
              <w:t>257 572</w:t>
            </w:r>
          </w:p>
        </w:tc>
        <w:tc>
          <w:tcPr>
            <w:tcW w:w="567" w:type="dxa"/>
            <w:tcBorders>
              <w:top w:val="single" w:sz="4" w:space="0" w:color="auto"/>
              <w:bottom w:val="single" w:sz="12" w:space="0" w:color="auto"/>
            </w:tcBorders>
            <w:shd w:val="clear" w:color="auto" w:fill="auto"/>
            <w:noWrap/>
            <w:vAlign w:val="bottom"/>
            <w:hideMark/>
          </w:tcPr>
          <w:p w14:paraId="03DD56A9" w14:textId="77777777" w:rsidR="00B223EA" w:rsidRPr="00684CF8" w:rsidRDefault="00B223EA" w:rsidP="00B872CB">
            <w:pPr>
              <w:suppressAutoHyphens w:val="0"/>
              <w:spacing w:before="80" w:after="80" w:line="220" w:lineRule="exact"/>
              <w:jc w:val="right"/>
              <w:rPr>
                <w:rFonts w:cs="Times New Roman"/>
                <w:b/>
                <w:bCs/>
                <w:sz w:val="18"/>
                <w:szCs w:val="24"/>
              </w:rPr>
            </w:pPr>
            <w:r w:rsidRPr="00684CF8">
              <w:rPr>
                <w:rFonts w:cs="Times New Roman"/>
                <w:b/>
                <w:bCs/>
                <w:sz w:val="18"/>
                <w:szCs w:val="24"/>
              </w:rPr>
              <w:t>100</w:t>
            </w:r>
          </w:p>
        </w:tc>
        <w:tc>
          <w:tcPr>
            <w:tcW w:w="1700" w:type="dxa"/>
            <w:tcBorders>
              <w:top w:val="single" w:sz="4" w:space="0" w:color="auto"/>
              <w:bottom w:val="single" w:sz="12" w:space="0" w:color="auto"/>
            </w:tcBorders>
            <w:shd w:val="clear" w:color="auto" w:fill="auto"/>
            <w:noWrap/>
            <w:vAlign w:val="bottom"/>
            <w:hideMark/>
          </w:tcPr>
          <w:p w14:paraId="5D52411F" w14:textId="77777777" w:rsidR="00B223EA" w:rsidRPr="00684CF8" w:rsidRDefault="00B223EA" w:rsidP="00B872CB">
            <w:pPr>
              <w:suppressAutoHyphens w:val="0"/>
              <w:spacing w:before="80" w:after="80" w:line="220" w:lineRule="exact"/>
              <w:jc w:val="right"/>
              <w:rPr>
                <w:rFonts w:cs="Times New Roman"/>
                <w:b/>
                <w:bCs/>
                <w:sz w:val="18"/>
                <w:szCs w:val="24"/>
              </w:rPr>
            </w:pPr>
            <w:r w:rsidRPr="00684CF8">
              <w:rPr>
                <w:rFonts w:cs="Times New Roman"/>
                <w:b/>
                <w:bCs/>
                <w:sz w:val="18"/>
                <w:szCs w:val="24"/>
              </w:rPr>
              <w:t>3,3</w:t>
            </w:r>
          </w:p>
        </w:tc>
      </w:tr>
    </w:tbl>
    <w:p w14:paraId="0BE5946F" w14:textId="77777777" w:rsidR="00B223EA" w:rsidRPr="00684CF8" w:rsidRDefault="00B223EA" w:rsidP="00B872CB">
      <w:pPr>
        <w:pStyle w:val="SingleTxtG"/>
        <w:spacing w:before="120" w:after="240" w:line="220" w:lineRule="exact"/>
        <w:ind w:firstLine="170"/>
        <w:rPr>
          <w:sz w:val="18"/>
          <w:szCs w:val="18"/>
        </w:rPr>
      </w:pPr>
      <w:bookmarkStart w:id="11" w:name="_Hlk47704880"/>
      <w:r w:rsidRPr="00684CF8">
        <w:rPr>
          <w:i/>
          <w:iCs/>
          <w:sz w:val="18"/>
          <w:szCs w:val="18"/>
        </w:rPr>
        <w:t>Источник:</w:t>
      </w:r>
      <w:r w:rsidRPr="00684CF8">
        <w:rPr>
          <w:sz w:val="18"/>
          <w:szCs w:val="18"/>
        </w:rPr>
        <w:t xml:space="preserve"> Статистические сведения о Финляндии</w:t>
      </w:r>
      <w:bookmarkEnd w:id="11"/>
      <w:r w:rsidRPr="00684CF8">
        <w:rPr>
          <w:sz w:val="18"/>
          <w:szCs w:val="18"/>
        </w:rPr>
        <w:t>, структура населения.</w:t>
      </w:r>
    </w:p>
    <w:p w14:paraId="017C21D2" w14:textId="77777777" w:rsidR="00B223EA" w:rsidRPr="00684CF8" w:rsidRDefault="00B223EA" w:rsidP="00B872CB">
      <w:pPr>
        <w:pStyle w:val="H23G"/>
      </w:pPr>
      <w:r w:rsidRPr="00684CF8">
        <w:tab/>
        <w:t>b)</w:t>
      </w:r>
      <w:r w:rsidRPr="00684CF8">
        <w:tab/>
        <w:t>Экономика</w:t>
      </w:r>
    </w:p>
    <w:p w14:paraId="122A314F" w14:textId="77777777" w:rsidR="00B223EA" w:rsidRPr="00684CF8" w:rsidRDefault="00B223EA" w:rsidP="00B872CB">
      <w:pPr>
        <w:pStyle w:val="H23G"/>
      </w:pPr>
      <w:bookmarkStart w:id="12" w:name="_Toc32364276"/>
      <w:r w:rsidRPr="00684CF8">
        <w:tab/>
      </w:r>
      <w:r w:rsidRPr="00684CF8">
        <w:tab/>
        <w:t>Валовой национальный доход</w:t>
      </w:r>
      <w:bookmarkEnd w:id="12"/>
    </w:p>
    <w:p w14:paraId="77B26A21" w14:textId="77777777" w:rsidR="00B223EA" w:rsidRPr="00684CF8" w:rsidRDefault="00B223EA" w:rsidP="00B223EA">
      <w:pPr>
        <w:pStyle w:val="SingleTxtG"/>
      </w:pPr>
      <w:r w:rsidRPr="00684CF8">
        <w:t>41.</w:t>
      </w:r>
      <w:r w:rsidRPr="00684CF8">
        <w:tab/>
        <w:t xml:space="preserve">В 2018 году валовой внутренний продукт (ВВП) Финляндии составил около 233,6 млрд евро, а годовое изменение его объема </w:t>
      </w:r>
      <w:r w:rsidR="00B872CB" w:rsidRPr="00684CF8">
        <w:t>—</w:t>
      </w:r>
      <w:r w:rsidRPr="00684CF8">
        <w:t xml:space="preserve"> 2,3</w:t>
      </w:r>
      <w:r w:rsidR="008221B3">
        <w:rPr>
          <w:lang w:val="en-US"/>
        </w:rPr>
        <w:t> </w:t>
      </w:r>
      <w:r w:rsidRPr="00684CF8">
        <w:t>%. ВВП на душу населения составил 42 504 евро.</w:t>
      </w:r>
    </w:p>
    <w:p w14:paraId="129E75CE" w14:textId="6D806904" w:rsidR="00B223EA" w:rsidRPr="00684CF8" w:rsidRDefault="00B223EA" w:rsidP="00B223EA">
      <w:pPr>
        <w:pStyle w:val="SingleTxtG"/>
      </w:pPr>
      <w:r w:rsidRPr="00684CF8">
        <w:t>42.</w:t>
      </w:r>
      <w:r w:rsidRPr="00684CF8">
        <w:tab/>
        <w:t>Уровень налогообложения, т.</w:t>
      </w:r>
      <w:r w:rsidR="00B872CB" w:rsidRPr="00684CF8">
        <w:t> </w:t>
      </w:r>
      <w:r w:rsidRPr="00684CF8">
        <w:t>е. соотношение налоговых и аналогичных платежей к ВВП, в 2018 году составил около 42,4</w:t>
      </w:r>
      <w:r w:rsidR="00DF7B7E">
        <w:t> </w:t>
      </w:r>
      <w:r w:rsidRPr="00684CF8">
        <w:t>%, и в обозримом будущем существенных изменений не прогнозируется.</w:t>
      </w:r>
    </w:p>
    <w:p w14:paraId="641A1ACD" w14:textId="77777777" w:rsidR="00B223EA" w:rsidRPr="00684CF8" w:rsidRDefault="00B223EA" w:rsidP="00B223EA">
      <w:pPr>
        <w:pStyle w:val="SingleTxtG"/>
      </w:pPr>
      <w:r w:rsidRPr="00684CF8">
        <w:t>43.</w:t>
      </w:r>
      <w:r w:rsidRPr="00684CF8">
        <w:tab/>
        <w:t>Средний налогооблагаемый доход физических лиц в 2017 году составил 29</w:t>
      </w:r>
      <w:r w:rsidR="008221B3">
        <w:rPr>
          <w:lang w:val="en-US"/>
        </w:rPr>
        <w:t> </w:t>
      </w:r>
      <w:r w:rsidRPr="00684CF8">
        <w:t>540</w:t>
      </w:r>
      <w:r w:rsidR="008221B3">
        <w:rPr>
          <w:lang w:val="en-US"/>
        </w:rPr>
        <w:t> </w:t>
      </w:r>
      <w:r w:rsidRPr="00684CF8">
        <w:t>евро на одного получателя дохода: 34 227 евро для мужчин и 25 061 евро для женщин.</w:t>
      </w:r>
    </w:p>
    <w:p w14:paraId="588328CD" w14:textId="77777777" w:rsidR="00B223EA" w:rsidRPr="00684CF8" w:rsidRDefault="00B223EA" w:rsidP="004253D3">
      <w:pPr>
        <w:pStyle w:val="H23G"/>
      </w:pPr>
      <w:bookmarkStart w:id="13" w:name="_Toc32364277"/>
      <w:r w:rsidRPr="00684CF8">
        <w:tab/>
      </w:r>
      <w:r w:rsidRPr="00684CF8">
        <w:tab/>
        <w:t>Индекс потребительских цен</w:t>
      </w:r>
      <w:bookmarkEnd w:id="13"/>
    </w:p>
    <w:p w14:paraId="3AC123C1" w14:textId="77777777" w:rsidR="00B223EA" w:rsidRPr="00684CF8" w:rsidRDefault="00B223EA" w:rsidP="00B223EA">
      <w:pPr>
        <w:pStyle w:val="SingleTxtG"/>
      </w:pPr>
      <w:r w:rsidRPr="00684CF8">
        <w:t>44.</w:t>
      </w:r>
      <w:r w:rsidRPr="00684CF8">
        <w:tab/>
        <w:t>Индекс потребительских цен отражает динамику цен на товары и услуги, приобретаемые домашними хозяйствами в Финляндии. Индекс потребительских цен используется в качестве общего показателя инфляции.</w:t>
      </w:r>
    </w:p>
    <w:p w14:paraId="1E857071" w14:textId="77777777" w:rsidR="00B223EA" w:rsidRPr="00684CF8" w:rsidRDefault="00B223EA" w:rsidP="00B223EA">
      <w:pPr>
        <w:pStyle w:val="SingleTxtG"/>
      </w:pPr>
      <w:r w:rsidRPr="00684CF8">
        <w:t>45.</w:t>
      </w:r>
      <w:r w:rsidRPr="00684CF8">
        <w:tab/>
        <w:t>Индекс потребительских цен рассчитывается методом, при котором цены на различные товары взвешиваются вместе с их долей потребления. Расчет индекса производится по формуле индекса цен Ласпейреса, в которой доли потребления, используемые в качестве весов, сопоставляются с базовым периодом.</w:t>
      </w:r>
    </w:p>
    <w:p w14:paraId="003763EA" w14:textId="77777777" w:rsidR="00B223EA" w:rsidRPr="00684CF8" w:rsidRDefault="00B223EA" w:rsidP="004253D3">
      <w:pPr>
        <w:pStyle w:val="1"/>
        <w:spacing w:before="240" w:after="120"/>
        <w:ind w:left="1134" w:hanging="1134"/>
        <w:jc w:val="left"/>
      </w:pPr>
      <w:r w:rsidRPr="00684CF8">
        <w:rPr>
          <w:b w:val="0"/>
          <w:bCs w:val="0"/>
        </w:rPr>
        <w:tab/>
      </w:r>
      <w:r w:rsidRPr="00684CF8">
        <w:rPr>
          <w:b w:val="0"/>
          <w:bCs w:val="0"/>
        </w:rPr>
        <w:tab/>
        <w:t>Таблица 3</w:t>
      </w:r>
      <w:r w:rsidR="004253D3" w:rsidRPr="00684CF8">
        <w:rPr>
          <w:b w:val="0"/>
          <w:bCs w:val="0"/>
        </w:rPr>
        <w:br/>
      </w:r>
      <w:r w:rsidRPr="00684CF8">
        <w:t>Индекс потребительских цен по группам товаров и услуг, 2010–2016 годы</w:t>
      </w:r>
    </w:p>
    <w:tbl>
      <w:tblPr>
        <w:tblW w:w="7370" w:type="dxa"/>
        <w:tblInd w:w="1134" w:type="dxa"/>
        <w:tblLayout w:type="fixed"/>
        <w:tblCellMar>
          <w:left w:w="0" w:type="dxa"/>
          <w:right w:w="0" w:type="dxa"/>
        </w:tblCellMar>
        <w:tblLook w:val="04A0" w:firstRow="1" w:lastRow="0" w:firstColumn="1" w:lastColumn="0" w:noHBand="0" w:noVBand="1"/>
      </w:tblPr>
      <w:tblGrid>
        <w:gridCol w:w="430"/>
        <w:gridCol w:w="762"/>
        <w:gridCol w:w="770"/>
        <w:gridCol w:w="770"/>
        <w:gridCol w:w="771"/>
        <w:gridCol w:w="770"/>
        <w:gridCol w:w="770"/>
        <w:gridCol w:w="770"/>
        <w:gridCol w:w="772"/>
        <w:gridCol w:w="785"/>
      </w:tblGrid>
      <w:tr w:rsidR="004253D3" w:rsidRPr="00684CF8" w14:paraId="47C760BA" w14:textId="77777777" w:rsidTr="004253D3">
        <w:trPr>
          <w:tblHeader/>
        </w:trPr>
        <w:tc>
          <w:tcPr>
            <w:tcW w:w="430" w:type="dxa"/>
            <w:tcBorders>
              <w:top w:val="single" w:sz="4" w:space="0" w:color="auto"/>
              <w:bottom w:val="single" w:sz="12" w:space="0" w:color="auto"/>
            </w:tcBorders>
            <w:shd w:val="clear" w:color="auto" w:fill="auto"/>
            <w:vAlign w:val="bottom"/>
          </w:tcPr>
          <w:p w14:paraId="6800B8B6" w14:textId="77777777" w:rsidR="004253D3" w:rsidRPr="00684CF8" w:rsidRDefault="004253D3" w:rsidP="004253D3">
            <w:pPr>
              <w:suppressAutoHyphens w:val="0"/>
              <w:spacing w:before="80" w:after="80" w:line="200" w:lineRule="exact"/>
              <w:rPr>
                <w:rFonts w:cs="Times New Roman"/>
                <w:i/>
                <w:sz w:val="16"/>
              </w:rPr>
            </w:pPr>
          </w:p>
        </w:tc>
        <w:tc>
          <w:tcPr>
            <w:tcW w:w="762" w:type="dxa"/>
            <w:tcBorders>
              <w:top w:val="single" w:sz="4" w:space="0" w:color="auto"/>
              <w:bottom w:val="single" w:sz="12" w:space="0" w:color="auto"/>
            </w:tcBorders>
            <w:shd w:val="clear" w:color="auto" w:fill="auto"/>
            <w:vAlign w:val="bottom"/>
            <w:hideMark/>
          </w:tcPr>
          <w:p w14:paraId="7EBAFA80"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2010</w:t>
            </w:r>
          </w:p>
        </w:tc>
        <w:tc>
          <w:tcPr>
            <w:tcW w:w="770" w:type="dxa"/>
            <w:tcBorders>
              <w:top w:val="single" w:sz="4" w:space="0" w:color="auto"/>
              <w:bottom w:val="single" w:sz="12" w:space="0" w:color="auto"/>
            </w:tcBorders>
            <w:shd w:val="clear" w:color="auto" w:fill="auto"/>
            <w:vAlign w:val="bottom"/>
            <w:hideMark/>
          </w:tcPr>
          <w:p w14:paraId="66290DAA"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2011</w:t>
            </w:r>
          </w:p>
        </w:tc>
        <w:tc>
          <w:tcPr>
            <w:tcW w:w="770" w:type="dxa"/>
            <w:tcBorders>
              <w:top w:val="single" w:sz="4" w:space="0" w:color="auto"/>
              <w:bottom w:val="single" w:sz="12" w:space="0" w:color="auto"/>
            </w:tcBorders>
            <w:shd w:val="clear" w:color="auto" w:fill="auto"/>
            <w:vAlign w:val="bottom"/>
            <w:hideMark/>
          </w:tcPr>
          <w:p w14:paraId="4FFE14B0"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2012</w:t>
            </w:r>
          </w:p>
        </w:tc>
        <w:tc>
          <w:tcPr>
            <w:tcW w:w="771" w:type="dxa"/>
            <w:tcBorders>
              <w:top w:val="single" w:sz="4" w:space="0" w:color="auto"/>
              <w:bottom w:val="single" w:sz="12" w:space="0" w:color="auto"/>
            </w:tcBorders>
            <w:shd w:val="clear" w:color="auto" w:fill="auto"/>
            <w:vAlign w:val="bottom"/>
            <w:hideMark/>
          </w:tcPr>
          <w:p w14:paraId="616C8D49"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2013</w:t>
            </w:r>
          </w:p>
        </w:tc>
        <w:tc>
          <w:tcPr>
            <w:tcW w:w="770" w:type="dxa"/>
            <w:tcBorders>
              <w:top w:val="single" w:sz="4" w:space="0" w:color="auto"/>
              <w:bottom w:val="single" w:sz="12" w:space="0" w:color="auto"/>
            </w:tcBorders>
            <w:shd w:val="clear" w:color="auto" w:fill="auto"/>
            <w:vAlign w:val="bottom"/>
            <w:hideMark/>
          </w:tcPr>
          <w:p w14:paraId="1C751232"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2014</w:t>
            </w:r>
          </w:p>
        </w:tc>
        <w:tc>
          <w:tcPr>
            <w:tcW w:w="770" w:type="dxa"/>
            <w:tcBorders>
              <w:top w:val="single" w:sz="4" w:space="0" w:color="auto"/>
              <w:bottom w:val="single" w:sz="12" w:space="0" w:color="auto"/>
            </w:tcBorders>
            <w:shd w:val="clear" w:color="auto" w:fill="auto"/>
            <w:vAlign w:val="bottom"/>
            <w:hideMark/>
          </w:tcPr>
          <w:p w14:paraId="5247D87D"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2015</w:t>
            </w:r>
          </w:p>
        </w:tc>
        <w:tc>
          <w:tcPr>
            <w:tcW w:w="770" w:type="dxa"/>
            <w:tcBorders>
              <w:top w:val="single" w:sz="4" w:space="0" w:color="auto"/>
              <w:bottom w:val="single" w:sz="12" w:space="0" w:color="auto"/>
            </w:tcBorders>
            <w:shd w:val="clear" w:color="auto" w:fill="auto"/>
            <w:vAlign w:val="bottom"/>
            <w:hideMark/>
          </w:tcPr>
          <w:p w14:paraId="29490276"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2016</w:t>
            </w:r>
          </w:p>
        </w:tc>
        <w:tc>
          <w:tcPr>
            <w:tcW w:w="772" w:type="dxa"/>
            <w:tcBorders>
              <w:top w:val="single" w:sz="4" w:space="0" w:color="auto"/>
              <w:bottom w:val="single" w:sz="12" w:space="0" w:color="auto"/>
            </w:tcBorders>
            <w:shd w:val="clear" w:color="auto" w:fill="auto"/>
            <w:vAlign w:val="bottom"/>
          </w:tcPr>
          <w:p w14:paraId="70F0348B"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2017</w:t>
            </w:r>
          </w:p>
        </w:tc>
        <w:tc>
          <w:tcPr>
            <w:tcW w:w="785" w:type="dxa"/>
            <w:tcBorders>
              <w:top w:val="single" w:sz="4" w:space="0" w:color="auto"/>
              <w:bottom w:val="single" w:sz="12" w:space="0" w:color="auto"/>
            </w:tcBorders>
            <w:shd w:val="clear" w:color="auto" w:fill="auto"/>
            <w:vAlign w:val="bottom"/>
          </w:tcPr>
          <w:p w14:paraId="4A1CA3DE"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rPr>
              <w:t>2018</w:t>
            </w:r>
          </w:p>
        </w:tc>
      </w:tr>
      <w:tr w:rsidR="004253D3" w:rsidRPr="00684CF8" w14:paraId="41357628" w14:textId="77777777" w:rsidTr="004253D3">
        <w:tc>
          <w:tcPr>
            <w:tcW w:w="430" w:type="dxa"/>
            <w:tcBorders>
              <w:top w:val="single" w:sz="12" w:space="0" w:color="auto"/>
            </w:tcBorders>
            <w:shd w:val="clear" w:color="auto" w:fill="auto"/>
            <w:hideMark/>
          </w:tcPr>
          <w:p w14:paraId="46D69AAF"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00</w:t>
            </w:r>
          </w:p>
        </w:tc>
        <w:tc>
          <w:tcPr>
            <w:tcW w:w="762" w:type="dxa"/>
            <w:tcBorders>
              <w:top w:val="single" w:sz="12" w:space="0" w:color="auto"/>
            </w:tcBorders>
            <w:shd w:val="clear" w:color="auto" w:fill="auto"/>
            <w:vAlign w:val="bottom"/>
            <w:hideMark/>
          </w:tcPr>
          <w:p w14:paraId="31F9009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tcBorders>
              <w:top w:val="single" w:sz="12" w:space="0" w:color="auto"/>
            </w:tcBorders>
            <w:shd w:val="clear" w:color="auto" w:fill="auto"/>
            <w:vAlign w:val="bottom"/>
            <w:hideMark/>
          </w:tcPr>
          <w:p w14:paraId="38998D7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103,4</w:t>
            </w:r>
          </w:p>
        </w:tc>
        <w:tc>
          <w:tcPr>
            <w:tcW w:w="770" w:type="dxa"/>
            <w:tcBorders>
              <w:top w:val="single" w:sz="12" w:space="0" w:color="auto"/>
            </w:tcBorders>
            <w:shd w:val="clear" w:color="auto" w:fill="auto"/>
            <w:vAlign w:val="bottom"/>
            <w:hideMark/>
          </w:tcPr>
          <w:p w14:paraId="75D49618"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106,3</w:t>
            </w:r>
          </w:p>
        </w:tc>
        <w:tc>
          <w:tcPr>
            <w:tcW w:w="771" w:type="dxa"/>
            <w:tcBorders>
              <w:top w:val="single" w:sz="12" w:space="0" w:color="auto"/>
            </w:tcBorders>
            <w:shd w:val="clear" w:color="auto" w:fill="auto"/>
            <w:vAlign w:val="bottom"/>
            <w:hideMark/>
          </w:tcPr>
          <w:p w14:paraId="778F19B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107,9</w:t>
            </w:r>
          </w:p>
        </w:tc>
        <w:tc>
          <w:tcPr>
            <w:tcW w:w="770" w:type="dxa"/>
            <w:tcBorders>
              <w:top w:val="single" w:sz="12" w:space="0" w:color="auto"/>
            </w:tcBorders>
            <w:shd w:val="clear" w:color="auto" w:fill="auto"/>
            <w:vAlign w:val="bottom"/>
            <w:hideMark/>
          </w:tcPr>
          <w:p w14:paraId="47D9889F"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109,0</w:t>
            </w:r>
          </w:p>
        </w:tc>
        <w:tc>
          <w:tcPr>
            <w:tcW w:w="770" w:type="dxa"/>
            <w:tcBorders>
              <w:top w:val="single" w:sz="12" w:space="0" w:color="auto"/>
            </w:tcBorders>
            <w:shd w:val="clear" w:color="auto" w:fill="auto"/>
            <w:vAlign w:val="bottom"/>
            <w:hideMark/>
          </w:tcPr>
          <w:p w14:paraId="7F5B1632"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108,8</w:t>
            </w:r>
          </w:p>
        </w:tc>
        <w:tc>
          <w:tcPr>
            <w:tcW w:w="770" w:type="dxa"/>
            <w:tcBorders>
              <w:top w:val="single" w:sz="12" w:space="0" w:color="auto"/>
            </w:tcBorders>
            <w:shd w:val="clear" w:color="auto" w:fill="auto"/>
            <w:vAlign w:val="bottom"/>
            <w:hideMark/>
          </w:tcPr>
          <w:p w14:paraId="646F859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109,2</w:t>
            </w:r>
          </w:p>
        </w:tc>
        <w:tc>
          <w:tcPr>
            <w:tcW w:w="772" w:type="dxa"/>
            <w:tcBorders>
              <w:top w:val="single" w:sz="12" w:space="0" w:color="auto"/>
            </w:tcBorders>
            <w:shd w:val="clear" w:color="auto" w:fill="auto"/>
            <w:vAlign w:val="bottom"/>
          </w:tcPr>
          <w:p w14:paraId="2564841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110,0</w:t>
            </w:r>
          </w:p>
        </w:tc>
        <w:tc>
          <w:tcPr>
            <w:tcW w:w="785" w:type="dxa"/>
            <w:tcBorders>
              <w:top w:val="single" w:sz="12" w:space="0" w:color="auto"/>
            </w:tcBorders>
            <w:shd w:val="clear" w:color="auto" w:fill="auto"/>
            <w:vAlign w:val="bottom"/>
          </w:tcPr>
          <w:p w14:paraId="1C2B38F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111,2</w:t>
            </w:r>
          </w:p>
        </w:tc>
      </w:tr>
      <w:tr w:rsidR="004253D3" w:rsidRPr="00684CF8" w14:paraId="3F7EF0C9" w14:textId="77777777" w:rsidTr="004253D3">
        <w:tc>
          <w:tcPr>
            <w:tcW w:w="430" w:type="dxa"/>
            <w:shd w:val="clear" w:color="auto" w:fill="auto"/>
            <w:hideMark/>
          </w:tcPr>
          <w:p w14:paraId="3B02C43C"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01</w:t>
            </w:r>
          </w:p>
        </w:tc>
        <w:tc>
          <w:tcPr>
            <w:tcW w:w="762" w:type="dxa"/>
            <w:shd w:val="clear" w:color="auto" w:fill="auto"/>
            <w:vAlign w:val="bottom"/>
            <w:hideMark/>
          </w:tcPr>
          <w:p w14:paraId="742EF44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485D663C"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106,3</w:t>
            </w:r>
          </w:p>
        </w:tc>
        <w:tc>
          <w:tcPr>
            <w:tcW w:w="770" w:type="dxa"/>
            <w:shd w:val="clear" w:color="auto" w:fill="auto"/>
            <w:vAlign w:val="bottom"/>
            <w:hideMark/>
          </w:tcPr>
          <w:p w14:paraId="4227F91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111,8</w:t>
            </w:r>
          </w:p>
        </w:tc>
        <w:tc>
          <w:tcPr>
            <w:tcW w:w="771" w:type="dxa"/>
            <w:shd w:val="clear" w:color="auto" w:fill="auto"/>
            <w:vAlign w:val="bottom"/>
            <w:hideMark/>
          </w:tcPr>
          <w:p w14:paraId="128CCE44"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117,7</w:t>
            </w:r>
          </w:p>
        </w:tc>
        <w:tc>
          <w:tcPr>
            <w:tcW w:w="770" w:type="dxa"/>
            <w:shd w:val="clear" w:color="auto" w:fill="auto"/>
            <w:vAlign w:val="bottom"/>
            <w:hideMark/>
          </w:tcPr>
          <w:p w14:paraId="3ED1BC6D"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117,9</w:t>
            </w:r>
          </w:p>
        </w:tc>
        <w:tc>
          <w:tcPr>
            <w:tcW w:w="770" w:type="dxa"/>
            <w:shd w:val="clear" w:color="auto" w:fill="auto"/>
            <w:vAlign w:val="bottom"/>
            <w:hideMark/>
          </w:tcPr>
          <w:p w14:paraId="0F368482"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115,7</w:t>
            </w:r>
          </w:p>
        </w:tc>
        <w:tc>
          <w:tcPr>
            <w:tcW w:w="770" w:type="dxa"/>
            <w:shd w:val="clear" w:color="auto" w:fill="auto"/>
            <w:vAlign w:val="bottom"/>
            <w:hideMark/>
          </w:tcPr>
          <w:p w14:paraId="398619B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114,4</w:t>
            </w:r>
          </w:p>
        </w:tc>
        <w:tc>
          <w:tcPr>
            <w:tcW w:w="772" w:type="dxa"/>
            <w:shd w:val="clear" w:color="auto" w:fill="auto"/>
            <w:vAlign w:val="bottom"/>
          </w:tcPr>
          <w:p w14:paraId="68953494"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113,3</w:t>
            </w:r>
          </w:p>
        </w:tc>
        <w:tc>
          <w:tcPr>
            <w:tcW w:w="785" w:type="dxa"/>
            <w:shd w:val="clear" w:color="auto" w:fill="auto"/>
            <w:vAlign w:val="bottom"/>
          </w:tcPr>
          <w:p w14:paraId="3F0F0D53"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115,5</w:t>
            </w:r>
          </w:p>
        </w:tc>
      </w:tr>
      <w:tr w:rsidR="004253D3" w:rsidRPr="00684CF8" w14:paraId="1739F8E4" w14:textId="77777777" w:rsidTr="004253D3">
        <w:tc>
          <w:tcPr>
            <w:tcW w:w="430" w:type="dxa"/>
            <w:shd w:val="clear" w:color="auto" w:fill="auto"/>
            <w:hideMark/>
          </w:tcPr>
          <w:p w14:paraId="03E81B60"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02</w:t>
            </w:r>
          </w:p>
        </w:tc>
        <w:tc>
          <w:tcPr>
            <w:tcW w:w="762" w:type="dxa"/>
            <w:shd w:val="clear" w:color="auto" w:fill="auto"/>
            <w:vAlign w:val="bottom"/>
            <w:hideMark/>
          </w:tcPr>
          <w:p w14:paraId="7A6EE8D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0BE8994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100,8</w:t>
            </w:r>
          </w:p>
        </w:tc>
        <w:tc>
          <w:tcPr>
            <w:tcW w:w="770" w:type="dxa"/>
            <w:shd w:val="clear" w:color="auto" w:fill="auto"/>
            <w:vAlign w:val="bottom"/>
            <w:hideMark/>
          </w:tcPr>
          <w:p w14:paraId="754D837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107,9</w:t>
            </w:r>
          </w:p>
        </w:tc>
        <w:tc>
          <w:tcPr>
            <w:tcW w:w="771" w:type="dxa"/>
            <w:shd w:val="clear" w:color="auto" w:fill="auto"/>
            <w:vAlign w:val="bottom"/>
            <w:hideMark/>
          </w:tcPr>
          <w:p w14:paraId="39B99FC2"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110,3</w:t>
            </w:r>
          </w:p>
        </w:tc>
        <w:tc>
          <w:tcPr>
            <w:tcW w:w="770" w:type="dxa"/>
            <w:shd w:val="clear" w:color="auto" w:fill="auto"/>
            <w:vAlign w:val="bottom"/>
            <w:hideMark/>
          </w:tcPr>
          <w:p w14:paraId="2132B76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114,6</w:t>
            </w:r>
          </w:p>
        </w:tc>
        <w:tc>
          <w:tcPr>
            <w:tcW w:w="770" w:type="dxa"/>
            <w:shd w:val="clear" w:color="auto" w:fill="auto"/>
            <w:vAlign w:val="bottom"/>
            <w:hideMark/>
          </w:tcPr>
          <w:p w14:paraId="31B2FA22"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116,0</w:t>
            </w:r>
          </w:p>
        </w:tc>
        <w:tc>
          <w:tcPr>
            <w:tcW w:w="770" w:type="dxa"/>
            <w:shd w:val="clear" w:color="auto" w:fill="auto"/>
            <w:vAlign w:val="bottom"/>
            <w:hideMark/>
          </w:tcPr>
          <w:p w14:paraId="3A32ACAA"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117,2</w:t>
            </w:r>
          </w:p>
        </w:tc>
        <w:tc>
          <w:tcPr>
            <w:tcW w:w="772" w:type="dxa"/>
            <w:shd w:val="clear" w:color="auto" w:fill="auto"/>
            <w:vAlign w:val="bottom"/>
          </w:tcPr>
          <w:p w14:paraId="4516C61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120,7</w:t>
            </w:r>
          </w:p>
        </w:tc>
        <w:tc>
          <w:tcPr>
            <w:tcW w:w="785" w:type="dxa"/>
            <w:shd w:val="clear" w:color="auto" w:fill="auto"/>
            <w:vAlign w:val="bottom"/>
          </w:tcPr>
          <w:p w14:paraId="15B9E2A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128,2</w:t>
            </w:r>
          </w:p>
        </w:tc>
      </w:tr>
      <w:tr w:rsidR="004253D3" w:rsidRPr="00684CF8" w14:paraId="284B25C3" w14:textId="77777777" w:rsidTr="004253D3">
        <w:tc>
          <w:tcPr>
            <w:tcW w:w="430" w:type="dxa"/>
            <w:shd w:val="clear" w:color="auto" w:fill="auto"/>
            <w:hideMark/>
          </w:tcPr>
          <w:p w14:paraId="260E07D7"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03</w:t>
            </w:r>
          </w:p>
        </w:tc>
        <w:tc>
          <w:tcPr>
            <w:tcW w:w="762" w:type="dxa"/>
            <w:shd w:val="clear" w:color="auto" w:fill="auto"/>
            <w:vAlign w:val="bottom"/>
            <w:hideMark/>
          </w:tcPr>
          <w:p w14:paraId="034F81C0"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1C31508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101,2</w:t>
            </w:r>
          </w:p>
        </w:tc>
        <w:tc>
          <w:tcPr>
            <w:tcW w:w="770" w:type="dxa"/>
            <w:shd w:val="clear" w:color="auto" w:fill="auto"/>
            <w:vAlign w:val="bottom"/>
            <w:hideMark/>
          </w:tcPr>
          <w:p w14:paraId="2AEB4A93"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103,9</w:t>
            </w:r>
          </w:p>
        </w:tc>
        <w:tc>
          <w:tcPr>
            <w:tcW w:w="771" w:type="dxa"/>
            <w:shd w:val="clear" w:color="auto" w:fill="auto"/>
            <w:vAlign w:val="bottom"/>
            <w:hideMark/>
          </w:tcPr>
          <w:p w14:paraId="1F98B9BA"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102,6</w:t>
            </w:r>
          </w:p>
        </w:tc>
        <w:tc>
          <w:tcPr>
            <w:tcW w:w="770" w:type="dxa"/>
            <w:shd w:val="clear" w:color="auto" w:fill="auto"/>
            <w:vAlign w:val="bottom"/>
            <w:hideMark/>
          </w:tcPr>
          <w:p w14:paraId="4119E39F"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102,2</w:t>
            </w:r>
          </w:p>
        </w:tc>
        <w:tc>
          <w:tcPr>
            <w:tcW w:w="770" w:type="dxa"/>
            <w:shd w:val="clear" w:color="auto" w:fill="auto"/>
            <w:vAlign w:val="bottom"/>
            <w:hideMark/>
          </w:tcPr>
          <w:p w14:paraId="193E167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102,8</w:t>
            </w:r>
          </w:p>
        </w:tc>
        <w:tc>
          <w:tcPr>
            <w:tcW w:w="770" w:type="dxa"/>
            <w:shd w:val="clear" w:color="auto" w:fill="auto"/>
            <w:vAlign w:val="bottom"/>
            <w:hideMark/>
          </w:tcPr>
          <w:p w14:paraId="7DEFB20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102,1</w:t>
            </w:r>
          </w:p>
        </w:tc>
        <w:tc>
          <w:tcPr>
            <w:tcW w:w="772" w:type="dxa"/>
            <w:shd w:val="clear" w:color="auto" w:fill="auto"/>
            <w:vAlign w:val="bottom"/>
          </w:tcPr>
          <w:p w14:paraId="6F8ECE73"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100,9</w:t>
            </w:r>
          </w:p>
        </w:tc>
        <w:tc>
          <w:tcPr>
            <w:tcW w:w="785" w:type="dxa"/>
            <w:shd w:val="clear" w:color="auto" w:fill="auto"/>
            <w:vAlign w:val="bottom"/>
          </w:tcPr>
          <w:p w14:paraId="54930C4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99,7</w:t>
            </w:r>
          </w:p>
        </w:tc>
      </w:tr>
      <w:tr w:rsidR="004253D3" w:rsidRPr="00684CF8" w14:paraId="20D5E81D" w14:textId="77777777" w:rsidTr="004253D3">
        <w:tc>
          <w:tcPr>
            <w:tcW w:w="430" w:type="dxa"/>
            <w:shd w:val="clear" w:color="auto" w:fill="auto"/>
            <w:hideMark/>
          </w:tcPr>
          <w:p w14:paraId="65F46A20"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04</w:t>
            </w:r>
          </w:p>
        </w:tc>
        <w:tc>
          <w:tcPr>
            <w:tcW w:w="762" w:type="dxa"/>
            <w:shd w:val="clear" w:color="auto" w:fill="auto"/>
            <w:vAlign w:val="bottom"/>
            <w:hideMark/>
          </w:tcPr>
          <w:p w14:paraId="6C9847F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290E59C7"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106,3</w:t>
            </w:r>
          </w:p>
        </w:tc>
        <w:tc>
          <w:tcPr>
            <w:tcW w:w="770" w:type="dxa"/>
            <w:shd w:val="clear" w:color="auto" w:fill="auto"/>
            <w:vAlign w:val="bottom"/>
            <w:hideMark/>
          </w:tcPr>
          <w:p w14:paraId="2696E8D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108,1</w:t>
            </w:r>
          </w:p>
        </w:tc>
        <w:tc>
          <w:tcPr>
            <w:tcW w:w="771" w:type="dxa"/>
            <w:shd w:val="clear" w:color="auto" w:fill="auto"/>
            <w:vAlign w:val="bottom"/>
            <w:hideMark/>
          </w:tcPr>
          <w:p w14:paraId="066FF0E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108,5</w:t>
            </w:r>
          </w:p>
        </w:tc>
        <w:tc>
          <w:tcPr>
            <w:tcW w:w="770" w:type="dxa"/>
            <w:shd w:val="clear" w:color="auto" w:fill="auto"/>
            <w:vAlign w:val="bottom"/>
            <w:hideMark/>
          </w:tcPr>
          <w:p w14:paraId="0F7A85FF"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109,8</w:t>
            </w:r>
          </w:p>
        </w:tc>
        <w:tc>
          <w:tcPr>
            <w:tcW w:w="770" w:type="dxa"/>
            <w:shd w:val="clear" w:color="auto" w:fill="auto"/>
            <w:vAlign w:val="bottom"/>
            <w:hideMark/>
          </w:tcPr>
          <w:p w14:paraId="6A734F9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110,7</w:t>
            </w:r>
          </w:p>
        </w:tc>
        <w:tc>
          <w:tcPr>
            <w:tcW w:w="770" w:type="dxa"/>
            <w:shd w:val="clear" w:color="auto" w:fill="auto"/>
            <w:vAlign w:val="bottom"/>
            <w:hideMark/>
          </w:tcPr>
          <w:p w14:paraId="64C055E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111,3</w:t>
            </w:r>
          </w:p>
        </w:tc>
        <w:tc>
          <w:tcPr>
            <w:tcW w:w="772" w:type="dxa"/>
            <w:shd w:val="clear" w:color="auto" w:fill="auto"/>
            <w:vAlign w:val="bottom"/>
          </w:tcPr>
          <w:p w14:paraId="41AC4BC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112,8</w:t>
            </w:r>
          </w:p>
        </w:tc>
        <w:tc>
          <w:tcPr>
            <w:tcW w:w="785" w:type="dxa"/>
            <w:shd w:val="clear" w:color="auto" w:fill="auto"/>
            <w:vAlign w:val="bottom"/>
          </w:tcPr>
          <w:p w14:paraId="09E49287"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114,5</w:t>
            </w:r>
          </w:p>
        </w:tc>
      </w:tr>
      <w:tr w:rsidR="004253D3" w:rsidRPr="00684CF8" w14:paraId="193FFD18" w14:textId="77777777" w:rsidTr="004253D3">
        <w:tc>
          <w:tcPr>
            <w:tcW w:w="430" w:type="dxa"/>
            <w:shd w:val="clear" w:color="auto" w:fill="auto"/>
            <w:hideMark/>
          </w:tcPr>
          <w:p w14:paraId="4936544F"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05</w:t>
            </w:r>
          </w:p>
        </w:tc>
        <w:tc>
          <w:tcPr>
            <w:tcW w:w="762" w:type="dxa"/>
            <w:shd w:val="clear" w:color="auto" w:fill="auto"/>
            <w:vAlign w:val="bottom"/>
            <w:hideMark/>
          </w:tcPr>
          <w:p w14:paraId="444D483F"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63D961CA"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102,3</w:t>
            </w:r>
          </w:p>
        </w:tc>
        <w:tc>
          <w:tcPr>
            <w:tcW w:w="770" w:type="dxa"/>
            <w:shd w:val="clear" w:color="auto" w:fill="auto"/>
            <w:vAlign w:val="bottom"/>
            <w:hideMark/>
          </w:tcPr>
          <w:p w14:paraId="2589787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103,9</w:t>
            </w:r>
          </w:p>
        </w:tc>
        <w:tc>
          <w:tcPr>
            <w:tcW w:w="771" w:type="dxa"/>
            <w:shd w:val="clear" w:color="auto" w:fill="auto"/>
            <w:vAlign w:val="bottom"/>
            <w:hideMark/>
          </w:tcPr>
          <w:p w14:paraId="25DF77A0"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105,4</w:t>
            </w:r>
          </w:p>
        </w:tc>
        <w:tc>
          <w:tcPr>
            <w:tcW w:w="770" w:type="dxa"/>
            <w:shd w:val="clear" w:color="auto" w:fill="auto"/>
            <w:vAlign w:val="bottom"/>
            <w:hideMark/>
          </w:tcPr>
          <w:p w14:paraId="08FCFB6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106,0</w:t>
            </w:r>
          </w:p>
        </w:tc>
        <w:tc>
          <w:tcPr>
            <w:tcW w:w="770" w:type="dxa"/>
            <w:shd w:val="clear" w:color="auto" w:fill="auto"/>
            <w:vAlign w:val="bottom"/>
            <w:hideMark/>
          </w:tcPr>
          <w:p w14:paraId="6C45AD27"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105,7</w:t>
            </w:r>
          </w:p>
        </w:tc>
        <w:tc>
          <w:tcPr>
            <w:tcW w:w="770" w:type="dxa"/>
            <w:shd w:val="clear" w:color="auto" w:fill="auto"/>
            <w:vAlign w:val="bottom"/>
            <w:hideMark/>
          </w:tcPr>
          <w:p w14:paraId="4810B258"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105,3</w:t>
            </w:r>
          </w:p>
        </w:tc>
        <w:tc>
          <w:tcPr>
            <w:tcW w:w="772" w:type="dxa"/>
            <w:shd w:val="clear" w:color="auto" w:fill="auto"/>
            <w:vAlign w:val="bottom"/>
          </w:tcPr>
          <w:p w14:paraId="4396B98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105,1</w:t>
            </w:r>
          </w:p>
        </w:tc>
        <w:tc>
          <w:tcPr>
            <w:tcW w:w="785" w:type="dxa"/>
            <w:shd w:val="clear" w:color="auto" w:fill="auto"/>
            <w:vAlign w:val="bottom"/>
          </w:tcPr>
          <w:p w14:paraId="0857540C"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104,2</w:t>
            </w:r>
          </w:p>
        </w:tc>
      </w:tr>
      <w:tr w:rsidR="004253D3" w:rsidRPr="00684CF8" w14:paraId="1CF4421F" w14:textId="77777777" w:rsidTr="004253D3">
        <w:tc>
          <w:tcPr>
            <w:tcW w:w="430" w:type="dxa"/>
            <w:shd w:val="clear" w:color="auto" w:fill="auto"/>
            <w:hideMark/>
          </w:tcPr>
          <w:p w14:paraId="46DD460E"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06</w:t>
            </w:r>
          </w:p>
        </w:tc>
        <w:tc>
          <w:tcPr>
            <w:tcW w:w="762" w:type="dxa"/>
            <w:shd w:val="clear" w:color="auto" w:fill="auto"/>
            <w:vAlign w:val="bottom"/>
            <w:hideMark/>
          </w:tcPr>
          <w:p w14:paraId="31D553BD"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5FFA4C87"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100,7</w:t>
            </w:r>
          </w:p>
        </w:tc>
        <w:tc>
          <w:tcPr>
            <w:tcW w:w="770" w:type="dxa"/>
            <w:shd w:val="clear" w:color="auto" w:fill="auto"/>
            <w:vAlign w:val="bottom"/>
            <w:hideMark/>
          </w:tcPr>
          <w:p w14:paraId="2056D334"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101,1</w:t>
            </w:r>
          </w:p>
        </w:tc>
        <w:tc>
          <w:tcPr>
            <w:tcW w:w="771" w:type="dxa"/>
            <w:shd w:val="clear" w:color="auto" w:fill="auto"/>
            <w:vAlign w:val="bottom"/>
            <w:hideMark/>
          </w:tcPr>
          <w:p w14:paraId="3DF1248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102,9</w:t>
            </w:r>
          </w:p>
        </w:tc>
        <w:tc>
          <w:tcPr>
            <w:tcW w:w="770" w:type="dxa"/>
            <w:shd w:val="clear" w:color="auto" w:fill="auto"/>
            <w:vAlign w:val="bottom"/>
            <w:hideMark/>
          </w:tcPr>
          <w:p w14:paraId="6713BA3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106,0</w:t>
            </w:r>
          </w:p>
        </w:tc>
        <w:tc>
          <w:tcPr>
            <w:tcW w:w="770" w:type="dxa"/>
            <w:shd w:val="clear" w:color="auto" w:fill="auto"/>
            <w:vAlign w:val="bottom"/>
            <w:hideMark/>
          </w:tcPr>
          <w:p w14:paraId="7ADCBCE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109,3</w:t>
            </w:r>
          </w:p>
        </w:tc>
        <w:tc>
          <w:tcPr>
            <w:tcW w:w="770" w:type="dxa"/>
            <w:shd w:val="clear" w:color="auto" w:fill="auto"/>
            <w:vAlign w:val="bottom"/>
            <w:hideMark/>
          </w:tcPr>
          <w:p w14:paraId="0146F43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116,8</w:t>
            </w:r>
          </w:p>
        </w:tc>
        <w:tc>
          <w:tcPr>
            <w:tcW w:w="772" w:type="dxa"/>
            <w:shd w:val="clear" w:color="auto" w:fill="auto"/>
            <w:vAlign w:val="bottom"/>
          </w:tcPr>
          <w:p w14:paraId="1A13617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118,8</w:t>
            </w:r>
          </w:p>
        </w:tc>
        <w:tc>
          <w:tcPr>
            <w:tcW w:w="785" w:type="dxa"/>
            <w:shd w:val="clear" w:color="auto" w:fill="auto"/>
            <w:vAlign w:val="bottom"/>
          </w:tcPr>
          <w:p w14:paraId="748E94ED"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120,2</w:t>
            </w:r>
          </w:p>
        </w:tc>
      </w:tr>
      <w:tr w:rsidR="004253D3" w:rsidRPr="00684CF8" w14:paraId="19D38D0E" w14:textId="77777777" w:rsidTr="004253D3">
        <w:tc>
          <w:tcPr>
            <w:tcW w:w="430" w:type="dxa"/>
            <w:shd w:val="clear" w:color="auto" w:fill="auto"/>
            <w:hideMark/>
          </w:tcPr>
          <w:p w14:paraId="61995E6D"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07</w:t>
            </w:r>
          </w:p>
        </w:tc>
        <w:tc>
          <w:tcPr>
            <w:tcW w:w="762" w:type="dxa"/>
            <w:shd w:val="clear" w:color="auto" w:fill="auto"/>
            <w:vAlign w:val="bottom"/>
            <w:hideMark/>
          </w:tcPr>
          <w:p w14:paraId="53C85A28"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4837933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103,9</w:t>
            </w:r>
          </w:p>
        </w:tc>
        <w:tc>
          <w:tcPr>
            <w:tcW w:w="770" w:type="dxa"/>
            <w:shd w:val="clear" w:color="auto" w:fill="auto"/>
            <w:vAlign w:val="bottom"/>
            <w:hideMark/>
          </w:tcPr>
          <w:p w14:paraId="171760ED"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108,6</w:t>
            </w:r>
          </w:p>
        </w:tc>
        <w:tc>
          <w:tcPr>
            <w:tcW w:w="771" w:type="dxa"/>
            <w:shd w:val="clear" w:color="auto" w:fill="auto"/>
            <w:vAlign w:val="bottom"/>
            <w:hideMark/>
          </w:tcPr>
          <w:p w14:paraId="76EE238F"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110,0</w:t>
            </w:r>
          </w:p>
        </w:tc>
        <w:tc>
          <w:tcPr>
            <w:tcW w:w="770" w:type="dxa"/>
            <w:shd w:val="clear" w:color="auto" w:fill="auto"/>
            <w:vAlign w:val="bottom"/>
            <w:hideMark/>
          </w:tcPr>
          <w:p w14:paraId="28D71F62"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109,2</w:t>
            </w:r>
          </w:p>
        </w:tc>
        <w:tc>
          <w:tcPr>
            <w:tcW w:w="770" w:type="dxa"/>
            <w:shd w:val="clear" w:color="auto" w:fill="auto"/>
            <w:vAlign w:val="bottom"/>
            <w:hideMark/>
          </w:tcPr>
          <w:p w14:paraId="5FDBC4F2"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107,1</w:t>
            </w:r>
          </w:p>
        </w:tc>
        <w:tc>
          <w:tcPr>
            <w:tcW w:w="770" w:type="dxa"/>
            <w:shd w:val="clear" w:color="auto" w:fill="auto"/>
            <w:vAlign w:val="bottom"/>
            <w:hideMark/>
          </w:tcPr>
          <w:p w14:paraId="0D1F69A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106,9</w:t>
            </w:r>
          </w:p>
        </w:tc>
        <w:tc>
          <w:tcPr>
            <w:tcW w:w="772" w:type="dxa"/>
            <w:shd w:val="clear" w:color="auto" w:fill="auto"/>
            <w:vAlign w:val="bottom"/>
          </w:tcPr>
          <w:p w14:paraId="0925218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109,7</w:t>
            </w:r>
          </w:p>
        </w:tc>
        <w:tc>
          <w:tcPr>
            <w:tcW w:w="785" w:type="dxa"/>
            <w:shd w:val="clear" w:color="auto" w:fill="auto"/>
            <w:vAlign w:val="bottom"/>
          </w:tcPr>
          <w:p w14:paraId="70842D87"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110,6</w:t>
            </w:r>
          </w:p>
        </w:tc>
      </w:tr>
      <w:tr w:rsidR="004253D3" w:rsidRPr="00684CF8" w14:paraId="06BB7B10" w14:textId="77777777" w:rsidTr="004253D3">
        <w:tc>
          <w:tcPr>
            <w:tcW w:w="430" w:type="dxa"/>
            <w:shd w:val="clear" w:color="auto" w:fill="auto"/>
            <w:hideMark/>
          </w:tcPr>
          <w:p w14:paraId="63D7130C"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08</w:t>
            </w:r>
          </w:p>
        </w:tc>
        <w:tc>
          <w:tcPr>
            <w:tcW w:w="762" w:type="dxa"/>
            <w:shd w:val="clear" w:color="auto" w:fill="auto"/>
            <w:vAlign w:val="bottom"/>
            <w:hideMark/>
          </w:tcPr>
          <w:p w14:paraId="4D029FB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78B5AF4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98,0</w:t>
            </w:r>
          </w:p>
        </w:tc>
        <w:tc>
          <w:tcPr>
            <w:tcW w:w="770" w:type="dxa"/>
            <w:shd w:val="clear" w:color="auto" w:fill="auto"/>
            <w:vAlign w:val="bottom"/>
            <w:hideMark/>
          </w:tcPr>
          <w:p w14:paraId="6D113BE8"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91,7</w:t>
            </w:r>
          </w:p>
        </w:tc>
        <w:tc>
          <w:tcPr>
            <w:tcW w:w="771" w:type="dxa"/>
            <w:shd w:val="clear" w:color="auto" w:fill="auto"/>
            <w:vAlign w:val="bottom"/>
            <w:hideMark/>
          </w:tcPr>
          <w:p w14:paraId="493437A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85,6</w:t>
            </w:r>
          </w:p>
        </w:tc>
        <w:tc>
          <w:tcPr>
            <w:tcW w:w="770" w:type="dxa"/>
            <w:shd w:val="clear" w:color="auto" w:fill="auto"/>
            <w:vAlign w:val="bottom"/>
            <w:hideMark/>
          </w:tcPr>
          <w:p w14:paraId="7348E68C"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86,8</w:t>
            </w:r>
          </w:p>
        </w:tc>
        <w:tc>
          <w:tcPr>
            <w:tcW w:w="770" w:type="dxa"/>
            <w:shd w:val="clear" w:color="auto" w:fill="auto"/>
            <w:vAlign w:val="bottom"/>
            <w:hideMark/>
          </w:tcPr>
          <w:p w14:paraId="4EC18EF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83,1</w:t>
            </w:r>
          </w:p>
        </w:tc>
        <w:tc>
          <w:tcPr>
            <w:tcW w:w="770" w:type="dxa"/>
            <w:shd w:val="clear" w:color="auto" w:fill="auto"/>
            <w:vAlign w:val="bottom"/>
            <w:hideMark/>
          </w:tcPr>
          <w:p w14:paraId="7297126A"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83,8</w:t>
            </w:r>
          </w:p>
        </w:tc>
        <w:tc>
          <w:tcPr>
            <w:tcW w:w="772" w:type="dxa"/>
            <w:shd w:val="clear" w:color="auto" w:fill="auto"/>
            <w:vAlign w:val="bottom"/>
          </w:tcPr>
          <w:p w14:paraId="28AA678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82,4</w:t>
            </w:r>
          </w:p>
        </w:tc>
        <w:tc>
          <w:tcPr>
            <w:tcW w:w="785" w:type="dxa"/>
            <w:shd w:val="clear" w:color="auto" w:fill="auto"/>
            <w:vAlign w:val="bottom"/>
          </w:tcPr>
          <w:p w14:paraId="2C52FCDD"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80,3</w:t>
            </w:r>
          </w:p>
        </w:tc>
      </w:tr>
      <w:tr w:rsidR="004253D3" w:rsidRPr="00684CF8" w14:paraId="4134705E" w14:textId="77777777" w:rsidTr="004253D3">
        <w:tc>
          <w:tcPr>
            <w:tcW w:w="430" w:type="dxa"/>
            <w:shd w:val="clear" w:color="auto" w:fill="auto"/>
            <w:hideMark/>
          </w:tcPr>
          <w:p w14:paraId="616CC0F2"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09</w:t>
            </w:r>
          </w:p>
        </w:tc>
        <w:tc>
          <w:tcPr>
            <w:tcW w:w="762" w:type="dxa"/>
            <w:shd w:val="clear" w:color="auto" w:fill="auto"/>
            <w:vAlign w:val="bottom"/>
            <w:hideMark/>
          </w:tcPr>
          <w:p w14:paraId="2432DD3B"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4E5DE7B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99,7</w:t>
            </w:r>
          </w:p>
        </w:tc>
        <w:tc>
          <w:tcPr>
            <w:tcW w:w="770" w:type="dxa"/>
            <w:shd w:val="clear" w:color="auto" w:fill="auto"/>
            <w:vAlign w:val="bottom"/>
            <w:hideMark/>
          </w:tcPr>
          <w:p w14:paraId="038E412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100,2</w:t>
            </w:r>
          </w:p>
        </w:tc>
        <w:tc>
          <w:tcPr>
            <w:tcW w:w="771" w:type="dxa"/>
            <w:shd w:val="clear" w:color="auto" w:fill="auto"/>
            <w:vAlign w:val="bottom"/>
            <w:hideMark/>
          </w:tcPr>
          <w:p w14:paraId="036726F4"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100,8</w:t>
            </w:r>
          </w:p>
        </w:tc>
        <w:tc>
          <w:tcPr>
            <w:tcW w:w="770" w:type="dxa"/>
            <w:shd w:val="clear" w:color="auto" w:fill="auto"/>
            <w:vAlign w:val="bottom"/>
            <w:hideMark/>
          </w:tcPr>
          <w:p w14:paraId="274E1CAF"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101,5</w:t>
            </w:r>
          </w:p>
        </w:tc>
        <w:tc>
          <w:tcPr>
            <w:tcW w:w="770" w:type="dxa"/>
            <w:shd w:val="clear" w:color="auto" w:fill="auto"/>
            <w:vAlign w:val="bottom"/>
            <w:hideMark/>
          </w:tcPr>
          <w:p w14:paraId="7AAF285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100,2</w:t>
            </w:r>
          </w:p>
        </w:tc>
        <w:tc>
          <w:tcPr>
            <w:tcW w:w="770" w:type="dxa"/>
            <w:shd w:val="clear" w:color="auto" w:fill="auto"/>
            <w:vAlign w:val="bottom"/>
            <w:hideMark/>
          </w:tcPr>
          <w:p w14:paraId="2CAB3F03"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99,6</w:t>
            </w:r>
          </w:p>
        </w:tc>
        <w:tc>
          <w:tcPr>
            <w:tcW w:w="772" w:type="dxa"/>
            <w:shd w:val="clear" w:color="auto" w:fill="auto"/>
            <w:vAlign w:val="bottom"/>
          </w:tcPr>
          <w:p w14:paraId="409D32ED"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98,9</w:t>
            </w:r>
          </w:p>
        </w:tc>
        <w:tc>
          <w:tcPr>
            <w:tcW w:w="785" w:type="dxa"/>
            <w:shd w:val="clear" w:color="auto" w:fill="auto"/>
            <w:vAlign w:val="bottom"/>
          </w:tcPr>
          <w:p w14:paraId="69B789F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98,9</w:t>
            </w:r>
          </w:p>
        </w:tc>
      </w:tr>
      <w:tr w:rsidR="004253D3" w:rsidRPr="00684CF8" w14:paraId="13DAEA29" w14:textId="77777777" w:rsidTr="004253D3">
        <w:tc>
          <w:tcPr>
            <w:tcW w:w="430" w:type="dxa"/>
            <w:shd w:val="clear" w:color="auto" w:fill="auto"/>
            <w:hideMark/>
          </w:tcPr>
          <w:p w14:paraId="13C7A35D" w14:textId="77777777" w:rsidR="004253D3" w:rsidRPr="00684CF8" w:rsidRDefault="004253D3" w:rsidP="004253D3">
            <w:pPr>
              <w:keepNext/>
              <w:suppressAutoHyphens w:val="0"/>
              <w:spacing w:before="40" w:after="40" w:line="220" w:lineRule="exact"/>
              <w:rPr>
                <w:rFonts w:cs="Times New Roman"/>
                <w:sz w:val="18"/>
              </w:rPr>
            </w:pPr>
            <w:r w:rsidRPr="00684CF8">
              <w:rPr>
                <w:rFonts w:cs="Times New Roman"/>
                <w:sz w:val="18"/>
              </w:rPr>
              <w:lastRenderedPageBreak/>
              <w:t>10</w:t>
            </w:r>
          </w:p>
        </w:tc>
        <w:tc>
          <w:tcPr>
            <w:tcW w:w="762" w:type="dxa"/>
            <w:shd w:val="clear" w:color="auto" w:fill="auto"/>
            <w:vAlign w:val="bottom"/>
            <w:hideMark/>
          </w:tcPr>
          <w:p w14:paraId="6CD2D8C3"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6FD29098"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103,2</w:t>
            </w:r>
          </w:p>
        </w:tc>
        <w:tc>
          <w:tcPr>
            <w:tcW w:w="770" w:type="dxa"/>
            <w:shd w:val="clear" w:color="auto" w:fill="auto"/>
            <w:vAlign w:val="bottom"/>
            <w:hideMark/>
          </w:tcPr>
          <w:p w14:paraId="7C021CD0"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105,0</w:t>
            </w:r>
          </w:p>
        </w:tc>
        <w:tc>
          <w:tcPr>
            <w:tcW w:w="771" w:type="dxa"/>
            <w:shd w:val="clear" w:color="auto" w:fill="auto"/>
            <w:vAlign w:val="bottom"/>
            <w:hideMark/>
          </w:tcPr>
          <w:p w14:paraId="781852AB"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107,9</w:t>
            </w:r>
          </w:p>
        </w:tc>
        <w:tc>
          <w:tcPr>
            <w:tcW w:w="770" w:type="dxa"/>
            <w:shd w:val="clear" w:color="auto" w:fill="auto"/>
            <w:vAlign w:val="bottom"/>
            <w:hideMark/>
          </w:tcPr>
          <w:p w14:paraId="582854BE"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114,2</w:t>
            </w:r>
          </w:p>
        </w:tc>
        <w:tc>
          <w:tcPr>
            <w:tcW w:w="770" w:type="dxa"/>
            <w:shd w:val="clear" w:color="auto" w:fill="auto"/>
            <w:vAlign w:val="bottom"/>
            <w:hideMark/>
          </w:tcPr>
          <w:p w14:paraId="1E47E926"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113,1</w:t>
            </w:r>
          </w:p>
        </w:tc>
        <w:tc>
          <w:tcPr>
            <w:tcW w:w="770" w:type="dxa"/>
            <w:shd w:val="clear" w:color="auto" w:fill="auto"/>
            <w:vAlign w:val="bottom"/>
            <w:hideMark/>
          </w:tcPr>
          <w:p w14:paraId="47C80E67"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115,7</w:t>
            </w:r>
          </w:p>
        </w:tc>
        <w:tc>
          <w:tcPr>
            <w:tcW w:w="772" w:type="dxa"/>
            <w:shd w:val="clear" w:color="auto" w:fill="auto"/>
            <w:vAlign w:val="bottom"/>
          </w:tcPr>
          <w:p w14:paraId="60DD56B7"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117,6</w:t>
            </w:r>
          </w:p>
        </w:tc>
        <w:tc>
          <w:tcPr>
            <w:tcW w:w="785" w:type="dxa"/>
            <w:shd w:val="clear" w:color="auto" w:fill="auto"/>
            <w:vAlign w:val="bottom"/>
          </w:tcPr>
          <w:p w14:paraId="26548765" w14:textId="77777777" w:rsidR="004253D3" w:rsidRPr="00684CF8" w:rsidRDefault="004253D3" w:rsidP="004253D3">
            <w:pPr>
              <w:keepNext/>
              <w:suppressAutoHyphens w:val="0"/>
              <w:spacing w:before="40" w:after="40" w:line="220" w:lineRule="exact"/>
              <w:jc w:val="right"/>
              <w:rPr>
                <w:rFonts w:cs="Times New Roman"/>
                <w:sz w:val="18"/>
              </w:rPr>
            </w:pPr>
            <w:r w:rsidRPr="00684CF8">
              <w:rPr>
                <w:rFonts w:cs="Times New Roman"/>
                <w:sz w:val="18"/>
              </w:rPr>
              <w:t>119,3</w:t>
            </w:r>
          </w:p>
        </w:tc>
      </w:tr>
      <w:tr w:rsidR="004253D3" w:rsidRPr="00684CF8" w14:paraId="2883091B" w14:textId="77777777" w:rsidTr="004253D3">
        <w:tc>
          <w:tcPr>
            <w:tcW w:w="430" w:type="dxa"/>
            <w:shd w:val="clear" w:color="auto" w:fill="auto"/>
            <w:hideMark/>
          </w:tcPr>
          <w:p w14:paraId="5055F0C6"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11</w:t>
            </w:r>
          </w:p>
        </w:tc>
        <w:tc>
          <w:tcPr>
            <w:tcW w:w="762" w:type="dxa"/>
            <w:shd w:val="clear" w:color="auto" w:fill="auto"/>
            <w:vAlign w:val="bottom"/>
            <w:hideMark/>
          </w:tcPr>
          <w:p w14:paraId="0C02B98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shd w:val="clear" w:color="auto" w:fill="auto"/>
            <w:vAlign w:val="bottom"/>
            <w:hideMark/>
          </w:tcPr>
          <w:p w14:paraId="5F93D1C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102,5</w:t>
            </w:r>
          </w:p>
        </w:tc>
        <w:tc>
          <w:tcPr>
            <w:tcW w:w="770" w:type="dxa"/>
            <w:shd w:val="clear" w:color="auto" w:fill="auto"/>
            <w:vAlign w:val="bottom"/>
            <w:hideMark/>
          </w:tcPr>
          <w:p w14:paraId="44E3641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106,4</w:t>
            </w:r>
          </w:p>
        </w:tc>
        <w:tc>
          <w:tcPr>
            <w:tcW w:w="771" w:type="dxa"/>
            <w:shd w:val="clear" w:color="auto" w:fill="auto"/>
            <w:vAlign w:val="bottom"/>
            <w:hideMark/>
          </w:tcPr>
          <w:p w14:paraId="62835A9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111,1</w:t>
            </w:r>
          </w:p>
        </w:tc>
        <w:tc>
          <w:tcPr>
            <w:tcW w:w="770" w:type="dxa"/>
            <w:shd w:val="clear" w:color="auto" w:fill="auto"/>
            <w:vAlign w:val="bottom"/>
            <w:hideMark/>
          </w:tcPr>
          <w:p w14:paraId="643707FA"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113,8</w:t>
            </w:r>
          </w:p>
        </w:tc>
        <w:tc>
          <w:tcPr>
            <w:tcW w:w="770" w:type="dxa"/>
            <w:shd w:val="clear" w:color="auto" w:fill="auto"/>
            <w:vAlign w:val="bottom"/>
            <w:hideMark/>
          </w:tcPr>
          <w:p w14:paraId="2E39F9B5"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115,5</w:t>
            </w:r>
          </w:p>
        </w:tc>
        <w:tc>
          <w:tcPr>
            <w:tcW w:w="770" w:type="dxa"/>
            <w:shd w:val="clear" w:color="auto" w:fill="auto"/>
            <w:vAlign w:val="bottom"/>
            <w:hideMark/>
          </w:tcPr>
          <w:p w14:paraId="012D603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117,5</w:t>
            </w:r>
          </w:p>
        </w:tc>
        <w:tc>
          <w:tcPr>
            <w:tcW w:w="772" w:type="dxa"/>
            <w:shd w:val="clear" w:color="auto" w:fill="auto"/>
            <w:vAlign w:val="bottom"/>
          </w:tcPr>
          <w:p w14:paraId="44D0A7B9"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119,7</w:t>
            </w:r>
          </w:p>
        </w:tc>
        <w:tc>
          <w:tcPr>
            <w:tcW w:w="785" w:type="dxa"/>
            <w:shd w:val="clear" w:color="auto" w:fill="auto"/>
            <w:vAlign w:val="bottom"/>
          </w:tcPr>
          <w:p w14:paraId="13BF2F37"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122,5</w:t>
            </w:r>
          </w:p>
        </w:tc>
      </w:tr>
      <w:tr w:rsidR="004253D3" w:rsidRPr="00684CF8" w14:paraId="16DC194B" w14:textId="77777777" w:rsidTr="004253D3">
        <w:tc>
          <w:tcPr>
            <w:tcW w:w="430" w:type="dxa"/>
            <w:tcBorders>
              <w:bottom w:val="single" w:sz="12" w:space="0" w:color="auto"/>
            </w:tcBorders>
            <w:shd w:val="clear" w:color="auto" w:fill="auto"/>
            <w:hideMark/>
          </w:tcPr>
          <w:p w14:paraId="46010628" w14:textId="77777777" w:rsidR="004253D3" w:rsidRPr="00684CF8" w:rsidRDefault="004253D3" w:rsidP="004253D3">
            <w:pPr>
              <w:suppressAutoHyphens w:val="0"/>
              <w:spacing w:before="40" w:after="40" w:line="220" w:lineRule="exact"/>
              <w:rPr>
                <w:rFonts w:cs="Times New Roman"/>
                <w:sz w:val="18"/>
              </w:rPr>
            </w:pPr>
            <w:r w:rsidRPr="00684CF8">
              <w:rPr>
                <w:rFonts w:cs="Times New Roman"/>
                <w:sz w:val="18"/>
              </w:rPr>
              <w:t>12</w:t>
            </w:r>
          </w:p>
        </w:tc>
        <w:tc>
          <w:tcPr>
            <w:tcW w:w="762" w:type="dxa"/>
            <w:tcBorders>
              <w:bottom w:val="single" w:sz="12" w:space="0" w:color="auto"/>
            </w:tcBorders>
            <w:shd w:val="clear" w:color="auto" w:fill="auto"/>
            <w:vAlign w:val="bottom"/>
            <w:hideMark/>
          </w:tcPr>
          <w:p w14:paraId="305612F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100,0</w:t>
            </w:r>
          </w:p>
        </w:tc>
        <w:tc>
          <w:tcPr>
            <w:tcW w:w="770" w:type="dxa"/>
            <w:tcBorders>
              <w:bottom w:val="single" w:sz="12" w:space="0" w:color="auto"/>
            </w:tcBorders>
            <w:shd w:val="clear" w:color="auto" w:fill="auto"/>
            <w:vAlign w:val="bottom"/>
            <w:hideMark/>
          </w:tcPr>
          <w:p w14:paraId="71222674"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103,6</w:t>
            </w:r>
          </w:p>
        </w:tc>
        <w:tc>
          <w:tcPr>
            <w:tcW w:w="770" w:type="dxa"/>
            <w:tcBorders>
              <w:bottom w:val="single" w:sz="12" w:space="0" w:color="auto"/>
            </w:tcBorders>
            <w:shd w:val="clear" w:color="auto" w:fill="auto"/>
            <w:vAlign w:val="bottom"/>
            <w:hideMark/>
          </w:tcPr>
          <w:p w14:paraId="462A2E18"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107,8</w:t>
            </w:r>
          </w:p>
        </w:tc>
        <w:tc>
          <w:tcPr>
            <w:tcW w:w="771" w:type="dxa"/>
            <w:tcBorders>
              <w:bottom w:val="single" w:sz="12" w:space="0" w:color="auto"/>
            </w:tcBorders>
            <w:shd w:val="clear" w:color="auto" w:fill="auto"/>
            <w:vAlign w:val="bottom"/>
            <w:hideMark/>
          </w:tcPr>
          <w:p w14:paraId="5B373598"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108,1</w:t>
            </w:r>
          </w:p>
        </w:tc>
        <w:tc>
          <w:tcPr>
            <w:tcW w:w="770" w:type="dxa"/>
            <w:tcBorders>
              <w:bottom w:val="single" w:sz="12" w:space="0" w:color="auto"/>
            </w:tcBorders>
            <w:shd w:val="clear" w:color="auto" w:fill="auto"/>
            <w:vAlign w:val="bottom"/>
            <w:hideMark/>
          </w:tcPr>
          <w:p w14:paraId="700FF11E"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110,7</w:t>
            </w:r>
          </w:p>
        </w:tc>
        <w:tc>
          <w:tcPr>
            <w:tcW w:w="770" w:type="dxa"/>
            <w:tcBorders>
              <w:bottom w:val="single" w:sz="12" w:space="0" w:color="auto"/>
            </w:tcBorders>
            <w:shd w:val="clear" w:color="auto" w:fill="auto"/>
            <w:vAlign w:val="bottom"/>
            <w:hideMark/>
          </w:tcPr>
          <w:p w14:paraId="2EA1F12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111,0</w:t>
            </w:r>
          </w:p>
        </w:tc>
        <w:tc>
          <w:tcPr>
            <w:tcW w:w="770" w:type="dxa"/>
            <w:tcBorders>
              <w:bottom w:val="single" w:sz="12" w:space="0" w:color="auto"/>
            </w:tcBorders>
            <w:shd w:val="clear" w:color="auto" w:fill="auto"/>
            <w:vAlign w:val="bottom"/>
            <w:hideMark/>
          </w:tcPr>
          <w:p w14:paraId="15AC41C1"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110,7</w:t>
            </w:r>
          </w:p>
        </w:tc>
        <w:tc>
          <w:tcPr>
            <w:tcW w:w="772" w:type="dxa"/>
            <w:tcBorders>
              <w:bottom w:val="single" w:sz="12" w:space="0" w:color="auto"/>
            </w:tcBorders>
            <w:shd w:val="clear" w:color="auto" w:fill="auto"/>
            <w:vAlign w:val="bottom"/>
          </w:tcPr>
          <w:p w14:paraId="0C633686"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111,0</w:t>
            </w:r>
          </w:p>
        </w:tc>
        <w:tc>
          <w:tcPr>
            <w:tcW w:w="785" w:type="dxa"/>
            <w:tcBorders>
              <w:bottom w:val="single" w:sz="12" w:space="0" w:color="auto"/>
            </w:tcBorders>
            <w:shd w:val="clear" w:color="auto" w:fill="auto"/>
            <w:vAlign w:val="bottom"/>
          </w:tcPr>
          <w:p w14:paraId="552F6900" w14:textId="77777777" w:rsidR="004253D3" w:rsidRPr="00684CF8" w:rsidRDefault="004253D3" w:rsidP="004253D3">
            <w:pPr>
              <w:suppressAutoHyphens w:val="0"/>
              <w:spacing w:before="40" w:after="40" w:line="220" w:lineRule="exact"/>
              <w:jc w:val="right"/>
              <w:rPr>
                <w:rFonts w:cs="Times New Roman"/>
                <w:sz w:val="18"/>
              </w:rPr>
            </w:pPr>
            <w:r w:rsidRPr="00684CF8">
              <w:rPr>
                <w:rFonts w:cs="Times New Roman"/>
                <w:sz w:val="18"/>
              </w:rPr>
              <w:t>110,3</w:t>
            </w:r>
          </w:p>
        </w:tc>
      </w:tr>
    </w:tbl>
    <w:p w14:paraId="14C30221" w14:textId="77777777" w:rsidR="004253D3" w:rsidRPr="00684CF8" w:rsidRDefault="004253D3" w:rsidP="004253D3">
      <w:pPr>
        <w:pStyle w:val="SingleTxtG"/>
        <w:spacing w:before="120" w:after="0" w:line="220" w:lineRule="exact"/>
        <w:ind w:firstLine="170"/>
        <w:jc w:val="left"/>
        <w:rPr>
          <w:sz w:val="18"/>
          <w:szCs w:val="18"/>
        </w:rPr>
      </w:pPr>
      <w:r w:rsidRPr="00684CF8">
        <w:rPr>
          <w:i/>
          <w:iCs/>
          <w:sz w:val="18"/>
          <w:szCs w:val="18"/>
        </w:rPr>
        <w:t>Источник:</w:t>
      </w:r>
      <w:r w:rsidRPr="00684CF8">
        <w:rPr>
          <w:sz w:val="18"/>
          <w:szCs w:val="18"/>
        </w:rPr>
        <w:t xml:space="preserve"> </w:t>
      </w:r>
      <w:bookmarkStart w:id="14" w:name="_Hlk48155145"/>
      <w:r w:rsidRPr="00684CF8">
        <w:rPr>
          <w:sz w:val="18"/>
          <w:szCs w:val="18"/>
        </w:rPr>
        <w:t>Статистические сведения о Финляндии</w:t>
      </w:r>
      <w:bookmarkEnd w:id="14"/>
      <w:r w:rsidRPr="00684CF8">
        <w:rPr>
          <w:sz w:val="18"/>
          <w:szCs w:val="18"/>
        </w:rPr>
        <w:t>, индекс потребительских цен, графики.</w:t>
      </w:r>
    </w:p>
    <w:p w14:paraId="18356217" w14:textId="77777777" w:rsidR="004253D3" w:rsidRPr="00684CF8" w:rsidRDefault="004253D3" w:rsidP="004253D3">
      <w:pPr>
        <w:pStyle w:val="SingleTxtG"/>
        <w:spacing w:after="240" w:line="220" w:lineRule="exact"/>
        <w:ind w:firstLine="170"/>
        <w:jc w:val="left"/>
        <w:rPr>
          <w:sz w:val="18"/>
          <w:szCs w:val="18"/>
        </w:rPr>
      </w:pPr>
      <w:r w:rsidRPr="00684CF8">
        <w:rPr>
          <w:sz w:val="18"/>
          <w:szCs w:val="18"/>
        </w:rPr>
        <w:t xml:space="preserve">0 = индекс потребительских цен, 01 = продукты питания и безалкогольные напитки, </w:t>
      </w:r>
      <w:r w:rsidRPr="00684CF8">
        <w:rPr>
          <w:sz w:val="18"/>
          <w:szCs w:val="18"/>
        </w:rPr>
        <w:br/>
        <w:t>02 = алкогольные напитки и табачные изделия, 03 = одежда и обувь, 04 = жилье, вода, электричество, газ и другие виды топлива, 05 = оборудование, бытовая техника и текущий ремонт дома, 06 = здравоохранение, 07 = транспорт, 08 = связь, 09 = отдых и культура,</w:t>
      </w:r>
      <w:r w:rsidRPr="00684CF8">
        <w:rPr>
          <w:sz w:val="18"/>
          <w:szCs w:val="18"/>
        </w:rPr>
        <w:br/>
        <w:t>10 = образование, 11 = рестораны и гостиницы, 12 = различные товары и услуги.</w:t>
      </w:r>
    </w:p>
    <w:p w14:paraId="5300C560" w14:textId="77777777" w:rsidR="004253D3" w:rsidRPr="00684CF8" w:rsidRDefault="004253D3" w:rsidP="004253D3">
      <w:pPr>
        <w:pStyle w:val="SingleTxtG"/>
      </w:pPr>
      <w:r w:rsidRPr="00684CF8">
        <w:tab/>
        <w:t>46.</w:t>
      </w:r>
      <w:r w:rsidRPr="00684CF8">
        <w:tab/>
        <w:t xml:space="preserve">В дополнение к своим национальным индексам потребительских цен государства — члены Европейского союза также составляют гармонизированный индекс потребительских цен, который используется главным образом для сравнения уровней инфляции между странами ЕС. Европейский центральный банк в своей денежно-кредитной политике использует гармонизированный индекс потребительских цен в качестве показателя инфляции. Расчет гармонизированного индекса потребительских цен основан на нормативах ЕС. </w:t>
      </w:r>
    </w:p>
    <w:p w14:paraId="5FA0D67B" w14:textId="77777777" w:rsidR="004253D3" w:rsidRPr="00684CF8" w:rsidRDefault="004253D3" w:rsidP="004253D3">
      <w:pPr>
        <w:pStyle w:val="H23G"/>
      </w:pPr>
      <w:bookmarkStart w:id="15" w:name="_Toc32364278"/>
      <w:r w:rsidRPr="00684CF8">
        <w:tab/>
      </w:r>
      <w:r w:rsidRPr="00684CF8">
        <w:tab/>
        <w:t>Задолженность центрального правительства</w:t>
      </w:r>
      <w:bookmarkEnd w:id="15"/>
    </w:p>
    <w:p w14:paraId="38510806" w14:textId="77777777" w:rsidR="004253D3" w:rsidRPr="00684CF8" w:rsidRDefault="004253D3" w:rsidP="004253D3">
      <w:pPr>
        <w:pStyle w:val="SingleTxtG"/>
      </w:pPr>
      <w:r w:rsidRPr="00684CF8">
        <w:t>47.</w:t>
      </w:r>
      <w:r w:rsidRPr="00684CF8">
        <w:tab/>
        <w:t>В соответствии с Конституцией Финляндии возникновение задолженности центрального правительства осуществляется с согласия Парламента. В согласии указывается максимальный размер нового долга или общий размер долга центрального правительства. Парламент уполномочил правительство взять на себя долговые обязательства при условии, что номинальная стоимость долга центрального правительства не превысит 125 млрд евро до дальнейшего уведомления и что на момент заимствования стоимость краткосрочного долга не превысит 18 млрд евро.</w:t>
      </w:r>
    </w:p>
    <w:p w14:paraId="17AD91C5" w14:textId="77777777" w:rsidR="004253D3" w:rsidRPr="00684CF8" w:rsidRDefault="004253D3" w:rsidP="004253D3">
      <w:pPr>
        <w:pStyle w:val="SingleTxtG"/>
      </w:pPr>
      <w:r w:rsidRPr="00684CF8">
        <w:t>48.</w:t>
      </w:r>
      <w:r w:rsidRPr="00684CF8">
        <w:tab/>
        <w:t>Парламент уполномочил правительство брать в случае необходимости краткосрочные кредиты для обеспечения ликвидности центрального правительства, а также заключать производные контракты по своему усмотрению в целях предупреждения рисков, связанных с управлением долгом центрального правительства.</w:t>
      </w:r>
    </w:p>
    <w:p w14:paraId="78BDDFE5" w14:textId="77777777" w:rsidR="004253D3" w:rsidRPr="00684CF8" w:rsidRDefault="004253D3" w:rsidP="004253D3">
      <w:pPr>
        <w:pStyle w:val="1"/>
        <w:spacing w:before="240" w:after="120"/>
        <w:ind w:left="1134" w:hanging="1134"/>
        <w:jc w:val="left"/>
        <w:rPr>
          <w:rFonts w:cs="Times New Roman"/>
          <w:szCs w:val="20"/>
        </w:rPr>
      </w:pPr>
      <w:r w:rsidRPr="00684CF8">
        <w:rPr>
          <w:rFonts w:cs="Times New Roman"/>
          <w:b w:val="0"/>
          <w:bCs w:val="0"/>
          <w:szCs w:val="20"/>
        </w:rPr>
        <w:tab/>
      </w:r>
      <w:r w:rsidRPr="00684CF8">
        <w:rPr>
          <w:rFonts w:cs="Times New Roman"/>
          <w:b w:val="0"/>
          <w:bCs w:val="0"/>
          <w:szCs w:val="20"/>
        </w:rPr>
        <w:tab/>
        <w:t>Таблица 4</w:t>
      </w:r>
      <w:r w:rsidRPr="00684CF8">
        <w:rPr>
          <w:b w:val="0"/>
          <w:bCs w:val="0"/>
        </w:rPr>
        <w:br/>
      </w:r>
      <w:r w:rsidRPr="00684CF8">
        <w:rPr>
          <w:rFonts w:cs="Times New Roman"/>
          <w:szCs w:val="20"/>
        </w:rPr>
        <w:tab/>
        <w:t xml:space="preserve">Динамика </w:t>
      </w:r>
      <w:bookmarkStart w:id="16" w:name="_Hlk48121215"/>
      <w:r w:rsidRPr="00684CF8">
        <w:rPr>
          <w:rFonts w:cs="Times New Roman"/>
          <w:szCs w:val="20"/>
        </w:rPr>
        <w:t xml:space="preserve">задолженности центрального правительства </w:t>
      </w:r>
      <w:bookmarkEnd w:id="16"/>
      <w:r w:rsidRPr="00684CF8">
        <w:rPr>
          <w:rFonts w:cs="Times New Roman"/>
          <w:szCs w:val="20"/>
        </w:rPr>
        <w:t>Финляндии, 2010–2018 годы</w:t>
      </w:r>
    </w:p>
    <w:tbl>
      <w:tblPr>
        <w:tblW w:w="7370" w:type="dxa"/>
        <w:tblInd w:w="1134" w:type="dxa"/>
        <w:tblLayout w:type="fixed"/>
        <w:tblCellMar>
          <w:left w:w="0" w:type="dxa"/>
          <w:right w:w="0" w:type="dxa"/>
        </w:tblCellMar>
        <w:tblLook w:val="04A0" w:firstRow="1" w:lastRow="0" w:firstColumn="1" w:lastColumn="0" w:noHBand="0" w:noVBand="1"/>
      </w:tblPr>
      <w:tblGrid>
        <w:gridCol w:w="2290"/>
        <w:gridCol w:w="2592"/>
        <w:gridCol w:w="2488"/>
      </w:tblGrid>
      <w:tr w:rsidR="004253D3" w:rsidRPr="00684CF8" w14:paraId="4A468E6C" w14:textId="77777777" w:rsidTr="004253D3">
        <w:trPr>
          <w:tblHeader/>
        </w:trPr>
        <w:tc>
          <w:tcPr>
            <w:tcW w:w="2290" w:type="dxa"/>
            <w:tcBorders>
              <w:top w:val="single" w:sz="4" w:space="0" w:color="auto"/>
              <w:bottom w:val="single" w:sz="12" w:space="0" w:color="auto"/>
            </w:tcBorders>
            <w:shd w:val="clear" w:color="auto" w:fill="auto"/>
            <w:vAlign w:val="bottom"/>
          </w:tcPr>
          <w:p w14:paraId="27435046" w14:textId="77777777" w:rsidR="004253D3" w:rsidRPr="00684CF8" w:rsidRDefault="004253D3" w:rsidP="004253D3">
            <w:pPr>
              <w:suppressAutoHyphens w:val="0"/>
              <w:spacing w:before="80" w:after="80" w:line="200" w:lineRule="exact"/>
              <w:rPr>
                <w:rFonts w:cs="Times New Roman"/>
                <w:i/>
                <w:sz w:val="16"/>
              </w:rPr>
            </w:pPr>
            <w:r w:rsidRPr="00684CF8">
              <w:rPr>
                <w:rFonts w:cs="Times New Roman"/>
                <w:i/>
                <w:sz w:val="16"/>
              </w:rPr>
              <w:t>Год</w:t>
            </w:r>
          </w:p>
        </w:tc>
        <w:tc>
          <w:tcPr>
            <w:tcW w:w="2592" w:type="dxa"/>
            <w:tcBorders>
              <w:top w:val="single" w:sz="4" w:space="0" w:color="auto"/>
              <w:bottom w:val="single" w:sz="12" w:space="0" w:color="auto"/>
            </w:tcBorders>
            <w:shd w:val="clear" w:color="auto" w:fill="auto"/>
            <w:vAlign w:val="bottom"/>
          </w:tcPr>
          <w:p w14:paraId="5C6B5F7A" w14:textId="77777777" w:rsidR="004253D3" w:rsidRPr="00684CF8" w:rsidRDefault="004253D3" w:rsidP="004253D3">
            <w:pPr>
              <w:suppressAutoHyphens w:val="0"/>
              <w:spacing w:before="80" w:after="80" w:line="200" w:lineRule="exact"/>
              <w:jc w:val="right"/>
              <w:rPr>
                <w:rFonts w:cs="Times New Roman"/>
                <w:i/>
                <w:sz w:val="16"/>
                <w:lang w:val="en-GB"/>
              </w:rPr>
            </w:pPr>
            <w:r w:rsidRPr="00684CF8">
              <w:rPr>
                <w:rFonts w:cs="Times New Roman"/>
                <w:i/>
                <w:sz w:val="16"/>
              </w:rPr>
              <w:t>Млн евро</w:t>
            </w:r>
          </w:p>
        </w:tc>
        <w:tc>
          <w:tcPr>
            <w:tcW w:w="2488" w:type="dxa"/>
            <w:tcBorders>
              <w:top w:val="single" w:sz="4" w:space="0" w:color="auto"/>
              <w:bottom w:val="single" w:sz="12" w:space="0" w:color="auto"/>
            </w:tcBorders>
            <w:shd w:val="clear" w:color="auto" w:fill="auto"/>
            <w:vAlign w:val="bottom"/>
          </w:tcPr>
          <w:p w14:paraId="1E3AA131" w14:textId="77777777" w:rsidR="004253D3" w:rsidRPr="00684CF8" w:rsidRDefault="004253D3" w:rsidP="004253D3">
            <w:pPr>
              <w:suppressAutoHyphens w:val="0"/>
              <w:spacing w:before="80" w:after="80" w:line="200" w:lineRule="exact"/>
              <w:jc w:val="right"/>
              <w:rPr>
                <w:rFonts w:cs="Times New Roman"/>
                <w:i/>
                <w:sz w:val="16"/>
              </w:rPr>
            </w:pPr>
            <w:r w:rsidRPr="00684CF8">
              <w:rPr>
                <w:rFonts w:cs="Times New Roman"/>
                <w:i/>
                <w:sz w:val="16"/>
                <w:lang w:val="en-GB"/>
              </w:rPr>
              <w:t xml:space="preserve">% </w:t>
            </w:r>
            <w:r w:rsidRPr="00684CF8">
              <w:rPr>
                <w:rFonts w:cs="Times New Roman"/>
                <w:i/>
                <w:sz w:val="16"/>
              </w:rPr>
              <w:t>ВВП</w:t>
            </w:r>
          </w:p>
        </w:tc>
      </w:tr>
      <w:tr w:rsidR="004253D3" w:rsidRPr="00684CF8" w14:paraId="18A31DEC" w14:textId="77777777" w:rsidTr="004253D3">
        <w:tc>
          <w:tcPr>
            <w:tcW w:w="2290" w:type="dxa"/>
            <w:tcBorders>
              <w:top w:val="single" w:sz="12" w:space="0" w:color="auto"/>
            </w:tcBorders>
            <w:shd w:val="clear" w:color="auto" w:fill="auto"/>
          </w:tcPr>
          <w:p w14:paraId="0FD292DD"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2010</w:t>
            </w:r>
          </w:p>
        </w:tc>
        <w:tc>
          <w:tcPr>
            <w:tcW w:w="2592" w:type="dxa"/>
            <w:tcBorders>
              <w:top w:val="single" w:sz="12" w:space="0" w:color="auto"/>
            </w:tcBorders>
            <w:shd w:val="clear" w:color="auto" w:fill="auto"/>
            <w:vAlign w:val="bottom"/>
          </w:tcPr>
          <w:p w14:paraId="1C58E2A8"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75 152</w:t>
            </w:r>
          </w:p>
        </w:tc>
        <w:tc>
          <w:tcPr>
            <w:tcW w:w="2488" w:type="dxa"/>
            <w:tcBorders>
              <w:top w:val="single" w:sz="12" w:space="0" w:color="auto"/>
            </w:tcBorders>
            <w:shd w:val="clear" w:color="auto" w:fill="auto"/>
            <w:vAlign w:val="bottom"/>
          </w:tcPr>
          <w:p w14:paraId="18FC0D9E"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40,2</w:t>
            </w:r>
          </w:p>
        </w:tc>
      </w:tr>
      <w:tr w:rsidR="004253D3" w:rsidRPr="00684CF8" w14:paraId="6ED2FC7F" w14:textId="77777777" w:rsidTr="004253D3">
        <w:tc>
          <w:tcPr>
            <w:tcW w:w="2290" w:type="dxa"/>
            <w:shd w:val="clear" w:color="auto" w:fill="auto"/>
          </w:tcPr>
          <w:p w14:paraId="44BFB110"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2011</w:t>
            </w:r>
          </w:p>
        </w:tc>
        <w:tc>
          <w:tcPr>
            <w:tcW w:w="2592" w:type="dxa"/>
            <w:shd w:val="clear" w:color="auto" w:fill="auto"/>
            <w:vAlign w:val="bottom"/>
          </w:tcPr>
          <w:p w14:paraId="08F893D9"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79 661</w:t>
            </w:r>
          </w:p>
        </w:tc>
        <w:tc>
          <w:tcPr>
            <w:tcW w:w="2488" w:type="dxa"/>
            <w:shd w:val="clear" w:color="auto" w:fill="auto"/>
            <w:vAlign w:val="bottom"/>
          </w:tcPr>
          <w:p w14:paraId="434CA7ED"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40,5</w:t>
            </w:r>
          </w:p>
        </w:tc>
      </w:tr>
      <w:tr w:rsidR="004253D3" w:rsidRPr="00684CF8" w14:paraId="4CEB8362" w14:textId="77777777" w:rsidTr="004253D3">
        <w:tc>
          <w:tcPr>
            <w:tcW w:w="2290" w:type="dxa"/>
            <w:shd w:val="clear" w:color="auto" w:fill="auto"/>
          </w:tcPr>
          <w:p w14:paraId="2F2D8654"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2012</w:t>
            </w:r>
          </w:p>
        </w:tc>
        <w:tc>
          <w:tcPr>
            <w:tcW w:w="2592" w:type="dxa"/>
            <w:shd w:val="clear" w:color="auto" w:fill="auto"/>
            <w:vAlign w:val="bottom"/>
          </w:tcPr>
          <w:p w14:paraId="00871777"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83 910</w:t>
            </w:r>
          </w:p>
        </w:tc>
        <w:tc>
          <w:tcPr>
            <w:tcW w:w="2488" w:type="dxa"/>
            <w:shd w:val="clear" w:color="auto" w:fill="auto"/>
            <w:vAlign w:val="bottom"/>
          </w:tcPr>
          <w:p w14:paraId="599BE6A1"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42,0</w:t>
            </w:r>
          </w:p>
        </w:tc>
      </w:tr>
      <w:tr w:rsidR="004253D3" w:rsidRPr="00684CF8" w14:paraId="081CE6F1" w14:textId="77777777" w:rsidTr="004253D3">
        <w:tc>
          <w:tcPr>
            <w:tcW w:w="2290" w:type="dxa"/>
            <w:shd w:val="clear" w:color="auto" w:fill="auto"/>
          </w:tcPr>
          <w:p w14:paraId="021C2431"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2013</w:t>
            </w:r>
          </w:p>
        </w:tc>
        <w:tc>
          <w:tcPr>
            <w:tcW w:w="2592" w:type="dxa"/>
            <w:shd w:val="clear" w:color="auto" w:fill="auto"/>
            <w:vAlign w:val="bottom"/>
          </w:tcPr>
          <w:p w14:paraId="0CA51A43"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89 738</w:t>
            </w:r>
          </w:p>
        </w:tc>
        <w:tc>
          <w:tcPr>
            <w:tcW w:w="2488" w:type="dxa"/>
            <w:shd w:val="clear" w:color="auto" w:fill="auto"/>
            <w:vAlign w:val="bottom"/>
          </w:tcPr>
          <w:p w14:paraId="34ED2122"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44,1</w:t>
            </w:r>
          </w:p>
        </w:tc>
      </w:tr>
      <w:tr w:rsidR="004253D3" w:rsidRPr="00684CF8" w14:paraId="1147C149" w14:textId="77777777" w:rsidTr="004253D3">
        <w:tc>
          <w:tcPr>
            <w:tcW w:w="2290" w:type="dxa"/>
            <w:shd w:val="clear" w:color="auto" w:fill="auto"/>
          </w:tcPr>
          <w:p w14:paraId="57D46EB9"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2014</w:t>
            </w:r>
          </w:p>
        </w:tc>
        <w:tc>
          <w:tcPr>
            <w:tcW w:w="2592" w:type="dxa"/>
            <w:shd w:val="clear" w:color="auto" w:fill="auto"/>
            <w:vAlign w:val="bottom"/>
          </w:tcPr>
          <w:p w14:paraId="0BA89620"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95 129</w:t>
            </w:r>
          </w:p>
        </w:tc>
        <w:tc>
          <w:tcPr>
            <w:tcW w:w="2488" w:type="dxa"/>
            <w:shd w:val="clear" w:color="auto" w:fill="auto"/>
            <w:vAlign w:val="bottom"/>
          </w:tcPr>
          <w:p w14:paraId="5D93FC6D"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46,3</w:t>
            </w:r>
          </w:p>
        </w:tc>
      </w:tr>
      <w:tr w:rsidR="004253D3" w:rsidRPr="00684CF8" w14:paraId="43500411" w14:textId="77777777" w:rsidTr="004253D3">
        <w:tc>
          <w:tcPr>
            <w:tcW w:w="2290" w:type="dxa"/>
            <w:shd w:val="clear" w:color="auto" w:fill="auto"/>
          </w:tcPr>
          <w:p w14:paraId="08CEBF47"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2015</w:t>
            </w:r>
          </w:p>
        </w:tc>
        <w:tc>
          <w:tcPr>
            <w:tcW w:w="2592" w:type="dxa"/>
            <w:shd w:val="clear" w:color="auto" w:fill="auto"/>
            <w:vAlign w:val="bottom"/>
          </w:tcPr>
          <w:p w14:paraId="7E8CAB48"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99 807</w:t>
            </w:r>
          </w:p>
        </w:tc>
        <w:tc>
          <w:tcPr>
            <w:tcW w:w="2488" w:type="dxa"/>
            <w:shd w:val="clear" w:color="auto" w:fill="auto"/>
            <w:vAlign w:val="bottom"/>
          </w:tcPr>
          <w:p w14:paraId="7593D49A"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47,6</w:t>
            </w:r>
          </w:p>
        </w:tc>
      </w:tr>
      <w:tr w:rsidR="004253D3" w:rsidRPr="00684CF8" w14:paraId="091FE8C7" w14:textId="77777777" w:rsidTr="004253D3">
        <w:tc>
          <w:tcPr>
            <w:tcW w:w="2290" w:type="dxa"/>
            <w:shd w:val="clear" w:color="auto" w:fill="auto"/>
          </w:tcPr>
          <w:p w14:paraId="6FB8DE35"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2016</w:t>
            </w:r>
          </w:p>
        </w:tc>
        <w:tc>
          <w:tcPr>
            <w:tcW w:w="2592" w:type="dxa"/>
            <w:shd w:val="clear" w:color="auto" w:fill="auto"/>
            <w:vAlign w:val="bottom"/>
          </w:tcPr>
          <w:p w14:paraId="223195E3"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102 352</w:t>
            </w:r>
          </w:p>
        </w:tc>
        <w:tc>
          <w:tcPr>
            <w:tcW w:w="2488" w:type="dxa"/>
            <w:shd w:val="clear" w:color="auto" w:fill="auto"/>
            <w:vAlign w:val="bottom"/>
          </w:tcPr>
          <w:p w14:paraId="634FD80A"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47,4</w:t>
            </w:r>
          </w:p>
        </w:tc>
      </w:tr>
      <w:tr w:rsidR="004253D3" w:rsidRPr="00684CF8" w14:paraId="319BA53E" w14:textId="77777777" w:rsidTr="004253D3">
        <w:tc>
          <w:tcPr>
            <w:tcW w:w="2290" w:type="dxa"/>
            <w:shd w:val="clear" w:color="auto" w:fill="auto"/>
          </w:tcPr>
          <w:p w14:paraId="2831D869"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2017</w:t>
            </w:r>
          </w:p>
        </w:tc>
        <w:tc>
          <w:tcPr>
            <w:tcW w:w="2592" w:type="dxa"/>
            <w:shd w:val="clear" w:color="auto" w:fill="auto"/>
            <w:vAlign w:val="bottom"/>
          </w:tcPr>
          <w:p w14:paraId="1B47FDE0"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105 773</w:t>
            </w:r>
          </w:p>
        </w:tc>
        <w:tc>
          <w:tcPr>
            <w:tcW w:w="2488" w:type="dxa"/>
            <w:shd w:val="clear" w:color="auto" w:fill="auto"/>
            <w:vAlign w:val="bottom"/>
          </w:tcPr>
          <w:p w14:paraId="33E34A06"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47,2</w:t>
            </w:r>
          </w:p>
        </w:tc>
      </w:tr>
      <w:tr w:rsidR="004253D3" w:rsidRPr="00684CF8" w14:paraId="16B7C4A6" w14:textId="77777777" w:rsidTr="004253D3">
        <w:tc>
          <w:tcPr>
            <w:tcW w:w="2290" w:type="dxa"/>
            <w:shd w:val="clear" w:color="auto" w:fill="auto"/>
          </w:tcPr>
          <w:p w14:paraId="3B1F05EE"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2018</w:t>
            </w:r>
          </w:p>
        </w:tc>
        <w:tc>
          <w:tcPr>
            <w:tcW w:w="2592" w:type="dxa"/>
            <w:shd w:val="clear" w:color="auto" w:fill="auto"/>
            <w:vAlign w:val="bottom"/>
          </w:tcPr>
          <w:p w14:paraId="30333D19"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104 973</w:t>
            </w:r>
          </w:p>
        </w:tc>
        <w:tc>
          <w:tcPr>
            <w:tcW w:w="2488" w:type="dxa"/>
            <w:shd w:val="clear" w:color="auto" w:fill="auto"/>
            <w:vAlign w:val="bottom"/>
          </w:tcPr>
          <w:p w14:paraId="38BBC66B"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45,0</w:t>
            </w:r>
          </w:p>
        </w:tc>
      </w:tr>
      <w:tr w:rsidR="004253D3" w:rsidRPr="00684CF8" w14:paraId="77F77ADF" w14:textId="77777777" w:rsidTr="004253D3">
        <w:tc>
          <w:tcPr>
            <w:tcW w:w="2290" w:type="dxa"/>
            <w:shd w:val="clear" w:color="auto" w:fill="auto"/>
          </w:tcPr>
          <w:p w14:paraId="22FFDC9D"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2019*</w:t>
            </w:r>
          </w:p>
        </w:tc>
        <w:tc>
          <w:tcPr>
            <w:tcW w:w="2592" w:type="dxa"/>
            <w:shd w:val="clear" w:color="auto" w:fill="auto"/>
            <w:vAlign w:val="bottom"/>
          </w:tcPr>
          <w:p w14:paraId="4CBF3160" w14:textId="77777777" w:rsidR="004253D3" w:rsidRPr="00684CF8" w:rsidRDefault="004253D3" w:rsidP="004253D3">
            <w:pPr>
              <w:suppressAutoHyphens w:val="0"/>
              <w:spacing w:before="40" w:after="40" w:line="220" w:lineRule="exact"/>
              <w:jc w:val="right"/>
              <w:rPr>
                <w:rFonts w:cs="Times New Roman"/>
                <w:sz w:val="18"/>
                <w:lang w:val="en-GB"/>
              </w:rPr>
            </w:pPr>
          </w:p>
        </w:tc>
        <w:tc>
          <w:tcPr>
            <w:tcW w:w="2488" w:type="dxa"/>
            <w:shd w:val="clear" w:color="auto" w:fill="auto"/>
            <w:vAlign w:val="bottom"/>
          </w:tcPr>
          <w:p w14:paraId="5DD60E82"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44,5</w:t>
            </w:r>
          </w:p>
        </w:tc>
      </w:tr>
      <w:tr w:rsidR="004253D3" w:rsidRPr="00684CF8" w14:paraId="04E15B33" w14:textId="77777777" w:rsidTr="004253D3">
        <w:tc>
          <w:tcPr>
            <w:tcW w:w="2290" w:type="dxa"/>
            <w:tcBorders>
              <w:bottom w:val="single" w:sz="12" w:space="0" w:color="auto"/>
            </w:tcBorders>
            <w:shd w:val="clear" w:color="auto" w:fill="auto"/>
          </w:tcPr>
          <w:p w14:paraId="6C31C18F" w14:textId="77777777" w:rsidR="004253D3" w:rsidRPr="00684CF8" w:rsidRDefault="004253D3" w:rsidP="004253D3">
            <w:pPr>
              <w:suppressAutoHyphens w:val="0"/>
              <w:spacing w:before="40" w:after="40" w:line="220" w:lineRule="exact"/>
              <w:rPr>
                <w:rFonts w:cs="Times New Roman"/>
                <w:sz w:val="18"/>
                <w:lang w:val="en-GB"/>
              </w:rPr>
            </w:pPr>
            <w:r w:rsidRPr="00684CF8">
              <w:rPr>
                <w:rFonts w:cs="Times New Roman"/>
                <w:sz w:val="18"/>
                <w:lang w:val="en-GB"/>
              </w:rPr>
              <w:t>2020*</w:t>
            </w:r>
          </w:p>
        </w:tc>
        <w:tc>
          <w:tcPr>
            <w:tcW w:w="2592" w:type="dxa"/>
            <w:tcBorders>
              <w:bottom w:val="single" w:sz="12" w:space="0" w:color="auto"/>
            </w:tcBorders>
            <w:shd w:val="clear" w:color="auto" w:fill="auto"/>
            <w:vAlign w:val="bottom"/>
          </w:tcPr>
          <w:p w14:paraId="4BDB713A" w14:textId="77777777" w:rsidR="004253D3" w:rsidRPr="00684CF8" w:rsidRDefault="004253D3" w:rsidP="004253D3">
            <w:pPr>
              <w:suppressAutoHyphens w:val="0"/>
              <w:spacing w:before="40" w:after="40" w:line="220" w:lineRule="exact"/>
              <w:jc w:val="right"/>
              <w:rPr>
                <w:rFonts w:cs="Times New Roman"/>
                <w:sz w:val="18"/>
                <w:lang w:val="en-GB"/>
              </w:rPr>
            </w:pPr>
          </w:p>
        </w:tc>
        <w:tc>
          <w:tcPr>
            <w:tcW w:w="2488" w:type="dxa"/>
            <w:tcBorders>
              <w:bottom w:val="single" w:sz="12" w:space="0" w:color="auto"/>
            </w:tcBorders>
            <w:shd w:val="clear" w:color="auto" w:fill="auto"/>
            <w:vAlign w:val="bottom"/>
          </w:tcPr>
          <w:p w14:paraId="3C9395A9" w14:textId="77777777" w:rsidR="004253D3" w:rsidRPr="00684CF8" w:rsidRDefault="004253D3" w:rsidP="004253D3">
            <w:pPr>
              <w:suppressAutoHyphens w:val="0"/>
              <w:spacing w:before="40" w:after="40" w:line="220" w:lineRule="exact"/>
              <w:jc w:val="right"/>
              <w:rPr>
                <w:rFonts w:cs="Times New Roman"/>
                <w:sz w:val="18"/>
                <w:lang w:val="en-GB"/>
              </w:rPr>
            </w:pPr>
            <w:r w:rsidRPr="00684CF8">
              <w:rPr>
                <w:rFonts w:cs="Times New Roman"/>
                <w:sz w:val="18"/>
                <w:lang w:val="en-GB"/>
              </w:rPr>
              <w:t>43,8</w:t>
            </w:r>
          </w:p>
        </w:tc>
      </w:tr>
    </w:tbl>
    <w:p w14:paraId="54746F18" w14:textId="77777777" w:rsidR="007D59F0" w:rsidRPr="00684CF8" w:rsidRDefault="007D59F0" w:rsidP="007D59F0">
      <w:pPr>
        <w:pStyle w:val="SingleTxtG"/>
        <w:spacing w:before="120" w:after="0" w:line="220" w:lineRule="exact"/>
        <w:ind w:firstLine="170"/>
        <w:jc w:val="left"/>
        <w:rPr>
          <w:sz w:val="18"/>
          <w:szCs w:val="18"/>
        </w:rPr>
      </w:pPr>
      <w:r w:rsidRPr="00684CF8">
        <w:rPr>
          <w:i/>
          <w:iCs/>
          <w:sz w:val="18"/>
          <w:szCs w:val="18"/>
        </w:rPr>
        <w:t>Источник:</w:t>
      </w:r>
      <w:r w:rsidRPr="00684CF8">
        <w:rPr>
          <w:sz w:val="18"/>
          <w:szCs w:val="18"/>
        </w:rPr>
        <w:t xml:space="preserve"> </w:t>
      </w:r>
      <w:hyperlink r:id="rId8" w:history="1">
        <w:r w:rsidRPr="00684CF8">
          <w:rPr>
            <w:rStyle w:val="af1"/>
            <w:color w:val="auto"/>
            <w:sz w:val="18"/>
            <w:szCs w:val="18"/>
            <w:lang w:val="en-GB"/>
          </w:rPr>
          <w:t>veronmaksajat</w:t>
        </w:r>
        <w:r w:rsidRPr="00684CF8">
          <w:rPr>
            <w:rStyle w:val="af1"/>
            <w:color w:val="auto"/>
            <w:sz w:val="18"/>
            <w:szCs w:val="18"/>
          </w:rPr>
          <w:t>.</w:t>
        </w:r>
        <w:r w:rsidRPr="00684CF8">
          <w:rPr>
            <w:rStyle w:val="af1"/>
            <w:color w:val="auto"/>
            <w:sz w:val="18"/>
            <w:szCs w:val="18"/>
            <w:lang w:val="en-GB"/>
          </w:rPr>
          <w:t>fi</w:t>
        </w:r>
      </w:hyperlink>
      <w:r w:rsidRPr="00684CF8">
        <w:rPr>
          <w:sz w:val="18"/>
          <w:szCs w:val="18"/>
        </w:rPr>
        <w:t xml:space="preserve"> [</w:t>
      </w:r>
      <w:r w:rsidRPr="00684CF8">
        <w:rPr>
          <w:sz w:val="18"/>
          <w:szCs w:val="18"/>
          <w:lang w:val="en-GB"/>
        </w:rPr>
        <w:t>Taxpayers</w:t>
      </w:r>
      <w:r w:rsidRPr="00684CF8">
        <w:rPr>
          <w:sz w:val="18"/>
          <w:szCs w:val="18"/>
        </w:rPr>
        <w:t xml:space="preserve"> </w:t>
      </w:r>
      <w:r w:rsidRPr="00684CF8">
        <w:rPr>
          <w:sz w:val="18"/>
          <w:szCs w:val="18"/>
          <w:lang w:val="en-GB"/>
        </w:rPr>
        <w:t>Association</w:t>
      </w:r>
      <w:r w:rsidRPr="00684CF8">
        <w:rPr>
          <w:sz w:val="18"/>
          <w:szCs w:val="18"/>
        </w:rPr>
        <w:t xml:space="preserve"> </w:t>
      </w:r>
      <w:r w:rsidRPr="00684CF8">
        <w:rPr>
          <w:sz w:val="18"/>
          <w:szCs w:val="18"/>
          <w:lang w:val="en-GB"/>
        </w:rPr>
        <w:t>of</w:t>
      </w:r>
      <w:r w:rsidRPr="00684CF8">
        <w:rPr>
          <w:sz w:val="18"/>
          <w:szCs w:val="18"/>
        </w:rPr>
        <w:t xml:space="preserve"> </w:t>
      </w:r>
      <w:r w:rsidRPr="00684CF8">
        <w:rPr>
          <w:sz w:val="18"/>
          <w:szCs w:val="18"/>
          <w:lang w:val="en-GB"/>
        </w:rPr>
        <w:t>Finland</w:t>
      </w:r>
      <w:r w:rsidRPr="00684CF8">
        <w:rPr>
          <w:sz w:val="18"/>
          <w:szCs w:val="18"/>
        </w:rPr>
        <w:t>], задолженность центрального правительства.</w:t>
      </w:r>
    </w:p>
    <w:p w14:paraId="11D6D512" w14:textId="14226AF8" w:rsidR="007D59F0" w:rsidRPr="00684CF8" w:rsidRDefault="007D59F0" w:rsidP="007D59F0">
      <w:pPr>
        <w:pStyle w:val="SingleTxtG"/>
        <w:spacing w:after="0" w:line="220" w:lineRule="exact"/>
        <w:ind w:firstLine="170"/>
        <w:jc w:val="left"/>
        <w:rPr>
          <w:sz w:val="18"/>
          <w:szCs w:val="18"/>
        </w:rPr>
      </w:pPr>
      <w:r w:rsidRPr="00684CF8">
        <w:rPr>
          <w:sz w:val="18"/>
          <w:szCs w:val="18"/>
        </w:rPr>
        <w:t>*</w:t>
      </w:r>
      <w:r w:rsidR="00413B91">
        <w:rPr>
          <w:sz w:val="18"/>
          <w:szCs w:val="18"/>
        </w:rPr>
        <w:t xml:space="preserve">  </w:t>
      </w:r>
      <w:bookmarkStart w:id="17" w:name="_GoBack"/>
      <w:bookmarkEnd w:id="17"/>
      <w:r w:rsidR="00BA0275">
        <w:rPr>
          <w:sz w:val="18"/>
          <w:szCs w:val="18"/>
        </w:rPr>
        <w:t>П</w:t>
      </w:r>
      <w:r w:rsidRPr="00684CF8">
        <w:rPr>
          <w:sz w:val="18"/>
          <w:szCs w:val="18"/>
        </w:rPr>
        <w:t>рогноз.</w:t>
      </w:r>
    </w:p>
    <w:p w14:paraId="79B8D5D9" w14:textId="77777777" w:rsidR="007D59F0" w:rsidRPr="00684CF8" w:rsidRDefault="007D59F0" w:rsidP="007D59F0">
      <w:pPr>
        <w:pStyle w:val="H23G"/>
      </w:pPr>
      <w:r w:rsidRPr="00684CF8">
        <w:rPr>
          <w:sz w:val="18"/>
          <w:szCs w:val="18"/>
        </w:rPr>
        <w:lastRenderedPageBreak/>
        <w:tab/>
      </w:r>
      <w:r w:rsidRPr="00684CF8">
        <w:tab/>
        <w:t>Неформальный сектор</w:t>
      </w:r>
    </w:p>
    <w:p w14:paraId="42F0DC85" w14:textId="77777777" w:rsidR="007D59F0" w:rsidRPr="00684CF8" w:rsidRDefault="007D59F0" w:rsidP="007D59F0">
      <w:pPr>
        <w:pStyle w:val="SingleTxtG"/>
      </w:pPr>
      <w:r w:rsidRPr="00684CF8">
        <w:t>49.</w:t>
      </w:r>
      <w:r w:rsidRPr="00684CF8">
        <w:tab/>
        <w:t>Финляндия ведет борьбу с неформальной экономикой посредством политических мер и законодательства, связанных с противодействием «серой» экономике и экономическим преступлениям, а также с обеспечением занятости, социальным страхованием и рынком труда в целом. Важными целями являются функционирование рынка труда и доступ к нему. Финское законодательство о труде и социальных услугах имеет широкую сферу применения, благодаря чему мы не прибегаем к конкретным «мерам по формализации» в отношении неформальной экономики.</w:t>
      </w:r>
    </w:p>
    <w:p w14:paraId="2D48A95E" w14:textId="77777777" w:rsidR="007D59F0" w:rsidRPr="00684CF8" w:rsidRDefault="007D59F0" w:rsidP="007D59F0">
      <w:pPr>
        <w:pStyle w:val="SingleTxtG"/>
      </w:pPr>
      <w:r w:rsidRPr="00684CF8">
        <w:t>50.</w:t>
      </w:r>
      <w:r w:rsidRPr="00684CF8">
        <w:tab/>
        <w:t>В рамках трехстороннего сотрудничества разрабатывается законодательство о труде и социальных услугах, а также политика в области развития трудовой деятельности. Равенство работников и поощрение участия в трудовой жизни являются ключевыми моментами с точки зрения функционирования рынка труда при разработке любого законодательства и политики. Еще одним важным элементом содействия вовлечению менее благополучных лиц в трудовую жизнь является повышение качества государственных услуг.</w:t>
      </w:r>
    </w:p>
    <w:p w14:paraId="579646D3" w14:textId="77777777" w:rsidR="007D59F0" w:rsidRPr="00684CF8" w:rsidRDefault="007D59F0" w:rsidP="007D59F0">
      <w:pPr>
        <w:pStyle w:val="SingleTxtG"/>
      </w:pPr>
      <w:r w:rsidRPr="00684CF8">
        <w:t>51.</w:t>
      </w:r>
      <w:r w:rsidRPr="00684CF8">
        <w:tab/>
        <w:t>Конституция Финляндии гарантирует свободу ассоциации и права на ведение коллективных переговоров всем, в том числе субъектам неформальной экономики.</w:t>
      </w:r>
    </w:p>
    <w:p w14:paraId="3B27F806" w14:textId="77777777" w:rsidR="007D59F0" w:rsidRPr="00684CF8" w:rsidRDefault="007D59F0" w:rsidP="007D59F0">
      <w:pPr>
        <w:pStyle w:val="SingleTxtG"/>
      </w:pPr>
      <w:r w:rsidRPr="00684CF8">
        <w:t>52.</w:t>
      </w:r>
      <w:r w:rsidRPr="00684CF8">
        <w:tab/>
        <w:t>Меры по расширению надзорных возможностей органов и их инструментов для контроля за соблюдением правил, регулирующих трудовую деятельность, имеют важнейшее значение для борьбы с неформальной и «серой» экономикой.</w:t>
      </w:r>
    </w:p>
    <w:p w14:paraId="0762E330" w14:textId="77777777" w:rsidR="007D59F0" w:rsidRPr="00684CF8" w:rsidRDefault="007D59F0" w:rsidP="007D59F0">
      <w:pPr>
        <w:pStyle w:val="SingleTxtG"/>
      </w:pPr>
      <w:r w:rsidRPr="00684CF8">
        <w:t>53.</w:t>
      </w:r>
      <w:r w:rsidRPr="00684CF8">
        <w:tab/>
        <w:t xml:space="preserve">Европейская платформа против </w:t>
      </w:r>
      <w:bookmarkStart w:id="18" w:name="_Hlk48151080"/>
      <w:r w:rsidRPr="00684CF8">
        <w:t xml:space="preserve">найма на работу без надлежащего оформления </w:t>
      </w:r>
      <w:bookmarkEnd w:id="18"/>
      <w:r w:rsidRPr="00684CF8">
        <w:t xml:space="preserve">является органом на уровне ЕС, который готовит национальные информационные бюллетени о политике и действиях государств-членов по решению проблемы нелегального труда. Информацию о действиях Финляндии см. в Приложении «Информационный бюллетень о нелегальном труде — ФИНЛЯНДИЯ (сентябрь 2017 года)» (приложение I). </w:t>
      </w:r>
    </w:p>
    <w:p w14:paraId="77B25637" w14:textId="77777777" w:rsidR="007D59F0" w:rsidRPr="00684CF8" w:rsidRDefault="007D59F0" w:rsidP="007D59F0">
      <w:pPr>
        <w:pStyle w:val="SingleTxtG"/>
      </w:pPr>
      <w:r w:rsidRPr="00684CF8">
        <w:t>54.</w:t>
      </w:r>
      <w:r w:rsidRPr="00684CF8">
        <w:tab/>
        <w:t>Надежные статистические данные о неформальной экономике или найме на работу без надлежащего оформления отсутствуют.</w:t>
      </w:r>
    </w:p>
    <w:p w14:paraId="0FA27B83" w14:textId="77777777" w:rsidR="007D59F0" w:rsidRPr="00684CF8" w:rsidRDefault="007D59F0" w:rsidP="007D59F0">
      <w:pPr>
        <w:pStyle w:val="SingleTxtG"/>
      </w:pPr>
      <w:r w:rsidRPr="00684CF8">
        <w:t>55.</w:t>
      </w:r>
      <w:r w:rsidRPr="00684CF8">
        <w:tab/>
        <w:t>В Финляндии «серая» экономика и работа без надлежащего оформления, как правило, ассоциируются с «зарплатой в конверте</w:t>
      </w:r>
      <w:r w:rsidR="00AF6C40" w:rsidRPr="00684CF8">
        <w:t>»</w:t>
      </w:r>
      <w:r w:rsidRPr="00684CF8">
        <w:t xml:space="preserve"> (т.</w:t>
      </w:r>
      <w:r w:rsidR="00AF6C40" w:rsidRPr="00684CF8">
        <w:t> </w:t>
      </w:r>
      <w:r w:rsidRPr="00684CF8">
        <w:t xml:space="preserve">е. занижением сведений о трудоустройстве, подаваемых в органы власти) в таких отраслях, как строительство и гостиничный бизнес. Скрытая занятость, как известно, также существует в индустрии развлечений и в секторе недвижимости. </w:t>
      </w:r>
      <w:r w:rsidR="00AF6C40" w:rsidRPr="00684CF8">
        <w:t>«</w:t>
      </w:r>
      <w:r w:rsidRPr="00684CF8">
        <w:t>Серая</w:t>
      </w:r>
      <w:r w:rsidR="00AF6C40" w:rsidRPr="00684CF8">
        <w:t>»</w:t>
      </w:r>
      <w:r w:rsidRPr="00684CF8">
        <w:t xml:space="preserve"> экономика и работа без надлежащего оформления особенно часто встречаются в секторе ремонта жилья, проводимого малыми предприятиями или самозанятыми лицами. Хотя в Финляндии нет проблем, связанных с наймом на работу лиц без документов (без разрешения на работу), было признано наличие проблемы недостаточной оплаты труда мигрантов, особенно в секторах строительства и общественного питания.</w:t>
      </w:r>
    </w:p>
    <w:p w14:paraId="67690A0F" w14:textId="77777777" w:rsidR="007D59F0" w:rsidRPr="00684CF8" w:rsidRDefault="007D59F0" w:rsidP="007D59F0">
      <w:pPr>
        <w:pStyle w:val="SingleTxtG"/>
      </w:pPr>
      <w:r w:rsidRPr="00684CF8">
        <w:t>56.</w:t>
      </w:r>
      <w:r w:rsidRPr="00684CF8">
        <w:tab/>
        <w:t xml:space="preserve">Выплата </w:t>
      </w:r>
      <w:r w:rsidR="00AF6C40" w:rsidRPr="00684CF8">
        <w:t>«</w:t>
      </w:r>
      <w:r w:rsidRPr="00684CF8">
        <w:t>зарплаты в конверте</w:t>
      </w:r>
      <w:r w:rsidR="00AF6C40" w:rsidRPr="00684CF8">
        <w:t>»</w:t>
      </w:r>
      <w:r w:rsidRPr="00684CF8">
        <w:t xml:space="preserve"> наиболее распространена в строительном секторе (7,1</w:t>
      </w:r>
      <w:r w:rsidR="008221B3">
        <w:rPr>
          <w:lang w:val="en-US"/>
        </w:rPr>
        <w:t> </w:t>
      </w:r>
      <w:r w:rsidRPr="00684CF8">
        <w:t>% от общего объема заработной платы) и в секторе недвижимости (6,7</w:t>
      </w:r>
      <w:r w:rsidR="008221B3">
        <w:rPr>
          <w:lang w:val="en-US"/>
        </w:rPr>
        <w:t> </w:t>
      </w:r>
      <w:r w:rsidRPr="00684CF8">
        <w:t>%). Индустрия отдыха и туризма, обрабатывающая промышленность, а также индустрия развлечений часто упоминаются среди отраслей, где растет доля лиц, нанимаемых на работу без надлежащего оформления.</w:t>
      </w:r>
    </w:p>
    <w:p w14:paraId="43B3C780" w14:textId="77777777" w:rsidR="007D59F0" w:rsidRPr="00684CF8" w:rsidRDefault="007D59F0" w:rsidP="007D59F0">
      <w:pPr>
        <w:pStyle w:val="SingleTxtG"/>
      </w:pPr>
      <w:r w:rsidRPr="00684CF8">
        <w:t>57.</w:t>
      </w:r>
      <w:r w:rsidRPr="00684CF8">
        <w:tab/>
        <w:t xml:space="preserve">Статистические данные о распределении лиц, работающих </w:t>
      </w:r>
      <w:bookmarkStart w:id="19" w:name="_Hlk48151173"/>
      <w:r w:rsidRPr="00684CF8">
        <w:t>без надлежащего оформлени</w:t>
      </w:r>
      <w:bookmarkEnd w:id="19"/>
      <w:r w:rsidRPr="00684CF8">
        <w:t>я, в зависимости от размеров предприятия-работодателя отсутствуют. В</w:t>
      </w:r>
      <w:r w:rsidR="00AF6C40" w:rsidRPr="00684CF8">
        <w:t> </w:t>
      </w:r>
      <w:r w:rsidRPr="00684CF8">
        <w:t>большинстве случаев наём на работу без надлежащего оформления происходит на малых и средних предприятиях. Среди крупных предприятий чаще возникают проблемы, связанные со схемами уклонения от уплаты подоходного налога на пособия, выплачиваемые работникам.</w:t>
      </w:r>
    </w:p>
    <w:p w14:paraId="62F96279" w14:textId="77777777" w:rsidR="007D59F0" w:rsidRPr="00684CF8" w:rsidRDefault="007D59F0" w:rsidP="00CE02F6">
      <w:pPr>
        <w:pStyle w:val="H23G"/>
        <w:pageBreakBefore/>
      </w:pPr>
      <w:bookmarkStart w:id="20" w:name="_Toc32364280"/>
      <w:r w:rsidRPr="00684CF8">
        <w:lastRenderedPageBreak/>
        <w:tab/>
      </w:r>
      <w:r w:rsidRPr="00684CF8">
        <w:tab/>
        <w:t>Бедность и распределение доходов</w:t>
      </w:r>
      <w:bookmarkEnd w:id="20"/>
    </w:p>
    <w:p w14:paraId="1443A828" w14:textId="77777777" w:rsidR="007D59F0" w:rsidRPr="00684CF8" w:rsidRDefault="007D59F0" w:rsidP="007D59F0">
      <w:pPr>
        <w:pStyle w:val="SingleTxtG"/>
      </w:pPr>
      <w:r w:rsidRPr="00684CF8">
        <w:t>58.</w:t>
      </w:r>
      <w:r w:rsidRPr="00684CF8">
        <w:tab/>
        <w:t>За последние два десятилетия структура домохозяйств в Финляндии изменилась. Домашние хозяйства в составе одного и двух человек стали более распространенными, в то время как доля семей с детьми сократилась. Наиболее распространенным типом домохозяйств в 2017 году было домохозяйство в составе одного человека, на долю которого приходилось 43</w:t>
      </w:r>
      <w:r w:rsidR="008221B3">
        <w:rPr>
          <w:lang w:val="en-US"/>
        </w:rPr>
        <w:t> </w:t>
      </w:r>
      <w:r w:rsidRPr="00684CF8">
        <w:t>% всех домохозяйств. Бездетные пары составляли 30</w:t>
      </w:r>
      <w:r w:rsidR="008221B3">
        <w:rPr>
          <w:lang w:val="en-US"/>
        </w:rPr>
        <w:t> </w:t>
      </w:r>
      <w:r w:rsidRPr="00684CF8">
        <w:t xml:space="preserve">% домохозяйств, а домохозяйства с детьми и одним или двумя родителями </w:t>
      </w:r>
      <w:r w:rsidR="00AF6C40" w:rsidRPr="00684CF8">
        <w:t>—</w:t>
      </w:r>
      <w:r w:rsidRPr="00684CF8">
        <w:t xml:space="preserve"> 21,2</w:t>
      </w:r>
      <w:r w:rsidR="008221B3">
        <w:rPr>
          <w:lang w:val="en-US"/>
        </w:rPr>
        <w:t> </w:t>
      </w:r>
      <w:r w:rsidRPr="00684CF8">
        <w:t xml:space="preserve">%. Категория </w:t>
      </w:r>
      <w:r w:rsidR="00AF6C40" w:rsidRPr="00684CF8">
        <w:t>«</w:t>
      </w:r>
      <w:r w:rsidRPr="00684CF8">
        <w:t>прочие</w:t>
      </w:r>
      <w:r w:rsidR="00AF6C40" w:rsidRPr="00684CF8">
        <w:t>»</w:t>
      </w:r>
      <w:r w:rsidRPr="00684CF8">
        <w:t xml:space="preserve"> включает в себя, в частности, домохозяйства, состоящие из представителей нескольких поколений, и</w:t>
      </w:r>
      <w:r w:rsidR="00AF6C40" w:rsidRPr="00684CF8">
        <w:t> </w:t>
      </w:r>
      <w:r w:rsidRPr="00684CF8">
        <w:t>домохозяйства, состоящие из родителей и взрослых детей.</w:t>
      </w:r>
    </w:p>
    <w:p w14:paraId="0296C51A" w14:textId="77777777" w:rsidR="007D59F0" w:rsidRPr="00684CF8" w:rsidRDefault="007D59F0" w:rsidP="007D59F0">
      <w:pPr>
        <w:pStyle w:val="SingleTxtG"/>
      </w:pPr>
      <w:r w:rsidRPr="00684CF8">
        <w:t>59.</w:t>
      </w:r>
      <w:r w:rsidRPr="00684CF8">
        <w:tab/>
        <w:t>Доля населения с низким уровнем дохода и устойчиво низким уровнем дохода в последние годы колебалась примерно возле 12</w:t>
      </w:r>
      <w:r w:rsidR="008221B3">
        <w:rPr>
          <w:lang w:val="en-US"/>
        </w:rPr>
        <w:t> </w:t>
      </w:r>
      <w:r w:rsidRPr="00684CF8">
        <w:t xml:space="preserve">%. За тот же период времени общий уровень дохода характеризовался низкой динамикой, и, следовательно, существенного изменения порогового показателя низкого уровня дохода, который привязан к среднему уровню дохода, не произошло. </w:t>
      </w:r>
    </w:p>
    <w:p w14:paraId="6D141D41" w14:textId="77777777" w:rsidR="007D59F0" w:rsidRPr="00684CF8" w:rsidRDefault="007D59F0" w:rsidP="007D59F0">
      <w:pPr>
        <w:pStyle w:val="SingleTxtG"/>
      </w:pPr>
      <w:r w:rsidRPr="00684CF8">
        <w:t>60.</w:t>
      </w:r>
      <w:r w:rsidRPr="00684CF8">
        <w:tab/>
        <w:t>Показатель риска бедности ниже для семей с детьми, чем для всего населения в целом. В последние годы этот показатель среди лиц, живущих в семьях с детьми (принадлежащих к таким семьям), также составлял около 9</w:t>
      </w:r>
      <w:r w:rsidR="008221B3">
        <w:rPr>
          <w:lang w:val="en-US"/>
        </w:rPr>
        <w:t> </w:t>
      </w:r>
      <w:r w:rsidRPr="00684CF8">
        <w:t xml:space="preserve">%. Низкий уровень доходов остается серьезной проблемой для семей с одним родителем. Тем не менее в Финляндии относительный уровень бедности ниже, чем в большинстве государств </w:t>
      </w:r>
      <w:r w:rsidR="00AF6C40" w:rsidRPr="00684CF8">
        <w:t>—</w:t>
      </w:r>
      <w:r w:rsidRPr="00684CF8">
        <w:t xml:space="preserve"> членов ЕС. </w:t>
      </w:r>
    </w:p>
    <w:p w14:paraId="37B34A44" w14:textId="77777777" w:rsidR="007D59F0" w:rsidRPr="00684CF8" w:rsidRDefault="007D59F0" w:rsidP="007D59F0">
      <w:pPr>
        <w:pStyle w:val="SingleTxtG"/>
      </w:pPr>
      <w:r w:rsidRPr="00684CF8">
        <w:t>61.</w:t>
      </w:r>
      <w:r w:rsidRPr="00684CF8">
        <w:tab/>
        <w:t>Наиболее высокие доходы наблюдаются среди пар в возрасте от 35 до 64 лет, а</w:t>
      </w:r>
      <w:r w:rsidR="00AF6C40" w:rsidRPr="00684CF8">
        <w:t> </w:t>
      </w:r>
      <w:r w:rsidRPr="00684CF8">
        <w:t xml:space="preserve">самые низкие </w:t>
      </w:r>
      <w:r w:rsidR="00AF6C40" w:rsidRPr="00684CF8">
        <w:t>—</w:t>
      </w:r>
      <w:r w:rsidRPr="00684CF8">
        <w:t xml:space="preserve"> среди молодых людей, одиноких людей пенсионного возраста и родителей-одиночек. Лица, живущие в одиночестве, отказываются от общих потребительских преимуществ супружеских пар, которые возникают в связи с совместным проживанием и другими затратами. Кроме того, на уровень доходов родителей-одиночек влияет тот факт, что на доход одного работника приходится содержать более одного человека.</w:t>
      </w:r>
    </w:p>
    <w:p w14:paraId="7434E2A6" w14:textId="77777777" w:rsidR="007D59F0" w:rsidRPr="00684CF8" w:rsidRDefault="007D59F0" w:rsidP="007D59F0">
      <w:pPr>
        <w:pStyle w:val="SingleTxtG"/>
      </w:pPr>
      <w:r w:rsidRPr="00684CF8">
        <w:t>62.</w:t>
      </w:r>
      <w:r w:rsidRPr="00684CF8">
        <w:tab/>
        <w:t>Бедность в Финляндии зачастую является проблемой, передаваемой из поколения в поколение, а после спада 1990-х годов бедность среди семей с детьми стала более распространенной. Статистические данные свидетельствуют о том, что семьи иммигрантов, в которых есть дети, живут в нищете чаще, чем семьи коренного населения, в которых есть дети. С 1990-х годов также возросла бедность в семьях родителей-одиночек. Из всех домохозяйств социальная помощь чаще всего оказывается матерям-одиночкам. В 2017 году около 30</w:t>
      </w:r>
      <w:r w:rsidR="008221B3">
        <w:rPr>
          <w:lang w:val="en-US"/>
        </w:rPr>
        <w:t> </w:t>
      </w:r>
      <w:r w:rsidRPr="00684CF8">
        <w:t>% домашних хозяйств, состоящих из одиноких матерей, получали социальную помощь по сравнению с 8,5</w:t>
      </w:r>
      <w:r w:rsidR="008221B3">
        <w:rPr>
          <w:lang w:val="en-US"/>
        </w:rPr>
        <w:t> </w:t>
      </w:r>
      <w:r w:rsidRPr="00684CF8">
        <w:t>%</w:t>
      </w:r>
      <w:r w:rsidR="00AF6C40" w:rsidRPr="00684CF8">
        <w:t> </w:t>
      </w:r>
      <w:r w:rsidRPr="00684CF8">
        <w:t>для всего населения. Наибольшему риску хронической бедности подвергаются пожилые женщины. Женщины-инвалиды чаще живут в нищете. Риск подвергнуться бедности для женщины-инвалида составляет около 25,5</w:t>
      </w:r>
      <w:r w:rsidR="008221B3">
        <w:rPr>
          <w:lang w:val="en-US"/>
        </w:rPr>
        <w:t> </w:t>
      </w:r>
      <w:r w:rsidRPr="00684CF8">
        <w:t>%, а для мужчины-инвалида</w:t>
      </w:r>
      <w:r w:rsidR="00AF6C40" w:rsidRPr="00684CF8">
        <w:t> —</w:t>
      </w:r>
      <w:r w:rsidRPr="00684CF8">
        <w:t xml:space="preserve"> 23,9</w:t>
      </w:r>
      <w:r w:rsidR="008221B3">
        <w:rPr>
          <w:lang w:val="en-US"/>
        </w:rPr>
        <w:t> </w:t>
      </w:r>
      <w:r w:rsidRPr="00684CF8">
        <w:t>%. Для лиц, не имеющих инвалидности, эти показатели составляют соответственно 14,3</w:t>
      </w:r>
      <w:r w:rsidR="008221B3">
        <w:rPr>
          <w:lang w:val="en-US"/>
        </w:rPr>
        <w:t> </w:t>
      </w:r>
      <w:r w:rsidRPr="00684CF8">
        <w:t>% и 13,7</w:t>
      </w:r>
      <w:r w:rsidR="008221B3">
        <w:rPr>
          <w:lang w:val="en-US"/>
        </w:rPr>
        <w:t> </w:t>
      </w:r>
      <w:r w:rsidRPr="00684CF8">
        <w:t>%.</w:t>
      </w:r>
    </w:p>
    <w:p w14:paraId="2BE7F33E" w14:textId="77777777" w:rsidR="007D59F0" w:rsidRPr="00684CF8" w:rsidRDefault="007D59F0" w:rsidP="007D59F0">
      <w:pPr>
        <w:pStyle w:val="SingleTxtG"/>
      </w:pPr>
      <w:r w:rsidRPr="00684CF8">
        <w:t>63.</w:t>
      </w:r>
      <w:r w:rsidRPr="00684CF8">
        <w:tab/>
        <w:t xml:space="preserve">Коэффициент Джини является широко известным показателем степени неравенства в доходах, используемым для описания, в частности, распределения доходов по возрастным группам населения. Чем выше значение Джини, тем более неравномерно распределены доходы. Максимально возможное значение коэффициента Джини </w:t>
      </w:r>
      <w:r w:rsidR="00AF6C40" w:rsidRPr="00684CF8">
        <w:t>—</w:t>
      </w:r>
      <w:r w:rsidRPr="00684CF8">
        <w:t xml:space="preserve"> 100. В таком случае обладатель наибольшего дохода получает все доходы. Наименьшее значение коэффициента Джини составляет 0, </w:t>
      </w:r>
      <w:r w:rsidR="00AF6C40" w:rsidRPr="00684CF8">
        <w:br/>
      </w:r>
      <w:r w:rsidRPr="00684CF8">
        <w:t>когда доходы всех получателей равны. В таблице ниже приведена подборка коэффициентов Джини по некоторым ключевым экономическим показателям за период 2012–2017</w:t>
      </w:r>
      <w:r w:rsidR="00AF6C40" w:rsidRPr="00684CF8">
        <w:t> </w:t>
      </w:r>
      <w:r w:rsidRPr="00684CF8">
        <w:t>годов.</w:t>
      </w:r>
    </w:p>
    <w:p w14:paraId="7C6B4B97" w14:textId="77777777" w:rsidR="007D59F0" w:rsidRPr="00684CF8" w:rsidRDefault="00CE02F6" w:rsidP="00CE02F6">
      <w:pPr>
        <w:pStyle w:val="1"/>
        <w:pageBreakBefore/>
        <w:spacing w:before="240" w:after="120"/>
        <w:ind w:left="1134" w:hanging="1134"/>
        <w:jc w:val="left"/>
        <w:rPr>
          <w:rFonts w:cs="Times New Roman"/>
          <w:szCs w:val="20"/>
        </w:rPr>
      </w:pPr>
      <w:r w:rsidRPr="00684CF8">
        <w:rPr>
          <w:b w:val="0"/>
          <w:bCs w:val="0"/>
        </w:rPr>
        <w:lastRenderedPageBreak/>
        <w:tab/>
      </w:r>
      <w:r w:rsidRPr="00684CF8">
        <w:rPr>
          <w:b w:val="0"/>
          <w:bCs w:val="0"/>
        </w:rPr>
        <w:tab/>
        <w:t>Таблица 5</w:t>
      </w:r>
      <w:r w:rsidR="00AF6C40" w:rsidRPr="00684CF8">
        <w:rPr>
          <w:b w:val="0"/>
          <w:bCs w:val="0"/>
        </w:rPr>
        <w:br/>
      </w:r>
      <w:r w:rsidR="007D59F0" w:rsidRPr="00684CF8">
        <w:t xml:space="preserve">Коэффициенты Джини для факторного дохода, валового дохода и располагаемого </w:t>
      </w:r>
      <w:r w:rsidRPr="00684CF8">
        <w:br/>
      </w:r>
      <w:r w:rsidR="007D59F0" w:rsidRPr="00684CF8">
        <w:t xml:space="preserve">дохода и выравнивающее влияние текущих трансфертов на разницу в доходах, </w:t>
      </w:r>
      <w:r w:rsidRPr="00684CF8">
        <w:br/>
      </w:r>
      <w:r w:rsidR="007D59F0" w:rsidRPr="00684CF8">
        <w:t>2012</w:t>
      </w:r>
      <w:bookmarkStart w:id="21" w:name="_Hlk49019643"/>
      <w:r w:rsidR="007D59F0" w:rsidRPr="00684CF8">
        <w:t>–</w:t>
      </w:r>
      <w:bookmarkEnd w:id="21"/>
      <w:r w:rsidR="007D59F0" w:rsidRPr="00684CF8">
        <w:t>201</w:t>
      </w:r>
      <w:r w:rsidR="007D59F0" w:rsidRPr="00684CF8">
        <w:rPr>
          <w:rFonts w:cs="Times New Roman"/>
          <w:szCs w:val="20"/>
        </w:rPr>
        <w:t>7 годы</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63"/>
        <w:gridCol w:w="938"/>
        <w:gridCol w:w="851"/>
        <w:gridCol w:w="1417"/>
        <w:gridCol w:w="1134"/>
        <w:gridCol w:w="1134"/>
        <w:gridCol w:w="1133"/>
      </w:tblGrid>
      <w:tr w:rsidR="00CE02F6" w:rsidRPr="00684CF8" w14:paraId="20817FF4" w14:textId="77777777" w:rsidTr="002A79B1">
        <w:trPr>
          <w:tblHeader/>
        </w:trPr>
        <w:tc>
          <w:tcPr>
            <w:tcW w:w="763" w:type="dxa"/>
            <w:vMerge w:val="restart"/>
            <w:tcBorders>
              <w:top w:val="single" w:sz="4" w:space="0" w:color="auto"/>
              <w:bottom w:val="single" w:sz="12" w:space="0" w:color="auto"/>
            </w:tcBorders>
            <w:shd w:val="clear" w:color="auto" w:fill="auto"/>
            <w:vAlign w:val="bottom"/>
            <w:hideMark/>
          </w:tcPr>
          <w:p w14:paraId="3B3FD74B" w14:textId="77777777" w:rsidR="00CE02F6" w:rsidRPr="00684CF8" w:rsidRDefault="00CE02F6" w:rsidP="000F1DEB">
            <w:pPr>
              <w:suppressAutoHyphens w:val="0"/>
              <w:spacing w:before="80" w:after="80" w:line="200" w:lineRule="exact"/>
              <w:rPr>
                <w:i/>
                <w:sz w:val="16"/>
                <w:szCs w:val="16"/>
              </w:rPr>
            </w:pPr>
            <w:r w:rsidRPr="00684CF8">
              <w:rPr>
                <w:i/>
                <w:sz w:val="16"/>
                <w:szCs w:val="16"/>
              </w:rPr>
              <w:t>Год</w:t>
            </w:r>
          </w:p>
        </w:tc>
        <w:tc>
          <w:tcPr>
            <w:tcW w:w="3206" w:type="dxa"/>
            <w:gridSpan w:val="3"/>
            <w:tcBorders>
              <w:top w:val="single" w:sz="4" w:space="0" w:color="auto"/>
              <w:bottom w:val="single" w:sz="4" w:space="0" w:color="auto"/>
              <w:right w:val="single" w:sz="24" w:space="0" w:color="FFFFFF" w:themeColor="background1"/>
            </w:tcBorders>
            <w:shd w:val="clear" w:color="auto" w:fill="auto"/>
            <w:vAlign w:val="bottom"/>
            <w:hideMark/>
          </w:tcPr>
          <w:p w14:paraId="1B332068"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Коэффициент Джини</w:t>
            </w:r>
            <w:r w:rsidRPr="00684CF8">
              <w:rPr>
                <w:i/>
                <w:sz w:val="16"/>
                <w:szCs w:val="16"/>
              </w:rPr>
              <w:t>, %</w:t>
            </w:r>
          </w:p>
        </w:tc>
        <w:tc>
          <w:tcPr>
            <w:tcW w:w="3401" w:type="dxa"/>
            <w:gridSpan w:val="3"/>
            <w:tcBorders>
              <w:top w:val="single" w:sz="4" w:space="0" w:color="auto"/>
              <w:left w:val="single" w:sz="24" w:space="0" w:color="FFFFFF" w:themeColor="background1"/>
              <w:bottom w:val="single" w:sz="4" w:space="0" w:color="auto"/>
            </w:tcBorders>
            <w:shd w:val="clear" w:color="auto" w:fill="auto"/>
            <w:vAlign w:val="bottom"/>
            <w:hideMark/>
          </w:tcPr>
          <w:p w14:paraId="136EE630"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Выравнивающее влияние текущих трансфертов на разницу в доходах</w:t>
            </w:r>
          </w:p>
        </w:tc>
      </w:tr>
      <w:tr w:rsidR="00CE02F6" w:rsidRPr="00684CF8" w14:paraId="745A22B4" w14:textId="77777777" w:rsidTr="000F1DEB">
        <w:trPr>
          <w:tblHeader/>
        </w:trPr>
        <w:tc>
          <w:tcPr>
            <w:tcW w:w="763" w:type="dxa"/>
            <w:vMerge/>
            <w:tcBorders>
              <w:top w:val="single" w:sz="12" w:space="0" w:color="auto"/>
              <w:bottom w:val="single" w:sz="12" w:space="0" w:color="auto"/>
            </w:tcBorders>
            <w:shd w:val="clear" w:color="auto" w:fill="auto"/>
            <w:vAlign w:val="bottom"/>
            <w:hideMark/>
          </w:tcPr>
          <w:p w14:paraId="2316762E" w14:textId="77777777" w:rsidR="00CE02F6" w:rsidRPr="00684CF8" w:rsidRDefault="00CE02F6" w:rsidP="000F1DEB">
            <w:pPr>
              <w:suppressAutoHyphens w:val="0"/>
              <w:spacing w:before="80" w:after="80" w:line="200" w:lineRule="exact"/>
              <w:jc w:val="right"/>
              <w:rPr>
                <w:b/>
                <w:sz w:val="16"/>
                <w:szCs w:val="16"/>
              </w:rPr>
            </w:pPr>
          </w:p>
        </w:tc>
        <w:tc>
          <w:tcPr>
            <w:tcW w:w="938" w:type="dxa"/>
            <w:tcBorders>
              <w:top w:val="single" w:sz="4" w:space="0" w:color="auto"/>
              <w:bottom w:val="single" w:sz="12" w:space="0" w:color="auto"/>
            </w:tcBorders>
            <w:shd w:val="clear" w:color="auto" w:fill="auto"/>
            <w:vAlign w:val="bottom"/>
            <w:hideMark/>
          </w:tcPr>
          <w:p w14:paraId="2FC08194"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Факторный доход</w:t>
            </w:r>
          </w:p>
        </w:tc>
        <w:tc>
          <w:tcPr>
            <w:tcW w:w="851" w:type="dxa"/>
            <w:tcBorders>
              <w:top w:val="single" w:sz="4" w:space="0" w:color="auto"/>
              <w:bottom w:val="single" w:sz="12" w:space="0" w:color="auto"/>
            </w:tcBorders>
            <w:shd w:val="clear" w:color="auto" w:fill="auto"/>
            <w:vAlign w:val="bottom"/>
            <w:hideMark/>
          </w:tcPr>
          <w:p w14:paraId="0737CD75"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 xml:space="preserve">Валовой </w:t>
            </w:r>
            <w:r w:rsidR="000F1DEB" w:rsidRPr="00684CF8">
              <w:rPr>
                <w:i/>
                <w:iCs/>
                <w:sz w:val="16"/>
                <w:szCs w:val="16"/>
              </w:rPr>
              <w:br/>
            </w:r>
            <w:r w:rsidRPr="00684CF8">
              <w:rPr>
                <w:i/>
                <w:iCs/>
                <w:sz w:val="16"/>
                <w:szCs w:val="16"/>
              </w:rPr>
              <w:t>доход</w:t>
            </w:r>
          </w:p>
        </w:tc>
        <w:tc>
          <w:tcPr>
            <w:tcW w:w="1417" w:type="dxa"/>
            <w:tcBorders>
              <w:top w:val="single" w:sz="4" w:space="0" w:color="auto"/>
              <w:bottom w:val="single" w:sz="12" w:space="0" w:color="auto"/>
              <w:right w:val="single" w:sz="24" w:space="0" w:color="FFFFFF" w:themeColor="background1"/>
            </w:tcBorders>
            <w:shd w:val="clear" w:color="auto" w:fill="auto"/>
            <w:vAlign w:val="bottom"/>
            <w:hideMark/>
          </w:tcPr>
          <w:p w14:paraId="02D1A7F2"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 xml:space="preserve">Располагаемый </w:t>
            </w:r>
            <w:r w:rsidR="000F1DEB" w:rsidRPr="00684CF8">
              <w:rPr>
                <w:i/>
                <w:iCs/>
                <w:sz w:val="16"/>
                <w:szCs w:val="16"/>
              </w:rPr>
              <w:br/>
            </w:r>
            <w:r w:rsidRPr="00684CF8">
              <w:rPr>
                <w:i/>
                <w:iCs/>
                <w:sz w:val="16"/>
                <w:szCs w:val="16"/>
              </w:rPr>
              <w:t>денежный доход</w:t>
            </w:r>
          </w:p>
        </w:tc>
        <w:tc>
          <w:tcPr>
            <w:tcW w:w="1134" w:type="dxa"/>
            <w:tcBorders>
              <w:top w:val="single" w:sz="4" w:space="0" w:color="auto"/>
              <w:left w:val="single" w:sz="24" w:space="0" w:color="FFFFFF" w:themeColor="background1"/>
              <w:bottom w:val="single" w:sz="12" w:space="0" w:color="auto"/>
            </w:tcBorders>
            <w:shd w:val="clear" w:color="auto" w:fill="auto"/>
            <w:vAlign w:val="bottom"/>
            <w:hideMark/>
          </w:tcPr>
          <w:p w14:paraId="4024A95C"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 xml:space="preserve">Полученные </w:t>
            </w:r>
            <w:r w:rsidR="000F1DEB" w:rsidRPr="00684CF8">
              <w:rPr>
                <w:i/>
                <w:iCs/>
                <w:sz w:val="16"/>
                <w:szCs w:val="16"/>
              </w:rPr>
              <w:br/>
            </w:r>
            <w:r w:rsidRPr="00684CF8">
              <w:rPr>
                <w:i/>
                <w:iCs/>
                <w:sz w:val="16"/>
                <w:szCs w:val="16"/>
              </w:rPr>
              <w:t xml:space="preserve">текущие </w:t>
            </w:r>
            <w:r w:rsidR="000F1DEB" w:rsidRPr="00684CF8">
              <w:rPr>
                <w:i/>
                <w:iCs/>
                <w:sz w:val="16"/>
                <w:szCs w:val="16"/>
              </w:rPr>
              <w:br/>
            </w:r>
            <w:r w:rsidRPr="00684CF8">
              <w:rPr>
                <w:i/>
                <w:iCs/>
                <w:sz w:val="16"/>
                <w:szCs w:val="16"/>
              </w:rPr>
              <w:t>трансферты</w:t>
            </w:r>
          </w:p>
        </w:tc>
        <w:tc>
          <w:tcPr>
            <w:tcW w:w="1134" w:type="dxa"/>
            <w:tcBorders>
              <w:top w:val="single" w:sz="4" w:space="0" w:color="auto"/>
              <w:bottom w:val="single" w:sz="12" w:space="0" w:color="auto"/>
            </w:tcBorders>
            <w:shd w:val="clear" w:color="auto" w:fill="auto"/>
            <w:vAlign w:val="bottom"/>
            <w:hideMark/>
          </w:tcPr>
          <w:p w14:paraId="5981FBF9"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 xml:space="preserve">Выплаченные </w:t>
            </w:r>
            <w:r w:rsidR="000F1DEB" w:rsidRPr="00684CF8">
              <w:rPr>
                <w:i/>
                <w:iCs/>
                <w:sz w:val="16"/>
                <w:szCs w:val="16"/>
              </w:rPr>
              <w:br/>
            </w:r>
            <w:r w:rsidRPr="00684CF8">
              <w:rPr>
                <w:i/>
                <w:iCs/>
                <w:sz w:val="16"/>
                <w:szCs w:val="16"/>
              </w:rPr>
              <w:t xml:space="preserve">текущие </w:t>
            </w:r>
            <w:r w:rsidR="000F1DEB" w:rsidRPr="00684CF8">
              <w:rPr>
                <w:i/>
                <w:iCs/>
                <w:sz w:val="16"/>
                <w:szCs w:val="16"/>
              </w:rPr>
              <w:br/>
            </w:r>
            <w:r w:rsidRPr="00684CF8">
              <w:rPr>
                <w:i/>
                <w:iCs/>
                <w:sz w:val="16"/>
                <w:szCs w:val="16"/>
              </w:rPr>
              <w:t>трансферты</w:t>
            </w:r>
          </w:p>
        </w:tc>
        <w:tc>
          <w:tcPr>
            <w:tcW w:w="1133" w:type="dxa"/>
            <w:tcBorders>
              <w:top w:val="single" w:sz="4" w:space="0" w:color="auto"/>
              <w:bottom w:val="single" w:sz="12" w:space="0" w:color="auto"/>
            </w:tcBorders>
            <w:shd w:val="clear" w:color="auto" w:fill="auto"/>
            <w:vAlign w:val="bottom"/>
            <w:hideMark/>
          </w:tcPr>
          <w:p w14:paraId="6AAC7039" w14:textId="77777777" w:rsidR="00CE02F6" w:rsidRPr="00684CF8" w:rsidRDefault="00CE02F6" w:rsidP="000F1DEB">
            <w:pPr>
              <w:suppressAutoHyphens w:val="0"/>
              <w:spacing w:before="80" w:after="80" w:line="200" w:lineRule="exact"/>
              <w:jc w:val="right"/>
              <w:rPr>
                <w:i/>
                <w:sz w:val="16"/>
                <w:szCs w:val="16"/>
              </w:rPr>
            </w:pPr>
            <w:r w:rsidRPr="00684CF8">
              <w:rPr>
                <w:i/>
                <w:iCs/>
                <w:sz w:val="16"/>
                <w:szCs w:val="16"/>
              </w:rPr>
              <w:t>Комбиниро</w:t>
            </w:r>
            <w:r w:rsidR="000F1DEB" w:rsidRPr="00684CF8">
              <w:rPr>
                <w:i/>
                <w:iCs/>
                <w:sz w:val="16"/>
                <w:szCs w:val="16"/>
              </w:rPr>
              <w:t>-</w:t>
            </w:r>
            <w:r w:rsidR="000F1DEB" w:rsidRPr="00684CF8">
              <w:rPr>
                <w:i/>
                <w:iCs/>
                <w:sz w:val="16"/>
                <w:szCs w:val="16"/>
              </w:rPr>
              <w:br/>
            </w:r>
            <w:r w:rsidRPr="00684CF8">
              <w:rPr>
                <w:i/>
                <w:iCs/>
                <w:sz w:val="16"/>
                <w:szCs w:val="16"/>
              </w:rPr>
              <w:t xml:space="preserve">ванное </w:t>
            </w:r>
            <w:r w:rsidR="000F1DEB" w:rsidRPr="00684CF8">
              <w:rPr>
                <w:i/>
                <w:iCs/>
                <w:sz w:val="16"/>
                <w:szCs w:val="16"/>
              </w:rPr>
              <w:br/>
            </w:r>
            <w:r w:rsidRPr="00684CF8">
              <w:rPr>
                <w:i/>
                <w:iCs/>
                <w:sz w:val="16"/>
                <w:szCs w:val="16"/>
              </w:rPr>
              <w:t>воздействие</w:t>
            </w:r>
          </w:p>
        </w:tc>
      </w:tr>
      <w:tr w:rsidR="00CE02F6" w:rsidRPr="00684CF8" w14:paraId="2C5E386B" w14:textId="77777777" w:rsidTr="000F1DEB">
        <w:tc>
          <w:tcPr>
            <w:tcW w:w="763" w:type="dxa"/>
            <w:tcBorders>
              <w:top w:val="single" w:sz="12" w:space="0" w:color="auto"/>
            </w:tcBorders>
            <w:shd w:val="clear" w:color="auto" w:fill="auto"/>
            <w:hideMark/>
          </w:tcPr>
          <w:p w14:paraId="40F25817" w14:textId="77777777" w:rsidR="00CE02F6" w:rsidRPr="00684CF8" w:rsidRDefault="00CE02F6" w:rsidP="000F1DEB">
            <w:pPr>
              <w:suppressAutoHyphens w:val="0"/>
              <w:spacing w:before="40" w:after="40" w:line="220" w:lineRule="exact"/>
              <w:rPr>
                <w:bCs/>
                <w:sz w:val="18"/>
                <w:szCs w:val="24"/>
              </w:rPr>
            </w:pPr>
            <w:r w:rsidRPr="00684CF8">
              <w:rPr>
                <w:bCs/>
                <w:sz w:val="18"/>
                <w:szCs w:val="24"/>
              </w:rPr>
              <w:t>2012</w:t>
            </w:r>
          </w:p>
        </w:tc>
        <w:tc>
          <w:tcPr>
            <w:tcW w:w="938" w:type="dxa"/>
            <w:tcBorders>
              <w:top w:val="single" w:sz="12" w:space="0" w:color="auto"/>
            </w:tcBorders>
            <w:shd w:val="clear" w:color="auto" w:fill="auto"/>
            <w:vAlign w:val="bottom"/>
            <w:hideMark/>
          </w:tcPr>
          <w:p w14:paraId="2C2A3835"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49</w:t>
            </w:r>
            <w:r w:rsidR="000F1DEB" w:rsidRPr="00684CF8">
              <w:rPr>
                <w:sz w:val="18"/>
                <w:szCs w:val="24"/>
              </w:rPr>
              <w:t>,</w:t>
            </w:r>
            <w:r w:rsidRPr="00684CF8">
              <w:rPr>
                <w:sz w:val="18"/>
                <w:szCs w:val="24"/>
              </w:rPr>
              <w:t>7</w:t>
            </w:r>
          </w:p>
        </w:tc>
        <w:tc>
          <w:tcPr>
            <w:tcW w:w="851" w:type="dxa"/>
            <w:tcBorders>
              <w:top w:val="single" w:sz="12" w:space="0" w:color="auto"/>
            </w:tcBorders>
            <w:shd w:val="clear" w:color="auto" w:fill="auto"/>
            <w:vAlign w:val="bottom"/>
            <w:hideMark/>
          </w:tcPr>
          <w:p w14:paraId="6ABB1887"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31</w:t>
            </w:r>
            <w:r w:rsidR="000F1DEB" w:rsidRPr="00684CF8">
              <w:rPr>
                <w:sz w:val="18"/>
                <w:szCs w:val="24"/>
              </w:rPr>
              <w:t>,</w:t>
            </w:r>
            <w:r w:rsidRPr="00684CF8">
              <w:rPr>
                <w:sz w:val="18"/>
                <w:szCs w:val="24"/>
              </w:rPr>
              <w:t>5</w:t>
            </w:r>
          </w:p>
        </w:tc>
        <w:tc>
          <w:tcPr>
            <w:tcW w:w="1417" w:type="dxa"/>
            <w:tcBorders>
              <w:top w:val="single" w:sz="12" w:space="0" w:color="auto"/>
            </w:tcBorders>
            <w:shd w:val="clear" w:color="auto" w:fill="auto"/>
            <w:vAlign w:val="bottom"/>
            <w:hideMark/>
          </w:tcPr>
          <w:p w14:paraId="26A8D3A1"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26</w:t>
            </w:r>
            <w:r w:rsidR="000F1DEB" w:rsidRPr="00684CF8">
              <w:rPr>
                <w:sz w:val="18"/>
                <w:szCs w:val="24"/>
              </w:rPr>
              <w:t>,</w:t>
            </w:r>
            <w:r w:rsidRPr="00684CF8">
              <w:rPr>
                <w:sz w:val="18"/>
                <w:szCs w:val="24"/>
              </w:rPr>
              <w:t>9</w:t>
            </w:r>
          </w:p>
        </w:tc>
        <w:tc>
          <w:tcPr>
            <w:tcW w:w="1134" w:type="dxa"/>
            <w:tcBorders>
              <w:top w:val="single" w:sz="12" w:space="0" w:color="auto"/>
            </w:tcBorders>
            <w:shd w:val="clear" w:color="auto" w:fill="auto"/>
            <w:vAlign w:val="bottom"/>
            <w:hideMark/>
          </w:tcPr>
          <w:p w14:paraId="35CB8023"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36</w:t>
            </w:r>
            <w:r w:rsidR="000F1DEB" w:rsidRPr="00684CF8">
              <w:rPr>
                <w:sz w:val="18"/>
                <w:szCs w:val="24"/>
              </w:rPr>
              <w:t>,</w:t>
            </w:r>
            <w:r w:rsidRPr="00684CF8">
              <w:rPr>
                <w:sz w:val="18"/>
                <w:szCs w:val="24"/>
              </w:rPr>
              <w:t>8</w:t>
            </w:r>
          </w:p>
        </w:tc>
        <w:tc>
          <w:tcPr>
            <w:tcW w:w="1134" w:type="dxa"/>
            <w:tcBorders>
              <w:top w:val="single" w:sz="12" w:space="0" w:color="auto"/>
            </w:tcBorders>
            <w:shd w:val="clear" w:color="auto" w:fill="auto"/>
            <w:vAlign w:val="bottom"/>
            <w:hideMark/>
          </w:tcPr>
          <w:p w14:paraId="5AFF7E7A"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14</w:t>
            </w:r>
            <w:r w:rsidR="000F1DEB" w:rsidRPr="00684CF8">
              <w:rPr>
                <w:sz w:val="18"/>
                <w:szCs w:val="24"/>
              </w:rPr>
              <w:t>,</w:t>
            </w:r>
            <w:r w:rsidRPr="00684CF8">
              <w:rPr>
                <w:sz w:val="18"/>
                <w:szCs w:val="24"/>
              </w:rPr>
              <w:t>5</w:t>
            </w:r>
          </w:p>
        </w:tc>
        <w:tc>
          <w:tcPr>
            <w:tcW w:w="1133" w:type="dxa"/>
            <w:tcBorders>
              <w:top w:val="single" w:sz="12" w:space="0" w:color="auto"/>
            </w:tcBorders>
            <w:shd w:val="clear" w:color="auto" w:fill="auto"/>
            <w:vAlign w:val="bottom"/>
            <w:hideMark/>
          </w:tcPr>
          <w:p w14:paraId="16A3FE44"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46</w:t>
            </w:r>
            <w:r w:rsidR="000F1DEB" w:rsidRPr="00684CF8">
              <w:rPr>
                <w:sz w:val="18"/>
                <w:szCs w:val="24"/>
              </w:rPr>
              <w:t>,</w:t>
            </w:r>
            <w:r w:rsidRPr="00684CF8">
              <w:rPr>
                <w:sz w:val="18"/>
                <w:szCs w:val="24"/>
              </w:rPr>
              <w:t>0</w:t>
            </w:r>
          </w:p>
        </w:tc>
      </w:tr>
      <w:tr w:rsidR="00CE02F6" w:rsidRPr="00684CF8" w14:paraId="19CAA918" w14:textId="77777777" w:rsidTr="000F1DEB">
        <w:tc>
          <w:tcPr>
            <w:tcW w:w="763" w:type="dxa"/>
            <w:shd w:val="clear" w:color="auto" w:fill="auto"/>
            <w:hideMark/>
          </w:tcPr>
          <w:p w14:paraId="35A71FD0" w14:textId="77777777" w:rsidR="00CE02F6" w:rsidRPr="00684CF8" w:rsidRDefault="00CE02F6" w:rsidP="000F1DEB">
            <w:pPr>
              <w:suppressAutoHyphens w:val="0"/>
              <w:spacing w:before="40" w:after="40" w:line="220" w:lineRule="exact"/>
              <w:rPr>
                <w:bCs/>
                <w:sz w:val="18"/>
                <w:szCs w:val="24"/>
              </w:rPr>
            </w:pPr>
            <w:r w:rsidRPr="00684CF8">
              <w:rPr>
                <w:bCs/>
                <w:sz w:val="18"/>
                <w:szCs w:val="24"/>
              </w:rPr>
              <w:t>2013</w:t>
            </w:r>
          </w:p>
        </w:tc>
        <w:tc>
          <w:tcPr>
            <w:tcW w:w="938" w:type="dxa"/>
            <w:shd w:val="clear" w:color="auto" w:fill="auto"/>
            <w:vAlign w:val="bottom"/>
            <w:hideMark/>
          </w:tcPr>
          <w:p w14:paraId="677C3837"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50</w:t>
            </w:r>
            <w:r w:rsidR="000F1DEB" w:rsidRPr="00684CF8">
              <w:rPr>
                <w:sz w:val="18"/>
                <w:szCs w:val="24"/>
              </w:rPr>
              <w:t>,</w:t>
            </w:r>
            <w:r w:rsidRPr="00684CF8">
              <w:rPr>
                <w:sz w:val="18"/>
                <w:szCs w:val="24"/>
              </w:rPr>
              <w:t>7</w:t>
            </w:r>
          </w:p>
        </w:tc>
        <w:tc>
          <w:tcPr>
            <w:tcW w:w="851" w:type="dxa"/>
            <w:shd w:val="clear" w:color="auto" w:fill="auto"/>
            <w:vAlign w:val="bottom"/>
            <w:hideMark/>
          </w:tcPr>
          <w:p w14:paraId="23858507"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31</w:t>
            </w:r>
            <w:r w:rsidR="000F1DEB" w:rsidRPr="00684CF8">
              <w:rPr>
                <w:sz w:val="18"/>
                <w:szCs w:val="24"/>
              </w:rPr>
              <w:t>,</w:t>
            </w:r>
            <w:r w:rsidRPr="00684CF8">
              <w:rPr>
                <w:sz w:val="18"/>
                <w:szCs w:val="24"/>
              </w:rPr>
              <w:t>9</w:t>
            </w:r>
          </w:p>
        </w:tc>
        <w:tc>
          <w:tcPr>
            <w:tcW w:w="1417" w:type="dxa"/>
            <w:shd w:val="clear" w:color="auto" w:fill="auto"/>
            <w:vAlign w:val="bottom"/>
            <w:hideMark/>
          </w:tcPr>
          <w:p w14:paraId="544D185C"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27</w:t>
            </w:r>
            <w:r w:rsidR="000F1DEB" w:rsidRPr="00684CF8">
              <w:rPr>
                <w:sz w:val="18"/>
                <w:szCs w:val="24"/>
              </w:rPr>
              <w:t>,</w:t>
            </w:r>
            <w:r w:rsidRPr="00684CF8">
              <w:rPr>
                <w:sz w:val="18"/>
                <w:szCs w:val="24"/>
              </w:rPr>
              <w:t>2</w:t>
            </w:r>
          </w:p>
        </w:tc>
        <w:tc>
          <w:tcPr>
            <w:tcW w:w="1134" w:type="dxa"/>
            <w:shd w:val="clear" w:color="auto" w:fill="auto"/>
            <w:vAlign w:val="bottom"/>
            <w:hideMark/>
          </w:tcPr>
          <w:p w14:paraId="2CAC71D1"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37</w:t>
            </w:r>
            <w:r w:rsidR="000F1DEB" w:rsidRPr="00684CF8">
              <w:rPr>
                <w:sz w:val="18"/>
                <w:szCs w:val="24"/>
              </w:rPr>
              <w:t>,</w:t>
            </w:r>
            <w:r w:rsidRPr="00684CF8">
              <w:rPr>
                <w:sz w:val="18"/>
                <w:szCs w:val="24"/>
              </w:rPr>
              <w:t>2</w:t>
            </w:r>
          </w:p>
        </w:tc>
        <w:tc>
          <w:tcPr>
            <w:tcW w:w="1134" w:type="dxa"/>
            <w:shd w:val="clear" w:color="auto" w:fill="auto"/>
            <w:vAlign w:val="bottom"/>
            <w:hideMark/>
          </w:tcPr>
          <w:p w14:paraId="6E972415"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14</w:t>
            </w:r>
            <w:r w:rsidR="000F1DEB" w:rsidRPr="00684CF8">
              <w:rPr>
                <w:sz w:val="18"/>
                <w:szCs w:val="24"/>
              </w:rPr>
              <w:t>,</w:t>
            </w:r>
            <w:r w:rsidRPr="00684CF8">
              <w:rPr>
                <w:sz w:val="18"/>
                <w:szCs w:val="24"/>
              </w:rPr>
              <w:t>6</w:t>
            </w:r>
          </w:p>
        </w:tc>
        <w:tc>
          <w:tcPr>
            <w:tcW w:w="1133" w:type="dxa"/>
            <w:shd w:val="clear" w:color="auto" w:fill="auto"/>
            <w:vAlign w:val="bottom"/>
            <w:hideMark/>
          </w:tcPr>
          <w:p w14:paraId="37502C92"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46</w:t>
            </w:r>
            <w:r w:rsidR="000F1DEB" w:rsidRPr="00684CF8">
              <w:rPr>
                <w:sz w:val="18"/>
                <w:szCs w:val="24"/>
              </w:rPr>
              <w:t>,</w:t>
            </w:r>
            <w:r w:rsidRPr="00684CF8">
              <w:rPr>
                <w:sz w:val="18"/>
                <w:szCs w:val="24"/>
              </w:rPr>
              <w:t>3</w:t>
            </w:r>
          </w:p>
        </w:tc>
      </w:tr>
      <w:tr w:rsidR="00CE02F6" w:rsidRPr="00684CF8" w14:paraId="01498099" w14:textId="77777777" w:rsidTr="000F1DEB">
        <w:tc>
          <w:tcPr>
            <w:tcW w:w="763" w:type="dxa"/>
            <w:shd w:val="clear" w:color="auto" w:fill="auto"/>
            <w:hideMark/>
          </w:tcPr>
          <w:p w14:paraId="0EC5BF36" w14:textId="77777777" w:rsidR="00CE02F6" w:rsidRPr="00684CF8" w:rsidRDefault="00CE02F6" w:rsidP="000F1DEB">
            <w:pPr>
              <w:suppressAutoHyphens w:val="0"/>
              <w:spacing w:before="40" w:after="40" w:line="220" w:lineRule="exact"/>
              <w:rPr>
                <w:bCs/>
                <w:sz w:val="18"/>
                <w:szCs w:val="24"/>
              </w:rPr>
            </w:pPr>
            <w:r w:rsidRPr="00684CF8">
              <w:rPr>
                <w:bCs/>
                <w:sz w:val="18"/>
                <w:szCs w:val="24"/>
              </w:rPr>
              <w:t>2014</w:t>
            </w:r>
          </w:p>
        </w:tc>
        <w:tc>
          <w:tcPr>
            <w:tcW w:w="938" w:type="dxa"/>
            <w:shd w:val="clear" w:color="auto" w:fill="auto"/>
            <w:vAlign w:val="bottom"/>
            <w:hideMark/>
          </w:tcPr>
          <w:p w14:paraId="534524A7"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51</w:t>
            </w:r>
            <w:r w:rsidR="000F1DEB" w:rsidRPr="00684CF8">
              <w:rPr>
                <w:sz w:val="18"/>
                <w:szCs w:val="24"/>
              </w:rPr>
              <w:t>,</w:t>
            </w:r>
            <w:r w:rsidRPr="00684CF8">
              <w:rPr>
                <w:sz w:val="18"/>
                <w:szCs w:val="24"/>
              </w:rPr>
              <w:t>1</w:t>
            </w:r>
          </w:p>
        </w:tc>
        <w:tc>
          <w:tcPr>
            <w:tcW w:w="851" w:type="dxa"/>
            <w:shd w:val="clear" w:color="auto" w:fill="auto"/>
            <w:vAlign w:val="bottom"/>
            <w:hideMark/>
          </w:tcPr>
          <w:p w14:paraId="1E9BF0B0"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31</w:t>
            </w:r>
            <w:r w:rsidR="000F1DEB" w:rsidRPr="00684CF8">
              <w:rPr>
                <w:sz w:val="18"/>
                <w:szCs w:val="24"/>
              </w:rPr>
              <w:t>,</w:t>
            </w:r>
            <w:r w:rsidRPr="00684CF8">
              <w:rPr>
                <w:sz w:val="18"/>
                <w:szCs w:val="24"/>
              </w:rPr>
              <w:t>8</w:t>
            </w:r>
          </w:p>
        </w:tc>
        <w:tc>
          <w:tcPr>
            <w:tcW w:w="1417" w:type="dxa"/>
            <w:shd w:val="clear" w:color="auto" w:fill="auto"/>
            <w:vAlign w:val="bottom"/>
            <w:hideMark/>
          </w:tcPr>
          <w:p w14:paraId="5F6D577E"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27</w:t>
            </w:r>
            <w:r w:rsidR="000F1DEB" w:rsidRPr="00684CF8">
              <w:rPr>
                <w:sz w:val="18"/>
                <w:szCs w:val="24"/>
              </w:rPr>
              <w:t>,</w:t>
            </w:r>
            <w:r w:rsidRPr="00684CF8">
              <w:rPr>
                <w:sz w:val="18"/>
                <w:szCs w:val="24"/>
              </w:rPr>
              <w:t>0</w:t>
            </w:r>
          </w:p>
        </w:tc>
        <w:tc>
          <w:tcPr>
            <w:tcW w:w="1134" w:type="dxa"/>
            <w:shd w:val="clear" w:color="auto" w:fill="auto"/>
            <w:vAlign w:val="bottom"/>
            <w:hideMark/>
          </w:tcPr>
          <w:p w14:paraId="00C26886"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37</w:t>
            </w:r>
            <w:r w:rsidR="000F1DEB" w:rsidRPr="00684CF8">
              <w:rPr>
                <w:sz w:val="18"/>
                <w:szCs w:val="24"/>
              </w:rPr>
              <w:t>,</w:t>
            </w:r>
            <w:r w:rsidRPr="00684CF8">
              <w:rPr>
                <w:sz w:val="18"/>
                <w:szCs w:val="24"/>
              </w:rPr>
              <w:t>7</w:t>
            </w:r>
          </w:p>
        </w:tc>
        <w:tc>
          <w:tcPr>
            <w:tcW w:w="1134" w:type="dxa"/>
            <w:shd w:val="clear" w:color="auto" w:fill="auto"/>
            <w:vAlign w:val="bottom"/>
            <w:hideMark/>
          </w:tcPr>
          <w:p w14:paraId="3D3097CC"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15</w:t>
            </w:r>
            <w:r w:rsidR="000F1DEB" w:rsidRPr="00684CF8">
              <w:rPr>
                <w:sz w:val="18"/>
                <w:szCs w:val="24"/>
              </w:rPr>
              <w:t>,</w:t>
            </w:r>
            <w:r w:rsidRPr="00684CF8">
              <w:rPr>
                <w:sz w:val="18"/>
                <w:szCs w:val="24"/>
              </w:rPr>
              <w:t>0</w:t>
            </w:r>
          </w:p>
        </w:tc>
        <w:tc>
          <w:tcPr>
            <w:tcW w:w="1133" w:type="dxa"/>
            <w:shd w:val="clear" w:color="auto" w:fill="auto"/>
            <w:vAlign w:val="bottom"/>
            <w:hideMark/>
          </w:tcPr>
          <w:p w14:paraId="0C3C5304"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47</w:t>
            </w:r>
            <w:r w:rsidR="000F1DEB" w:rsidRPr="00684CF8">
              <w:rPr>
                <w:sz w:val="18"/>
                <w:szCs w:val="24"/>
              </w:rPr>
              <w:t>,</w:t>
            </w:r>
            <w:r w:rsidRPr="00684CF8">
              <w:rPr>
                <w:sz w:val="18"/>
                <w:szCs w:val="24"/>
              </w:rPr>
              <w:t>1</w:t>
            </w:r>
          </w:p>
        </w:tc>
      </w:tr>
      <w:tr w:rsidR="00CE02F6" w:rsidRPr="00684CF8" w14:paraId="79A37087" w14:textId="77777777" w:rsidTr="000F1DEB">
        <w:tc>
          <w:tcPr>
            <w:tcW w:w="763" w:type="dxa"/>
            <w:shd w:val="clear" w:color="auto" w:fill="auto"/>
            <w:hideMark/>
          </w:tcPr>
          <w:p w14:paraId="7BD70D46" w14:textId="77777777" w:rsidR="00CE02F6" w:rsidRPr="00684CF8" w:rsidRDefault="00CE02F6" w:rsidP="000F1DEB">
            <w:pPr>
              <w:suppressAutoHyphens w:val="0"/>
              <w:spacing w:before="40" w:after="40" w:line="220" w:lineRule="exact"/>
              <w:rPr>
                <w:bCs/>
                <w:sz w:val="18"/>
                <w:szCs w:val="24"/>
              </w:rPr>
            </w:pPr>
            <w:r w:rsidRPr="00684CF8">
              <w:rPr>
                <w:bCs/>
                <w:sz w:val="18"/>
                <w:szCs w:val="24"/>
              </w:rPr>
              <w:t>2015</w:t>
            </w:r>
          </w:p>
        </w:tc>
        <w:tc>
          <w:tcPr>
            <w:tcW w:w="938" w:type="dxa"/>
            <w:shd w:val="clear" w:color="auto" w:fill="auto"/>
            <w:vAlign w:val="bottom"/>
            <w:hideMark/>
          </w:tcPr>
          <w:p w14:paraId="04253045"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51</w:t>
            </w:r>
            <w:r w:rsidR="000F1DEB" w:rsidRPr="00684CF8">
              <w:rPr>
                <w:sz w:val="18"/>
                <w:szCs w:val="24"/>
              </w:rPr>
              <w:t>,</w:t>
            </w:r>
            <w:r w:rsidRPr="00684CF8">
              <w:rPr>
                <w:sz w:val="18"/>
                <w:szCs w:val="24"/>
              </w:rPr>
              <w:t>9</w:t>
            </w:r>
          </w:p>
        </w:tc>
        <w:tc>
          <w:tcPr>
            <w:tcW w:w="851" w:type="dxa"/>
            <w:shd w:val="clear" w:color="auto" w:fill="auto"/>
            <w:vAlign w:val="bottom"/>
            <w:hideMark/>
          </w:tcPr>
          <w:p w14:paraId="21B96D0F"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32</w:t>
            </w:r>
            <w:r w:rsidR="000F1DEB" w:rsidRPr="00684CF8">
              <w:rPr>
                <w:sz w:val="18"/>
                <w:szCs w:val="24"/>
              </w:rPr>
              <w:t>,</w:t>
            </w:r>
            <w:r w:rsidRPr="00684CF8">
              <w:rPr>
                <w:sz w:val="18"/>
                <w:szCs w:val="24"/>
              </w:rPr>
              <w:t>3</w:t>
            </w:r>
          </w:p>
        </w:tc>
        <w:tc>
          <w:tcPr>
            <w:tcW w:w="1417" w:type="dxa"/>
            <w:shd w:val="clear" w:color="auto" w:fill="auto"/>
            <w:vAlign w:val="bottom"/>
            <w:hideMark/>
          </w:tcPr>
          <w:p w14:paraId="61998F72"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27</w:t>
            </w:r>
            <w:r w:rsidR="000F1DEB" w:rsidRPr="00684CF8">
              <w:rPr>
                <w:sz w:val="18"/>
                <w:szCs w:val="24"/>
              </w:rPr>
              <w:t>,</w:t>
            </w:r>
            <w:r w:rsidRPr="00684CF8">
              <w:rPr>
                <w:sz w:val="18"/>
                <w:szCs w:val="24"/>
              </w:rPr>
              <w:t>3</w:t>
            </w:r>
          </w:p>
        </w:tc>
        <w:tc>
          <w:tcPr>
            <w:tcW w:w="1134" w:type="dxa"/>
            <w:shd w:val="clear" w:color="auto" w:fill="auto"/>
            <w:vAlign w:val="bottom"/>
            <w:hideMark/>
          </w:tcPr>
          <w:p w14:paraId="5B20EEB1"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37</w:t>
            </w:r>
            <w:r w:rsidR="000F1DEB" w:rsidRPr="00684CF8">
              <w:rPr>
                <w:sz w:val="18"/>
                <w:szCs w:val="24"/>
              </w:rPr>
              <w:t>,</w:t>
            </w:r>
            <w:r w:rsidRPr="00684CF8">
              <w:rPr>
                <w:sz w:val="18"/>
                <w:szCs w:val="24"/>
              </w:rPr>
              <w:t>8</w:t>
            </w:r>
          </w:p>
        </w:tc>
        <w:tc>
          <w:tcPr>
            <w:tcW w:w="1134" w:type="dxa"/>
            <w:shd w:val="clear" w:color="auto" w:fill="auto"/>
            <w:vAlign w:val="bottom"/>
            <w:hideMark/>
          </w:tcPr>
          <w:p w14:paraId="1971D3D2"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15</w:t>
            </w:r>
            <w:r w:rsidR="000F1DEB" w:rsidRPr="00684CF8">
              <w:rPr>
                <w:sz w:val="18"/>
                <w:szCs w:val="24"/>
              </w:rPr>
              <w:t>,</w:t>
            </w:r>
            <w:r w:rsidRPr="00684CF8">
              <w:rPr>
                <w:sz w:val="18"/>
                <w:szCs w:val="24"/>
              </w:rPr>
              <w:t>4</w:t>
            </w:r>
          </w:p>
        </w:tc>
        <w:tc>
          <w:tcPr>
            <w:tcW w:w="1133" w:type="dxa"/>
            <w:shd w:val="clear" w:color="auto" w:fill="auto"/>
            <w:vAlign w:val="bottom"/>
            <w:hideMark/>
          </w:tcPr>
          <w:p w14:paraId="3ED7D8C2"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47</w:t>
            </w:r>
            <w:r w:rsidR="000F1DEB" w:rsidRPr="00684CF8">
              <w:rPr>
                <w:sz w:val="18"/>
                <w:szCs w:val="24"/>
              </w:rPr>
              <w:t>,</w:t>
            </w:r>
            <w:r w:rsidRPr="00684CF8">
              <w:rPr>
                <w:sz w:val="18"/>
                <w:szCs w:val="24"/>
              </w:rPr>
              <w:t>4</w:t>
            </w:r>
          </w:p>
        </w:tc>
      </w:tr>
      <w:tr w:rsidR="00CE02F6" w:rsidRPr="00684CF8" w14:paraId="7B2194C4" w14:textId="77777777" w:rsidTr="000F1DEB">
        <w:tc>
          <w:tcPr>
            <w:tcW w:w="763" w:type="dxa"/>
            <w:tcBorders>
              <w:bottom w:val="nil"/>
            </w:tcBorders>
            <w:shd w:val="clear" w:color="auto" w:fill="auto"/>
            <w:hideMark/>
          </w:tcPr>
          <w:p w14:paraId="0E20D405" w14:textId="77777777" w:rsidR="00CE02F6" w:rsidRPr="00684CF8" w:rsidRDefault="00CE02F6" w:rsidP="000F1DEB">
            <w:pPr>
              <w:suppressAutoHyphens w:val="0"/>
              <w:spacing w:before="40" w:after="40" w:line="220" w:lineRule="exact"/>
              <w:rPr>
                <w:bCs/>
                <w:sz w:val="18"/>
                <w:szCs w:val="24"/>
              </w:rPr>
            </w:pPr>
            <w:r w:rsidRPr="00684CF8">
              <w:rPr>
                <w:bCs/>
                <w:sz w:val="18"/>
                <w:szCs w:val="24"/>
              </w:rPr>
              <w:t>2016</w:t>
            </w:r>
          </w:p>
        </w:tc>
        <w:tc>
          <w:tcPr>
            <w:tcW w:w="938" w:type="dxa"/>
            <w:tcBorders>
              <w:bottom w:val="nil"/>
            </w:tcBorders>
            <w:shd w:val="clear" w:color="auto" w:fill="auto"/>
            <w:vAlign w:val="bottom"/>
            <w:hideMark/>
          </w:tcPr>
          <w:p w14:paraId="1C7289BA"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52</w:t>
            </w:r>
            <w:r w:rsidR="000F1DEB" w:rsidRPr="00684CF8">
              <w:rPr>
                <w:sz w:val="18"/>
                <w:szCs w:val="24"/>
              </w:rPr>
              <w:t>,</w:t>
            </w:r>
            <w:r w:rsidRPr="00684CF8">
              <w:rPr>
                <w:sz w:val="18"/>
                <w:szCs w:val="24"/>
              </w:rPr>
              <w:t>0</w:t>
            </w:r>
          </w:p>
        </w:tc>
        <w:tc>
          <w:tcPr>
            <w:tcW w:w="851" w:type="dxa"/>
            <w:tcBorders>
              <w:bottom w:val="nil"/>
            </w:tcBorders>
            <w:shd w:val="clear" w:color="auto" w:fill="auto"/>
            <w:vAlign w:val="bottom"/>
            <w:hideMark/>
          </w:tcPr>
          <w:p w14:paraId="711A6A1A"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32</w:t>
            </w:r>
            <w:r w:rsidR="000F1DEB" w:rsidRPr="00684CF8">
              <w:rPr>
                <w:sz w:val="18"/>
                <w:szCs w:val="24"/>
              </w:rPr>
              <w:t>,</w:t>
            </w:r>
            <w:r w:rsidRPr="00684CF8">
              <w:rPr>
                <w:sz w:val="18"/>
                <w:szCs w:val="24"/>
              </w:rPr>
              <w:t>3</w:t>
            </w:r>
          </w:p>
        </w:tc>
        <w:tc>
          <w:tcPr>
            <w:tcW w:w="1417" w:type="dxa"/>
            <w:tcBorders>
              <w:bottom w:val="nil"/>
            </w:tcBorders>
            <w:shd w:val="clear" w:color="auto" w:fill="auto"/>
            <w:vAlign w:val="bottom"/>
            <w:hideMark/>
          </w:tcPr>
          <w:p w14:paraId="1D6556DE"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27</w:t>
            </w:r>
            <w:r w:rsidR="000F1DEB" w:rsidRPr="00684CF8">
              <w:rPr>
                <w:sz w:val="18"/>
                <w:szCs w:val="24"/>
              </w:rPr>
              <w:t>,</w:t>
            </w:r>
            <w:r w:rsidRPr="00684CF8">
              <w:rPr>
                <w:sz w:val="18"/>
                <w:szCs w:val="24"/>
              </w:rPr>
              <w:t>2</w:t>
            </w:r>
          </w:p>
        </w:tc>
        <w:tc>
          <w:tcPr>
            <w:tcW w:w="1134" w:type="dxa"/>
            <w:tcBorders>
              <w:bottom w:val="nil"/>
            </w:tcBorders>
            <w:shd w:val="clear" w:color="auto" w:fill="auto"/>
            <w:vAlign w:val="bottom"/>
            <w:hideMark/>
          </w:tcPr>
          <w:p w14:paraId="53C23A05"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37</w:t>
            </w:r>
            <w:r w:rsidR="000F1DEB" w:rsidRPr="00684CF8">
              <w:rPr>
                <w:sz w:val="18"/>
                <w:szCs w:val="24"/>
              </w:rPr>
              <w:t>,</w:t>
            </w:r>
            <w:r w:rsidRPr="00684CF8">
              <w:rPr>
                <w:sz w:val="18"/>
                <w:szCs w:val="24"/>
              </w:rPr>
              <w:t>9</w:t>
            </w:r>
          </w:p>
        </w:tc>
        <w:tc>
          <w:tcPr>
            <w:tcW w:w="1134" w:type="dxa"/>
            <w:tcBorders>
              <w:bottom w:val="nil"/>
            </w:tcBorders>
            <w:shd w:val="clear" w:color="auto" w:fill="auto"/>
            <w:vAlign w:val="bottom"/>
            <w:hideMark/>
          </w:tcPr>
          <w:p w14:paraId="5D38B492"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15</w:t>
            </w:r>
            <w:r w:rsidR="000F1DEB" w:rsidRPr="00684CF8">
              <w:rPr>
                <w:sz w:val="18"/>
                <w:szCs w:val="24"/>
              </w:rPr>
              <w:t>,</w:t>
            </w:r>
            <w:r w:rsidRPr="00684CF8">
              <w:rPr>
                <w:sz w:val="18"/>
                <w:szCs w:val="24"/>
              </w:rPr>
              <w:t>8</w:t>
            </w:r>
          </w:p>
        </w:tc>
        <w:tc>
          <w:tcPr>
            <w:tcW w:w="1133" w:type="dxa"/>
            <w:tcBorders>
              <w:bottom w:val="nil"/>
            </w:tcBorders>
            <w:shd w:val="clear" w:color="auto" w:fill="auto"/>
            <w:vAlign w:val="bottom"/>
            <w:hideMark/>
          </w:tcPr>
          <w:p w14:paraId="63742E50"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47</w:t>
            </w:r>
            <w:r w:rsidR="000F1DEB" w:rsidRPr="00684CF8">
              <w:rPr>
                <w:sz w:val="18"/>
                <w:szCs w:val="24"/>
              </w:rPr>
              <w:t>,</w:t>
            </w:r>
            <w:r w:rsidRPr="00684CF8">
              <w:rPr>
                <w:sz w:val="18"/>
                <w:szCs w:val="24"/>
              </w:rPr>
              <w:t>7</w:t>
            </w:r>
          </w:p>
        </w:tc>
      </w:tr>
      <w:tr w:rsidR="00CE02F6" w:rsidRPr="00684CF8" w14:paraId="1B854AA1" w14:textId="77777777" w:rsidTr="000F1DEB">
        <w:tc>
          <w:tcPr>
            <w:tcW w:w="763" w:type="dxa"/>
            <w:tcBorders>
              <w:top w:val="nil"/>
              <w:bottom w:val="single" w:sz="12" w:space="0" w:color="auto"/>
            </w:tcBorders>
            <w:shd w:val="clear" w:color="auto" w:fill="auto"/>
            <w:hideMark/>
          </w:tcPr>
          <w:p w14:paraId="52551E03" w14:textId="77777777" w:rsidR="00CE02F6" w:rsidRPr="00684CF8" w:rsidRDefault="00CE02F6" w:rsidP="000F1DEB">
            <w:pPr>
              <w:suppressAutoHyphens w:val="0"/>
              <w:spacing w:before="40" w:after="40" w:line="220" w:lineRule="exact"/>
              <w:rPr>
                <w:bCs/>
                <w:sz w:val="18"/>
                <w:szCs w:val="24"/>
              </w:rPr>
            </w:pPr>
            <w:r w:rsidRPr="00684CF8">
              <w:rPr>
                <w:bCs/>
                <w:sz w:val="18"/>
                <w:szCs w:val="24"/>
              </w:rPr>
              <w:t>2017</w:t>
            </w:r>
          </w:p>
        </w:tc>
        <w:tc>
          <w:tcPr>
            <w:tcW w:w="938" w:type="dxa"/>
            <w:tcBorders>
              <w:top w:val="nil"/>
              <w:bottom w:val="single" w:sz="12" w:space="0" w:color="auto"/>
            </w:tcBorders>
            <w:shd w:val="clear" w:color="auto" w:fill="auto"/>
            <w:vAlign w:val="bottom"/>
            <w:hideMark/>
          </w:tcPr>
          <w:p w14:paraId="266D27D7"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52</w:t>
            </w:r>
            <w:r w:rsidR="000F1DEB" w:rsidRPr="00684CF8">
              <w:rPr>
                <w:sz w:val="18"/>
                <w:szCs w:val="24"/>
              </w:rPr>
              <w:t>,</w:t>
            </w:r>
            <w:r w:rsidRPr="00684CF8">
              <w:rPr>
                <w:sz w:val="18"/>
                <w:szCs w:val="24"/>
              </w:rPr>
              <w:t>3</w:t>
            </w:r>
          </w:p>
        </w:tc>
        <w:tc>
          <w:tcPr>
            <w:tcW w:w="851" w:type="dxa"/>
            <w:tcBorders>
              <w:top w:val="nil"/>
              <w:bottom w:val="single" w:sz="12" w:space="0" w:color="auto"/>
            </w:tcBorders>
            <w:shd w:val="clear" w:color="auto" w:fill="auto"/>
            <w:vAlign w:val="bottom"/>
            <w:hideMark/>
          </w:tcPr>
          <w:p w14:paraId="449E3946"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32</w:t>
            </w:r>
            <w:r w:rsidR="000F1DEB" w:rsidRPr="00684CF8">
              <w:rPr>
                <w:sz w:val="18"/>
                <w:szCs w:val="24"/>
              </w:rPr>
              <w:t>,</w:t>
            </w:r>
            <w:r w:rsidRPr="00684CF8">
              <w:rPr>
                <w:sz w:val="18"/>
                <w:szCs w:val="24"/>
              </w:rPr>
              <w:t>7</w:t>
            </w:r>
          </w:p>
        </w:tc>
        <w:tc>
          <w:tcPr>
            <w:tcW w:w="1417" w:type="dxa"/>
            <w:tcBorders>
              <w:top w:val="nil"/>
              <w:bottom w:val="single" w:sz="12" w:space="0" w:color="auto"/>
            </w:tcBorders>
            <w:shd w:val="clear" w:color="auto" w:fill="auto"/>
            <w:vAlign w:val="bottom"/>
            <w:hideMark/>
          </w:tcPr>
          <w:p w14:paraId="050807ED"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27</w:t>
            </w:r>
            <w:r w:rsidR="000F1DEB" w:rsidRPr="00684CF8">
              <w:rPr>
                <w:sz w:val="18"/>
                <w:szCs w:val="24"/>
              </w:rPr>
              <w:t>,</w:t>
            </w:r>
            <w:r w:rsidRPr="00684CF8">
              <w:rPr>
                <w:sz w:val="18"/>
                <w:szCs w:val="24"/>
              </w:rPr>
              <w:t>7</w:t>
            </w:r>
          </w:p>
        </w:tc>
        <w:tc>
          <w:tcPr>
            <w:tcW w:w="1134" w:type="dxa"/>
            <w:tcBorders>
              <w:top w:val="nil"/>
              <w:bottom w:val="single" w:sz="12" w:space="0" w:color="auto"/>
            </w:tcBorders>
            <w:shd w:val="clear" w:color="auto" w:fill="auto"/>
            <w:vAlign w:val="bottom"/>
            <w:hideMark/>
          </w:tcPr>
          <w:p w14:paraId="2024CC3E"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37</w:t>
            </w:r>
            <w:r w:rsidR="000F1DEB" w:rsidRPr="00684CF8">
              <w:rPr>
                <w:sz w:val="18"/>
                <w:szCs w:val="24"/>
              </w:rPr>
              <w:t>,</w:t>
            </w:r>
            <w:r w:rsidRPr="00684CF8">
              <w:rPr>
                <w:sz w:val="18"/>
                <w:szCs w:val="24"/>
              </w:rPr>
              <w:t>4</w:t>
            </w:r>
          </w:p>
        </w:tc>
        <w:tc>
          <w:tcPr>
            <w:tcW w:w="1134" w:type="dxa"/>
            <w:tcBorders>
              <w:top w:val="nil"/>
              <w:bottom w:val="single" w:sz="12" w:space="0" w:color="auto"/>
            </w:tcBorders>
            <w:shd w:val="clear" w:color="auto" w:fill="auto"/>
            <w:vAlign w:val="bottom"/>
            <w:hideMark/>
          </w:tcPr>
          <w:p w14:paraId="3EBC2264"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15</w:t>
            </w:r>
            <w:r w:rsidR="000F1DEB" w:rsidRPr="00684CF8">
              <w:rPr>
                <w:sz w:val="18"/>
                <w:szCs w:val="24"/>
              </w:rPr>
              <w:t>,</w:t>
            </w:r>
            <w:r w:rsidRPr="00684CF8">
              <w:rPr>
                <w:sz w:val="18"/>
                <w:szCs w:val="24"/>
              </w:rPr>
              <w:t>4</w:t>
            </w:r>
          </w:p>
        </w:tc>
        <w:tc>
          <w:tcPr>
            <w:tcW w:w="1133" w:type="dxa"/>
            <w:tcBorders>
              <w:top w:val="nil"/>
              <w:bottom w:val="single" w:sz="12" w:space="0" w:color="auto"/>
            </w:tcBorders>
            <w:shd w:val="clear" w:color="auto" w:fill="auto"/>
            <w:vAlign w:val="bottom"/>
            <w:hideMark/>
          </w:tcPr>
          <w:p w14:paraId="52803530" w14:textId="77777777" w:rsidR="00CE02F6" w:rsidRPr="00684CF8" w:rsidRDefault="00CE02F6" w:rsidP="000F1DEB">
            <w:pPr>
              <w:suppressAutoHyphens w:val="0"/>
              <w:spacing w:before="40" w:after="40" w:line="220" w:lineRule="exact"/>
              <w:jc w:val="right"/>
              <w:rPr>
                <w:sz w:val="18"/>
                <w:szCs w:val="24"/>
              </w:rPr>
            </w:pPr>
            <w:r w:rsidRPr="00684CF8">
              <w:rPr>
                <w:sz w:val="18"/>
                <w:szCs w:val="24"/>
              </w:rPr>
              <w:t>47</w:t>
            </w:r>
            <w:r w:rsidR="000F1DEB" w:rsidRPr="00684CF8">
              <w:rPr>
                <w:sz w:val="18"/>
                <w:szCs w:val="24"/>
              </w:rPr>
              <w:t>,</w:t>
            </w:r>
            <w:r w:rsidRPr="00684CF8">
              <w:rPr>
                <w:sz w:val="18"/>
                <w:szCs w:val="24"/>
              </w:rPr>
              <w:t>0</w:t>
            </w:r>
          </w:p>
        </w:tc>
      </w:tr>
    </w:tbl>
    <w:p w14:paraId="638CD44F" w14:textId="77777777" w:rsidR="000F1DEB" w:rsidRPr="00684CF8" w:rsidRDefault="000F1DEB" w:rsidP="000F1DEB">
      <w:pPr>
        <w:pStyle w:val="SingleTxtG"/>
        <w:spacing w:before="120" w:after="240" w:line="220" w:lineRule="exact"/>
        <w:ind w:firstLine="170"/>
        <w:jc w:val="left"/>
        <w:rPr>
          <w:sz w:val="18"/>
          <w:szCs w:val="18"/>
        </w:rPr>
      </w:pPr>
      <w:r w:rsidRPr="00684CF8">
        <w:rPr>
          <w:i/>
          <w:iCs/>
          <w:sz w:val="18"/>
          <w:szCs w:val="18"/>
        </w:rPr>
        <w:t xml:space="preserve">Источник: </w:t>
      </w:r>
      <w:bookmarkStart w:id="22" w:name="_Hlk48156180"/>
      <w:r w:rsidRPr="00684CF8">
        <w:rPr>
          <w:sz w:val="18"/>
          <w:szCs w:val="18"/>
        </w:rPr>
        <w:t>Статистические сведения о Финляндии</w:t>
      </w:r>
      <w:bookmarkEnd w:id="22"/>
      <w:r w:rsidRPr="00684CF8">
        <w:rPr>
          <w:sz w:val="18"/>
          <w:szCs w:val="18"/>
        </w:rPr>
        <w:t>, Общая статистика распределения доходов за 2017 год, база данных StatFin.</w:t>
      </w:r>
    </w:p>
    <w:p w14:paraId="2CB9C207" w14:textId="77777777" w:rsidR="000F1DEB" w:rsidRPr="00684CF8" w:rsidRDefault="000F1DEB" w:rsidP="000F1DEB">
      <w:pPr>
        <w:pStyle w:val="H23G"/>
      </w:pPr>
      <w:r w:rsidRPr="00684CF8">
        <w:tab/>
      </w:r>
      <w:r w:rsidRPr="00684CF8">
        <w:rPr>
          <w:lang w:val="en-GB"/>
        </w:rPr>
        <w:t>c</w:t>
      </w:r>
      <w:r w:rsidRPr="00684CF8">
        <w:t>)</w:t>
      </w:r>
      <w:r w:rsidRPr="00684CF8">
        <w:tab/>
        <w:t>Здравоохранение</w:t>
      </w:r>
    </w:p>
    <w:p w14:paraId="6D554C86" w14:textId="77777777" w:rsidR="000F1DEB" w:rsidRPr="00684CF8" w:rsidRDefault="000F1DEB" w:rsidP="000F1DEB">
      <w:pPr>
        <w:pStyle w:val="H23G"/>
      </w:pPr>
      <w:bookmarkStart w:id="23" w:name="_Toc32364282"/>
      <w:r w:rsidRPr="00684CF8">
        <w:tab/>
      </w:r>
      <w:r w:rsidRPr="00684CF8">
        <w:tab/>
      </w:r>
      <w:bookmarkEnd w:id="23"/>
      <w:r w:rsidRPr="00684CF8">
        <w:t>Медицинское обслуживание</w:t>
      </w:r>
    </w:p>
    <w:p w14:paraId="7C65A38B" w14:textId="77777777" w:rsidR="000F1DEB" w:rsidRPr="00684CF8" w:rsidRDefault="000F1DEB" w:rsidP="000F1DEB">
      <w:pPr>
        <w:pStyle w:val="SingleTxtG"/>
      </w:pPr>
      <w:r w:rsidRPr="00684CF8">
        <w:t>64.</w:t>
      </w:r>
      <w:r w:rsidRPr="00684CF8">
        <w:tab/>
        <w:t>Главными целями политики в области здравоохранения в Финляндии являются укрепление здоровья и профилактика заболеваний. Ответственность за социальную политику и политику в области здравоохранения и разработку соответствующего законодательства возложена на Министерство социальных дел и здравоохранения. Текущие ключевые проекты, связанные со здравоохранением, включают реформу структуры услуг в области социального обеспечения и здравоохранения, а также Национальный план развития социального обеспечения и здравоохранения (программа «Касте»).</w:t>
      </w:r>
    </w:p>
    <w:p w14:paraId="623FF6DE" w14:textId="77777777" w:rsidR="000F1DEB" w:rsidRPr="00684CF8" w:rsidRDefault="000F1DEB" w:rsidP="000F1DEB">
      <w:pPr>
        <w:pStyle w:val="SingleTxtG"/>
      </w:pPr>
      <w:r w:rsidRPr="00684CF8">
        <w:t>65.</w:t>
      </w:r>
      <w:r w:rsidRPr="00684CF8">
        <w:tab/>
        <w:t xml:space="preserve">Каждый житель Финляндии имеет право на адекватное медицинское и социальное обслуживание. Муниципальная система социального обеспечения и здравоохранения, реализуемая при поддержке центрального правительства, составляет основу системы социального обеспечения и здравоохранения. В Финляндии взрослые просители убежища имеют право на неотложное и необходимое лечение, в то время как несовершеннолетние просители убежища имеют право на медицинское обслуживание наравне с жителями муниципальных образований. Услуги предоставляются не только государственным сектором, но и частными предприятиями. В Финляндии также существует разветвленная структура ОГО (организаций гражданского общества), действующих в области социального обеспечения и здравоохранения и предоставляющих услуги как бесплатно, так и на платной основе. </w:t>
      </w:r>
    </w:p>
    <w:p w14:paraId="4AEE87BA" w14:textId="77777777" w:rsidR="000F1DEB" w:rsidRPr="00684CF8" w:rsidRDefault="000F1DEB" w:rsidP="000F1DEB">
      <w:pPr>
        <w:pStyle w:val="SingleTxtG"/>
      </w:pPr>
      <w:r w:rsidRPr="00684CF8">
        <w:t>66.</w:t>
      </w:r>
      <w:r w:rsidRPr="00684CF8">
        <w:tab/>
        <w:t>Медицинские услуги подразделяются на базовое медицинское обслуживание и специализированную медицинскую помощь. Базовое медицинское обслуживание предоставляется муниципальными медицинскими центрами, в то время как специализированную медицинскую помощь оказывают в основном больницы. Санитарно-профилактические мероприятия, а по возможности и медицинское обслуживание лиц, работающих по найму, является обязанностью их работодателя. Кроме того, муниципальное медицинское обслуживание дополняется частными медицинскими услугами. Муниципалитеты могут также покупать услуги у частного сектора.</w:t>
      </w:r>
    </w:p>
    <w:p w14:paraId="3BD9C5AF" w14:textId="77777777" w:rsidR="000F1DEB" w:rsidRPr="00684CF8" w:rsidRDefault="000F1DEB" w:rsidP="000F1DEB">
      <w:pPr>
        <w:pStyle w:val="SingleTxtG"/>
      </w:pPr>
      <w:r w:rsidRPr="00684CF8">
        <w:t>67.</w:t>
      </w:r>
      <w:r w:rsidRPr="00684CF8">
        <w:tab/>
        <w:t xml:space="preserve">Другими ключевыми инстанциями в сфере здравоохранения являются Финский институт здравоохранения и социального обеспечения (ТХЛ), который отвечает за исследования и разработки в области здравоохранения, а также за другие экспертные услуги в этой области; Национальное управление по надзору за социальным </w:t>
      </w:r>
      <w:r w:rsidRPr="00684CF8">
        <w:lastRenderedPageBreak/>
        <w:t>обеспечением и здравоохранением «Вальвира», которое направляет, контролирует и обеспечивает лицензирование в области социального обеспечения и здравоохранения; и Финское агентство по лекарственным средствам «Фимеа», отвечающее за выдачу разрешений и контроль за сбытом, а также за исследования и разработки в фармацевтической отрасли и подготовку информации о лекарственных средствах. В дополнение к вышеизложенному областные государственные административные органы принимают участие в региональном надзоре за здравоохранением, а также осуществляют наблюдение и контроль за медицинскими работниками.</w:t>
      </w:r>
    </w:p>
    <w:p w14:paraId="2C819F9F" w14:textId="77777777" w:rsidR="000F1DEB" w:rsidRPr="00684CF8" w:rsidRDefault="000F1DEB" w:rsidP="000F1DEB">
      <w:pPr>
        <w:pStyle w:val="H23G"/>
      </w:pPr>
      <w:bookmarkStart w:id="24" w:name="_Toc32364283"/>
      <w:r w:rsidRPr="00684CF8">
        <w:tab/>
      </w:r>
      <w:r w:rsidRPr="00684CF8">
        <w:tab/>
        <w:t>Младенческая смертность, материнская смертность и средняя продолжительность жизни</w:t>
      </w:r>
      <w:bookmarkEnd w:id="24"/>
    </w:p>
    <w:p w14:paraId="03D55076" w14:textId="77777777" w:rsidR="000F1DEB" w:rsidRPr="00684CF8" w:rsidRDefault="000F1DEB" w:rsidP="000F1DEB">
      <w:pPr>
        <w:pStyle w:val="SingleTxtG"/>
      </w:pPr>
      <w:r w:rsidRPr="00684CF8">
        <w:t>68.</w:t>
      </w:r>
      <w:r w:rsidRPr="00684CF8">
        <w:tab/>
        <w:t>Коэффициент младенческой смертности показывает количество смертей среди детей в возрасте до одного года, выраженное в расчете на 1000 живорождений. В 2018 году в Финляндии умер 101 ребенок в возрасте до одного года. Коэффициент младенческой смертности составил 2,1 на 1000 живорождений.</w:t>
      </w:r>
    </w:p>
    <w:p w14:paraId="297C6D1A" w14:textId="77777777" w:rsidR="000F1DEB" w:rsidRPr="00684CF8" w:rsidRDefault="000F1DEB" w:rsidP="000F1DEB">
      <w:pPr>
        <w:pStyle w:val="1"/>
        <w:spacing w:before="240" w:after="120"/>
        <w:ind w:left="1134" w:hanging="1134"/>
        <w:jc w:val="left"/>
      </w:pPr>
      <w:r w:rsidRPr="00684CF8">
        <w:rPr>
          <w:b w:val="0"/>
          <w:bCs w:val="0"/>
        </w:rPr>
        <w:tab/>
      </w:r>
      <w:r w:rsidRPr="00684CF8">
        <w:rPr>
          <w:b w:val="0"/>
          <w:bCs w:val="0"/>
        </w:rPr>
        <w:tab/>
        <w:t>Таблица 6</w:t>
      </w:r>
      <w:r w:rsidRPr="00684CF8">
        <w:rPr>
          <w:b w:val="0"/>
          <w:bCs w:val="0"/>
        </w:rPr>
        <w:br/>
      </w:r>
      <w:r w:rsidRPr="00684CF8">
        <w:t xml:space="preserve">Коэффициент материнской смертности и количество умерших матерей, </w:t>
      </w:r>
      <w:r w:rsidRPr="00684CF8">
        <w:br/>
        <w:t>2013–2017 годы</w:t>
      </w:r>
    </w:p>
    <w:tbl>
      <w:tblPr>
        <w:tblW w:w="7370" w:type="dxa"/>
        <w:tblInd w:w="1134" w:type="dxa"/>
        <w:tblLayout w:type="fixed"/>
        <w:tblCellMar>
          <w:left w:w="0" w:type="dxa"/>
          <w:right w:w="0" w:type="dxa"/>
        </w:tblCellMar>
        <w:tblLook w:val="04A0" w:firstRow="1" w:lastRow="0" w:firstColumn="1" w:lastColumn="0" w:noHBand="0" w:noVBand="1"/>
      </w:tblPr>
      <w:tblGrid>
        <w:gridCol w:w="997"/>
        <w:gridCol w:w="4633"/>
        <w:gridCol w:w="1740"/>
      </w:tblGrid>
      <w:tr w:rsidR="000F1DEB" w:rsidRPr="00684CF8" w14:paraId="77F42CB5" w14:textId="77777777" w:rsidTr="000F1DEB">
        <w:trPr>
          <w:tblHeader/>
        </w:trPr>
        <w:tc>
          <w:tcPr>
            <w:tcW w:w="997" w:type="dxa"/>
            <w:tcBorders>
              <w:top w:val="single" w:sz="4" w:space="0" w:color="auto"/>
              <w:bottom w:val="single" w:sz="12" w:space="0" w:color="auto"/>
            </w:tcBorders>
            <w:shd w:val="clear" w:color="auto" w:fill="auto"/>
            <w:vAlign w:val="bottom"/>
            <w:hideMark/>
          </w:tcPr>
          <w:p w14:paraId="257234B2" w14:textId="77777777" w:rsidR="000F1DEB" w:rsidRPr="00684CF8" w:rsidRDefault="000F1DEB" w:rsidP="000F1DEB">
            <w:pPr>
              <w:suppressAutoHyphens w:val="0"/>
              <w:spacing w:before="80" w:after="80" w:line="200" w:lineRule="exact"/>
              <w:rPr>
                <w:rFonts w:cs="Times New Roman"/>
                <w:i/>
                <w:sz w:val="16"/>
              </w:rPr>
            </w:pPr>
            <w:r w:rsidRPr="00684CF8">
              <w:rPr>
                <w:rFonts w:cs="Times New Roman"/>
                <w:i/>
                <w:sz w:val="16"/>
              </w:rPr>
              <w:t>Год</w:t>
            </w:r>
          </w:p>
        </w:tc>
        <w:tc>
          <w:tcPr>
            <w:tcW w:w="4633" w:type="dxa"/>
            <w:tcBorders>
              <w:top w:val="single" w:sz="4" w:space="0" w:color="auto"/>
              <w:bottom w:val="single" w:sz="12" w:space="0" w:color="auto"/>
            </w:tcBorders>
            <w:shd w:val="clear" w:color="auto" w:fill="auto"/>
            <w:vAlign w:val="bottom"/>
            <w:hideMark/>
          </w:tcPr>
          <w:p w14:paraId="295C579F" w14:textId="77777777" w:rsidR="000F1DEB" w:rsidRPr="00684CF8" w:rsidRDefault="000F1DEB" w:rsidP="000F1DEB">
            <w:pPr>
              <w:suppressAutoHyphens w:val="0"/>
              <w:spacing w:before="80" w:after="80" w:line="200" w:lineRule="exact"/>
              <w:jc w:val="right"/>
              <w:rPr>
                <w:rFonts w:cs="Times New Roman"/>
                <w:i/>
                <w:sz w:val="16"/>
              </w:rPr>
            </w:pPr>
            <w:r w:rsidRPr="00684CF8">
              <w:rPr>
                <w:rFonts w:cs="Times New Roman"/>
                <w:i/>
                <w:sz w:val="16"/>
              </w:rPr>
              <w:t xml:space="preserve">Коэффициент материнской смертности </w:t>
            </w:r>
            <w:r w:rsidRPr="00684CF8">
              <w:rPr>
                <w:rFonts w:cs="Times New Roman"/>
                <w:i/>
                <w:sz w:val="16"/>
              </w:rPr>
              <w:br/>
              <w:t>(на 100 000 живорождений)</w:t>
            </w:r>
          </w:p>
        </w:tc>
        <w:tc>
          <w:tcPr>
            <w:tcW w:w="1740" w:type="dxa"/>
            <w:tcBorders>
              <w:top w:val="single" w:sz="4" w:space="0" w:color="auto"/>
              <w:bottom w:val="single" w:sz="12" w:space="0" w:color="auto"/>
            </w:tcBorders>
            <w:shd w:val="clear" w:color="auto" w:fill="auto"/>
            <w:vAlign w:val="bottom"/>
            <w:hideMark/>
          </w:tcPr>
          <w:p w14:paraId="569A4920" w14:textId="77777777" w:rsidR="000F1DEB" w:rsidRPr="00684CF8" w:rsidRDefault="000F1DEB" w:rsidP="000F1DEB">
            <w:pPr>
              <w:suppressAutoHyphens w:val="0"/>
              <w:spacing w:before="80" w:after="80" w:line="200" w:lineRule="exact"/>
              <w:jc w:val="right"/>
              <w:rPr>
                <w:rFonts w:cs="Times New Roman"/>
                <w:i/>
                <w:sz w:val="16"/>
              </w:rPr>
            </w:pPr>
            <w:r w:rsidRPr="00684CF8">
              <w:rPr>
                <w:rFonts w:cs="Times New Roman"/>
                <w:i/>
                <w:sz w:val="16"/>
              </w:rPr>
              <w:t xml:space="preserve">Количество </w:t>
            </w:r>
            <w:r w:rsidRPr="00684CF8">
              <w:rPr>
                <w:rFonts w:cs="Times New Roman"/>
                <w:i/>
                <w:sz w:val="16"/>
              </w:rPr>
              <w:br/>
              <w:t>умерших матерей</w:t>
            </w:r>
          </w:p>
        </w:tc>
      </w:tr>
      <w:tr w:rsidR="000F1DEB" w:rsidRPr="00684CF8" w14:paraId="44FCF7CA" w14:textId="77777777" w:rsidTr="000F1DEB">
        <w:tc>
          <w:tcPr>
            <w:tcW w:w="997" w:type="dxa"/>
            <w:tcBorders>
              <w:top w:val="single" w:sz="12" w:space="0" w:color="auto"/>
            </w:tcBorders>
            <w:shd w:val="clear" w:color="auto" w:fill="auto"/>
            <w:hideMark/>
          </w:tcPr>
          <w:p w14:paraId="6D642505" w14:textId="77777777" w:rsidR="000F1DEB" w:rsidRPr="00684CF8" w:rsidRDefault="000F1DEB" w:rsidP="000F1DEB">
            <w:pPr>
              <w:suppressAutoHyphens w:val="0"/>
              <w:spacing w:before="40" w:after="40" w:line="220" w:lineRule="exact"/>
              <w:rPr>
                <w:rFonts w:cs="Times New Roman"/>
                <w:sz w:val="18"/>
              </w:rPr>
            </w:pPr>
            <w:r w:rsidRPr="00684CF8">
              <w:rPr>
                <w:rFonts w:cs="Times New Roman"/>
                <w:sz w:val="18"/>
              </w:rPr>
              <w:t>2017</w:t>
            </w:r>
          </w:p>
        </w:tc>
        <w:tc>
          <w:tcPr>
            <w:tcW w:w="4633" w:type="dxa"/>
            <w:tcBorders>
              <w:top w:val="single" w:sz="12" w:space="0" w:color="auto"/>
            </w:tcBorders>
            <w:shd w:val="clear" w:color="auto" w:fill="auto"/>
            <w:vAlign w:val="bottom"/>
            <w:hideMark/>
          </w:tcPr>
          <w:p w14:paraId="35ED2807"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7,9</w:t>
            </w:r>
          </w:p>
        </w:tc>
        <w:tc>
          <w:tcPr>
            <w:tcW w:w="1740" w:type="dxa"/>
            <w:tcBorders>
              <w:top w:val="single" w:sz="12" w:space="0" w:color="auto"/>
            </w:tcBorders>
            <w:shd w:val="clear" w:color="auto" w:fill="auto"/>
            <w:vAlign w:val="bottom"/>
            <w:hideMark/>
          </w:tcPr>
          <w:p w14:paraId="66256E15"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4</w:t>
            </w:r>
          </w:p>
        </w:tc>
      </w:tr>
      <w:tr w:rsidR="000F1DEB" w:rsidRPr="00684CF8" w14:paraId="3216121B" w14:textId="77777777" w:rsidTr="000F1DEB">
        <w:tc>
          <w:tcPr>
            <w:tcW w:w="997" w:type="dxa"/>
            <w:shd w:val="clear" w:color="auto" w:fill="auto"/>
            <w:hideMark/>
          </w:tcPr>
          <w:p w14:paraId="37BAEA42" w14:textId="77777777" w:rsidR="000F1DEB" w:rsidRPr="00684CF8" w:rsidRDefault="000F1DEB" w:rsidP="000F1DEB">
            <w:pPr>
              <w:suppressAutoHyphens w:val="0"/>
              <w:spacing w:before="40" w:after="40" w:line="220" w:lineRule="exact"/>
              <w:rPr>
                <w:rFonts w:cs="Times New Roman"/>
                <w:sz w:val="18"/>
              </w:rPr>
            </w:pPr>
            <w:r w:rsidRPr="00684CF8">
              <w:rPr>
                <w:rFonts w:cs="Times New Roman"/>
                <w:sz w:val="18"/>
              </w:rPr>
              <w:t>2016</w:t>
            </w:r>
          </w:p>
        </w:tc>
        <w:tc>
          <w:tcPr>
            <w:tcW w:w="4633" w:type="dxa"/>
            <w:shd w:val="clear" w:color="auto" w:fill="auto"/>
            <w:vAlign w:val="bottom"/>
            <w:hideMark/>
          </w:tcPr>
          <w:p w14:paraId="18B9B2B5"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5,7</w:t>
            </w:r>
          </w:p>
        </w:tc>
        <w:tc>
          <w:tcPr>
            <w:tcW w:w="1740" w:type="dxa"/>
            <w:shd w:val="clear" w:color="auto" w:fill="auto"/>
            <w:vAlign w:val="bottom"/>
            <w:hideMark/>
          </w:tcPr>
          <w:p w14:paraId="27097D3B"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3</w:t>
            </w:r>
          </w:p>
        </w:tc>
      </w:tr>
      <w:tr w:rsidR="000F1DEB" w:rsidRPr="00684CF8" w14:paraId="123638B4" w14:textId="77777777" w:rsidTr="000F1DEB">
        <w:tc>
          <w:tcPr>
            <w:tcW w:w="997" w:type="dxa"/>
            <w:shd w:val="clear" w:color="auto" w:fill="auto"/>
            <w:hideMark/>
          </w:tcPr>
          <w:p w14:paraId="13C16F33" w14:textId="77777777" w:rsidR="000F1DEB" w:rsidRPr="00684CF8" w:rsidRDefault="000F1DEB" w:rsidP="000F1DEB">
            <w:pPr>
              <w:suppressAutoHyphens w:val="0"/>
              <w:spacing w:before="40" w:after="40" w:line="220" w:lineRule="exact"/>
              <w:rPr>
                <w:rFonts w:cs="Times New Roman"/>
                <w:sz w:val="18"/>
              </w:rPr>
            </w:pPr>
            <w:r w:rsidRPr="00684CF8">
              <w:rPr>
                <w:rFonts w:cs="Times New Roman"/>
                <w:sz w:val="18"/>
              </w:rPr>
              <w:t>2015</w:t>
            </w:r>
          </w:p>
        </w:tc>
        <w:tc>
          <w:tcPr>
            <w:tcW w:w="4633" w:type="dxa"/>
            <w:shd w:val="clear" w:color="auto" w:fill="auto"/>
            <w:vAlign w:val="bottom"/>
            <w:hideMark/>
          </w:tcPr>
          <w:p w14:paraId="7ED3C5C0"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3,6</w:t>
            </w:r>
          </w:p>
        </w:tc>
        <w:tc>
          <w:tcPr>
            <w:tcW w:w="1740" w:type="dxa"/>
            <w:shd w:val="clear" w:color="auto" w:fill="auto"/>
            <w:vAlign w:val="bottom"/>
            <w:hideMark/>
          </w:tcPr>
          <w:p w14:paraId="1D5648DE"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2</w:t>
            </w:r>
          </w:p>
        </w:tc>
      </w:tr>
      <w:tr w:rsidR="000F1DEB" w:rsidRPr="00684CF8" w14:paraId="578559DA" w14:textId="77777777" w:rsidTr="000F1DEB">
        <w:tc>
          <w:tcPr>
            <w:tcW w:w="997" w:type="dxa"/>
            <w:shd w:val="clear" w:color="auto" w:fill="auto"/>
            <w:hideMark/>
          </w:tcPr>
          <w:p w14:paraId="452A12E1" w14:textId="77777777" w:rsidR="000F1DEB" w:rsidRPr="00684CF8" w:rsidRDefault="000F1DEB" w:rsidP="000F1DEB">
            <w:pPr>
              <w:suppressAutoHyphens w:val="0"/>
              <w:spacing w:before="40" w:after="40" w:line="220" w:lineRule="exact"/>
              <w:rPr>
                <w:rFonts w:cs="Times New Roman"/>
                <w:sz w:val="18"/>
              </w:rPr>
            </w:pPr>
            <w:r w:rsidRPr="00684CF8">
              <w:rPr>
                <w:rFonts w:cs="Times New Roman"/>
                <w:sz w:val="18"/>
              </w:rPr>
              <w:t>2014</w:t>
            </w:r>
          </w:p>
        </w:tc>
        <w:tc>
          <w:tcPr>
            <w:tcW w:w="4633" w:type="dxa"/>
            <w:shd w:val="clear" w:color="auto" w:fill="auto"/>
            <w:vAlign w:val="bottom"/>
            <w:hideMark/>
          </w:tcPr>
          <w:p w14:paraId="7A231222"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5,2</w:t>
            </w:r>
          </w:p>
        </w:tc>
        <w:tc>
          <w:tcPr>
            <w:tcW w:w="1740" w:type="dxa"/>
            <w:shd w:val="clear" w:color="auto" w:fill="auto"/>
            <w:vAlign w:val="bottom"/>
            <w:hideMark/>
          </w:tcPr>
          <w:p w14:paraId="2E7B9EBC"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3</w:t>
            </w:r>
          </w:p>
        </w:tc>
      </w:tr>
      <w:tr w:rsidR="000F1DEB" w:rsidRPr="00684CF8" w14:paraId="4F56663D" w14:textId="77777777" w:rsidTr="000F1DEB">
        <w:tc>
          <w:tcPr>
            <w:tcW w:w="997" w:type="dxa"/>
            <w:tcBorders>
              <w:bottom w:val="single" w:sz="12" w:space="0" w:color="auto"/>
            </w:tcBorders>
            <w:shd w:val="clear" w:color="auto" w:fill="auto"/>
            <w:hideMark/>
          </w:tcPr>
          <w:p w14:paraId="31D4EBF2" w14:textId="77777777" w:rsidR="000F1DEB" w:rsidRPr="00684CF8" w:rsidRDefault="000F1DEB" w:rsidP="000F1DEB">
            <w:pPr>
              <w:suppressAutoHyphens w:val="0"/>
              <w:spacing w:before="40" w:after="40" w:line="220" w:lineRule="exact"/>
              <w:rPr>
                <w:rFonts w:cs="Times New Roman"/>
                <w:sz w:val="18"/>
              </w:rPr>
            </w:pPr>
            <w:r w:rsidRPr="00684CF8">
              <w:rPr>
                <w:rFonts w:cs="Times New Roman"/>
                <w:sz w:val="18"/>
              </w:rPr>
              <w:t>2013</w:t>
            </w:r>
          </w:p>
        </w:tc>
        <w:tc>
          <w:tcPr>
            <w:tcW w:w="4633" w:type="dxa"/>
            <w:tcBorders>
              <w:bottom w:val="single" w:sz="12" w:space="0" w:color="auto"/>
            </w:tcBorders>
            <w:shd w:val="clear" w:color="auto" w:fill="auto"/>
            <w:vAlign w:val="bottom"/>
            <w:hideMark/>
          </w:tcPr>
          <w:p w14:paraId="506C5E08"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1,7</w:t>
            </w:r>
          </w:p>
        </w:tc>
        <w:tc>
          <w:tcPr>
            <w:tcW w:w="1740" w:type="dxa"/>
            <w:tcBorders>
              <w:bottom w:val="single" w:sz="12" w:space="0" w:color="auto"/>
            </w:tcBorders>
            <w:shd w:val="clear" w:color="auto" w:fill="auto"/>
            <w:vAlign w:val="bottom"/>
            <w:hideMark/>
          </w:tcPr>
          <w:p w14:paraId="68603ECE" w14:textId="77777777" w:rsidR="000F1DEB" w:rsidRPr="00684CF8" w:rsidRDefault="000F1DEB" w:rsidP="000F1DEB">
            <w:pPr>
              <w:suppressAutoHyphens w:val="0"/>
              <w:spacing w:before="40" w:after="40" w:line="220" w:lineRule="exact"/>
              <w:jc w:val="right"/>
              <w:rPr>
                <w:rFonts w:cs="Times New Roman"/>
                <w:sz w:val="18"/>
              </w:rPr>
            </w:pPr>
            <w:r w:rsidRPr="00684CF8">
              <w:rPr>
                <w:rFonts w:cs="Times New Roman"/>
                <w:sz w:val="18"/>
              </w:rPr>
              <w:t>1</w:t>
            </w:r>
          </w:p>
        </w:tc>
      </w:tr>
    </w:tbl>
    <w:p w14:paraId="409D003C" w14:textId="77777777" w:rsidR="000F1DEB" w:rsidRPr="00684CF8" w:rsidRDefault="000F1DEB" w:rsidP="000F1DEB">
      <w:pPr>
        <w:pStyle w:val="SingleTxtG"/>
        <w:spacing w:before="120" w:after="240" w:line="220" w:lineRule="exact"/>
        <w:ind w:firstLine="170"/>
        <w:jc w:val="left"/>
        <w:rPr>
          <w:sz w:val="18"/>
          <w:szCs w:val="18"/>
        </w:rPr>
      </w:pPr>
      <w:r w:rsidRPr="00684CF8">
        <w:rPr>
          <w:i/>
          <w:iCs/>
          <w:sz w:val="18"/>
          <w:szCs w:val="18"/>
        </w:rPr>
        <w:t>Источник</w:t>
      </w:r>
      <w:r w:rsidRPr="00684CF8">
        <w:rPr>
          <w:sz w:val="18"/>
          <w:szCs w:val="18"/>
        </w:rPr>
        <w:t>: Статистические сведения о Финляндии, структура населения.</w:t>
      </w:r>
    </w:p>
    <w:p w14:paraId="621EE1F9" w14:textId="77777777" w:rsidR="000F1DEB" w:rsidRPr="00684CF8" w:rsidRDefault="000F1DEB" w:rsidP="000F1DEB">
      <w:pPr>
        <w:pStyle w:val="SingleTxtG"/>
      </w:pPr>
      <w:r w:rsidRPr="00684CF8">
        <w:t>69.</w:t>
      </w:r>
      <w:r w:rsidRPr="00684CF8">
        <w:tab/>
        <w:t>Ожидаемая продолжительность жизни ребенка, родившегося в Финляндии в 2018 году, составляет 81,6 года. Средняя продолжительность жизни составила 78,9 года для мужчин и 84,3 года для женщин. Средняя продолжительность жизни как мужчин, так и женщин несколько увеличивалась по сравнению с предшествовавшим годом.</w:t>
      </w:r>
    </w:p>
    <w:p w14:paraId="55D0080A" w14:textId="77777777" w:rsidR="000F1DEB" w:rsidRPr="00684CF8" w:rsidRDefault="000F1DEB" w:rsidP="000F1DEB">
      <w:pPr>
        <w:pStyle w:val="SingleTxtG"/>
      </w:pPr>
      <w:r w:rsidRPr="00684CF8">
        <w:t>70.</w:t>
      </w:r>
      <w:r w:rsidRPr="00684CF8">
        <w:tab/>
        <w:t>Статистические данные о причинах смерти свидетельствуют о том, что в 2017 году умерло в общей сложности 53 670 человек. Этот показатель был на 0,5</w:t>
      </w:r>
      <w:r w:rsidR="008221B3">
        <w:rPr>
          <w:lang w:val="en-US"/>
        </w:rPr>
        <w:t> </w:t>
      </w:r>
      <w:r w:rsidRPr="00684CF8">
        <w:t>% ниже, чем в предшествовавшем году. Увеличение средней продолжительности жизни отражается в изменении возрастного распределения смертей: смертность лиц старше 80 лет увеличилась по сравнению с предшествовавшим годом, но осталась более или менее неизменной для лиц моложе 80 лет. Более высокая смертность пожилых людей нашла свое отражение в причинах смерти, прежде всего, в увеличении числа смертей, вызванных слабоумием и сердечно-сосудистыми заболеваниями. Последние также стали основной причиной смертности — на них приходится 36</w:t>
      </w:r>
      <w:r w:rsidR="008221B3">
        <w:rPr>
          <w:lang w:val="en-US"/>
        </w:rPr>
        <w:t> </w:t>
      </w:r>
      <w:r w:rsidRPr="00684CF8">
        <w:t>% всех смертей.</w:t>
      </w:r>
    </w:p>
    <w:p w14:paraId="28D147C4" w14:textId="77777777" w:rsidR="000F1DEB" w:rsidRPr="00684CF8" w:rsidRDefault="000F1DEB" w:rsidP="000F1DEB">
      <w:pPr>
        <w:pStyle w:val="H23G"/>
      </w:pPr>
      <w:bookmarkStart w:id="25" w:name="_Toc32364284"/>
      <w:r w:rsidRPr="00684CF8">
        <w:tab/>
        <w:t>d)</w:t>
      </w:r>
      <w:r w:rsidRPr="00684CF8">
        <w:tab/>
        <w:t>Социальное обеспечение</w:t>
      </w:r>
      <w:bookmarkEnd w:id="25"/>
    </w:p>
    <w:p w14:paraId="7FBB05C3" w14:textId="77777777" w:rsidR="000F1DEB" w:rsidRPr="00684CF8" w:rsidRDefault="000F1DEB" w:rsidP="000F1DEB">
      <w:pPr>
        <w:pStyle w:val="SingleTxtG"/>
      </w:pPr>
      <w:r w:rsidRPr="00684CF8">
        <w:t>71.</w:t>
      </w:r>
      <w:r w:rsidRPr="00684CF8">
        <w:tab/>
        <w:t xml:space="preserve">Социальное обеспечение состоит из пособий по месту жительства и работы. Все лица, постоянно проживающие в Финляндии, охвачены пенсионным обеспечением, медицинским и социальным обслуживанием, медицинскими страховыми выплатами, пособиями для родителей и семейными пособиями. Лица, прибывающие в Финляндию на работу, также имеют право на получение пособий по месту жительства. Секторами социального обеспечения, основанными исключительно на занятости, являются пенсионная система, </w:t>
      </w:r>
      <w:bookmarkStart w:id="26" w:name="_Hlk49078679"/>
      <w:r w:rsidRPr="00684CF8">
        <w:t>пособия в которой зависят от размеров заработной платы</w:t>
      </w:r>
      <w:bookmarkEnd w:id="26"/>
      <w:r w:rsidRPr="00684CF8">
        <w:t>, и система страхования от несчастных случаев на производстве и профессиональных заболеваний.</w:t>
      </w:r>
    </w:p>
    <w:p w14:paraId="44D908B2" w14:textId="77777777" w:rsidR="000F1DEB" w:rsidRPr="00684CF8" w:rsidRDefault="000F1DEB" w:rsidP="000F1DEB">
      <w:pPr>
        <w:pStyle w:val="SingleTxtG"/>
      </w:pPr>
      <w:r w:rsidRPr="00684CF8">
        <w:lastRenderedPageBreak/>
        <w:t>72.</w:t>
      </w:r>
      <w:r w:rsidRPr="00684CF8">
        <w:tab/>
        <w:t>Министерство социальных дел и здравоохранения отвечает за законодательство в области социального обеспечения и общее развитие системы социального обеспечения. Кроме того, несколько организаций принимают участие в реализации системы социального обеспечения. Особенностью финской системы является то, что управление пенсионным страхованием, пособия в котором зависят от размеров заработной платы, и страхованием на случай выплаты работникам компенсаций осуществляется частными страховыми компаниями.</w:t>
      </w:r>
    </w:p>
    <w:p w14:paraId="552F5C12" w14:textId="77777777" w:rsidR="000F1DEB" w:rsidRPr="00684CF8" w:rsidRDefault="000F1DEB" w:rsidP="000F1DEB">
      <w:pPr>
        <w:pStyle w:val="SingleTxtG"/>
      </w:pPr>
      <w:r w:rsidRPr="00684CF8">
        <w:t>73.</w:t>
      </w:r>
      <w:r w:rsidRPr="00684CF8">
        <w:tab/>
        <w:t>В рамках обеспечения базовой экономической безопасности Институт социального страхования Финляндии («Кела») выплачивает пособия по социальному страхованию по месту жительства, а также пособия по безработице. «Кела» является независимым общественно-публичным органом и подлежит надзору со стороны Парламента. Пособия по безработице, которые зависят от размеров заработной платы, предоставляются фондами по безработице. Членство в этих фондах является добровольным для наемных работников и самозанятых лиц. Решения по вопросам социального обеспечения принимаются в письменной форме, и лица, не удовлетворенные вынесенным решением, могут обжаловать его.</w:t>
      </w:r>
    </w:p>
    <w:p w14:paraId="14EBFC5A" w14:textId="77777777" w:rsidR="000F1DEB" w:rsidRPr="00684CF8" w:rsidRDefault="000F1DEB" w:rsidP="000F1DEB">
      <w:pPr>
        <w:pStyle w:val="SingleTxtG"/>
      </w:pPr>
      <w:r w:rsidRPr="00684CF8">
        <w:t>74.</w:t>
      </w:r>
      <w:r w:rsidRPr="00684CF8">
        <w:tab/>
        <w:t xml:space="preserve">Социальная помощь является последней формой материальной помощи по линии социального обеспечения. Социальная помощь состоит из базовой социальной помощи, дополнительной социальной помощи и мер социальной профилактики. </w:t>
      </w:r>
      <w:r w:rsidRPr="00684CF8">
        <w:br/>
        <w:t>С 2017 года «Кела» самостоятельно оказывает базовую социальную помощь. Финансирование базовой социальной помощи осуществляется на равной основе муниципалитетами и центральным правительством. Помимо этого, муниципалитеты отвечают за предоставление дополнительной и профилактической социальной помощи.</w:t>
      </w:r>
    </w:p>
    <w:p w14:paraId="3C3CCC0E" w14:textId="77777777" w:rsidR="000F1DEB" w:rsidRPr="00684CF8" w:rsidRDefault="000F1DEB" w:rsidP="000F1DEB">
      <w:pPr>
        <w:pStyle w:val="SingleTxtG"/>
      </w:pPr>
      <w:r w:rsidRPr="00684CF8">
        <w:t>75.</w:t>
      </w:r>
      <w:r w:rsidRPr="00684CF8">
        <w:tab/>
        <w:t>Социальное обеспечение в основном финансируется центральным правительством, которое в полном объеме покрывает расходы на семейные пособия, жилищные пособия и пособия по инвалидности. Центральное правительство также несет ответственность за финансирование субсидий на рынке труда совместно с муниципалитетами и вносит свой вклад в финансирование пособий по безработице с учетом размеров заработка и базовых пособий по безработице. Центральное правительство вносит вклад в финансирование здравоохранения и социальных услуг посредством целевых правительственных субсидий муниципалитетам. Что касается пенсий, то центральное правительство финансирует национальные пенсии и участвует в финансировании пенсий самозанятых лиц, независимых фермеров и моряков. Кроме того, центральное правительство участвует в финансировании национального медицинского страхования в сфере покрытия расходов на медицинские услуги.</w:t>
      </w:r>
    </w:p>
    <w:p w14:paraId="036D1A3E" w14:textId="77777777" w:rsidR="000F1DEB" w:rsidRPr="00684CF8" w:rsidRDefault="000F1DEB" w:rsidP="000F1DEB">
      <w:pPr>
        <w:pStyle w:val="SingleTxtG"/>
      </w:pPr>
      <w:r w:rsidRPr="00684CF8">
        <w:t>76.</w:t>
      </w:r>
      <w:r w:rsidRPr="00684CF8">
        <w:tab/>
        <w:t>На муниципалитеты возложена задача финансирования медицинских и социальных услуг за счет платежей, взимаемых с клиентов, а также налогов.</w:t>
      </w:r>
    </w:p>
    <w:p w14:paraId="0B94783F" w14:textId="77777777" w:rsidR="000F1DEB" w:rsidRPr="00684CF8" w:rsidRDefault="000F1DEB" w:rsidP="000F1DEB">
      <w:pPr>
        <w:pStyle w:val="SingleTxtG"/>
      </w:pPr>
      <w:r w:rsidRPr="00684CF8">
        <w:t>77.</w:t>
      </w:r>
      <w:r w:rsidRPr="00684CF8">
        <w:tab/>
        <w:t>Работодатели, наемные работники и самозанятые лица выделяют финансовые средства на цели социального обеспечения, внося свой вклад в финансирование пособия по безработице с учетом размеров заработка и базового пособия по безработице, пенсий с учетом размеров заработка, государственного медицинского страхования и страхования от несчастных случаев на производстве. Эти финансовые средства собираются в виде страховых взносов.</w:t>
      </w:r>
    </w:p>
    <w:p w14:paraId="59D5B372" w14:textId="77777777" w:rsidR="000F1DEB" w:rsidRPr="00684CF8" w:rsidRDefault="000F1DEB" w:rsidP="000F1DEB">
      <w:pPr>
        <w:pStyle w:val="H23G"/>
      </w:pPr>
      <w:bookmarkStart w:id="27" w:name="_Toc32364285"/>
      <w:r w:rsidRPr="00684CF8">
        <w:tab/>
        <w:t>e)</w:t>
      </w:r>
      <w:r w:rsidRPr="00684CF8">
        <w:tab/>
      </w:r>
      <w:r w:rsidRPr="00684CF8">
        <w:tab/>
        <w:t>Реформа регионального правительства и реформа здравоохранения и социального обслуживания</w:t>
      </w:r>
      <w:bookmarkEnd w:id="27"/>
    </w:p>
    <w:p w14:paraId="7651FCD8" w14:textId="77777777" w:rsidR="000F1DEB" w:rsidRPr="00684CF8" w:rsidRDefault="000F1DEB" w:rsidP="000F1DEB">
      <w:pPr>
        <w:pStyle w:val="SingleTxtG"/>
      </w:pPr>
      <w:r w:rsidRPr="00684CF8">
        <w:t>78.</w:t>
      </w:r>
      <w:r w:rsidRPr="00684CF8">
        <w:tab/>
        <w:t xml:space="preserve">В правительственной программе Премьер-министра Санны Марин говорится, что правительство приступит к реструктуризации служб здравоохранения и социального обеспечения с целью передачи ответственности за организацию этих служб 18 округам. В округах основным поставщиком услуг должен стать государственный сектор, а поставщиками дополнительных услуг — частный и третий сектор. Главными целями реформы системы здравоохранения и социального обслуживания станут сокращение неравенства в области здравоохранения и благосостояния, обеспечение равного и качественного медицинского и социального обслуживания для всех, улучшение наличия и доступности услуг, обеспечение </w:t>
      </w:r>
      <w:r w:rsidRPr="00684CF8">
        <w:lastRenderedPageBreak/>
        <w:t>наличия квалифицированной рабочей силы, реагирование на вызовы, связанные с изменениями в обществе, и сдерживание роста издержек.</w:t>
      </w:r>
    </w:p>
    <w:p w14:paraId="425DE1E8" w14:textId="77777777" w:rsidR="000F1DEB" w:rsidRPr="00684CF8" w:rsidRDefault="000F1DEB" w:rsidP="000F1DEB">
      <w:pPr>
        <w:pStyle w:val="SingleTxtG"/>
      </w:pPr>
      <w:r w:rsidRPr="00684CF8">
        <w:t>79.</w:t>
      </w:r>
      <w:r w:rsidRPr="00684CF8">
        <w:tab/>
        <w:t>В программе правительства Премьер-министра Санны Марин также отмечается необходимость реформирования системы социального обеспечения. Основное внимание при реформировании социального обеспечения должно быть сосредоточено на достижении социальной справедливости и защите гарантированного дохода для людей, которые сталкиваются с социальными рисками. По сути, систему необходимо сделать более надежной, всеобъемлющей и понятной. Для подготовки реформы на основе исследовательских данных будет создана парламентская комиссия. Подготовка будет осуществляться на широкой горизонтальной основе с привлечением специалистов из различных секторов.</w:t>
      </w:r>
    </w:p>
    <w:p w14:paraId="26B04970" w14:textId="77777777" w:rsidR="000F1DEB" w:rsidRPr="00684CF8" w:rsidRDefault="000F1DEB" w:rsidP="000F1DEB">
      <w:pPr>
        <w:pStyle w:val="H23G"/>
      </w:pPr>
      <w:bookmarkStart w:id="28" w:name="_Toc32364286"/>
      <w:r w:rsidRPr="00684CF8">
        <w:tab/>
        <w:t>f)</w:t>
      </w:r>
      <w:r w:rsidRPr="00684CF8">
        <w:tab/>
      </w:r>
      <w:bookmarkStart w:id="29" w:name="_Hlk48232214"/>
      <w:r w:rsidRPr="00684CF8">
        <w:t xml:space="preserve">Обучение и воспитание </w:t>
      </w:r>
      <w:bookmarkEnd w:id="29"/>
      <w:r w:rsidRPr="00684CF8">
        <w:t>детей младшего возраста, образование и профессиональная подготовка</w:t>
      </w:r>
      <w:bookmarkEnd w:id="28"/>
    </w:p>
    <w:p w14:paraId="53FE2474" w14:textId="77777777" w:rsidR="000F1DEB" w:rsidRPr="00684CF8" w:rsidRDefault="000F1DEB" w:rsidP="000F1DEB">
      <w:pPr>
        <w:pStyle w:val="SingleTxtG"/>
      </w:pPr>
      <w:r w:rsidRPr="00684CF8">
        <w:t>80.</w:t>
      </w:r>
      <w:r w:rsidRPr="00684CF8">
        <w:tab/>
      </w:r>
      <w:r w:rsidRPr="00684CF8">
        <w:rPr>
          <w:bCs/>
        </w:rPr>
        <w:t xml:space="preserve">Обучение и воспитание </w:t>
      </w:r>
      <w:r w:rsidRPr="00684CF8">
        <w:t xml:space="preserve">детей младшего возраста </w:t>
      </w:r>
      <w:r w:rsidR="002A79B1" w:rsidRPr="00684CF8">
        <w:t>—</w:t>
      </w:r>
      <w:r w:rsidRPr="00684CF8">
        <w:t xml:space="preserve"> это систематическая и целенаправленная деятельность, состоящая из воспитания, обучения и ухода, с особым упором на педагогику. Целями воспитания и обучения детей младшего возраста являются поддержка роста, развития способностей детей и содействие их благополучию. Каждый ребенок имеет право на программы обучения и воспитания для детей младшего возраста в объеме 20 часов в неделю. </w:t>
      </w:r>
      <w:r w:rsidRPr="00684CF8">
        <w:rPr>
          <w:bCs/>
        </w:rPr>
        <w:t xml:space="preserve">Обучение и воспитание </w:t>
      </w:r>
      <w:r w:rsidRPr="00684CF8">
        <w:t xml:space="preserve">детей младшего возраста организуются на основе полного дня, если родители или другие лица, осуществляющие опеку над ребенком, работают или учатся в дневное время, занимаются предпринимательской деятельностью или являются самозанятыми в течение всего дня. </w:t>
      </w:r>
      <w:r w:rsidRPr="00684CF8">
        <w:rPr>
          <w:bCs/>
        </w:rPr>
        <w:t xml:space="preserve">Обучение и воспитание </w:t>
      </w:r>
      <w:r w:rsidRPr="00684CF8">
        <w:t xml:space="preserve">в раннем возрасте на основе полного дня также должны быть организованы для ребенка, если это необходимо для его развития, если он нуждается в поддержке или семейных условиях или если это иным образом служит наилучшим интересам ребенка. В настоящее время в Закон </w:t>
      </w:r>
      <w:r w:rsidRPr="00684CF8">
        <w:rPr>
          <w:bCs/>
        </w:rPr>
        <w:t xml:space="preserve">об обучении и воспитании </w:t>
      </w:r>
      <w:r w:rsidRPr="00684CF8">
        <w:t>детей младшего возраста (540/2018) вносятся поправки, предусматривающие субъективное право на о</w:t>
      </w:r>
      <w:r w:rsidRPr="00684CF8">
        <w:rPr>
          <w:bCs/>
        </w:rPr>
        <w:t xml:space="preserve">бучение и воспитание </w:t>
      </w:r>
      <w:r w:rsidRPr="00684CF8">
        <w:t>для всех детей младшего возраста без каких-либо ограничений в отношении права на о</w:t>
      </w:r>
      <w:r w:rsidRPr="00684CF8">
        <w:rPr>
          <w:bCs/>
        </w:rPr>
        <w:t>бучение и воспитание</w:t>
      </w:r>
      <w:r w:rsidRPr="00684CF8">
        <w:t xml:space="preserve"> детей младшего возраста. Поправки к Закону вступят в силу 1 </w:t>
      </w:r>
      <w:r w:rsidR="008221B3">
        <w:t>августа</w:t>
      </w:r>
      <w:r w:rsidRPr="00684CF8">
        <w:t xml:space="preserve"> 2020</w:t>
      </w:r>
      <w:r w:rsidR="002A79B1" w:rsidRPr="00684CF8">
        <w:t> </w:t>
      </w:r>
      <w:r w:rsidRPr="00684CF8">
        <w:t>года.</w:t>
      </w:r>
    </w:p>
    <w:p w14:paraId="57C95D04" w14:textId="77777777" w:rsidR="000F1DEB" w:rsidRPr="00684CF8" w:rsidRDefault="000F1DEB" w:rsidP="000F1DEB">
      <w:pPr>
        <w:pStyle w:val="SingleTxtG"/>
      </w:pPr>
      <w:r w:rsidRPr="00684CF8">
        <w:t>81.</w:t>
      </w:r>
      <w:r w:rsidRPr="00684CF8">
        <w:tab/>
        <w:t>Право на образование и профессиональную подготовку является одним из основных прав, и его осуществление гарантируется определенным в законодательстве правом на бесплатное базовое образование, а также обязательным характером образования. Органы государственной власти гарантируют каждому равные возможности для получения других образовательных услуг в соответствии со своими способностями и особыми потребностями, а также возможность развиваться, не испытывая экономических трудностей.</w:t>
      </w:r>
    </w:p>
    <w:p w14:paraId="63024B5A" w14:textId="77777777" w:rsidR="000F1DEB" w:rsidRPr="00684CF8" w:rsidRDefault="000F1DEB" w:rsidP="000F1DEB">
      <w:pPr>
        <w:pStyle w:val="SingleTxtG"/>
      </w:pPr>
      <w:r w:rsidRPr="00684CF8">
        <w:t>82.</w:t>
      </w:r>
      <w:r w:rsidRPr="00684CF8">
        <w:tab/>
        <w:t>Дети в Финляндии обязаны в течение года, предшествующего началу обязательного образования, посещать занятия по дошкольному обучению или другие мероприятия, направленные на достижение целей дошкольного обучения. Целью дошкольного обучения, являющегося частью воспитания детей младшего возраста, является повышение способности детей к усвоению знаний. Обязательное образование начинается в год, когда ребенку исполняется семь лет, и заканчивается, когда завершается базовая образовательная программа или по истечении десяти лет с начала обязательного образования. Базовое образование, т</w:t>
      </w:r>
      <w:r w:rsidR="008B4107" w:rsidRPr="00684CF8">
        <w:t>. е.</w:t>
      </w:r>
      <w:r w:rsidRPr="00684CF8">
        <w:t xml:space="preserve"> общеобразовательная школа, обычно занимает девять лет. Базовое образование должно поддерживать рост учащихся как человеческих личностей и членов общества и давать им знания и навыки, необходимые в жизни, а также способствовать развитию общечеловеческих ценностей и равенства в обществе и формировать условия, которые бы подготовили учащихся к участию в образовании.</w:t>
      </w:r>
    </w:p>
    <w:p w14:paraId="6A11A0EC" w14:textId="77777777" w:rsidR="000F1DEB" w:rsidRPr="00684CF8" w:rsidRDefault="000F1DEB" w:rsidP="000F1DEB">
      <w:pPr>
        <w:pStyle w:val="SingleTxtG"/>
      </w:pPr>
      <w:r w:rsidRPr="00684CF8">
        <w:t>83.</w:t>
      </w:r>
      <w:r w:rsidRPr="00684CF8">
        <w:tab/>
        <w:t xml:space="preserve">По завершении обязательного образования учащиеся могут перейти на уровень среднего, профессионального или общего среднего образования второй ступени. Последнее завершается экзаменом на аттестат зрелости. Учащиеся профессионально-технических училищ второй ступени среднего образования получают профессиональную квалификацию второй ступени среднего образования, более </w:t>
      </w:r>
      <w:r w:rsidRPr="00684CF8">
        <w:lastRenderedPageBreak/>
        <w:t>высокую профессиональную квалификацию или специальную профессиональную квалификацию. Образование выше среднего предлагается в университетах и университетах прикладных наук. Университеты также проводят исследования и обеспечивают образование, нацеленное на научно-исследовательская работу, в то время как университеты прикладных наук в большей степени ориентированы на практические требования мирового рынка труда. Государственная программа на 2019</w:t>
      </w:r>
      <w:r w:rsidR="002A79B1" w:rsidRPr="00684CF8">
        <w:t> </w:t>
      </w:r>
      <w:r w:rsidRPr="00684CF8">
        <w:t>год направлена на обеспечение того, чтобы каждый, кто заканчивает базовое образование, получал квалификацию второй ступени среднего образования. Это</w:t>
      </w:r>
      <w:r w:rsidR="002A79B1" w:rsidRPr="00684CF8">
        <w:t> </w:t>
      </w:r>
      <w:r w:rsidRPr="00684CF8">
        <w:t>должно быть достигнуто за счет повышения минимального возраста окончания школы до 18 лет, а также путем введения ряда вариантов обучения и поддержки для обязательного образования, которые могут быть включены в диапазон квалификационных требований ко второй ступени среднего образования. Уровень обязательного образования не может быть повышен до тех пор, пока не будет отменена плата за обучение в старших классах средней школы. Эти решения о повышении уровня обязательного образования требуют внесения поправок в действующее законодательство.</w:t>
      </w:r>
    </w:p>
    <w:p w14:paraId="415766C9" w14:textId="77777777" w:rsidR="000F1DEB" w:rsidRPr="00684CF8" w:rsidRDefault="000F1DEB" w:rsidP="000F1DEB">
      <w:pPr>
        <w:pStyle w:val="SingleTxtG"/>
      </w:pPr>
      <w:r w:rsidRPr="00684CF8">
        <w:t>84.</w:t>
      </w:r>
      <w:r w:rsidRPr="00684CF8">
        <w:tab/>
        <w:t>В 2017 году около 72</w:t>
      </w:r>
      <w:r w:rsidR="008221B3">
        <w:t> </w:t>
      </w:r>
      <w:r w:rsidRPr="00684CF8">
        <w:t>% финнов в возрасте 15 лет и старше получили общее среднее или профессионально-техническое образование второй ступени или обучались в университете или университете прикладных наук. Среди всего населения в возрасте 15 лет и старше около 40</w:t>
      </w:r>
      <w:r w:rsidR="008221B3">
        <w:t> </w:t>
      </w:r>
      <w:r w:rsidRPr="00684CF8">
        <w:t>% окончили среднюю школу и около 31</w:t>
      </w:r>
      <w:r w:rsidR="008221B3">
        <w:t> </w:t>
      </w:r>
      <w:r w:rsidRPr="00684CF8">
        <w:t>% получили высшее образование.</w:t>
      </w:r>
    </w:p>
    <w:p w14:paraId="510EF9D2" w14:textId="77777777" w:rsidR="000F1DEB" w:rsidRPr="00684CF8" w:rsidRDefault="000F1DEB" w:rsidP="000F1DEB">
      <w:pPr>
        <w:pStyle w:val="SingleTxtG"/>
      </w:pPr>
      <w:r w:rsidRPr="00684CF8">
        <w:t>85.</w:t>
      </w:r>
      <w:r w:rsidRPr="00684CF8">
        <w:tab/>
        <w:t>В 2017–2018 учебном году в Финляндии было отсеяно в общей сложности 510</w:t>
      </w:r>
      <w:r w:rsidR="002A79B1" w:rsidRPr="00684CF8">
        <w:t> </w:t>
      </w:r>
      <w:r w:rsidRPr="00684CF8">
        <w:t>учащихся. Посещать занятия в рамках обязательного образования в весеннем семестре не смогли 64 учащихся, а тех, кто не получил обязательного образования и оставил школу без свидетельства о базовом образовании, насчитывается 436 человек. На долю девочек приходится 37</w:t>
      </w:r>
      <w:r w:rsidR="008221B3">
        <w:t> </w:t>
      </w:r>
      <w:r w:rsidRPr="00684CF8">
        <w:t>% учащихся, отсеянных из системы базового образования, при этом 33 девочки не посещали занятия в рамках обязательного образования и 157 девочек оставили школу, не получив свидетельства о базовом образовании.</w:t>
      </w:r>
    </w:p>
    <w:p w14:paraId="4692CE19" w14:textId="77777777" w:rsidR="000F1DEB" w:rsidRPr="00684CF8" w:rsidRDefault="000F1DEB" w:rsidP="000F1DEB">
      <w:pPr>
        <w:pStyle w:val="SingleTxtG"/>
      </w:pPr>
      <w:r w:rsidRPr="00684CF8">
        <w:t>86.</w:t>
      </w:r>
      <w:r w:rsidRPr="00684CF8">
        <w:tab/>
        <w:t>В 2016</w:t>
      </w:r>
      <w:r w:rsidR="008221B3">
        <w:t>/</w:t>
      </w:r>
      <w:r w:rsidRPr="00684CF8">
        <w:t>17 учебном году 5,1</w:t>
      </w:r>
      <w:r w:rsidR="008221B3">
        <w:t> </w:t>
      </w:r>
      <w:r w:rsidRPr="00684CF8">
        <w:t>% студентов оставили школу, не перейдя ни на какую другую ступень более высокого образования. Коэффициент отсева в 2016</w:t>
      </w:r>
      <w:r w:rsidR="002A79B1" w:rsidRPr="00684CF8">
        <w:t>/</w:t>
      </w:r>
      <w:r w:rsidRPr="00684CF8">
        <w:t>17</w:t>
      </w:r>
      <w:r w:rsidR="002A79B1" w:rsidRPr="00684CF8">
        <w:t> </w:t>
      </w:r>
      <w:r w:rsidRPr="00684CF8">
        <w:t>учебном году составил 3,1</w:t>
      </w:r>
      <w:r w:rsidR="008221B3">
        <w:t> </w:t>
      </w:r>
      <w:r w:rsidRPr="00684CF8">
        <w:t>% по общему среднему образованию старшей ступени для молодежи, 7,4</w:t>
      </w:r>
      <w:r w:rsidR="008221B3">
        <w:t> </w:t>
      </w:r>
      <w:r w:rsidRPr="00684CF8">
        <w:t>% по профессиональному среднему образованию старшей ступени для молодежи, 7,3</w:t>
      </w:r>
      <w:r w:rsidR="008221B3">
        <w:t> </w:t>
      </w:r>
      <w:r w:rsidRPr="00684CF8">
        <w:t>% по образованию, предоставляемому университетами прикладных наук, и 5,9</w:t>
      </w:r>
      <w:r w:rsidR="008221B3">
        <w:t> </w:t>
      </w:r>
      <w:r w:rsidRPr="00684CF8">
        <w:t>% по образованию, предоставляемому университетами (бакалавриат и магистратура).</w:t>
      </w:r>
    </w:p>
    <w:p w14:paraId="08F962A3" w14:textId="77777777" w:rsidR="000F1DEB" w:rsidRPr="00684CF8" w:rsidRDefault="000F1DEB" w:rsidP="000F1DEB">
      <w:pPr>
        <w:pStyle w:val="SingleTxtG"/>
      </w:pPr>
      <w:r w:rsidRPr="00684CF8">
        <w:t>87.</w:t>
      </w:r>
      <w:r w:rsidRPr="00684CF8">
        <w:tab/>
        <w:t>По статистике за 2016 год средний размер учебной группы в 1–6 классах базового образования составлял 19,4 ученика на группу. В этот показатель также включены классы дошкольного обучения и группы, состоящие из учащихся разных классов. Если их исключить из показателя, средний размер группы составляет 20,1</w:t>
      </w:r>
      <w:r w:rsidR="002A79B1" w:rsidRPr="00684CF8">
        <w:t> </w:t>
      </w:r>
      <w:r w:rsidRPr="00684CF8">
        <w:t xml:space="preserve">ученика. Средний размер группы увеличивается от младших классов к старшим, при этом наименьший размер группы наблюдается в 1-м классе (19,0 учащихся на группу), а наибольший </w:t>
      </w:r>
      <w:r w:rsidR="002A79B1" w:rsidRPr="00684CF8">
        <w:t>—</w:t>
      </w:r>
      <w:r w:rsidRPr="00684CF8">
        <w:t xml:space="preserve"> в 6-м классе (20,9 учащихся на группу).</w:t>
      </w:r>
    </w:p>
    <w:p w14:paraId="6249BA9D" w14:textId="77777777" w:rsidR="000F1DEB" w:rsidRPr="00684CF8" w:rsidRDefault="000F1DEB" w:rsidP="000F1DEB">
      <w:pPr>
        <w:pStyle w:val="SingleTxtG"/>
      </w:pPr>
      <w:r w:rsidRPr="00684CF8">
        <w:t>88.</w:t>
      </w:r>
      <w:r w:rsidRPr="00684CF8">
        <w:tab/>
        <w:t>Средний размер учебных групп остался более или менее неизменным с 2010</w:t>
      </w:r>
      <w:r w:rsidR="002A79B1" w:rsidRPr="00684CF8">
        <w:t> </w:t>
      </w:r>
      <w:r w:rsidRPr="00684CF8">
        <w:t>года, хотя размеры групп увеличились в 1–2 классах и в дошкольных учреждениях и уменьшились в 3–6 классах. По сравнению с 2013 годом размер учебной группы в 1–6 классах увеличился в среднем на 0,4 ученика, а в 7–9 классах уменьшился в среднем на 0,6 ученика.</w:t>
      </w:r>
    </w:p>
    <w:p w14:paraId="41890A1A" w14:textId="77777777" w:rsidR="000F1DEB" w:rsidRPr="00684CF8" w:rsidRDefault="000F1DEB" w:rsidP="000F1DEB">
      <w:pPr>
        <w:pStyle w:val="SingleTxtG"/>
      </w:pPr>
      <w:r w:rsidRPr="00684CF8">
        <w:t>89.</w:t>
      </w:r>
      <w:r w:rsidRPr="00684CF8">
        <w:tab/>
        <w:t>Положениями о персонале по воспитанию и обучению детей младшего возраста установлено требование о том, что соотношение персонала по дневному ухода за детьми составляет 1:4 для детей в возрасте до трех лет и 1:8 для детей в возрасте трех лет и старше. Работники по уходу за детьми могут иметь под присмотром не более четыр</w:t>
      </w:r>
      <w:r w:rsidR="008808F1" w:rsidRPr="00684CF8">
        <w:t>е</w:t>
      </w:r>
      <w:r w:rsidRPr="00684CF8">
        <w:t>х детей на основе полного дня плюс один реб</w:t>
      </w:r>
      <w:r w:rsidR="008808F1" w:rsidRPr="00684CF8">
        <w:t>е</w:t>
      </w:r>
      <w:r w:rsidRPr="00684CF8">
        <w:t>нок, который либо посещает дошкольное учреждение, либо учится в первых классах в рамках обязательного образования.</w:t>
      </w:r>
    </w:p>
    <w:p w14:paraId="415564F5" w14:textId="77777777" w:rsidR="000F1DEB" w:rsidRPr="00684CF8" w:rsidRDefault="000F1DEB" w:rsidP="000F1DEB">
      <w:pPr>
        <w:pStyle w:val="SingleTxtG"/>
      </w:pPr>
      <w:r w:rsidRPr="00684CF8">
        <w:t>90.</w:t>
      </w:r>
      <w:r w:rsidRPr="00684CF8">
        <w:tab/>
        <w:t>Уровень грамотности в Финляндии составляет практически 100</w:t>
      </w:r>
      <w:r w:rsidR="008221B3">
        <w:t> </w:t>
      </w:r>
      <w:r w:rsidRPr="00684CF8">
        <w:t>%.</w:t>
      </w:r>
    </w:p>
    <w:p w14:paraId="040ED8DC" w14:textId="77777777" w:rsidR="000F1DEB" w:rsidRPr="00684CF8" w:rsidRDefault="000F1DEB" w:rsidP="002A79B1">
      <w:pPr>
        <w:pStyle w:val="H23G"/>
      </w:pPr>
      <w:bookmarkStart w:id="30" w:name="_Toc32364287"/>
      <w:r w:rsidRPr="00684CF8">
        <w:lastRenderedPageBreak/>
        <w:tab/>
        <w:t>g)</w:t>
      </w:r>
      <w:r w:rsidRPr="00684CF8">
        <w:tab/>
        <w:t>Занятость</w:t>
      </w:r>
      <w:bookmarkEnd w:id="30"/>
    </w:p>
    <w:p w14:paraId="48A218D5" w14:textId="77777777" w:rsidR="000F1DEB" w:rsidRPr="00684CF8" w:rsidRDefault="000F1DEB" w:rsidP="000F1DEB">
      <w:pPr>
        <w:pStyle w:val="SingleTxtG"/>
      </w:pPr>
      <w:r w:rsidRPr="00684CF8">
        <w:t>91.</w:t>
      </w:r>
      <w:r w:rsidRPr="00684CF8">
        <w:tab/>
        <w:t>В Финляндии пока продолжается рост населения трудоспособного возраста (от</w:t>
      </w:r>
      <w:r w:rsidR="002A79B1" w:rsidRPr="00684CF8">
        <w:t> </w:t>
      </w:r>
      <w:r w:rsidRPr="00684CF8">
        <w:t>15 до 74 лет), однако Статистическое управление прогнозирует, что уже в 2020</w:t>
      </w:r>
      <w:r w:rsidR="002A79B1" w:rsidRPr="00684CF8">
        <w:t> </w:t>
      </w:r>
      <w:r w:rsidRPr="00684CF8">
        <w:t>году его численность начнет сокращаться. Это означает, что в будущем все большая доля населения Финляндии будет состоять из молодых или пожилых людей, относящихся к категории неактивного населения. Доля лиц в возрасте старше 74 лет увеличится в наибольшей степени, в то время как доля лиц в возрасте 15–64 лет сократится.</w:t>
      </w:r>
    </w:p>
    <w:p w14:paraId="0D9F83F7" w14:textId="77777777" w:rsidR="000F1DEB" w:rsidRPr="00684CF8" w:rsidRDefault="000F1DEB" w:rsidP="000F1DEB">
      <w:pPr>
        <w:pStyle w:val="SingleTxtG"/>
      </w:pPr>
      <w:r w:rsidRPr="00684CF8">
        <w:t>92.</w:t>
      </w:r>
      <w:r w:rsidRPr="00684CF8">
        <w:tab/>
        <w:t>В августе 2019 года в Финляндии работало 2 598 000 человек (погрешность ±34</w:t>
      </w:r>
      <w:r w:rsidR="002A79B1" w:rsidRPr="00684CF8">
        <w:t> </w:t>
      </w:r>
      <w:r w:rsidRPr="00684CF8">
        <w:t xml:space="preserve">000), что на 32 000 человек больше, чем годом ранее. По сравнению с августом 2018 года число занятых мужчин стало выше на 5000 человек, а женщин </w:t>
      </w:r>
      <w:r w:rsidR="002A79B1" w:rsidRPr="00684CF8">
        <w:t>—</w:t>
      </w:r>
      <w:r w:rsidRPr="00684CF8">
        <w:t xml:space="preserve"> на 27 000. Тенденции в области занятости различаются в зависимости от отрасли: число занятых в первичном производстве и обрабатывающей промышленности сократилось, в то время как в строительстве и сфере услуг наблюдался их рост.</w:t>
      </w:r>
    </w:p>
    <w:p w14:paraId="3B965360" w14:textId="77777777" w:rsidR="000F1DEB" w:rsidRPr="00684CF8" w:rsidRDefault="000F1DEB" w:rsidP="000F1DEB">
      <w:pPr>
        <w:pStyle w:val="SingleTxtG"/>
      </w:pPr>
      <w:r w:rsidRPr="00684CF8">
        <w:t>93.</w:t>
      </w:r>
      <w:r w:rsidRPr="00684CF8">
        <w:tab/>
        <w:t>Уровень занятости, т</w:t>
      </w:r>
      <w:r w:rsidR="008B4107" w:rsidRPr="00684CF8">
        <w:t>. </w:t>
      </w:r>
      <w:r w:rsidRPr="00684CF8">
        <w:t>е</w:t>
      </w:r>
      <w:r w:rsidR="008B4107" w:rsidRPr="00684CF8">
        <w:t>.</w:t>
      </w:r>
      <w:r w:rsidRPr="00684CF8">
        <w:t xml:space="preserve"> доля занятых в возрасте от 15 до 64 лет, в августе составил 73,5</w:t>
      </w:r>
      <w:r w:rsidR="008221B3">
        <w:t> </w:t>
      </w:r>
      <w:r w:rsidRPr="00684CF8">
        <w:t>% по сравнению с 72,6</w:t>
      </w:r>
      <w:r w:rsidR="008221B3">
        <w:t> </w:t>
      </w:r>
      <w:r w:rsidRPr="00684CF8">
        <w:t>% годом ранее. Уровень занятости мужчин в возрасте от 15 до 64 лет снизился по сравнению с предшествовавшим годом на 0,2</w:t>
      </w:r>
      <w:r w:rsidR="002A79B1" w:rsidRPr="00684CF8">
        <w:t> </w:t>
      </w:r>
      <w:r w:rsidRPr="00684CF8">
        <w:t>процентного пункта до 74,2</w:t>
      </w:r>
      <w:r w:rsidR="008221B3">
        <w:t> </w:t>
      </w:r>
      <w:r w:rsidR="002A79B1" w:rsidRPr="00684CF8">
        <w:t>%</w:t>
      </w:r>
      <w:r w:rsidRPr="00684CF8">
        <w:t>, а уровень занятости женщин той же возрастной группы увеличился на 2,0 процентного пункта до 72,8</w:t>
      </w:r>
      <w:r w:rsidR="008221B3">
        <w:t> </w:t>
      </w:r>
      <w:r w:rsidR="002A79B1" w:rsidRPr="00684CF8">
        <w:t>%</w:t>
      </w:r>
      <w:r w:rsidRPr="00684CF8">
        <w:t>.</w:t>
      </w:r>
    </w:p>
    <w:p w14:paraId="11097001" w14:textId="77777777" w:rsidR="000F1DEB" w:rsidRPr="00684CF8" w:rsidRDefault="000F1DEB" w:rsidP="000F1DEB">
      <w:pPr>
        <w:pStyle w:val="SingleTxtG"/>
      </w:pPr>
      <w:r w:rsidRPr="00684CF8">
        <w:t>94.</w:t>
      </w:r>
      <w:r w:rsidRPr="00684CF8">
        <w:tab/>
        <w:t>Согласно данным Статистического обследования рабочей силы Финляндии, в</w:t>
      </w:r>
      <w:r w:rsidR="002A79B1" w:rsidRPr="00684CF8">
        <w:t> </w:t>
      </w:r>
      <w:r w:rsidRPr="00684CF8">
        <w:t>августе 2019 года в стране насчитывалось 170 000 безработных (погрешность ±18</w:t>
      </w:r>
      <w:r w:rsidR="002A79B1" w:rsidRPr="00684CF8">
        <w:t> </w:t>
      </w:r>
      <w:r w:rsidRPr="00684CF8">
        <w:t xml:space="preserve">000), что на 17 000 меньше, чем годом ранее. Безработных мужчин насчитывалось 94 000, а безработных женщин </w:t>
      </w:r>
      <w:r w:rsidR="002A79B1" w:rsidRPr="00684CF8">
        <w:t>—</w:t>
      </w:r>
      <w:r w:rsidRPr="00684CF8">
        <w:t xml:space="preserve"> 76 000 человек. За последние два года уровень безработицы резко снизился. Сократилось также число лиц, длительное время остававшихся без работы. Тем не менее уровень безработицы в Финляндии достаточно высок по сравнению с другими европейскими странами.</w:t>
      </w:r>
    </w:p>
    <w:p w14:paraId="321A9FF2" w14:textId="77777777" w:rsidR="000F1DEB" w:rsidRPr="00684CF8" w:rsidRDefault="000F1DEB" w:rsidP="000F1DEB">
      <w:pPr>
        <w:pStyle w:val="SingleTxtG"/>
      </w:pPr>
      <w:r w:rsidRPr="00684CF8">
        <w:t>95.</w:t>
      </w:r>
      <w:r w:rsidRPr="00684CF8">
        <w:tab/>
        <w:t>Уровень безработицы в августе составил 6,1</w:t>
      </w:r>
      <w:r w:rsidR="008221B3">
        <w:t> </w:t>
      </w:r>
      <w:r w:rsidRPr="00684CF8">
        <w:t>%, что на 0,6 процентных пункта ниже, чем годом ранее. Уровень безработицы среди мужчин был на 6,5</w:t>
      </w:r>
      <w:r w:rsidR="008221B3">
        <w:t> </w:t>
      </w:r>
      <w:r w:rsidR="002A79B1" w:rsidRPr="00684CF8">
        <w:t>%</w:t>
      </w:r>
      <w:r w:rsidRPr="00684CF8">
        <w:t>, или на 0,2</w:t>
      </w:r>
      <w:r w:rsidR="002A79B1" w:rsidRPr="00684CF8">
        <w:t> </w:t>
      </w:r>
      <w:r w:rsidRPr="00684CF8">
        <w:t>процентных пункта, выше, чем в предшествовавшем году, в то время как среди женщин уровень безработицы снизился на 1,6 процентного пункта до 5,7</w:t>
      </w:r>
      <w:r w:rsidR="008221B3">
        <w:t> </w:t>
      </w:r>
      <w:r w:rsidR="002A79B1" w:rsidRPr="00684CF8">
        <w:t>%</w:t>
      </w:r>
      <w:r w:rsidRPr="00684CF8">
        <w:t>.</w:t>
      </w:r>
    </w:p>
    <w:p w14:paraId="4276C8A0" w14:textId="77777777" w:rsidR="000F1DEB" w:rsidRPr="00684CF8" w:rsidRDefault="000F1DEB" w:rsidP="000F1DEB">
      <w:pPr>
        <w:pStyle w:val="SingleTxtG"/>
      </w:pPr>
      <w:r w:rsidRPr="00684CF8">
        <w:t>96.</w:t>
      </w:r>
      <w:r w:rsidRPr="00684CF8">
        <w:tab/>
        <w:t xml:space="preserve">Количество молодых людей в Финляндии в возрасте </w:t>
      </w:r>
      <w:bookmarkStart w:id="31" w:name="_Hlk48240005"/>
      <w:r w:rsidRPr="00684CF8">
        <w:t xml:space="preserve">от 15 до 24 лет </w:t>
      </w:r>
      <w:bookmarkEnd w:id="31"/>
      <w:r w:rsidRPr="00684CF8">
        <w:t>в августе составило 612 000 человек. Из них 275 000 были трудоустроены и 45 000 являлись безработными. Таким образом, число молодых людей в составе рабочей силы, т</w:t>
      </w:r>
      <w:r w:rsidR="002A79B1" w:rsidRPr="00684CF8">
        <w:t>. е. </w:t>
      </w:r>
      <w:r w:rsidRPr="00684CF8">
        <w:t>занятых и безработных, составило 320 000 человек. Уровень безработицы среди молодежи в возрасте от 15 до 24 лет, т</w:t>
      </w:r>
      <w:r w:rsidR="008B4107" w:rsidRPr="00684CF8">
        <w:t>. </w:t>
      </w:r>
      <w:r w:rsidRPr="00684CF8">
        <w:t>е</w:t>
      </w:r>
      <w:r w:rsidR="008B4107" w:rsidRPr="00684CF8">
        <w:t>.</w:t>
      </w:r>
      <w:r w:rsidRPr="00684CF8">
        <w:t xml:space="preserve"> доля безработных во всей рабочей силе, в</w:t>
      </w:r>
      <w:r w:rsidR="002A79B1" w:rsidRPr="00684CF8">
        <w:t> </w:t>
      </w:r>
      <w:r w:rsidRPr="00684CF8">
        <w:t>августе составил 14,0</w:t>
      </w:r>
      <w:r w:rsidR="008221B3">
        <w:t> </w:t>
      </w:r>
      <w:r w:rsidRPr="00684CF8">
        <w:t>%, что на 0,4 процентных пункта выше, чем годом ранее. Динамика уровня безработицы среди молодежи достигала 17,0</w:t>
      </w:r>
      <w:r w:rsidR="008221B3">
        <w:t> </w:t>
      </w:r>
      <w:r w:rsidRPr="00684CF8">
        <w:t>%. Безработная молодежь в возрасте от 15 до 24 лет составляла 7,3</w:t>
      </w:r>
      <w:r w:rsidR="008221B3">
        <w:t> </w:t>
      </w:r>
      <w:r w:rsidRPr="00684CF8">
        <w:t>% всего населения в данной возрастной группе.</w:t>
      </w:r>
    </w:p>
    <w:p w14:paraId="61FB876D" w14:textId="77777777" w:rsidR="000F1DEB" w:rsidRPr="00684CF8" w:rsidRDefault="000F1DEB" w:rsidP="000F1DEB">
      <w:pPr>
        <w:pStyle w:val="SingleTxtG"/>
      </w:pPr>
      <w:r w:rsidRPr="00684CF8">
        <w:t>97.</w:t>
      </w:r>
      <w:r w:rsidRPr="00684CF8">
        <w:tab/>
        <w:t>Уровень временной занятости в Финляндии выше, чем в среднем по ЕС, в то время как частичная занятость менее распространена в Финляндии, чем в среднем по ЕС.</w:t>
      </w:r>
    </w:p>
    <w:p w14:paraId="0987509E" w14:textId="77777777" w:rsidR="000F1DEB" w:rsidRPr="00684CF8" w:rsidRDefault="000F1DEB" w:rsidP="000F1DEB">
      <w:pPr>
        <w:pStyle w:val="SingleTxtG"/>
      </w:pPr>
      <w:r w:rsidRPr="00684CF8">
        <w:t>98.</w:t>
      </w:r>
      <w:r w:rsidRPr="00684CF8">
        <w:tab/>
        <w:t xml:space="preserve">По данным </w:t>
      </w:r>
      <w:r w:rsidR="002A79B1" w:rsidRPr="00684CF8">
        <w:t>«</w:t>
      </w:r>
      <w:r w:rsidRPr="00684CF8">
        <w:t>Барометра трудовой жизни</w:t>
      </w:r>
      <w:r w:rsidR="002A79B1" w:rsidRPr="00684CF8">
        <w:t>»</w:t>
      </w:r>
      <w:r w:rsidRPr="00684CF8">
        <w:t xml:space="preserve"> Министерства экономического развития и труда, около 90</w:t>
      </w:r>
      <w:r w:rsidR="008221B3">
        <w:t> </w:t>
      </w:r>
      <w:r w:rsidRPr="00684CF8">
        <w:t xml:space="preserve">% наемных работников выплачивают взносы в фонд по безработице. В 2000-е годы их доля увеличилась. Однако финансовые выплаты в случае безработицы все чаще обеспечиваются только за счет членства в фонде по безработице и практически не зависят от членства в профсоюзе. В 2000-е годы действительно наблюдалось некоторое снижение уровня членства наемных работников в профсоюзах. Среди опрошенных </w:t>
      </w:r>
      <w:r w:rsidR="002A79B1" w:rsidRPr="00684CF8">
        <w:t>«</w:t>
      </w:r>
      <w:r w:rsidRPr="00684CF8">
        <w:t>Барометром трудовой жизни</w:t>
      </w:r>
      <w:r w:rsidR="002A79B1" w:rsidRPr="00684CF8">
        <w:t>»</w:t>
      </w:r>
      <w:r w:rsidRPr="00684CF8">
        <w:t xml:space="preserve"> трудящихся (работающих не менее 10 часов в неделю) 73</w:t>
      </w:r>
      <w:r w:rsidR="008221B3">
        <w:t> </w:t>
      </w:r>
      <w:r w:rsidRPr="00684CF8">
        <w:t>% были членами профсоюза в 2017 году. Однако, по данным Министерства экономического развития и труда, уровень членства в профсоюзах среди тех, чьи интересы они представляют, снизился с 65</w:t>
      </w:r>
      <w:r w:rsidR="008221B3">
        <w:t> </w:t>
      </w:r>
      <w:r w:rsidRPr="00684CF8">
        <w:t>% в 2013 году до 59</w:t>
      </w:r>
      <w:r w:rsidR="008221B3">
        <w:t> </w:t>
      </w:r>
      <w:r w:rsidRPr="00684CF8">
        <w:t>% в 2017 году.</w:t>
      </w:r>
    </w:p>
    <w:p w14:paraId="272C8615" w14:textId="77777777" w:rsidR="000F1DEB" w:rsidRPr="00684CF8" w:rsidRDefault="000F1DEB" w:rsidP="000F1DEB">
      <w:pPr>
        <w:pStyle w:val="SingleTxtG"/>
      </w:pPr>
      <w:r w:rsidRPr="00684CF8">
        <w:t>99.</w:t>
      </w:r>
      <w:r w:rsidRPr="00684CF8">
        <w:tab/>
        <w:t>Заработная плата женщин в среднем на 16</w:t>
      </w:r>
      <w:r w:rsidR="008221B3">
        <w:t> </w:t>
      </w:r>
      <w:r w:rsidRPr="00684CF8">
        <w:t>% ниже, чем у мужчин. В 2018 году заработная плата женщин на всем рынке труда составляла в среднем 84</w:t>
      </w:r>
      <w:r w:rsidR="008221B3">
        <w:t> </w:t>
      </w:r>
      <w:r w:rsidRPr="00684CF8">
        <w:t xml:space="preserve">% от заработка </w:t>
      </w:r>
      <w:r w:rsidRPr="00684CF8">
        <w:lastRenderedPageBreak/>
        <w:t>мужчин. Разница в доходах женщин и мужчин различается в зависимости от сектора: в системе органов центрального правительства женщины зарабатывают в среднем 88</w:t>
      </w:r>
      <w:r w:rsidR="008221B3">
        <w:t> </w:t>
      </w:r>
      <w:r w:rsidR="002A79B1" w:rsidRPr="00684CF8">
        <w:t>%</w:t>
      </w:r>
      <w:r w:rsidRPr="00684CF8">
        <w:t xml:space="preserve"> от заработка мужчин, в то время как в секторе местного самоуправления этот показатель составляет 87</w:t>
      </w:r>
      <w:r w:rsidR="008221B3">
        <w:t> </w:t>
      </w:r>
      <w:r w:rsidR="002A79B1" w:rsidRPr="00684CF8">
        <w:t>%</w:t>
      </w:r>
      <w:r w:rsidRPr="00684CF8">
        <w:t xml:space="preserve">, а в частном секторе </w:t>
      </w:r>
      <w:r w:rsidR="00D9638A" w:rsidRPr="00684CF8">
        <w:t>—</w:t>
      </w:r>
      <w:r w:rsidRPr="00684CF8">
        <w:t xml:space="preserve"> 86</w:t>
      </w:r>
      <w:r w:rsidR="008221B3">
        <w:t> </w:t>
      </w:r>
      <w:r w:rsidR="002A79B1" w:rsidRPr="00684CF8">
        <w:t>%</w:t>
      </w:r>
      <w:r w:rsidRPr="00684CF8">
        <w:t>.</w:t>
      </w:r>
    </w:p>
    <w:p w14:paraId="72208E72" w14:textId="77777777" w:rsidR="000F1DEB" w:rsidRPr="00684CF8" w:rsidRDefault="000F1DEB" w:rsidP="000F1DEB">
      <w:pPr>
        <w:pStyle w:val="SingleTxtG"/>
      </w:pPr>
      <w:r w:rsidRPr="00684CF8">
        <w:t>100.</w:t>
      </w:r>
      <w:r w:rsidRPr="00684CF8">
        <w:tab/>
        <w:t>Разрыв в доходах женщин и мужчин сокращается медленно. Этот разрыв уменьшался относительно быстро вплоть до конца 1980-х годов, после чего темпы его сокращения замедлились. После конца 1980-х годов разрыв в доходах оставался стабильным в течение довольно долгого времени на уровне около 20</w:t>
      </w:r>
      <w:r w:rsidR="008221B3">
        <w:t> </w:t>
      </w:r>
      <w:r w:rsidRPr="00684CF8">
        <w:t>%. С 2006 года, когда действовали программы равной оплаты, разрыв сократился примерно на четыре процентных пункта.</w:t>
      </w:r>
    </w:p>
    <w:p w14:paraId="66059BCE" w14:textId="77777777" w:rsidR="000F1DEB" w:rsidRPr="00684CF8" w:rsidRDefault="000F1DEB" w:rsidP="000F1DEB">
      <w:pPr>
        <w:pStyle w:val="SingleTxtG"/>
      </w:pPr>
      <w:r w:rsidRPr="00684CF8">
        <w:t>101.</w:t>
      </w:r>
      <w:r w:rsidRPr="00684CF8">
        <w:tab/>
        <w:t>Женщины и мужчины работают в разных секторах и заняты на разных видах работ. Оплата труда во многих секторах с преобладанием женского труда ниже, чем в секторах с преобладанием мужского труда. Заработная плата женщин, работающих по найму в секторе местного самоуправления и в частном секторе услуг, в среднем ниже, чем у мужчин, работающих в обрабатывающей промышленности и в системе органов центрального правительства. Около 80</w:t>
      </w:r>
      <w:r w:rsidR="008221B3">
        <w:t> </w:t>
      </w:r>
      <w:r w:rsidR="002A79B1" w:rsidRPr="00684CF8">
        <w:t xml:space="preserve">% </w:t>
      </w:r>
      <w:r w:rsidRPr="00684CF8">
        <w:t xml:space="preserve">лиц, работающих в секторе местного самоуправления, составляют женщины, и динамика их заработка в значительной степени отражает средний заработок женщин на всем рынке труда. Динамика заработной платы у мужчин лучше, чем у женщин, а доходы мужчин в среднем достигали пикового уровня в более молодом возрасте, чем у женщин. Динамика доходов женщин замедляется, например, в силу более длительных отпусков по семейным обстоятельствам, чем отпусков, которые берут мужчины. Увеличилась также временная и частичная занятость, и большинство этих рабочих мест заняты женщинами. Следует отметить, что более высокий заработок мужчин в Финляндии не связан с образованием. Женщины имеют более высокий уровень образования, чем мужчины, но средний заработок женщин ниже, чем у мужчин, независимо от уровня образования. </w:t>
      </w:r>
    </w:p>
    <w:p w14:paraId="0037195D" w14:textId="77777777" w:rsidR="000F1DEB" w:rsidRPr="00684CF8" w:rsidRDefault="000F1DEB" w:rsidP="001E2C2D">
      <w:pPr>
        <w:pStyle w:val="H1G"/>
      </w:pPr>
      <w:r w:rsidRPr="00684CF8">
        <w:tab/>
        <w:t>B.</w:t>
      </w:r>
      <w:r w:rsidRPr="00684CF8">
        <w:tab/>
        <w:t>Конституционная, политическая и правовая структура государства</w:t>
      </w:r>
    </w:p>
    <w:p w14:paraId="5CD4AAFF" w14:textId="77777777" w:rsidR="000F1DEB" w:rsidRPr="00684CF8" w:rsidRDefault="000F1DEB" w:rsidP="001E2C2D">
      <w:pPr>
        <w:pStyle w:val="H23G"/>
      </w:pPr>
      <w:bookmarkStart w:id="32" w:name="_Toc32364289"/>
      <w:r w:rsidRPr="00684CF8">
        <w:tab/>
        <w:t>a)</w:t>
      </w:r>
      <w:r w:rsidRPr="00684CF8">
        <w:tab/>
        <w:t>Конституционная республика</w:t>
      </w:r>
      <w:bookmarkEnd w:id="32"/>
    </w:p>
    <w:p w14:paraId="65B0EAE7" w14:textId="77777777" w:rsidR="000F1DEB" w:rsidRPr="00684CF8" w:rsidRDefault="000F1DEB" w:rsidP="000F1DEB">
      <w:pPr>
        <w:pStyle w:val="SingleTxtG"/>
      </w:pPr>
      <w:r w:rsidRPr="00684CF8">
        <w:t>102.</w:t>
      </w:r>
      <w:r w:rsidRPr="00684CF8">
        <w:tab/>
        <w:t>Финляндия является конституционной республикой, а форма правления в ней</w:t>
      </w:r>
      <w:r w:rsidR="001E2C2D" w:rsidRPr="00684CF8">
        <w:t> —</w:t>
      </w:r>
      <w:r w:rsidRPr="00684CF8">
        <w:t xml:space="preserve"> представительная демократия. Финляндия входила в состав Королевства Швеция с 1300-х годов до 1809 года, когда она была присоединена к Российской империи и стала Великим княжеством Финляндским с собственным четыр</w:t>
      </w:r>
      <w:r w:rsidR="008808F1" w:rsidRPr="00684CF8">
        <w:t>е</w:t>
      </w:r>
      <w:r w:rsidRPr="00684CF8">
        <w:t>хсословным сеймом. В 1906 году Финляндия стала первой европейской страной, принявшей закон об избирательных правах женщин, и был создан однопалатный парламент. Финляндия провозгласила независимость в 1917 году.</w:t>
      </w:r>
    </w:p>
    <w:p w14:paraId="4F308838" w14:textId="77777777" w:rsidR="000F1DEB" w:rsidRPr="00684CF8" w:rsidRDefault="000F1DEB" w:rsidP="000F1DEB">
      <w:pPr>
        <w:pStyle w:val="SingleTxtG"/>
      </w:pPr>
      <w:r w:rsidRPr="00684CF8">
        <w:t>103.</w:t>
      </w:r>
      <w:r w:rsidRPr="00684CF8">
        <w:tab/>
        <w:t>Финляндия присоединилась к Европейскому союзу 1 января 1995 года. Основополагающими ценностями Союза являются демократия, права человека и верховенство права, на которых зиждется и финское общество. Государства</w:t>
      </w:r>
      <w:r w:rsidR="001E2C2D" w:rsidRPr="00684CF8">
        <w:t xml:space="preserve"> — </w:t>
      </w:r>
      <w:r w:rsidRPr="00684CF8">
        <w:t>члены ЕС передали полномочия от национальных органов органам ЕС и согласовали свою политику в различных областях европейской интеграции, а также по отношению к третьим странам и международным организациям. Хартия Европейского союза об основных правах стала юридически обязательной в декабре 2009 года. Финляндия юридически и политически привержена выполнению своих обязательств и обязанностей, связанных с членством в ЕС, в соответствии с договорами ЕС и Хартией основных прав, вторичным законодательством ЕС и решениями Суда Европейского союза.</w:t>
      </w:r>
    </w:p>
    <w:p w14:paraId="13E6A031" w14:textId="77777777" w:rsidR="000F1DEB" w:rsidRPr="00684CF8" w:rsidRDefault="000F1DEB" w:rsidP="000F1DEB">
      <w:pPr>
        <w:pStyle w:val="SingleTxtG"/>
      </w:pPr>
      <w:r w:rsidRPr="00684CF8">
        <w:t>104.</w:t>
      </w:r>
      <w:r w:rsidRPr="00684CF8">
        <w:tab/>
        <w:t>Конституция Финляндии основана на верховенстве права и разделении полномочий на независимые законодательную, исполнительную и судебную ветви власти.</w:t>
      </w:r>
    </w:p>
    <w:p w14:paraId="119C3518" w14:textId="77777777" w:rsidR="000F1DEB" w:rsidRPr="00684CF8" w:rsidRDefault="000F1DEB" w:rsidP="000F1DEB">
      <w:pPr>
        <w:pStyle w:val="SingleTxtG"/>
      </w:pPr>
      <w:r w:rsidRPr="00684CF8">
        <w:t>105.</w:t>
      </w:r>
      <w:r w:rsidRPr="00684CF8">
        <w:tab/>
        <w:t>В соответствии с Конституцией Финляндии полномочия государственной власти осуществляются Президентом Республики и правительством. Премьер-</w:t>
      </w:r>
      <w:r w:rsidRPr="00684CF8">
        <w:lastRenderedPageBreak/>
        <w:t>министр избирается Парламентом и назначается Президентом Республики, который также назначает других министров по представлению Премьер-министра. Министры должны быть гражданами Финляндии, известными своей честностью и компетентностью.</w:t>
      </w:r>
    </w:p>
    <w:p w14:paraId="30ADA386" w14:textId="77777777" w:rsidR="000F1DEB" w:rsidRPr="00684CF8" w:rsidRDefault="000F1DEB" w:rsidP="001E2C2D">
      <w:pPr>
        <w:pStyle w:val="H23G"/>
      </w:pPr>
      <w:bookmarkStart w:id="33" w:name="_Toc32364290"/>
      <w:r w:rsidRPr="00684CF8">
        <w:tab/>
        <w:t>b)</w:t>
      </w:r>
      <w:r w:rsidRPr="00684CF8">
        <w:tab/>
        <w:t>Президент Республики</w:t>
      </w:r>
      <w:bookmarkEnd w:id="33"/>
    </w:p>
    <w:p w14:paraId="1067224D" w14:textId="77777777" w:rsidR="000F1DEB" w:rsidRPr="00684CF8" w:rsidRDefault="000F1DEB" w:rsidP="000F1DEB">
      <w:pPr>
        <w:pStyle w:val="SingleTxtG"/>
      </w:pPr>
      <w:r w:rsidRPr="00684CF8">
        <w:t>106.</w:t>
      </w:r>
      <w:r w:rsidRPr="00684CF8">
        <w:tab/>
        <w:t>Президент Республики руководит внешней политикой Финляндии в сотрудничестве с правительством и принимает решения об отношениях Финляндии с иностранными государствами, а также о деятельности в международных организациях и на переговорах. Президент Республики является главнокомандующим вооруженными силами Финляндии. Обязанности и полномочия Президента Республики определяются Конституцией Финляндии.</w:t>
      </w:r>
    </w:p>
    <w:p w14:paraId="5F9B968C" w14:textId="77777777" w:rsidR="000F1DEB" w:rsidRPr="00684CF8" w:rsidRDefault="000F1DEB" w:rsidP="000F1DEB">
      <w:pPr>
        <w:pStyle w:val="SingleTxtG"/>
      </w:pPr>
      <w:r w:rsidRPr="00684CF8">
        <w:t>107.</w:t>
      </w:r>
      <w:r w:rsidRPr="00684CF8">
        <w:tab/>
        <w:t>Президент Республики избирается путем прямого голосования. Президент должен быть уроженцем Финляндии. Президент избирается на шестилетний срок, и одно и то же лицо не может быть избрано Президентом более чем на два срока подряд. Кандидатуры на пост Президента могут выдвигаться зарегистрированными политическими партиями, получившими по крайней мере одно место в Парламенте на последних парламентских выборах. Кандидаты могут также выдвигаться окружными ассоциациями, созданными не менее чем 20 000 человек, которые имеют право на участие в голосовании. Президентом избирается кандидат, получивший более половины голосов, поданных в ходе первого тура выборов. Если ни один из кандидатов не получает такого большинства голосов, то через две недели между двумя кандидатами, получившими наибольшее число голосов, проводится второй тур выборов. В ходе второго тура выборов Президентом избирается кандидат, получивший наибольшее количество голосов. В случае равенства набранных голосов исход выборов решает жребий.</w:t>
      </w:r>
    </w:p>
    <w:p w14:paraId="6EEB6A00" w14:textId="77777777" w:rsidR="000F1DEB" w:rsidRPr="00684CF8" w:rsidRDefault="000F1DEB" w:rsidP="001E2C2D">
      <w:pPr>
        <w:pStyle w:val="H23G"/>
      </w:pPr>
      <w:bookmarkStart w:id="34" w:name="_Toc32364291"/>
      <w:r w:rsidRPr="00684CF8">
        <w:tab/>
        <w:t>c)</w:t>
      </w:r>
      <w:r w:rsidRPr="00684CF8">
        <w:tab/>
        <w:t>Парламент</w:t>
      </w:r>
      <w:bookmarkEnd w:id="34"/>
    </w:p>
    <w:p w14:paraId="584E667A" w14:textId="77777777" w:rsidR="000F1DEB" w:rsidRPr="00684CF8" w:rsidRDefault="000F1DEB" w:rsidP="000F1DEB">
      <w:pPr>
        <w:pStyle w:val="SingleTxtG"/>
      </w:pPr>
      <w:r w:rsidRPr="00684CF8">
        <w:t>108.</w:t>
      </w:r>
      <w:r w:rsidRPr="00684CF8">
        <w:tab/>
        <w:t>В соответствии с Конституцией Финляндии государственная власть в Финляндии принадлежит народу, представленному в Парламенте. В Финляндии действует однопалатный Парламент, состоящий из 200 депутатов. Парламент осуществляет законодательные полномочия и принимает решения по государственным финансам. Правительство должно располагать доверием Парламента.</w:t>
      </w:r>
    </w:p>
    <w:p w14:paraId="52BE467D" w14:textId="77777777" w:rsidR="000F1DEB" w:rsidRPr="00684CF8" w:rsidRDefault="000F1DEB" w:rsidP="000F1DEB">
      <w:pPr>
        <w:pStyle w:val="SingleTxtG"/>
      </w:pPr>
      <w:r w:rsidRPr="00684CF8">
        <w:t>109.</w:t>
      </w:r>
      <w:r w:rsidRPr="00684CF8">
        <w:tab/>
        <w:t>Важнейшей задачей Парламента является принятие законодательных актов. Парламент может принимать законы на основе предложения правительства, ходатайства депутата или гражданской инициативы.</w:t>
      </w:r>
    </w:p>
    <w:p w14:paraId="68A30006" w14:textId="77777777" w:rsidR="000F1DEB" w:rsidRPr="00684CF8" w:rsidRDefault="000F1DEB" w:rsidP="000F1DEB">
      <w:pPr>
        <w:pStyle w:val="SingleTxtG"/>
      </w:pPr>
      <w:r w:rsidRPr="00684CF8">
        <w:t>110.</w:t>
      </w:r>
      <w:r w:rsidRPr="00684CF8">
        <w:tab/>
        <w:t xml:space="preserve">Парламентские выборы проводятся с интервалом в четыре года, и страна разделена на избирательные округа. Один член Парламента избирается от Аландских островов. Право на участие в голосовании имеют граждане Финляндии, достигшие </w:t>
      </w:r>
      <w:r w:rsidR="001E2C2D" w:rsidRPr="00684CF8">
        <w:br/>
      </w:r>
      <w:r w:rsidRPr="00684CF8">
        <w:t>18-летнего возраста. Избирательная система Финляндии основана на принципах прямых, пропорциональных выборов и тайного голосования. Все избиратели должны проголосовать лично, и бюллетень должен быть подан в избирательные органы. Избирательная система Финляндии представляет собой сочетание голосования за отдельных лиц и партии, при этом один и тот же порядковый номер используется для голосования как за партию, так и за кандидата.</w:t>
      </w:r>
    </w:p>
    <w:p w14:paraId="5044E57B" w14:textId="77777777" w:rsidR="000F1DEB" w:rsidRPr="00684CF8" w:rsidRDefault="000F1DEB" w:rsidP="000F1DEB">
      <w:pPr>
        <w:pStyle w:val="SingleTxtG"/>
      </w:pPr>
      <w:r w:rsidRPr="00684CF8">
        <w:t>111.</w:t>
      </w:r>
      <w:r w:rsidRPr="00684CF8">
        <w:tab/>
        <w:t>В результате выборов 2019 года в Парламенте представлены восемь политических партий и одна ассоциация избирателей. Правительство было сформировано пятью из этих партий. В Финляндии есть и другие менее крупные политические партии, которые не представлены в Парламенте. Кандидаты на места в Парламенте могут также выдвигаться ассоциациями избирательных округов, созданными не менее чем 100 лицами, имеющими право на участие в голосовании в соответствующем избирательном округе. Женщины составляли 42</w:t>
      </w:r>
      <w:r w:rsidR="008221B3">
        <w:t> </w:t>
      </w:r>
      <w:r w:rsidRPr="00684CF8">
        <w:t>% кандидатов и 47</w:t>
      </w:r>
      <w:r w:rsidR="008221B3">
        <w:t> </w:t>
      </w:r>
      <w:r w:rsidRPr="00684CF8">
        <w:t>% избранных депутатов Парламента.</w:t>
      </w:r>
    </w:p>
    <w:p w14:paraId="7E2490D2" w14:textId="6FFC28E7" w:rsidR="000F1DEB" w:rsidRPr="00684CF8" w:rsidRDefault="000F1DEB" w:rsidP="000F1DEB">
      <w:pPr>
        <w:pStyle w:val="SingleTxtG"/>
      </w:pPr>
      <w:r w:rsidRPr="00684CF8">
        <w:t>112.</w:t>
      </w:r>
      <w:r w:rsidRPr="00684CF8">
        <w:tab/>
        <w:t>Явка избирателей на парламентских выборах 2019 года составила 72,1</w:t>
      </w:r>
      <w:r w:rsidR="008221B3">
        <w:t> </w:t>
      </w:r>
      <w:r w:rsidRPr="00684CF8">
        <w:t>%. В</w:t>
      </w:r>
      <w:r w:rsidR="001E2C2D" w:rsidRPr="00684CF8">
        <w:t> </w:t>
      </w:r>
      <w:r w:rsidRPr="00684CF8">
        <w:t>2017</w:t>
      </w:r>
      <w:r w:rsidR="001E2C2D" w:rsidRPr="00684CF8">
        <w:t> </w:t>
      </w:r>
      <w:r w:rsidRPr="00684CF8">
        <w:t xml:space="preserve">году явка избирателей на муниципальные выборы в целом по стране </w:t>
      </w:r>
      <w:r w:rsidRPr="00684CF8">
        <w:lastRenderedPageBreak/>
        <w:t>составила</w:t>
      </w:r>
      <w:r w:rsidR="008221B3">
        <w:t> </w:t>
      </w:r>
      <w:r w:rsidRPr="00684CF8">
        <w:t>58,9</w:t>
      </w:r>
      <w:r w:rsidR="00256DA5">
        <w:t> </w:t>
      </w:r>
      <w:r w:rsidRPr="00684CF8">
        <w:t>%. Показатели явки избирателей на всеобщих выборах в Финляндии давно отстают от средних показателей в странах ОЭСР. Явка избирателей прямо зависит от социально-экономического статуса и возраста, при этом молодежь и люди с более низким социально-экономическим статусом значительно реже голосуют и принимают участие в деятельности политических партий. Мигранты также явно недостаточно представлены как среди кандидатов, так и среди выборных должностных лиц.</w:t>
      </w:r>
    </w:p>
    <w:p w14:paraId="5BD4D321" w14:textId="77777777" w:rsidR="000F1DEB" w:rsidRPr="00684CF8" w:rsidRDefault="000F1DEB" w:rsidP="001E2C2D">
      <w:pPr>
        <w:pStyle w:val="H23G"/>
      </w:pPr>
      <w:bookmarkStart w:id="35" w:name="_Toc32364292"/>
      <w:r w:rsidRPr="00684CF8">
        <w:tab/>
        <w:t>d)</w:t>
      </w:r>
      <w:r w:rsidRPr="00684CF8">
        <w:tab/>
        <w:t>Правительство</w:t>
      </w:r>
      <w:bookmarkEnd w:id="35"/>
    </w:p>
    <w:p w14:paraId="0EB48929" w14:textId="77777777" w:rsidR="000F1DEB" w:rsidRPr="00684CF8" w:rsidRDefault="000F1DEB" w:rsidP="000F1DEB">
      <w:pPr>
        <w:pStyle w:val="SingleTxtG"/>
      </w:pPr>
      <w:r w:rsidRPr="00684CF8">
        <w:t>113.</w:t>
      </w:r>
      <w:r w:rsidRPr="00684CF8">
        <w:tab/>
        <w:t>В настоящее время в состав правительства входят 12 министерств. Каждое министерство отвечает за подготовку вопросов, относящихся к компетенции правительства в его соответствующей отрасли, и за надлежащее функционирование правительства. Пленарные заседания правительства проходят под председательством Премьер-министра, который также председательствует в предусмотренных законом министерских комитетах.</w:t>
      </w:r>
    </w:p>
    <w:p w14:paraId="3EFE9A26" w14:textId="77777777" w:rsidR="000F1DEB" w:rsidRPr="00684CF8" w:rsidRDefault="000F1DEB" w:rsidP="000F1DEB">
      <w:pPr>
        <w:pStyle w:val="SingleTxtG"/>
      </w:pPr>
      <w:r w:rsidRPr="00684CF8">
        <w:t>114.</w:t>
      </w:r>
      <w:r w:rsidRPr="00684CF8">
        <w:tab/>
        <w:t xml:space="preserve">Канцелярия Премьер-министра </w:t>
      </w:r>
      <w:r w:rsidR="001E2C2D" w:rsidRPr="00684CF8">
        <w:t>—</w:t>
      </w:r>
      <w:r w:rsidRPr="00684CF8">
        <w:t xml:space="preserve"> это своего рода министерство, возглавляемое Премьер-министром. Канцелярия Премьер-министра отвечает за мониторинг осуществления политической программы правительства, а также оказывает помощь Премьер-министру в общем руководстве государственными делами. Канцелярия Премьер-министра позволяет Премьер-министру и правительству действовать эффективным образом независимо от обстоятельств. В обязанности этого министерства входит координация политики Финляндии в ЕС и государственной политики в области собственности, а также руководство государственными компаниями при Канцелярии Премьер-министра. Министерство также отвечает за предоставление государственных коммуникационных услуг и координацию коммуникационной деятельности в рамках государственной администрации, а также за информирование правительства о ситуации, обеспечение готовности и безопасности наряду с координацией действий по оперативному реагированию в случае инцидентов и чрезвычайных ситуаций. Совсем недавно на Канцелярию Премьер-министра была возложена ответственность за координацию задач отраслевых исследований государства в поддержку принятия решений.</w:t>
      </w:r>
    </w:p>
    <w:p w14:paraId="486C7CBF" w14:textId="77777777" w:rsidR="000F1DEB" w:rsidRPr="00684CF8" w:rsidRDefault="000F1DEB" w:rsidP="001E2C2D">
      <w:pPr>
        <w:pStyle w:val="H23G"/>
      </w:pPr>
      <w:bookmarkStart w:id="36" w:name="_Toc32364293"/>
      <w:r w:rsidRPr="00684CF8">
        <w:tab/>
        <w:t>e)</w:t>
      </w:r>
      <w:r w:rsidRPr="00684CF8">
        <w:tab/>
        <w:t>Референдум</w:t>
      </w:r>
      <w:bookmarkEnd w:id="36"/>
    </w:p>
    <w:p w14:paraId="04FA762B" w14:textId="77777777" w:rsidR="000F1DEB" w:rsidRPr="00684CF8" w:rsidRDefault="000F1DEB" w:rsidP="000F1DEB">
      <w:pPr>
        <w:pStyle w:val="SingleTxtG"/>
      </w:pPr>
      <w:r w:rsidRPr="00684CF8">
        <w:t>115.</w:t>
      </w:r>
      <w:r w:rsidRPr="00684CF8">
        <w:tab/>
        <w:t xml:space="preserve">В соответствии со статьей 53 Конституции Финляндии решение о проведении совещательного референдума принимается путем закона, который также должен содержать постановления о времени проведения референдума и об альтернативных вопросах, предлагаемых участникам референдума. Финляндия провела два национальных референдума: один в 1931 году по вопросу об отмене </w:t>
      </w:r>
      <w:r w:rsidR="001E2C2D" w:rsidRPr="00684CF8">
        <w:t>«</w:t>
      </w:r>
      <w:r w:rsidRPr="00684CF8">
        <w:t>сухого закона</w:t>
      </w:r>
      <w:r w:rsidR="001E2C2D" w:rsidRPr="00684CF8">
        <w:t>»</w:t>
      </w:r>
      <w:r w:rsidRPr="00684CF8">
        <w:t xml:space="preserve"> и один в 1994 году по вопросу о вхождении Финляндии в Европейский союз.</w:t>
      </w:r>
    </w:p>
    <w:p w14:paraId="17940DBD" w14:textId="77777777" w:rsidR="000F1DEB" w:rsidRPr="00684CF8" w:rsidRDefault="000F1DEB" w:rsidP="001E2C2D">
      <w:pPr>
        <w:pStyle w:val="H23G"/>
      </w:pPr>
      <w:bookmarkStart w:id="37" w:name="_Toc32364294"/>
      <w:r w:rsidRPr="00684CF8">
        <w:tab/>
        <w:t>f)</w:t>
      </w:r>
      <w:r w:rsidRPr="00684CF8">
        <w:tab/>
        <w:t>Гражданская инициатива</w:t>
      </w:r>
      <w:bookmarkEnd w:id="37"/>
    </w:p>
    <w:p w14:paraId="25DFD564" w14:textId="77777777" w:rsidR="000F1DEB" w:rsidRPr="00684CF8" w:rsidRDefault="000F1DEB" w:rsidP="000F1DEB">
      <w:pPr>
        <w:pStyle w:val="SingleTxtG"/>
      </w:pPr>
      <w:r w:rsidRPr="00684CF8">
        <w:t>116.</w:t>
      </w:r>
      <w:r w:rsidRPr="00684CF8">
        <w:tab/>
        <w:t>Гражданская инициатива может быть выдвинута любым гражданином Финляндии, имеющим право голоса. Формальные требования к гражданской инициативе закреплены в Законе об инициативе граждан (12/2012). Инициатива может состоять как из законопроекта, так и из предложения об инициировании законотворческой деятельности. Она может также касаться внесения поправок в существующий закон или его отмены. Гражданская инициатива будет рассмотрена Парламентом, если в течение шести месяцев в ее поддержку будет получено не менее 50 000 заявлений. Парламент может принять, изменить или о</w:t>
      </w:r>
      <w:bookmarkStart w:id="38" w:name="_Hlk48298555"/>
      <w:r w:rsidRPr="00684CF8">
        <w:t>тклон</w:t>
      </w:r>
      <w:bookmarkEnd w:id="38"/>
      <w:r w:rsidRPr="00684CF8">
        <w:t xml:space="preserve">ить инициативу по своему усмотрению. Отклонение инициативы Парламентом не исключает возможности организации новой инициативы по тому же вопросу. Гражданские инициативы могут быть выдвинуты и поддержаны в бесплатном онлайн-сервисе </w:t>
      </w:r>
      <w:hyperlink r:id="rId9" w:history="1">
        <w:r w:rsidRPr="00684CF8">
          <w:rPr>
            <w:rStyle w:val="af1"/>
            <w:color w:val="auto"/>
          </w:rPr>
          <w:t>kansalaisaloite.fi</w:t>
        </w:r>
      </w:hyperlink>
      <w:r w:rsidRPr="00684CF8">
        <w:t>, находящемся в ведении Министерства юстиции. Целью гражданской инициативы является поддержка и поощрение гражданской активности, а также укрепление гражданского общества, позволяющего группам населения активно участвовать в развитии общества и влиять на него.</w:t>
      </w:r>
    </w:p>
    <w:p w14:paraId="170A2CFB" w14:textId="77777777" w:rsidR="000F1DEB" w:rsidRPr="00684CF8" w:rsidRDefault="000F1DEB" w:rsidP="001E2C2D">
      <w:pPr>
        <w:pStyle w:val="H23G"/>
      </w:pPr>
      <w:bookmarkStart w:id="39" w:name="_Toc32364295"/>
      <w:r w:rsidRPr="00684CF8">
        <w:lastRenderedPageBreak/>
        <w:tab/>
        <w:t>g)</w:t>
      </w:r>
      <w:r w:rsidRPr="00684CF8">
        <w:tab/>
        <w:t>Особый статус Аландских островов</w:t>
      </w:r>
      <w:bookmarkEnd w:id="39"/>
    </w:p>
    <w:p w14:paraId="7C6C4FE1" w14:textId="77777777" w:rsidR="000F1DEB" w:rsidRPr="00684CF8" w:rsidRDefault="000F1DEB" w:rsidP="000F1DEB">
      <w:pPr>
        <w:pStyle w:val="SingleTxtG"/>
      </w:pPr>
      <w:r w:rsidRPr="00684CF8">
        <w:t>117.</w:t>
      </w:r>
      <w:r w:rsidRPr="00684CF8">
        <w:tab/>
        <w:t xml:space="preserve">Аланды </w:t>
      </w:r>
      <w:r w:rsidR="001E2C2D" w:rsidRPr="00684CF8">
        <w:t>—</w:t>
      </w:r>
      <w:r w:rsidRPr="00684CF8">
        <w:t xml:space="preserve"> это автономный, демилитаризованный регион Финляндии, официальным языком которого является шведский.</w:t>
      </w:r>
    </w:p>
    <w:p w14:paraId="62415B81" w14:textId="77777777" w:rsidR="000F1DEB" w:rsidRPr="00684CF8" w:rsidRDefault="000F1DEB" w:rsidP="000F1DEB">
      <w:pPr>
        <w:pStyle w:val="SingleTxtG"/>
      </w:pPr>
      <w:r w:rsidRPr="00684CF8">
        <w:t>118.</w:t>
      </w:r>
      <w:r w:rsidRPr="00684CF8">
        <w:tab/>
        <w:t>Аланды были демилитаризованы в 1856 году и стали нейтральными в 1921 году. Поскольку территория Аландов является автономным образованием под суверенной властью Финляндии, последняя гарантирует сохранение статуса Аландских островов. Демилитаризованный и нейтральный статус Аландских островов основывается на положениях, закрепленных в многочисленных международных документах.</w:t>
      </w:r>
    </w:p>
    <w:p w14:paraId="00604BF1" w14:textId="77777777" w:rsidR="000F1DEB" w:rsidRPr="00684CF8" w:rsidRDefault="000F1DEB" w:rsidP="000F1DEB">
      <w:pPr>
        <w:pStyle w:val="SingleTxtG"/>
      </w:pPr>
      <w:r w:rsidRPr="00684CF8">
        <w:t>119.</w:t>
      </w:r>
      <w:r w:rsidRPr="00684CF8">
        <w:tab/>
        <w:t>Когда Финляндская Республика, ссылаясь на право народов на самоопределение, провозгласила в 1917 году независимость, жители Аландских островов ссылались на тот же принцип, требуя, чтобы Аландские острова были вновь присоединены к их прежней родине, Швеции. Однако Финляндия не была готова принять требования жителей Аландских островов об аннексии и вместо этого предложила Аландам определенную степень внутренней автономии. Соответственно, в 1920 году Парламент Финляндии принял Закон об автономии (1144/1991). Однако жители Аландских островов отвергли этот Закон, и в связи с международным характером вопроса об Аландских островах он был передан на рассмотрение недавно созданной Лиги Наций. В 1921 году Совет Лиги Наций принял решение о компромиссе, в соответствии с которым Финляндии был предоставлен суверенитет над Аландскими островами. В то же время данное решение предписывало Финляндии взять на себя обязательство гарантировать населению Аландских островов сохранение их языковой культуры и шведского языка, а также местные обычаи и широкое самоуправление.</w:t>
      </w:r>
    </w:p>
    <w:p w14:paraId="094E1B7F" w14:textId="77777777" w:rsidR="000F1DEB" w:rsidRPr="00684CF8" w:rsidRDefault="000F1DEB" w:rsidP="000F1DEB">
      <w:pPr>
        <w:pStyle w:val="SingleTxtG"/>
      </w:pPr>
      <w:r w:rsidRPr="00684CF8">
        <w:t>120.</w:t>
      </w:r>
      <w:r w:rsidRPr="00684CF8">
        <w:tab/>
        <w:t>Гарантированная на международном уровне автономия дает жителям Аландских островов право принимать законы по внутренним вопросам провинции и осуществлять бюджетные полномочия. Законодательным органом Аландских островов является Парламент Аландских островов, 30 членов которого избираются путем всеобщих выборов. Парламент Аландских островов назначает правительство Аландских островов, которое является исполнительным органом провинции.</w:t>
      </w:r>
    </w:p>
    <w:p w14:paraId="14817A6F" w14:textId="77777777" w:rsidR="000F1DEB" w:rsidRPr="00684CF8" w:rsidRDefault="000F1DEB" w:rsidP="000F1DEB">
      <w:pPr>
        <w:pStyle w:val="SingleTxtG"/>
      </w:pPr>
      <w:r w:rsidRPr="00684CF8">
        <w:t>121.</w:t>
      </w:r>
      <w:r w:rsidRPr="00684CF8">
        <w:tab/>
        <w:t>Автономия провинции регулируется Законом об автономии Аландских островов, который может быть изменен парламентом Финляндии только с согласия парламента Аландских островов и с соблюдением процедуры принятия конституционных актов. Иными словами, обе стороны должны согласиться на любое изменение в разделении полномочий между провинцией и государством. Нынешний Закон об автономии Аландских островов является третьим по счету и вступил в силу 1 января 1993 года.</w:t>
      </w:r>
    </w:p>
    <w:p w14:paraId="4642A505" w14:textId="77777777" w:rsidR="000F1DEB" w:rsidRPr="00684CF8" w:rsidRDefault="000F1DEB" w:rsidP="000F1DEB">
      <w:pPr>
        <w:pStyle w:val="SingleTxtG"/>
      </w:pPr>
      <w:r w:rsidRPr="00684CF8">
        <w:t>122.</w:t>
      </w:r>
      <w:r w:rsidRPr="00684CF8">
        <w:tab/>
        <w:t>В Законе об автономии Аландских островов перечислены сектора, в которых провинция Аландских островов имеет законодательные полномочия. Наиболее важными из них являются образование, культура и сохранение доисторических реликвий, здравоохранение и медицинская помощь, интеграция мигрантов, вопросы окружающей среды, содействие деловой и экономической жизни, внутренний транспорт, муниципальная администрация, полиция, почтовая служба, радио и телевидение. В вопросах дискриминации законодательные полномочия разделены между государством и провинцией.</w:t>
      </w:r>
    </w:p>
    <w:p w14:paraId="05C17DF5" w14:textId="77777777" w:rsidR="000F1DEB" w:rsidRPr="00684CF8" w:rsidRDefault="000F1DEB" w:rsidP="000F1DEB">
      <w:pPr>
        <w:pStyle w:val="SingleTxtG"/>
      </w:pPr>
      <w:r w:rsidRPr="00684CF8">
        <w:t>123.</w:t>
      </w:r>
      <w:r w:rsidRPr="00684CF8">
        <w:tab/>
        <w:t>Государственное законодательство применяется на Аландских островах так же, как и в других частях Финляндии в тех областях, где у провинций нет законодательных полномочий. К таким областям относятся дипломатическая служба, право на проживание в стране, достаточно широкий спектр норм гражданского и уголовного права, суды, таможня и государственное налогообложение. Для продвижения интересов Аландских островов в тех вопросах, где у провинции нет законодательной власти, Аландские острова избирают своего собственного представителя в Парламенте Финляндии.</w:t>
      </w:r>
    </w:p>
    <w:p w14:paraId="6B09E696" w14:textId="77777777" w:rsidR="000F1DEB" w:rsidRPr="00684CF8" w:rsidRDefault="000F1DEB" w:rsidP="000F1DEB">
      <w:pPr>
        <w:pStyle w:val="SingleTxtG"/>
      </w:pPr>
      <w:r w:rsidRPr="00684CF8">
        <w:t>124.</w:t>
      </w:r>
      <w:r w:rsidRPr="00684CF8">
        <w:tab/>
        <w:t xml:space="preserve">Внешняя политика относится к компетенции государства, и поэтому Аландские острова не могут, например, подписывать международные договоры. Однако это не означает, что провинция вообще не имеет влияния в международных делах. Если </w:t>
      </w:r>
      <w:r w:rsidRPr="00684CF8">
        <w:lastRenderedPageBreak/>
        <w:t>международный договор, подписанный Финляндией, содержит положение, противоречащее Закону об автономии Аландских островов или касающееся вопроса, входящего в компетенцию провинции, это положение не может быть исполнено на Аландских островах без одобрения Парламента Аландских островов.</w:t>
      </w:r>
    </w:p>
    <w:p w14:paraId="75DFE660" w14:textId="77777777" w:rsidR="000F1DEB" w:rsidRPr="00684CF8" w:rsidRDefault="000F1DEB" w:rsidP="000F1DEB">
      <w:pPr>
        <w:pStyle w:val="SingleTxtG"/>
      </w:pPr>
      <w:r w:rsidRPr="00684CF8">
        <w:t>125.</w:t>
      </w:r>
      <w:r w:rsidRPr="00684CF8">
        <w:tab/>
        <w:t>В соответствии с Законом об автономии Аландских островов шведский является единственным официальным языком провинции. Закон о языках Финляндии (432/2003) на Аландских островах не действует. Вместе с тем Закон об автономии Аландских островов предоставляет финляндским гражданам право использовать финский язык в суде и в сношениях с другими государственными должностными лицами на Аландских островах по затрагивающим их вопросам.</w:t>
      </w:r>
    </w:p>
    <w:p w14:paraId="2995E1A5" w14:textId="77777777" w:rsidR="000F1DEB" w:rsidRPr="00684CF8" w:rsidRDefault="000F1DEB" w:rsidP="000F1DEB">
      <w:pPr>
        <w:pStyle w:val="SingleTxtG"/>
      </w:pPr>
      <w:r w:rsidRPr="00684CF8">
        <w:t>126.</w:t>
      </w:r>
      <w:r w:rsidRPr="00684CF8">
        <w:tab/>
        <w:t xml:space="preserve">Государство Финляндия представлено на Аландских островах губернатором, который назначается Президентом Республики после согласования этого вопроса со спикером Парламента Аландских островов. Важнейшая обязанность губернатора </w:t>
      </w:r>
      <w:r w:rsidR="001E2C2D" w:rsidRPr="00684CF8">
        <w:t>—</w:t>
      </w:r>
      <w:r w:rsidRPr="00684CF8">
        <w:t xml:space="preserve"> поддерживать хорошие отношения между провинцией и государством, содействуя различными способами эффективному диалогу и конструктивному взаимодействию между органами местного самоуправления и высшими представителями государства.</w:t>
      </w:r>
    </w:p>
    <w:p w14:paraId="75FE38A7" w14:textId="77777777" w:rsidR="000F1DEB" w:rsidRPr="00684CF8" w:rsidRDefault="000F1DEB" w:rsidP="000F1DEB">
      <w:pPr>
        <w:pStyle w:val="SingleTxtG"/>
      </w:pPr>
      <w:r w:rsidRPr="00684CF8">
        <w:t>127.</w:t>
      </w:r>
      <w:r w:rsidRPr="00684CF8">
        <w:tab/>
        <w:t>Одним из элементов гарантии сохранения шведского языка и местных обычаев, предоставленной жителям Аландских островов по решению Лиги Наций в 1921 году, является право на местожительство, принятое на Аландских островах. Право на постоянное местожительство предоставляется при рождении любому лицу, хотя бы один из родителей которого имеет право на постоянное местожительство. Лица, переехавшие в провинцию и проживающие там в течение минимум пяти лет и удовлетворительно владеющие шведским языком, могут получить право на местожительство на основании заявления. Это право может быть предоставлено только гражданам Финляндии. Право на местожительство является требованием для предоставления права на участие в голосовании и права баллотироваться на выборах в Парламент Аландских островов, права владеть и распоряжаться недвижимым имуществом в провинции, а также права заниматься там торговлей.</w:t>
      </w:r>
    </w:p>
    <w:p w14:paraId="34D043F9" w14:textId="77777777" w:rsidR="000F1DEB" w:rsidRPr="00684CF8" w:rsidRDefault="000F1DEB" w:rsidP="000F1DEB">
      <w:pPr>
        <w:pStyle w:val="SingleTxtG"/>
      </w:pPr>
      <w:r w:rsidRPr="00684CF8">
        <w:t>128.</w:t>
      </w:r>
      <w:r w:rsidRPr="00684CF8">
        <w:tab/>
        <w:t xml:space="preserve">Как и Финляндия, Аланды являются членом ЕС с 1995 года. Однако Аландские острова считаются </w:t>
      </w:r>
      <w:r w:rsidR="001E2C2D" w:rsidRPr="00684CF8">
        <w:t>«</w:t>
      </w:r>
      <w:r w:rsidRPr="00684CF8">
        <w:t>третьей территорией</w:t>
      </w:r>
      <w:r w:rsidR="001E2C2D" w:rsidRPr="00684CF8">
        <w:t>»</w:t>
      </w:r>
      <w:r w:rsidRPr="00684CF8">
        <w:t xml:space="preserve">, на которую не распространяется Директива ЕС о гармонизации всех видов косвенного налогообложения. Следовательно, Аландские острова являются частью таможенного союза ЕС, но не входят в налоговый союз ЕС. Это стало возможным благодаря Протоколу, приложенному к договору о вхождении Финляндии в ЕС, который является частью основного закона ЕС. </w:t>
      </w:r>
      <w:r w:rsidR="001E2C2D" w:rsidRPr="00684CF8">
        <w:br/>
      </w:r>
      <w:r w:rsidRPr="00684CF8">
        <w:t>В</w:t>
      </w:r>
      <w:r w:rsidR="001E2C2D" w:rsidRPr="00684CF8">
        <w:t xml:space="preserve"> </w:t>
      </w:r>
      <w:r w:rsidRPr="00684CF8">
        <w:t>соответствии с этим Протоколом Аландские острова могут на недискриминационной основе ограничивать, в частности, право приобретать недвижимость в провинции без права на местожительство. Они могут также ограничивать право на учреждение компаний в провинции и право заниматься торговлей без права на местожительство. Кроме того, Протокол подтверждает статус Аландских островов в соответствии с международным правом.</w:t>
      </w:r>
    </w:p>
    <w:p w14:paraId="34CC711D" w14:textId="77777777" w:rsidR="000F1DEB" w:rsidRPr="00684CF8" w:rsidRDefault="000F1DEB" w:rsidP="000F1DEB">
      <w:pPr>
        <w:pStyle w:val="SingleTxtG"/>
      </w:pPr>
      <w:r w:rsidRPr="00684CF8">
        <w:t>129.</w:t>
      </w:r>
      <w:r w:rsidRPr="00684CF8">
        <w:tab/>
        <w:t>Аланды являются членом Северного Совета с 1970 года.</w:t>
      </w:r>
    </w:p>
    <w:p w14:paraId="221C2E38" w14:textId="6B8BCE90" w:rsidR="000F1DEB" w:rsidRPr="00684CF8" w:rsidRDefault="000F1DEB" w:rsidP="000F1DEB">
      <w:pPr>
        <w:pStyle w:val="SingleTxtG"/>
      </w:pPr>
      <w:r w:rsidRPr="00684CF8">
        <w:t>130.</w:t>
      </w:r>
      <w:r w:rsidRPr="00684CF8">
        <w:tab/>
        <w:t>В состав Аландских островов входят около 6757 островов площадью 0,25 га и более. Около 60 из этих островов населены. Самым крупным из них является Фаста Аланд (Главный остров), на долю которого приходится около 70</w:t>
      </w:r>
      <w:r w:rsidR="00DF7B7E">
        <w:t> </w:t>
      </w:r>
      <w:r w:rsidRPr="00684CF8">
        <w:t>% территории всей провинции. Расстояния на Главном острове не превышают 50 км с севера на юг и 45</w:t>
      </w:r>
      <w:r w:rsidR="001E2C2D" w:rsidRPr="00684CF8">
        <w:t> </w:t>
      </w:r>
      <w:r w:rsidRPr="00684CF8">
        <w:t xml:space="preserve">км с востока на запад (см. </w:t>
      </w:r>
      <w:r w:rsidR="001E2C2D" w:rsidRPr="00684CF8">
        <w:t>п</w:t>
      </w:r>
      <w:r w:rsidRPr="00684CF8">
        <w:t>риложение I, карта Аландских островов).</w:t>
      </w:r>
    </w:p>
    <w:p w14:paraId="2E25D52A" w14:textId="77777777" w:rsidR="000F1DEB" w:rsidRPr="00684CF8" w:rsidRDefault="000F1DEB" w:rsidP="000F1DEB">
      <w:pPr>
        <w:pStyle w:val="SingleTxtG"/>
      </w:pPr>
      <w:r w:rsidRPr="00684CF8">
        <w:t>131.</w:t>
      </w:r>
      <w:r w:rsidRPr="00684CF8">
        <w:tab/>
        <w:t>Общая площадь провинции составляет 13 324 км</w:t>
      </w:r>
      <w:r w:rsidRPr="004F6AD5">
        <w:rPr>
          <w:vertAlign w:val="superscript"/>
        </w:rPr>
        <w:t>2</w:t>
      </w:r>
      <w:r w:rsidRPr="00684CF8">
        <w:t xml:space="preserve">, площадь акватории </w:t>
      </w:r>
      <w:r w:rsidR="001E2C2D" w:rsidRPr="00684CF8">
        <w:t>—</w:t>
      </w:r>
      <w:r w:rsidRPr="00684CF8">
        <w:t xml:space="preserve"> 11</w:t>
      </w:r>
      <w:r w:rsidR="001E2C2D" w:rsidRPr="00684CF8">
        <w:t> </w:t>
      </w:r>
      <w:r w:rsidRPr="00684CF8">
        <w:t>771</w:t>
      </w:r>
      <w:r w:rsidR="001E2C2D" w:rsidRPr="00684CF8">
        <w:t> </w:t>
      </w:r>
      <w:r w:rsidRPr="00684CF8">
        <w:t>км</w:t>
      </w:r>
      <w:r w:rsidRPr="00684CF8">
        <w:rPr>
          <w:vertAlign w:val="superscript"/>
        </w:rPr>
        <w:t>2</w:t>
      </w:r>
      <w:r w:rsidRPr="00684CF8">
        <w:t xml:space="preserve">, площадь суши </w:t>
      </w:r>
      <w:r w:rsidR="001E2C2D" w:rsidRPr="00684CF8">
        <w:t>—</w:t>
      </w:r>
      <w:r w:rsidRPr="00684CF8">
        <w:t xml:space="preserve"> 1553 км</w:t>
      </w:r>
      <w:r w:rsidRPr="00684CF8">
        <w:rPr>
          <w:vertAlign w:val="superscript"/>
        </w:rPr>
        <w:t>2</w:t>
      </w:r>
      <w:r w:rsidRPr="00684CF8">
        <w:t>.</w:t>
      </w:r>
    </w:p>
    <w:p w14:paraId="7C6F7649" w14:textId="77777777" w:rsidR="000F1DEB" w:rsidRPr="00684CF8" w:rsidRDefault="000F1DEB" w:rsidP="000F1DEB">
      <w:pPr>
        <w:pStyle w:val="SingleTxtG"/>
      </w:pPr>
      <w:r w:rsidRPr="00684CF8">
        <w:t>132.</w:t>
      </w:r>
      <w:r w:rsidRPr="00684CF8">
        <w:tab/>
        <w:t>Площадь суши состоит из 60</w:t>
      </w:r>
      <w:r w:rsidR="004F6AD5">
        <w:rPr>
          <w:lang w:val="en-US"/>
        </w:rPr>
        <w:t> </w:t>
      </w:r>
      <w:r w:rsidRPr="00684CF8">
        <w:t>% лесов, 9</w:t>
      </w:r>
      <w:r w:rsidR="004F6AD5">
        <w:rPr>
          <w:lang w:val="en-US"/>
        </w:rPr>
        <w:t> </w:t>
      </w:r>
      <w:r w:rsidRPr="00684CF8">
        <w:t>% пахотных земель, 3</w:t>
      </w:r>
      <w:r w:rsidR="004F6AD5">
        <w:rPr>
          <w:lang w:val="en-US"/>
        </w:rPr>
        <w:t> </w:t>
      </w:r>
      <w:r w:rsidRPr="00684CF8">
        <w:t>% пастбищных и 27</w:t>
      </w:r>
      <w:r w:rsidR="004F6AD5">
        <w:rPr>
          <w:lang w:val="en-US"/>
        </w:rPr>
        <w:t> </w:t>
      </w:r>
      <w:r w:rsidRPr="00684CF8">
        <w:t>% других земель.</w:t>
      </w:r>
    </w:p>
    <w:p w14:paraId="5B19BA0A" w14:textId="77777777" w:rsidR="000F1DEB" w:rsidRPr="00684CF8" w:rsidRDefault="000F1DEB" w:rsidP="000F1DEB">
      <w:pPr>
        <w:pStyle w:val="SingleTxtG"/>
      </w:pPr>
      <w:r w:rsidRPr="00684CF8">
        <w:t>133.</w:t>
      </w:r>
      <w:r w:rsidRPr="00684CF8">
        <w:tab/>
        <w:t>По состоянию на конец 2018 года население Аландских островов составляло 29</w:t>
      </w:r>
      <w:r w:rsidR="001E2C2D" w:rsidRPr="00684CF8">
        <w:t> </w:t>
      </w:r>
      <w:r w:rsidRPr="00684CF8">
        <w:t xml:space="preserve">789 человек, в том числе 14 919 женщин и 14 870 мужчин. В Мариехамне, единственном городе провинции, проживает 11 743 человека. Численность сельского населения составляет 15 973 человека, а население архипелага </w:t>
      </w:r>
      <w:r w:rsidR="001E2C2D" w:rsidRPr="00684CF8">
        <w:t>—</w:t>
      </w:r>
      <w:r w:rsidRPr="00684CF8">
        <w:t xml:space="preserve"> 2073 человека. Плотность населения на квадратный километр составляет19 человек.</w:t>
      </w:r>
    </w:p>
    <w:p w14:paraId="050304A7" w14:textId="77777777" w:rsidR="000F1DEB" w:rsidRPr="00684CF8" w:rsidRDefault="000F1DEB" w:rsidP="001E2C2D">
      <w:pPr>
        <w:pStyle w:val="1"/>
        <w:spacing w:before="240" w:after="120"/>
        <w:ind w:left="1134" w:hanging="1134"/>
        <w:jc w:val="left"/>
      </w:pPr>
      <w:r w:rsidRPr="00684CF8">
        <w:rPr>
          <w:b w:val="0"/>
          <w:bCs w:val="0"/>
        </w:rPr>
        <w:lastRenderedPageBreak/>
        <w:tab/>
      </w:r>
      <w:r w:rsidRPr="00684CF8">
        <w:rPr>
          <w:b w:val="0"/>
          <w:bCs w:val="0"/>
        </w:rPr>
        <w:tab/>
        <w:t>Таблица 7</w:t>
      </w:r>
      <w:r w:rsidR="001E2C2D" w:rsidRPr="00684CF8">
        <w:rPr>
          <w:b w:val="0"/>
          <w:bCs w:val="0"/>
        </w:rPr>
        <w:br/>
      </w:r>
      <w:r w:rsidRPr="00684CF8">
        <w:t>Население Аландских островов в разбивке по возрасту в 2018 году</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760"/>
        <w:gridCol w:w="1842"/>
        <w:gridCol w:w="1843"/>
        <w:gridCol w:w="1925"/>
      </w:tblGrid>
      <w:tr w:rsidR="001E2C2D" w:rsidRPr="00684CF8" w14:paraId="7172A096" w14:textId="77777777" w:rsidTr="001E2C2D">
        <w:trPr>
          <w:tblHeader/>
        </w:trPr>
        <w:tc>
          <w:tcPr>
            <w:tcW w:w="1760" w:type="dxa"/>
            <w:shd w:val="clear" w:color="auto" w:fill="auto"/>
            <w:vAlign w:val="bottom"/>
          </w:tcPr>
          <w:p w14:paraId="5FD6272C" w14:textId="77777777" w:rsidR="001E2C2D" w:rsidRPr="00684CF8" w:rsidRDefault="001E2C2D" w:rsidP="001E2C2D">
            <w:pPr>
              <w:suppressAutoHyphens w:val="0"/>
              <w:spacing w:before="80" w:after="80" w:line="200" w:lineRule="exact"/>
              <w:rPr>
                <w:rFonts w:cs="Times New Roman"/>
                <w:i/>
                <w:sz w:val="16"/>
              </w:rPr>
            </w:pPr>
            <w:r w:rsidRPr="00684CF8">
              <w:rPr>
                <w:rFonts w:cs="Times New Roman"/>
                <w:i/>
                <w:sz w:val="16"/>
              </w:rPr>
              <w:t>Возраст</w:t>
            </w:r>
          </w:p>
        </w:tc>
        <w:tc>
          <w:tcPr>
            <w:tcW w:w="1842" w:type="dxa"/>
            <w:shd w:val="clear" w:color="auto" w:fill="auto"/>
            <w:vAlign w:val="bottom"/>
          </w:tcPr>
          <w:p w14:paraId="35A9BF24" w14:textId="77777777" w:rsidR="001E2C2D" w:rsidRPr="00684CF8" w:rsidRDefault="001E2C2D" w:rsidP="001E2C2D">
            <w:pPr>
              <w:suppressAutoHyphens w:val="0"/>
              <w:spacing w:before="80" w:after="80" w:line="200" w:lineRule="exact"/>
              <w:jc w:val="right"/>
              <w:rPr>
                <w:rFonts w:cs="Times New Roman"/>
                <w:i/>
                <w:sz w:val="16"/>
                <w:lang w:eastAsia="fi-FI"/>
              </w:rPr>
            </w:pPr>
            <w:r w:rsidRPr="00684CF8">
              <w:rPr>
                <w:rFonts w:cs="Times New Roman"/>
                <w:i/>
                <w:sz w:val="16"/>
                <w:lang w:eastAsia="fi-FI"/>
              </w:rPr>
              <w:t>0–14</w:t>
            </w:r>
          </w:p>
        </w:tc>
        <w:tc>
          <w:tcPr>
            <w:tcW w:w="1843" w:type="dxa"/>
            <w:shd w:val="clear" w:color="auto" w:fill="auto"/>
            <w:vAlign w:val="bottom"/>
          </w:tcPr>
          <w:p w14:paraId="4C16A118" w14:textId="77777777" w:rsidR="001E2C2D" w:rsidRPr="00684CF8" w:rsidRDefault="001E2C2D" w:rsidP="001E2C2D">
            <w:pPr>
              <w:suppressAutoHyphens w:val="0"/>
              <w:spacing w:before="80" w:after="80" w:line="200" w:lineRule="exact"/>
              <w:jc w:val="right"/>
              <w:rPr>
                <w:rFonts w:cs="Times New Roman"/>
                <w:i/>
                <w:sz w:val="16"/>
                <w:lang w:eastAsia="fi-FI"/>
              </w:rPr>
            </w:pPr>
            <w:r w:rsidRPr="00684CF8">
              <w:rPr>
                <w:rFonts w:cs="Times New Roman"/>
                <w:i/>
                <w:sz w:val="16"/>
                <w:lang w:eastAsia="fi-FI"/>
              </w:rPr>
              <w:t>15–64</w:t>
            </w:r>
          </w:p>
        </w:tc>
        <w:tc>
          <w:tcPr>
            <w:tcW w:w="1925" w:type="dxa"/>
            <w:shd w:val="clear" w:color="auto" w:fill="auto"/>
            <w:vAlign w:val="bottom"/>
          </w:tcPr>
          <w:p w14:paraId="1B2EE778" w14:textId="77777777" w:rsidR="001E2C2D" w:rsidRPr="00684CF8" w:rsidRDefault="001E2C2D" w:rsidP="001E2C2D">
            <w:pPr>
              <w:suppressAutoHyphens w:val="0"/>
              <w:spacing w:before="80" w:after="80" w:line="200" w:lineRule="exact"/>
              <w:jc w:val="right"/>
              <w:rPr>
                <w:rFonts w:cs="Times New Roman"/>
                <w:i/>
                <w:sz w:val="16"/>
                <w:lang w:eastAsia="fi-FI"/>
              </w:rPr>
            </w:pPr>
            <w:r w:rsidRPr="00684CF8">
              <w:rPr>
                <w:rFonts w:cs="Times New Roman"/>
                <w:i/>
                <w:sz w:val="16"/>
                <w:lang w:eastAsia="fi-FI"/>
              </w:rPr>
              <w:t>65+</w:t>
            </w:r>
          </w:p>
        </w:tc>
      </w:tr>
      <w:tr w:rsidR="001E2C2D" w:rsidRPr="00684CF8" w14:paraId="75E2DCBB" w14:textId="77777777" w:rsidTr="001E2C2D">
        <w:tc>
          <w:tcPr>
            <w:tcW w:w="1760" w:type="dxa"/>
            <w:shd w:val="clear" w:color="auto" w:fill="auto"/>
          </w:tcPr>
          <w:p w14:paraId="55878AF5" w14:textId="77777777" w:rsidR="001E2C2D" w:rsidRPr="00684CF8" w:rsidRDefault="001E2C2D" w:rsidP="001E2C2D">
            <w:pPr>
              <w:suppressAutoHyphens w:val="0"/>
              <w:spacing w:before="40" w:after="40" w:line="220" w:lineRule="exact"/>
              <w:rPr>
                <w:rFonts w:cs="Times New Roman"/>
                <w:bCs/>
                <w:sz w:val="18"/>
                <w:lang w:eastAsia="fi-FI"/>
              </w:rPr>
            </w:pPr>
            <w:r w:rsidRPr="00684CF8">
              <w:rPr>
                <w:rFonts w:cs="Times New Roman"/>
                <w:bCs/>
                <w:sz w:val="18"/>
                <w:lang w:eastAsia="fi-FI"/>
              </w:rPr>
              <w:t>%</w:t>
            </w:r>
          </w:p>
        </w:tc>
        <w:tc>
          <w:tcPr>
            <w:tcW w:w="1842" w:type="dxa"/>
            <w:shd w:val="clear" w:color="auto" w:fill="auto"/>
            <w:vAlign w:val="bottom"/>
          </w:tcPr>
          <w:p w14:paraId="4BEACB92" w14:textId="77777777" w:rsidR="001E2C2D" w:rsidRPr="00684CF8" w:rsidRDefault="001E2C2D" w:rsidP="001E2C2D">
            <w:pPr>
              <w:suppressAutoHyphens w:val="0"/>
              <w:spacing w:before="40" w:after="40" w:line="220" w:lineRule="exact"/>
              <w:jc w:val="right"/>
              <w:rPr>
                <w:rFonts w:cs="Times New Roman"/>
                <w:sz w:val="18"/>
              </w:rPr>
            </w:pPr>
            <w:r w:rsidRPr="00684CF8">
              <w:rPr>
                <w:rFonts w:cs="Times New Roman"/>
                <w:sz w:val="18"/>
              </w:rPr>
              <w:t>16,6</w:t>
            </w:r>
          </w:p>
        </w:tc>
        <w:tc>
          <w:tcPr>
            <w:tcW w:w="1843" w:type="dxa"/>
            <w:shd w:val="clear" w:color="auto" w:fill="auto"/>
            <w:vAlign w:val="bottom"/>
          </w:tcPr>
          <w:p w14:paraId="09906F77" w14:textId="77777777" w:rsidR="001E2C2D" w:rsidRPr="00684CF8" w:rsidRDefault="001E2C2D" w:rsidP="001E2C2D">
            <w:pPr>
              <w:suppressAutoHyphens w:val="0"/>
              <w:spacing w:before="40" w:after="40" w:line="220" w:lineRule="exact"/>
              <w:jc w:val="right"/>
              <w:rPr>
                <w:rFonts w:cs="Times New Roman"/>
                <w:sz w:val="18"/>
              </w:rPr>
            </w:pPr>
            <w:r w:rsidRPr="00684CF8">
              <w:rPr>
                <w:rFonts w:cs="Times New Roman"/>
                <w:sz w:val="18"/>
              </w:rPr>
              <w:t>61,2</w:t>
            </w:r>
          </w:p>
        </w:tc>
        <w:tc>
          <w:tcPr>
            <w:tcW w:w="1925" w:type="dxa"/>
            <w:shd w:val="clear" w:color="auto" w:fill="auto"/>
            <w:vAlign w:val="bottom"/>
          </w:tcPr>
          <w:p w14:paraId="0510F064" w14:textId="77777777" w:rsidR="001E2C2D" w:rsidRPr="00684CF8" w:rsidRDefault="001E2C2D" w:rsidP="001E2C2D">
            <w:pPr>
              <w:suppressAutoHyphens w:val="0"/>
              <w:spacing w:before="40" w:after="40" w:line="220" w:lineRule="exact"/>
              <w:jc w:val="right"/>
              <w:rPr>
                <w:rFonts w:cs="Times New Roman"/>
                <w:sz w:val="18"/>
              </w:rPr>
            </w:pPr>
            <w:r w:rsidRPr="00684CF8">
              <w:rPr>
                <w:rFonts w:cs="Times New Roman"/>
                <w:sz w:val="18"/>
              </w:rPr>
              <w:t>22,2</w:t>
            </w:r>
          </w:p>
        </w:tc>
      </w:tr>
    </w:tbl>
    <w:p w14:paraId="1B3AD8D0" w14:textId="77777777" w:rsidR="001E2C2D" w:rsidRPr="00684CF8" w:rsidRDefault="001E2C2D" w:rsidP="001E2C2D">
      <w:pPr>
        <w:pStyle w:val="SingleTxtG"/>
        <w:spacing w:before="120" w:after="240" w:line="220" w:lineRule="exact"/>
        <w:ind w:firstLine="170"/>
        <w:jc w:val="left"/>
        <w:rPr>
          <w:sz w:val="18"/>
          <w:szCs w:val="18"/>
        </w:rPr>
      </w:pPr>
      <w:r w:rsidRPr="00684CF8">
        <w:rPr>
          <w:i/>
          <w:iCs/>
          <w:sz w:val="18"/>
          <w:szCs w:val="18"/>
        </w:rPr>
        <w:t>Источник</w:t>
      </w:r>
      <w:r w:rsidRPr="00684CF8">
        <w:rPr>
          <w:sz w:val="18"/>
          <w:szCs w:val="18"/>
        </w:rPr>
        <w:t>: Статистика и исследования Аландских островов (ЕСУБ).</w:t>
      </w:r>
    </w:p>
    <w:p w14:paraId="3B9C662D" w14:textId="6F36D644" w:rsidR="001E2C2D" w:rsidRPr="00684CF8" w:rsidRDefault="001E2C2D" w:rsidP="001E2C2D">
      <w:pPr>
        <w:pStyle w:val="SingleTxtG"/>
      </w:pPr>
      <w:r w:rsidRPr="00684CF8">
        <w:t>134.</w:t>
      </w:r>
      <w:r w:rsidRPr="00684CF8">
        <w:tab/>
        <w:t>Чуть менее 37</w:t>
      </w:r>
      <w:r w:rsidR="00DF7B7E">
        <w:t> </w:t>
      </w:r>
      <w:r w:rsidRPr="00684CF8">
        <w:t>% населения провинции являются выходцами территорий за пределами Аландских островов. Около 19</w:t>
      </w:r>
      <w:r w:rsidR="00DF7B7E">
        <w:t> </w:t>
      </w:r>
      <w:r w:rsidRPr="00684CF8">
        <w:t>% переехали на Аланды из континентальной Финляндии и около 9</w:t>
      </w:r>
      <w:r w:rsidR="00DF7B7E">
        <w:t> </w:t>
      </w:r>
      <w:r w:rsidRPr="00684CF8">
        <w:t xml:space="preserve">% </w:t>
      </w:r>
      <w:r w:rsidR="00F3160A" w:rsidRPr="00684CF8">
        <w:t>—</w:t>
      </w:r>
      <w:r w:rsidRPr="00684CF8">
        <w:t xml:space="preserve"> из Швеции. Всего в провинции проживают лица из 105</w:t>
      </w:r>
      <w:r w:rsidR="00F3160A" w:rsidRPr="00684CF8">
        <w:t> </w:t>
      </w:r>
      <w:r w:rsidRPr="00684CF8">
        <w:t>различных стран мира. Родным языком примерно 87</w:t>
      </w:r>
      <w:r w:rsidR="00DF7B7E">
        <w:t> </w:t>
      </w:r>
      <w:r w:rsidRPr="00684CF8">
        <w:t>% населения провинции является шведский, у 5</w:t>
      </w:r>
      <w:r w:rsidR="00DF7B7E">
        <w:t> </w:t>
      </w:r>
      <w:r w:rsidRPr="00684CF8">
        <w:t xml:space="preserve">% </w:t>
      </w:r>
      <w:r w:rsidR="00F3160A" w:rsidRPr="00684CF8">
        <w:t>—</w:t>
      </w:r>
      <w:r w:rsidRPr="00684CF8">
        <w:t xml:space="preserve"> родной финский и около 8</w:t>
      </w:r>
      <w:r w:rsidR="00DF7B7E">
        <w:t> </w:t>
      </w:r>
      <w:r w:rsidRPr="00684CF8">
        <w:t>% говорят на других языках.</w:t>
      </w:r>
    </w:p>
    <w:p w14:paraId="7A08922D" w14:textId="77777777" w:rsidR="001E2C2D" w:rsidRPr="00684CF8" w:rsidRDefault="001E2C2D" w:rsidP="001E2C2D">
      <w:pPr>
        <w:pStyle w:val="SingleTxtG"/>
      </w:pPr>
      <w:r w:rsidRPr="00684CF8">
        <w:t>135.</w:t>
      </w:r>
      <w:r w:rsidRPr="00684CF8">
        <w:tab/>
        <w:t>В 2017 году средняя продолжительность жизни на Аландских островах составляла 83,5 года. Для женщин средняя продолжительность жизни достигла 85,9</w:t>
      </w:r>
      <w:r w:rsidR="00F3160A" w:rsidRPr="00684CF8">
        <w:t> </w:t>
      </w:r>
      <w:r w:rsidRPr="00684CF8">
        <w:t xml:space="preserve">года, а для мужчин </w:t>
      </w:r>
      <w:r w:rsidR="00F3160A" w:rsidRPr="00684CF8">
        <w:t>—</w:t>
      </w:r>
      <w:r w:rsidRPr="00684CF8">
        <w:t xml:space="preserve"> 81,2 года.</w:t>
      </w:r>
    </w:p>
    <w:p w14:paraId="35DCD3A4" w14:textId="3C22A1C1" w:rsidR="001E2C2D" w:rsidRPr="00684CF8" w:rsidRDefault="001E2C2D" w:rsidP="001E2C2D">
      <w:pPr>
        <w:pStyle w:val="SingleTxtG"/>
      </w:pPr>
      <w:r w:rsidRPr="00684CF8">
        <w:t>136.</w:t>
      </w:r>
      <w:r w:rsidRPr="00684CF8">
        <w:tab/>
        <w:t>В 2018 году 3,5</w:t>
      </w:r>
      <w:r w:rsidR="00DF7B7E">
        <w:t> </w:t>
      </w:r>
      <w:r w:rsidRPr="00684CF8">
        <w:t>% жителей Аландских островов были безработными. Общий уровень занятости в 2017 году составил 80,2</w:t>
      </w:r>
      <w:r w:rsidR="00DF7B7E">
        <w:t> </w:t>
      </w:r>
      <w:r w:rsidRPr="00684CF8">
        <w:t>%. Уровень занятости достигал 80,9</w:t>
      </w:r>
      <w:r w:rsidR="00DF7B7E">
        <w:t> </w:t>
      </w:r>
      <w:r w:rsidRPr="00684CF8">
        <w:t>%</w:t>
      </w:r>
      <w:r w:rsidR="00F3160A" w:rsidRPr="00684CF8">
        <w:t> </w:t>
      </w:r>
      <w:r w:rsidRPr="00684CF8">
        <w:t>среди женщин и 79,5</w:t>
      </w:r>
      <w:r w:rsidR="00DF7B7E">
        <w:t> </w:t>
      </w:r>
      <w:r w:rsidRPr="00684CF8">
        <w:t>% среди мужчин.</w:t>
      </w:r>
    </w:p>
    <w:p w14:paraId="73B007D4" w14:textId="30016430" w:rsidR="001E2C2D" w:rsidRPr="00684CF8" w:rsidRDefault="001E2C2D" w:rsidP="001E2C2D">
      <w:pPr>
        <w:pStyle w:val="SingleTxtG"/>
      </w:pPr>
      <w:r w:rsidRPr="00684CF8">
        <w:t>137.</w:t>
      </w:r>
      <w:r w:rsidRPr="00684CF8">
        <w:tab/>
        <w:t>ВВП Аландских островов в текущих ценах в 2016 году составил около 1,3 млрд евро, или около 43 800 евро на душу населения. В 2016 году на долю судоходства приходилось около 20</w:t>
      </w:r>
      <w:r w:rsidR="00DF7B7E">
        <w:t> </w:t>
      </w:r>
      <w:r w:rsidRPr="00684CF8">
        <w:t>% ВВП Аландских островов и более 6</w:t>
      </w:r>
      <w:r w:rsidR="00DF7B7E">
        <w:t> </w:t>
      </w:r>
      <w:r w:rsidRPr="00684CF8">
        <w:t>% рабочих мест на Аландах, в то время как в 2016 году на долю всего туризма приходилось около 19</w:t>
      </w:r>
      <w:r w:rsidR="00DF7B7E">
        <w:t> </w:t>
      </w:r>
      <w:r w:rsidRPr="00684CF8">
        <w:t>%</w:t>
      </w:r>
      <w:r w:rsidR="00F3160A" w:rsidRPr="00684CF8">
        <w:t> </w:t>
      </w:r>
      <w:r w:rsidRPr="00684CF8">
        <w:t>ВВП.</w:t>
      </w:r>
    </w:p>
    <w:p w14:paraId="43293445" w14:textId="77777777" w:rsidR="001E2C2D" w:rsidRPr="00684CF8" w:rsidRDefault="001E2C2D" w:rsidP="00F3160A">
      <w:pPr>
        <w:pStyle w:val="H23G"/>
      </w:pPr>
      <w:bookmarkStart w:id="40" w:name="_Toc32364296"/>
      <w:r w:rsidRPr="00684CF8">
        <w:tab/>
        <w:t>h)</w:t>
      </w:r>
      <w:r w:rsidRPr="00684CF8">
        <w:tab/>
        <w:t>Муниципальная автономия</w:t>
      </w:r>
      <w:bookmarkEnd w:id="40"/>
    </w:p>
    <w:p w14:paraId="1EC71668" w14:textId="77777777" w:rsidR="001E2C2D" w:rsidRPr="00684CF8" w:rsidRDefault="001E2C2D" w:rsidP="001E2C2D">
      <w:pPr>
        <w:pStyle w:val="SingleTxtG"/>
      </w:pPr>
      <w:r w:rsidRPr="00684CF8">
        <w:t>138.</w:t>
      </w:r>
      <w:r w:rsidRPr="00684CF8">
        <w:tab/>
        <w:t>На основании Конституции Финляндии муниципалитеты обладают значительной автономией, вытекающей из самоуправления жителей муниципалитетов. Автономия финских муниципалитетов является одной из самых широких в мире. Европейская хартия местного самоуправления Совета Европы была введена в действие Финляндией еще в 1991 году. Хартия имеет прочный авторитет в Финляндии и используется для поддержки местного самоуправления. В Финляндии насчитывается в общей сложности 310 муниципальных образований, из которых 107</w:t>
      </w:r>
      <w:r w:rsidR="00F3160A" w:rsidRPr="00684CF8">
        <w:t> </w:t>
      </w:r>
      <w:r w:rsidRPr="00684CF8">
        <w:t xml:space="preserve">называют себя городами, а 203 </w:t>
      </w:r>
      <w:r w:rsidR="00F3160A" w:rsidRPr="00684CF8">
        <w:t>—</w:t>
      </w:r>
      <w:r w:rsidRPr="00684CF8">
        <w:t xml:space="preserve"> муниципалитетами. Общая основа местного самоуправления, а также обязанности и обязательства, возложенные на муниципалитеты, установлены законом. Муниципальная автономия охватывает общий сектор, свободу организации, невмешательство центрального правительства в процесс принятия решений на муниципальном уровне, а также принцип достаточности финансовых ресурсов для обеспечения выполнения муниципалитетами возложенных на них обязанностей.</w:t>
      </w:r>
    </w:p>
    <w:p w14:paraId="56B3575E" w14:textId="77777777" w:rsidR="001E2C2D" w:rsidRPr="00684CF8" w:rsidRDefault="001E2C2D" w:rsidP="001E2C2D">
      <w:pPr>
        <w:pStyle w:val="SingleTxtG"/>
      </w:pPr>
      <w:r w:rsidRPr="00684CF8">
        <w:t>139.</w:t>
      </w:r>
      <w:r w:rsidRPr="00684CF8">
        <w:tab/>
        <w:t>Полномочия по принятию решений в муниципалитетах осуществляет местный совет, который в подготовленной советом муниципальной стратегии решает долгосрочные цели деятельности и финансовые вопросы муниципалитета. Члены и заместители членов местного совета избираются на муниципальных выборах, проводимых каждые четыре года. Жители муниципалитетов и пользователи муниципальных услуг имеют право участвовать в деятельности муниципалитета и оказывать на нее влияние. Местный совет должен предоставлять разнообразные и эффективные возможности для участия. Жители муниципалитетов, а также корпорации и фонды, расположенные на территории муниципалитета, имеют право выдвигать инициативы по вопросам, касающимся деятельности муниципалитета. В</w:t>
      </w:r>
      <w:r w:rsidR="00F3160A" w:rsidRPr="00684CF8">
        <w:t> </w:t>
      </w:r>
      <w:r w:rsidRPr="00684CF8">
        <w:t>результате реформы Закона о местном самоуправлении в 2015 году советы по делам престарелых, советы по делам инвалидов и молодежные советы были определены в качестве новых органов, которые обязательно должны привлекаться к гражданскому участию в местном самоуправлении.</w:t>
      </w:r>
    </w:p>
    <w:p w14:paraId="392B84D8" w14:textId="77777777" w:rsidR="001E2C2D" w:rsidRPr="00684CF8" w:rsidRDefault="001E2C2D" w:rsidP="001E2C2D">
      <w:pPr>
        <w:pStyle w:val="SingleTxtG"/>
      </w:pPr>
      <w:r w:rsidRPr="00684CF8">
        <w:t>140.</w:t>
      </w:r>
      <w:r w:rsidRPr="00684CF8">
        <w:tab/>
        <w:t xml:space="preserve">Как правило, муниципалитет отвечает за организацию социального и медицинского обслуживания своих жителей. Муниципалитеты обязаны организовать </w:t>
      </w:r>
      <w:r w:rsidRPr="00684CF8">
        <w:lastRenderedPageBreak/>
        <w:t>базовое образование для всех своих жителей, достигших возраста обязательного образования. Кроме того, муниципалитеты отвечают за предоставление широкого круга услуг в области образования и культуры, спорта и физических упражнений, посадки зеленых насаждений и развития дорожной инфраструктуры, а также работы пожарной и спасательной служб.</w:t>
      </w:r>
    </w:p>
    <w:p w14:paraId="55942830" w14:textId="3F5FF34B" w:rsidR="001E2C2D" w:rsidRPr="00684CF8" w:rsidRDefault="001E2C2D" w:rsidP="001E2C2D">
      <w:pPr>
        <w:pStyle w:val="SingleTxtG"/>
      </w:pPr>
      <w:r w:rsidRPr="00684CF8">
        <w:t>141.</w:t>
      </w:r>
      <w:r w:rsidRPr="00684CF8">
        <w:tab/>
        <w:t>Конституция Финляндии гарантирует право муниципалитетов взимать налоги. Налоговые поступления формируются за счет подоходного налога, ставку которого муниципалитеты могут устанавливать по своему усмотрению, а также налога на прибыль предприятий и налога на недвижимость. В 2018 году налоговые поступления составили около 58</w:t>
      </w:r>
      <w:r w:rsidR="00DF7B7E">
        <w:t> </w:t>
      </w:r>
      <w:r w:rsidRPr="00684CF8">
        <w:t>% всех поступлений. Муниципалитеты получают доходы от деятельности, осуществляемой индивидуально и в сотрудничестве с другими, а также через муниципальные корпорации. Муниципалитеты также получают от центрального правительства субсидии местным органам власти, одним из элементов которых является схема выравнивания для поддержки организации услуг в тех частях страны, где спрос на услуги может быть выше, чем в других местах, в связи, например, с</w:t>
      </w:r>
      <w:r w:rsidR="00F3160A" w:rsidRPr="00684CF8">
        <w:t> </w:t>
      </w:r>
      <w:r w:rsidRPr="00684CF8">
        <w:t>демографической структурой или уровнем заболеваемости. Субсидии центрального правительства составляют в среднем 22</w:t>
      </w:r>
      <w:r w:rsidR="00DF7B7E">
        <w:t> </w:t>
      </w:r>
      <w:r w:rsidRPr="00684CF8">
        <w:t>% доходной базы муниципалитетов. В</w:t>
      </w:r>
      <w:r w:rsidR="00F3160A" w:rsidRPr="00684CF8">
        <w:t> </w:t>
      </w:r>
      <w:r w:rsidRPr="00684CF8">
        <w:t>дополнение к прочной доходной базе муниципалитеты могут свободно заимствовать средства на финансовых рынках для финансирования своих инвестиций, и они должны сбалансировать свои финансы в соответствии с Законом о местном самоуправлении (410/2015).</w:t>
      </w:r>
    </w:p>
    <w:p w14:paraId="2FD68B7C" w14:textId="77777777" w:rsidR="001E2C2D" w:rsidRPr="00684CF8" w:rsidRDefault="001E2C2D" w:rsidP="001E2C2D">
      <w:pPr>
        <w:pStyle w:val="SingleTxtG"/>
      </w:pPr>
      <w:r w:rsidRPr="00684CF8">
        <w:t>142.</w:t>
      </w:r>
      <w:r w:rsidRPr="00684CF8">
        <w:tab/>
        <w:t>В последние годы значение муниципалитетов возросло в плане укрепления здоровья и благополучия населения, а также поддержания и повышения демографической, экономической и эксплуатационной жизнеспособности.</w:t>
      </w:r>
    </w:p>
    <w:p w14:paraId="54B1E9EA" w14:textId="77777777" w:rsidR="001E2C2D" w:rsidRPr="00684CF8" w:rsidRDefault="001E2C2D" w:rsidP="00F3160A">
      <w:pPr>
        <w:pStyle w:val="H23G"/>
      </w:pPr>
      <w:bookmarkStart w:id="41" w:name="_Toc32364297"/>
      <w:r w:rsidRPr="00684CF8">
        <w:tab/>
        <w:t>i)</w:t>
      </w:r>
      <w:r w:rsidRPr="00684CF8">
        <w:tab/>
        <w:t>Родной край народа</w:t>
      </w:r>
      <w:r w:rsidRPr="00684CF8">
        <w:rPr>
          <w:bCs/>
        </w:rPr>
        <w:t xml:space="preserve"> саам</w:t>
      </w:r>
      <w:bookmarkEnd w:id="41"/>
      <w:r w:rsidRPr="00684CF8">
        <w:rPr>
          <w:bCs/>
        </w:rPr>
        <w:t>и</w:t>
      </w:r>
    </w:p>
    <w:p w14:paraId="486795FE" w14:textId="77777777" w:rsidR="001E2C2D" w:rsidRPr="00684CF8" w:rsidRDefault="001E2C2D" w:rsidP="001E2C2D">
      <w:pPr>
        <w:pStyle w:val="SingleTxtG"/>
      </w:pPr>
      <w:r w:rsidRPr="00684CF8">
        <w:t>143.</w:t>
      </w:r>
      <w:r w:rsidRPr="00684CF8">
        <w:tab/>
        <w:t>В статье 4 Закона о Парламенте саами определяется исконный регион саами, который является Родным краем народа саами и охватывает территории муниципалитетов Энонтекиё, Инари и Утсйоки, а также район объединения оленеводов Лапландии в Соданкюле. В пункте 4 статьи 121 указывается, что на своей исконной территории обитания саами имеют языковую и культурную автономию в соответствии с предписаниями закона.</w:t>
      </w:r>
    </w:p>
    <w:p w14:paraId="48F1FEE6" w14:textId="77777777" w:rsidR="001E2C2D" w:rsidRPr="00684CF8" w:rsidRDefault="001E2C2D" w:rsidP="001E2C2D">
      <w:pPr>
        <w:pStyle w:val="SingleTxtG"/>
      </w:pPr>
      <w:r w:rsidRPr="00684CF8">
        <w:t>144.</w:t>
      </w:r>
      <w:r w:rsidRPr="00684CF8">
        <w:tab/>
        <w:t xml:space="preserve">Закон о сколтах конкретно определяет регион проживания </w:t>
      </w:r>
      <w:bookmarkStart w:id="42" w:name="_Hlk48304041"/>
      <w:r w:rsidRPr="00684CF8">
        <w:t>саами</w:t>
      </w:r>
      <w:bookmarkEnd w:id="42"/>
      <w:r w:rsidRPr="00684CF8">
        <w:t>-сколтов, что подробно разъясняется в статье 2 Закона. В регионе своего проживания саами-сколты имеют определенные права, связанные с практикой традиционных ремесел и более широкой саамской культурой.</w:t>
      </w:r>
    </w:p>
    <w:p w14:paraId="06CC9E4A" w14:textId="77777777" w:rsidR="001E2C2D" w:rsidRPr="00684CF8" w:rsidRDefault="001E2C2D" w:rsidP="00F3160A">
      <w:pPr>
        <w:pStyle w:val="H23G"/>
      </w:pPr>
      <w:bookmarkStart w:id="43" w:name="_Toc32364298"/>
      <w:r w:rsidRPr="00684CF8">
        <w:tab/>
        <w:t>j)</w:t>
      </w:r>
      <w:r w:rsidRPr="00684CF8">
        <w:tab/>
        <w:t>Комиссии и советы</w:t>
      </w:r>
      <w:bookmarkEnd w:id="43"/>
    </w:p>
    <w:p w14:paraId="72E14376" w14:textId="77777777" w:rsidR="001E2C2D" w:rsidRPr="00684CF8" w:rsidRDefault="001E2C2D" w:rsidP="00F3160A">
      <w:pPr>
        <w:pStyle w:val="H23G"/>
      </w:pPr>
      <w:bookmarkStart w:id="44" w:name="_Toc32364299"/>
      <w:r w:rsidRPr="00684CF8">
        <w:tab/>
      </w:r>
      <w:r w:rsidRPr="00684CF8">
        <w:tab/>
        <w:t>Консультативный совет по межэтническим отношениям</w:t>
      </w:r>
      <w:bookmarkEnd w:id="44"/>
    </w:p>
    <w:p w14:paraId="46E60A1E" w14:textId="77777777" w:rsidR="001E2C2D" w:rsidRPr="00684CF8" w:rsidRDefault="001E2C2D" w:rsidP="001E2C2D">
      <w:pPr>
        <w:pStyle w:val="SingleTxtG"/>
      </w:pPr>
      <w:r w:rsidRPr="00684CF8">
        <w:t>145.</w:t>
      </w:r>
      <w:r w:rsidRPr="00684CF8">
        <w:tab/>
        <w:t xml:space="preserve">Этой весной правительство назначит Консультативный совет </w:t>
      </w:r>
      <w:r w:rsidR="00F3160A" w:rsidRPr="00684CF8">
        <w:br/>
      </w:r>
      <w:r w:rsidRPr="00684CF8">
        <w:t xml:space="preserve">по межэтническим отношениям (КСЭО) на седьмой четырехлетний срок </w:t>
      </w:r>
      <w:r w:rsidR="00F3160A" w:rsidRPr="00684CF8">
        <w:br/>
      </w:r>
      <w:r w:rsidRPr="00684CF8">
        <w:t>2020–2024</w:t>
      </w:r>
      <w:r w:rsidR="00F3160A" w:rsidRPr="00684CF8">
        <w:t> </w:t>
      </w:r>
      <w:r w:rsidRPr="00684CF8">
        <w:t>годов. Консультативный совет работает под эгидой Министерства юстиции. Он ведет диалог с мигрантами, этническими, культурными и религиозными меньшинствами, органами государственной власти, политическими партиями и ОГО. Цель состоит в том, чтобы на основе сотрудничества и обсуждений установить доверие и построить открытую Финляндию. Совет объединяет экспертов по вопросам миграции национального, регионального и местного уровней, начиная от государственных должностных лиц и заканчивая представителями гражданского общества. Он также формирует сеть экспертов по вопросам миграции, интеграции и равенства, которая способствует диалогу между различными группами населения. Помимо Национального консультативного совета существует семь региональных консультативных советов по межэтническим отношениям.</w:t>
      </w:r>
    </w:p>
    <w:p w14:paraId="021EEB4E" w14:textId="77777777" w:rsidR="001E2C2D" w:rsidRPr="00684CF8" w:rsidRDefault="001E2C2D" w:rsidP="00F3160A">
      <w:pPr>
        <w:pStyle w:val="H23G"/>
      </w:pPr>
      <w:bookmarkStart w:id="45" w:name="_Toc32364300"/>
      <w:r w:rsidRPr="00684CF8">
        <w:lastRenderedPageBreak/>
        <w:tab/>
      </w:r>
      <w:r w:rsidRPr="00684CF8">
        <w:tab/>
        <w:t>Консультативный совет по языковым вопросам</w:t>
      </w:r>
      <w:bookmarkEnd w:id="45"/>
    </w:p>
    <w:p w14:paraId="7735D0F8" w14:textId="77777777" w:rsidR="001E2C2D" w:rsidRPr="00684CF8" w:rsidRDefault="001E2C2D" w:rsidP="001E2C2D">
      <w:pPr>
        <w:pStyle w:val="SingleTxtG"/>
      </w:pPr>
      <w:r w:rsidRPr="00684CF8">
        <w:t>146.</w:t>
      </w:r>
      <w:r w:rsidRPr="00684CF8">
        <w:tab/>
        <w:t xml:space="preserve">В постановлении правительства об осуществлении Закона о языках (433/2004) содержатся положения о Консультативном совете по языковым вопросам, который является экспертным органом, действующим совместно с Министерством юстиции и представляющим различные слои общества. Совету поручено следить за осуществлением и применением Закона о языке и связанных с ним законодательных актов, а также за развитием языковых условий. Консультативный совет назначается правительством сроком на четыре года. Текущий срок полномочий Совета </w:t>
      </w:r>
      <w:r w:rsidR="00F3160A" w:rsidRPr="00684CF8">
        <w:t>—</w:t>
      </w:r>
      <w:r w:rsidRPr="00684CF8">
        <w:t xml:space="preserve"> с</w:t>
      </w:r>
      <w:r w:rsidR="00F3160A" w:rsidRPr="00684CF8">
        <w:t> </w:t>
      </w:r>
      <w:r w:rsidRPr="00684CF8">
        <w:t>1</w:t>
      </w:r>
      <w:r w:rsidR="00F3160A" w:rsidRPr="00684CF8">
        <w:t> </w:t>
      </w:r>
      <w:r w:rsidRPr="00684CF8">
        <w:t xml:space="preserve">апреля 2016 года по 31 марта 2020 года. </w:t>
      </w:r>
    </w:p>
    <w:p w14:paraId="669EBECB" w14:textId="77777777" w:rsidR="001E2C2D" w:rsidRPr="00684CF8" w:rsidRDefault="001E2C2D" w:rsidP="001E2C2D">
      <w:pPr>
        <w:pStyle w:val="SingleTxtG"/>
      </w:pPr>
      <w:r w:rsidRPr="00684CF8">
        <w:t>147.</w:t>
      </w:r>
      <w:r w:rsidRPr="00684CF8">
        <w:tab/>
        <w:t>На Консультативный совет возложены следующие обязанности:</w:t>
      </w:r>
    </w:p>
    <w:p w14:paraId="730A5686" w14:textId="77777777" w:rsidR="001E2C2D" w:rsidRPr="00684CF8" w:rsidRDefault="001E2C2D" w:rsidP="00F3160A">
      <w:pPr>
        <w:pStyle w:val="Bullet1G"/>
      </w:pPr>
      <w:r w:rsidRPr="00684CF8">
        <w:t>организовывать ежегодные консультации по языковым вопросам в целях поощрения диалога между правительством и языковыми группами;</w:t>
      </w:r>
    </w:p>
    <w:p w14:paraId="6EA63848" w14:textId="77777777" w:rsidR="001E2C2D" w:rsidRPr="00684CF8" w:rsidRDefault="001E2C2D" w:rsidP="00F3160A">
      <w:pPr>
        <w:pStyle w:val="Bullet1G"/>
      </w:pPr>
      <w:r w:rsidRPr="00684CF8">
        <w:t>оказывать содействие Министерству юстиции в подготовке доклада правительства о применении законодательства о языках для представления в Парламент;</w:t>
      </w:r>
    </w:p>
    <w:p w14:paraId="79CA07AE" w14:textId="77777777" w:rsidR="001E2C2D" w:rsidRPr="00684CF8" w:rsidRDefault="001E2C2D" w:rsidP="00F3160A">
      <w:pPr>
        <w:pStyle w:val="Bullet1G"/>
      </w:pPr>
      <w:r w:rsidRPr="00684CF8">
        <w:t>отслеживать реформы, влияющие на языковые условия и осуществление языковых прав.</w:t>
      </w:r>
    </w:p>
    <w:p w14:paraId="5695A335" w14:textId="77777777" w:rsidR="001E2C2D" w:rsidRPr="00684CF8" w:rsidRDefault="001E2C2D" w:rsidP="00F3160A">
      <w:pPr>
        <w:pStyle w:val="H23G"/>
      </w:pPr>
      <w:bookmarkStart w:id="46" w:name="_Toc32364301"/>
      <w:r w:rsidRPr="00684CF8">
        <w:tab/>
      </w:r>
      <w:r w:rsidRPr="00684CF8">
        <w:tab/>
        <w:t xml:space="preserve">Совет по борьбе с дискриминацией и равноправию </w:t>
      </w:r>
      <w:bookmarkEnd w:id="46"/>
    </w:p>
    <w:p w14:paraId="45A311FA" w14:textId="77777777" w:rsidR="001E2C2D" w:rsidRPr="00684CF8" w:rsidRDefault="001E2C2D" w:rsidP="001E2C2D">
      <w:pPr>
        <w:pStyle w:val="SingleTxtG"/>
      </w:pPr>
      <w:r w:rsidRPr="00684CF8">
        <w:t>148.</w:t>
      </w:r>
      <w:r w:rsidRPr="00684CF8">
        <w:tab/>
        <w:t xml:space="preserve">Совет </w:t>
      </w:r>
      <w:r w:rsidRPr="00684CF8">
        <w:rPr>
          <w:bCs/>
        </w:rPr>
        <w:t>по борьбе с дискриминацией и равноправию</w:t>
      </w:r>
      <w:r w:rsidRPr="00684CF8">
        <w:t xml:space="preserve"> является самостоятельным и независимым органом, действующим совместно с Управлением Омбудсмена </w:t>
      </w:r>
      <w:r w:rsidRPr="00684CF8">
        <w:rPr>
          <w:bCs/>
        </w:rPr>
        <w:t xml:space="preserve">по борьбе с дискриминацией </w:t>
      </w:r>
      <w:r w:rsidRPr="00684CF8">
        <w:t xml:space="preserve">и оказывающим поддержку Омбудсмену, который также возглавляет Совет и планирует его деятельность. Совет назначается правительством сроком на три года. Первый состав Совета </w:t>
      </w:r>
      <w:r w:rsidRPr="00684CF8">
        <w:rPr>
          <w:bCs/>
        </w:rPr>
        <w:t>по борьбе с дискриминацией и равноправию</w:t>
      </w:r>
      <w:r w:rsidRPr="00684CF8">
        <w:t xml:space="preserve"> начал свою работу 15 октября 2016 года. В состав Совета входят представители гражданского общества и органов власти, которые играют центральную роль в предотвращении дискриминации.</w:t>
      </w:r>
    </w:p>
    <w:p w14:paraId="1BF588FA" w14:textId="77777777" w:rsidR="001E2C2D" w:rsidRPr="00684CF8" w:rsidRDefault="001E2C2D" w:rsidP="001E2C2D">
      <w:pPr>
        <w:pStyle w:val="SingleTxtG"/>
      </w:pPr>
      <w:r w:rsidRPr="00684CF8">
        <w:t>149.</w:t>
      </w:r>
      <w:r w:rsidRPr="00684CF8">
        <w:tab/>
        <w:t xml:space="preserve">Задачи Совета состоят в том, чтобы поощрять отказ от дискриминации и </w:t>
      </w:r>
      <w:r w:rsidRPr="00684CF8">
        <w:rPr>
          <w:bCs/>
        </w:rPr>
        <w:t>равноправие</w:t>
      </w:r>
      <w:r w:rsidRPr="00684CF8">
        <w:t xml:space="preserve"> в целом, служить каналом для диалога и обмена информацией между субъектами и органами власти, играющими центральную роль в предотвращении дискриминации, а также рассматривать вопросы, касающиеся борьбы с дискриминацией и </w:t>
      </w:r>
      <w:r w:rsidRPr="00684CF8">
        <w:rPr>
          <w:bCs/>
        </w:rPr>
        <w:t>равноправия</w:t>
      </w:r>
      <w:r w:rsidRPr="00684CF8">
        <w:t xml:space="preserve">. Деятельность Совета направлена на расширение возможностей Омбудсмена </w:t>
      </w:r>
      <w:r w:rsidRPr="00684CF8">
        <w:rPr>
          <w:bCs/>
        </w:rPr>
        <w:t xml:space="preserve">по борьбе с дискриминацией </w:t>
      </w:r>
      <w:r w:rsidRPr="00684CF8">
        <w:t xml:space="preserve">путем улучшения обмена информацией и рассмотрения актуальных вопросов, касающихся недискриминации и </w:t>
      </w:r>
      <w:r w:rsidRPr="00684CF8">
        <w:rPr>
          <w:bCs/>
        </w:rPr>
        <w:t>равноправия</w:t>
      </w:r>
      <w:r w:rsidRPr="00684CF8">
        <w:t>. Совет также предоставляет субъектам гражданского общества, играющим центральную роль в предотвращении дискриминации, возможность доводить до его сведения свои замечания и выводы. Круг ведения Совета охватывает дискриминацию по всем без исключения признакам, упомянутым в Законе о запрещении дискриминации (1325/2014). Дискриминация по признаку пола и гендерной идентичности относится к сфере компетенции Совета по гендерному равенству.</w:t>
      </w:r>
    </w:p>
    <w:p w14:paraId="35949A8A" w14:textId="77777777" w:rsidR="001E2C2D" w:rsidRPr="00684CF8" w:rsidRDefault="001E2C2D" w:rsidP="00F3160A">
      <w:pPr>
        <w:pStyle w:val="H23G"/>
      </w:pPr>
      <w:bookmarkStart w:id="47" w:name="_Toc32364302"/>
      <w:r w:rsidRPr="00684CF8">
        <w:tab/>
      </w:r>
      <w:r w:rsidRPr="00684CF8">
        <w:tab/>
        <w:t>Совет по гендерному равенству</w:t>
      </w:r>
      <w:bookmarkEnd w:id="47"/>
    </w:p>
    <w:p w14:paraId="20F9710F" w14:textId="77777777" w:rsidR="001E2C2D" w:rsidRPr="00684CF8" w:rsidRDefault="001E2C2D" w:rsidP="001E2C2D">
      <w:pPr>
        <w:pStyle w:val="SingleTxtG"/>
      </w:pPr>
      <w:r w:rsidRPr="00684CF8">
        <w:t>150.</w:t>
      </w:r>
      <w:r w:rsidRPr="00684CF8">
        <w:tab/>
        <w:t>Совет по гендерному равенству является парламентским комитетом, назначаемым правительством на срок полномочий Парламента. Совет выполняет функции консультативного органа при центральном правительстве. Члены Совета выдвигаются политическими партиями, представленными в Парламенте, в то время как члены Совета, являющиеся консультантами, выдвигаются ОГО. В состав Совета, действующего совместно с Министерством социальных дел и здравоохранения, входят генеральный секретарь, сотрудник по планированию и секретарь департамента.</w:t>
      </w:r>
    </w:p>
    <w:p w14:paraId="1C730685" w14:textId="77777777" w:rsidR="001E2C2D" w:rsidRPr="00684CF8" w:rsidRDefault="001E2C2D" w:rsidP="001E2C2D">
      <w:pPr>
        <w:pStyle w:val="SingleTxtG"/>
      </w:pPr>
      <w:r w:rsidRPr="00684CF8">
        <w:t>151.</w:t>
      </w:r>
      <w:r w:rsidRPr="00684CF8">
        <w:tab/>
        <w:t xml:space="preserve">Совет разрабатывает инициативы и предложения и представляет заявления для разработки законодательства и других мер, затрагивающих гендерное равенство. Совет также сотрудничает с органами власти, ОГО и другими организациями, содействует проведению исследований по вопросам гендерного равенства и </w:t>
      </w:r>
      <w:r w:rsidRPr="00684CF8">
        <w:lastRenderedPageBreak/>
        <w:t>использованию соответствующих результатов, а также следит за развитием событий в области гендерного равенства на международной арене.</w:t>
      </w:r>
    </w:p>
    <w:p w14:paraId="03CDED65" w14:textId="77777777" w:rsidR="001E2C2D" w:rsidRPr="00684CF8" w:rsidRDefault="001E2C2D" w:rsidP="00F3160A">
      <w:pPr>
        <w:pStyle w:val="H23G"/>
      </w:pPr>
      <w:bookmarkStart w:id="48" w:name="_Toc32364303"/>
      <w:r w:rsidRPr="00684CF8">
        <w:tab/>
      </w:r>
      <w:r w:rsidRPr="00684CF8">
        <w:tab/>
        <w:t>Национальный консультативный совет по делам рома</w:t>
      </w:r>
      <w:bookmarkEnd w:id="48"/>
    </w:p>
    <w:p w14:paraId="0E18DD56" w14:textId="77777777" w:rsidR="001E2C2D" w:rsidRPr="00684CF8" w:rsidRDefault="001E2C2D" w:rsidP="001E2C2D">
      <w:pPr>
        <w:pStyle w:val="SingleTxtG"/>
      </w:pPr>
      <w:r w:rsidRPr="00684CF8">
        <w:t>152.</w:t>
      </w:r>
      <w:r w:rsidRPr="00684CF8">
        <w:tab/>
        <w:t>Национальный консультативный совет по делам рома действует совместно с Министерством социальных дел и здравоохранения. Совет назначается правительством сроком на три года. В состав Совета входят председатель, заместитель председателя и не более 16 других членов. В соответствии с подразделом 3 раздела 3 Постановления о Национальном консультативном совете по делам рома и региональных консультативных советах по делам рома либо председатель, либо заместитель председателя Совета представляют население рома. Половина членов Совета также представляют население рома, и они назначаются наиболее важными организациями рома в стране и региональными консультативными советами по делам рома. Другие члены Совета представляют, как минимум, Министерство социальных дел и здравоохранения, Министерство образования и культуры, Министерство внутренних дел, Министерство экономического развития и труда, Министерство иностранных дел и Министерство по охране окружающей среды. Член Совета может быть также назначен Союзом финских местных и региональных органов власти и Национальным агентством Финляндии по вопросам образования. Совет наблюдает за развитием социального участия рома и условий их жизни в целях поощрения равенства и представляет властям заявления по делам рома.</w:t>
      </w:r>
    </w:p>
    <w:p w14:paraId="6AEFF512" w14:textId="77777777" w:rsidR="001E2C2D" w:rsidRPr="00684CF8" w:rsidRDefault="001E2C2D" w:rsidP="001E2C2D">
      <w:pPr>
        <w:pStyle w:val="SingleTxtG"/>
      </w:pPr>
      <w:r w:rsidRPr="00684CF8">
        <w:t>153.</w:t>
      </w:r>
      <w:r w:rsidRPr="00684CF8">
        <w:tab/>
        <w:t>На Национальный консультативный совет по делам рома возложены следующие обязанности:</w:t>
      </w:r>
    </w:p>
    <w:p w14:paraId="1299A2A9" w14:textId="77777777" w:rsidR="001E2C2D" w:rsidRPr="00684CF8" w:rsidRDefault="001E2C2D" w:rsidP="00F3160A">
      <w:pPr>
        <w:pStyle w:val="Bullet1G"/>
      </w:pPr>
      <w:r w:rsidRPr="00684CF8">
        <w:t>улучшать социально-экономическое положени</w:t>
      </w:r>
      <w:r w:rsidR="004F6AD5">
        <w:t>е</w:t>
      </w:r>
      <w:r w:rsidRPr="00684CF8">
        <w:t xml:space="preserve"> и поощрять культуру и занятость населения рома путем принятия инициатив и внесения предложений;</w:t>
      </w:r>
    </w:p>
    <w:p w14:paraId="2B01EF42" w14:textId="77777777" w:rsidR="001E2C2D" w:rsidRPr="00684CF8" w:rsidRDefault="001E2C2D" w:rsidP="00F3160A">
      <w:pPr>
        <w:pStyle w:val="Bullet1G"/>
      </w:pPr>
      <w:r w:rsidRPr="00684CF8">
        <w:t>добиваться ликвидации дискриминации;</w:t>
      </w:r>
    </w:p>
    <w:p w14:paraId="044483DB" w14:textId="77777777" w:rsidR="001E2C2D" w:rsidRPr="00684CF8" w:rsidRDefault="001E2C2D" w:rsidP="00F3160A">
      <w:pPr>
        <w:pStyle w:val="Bullet1G"/>
      </w:pPr>
      <w:r w:rsidRPr="00684CF8">
        <w:t>развивать язык и культуру рома;</w:t>
      </w:r>
    </w:p>
    <w:p w14:paraId="538329F8" w14:textId="77777777" w:rsidR="001E2C2D" w:rsidRPr="00684CF8" w:rsidRDefault="001E2C2D" w:rsidP="00F3160A">
      <w:pPr>
        <w:pStyle w:val="Bullet1G"/>
      </w:pPr>
      <w:r w:rsidRPr="00684CF8">
        <w:t>оказывать поддержку деятельности региональных консультативных советов по делам рома;</w:t>
      </w:r>
    </w:p>
    <w:p w14:paraId="69EDFEE2" w14:textId="77777777" w:rsidR="001E2C2D" w:rsidRPr="00684CF8" w:rsidRDefault="001E2C2D" w:rsidP="00F3160A">
      <w:pPr>
        <w:pStyle w:val="Bullet1G"/>
      </w:pPr>
      <w:r w:rsidRPr="00684CF8">
        <w:t>принимать участие в сотрудничестве стран Северной Европы и других формах международного сотрудничества в целях поддержки прав рома и улучшения их положения.</w:t>
      </w:r>
    </w:p>
    <w:p w14:paraId="6A58249A" w14:textId="77777777" w:rsidR="001E2C2D" w:rsidRPr="00684CF8" w:rsidRDefault="001E2C2D" w:rsidP="00F3160A">
      <w:pPr>
        <w:pStyle w:val="H23G"/>
      </w:pPr>
      <w:bookmarkStart w:id="49" w:name="_Toc32364304"/>
      <w:r w:rsidRPr="00684CF8">
        <w:tab/>
      </w:r>
      <w:r w:rsidRPr="00684CF8">
        <w:tab/>
        <w:t>Консультативный совет по политике в отношении гражданского общества</w:t>
      </w:r>
      <w:bookmarkEnd w:id="49"/>
    </w:p>
    <w:p w14:paraId="5281157D" w14:textId="77777777" w:rsidR="001E2C2D" w:rsidRPr="00684CF8" w:rsidRDefault="001E2C2D" w:rsidP="001E2C2D">
      <w:pPr>
        <w:pStyle w:val="SingleTxtG"/>
      </w:pPr>
      <w:r w:rsidRPr="00684CF8">
        <w:t>154.</w:t>
      </w:r>
      <w:r w:rsidRPr="00684CF8">
        <w:tab/>
        <w:t>9 февраля 2017 года правительство назначило новый Консультативный совет по политике в отношении гражданского общества на период 2017</w:t>
      </w:r>
      <w:r w:rsidR="00F3160A" w:rsidRPr="00684CF8">
        <w:t>–</w:t>
      </w:r>
      <w:r w:rsidRPr="00684CF8">
        <w:t>2021 годов. Консультативному совету поручено содействовать сотрудничеству и взаимодействию между гражданским обществом и государственными органами. Это третий срок работы Консультативного совета.</w:t>
      </w:r>
    </w:p>
    <w:p w14:paraId="3D224BAE" w14:textId="77777777" w:rsidR="001E2C2D" w:rsidRPr="00684CF8" w:rsidRDefault="001E2C2D" w:rsidP="001E2C2D">
      <w:pPr>
        <w:pStyle w:val="SingleTxtG"/>
      </w:pPr>
      <w:r w:rsidRPr="00684CF8">
        <w:t>155.</w:t>
      </w:r>
      <w:r w:rsidRPr="00684CF8">
        <w:tab/>
        <w:t>Совет состоит из председателя, заместителя председателя и не более 19 членов. Каждый член, кроме председателя и заместителя председателя, имеет личного заместителя. В состав Совета входят представители гражданского общества, научных кругов, министерств и муниципалитетов. В Совете представлены следующие министерства: Министерство иностранных дел, Министерство юстиции, Министерство образования и культуры, Министерство внутренних дел, Министерство социальных дел и здравоохранения, Министерство экономического развития и труда, Министерство финансов и Министерство по охране окружающей среды. Гражданское общество представлено в Совете ключевыми спортивными и физкультурными организациями страны, детскими и молодежными организациями, образовательными и культурными организациями, организациями здравоохранения и социального обеспечения, экологическими и общественными организациями, организациями по правам человека и равенству, организациями меньшинств и иммигрантов, а также организациями предпринимателей, каждая из которых выдвигает одного члена. В</w:t>
      </w:r>
      <w:r w:rsidR="00F3160A" w:rsidRPr="00684CF8">
        <w:t> </w:t>
      </w:r>
      <w:r w:rsidRPr="00684CF8">
        <w:t>состав Совета также вход</w:t>
      </w:r>
      <w:r w:rsidR="004F6AD5">
        <w:t>я</w:t>
      </w:r>
      <w:r w:rsidRPr="00684CF8">
        <w:t xml:space="preserve">т представители организаций по вопросам гражданской </w:t>
      </w:r>
      <w:r w:rsidRPr="00684CF8">
        <w:lastRenderedPageBreak/>
        <w:t>активности и исследованию гражданского общества и Финской ассоциации местных и региональных органов власти.</w:t>
      </w:r>
    </w:p>
    <w:p w14:paraId="67BE21EF" w14:textId="77777777" w:rsidR="001E2C2D" w:rsidRPr="00684CF8" w:rsidRDefault="001E2C2D" w:rsidP="001E2C2D">
      <w:pPr>
        <w:pStyle w:val="SingleTxtG"/>
      </w:pPr>
      <w:r w:rsidRPr="00684CF8">
        <w:t>156.</w:t>
      </w:r>
      <w:r w:rsidRPr="00684CF8">
        <w:tab/>
        <w:t>Консультативный совет по политике в отношении гражданского общества выполняет следующие задачи:</w:t>
      </w:r>
    </w:p>
    <w:p w14:paraId="0428B1DC" w14:textId="77777777" w:rsidR="001E2C2D" w:rsidRPr="00684CF8" w:rsidRDefault="001E2C2D" w:rsidP="00F3160A">
      <w:pPr>
        <w:pStyle w:val="Bullet1G"/>
      </w:pPr>
      <w:r w:rsidRPr="00684CF8">
        <w:t>содействовать сотрудничеству и взаимодействию между гражданским обществом и властями;</w:t>
      </w:r>
    </w:p>
    <w:p w14:paraId="283BE4D8" w14:textId="77777777" w:rsidR="001E2C2D" w:rsidRPr="00684CF8" w:rsidRDefault="001E2C2D" w:rsidP="00F3160A">
      <w:pPr>
        <w:pStyle w:val="Bullet1G"/>
      </w:pPr>
      <w:r w:rsidRPr="00684CF8">
        <w:t>следить за изменениями в условиях деятельности гражданского общества, а также связанными с этим событиями на международном уровне и в Европейском союзе;</w:t>
      </w:r>
    </w:p>
    <w:p w14:paraId="1CC6F47C" w14:textId="77777777" w:rsidR="001E2C2D" w:rsidRPr="00684CF8" w:rsidRDefault="001E2C2D" w:rsidP="00F3160A">
      <w:pPr>
        <w:pStyle w:val="Bullet1G"/>
      </w:pPr>
      <w:r w:rsidRPr="00684CF8">
        <w:t>заниматься подготовкой инициатив и предложений, а также выступать с заявлениями о развитии областей, имеющих важное значение для политики гражданского общества;</w:t>
      </w:r>
    </w:p>
    <w:p w14:paraId="179DED80" w14:textId="77777777" w:rsidR="001E2C2D" w:rsidRPr="00684CF8" w:rsidRDefault="001E2C2D" w:rsidP="00F3160A">
      <w:pPr>
        <w:pStyle w:val="Bullet1G"/>
      </w:pPr>
      <w:r w:rsidRPr="00684CF8">
        <w:t>оценивать стратегии ОГО и процедуры консультаций с министерствами по вопросам, касающимся гражданского общества;</w:t>
      </w:r>
    </w:p>
    <w:p w14:paraId="20AD00AC" w14:textId="77777777" w:rsidR="001E2C2D" w:rsidRPr="00684CF8" w:rsidRDefault="001E2C2D" w:rsidP="00F3160A">
      <w:pPr>
        <w:pStyle w:val="Bullet1G"/>
      </w:pPr>
      <w:r w:rsidRPr="00684CF8">
        <w:t>оценивать согласованность и предсказуемость решений государственных органов в отношении ОГО и заниматься подготовкой инициатив по их совершенствованию;</w:t>
      </w:r>
    </w:p>
    <w:p w14:paraId="27FF90AA" w14:textId="77777777" w:rsidR="001E2C2D" w:rsidRPr="00684CF8" w:rsidRDefault="001E2C2D" w:rsidP="00F3160A">
      <w:pPr>
        <w:pStyle w:val="Bullet1G"/>
      </w:pPr>
      <w:r w:rsidRPr="00684CF8">
        <w:t>инициировать исследования, научно-исследовательские и опытно-конструкторские проекты, поощрять исследовательскую деятельность и использование результатов исследований по гражданскому обществу и распространять информацию об их результатах.</w:t>
      </w:r>
    </w:p>
    <w:p w14:paraId="125D9CDB" w14:textId="77777777" w:rsidR="001E2C2D" w:rsidRPr="00684CF8" w:rsidRDefault="001E2C2D" w:rsidP="00F3160A">
      <w:pPr>
        <w:pStyle w:val="H23G"/>
      </w:pPr>
      <w:bookmarkStart w:id="50" w:name="_Toc32364305"/>
      <w:r w:rsidRPr="00684CF8">
        <w:tab/>
      </w:r>
      <w:r w:rsidRPr="00684CF8">
        <w:tab/>
        <w:t>Консультативный совет по правам инвалидов</w:t>
      </w:r>
      <w:bookmarkEnd w:id="50"/>
    </w:p>
    <w:p w14:paraId="2C5741E5" w14:textId="77777777" w:rsidR="001E2C2D" w:rsidRPr="00684CF8" w:rsidRDefault="001E2C2D" w:rsidP="001E2C2D">
      <w:pPr>
        <w:pStyle w:val="SingleTxtG"/>
      </w:pPr>
      <w:r w:rsidRPr="00684CF8">
        <w:t>157.</w:t>
      </w:r>
      <w:r w:rsidRPr="00684CF8">
        <w:tab/>
        <w:t>Обязанности Консультативного совета по правам инвалидов определены Постановлением (Постановление правительства 908/2016 о Консультативном совете по правам инвалидов), в соответствии с которым задачи Совета заключаются в поощрении и координации национального осуществления Конвенции Организации Объединенных Наций о правах инвалидов и учете прав инвалидов во всех аспектах деятельности правительства, составлении программы действий на срок его полномочий, определяющей национальные цели осуществления Конвенции, меры по содействию осуществлению и последующие меры, а также в назначении из числа членов Совета представителя инвалидов для участия в деятельности координационного центра, упомянутого в статье 33 Конвенции. Совет является национальным координационным механизмом, предусмотренным статьей 33(1) Конвенции ООН о правах инвалидов.</w:t>
      </w:r>
    </w:p>
    <w:p w14:paraId="2A87BAD8" w14:textId="77777777" w:rsidR="001E2C2D" w:rsidRPr="00684CF8" w:rsidRDefault="001E2C2D" w:rsidP="001E2C2D">
      <w:pPr>
        <w:pStyle w:val="SingleTxtG"/>
      </w:pPr>
      <w:r w:rsidRPr="00684CF8">
        <w:t>158.</w:t>
      </w:r>
      <w:r w:rsidRPr="00684CF8">
        <w:tab/>
        <w:t>В состав Консультативного совета входят представители министерств, инвалиды и все их родственники, организации рынка труда, муниципалитеты и провинции, а также представители исследовательских организаций. В состав Консультативного совета входят Председатель, заместитель Председателя и 16</w:t>
      </w:r>
      <w:r w:rsidR="00F3160A" w:rsidRPr="00684CF8">
        <w:t> </w:t>
      </w:r>
      <w:r w:rsidRPr="00684CF8">
        <w:t xml:space="preserve">членов. Консультативный совет имеет генерального секретаря и координатора. Правительство назначает Консультативный совет на один год. </w:t>
      </w:r>
    </w:p>
    <w:p w14:paraId="3417C357" w14:textId="77777777" w:rsidR="001E2C2D" w:rsidRPr="00684CF8" w:rsidRDefault="001E2C2D" w:rsidP="00F3160A">
      <w:pPr>
        <w:pStyle w:val="H23G"/>
      </w:pPr>
      <w:r w:rsidRPr="00684CF8">
        <w:tab/>
      </w:r>
      <w:r w:rsidRPr="00684CF8">
        <w:tab/>
        <w:t>Комитет по борьбе с насилием в отношении женщин и насилием в семье</w:t>
      </w:r>
    </w:p>
    <w:p w14:paraId="0EADB667" w14:textId="77777777" w:rsidR="001E2C2D" w:rsidRPr="00684CF8" w:rsidRDefault="001E2C2D" w:rsidP="001E2C2D">
      <w:pPr>
        <w:pStyle w:val="SingleTxtG"/>
      </w:pPr>
      <w:r w:rsidRPr="00684CF8">
        <w:t>159.</w:t>
      </w:r>
      <w:r w:rsidRPr="00684CF8">
        <w:tab/>
        <w:t>В том, что касается координационного органа, упомянутого в Конвенции Совета Европы о предупреждении насилия в отношении женщин и насилия в семье и борьбе с ним (Стамбульская конвенция), см. пункт 220 о Комитете по борьбе с насилием в отношении женщин и насилием в семье (НАПЕ).</w:t>
      </w:r>
    </w:p>
    <w:p w14:paraId="393B4012" w14:textId="77777777" w:rsidR="001E2C2D" w:rsidRPr="00684CF8" w:rsidRDefault="001E2C2D" w:rsidP="00F3160A">
      <w:pPr>
        <w:pStyle w:val="H23G"/>
      </w:pPr>
      <w:bookmarkStart w:id="51" w:name="_Toc32364306"/>
      <w:r w:rsidRPr="00684CF8">
        <w:tab/>
        <w:t>k)</w:t>
      </w:r>
      <w:r w:rsidRPr="00684CF8">
        <w:tab/>
        <w:t>Организации гражданского общества</w:t>
      </w:r>
      <w:bookmarkEnd w:id="51"/>
    </w:p>
    <w:p w14:paraId="3115C449" w14:textId="77777777" w:rsidR="001E2C2D" w:rsidRPr="00684CF8" w:rsidRDefault="001E2C2D" w:rsidP="001E2C2D">
      <w:pPr>
        <w:pStyle w:val="SingleTxtG"/>
      </w:pPr>
      <w:r w:rsidRPr="00684CF8">
        <w:t>160.</w:t>
      </w:r>
      <w:r w:rsidRPr="00684CF8">
        <w:tab/>
        <w:t xml:space="preserve">Свобода ассоциации гарантируется Конституцией Финляндии. Положения об осуществлении свободы ассоциации изложены в Законе об объединениях (503/1989). Объединение может быть создано для совместной реализации некоммерческой цели. Цель не может противоречить закону или нормам добропорядочного поведения. Целью некоммерческих объединений также не может быть получение прибыли или </w:t>
      </w:r>
      <w:r w:rsidRPr="00684CF8">
        <w:lastRenderedPageBreak/>
        <w:t>другой прямой финансовой выгоды, и их деятельность не может быть преимущественно финансовой. К некоммерческим объединениям по смыслу Закона об объединениях относятся политические партии, организации рынка труда, спортивные клубы и клубы отдыха, а также социальные, оздоровительные и благотворительные организации.</w:t>
      </w:r>
    </w:p>
    <w:p w14:paraId="2B1804E1" w14:textId="77777777" w:rsidR="001E2C2D" w:rsidRPr="00684CF8" w:rsidRDefault="001E2C2D" w:rsidP="001E2C2D">
      <w:pPr>
        <w:pStyle w:val="SingleTxtG"/>
      </w:pPr>
      <w:r w:rsidRPr="00684CF8">
        <w:t>161.</w:t>
      </w:r>
      <w:r w:rsidRPr="00684CF8">
        <w:tab/>
        <w:t>В реестре объединений, который ведет Патентно-регистрационное управление Финляндии, насчитывается около 106 000 объединений. Объединения могут регистрироваться, но могут работать и без регистрации. После внесения объединения в реестр оно становится самостоятельным юридическим лицом и приобретает правоспособность. Хотя регистрация не является обязательной, она может быть требованием, например, для получения государственного финансирования. К числу секторов, в которых в Финляндии распространены объединения, относятся спорт и физкультура, социальное обеспечение и здравоохранение, а также образование и культура.</w:t>
      </w:r>
    </w:p>
    <w:p w14:paraId="537FF5D7" w14:textId="77777777" w:rsidR="001E2C2D" w:rsidRPr="00684CF8" w:rsidRDefault="001E2C2D" w:rsidP="001E2C2D">
      <w:pPr>
        <w:pStyle w:val="SingleTxtG"/>
      </w:pPr>
      <w:r w:rsidRPr="00684CF8">
        <w:t>162.</w:t>
      </w:r>
      <w:r w:rsidRPr="00684CF8">
        <w:tab/>
        <w:t>Зарегистрированное объединение может быть основано не менее чем тремя физическими лицами в возрасте 15 лет и старше и/или правоспособными корпорациями. Зарегистрированное объединение должно иметь устав, содержащий правила объединения. Лица, подписавшие устав, являются членами объединения с правом голоса.</w:t>
      </w:r>
    </w:p>
    <w:p w14:paraId="6F072B98" w14:textId="77777777" w:rsidR="001E2C2D" w:rsidRPr="00684CF8" w:rsidRDefault="001E2C2D" w:rsidP="001E2C2D">
      <w:pPr>
        <w:pStyle w:val="SingleTxtG"/>
      </w:pPr>
      <w:r w:rsidRPr="00684CF8">
        <w:t>163.</w:t>
      </w:r>
      <w:r w:rsidRPr="00684CF8">
        <w:tab/>
        <w:t>Объединения, созданные для военных целей, запрещены Законом об объединениях. Кроме того, любое объединение, имеющее отношение к использованию огнестрельного оружия, должно получить разрешение.</w:t>
      </w:r>
    </w:p>
    <w:p w14:paraId="0120550B" w14:textId="77777777" w:rsidR="001E2C2D" w:rsidRPr="00684CF8" w:rsidRDefault="001E2C2D" w:rsidP="001E2C2D">
      <w:pPr>
        <w:pStyle w:val="SingleTxtG"/>
      </w:pPr>
      <w:r w:rsidRPr="00684CF8">
        <w:t>164.</w:t>
      </w:r>
      <w:r w:rsidRPr="00684CF8">
        <w:tab/>
        <w:t>Свобода ассоциации в Финляндии распространяется также на иностранных физических и юридических лиц. Иностранцы могут создавать объединения и вступать в них в Финляндии, а также выступать в качестве членов исполнительного комитета и лиц, уполномоченных подписывать соглашения об объединении.</w:t>
      </w:r>
    </w:p>
    <w:p w14:paraId="506B2CFC" w14:textId="77777777" w:rsidR="001E2C2D" w:rsidRPr="00684CF8" w:rsidRDefault="001E2C2D" w:rsidP="001E2C2D">
      <w:pPr>
        <w:pStyle w:val="SingleTxtG"/>
      </w:pPr>
      <w:r w:rsidRPr="00684CF8">
        <w:t>165.</w:t>
      </w:r>
      <w:r w:rsidRPr="00684CF8">
        <w:tab/>
        <w:t xml:space="preserve">Председатель объединения должен иметь постоянное место жительства в Финляндии, если отступление от этого требования не было одобрено Патентно-регистрационным ведомством </w:t>
      </w:r>
      <w:bookmarkStart w:id="52" w:name="_Hlk48316609"/>
      <w:r w:rsidRPr="00684CF8">
        <w:t>Финляндии</w:t>
      </w:r>
      <w:bookmarkEnd w:id="52"/>
      <w:r w:rsidRPr="00684CF8">
        <w:t>. Кроме того, объединение, основной целью которого является оказание влияния на государственные дела, может иметь в качестве членов только граждан Финляндии, иностранцев, проживающих в Финляндии, и другие объединения, прямыми или косвенными членами которых являются граждане страны или иностранцы, проживающие в Финляндии. Исполнительный комитет объединения ведет список членов объединения, в котором фиксируются имя и место жительства каждого члена.</w:t>
      </w:r>
    </w:p>
    <w:p w14:paraId="3AA99CE9" w14:textId="77777777" w:rsidR="001E2C2D" w:rsidRPr="00684CF8" w:rsidRDefault="001E2C2D" w:rsidP="001E2C2D">
      <w:pPr>
        <w:pStyle w:val="SingleTxtG"/>
      </w:pPr>
      <w:r w:rsidRPr="00684CF8">
        <w:t>166.</w:t>
      </w:r>
      <w:r w:rsidRPr="00684CF8">
        <w:tab/>
        <w:t>По иску прокурора, Национального управления полиции Финляндии или члена объединения может быть объявлено о его роспуске, если объединение действует в основном вопреки закону или общепринятой практике или цели, определенной для него в его уставе. Регистрационный орган может распорядиться о снятии объединения с регистрационного учета, если с момента подачи последнего уведомления в реестр объединений прошло не менее двадцати лет, и в противном случае нет оснований полагать, что деятельность объединения будет продолжаться.</w:t>
      </w:r>
    </w:p>
    <w:p w14:paraId="17F56206" w14:textId="77777777" w:rsidR="001E2C2D" w:rsidRPr="00684CF8" w:rsidRDefault="001E2C2D" w:rsidP="001E2C2D">
      <w:pPr>
        <w:pStyle w:val="SingleTxtG"/>
      </w:pPr>
      <w:r w:rsidRPr="00684CF8">
        <w:t>167.</w:t>
      </w:r>
      <w:r w:rsidRPr="00684CF8">
        <w:tab/>
        <w:t>Некоммерческое объединение может получить статус общественно-полезного объединения, если оно действует полностью и исключительно в интересах общественного блага в материальном, духовном, образовательном или социальном смысле, его деятельность не направлена только на исключительную группу людей, а вовлеченные в нее лица не получают финансовой выгоды от своего участия. Предпринимательская деятельность, осуществляемая объединением со статусом общественно-полезной организации, освобождается от подоходного налога в отношении элементов, упомянутых в статье 23 Закона о подоходном налоге (1535/1992). Кроме того, общественно-полезная организация, осуществляющая обширную, активную и постоянную деятельность, приносящую пользу обществу в целом, может получить налоговые льготы и освобождения от уплаты налогов в порядке, предусмотренном Законом о налоговых льготах для некоторых некоммерческих организаций (680/1976). Некоммерческое объединение также может быть квалифицировано как общественно-полезная организация.</w:t>
      </w:r>
    </w:p>
    <w:p w14:paraId="3BBE4FAE" w14:textId="77777777" w:rsidR="001E2C2D" w:rsidRPr="00684CF8" w:rsidRDefault="001E2C2D" w:rsidP="00477D72">
      <w:pPr>
        <w:pStyle w:val="H23G"/>
      </w:pPr>
      <w:bookmarkStart w:id="53" w:name="_Toc32364307"/>
      <w:r w:rsidRPr="00684CF8">
        <w:lastRenderedPageBreak/>
        <w:tab/>
        <w:t>l)</w:t>
      </w:r>
      <w:r w:rsidRPr="00684CF8">
        <w:tab/>
        <w:t>Открытость деятельности правительства</w:t>
      </w:r>
      <w:bookmarkEnd w:id="53"/>
    </w:p>
    <w:p w14:paraId="0F039557" w14:textId="77777777" w:rsidR="001E2C2D" w:rsidRPr="00684CF8" w:rsidRDefault="001E2C2D" w:rsidP="001E2C2D">
      <w:pPr>
        <w:pStyle w:val="SingleTxtG"/>
      </w:pPr>
      <w:r w:rsidRPr="00684CF8">
        <w:t>168.</w:t>
      </w:r>
      <w:r w:rsidRPr="00684CF8">
        <w:tab/>
        <w:t>Закон об открытости деятельности правительства (621/1999) регулирует обнародование и секретность официальных документов и наборов данных, а также раскрытие документов и связанных с этим процедур. В соответствии с Законом каждый имеет право ознакомиться с официальным документом, являющимся общедоступным. Официальные документы должны быть общедоступны, если специально не предусмотрено иное. Закон требует открытости в подготовке вопросов и налагает на органы власти обязанность содействовать открытости их деятельности. Закон также содержит положения об обязанности властей содействовать доступу. Кроме того, в Законе закреплены ключевые положения о тайне. Некоторые конкретные законы также содержат положения о тайне. Кроме того, Закон об открытости деятельности правительства регулирует обязанность властей практиковать надлежащее управление информацией, включая требования в отношении безопасности данных. С начала 2020 года управление информацией и информационная безопасность органов власти регламентируются новым Законом о регулировании информации в сфере государственного управления (906/2019).</w:t>
      </w:r>
    </w:p>
    <w:p w14:paraId="1784D6E4" w14:textId="77777777" w:rsidR="001E2C2D" w:rsidRPr="00684CF8" w:rsidRDefault="001E2C2D" w:rsidP="001E2C2D">
      <w:pPr>
        <w:pStyle w:val="SingleTxtG"/>
      </w:pPr>
      <w:r w:rsidRPr="00684CF8">
        <w:t>169.</w:t>
      </w:r>
      <w:r w:rsidRPr="00684CF8">
        <w:tab/>
        <w:t>Финляндия ратифицировала Конвенцию Совета Европы о доступе к официальным документам (CETS № 205).</w:t>
      </w:r>
    </w:p>
    <w:p w14:paraId="5E34A9B7" w14:textId="77777777" w:rsidR="001E2C2D" w:rsidRPr="00684CF8" w:rsidRDefault="001E2C2D" w:rsidP="00477D72">
      <w:pPr>
        <w:pStyle w:val="H23G"/>
      </w:pPr>
      <w:bookmarkStart w:id="54" w:name="_Toc32364308"/>
      <w:r w:rsidRPr="00684CF8">
        <w:tab/>
        <w:t>m)</w:t>
      </w:r>
      <w:r w:rsidRPr="00684CF8">
        <w:tab/>
        <w:t>Сервисы по развитию демократии</w:t>
      </w:r>
      <w:bookmarkEnd w:id="54"/>
    </w:p>
    <w:p w14:paraId="255FB6DC" w14:textId="77777777" w:rsidR="001E2C2D" w:rsidRPr="00684CF8" w:rsidRDefault="001E2C2D" w:rsidP="001E2C2D">
      <w:pPr>
        <w:pStyle w:val="SingleTxtG"/>
      </w:pPr>
      <w:r w:rsidRPr="00684CF8">
        <w:t>170.</w:t>
      </w:r>
      <w:r w:rsidRPr="00684CF8">
        <w:tab/>
        <w:t xml:space="preserve">Министерство юстиции поддерживает ряд онлайновых сервисов по развитию демократии, которые дают гражданам и заинтересованным сторонам возможность участвовать в подготовке вопросов и вносить свой вклад в процесс принятия решений. Эти сервисы позволяют властям и лицам, ответственным за принятие решений, узнать мнения граждан и заинтересованных сторон по готовящимся вопросам. Сервисы по развитию демократии доступны на зонтичном веб-сайте </w:t>
      </w:r>
      <w:hyperlink r:id="rId10" w:history="1">
        <w:r w:rsidRPr="00684CF8">
          <w:rPr>
            <w:rStyle w:val="af1"/>
            <w:color w:val="auto"/>
          </w:rPr>
          <w:t>demokratia.fi</w:t>
        </w:r>
      </w:hyperlink>
      <w:r w:rsidRPr="00684CF8">
        <w:t>, который также содержит значительный объем справочной информации и источников знаний по вопросам гражданского участия и демократии.</w:t>
      </w:r>
    </w:p>
    <w:p w14:paraId="63F6E68B" w14:textId="77777777" w:rsidR="001E2C2D" w:rsidRPr="00684CF8" w:rsidRDefault="001E2C2D" w:rsidP="001E2C2D">
      <w:pPr>
        <w:pStyle w:val="SingleTxtG"/>
      </w:pPr>
      <w:r w:rsidRPr="00684CF8">
        <w:t>171.</w:t>
      </w:r>
      <w:r w:rsidRPr="00684CF8">
        <w:tab/>
      </w:r>
      <w:hyperlink r:id="rId11" w:history="1">
        <w:r w:rsidRPr="00684CF8">
          <w:rPr>
            <w:rStyle w:val="af1"/>
            <w:color w:val="auto"/>
          </w:rPr>
          <w:t>Otakantaa.fi</w:t>
        </w:r>
      </w:hyperlink>
      <w:r w:rsidRPr="00684CF8">
        <w:t xml:space="preserve"> </w:t>
      </w:r>
      <w:r w:rsidR="00477D72" w:rsidRPr="00684CF8">
        <w:t>—</w:t>
      </w:r>
      <w:r w:rsidRPr="00684CF8">
        <w:t xml:space="preserve"> это онлайн-сервис, предназначенный для повышения эффективности диалога и взаимодействия между широкой общественностью, ОГО и органами власти. Этот сервис содействует гражданскому участию и доступу к информации, одновременно повышая прозрачность процесса принятия решений и их качество. Другие сервисы по развитию демократии, доступные на зонтичном веб-сайте, включают: </w:t>
      </w:r>
      <w:hyperlink r:id="rId12" w:history="1">
        <w:r w:rsidRPr="00684CF8">
          <w:rPr>
            <w:rStyle w:val="af1"/>
            <w:color w:val="auto"/>
          </w:rPr>
          <w:t>kansalaisaloite.fi</w:t>
        </w:r>
      </w:hyperlink>
      <w:r w:rsidRPr="00684CF8">
        <w:t xml:space="preserve">, </w:t>
      </w:r>
      <w:hyperlink r:id="rId13" w:history="1">
        <w:r w:rsidRPr="00684CF8">
          <w:rPr>
            <w:rStyle w:val="af1"/>
            <w:color w:val="auto"/>
          </w:rPr>
          <w:t>kuntalaisaloite.fi</w:t>
        </w:r>
      </w:hyperlink>
      <w:r w:rsidRPr="00684CF8">
        <w:t xml:space="preserve">, </w:t>
      </w:r>
      <w:hyperlink r:id="rId14" w:history="1">
        <w:r w:rsidRPr="00684CF8">
          <w:rPr>
            <w:rStyle w:val="af1"/>
            <w:color w:val="auto"/>
          </w:rPr>
          <w:t>lausuntopalvelu.fi</w:t>
        </w:r>
      </w:hyperlink>
      <w:r w:rsidRPr="00684CF8">
        <w:t xml:space="preserve">, </w:t>
      </w:r>
      <w:hyperlink r:id="rId15" w:history="1">
        <w:r w:rsidRPr="00684CF8">
          <w:rPr>
            <w:rStyle w:val="af1"/>
            <w:color w:val="auto"/>
          </w:rPr>
          <w:t>nuortenideat.fi</w:t>
        </w:r>
      </w:hyperlink>
      <w:r w:rsidRPr="00684CF8">
        <w:t xml:space="preserve"> и</w:t>
      </w:r>
      <w:r w:rsidR="00477D72" w:rsidRPr="00684CF8">
        <w:t> </w:t>
      </w:r>
      <w:hyperlink r:id="rId16" w:history="1">
        <w:r w:rsidRPr="00684CF8">
          <w:rPr>
            <w:rStyle w:val="af1"/>
            <w:color w:val="auto"/>
          </w:rPr>
          <w:t>demokratia.fi</w:t>
        </w:r>
      </w:hyperlink>
      <w:r w:rsidRPr="00684CF8">
        <w:t>.</w:t>
      </w:r>
    </w:p>
    <w:p w14:paraId="11F74D6C" w14:textId="77777777" w:rsidR="001E2C2D" w:rsidRPr="00684CF8" w:rsidRDefault="001E2C2D" w:rsidP="00477D72">
      <w:pPr>
        <w:pStyle w:val="H23G"/>
      </w:pPr>
      <w:bookmarkStart w:id="55" w:name="_Toc32364309"/>
      <w:r w:rsidRPr="00684CF8">
        <w:tab/>
        <w:t>n)</w:t>
      </w:r>
      <w:r w:rsidRPr="00684CF8">
        <w:tab/>
        <w:t>Средства массовой информации</w:t>
      </w:r>
      <w:bookmarkEnd w:id="55"/>
    </w:p>
    <w:p w14:paraId="5761E36D" w14:textId="77777777" w:rsidR="001E2C2D" w:rsidRPr="00684CF8" w:rsidRDefault="001E2C2D" w:rsidP="00477D72">
      <w:pPr>
        <w:pStyle w:val="H23G"/>
      </w:pPr>
      <w:bookmarkStart w:id="56" w:name="_Toc32364310"/>
      <w:bookmarkStart w:id="57" w:name="_Toc500940866"/>
      <w:r w:rsidRPr="00684CF8">
        <w:tab/>
      </w:r>
      <w:r w:rsidRPr="00684CF8">
        <w:tab/>
        <w:t>Свобода выражения мнений в средствах массовой информации</w:t>
      </w:r>
      <w:bookmarkEnd w:id="56"/>
    </w:p>
    <w:p w14:paraId="615EB977" w14:textId="77777777" w:rsidR="001E2C2D" w:rsidRPr="00684CF8" w:rsidRDefault="001E2C2D" w:rsidP="001E2C2D">
      <w:pPr>
        <w:pStyle w:val="SingleTxtG"/>
      </w:pPr>
      <w:r w:rsidRPr="00684CF8">
        <w:t>172.</w:t>
      </w:r>
      <w:r w:rsidRPr="00684CF8">
        <w:tab/>
        <w:t>В соответствии с Конституцией Финляндии каждый имеет право выражать, распространять и получать информацию, мнения и другие сообщения без предварительного контроля со стороны кого бы то ни было. Этот основополагающий принцип последовательно находит свое развитие в законодательстве, например в Законе об осуществлении свободы выражения мнений в средствах массовой информации (460/2003), а также в рекомендациях и руководящих принципах в области политики.</w:t>
      </w:r>
    </w:p>
    <w:p w14:paraId="09FE0784" w14:textId="77777777" w:rsidR="001E2C2D" w:rsidRPr="00684CF8" w:rsidRDefault="001E2C2D" w:rsidP="001E2C2D">
      <w:pPr>
        <w:pStyle w:val="SingleTxtG"/>
      </w:pPr>
      <w:r w:rsidRPr="00684CF8">
        <w:t>173.</w:t>
      </w:r>
      <w:r w:rsidRPr="00684CF8">
        <w:tab/>
        <w:t xml:space="preserve">Финляндия является одной из ведущих стран мира в плане свободы выражения мнений. В рейтинге организации </w:t>
      </w:r>
      <w:r w:rsidR="00477D72" w:rsidRPr="00684CF8">
        <w:t>«</w:t>
      </w:r>
      <w:r w:rsidRPr="00684CF8">
        <w:t>Репортеры без границ</w:t>
      </w:r>
      <w:r w:rsidR="00477D72" w:rsidRPr="00684CF8">
        <w:t>»</w:t>
      </w:r>
      <w:r w:rsidRPr="00684CF8">
        <w:t xml:space="preserve"> по степени свободы печати в различных странах мира Финляндия занимает второе место. Причины, лежащие в основе этого, включают в себя доступ к официальным документам, высокий стандарт защиты источников и цель обеспечения быстрого доступа к Интернету для всех граждан. В Финляндии отсутствует предварительная цензура, а вместо этого законодательство гарантирует право каждого человека получать сообщения без предварительного уведомления от кого бы то ни было. Однако осуществление свободы выражения мнений может быть оспорено ретроспективно, если и когда выясняется, что то или иное обнародованное сообщение противоречит закону.</w:t>
      </w:r>
    </w:p>
    <w:p w14:paraId="7172FB09" w14:textId="77777777" w:rsidR="001E2C2D" w:rsidRPr="00684CF8" w:rsidRDefault="001E2C2D" w:rsidP="001E2C2D">
      <w:pPr>
        <w:pStyle w:val="SingleTxtG"/>
      </w:pPr>
      <w:r w:rsidRPr="00684CF8">
        <w:lastRenderedPageBreak/>
        <w:t>174.</w:t>
      </w:r>
      <w:r w:rsidRPr="00684CF8">
        <w:tab/>
        <w:t>Совет по средствам массовой информации (ССМИ) является саморегулируемым комитетом, созданным издателями и журналистами в области массовой коммуникации с целью толкования надлежащей профессиональной практики и защиты свободы слова и свободы публикации. Совет также рассматривает методы, с помощью которых журналисты получают информацию. Совет не обладает правовой юрисдикцией или государственной властью. Однако его решения внимательно отслеживаются и тщательно соблюдаются. Любое лицо, считающее, что имело место нарушение надлежащей профессиональной практики со стороны прессы, радио или телевидения, может довести об этом до сведения Совета. Совет может также рассмотреть жалобу, касающуюся онлайновых материалов, если утверждается, что эти материалы были опубликованы в онлайновых средствах массовой информации. Большинство финских средств массовой информации подписали Основное соглашение Совета, согласно которому Совет может непосредственно рассматривать любые касающиеся их жалобы. При определенных обстоятельствах, затрагивающих важные принципы, Совет может также самостоятельно инициировать расследование.</w:t>
      </w:r>
    </w:p>
    <w:p w14:paraId="63158F4A" w14:textId="77777777" w:rsidR="001E2C2D" w:rsidRPr="00684CF8" w:rsidRDefault="001E2C2D" w:rsidP="00477D72">
      <w:pPr>
        <w:pStyle w:val="H23G"/>
      </w:pPr>
      <w:bookmarkStart w:id="58" w:name="_Toc32364311"/>
      <w:bookmarkEnd w:id="57"/>
      <w:r w:rsidRPr="00684CF8">
        <w:tab/>
      </w:r>
      <w:r w:rsidRPr="00684CF8">
        <w:tab/>
        <w:t>Финская государственная телерадиовещательная компания</w:t>
      </w:r>
      <w:bookmarkEnd w:id="58"/>
    </w:p>
    <w:p w14:paraId="4D26F002" w14:textId="77777777" w:rsidR="001E2C2D" w:rsidRPr="00684CF8" w:rsidRDefault="001E2C2D" w:rsidP="001E2C2D">
      <w:pPr>
        <w:pStyle w:val="SingleTxtG"/>
      </w:pPr>
      <w:r w:rsidRPr="00684CF8">
        <w:t>175.</w:t>
      </w:r>
      <w:r w:rsidRPr="00684CF8">
        <w:tab/>
        <w:t>Деятельность финской телерадиовещательной компании (</w:t>
      </w:r>
      <w:r w:rsidR="00477D72" w:rsidRPr="00684CF8">
        <w:t>«</w:t>
      </w:r>
      <w:r w:rsidRPr="00684CF8">
        <w:t>Иле</w:t>
      </w:r>
      <w:r w:rsidR="00477D72" w:rsidRPr="00684CF8">
        <w:t>»</w:t>
      </w:r>
      <w:r w:rsidRPr="00684CF8">
        <w:t xml:space="preserve">) регулируется Законом о финской телерадиовещательной компании (1380/1993), который устанавливает руководящие принципы и особые обязанности </w:t>
      </w:r>
      <w:r w:rsidR="00477D72" w:rsidRPr="00684CF8">
        <w:t>«</w:t>
      </w:r>
      <w:r w:rsidRPr="00684CF8">
        <w:t>Иле</w:t>
      </w:r>
      <w:r w:rsidR="00477D72" w:rsidRPr="00684CF8">
        <w:t>»</w:t>
      </w:r>
      <w:r w:rsidRPr="00684CF8">
        <w:t xml:space="preserve"> в программах государственной службы вещания. В рамках программ государственной службы вещания, в частности, обеспечивается равное отношение к гражданам, говорящим на финском и шведском языках, и предоставляются услуги на языке саами, рома, языке жестов и, в соответствующих случаях, на языках других языковых групп в стране, поддерживается терпимость, равное обращение, равенство и культурное разнообразие, ведется подготовка программ для меньшинств и особых групп, а также обеспечивается содействие культурному взаимодействию и поддерживается подготовка программ, предназначенных для международного распространения. </w:t>
      </w:r>
      <w:r w:rsidR="00477D72" w:rsidRPr="00684CF8">
        <w:t>«</w:t>
      </w:r>
      <w:r w:rsidRPr="00684CF8">
        <w:t>Иле</w:t>
      </w:r>
      <w:r w:rsidR="00477D72" w:rsidRPr="00684CF8">
        <w:t>»</w:t>
      </w:r>
      <w:r w:rsidRPr="00684CF8">
        <w:t xml:space="preserve"> финансируется за счет налога на вещание, уплачиваемого физическими и юридическими лицами. В 2019 году объем финансирования составил 519 134 000 евро.</w:t>
      </w:r>
    </w:p>
    <w:p w14:paraId="69D26CAB" w14:textId="77777777" w:rsidR="001E2C2D" w:rsidRPr="00684CF8" w:rsidRDefault="001E2C2D" w:rsidP="001E2C2D">
      <w:pPr>
        <w:pStyle w:val="SingleTxtG"/>
      </w:pPr>
      <w:r w:rsidRPr="00684CF8">
        <w:t>176.</w:t>
      </w:r>
      <w:r w:rsidRPr="00684CF8">
        <w:tab/>
        <w:t xml:space="preserve">Вещание на шведском языке осуществляется организацией </w:t>
      </w:r>
      <w:r w:rsidR="00477D72" w:rsidRPr="00684CF8">
        <w:t>«</w:t>
      </w:r>
      <w:r w:rsidRPr="00684CF8">
        <w:t>Свенска Иле</w:t>
      </w:r>
      <w:r w:rsidR="00477D72" w:rsidRPr="00684CF8">
        <w:t>»</w:t>
      </w:r>
      <w:r w:rsidRPr="00684CF8">
        <w:t xml:space="preserve">. </w:t>
      </w:r>
      <w:r w:rsidR="00477D72" w:rsidRPr="00684CF8">
        <w:t>«</w:t>
      </w:r>
      <w:r w:rsidRPr="00684CF8">
        <w:t>Иле сепми</w:t>
      </w:r>
      <w:r w:rsidR="00477D72" w:rsidRPr="00684CF8">
        <w:t>»</w:t>
      </w:r>
      <w:r w:rsidRPr="00684CF8">
        <w:t xml:space="preserve"> </w:t>
      </w:r>
      <w:r w:rsidR="00477D72" w:rsidRPr="00684CF8">
        <w:t>—</w:t>
      </w:r>
      <w:r w:rsidRPr="00684CF8">
        <w:t xml:space="preserve"> единственный финский продюсер новостей и текущего контента, программ для детей и молодежи, а также целевых программ для саами на всех трех саамских языках: северном, сколте и инари-саамском. </w:t>
      </w:r>
      <w:r w:rsidR="00477D72" w:rsidRPr="00684CF8">
        <w:t>«</w:t>
      </w:r>
      <w:r w:rsidRPr="00684CF8">
        <w:t>Иле</w:t>
      </w:r>
      <w:r w:rsidR="00477D72" w:rsidRPr="00684CF8">
        <w:t>»</w:t>
      </w:r>
      <w:r w:rsidRPr="00684CF8">
        <w:t xml:space="preserve"> также транслирует новости на языке жестов, языке рома, русском и английском языках.</w:t>
      </w:r>
    </w:p>
    <w:p w14:paraId="489FC432" w14:textId="77777777" w:rsidR="001E2C2D" w:rsidRPr="00684CF8" w:rsidRDefault="001E2C2D" w:rsidP="00477D72">
      <w:pPr>
        <w:pStyle w:val="H23G"/>
      </w:pPr>
      <w:bookmarkStart w:id="59" w:name="_Toc32364312"/>
      <w:r w:rsidRPr="00684CF8">
        <w:tab/>
      </w:r>
      <w:r w:rsidRPr="00684CF8">
        <w:tab/>
        <w:t>Субсидии для газет</w:t>
      </w:r>
      <w:bookmarkEnd w:id="59"/>
    </w:p>
    <w:p w14:paraId="34369778" w14:textId="77777777" w:rsidR="001E2C2D" w:rsidRPr="00684CF8" w:rsidRDefault="001E2C2D" w:rsidP="001E2C2D">
      <w:pPr>
        <w:pStyle w:val="SingleTxtG"/>
      </w:pPr>
      <w:r w:rsidRPr="00684CF8">
        <w:t>177.</w:t>
      </w:r>
      <w:r w:rsidRPr="00684CF8">
        <w:tab/>
        <w:t>Постановление правительства о предоставлении субсидий газетам (389/2008) содержит положения о субсидиях, направленных на поощрение издания газет и онлайновых журналов на шведском, саамском, карельском языках и на языке рома, а также на языке жестов. Финансовая помощь может также предоставляться для подготовки новостных передач на шведском языке, а также для подготовки и публикации материалов на саамском языке для газеты или журнала, издаваемых на финском или шведском языках. Таким образом, постановление направлено на поощрение свободы выражения мнений, а также разнообразия и плюрализма средств коммуникации. В 2019 году размер субсидий газетам составил 500 000 евро.</w:t>
      </w:r>
    </w:p>
    <w:p w14:paraId="2D5DA040" w14:textId="77777777" w:rsidR="001E2C2D" w:rsidRPr="00684CF8" w:rsidRDefault="001E2C2D" w:rsidP="00477D72">
      <w:pPr>
        <w:pStyle w:val="H23G"/>
      </w:pPr>
      <w:bookmarkStart w:id="60" w:name="_Toc32364313"/>
      <w:r w:rsidRPr="00684CF8">
        <w:tab/>
        <w:t>o)</w:t>
      </w:r>
      <w:r w:rsidRPr="00684CF8">
        <w:tab/>
      </w:r>
      <w:r w:rsidRPr="00684CF8">
        <w:rPr>
          <w:bCs/>
        </w:rPr>
        <w:t>Суды</w:t>
      </w:r>
      <w:bookmarkEnd w:id="60"/>
    </w:p>
    <w:p w14:paraId="7BD97FED" w14:textId="77777777" w:rsidR="001E2C2D" w:rsidRPr="00684CF8" w:rsidRDefault="001E2C2D" w:rsidP="001E2C2D">
      <w:pPr>
        <w:pStyle w:val="SingleTxtG"/>
      </w:pPr>
      <w:r w:rsidRPr="00684CF8">
        <w:t>178.</w:t>
      </w:r>
      <w:r w:rsidRPr="00684CF8">
        <w:tab/>
        <w:t>Согласно пункту 3 статьи 3 Конституции Финляндии, судебные полномочия осуществляются независимыми судами, из которых высшими инстанциями являются Верховный суд и Верховный административный суд. Чрезвычайные суды не учреждаются. Судебная система Финляндии разделена на две независимые категории: суды общей юрисдикции и административные суды. Эти две категории дополняются некоторыми специальными судами.</w:t>
      </w:r>
    </w:p>
    <w:p w14:paraId="620DAEA4" w14:textId="77777777" w:rsidR="001E2C2D" w:rsidRPr="00684CF8" w:rsidRDefault="001E2C2D" w:rsidP="00477D72">
      <w:pPr>
        <w:pStyle w:val="H23G"/>
      </w:pPr>
      <w:bookmarkStart w:id="61" w:name="_Toc32364314"/>
      <w:r w:rsidRPr="00684CF8">
        <w:lastRenderedPageBreak/>
        <w:tab/>
      </w:r>
      <w:r w:rsidRPr="00684CF8">
        <w:tab/>
        <w:t>Окружные суды, апелляционные суды и Верховный суд</w:t>
      </w:r>
      <w:bookmarkEnd w:id="61"/>
    </w:p>
    <w:p w14:paraId="41F1BA0C" w14:textId="77777777" w:rsidR="001E2C2D" w:rsidRPr="00684CF8" w:rsidRDefault="001E2C2D" w:rsidP="001E2C2D">
      <w:pPr>
        <w:pStyle w:val="SingleTxtG"/>
      </w:pPr>
      <w:r w:rsidRPr="00684CF8">
        <w:t>179.</w:t>
      </w:r>
      <w:r w:rsidRPr="00684CF8">
        <w:tab/>
        <w:t>Окружные суды Финляндии рассматривают уголовные дела, гражданские дела и ходатайства. В Финляндии существует 20 окружных судов. Окружной суд возглавляет главный судья, а остальные судьи имеют звание окружного судьи. В</w:t>
      </w:r>
      <w:r w:rsidR="00477D72" w:rsidRPr="00684CF8">
        <w:t> </w:t>
      </w:r>
      <w:r w:rsidRPr="00684CF8">
        <w:t>некоторых случаях в окружном суде могут также работать непрофессиональные судьи. Дела рассматриваются и разрешаются либо в судебном заседании, на которое стороны вызываются, либо в рамках письменной процедуры, когда решение основывается исключительно на документах. В простых случаях решения могут приниматься районным судьей, прошедшим стажировку, и обученным офисным персоналом.</w:t>
      </w:r>
    </w:p>
    <w:p w14:paraId="717B2A7C" w14:textId="77777777" w:rsidR="001E2C2D" w:rsidRPr="00684CF8" w:rsidRDefault="001E2C2D" w:rsidP="001E2C2D">
      <w:pPr>
        <w:pStyle w:val="SingleTxtG"/>
      </w:pPr>
      <w:r w:rsidRPr="00684CF8">
        <w:t>180.</w:t>
      </w:r>
      <w:r w:rsidRPr="00684CF8">
        <w:tab/>
        <w:t xml:space="preserve">Такие гражданские вопросы и вопросы, связанные с поданными жалобами и ходатайствами, которые также могут быть рассмотрены судом, могут стать предметом посредничества. Спор может касаться, например, соглашения, вопроса о наследовании или требования о возмещении ущерба. Кроме того, споры, связанные с опекой над детьми, правом доступа и содержанием детей, могут быть урегулированы с помощью посредничества. </w:t>
      </w:r>
    </w:p>
    <w:p w14:paraId="1D19C5DE" w14:textId="77777777" w:rsidR="001E2C2D" w:rsidRPr="00684CF8" w:rsidRDefault="001E2C2D" w:rsidP="001E2C2D">
      <w:pPr>
        <w:pStyle w:val="SingleTxtG"/>
        <w:rPr>
          <w:b/>
          <w:i/>
        </w:rPr>
      </w:pPr>
      <w:r w:rsidRPr="00684CF8">
        <w:t>181.</w:t>
      </w:r>
      <w:r w:rsidRPr="00684CF8">
        <w:tab/>
        <w:t>В отношении многих дел применяются также другие альтернативные методы урегулирования споров. Например, споры, связанные с защитой прав потребителей, решаются консультативными службами для потребителей и Советом по разрешению потребительских споров, и существует отдельная процедура посредничества по уголовным делам.</w:t>
      </w:r>
    </w:p>
    <w:p w14:paraId="00C8A201" w14:textId="77777777" w:rsidR="001E2C2D" w:rsidRPr="00684CF8" w:rsidRDefault="001E2C2D" w:rsidP="00477D72">
      <w:pPr>
        <w:pStyle w:val="1"/>
        <w:spacing w:before="240" w:after="120"/>
        <w:ind w:left="1134" w:hanging="1134"/>
        <w:jc w:val="left"/>
      </w:pPr>
      <w:r w:rsidRPr="00684CF8">
        <w:rPr>
          <w:b w:val="0"/>
          <w:bCs w:val="0"/>
        </w:rPr>
        <w:tab/>
      </w:r>
      <w:r w:rsidRPr="00684CF8">
        <w:rPr>
          <w:b w:val="0"/>
          <w:bCs w:val="0"/>
        </w:rPr>
        <w:tab/>
        <w:t>Таблица 8</w:t>
      </w:r>
      <w:r w:rsidR="00477D72" w:rsidRPr="00684CF8">
        <w:rPr>
          <w:b w:val="0"/>
          <w:bCs w:val="0"/>
        </w:rPr>
        <w:br/>
      </w:r>
      <w:r w:rsidRPr="00684CF8">
        <w:t xml:space="preserve">Дела, рассмотренные окружными судами, 2006–2018 годы </w:t>
      </w:r>
    </w:p>
    <w:tbl>
      <w:tblPr>
        <w:tblW w:w="7370" w:type="dxa"/>
        <w:tblInd w:w="1134" w:type="dxa"/>
        <w:tblLayout w:type="fixed"/>
        <w:tblCellMar>
          <w:left w:w="0" w:type="dxa"/>
          <w:right w:w="0" w:type="dxa"/>
        </w:tblCellMar>
        <w:tblLook w:val="04A0" w:firstRow="1" w:lastRow="0" w:firstColumn="1" w:lastColumn="0" w:noHBand="0" w:noVBand="1"/>
      </w:tblPr>
      <w:tblGrid>
        <w:gridCol w:w="1671"/>
        <w:gridCol w:w="1879"/>
        <w:gridCol w:w="1878"/>
        <w:gridCol w:w="1942"/>
      </w:tblGrid>
      <w:tr w:rsidR="00477D72" w:rsidRPr="00684CF8" w14:paraId="334F1AB9" w14:textId="77777777" w:rsidTr="00477D72">
        <w:trPr>
          <w:tblHeader/>
        </w:trPr>
        <w:tc>
          <w:tcPr>
            <w:tcW w:w="1671" w:type="dxa"/>
            <w:tcBorders>
              <w:top w:val="single" w:sz="4" w:space="0" w:color="auto"/>
              <w:bottom w:val="single" w:sz="12" w:space="0" w:color="auto"/>
            </w:tcBorders>
            <w:shd w:val="clear" w:color="auto" w:fill="auto"/>
            <w:vAlign w:val="bottom"/>
            <w:hideMark/>
          </w:tcPr>
          <w:p w14:paraId="2BFBB75D" w14:textId="77777777" w:rsidR="00477D72" w:rsidRPr="00684CF8" w:rsidRDefault="00477D72" w:rsidP="00477D72">
            <w:pPr>
              <w:suppressAutoHyphens w:val="0"/>
              <w:spacing w:before="80" w:after="80" w:line="200" w:lineRule="exact"/>
              <w:rPr>
                <w:rFonts w:cs="Times New Roman"/>
                <w:bCs/>
                <w:i/>
                <w:sz w:val="16"/>
              </w:rPr>
            </w:pPr>
            <w:r w:rsidRPr="00684CF8">
              <w:rPr>
                <w:rFonts w:cs="Times New Roman"/>
                <w:i/>
                <w:sz w:val="16"/>
              </w:rPr>
              <w:t>Год/дело</w:t>
            </w:r>
          </w:p>
        </w:tc>
        <w:tc>
          <w:tcPr>
            <w:tcW w:w="1879" w:type="dxa"/>
            <w:tcBorders>
              <w:top w:val="single" w:sz="4" w:space="0" w:color="auto"/>
              <w:bottom w:val="single" w:sz="12" w:space="0" w:color="auto"/>
            </w:tcBorders>
            <w:shd w:val="clear" w:color="auto" w:fill="auto"/>
            <w:vAlign w:val="bottom"/>
            <w:hideMark/>
          </w:tcPr>
          <w:p w14:paraId="72B62AB3" w14:textId="77777777" w:rsidR="00477D72" w:rsidRPr="00684CF8" w:rsidRDefault="00477D72" w:rsidP="00477D72">
            <w:pPr>
              <w:suppressAutoHyphens w:val="0"/>
              <w:spacing w:before="80" w:after="80" w:line="200" w:lineRule="exact"/>
              <w:jc w:val="right"/>
              <w:rPr>
                <w:rFonts w:cs="Times New Roman"/>
                <w:bCs/>
                <w:i/>
                <w:sz w:val="16"/>
              </w:rPr>
            </w:pPr>
            <w:r w:rsidRPr="00684CF8">
              <w:rPr>
                <w:rFonts w:cs="Times New Roman"/>
                <w:i/>
                <w:sz w:val="16"/>
              </w:rPr>
              <w:t>Полученные дела</w:t>
            </w:r>
          </w:p>
        </w:tc>
        <w:tc>
          <w:tcPr>
            <w:tcW w:w="1878" w:type="dxa"/>
            <w:tcBorders>
              <w:top w:val="single" w:sz="4" w:space="0" w:color="auto"/>
              <w:bottom w:val="single" w:sz="12" w:space="0" w:color="auto"/>
            </w:tcBorders>
            <w:shd w:val="clear" w:color="auto" w:fill="auto"/>
            <w:vAlign w:val="bottom"/>
            <w:hideMark/>
          </w:tcPr>
          <w:p w14:paraId="5190F80B" w14:textId="77777777" w:rsidR="00477D72" w:rsidRPr="00684CF8" w:rsidRDefault="00477D72" w:rsidP="00477D72">
            <w:pPr>
              <w:suppressAutoHyphens w:val="0"/>
              <w:spacing w:before="80" w:after="80" w:line="200" w:lineRule="exact"/>
              <w:jc w:val="right"/>
              <w:rPr>
                <w:rFonts w:cs="Times New Roman"/>
                <w:bCs/>
                <w:i/>
                <w:sz w:val="16"/>
              </w:rPr>
            </w:pPr>
            <w:r w:rsidRPr="00684CF8">
              <w:rPr>
                <w:rFonts w:cs="Times New Roman"/>
                <w:i/>
                <w:sz w:val="16"/>
              </w:rPr>
              <w:t>Рассмотренные дела</w:t>
            </w:r>
          </w:p>
        </w:tc>
        <w:tc>
          <w:tcPr>
            <w:tcW w:w="1942" w:type="dxa"/>
            <w:tcBorders>
              <w:top w:val="single" w:sz="4" w:space="0" w:color="auto"/>
              <w:bottom w:val="single" w:sz="12" w:space="0" w:color="auto"/>
            </w:tcBorders>
            <w:shd w:val="clear" w:color="auto" w:fill="auto"/>
            <w:vAlign w:val="bottom"/>
            <w:hideMark/>
          </w:tcPr>
          <w:p w14:paraId="4188AC84" w14:textId="77777777" w:rsidR="00477D72" w:rsidRPr="00684CF8" w:rsidRDefault="00477D72" w:rsidP="00477D72">
            <w:pPr>
              <w:suppressAutoHyphens w:val="0"/>
              <w:spacing w:before="80" w:after="80" w:line="200" w:lineRule="exact"/>
              <w:jc w:val="right"/>
              <w:rPr>
                <w:rFonts w:cs="Times New Roman"/>
                <w:bCs/>
                <w:i/>
                <w:sz w:val="16"/>
              </w:rPr>
            </w:pPr>
            <w:r w:rsidRPr="00684CF8">
              <w:rPr>
                <w:rFonts w:cs="Times New Roman"/>
                <w:i/>
                <w:sz w:val="16"/>
              </w:rPr>
              <w:t xml:space="preserve">Дела, находящиеся </w:t>
            </w:r>
            <w:r w:rsidR="0003138D" w:rsidRPr="00684CF8">
              <w:rPr>
                <w:rFonts w:cs="Times New Roman"/>
                <w:i/>
                <w:sz w:val="16"/>
              </w:rPr>
              <w:br/>
            </w:r>
            <w:r w:rsidRPr="00684CF8">
              <w:rPr>
                <w:rFonts w:cs="Times New Roman"/>
                <w:i/>
                <w:sz w:val="16"/>
              </w:rPr>
              <w:t>на рассмотрении</w:t>
            </w:r>
          </w:p>
        </w:tc>
      </w:tr>
      <w:tr w:rsidR="00477D72" w:rsidRPr="00684CF8" w14:paraId="2A14E6C7" w14:textId="77777777" w:rsidTr="00477D72">
        <w:tc>
          <w:tcPr>
            <w:tcW w:w="1671" w:type="dxa"/>
            <w:tcBorders>
              <w:top w:val="single" w:sz="12" w:space="0" w:color="auto"/>
            </w:tcBorders>
            <w:shd w:val="clear" w:color="auto" w:fill="auto"/>
            <w:hideMark/>
          </w:tcPr>
          <w:p w14:paraId="7CC0EBB8"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2006</w:t>
            </w:r>
          </w:p>
        </w:tc>
        <w:tc>
          <w:tcPr>
            <w:tcW w:w="1879" w:type="dxa"/>
            <w:tcBorders>
              <w:top w:val="single" w:sz="12" w:space="0" w:color="auto"/>
            </w:tcBorders>
            <w:shd w:val="clear" w:color="auto" w:fill="auto"/>
            <w:vAlign w:val="bottom"/>
            <w:hideMark/>
          </w:tcPr>
          <w:p w14:paraId="101FDABF"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814 213</w:t>
            </w:r>
          </w:p>
        </w:tc>
        <w:tc>
          <w:tcPr>
            <w:tcW w:w="1878" w:type="dxa"/>
            <w:tcBorders>
              <w:top w:val="single" w:sz="12" w:space="0" w:color="auto"/>
            </w:tcBorders>
            <w:shd w:val="clear" w:color="auto" w:fill="auto"/>
            <w:vAlign w:val="bottom"/>
            <w:hideMark/>
          </w:tcPr>
          <w:p w14:paraId="31179041"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805 982</w:t>
            </w:r>
          </w:p>
        </w:tc>
        <w:tc>
          <w:tcPr>
            <w:tcW w:w="1942" w:type="dxa"/>
            <w:tcBorders>
              <w:top w:val="single" w:sz="12" w:space="0" w:color="auto"/>
            </w:tcBorders>
            <w:shd w:val="clear" w:color="auto" w:fill="auto"/>
            <w:vAlign w:val="bottom"/>
            <w:hideMark/>
          </w:tcPr>
          <w:p w14:paraId="7005D04C"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89 882</w:t>
            </w:r>
          </w:p>
        </w:tc>
      </w:tr>
      <w:tr w:rsidR="00477D72" w:rsidRPr="00684CF8" w14:paraId="0E4DCA5E" w14:textId="77777777" w:rsidTr="00477D72">
        <w:tc>
          <w:tcPr>
            <w:tcW w:w="1671" w:type="dxa"/>
            <w:shd w:val="clear" w:color="auto" w:fill="auto"/>
            <w:hideMark/>
          </w:tcPr>
          <w:p w14:paraId="7EE61ACF"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2007</w:t>
            </w:r>
          </w:p>
        </w:tc>
        <w:tc>
          <w:tcPr>
            <w:tcW w:w="1879" w:type="dxa"/>
            <w:shd w:val="clear" w:color="auto" w:fill="auto"/>
            <w:vAlign w:val="bottom"/>
            <w:hideMark/>
          </w:tcPr>
          <w:p w14:paraId="5C9F7215"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687 442</w:t>
            </w:r>
          </w:p>
        </w:tc>
        <w:tc>
          <w:tcPr>
            <w:tcW w:w="1878" w:type="dxa"/>
            <w:shd w:val="clear" w:color="auto" w:fill="auto"/>
            <w:vAlign w:val="bottom"/>
            <w:hideMark/>
          </w:tcPr>
          <w:p w14:paraId="6BE86545"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687 249</w:t>
            </w:r>
          </w:p>
        </w:tc>
        <w:tc>
          <w:tcPr>
            <w:tcW w:w="1942" w:type="dxa"/>
            <w:shd w:val="clear" w:color="auto" w:fill="auto"/>
            <w:vAlign w:val="bottom"/>
            <w:hideMark/>
          </w:tcPr>
          <w:p w14:paraId="4D81F982"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88 887</w:t>
            </w:r>
          </w:p>
        </w:tc>
      </w:tr>
      <w:tr w:rsidR="00477D72" w:rsidRPr="00684CF8" w14:paraId="05EB8E5F" w14:textId="77777777" w:rsidTr="00477D72">
        <w:tc>
          <w:tcPr>
            <w:tcW w:w="1671" w:type="dxa"/>
            <w:shd w:val="clear" w:color="auto" w:fill="auto"/>
            <w:hideMark/>
          </w:tcPr>
          <w:p w14:paraId="59593F54"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2008</w:t>
            </w:r>
          </w:p>
        </w:tc>
        <w:tc>
          <w:tcPr>
            <w:tcW w:w="1879" w:type="dxa"/>
            <w:shd w:val="clear" w:color="auto" w:fill="auto"/>
            <w:vAlign w:val="bottom"/>
            <w:hideMark/>
          </w:tcPr>
          <w:p w14:paraId="4FDF68C9"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707 847</w:t>
            </w:r>
          </w:p>
        </w:tc>
        <w:tc>
          <w:tcPr>
            <w:tcW w:w="1878" w:type="dxa"/>
            <w:shd w:val="clear" w:color="auto" w:fill="auto"/>
            <w:vAlign w:val="bottom"/>
            <w:hideMark/>
          </w:tcPr>
          <w:p w14:paraId="48C3B6BE"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693 111</w:t>
            </w:r>
          </w:p>
        </w:tc>
        <w:tc>
          <w:tcPr>
            <w:tcW w:w="1942" w:type="dxa"/>
            <w:shd w:val="clear" w:color="auto" w:fill="auto"/>
            <w:vAlign w:val="bottom"/>
            <w:hideMark/>
          </w:tcPr>
          <w:p w14:paraId="17467B0E"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101 941</w:t>
            </w:r>
          </w:p>
        </w:tc>
      </w:tr>
      <w:tr w:rsidR="00477D72" w:rsidRPr="00684CF8" w14:paraId="4F4192B4" w14:textId="77777777" w:rsidTr="00477D72">
        <w:tc>
          <w:tcPr>
            <w:tcW w:w="1671" w:type="dxa"/>
            <w:shd w:val="clear" w:color="auto" w:fill="auto"/>
            <w:hideMark/>
          </w:tcPr>
          <w:p w14:paraId="38C19486"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2009</w:t>
            </w:r>
          </w:p>
        </w:tc>
        <w:tc>
          <w:tcPr>
            <w:tcW w:w="1879" w:type="dxa"/>
            <w:shd w:val="clear" w:color="auto" w:fill="auto"/>
            <w:vAlign w:val="bottom"/>
            <w:hideMark/>
          </w:tcPr>
          <w:p w14:paraId="756BB37D"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750 151</w:t>
            </w:r>
          </w:p>
        </w:tc>
        <w:tc>
          <w:tcPr>
            <w:tcW w:w="1878" w:type="dxa"/>
            <w:shd w:val="clear" w:color="auto" w:fill="auto"/>
            <w:vAlign w:val="bottom"/>
            <w:hideMark/>
          </w:tcPr>
          <w:p w14:paraId="3FD1C84F"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731 658</w:t>
            </w:r>
          </w:p>
        </w:tc>
        <w:tc>
          <w:tcPr>
            <w:tcW w:w="1942" w:type="dxa"/>
            <w:shd w:val="clear" w:color="auto" w:fill="auto"/>
            <w:vAlign w:val="bottom"/>
            <w:hideMark/>
          </w:tcPr>
          <w:p w14:paraId="6DFE48F3"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118 765</w:t>
            </w:r>
          </w:p>
        </w:tc>
      </w:tr>
      <w:tr w:rsidR="00477D72" w:rsidRPr="00684CF8" w14:paraId="15B43C35" w14:textId="77777777" w:rsidTr="00477D72">
        <w:tc>
          <w:tcPr>
            <w:tcW w:w="1671" w:type="dxa"/>
            <w:shd w:val="clear" w:color="auto" w:fill="auto"/>
            <w:hideMark/>
          </w:tcPr>
          <w:p w14:paraId="21A5EA1F"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2010</w:t>
            </w:r>
          </w:p>
        </w:tc>
        <w:tc>
          <w:tcPr>
            <w:tcW w:w="1879" w:type="dxa"/>
            <w:shd w:val="clear" w:color="auto" w:fill="auto"/>
            <w:vAlign w:val="bottom"/>
            <w:hideMark/>
          </w:tcPr>
          <w:p w14:paraId="75135BDC"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444 516</w:t>
            </w:r>
          </w:p>
        </w:tc>
        <w:tc>
          <w:tcPr>
            <w:tcW w:w="1878" w:type="dxa"/>
            <w:shd w:val="clear" w:color="auto" w:fill="auto"/>
            <w:vAlign w:val="bottom"/>
            <w:hideMark/>
          </w:tcPr>
          <w:p w14:paraId="02B7F465"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443 874</w:t>
            </w:r>
          </w:p>
        </w:tc>
        <w:tc>
          <w:tcPr>
            <w:tcW w:w="1942" w:type="dxa"/>
            <w:shd w:val="clear" w:color="auto" w:fill="auto"/>
            <w:vAlign w:val="bottom"/>
            <w:hideMark/>
          </w:tcPr>
          <w:p w14:paraId="662788B4"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106 436</w:t>
            </w:r>
          </w:p>
        </w:tc>
      </w:tr>
      <w:tr w:rsidR="00477D72" w:rsidRPr="00684CF8" w14:paraId="2DE3CAB1" w14:textId="77777777" w:rsidTr="00477D72">
        <w:tc>
          <w:tcPr>
            <w:tcW w:w="1671" w:type="dxa"/>
            <w:shd w:val="clear" w:color="auto" w:fill="auto"/>
            <w:hideMark/>
          </w:tcPr>
          <w:p w14:paraId="3E768D6D"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2011</w:t>
            </w:r>
          </w:p>
        </w:tc>
        <w:tc>
          <w:tcPr>
            <w:tcW w:w="1879" w:type="dxa"/>
            <w:shd w:val="clear" w:color="auto" w:fill="auto"/>
            <w:vAlign w:val="bottom"/>
            <w:hideMark/>
          </w:tcPr>
          <w:p w14:paraId="651C7612"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483 836</w:t>
            </w:r>
          </w:p>
        </w:tc>
        <w:tc>
          <w:tcPr>
            <w:tcW w:w="1878" w:type="dxa"/>
            <w:shd w:val="clear" w:color="auto" w:fill="auto"/>
            <w:vAlign w:val="bottom"/>
            <w:hideMark/>
          </w:tcPr>
          <w:p w14:paraId="0FEA8AD3"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476 913</w:t>
            </w:r>
          </w:p>
        </w:tc>
        <w:tc>
          <w:tcPr>
            <w:tcW w:w="1942" w:type="dxa"/>
            <w:shd w:val="clear" w:color="auto" w:fill="auto"/>
            <w:vAlign w:val="bottom"/>
            <w:hideMark/>
          </w:tcPr>
          <w:p w14:paraId="33DC84EA"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111 871</w:t>
            </w:r>
          </w:p>
        </w:tc>
      </w:tr>
      <w:tr w:rsidR="00477D72" w:rsidRPr="00684CF8" w14:paraId="2E025211" w14:textId="77777777" w:rsidTr="00477D72">
        <w:tc>
          <w:tcPr>
            <w:tcW w:w="1671" w:type="dxa"/>
            <w:shd w:val="clear" w:color="auto" w:fill="auto"/>
            <w:hideMark/>
          </w:tcPr>
          <w:p w14:paraId="16E3BF4C"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2012</w:t>
            </w:r>
          </w:p>
        </w:tc>
        <w:tc>
          <w:tcPr>
            <w:tcW w:w="1879" w:type="dxa"/>
            <w:shd w:val="clear" w:color="auto" w:fill="auto"/>
            <w:vAlign w:val="bottom"/>
            <w:hideMark/>
          </w:tcPr>
          <w:p w14:paraId="3A2E75AA"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581 891</w:t>
            </w:r>
          </w:p>
        </w:tc>
        <w:tc>
          <w:tcPr>
            <w:tcW w:w="1878" w:type="dxa"/>
            <w:shd w:val="clear" w:color="auto" w:fill="auto"/>
            <w:vAlign w:val="bottom"/>
            <w:hideMark/>
          </w:tcPr>
          <w:p w14:paraId="2364D74C"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550 963</w:t>
            </w:r>
          </w:p>
        </w:tc>
        <w:tc>
          <w:tcPr>
            <w:tcW w:w="1942" w:type="dxa"/>
            <w:shd w:val="clear" w:color="auto" w:fill="auto"/>
            <w:vAlign w:val="bottom"/>
            <w:hideMark/>
          </w:tcPr>
          <w:p w14:paraId="6EA43E98"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141 719</w:t>
            </w:r>
          </w:p>
        </w:tc>
      </w:tr>
      <w:tr w:rsidR="00477D72" w:rsidRPr="00684CF8" w14:paraId="4125FD8F" w14:textId="77777777" w:rsidTr="00477D72">
        <w:tc>
          <w:tcPr>
            <w:tcW w:w="1671" w:type="dxa"/>
            <w:shd w:val="clear" w:color="auto" w:fill="auto"/>
            <w:hideMark/>
          </w:tcPr>
          <w:p w14:paraId="2A1331F7"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2013</w:t>
            </w:r>
          </w:p>
        </w:tc>
        <w:tc>
          <w:tcPr>
            <w:tcW w:w="1879" w:type="dxa"/>
            <w:shd w:val="clear" w:color="auto" w:fill="auto"/>
            <w:vAlign w:val="bottom"/>
            <w:hideMark/>
          </w:tcPr>
          <w:p w14:paraId="3D7097C3"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570 831</w:t>
            </w:r>
          </w:p>
        </w:tc>
        <w:tc>
          <w:tcPr>
            <w:tcW w:w="1878" w:type="dxa"/>
            <w:shd w:val="clear" w:color="auto" w:fill="auto"/>
            <w:vAlign w:val="bottom"/>
            <w:hideMark/>
          </w:tcPr>
          <w:p w14:paraId="237AF52C"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570 725</w:t>
            </w:r>
          </w:p>
        </w:tc>
        <w:tc>
          <w:tcPr>
            <w:tcW w:w="1942" w:type="dxa"/>
            <w:shd w:val="clear" w:color="auto" w:fill="auto"/>
            <w:vAlign w:val="bottom"/>
            <w:hideMark/>
          </w:tcPr>
          <w:p w14:paraId="3F1C70F3"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139 764</w:t>
            </w:r>
          </w:p>
        </w:tc>
      </w:tr>
      <w:tr w:rsidR="00477D72" w:rsidRPr="00684CF8" w14:paraId="397DF69B" w14:textId="77777777" w:rsidTr="00477D72">
        <w:tc>
          <w:tcPr>
            <w:tcW w:w="1671" w:type="dxa"/>
            <w:shd w:val="clear" w:color="auto" w:fill="auto"/>
            <w:hideMark/>
          </w:tcPr>
          <w:p w14:paraId="697D2446"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2014</w:t>
            </w:r>
          </w:p>
        </w:tc>
        <w:tc>
          <w:tcPr>
            <w:tcW w:w="1879" w:type="dxa"/>
            <w:shd w:val="clear" w:color="auto" w:fill="auto"/>
            <w:vAlign w:val="bottom"/>
            <w:hideMark/>
          </w:tcPr>
          <w:p w14:paraId="00E57CA8"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490 526</w:t>
            </w:r>
          </w:p>
        </w:tc>
        <w:tc>
          <w:tcPr>
            <w:tcW w:w="1878" w:type="dxa"/>
            <w:shd w:val="clear" w:color="auto" w:fill="auto"/>
            <w:vAlign w:val="bottom"/>
            <w:hideMark/>
          </w:tcPr>
          <w:p w14:paraId="7EEBE9BB"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499 575</w:t>
            </w:r>
          </w:p>
        </w:tc>
        <w:tc>
          <w:tcPr>
            <w:tcW w:w="1942" w:type="dxa"/>
            <w:shd w:val="clear" w:color="auto" w:fill="auto"/>
            <w:vAlign w:val="bottom"/>
            <w:hideMark/>
          </w:tcPr>
          <w:p w14:paraId="3B72ADAF"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128 838</w:t>
            </w:r>
          </w:p>
        </w:tc>
      </w:tr>
      <w:tr w:rsidR="00477D72" w:rsidRPr="00684CF8" w14:paraId="20ED366A" w14:textId="77777777" w:rsidTr="00477D72">
        <w:tc>
          <w:tcPr>
            <w:tcW w:w="1671" w:type="dxa"/>
            <w:shd w:val="clear" w:color="auto" w:fill="auto"/>
            <w:hideMark/>
          </w:tcPr>
          <w:p w14:paraId="306A5E98"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2015</w:t>
            </w:r>
          </w:p>
        </w:tc>
        <w:tc>
          <w:tcPr>
            <w:tcW w:w="1879" w:type="dxa"/>
            <w:shd w:val="clear" w:color="auto" w:fill="auto"/>
            <w:vAlign w:val="bottom"/>
            <w:hideMark/>
          </w:tcPr>
          <w:p w14:paraId="7BBBAF3A"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492 393</w:t>
            </w:r>
          </w:p>
        </w:tc>
        <w:tc>
          <w:tcPr>
            <w:tcW w:w="1878" w:type="dxa"/>
            <w:shd w:val="clear" w:color="auto" w:fill="auto"/>
            <w:vAlign w:val="bottom"/>
            <w:hideMark/>
          </w:tcPr>
          <w:p w14:paraId="6A3E453F"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484 813</w:t>
            </w:r>
          </w:p>
        </w:tc>
        <w:tc>
          <w:tcPr>
            <w:tcW w:w="1942" w:type="dxa"/>
            <w:shd w:val="clear" w:color="auto" w:fill="auto"/>
            <w:vAlign w:val="bottom"/>
            <w:hideMark/>
          </w:tcPr>
          <w:p w14:paraId="71F3616B"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133 784</w:t>
            </w:r>
          </w:p>
        </w:tc>
      </w:tr>
      <w:tr w:rsidR="00477D72" w:rsidRPr="00684CF8" w14:paraId="7E2DB7C1" w14:textId="77777777" w:rsidTr="00477D72">
        <w:tc>
          <w:tcPr>
            <w:tcW w:w="1671" w:type="dxa"/>
            <w:shd w:val="clear" w:color="auto" w:fill="auto"/>
            <w:hideMark/>
          </w:tcPr>
          <w:p w14:paraId="474D53C1"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2016</w:t>
            </w:r>
          </w:p>
        </w:tc>
        <w:tc>
          <w:tcPr>
            <w:tcW w:w="1879" w:type="dxa"/>
            <w:shd w:val="clear" w:color="auto" w:fill="auto"/>
            <w:vAlign w:val="bottom"/>
            <w:hideMark/>
          </w:tcPr>
          <w:p w14:paraId="7C92E562"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488 033</w:t>
            </w:r>
          </w:p>
        </w:tc>
        <w:tc>
          <w:tcPr>
            <w:tcW w:w="1878" w:type="dxa"/>
            <w:shd w:val="clear" w:color="auto" w:fill="auto"/>
            <w:vAlign w:val="bottom"/>
            <w:hideMark/>
          </w:tcPr>
          <w:p w14:paraId="2A76CB60"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485 730</w:t>
            </w:r>
          </w:p>
        </w:tc>
        <w:tc>
          <w:tcPr>
            <w:tcW w:w="1942" w:type="dxa"/>
            <w:shd w:val="clear" w:color="auto" w:fill="auto"/>
            <w:vAlign w:val="bottom"/>
            <w:hideMark/>
          </w:tcPr>
          <w:p w14:paraId="2A64F592"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133 884</w:t>
            </w:r>
          </w:p>
        </w:tc>
      </w:tr>
      <w:tr w:rsidR="00477D72" w:rsidRPr="00684CF8" w14:paraId="0CEE10A8" w14:textId="77777777" w:rsidTr="00477D72">
        <w:tc>
          <w:tcPr>
            <w:tcW w:w="1671" w:type="dxa"/>
            <w:shd w:val="clear" w:color="auto" w:fill="auto"/>
            <w:hideMark/>
          </w:tcPr>
          <w:p w14:paraId="3AEF5F86"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2017</w:t>
            </w:r>
          </w:p>
        </w:tc>
        <w:tc>
          <w:tcPr>
            <w:tcW w:w="1879" w:type="dxa"/>
            <w:shd w:val="clear" w:color="auto" w:fill="auto"/>
            <w:vAlign w:val="bottom"/>
            <w:hideMark/>
          </w:tcPr>
          <w:p w14:paraId="0C306DA0"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545 986</w:t>
            </w:r>
          </w:p>
        </w:tc>
        <w:tc>
          <w:tcPr>
            <w:tcW w:w="1878" w:type="dxa"/>
            <w:shd w:val="clear" w:color="auto" w:fill="auto"/>
            <w:vAlign w:val="bottom"/>
            <w:hideMark/>
          </w:tcPr>
          <w:p w14:paraId="38EA53B7"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521 942</w:t>
            </w:r>
          </w:p>
        </w:tc>
        <w:tc>
          <w:tcPr>
            <w:tcW w:w="1942" w:type="dxa"/>
            <w:shd w:val="clear" w:color="auto" w:fill="auto"/>
            <w:vAlign w:val="bottom"/>
            <w:hideMark/>
          </w:tcPr>
          <w:p w14:paraId="109A5CFD"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156 013</w:t>
            </w:r>
          </w:p>
        </w:tc>
      </w:tr>
      <w:tr w:rsidR="00477D72" w:rsidRPr="00684CF8" w14:paraId="17AB9375" w14:textId="77777777" w:rsidTr="00477D72">
        <w:tc>
          <w:tcPr>
            <w:tcW w:w="1671" w:type="dxa"/>
            <w:tcBorders>
              <w:bottom w:val="single" w:sz="12" w:space="0" w:color="auto"/>
            </w:tcBorders>
            <w:shd w:val="clear" w:color="auto" w:fill="auto"/>
            <w:hideMark/>
          </w:tcPr>
          <w:p w14:paraId="2401C018" w14:textId="77777777" w:rsidR="00477D72" w:rsidRPr="00684CF8" w:rsidRDefault="00477D72" w:rsidP="00477D72">
            <w:pPr>
              <w:suppressAutoHyphens w:val="0"/>
              <w:spacing w:before="40" w:after="40" w:line="220" w:lineRule="exact"/>
              <w:rPr>
                <w:rFonts w:cs="Times New Roman"/>
                <w:sz w:val="18"/>
              </w:rPr>
            </w:pPr>
            <w:r w:rsidRPr="00684CF8">
              <w:rPr>
                <w:rFonts w:cs="Times New Roman"/>
                <w:sz w:val="18"/>
              </w:rPr>
              <w:t>2018</w:t>
            </w:r>
          </w:p>
        </w:tc>
        <w:tc>
          <w:tcPr>
            <w:tcW w:w="1879" w:type="dxa"/>
            <w:tcBorders>
              <w:bottom w:val="single" w:sz="12" w:space="0" w:color="auto"/>
            </w:tcBorders>
            <w:shd w:val="clear" w:color="auto" w:fill="auto"/>
            <w:vAlign w:val="bottom"/>
            <w:hideMark/>
          </w:tcPr>
          <w:p w14:paraId="723321FF"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559 278</w:t>
            </w:r>
          </w:p>
        </w:tc>
        <w:tc>
          <w:tcPr>
            <w:tcW w:w="1878" w:type="dxa"/>
            <w:tcBorders>
              <w:bottom w:val="single" w:sz="12" w:space="0" w:color="auto"/>
            </w:tcBorders>
            <w:shd w:val="clear" w:color="auto" w:fill="auto"/>
            <w:vAlign w:val="bottom"/>
            <w:hideMark/>
          </w:tcPr>
          <w:p w14:paraId="2EAC2634"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582 924</w:t>
            </w:r>
          </w:p>
        </w:tc>
        <w:tc>
          <w:tcPr>
            <w:tcW w:w="1942" w:type="dxa"/>
            <w:tcBorders>
              <w:bottom w:val="single" w:sz="12" w:space="0" w:color="auto"/>
            </w:tcBorders>
            <w:shd w:val="clear" w:color="auto" w:fill="auto"/>
            <w:vAlign w:val="bottom"/>
            <w:hideMark/>
          </w:tcPr>
          <w:p w14:paraId="1D426864" w14:textId="77777777" w:rsidR="00477D72" w:rsidRPr="00684CF8" w:rsidRDefault="00477D72" w:rsidP="00477D72">
            <w:pPr>
              <w:suppressAutoHyphens w:val="0"/>
              <w:spacing w:before="40" w:after="40" w:line="220" w:lineRule="exact"/>
              <w:jc w:val="right"/>
              <w:rPr>
                <w:rFonts w:cs="Times New Roman"/>
                <w:sz w:val="18"/>
              </w:rPr>
            </w:pPr>
            <w:r w:rsidRPr="00684CF8">
              <w:rPr>
                <w:rFonts w:cs="Times New Roman"/>
                <w:sz w:val="18"/>
              </w:rPr>
              <w:t>131 158</w:t>
            </w:r>
          </w:p>
        </w:tc>
      </w:tr>
    </w:tbl>
    <w:p w14:paraId="2C449BCA" w14:textId="77777777" w:rsidR="0003138D" w:rsidRPr="00684CF8" w:rsidRDefault="0003138D" w:rsidP="0003138D">
      <w:pPr>
        <w:pStyle w:val="SingleTxtG"/>
        <w:spacing w:before="120" w:after="240" w:line="220" w:lineRule="exact"/>
        <w:ind w:firstLine="170"/>
        <w:jc w:val="left"/>
        <w:rPr>
          <w:sz w:val="18"/>
          <w:szCs w:val="18"/>
        </w:rPr>
      </w:pPr>
      <w:r w:rsidRPr="00684CF8">
        <w:rPr>
          <w:i/>
          <w:iCs/>
          <w:sz w:val="18"/>
          <w:szCs w:val="18"/>
        </w:rPr>
        <w:t>Источник:</w:t>
      </w:r>
      <w:r w:rsidRPr="00684CF8">
        <w:rPr>
          <w:sz w:val="18"/>
          <w:szCs w:val="18"/>
        </w:rPr>
        <w:t xml:space="preserve"> Министерство юстиции, публикация Tuomioistuinten työtilastoja vuodelta 2018, Toiminta ja hallinto 2019:8 [Судебная статистика за 2018 год, делопроизводство и администрация; отчет имеется только на финском языке].</w:t>
      </w:r>
    </w:p>
    <w:p w14:paraId="5F195545" w14:textId="77777777" w:rsidR="0003138D" w:rsidRPr="00684CF8" w:rsidRDefault="0003138D" w:rsidP="0003138D">
      <w:pPr>
        <w:pStyle w:val="SingleTxtG"/>
      </w:pPr>
      <w:r w:rsidRPr="00684CF8">
        <w:t>182.</w:t>
      </w:r>
      <w:r w:rsidRPr="00684CF8">
        <w:tab/>
        <w:t>Сторона, не удовлетворенная решением и окончательным постановлением окружного суда или другим постановлением, принятым окружным судом в контексте дела, может добиваться внесения изменений путем подачи апелляции в Апелляционный суд.</w:t>
      </w:r>
    </w:p>
    <w:p w14:paraId="69E91D71" w14:textId="77777777" w:rsidR="0003138D" w:rsidRPr="00684CF8" w:rsidRDefault="0003138D" w:rsidP="0003138D">
      <w:pPr>
        <w:pStyle w:val="SingleTxtG"/>
      </w:pPr>
      <w:r w:rsidRPr="00684CF8">
        <w:t>183.</w:t>
      </w:r>
      <w:r w:rsidRPr="00684CF8">
        <w:tab/>
        <w:t xml:space="preserve">В Финляндии существует пять апелляционных судов: в Восточной Финляндии (в Куопио), Хельсинки, Рованиеми, Турку и Ваасе. Большинство дел, рассматриваемых апелляционными судами, представляют собой обжалования решений районных судов. Кроме того, апелляционные суды в качестве судов первой инстанции принимают решения по делам о государственной измене, а также по </w:t>
      </w:r>
      <w:r w:rsidRPr="00684CF8">
        <w:lastRenderedPageBreak/>
        <w:t>некоторым правонарушениям на государственной службе. Кроме того, апелляционные суды несут ответственность за надзор на общем уровне за деятельностью окружных судов в своем судебном округе.</w:t>
      </w:r>
    </w:p>
    <w:p w14:paraId="2F1B6F0A" w14:textId="77777777" w:rsidR="0003138D" w:rsidRPr="00684CF8" w:rsidRDefault="0003138D" w:rsidP="0003138D">
      <w:pPr>
        <w:pStyle w:val="SingleTxtG"/>
      </w:pPr>
      <w:r w:rsidRPr="00684CF8">
        <w:t>184.</w:t>
      </w:r>
      <w:r w:rsidRPr="00684CF8">
        <w:tab/>
        <w:t>В 2011 году Финляндия ввела систему разрешений на дальнейшее рассмотрение дел в целях замены ранее существовавшей системы проверки и отбора апелляций. Требования относительно получени</w:t>
      </w:r>
      <w:r w:rsidR="004F6AD5">
        <w:t>я</w:t>
      </w:r>
      <w:r w:rsidRPr="00684CF8">
        <w:t xml:space="preserve"> разрешений на дальнейшее рассмотрение закреплены в законе. Цель этой системы заключается в повышении оперативности и экономической эффективности судебных разбирательств. Как видно из приведенной ниже таблицы, лишь часть дел передается из окружного суда в апелляционный суд:</w:t>
      </w:r>
    </w:p>
    <w:p w14:paraId="4A7F9731" w14:textId="77777777" w:rsidR="0003138D" w:rsidRPr="00684CF8" w:rsidRDefault="0003138D" w:rsidP="0003138D">
      <w:pPr>
        <w:pStyle w:val="1"/>
        <w:spacing w:before="240" w:after="120"/>
        <w:jc w:val="left"/>
      </w:pPr>
      <w:r w:rsidRPr="00684CF8">
        <w:rPr>
          <w:b w:val="0"/>
          <w:bCs w:val="0"/>
        </w:rPr>
        <w:tab/>
      </w:r>
      <w:r w:rsidRPr="00684CF8">
        <w:rPr>
          <w:b w:val="0"/>
          <w:bCs w:val="0"/>
        </w:rPr>
        <w:tab/>
        <w:t>Таблица 9</w:t>
      </w:r>
      <w:r w:rsidRPr="00684CF8">
        <w:rPr>
          <w:b w:val="0"/>
          <w:bCs w:val="0"/>
        </w:rPr>
        <w:br/>
      </w:r>
      <w:r w:rsidRPr="00684CF8">
        <w:tab/>
      </w:r>
      <w:r w:rsidRPr="00684CF8">
        <w:tab/>
        <w:t>Дела, рассмотренные апелляционными судами, 2012–2018 годы</w:t>
      </w:r>
    </w:p>
    <w:tbl>
      <w:tblPr>
        <w:tblW w:w="7370" w:type="dxa"/>
        <w:tblInd w:w="1134" w:type="dxa"/>
        <w:tblLayout w:type="fixed"/>
        <w:tblCellMar>
          <w:left w:w="0" w:type="dxa"/>
          <w:right w:w="0" w:type="dxa"/>
        </w:tblCellMar>
        <w:tblLook w:val="04A0" w:firstRow="1" w:lastRow="0" w:firstColumn="1" w:lastColumn="0" w:noHBand="0" w:noVBand="1"/>
      </w:tblPr>
      <w:tblGrid>
        <w:gridCol w:w="1694"/>
        <w:gridCol w:w="1903"/>
        <w:gridCol w:w="1902"/>
        <w:gridCol w:w="1871"/>
      </w:tblGrid>
      <w:tr w:rsidR="0003138D" w:rsidRPr="00684CF8" w14:paraId="3A034398" w14:textId="77777777" w:rsidTr="0003138D">
        <w:trPr>
          <w:tblHeader/>
        </w:trPr>
        <w:tc>
          <w:tcPr>
            <w:tcW w:w="1694" w:type="dxa"/>
            <w:tcBorders>
              <w:top w:val="single" w:sz="4" w:space="0" w:color="auto"/>
              <w:bottom w:val="single" w:sz="12" w:space="0" w:color="auto"/>
            </w:tcBorders>
            <w:shd w:val="clear" w:color="auto" w:fill="auto"/>
            <w:vAlign w:val="bottom"/>
            <w:hideMark/>
          </w:tcPr>
          <w:p w14:paraId="1BD8145C" w14:textId="77777777" w:rsidR="0003138D" w:rsidRPr="00684CF8" w:rsidRDefault="0003138D" w:rsidP="0003138D">
            <w:pPr>
              <w:suppressAutoHyphens w:val="0"/>
              <w:spacing w:before="80" w:after="80" w:line="200" w:lineRule="exact"/>
              <w:rPr>
                <w:rFonts w:cs="Times New Roman"/>
                <w:bCs/>
                <w:i/>
                <w:sz w:val="16"/>
              </w:rPr>
            </w:pPr>
            <w:r w:rsidRPr="00684CF8">
              <w:rPr>
                <w:rFonts w:cs="Times New Roman"/>
                <w:i/>
                <w:sz w:val="16"/>
              </w:rPr>
              <w:t>Год/дело</w:t>
            </w:r>
          </w:p>
        </w:tc>
        <w:tc>
          <w:tcPr>
            <w:tcW w:w="1903" w:type="dxa"/>
            <w:tcBorders>
              <w:top w:val="single" w:sz="4" w:space="0" w:color="auto"/>
              <w:bottom w:val="single" w:sz="12" w:space="0" w:color="auto"/>
            </w:tcBorders>
            <w:shd w:val="clear" w:color="auto" w:fill="auto"/>
            <w:vAlign w:val="bottom"/>
            <w:hideMark/>
          </w:tcPr>
          <w:p w14:paraId="4B91D3EE" w14:textId="77777777" w:rsidR="0003138D" w:rsidRPr="00684CF8" w:rsidRDefault="0003138D" w:rsidP="0003138D">
            <w:pPr>
              <w:suppressAutoHyphens w:val="0"/>
              <w:spacing w:before="80" w:after="80" w:line="200" w:lineRule="exact"/>
              <w:jc w:val="right"/>
              <w:rPr>
                <w:rFonts w:cs="Times New Roman"/>
                <w:bCs/>
                <w:i/>
                <w:sz w:val="16"/>
              </w:rPr>
            </w:pPr>
            <w:r w:rsidRPr="00684CF8">
              <w:rPr>
                <w:rFonts w:cs="Times New Roman"/>
                <w:i/>
                <w:sz w:val="16"/>
              </w:rPr>
              <w:t>Полученные дела</w:t>
            </w:r>
          </w:p>
        </w:tc>
        <w:tc>
          <w:tcPr>
            <w:tcW w:w="1902" w:type="dxa"/>
            <w:tcBorders>
              <w:top w:val="single" w:sz="4" w:space="0" w:color="auto"/>
              <w:bottom w:val="single" w:sz="12" w:space="0" w:color="auto"/>
            </w:tcBorders>
            <w:shd w:val="clear" w:color="auto" w:fill="auto"/>
            <w:vAlign w:val="bottom"/>
            <w:hideMark/>
          </w:tcPr>
          <w:p w14:paraId="347C2861" w14:textId="77777777" w:rsidR="0003138D" w:rsidRPr="00684CF8" w:rsidRDefault="0003138D" w:rsidP="0003138D">
            <w:pPr>
              <w:suppressAutoHyphens w:val="0"/>
              <w:spacing w:before="80" w:after="80" w:line="200" w:lineRule="exact"/>
              <w:jc w:val="right"/>
              <w:rPr>
                <w:rFonts w:cs="Times New Roman"/>
                <w:bCs/>
                <w:i/>
                <w:sz w:val="16"/>
              </w:rPr>
            </w:pPr>
            <w:r w:rsidRPr="00684CF8">
              <w:rPr>
                <w:rFonts w:cs="Times New Roman"/>
                <w:i/>
                <w:sz w:val="16"/>
              </w:rPr>
              <w:t>Рассмотренные дела</w:t>
            </w:r>
          </w:p>
        </w:tc>
        <w:tc>
          <w:tcPr>
            <w:tcW w:w="1871" w:type="dxa"/>
            <w:tcBorders>
              <w:top w:val="single" w:sz="4" w:space="0" w:color="auto"/>
              <w:bottom w:val="single" w:sz="12" w:space="0" w:color="auto"/>
            </w:tcBorders>
            <w:shd w:val="clear" w:color="auto" w:fill="auto"/>
            <w:vAlign w:val="bottom"/>
            <w:hideMark/>
          </w:tcPr>
          <w:p w14:paraId="1A25DFB1" w14:textId="77777777" w:rsidR="0003138D" w:rsidRPr="00684CF8" w:rsidRDefault="0003138D" w:rsidP="0003138D">
            <w:pPr>
              <w:suppressAutoHyphens w:val="0"/>
              <w:spacing w:before="80" w:after="80" w:line="200" w:lineRule="exact"/>
              <w:jc w:val="right"/>
              <w:rPr>
                <w:rFonts w:cs="Times New Roman"/>
                <w:bCs/>
                <w:i/>
                <w:sz w:val="16"/>
              </w:rPr>
            </w:pPr>
            <w:r w:rsidRPr="00684CF8">
              <w:rPr>
                <w:rFonts w:cs="Times New Roman"/>
                <w:i/>
                <w:sz w:val="16"/>
              </w:rPr>
              <w:t xml:space="preserve">Дела, находящиеся </w:t>
            </w:r>
            <w:r w:rsidRPr="00684CF8">
              <w:rPr>
                <w:rFonts w:cs="Times New Roman"/>
                <w:i/>
                <w:sz w:val="16"/>
              </w:rPr>
              <w:br/>
              <w:t>на рассмотрении</w:t>
            </w:r>
          </w:p>
        </w:tc>
      </w:tr>
      <w:tr w:rsidR="0003138D" w:rsidRPr="00684CF8" w14:paraId="059925BA" w14:textId="77777777" w:rsidTr="0003138D">
        <w:tc>
          <w:tcPr>
            <w:tcW w:w="1694" w:type="dxa"/>
            <w:tcBorders>
              <w:top w:val="single" w:sz="12" w:space="0" w:color="auto"/>
            </w:tcBorders>
            <w:shd w:val="clear" w:color="auto" w:fill="auto"/>
            <w:hideMark/>
          </w:tcPr>
          <w:p w14:paraId="2A450433" w14:textId="77777777" w:rsidR="0003138D" w:rsidRPr="00684CF8" w:rsidRDefault="0003138D" w:rsidP="0003138D">
            <w:pPr>
              <w:suppressAutoHyphens w:val="0"/>
              <w:spacing w:before="40" w:after="40" w:line="220" w:lineRule="exact"/>
              <w:rPr>
                <w:rFonts w:cs="Times New Roman"/>
                <w:sz w:val="18"/>
              </w:rPr>
            </w:pPr>
            <w:r w:rsidRPr="00684CF8">
              <w:rPr>
                <w:rFonts w:cs="Times New Roman"/>
                <w:sz w:val="18"/>
              </w:rPr>
              <w:t>2012</w:t>
            </w:r>
          </w:p>
        </w:tc>
        <w:tc>
          <w:tcPr>
            <w:tcW w:w="1903" w:type="dxa"/>
            <w:tcBorders>
              <w:top w:val="single" w:sz="12" w:space="0" w:color="auto"/>
            </w:tcBorders>
            <w:shd w:val="clear" w:color="auto" w:fill="auto"/>
            <w:vAlign w:val="bottom"/>
            <w:hideMark/>
          </w:tcPr>
          <w:p w14:paraId="34BED42C"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9 777</w:t>
            </w:r>
          </w:p>
        </w:tc>
        <w:tc>
          <w:tcPr>
            <w:tcW w:w="1902" w:type="dxa"/>
            <w:tcBorders>
              <w:top w:val="single" w:sz="12" w:space="0" w:color="auto"/>
            </w:tcBorders>
            <w:shd w:val="clear" w:color="auto" w:fill="auto"/>
            <w:vAlign w:val="bottom"/>
            <w:hideMark/>
          </w:tcPr>
          <w:p w14:paraId="17DE65F1"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10 228</w:t>
            </w:r>
          </w:p>
        </w:tc>
        <w:tc>
          <w:tcPr>
            <w:tcW w:w="1871" w:type="dxa"/>
            <w:tcBorders>
              <w:top w:val="single" w:sz="12" w:space="0" w:color="auto"/>
            </w:tcBorders>
            <w:shd w:val="clear" w:color="auto" w:fill="auto"/>
            <w:vAlign w:val="bottom"/>
            <w:hideMark/>
          </w:tcPr>
          <w:p w14:paraId="49F98CBE"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4 538</w:t>
            </w:r>
          </w:p>
        </w:tc>
      </w:tr>
      <w:tr w:rsidR="0003138D" w:rsidRPr="00684CF8" w14:paraId="0110C105" w14:textId="77777777" w:rsidTr="0003138D">
        <w:tc>
          <w:tcPr>
            <w:tcW w:w="1694" w:type="dxa"/>
            <w:shd w:val="clear" w:color="auto" w:fill="auto"/>
            <w:hideMark/>
          </w:tcPr>
          <w:p w14:paraId="5F48F5BC" w14:textId="77777777" w:rsidR="0003138D" w:rsidRPr="00684CF8" w:rsidRDefault="0003138D" w:rsidP="0003138D">
            <w:pPr>
              <w:suppressAutoHyphens w:val="0"/>
              <w:spacing w:before="40" w:after="40" w:line="220" w:lineRule="exact"/>
              <w:rPr>
                <w:rFonts w:cs="Times New Roman"/>
                <w:sz w:val="18"/>
              </w:rPr>
            </w:pPr>
            <w:r w:rsidRPr="00684CF8">
              <w:rPr>
                <w:rFonts w:cs="Times New Roman"/>
                <w:sz w:val="18"/>
              </w:rPr>
              <w:t>2013</w:t>
            </w:r>
          </w:p>
        </w:tc>
        <w:tc>
          <w:tcPr>
            <w:tcW w:w="1903" w:type="dxa"/>
            <w:shd w:val="clear" w:color="auto" w:fill="auto"/>
            <w:vAlign w:val="bottom"/>
            <w:hideMark/>
          </w:tcPr>
          <w:p w14:paraId="0D080ABC"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9 689</w:t>
            </w:r>
          </w:p>
        </w:tc>
        <w:tc>
          <w:tcPr>
            <w:tcW w:w="1902" w:type="dxa"/>
            <w:shd w:val="clear" w:color="auto" w:fill="auto"/>
            <w:vAlign w:val="bottom"/>
            <w:hideMark/>
          </w:tcPr>
          <w:p w14:paraId="0890952F"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9 675</w:t>
            </w:r>
          </w:p>
        </w:tc>
        <w:tc>
          <w:tcPr>
            <w:tcW w:w="1871" w:type="dxa"/>
            <w:shd w:val="clear" w:color="auto" w:fill="auto"/>
            <w:vAlign w:val="bottom"/>
            <w:hideMark/>
          </w:tcPr>
          <w:p w14:paraId="2DB7D91C"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4 552</w:t>
            </w:r>
          </w:p>
        </w:tc>
      </w:tr>
      <w:tr w:rsidR="0003138D" w:rsidRPr="00684CF8" w14:paraId="060E92E6" w14:textId="77777777" w:rsidTr="0003138D">
        <w:tc>
          <w:tcPr>
            <w:tcW w:w="1694" w:type="dxa"/>
            <w:shd w:val="clear" w:color="auto" w:fill="auto"/>
            <w:hideMark/>
          </w:tcPr>
          <w:p w14:paraId="7AC998FB" w14:textId="77777777" w:rsidR="0003138D" w:rsidRPr="00684CF8" w:rsidRDefault="0003138D" w:rsidP="0003138D">
            <w:pPr>
              <w:suppressAutoHyphens w:val="0"/>
              <w:spacing w:before="40" w:after="40" w:line="220" w:lineRule="exact"/>
              <w:rPr>
                <w:rFonts w:cs="Times New Roman"/>
                <w:sz w:val="18"/>
              </w:rPr>
            </w:pPr>
            <w:r w:rsidRPr="00684CF8">
              <w:rPr>
                <w:rFonts w:cs="Times New Roman"/>
                <w:sz w:val="18"/>
              </w:rPr>
              <w:t>2014</w:t>
            </w:r>
          </w:p>
        </w:tc>
        <w:tc>
          <w:tcPr>
            <w:tcW w:w="1903" w:type="dxa"/>
            <w:shd w:val="clear" w:color="auto" w:fill="auto"/>
            <w:vAlign w:val="bottom"/>
            <w:hideMark/>
          </w:tcPr>
          <w:p w14:paraId="22FECFEB"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10 176</w:t>
            </w:r>
          </w:p>
        </w:tc>
        <w:tc>
          <w:tcPr>
            <w:tcW w:w="1902" w:type="dxa"/>
            <w:shd w:val="clear" w:color="auto" w:fill="auto"/>
            <w:vAlign w:val="bottom"/>
            <w:hideMark/>
          </w:tcPr>
          <w:p w14:paraId="247B3D9E"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9 942</w:t>
            </w:r>
          </w:p>
        </w:tc>
        <w:tc>
          <w:tcPr>
            <w:tcW w:w="1871" w:type="dxa"/>
            <w:shd w:val="clear" w:color="auto" w:fill="auto"/>
            <w:vAlign w:val="bottom"/>
            <w:hideMark/>
          </w:tcPr>
          <w:p w14:paraId="26F7A8AC"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4 792</w:t>
            </w:r>
          </w:p>
        </w:tc>
      </w:tr>
      <w:tr w:rsidR="0003138D" w:rsidRPr="00684CF8" w14:paraId="43FF485D" w14:textId="77777777" w:rsidTr="0003138D">
        <w:tc>
          <w:tcPr>
            <w:tcW w:w="1694" w:type="dxa"/>
            <w:shd w:val="clear" w:color="auto" w:fill="auto"/>
            <w:hideMark/>
          </w:tcPr>
          <w:p w14:paraId="78262ECF" w14:textId="77777777" w:rsidR="0003138D" w:rsidRPr="00684CF8" w:rsidRDefault="0003138D" w:rsidP="0003138D">
            <w:pPr>
              <w:suppressAutoHyphens w:val="0"/>
              <w:spacing w:before="40" w:after="40" w:line="220" w:lineRule="exact"/>
              <w:rPr>
                <w:rFonts w:cs="Times New Roman"/>
                <w:sz w:val="18"/>
              </w:rPr>
            </w:pPr>
            <w:r w:rsidRPr="00684CF8">
              <w:rPr>
                <w:rFonts w:cs="Times New Roman"/>
                <w:sz w:val="18"/>
              </w:rPr>
              <w:t>2015</w:t>
            </w:r>
          </w:p>
        </w:tc>
        <w:tc>
          <w:tcPr>
            <w:tcW w:w="1903" w:type="dxa"/>
            <w:shd w:val="clear" w:color="auto" w:fill="auto"/>
            <w:vAlign w:val="bottom"/>
            <w:hideMark/>
          </w:tcPr>
          <w:p w14:paraId="6BDEB04F"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9 810</w:t>
            </w:r>
          </w:p>
        </w:tc>
        <w:tc>
          <w:tcPr>
            <w:tcW w:w="1902" w:type="dxa"/>
            <w:shd w:val="clear" w:color="auto" w:fill="auto"/>
            <w:vAlign w:val="bottom"/>
            <w:hideMark/>
          </w:tcPr>
          <w:p w14:paraId="591EC34E"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9 855</w:t>
            </w:r>
          </w:p>
        </w:tc>
        <w:tc>
          <w:tcPr>
            <w:tcW w:w="1871" w:type="dxa"/>
            <w:shd w:val="clear" w:color="auto" w:fill="auto"/>
            <w:vAlign w:val="bottom"/>
            <w:hideMark/>
          </w:tcPr>
          <w:p w14:paraId="0C3763E0"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4 747</w:t>
            </w:r>
          </w:p>
        </w:tc>
      </w:tr>
      <w:tr w:rsidR="0003138D" w:rsidRPr="00684CF8" w14:paraId="037C3235" w14:textId="77777777" w:rsidTr="0003138D">
        <w:tc>
          <w:tcPr>
            <w:tcW w:w="1694" w:type="dxa"/>
            <w:shd w:val="clear" w:color="auto" w:fill="auto"/>
            <w:hideMark/>
          </w:tcPr>
          <w:p w14:paraId="3387F645" w14:textId="77777777" w:rsidR="0003138D" w:rsidRPr="00684CF8" w:rsidRDefault="0003138D" w:rsidP="0003138D">
            <w:pPr>
              <w:suppressAutoHyphens w:val="0"/>
              <w:spacing w:before="40" w:after="40" w:line="220" w:lineRule="exact"/>
              <w:rPr>
                <w:rFonts w:cs="Times New Roman"/>
                <w:sz w:val="18"/>
              </w:rPr>
            </w:pPr>
            <w:r w:rsidRPr="00684CF8">
              <w:rPr>
                <w:rFonts w:cs="Times New Roman"/>
                <w:sz w:val="18"/>
              </w:rPr>
              <w:t>2016</w:t>
            </w:r>
          </w:p>
        </w:tc>
        <w:tc>
          <w:tcPr>
            <w:tcW w:w="1903" w:type="dxa"/>
            <w:shd w:val="clear" w:color="auto" w:fill="auto"/>
            <w:vAlign w:val="bottom"/>
            <w:hideMark/>
          </w:tcPr>
          <w:p w14:paraId="01FF90C8"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8 593</w:t>
            </w:r>
          </w:p>
        </w:tc>
        <w:tc>
          <w:tcPr>
            <w:tcW w:w="1902" w:type="dxa"/>
            <w:shd w:val="clear" w:color="auto" w:fill="auto"/>
            <w:vAlign w:val="bottom"/>
            <w:hideMark/>
          </w:tcPr>
          <w:p w14:paraId="446208B8"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9 552</w:t>
            </w:r>
          </w:p>
        </w:tc>
        <w:tc>
          <w:tcPr>
            <w:tcW w:w="1871" w:type="dxa"/>
            <w:shd w:val="clear" w:color="auto" w:fill="auto"/>
            <w:vAlign w:val="bottom"/>
            <w:hideMark/>
          </w:tcPr>
          <w:p w14:paraId="7FF5604C"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3 787</w:t>
            </w:r>
          </w:p>
        </w:tc>
      </w:tr>
      <w:tr w:rsidR="0003138D" w:rsidRPr="00684CF8" w14:paraId="4AB4118E" w14:textId="77777777" w:rsidTr="0003138D">
        <w:tc>
          <w:tcPr>
            <w:tcW w:w="1694" w:type="dxa"/>
            <w:shd w:val="clear" w:color="auto" w:fill="auto"/>
            <w:hideMark/>
          </w:tcPr>
          <w:p w14:paraId="4E9ED2A0" w14:textId="77777777" w:rsidR="0003138D" w:rsidRPr="00684CF8" w:rsidRDefault="0003138D" w:rsidP="0003138D">
            <w:pPr>
              <w:suppressAutoHyphens w:val="0"/>
              <w:spacing w:before="40" w:after="40" w:line="220" w:lineRule="exact"/>
              <w:rPr>
                <w:rFonts w:cs="Times New Roman"/>
                <w:sz w:val="18"/>
              </w:rPr>
            </w:pPr>
            <w:r w:rsidRPr="00684CF8">
              <w:rPr>
                <w:rFonts w:cs="Times New Roman"/>
                <w:sz w:val="18"/>
              </w:rPr>
              <w:t>2017</w:t>
            </w:r>
          </w:p>
        </w:tc>
        <w:tc>
          <w:tcPr>
            <w:tcW w:w="1903" w:type="dxa"/>
            <w:shd w:val="clear" w:color="auto" w:fill="auto"/>
            <w:vAlign w:val="bottom"/>
            <w:hideMark/>
          </w:tcPr>
          <w:p w14:paraId="3E0326E2"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8 263</w:t>
            </w:r>
          </w:p>
        </w:tc>
        <w:tc>
          <w:tcPr>
            <w:tcW w:w="1902" w:type="dxa"/>
            <w:shd w:val="clear" w:color="auto" w:fill="auto"/>
            <w:vAlign w:val="bottom"/>
            <w:hideMark/>
          </w:tcPr>
          <w:p w14:paraId="19F76F04"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8 269</w:t>
            </w:r>
          </w:p>
        </w:tc>
        <w:tc>
          <w:tcPr>
            <w:tcW w:w="1871" w:type="dxa"/>
            <w:shd w:val="clear" w:color="auto" w:fill="auto"/>
            <w:vAlign w:val="bottom"/>
            <w:hideMark/>
          </w:tcPr>
          <w:p w14:paraId="446AA7CC"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3 780</w:t>
            </w:r>
          </w:p>
        </w:tc>
      </w:tr>
      <w:tr w:rsidR="0003138D" w:rsidRPr="00684CF8" w14:paraId="249D4099" w14:textId="77777777" w:rsidTr="0003138D">
        <w:tc>
          <w:tcPr>
            <w:tcW w:w="1694" w:type="dxa"/>
            <w:tcBorders>
              <w:bottom w:val="single" w:sz="12" w:space="0" w:color="auto"/>
            </w:tcBorders>
            <w:shd w:val="clear" w:color="auto" w:fill="auto"/>
            <w:hideMark/>
          </w:tcPr>
          <w:p w14:paraId="79124342" w14:textId="77777777" w:rsidR="0003138D" w:rsidRPr="00684CF8" w:rsidRDefault="0003138D" w:rsidP="0003138D">
            <w:pPr>
              <w:suppressAutoHyphens w:val="0"/>
              <w:spacing w:before="40" w:after="40" w:line="220" w:lineRule="exact"/>
              <w:rPr>
                <w:rFonts w:cs="Times New Roman"/>
                <w:sz w:val="18"/>
              </w:rPr>
            </w:pPr>
            <w:r w:rsidRPr="00684CF8">
              <w:rPr>
                <w:rFonts w:cs="Times New Roman"/>
                <w:sz w:val="18"/>
              </w:rPr>
              <w:t>2018</w:t>
            </w:r>
          </w:p>
        </w:tc>
        <w:tc>
          <w:tcPr>
            <w:tcW w:w="1903" w:type="dxa"/>
            <w:tcBorders>
              <w:bottom w:val="single" w:sz="12" w:space="0" w:color="auto"/>
            </w:tcBorders>
            <w:shd w:val="clear" w:color="auto" w:fill="auto"/>
            <w:vAlign w:val="bottom"/>
            <w:hideMark/>
          </w:tcPr>
          <w:p w14:paraId="4CAB308A"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8 316</w:t>
            </w:r>
          </w:p>
        </w:tc>
        <w:tc>
          <w:tcPr>
            <w:tcW w:w="1902" w:type="dxa"/>
            <w:tcBorders>
              <w:bottom w:val="single" w:sz="12" w:space="0" w:color="auto"/>
            </w:tcBorders>
            <w:shd w:val="clear" w:color="auto" w:fill="auto"/>
            <w:vAlign w:val="bottom"/>
            <w:hideMark/>
          </w:tcPr>
          <w:p w14:paraId="5E71F7D2"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8 177</w:t>
            </w:r>
          </w:p>
        </w:tc>
        <w:tc>
          <w:tcPr>
            <w:tcW w:w="1871" w:type="dxa"/>
            <w:tcBorders>
              <w:bottom w:val="single" w:sz="12" w:space="0" w:color="auto"/>
            </w:tcBorders>
            <w:shd w:val="clear" w:color="auto" w:fill="auto"/>
            <w:vAlign w:val="bottom"/>
            <w:hideMark/>
          </w:tcPr>
          <w:p w14:paraId="553D1D63" w14:textId="77777777" w:rsidR="0003138D" w:rsidRPr="00684CF8" w:rsidRDefault="0003138D" w:rsidP="0003138D">
            <w:pPr>
              <w:suppressAutoHyphens w:val="0"/>
              <w:spacing w:before="40" w:after="40" w:line="220" w:lineRule="exact"/>
              <w:jc w:val="right"/>
              <w:rPr>
                <w:rFonts w:cs="Times New Roman"/>
                <w:sz w:val="18"/>
              </w:rPr>
            </w:pPr>
            <w:r w:rsidRPr="00684CF8">
              <w:rPr>
                <w:rFonts w:cs="Times New Roman"/>
                <w:sz w:val="18"/>
              </w:rPr>
              <w:t>3 922</w:t>
            </w:r>
          </w:p>
        </w:tc>
      </w:tr>
    </w:tbl>
    <w:p w14:paraId="3FC3FB0F" w14:textId="77777777" w:rsidR="0003138D" w:rsidRPr="00684CF8" w:rsidRDefault="0003138D" w:rsidP="0003138D">
      <w:pPr>
        <w:pStyle w:val="SingleTxtG"/>
        <w:spacing w:before="120" w:after="240" w:line="220" w:lineRule="exact"/>
        <w:ind w:firstLine="170"/>
        <w:jc w:val="left"/>
        <w:rPr>
          <w:sz w:val="18"/>
          <w:szCs w:val="18"/>
        </w:rPr>
      </w:pPr>
      <w:r w:rsidRPr="00684CF8">
        <w:rPr>
          <w:i/>
          <w:iCs/>
          <w:sz w:val="18"/>
          <w:szCs w:val="18"/>
        </w:rPr>
        <w:t>Источник</w:t>
      </w:r>
      <w:r w:rsidRPr="00684CF8">
        <w:rPr>
          <w:sz w:val="18"/>
          <w:szCs w:val="18"/>
        </w:rPr>
        <w:t>: Министерство юстиции, публикация Tuomioistuinten työtilastoja vuodelta 2018, Toiminta ja hallinto 2019:8 [Судебная статистика за 2018 год, делопроизводство и администрация; отчет имеется только на финском языке].</w:t>
      </w:r>
    </w:p>
    <w:p w14:paraId="5C83413E" w14:textId="77777777" w:rsidR="0003138D" w:rsidRPr="00684CF8" w:rsidRDefault="0003138D" w:rsidP="0003138D">
      <w:pPr>
        <w:pStyle w:val="SingleTxtG"/>
      </w:pPr>
      <w:r w:rsidRPr="00684CF8">
        <w:t>185.</w:t>
      </w:r>
      <w:r w:rsidRPr="00684CF8">
        <w:tab/>
        <w:t xml:space="preserve">Верховный суд является высшим судебным органом по гражданским и уголовным делам; он также осуществляет надзор за правосудием в сфере своей деятельности. Важнейшей функцией Верховного суда является создание судебных прецедентов в случаях, когда закон не дает ясного решения. Прецеденты служат юридическим руководством для аналогичных будущих судебных разбирательств и направлены на обеспечение последовательности в толковании закона судами более низкой инстанции по всей стране. </w:t>
      </w:r>
    </w:p>
    <w:p w14:paraId="326ADCB6" w14:textId="77777777" w:rsidR="0003138D" w:rsidRPr="00684CF8" w:rsidRDefault="0003138D" w:rsidP="0003138D">
      <w:pPr>
        <w:pStyle w:val="SingleTxtG"/>
      </w:pPr>
      <w:r w:rsidRPr="00684CF8">
        <w:t>186.</w:t>
      </w:r>
      <w:r w:rsidRPr="00684CF8">
        <w:tab/>
        <w:t>Решения апелляционных и уездных судов, а также некоторые решения Суда по страховым делам и Коммерческого суда могут быть обжалованы в Верховном суде при условии, что Верховный суд даст разрешение на обжалование.</w:t>
      </w:r>
    </w:p>
    <w:p w14:paraId="48A20F41" w14:textId="77777777" w:rsidR="0003138D" w:rsidRPr="00684CF8" w:rsidRDefault="0003138D" w:rsidP="0003138D">
      <w:pPr>
        <w:pStyle w:val="SingleTxtG"/>
      </w:pPr>
      <w:r w:rsidRPr="00684CF8">
        <w:t>187.</w:t>
      </w:r>
      <w:r w:rsidRPr="00684CF8">
        <w:tab/>
        <w:t>В случаях, имеющих прецедентный характер, апелляция в Верховный суд может быть подана уже по решению районного суда. Даже в таком случае Верховный суд должен сначала дать разрешение на обжалование. Решения, вынесенные апелляционным судом в качестве суда первой инстанции, как правило, могут быть обжалованы в Верховном суде без обращения с просьбой о разрешении на обжалование.</w:t>
      </w:r>
    </w:p>
    <w:p w14:paraId="0C3001FD" w14:textId="77777777" w:rsidR="0003138D" w:rsidRPr="00684CF8" w:rsidRDefault="0003138D" w:rsidP="0003138D">
      <w:pPr>
        <w:pStyle w:val="SingleTxtG"/>
      </w:pPr>
      <w:r w:rsidRPr="00684CF8">
        <w:t>188.</w:t>
      </w:r>
      <w:r w:rsidRPr="00684CF8">
        <w:tab/>
        <w:t xml:space="preserve">Верховный суд также выносит решения по делам, касающимся подачи апелляции в чрезвычайных обстоятельствах. Верховный суд вправе отменить окончательные решения судов на основаниях, предусмотренных главой 31 </w:t>
      </w:r>
      <w:bookmarkStart w:id="62" w:name="_Hlk48332054"/>
      <w:r w:rsidRPr="00684CF8">
        <w:t>Кодекса судопроизводства</w:t>
      </w:r>
      <w:bookmarkEnd w:id="62"/>
      <w:r w:rsidRPr="00684CF8">
        <w:t>. В некоторых случаях суд может восстановить право на обжалование по истечении установленного срока.</w:t>
      </w:r>
    </w:p>
    <w:p w14:paraId="28C9046E" w14:textId="77777777" w:rsidR="0003138D" w:rsidRPr="00684CF8" w:rsidRDefault="0003138D" w:rsidP="0003138D">
      <w:pPr>
        <w:pStyle w:val="SingleTxtG"/>
      </w:pPr>
      <w:r w:rsidRPr="00684CF8">
        <w:t>189.</w:t>
      </w:r>
      <w:r w:rsidRPr="00684CF8">
        <w:tab/>
        <w:t xml:space="preserve">Верховный суд консультирует Президента Республики по делам, касающимся права Президента на помилование, и Министерство юстиции по делам, касающимся выдачи. Президент Республики может консультироваться с Судом в отношении законопроектов, принятых Парламентом, и актов, принятых Парламентом Аландских островов, до их ратификации. Верховный суд может также обратиться к правительству по собственной инициативе с предложением о принятии нового закона или внесении </w:t>
      </w:r>
      <w:r w:rsidRPr="00684CF8">
        <w:lastRenderedPageBreak/>
        <w:t>поправки в существующий закон. Кроме того, Верховный суд может выносить юридические заключения по законопроектам.</w:t>
      </w:r>
    </w:p>
    <w:p w14:paraId="42BBA84F" w14:textId="77777777" w:rsidR="0003138D" w:rsidRPr="00684CF8" w:rsidRDefault="0003138D" w:rsidP="0003138D">
      <w:pPr>
        <w:pStyle w:val="SingleTxtG"/>
      </w:pPr>
      <w:r w:rsidRPr="00684CF8">
        <w:t>190.</w:t>
      </w:r>
      <w:r w:rsidRPr="00684CF8">
        <w:tab/>
        <w:t>Основные положения, касающиеся обязанностей Верховного суда, изложены в Конституции Финляндии, Законе о Верховном суде (665/2005) и Кодексе судопроизводства (4/1734).</w:t>
      </w:r>
    </w:p>
    <w:p w14:paraId="3434A8F4" w14:textId="77777777" w:rsidR="0003138D" w:rsidRPr="00684CF8" w:rsidRDefault="0003138D" w:rsidP="0003138D">
      <w:pPr>
        <w:pStyle w:val="1"/>
        <w:spacing w:before="240" w:after="120"/>
        <w:ind w:left="1134" w:hanging="1134"/>
        <w:jc w:val="left"/>
      </w:pPr>
      <w:r w:rsidRPr="00684CF8">
        <w:rPr>
          <w:b w:val="0"/>
          <w:bCs w:val="0"/>
        </w:rPr>
        <w:tab/>
      </w:r>
      <w:r w:rsidRPr="00684CF8">
        <w:rPr>
          <w:b w:val="0"/>
          <w:bCs w:val="0"/>
        </w:rPr>
        <w:tab/>
        <w:t>Таблица 10</w:t>
      </w:r>
      <w:r w:rsidRPr="00684CF8">
        <w:rPr>
          <w:b w:val="0"/>
          <w:bCs w:val="0"/>
        </w:rPr>
        <w:br/>
      </w:r>
      <w:r w:rsidRPr="00684CF8">
        <w:t xml:space="preserve">Полученные, рассмотренные и находящиеся на рассмотрении Верховного суда </w:t>
      </w:r>
      <w:r w:rsidRPr="00684CF8">
        <w:br/>
        <w:t xml:space="preserve">дела, а также разрешения на обжалование принятых и опубликованных </w:t>
      </w:r>
      <w:r w:rsidRPr="00684CF8">
        <w:br/>
        <w:t>решений и устных слушаний в 2007–2018 годах</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708"/>
        <w:gridCol w:w="993"/>
        <w:gridCol w:w="1134"/>
        <w:gridCol w:w="850"/>
        <w:gridCol w:w="851"/>
        <w:gridCol w:w="850"/>
        <w:gridCol w:w="851"/>
        <w:gridCol w:w="1134"/>
        <w:gridCol w:w="708"/>
      </w:tblGrid>
      <w:tr w:rsidR="0003138D" w:rsidRPr="00684CF8" w14:paraId="54B2DD8B" w14:textId="77777777" w:rsidTr="00347795">
        <w:trPr>
          <w:tblHeader/>
        </w:trPr>
        <w:tc>
          <w:tcPr>
            <w:tcW w:w="426" w:type="dxa"/>
            <w:vMerge w:val="restart"/>
            <w:tcBorders>
              <w:top w:val="single" w:sz="4" w:space="0" w:color="auto"/>
            </w:tcBorders>
            <w:shd w:val="clear" w:color="auto" w:fill="auto"/>
            <w:vAlign w:val="bottom"/>
          </w:tcPr>
          <w:p w14:paraId="634272B4" w14:textId="77777777" w:rsidR="0003138D" w:rsidRPr="00684CF8" w:rsidRDefault="0003138D" w:rsidP="0003138D">
            <w:pPr>
              <w:spacing w:before="80" w:after="80" w:line="200" w:lineRule="exact"/>
              <w:rPr>
                <w:bCs/>
                <w:i/>
                <w:sz w:val="15"/>
                <w:szCs w:val="15"/>
              </w:rPr>
            </w:pPr>
            <w:r w:rsidRPr="00684CF8">
              <w:rPr>
                <w:i/>
                <w:iCs/>
                <w:sz w:val="15"/>
                <w:szCs w:val="15"/>
              </w:rPr>
              <w:t>Год</w:t>
            </w:r>
          </w:p>
        </w:tc>
        <w:tc>
          <w:tcPr>
            <w:tcW w:w="708" w:type="dxa"/>
            <w:vMerge w:val="restart"/>
            <w:tcBorders>
              <w:top w:val="single" w:sz="4" w:space="0" w:color="auto"/>
            </w:tcBorders>
            <w:shd w:val="clear" w:color="auto" w:fill="auto"/>
            <w:vAlign w:val="bottom"/>
          </w:tcPr>
          <w:p w14:paraId="073749F9" w14:textId="77777777" w:rsidR="0003138D" w:rsidRPr="00684CF8" w:rsidRDefault="0003138D" w:rsidP="0003138D">
            <w:pPr>
              <w:spacing w:before="80" w:after="80" w:line="200" w:lineRule="exact"/>
              <w:jc w:val="right"/>
              <w:rPr>
                <w:bCs/>
                <w:i/>
                <w:sz w:val="15"/>
                <w:szCs w:val="15"/>
              </w:rPr>
            </w:pPr>
            <w:r w:rsidRPr="00684CF8">
              <w:rPr>
                <w:i/>
                <w:iCs/>
                <w:sz w:val="15"/>
                <w:szCs w:val="15"/>
              </w:rPr>
              <w:t>Получено</w:t>
            </w:r>
          </w:p>
        </w:tc>
        <w:tc>
          <w:tcPr>
            <w:tcW w:w="993" w:type="dxa"/>
            <w:vMerge w:val="restart"/>
            <w:tcBorders>
              <w:top w:val="single" w:sz="4" w:space="0" w:color="auto"/>
            </w:tcBorders>
            <w:shd w:val="clear" w:color="auto" w:fill="auto"/>
            <w:vAlign w:val="bottom"/>
          </w:tcPr>
          <w:p w14:paraId="6F1D7C1E" w14:textId="77777777" w:rsidR="0003138D" w:rsidRPr="00684CF8" w:rsidRDefault="0003138D" w:rsidP="0003138D">
            <w:pPr>
              <w:spacing w:before="80" w:after="80" w:line="200" w:lineRule="exact"/>
              <w:jc w:val="right"/>
              <w:rPr>
                <w:bCs/>
                <w:i/>
                <w:sz w:val="15"/>
                <w:szCs w:val="15"/>
              </w:rPr>
            </w:pPr>
            <w:r w:rsidRPr="00684CF8">
              <w:rPr>
                <w:i/>
                <w:iCs/>
                <w:sz w:val="15"/>
                <w:szCs w:val="15"/>
              </w:rPr>
              <w:t>Рассмотрено</w:t>
            </w:r>
          </w:p>
        </w:tc>
        <w:tc>
          <w:tcPr>
            <w:tcW w:w="1134" w:type="dxa"/>
            <w:vMerge w:val="restart"/>
            <w:tcBorders>
              <w:top w:val="single" w:sz="4" w:space="0" w:color="auto"/>
            </w:tcBorders>
            <w:shd w:val="clear" w:color="auto" w:fill="auto"/>
            <w:vAlign w:val="bottom"/>
          </w:tcPr>
          <w:p w14:paraId="592F809C" w14:textId="77777777" w:rsidR="0003138D" w:rsidRPr="00684CF8" w:rsidRDefault="0003138D" w:rsidP="0003138D">
            <w:pPr>
              <w:spacing w:before="80" w:after="80" w:line="200" w:lineRule="exact"/>
              <w:jc w:val="right"/>
              <w:rPr>
                <w:bCs/>
                <w:i/>
                <w:sz w:val="15"/>
                <w:szCs w:val="15"/>
              </w:rPr>
            </w:pPr>
            <w:r w:rsidRPr="00684CF8">
              <w:rPr>
                <w:i/>
                <w:iCs/>
                <w:sz w:val="15"/>
                <w:szCs w:val="15"/>
              </w:rPr>
              <w:t>В процессе рассмотрения</w:t>
            </w:r>
          </w:p>
        </w:tc>
        <w:tc>
          <w:tcPr>
            <w:tcW w:w="3402" w:type="dxa"/>
            <w:gridSpan w:val="4"/>
            <w:tcBorders>
              <w:top w:val="single" w:sz="4" w:space="0" w:color="auto"/>
              <w:bottom w:val="single" w:sz="4" w:space="0" w:color="auto"/>
            </w:tcBorders>
            <w:shd w:val="clear" w:color="auto" w:fill="auto"/>
            <w:vAlign w:val="bottom"/>
            <w:hideMark/>
          </w:tcPr>
          <w:p w14:paraId="0E65C84D" w14:textId="77777777" w:rsidR="0003138D" w:rsidRPr="00684CF8" w:rsidRDefault="0003138D" w:rsidP="0003138D">
            <w:pPr>
              <w:suppressAutoHyphens w:val="0"/>
              <w:spacing w:before="80" w:after="80" w:line="200" w:lineRule="exact"/>
              <w:jc w:val="center"/>
              <w:rPr>
                <w:bCs/>
                <w:i/>
                <w:sz w:val="15"/>
                <w:szCs w:val="15"/>
              </w:rPr>
            </w:pPr>
            <w:r w:rsidRPr="00684CF8">
              <w:rPr>
                <w:i/>
                <w:iCs/>
                <w:sz w:val="15"/>
                <w:szCs w:val="15"/>
              </w:rPr>
              <w:t xml:space="preserve">Количество удовлетворенных просьб </w:t>
            </w:r>
            <w:r w:rsidRPr="00684CF8">
              <w:rPr>
                <w:i/>
                <w:iCs/>
                <w:sz w:val="15"/>
                <w:szCs w:val="15"/>
              </w:rPr>
              <w:br/>
              <w:t>о подаче апелляции</w:t>
            </w:r>
          </w:p>
        </w:tc>
        <w:tc>
          <w:tcPr>
            <w:tcW w:w="1134" w:type="dxa"/>
            <w:vMerge w:val="restart"/>
            <w:tcBorders>
              <w:top w:val="single" w:sz="4" w:space="0" w:color="auto"/>
            </w:tcBorders>
            <w:shd w:val="clear" w:color="auto" w:fill="auto"/>
            <w:vAlign w:val="bottom"/>
            <w:hideMark/>
          </w:tcPr>
          <w:p w14:paraId="71C1ED77" w14:textId="77777777" w:rsidR="0003138D" w:rsidRPr="00684CF8" w:rsidRDefault="0003138D" w:rsidP="0003138D">
            <w:pPr>
              <w:suppressAutoHyphens w:val="0"/>
              <w:spacing w:before="80" w:after="80" w:line="200" w:lineRule="exact"/>
              <w:jc w:val="right"/>
              <w:rPr>
                <w:bCs/>
                <w:i/>
                <w:sz w:val="15"/>
                <w:szCs w:val="15"/>
              </w:rPr>
            </w:pPr>
            <w:r w:rsidRPr="00684CF8">
              <w:rPr>
                <w:i/>
                <w:iCs/>
                <w:sz w:val="15"/>
                <w:szCs w:val="15"/>
              </w:rPr>
              <w:t xml:space="preserve">Опубликованные </w:t>
            </w:r>
            <w:r w:rsidRPr="00684CF8">
              <w:rPr>
                <w:i/>
                <w:iCs/>
                <w:sz w:val="15"/>
                <w:szCs w:val="15"/>
              </w:rPr>
              <w:br/>
              <w:t>решения</w:t>
            </w:r>
          </w:p>
        </w:tc>
        <w:tc>
          <w:tcPr>
            <w:tcW w:w="708" w:type="dxa"/>
            <w:vMerge w:val="restart"/>
            <w:tcBorders>
              <w:top w:val="single" w:sz="4" w:space="0" w:color="auto"/>
            </w:tcBorders>
            <w:shd w:val="clear" w:color="auto" w:fill="auto"/>
            <w:vAlign w:val="bottom"/>
            <w:hideMark/>
          </w:tcPr>
          <w:p w14:paraId="37BFD09D" w14:textId="77777777" w:rsidR="0003138D" w:rsidRPr="00684CF8" w:rsidRDefault="0003138D" w:rsidP="0003138D">
            <w:pPr>
              <w:suppressAutoHyphens w:val="0"/>
              <w:spacing w:before="80" w:after="80" w:line="200" w:lineRule="exact"/>
              <w:jc w:val="right"/>
              <w:rPr>
                <w:bCs/>
                <w:i/>
                <w:sz w:val="15"/>
                <w:szCs w:val="15"/>
              </w:rPr>
            </w:pPr>
            <w:r w:rsidRPr="00684CF8">
              <w:rPr>
                <w:i/>
                <w:iCs/>
                <w:sz w:val="15"/>
                <w:szCs w:val="15"/>
              </w:rPr>
              <w:t xml:space="preserve">Устные </w:t>
            </w:r>
            <w:r w:rsidRPr="00684CF8">
              <w:rPr>
                <w:i/>
                <w:iCs/>
                <w:sz w:val="15"/>
                <w:szCs w:val="15"/>
              </w:rPr>
              <w:br/>
              <w:t>слушания</w:t>
            </w:r>
          </w:p>
        </w:tc>
      </w:tr>
      <w:tr w:rsidR="0003138D" w:rsidRPr="00684CF8" w14:paraId="0C70862F" w14:textId="77777777" w:rsidTr="00347795">
        <w:tc>
          <w:tcPr>
            <w:tcW w:w="426" w:type="dxa"/>
            <w:vMerge/>
            <w:tcBorders>
              <w:bottom w:val="single" w:sz="12" w:space="0" w:color="auto"/>
            </w:tcBorders>
            <w:shd w:val="clear" w:color="auto" w:fill="auto"/>
            <w:vAlign w:val="bottom"/>
          </w:tcPr>
          <w:p w14:paraId="6CE9F469" w14:textId="77777777" w:rsidR="0003138D" w:rsidRPr="00684CF8" w:rsidRDefault="0003138D" w:rsidP="0003138D">
            <w:pPr>
              <w:suppressAutoHyphens w:val="0"/>
              <w:spacing w:before="80" w:after="80" w:line="200" w:lineRule="exact"/>
              <w:rPr>
                <w:bCs/>
                <w:i/>
                <w:sz w:val="15"/>
                <w:szCs w:val="15"/>
              </w:rPr>
            </w:pPr>
          </w:p>
        </w:tc>
        <w:tc>
          <w:tcPr>
            <w:tcW w:w="708" w:type="dxa"/>
            <w:vMerge/>
            <w:tcBorders>
              <w:bottom w:val="single" w:sz="12" w:space="0" w:color="auto"/>
            </w:tcBorders>
            <w:shd w:val="clear" w:color="auto" w:fill="auto"/>
            <w:vAlign w:val="bottom"/>
          </w:tcPr>
          <w:p w14:paraId="665254F5" w14:textId="77777777" w:rsidR="0003138D" w:rsidRPr="00684CF8" w:rsidRDefault="0003138D" w:rsidP="0003138D">
            <w:pPr>
              <w:suppressAutoHyphens w:val="0"/>
              <w:spacing w:before="80" w:after="80" w:line="200" w:lineRule="exact"/>
              <w:jc w:val="right"/>
              <w:rPr>
                <w:bCs/>
                <w:i/>
                <w:sz w:val="15"/>
                <w:szCs w:val="15"/>
              </w:rPr>
            </w:pPr>
          </w:p>
        </w:tc>
        <w:tc>
          <w:tcPr>
            <w:tcW w:w="993" w:type="dxa"/>
            <w:vMerge/>
            <w:tcBorders>
              <w:bottom w:val="single" w:sz="12" w:space="0" w:color="auto"/>
            </w:tcBorders>
            <w:shd w:val="clear" w:color="auto" w:fill="auto"/>
            <w:vAlign w:val="bottom"/>
          </w:tcPr>
          <w:p w14:paraId="7F921BBC" w14:textId="77777777" w:rsidR="0003138D" w:rsidRPr="00684CF8" w:rsidRDefault="0003138D" w:rsidP="0003138D">
            <w:pPr>
              <w:suppressAutoHyphens w:val="0"/>
              <w:spacing w:before="80" w:after="80" w:line="200" w:lineRule="exact"/>
              <w:jc w:val="right"/>
              <w:rPr>
                <w:bCs/>
                <w:i/>
                <w:sz w:val="15"/>
                <w:szCs w:val="15"/>
              </w:rPr>
            </w:pPr>
          </w:p>
        </w:tc>
        <w:tc>
          <w:tcPr>
            <w:tcW w:w="1134" w:type="dxa"/>
            <w:vMerge/>
            <w:tcBorders>
              <w:bottom w:val="single" w:sz="12" w:space="0" w:color="auto"/>
            </w:tcBorders>
            <w:shd w:val="clear" w:color="auto" w:fill="auto"/>
            <w:vAlign w:val="bottom"/>
          </w:tcPr>
          <w:p w14:paraId="233EE83F" w14:textId="77777777" w:rsidR="0003138D" w:rsidRPr="00684CF8" w:rsidRDefault="0003138D" w:rsidP="0003138D">
            <w:pPr>
              <w:suppressAutoHyphens w:val="0"/>
              <w:spacing w:before="80" w:after="80" w:line="200" w:lineRule="exact"/>
              <w:jc w:val="right"/>
              <w:rPr>
                <w:bCs/>
                <w:i/>
                <w:sz w:val="15"/>
                <w:szCs w:val="15"/>
              </w:rPr>
            </w:pPr>
          </w:p>
        </w:tc>
        <w:tc>
          <w:tcPr>
            <w:tcW w:w="850" w:type="dxa"/>
            <w:tcBorders>
              <w:top w:val="single" w:sz="4" w:space="0" w:color="auto"/>
              <w:bottom w:val="single" w:sz="12" w:space="0" w:color="auto"/>
            </w:tcBorders>
            <w:shd w:val="clear" w:color="auto" w:fill="auto"/>
            <w:vAlign w:val="bottom"/>
            <w:hideMark/>
          </w:tcPr>
          <w:p w14:paraId="3F60708F" w14:textId="77777777" w:rsidR="0003138D" w:rsidRPr="00684CF8" w:rsidRDefault="0003138D" w:rsidP="0003138D">
            <w:pPr>
              <w:suppressAutoHyphens w:val="0"/>
              <w:spacing w:before="80" w:after="80" w:line="200" w:lineRule="exact"/>
              <w:jc w:val="right"/>
              <w:rPr>
                <w:bCs/>
                <w:i/>
                <w:sz w:val="15"/>
                <w:szCs w:val="15"/>
              </w:rPr>
            </w:pPr>
            <w:r w:rsidRPr="00684CF8">
              <w:rPr>
                <w:i/>
                <w:iCs/>
                <w:sz w:val="15"/>
                <w:szCs w:val="15"/>
              </w:rPr>
              <w:t>Гражданские дела</w:t>
            </w:r>
          </w:p>
        </w:tc>
        <w:tc>
          <w:tcPr>
            <w:tcW w:w="851" w:type="dxa"/>
            <w:tcBorders>
              <w:top w:val="single" w:sz="4" w:space="0" w:color="auto"/>
              <w:bottom w:val="single" w:sz="12" w:space="0" w:color="auto"/>
            </w:tcBorders>
            <w:shd w:val="clear" w:color="auto" w:fill="auto"/>
            <w:vAlign w:val="bottom"/>
            <w:hideMark/>
          </w:tcPr>
          <w:p w14:paraId="71CAF636" w14:textId="77777777" w:rsidR="0003138D" w:rsidRPr="00684CF8" w:rsidRDefault="0003138D" w:rsidP="0003138D">
            <w:pPr>
              <w:suppressAutoHyphens w:val="0"/>
              <w:spacing w:before="80" w:after="80" w:line="200" w:lineRule="exact"/>
              <w:jc w:val="right"/>
              <w:rPr>
                <w:bCs/>
                <w:i/>
                <w:sz w:val="15"/>
                <w:szCs w:val="15"/>
              </w:rPr>
            </w:pPr>
            <w:r w:rsidRPr="00684CF8">
              <w:rPr>
                <w:i/>
                <w:iCs/>
                <w:sz w:val="15"/>
                <w:szCs w:val="15"/>
              </w:rPr>
              <w:t>Земельные споры</w:t>
            </w:r>
          </w:p>
        </w:tc>
        <w:tc>
          <w:tcPr>
            <w:tcW w:w="850" w:type="dxa"/>
            <w:tcBorders>
              <w:top w:val="single" w:sz="4" w:space="0" w:color="auto"/>
              <w:bottom w:val="single" w:sz="12" w:space="0" w:color="auto"/>
            </w:tcBorders>
            <w:shd w:val="clear" w:color="auto" w:fill="auto"/>
            <w:vAlign w:val="bottom"/>
            <w:hideMark/>
          </w:tcPr>
          <w:p w14:paraId="125474C6" w14:textId="77777777" w:rsidR="0003138D" w:rsidRPr="00684CF8" w:rsidRDefault="0003138D" w:rsidP="0003138D">
            <w:pPr>
              <w:suppressAutoHyphens w:val="0"/>
              <w:spacing w:before="80" w:after="80" w:line="200" w:lineRule="exact"/>
              <w:jc w:val="right"/>
              <w:rPr>
                <w:bCs/>
                <w:i/>
                <w:sz w:val="15"/>
                <w:szCs w:val="15"/>
              </w:rPr>
            </w:pPr>
            <w:r w:rsidRPr="00684CF8">
              <w:rPr>
                <w:i/>
                <w:iCs/>
                <w:sz w:val="15"/>
                <w:szCs w:val="15"/>
              </w:rPr>
              <w:t xml:space="preserve">Страховые </w:t>
            </w:r>
            <w:r w:rsidRPr="00684CF8">
              <w:rPr>
                <w:i/>
                <w:iCs/>
                <w:sz w:val="15"/>
                <w:szCs w:val="15"/>
              </w:rPr>
              <w:br/>
              <w:t>случаи</w:t>
            </w:r>
          </w:p>
        </w:tc>
        <w:tc>
          <w:tcPr>
            <w:tcW w:w="851" w:type="dxa"/>
            <w:tcBorders>
              <w:top w:val="nil"/>
              <w:bottom w:val="single" w:sz="12" w:space="0" w:color="auto"/>
            </w:tcBorders>
            <w:shd w:val="clear" w:color="auto" w:fill="auto"/>
            <w:vAlign w:val="bottom"/>
            <w:hideMark/>
          </w:tcPr>
          <w:p w14:paraId="4D108CD9" w14:textId="77777777" w:rsidR="0003138D" w:rsidRPr="00684CF8" w:rsidRDefault="0003138D" w:rsidP="0003138D">
            <w:pPr>
              <w:suppressAutoHyphens w:val="0"/>
              <w:spacing w:before="80" w:after="80" w:line="200" w:lineRule="exact"/>
              <w:jc w:val="right"/>
              <w:rPr>
                <w:bCs/>
                <w:i/>
                <w:sz w:val="15"/>
                <w:szCs w:val="15"/>
              </w:rPr>
            </w:pPr>
            <w:r w:rsidRPr="00684CF8">
              <w:rPr>
                <w:i/>
                <w:iCs/>
                <w:sz w:val="15"/>
                <w:szCs w:val="15"/>
              </w:rPr>
              <w:t xml:space="preserve">Уголовные </w:t>
            </w:r>
            <w:r w:rsidRPr="00684CF8">
              <w:rPr>
                <w:i/>
                <w:iCs/>
                <w:sz w:val="15"/>
                <w:szCs w:val="15"/>
              </w:rPr>
              <w:br/>
              <w:t>дела</w:t>
            </w:r>
          </w:p>
        </w:tc>
        <w:tc>
          <w:tcPr>
            <w:tcW w:w="1134" w:type="dxa"/>
            <w:vMerge/>
            <w:shd w:val="clear" w:color="auto" w:fill="auto"/>
            <w:vAlign w:val="bottom"/>
          </w:tcPr>
          <w:p w14:paraId="0EF82E29" w14:textId="77777777" w:rsidR="0003138D" w:rsidRPr="00684CF8" w:rsidRDefault="0003138D" w:rsidP="0003138D">
            <w:pPr>
              <w:suppressAutoHyphens w:val="0"/>
              <w:spacing w:before="80" w:after="80" w:line="200" w:lineRule="exact"/>
              <w:jc w:val="right"/>
              <w:rPr>
                <w:bCs/>
                <w:i/>
                <w:sz w:val="15"/>
                <w:szCs w:val="15"/>
              </w:rPr>
            </w:pPr>
          </w:p>
        </w:tc>
        <w:tc>
          <w:tcPr>
            <w:tcW w:w="708" w:type="dxa"/>
            <w:vMerge/>
            <w:shd w:val="clear" w:color="auto" w:fill="auto"/>
            <w:vAlign w:val="bottom"/>
          </w:tcPr>
          <w:p w14:paraId="620F9FC0" w14:textId="77777777" w:rsidR="0003138D" w:rsidRPr="00684CF8" w:rsidRDefault="0003138D" w:rsidP="0003138D">
            <w:pPr>
              <w:suppressAutoHyphens w:val="0"/>
              <w:spacing w:before="80" w:after="80" w:line="200" w:lineRule="exact"/>
              <w:jc w:val="right"/>
              <w:rPr>
                <w:bCs/>
                <w:i/>
                <w:sz w:val="15"/>
                <w:szCs w:val="15"/>
              </w:rPr>
            </w:pPr>
          </w:p>
        </w:tc>
      </w:tr>
      <w:tr w:rsidR="0003138D" w:rsidRPr="00684CF8" w14:paraId="22FB79E1" w14:textId="77777777" w:rsidTr="00347795">
        <w:tc>
          <w:tcPr>
            <w:tcW w:w="426" w:type="dxa"/>
            <w:tcBorders>
              <w:top w:val="single" w:sz="12" w:space="0" w:color="auto"/>
            </w:tcBorders>
            <w:shd w:val="clear" w:color="auto" w:fill="auto"/>
            <w:hideMark/>
          </w:tcPr>
          <w:p w14:paraId="53D86F19" w14:textId="77777777" w:rsidR="0003138D" w:rsidRPr="00684CF8" w:rsidRDefault="0003138D" w:rsidP="0003138D">
            <w:pPr>
              <w:suppressAutoHyphens w:val="0"/>
              <w:spacing w:before="40" w:after="40" w:line="220" w:lineRule="atLeast"/>
              <w:rPr>
                <w:sz w:val="18"/>
                <w:szCs w:val="18"/>
              </w:rPr>
            </w:pPr>
            <w:r w:rsidRPr="00684CF8">
              <w:rPr>
                <w:sz w:val="18"/>
                <w:szCs w:val="24"/>
              </w:rPr>
              <w:t>2007</w:t>
            </w:r>
          </w:p>
        </w:tc>
        <w:tc>
          <w:tcPr>
            <w:tcW w:w="708" w:type="dxa"/>
            <w:tcBorders>
              <w:top w:val="single" w:sz="12" w:space="0" w:color="auto"/>
            </w:tcBorders>
            <w:shd w:val="clear" w:color="auto" w:fill="auto"/>
            <w:vAlign w:val="bottom"/>
            <w:hideMark/>
          </w:tcPr>
          <w:p w14:paraId="312AEA80"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2 923</w:t>
            </w:r>
          </w:p>
        </w:tc>
        <w:tc>
          <w:tcPr>
            <w:tcW w:w="993" w:type="dxa"/>
            <w:tcBorders>
              <w:top w:val="single" w:sz="12" w:space="0" w:color="auto"/>
            </w:tcBorders>
            <w:shd w:val="clear" w:color="auto" w:fill="auto"/>
            <w:vAlign w:val="bottom"/>
            <w:hideMark/>
          </w:tcPr>
          <w:p w14:paraId="5672F0D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2 848</w:t>
            </w:r>
          </w:p>
        </w:tc>
        <w:tc>
          <w:tcPr>
            <w:tcW w:w="1134" w:type="dxa"/>
            <w:tcBorders>
              <w:top w:val="single" w:sz="12" w:space="0" w:color="auto"/>
            </w:tcBorders>
            <w:shd w:val="clear" w:color="auto" w:fill="auto"/>
            <w:vAlign w:val="bottom"/>
            <w:hideMark/>
          </w:tcPr>
          <w:p w14:paraId="128F2940"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1 075</w:t>
            </w:r>
          </w:p>
        </w:tc>
        <w:tc>
          <w:tcPr>
            <w:tcW w:w="850" w:type="dxa"/>
            <w:tcBorders>
              <w:top w:val="single" w:sz="12" w:space="0" w:color="auto"/>
            </w:tcBorders>
            <w:shd w:val="clear" w:color="auto" w:fill="auto"/>
            <w:vAlign w:val="bottom"/>
            <w:hideMark/>
          </w:tcPr>
          <w:p w14:paraId="192E435C"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74</w:t>
            </w:r>
          </w:p>
        </w:tc>
        <w:tc>
          <w:tcPr>
            <w:tcW w:w="851" w:type="dxa"/>
            <w:tcBorders>
              <w:top w:val="single" w:sz="12" w:space="0" w:color="auto"/>
            </w:tcBorders>
            <w:shd w:val="clear" w:color="auto" w:fill="auto"/>
            <w:vAlign w:val="bottom"/>
            <w:hideMark/>
          </w:tcPr>
          <w:p w14:paraId="1EDAE25C"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w:t>
            </w:r>
          </w:p>
        </w:tc>
        <w:tc>
          <w:tcPr>
            <w:tcW w:w="850" w:type="dxa"/>
            <w:tcBorders>
              <w:top w:val="single" w:sz="12" w:space="0" w:color="auto"/>
            </w:tcBorders>
            <w:shd w:val="clear" w:color="auto" w:fill="auto"/>
            <w:vAlign w:val="bottom"/>
            <w:hideMark/>
          </w:tcPr>
          <w:p w14:paraId="4E2AB74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11</w:t>
            </w:r>
          </w:p>
        </w:tc>
        <w:tc>
          <w:tcPr>
            <w:tcW w:w="851" w:type="dxa"/>
            <w:tcBorders>
              <w:top w:val="single" w:sz="12" w:space="0" w:color="auto"/>
            </w:tcBorders>
            <w:shd w:val="clear" w:color="auto" w:fill="auto"/>
            <w:vAlign w:val="bottom"/>
            <w:hideMark/>
          </w:tcPr>
          <w:p w14:paraId="57C58F5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66</w:t>
            </w:r>
          </w:p>
        </w:tc>
        <w:tc>
          <w:tcPr>
            <w:tcW w:w="1134" w:type="dxa"/>
            <w:tcBorders>
              <w:top w:val="single" w:sz="12" w:space="0" w:color="auto"/>
            </w:tcBorders>
            <w:shd w:val="clear" w:color="auto" w:fill="auto"/>
            <w:vAlign w:val="bottom"/>
            <w:hideMark/>
          </w:tcPr>
          <w:p w14:paraId="5119863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106</w:t>
            </w:r>
          </w:p>
        </w:tc>
        <w:tc>
          <w:tcPr>
            <w:tcW w:w="708" w:type="dxa"/>
            <w:tcBorders>
              <w:top w:val="single" w:sz="12" w:space="0" w:color="auto"/>
            </w:tcBorders>
            <w:shd w:val="clear" w:color="auto" w:fill="auto"/>
            <w:vAlign w:val="bottom"/>
            <w:hideMark/>
          </w:tcPr>
          <w:p w14:paraId="5B3F35B0"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8</w:t>
            </w:r>
          </w:p>
        </w:tc>
      </w:tr>
      <w:tr w:rsidR="0003138D" w:rsidRPr="00684CF8" w14:paraId="1D7C998E" w14:textId="77777777" w:rsidTr="00347795">
        <w:tc>
          <w:tcPr>
            <w:tcW w:w="426" w:type="dxa"/>
            <w:shd w:val="clear" w:color="auto" w:fill="auto"/>
            <w:hideMark/>
          </w:tcPr>
          <w:p w14:paraId="247F7785" w14:textId="77777777" w:rsidR="0003138D" w:rsidRPr="00684CF8" w:rsidRDefault="0003138D" w:rsidP="0003138D">
            <w:pPr>
              <w:suppressAutoHyphens w:val="0"/>
              <w:spacing w:before="40" w:after="40" w:line="220" w:lineRule="atLeast"/>
              <w:rPr>
                <w:sz w:val="18"/>
                <w:szCs w:val="18"/>
              </w:rPr>
            </w:pPr>
            <w:r w:rsidRPr="00684CF8">
              <w:rPr>
                <w:sz w:val="18"/>
                <w:szCs w:val="24"/>
              </w:rPr>
              <w:t>2008</w:t>
            </w:r>
          </w:p>
        </w:tc>
        <w:tc>
          <w:tcPr>
            <w:tcW w:w="708" w:type="dxa"/>
            <w:shd w:val="clear" w:color="auto" w:fill="auto"/>
            <w:vAlign w:val="bottom"/>
            <w:hideMark/>
          </w:tcPr>
          <w:p w14:paraId="4918E76F"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2 922</w:t>
            </w:r>
          </w:p>
        </w:tc>
        <w:tc>
          <w:tcPr>
            <w:tcW w:w="993" w:type="dxa"/>
            <w:shd w:val="clear" w:color="auto" w:fill="auto"/>
            <w:vAlign w:val="bottom"/>
            <w:hideMark/>
          </w:tcPr>
          <w:p w14:paraId="5B73570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2 876</w:t>
            </w:r>
          </w:p>
        </w:tc>
        <w:tc>
          <w:tcPr>
            <w:tcW w:w="1134" w:type="dxa"/>
            <w:shd w:val="clear" w:color="auto" w:fill="auto"/>
            <w:vAlign w:val="bottom"/>
            <w:hideMark/>
          </w:tcPr>
          <w:p w14:paraId="72DF83B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1 125</w:t>
            </w:r>
          </w:p>
        </w:tc>
        <w:tc>
          <w:tcPr>
            <w:tcW w:w="850" w:type="dxa"/>
            <w:shd w:val="clear" w:color="auto" w:fill="auto"/>
            <w:vAlign w:val="bottom"/>
            <w:hideMark/>
          </w:tcPr>
          <w:p w14:paraId="03CDA05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65</w:t>
            </w:r>
          </w:p>
        </w:tc>
        <w:tc>
          <w:tcPr>
            <w:tcW w:w="851" w:type="dxa"/>
            <w:shd w:val="clear" w:color="auto" w:fill="auto"/>
            <w:vAlign w:val="bottom"/>
            <w:hideMark/>
          </w:tcPr>
          <w:p w14:paraId="028DB3F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w:t>
            </w:r>
          </w:p>
        </w:tc>
        <w:tc>
          <w:tcPr>
            <w:tcW w:w="850" w:type="dxa"/>
            <w:shd w:val="clear" w:color="auto" w:fill="auto"/>
            <w:vAlign w:val="bottom"/>
            <w:hideMark/>
          </w:tcPr>
          <w:p w14:paraId="113E4D6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9</w:t>
            </w:r>
          </w:p>
        </w:tc>
        <w:tc>
          <w:tcPr>
            <w:tcW w:w="851" w:type="dxa"/>
            <w:shd w:val="clear" w:color="auto" w:fill="auto"/>
            <w:vAlign w:val="bottom"/>
            <w:hideMark/>
          </w:tcPr>
          <w:p w14:paraId="1E2BF1C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69</w:t>
            </w:r>
          </w:p>
        </w:tc>
        <w:tc>
          <w:tcPr>
            <w:tcW w:w="1134" w:type="dxa"/>
            <w:shd w:val="clear" w:color="auto" w:fill="auto"/>
            <w:vAlign w:val="bottom"/>
            <w:hideMark/>
          </w:tcPr>
          <w:p w14:paraId="16E7918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119</w:t>
            </w:r>
          </w:p>
        </w:tc>
        <w:tc>
          <w:tcPr>
            <w:tcW w:w="708" w:type="dxa"/>
            <w:shd w:val="clear" w:color="auto" w:fill="auto"/>
            <w:vAlign w:val="bottom"/>
            <w:hideMark/>
          </w:tcPr>
          <w:p w14:paraId="4CC7866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3</w:t>
            </w:r>
          </w:p>
        </w:tc>
      </w:tr>
      <w:tr w:rsidR="0003138D" w:rsidRPr="00684CF8" w14:paraId="28DADB18" w14:textId="77777777" w:rsidTr="00347795">
        <w:tc>
          <w:tcPr>
            <w:tcW w:w="426" w:type="dxa"/>
            <w:shd w:val="clear" w:color="auto" w:fill="auto"/>
            <w:hideMark/>
          </w:tcPr>
          <w:p w14:paraId="501B9887" w14:textId="77777777" w:rsidR="0003138D" w:rsidRPr="00684CF8" w:rsidRDefault="0003138D" w:rsidP="0003138D">
            <w:pPr>
              <w:suppressAutoHyphens w:val="0"/>
              <w:spacing w:before="40" w:after="40" w:line="220" w:lineRule="atLeast"/>
              <w:rPr>
                <w:sz w:val="18"/>
                <w:szCs w:val="18"/>
              </w:rPr>
            </w:pPr>
            <w:r w:rsidRPr="00684CF8">
              <w:rPr>
                <w:sz w:val="18"/>
                <w:szCs w:val="24"/>
              </w:rPr>
              <w:t>2009</w:t>
            </w:r>
          </w:p>
        </w:tc>
        <w:tc>
          <w:tcPr>
            <w:tcW w:w="708" w:type="dxa"/>
            <w:shd w:val="clear" w:color="auto" w:fill="auto"/>
            <w:vAlign w:val="bottom"/>
            <w:hideMark/>
          </w:tcPr>
          <w:p w14:paraId="4DB758DF"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2 721</w:t>
            </w:r>
          </w:p>
        </w:tc>
        <w:tc>
          <w:tcPr>
            <w:tcW w:w="993" w:type="dxa"/>
            <w:shd w:val="clear" w:color="auto" w:fill="auto"/>
            <w:vAlign w:val="bottom"/>
            <w:hideMark/>
          </w:tcPr>
          <w:p w14:paraId="0DD9371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2 629</w:t>
            </w:r>
          </w:p>
        </w:tc>
        <w:tc>
          <w:tcPr>
            <w:tcW w:w="1134" w:type="dxa"/>
            <w:shd w:val="clear" w:color="auto" w:fill="auto"/>
            <w:vAlign w:val="bottom"/>
            <w:hideMark/>
          </w:tcPr>
          <w:p w14:paraId="6122F2D3"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1 220</w:t>
            </w:r>
          </w:p>
        </w:tc>
        <w:tc>
          <w:tcPr>
            <w:tcW w:w="850" w:type="dxa"/>
            <w:shd w:val="clear" w:color="auto" w:fill="auto"/>
            <w:vAlign w:val="bottom"/>
            <w:hideMark/>
          </w:tcPr>
          <w:p w14:paraId="14CA6C7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80</w:t>
            </w:r>
          </w:p>
        </w:tc>
        <w:tc>
          <w:tcPr>
            <w:tcW w:w="851" w:type="dxa"/>
            <w:shd w:val="clear" w:color="auto" w:fill="auto"/>
            <w:vAlign w:val="bottom"/>
            <w:hideMark/>
          </w:tcPr>
          <w:p w14:paraId="34AF9C3F"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w:t>
            </w:r>
          </w:p>
        </w:tc>
        <w:tc>
          <w:tcPr>
            <w:tcW w:w="850" w:type="dxa"/>
            <w:shd w:val="clear" w:color="auto" w:fill="auto"/>
            <w:vAlign w:val="bottom"/>
            <w:hideMark/>
          </w:tcPr>
          <w:p w14:paraId="5009EB43"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w:t>
            </w:r>
          </w:p>
        </w:tc>
        <w:tc>
          <w:tcPr>
            <w:tcW w:w="851" w:type="dxa"/>
            <w:shd w:val="clear" w:color="auto" w:fill="auto"/>
            <w:vAlign w:val="bottom"/>
            <w:hideMark/>
          </w:tcPr>
          <w:p w14:paraId="2793430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55</w:t>
            </w:r>
          </w:p>
        </w:tc>
        <w:tc>
          <w:tcPr>
            <w:tcW w:w="1134" w:type="dxa"/>
            <w:shd w:val="clear" w:color="auto" w:fill="auto"/>
            <w:vAlign w:val="bottom"/>
            <w:hideMark/>
          </w:tcPr>
          <w:p w14:paraId="577F4DA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94</w:t>
            </w:r>
          </w:p>
        </w:tc>
        <w:tc>
          <w:tcPr>
            <w:tcW w:w="708" w:type="dxa"/>
            <w:shd w:val="clear" w:color="auto" w:fill="auto"/>
            <w:vAlign w:val="bottom"/>
            <w:hideMark/>
          </w:tcPr>
          <w:p w14:paraId="49D26E3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w:t>
            </w:r>
          </w:p>
        </w:tc>
      </w:tr>
      <w:tr w:rsidR="0003138D" w:rsidRPr="00684CF8" w14:paraId="756FA9D5" w14:textId="77777777" w:rsidTr="00347795">
        <w:tc>
          <w:tcPr>
            <w:tcW w:w="426" w:type="dxa"/>
            <w:shd w:val="clear" w:color="auto" w:fill="auto"/>
            <w:hideMark/>
          </w:tcPr>
          <w:p w14:paraId="6F13FA83" w14:textId="77777777" w:rsidR="0003138D" w:rsidRPr="00684CF8" w:rsidRDefault="0003138D" w:rsidP="0003138D">
            <w:pPr>
              <w:suppressAutoHyphens w:val="0"/>
              <w:spacing w:before="40" w:after="40" w:line="220" w:lineRule="atLeast"/>
              <w:rPr>
                <w:sz w:val="18"/>
                <w:szCs w:val="18"/>
              </w:rPr>
            </w:pPr>
            <w:r w:rsidRPr="00684CF8">
              <w:rPr>
                <w:sz w:val="18"/>
                <w:szCs w:val="24"/>
              </w:rPr>
              <w:t>2010</w:t>
            </w:r>
          </w:p>
        </w:tc>
        <w:tc>
          <w:tcPr>
            <w:tcW w:w="708" w:type="dxa"/>
            <w:shd w:val="clear" w:color="auto" w:fill="auto"/>
            <w:vAlign w:val="bottom"/>
            <w:hideMark/>
          </w:tcPr>
          <w:p w14:paraId="6C7E68C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2 709</w:t>
            </w:r>
          </w:p>
        </w:tc>
        <w:tc>
          <w:tcPr>
            <w:tcW w:w="993" w:type="dxa"/>
            <w:shd w:val="clear" w:color="auto" w:fill="auto"/>
            <w:vAlign w:val="bottom"/>
            <w:hideMark/>
          </w:tcPr>
          <w:p w14:paraId="4886776E"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2 499</w:t>
            </w:r>
          </w:p>
        </w:tc>
        <w:tc>
          <w:tcPr>
            <w:tcW w:w="1134" w:type="dxa"/>
            <w:shd w:val="clear" w:color="auto" w:fill="auto"/>
            <w:vAlign w:val="bottom"/>
            <w:hideMark/>
          </w:tcPr>
          <w:p w14:paraId="69A0886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1 431</w:t>
            </w:r>
          </w:p>
        </w:tc>
        <w:tc>
          <w:tcPr>
            <w:tcW w:w="850" w:type="dxa"/>
            <w:shd w:val="clear" w:color="auto" w:fill="auto"/>
            <w:vAlign w:val="bottom"/>
            <w:hideMark/>
          </w:tcPr>
          <w:p w14:paraId="4E9DE8A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63</w:t>
            </w:r>
          </w:p>
        </w:tc>
        <w:tc>
          <w:tcPr>
            <w:tcW w:w="851" w:type="dxa"/>
            <w:shd w:val="clear" w:color="auto" w:fill="auto"/>
            <w:vAlign w:val="bottom"/>
            <w:hideMark/>
          </w:tcPr>
          <w:p w14:paraId="1AF2431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w:t>
            </w:r>
          </w:p>
        </w:tc>
        <w:tc>
          <w:tcPr>
            <w:tcW w:w="850" w:type="dxa"/>
            <w:shd w:val="clear" w:color="auto" w:fill="auto"/>
            <w:vAlign w:val="bottom"/>
            <w:hideMark/>
          </w:tcPr>
          <w:p w14:paraId="5B0420E5"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24</w:t>
            </w:r>
          </w:p>
        </w:tc>
        <w:tc>
          <w:tcPr>
            <w:tcW w:w="851" w:type="dxa"/>
            <w:shd w:val="clear" w:color="auto" w:fill="auto"/>
            <w:vAlign w:val="bottom"/>
            <w:hideMark/>
          </w:tcPr>
          <w:p w14:paraId="486EC7BC"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71</w:t>
            </w:r>
          </w:p>
        </w:tc>
        <w:tc>
          <w:tcPr>
            <w:tcW w:w="1134" w:type="dxa"/>
            <w:shd w:val="clear" w:color="auto" w:fill="auto"/>
            <w:vAlign w:val="bottom"/>
            <w:hideMark/>
          </w:tcPr>
          <w:p w14:paraId="5CF1494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96</w:t>
            </w:r>
          </w:p>
        </w:tc>
        <w:tc>
          <w:tcPr>
            <w:tcW w:w="708" w:type="dxa"/>
            <w:shd w:val="clear" w:color="auto" w:fill="auto"/>
            <w:vAlign w:val="bottom"/>
            <w:hideMark/>
          </w:tcPr>
          <w:p w14:paraId="2F94AAF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13</w:t>
            </w:r>
          </w:p>
        </w:tc>
      </w:tr>
      <w:tr w:rsidR="0003138D" w:rsidRPr="00684CF8" w14:paraId="2A15A4A5" w14:textId="77777777" w:rsidTr="00347795">
        <w:tc>
          <w:tcPr>
            <w:tcW w:w="426" w:type="dxa"/>
            <w:shd w:val="clear" w:color="auto" w:fill="auto"/>
            <w:hideMark/>
          </w:tcPr>
          <w:p w14:paraId="57D343FE" w14:textId="77777777" w:rsidR="0003138D" w:rsidRPr="00684CF8" w:rsidRDefault="0003138D" w:rsidP="0003138D">
            <w:pPr>
              <w:suppressAutoHyphens w:val="0"/>
              <w:spacing w:before="40" w:after="40" w:line="220" w:lineRule="atLeast"/>
              <w:rPr>
                <w:sz w:val="18"/>
                <w:szCs w:val="18"/>
              </w:rPr>
            </w:pPr>
            <w:r w:rsidRPr="00684CF8">
              <w:rPr>
                <w:sz w:val="18"/>
                <w:szCs w:val="24"/>
              </w:rPr>
              <w:t>2011</w:t>
            </w:r>
          </w:p>
        </w:tc>
        <w:tc>
          <w:tcPr>
            <w:tcW w:w="708" w:type="dxa"/>
            <w:shd w:val="clear" w:color="auto" w:fill="auto"/>
            <w:vAlign w:val="bottom"/>
            <w:hideMark/>
          </w:tcPr>
          <w:p w14:paraId="5EE44B9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2 709</w:t>
            </w:r>
          </w:p>
        </w:tc>
        <w:tc>
          <w:tcPr>
            <w:tcW w:w="993" w:type="dxa"/>
            <w:shd w:val="clear" w:color="auto" w:fill="auto"/>
            <w:vAlign w:val="bottom"/>
            <w:hideMark/>
          </w:tcPr>
          <w:p w14:paraId="77353519"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2 854</w:t>
            </w:r>
          </w:p>
        </w:tc>
        <w:tc>
          <w:tcPr>
            <w:tcW w:w="1134" w:type="dxa"/>
            <w:shd w:val="clear" w:color="auto" w:fill="auto"/>
            <w:vAlign w:val="bottom"/>
            <w:hideMark/>
          </w:tcPr>
          <w:p w14:paraId="4F42FE5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1 289</w:t>
            </w:r>
          </w:p>
        </w:tc>
        <w:tc>
          <w:tcPr>
            <w:tcW w:w="850" w:type="dxa"/>
            <w:shd w:val="clear" w:color="auto" w:fill="auto"/>
            <w:vAlign w:val="bottom"/>
            <w:hideMark/>
          </w:tcPr>
          <w:p w14:paraId="582405A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77</w:t>
            </w:r>
          </w:p>
        </w:tc>
        <w:tc>
          <w:tcPr>
            <w:tcW w:w="851" w:type="dxa"/>
            <w:shd w:val="clear" w:color="auto" w:fill="auto"/>
            <w:vAlign w:val="bottom"/>
            <w:hideMark/>
          </w:tcPr>
          <w:p w14:paraId="78F8C9E7"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w:t>
            </w:r>
          </w:p>
        </w:tc>
        <w:tc>
          <w:tcPr>
            <w:tcW w:w="850" w:type="dxa"/>
            <w:shd w:val="clear" w:color="auto" w:fill="auto"/>
            <w:vAlign w:val="bottom"/>
            <w:hideMark/>
          </w:tcPr>
          <w:p w14:paraId="7B6689A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8</w:t>
            </w:r>
          </w:p>
        </w:tc>
        <w:tc>
          <w:tcPr>
            <w:tcW w:w="851" w:type="dxa"/>
            <w:shd w:val="clear" w:color="auto" w:fill="auto"/>
            <w:vAlign w:val="bottom"/>
            <w:hideMark/>
          </w:tcPr>
          <w:p w14:paraId="27BB59F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57</w:t>
            </w:r>
          </w:p>
        </w:tc>
        <w:tc>
          <w:tcPr>
            <w:tcW w:w="1134" w:type="dxa"/>
            <w:shd w:val="clear" w:color="auto" w:fill="auto"/>
            <w:vAlign w:val="bottom"/>
            <w:hideMark/>
          </w:tcPr>
          <w:p w14:paraId="5977C055"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111</w:t>
            </w:r>
          </w:p>
        </w:tc>
        <w:tc>
          <w:tcPr>
            <w:tcW w:w="708" w:type="dxa"/>
            <w:shd w:val="clear" w:color="auto" w:fill="auto"/>
            <w:vAlign w:val="bottom"/>
            <w:hideMark/>
          </w:tcPr>
          <w:p w14:paraId="621A680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w:t>
            </w:r>
          </w:p>
        </w:tc>
      </w:tr>
      <w:tr w:rsidR="0003138D" w:rsidRPr="00684CF8" w14:paraId="79486257" w14:textId="77777777" w:rsidTr="00347795">
        <w:tc>
          <w:tcPr>
            <w:tcW w:w="426" w:type="dxa"/>
            <w:tcBorders>
              <w:bottom w:val="nil"/>
            </w:tcBorders>
            <w:shd w:val="clear" w:color="auto" w:fill="auto"/>
            <w:hideMark/>
          </w:tcPr>
          <w:p w14:paraId="1B5A0817" w14:textId="77777777" w:rsidR="0003138D" w:rsidRPr="00684CF8" w:rsidRDefault="0003138D" w:rsidP="0003138D">
            <w:pPr>
              <w:suppressAutoHyphens w:val="0"/>
              <w:spacing w:before="40" w:after="40" w:line="220" w:lineRule="atLeast"/>
              <w:rPr>
                <w:sz w:val="18"/>
                <w:szCs w:val="18"/>
              </w:rPr>
            </w:pPr>
            <w:r w:rsidRPr="00684CF8">
              <w:rPr>
                <w:sz w:val="18"/>
                <w:szCs w:val="24"/>
              </w:rPr>
              <w:t>2012</w:t>
            </w:r>
          </w:p>
        </w:tc>
        <w:tc>
          <w:tcPr>
            <w:tcW w:w="708" w:type="dxa"/>
            <w:tcBorders>
              <w:bottom w:val="nil"/>
            </w:tcBorders>
            <w:shd w:val="clear" w:color="auto" w:fill="auto"/>
            <w:vAlign w:val="bottom"/>
            <w:hideMark/>
          </w:tcPr>
          <w:p w14:paraId="67F50C0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2 664</w:t>
            </w:r>
          </w:p>
        </w:tc>
        <w:tc>
          <w:tcPr>
            <w:tcW w:w="993" w:type="dxa"/>
            <w:tcBorders>
              <w:bottom w:val="nil"/>
            </w:tcBorders>
            <w:shd w:val="clear" w:color="auto" w:fill="auto"/>
            <w:vAlign w:val="bottom"/>
            <w:hideMark/>
          </w:tcPr>
          <w:p w14:paraId="3EDB792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2 640</w:t>
            </w:r>
          </w:p>
        </w:tc>
        <w:tc>
          <w:tcPr>
            <w:tcW w:w="1134" w:type="dxa"/>
            <w:tcBorders>
              <w:bottom w:val="nil"/>
            </w:tcBorders>
            <w:shd w:val="clear" w:color="auto" w:fill="auto"/>
            <w:vAlign w:val="bottom"/>
            <w:hideMark/>
          </w:tcPr>
          <w:p w14:paraId="04C3BCB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1 318</w:t>
            </w:r>
          </w:p>
        </w:tc>
        <w:tc>
          <w:tcPr>
            <w:tcW w:w="850" w:type="dxa"/>
            <w:tcBorders>
              <w:bottom w:val="nil"/>
            </w:tcBorders>
            <w:shd w:val="clear" w:color="auto" w:fill="auto"/>
            <w:vAlign w:val="bottom"/>
            <w:hideMark/>
          </w:tcPr>
          <w:p w14:paraId="642C63E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48</w:t>
            </w:r>
          </w:p>
        </w:tc>
        <w:tc>
          <w:tcPr>
            <w:tcW w:w="851" w:type="dxa"/>
            <w:tcBorders>
              <w:bottom w:val="nil"/>
            </w:tcBorders>
            <w:shd w:val="clear" w:color="auto" w:fill="auto"/>
            <w:vAlign w:val="bottom"/>
            <w:hideMark/>
          </w:tcPr>
          <w:p w14:paraId="16011BB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w:t>
            </w:r>
          </w:p>
        </w:tc>
        <w:tc>
          <w:tcPr>
            <w:tcW w:w="850" w:type="dxa"/>
            <w:tcBorders>
              <w:bottom w:val="nil"/>
            </w:tcBorders>
            <w:shd w:val="clear" w:color="auto" w:fill="auto"/>
            <w:vAlign w:val="bottom"/>
            <w:hideMark/>
          </w:tcPr>
          <w:p w14:paraId="4391E97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14</w:t>
            </w:r>
          </w:p>
        </w:tc>
        <w:tc>
          <w:tcPr>
            <w:tcW w:w="851" w:type="dxa"/>
            <w:tcBorders>
              <w:bottom w:val="nil"/>
            </w:tcBorders>
            <w:shd w:val="clear" w:color="auto" w:fill="auto"/>
            <w:vAlign w:val="bottom"/>
            <w:hideMark/>
          </w:tcPr>
          <w:p w14:paraId="4FB56E57"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73</w:t>
            </w:r>
          </w:p>
        </w:tc>
        <w:tc>
          <w:tcPr>
            <w:tcW w:w="1134" w:type="dxa"/>
            <w:tcBorders>
              <w:bottom w:val="nil"/>
            </w:tcBorders>
            <w:shd w:val="clear" w:color="auto" w:fill="auto"/>
            <w:vAlign w:val="bottom"/>
            <w:hideMark/>
          </w:tcPr>
          <w:p w14:paraId="7E56D4B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109</w:t>
            </w:r>
          </w:p>
        </w:tc>
        <w:tc>
          <w:tcPr>
            <w:tcW w:w="708" w:type="dxa"/>
            <w:tcBorders>
              <w:bottom w:val="nil"/>
            </w:tcBorders>
            <w:shd w:val="clear" w:color="auto" w:fill="auto"/>
            <w:vAlign w:val="bottom"/>
            <w:hideMark/>
          </w:tcPr>
          <w:p w14:paraId="642BA43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12</w:t>
            </w:r>
          </w:p>
        </w:tc>
      </w:tr>
      <w:tr w:rsidR="0003138D" w:rsidRPr="00684CF8" w14:paraId="75F08084" w14:textId="77777777" w:rsidTr="00347795">
        <w:tc>
          <w:tcPr>
            <w:tcW w:w="426" w:type="dxa"/>
            <w:tcBorders>
              <w:top w:val="nil"/>
              <w:bottom w:val="nil"/>
            </w:tcBorders>
            <w:shd w:val="clear" w:color="auto" w:fill="auto"/>
            <w:hideMark/>
          </w:tcPr>
          <w:p w14:paraId="68F1ADEC" w14:textId="77777777" w:rsidR="0003138D" w:rsidRPr="00684CF8" w:rsidRDefault="0003138D" w:rsidP="0003138D">
            <w:pPr>
              <w:suppressAutoHyphens w:val="0"/>
              <w:spacing w:before="40" w:after="40" w:line="220" w:lineRule="atLeast"/>
              <w:rPr>
                <w:sz w:val="18"/>
                <w:szCs w:val="18"/>
              </w:rPr>
            </w:pPr>
            <w:r w:rsidRPr="00684CF8">
              <w:rPr>
                <w:sz w:val="18"/>
                <w:szCs w:val="24"/>
              </w:rPr>
              <w:t>2013</w:t>
            </w:r>
          </w:p>
        </w:tc>
        <w:tc>
          <w:tcPr>
            <w:tcW w:w="708" w:type="dxa"/>
            <w:tcBorders>
              <w:top w:val="nil"/>
              <w:bottom w:val="nil"/>
            </w:tcBorders>
            <w:shd w:val="clear" w:color="auto" w:fill="auto"/>
            <w:vAlign w:val="bottom"/>
            <w:hideMark/>
          </w:tcPr>
          <w:p w14:paraId="1AAA1C9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2 553</w:t>
            </w:r>
          </w:p>
        </w:tc>
        <w:tc>
          <w:tcPr>
            <w:tcW w:w="993" w:type="dxa"/>
            <w:tcBorders>
              <w:top w:val="nil"/>
              <w:bottom w:val="nil"/>
            </w:tcBorders>
            <w:shd w:val="clear" w:color="auto" w:fill="auto"/>
            <w:vAlign w:val="bottom"/>
            <w:hideMark/>
          </w:tcPr>
          <w:p w14:paraId="0B169463"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2 582</w:t>
            </w:r>
          </w:p>
        </w:tc>
        <w:tc>
          <w:tcPr>
            <w:tcW w:w="1134" w:type="dxa"/>
            <w:tcBorders>
              <w:top w:val="nil"/>
              <w:bottom w:val="nil"/>
            </w:tcBorders>
            <w:shd w:val="clear" w:color="auto" w:fill="auto"/>
            <w:vAlign w:val="bottom"/>
            <w:hideMark/>
          </w:tcPr>
          <w:p w14:paraId="7C4745C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1 289</w:t>
            </w:r>
          </w:p>
        </w:tc>
        <w:tc>
          <w:tcPr>
            <w:tcW w:w="850" w:type="dxa"/>
            <w:tcBorders>
              <w:top w:val="nil"/>
              <w:bottom w:val="nil"/>
            </w:tcBorders>
            <w:shd w:val="clear" w:color="auto" w:fill="auto"/>
            <w:vAlign w:val="bottom"/>
            <w:hideMark/>
          </w:tcPr>
          <w:p w14:paraId="554D86E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46</w:t>
            </w:r>
          </w:p>
        </w:tc>
        <w:tc>
          <w:tcPr>
            <w:tcW w:w="851" w:type="dxa"/>
            <w:tcBorders>
              <w:top w:val="nil"/>
              <w:bottom w:val="nil"/>
            </w:tcBorders>
            <w:shd w:val="clear" w:color="auto" w:fill="auto"/>
            <w:vAlign w:val="bottom"/>
            <w:hideMark/>
          </w:tcPr>
          <w:p w14:paraId="1A3D96C0"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w:t>
            </w:r>
          </w:p>
        </w:tc>
        <w:tc>
          <w:tcPr>
            <w:tcW w:w="850" w:type="dxa"/>
            <w:tcBorders>
              <w:top w:val="nil"/>
              <w:bottom w:val="nil"/>
            </w:tcBorders>
            <w:shd w:val="clear" w:color="auto" w:fill="auto"/>
            <w:vAlign w:val="bottom"/>
            <w:hideMark/>
          </w:tcPr>
          <w:p w14:paraId="47CD1220"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9</w:t>
            </w:r>
          </w:p>
        </w:tc>
        <w:tc>
          <w:tcPr>
            <w:tcW w:w="851" w:type="dxa"/>
            <w:tcBorders>
              <w:top w:val="nil"/>
              <w:bottom w:val="nil"/>
            </w:tcBorders>
            <w:shd w:val="clear" w:color="auto" w:fill="auto"/>
            <w:vAlign w:val="bottom"/>
            <w:hideMark/>
          </w:tcPr>
          <w:p w14:paraId="213D2F5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73</w:t>
            </w:r>
          </w:p>
        </w:tc>
        <w:tc>
          <w:tcPr>
            <w:tcW w:w="1134" w:type="dxa"/>
            <w:tcBorders>
              <w:top w:val="nil"/>
              <w:bottom w:val="nil"/>
            </w:tcBorders>
            <w:shd w:val="clear" w:color="auto" w:fill="auto"/>
            <w:vAlign w:val="bottom"/>
            <w:hideMark/>
          </w:tcPr>
          <w:p w14:paraId="434CFA29"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102</w:t>
            </w:r>
          </w:p>
        </w:tc>
        <w:tc>
          <w:tcPr>
            <w:tcW w:w="708" w:type="dxa"/>
            <w:tcBorders>
              <w:top w:val="nil"/>
              <w:bottom w:val="nil"/>
            </w:tcBorders>
            <w:shd w:val="clear" w:color="auto" w:fill="auto"/>
            <w:vAlign w:val="bottom"/>
            <w:hideMark/>
          </w:tcPr>
          <w:p w14:paraId="7B25D88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13</w:t>
            </w:r>
          </w:p>
        </w:tc>
      </w:tr>
      <w:tr w:rsidR="0003138D" w:rsidRPr="00684CF8" w14:paraId="0B9D0501" w14:textId="77777777" w:rsidTr="00347795">
        <w:tc>
          <w:tcPr>
            <w:tcW w:w="426" w:type="dxa"/>
            <w:tcBorders>
              <w:top w:val="nil"/>
            </w:tcBorders>
            <w:shd w:val="clear" w:color="auto" w:fill="auto"/>
            <w:hideMark/>
          </w:tcPr>
          <w:p w14:paraId="267F4144" w14:textId="77777777" w:rsidR="0003138D" w:rsidRPr="00684CF8" w:rsidRDefault="0003138D" w:rsidP="0003138D">
            <w:pPr>
              <w:suppressAutoHyphens w:val="0"/>
              <w:spacing w:before="40" w:after="40" w:line="220" w:lineRule="atLeast"/>
              <w:rPr>
                <w:sz w:val="18"/>
                <w:szCs w:val="18"/>
              </w:rPr>
            </w:pPr>
            <w:r w:rsidRPr="00684CF8">
              <w:rPr>
                <w:sz w:val="18"/>
                <w:szCs w:val="24"/>
              </w:rPr>
              <w:t>2014</w:t>
            </w:r>
          </w:p>
        </w:tc>
        <w:tc>
          <w:tcPr>
            <w:tcW w:w="708" w:type="dxa"/>
            <w:tcBorders>
              <w:top w:val="nil"/>
            </w:tcBorders>
            <w:shd w:val="clear" w:color="auto" w:fill="auto"/>
            <w:vAlign w:val="bottom"/>
            <w:hideMark/>
          </w:tcPr>
          <w:p w14:paraId="7AF7842C"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2 611</w:t>
            </w:r>
          </w:p>
        </w:tc>
        <w:tc>
          <w:tcPr>
            <w:tcW w:w="993" w:type="dxa"/>
            <w:tcBorders>
              <w:top w:val="nil"/>
            </w:tcBorders>
            <w:shd w:val="clear" w:color="auto" w:fill="auto"/>
            <w:vAlign w:val="bottom"/>
            <w:hideMark/>
          </w:tcPr>
          <w:p w14:paraId="04968E37"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2 617</w:t>
            </w:r>
          </w:p>
        </w:tc>
        <w:tc>
          <w:tcPr>
            <w:tcW w:w="1134" w:type="dxa"/>
            <w:tcBorders>
              <w:top w:val="nil"/>
            </w:tcBorders>
            <w:shd w:val="clear" w:color="auto" w:fill="auto"/>
            <w:vAlign w:val="bottom"/>
            <w:hideMark/>
          </w:tcPr>
          <w:p w14:paraId="1EDA7BC5"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1 271</w:t>
            </w:r>
          </w:p>
        </w:tc>
        <w:tc>
          <w:tcPr>
            <w:tcW w:w="850" w:type="dxa"/>
            <w:tcBorders>
              <w:top w:val="nil"/>
            </w:tcBorders>
            <w:shd w:val="clear" w:color="auto" w:fill="auto"/>
            <w:vAlign w:val="bottom"/>
            <w:hideMark/>
          </w:tcPr>
          <w:p w14:paraId="3ECAF95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56</w:t>
            </w:r>
          </w:p>
        </w:tc>
        <w:tc>
          <w:tcPr>
            <w:tcW w:w="851" w:type="dxa"/>
            <w:tcBorders>
              <w:top w:val="nil"/>
            </w:tcBorders>
            <w:shd w:val="clear" w:color="auto" w:fill="auto"/>
            <w:vAlign w:val="bottom"/>
            <w:hideMark/>
          </w:tcPr>
          <w:p w14:paraId="0BCCC1CC"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w:t>
            </w:r>
          </w:p>
        </w:tc>
        <w:tc>
          <w:tcPr>
            <w:tcW w:w="850" w:type="dxa"/>
            <w:tcBorders>
              <w:top w:val="nil"/>
            </w:tcBorders>
            <w:shd w:val="clear" w:color="auto" w:fill="auto"/>
            <w:vAlign w:val="bottom"/>
            <w:hideMark/>
          </w:tcPr>
          <w:p w14:paraId="4933694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w:t>
            </w:r>
          </w:p>
        </w:tc>
        <w:tc>
          <w:tcPr>
            <w:tcW w:w="851" w:type="dxa"/>
            <w:tcBorders>
              <w:top w:val="nil"/>
            </w:tcBorders>
            <w:shd w:val="clear" w:color="auto" w:fill="auto"/>
            <w:vAlign w:val="bottom"/>
            <w:hideMark/>
          </w:tcPr>
          <w:p w14:paraId="5459BAA7"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60</w:t>
            </w:r>
          </w:p>
        </w:tc>
        <w:tc>
          <w:tcPr>
            <w:tcW w:w="1134" w:type="dxa"/>
            <w:tcBorders>
              <w:top w:val="nil"/>
            </w:tcBorders>
            <w:shd w:val="clear" w:color="auto" w:fill="auto"/>
            <w:vAlign w:val="bottom"/>
            <w:hideMark/>
          </w:tcPr>
          <w:p w14:paraId="115A82E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104</w:t>
            </w:r>
          </w:p>
        </w:tc>
        <w:tc>
          <w:tcPr>
            <w:tcW w:w="708" w:type="dxa"/>
            <w:tcBorders>
              <w:top w:val="nil"/>
            </w:tcBorders>
            <w:shd w:val="clear" w:color="auto" w:fill="auto"/>
            <w:vAlign w:val="bottom"/>
            <w:hideMark/>
          </w:tcPr>
          <w:p w14:paraId="585D3A93"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16</w:t>
            </w:r>
          </w:p>
        </w:tc>
      </w:tr>
      <w:tr w:rsidR="0003138D" w:rsidRPr="00684CF8" w14:paraId="5F80EC3E" w14:textId="77777777" w:rsidTr="00347795">
        <w:tc>
          <w:tcPr>
            <w:tcW w:w="426" w:type="dxa"/>
            <w:shd w:val="clear" w:color="auto" w:fill="auto"/>
            <w:hideMark/>
          </w:tcPr>
          <w:p w14:paraId="21D5A48C" w14:textId="77777777" w:rsidR="0003138D" w:rsidRPr="00684CF8" w:rsidRDefault="0003138D" w:rsidP="0003138D">
            <w:pPr>
              <w:suppressAutoHyphens w:val="0"/>
              <w:spacing w:before="40" w:after="40" w:line="220" w:lineRule="atLeast"/>
              <w:rPr>
                <w:sz w:val="18"/>
                <w:szCs w:val="18"/>
              </w:rPr>
            </w:pPr>
            <w:r w:rsidRPr="00684CF8">
              <w:rPr>
                <w:sz w:val="18"/>
                <w:szCs w:val="24"/>
              </w:rPr>
              <w:t>2015</w:t>
            </w:r>
          </w:p>
        </w:tc>
        <w:tc>
          <w:tcPr>
            <w:tcW w:w="708" w:type="dxa"/>
            <w:shd w:val="clear" w:color="auto" w:fill="auto"/>
            <w:vAlign w:val="bottom"/>
            <w:hideMark/>
          </w:tcPr>
          <w:p w14:paraId="1C1656A5"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2 456</w:t>
            </w:r>
          </w:p>
        </w:tc>
        <w:tc>
          <w:tcPr>
            <w:tcW w:w="993" w:type="dxa"/>
            <w:shd w:val="clear" w:color="auto" w:fill="auto"/>
            <w:vAlign w:val="bottom"/>
            <w:hideMark/>
          </w:tcPr>
          <w:p w14:paraId="2006ABDE"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2 378</w:t>
            </w:r>
          </w:p>
        </w:tc>
        <w:tc>
          <w:tcPr>
            <w:tcW w:w="1134" w:type="dxa"/>
            <w:shd w:val="clear" w:color="auto" w:fill="auto"/>
            <w:vAlign w:val="bottom"/>
            <w:hideMark/>
          </w:tcPr>
          <w:p w14:paraId="3AFC38C5"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1 364</w:t>
            </w:r>
          </w:p>
        </w:tc>
        <w:tc>
          <w:tcPr>
            <w:tcW w:w="850" w:type="dxa"/>
            <w:shd w:val="clear" w:color="auto" w:fill="auto"/>
            <w:vAlign w:val="bottom"/>
            <w:hideMark/>
          </w:tcPr>
          <w:p w14:paraId="791A9E3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54</w:t>
            </w:r>
          </w:p>
        </w:tc>
        <w:tc>
          <w:tcPr>
            <w:tcW w:w="851" w:type="dxa"/>
            <w:shd w:val="clear" w:color="auto" w:fill="auto"/>
            <w:vAlign w:val="bottom"/>
            <w:hideMark/>
          </w:tcPr>
          <w:p w14:paraId="0D350DE9"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3</w:t>
            </w:r>
          </w:p>
        </w:tc>
        <w:tc>
          <w:tcPr>
            <w:tcW w:w="850" w:type="dxa"/>
            <w:shd w:val="clear" w:color="auto" w:fill="auto"/>
            <w:vAlign w:val="bottom"/>
            <w:hideMark/>
          </w:tcPr>
          <w:p w14:paraId="47635A6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w:t>
            </w:r>
          </w:p>
        </w:tc>
        <w:tc>
          <w:tcPr>
            <w:tcW w:w="851" w:type="dxa"/>
            <w:shd w:val="clear" w:color="auto" w:fill="auto"/>
            <w:vAlign w:val="bottom"/>
            <w:hideMark/>
          </w:tcPr>
          <w:p w14:paraId="49908C3E"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40</w:t>
            </w:r>
          </w:p>
        </w:tc>
        <w:tc>
          <w:tcPr>
            <w:tcW w:w="1134" w:type="dxa"/>
            <w:shd w:val="clear" w:color="auto" w:fill="auto"/>
            <w:vAlign w:val="bottom"/>
            <w:hideMark/>
          </w:tcPr>
          <w:p w14:paraId="49610A67"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105</w:t>
            </w:r>
          </w:p>
        </w:tc>
        <w:tc>
          <w:tcPr>
            <w:tcW w:w="708" w:type="dxa"/>
            <w:shd w:val="clear" w:color="auto" w:fill="auto"/>
            <w:vAlign w:val="bottom"/>
            <w:hideMark/>
          </w:tcPr>
          <w:p w14:paraId="2AD8F02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w:t>
            </w:r>
          </w:p>
        </w:tc>
      </w:tr>
      <w:tr w:rsidR="0003138D" w:rsidRPr="00684CF8" w14:paraId="0F52324F" w14:textId="77777777" w:rsidTr="00347795">
        <w:tc>
          <w:tcPr>
            <w:tcW w:w="426" w:type="dxa"/>
            <w:shd w:val="clear" w:color="auto" w:fill="auto"/>
            <w:hideMark/>
          </w:tcPr>
          <w:p w14:paraId="6FF3E096" w14:textId="77777777" w:rsidR="0003138D" w:rsidRPr="00684CF8" w:rsidRDefault="0003138D" w:rsidP="0003138D">
            <w:pPr>
              <w:suppressAutoHyphens w:val="0"/>
              <w:spacing w:before="40" w:after="40" w:line="220" w:lineRule="atLeast"/>
              <w:rPr>
                <w:sz w:val="18"/>
                <w:szCs w:val="18"/>
              </w:rPr>
            </w:pPr>
            <w:r w:rsidRPr="00684CF8">
              <w:rPr>
                <w:sz w:val="18"/>
                <w:szCs w:val="24"/>
              </w:rPr>
              <w:t>2016</w:t>
            </w:r>
          </w:p>
        </w:tc>
        <w:tc>
          <w:tcPr>
            <w:tcW w:w="708" w:type="dxa"/>
            <w:shd w:val="clear" w:color="auto" w:fill="auto"/>
            <w:vAlign w:val="bottom"/>
            <w:hideMark/>
          </w:tcPr>
          <w:p w14:paraId="79FBC111"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2 449</w:t>
            </w:r>
          </w:p>
        </w:tc>
        <w:tc>
          <w:tcPr>
            <w:tcW w:w="993" w:type="dxa"/>
            <w:shd w:val="clear" w:color="auto" w:fill="auto"/>
            <w:vAlign w:val="bottom"/>
            <w:hideMark/>
          </w:tcPr>
          <w:p w14:paraId="4A2A9CA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2 563</w:t>
            </w:r>
          </w:p>
        </w:tc>
        <w:tc>
          <w:tcPr>
            <w:tcW w:w="1134" w:type="dxa"/>
            <w:shd w:val="clear" w:color="auto" w:fill="auto"/>
            <w:vAlign w:val="bottom"/>
            <w:hideMark/>
          </w:tcPr>
          <w:p w14:paraId="5FC815F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1 248</w:t>
            </w:r>
          </w:p>
        </w:tc>
        <w:tc>
          <w:tcPr>
            <w:tcW w:w="850" w:type="dxa"/>
            <w:shd w:val="clear" w:color="auto" w:fill="auto"/>
            <w:vAlign w:val="bottom"/>
            <w:hideMark/>
          </w:tcPr>
          <w:p w14:paraId="19FFB57F"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75</w:t>
            </w:r>
          </w:p>
        </w:tc>
        <w:tc>
          <w:tcPr>
            <w:tcW w:w="851" w:type="dxa"/>
            <w:shd w:val="clear" w:color="auto" w:fill="auto"/>
            <w:vAlign w:val="bottom"/>
            <w:hideMark/>
          </w:tcPr>
          <w:p w14:paraId="01E279E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w:t>
            </w:r>
          </w:p>
        </w:tc>
        <w:tc>
          <w:tcPr>
            <w:tcW w:w="850" w:type="dxa"/>
            <w:shd w:val="clear" w:color="auto" w:fill="auto"/>
            <w:vAlign w:val="bottom"/>
            <w:hideMark/>
          </w:tcPr>
          <w:p w14:paraId="686BE95C"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3</w:t>
            </w:r>
          </w:p>
        </w:tc>
        <w:tc>
          <w:tcPr>
            <w:tcW w:w="851" w:type="dxa"/>
            <w:shd w:val="clear" w:color="auto" w:fill="auto"/>
            <w:vAlign w:val="bottom"/>
            <w:hideMark/>
          </w:tcPr>
          <w:p w14:paraId="0EE4691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60</w:t>
            </w:r>
          </w:p>
        </w:tc>
        <w:tc>
          <w:tcPr>
            <w:tcW w:w="1134" w:type="dxa"/>
            <w:shd w:val="clear" w:color="auto" w:fill="auto"/>
            <w:vAlign w:val="bottom"/>
            <w:hideMark/>
          </w:tcPr>
          <w:p w14:paraId="6BA0225E"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100</w:t>
            </w:r>
          </w:p>
        </w:tc>
        <w:tc>
          <w:tcPr>
            <w:tcW w:w="708" w:type="dxa"/>
            <w:shd w:val="clear" w:color="auto" w:fill="auto"/>
            <w:vAlign w:val="bottom"/>
            <w:hideMark/>
          </w:tcPr>
          <w:p w14:paraId="795364E2"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14</w:t>
            </w:r>
          </w:p>
        </w:tc>
      </w:tr>
      <w:tr w:rsidR="0003138D" w:rsidRPr="00684CF8" w14:paraId="316975E8" w14:textId="77777777" w:rsidTr="004F6AD5">
        <w:tc>
          <w:tcPr>
            <w:tcW w:w="426" w:type="dxa"/>
            <w:tcBorders>
              <w:bottom w:val="nil"/>
            </w:tcBorders>
            <w:shd w:val="clear" w:color="auto" w:fill="auto"/>
            <w:hideMark/>
          </w:tcPr>
          <w:p w14:paraId="5F60AC15" w14:textId="77777777" w:rsidR="0003138D" w:rsidRPr="00684CF8" w:rsidRDefault="0003138D" w:rsidP="0003138D">
            <w:pPr>
              <w:suppressAutoHyphens w:val="0"/>
              <w:spacing w:before="40" w:after="40" w:line="220" w:lineRule="atLeast"/>
              <w:rPr>
                <w:sz w:val="18"/>
                <w:szCs w:val="18"/>
              </w:rPr>
            </w:pPr>
            <w:r w:rsidRPr="00684CF8">
              <w:rPr>
                <w:sz w:val="18"/>
                <w:szCs w:val="24"/>
              </w:rPr>
              <w:t>2017</w:t>
            </w:r>
          </w:p>
        </w:tc>
        <w:tc>
          <w:tcPr>
            <w:tcW w:w="708" w:type="dxa"/>
            <w:tcBorders>
              <w:bottom w:val="nil"/>
            </w:tcBorders>
            <w:shd w:val="clear" w:color="auto" w:fill="auto"/>
            <w:vAlign w:val="bottom"/>
            <w:hideMark/>
          </w:tcPr>
          <w:p w14:paraId="1AB681F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2 303</w:t>
            </w:r>
          </w:p>
        </w:tc>
        <w:tc>
          <w:tcPr>
            <w:tcW w:w="993" w:type="dxa"/>
            <w:tcBorders>
              <w:bottom w:val="nil"/>
            </w:tcBorders>
            <w:shd w:val="clear" w:color="auto" w:fill="auto"/>
            <w:vAlign w:val="bottom"/>
            <w:hideMark/>
          </w:tcPr>
          <w:p w14:paraId="66A59103"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2 428</w:t>
            </w:r>
          </w:p>
        </w:tc>
        <w:tc>
          <w:tcPr>
            <w:tcW w:w="1134" w:type="dxa"/>
            <w:tcBorders>
              <w:bottom w:val="nil"/>
            </w:tcBorders>
            <w:shd w:val="clear" w:color="auto" w:fill="auto"/>
            <w:vAlign w:val="bottom"/>
            <w:hideMark/>
          </w:tcPr>
          <w:p w14:paraId="78B91294"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1 124</w:t>
            </w:r>
          </w:p>
        </w:tc>
        <w:tc>
          <w:tcPr>
            <w:tcW w:w="850" w:type="dxa"/>
            <w:tcBorders>
              <w:bottom w:val="nil"/>
            </w:tcBorders>
            <w:shd w:val="clear" w:color="auto" w:fill="auto"/>
            <w:vAlign w:val="bottom"/>
            <w:hideMark/>
          </w:tcPr>
          <w:p w14:paraId="6F0AA695"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47</w:t>
            </w:r>
          </w:p>
        </w:tc>
        <w:tc>
          <w:tcPr>
            <w:tcW w:w="851" w:type="dxa"/>
            <w:tcBorders>
              <w:bottom w:val="nil"/>
            </w:tcBorders>
            <w:shd w:val="clear" w:color="auto" w:fill="auto"/>
            <w:vAlign w:val="bottom"/>
            <w:hideMark/>
          </w:tcPr>
          <w:p w14:paraId="06A594D9"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9</w:t>
            </w:r>
          </w:p>
        </w:tc>
        <w:tc>
          <w:tcPr>
            <w:tcW w:w="850" w:type="dxa"/>
            <w:tcBorders>
              <w:bottom w:val="nil"/>
            </w:tcBorders>
            <w:shd w:val="clear" w:color="auto" w:fill="auto"/>
            <w:vAlign w:val="bottom"/>
            <w:hideMark/>
          </w:tcPr>
          <w:p w14:paraId="194BFFE8"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4</w:t>
            </w:r>
          </w:p>
        </w:tc>
        <w:tc>
          <w:tcPr>
            <w:tcW w:w="851" w:type="dxa"/>
            <w:tcBorders>
              <w:bottom w:val="nil"/>
            </w:tcBorders>
            <w:shd w:val="clear" w:color="auto" w:fill="auto"/>
            <w:vAlign w:val="bottom"/>
            <w:hideMark/>
          </w:tcPr>
          <w:p w14:paraId="13A52E2B"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77</w:t>
            </w:r>
          </w:p>
        </w:tc>
        <w:tc>
          <w:tcPr>
            <w:tcW w:w="1134" w:type="dxa"/>
            <w:tcBorders>
              <w:bottom w:val="nil"/>
            </w:tcBorders>
            <w:shd w:val="clear" w:color="auto" w:fill="auto"/>
            <w:vAlign w:val="bottom"/>
            <w:hideMark/>
          </w:tcPr>
          <w:p w14:paraId="42E8D4A7"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98</w:t>
            </w:r>
          </w:p>
        </w:tc>
        <w:tc>
          <w:tcPr>
            <w:tcW w:w="708" w:type="dxa"/>
            <w:tcBorders>
              <w:bottom w:val="nil"/>
            </w:tcBorders>
            <w:shd w:val="clear" w:color="auto" w:fill="auto"/>
            <w:vAlign w:val="bottom"/>
            <w:hideMark/>
          </w:tcPr>
          <w:p w14:paraId="7932EADF"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10</w:t>
            </w:r>
          </w:p>
        </w:tc>
      </w:tr>
      <w:tr w:rsidR="0003138D" w:rsidRPr="00684CF8" w14:paraId="40E62008" w14:textId="77777777" w:rsidTr="004F6AD5">
        <w:tc>
          <w:tcPr>
            <w:tcW w:w="426" w:type="dxa"/>
            <w:tcBorders>
              <w:top w:val="nil"/>
              <w:bottom w:val="single" w:sz="12" w:space="0" w:color="auto"/>
            </w:tcBorders>
            <w:shd w:val="clear" w:color="auto" w:fill="auto"/>
            <w:hideMark/>
          </w:tcPr>
          <w:p w14:paraId="35DD19BA" w14:textId="77777777" w:rsidR="0003138D" w:rsidRPr="00684CF8" w:rsidRDefault="0003138D" w:rsidP="0003138D">
            <w:pPr>
              <w:suppressAutoHyphens w:val="0"/>
              <w:spacing w:before="40" w:after="40" w:line="220" w:lineRule="atLeast"/>
              <w:rPr>
                <w:sz w:val="18"/>
                <w:szCs w:val="18"/>
              </w:rPr>
            </w:pPr>
            <w:r w:rsidRPr="00684CF8">
              <w:rPr>
                <w:sz w:val="18"/>
                <w:szCs w:val="24"/>
              </w:rPr>
              <w:t>2018</w:t>
            </w:r>
          </w:p>
        </w:tc>
        <w:tc>
          <w:tcPr>
            <w:tcW w:w="708" w:type="dxa"/>
            <w:tcBorders>
              <w:top w:val="nil"/>
              <w:bottom w:val="single" w:sz="12" w:space="0" w:color="auto"/>
            </w:tcBorders>
            <w:shd w:val="clear" w:color="auto" w:fill="auto"/>
            <w:vAlign w:val="bottom"/>
            <w:hideMark/>
          </w:tcPr>
          <w:p w14:paraId="7E30C33E"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2 055</w:t>
            </w:r>
          </w:p>
        </w:tc>
        <w:tc>
          <w:tcPr>
            <w:tcW w:w="993" w:type="dxa"/>
            <w:tcBorders>
              <w:top w:val="nil"/>
              <w:bottom w:val="single" w:sz="12" w:space="0" w:color="auto"/>
            </w:tcBorders>
            <w:shd w:val="clear" w:color="auto" w:fill="auto"/>
            <w:vAlign w:val="bottom"/>
            <w:hideMark/>
          </w:tcPr>
          <w:p w14:paraId="2FBF1716"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2 395</w:t>
            </w:r>
          </w:p>
        </w:tc>
        <w:tc>
          <w:tcPr>
            <w:tcW w:w="1134" w:type="dxa"/>
            <w:tcBorders>
              <w:top w:val="nil"/>
              <w:bottom w:val="single" w:sz="12" w:space="0" w:color="auto"/>
            </w:tcBorders>
            <w:shd w:val="clear" w:color="auto" w:fill="auto"/>
            <w:vAlign w:val="bottom"/>
            <w:hideMark/>
          </w:tcPr>
          <w:p w14:paraId="50E580AE"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788</w:t>
            </w:r>
          </w:p>
        </w:tc>
        <w:tc>
          <w:tcPr>
            <w:tcW w:w="850" w:type="dxa"/>
            <w:tcBorders>
              <w:top w:val="nil"/>
              <w:bottom w:val="single" w:sz="12" w:space="0" w:color="auto"/>
            </w:tcBorders>
            <w:shd w:val="clear" w:color="auto" w:fill="auto"/>
            <w:vAlign w:val="bottom"/>
            <w:hideMark/>
          </w:tcPr>
          <w:p w14:paraId="0F867D50"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50</w:t>
            </w:r>
          </w:p>
        </w:tc>
        <w:tc>
          <w:tcPr>
            <w:tcW w:w="851" w:type="dxa"/>
            <w:tcBorders>
              <w:top w:val="nil"/>
              <w:bottom w:val="single" w:sz="12" w:space="0" w:color="auto"/>
            </w:tcBorders>
            <w:shd w:val="clear" w:color="auto" w:fill="auto"/>
            <w:vAlign w:val="bottom"/>
            <w:hideMark/>
          </w:tcPr>
          <w:p w14:paraId="35822155"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2</w:t>
            </w:r>
          </w:p>
        </w:tc>
        <w:tc>
          <w:tcPr>
            <w:tcW w:w="850" w:type="dxa"/>
            <w:tcBorders>
              <w:top w:val="nil"/>
              <w:bottom w:val="single" w:sz="12" w:space="0" w:color="auto"/>
            </w:tcBorders>
            <w:shd w:val="clear" w:color="auto" w:fill="auto"/>
            <w:vAlign w:val="bottom"/>
            <w:hideMark/>
          </w:tcPr>
          <w:p w14:paraId="5C45875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w:t>
            </w:r>
          </w:p>
        </w:tc>
        <w:tc>
          <w:tcPr>
            <w:tcW w:w="851" w:type="dxa"/>
            <w:tcBorders>
              <w:top w:val="nil"/>
              <w:bottom w:val="single" w:sz="12" w:space="0" w:color="auto"/>
            </w:tcBorders>
            <w:shd w:val="clear" w:color="auto" w:fill="auto"/>
            <w:vAlign w:val="bottom"/>
            <w:hideMark/>
          </w:tcPr>
          <w:p w14:paraId="726680DA"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59</w:t>
            </w:r>
          </w:p>
        </w:tc>
        <w:tc>
          <w:tcPr>
            <w:tcW w:w="1134" w:type="dxa"/>
            <w:tcBorders>
              <w:top w:val="nil"/>
              <w:bottom w:val="single" w:sz="12" w:space="0" w:color="auto"/>
            </w:tcBorders>
            <w:shd w:val="clear" w:color="auto" w:fill="auto"/>
            <w:vAlign w:val="bottom"/>
            <w:hideMark/>
          </w:tcPr>
          <w:p w14:paraId="616A2062"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92</w:t>
            </w:r>
          </w:p>
        </w:tc>
        <w:tc>
          <w:tcPr>
            <w:tcW w:w="708" w:type="dxa"/>
            <w:tcBorders>
              <w:top w:val="nil"/>
              <w:bottom w:val="single" w:sz="12" w:space="0" w:color="auto"/>
            </w:tcBorders>
            <w:shd w:val="clear" w:color="auto" w:fill="auto"/>
            <w:vAlign w:val="bottom"/>
            <w:hideMark/>
          </w:tcPr>
          <w:p w14:paraId="3F692CBD" w14:textId="77777777" w:rsidR="0003138D" w:rsidRPr="00684CF8" w:rsidRDefault="0003138D" w:rsidP="0003138D">
            <w:pPr>
              <w:suppressAutoHyphens w:val="0"/>
              <w:spacing w:before="40" w:after="40" w:line="220" w:lineRule="atLeast"/>
              <w:jc w:val="right"/>
              <w:rPr>
                <w:sz w:val="18"/>
                <w:szCs w:val="18"/>
              </w:rPr>
            </w:pPr>
            <w:r w:rsidRPr="00684CF8">
              <w:rPr>
                <w:sz w:val="18"/>
                <w:szCs w:val="24"/>
              </w:rPr>
              <w:t>12</w:t>
            </w:r>
          </w:p>
        </w:tc>
      </w:tr>
    </w:tbl>
    <w:p w14:paraId="5767B6C9" w14:textId="77777777" w:rsidR="00160AE9" w:rsidRPr="00684CF8" w:rsidRDefault="00160AE9" w:rsidP="00D9638A">
      <w:pPr>
        <w:pStyle w:val="SingleTxtG"/>
        <w:spacing w:before="120" w:after="240" w:line="220" w:lineRule="exact"/>
        <w:ind w:firstLine="170"/>
        <w:jc w:val="left"/>
        <w:rPr>
          <w:spacing w:val="-2"/>
          <w:sz w:val="18"/>
          <w:szCs w:val="18"/>
        </w:rPr>
      </w:pPr>
      <w:r w:rsidRPr="00684CF8">
        <w:rPr>
          <w:i/>
          <w:iCs/>
          <w:spacing w:val="-2"/>
          <w:sz w:val="18"/>
          <w:szCs w:val="18"/>
        </w:rPr>
        <w:t>Источник</w:t>
      </w:r>
      <w:r w:rsidRPr="00684CF8">
        <w:rPr>
          <w:spacing w:val="-2"/>
          <w:sz w:val="18"/>
          <w:szCs w:val="18"/>
        </w:rPr>
        <w:t>: Верховный суд, статистика за 2009–2018 годы (опубликована 30 апреля 2019 года).</w:t>
      </w:r>
    </w:p>
    <w:p w14:paraId="40DC1BBB" w14:textId="77777777" w:rsidR="00160AE9" w:rsidRPr="00684CF8" w:rsidRDefault="00160AE9" w:rsidP="00D9638A">
      <w:pPr>
        <w:pStyle w:val="H23G"/>
      </w:pPr>
      <w:bookmarkStart w:id="63" w:name="_Toc32364315"/>
      <w:r w:rsidRPr="00684CF8">
        <w:tab/>
      </w:r>
      <w:r w:rsidRPr="00684CF8">
        <w:tab/>
        <w:t>Административные суды и Высший административный суд</w:t>
      </w:r>
      <w:bookmarkEnd w:id="63"/>
    </w:p>
    <w:p w14:paraId="57209F30" w14:textId="77777777" w:rsidR="00160AE9" w:rsidRPr="00684CF8" w:rsidRDefault="00160AE9" w:rsidP="00160AE9">
      <w:pPr>
        <w:pStyle w:val="SingleTxtG"/>
      </w:pPr>
      <w:r w:rsidRPr="00684CF8">
        <w:t>191.</w:t>
      </w:r>
      <w:r w:rsidRPr="00684CF8">
        <w:tab/>
        <w:t>В Финляндии существует шесть региональных административных судов: административные суды Хельсинки, Хямеэнлинны, Восточной Финляндии, Северной Финляндии, Турку и Ваасы. Кроме того, на автономных Аландских островах имеется отдельный административный суд, именуемый Административным судом Аландских островов.</w:t>
      </w:r>
    </w:p>
    <w:p w14:paraId="1987CE81" w14:textId="77777777" w:rsidR="00160AE9" w:rsidRPr="00684CF8" w:rsidRDefault="00160AE9" w:rsidP="00160AE9">
      <w:pPr>
        <w:pStyle w:val="SingleTxtG"/>
      </w:pPr>
      <w:r w:rsidRPr="00684CF8">
        <w:t>192.</w:t>
      </w:r>
      <w:r w:rsidRPr="00684CF8">
        <w:tab/>
        <w:t>В апелляционном порядке административный суд рассматривает законность решения органа, на которое подана апелляция. Если податель апелляции не удовлетворен решением административного суда, то в большинстве случаев можно подать апелляцию далее в Высший административный суд или же обратиться в Высший административный суд с просьбой о разрешении на обжалование. Ежегодно в административные суды подается около 20 000 апелляций; их персонал насчитывает около 440 человек.</w:t>
      </w:r>
    </w:p>
    <w:p w14:paraId="0A09EB15" w14:textId="5F05523F" w:rsidR="00160AE9" w:rsidRPr="00684CF8" w:rsidRDefault="00160AE9" w:rsidP="00160AE9">
      <w:pPr>
        <w:pStyle w:val="SingleTxtG"/>
      </w:pPr>
      <w:r w:rsidRPr="00684CF8">
        <w:t>193.</w:t>
      </w:r>
      <w:r w:rsidRPr="00684CF8">
        <w:tab/>
        <w:t>Почти 90</w:t>
      </w:r>
      <w:r w:rsidR="00DF7B7E">
        <w:t> </w:t>
      </w:r>
      <w:r w:rsidRPr="00684CF8">
        <w:t>% всех апелляций и просьб о разрешении на обжалование, получаемых Высшим административным судом, касаются решений, вынесенных региональным административным судом. Высший административный суд также является апелляционной инстанцией в отношении решений Коммерческого суда по делам о конкуренции и государственных закупках, а также по делам, связанным с регистрацией патента или товарного знака. Любые апелляции на решения пленарного заседания правительства и, например, решения Центрального налогового совета должны подаваться непосредственно в Высший административный суд, в то время как апелляции на решения министерств в настоящее время, за некоторыми исключениями, должны подаваться в областной административный суд в качестве суда первой инстанции.</w:t>
      </w:r>
    </w:p>
    <w:p w14:paraId="398C2B4B" w14:textId="77777777" w:rsidR="00160AE9" w:rsidRPr="00684CF8" w:rsidRDefault="00160AE9" w:rsidP="00160AE9">
      <w:pPr>
        <w:pStyle w:val="SingleTxtG"/>
      </w:pPr>
      <w:r w:rsidRPr="00684CF8">
        <w:lastRenderedPageBreak/>
        <w:t>194.</w:t>
      </w:r>
      <w:r w:rsidRPr="00684CF8">
        <w:tab/>
        <w:t>Ежегодно в Верховный административный суд поступает около 6000 дел. Дела, находящиеся на рассмотрении Суда, делятся на девять основных категорий, разбитых еще на 35 категорий дел, включающих в общей сложности более 280 кодов дел. В</w:t>
      </w:r>
      <w:r w:rsidR="00D9638A" w:rsidRPr="00684CF8">
        <w:t> </w:t>
      </w:r>
      <w:r w:rsidRPr="00684CF8">
        <w:t>большинстве случаев апелляция может быть подана только в том случае, если Верховный административный суд дает разрешение на обжалование. Юрисдикция Верховного административного суда охватывает исключительно широкий круг дел даже по сравнению с международным уровнем.</w:t>
      </w:r>
    </w:p>
    <w:p w14:paraId="5165AB98" w14:textId="77777777" w:rsidR="00160AE9" w:rsidRPr="00684CF8" w:rsidRDefault="00160AE9" w:rsidP="00D9638A">
      <w:pPr>
        <w:pStyle w:val="H23G"/>
      </w:pPr>
      <w:bookmarkStart w:id="64" w:name="_Toc32364316"/>
      <w:r w:rsidRPr="00684CF8">
        <w:tab/>
      </w:r>
      <w:r w:rsidRPr="00684CF8">
        <w:tab/>
        <w:t>Специальные суды</w:t>
      </w:r>
      <w:bookmarkEnd w:id="64"/>
    </w:p>
    <w:p w14:paraId="4474CDC5" w14:textId="77777777" w:rsidR="00160AE9" w:rsidRPr="00684CF8" w:rsidRDefault="00160AE9" w:rsidP="00160AE9">
      <w:pPr>
        <w:pStyle w:val="SingleTxtG"/>
      </w:pPr>
      <w:r w:rsidRPr="00684CF8">
        <w:t>195.</w:t>
      </w:r>
      <w:r w:rsidRPr="00684CF8">
        <w:tab/>
        <w:t xml:space="preserve">Специальными судами в Финляндии являются Торговый суд, Суд по трудовым спорам, Суд по страховым делам и Высокий суд по делам об импичменте. Торговый суд рассматривает дела, связанные с рыночным и конкурентным правом, Суд по трудовым спорам </w:t>
      </w:r>
      <w:r w:rsidR="00D9638A" w:rsidRPr="00684CF8">
        <w:t>—</w:t>
      </w:r>
      <w:r w:rsidRPr="00684CF8">
        <w:t xml:space="preserve"> правовые споры, связанные с коллективными договорами трудящихся или государственных служащих, а Страховой суд </w:t>
      </w:r>
      <w:r w:rsidR="00D9638A" w:rsidRPr="00684CF8">
        <w:t>—</w:t>
      </w:r>
      <w:r w:rsidRPr="00684CF8">
        <w:t xml:space="preserve"> некоторые дела, связанные с социальным страхованием. Обвинение в противоправном поведении, предъявленное члену Правительства или Канцлеру юстиции, Парламентскому омбудсмену или судье Верховного суда или Высшего административного суда, рассматривается Высоким судом по делам об импичменте. Этот Суд также рассматривает обвинения, которые могут повлечь за собой уголовную ответственность Президента Республики. Решение Высокого суда по вопросам импичмента обжалованию не подлежит. В истории Финляндии Высокий суд по делам об импичменте был созван лишь в нескольких случаях, последний раз в 1993 году.</w:t>
      </w:r>
    </w:p>
    <w:p w14:paraId="5006D974" w14:textId="77777777" w:rsidR="00160AE9" w:rsidRPr="00684CF8" w:rsidRDefault="00160AE9" w:rsidP="00D9638A">
      <w:pPr>
        <w:pStyle w:val="H23G"/>
      </w:pPr>
      <w:bookmarkStart w:id="65" w:name="_Toc32364317"/>
      <w:r w:rsidRPr="00684CF8">
        <w:tab/>
      </w:r>
      <w:r w:rsidRPr="00684CF8">
        <w:tab/>
        <w:t>Адвокатура</w:t>
      </w:r>
      <w:bookmarkEnd w:id="65"/>
    </w:p>
    <w:p w14:paraId="31D11DA5" w14:textId="77777777" w:rsidR="00160AE9" w:rsidRPr="00684CF8" w:rsidRDefault="00160AE9" w:rsidP="00160AE9">
      <w:pPr>
        <w:pStyle w:val="SingleTxtG"/>
      </w:pPr>
      <w:r w:rsidRPr="00684CF8">
        <w:t>196.</w:t>
      </w:r>
      <w:r w:rsidRPr="00684CF8">
        <w:tab/>
        <w:t>В Финляндии существует самоуправляемая Коллегия адвокатов, независимая от государственной власти. Финская Коллегия адвокатов и е</w:t>
      </w:r>
      <w:r w:rsidR="008808F1" w:rsidRPr="00684CF8">
        <w:t>е</w:t>
      </w:r>
      <w:r w:rsidRPr="00684CF8">
        <w:t xml:space="preserve"> статус признаются Законом об адвокатуре (496/1958), согласно которому Коллегия адвокатов самостоятельно решает вопрос об организации своего внутреннего управления. На</w:t>
      </w:r>
      <w:r w:rsidR="00D9638A" w:rsidRPr="00684CF8">
        <w:t> </w:t>
      </w:r>
      <w:r w:rsidRPr="00684CF8">
        <w:t>основании критериев, изложенных в Законе, Коллегия адвокатов самостоятельно принимает решение о приеме в адвокатуру и лишении права на адвокатскую деятельность. Надзор за деятельностью адвокатов осуществляется Коллегией адвокатов и е</w:t>
      </w:r>
      <w:r w:rsidR="008808F1" w:rsidRPr="00684CF8">
        <w:t>е</w:t>
      </w:r>
      <w:r w:rsidRPr="00684CF8">
        <w:t xml:space="preserve"> дисциплинарным советом, которые могут наложить дисциплинарное взыскание в виде лишения права на адвокатскую деятельность, денежного штрафа, предупреждения или выговора на любого члена Коллегии, признанного виновным в нарушении закона, правил Коллегии или профессионального кодекса поведения. Апелляции на решения Коллегии адвокатов и дисциплинарного совета по дисциплинарным вопросам и вопросам членства в Коллегии адвокатов могут быть поданы в Хельсинкский апелляционный суд.</w:t>
      </w:r>
    </w:p>
    <w:p w14:paraId="3E6B0900" w14:textId="77777777" w:rsidR="00160AE9" w:rsidRPr="00684CF8" w:rsidRDefault="00160AE9" w:rsidP="00D9638A">
      <w:pPr>
        <w:pStyle w:val="H23G"/>
      </w:pPr>
      <w:bookmarkStart w:id="66" w:name="_Toc32364318"/>
      <w:r w:rsidRPr="00684CF8">
        <w:tab/>
      </w:r>
      <w:r w:rsidRPr="00684CF8">
        <w:tab/>
        <w:t>Юридическая помощь</w:t>
      </w:r>
      <w:bookmarkEnd w:id="66"/>
    </w:p>
    <w:p w14:paraId="2B451879" w14:textId="77777777" w:rsidR="00160AE9" w:rsidRPr="00684CF8" w:rsidRDefault="00160AE9" w:rsidP="00160AE9">
      <w:pPr>
        <w:pStyle w:val="SingleTxtG"/>
      </w:pPr>
      <w:r w:rsidRPr="00684CF8">
        <w:t>197.</w:t>
      </w:r>
      <w:r w:rsidRPr="00684CF8">
        <w:tab/>
        <w:t>В Финляндии юридическая помощь предоставляется полностью или частично за счет государства лицам, нуждающимся в экспертной помощи по правовым вопросам и неспособным в силу своего экономического положения покрывать расходы на разбирательство. Положения о юридической помощи изложены в Законе о юридической помощи (257/2002). Юридическая помощь включает в себя предоставление юридических консультаций, принятие необходимых мер и представление интересов в суде и другом органе, а также освобождение от некоторых расходов, связанных с рассмотрением дела. Юридическая помощь предоставляется лицу, если имеющиеся в его распоряжении средства и имущество не превышают сумму, установленную постановлением правительства. Положения о доходах и расходах, которые должны учитываться, о влиянии обязательств по содержанию на расчет имеющихся средств, об учете активов и об основаниях для определения вычитаемой суммы получателя юридической помощи издаются в виде постановления правительства.</w:t>
      </w:r>
    </w:p>
    <w:p w14:paraId="14C89AC6" w14:textId="77777777" w:rsidR="00160AE9" w:rsidRPr="00684CF8" w:rsidRDefault="00160AE9" w:rsidP="00160AE9">
      <w:pPr>
        <w:pStyle w:val="SingleTxtG"/>
      </w:pPr>
      <w:r w:rsidRPr="00684CF8">
        <w:t>198.</w:t>
      </w:r>
      <w:r w:rsidRPr="00684CF8">
        <w:tab/>
        <w:t xml:space="preserve">Округа, в которых оказываются услуги по юридической помощи и государственной опеке, организуют предоставление юридической помощи через бюро по оказанию юридической помощи в округах. Юридическую помощь оказывают </w:t>
      </w:r>
      <w:r w:rsidRPr="00684CF8">
        <w:lastRenderedPageBreak/>
        <w:t xml:space="preserve">государственные адвокаты, работающие в бюро по оказанию юридической помощи. Однако в вопросах, рассматриваемых судом, в качестве адвоката может быть назначен и частный адвокат, который дал согласие на выполнение этой задачи. В качестве частного адвоката может быть назначен только адвокат, являющийся членом Коллегии, или лицензированный адвокат. В тех случаях, когда лицо, получающее юридическую помощь, самостоятельно выдвигает в качестве своего адвоката лицо, имеющее на это право, это лицо назначается, если нет особых причин для отказа. </w:t>
      </w:r>
      <w:r w:rsidR="00D9638A" w:rsidRPr="00684CF8">
        <w:br/>
      </w:r>
      <w:r w:rsidRPr="00684CF8">
        <w:t>В некоторых конкретных случаях лицо, подавшее заявление на получение юридической помощи, может быть направлено к частному адвокату, в том числе и в связи с делами, которые судом не рассматривались. При выполнении своих обязанностей адвокаты должны придерживаться профессионального кодекса поведения адвокатов.</w:t>
      </w:r>
    </w:p>
    <w:p w14:paraId="6EE655F9" w14:textId="6A311818" w:rsidR="00160AE9" w:rsidRPr="00684CF8" w:rsidRDefault="00160AE9" w:rsidP="00160AE9">
      <w:pPr>
        <w:pStyle w:val="SingleTxtG"/>
      </w:pPr>
      <w:r w:rsidRPr="00684CF8">
        <w:t>199.</w:t>
      </w:r>
      <w:r w:rsidRPr="00684CF8">
        <w:tab/>
        <w:t>Поскольку юридическая помощь предоставляется на основании имеющихся в распоряжении заявителя денежных средств, получаемых помесячно (а не с учетом дохода), трудно оценить долю населения Финляндии, имеющую право на получение юридической помощи. Жизненные обстоятельства соответствующего лица играют большую роль в определении того, имеет ли оно право на получение юридической помощи. Примерно в 75</w:t>
      </w:r>
      <w:r w:rsidR="00DF7B7E">
        <w:t> </w:t>
      </w:r>
      <w:r w:rsidRPr="00684CF8">
        <w:t>% случаев, рассматриваемых бюро по оказанию юридической помощи, юридическая помощь предоставляется бесплатно, без каких-либо вычетов или удержаний.</w:t>
      </w:r>
    </w:p>
    <w:p w14:paraId="157D2C91" w14:textId="77777777" w:rsidR="00160AE9" w:rsidRPr="00684CF8" w:rsidRDefault="00160AE9" w:rsidP="00160AE9">
      <w:pPr>
        <w:pStyle w:val="SingleTxtG"/>
      </w:pPr>
      <w:r w:rsidRPr="00684CF8">
        <w:t>200.</w:t>
      </w:r>
      <w:r w:rsidRPr="00684CF8">
        <w:tab/>
        <w:t>В некоторых случаях подозреваемый в совершении преступления имеет право на получение государственного защитника за счет государства для досудебного расследования и судебного разбирательства. Государственный защитник назначается по просьбе лиц, подозреваемых в совершении преступлений при отягчающих обстоятельствах, а также лиц, арестованных или задержанных за совершение преступления. Кроме того, суд может по собственной инициативе назначить государственного защитника для лиц, не достигших 18-летнего возраста или не способных самостоятельно осуществлять свою защиту. В таких случаях государственный защитник назначается независимо от финансового положения соответствующего лица, а гособвинение оплачивается государством. Однако лицо, осужденное за предполагаемое преступление, обязано возместить государству гонорар государственного защитника, если только это лицо не имеет права на юридическую помощь в силу своего материального положения. Сумма возмещения определяется в соответствии с правилами предоставления юридической помощи. Государственными защитниками могут быть назначены только государственные адвокаты, адвокаты, являющиеся членами Коллегии, и лицензированные адвокаты.</w:t>
      </w:r>
    </w:p>
    <w:p w14:paraId="7E237AEF" w14:textId="77777777" w:rsidR="00160AE9" w:rsidRPr="00684CF8" w:rsidRDefault="00160AE9" w:rsidP="00160AE9">
      <w:pPr>
        <w:pStyle w:val="SingleTxtG"/>
      </w:pPr>
      <w:r w:rsidRPr="00684CF8">
        <w:t>201.</w:t>
      </w:r>
      <w:r w:rsidRPr="00684CF8">
        <w:tab/>
        <w:t xml:space="preserve">Для целей досудебного расследования и судебного разбирательства суд может назначить адвоката или лицо, обеспечивающее поддержку жертве бытового насилия, сексуального преступления или другого насильственного преступления. Адвокат оказывает помощь жертве в судебном разбирательстве, в то время как лицо, обеспечивающее поддержку, оказывает психологическую помощь. Адвокат или лицо, обеспечивающее поддержку, может быть назначен независимо от материального положения жертвы, а их гонорары и издержки оплачивает государство. </w:t>
      </w:r>
    </w:p>
    <w:p w14:paraId="32300EDF" w14:textId="77777777" w:rsidR="00160AE9" w:rsidRPr="00684CF8" w:rsidRDefault="00160AE9" w:rsidP="00160AE9">
      <w:pPr>
        <w:pStyle w:val="1"/>
        <w:spacing w:before="240" w:after="120"/>
        <w:ind w:left="1134" w:hanging="1134"/>
        <w:jc w:val="left"/>
      </w:pPr>
      <w:r w:rsidRPr="00684CF8">
        <w:rPr>
          <w:b w:val="0"/>
          <w:bCs w:val="0"/>
        </w:rPr>
        <w:tab/>
      </w:r>
      <w:r w:rsidRPr="00684CF8">
        <w:rPr>
          <w:b w:val="0"/>
          <w:bCs w:val="0"/>
        </w:rPr>
        <w:tab/>
        <w:t>Таблица 11</w:t>
      </w:r>
      <w:r w:rsidRPr="00684CF8">
        <w:rPr>
          <w:b w:val="0"/>
          <w:bCs w:val="0"/>
        </w:rPr>
        <w:br/>
      </w:r>
      <w:r w:rsidRPr="00684CF8">
        <w:t xml:space="preserve">Лица, обращавшиеся за государственной юридической помощью </w:t>
      </w:r>
      <w:r w:rsidRPr="00684CF8">
        <w:br/>
        <w:t>и получившие ее, 2014–2018 годы</w:t>
      </w:r>
    </w:p>
    <w:tbl>
      <w:tblPr>
        <w:tblW w:w="7370" w:type="dxa"/>
        <w:tblInd w:w="1134" w:type="dxa"/>
        <w:tblLayout w:type="fixed"/>
        <w:tblCellMar>
          <w:left w:w="0" w:type="dxa"/>
          <w:right w:w="0" w:type="dxa"/>
        </w:tblCellMar>
        <w:tblLook w:val="04A0" w:firstRow="1" w:lastRow="0" w:firstColumn="1" w:lastColumn="0" w:noHBand="0" w:noVBand="1"/>
      </w:tblPr>
      <w:tblGrid>
        <w:gridCol w:w="2835"/>
        <w:gridCol w:w="907"/>
        <w:gridCol w:w="907"/>
        <w:gridCol w:w="907"/>
        <w:gridCol w:w="907"/>
        <w:gridCol w:w="907"/>
      </w:tblGrid>
      <w:tr w:rsidR="001A6659" w:rsidRPr="00684CF8" w14:paraId="1924B0B7" w14:textId="77777777" w:rsidTr="00F31455">
        <w:trPr>
          <w:tblHeader/>
        </w:trPr>
        <w:tc>
          <w:tcPr>
            <w:tcW w:w="2835" w:type="dxa"/>
            <w:tcBorders>
              <w:top w:val="single" w:sz="4" w:space="0" w:color="auto"/>
              <w:bottom w:val="single" w:sz="12" w:space="0" w:color="auto"/>
            </w:tcBorders>
            <w:shd w:val="clear" w:color="auto" w:fill="auto"/>
            <w:vAlign w:val="bottom"/>
            <w:hideMark/>
          </w:tcPr>
          <w:p w14:paraId="78B75826" w14:textId="77777777" w:rsidR="001A6659" w:rsidRPr="00684CF8" w:rsidRDefault="001A6659" w:rsidP="001A6659">
            <w:pPr>
              <w:suppressAutoHyphens w:val="0"/>
              <w:spacing w:before="80" w:after="80" w:line="200" w:lineRule="exact"/>
              <w:rPr>
                <w:rFonts w:cs="Times New Roman"/>
                <w:i/>
                <w:sz w:val="16"/>
              </w:rPr>
            </w:pPr>
            <w:r w:rsidRPr="00684CF8">
              <w:rPr>
                <w:rFonts w:cs="Times New Roman"/>
                <w:i/>
                <w:sz w:val="16"/>
              </w:rPr>
              <w:t>Год/категория</w:t>
            </w:r>
          </w:p>
        </w:tc>
        <w:tc>
          <w:tcPr>
            <w:tcW w:w="907" w:type="dxa"/>
            <w:tcBorders>
              <w:top w:val="single" w:sz="4" w:space="0" w:color="auto"/>
              <w:bottom w:val="single" w:sz="12" w:space="0" w:color="auto"/>
            </w:tcBorders>
            <w:shd w:val="clear" w:color="auto" w:fill="auto"/>
            <w:vAlign w:val="bottom"/>
            <w:hideMark/>
          </w:tcPr>
          <w:p w14:paraId="2CBDB386" w14:textId="77777777" w:rsidR="001A6659" w:rsidRPr="00684CF8" w:rsidRDefault="001A6659" w:rsidP="001A6659">
            <w:pPr>
              <w:suppressAutoHyphens w:val="0"/>
              <w:spacing w:before="80" w:after="80" w:line="200" w:lineRule="exact"/>
              <w:jc w:val="right"/>
              <w:rPr>
                <w:rFonts w:cs="Times New Roman"/>
                <w:i/>
                <w:sz w:val="16"/>
              </w:rPr>
            </w:pPr>
            <w:r w:rsidRPr="00684CF8">
              <w:rPr>
                <w:rFonts w:cs="Times New Roman"/>
                <w:i/>
                <w:iCs/>
                <w:sz w:val="16"/>
              </w:rPr>
              <w:t>2014</w:t>
            </w:r>
          </w:p>
        </w:tc>
        <w:tc>
          <w:tcPr>
            <w:tcW w:w="907" w:type="dxa"/>
            <w:tcBorders>
              <w:top w:val="single" w:sz="4" w:space="0" w:color="auto"/>
              <w:bottom w:val="single" w:sz="12" w:space="0" w:color="auto"/>
            </w:tcBorders>
            <w:shd w:val="clear" w:color="auto" w:fill="auto"/>
            <w:vAlign w:val="bottom"/>
            <w:hideMark/>
          </w:tcPr>
          <w:p w14:paraId="049CF021" w14:textId="77777777" w:rsidR="001A6659" w:rsidRPr="00684CF8" w:rsidRDefault="001A6659" w:rsidP="001A6659">
            <w:pPr>
              <w:suppressAutoHyphens w:val="0"/>
              <w:spacing w:before="80" w:after="80" w:line="200" w:lineRule="exact"/>
              <w:jc w:val="right"/>
              <w:rPr>
                <w:rFonts w:cs="Times New Roman"/>
                <w:i/>
                <w:sz w:val="16"/>
              </w:rPr>
            </w:pPr>
            <w:r w:rsidRPr="00684CF8">
              <w:rPr>
                <w:rFonts w:cs="Times New Roman"/>
                <w:i/>
                <w:iCs/>
                <w:sz w:val="16"/>
              </w:rPr>
              <w:t>2015</w:t>
            </w:r>
          </w:p>
        </w:tc>
        <w:tc>
          <w:tcPr>
            <w:tcW w:w="907" w:type="dxa"/>
            <w:tcBorders>
              <w:top w:val="single" w:sz="4" w:space="0" w:color="auto"/>
              <w:bottom w:val="single" w:sz="12" w:space="0" w:color="auto"/>
            </w:tcBorders>
            <w:shd w:val="clear" w:color="auto" w:fill="auto"/>
            <w:vAlign w:val="bottom"/>
            <w:hideMark/>
          </w:tcPr>
          <w:p w14:paraId="13B4CA4E" w14:textId="77777777" w:rsidR="001A6659" w:rsidRPr="00684CF8" w:rsidRDefault="001A6659" w:rsidP="001A6659">
            <w:pPr>
              <w:suppressAutoHyphens w:val="0"/>
              <w:spacing w:before="80" w:after="80" w:line="200" w:lineRule="exact"/>
              <w:jc w:val="right"/>
              <w:rPr>
                <w:rFonts w:cs="Times New Roman"/>
                <w:i/>
                <w:sz w:val="16"/>
              </w:rPr>
            </w:pPr>
            <w:r w:rsidRPr="00684CF8">
              <w:rPr>
                <w:rFonts w:cs="Times New Roman"/>
                <w:i/>
                <w:iCs/>
                <w:sz w:val="16"/>
              </w:rPr>
              <w:t>2016</w:t>
            </w:r>
          </w:p>
        </w:tc>
        <w:tc>
          <w:tcPr>
            <w:tcW w:w="907" w:type="dxa"/>
            <w:tcBorders>
              <w:top w:val="single" w:sz="4" w:space="0" w:color="auto"/>
              <w:bottom w:val="single" w:sz="12" w:space="0" w:color="auto"/>
            </w:tcBorders>
            <w:shd w:val="clear" w:color="auto" w:fill="auto"/>
            <w:vAlign w:val="bottom"/>
            <w:hideMark/>
          </w:tcPr>
          <w:p w14:paraId="19C1BB2D" w14:textId="77777777" w:rsidR="001A6659" w:rsidRPr="00684CF8" w:rsidRDefault="001A6659" w:rsidP="001A6659">
            <w:pPr>
              <w:suppressAutoHyphens w:val="0"/>
              <w:spacing w:before="80" w:after="80" w:line="200" w:lineRule="exact"/>
              <w:jc w:val="right"/>
              <w:rPr>
                <w:rFonts w:cs="Times New Roman"/>
                <w:i/>
                <w:sz w:val="16"/>
              </w:rPr>
            </w:pPr>
            <w:r w:rsidRPr="00684CF8">
              <w:rPr>
                <w:rFonts w:cs="Times New Roman"/>
                <w:i/>
                <w:iCs/>
                <w:sz w:val="16"/>
              </w:rPr>
              <w:t>2017</w:t>
            </w:r>
          </w:p>
        </w:tc>
        <w:tc>
          <w:tcPr>
            <w:tcW w:w="907" w:type="dxa"/>
            <w:tcBorders>
              <w:top w:val="single" w:sz="4" w:space="0" w:color="auto"/>
              <w:bottom w:val="single" w:sz="12" w:space="0" w:color="auto"/>
            </w:tcBorders>
            <w:shd w:val="clear" w:color="auto" w:fill="auto"/>
            <w:vAlign w:val="bottom"/>
            <w:hideMark/>
          </w:tcPr>
          <w:p w14:paraId="38366099" w14:textId="77777777" w:rsidR="001A6659" w:rsidRPr="00684CF8" w:rsidRDefault="001A6659" w:rsidP="001A6659">
            <w:pPr>
              <w:suppressAutoHyphens w:val="0"/>
              <w:spacing w:before="80" w:after="80" w:line="200" w:lineRule="exact"/>
              <w:jc w:val="right"/>
              <w:rPr>
                <w:rFonts w:cs="Times New Roman"/>
                <w:i/>
                <w:sz w:val="16"/>
              </w:rPr>
            </w:pPr>
            <w:r w:rsidRPr="00684CF8">
              <w:rPr>
                <w:rFonts w:cs="Times New Roman"/>
                <w:i/>
                <w:iCs/>
                <w:sz w:val="16"/>
              </w:rPr>
              <w:t>2018</w:t>
            </w:r>
          </w:p>
        </w:tc>
      </w:tr>
      <w:tr w:rsidR="001A6659" w:rsidRPr="00684CF8" w14:paraId="1733FFBC" w14:textId="77777777" w:rsidTr="00F31455">
        <w:tc>
          <w:tcPr>
            <w:tcW w:w="2835" w:type="dxa"/>
            <w:tcBorders>
              <w:top w:val="single" w:sz="12" w:space="0" w:color="auto"/>
              <w:bottom w:val="single" w:sz="4" w:space="0" w:color="auto"/>
            </w:tcBorders>
            <w:shd w:val="clear" w:color="auto" w:fill="auto"/>
            <w:hideMark/>
          </w:tcPr>
          <w:p w14:paraId="2F9C1BDF" w14:textId="77777777" w:rsidR="001A6659" w:rsidRPr="00684CF8" w:rsidRDefault="001A6659" w:rsidP="00F31455">
            <w:pPr>
              <w:suppressAutoHyphens w:val="0"/>
              <w:spacing w:before="80" w:after="80" w:line="220" w:lineRule="exact"/>
              <w:ind w:firstLine="143"/>
              <w:rPr>
                <w:rFonts w:cs="Times New Roman"/>
                <w:b/>
                <w:sz w:val="18"/>
              </w:rPr>
            </w:pPr>
            <w:r w:rsidRPr="00684CF8">
              <w:rPr>
                <w:rFonts w:cs="Times New Roman"/>
                <w:b/>
                <w:sz w:val="18"/>
              </w:rPr>
              <w:t>Итого</w:t>
            </w:r>
          </w:p>
        </w:tc>
        <w:tc>
          <w:tcPr>
            <w:tcW w:w="907" w:type="dxa"/>
            <w:tcBorders>
              <w:top w:val="single" w:sz="12" w:space="0" w:color="auto"/>
              <w:bottom w:val="single" w:sz="4" w:space="0" w:color="auto"/>
            </w:tcBorders>
            <w:shd w:val="clear" w:color="auto" w:fill="auto"/>
            <w:vAlign w:val="bottom"/>
            <w:hideMark/>
          </w:tcPr>
          <w:p w14:paraId="12E6071E" w14:textId="77777777" w:rsidR="001A6659" w:rsidRPr="00684CF8" w:rsidRDefault="001A6659" w:rsidP="00F31455">
            <w:pPr>
              <w:suppressAutoHyphens w:val="0"/>
              <w:spacing w:before="80" w:after="80" w:line="220" w:lineRule="exact"/>
              <w:jc w:val="right"/>
              <w:rPr>
                <w:rFonts w:cs="Times New Roman"/>
                <w:b/>
                <w:sz w:val="18"/>
              </w:rPr>
            </w:pPr>
            <w:r w:rsidRPr="00684CF8">
              <w:rPr>
                <w:rFonts w:cs="Times New Roman"/>
                <w:b/>
                <w:sz w:val="18"/>
              </w:rPr>
              <w:t>70 569</w:t>
            </w:r>
          </w:p>
        </w:tc>
        <w:tc>
          <w:tcPr>
            <w:tcW w:w="907" w:type="dxa"/>
            <w:tcBorders>
              <w:top w:val="single" w:sz="12" w:space="0" w:color="auto"/>
              <w:bottom w:val="single" w:sz="4" w:space="0" w:color="auto"/>
            </w:tcBorders>
            <w:shd w:val="clear" w:color="auto" w:fill="auto"/>
            <w:vAlign w:val="bottom"/>
            <w:hideMark/>
          </w:tcPr>
          <w:p w14:paraId="1DABB9DB" w14:textId="77777777" w:rsidR="001A6659" w:rsidRPr="00684CF8" w:rsidRDefault="001A6659" w:rsidP="00F31455">
            <w:pPr>
              <w:suppressAutoHyphens w:val="0"/>
              <w:spacing w:before="80" w:after="80" w:line="220" w:lineRule="exact"/>
              <w:jc w:val="right"/>
              <w:rPr>
                <w:rFonts w:cs="Times New Roman"/>
                <w:b/>
                <w:sz w:val="18"/>
              </w:rPr>
            </w:pPr>
            <w:r w:rsidRPr="00684CF8">
              <w:rPr>
                <w:rFonts w:cs="Times New Roman"/>
                <w:b/>
                <w:sz w:val="18"/>
              </w:rPr>
              <w:t>76 837</w:t>
            </w:r>
          </w:p>
        </w:tc>
        <w:tc>
          <w:tcPr>
            <w:tcW w:w="907" w:type="dxa"/>
            <w:tcBorders>
              <w:top w:val="single" w:sz="12" w:space="0" w:color="auto"/>
              <w:bottom w:val="single" w:sz="4" w:space="0" w:color="auto"/>
            </w:tcBorders>
            <w:shd w:val="clear" w:color="auto" w:fill="auto"/>
            <w:vAlign w:val="bottom"/>
            <w:hideMark/>
          </w:tcPr>
          <w:p w14:paraId="6005C3A0" w14:textId="77777777" w:rsidR="001A6659" w:rsidRPr="00684CF8" w:rsidRDefault="001A6659" w:rsidP="00F31455">
            <w:pPr>
              <w:suppressAutoHyphens w:val="0"/>
              <w:spacing w:before="80" w:after="80" w:line="220" w:lineRule="exact"/>
              <w:jc w:val="right"/>
              <w:rPr>
                <w:rFonts w:cs="Times New Roman"/>
                <w:b/>
                <w:sz w:val="18"/>
              </w:rPr>
            </w:pPr>
            <w:r w:rsidRPr="00684CF8">
              <w:rPr>
                <w:rFonts w:cs="Times New Roman"/>
                <w:b/>
                <w:sz w:val="18"/>
              </w:rPr>
              <w:t>80 338</w:t>
            </w:r>
          </w:p>
        </w:tc>
        <w:tc>
          <w:tcPr>
            <w:tcW w:w="907" w:type="dxa"/>
            <w:tcBorders>
              <w:top w:val="single" w:sz="12" w:space="0" w:color="auto"/>
              <w:bottom w:val="single" w:sz="4" w:space="0" w:color="auto"/>
            </w:tcBorders>
            <w:shd w:val="clear" w:color="auto" w:fill="auto"/>
            <w:vAlign w:val="bottom"/>
            <w:hideMark/>
          </w:tcPr>
          <w:p w14:paraId="582EAC63" w14:textId="77777777" w:rsidR="001A6659" w:rsidRPr="00684CF8" w:rsidRDefault="001A6659" w:rsidP="00F31455">
            <w:pPr>
              <w:suppressAutoHyphens w:val="0"/>
              <w:spacing w:before="80" w:after="80" w:line="220" w:lineRule="exact"/>
              <w:jc w:val="right"/>
              <w:rPr>
                <w:rFonts w:cs="Times New Roman"/>
                <w:b/>
                <w:sz w:val="18"/>
              </w:rPr>
            </w:pPr>
            <w:r w:rsidRPr="00684CF8">
              <w:rPr>
                <w:rFonts w:cs="Times New Roman"/>
                <w:b/>
                <w:sz w:val="18"/>
              </w:rPr>
              <w:t>71 978</w:t>
            </w:r>
          </w:p>
        </w:tc>
        <w:tc>
          <w:tcPr>
            <w:tcW w:w="907" w:type="dxa"/>
            <w:tcBorders>
              <w:top w:val="single" w:sz="12" w:space="0" w:color="auto"/>
              <w:bottom w:val="single" w:sz="4" w:space="0" w:color="auto"/>
            </w:tcBorders>
            <w:shd w:val="clear" w:color="auto" w:fill="auto"/>
            <w:vAlign w:val="bottom"/>
            <w:hideMark/>
          </w:tcPr>
          <w:p w14:paraId="119834F3" w14:textId="77777777" w:rsidR="001A6659" w:rsidRPr="00684CF8" w:rsidRDefault="001A6659" w:rsidP="00F31455">
            <w:pPr>
              <w:suppressAutoHyphens w:val="0"/>
              <w:spacing w:before="80" w:after="80" w:line="220" w:lineRule="exact"/>
              <w:jc w:val="right"/>
              <w:rPr>
                <w:rFonts w:cs="Times New Roman"/>
                <w:b/>
                <w:sz w:val="18"/>
              </w:rPr>
            </w:pPr>
            <w:r w:rsidRPr="00684CF8">
              <w:rPr>
                <w:rFonts w:cs="Times New Roman"/>
                <w:b/>
                <w:sz w:val="18"/>
              </w:rPr>
              <w:t>72 082</w:t>
            </w:r>
          </w:p>
        </w:tc>
      </w:tr>
      <w:tr w:rsidR="001A6659" w:rsidRPr="00684CF8" w14:paraId="2C9A8430" w14:textId="77777777" w:rsidTr="00F31455">
        <w:tc>
          <w:tcPr>
            <w:tcW w:w="2835" w:type="dxa"/>
            <w:tcBorders>
              <w:top w:val="single" w:sz="4" w:space="0" w:color="auto"/>
            </w:tcBorders>
            <w:shd w:val="clear" w:color="auto" w:fill="auto"/>
            <w:hideMark/>
          </w:tcPr>
          <w:p w14:paraId="40E67E47" w14:textId="77777777" w:rsidR="001A6659" w:rsidRPr="00684CF8" w:rsidRDefault="001A6659" w:rsidP="001A6659">
            <w:pPr>
              <w:suppressAutoHyphens w:val="0"/>
              <w:spacing w:before="40" w:after="40" w:line="220" w:lineRule="exact"/>
              <w:rPr>
                <w:rFonts w:cs="Times New Roman"/>
                <w:sz w:val="18"/>
              </w:rPr>
            </w:pPr>
            <w:r w:rsidRPr="00684CF8">
              <w:rPr>
                <w:rFonts w:cs="Times New Roman"/>
                <w:sz w:val="18"/>
              </w:rPr>
              <w:t xml:space="preserve">Решения об оказании юридической помощи (бюро по юридической </w:t>
            </w:r>
            <w:r w:rsidR="00F31455" w:rsidRPr="00684CF8">
              <w:rPr>
                <w:rFonts w:cs="Times New Roman"/>
                <w:sz w:val="18"/>
              </w:rPr>
              <w:br/>
            </w:r>
            <w:r w:rsidRPr="00684CF8">
              <w:rPr>
                <w:rFonts w:cs="Times New Roman"/>
                <w:sz w:val="18"/>
              </w:rPr>
              <w:t>помощи)</w:t>
            </w:r>
          </w:p>
        </w:tc>
        <w:tc>
          <w:tcPr>
            <w:tcW w:w="907" w:type="dxa"/>
            <w:tcBorders>
              <w:top w:val="single" w:sz="4" w:space="0" w:color="auto"/>
            </w:tcBorders>
            <w:shd w:val="clear" w:color="auto" w:fill="auto"/>
            <w:vAlign w:val="bottom"/>
            <w:hideMark/>
          </w:tcPr>
          <w:p w14:paraId="65873F5C"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43 575</w:t>
            </w:r>
          </w:p>
        </w:tc>
        <w:tc>
          <w:tcPr>
            <w:tcW w:w="907" w:type="dxa"/>
            <w:tcBorders>
              <w:top w:val="single" w:sz="4" w:space="0" w:color="auto"/>
            </w:tcBorders>
            <w:shd w:val="clear" w:color="auto" w:fill="auto"/>
            <w:vAlign w:val="bottom"/>
            <w:hideMark/>
          </w:tcPr>
          <w:p w14:paraId="109696E6"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45 311</w:t>
            </w:r>
          </w:p>
        </w:tc>
        <w:tc>
          <w:tcPr>
            <w:tcW w:w="907" w:type="dxa"/>
            <w:tcBorders>
              <w:top w:val="single" w:sz="4" w:space="0" w:color="auto"/>
            </w:tcBorders>
            <w:shd w:val="clear" w:color="auto" w:fill="auto"/>
            <w:vAlign w:val="bottom"/>
            <w:hideMark/>
          </w:tcPr>
          <w:p w14:paraId="7C27AD4C"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44 926</w:t>
            </w:r>
          </w:p>
        </w:tc>
        <w:tc>
          <w:tcPr>
            <w:tcW w:w="907" w:type="dxa"/>
            <w:tcBorders>
              <w:top w:val="single" w:sz="4" w:space="0" w:color="auto"/>
            </w:tcBorders>
            <w:shd w:val="clear" w:color="auto" w:fill="auto"/>
            <w:vAlign w:val="bottom"/>
            <w:hideMark/>
          </w:tcPr>
          <w:p w14:paraId="19304236"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45 949</w:t>
            </w:r>
          </w:p>
        </w:tc>
        <w:tc>
          <w:tcPr>
            <w:tcW w:w="907" w:type="dxa"/>
            <w:tcBorders>
              <w:top w:val="single" w:sz="4" w:space="0" w:color="auto"/>
            </w:tcBorders>
            <w:shd w:val="clear" w:color="auto" w:fill="auto"/>
            <w:vAlign w:val="bottom"/>
            <w:hideMark/>
          </w:tcPr>
          <w:p w14:paraId="6B68BFFF"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45 784</w:t>
            </w:r>
          </w:p>
        </w:tc>
      </w:tr>
      <w:tr w:rsidR="001A6659" w:rsidRPr="00684CF8" w14:paraId="5114FAED" w14:textId="77777777" w:rsidTr="001A6659">
        <w:tc>
          <w:tcPr>
            <w:tcW w:w="2835" w:type="dxa"/>
            <w:shd w:val="clear" w:color="auto" w:fill="auto"/>
            <w:hideMark/>
          </w:tcPr>
          <w:p w14:paraId="3ECDE44E" w14:textId="77777777" w:rsidR="001A6659" w:rsidRPr="00684CF8" w:rsidRDefault="001A6659" w:rsidP="001A6659">
            <w:pPr>
              <w:suppressAutoHyphens w:val="0"/>
              <w:spacing w:before="40" w:after="40" w:line="220" w:lineRule="exact"/>
              <w:rPr>
                <w:rFonts w:cs="Times New Roman"/>
                <w:sz w:val="18"/>
              </w:rPr>
            </w:pPr>
            <w:r w:rsidRPr="00684CF8">
              <w:rPr>
                <w:rFonts w:cs="Times New Roman"/>
                <w:sz w:val="18"/>
              </w:rPr>
              <w:t>Решения об оказании юридической помощи (частные адвокаты)</w:t>
            </w:r>
          </w:p>
        </w:tc>
        <w:tc>
          <w:tcPr>
            <w:tcW w:w="907" w:type="dxa"/>
            <w:shd w:val="clear" w:color="auto" w:fill="auto"/>
            <w:vAlign w:val="bottom"/>
            <w:hideMark/>
          </w:tcPr>
          <w:p w14:paraId="7BBC4705"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23 354</w:t>
            </w:r>
          </w:p>
        </w:tc>
        <w:tc>
          <w:tcPr>
            <w:tcW w:w="907" w:type="dxa"/>
            <w:shd w:val="clear" w:color="auto" w:fill="auto"/>
            <w:vAlign w:val="bottom"/>
            <w:hideMark/>
          </w:tcPr>
          <w:p w14:paraId="00FD7DFC"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28 009</w:t>
            </w:r>
          </w:p>
        </w:tc>
        <w:tc>
          <w:tcPr>
            <w:tcW w:w="907" w:type="dxa"/>
            <w:shd w:val="clear" w:color="auto" w:fill="auto"/>
            <w:vAlign w:val="bottom"/>
            <w:hideMark/>
          </w:tcPr>
          <w:p w14:paraId="17D6E712"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31 908</w:t>
            </w:r>
          </w:p>
        </w:tc>
        <w:tc>
          <w:tcPr>
            <w:tcW w:w="907" w:type="dxa"/>
            <w:shd w:val="clear" w:color="auto" w:fill="auto"/>
            <w:vAlign w:val="bottom"/>
            <w:hideMark/>
          </w:tcPr>
          <w:p w14:paraId="2A6B4BB3"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22 468</w:t>
            </w:r>
          </w:p>
        </w:tc>
        <w:tc>
          <w:tcPr>
            <w:tcW w:w="907" w:type="dxa"/>
            <w:shd w:val="clear" w:color="auto" w:fill="auto"/>
            <w:vAlign w:val="bottom"/>
            <w:hideMark/>
          </w:tcPr>
          <w:p w14:paraId="7143CCCE"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22 952</w:t>
            </w:r>
          </w:p>
        </w:tc>
      </w:tr>
      <w:tr w:rsidR="001A6659" w:rsidRPr="00684CF8" w14:paraId="2613B7EC" w14:textId="77777777" w:rsidTr="001A6659">
        <w:tc>
          <w:tcPr>
            <w:tcW w:w="2835" w:type="dxa"/>
            <w:tcBorders>
              <w:bottom w:val="single" w:sz="12" w:space="0" w:color="auto"/>
            </w:tcBorders>
            <w:shd w:val="clear" w:color="auto" w:fill="auto"/>
            <w:hideMark/>
          </w:tcPr>
          <w:p w14:paraId="2CEB308A" w14:textId="77777777" w:rsidR="001A6659" w:rsidRPr="00684CF8" w:rsidRDefault="001A6659" w:rsidP="001A6659">
            <w:pPr>
              <w:suppressAutoHyphens w:val="0"/>
              <w:spacing w:before="40" w:after="40" w:line="220" w:lineRule="exact"/>
              <w:rPr>
                <w:rFonts w:cs="Times New Roman"/>
                <w:sz w:val="18"/>
              </w:rPr>
            </w:pPr>
            <w:r w:rsidRPr="00684CF8">
              <w:rPr>
                <w:rFonts w:cs="Times New Roman"/>
                <w:sz w:val="18"/>
              </w:rPr>
              <w:lastRenderedPageBreak/>
              <w:t xml:space="preserve">Отказы в предоставлении </w:t>
            </w:r>
            <w:r w:rsidR="00F31455" w:rsidRPr="00684CF8">
              <w:rPr>
                <w:rFonts w:cs="Times New Roman"/>
                <w:sz w:val="18"/>
              </w:rPr>
              <w:br/>
            </w:r>
            <w:r w:rsidRPr="00684CF8">
              <w:rPr>
                <w:rFonts w:cs="Times New Roman"/>
                <w:sz w:val="18"/>
              </w:rPr>
              <w:t>юридической помощи</w:t>
            </w:r>
          </w:p>
        </w:tc>
        <w:tc>
          <w:tcPr>
            <w:tcW w:w="907" w:type="dxa"/>
            <w:tcBorders>
              <w:bottom w:val="single" w:sz="12" w:space="0" w:color="auto"/>
            </w:tcBorders>
            <w:shd w:val="clear" w:color="auto" w:fill="auto"/>
            <w:vAlign w:val="bottom"/>
            <w:hideMark/>
          </w:tcPr>
          <w:p w14:paraId="55B1DAD3"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3 640</w:t>
            </w:r>
          </w:p>
        </w:tc>
        <w:tc>
          <w:tcPr>
            <w:tcW w:w="907" w:type="dxa"/>
            <w:tcBorders>
              <w:bottom w:val="single" w:sz="12" w:space="0" w:color="auto"/>
            </w:tcBorders>
            <w:shd w:val="clear" w:color="auto" w:fill="auto"/>
            <w:vAlign w:val="bottom"/>
            <w:hideMark/>
          </w:tcPr>
          <w:p w14:paraId="2324AF70"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3 517</w:t>
            </w:r>
          </w:p>
        </w:tc>
        <w:tc>
          <w:tcPr>
            <w:tcW w:w="907" w:type="dxa"/>
            <w:tcBorders>
              <w:bottom w:val="single" w:sz="12" w:space="0" w:color="auto"/>
            </w:tcBorders>
            <w:shd w:val="clear" w:color="auto" w:fill="auto"/>
            <w:vAlign w:val="bottom"/>
            <w:hideMark/>
          </w:tcPr>
          <w:p w14:paraId="516B2CE9"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3 504</w:t>
            </w:r>
          </w:p>
        </w:tc>
        <w:tc>
          <w:tcPr>
            <w:tcW w:w="907" w:type="dxa"/>
            <w:tcBorders>
              <w:bottom w:val="single" w:sz="12" w:space="0" w:color="auto"/>
            </w:tcBorders>
            <w:shd w:val="clear" w:color="auto" w:fill="auto"/>
            <w:vAlign w:val="bottom"/>
            <w:hideMark/>
          </w:tcPr>
          <w:p w14:paraId="17A6BC97"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3 561</w:t>
            </w:r>
          </w:p>
        </w:tc>
        <w:tc>
          <w:tcPr>
            <w:tcW w:w="907" w:type="dxa"/>
            <w:tcBorders>
              <w:bottom w:val="single" w:sz="12" w:space="0" w:color="auto"/>
            </w:tcBorders>
            <w:shd w:val="clear" w:color="auto" w:fill="auto"/>
            <w:vAlign w:val="bottom"/>
          </w:tcPr>
          <w:p w14:paraId="729DAD71" w14:textId="77777777" w:rsidR="001A6659" w:rsidRPr="00684CF8" w:rsidRDefault="001A6659" w:rsidP="001A6659">
            <w:pPr>
              <w:suppressAutoHyphens w:val="0"/>
              <w:spacing w:before="40" w:after="40" w:line="220" w:lineRule="exact"/>
              <w:jc w:val="right"/>
              <w:rPr>
                <w:rFonts w:cs="Times New Roman"/>
                <w:sz w:val="18"/>
              </w:rPr>
            </w:pPr>
            <w:r w:rsidRPr="00684CF8">
              <w:rPr>
                <w:rFonts w:cs="Times New Roman"/>
                <w:sz w:val="18"/>
              </w:rPr>
              <w:t>3 346</w:t>
            </w:r>
          </w:p>
        </w:tc>
      </w:tr>
    </w:tbl>
    <w:p w14:paraId="5D83938D" w14:textId="77777777" w:rsidR="00F31455" w:rsidRPr="00684CF8" w:rsidRDefault="00F31455" w:rsidP="00F31455">
      <w:pPr>
        <w:pStyle w:val="SingleTxtG"/>
        <w:spacing w:before="120" w:after="240" w:line="220" w:lineRule="exact"/>
        <w:ind w:firstLine="170"/>
        <w:rPr>
          <w:sz w:val="18"/>
          <w:szCs w:val="18"/>
        </w:rPr>
      </w:pPr>
      <w:r w:rsidRPr="00684CF8">
        <w:rPr>
          <w:i/>
          <w:iCs/>
          <w:sz w:val="18"/>
          <w:szCs w:val="18"/>
        </w:rPr>
        <w:t>Источник</w:t>
      </w:r>
      <w:r w:rsidRPr="00684CF8">
        <w:rPr>
          <w:sz w:val="18"/>
          <w:szCs w:val="18"/>
        </w:rPr>
        <w:t>: Министерство юстиции, юридическая помощь, 2019 год.</w:t>
      </w:r>
    </w:p>
    <w:p w14:paraId="1BC0789E" w14:textId="77777777" w:rsidR="00F31455" w:rsidRPr="00684CF8" w:rsidRDefault="00F31455" w:rsidP="00F31455">
      <w:pPr>
        <w:pStyle w:val="H23G"/>
      </w:pPr>
      <w:bookmarkStart w:id="67" w:name="_Toc32364319"/>
      <w:r w:rsidRPr="00684CF8">
        <w:tab/>
      </w:r>
      <w:r w:rsidRPr="00684CF8">
        <w:tab/>
        <w:t xml:space="preserve">Компенсация в случае задержки </w:t>
      </w:r>
      <w:bookmarkStart w:id="68" w:name="_Hlk49337654"/>
      <w:r w:rsidRPr="00684CF8">
        <w:t>судебного разбирательства</w:t>
      </w:r>
      <w:bookmarkEnd w:id="67"/>
      <w:bookmarkEnd w:id="68"/>
    </w:p>
    <w:p w14:paraId="41E00A8F" w14:textId="77777777" w:rsidR="00F31455" w:rsidRPr="00684CF8" w:rsidRDefault="00F31455" w:rsidP="00F31455">
      <w:pPr>
        <w:pStyle w:val="SingleTxtG"/>
      </w:pPr>
      <w:r w:rsidRPr="00684CF8">
        <w:t>202.</w:t>
      </w:r>
      <w:r w:rsidRPr="00684CF8">
        <w:tab/>
        <w:t xml:space="preserve">Сторона может иметь право на денежную компенсацию из государственных средств за неоправданные задержки в проведении </w:t>
      </w:r>
      <w:r w:rsidRPr="00684CF8">
        <w:rPr>
          <w:bCs/>
        </w:rPr>
        <w:t>судебного разбирательства</w:t>
      </w:r>
      <w:r w:rsidRPr="00684CF8">
        <w:t>. Цель состоит в том, чтобы компенсировать беспокойство, неопределенность и другой сопоставимый ущерб, вызванный задержкой.</w:t>
      </w:r>
    </w:p>
    <w:p w14:paraId="4B01DC87" w14:textId="77777777" w:rsidR="00F31455" w:rsidRPr="00684CF8" w:rsidRDefault="00F31455" w:rsidP="00F31455">
      <w:pPr>
        <w:pStyle w:val="SingleTxtG"/>
      </w:pPr>
      <w:r w:rsidRPr="00684CF8">
        <w:t>203.</w:t>
      </w:r>
      <w:r w:rsidRPr="00684CF8">
        <w:tab/>
        <w:t>Компенсация может выплачиваться по гражданским и уголовным делам и ходатайствам, находящимся на рассмотрении суда общей юрисдикции. Судами, рассматривающими дела, относящиеся к общей юрисдикции, являются районные суды, апелляционные суды и Верховный суд. Требование о компенсации должно быть подано в суд, рассматривающий основной вопрос, до окончания рассмотрения дела. Сторона имеет право на получение компенсации за чрезмерную продолжительность судебного разбирательства также в административных судах, Суде по страховым делам и других специальных судах, Верховном административном суде и апелляционных коллегиях.</w:t>
      </w:r>
    </w:p>
    <w:p w14:paraId="2175F2F3" w14:textId="77777777" w:rsidR="00F31455" w:rsidRPr="00684CF8" w:rsidRDefault="00F31455" w:rsidP="00F31455">
      <w:pPr>
        <w:pStyle w:val="SingleTxtG"/>
      </w:pPr>
      <w:r w:rsidRPr="00684CF8">
        <w:t>204.</w:t>
      </w:r>
      <w:r w:rsidRPr="00684CF8">
        <w:tab/>
        <w:t>Оценка того, затянулось ли судебное разбирательство, проводится с учетом продолжительности судебного разбирательства, а также характера и масштабов вопроса, действий властей и судов в ходе разбирательства и значимости вопроса для стороны. При этом учитываются ранее вынесенные решения Европейского суда по правам человека.</w:t>
      </w:r>
    </w:p>
    <w:p w14:paraId="44F607D4" w14:textId="77777777" w:rsidR="00F31455" w:rsidRPr="00684CF8" w:rsidRDefault="00F31455" w:rsidP="00F31455">
      <w:pPr>
        <w:pStyle w:val="SingleTxtG"/>
      </w:pPr>
      <w:r w:rsidRPr="00684CF8">
        <w:t>205.</w:t>
      </w:r>
      <w:r w:rsidRPr="00684CF8">
        <w:tab/>
        <w:t>Сумма компенсации составляет 1500 евро за каждый год, в течение которого судебное разбирательство откладывалось по причине, за которую несет ответственность суд или орган власти. Общая сумма компенсации может быть увеличена максимум на 2000 евро, если основной вопрос имеет особое значение для потерпевшей стороны. Максимальная сумма компенсации составляет 10 000 евро и может быть превышена при наличии особых оснований. Сторона не имеет права на денежную компенсацию в том случае, если в связи с чрезмерной продолжительностью судебного разбирательства снижен срок наказания или смягчены административные санкции.</w:t>
      </w:r>
    </w:p>
    <w:p w14:paraId="2D9728A8" w14:textId="77777777" w:rsidR="00F31455" w:rsidRPr="00684CF8" w:rsidRDefault="00F31455" w:rsidP="00F31455">
      <w:pPr>
        <w:pStyle w:val="H23G"/>
      </w:pPr>
      <w:bookmarkStart w:id="69" w:name="_Toc32364320"/>
      <w:r w:rsidRPr="00684CF8">
        <w:tab/>
        <w:t>p)</w:t>
      </w:r>
      <w:r w:rsidRPr="00684CF8">
        <w:tab/>
        <w:t>Национальная прокуратура</w:t>
      </w:r>
      <w:bookmarkEnd w:id="69"/>
    </w:p>
    <w:p w14:paraId="1AFF8A4D" w14:textId="77777777" w:rsidR="00F31455" w:rsidRPr="00684CF8" w:rsidRDefault="00F31455" w:rsidP="00F31455">
      <w:pPr>
        <w:pStyle w:val="SingleTxtG"/>
      </w:pPr>
      <w:r w:rsidRPr="00684CF8">
        <w:t>206.</w:t>
      </w:r>
      <w:r w:rsidRPr="00684CF8">
        <w:tab/>
        <w:t xml:space="preserve">С 1 октября 2019 года Прокуратура </w:t>
      </w:r>
      <w:bookmarkStart w:id="70" w:name="_Hlk48400367"/>
      <w:r w:rsidRPr="00684CF8">
        <w:t>Финляндии</w:t>
      </w:r>
      <w:bookmarkEnd w:id="70"/>
      <w:r w:rsidRPr="00684CF8">
        <w:t xml:space="preserve"> прошла реорганизацию, в результате которой прокуроры вошли в состав Национальной прокуратуры — независимого учреждения в административной структуре Министерства юстиции. Национальная прокуратура состоит из Генеральной прокуратуры, выступающей в качестве центральной административной единицы, и пяти прокурорских округов: в Южной Финляндии, Западной Финляндии, Восточной Финляндии, Северной Финляндии и на Аландских островах. Окружные прокуратуры отвечают за организацию оперативной прокурорской деятельности, а в обязанности центрального административного подразделения входит руководство работой органов прокуратуры, подготовка их сотрудников и надзор за их деятельностью. Национальная прокуратура имеет 34 отделения по всей Финляндии и насчитывает около 550 сотрудников, 400 из которых являются прокурорами. Остальные 150 человек выполняют различные вспомогательные и экспертные функции.</w:t>
      </w:r>
    </w:p>
    <w:p w14:paraId="58697A92" w14:textId="77777777" w:rsidR="00F31455" w:rsidRPr="00684CF8" w:rsidRDefault="00F31455" w:rsidP="00F31455">
      <w:pPr>
        <w:pStyle w:val="SingleTxtG"/>
      </w:pPr>
      <w:r w:rsidRPr="00684CF8">
        <w:t>207.</w:t>
      </w:r>
      <w:r w:rsidRPr="00684CF8">
        <w:tab/>
        <w:t xml:space="preserve">Ежегодно прокурорам приходится обрабатывать около 80 000 уголовных дел. Большинство из них рассматривается в соответствующем прокурорском округе. Ежегодно Генеральная прокуратура возбуждает лишь несколько десятков уголовных дел, большинство из которых по закону относятся к компетенции Генеральной прокуратуры, в том числе преступления, связанные с терроризмом, и правонарушения, связанные со злоупотреблением свободой выражения мнений. Кроме того, ежегодно прокуроры Генеральной прокуратуры принимают участие в рассмотрении нескольких </w:t>
      </w:r>
      <w:r w:rsidRPr="00684CF8">
        <w:lastRenderedPageBreak/>
        <w:t xml:space="preserve">уголовных дел, которые, как считается, имеют особое значение для общества, например в связи с известностью лица, подозреваемого в совершении преступления. В ходе досудебного расследования прокурор и орган досудебного расследования совместно работают над тем, чтобы обеспечить достаточно тщательное расследование </w:t>
      </w:r>
      <w:bookmarkStart w:id="71" w:name="_Hlk48402133"/>
      <w:r w:rsidRPr="00684CF8">
        <w:t>предполагаемого</w:t>
      </w:r>
      <w:bookmarkEnd w:id="71"/>
      <w:r w:rsidRPr="00684CF8">
        <w:t xml:space="preserve"> преступления. На основе доказательств, полученных в ходе досудебного расследования, прокурор проводит рассмотрение доводов для принятия решения о том, следует ли предъявить обвинение или отказаться от дальнейших действий.</w:t>
      </w:r>
    </w:p>
    <w:p w14:paraId="619021A2" w14:textId="77777777" w:rsidR="00F31455" w:rsidRPr="00684CF8" w:rsidRDefault="00F31455" w:rsidP="00F31455">
      <w:pPr>
        <w:pStyle w:val="SingleTxtG"/>
      </w:pPr>
      <w:r w:rsidRPr="00684CF8">
        <w:t>208.</w:t>
      </w:r>
      <w:r w:rsidRPr="00684CF8">
        <w:tab/>
        <w:t>В соответствии с Законом о Национальной прокуратуре (32/2019) прокуроры обеспечивают привлечение к уголовной ответственности по рассматриваемым ими делам на равной, оперативной и экономичной основе, что необходимо для обеспечения правовой защиты соответствующих сторон и служения общественным интересам. Прокурор должен быть объективным и беспристрастным и равным образом рассматривать доказательства как в подтверждение наличия состава предполагаемого преступления, так и против него.</w:t>
      </w:r>
    </w:p>
    <w:p w14:paraId="71672196" w14:textId="77777777" w:rsidR="00F31455" w:rsidRPr="00684CF8" w:rsidRDefault="00F31455" w:rsidP="00F31455">
      <w:pPr>
        <w:pStyle w:val="SingleTxtG"/>
      </w:pPr>
      <w:r w:rsidRPr="00684CF8">
        <w:t>209.</w:t>
      </w:r>
      <w:r w:rsidRPr="00684CF8">
        <w:tab/>
        <w:t>Прокуроры принимают свои решения, пользуясь полной независимостью и самостоятельностью. В связи с любым отдельным делом они не могут и не должны получать указания или приказы от кого бы то ни было. Таким образом, прокурор не связан мнением полиции, например о виновности подозреваемого. Даже Генеральный прокурор не уполномочен диктовать прокурору, как он должен вести дело. Однако Генеральный прокурор имеет право лично заняться любым делом и передать дело другому прокурору. В 2018 году в Финляндии на 100 000 жителей приходилось около 7,12 прокуроров.</w:t>
      </w:r>
    </w:p>
    <w:p w14:paraId="1C805A40" w14:textId="77777777" w:rsidR="00F31455" w:rsidRPr="00684CF8" w:rsidRDefault="00F31455" w:rsidP="00F31455">
      <w:pPr>
        <w:pStyle w:val="H23G"/>
      </w:pPr>
      <w:bookmarkStart w:id="72" w:name="_Toc32364321"/>
      <w:r w:rsidRPr="00684CF8">
        <w:tab/>
        <w:t>q)</w:t>
      </w:r>
      <w:r w:rsidRPr="00684CF8">
        <w:tab/>
        <w:t>Полиция</w:t>
      </w:r>
      <w:bookmarkEnd w:id="72"/>
    </w:p>
    <w:p w14:paraId="03130C51" w14:textId="77777777" w:rsidR="00F31455" w:rsidRPr="00684CF8" w:rsidRDefault="00F31455" w:rsidP="00F31455">
      <w:pPr>
        <w:pStyle w:val="SingleTxtG"/>
      </w:pPr>
      <w:r w:rsidRPr="00684CF8">
        <w:t>210.</w:t>
      </w:r>
      <w:r w:rsidRPr="00684CF8">
        <w:tab/>
        <w:t>В Финляндии существует многоуровневая полицейская организация. Руководство работой полиции осуществляется правительством на основе целей, включенных в правительственную программу, и постановлений, принятых правительством. За руководство и контроль отвечает Министерство внутренних дел. Полицейская организация состоит из двух уровней. Действуя под эгидой Министерства внутренних дел, Национальное управление полиции Финляндии руководит деятельностью полиции и направляет ее. Полицейские департаменты и национальные подразделения подчиняются непосредственно Национальному управлению полиции, которое также отвечает за управление служебной деятельностью полицейских подразделений. Деятельность полиции регулируется Законом о полиции (872/2011), а также другими законодательными актами, касающимися деятельности полиции, такими как Закон об уголовных расследованиях (805/2011) и Закон о принудительных мерах (806/2011). К деятельности полиции также применяются принципы надлежащего управления.</w:t>
      </w:r>
    </w:p>
    <w:p w14:paraId="0CCC2259" w14:textId="77777777" w:rsidR="00F31455" w:rsidRPr="00684CF8" w:rsidRDefault="00F31455" w:rsidP="00F31455">
      <w:pPr>
        <w:pStyle w:val="SingleTxtG"/>
      </w:pPr>
      <w:r w:rsidRPr="00684CF8">
        <w:t>211.</w:t>
      </w:r>
      <w:r w:rsidRPr="00684CF8">
        <w:tab/>
        <w:t>К числу подразделений национальной полиции относятся Национальное бюро расследований и Полицейский университетский колледж. Национальное бюро расследований специализируется на предотвращении тяжких и организованных преступлений. Полицейский университетский колледж отвечает за набор сотрудников полиции, отбор курсантов, организацию учебных курсов с получением диплома и курсов повышения квалификации, повышение квалификации в учебном заведении, а также исследования и разработки в области деятельности полиции. Местная полиция состоит из 11 полицейских департаментов. Местные полицейские службы работают на базе опорных полицейских участков, полицейских участков, пунктов полиции и объединенных пунктов полиции. Лицензионные услуги, предоставляемые полицией, связаны с основными полицейскими операциями, охраной общественного порядка и обеспечением безопасности, предупреждением преступности и повышением безопасности дорожного движения. В рядах полиции Финляндии насчитывается около 7200 полицейских.</w:t>
      </w:r>
    </w:p>
    <w:p w14:paraId="0E4E562D" w14:textId="77777777" w:rsidR="00F31455" w:rsidRPr="00684CF8" w:rsidRDefault="00F31455" w:rsidP="00F31455">
      <w:pPr>
        <w:pStyle w:val="1"/>
        <w:spacing w:before="240" w:after="120"/>
        <w:ind w:left="1134" w:hanging="1134"/>
        <w:jc w:val="left"/>
      </w:pPr>
      <w:r w:rsidRPr="00684CF8">
        <w:rPr>
          <w:b w:val="0"/>
          <w:bCs w:val="0"/>
        </w:rPr>
        <w:lastRenderedPageBreak/>
        <w:tab/>
      </w:r>
      <w:r w:rsidRPr="00684CF8">
        <w:rPr>
          <w:b w:val="0"/>
          <w:bCs w:val="0"/>
        </w:rPr>
        <w:tab/>
        <w:t>Таблица 12</w:t>
      </w:r>
      <w:r w:rsidRPr="00684CF8">
        <w:rPr>
          <w:b w:val="0"/>
          <w:bCs w:val="0"/>
        </w:rPr>
        <w:br/>
      </w:r>
      <w:r w:rsidRPr="00684CF8">
        <w:t>Количество полицейских в разбивке по годам</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820"/>
        <w:gridCol w:w="820"/>
        <w:gridCol w:w="820"/>
        <w:gridCol w:w="820"/>
        <w:gridCol w:w="821"/>
        <w:gridCol w:w="1142"/>
      </w:tblGrid>
      <w:tr w:rsidR="00F31455" w:rsidRPr="00684CF8" w14:paraId="49E0388F" w14:textId="77777777" w:rsidTr="00F31455">
        <w:trPr>
          <w:tblHeader/>
        </w:trPr>
        <w:tc>
          <w:tcPr>
            <w:tcW w:w="2127" w:type="dxa"/>
            <w:tcBorders>
              <w:top w:val="single" w:sz="4" w:space="0" w:color="auto"/>
              <w:bottom w:val="single" w:sz="12" w:space="0" w:color="auto"/>
            </w:tcBorders>
            <w:shd w:val="clear" w:color="auto" w:fill="auto"/>
            <w:vAlign w:val="bottom"/>
            <w:hideMark/>
          </w:tcPr>
          <w:p w14:paraId="6E4CBC66" w14:textId="77777777" w:rsidR="00F31455" w:rsidRPr="00684CF8" w:rsidRDefault="00F31455" w:rsidP="00F31455">
            <w:pPr>
              <w:spacing w:before="80" w:after="80" w:line="200" w:lineRule="exact"/>
              <w:rPr>
                <w:rFonts w:cs="Times New Roman"/>
                <w:bCs/>
                <w:i/>
                <w:sz w:val="16"/>
              </w:rPr>
            </w:pPr>
            <w:r w:rsidRPr="00684CF8">
              <w:rPr>
                <w:rFonts w:cs="Times New Roman"/>
                <w:i/>
                <w:sz w:val="16"/>
              </w:rPr>
              <w:t>Год/категория</w:t>
            </w:r>
          </w:p>
        </w:tc>
        <w:tc>
          <w:tcPr>
            <w:tcW w:w="820" w:type="dxa"/>
            <w:tcBorders>
              <w:top w:val="single" w:sz="4" w:space="0" w:color="auto"/>
              <w:bottom w:val="single" w:sz="12" w:space="0" w:color="auto"/>
            </w:tcBorders>
            <w:shd w:val="clear" w:color="auto" w:fill="auto"/>
            <w:vAlign w:val="bottom"/>
            <w:hideMark/>
          </w:tcPr>
          <w:p w14:paraId="10E491A0"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2014</w:t>
            </w:r>
          </w:p>
        </w:tc>
        <w:tc>
          <w:tcPr>
            <w:tcW w:w="820" w:type="dxa"/>
            <w:tcBorders>
              <w:top w:val="single" w:sz="4" w:space="0" w:color="auto"/>
              <w:bottom w:val="single" w:sz="12" w:space="0" w:color="auto"/>
            </w:tcBorders>
            <w:shd w:val="clear" w:color="auto" w:fill="auto"/>
            <w:vAlign w:val="bottom"/>
            <w:hideMark/>
          </w:tcPr>
          <w:p w14:paraId="2BB36D09"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2015</w:t>
            </w:r>
          </w:p>
        </w:tc>
        <w:tc>
          <w:tcPr>
            <w:tcW w:w="820" w:type="dxa"/>
            <w:tcBorders>
              <w:top w:val="single" w:sz="4" w:space="0" w:color="auto"/>
              <w:bottom w:val="single" w:sz="12" w:space="0" w:color="auto"/>
            </w:tcBorders>
            <w:shd w:val="clear" w:color="auto" w:fill="auto"/>
            <w:vAlign w:val="bottom"/>
            <w:hideMark/>
          </w:tcPr>
          <w:p w14:paraId="1D6AB7CE"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2016</w:t>
            </w:r>
          </w:p>
        </w:tc>
        <w:tc>
          <w:tcPr>
            <w:tcW w:w="820" w:type="dxa"/>
            <w:tcBorders>
              <w:top w:val="single" w:sz="4" w:space="0" w:color="auto"/>
              <w:bottom w:val="single" w:sz="12" w:space="0" w:color="auto"/>
            </w:tcBorders>
            <w:shd w:val="clear" w:color="auto" w:fill="auto"/>
            <w:vAlign w:val="bottom"/>
            <w:hideMark/>
          </w:tcPr>
          <w:p w14:paraId="221A22E5"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2017</w:t>
            </w:r>
          </w:p>
        </w:tc>
        <w:tc>
          <w:tcPr>
            <w:tcW w:w="821" w:type="dxa"/>
            <w:tcBorders>
              <w:top w:val="single" w:sz="4" w:space="0" w:color="auto"/>
              <w:bottom w:val="single" w:sz="12" w:space="0" w:color="auto"/>
            </w:tcBorders>
            <w:shd w:val="clear" w:color="auto" w:fill="auto"/>
            <w:vAlign w:val="bottom"/>
            <w:hideMark/>
          </w:tcPr>
          <w:p w14:paraId="5FB9627D"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2018</w:t>
            </w:r>
          </w:p>
        </w:tc>
        <w:tc>
          <w:tcPr>
            <w:tcW w:w="1142" w:type="dxa"/>
            <w:tcBorders>
              <w:top w:val="single" w:sz="4" w:space="0" w:color="auto"/>
              <w:bottom w:val="single" w:sz="12" w:space="0" w:color="auto"/>
            </w:tcBorders>
            <w:shd w:val="clear" w:color="auto" w:fill="auto"/>
            <w:vAlign w:val="bottom"/>
            <w:hideMark/>
          </w:tcPr>
          <w:p w14:paraId="66043132"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 xml:space="preserve">Изменение </w:t>
            </w:r>
            <w:r w:rsidRPr="00684CF8">
              <w:rPr>
                <w:rFonts w:cs="Times New Roman"/>
                <w:i/>
                <w:sz w:val="16"/>
              </w:rPr>
              <w:br/>
              <w:t xml:space="preserve">по сравнению </w:t>
            </w:r>
            <w:r w:rsidRPr="00684CF8">
              <w:rPr>
                <w:rFonts w:cs="Times New Roman"/>
                <w:i/>
                <w:sz w:val="16"/>
              </w:rPr>
              <w:br/>
              <w:t>с предыдущим годом, %</w:t>
            </w:r>
          </w:p>
        </w:tc>
      </w:tr>
      <w:tr w:rsidR="00F31455" w:rsidRPr="00684CF8" w14:paraId="564A2B4A" w14:textId="77777777" w:rsidTr="00F31455">
        <w:tc>
          <w:tcPr>
            <w:tcW w:w="2127" w:type="dxa"/>
            <w:shd w:val="clear" w:color="auto" w:fill="auto"/>
            <w:hideMark/>
          </w:tcPr>
          <w:p w14:paraId="39E6A748" w14:textId="77777777" w:rsidR="00F31455" w:rsidRPr="00684CF8" w:rsidRDefault="00F31455" w:rsidP="00F31455">
            <w:pPr>
              <w:spacing w:before="40" w:after="40" w:line="220" w:lineRule="exact"/>
              <w:rPr>
                <w:rFonts w:cs="Times New Roman"/>
                <w:sz w:val="18"/>
              </w:rPr>
            </w:pPr>
            <w:r w:rsidRPr="00684CF8">
              <w:rPr>
                <w:rFonts w:cs="Times New Roman"/>
                <w:sz w:val="18"/>
              </w:rPr>
              <w:t>Начальники</w:t>
            </w:r>
          </w:p>
        </w:tc>
        <w:tc>
          <w:tcPr>
            <w:tcW w:w="820" w:type="dxa"/>
            <w:shd w:val="clear" w:color="auto" w:fill="auto"/>
            <w:vAlign w:val="bottom"/>
            <w:hideMark/>
          </w:tcPr>
          <w:p w14:paraId="60AC4D1F"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53</w:t>
            </w:r>
          </w:p>
        </w:tc>
        <w:tc>
          <w:tcPr>
            <w:tcW w:w="820" w:type="dxa"/>
            <w:shd w:val="clear" w:color="auto" w:fill="auto"/>
            <w:vAlign w:val="bottom"/>
            <w:hideMark/>
          </w:tcPr>
          <w:p w14:paraId="4D17818B"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52</w:t>
            </w:r>
          </w:p>
        </w:tc>
        <w:tc>
          <w:tcPr>
            <w:tcW w:w="820" w:type="dxa"/>
            <w:shd w:val="clear" w:color="auto" w:fill="auto"/>
            <w:vAlign w:val="bottom"/>
            <w:hideMark/>
          </w:tcPr>
          <w:p w14:paraId="19D17ED3"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47</w:t>
            </w:r>
          </w:p>
        </w:tc>
        <w:tc>
          <w:tcPr>
            <w:tcW w:w="820" w:type="dxa"/>
            <w:shd w:val="clear" w:color="auto" w:fill="auto"/>
            <w:vAlign w:val="bottom"/>
            <w:hideMark/>
          </w:tcPr>
          <w:p w14:paraId="14FB2984"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44</w:t>
            </w:r>
          </w:p>
        </w:tc>
        <w:tc>
          <w:tcPr>
            <w:tcW w:w="821" w:type="dxa"/>
            <w:shd w:val="clear" w:color="auto" w:fill="auto"/>
            <w:vAlign w:val="bottom"/>
            <w:hideMark/>
          </w:tcPr>
          <w:p w14:paraId="02745DA9"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43</w:t>
            </w:r>
          </w:p>
        </w:tc>
        <w:tc>
          <w:tcPr>
            <w:tcW w:w="1142" w:type="dxa"/>
            <w:shd w:val="clear" w:color="auto" w:fill="auto"/>
            <w:vAlign w:val="bottom"/>
            <w:hideMark/>
          </w:tcPr>
          <w:p w14:paraId="4539D26B" w14:textId="77777777" w:rsidR="00F31455" w:rsidRPr="00684CF8" w:rsidRDefault="00F31455" w:rsidP="00F31455">
            <w:pPr>
              <w:suppressAutoHyphens w:val="0"/>
              <w:spacing w:before="40" w:after="40" w:line="220" w:lineRule="exact"/>
              <w:jc w:val="right"/>
              <w:rPr>
                <w:rFonts w:cs="Times New Roman"/>
                <w:sz w:val="18"/>
              </w:rPr>
            </w:pPr>
            <w:r w:rsidRPr="00684CF8">
              <w:t>–</w:t>
            </w:r>
            <w:r w:rsidRPr="00684CF8">
              <w:rPr>
                <w:rFonts w:cs="Times New Roman"/>
                <w:sz w:val="18"/>
              </w:rPr>
              <w:t>1</w:t>
            </w:r>
          </w:p>
        </w:tc>
      </w:tr>
      <w:tr w:rsidR="00F31455" w:rsidRPr="00684CF8" w14:paraId="5AFE0706" w14:textId="77777777" w:rsidTr="00F31455">
        <w:tc>
          <w:tcPr>
            <w:tcW w:w="2127" w:type="dxa"/>
            <w:shd w:val="clear" w:color="auto" w:fill="auto"/>
            <w:hideMark/>
          </w:tcPr>
          <w:p w14:paraId="766B8D3F" w14:textId="77777777" w:rsidR="00F31455" w:rsidRPr="00684CF8" w:rsidRDefault="00F31455" w:rsidP="00F31455">
            <w:pPr>
              <w:spacing w:before="40" w:after="40" w:line="220" w:lineRule="exact"/>
              <w:rPr>
                <w:rFonts w:cs="Times New Roman"/>
                <w:sz w:val="18"/>
              </w:rPr>
            </w:pPr>
            <w:r w:rsidRPr="00684CF8">
              <w:rPr>
                <w:rFonts w:cs="Times New Roman"/>
                <w:sz w:val="18"/>
              </w:rPr>
              <w:t>Офицеры на командной должности</w:t>
            </w:r>
          </w:p>
        </w:tc>
        <w:tc>
          <w:tcPr>
            <w:tcW w:w="820" w:type="dxa"/>
            <w:shd w:val="clear" w:color="auto" w:fill="auto"/>
            <w:vAlign w:val="bottom"/>
            <w:hideMark/>
          </w:tcPr>
          <w:p w14:paraId="1716A226"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712</w:t>
            </w:r>
          </w:p>
        </w:tc>
        <w:tc>
          <w:tcPr>
            <w:tcW w:w="820" w:type="dxa"/>
            <w:shd w:val="clear" w:color="auto" w:fill="auto"/>
            <w:vAlign w:val="bottom"/>
            <w:hideMark/>
          </w:tcPr>
          <w:p w14:paraId="5A5753CF"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705</w:t>
            </w:r>
          </w:p>
        </w:tc>
        <w:tc>
          <w:tcPr>
            <w:tcW w:w="820" w:type="dxa"/>
            <w:shd w:val="clear" w:color="auto" w:fill="auto"/>
            <w:vAlign w:val="bottom"/>
            <w:hideMark/>
          </w:tcPr>
          <w:p w14:paraId="63371B64"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680</w:t>
            </w:r>
          </w:p>
        </w:tc>
        <w:tc>
          <w:tcPr>
            <w:tcW w:w="820" w:type="dxa"/>
            <w:shd w:val="clear" w:color="auto" w:fill="auto"/>
            <w:vAlign w:val="bottom"/>
            <w:hideMark/>
          </w:tcPr>
          <w:p w14:paraId="5422BA72"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685</w:t>
            </w:r>
          </w:p>
        </w:tc>
        <w:tc>
          <w:tcPr>
            <w:tcW w:w="821" w:type="dxa"/>
            <w:shd w:val="clear" w:color="auto" w:fill="auto"/>
            <w:vAlign w:val="bottom"/>
            <w:hideMark/>
          </w:tcPr>
          <w:p w14:paraId="53578F90"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703</w:t>
            </w:r>
          </w:p>
        </w:tc>
        <w:tc>
          <w:tcPr>
            <w:tcW w:w="1142" w:type="dxa"/>
            <w:shd w:val="clear" w:color="auto" w:fill="auto"/>
            <w:vAlign w:val="bottom"/>
            <w:hideMark/>
          </w:tcPr>
          <w:p w14:paraId="612B7395"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18</w:t>
            </w:r>
          </w:p>
        </w:tc>
      </w:tr>
      <w:tr w:rsidR="00F31455" w:rsidRPr="00684CF8" w14:paraId="101F69AC" w14:textId="77777777" w:rsidTr="00F31455">
        <w:tc>
          <w:tcPr>
            <w:tcW w:w="2127" w:type="dxa"/>
            <w:shd w:val="clear" w:color="auto" w:fill="auto"/>
            <w:hideMark/>
          </w:tcPr>
          <w:p w14:paraId="5E606099" w14:textId="77777777" w:rsidR="00F31455" w:rsidRPr="00684CF8" w:rsidRDefault="00F31455" w:rsidP="00F31455">
            <w:pPr>
              <w:spacing w:before="40" w:after="40" w:line="220" w:lineRule="exact"/>
              <w:rPr>
                <w:rFonts w:cs="Times New Roman"/>
                <w:sz w:val="18"/>
              </w:rPr>
            </w:pPr>
            <w:r w:rsidRPr="00684CF8">
              <w:rPr>
                <w:rFonts w:cs="Times New Roman"/>
                <w:sz w:val="18"/>
              </w:rPr>
              <w:t>Старшие сотрудники полиции</w:t>
            </w:r>
          </w:p>
        </w:tc>
        <w:tc>
          <w:tcPr>
            <w:tcW w:w="820" w:type="dxa"/>
            <w:shd w:val="clear" w:color="auto" w:fill="auto"/>
            <w:vAlign w:val="bottom"/>
            <w:hideMark/>
          </w:tcPr>
          <w:p w14:paraId="3266AB3E"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1 891</w:t>
            </w:r>
          </w:p>
        </w:tc>
        <w:tc>
          <w:tcPr>
            <w:tcW w:w="820" w:type="dxa"/>
            <w:shd w:val="clear" w:color="auto" w:fill="auto"/>
            <w:vAlign w:val="bottom"/>
            <w:hideMark/>
          </w:tcPr>
          <w:p w14:paraId="27C44550"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1 816</w:t>
            </w:r>
          </w:p>
        </w:tc>
        <w:tc>
          <w:tcPr>
            <w:tcW w:w="820" w:type="dxa"/>
            <w:shd w:val="clear" w:color="auto" w:fill="auto"/>
            <w:vAlign w:val="bottom"/>
            <w:hideMark/>
          </w:tcPr>
          <w:p w14:paraId="2FA3D519"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1 781</w:t>
            </w:r>
          </w:p>
        </w:tc>
        <w:tc>
          <w:tcPr>
            <w:tcW w:w="820" w:type="dxa"/>
            <w:shd w:val="clear" w:color="auto" w:fill="auto"/>
            <w:vAlign w:val="bottom"/>
            <w:hideMark/>
          </w:tcPr>
          <w:p w14:paraId="3B32DB0D"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1 732</w:t>
            </w:r>
          </w:p>
        </w:tc>
        <w:tc>
          <w:tcPr>
            <w:tcW w:w="821" w:type="dxa"/>
            <w:shd w:val="clear" w:color="auto" w:fill="auto"/>
            <w:vAlign w:val="bottom"/>
            <w:hideMark/>
          </w:tcPr>
          <w:p w14:paraId="290A59B1"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1 745</w:t>
            </w:r>
          </w:p>
        </w:tc>
        <w:tc>
          <w:tcPr>
            <w:tcW w:w="1142" w:type="dxa"/>
            <w:shd w:val="clear" w:color="auto" w:fill="auto"/>
            <w:vAlign w:val="bottom"/>
            <w:hideMark/>
          </w:tcPr>
          <w:p w14:paraId="0D1F9839"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13</w:t>
            </w:r>
          </w:p>
        </w:tc>
      </w:tr>
      <w:tr w:rsidR="00F31455" w:rsidRPr="00684CF8" w14:paraId="004E977E" w14:textId="77777777" w:rsidTr="00F31455">
        <w:tc>
          <w:tcPr>
            <w:tcW w:w="2127" w:type="dxa"/>
            <w:shd w:val="clear" w:color="auto" w:fill="auto"/>
            <w:hideMark/>
          </w:tcPr>
          <w:p w14:paraId="2025B059" w14:textId="77777777" w:rsidR="00F31455" w:rsidRPr="00684CF8" w:rsidRDefault="00F31455" w:rsidP="00F31455">
            <w:pPr>
              <w:spacing w:before="40" w:after="40" w:line="220" w:lineRule="exact"/>
              <w:rPr>
                <w:rFonts w:cs="Times New Roman"/>
                <w:sz w:val="18"/>
              </w:rPr>
            </w:pPr>
            <w:r w:rsidRPr="00684CF8">
              <w:rPr>
                <w:rFonts w:cs="Times New Roman"/>
                <w:sz w:val="18"/>
              </w:rPr>
              <w:t>Констебли и полицейские других рангов</w:t>
            </w:r>
          </w:p>
        </w:tc>
        <w:tc>
          <w:tcPr>
            <w:tcW w:w="820" w:type="dxa"/>
            <w:shd w:val="clear" w:color="auto" w:fill="auto"/>
            <w:vAlign w:val="bottom"/>
            <w:hideMark/>
          </w:tcPr>
          <w:p w14:paraId="60EAF709"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4 733</w:t>
            </w:r>
          </w:p>
        </w:tc>
        <w:tc>
          <w:tcPr>
            <w:tcW w:w="820" w:type="dxa"/>
            <w:shd w:val="clear" w:color="auto" w:fill="auto"/>
            <w:vAlign w:val="bottom"/>
            <w:hideMark/>
          </w:tcPr>
          <w:p w14:paraId="3113F0A8"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4 759</w:t>
            </w:r>
          </w:p>
        </w:tc>
        <w:tc>
          <w:tcPr>
            <w:tcW w:w="820" w:type="dxa"/>
            <w:shd w:val="clear" w:color="auto" w:fill="auto"/>
            <w:vAlign w:val="bottom"/>
            <w:hideMark/>
          </w:tcPr>
          <w:p w14:paraId="65043572"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4 703</w:t>
            </w:r>
          </w:p>
        </w:tc>
        <w:tc>
          <w:tcPr>
            <w:tcW w:w="820" w:type="dxa"/>
            <w:shd w:val="clear" w:color="auto" w:fill="auto"/>
            <w:vAlign w:val="bottom"/>
            <w:hideMark/>
          </w:tcPr>
          <w:p w14:paraId="6D833D23"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4 687</w:t>
            </w:r>
          </w:p>
        </w:tc>
        <w:tc>
          <w:tcPr>
            <w:tcW w:w="821" w:type="dxa"/>
            <w:shd w:val="clear" w:color="auto" w:fill="auto"/>
            <w:vAlign w:val="bottom"/>
            <w:hideMark/>
          </w:tcPr>
          <w:p w14:paraId="5ECD690A"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4 709</w:t>
            </w:r>
          </w:p>
        </w:tc>
        <w:tc>
          <w:tcPr>
            <w:tcW w:w="1142" w:type="dxa"/>
            <w:shd w:val="clear" w:color="auto" w:fill="auto"/>
            <w:vAlign w:val="bottom"/>
            <w:hideMark/>
          </w:tcPr>
          <w:p w14:paraId="09439242"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22</w:t>
            </w:r>
          </w:p>
        </w:tc>
      </w:tr>
      <w:tr w:rsidR="00F31455" w:rsidRPr="00684CF8" w14:paraId="497AF961" w14:textId="77777777" w:rsidTr="00F31455">
        <w:tc>
          <w:tcPr>
            <w:tcW w:w="2127" w:type="dxa"/>
            <w:shd w:val="clear" w:color="auto" w:fill="auto"/>
            <w:hideMark/>
          </w:tcPr>
          <w:p w14:paraId="62166203" w14:textId="77777777" w:rsidR="00F31455" w:rsidRPr="00684CF8" w:rsidRDefault="00F31455" w:rsidP="00F31455">
            <w:pPr>
              <w:spacing w:before="40" w:after="40" w:line="220" w:lineRule="exact"/>
              <w:rPr>
                <w:rFonts w:cs="Times New Roman"/>
                <w:sz w:val="18"/>
              </w:rPr>
            </w:pPr>
            <w:r w:rsidRPr="00684CF8">
              <w:rPr>
                <w:rFonts w:cs="Times New Roman"/>
                <w:sz w:val="18"/>
              </w:rPr>
              <w:t>Курсанты</w:t>
            </w:r>
          </w:p>
        </w:tc>
        <w:tc>
          <w:tcPr>
            <w:tcW w:w="820" w:type="dxa"/>
            <w:shd w:val="clear" w:color="auto" w:fill="auto"/>
            <w:vAlign w:val="bottom"/>
            <w:hideMark/>
          </w:tcPr>
          <w:p w14:paraId="0FBAF180"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166</w:t>
            </w:r>
          </w:p>
        </w:tc>
        <w:tc>
          <w:tcPr>
            <w:tcW w:w="820" w:type="dxa"/>
            <w:shd w:val="clear" w:color="auto" w:fill="auto"/>
            <w:vAlign w:val="bottom"/>
            <w:hideMark/>
          </w:tcPr>
          <w:p w14:paraId="11CF664A"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157</w:t>
            </w:r>
          </w:p>
        </w:tc>
        <w:tc>
          <w:tcPr>
            <w:tcW w:w="820" w:type="dxa"/>
            <w:shd w:val="clear" w:color="auto" w:fill="auto"/>
            <w:vAlign w:val="bottom"/>
            <w:hideMark/>
          </w:tcPr>
          <w:p w14:paraId="5C93CD7E"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171</w:t>
            </w:r>
          </w:p>
        </w:tc>
        <w:tc>
          <w:tcPr>
            <w:tcW w:w="820" w:type="dxa"/>
            <w:shd w:val="clear" w:color="auto" w:fill="auto"/>
            <w:vAlign w:val="bottom"/>
            <w:hideMark/>
          </w:tcPr>
          <w:p w14:paraId="2D3F45D9"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182</w:t>
            </w:r>
          </w:p>
        </w:tc>
        <w:tc>
          <w:tcPr>
            <w:tcW w:w="821" w:type="dxa"/>
            <w:shd w:val="clear" w:color="auto" w:fill="auto"/>
            <w:vAlign w:val="bottom"/>
            <w:hideMark/>
          </w:tcPr>
          <w:p w14:paraId="6F675EF6"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263</w:t>
            </w:r>
          </w:p>
        </w:tc>
        <w:tc>
          <w:tcPr>
            <w:tcW w:w="1142" w:type="dxa"/>
            <w:shd w:val="clear" w:color="auto" w:fill="auto"/>
            <w:vAlign w:val="bottom"/>
            <w:hideMark/>
          </w:tcPr>
          <w:p w14:paraId="6BB2E7FE"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81</w:t>
            </w:r>
          </w:p>
        </w:tc>
      </w:tr>
      <w:tr w:rsidR="00F31455" w:rsidRPr="00684CF8" w14:paraId="2B28D0C7" w14:textId="77777777" w:rsidTr="00F31455">
        <w:tc>
          <w:tcPr>
            <w:tcW w:w="2127" w:type="dxa"/>
            <w:shd w:val="clear" w:color="auto" w:fill="auto"/>
            <w:hideMark/>
          </w:tcPr>
          <w:p w14:paraId="0DBDCCB1" w14:textId="77777777" w:rsidR="00F31455" w:rsidRPr="00684CF8" w:rsidRDefault="00F31455" w:rsidP="00F31455">
            <w:pPr>
              <w:spacing w:before="40" w:after="40" w:line="220" w:lineRule="exact"/>
              <w:rPr>
                <w:rFonts w:cs="Times New Roman"/>
                <w:sz w:val="18"/>
              </w:rPr>
            </w:pPr>
            <w:r w:rsidRPr="00684CF8">
              <w:rPr>
                <w:rFonts w:cs="Times New Roman"/>
                <w:sz w:val="18"/>
              </w:rPr>
              <w:t>Охранники</w:t>
            </w:r>
          </w:p>
        </w:tc>
        <w:tc>
          <w:tcPr>
            <w:tcW w:w="820" w:type="dxa"/>
            <w:shd w:val="clear" w:color="auto" w:fill="auto"/>
            <w:vAlign w:val="bottom"/>
            <w:hideMark/>
          </w:tcPr>
          <w:p w14:paraId="45625C98"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364</w:t>
            </w:r>
          </w:p>
        </w:tc>
        <w:tc>
          <w:tcPr>
            <w:tcW w:w="820" w:type="dxa"/>
            <w:shd w:val="clear" w:color="auto" w:fill="auto"/>
            <w:vAlign w:val="bottom"/>
            <w:hideMark/>
          </w:tcPr>
          <w:p w14:paraId="69871932"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365</w:t>
            </w:r>
          </w:p>
        </w:tc>
        <w:tc>
          <w:tcPr>
            <w:tcW w:w="820" w:type="dxa"/>
            <w:shd w:val="clear" w:color="auto" w:fill="auto"/>
            <w:vAlign w:val="bottom"/>
            <w:hideMark/>
          </w:tcPr>
          <w:p w14:paraId="7EDE752B"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381</w:t>
            </w:r>
          </w:p>
        </w:tc>
        <w:tc>
          <w:tcPr>
            <w:tcW w:w="820" w:type="dxa"/>
            <w:shd w:val="clear" w:color="auto" w:fill="auto"/>
            <w:vAlign w:val="bottom"/>
            <w:hideMark/>
          </w:tcPr>
          <w:p w14:paraId="3741E2F1"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376</w:t>
            </w:r>
          </w:p>
        </w:tc>
        <w:tc>
          <w:tcPr>
            <w:tcW w:w="821" w:type="dxa"/>
            <w:shd w:val="clear" w:color="auto" w:fill="auto"/>
            <w:vAlign w:val="bottom"/>
            <w:hideMark/>
          </w:tcPr>
          <w:p w14:paraId="75ABF5D0"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372</w:t>
            </w:r>
          </w:p>
        </w:tc>
        <w:tc>
          <w:tcPr>
            <w:tcW w:w="1142" w:type="dxa"/>
            <w:shd w:val="clear" w:color="auto" w:fill="auto"/>
            <w:vAlign w:val="bottom"/>
            <w:hideMark/>
          </w:tcPr>
          <w:p w14:paraId="61022A97" w14:textId="77777777" w:rsidR="00F31455" w:rsidRPr="00684CF8" w:rsidRDefault="00904FE1" w:rsidP="00F31455">
            <w:pPr>
              <w:suppressAutoHyphens w:val="0"/>
              <w:spacing w:before="40" w:after="40" w:line="220" w:lineRule="exact"/>
              <w:jc w:val="right"/>
              <w:rPr>
                <w:rFonts w:cs="Times New Roman"/>
                <w:sz w:val="18"/>
              </w:rPr>
            </w:pPr>
            <w:r w:rsidRPr="00684CF8">
              <w:t>–</w:t>
            </w:r>
            <w:r>
              <w:t>4</w:t>
            </w:r>
          </w:p>
        </w:tc>
      </w:tr>
      <w:tr w:rsidR="00F31455" w:rsidRPr="00684CF8" w14:paraId="13A3E0F5" w14:textId="77777777" w:rsidTr="00F31455">
        <w:tc>
          <w:tcPr>
            <w:tcW w:w="2127" w:type="dxa"/>
            <w:shd w:val="clear" w:color="auto" w:fill="auto"/>
            <w:hideMark/>
          </w:tcPr>
          <w:p w14:paraId="57DE27AD" w14:textId="77777777" w:rsidR="00F31455" w:rsidRPr="00684CF8" w:rsidRDefault="00F31455" w:rsidP="00F31455">
            <w:pPr>
              <w:spacing w:before="40" w:after="40" w:line="220" w:lineRule="exact"/>
              <w:rPr>
                <w:rFonts w:cs="Times New Roman"/>
                <w:sz w:val="18"/>
              </w:rPr>
            </w:pPr>
            <w:r w:rsidRPr="00684CF8">
              <w:rPr>
                <w:rFonts w:cs="Times New Roman"/>
                <w:sz w:val="18"/>
              </w:rPr>
              <w:t>Служащие</w:t>
            </w:r>
          </w:p>
        </w:tc>
        <w:tc>
          <w:tcPr>
            <w:tcW w:w="820" w:type="dxa"/>
            <w:shd w:val="clear" w:color="auto" w:fill="auto"/>
            <w:vAlign w:val="bottom"/>
            <w:hideMark/>
          </w:tcPr>
          <w:p w14:paraId="00A4F955"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1 308</w:t>
            </w:r>
          </w:p>
        </w:tc>
        <w:tc>
          <w:tcPr>
            <w:tcW w:w="820" w:type="dxa"/>
            <w:shd w:val="clear" w:color="auto" w:fill="auto"/>
            <w:vAlign w:val="bottom"/>
            <w:hideMark/>
          </w:tcPr>
          <w:p w14:paraId="53FDF16B"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1 284</w:t>
            </w:r>
          </w:p>
        </w:tc>
        <w:tc>
          <w:tcPr>
            <w:tcW w:w="820" w:type="dxa"/>
            <w:shd w:val="clear" w:color="auto" w:fill="auto"/>
            <w:vAlign w:val="bottom"/>
            <w:hideMark/>
          </w:tcPr>
          <w:p w14:paraId="502370E9"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1 073</w:t>
            </w:r>
          </w:p>
        </w:tc>
        <w:tc>
          <w:tcPr>
            <w:tcW w:w="820" w:type="dxa"/>
            <w:shd w:val="clear" w:color="auto" w:fill="auto"/>
            <w:vAlign w:val="bottom"/>
            <w:hideMark/>
          </w:tcPr>
          <w:p w14:paraId="7AAF742E"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968</w:t>
            </w:r>
          </w:p>
        </w:tc>
        <w:tc>
          <w:tcPr>
            <w:tcW w:w="821" w:type="dxa"/>
            <w:shd w:val="clear" w:color="auto" w:fill="auto"/>
            <w:vAlign w:val="bottom"/>
            <w:hideMark/>
          </w:tcPr>
          <w:p w14:paraId="38090B3D"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952</w:t>
            </w:r>
          </w:p>
        </w:tc>
        <w:tc>
          <w:tcPr>
            <w:tcW w:w="1142" w:type="dxa"/>
            <w:shd w:val="clear" w:color="auto" w:fill="auto"/>
            <w:vAlign w:val="bottom"/>
            <w:hideMark/>
          </w:tcPr>
          <w:p w14:paraId="4E00E6D2" w14:textId="77777777" w:rsidR="00F31455" w:rsidRPr="00684CF8" w:rsidRDefault="00F31455" w:rsidP="00F31455">
            <w:pPr>
              <w:suppressAutoHyphens w:val="0"/>
              <w:spacing w:before="40" w:after="40" w:line="220" w:lineRule="exact"/>
              <w:jc w:val="right"/>
              <w:rPr>
                <w:rFonts w:cs="Times New Roman"/>
                <w:sz w:val="18"/>
              </w:rPr>
            </w:pPr>
            <w:r w:rsidRPr="00684CF8">
              <w:t>–</w:t>
            </w:r>
            <w:r w:rsidRPr="00684CF8">
              <w:rPr>
                <w:rFonts w:cs="Times New Roman"/>
                <w:sz w:val="18"/>
              </w:rPr>
              <w:t>16</w:t>
            </w:r>
          </w:p>
        </w:tc>
      </w:tr>
      <w:tr w:rsidR="00F31455" w:rsidRPr="00684CF8" w14:paraId="03AD70F5" w14:textId="77777777" w:rsidTr="00F31455">
        <w:tc>
          <w:tcPr>
            <w:tcW w:w="2127" w:type="dxa"/>
            <w:tcBorders>
              <w:bottom w:val="single" w:sz="4" w:space="0" w:color="auto"/>
            </w:tcBorders>
            <w:shd w:val="clear" w:color="auto" w:fill="auto"/>
            <w:hideMark/>
          </w:tcPr>
          <w:p w14:paraId="10F9C23E" w14:textId="77777777" w:rsidR="00F31455" w:rsidRPr="00684CF8" w:rsidRDefault="00F31455" w:rsidP="00F31455">
            <w:pPr>
              <w:spacing w:before="40" w:after="40" w:line="220" w:lineRule="exact"/>
              <w:rPr>
                <w:rFonts w:cs="Times New Roman"/>
                <w:sz w:val="18"/>
              </w:rPr>
            </w:pPr>
            <w:r w:rsidRPr="00684CF8">
              <w:rPr>
                <w:rFonts w:cs="Times New Roman"/>
                <w:sz w:val="18"/>
              </w:rPr>
              <w:t>Прочие</w:t>
            </w:r>
          </w:p>
        </w:tc>
        <w:tc>
          <w:tcPr>
            <w:tcW w:w="820" w:type="dxa"/>
            <w:tcBorders>
              <w:bottom w:val="single" w:sz="4" w:space="0" w:color="auto"/>
            </w:tcBorders>
            <w:shd w:val="clear" w:color="auto" w:fill="auto"/>
            <w:vAlign w:val="bottom"/>
            <w:hideMark/>
          </w:tcPr>
          <w:p w14:paraId="589D7095"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754</w:t>
            </w:r>
          </w:p>
        </w:tc>
        <w:tc>
          <w:tcPr>
            <w:tcW w:w="820" w:type="dxa"/>
            <w:tcBorders>
              <w:bottom w:val="single" w:sz="4" w:space="0" w:color="auto"/>
            </w:tcBorders>
            <w:shd w:val="clear" w:color="auto" w:fill="auto"/>
            <w:vAlign w:val="bottom"/>
            <w:hideMark/>
          </w:tcPr>
          <w:p w14:paraId="2AF4D67A"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776</w:t>
            </w:r>
          </w:p>
        </w:tc>
        <w:tc>
          <w:tcPr>
            <w:tcW w:w="820" w:type="dxa"/>
            <w:tcBorders>
              <w:bottom w:val="single" w:sz="4" w:space="0" w:color="auto"/>
            </w:tcBorders>
            <w:shd w:val="clear" w:color="auto" w:fill="auto"/>
            <w:vAlign w:val="bottom"/>
            <w:hideMark/>
          </w:tcPr>
          <w:p w14:paraId="0DD4D1B4"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894</w:t>
            </w:r>
          </w:p>
        </w:tc>
        <w:tc>
          <w:tcPr>
            <w:tcW w:w="820" w:type="dxa"/>
            <w:tcBorders>
              <w:bottom w:val="single" w:sz="4" w:space="0" w:color="auto"/>
            </w:tcBorders>
            <w:shd w:val="clear" w:color="auto" w:fill="auto"/>
            <w:vAlign w:val="bottom"/>
            <w:hideMark/>
          </w:tcPr>
          <w:p w14:paraId="387D8F87"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929</w:t>
            </w:r>
          </w:p>
        </w:tc>
        <w:tc>
          <w:tcPr>
            <w:tcW w:w="821" w:type="dxa"/>
            <w:tcBorders>
              <w:bottom w:val="single" w:sz="4" w:space="0" w:color="auto"/>
            </w:tcBorders>
            <w:shd w:val="clear" w:color="auto" w:fill="auto"/>
            <w:vAlign w:val="bottom"/>
            <w:hideMark/>
          </w:tcPr>
          <w:p w14:paraId="43F7FD2B"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989</w:t>
            </w:r>
          </w:p>
        </w:tc>
        <w:tc>
          <w:tcPr>
            <w:tcW w:w="1142" w:type="dxa"/>
            <w:tcBorders>
              <w:bottom w:val="single" w:sz="4" w:space="0" w:color="auto"/>
            </w:tcBorders>
            <w:shd w:val="clear" w:color="auto" w:fill="auto"/>
            <w:vAlign w:val="bottom"/>
            <w:hideMark/>
          </w:tcPr>
          <w:p w14:paraId="1BB82D45"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60</w:t>
            </w:r>
          </w:p>
        </w:tc>
      </w:tr>
      <w:tr w:rsidR="00F31455" w:rsidRPr="00684CF8" w14:paraId="035B54BC" w14:textId="77777777" w:rsidTr="00F31455">
        <w:tc>
          <w:tcPr>
            <w:tcW w:w="2127" w:type="dxa"/>
            <w:tcBorders>
              <w:top w:val="single" w:sz="4" w:space="0" w:color="auto"/>
              <w:bottom w:val="single" w:sz="12" w:space="0" w:color="auto"/>
            </w:tcBorders>
            <w:shd w:val="clear" w:color="auto" w:fill="auto"/>
            <w:hideMark/>
          </w:tcPr>
          <w:p w14:paraId="2FD32605" w14:textId="77777777" w:rsidR="00F31455" w:rsidRPr="00684CF8" w:rsidRDefault="00F31455" w:rsidP="00F31455">
            <w:pPr>
              <w:spacing w:before="80" w:after="80" w:line="220" w:lineRule="exact"/>
              <w:ind w:firstLine="143"/>
              <w:rPr>
                <w:rFonts w:cs="Times New Roman"/>
                <w:b/>
                <w:sz w:val="18"/>
              </w:rPr>
            </w:pPr>
            <w:r w:rsidRPr="00684CF8">
              <w:rPr>
                <w:rFonts w:cs="Times New Roman"/>
                <w:b/>
                <w:bCs/>
                <w:sz w:val="18"/>
              </w:rPr>
              <w:t>Итого</w:t>
            </w:r>
          </w:p>
        </w:tc>
        <w:tc>
          <w:tcPr>
            <w:tcW w:w="820" w:type="dxa"/>
            <w:tcBorders>
              <w:top w:val="single" w:sz="4" w:space="0" w:color="auto"/>
              <w:bottom w:val="single" w:sz="12" w:space="0" w:color="auto"/>
            </w:tcBorders>
            <w:shd w:val="clear" w:color="auto" w:fill="auto"/>
            <w:vAlign w:val="bottom"/>
            <w:hideMark/>
          </w:tcPr>
          <w:p w14:paraId="52665E70" w14:textId="77777777" w:rsidR="00F31455" w:rsidRPr="00684CF8" w:rsidRDefault="00F31455" w:rsidP="00F31455">
            <w:pPr>
              <w:suppressAutoHyphens w:val="0"/>
              <w:spacing w:before="80" w:after="80" w:line="220" w:lineRule="exact"/>
              <w:jc w:val="right"/>
              <w:rPr>
                <w:rFonts w:cs="Times New Roman"/>
                <w:b/>
                <w:sz w:val="18"/>
              </w:rPr>
            </w:pPr>
            <w:r w:rsidRPr="00684CF8">
              <w:rPr>
                <w:rFonts w:cs="Times New Roman"/>
                <w:b/>
                <w:bCs/>
                <w:sz w:val="18"/>
              </w:rPr>
              <w:t>9 981</w:t>
            </w:r>
          </w:p>
        </w:tc>
        <w:tc>
          <w:tcPr>
            <w:tcW w:w="820" w:type="dxa"/>
            <w:tcBorders>
              <w:top w:val="single" w:sz="4" w:space="0" w:color="auto"/>
              <w:bottom w:val="single" w:sz="12" w:space="0" w:color="auto"/>
            </w:tcBorders>
            <w:shd w:val="clear" w:color="auto" w:fill="auto"/>
            <w:vAlign w:val="bottom"/>
            <w:hideMark/>
          </w:tcPr>
          <w:p w14:paraId="3C41D99C" w14:textId="77777777" w:rsidR="00F31455" w:rsidRPr="00684CF8" w:rsidRDefault="00F31455" w:rsidP="00F31455">
            <w:pPr>
              <w:suppressAutoHyphens w:val="0"/>
              <w:spacing w:before="80" w:after="80" w:line="220" w:lineRule="exact"/>
              <w:jc w:val="right"/>
              <w:rPr>
                <w:rFonts w:cs="Times New Roman"/>
                <w:b/>
                <w:sz w:val="18"/>
              </w:rPr>
            </w:pPr>
            <w:r w:rsidRPr="00684CF8">
              <w:rPr>
                <w:rFonts w:cs="Times New Roman"/>
                <w:b/>
                <w:bCs/>
                <w:sz w:val="18"/>
              </w:rPr>
              <w:t>9 914</w:t>
            </w:r>
          </w:p>
        </w:tc>
        <w:tc>
          <w:tcPr>
            <w:tcW w:w="820" w:type="dxa"/>
            <w:tcBorders>
              <w:top w:val="single" w:sz="4" w:space="0" w:color="auto"/>
              <w:bottom w:val="single" w:sz="12" w:space="0" w:color="auto"/>
            </w:tcBorders>
            <w:shd w:val="clear" w:color="auto" w:fill="auto"/>
            <w:vAlign w:val="bottom"/>
            <w:hideMark/>
          </w:tcPr>
          <w:p w14:paraId="4546173A" w14:textId="77777777" w:rsidR="00F31455" w:rsidRPr="00684CF8" w:rsidRDefault="00F31455" w:rsidP="00F31455">
            <w:pPr>
              <w:suppressAutoHyphens w:val="0"/>
              <w:spacing w:before="80" w:after="80" w:line="220" w:lineRule="exact"/>
              <w:jc w:val="right"/>
              <w:rPr>
                <w:rFonts w:cs="Times New Roman"/>
                <w:b/>
                <w:sz w:val="18"/>
              </w:rPr>
            </w:pPr>
            <w:r w:rsidRPr="00684CF8">
              <w:rPr>
                <w:rFonts w:cs="Times New Roman"/>
                <w:b/>
                <w:bCs/>
                <w:sz w:val="18"/>
              </w:rPr>
              <w:t>9 729</w:t>
            </w:r>
          </w:p>
        </w:tc>
        <w:tc>
          <w:tcPr>
            <w:tcW w:w="820" w:type="dxa"/>
            <w:tcBorders>
              <w:top w:val="single" w:sz="4" w:space="0" w:color="auto"/>
              <w:bottom w:val="single" w:sz="12" w:space="0" w:color="auto"/>
            </w:tcBorders>
            <w:shd w:val="clear" w:color="auto" w:fill="auto"/>
            <w:vAlign w:val="bottom"/>
            <w:hideMark/>
          </w:tcPr>
          <w:p w14:paraId="2CF5F8F1" w14:textId="77777777" w:rsidR="00F31455" w:rsidRPr="00684CF8" w:rsidRDefault="00F31455" w:rsidP="00F31455">
            <w:pPr>
              <w:suppressAutoHyphens w:val="0"/>
              <w:spacing w:before="80" w:after="80" w:line="220" w:lineRule="exact"/>
              <w:jc w:val="right"/>
              <w:rPr>
                <w:rFonts w:cs="Times New Roman"/>
                <w:b/>
                <w:sz w:val="18"/>
              </w:rPr>
            </w:pPr>
            <w:r w:rsidRPr="00684CF8">
              <w:rPr>
                <w:rFonts w:cs="Times New Roman"/>
                <w:b/>
                <w:bCs/>
                <w:sz w:val="18"/>
              </w:rPr>
              <w:t>9 602</w:t>
            </w:r>
          </w:p>
        </w:tc>
        <w:tc>
          <w:tcPr>
            <w:tcW w:w="821" w:type="dxa"/>
            <w:tcBorders>
              <w:top w:val="single" w:sz="4" w:space="0" w:color="auto"/>
              <w:bottom w:val="single" w:sz="12" w:space="0" w:color="auto"/>
            </w:tcBorders>
            <w:shd w:val="clear" w:color="auto" w:fill="auto"/>
            <w:vAlign w:val="bottom"/>
            <w:hideMark/>
          </w:tcPr>
          <w:p w14:paraId="735C0C77" w14:textId="77777777" w:rsidR="00F31455" w:rsidRPr="00684CF8" w:rsidRDefault="00F31455" w:rsidP="00F31455">
            <w:pPr>
              <w:suppressAutoHyphens w:val="0"/>
              <w:spacing w:before="80" w:after="80" w:line="220" w:lineRule="exact"/>
              <w:jc w:val="right"/>
              <w:rPr>
                <w:rFonts w:cs="Times New Roman"/>
                <w:b/>
                <w:sz w:val="18"/>
              </w:rPr>
            </w:pPr>
            <w:r w:rsidRPr="00684CF8">
              <w:rPr>
                <w:rFonts w:cs="Times New Roman"/>
                <w:b/>
                <w:bCs/>
                <w:sz w:val="18"/>
              </w:rPr>
              <w:t>9 776</w:t>
            </w:r>
          </w:p>
        </w:tc>
        <w:tc>
          <w:tcPr>
            <w:tcW w:w="1142" w:type="dxa"/>
            <w:tcBorders>
              <w:top w:val="single" w:sz="4" w:space="0" w:color="auto"/>
              <w:bottom w:val="single" w:sz="12" w:space="0" w:color="auto"/>
            </w:tcBorders>
            <w:shd w:val="clear" w:color="auto" w:fill="auto"/>
            <w:vAlign w:val="bottom"/>
            <w:hideMark/>
          </w:tcPr>
          <w:p w14:paraId="2D57260C" w14:textId="77777777" w:rsidR="00F31455" w:rsidRPr="00684CF8" w:rsidRDefault="00F31455" w:rsidP="00F31455">
            <w:pPr>
              <w:suppressAutoHyphens w:val="0"/>
              <w:spacing w:before="80" w:after="80" w:line="220" w:lineRule="exact"/>
              <w:jc w:val="right"/>
              <w:rPr>
                <w:rFonts w:cs="Times New Roman"/>
                <w:b/>
                <w:sz w:val="18"/>
              </w:rPr>
            </w:pPr>
            <w:r w:rsidRPr="00684CF8">
              <w:rPr>
                <w:rFonts w:cs="Times New Roman"/>
                <w:b/>
                <w:bCs/>
                <w:sz w:val="18"/>
              </w:rPr>
              <w:t>174</w:t>
            </w:r>
          </w:p>
        </w:tc>
      </w:tr>
    </w:tbl>
    <w:p w14:paraId="61CE5084" w14:textId="77777777" w:rsidR="00F31455" w:rsidRPr="00684CF8" w:rsidRDefault="00F31455" w:rsidP="00F31455">
      <w:pPr>
        <w:pStyle w:val="SingleTxtG"/>
        <w:spacing w:before="120" w:after="240" w:line="220" w:lineRule="exact"/>
        <w:ind w:firstLine="170"/>
        <w:rPr>
          <w:sz w:val="18"/>
          <w:szCs w:val="18"/>
        </w:rPr>
      </w:pPr>
      <w:r w:rsidRPr="00684CF8">
        <w:rPr>
          <w:i/>
          <w:iCs/>
          <w:sz w:val="18"/>
          <w:szCs w:val="18"/>
        </w:rPr>
        <w:t>Источник</w:t>
      </w:r>
      <w:r w:rsidRPr="00684CF8">
        <w:rPr>
          <w:sz w:val="18"/>
          <w:szCs w:val="18"/>
        </w:rPr>
        <w:t>: Годовые отчеты полиции за 2016–2018 годы.</w:t>
      </w:r>
    </w:p>
    <w:p w14:paraId="42F3B5D7" w14:textId="77777777" w:rsidR="00F31455" w:rsidRPr="00684CF8" w:rsidRDefault="00F31455" w:rsidP="00F31455">
      <w:pPr>
        <w:pStyle w:val="1"/>
        <w:spacing w:before="240" w:after="120"/>
        <w:ind w:left="1134" w:hanging="1134"/>
        <w:jc w:val="left"/>
        <w:rPr>
          <w:rFonts w:cs="Times New Roman"/>
          <w:szCs w:val="20"/>
        </w:rPr>
      </w:pPr>
      <w:r w:rsidRPr="00684CF8">
        <w:rPr>
          <w:rFonts w:cs="Times New Roman"/>
          <w:b w:val="0"/>
          <w:bCs w:val="0"/>
          <w:szCs w:val="20"/>
        </w:rPr>
        <w:tab/>
      </w:r>
      <w:r w:rsidRPr="00684CF8">
        <w:rPr>
          <w:rFonts w:cs="Times New Roman"/>
          <w:b w:val="0"/>
          <w:bCs w:val="0"/>
          <w:szCs w:val="20"/>
        </w:rPr>
        <w:tab/>
        <w:t>Таблица 13</w:t>
      </w:r>
      <w:r w:rsidRPr="00684CF8">
        <w:rPr>
          <w:b w:val="0"/>
          <w:bCs w:val="0"/>
        </w:rPr>
        <w:br/>
      </w:r>
      <w:r w:rsidRPr="00684CF8">
        <w:rPr>
          <w:rFonts w:cs="Times New Roman"/>
          <w:szCs w:val="20"/>
        </w:rPr>
        <w:t>Число сотрудников полиции на 100 000 жителей</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977"/>
        <w:gridCol w:w="646"/>
        <w:gridCol w:w="647"/>
        <w:gridCol w:w="646"/>
        <w:gridCol w:w="647"/>
        <w:gridCol w:w="647"/>
        <w:gridCol w:w="1160"/>
      </w:tblGrid>
      <w:tr w:rsidR="00F31455" w:rsidRPr="00684CF8" w14:paraId="2F7F360C" w14:textId="77777777" w:rsidTr="00F31455">
        <w:trPr>
          <w:tblHeader/>
        </w:trPr>
        <w:tc>
          <w:tcPr>
            <w:tcW w:w="2977" w:type="dxa"/>
            <w:shd w:val="clear" w:color="auto" w:fill="auto"/>
            <w:vAlign w:val="bottom"/>
            <w:hideMark/>
          </w:tcPr>
          <w:p w14:paraId="1A93C370" w14:textId="77777777" w:rsidR="00F31455" w:rsidRPr="00684CF8" w:rsidRDefault="00F31455" w:rsidP="00F31455">
            <w:pPr>
              <w:suppressAutoHyphens w:val="0"/>
              <w:spacing w:before="80" w:after="80" w:line="200" w:lineRule="exact"/>
              <w:rPr>
                <w:rFonts w:cs="Times New Roman"/>
                <w:bCs/>
                <w:i/>
                <w:sz w:val="16"/>
              </w:rPr>
            </w:pPr>
            <w:r w:rsidRPr="00684CF8">
              <w:rPr>
                <w:rFonts w:cs="Times New Roman"/>
                <w:i/>
                <w:sz w:val="16"/>
              </w:rPr>
              <w:t>Год</w:t>
            </w:r>
          </w:p>
        </w:tc>
        <w:tc>
          <w:tcPr>
            <w:tcW w:w="646" w:type="dxa"/>
            <w:shd w:val="clear" w:color="auto" w:fill="auto"/>
            <w:vAlign w:val="bottom"/>
            <w:hideMark/>
          </w:tcPr>
          <w:p w14:paraId="31BD5A5C"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2014</w:t>
            </w:r>
          </w:p>
        </w:tc>
        <w:tc>
          <w:tcPr>
            <w:tcW w:w="647" w:type="dxa"/>
            <w:shd w:val="clear" w:color="auto" w:fill="auto"/>
            <w:vAlign w:val="bottom"/>
            <w:hideMark/>
          </w:tcPr>
          <w:p w14:paraId="48403784"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2015</w:t>
            </w:r>
          </w:p>
        </w:tc>
        <w:tc>
          <w:tcPr>
            <w:tcW w:w="646" w:type="dxa"/>
            <w:shd w:val="clear" w:color="auto" w:fill="auto"/>
            <w:vAlign w:val="bottom"/>
            <w:hideMark/>
          </w:tcPr>
          <w:p w14:paraId="629E905A"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2016</w:t>
            </w:r>
          </w:p>
        </w:tc>
        <w:tc>
          <w:tcPr>
            <w:tcW w:w="647" w:type="dxa"/>
            <w:shd w:val="clear" w:color="auto" w:fill="auto"/>
            <w:vAlign w:val="bottom"/>
            <w:hideMark/>
          </w:tcPr>
          <w:p w14:paraId="7814BEE2"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2017</w:t>
            </w:r>
          </w:p>
        </w:tc>
        <w:tc>
          <w:tcPr>
            <w:tcW w:w="647" w:type="dxa"/>
            <w:shd w:val="clear" w:color="auto" w:fill="auto"/>
            <w:vAlign w:val="bottom"/>
            <w:hideMark/>
          </w:tcPr>
          <w:p w14:paraId="4EEBDD69"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2018</w:t>
            </w:r>
          </w:p>
        </w:tc>
        <w:tc>
          <w:tcPr>
            <w:tcW w:w="1160" w:type="dxa"/>
            <w:shd w:val="clear" w:color="auto" w:fill="auto"/>
            <w:vAlign w:val="bottom"/>
            <w:hideMark/>
          </w:tcPr>
          <w:p w14:paraId="4999E1FB" w14:textId="77777777" w:rsidR="00F31455" w:rsidRPr="00684CF8" w:rsidRDefault="00F31455" w:rsidP="00F31455">
            <w:pPr>
              <w:suppressAutoHyphens w:val="0"/>
              <w:spacing w:before="80" w:after="80" w:line="200" w:lineRule="exact"/>
              <w:jc w:val="right"/>
              <w:rPr>
                <w:rFonts w:cs="Times New Roman"/>
                <w:bCs/>
                <w:i/>
                <w:sz w:val="16"/>
              </w:rPr>
            </w:pPr>
            <w:r w:rsidRPr="00684CF8">
              <w:rPr>
                <w:rFonts w:cs="Times New Roman"/>
                <w:i/>
                <w:sz w:val="16"/>
              </w:rPr>
              <w:t xml:space="preserve">Изменение </w:t>
            </w:r>
            <w:r w:rsidR="004E58C9" w:rsidRPr="00684CF8">
              <w:rPr>
                <w:rFonts w:cs="Times New Roman"/>
                <w:i/>
                <w:sz w:val="16"/>
              </w:rPr>
              <w:br/>
            </w:r>
            <w:r w:rsidRPr="00684CF8">
              <w:rPr>
                <w:rFonts w:cs="Times New Roman"/>
                <w:i/>
                <w:sz w:val="16"/>
              </w:rPr>
              <w:t xml:space="preserve">по сравнению </w:t>
            </w:r>
            <w:r w:rsidR="004E58C9" w:rsidRPr="00684CF8">
              <w:rPr>
                <w:rFonts w:cs="Times New Roman"/>
                <w:i/>
                <w:sz w:val="16"/>
              </w:rPr>
              <w:br/>
            </w:r>
            <w:r w:rsidRPr="00684CF8">
              <w:rPr>
                <w:rFonts w:cs="Times New Roman"/>
                <w:i/>
                <w:sz w:val="16"/>
              </w:rPr>
              <w:t>с предыдущим годом, %</w:t>
            </w:r>
          </w:p>
        </w:tc>
      </w:tr>
      <w:tr w:rsidR="00F31455" w:rsidRPr="00684CF8" w14:paraId="02D1C8D1" w14:textId="77777777" w:rsidTr="00F31455">
        <w:tc>
          <w:tcPr>
            <w:tcW w:w="2977" w:type="dxa"/>
            <w:shd w:val="clear" w:color="auto" w:fill="auto"/>
            <w:hideMark/>
          </w:tcPr>
          <w:p w14:paraId="3E49385C" w14:textId="77777777" w:rsidR="00F31455" w:rsidRPr="00684CF8" w:rsidRDefault="00F31455" w:rsidP="00F31455">
            <w:pPr>
              <w:suppressAutoHyphens w:val="0"/>
              <w:spacing w:before="40" w:after="40" w:line="220" w:lineRule="exact"/>
              <w:rPr>
                <w:rFonts w:cs="Times New Roman"/>
                <w:sz w:val="18"/>
              </w:rPr>
            </w:pPr>
            <w:r w:rsidRPr="00684CF8">
              <w:rPr>
                <w:rFonts w:cs="Times New Roman"/>
                <w:sz w:val="18"/>
              </w:rPr>
              <w:t xml:space="preserve">Число сотрудников полиции на </w:t>
            </w:r>
            <w:r w:rsidR="004E58C9" w:rsidRPr="00684CF8">
              <w:rPr>
                <w:rFonts w:cs="Times New Roman"/>
                <w:sz w:val="18"/>
              </w:rPr>
              <w:br/>
            </w:r>
            <w:r w:rsidRPr="00684CF8">
              <w:rPr>
                <w:rFonts w:cs="Times New Roman"/>
                <w:sz w:val="18"/>
              </w:rPr>
              <w:t>100 000 жителей</w:t>
            </w:r>
          </w:p>
        </w:tc>
        <w:tc>
          <w:tcPr>
            <w:tcW w:w="646" w:type="dxa"/>
            <w:shd w:val="clear" w:color="auto" w:fill="auto"/>
            <w:vAlign w:val="bottom"/>
            <w:hideMark/>
          </w:tcPr>
          <w:p w14:paraId="1A03FEA3"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135</w:t>
            </w:r>
            <w:r w:rsidR="004E58C9" w:rsidRPr="00684CF8">
              <w:rPr>
                <w:rFonts w:cs="Times New Roman"/>
                <w:sz w:val="18"/>
              </w:rPr>
              <w:t>,</w:t>
            </w:r>
            <w:r w:rsidRPr="00684CF8">
              <w:rPr>
                <w:rFonts w:cs="Times New Roman"/>
                <w:sz w:val="18"/>
              </w:rPr>
              <w:t>6</w:t>
            </w:r>
          </w:p>
        </w:tc>
        <w:tc>
          <w:tcPr>
            <w:tcW w:w="647" w:type="dxa"/>
            <w:shd w:val="clear" w:color="auto" w:fill="auto"/>
            <w:vAlign w:val="bottom"/>
            <w:hideMark/>
          </w:tcPr>
          <w:p w14:paraId="264C6532"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134</w:t>
            </w:r>
            <w:r w:rsidR="004E58C9" w:rsidRPr="00684CF8">
              <w:rPr>
                <w:rFonts w:cs="Times New Roman"/>
                <w:sz w:val="18"/>
              </w:rPr>
              <w:t>,</w:t>
            </w:r>
            <w:r w:rsidRPr="00684CF8">
              <w:rPr>
                <w:rFonts w:cs="Times New Roman"/>
                <w:sz w:val="18"/>
              </w:rPr>
              <w:t>1</w:t>
            </w:r>
          </w:p>
        </w:tc>
        <w:tc>
          <w:tcPr>
            <w:tcW w:w="646" w:type="dxa"/>
            <w:shd w:val="clear" w:color="auto" w:fill="auto"/>
            <w:vAlign w:val="bottom"/>
            <w:hideMark/>
          </w:tcPr>
          <w:p w14:paraId="5BD2E88F"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131</w:t>
            </w:r>
            <w:r w:rsidR="004E58C9" w:rsidRPr="00684CF8">
              <w:rPr>
                <w:rFonts w:cs="Times New Roman"/>
                <w:sz w:val="18"/>
              </w:rPr>
              <w:t>,</w:t>
            </w:r>
            <w:r w:rsidRPr="00684CF8">
              <w:rPr>
                <w:rFonts w:cs="Times New Roman"/>
                <w:sz w:val="18"/>
              </w:rPr>
              <w:t>2</w:t>
            </w:r>
          </w:p>
        </w:tc>
        <w:tc>
          <w:tcPr>
            <w:tcW w:w="647" w:type="dxa"/>
            <w:shd w:val="clear" w:color="auto" w:fill="auto"/>
            <w:vAlign w:val="bottom"/>
            <w:hideMark/>
          </w:tcPr>
          <w:p w14:paraId="45309509"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129</w:t>
            </w:r>
            <w:r w:rsidR="004E58C9" w:rsidRPr="00684CF8">
              <w:rPr>
                <w:rFonts w:cs="Times New Roman"/>
                <w:sz w:val="18"/>
              </w:rPr>
              <w:t>,</w:t>
            </w:r>
            <w:r w:rsidRPr="00684CF8">
              <w:rPr>
                <w:rFonts w:cs="Times New Roman"/>
                <w:sz w:val="18"/>
              </w:rPr>
              <w:t>7</w:t>
            </w:r>
          </w:p>
        </w:tc>
        <w:tc>
          <w:tcPr>
            <w:tcW w:w="647" w:type="dxa"/>
            <w:shd w:val="clear" w:color="auto" w:fill="auto"/>
            <w:vAlign w:val="bottom"/>
            <w:hideMark/>
          </w:tcPr>
          <w:p w14:paraId="73D24100"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130</w:t>
            </w:r>
            <w:r w:rsidR="004E58C9" w:rsidRPr="00684CF8">
              <w:rPr>
                <w:rFonts w:cs="Times New Roman"/>
                <w:sz w:val="18"/>
              </w:rPr>
              <w:t>,</w:t>
            </w:r>
            <w:r w:rsidRPr="00684CF8">
              <w:rPr>
                <w:rFonts w:cs="Times New Roman"/>
                <w:sz w:val="18"/>
              </w:rPr>
              <w:t>5</w:t>
            </w:r>
          </w:p>
        </w:tc>
        <w:tc>
          <w:tcPr>
            <w:tcW w:w="1160" w:type="dxa"/>
            <w:shd w:val="clear" w:color="auto" w:fill="auto"/>
            <w:vAlign w:val="bottom"/>
            <w:hideMark/>
          </w:tcPr>
          <w:p w14:paraId="641488D2" w14:textId="77777777" w:rsidR="00F31455" w:rsidRPr="00684CF8" w:rsidRDefault="00F31455" w:rsidP="00F31455">
            <w:pPr>
              <w:suppressAutoHyphens w:val="0"/>
              <w:spacing w:before="40" w:after="40" w:line="220" w:lineRule="exact"/>
              <w:jc w:val="right"/>
              <w:rPr>
                <w:rFonts w:cs="Times New Roman"/>
                <w:sz w:val="18"/>
              </w:rPr>
            </w:pPr>
            <w:r w:rsidRPr="00684CF8">
              <w:rPr>
                <w:rFonts w:cs="Times New Roman"/>
                <w:sz w:val="18"/>
              </w:rPr>
              <w:t>1</w:t>
            </w:r>
          </w:p>
        </w:tc>
      </w:tr>
    </w:tbl>
    <w:p w14:paraId="4511BC50" w14:textId="77777777" w:rsidR="004E58C9" w:rsidRPr="00684CF8" w:rsidRDefault="004E58C9" w:rsidP="004E58C9">
      <w:pPr>
        <w:pStyle w:val="SingleTxtG"/>
        <w:spacing w:before="120" w:after="240" w:line="220" w:lineRule="exact"/>
        <w:ind w:firstLine="170"/>
        <w:rPr>
          <w:sz w:val="18"/>
          <w:szCs w:val="18"/>
        </w:rPr>
      </w:pPr>
      <w:r w:rsidRPr="00684CF8">
        <w:rPr>
          <w:i/>
          <w:iCs/>
          <w:sz w:val="18"/>
          <w:szCs w:val="18"/>
        </w:rPr>
        <w:t>Источник</w:t>
      </w:r>
      <w:r w:rsidRPr="00684CF8">
        <w:rPr>
          <w:sz w:val="18"/>
          <w:szCs w:val="18"/>
        </w:rPr>
        <w:t>: База данных PolStat.</w:t>
      </w:r>
    </w:p>
    <w:p w14:paraId="5472205B" w14:textId="77777777" w:rsidR="004E58C9" w:rsidRPr="00684CF8" w:rsidRDefault="004E58C9" w:rsidP="004E58C9">
      <w:pPr>
        <w:pStyle w:val="SingleTxtG"/>
      </w:pPr>
      <w:r w:rsidRPr="00684CF8">
        <w:t>212.</w:t>
      </w:r>
      <w:r w:rsidRPr="00684CF8">
        <w:tab/>
        <w:t xml:space="preserve">Бюджетные ассигнования выделяются административными органами, и, помимо Парламента, Президента Республики и Канцелярии Премьер-министра, ассигнования направляются также различным министерствам. В таблице ниже указаны средства, выделенные некоторым субъектам, играющим центральную роль </w:t>
      </w:r>
      <w:r w:rsidRPr="00684CF8">
        <w:br/>
        <w:t>в отправлении правосудия, за счет ассигнований, предусмотренных в бюджете на 2010–2017 годы. Полицейская служба относится к административной структуре Министерства внутренних дел и другим подразделениям Министерства юстиции.</w:t>
      </w:r>
    </w:p>
    <w:p w14:paraId="395024FE" w14:textId="77777777" w:rsidR="004E58C9" w:rsidRPr="00684CF8" w:rsidRDefault="004E58C9" w:rsidP="004E58C9">
      <w:pPr>
        <w:pStyle w:val="1"/>
        <w:spacing w:before="240" w:after="120"/>
        <w:ind w:left="1134" w:hanging="1134"/>
        <w:jc w:val="left"/>
        <w:rPr>
          <w:rFonts w:cs="Times New Roman"/>
          <w:szCs w:val="20"/>
        </w:rPr>
      </w:pPr>
      <w:r w:rsidRPr="00684CF8">
        <w:rPr>
          <w:rFonts w:cs="Times New Roman"/>
          <w:b w:val="0"/>
          <w:bCs w:val="0"/>
          <w:szCs w:val="20"/>
        </w:rPr>
        <w:tab/>
      </w:r>
      <w:r w:rsidRPr="00684CF8">
        <w:rPr>
          <w:rFonts w:cs="Times New Roman"/>
          <w:b w:val="0"/>
          <w:bCs w:val="0"/>
          <w:szCs w:val="20"/>
        </w:rPr>
        <w:tab/>
        <w:t>Таблица 14</w:t>
      </w:r>
      <w:r w:rsidRPr="00684CF8">
        <w:rPr>
          <w:b w:val="0"/>
          <w:bCs w:val="0"/>
        </w:rPr>
        <w:br/>
      </w:r>
      <w:r w:rsidRPr="00684CF8">
        <w:rPr>
          <w:rFonts w:cs="Times New Roman"/>
          <w:szCs w:val="20"/>
        </w:rPr>
        <w:t>Бюджетные ассигнования на обеспечение правопорядка, в евро, 2011–2019 годы</w:t>
      </w:r>
    </w:p>
    <w:tbl>
      <w:tblPr>
        <w:tblW w:w="7370" w:type="dxa"/>
        <w:tblInd w:w="1134" w:type="dxa"/>
        <w:tblLayout w:type="fixed"/>
        <w:tblCellMar>
          <w:left w:w="0" w:type="dxa"/>
          <w:right w:w="0" w:type="dxa"/>
        </w:tblCellMar>
        <w:tblLook w:val="04A0" w:firstRow="1" w:lastRow="0" w:firstColumn="1" w:lastColumn="0" w:noHBand="0" w:noVBand="1"/>
      </w:tblPr>
      <w:tblGrid>
        <w:gridCol w:w="709"/>
        <w:gridCol w:w="1205"/>
        <w:gridCol w:w="1205"/>
        <w:gridCol w:w="1134"/>
        <w:gridCol w:w="1134"/>
        <w:gridCol w:w="1983"/>
      </w:tblGrid>
      <w:tr w:rsidR="004E58C9" w:rsidRPr="00684CF8" w14:paraId="3A0A79F8" w14:textId="77777777" w:rsidTr="004E58C9">
        <w:trPr>
          <w:tblHeader/>
        </w:trPr>
        <w:tc>
          <w:tcPr>
            <w:tcW w:w="709" w:type="dxa"/>
            <w:tcBorders>
              <w:top w:val="single" w:sz="4" w:space="0" w:color="auto"/>
              <w:bottom w:val="single" w:sz="12" w:space="0" w:color="auto"/>
            </w:tcBorders>
            <w:shd w:val="clear" w:color="auto" w:fill="auto"/>
            <w:vAlign w:val="bottom"/>
            <w:hideMark/>
          </w:tcPr>
          <w:p w14:paraId="52A7E742" w14:textId="77777777" w:rsidR="004E58C9" w:rsidRPr="00684CF8" w:rsidRDefault="004E58C9" w:rsidP="004E58C9">
            <w:pPr>
              <w:suppressAutoHyphens w:val="0"/>
              <w:spacing w:before="80" w:after="80" w:line="200" w:lineRule="exact"/>
              <w:rPr>
                <w:rFonts w:cs="Times New Roman"/>
                <w:bCs/>
                <w:i/>
                <w:sz w:val="16"/>
              </w:rPr>
            </w:pPr>
            <w:r w:rsidRPr="00684CF8">
              <w:rPr>
                <w:rFonts w:cs="Times New Roman"/>
                <w:i/>
                <w:sz w:val="16"/>
              </w:rPr>
              <w:t>Год/ служба</w:t>
            </w:r>
          </w:p>
        </w:tc>
        <w:tc>
          <w:tcPr>
            <w:tcW w:w="1205" w:type="dxa"/>
            <w:tcBorders>
              <w:top w:val="single" w:sz="4" w:space="0" w:color="auto"/>
              <w:bottom w:val="single" w:sz="12" w:space="0" w:color="auto"/>
            </w:tcBorders>
            <w:shd w:val="clear" w:color="auto" w:fill="auto"/>
            <w:vAlign w:val="bottom"/>
            <w:hideMark/>
          </w:tcPr>
          <w:p w14:paraId="0E5FB7A8"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 xml:space="preserve">Служба </w:t>
            </w:r>
            <w:r w:rsidRPr="00684CF8">
              <w:rPr>
                <w:rFonts w:cs="Times New Roman"/>
                <w:i/>
                <w:sz w:val="16"/>
              </w:rPr>
              <w:br/>
              <w:t>полиции</w:t>
            </w:r>
          </w:p>
        </w:tc>
        <w:tc>
          <w:tcPr>
            <w:tcW w:w="1205" w:type="dxa"/>
            <w:tcBorders>
              <w:top w:val="single" w:sz="4" w:space="0" w:color="auto"/>
              <w:bottom w:val="single" w:sz="12" w:space="0" w:color="auto"/>
            </w:tcBorders>
            <w:shd w:val="clear" w:color="auto" w:fill="auto"/>
            <w:vAlign w:val="bottom"/>
            <w:hideMark/>
          </w:tcPr>
          <w:p w14:paraId="091551FF"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 xml:space="preserve">Суды и </w:t>
            </w:r>
            <w:r w:rsidRPr="00684CF8">
              <w:rPr>
                <w:rFonts w:cs="Times New Roman"/>
                <w:i/>
                <w:sz w:val="16"/>
              </w:rPr>
              <w:br/>
              <w:t xml:space="preserve">юридическая </w:t>
            </w:r>
            <w:r w:rsidRPr="00684CF8">
              <w:rPr>
                <w:rFonts w:cs="Times New Roman"/>
                <w:i/>
                <w:sz w:val="16"/>
              </w:rPr>
              <w:br/>
              <w:t>помощь</w:t>
            </w:r>
          </w:p>
        </w:tc>
        <w:tc>
          <w:tcPr>
            <w:tcW w:w="1134" w:type="dxa"/>
            <w:tcBorders>
              <w:top w:val="single" w:sz="4" w:space="0" w:color="auto"/>
              <w:bottom w:val="single" w:sz="12" w:space="0" w:color="auto"/>
            </w:tcBorders>
            <w:shd w:val="clear" w:color="auto" w:fill="auto"/>
            <w:vAlign w:val="bottom"/>
            <w:hideMark/>
          </w:tcPr>
          <w:p w14:paraId="11F74C53"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Прокуроры</w:t>
            </w:r>
          </w:p>
        </w:tc>
        <w:tc>
          <w:tcPr>
            <w:tcW w:w="1134" w:type="dxa"/>
            <w:tcBorders>
              <w:top w:val="single" w:sz="4" w:space="0" w:color="auto"/>
              <w:bottom w:val="single" w:sz="12" w:space="0" w:color="auto"/>
            </w:tcBorders>
            <w:shd w:val="clear" w:color="auto" w:fill="auto"/>
            <w:vAlign w:val="bottom"/>
            <w:hideMark/>
          </w:tcPr>
          <w:p w14:paraId="5737D7D4"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 xml:space="preserve">Исполнение </w:t>
            </w:r>
            <w:r w:rsidRPr="00684CF8">
              <w:rPr>
                <w:rFonts w:cs="Times New Roman"/>
                <w:i/>
                <w:sz w:val="16"/>
              </w:rPr>
              <w:br/>
              <w:t>наказаний</w:t>
            </w:r>
          </w:p>
        </w:tc>
        <w:tc>
          <w:tcPr>
            <w:tcW w:w="1983" w:type="dxa"/>
            <w:tcBorders>
              <w:top w:val="single" w:sz="4" w:space="0" w:color="auto"/>
              <w:bottom w:val="single" w:sz="12" w:space="0" w:color="auto"/>
            </w:tcBorders>
            <w:shd w:val="clear" w:color="auto" w:fill="auto"/>
            <w:vAlign w:val="bottom"/>
            <w:hideMark/>
          </w:tcPr>
          <w:p w14:paraId="145FCB64"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 xml:space="preserve">Дефолты по платежам, взыскание платежей </w:t>
            </w:r>
            <w:r w:rsidRPr="00684CF8">
              <w:rPr>
                <w:rFonts w:cs="Times New Roman"/>
                <w:i/>
                <w:sz w:val="16"/>
              </w:rPr>
              <w:br/>
              <w:t>и административное оформление банкротства</w:t>
            </w:r>
          </w:p>
        </w:tc>
      </w:tr>
      <w:tr w:rsidR="004E58C9" w:rsidRPr="00684CF8" w14:paraId="6D68CC0C" w14:textId="77777777" w:rsidTr="004E58C9">
        <w:tc>
          <w:tcPr>
            <w:tcW w:w="709" w:type="dxa"/>
            <w:tcBorders>
              <w:top w:val="single" w:sz="12" w:space="0" w:color="auto"/>
            </w:tcBorders>
            <w:shd w:val="clear" w:color="auto" w:fill="auto"/>
            <w:hideMark/>
          </w:tcPr>
          <w:p w14:paraId="3EF5F33D"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2011</w:t>
            </w:r>
          </w:p>
        </w:tc>
        <w:tc>
          <w:tcPr>
            <w:tcW w:w="1205" w:type="dxa"/>
            <w:tcBorders>
              <w:top w:val="single" w:sz="12" w:space="0" w:color="auto"/>
            </w:tcBorders>
            <w:shd w:val="clear" w:color="auto" w:fill="auto"/>
            <w:vAlign w:val="bottom"/>
            <w:hideMark/>
          </w:tcPr>
          <w:p w14:paraId="7C814452"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689 108 000</w:t>
            </w:r>
          </w:p>
        </w:tc>
        <w:tc>
          <w:tcPr>
            <w:tcW w:w="1205" w:type="dxa"/>
            <w:tcBorders>
              <w:top w:val="single" w:sz="12" w:space="0" w:color="auto"/>
            </w:tcBorders>
            <w:shd w:val="clear" w:color="auto" w:fill="auto"/>
            <w:vAlign w:val="bottom"/>
            <w:hideMark/>
          </w:tcPr>
          <w:p w14:paraId="062703D7"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334 596 000</w:t>
            </w:r>
          </w:p>
        </w:tc>
        <w:tc>
          <w:tcPr>
            <w:tcW w:w="1134" w:type="dxa"/>
            <w:tcBorders>
              <w:top w:val="single" w:sz="12" w:space="0" w:color="auto"/>
            </w:tcBorders>
            <w:shd w:val="clear" w:color="auto" w:fill="auto"/>
            <w:vAlign w:val="bottom"/>
            <w:hideMark/>
          </w:tcPr>
          <w:p w14:paraId="21CB00EF"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43 875 000</w:t>
            </w:r>
          </w:p>
        </w:tc>
        <w:tc>
          <w:tcPr>
            <w:tcW w:w="1134" w:type="dxa"/>
            <w:tcBorders>
              <w:top w:val="single" w:sz="12" w:space="0" w:color="auto"/>
            </w:tcBorders>
            <w:shd w:val="clear" w:color="auto" w:fill="auto"/>
            <w:vAlign w:val="bottom"/>
            <w:hideMark/>
          </w:tcPr>
          <w:p w14:paraId="03EFA2A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225 524 000</w:t>
            </w:r>
          </w:p>
        </w:tc>
        <w:tc>
          <w:tcPr>
            <w:tcW w:w="1983" w:type="dxa"/>
            <w:tcBorders>
              <w:top w:val="single" w:sz="12" w:space="0" w:color="auto"/>
            </w:tcBorders>
            <w:shd w:val="clear" w:color="auto" w:fill="auto"/>
            <w:vAlign w:val="bottom"/>
            <w:hideMark/>
          </w:tcPr>
          <w:p w14:paraId="1B3F7B45"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98 806 000</w:t>
            </w:r>
          </w:p>
        </w:tc>
      </w:tr>
      <w:tr w:rsidR="004E58C9" w:rsidRPr="00684CF8" w14:paraId="61CF65B8" w14:textId="77777777" w:rsidTr="004E58C9">
        <w:tc>
          <w:tcPr>
            <w:tcW w:w="709" w:type="dxa"/>
            <w:shd w:val="clear" w:color="auto" w:fill="auto"/>
            <w:hideMark/>
          </w:tcPr>
          <w:p w14:paraId="6868DB39"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2012</w:t>
            </w:r>
          </w:p>
        </w:tc>
        <w:tc>
          <w:tcPr>
            <w:tcW w:w="1205" w:type="dxa"/>
            <w:shd w:val="clear" w:color="auto" w:fill="auto"/>
            <w:vAlign w:val="bottom"/>
            <w:hideMark/>
          </w:tcPr>
          <w:p w14:paraId="19AF0515"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703 465 000</w:t>
            </w:r>
          </w:p>
        </w:tc>
        <w:tc>
          <w:tcPr>
            <w:tcW w:w="1205" w:type="dxa"/>
            <w:shd w:val="clear" w:color="auto" w:fill="auto"/>
            <w:vAlign w:val="bottom"/>
            <w:hideMark/>
          </w:tcPr>
          <w:p w14:paraId="6A62B544"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340 629 000</w:t>
            </w:r>
          </w:p>
        </w:tc>
        <w:tc>
          <w:tcPr>
            <w:tcW w:w="1134" w:type="dxa"/>
            <w:shd w:val="clear" w:color="auto" w:fill="auto"/>
            <w:vAlign w:val="bottom"/>
            <w:hideMark/>
          </w:tcPr>
          <w:p w14:paraId="67D0EC35"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44 571 000</w:t>
            </w:r>
          </w:p>
        </w:tc>
        <w:tc>
          <w:tcPr>
            <w:tcW w:w="1134" w:type="dxa"/>
            <w:shd w:val="clear" w:color="auto" w:fill="auto"/>
            <w:vAlign w:val="bottom"/>
            <w:hideMark/>
          </w:tcPr>
          <w:p w14:paraId="5502ACC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227 205 000</w:t>
            </w:r>
          </w:p>
        </w:tc>
        <w:tc>
          <w:tcPr>
            <w:tcW w:w="1983" w:type="dxa"/>
            <w:shd w:val="clear" w:color="auto" w:fill="auto"/>
            <w:vAlign w:val="bottom"/>
            <w:hideMark/>
          </w:tcPr>
          <w:p w14:paraId="62AB545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100 197 000</w:t>
            </w:r>
          </w:p>
        </w:tc>
      </w:tr>
      <w:tr w:rsidR="004E58C9" w:rsidRPr="00684CF8" w14:paraId="15D8E396" w14:textId="77777777" w:rsidTr="004E58C9">
        <w:tc>
          <w:tcPr>
            <w:tcW w:w="709" w:type="dxa"/>
            <w:shd w:val="clear" w:color="auto" w:fill="auto"/>
            <w:hideMark/>
          </w:tcPr>
          <w:p w14:paraId="6C7E350F"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2013</w:t>
            </w:r>
          </w:p>
        </w:tc>
        <w:tc>
          <w:tcPr>
            <w:tcW w:w="1205" w:type="dxa"/>
            <w:shd w:val="clear" w:color="auto" w:fill="auto"/>
            <w:vAlign w:val="bottom"/>
            <w:hideMark/>
          </w:tcPr>
          <w:p w14:paraId="40C66BE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727 077 000</w:t>
            </w:r>
          </w:p>
        </w:tc>
        <w:tc>
          <w:tcPr>
            <w:tcW w:w="1205" w:type="dxa"/>
            <w:shd w:val="clear" w:color="auto" w:fill="auto"/>
            <w:vAlign w:val="bottom"/>
            <w:hideMark/>
          </w:tcPr>
          <w:p w14:paraId="17261C51"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359 745 000</w:t>
            </w:r>
          </w:p>
        </w:tc>
        <w:tc>
          <w:tcPr>
            <w:tcW w:w="1134" w:type="dxa"/>
            <w:shd w:val="clear" w:color="auto" w:fill="auto"/>
            <w:vAlign w:val="bottom"/>
            <w:hideMark/>
          </w:tcPr>
          <w:p w14:paraId="572F427A"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45 947 000</w:t>
            </w:r>
          </w:p>
        </w:tc>
        <w:tc>
          <w:tcPr>
            <w:tcW w:w="1134" w:type="dxa"/>
            <w:shd w:val="clear" w:color="auto" w:fill="auto"/>
            <w:vAlign w:val="bottom"/>
            <w:hideMark/>
          </w:tcPr>
          <w:p w14:paraId="4B161F3B"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231 853 000</w:t>
            </w:r>
          </w:p>
        </w:tc>
        <w:tc>
          <w:tcPr>
            <w:tcW w:w="1983" w:type="dxa"/>
            <w:shd w:val="clear" w:color="auto" w:fill="auto"/>
            <w:vAlign w:val="bottom"/>
            <w:hideMark/>
          </w:tcPr>
          <w:p w14:paraId="2AB8FD44"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106 487 000</w:t>
            </w:r>
          </w:p>
        </w:tc>
      </w:tr>
      <w:tr w:rsidR="004E58C9" w:rsidRPr="00684CF8" w14:paraId="2C5C0C0F" w14:textId="77777777" w:rsidTr="004E58C9">
        <w:tc>
          <w:tcPr>
            <w:tcW w:w="709" w:type="dxa"/>
            <w:shd w:val="clear" w:color="auto" w:fill="auto"/>
            <w:hideMark/>
          </w:tcPr>
          <w:p w14:paraId="3C9FA8B7"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2014</w:t>
            </w:r>
          </w:p>
        </w:tc>
        <w:tc>
          <w:tcPr>
            <w:tcW w:w="1205" w:type="dxa"/>
            <w:shd w:val="clear" w:color="auto" w:fill="auto"/>
            <w:vAlign w:val="bottom"/>
            <w:hideMark/>
          </w:tcPr>
          <w:p w14:paraId="5418494C"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737 045 000</w:t>
            </w:r>
          </w:p>
        </w:tc>
        <w:tc>
          <w:tcPr>
            <w:tcW w:w="1205" w:type="dxa"/>
            <w:shd w:val="clear" w:color="auto" w:fill="auto"/>
            <w:vAlign w:val="bottom"/>
            <w:hideMark/>
          </w:tcPr>
          <w:p w14:paraId="42C0DA20"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364 636 000</w:t>
            </w:r>
          </w:p>
        </w:tc>
        <w:tc>
          <w:tcPr>
            <w:tcW w:w="1134" w:type="dxa"/>
            <w:shd w:val="clear" w:color="auto" w:fill="auto"/>
            <w:vAlign w:val="bottom"/>
            <w:hideMark/>
          </w:tcPr>
          <w:p w14:paraId="7B7CDE94"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45 806 000</w:t>
            </w:r>
          </w:p>
        </w:tc>
        <w:tc>
          <w:tcPr>
            <w:tcW w:w="1134" w:type="dxa"/>
            <w:shd w:val="clear" w:color="auto" w:fill="auto"/>
            <w:vAlign w:val="bottom"/>
            <w:hideMark/>
          </w:tcPr>
          <w:p w14:paraId="0073D59F"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233 962 000</w:t>
            </w:r>
          </w:p>
        </w:tc>
        <w:tc>
          <w:tcPr>
            <w:tcW w:w="1983" w:type="dxa"/>
            <w:shd w:val="clear" w:color="auto" w:fill="auto"/>
            <w:vAlign w:val="bottom"/>
            <w:hideMark/>
          </w:tcPr>
          <w:p w14:paraId="76D6DFFE"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105 062 000</w:t>
            </w:r>
          </w:p>
        </w:tc>
      </w:tr>
      <w:tr w:rsidR="004E58C9" w:rsidRPr="00684CF8" w14:paraId="2381BEC7" w14:textId="77777777" w:rsidTr="004E58C9">
        <w:tc>
          <w:tcPr>
            <w:tcW w:w="709" w:type="dxa"/>
            <w:shd w:val="clear" w:color="auto" w:fill="auto"/>
            <w:hideMark/>
          </w:tcPr>
          <w:p w14:paraId="62477955"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2015</w:t>
            </w:r>
          </w:p>
        </w:tc>
        <w:tc>
          <w:tcPr>
            <w:tcW w:w="1205" w:type="dxa"/>
            <w:shd w:val="clear" w:color="auto" w:fill="auto"/>
            <w:vAlign w:val="bottom"/>
            <w:hideMark/>
          </w:tcPr>
          <w:p w14:paraId="6B06A292"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738 832 000</w:t>
            </w:r>
          </w:p>
        </w:tc>
        <w:tc>
          <w:tcPr>
            <w:tcW w:w="1205" w:type="dxa"/>
            <w:shd w:val="clear" w:color="auto" w:fill="auto"/>
            <w:vAlign w:val="bottom"/>
            <w:hideMark/>
          </w:tcPr>
          <w:p w14:paraId="78979C11"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370 905 000</w:t>
            </w:r>
          </w:p>
        </w:tc>
        <w:tc>
          <w:tcPr>
            <w:tcW w:w="1134" w:type="dxa"/>
            <w:shd w:val="clear" w:color="auto" w:fill="auto"/>
            <w:vAlign w:val="bottom"/>
            <w:hideMark/>
          </w:tcPr>
          <w:p w14:paraId="6B4B4111"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46 050 000</w:t>
            </w:r>
          </w:p>
        </w:tc>
        <w:tc>
          <w:tcPr>
            <w:tcW w:w="1134" w:type="dxa"/>
            <w:shd w:val="clear" w:color="auto" w:fill="auto"/>
            <w:vAlign w:val="bottom"/>
            <w:hideMark/>
          </w:tcPr>
          <w:p w14:paraId="410C23FC"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234 342 000</w:t>
            </w:r>
          </w:p>
        </w:tc>
        <w:tc>
          <w:tcPr>
            <w:tcW w:w="1983" w:type="dxa"/>
            <w:shd w:val="clear" w:color="auto" w:fill="auto"/>
            <w:vAlign w:val="bottom"/>
            <w:hideMark/>
          </w:tcPr>
          <w:p w14:paraId="09CD494D"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102 634 000</w:t>
            </w:r>
          </w:p>
        </w:tc>
      </w:tr>
      <w:tr w:rsidR="004E58C9" w:rsidRPr="00684CF8" w14:paraId="71A35863" w14:textId="77777777" w:rsidTr="004E58C9">
        <w:tc>
          <w:tcPr>
            <w:tcW w:w="709" w:type="dxa"/>
            <w:shd w:val="clear" w:color="auto" w:fill="auto"/>
            <w:hideMark/>
          </w:tcPr>
          <w:p w14:paraId="4380ADC9"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2016</w:t>
            </w:r>
          </w:p>
        </w:tc>
        <w:tc>
          <w:tcPr>
            <w:tcW w:w="1205" w:type="dxa"/>
            <w:shd w:val="clear" w:color="auto" w:fill="auto"/>
            <w:vAlign w:val="bottom"/>
            <w:hideMark/>
          </w:tcPr>
          <w:p w14:paraId="3A97DB8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750 316 000</w:t>
            </w:r>
          </w:p>
        </w:tc>
        <w:tc>
          <w:tcPr>
            <w:tcW w:w="1205" w:type="dxa"/>
            <w:shd w:val="clear" w:color="auto" w:fill="auto"/>
            <w:vAlign w:val="bottom"/>
            <w:hideMark/>
          </w:tcPr>
          <w:p w14:paraId="6ECD85E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405 091 000</w:t>
            </w:r>
          </w:p>
        </w:tc>
        <w:tc>
          <w:tcPr>
            <w:tcW w:w="1134" w:type="dxa"/>
            <w:shd w:val="clear" w:color="auto" w:fill="auto"/>
            <w:vAlign w:val="bottom"/>
            <w:hideMark/>
          </w:tcPr>
          <w:p w14:paraId="5D971A81"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46 992 000</w:t>
            </w:r>
          </w:p>
        </w:tc>
        <w:tc>
          <w:tcPr>
            <w:tcW w:w="1134" w:type="dxa"/>
            <w:shd w:val="clear" w:color="auto" w:fill="auto"/>
            <w:vAlign w:val="bottom"/>
            <w:hideMark/>
          </w:tcPr>
          <w:p w14:paraId="08E09F35"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216 826 000</w:t>
            </w:r>
          </w:p>
        </w:tc>
        <w:tc>
          <w:tcPr>
            <w:tcW w:w="1983" w:type="dxa"/>
            <w:shd w:val="clear" w:color="auto" w:fill="auto"/>
            <w:vAlign w:val="bottom"/>
            <w:hideMark/>
          </w:tcPr>
          <w:p w14:paraId="2C486DA7"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104 238 000</w:t>
            </w:r>
          </w:p>
        </w:tc>
      </w:tr>
      <w:tr w:rsidR="004E58C9" w:rsidRPr="00684CF8" w14:paraId="18C7B310" w14:textId="77777777" w:rsidTr="004E58C9">
        <w:tc>
          <w:tcPr>
            <w:tcW w:w="709" w:type="dxa"/>
            <w:shd w:val="clear" w:color="auto" w:fill="auto"/>
            <w:hideMark/>
          </w:tcPr>
          <w:p w14:paraId="2282BB10"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2017</w:t>
            </w:r>
          </w:p>
        </w:tc>
        <w:tc>
          <w:tcPr>
            <w:tcW w:w="1205" w:type="dxa"/>
            <w:shd w:val="clear" w:color="auto" w:fill="auto"/>
            <w:vAlign w:val="bottom"/>
            <w:hideMark/>
          </w:tcPr>
          <w:p w14:paraId="0C4F1A4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735 235 000</w:t>
            </w:r>
          </w:p>
        </w:tc>
        <w:tc>
          <w:tcPr>
            <w:tcW w:w="1205" w:type="dxa"/>
            <w:shd w:val="clear" w:color="auto" w:fill="auto"/>
            <w:vAlign w:val="bottom"/>
            <w:hideMark/>
          </w:tcPr>
          <w:p w14:paraId="51AFB184"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416 803 000</w:t>
            </w:r>
          </w:p>
        </w:tc>
        <w:tc>
          <w:tcPr>
            <w:tcW w:w="1134" w:type="dxa"/>
            <w:shd w:val="clear" w:color="auto" w:fill="auto"/>
            <w:vAlign w:val="bottom"/>
            <w:hideMark/>
          </w:tcPr>
          <w:p w14:paraId="5C39F6BC"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44 758 000</w:t>
            </w:r>
          </w:p>
        </w:tc>
        <w:tc>
          <w:tcPr>
            <w:tcW w:w="1134" w:type="dxa"/>
            <w:shd w:val="clear" w:color="auto" w:fill="auto"/>
            <w:vAlign w:val="bottom"/>
            <w:hideMark/>
          </w:tcPr>
          <w:p w14:paraId="36BB65B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215 729 000</w:t>
            </w:r>
          </w:p>
        </w:tc>
        <w:tc>
          <w:tcPr>
            <w:tcW w:w="1983" w:type="dxa"/>
            <w:shd w:val="clear" w:color="auto" w:fill="auto"/>
            <w:vAlign w:val="bottom"/>
            <w:hideMark/>
          </w:tcPr>
          <w:p w14:paraId="4E39C1AC"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103 383 000</w:t>
            </w:r>
          </w:p>
        </w:tc>
      </w:tr>
      <w:tr w:rsidR="004E58C9" w:rsidRPr="00684CF8" w14:paraId="4EDBC7C0" w14:textId="77777777" w:rsidTr="004E58C9">
        <w:tc>
          <w:tcPr>
            <w:tcW w:w="709" w:type="dxa"/>
            <w:shd w:val="clear" w:color="auto" w:fill="auto"/>
            <w:hideMark/>
          </w:tcPr>
          <w:p w14:paraId="402D1C8B"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lastRenderedPageBreak/>
              <w:t xml:space="preserve">2018 </w:t>
            </w:r>
          </w:p>
        </w:tc>
        <w:tc>
          <w:tcPr>
            <w:tcW w:w="1205" w:type="dxa"/>
            <w:shd w:val="clear" w:color="auto" w:fill="auto"/>
            <w:vAlign w:val="bottom"/>
            <w:hideMark/>
          </w:tcPr>
          <w:p w14:paraId="1DACCF0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760 991 000</w:t>
            </w:r>
          </w:p>
        </w:tc>
        <w:tc>
          <w:tcPr>
            <w:tcW w:w="1205" w:type="dxa"/>
            <w:shd w:val="clear" w:color="auto" w:fill="auto"/>
            <w:vAlign w:val="bottom"/>
            <w:hideMark/>
          </w:tcPr>
          <w:p w14:paraId="098EDA72"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413 409 000</w:t>
            </w:r>
          </w:p>
        </w:tc>
        <w:tc>
          <w:tcPr>
            <w:tcW w:w="1134" w:type="dxa"/>
            <w:shd w:val="clear" w:color="auto" w:fill="auto"/>
            <w:vAlign w:val="bottom"/>
            <w:hideMark/>
          </w:tcPr>
          <w:p w14:paraId="485F02E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44 205 000</w:t>
            </w:r>
          </w:p>
        </w:tc>
        <w:tc>
          <w:tcPr>
            <w:tcW w:w="1134" w:type="dxa"/>
            <w:shd w:val="clear" w:color="auto" w:fill="auto"/>
            <w:vAlign w:val="bottom"/>
            <w:hideMark/>
          </w:tcPr>
          <w:p w14:paraId="7FFF60A9"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214 709 000</w:t>
            </w:r>
          </w:p>
        </w:tc>
        <w:tc>
          <w:tcPr>
            <w:tcW w:w="1983" w:type="dxa"/>
            <w:shd w:val="clear" w:color="auto" w:fill="auto"/>
            <w:vAlign w:val="bottom"/>
            <w:hideMark/>
          </w:tcPr>
          <w:p w14:paraId="032C2032"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100 522 000</w:t>
            </w:r>
          </w:p>
        </w:tc>
      </w:tr>
      <w:tr w:rsidR="004E58C9" w:rsidRPr="00684CF8" w14:paraId="5C370E49" w14:textId="77777777" w:rsidTr="004E58C9">
        <w:tc>
          <w:tcPr>
            <w:tcW w:w="709" w:type="dxa"/>
            <w:tcBorders>
              <w:bottom w:val="single" w:sz="12" w:space="0" w:color="auto"/>
            </w:tcBorders>
            <w:shd w:val="clear" w:color="auto" w:fill="auto"/>
            <w:hideMark/>
          </w:tcPr>
          <w:p w14:paraId="608AE352"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 xml:space="preserve">2019 </w:t>
            </w:r>
          </w:p>
        </w:tc>
        <w:tc>
          <w:tcPr>
            <w:tcW w:w="1205" w:type="dxa"/>
            <w:tcBorders>
              <w:bottom w:val="single" w:sz="12" w:space="0" w:color="auto"/>
            </w:tcBorders>
            <w:shd w:val="clear" w:color="auto" w:fill="auto"/>
            <w:vAlign w:val="bottom"/>
            <w:hideMark/>
          </w:tcPr>
          <w:p w14:paraId="4B3FB813"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797 965 000</w:t>
            </w:r>
          </w:p>
        </w:tc>
        <w:tc>
          <w:tcPr>
            <w:tcW w:w="1205" w:type="dxa"/>
            <w:tcBorders>
              <w:bottom w:val="single" w:sz="12" w:space="0" w:color="auto"/>
            </w:tcBorders>
            <w:shd w:val="clear" w:color="auto" w:fill="auto"/>
            <w:vAlign w:val="bottom"/>
            <w:hideMark/>
          </w:tcPr>
          <w:p w14:paraId="66859155"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419 249 000</w:t>
            </w:r>
          </w:p>
        </w:tc>
        <w:tc>
          <w:tcPr>
            <w:tcW w:w="1134" w:type="dxa"/>
            <w:tcBorders>
              <w:bottom w:val="single" w:sz="12" w:space="0" w:color="auto"/>
            </w:tcBorders>
            <w:shd w:val="clear" w:color="auto" w:fill="auto"/>
            <w:vAlign w:val="bottom"/>
            <w:hideMark/>
          </w:tcPr>
          <w:p w14:paraId="2D256151"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45 761 000</w:t>
            </w:r>
          </w:p>
        </w:tc>
        <w:tc>
          <w:tcPr>
            <w:tcW w:w="1134" w:type="dxa"/>
            <w:tcBorders>
              <w:bottom w:val="single" w:sz="12" w:space="0" w:color="auto"/>
            </w:tcBorders>
            <w:shd w:val="clear" w:color="auto" w:fill="auto"/>
            <w:vAlign w:val="bottom"/>
            <w:hideMark/>
          </w:tcPr>
          <w:p w14:paraId="0E13286F"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221 199 000</w:t>
            </w:r>
          </w:p>
        </w:tc>
        <w:tc>
          <w:tcPr>
            <w:tcW w:w="1983" w:type="dxa"/>
            <w:tcBorders>
              <w:bottom w:val="single" w:sz="12" w:space="0" w:color="auto"/>
            </w:tcBorders>
            <w:shd w:val="clear" w:color="auto" w:fill="auto"/>
            <w:vAlign w:val="bottom"/>
            <w:hideMark/>
          </w:tcPr>
          <w:p w14:paraId="1002F32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101 690 000</w:t>
            </w:r>
          </w:p>
        </w:tc>
      </w:tr>
    </w:tbl>
    <w:p w14:paraId="472BEEAB" w14:textId="77777777" w:rsidR="004E58C9" w:rsidRPr="00684CF8" w:rsidRDefault="004E58C9" w:rsidP="004E58C9">
      <w:pPr>
        <w:pStyle w:val="SingleTxtG"/>
        <w:spacing w:before="120" w:after="240" w:line="220" w:lineRule="exact"/>
        <w:ind w:firstLine="170"/>
        <w:rPr>
          <w:sz w:val="18"/>
          <w:szCs w:val="18"/>
        </w:rPr>
      </w:pPr>
      <w:r w:rsidRPr="00684CF8">
        <w:rPr>
          <w:i/>
          <w:iCs/>
          <w:sz w:val="18"/>
          <w:szCs w:val="18"/>
        </w:rPr>
        <w:t>Источник</w:t>
      </w:r>
      <w:r w:rsidRPr="00684CF8">
        <w:rPr>
          <w:sz w:val="18"/>
          <w:szCs w:val="18"/>
        </w:rPr>
        <w:t>: Проект бюджета Финляндии на 2011–2019 годы.</w:t>
      </w:r>
    </w:p>
    <w:p w14:paraId="7B700264" w14:textId="77777777" w:rsidR="004E58C9" w:rsidRPr="00684CF8" w:rsidRDefault="004E58C9" w:rsidP="004E58C9">
      <w:pPr>
        <w:pStyle w:val="H23G"/>
      </w:pPr>
      <w:bookmarkStart w:id="73" w:name="_Toc32364322"/>
      <w:r w:rsidRPr="00684CF8">
        <w:tab/>
        <w:t>r)</w:t>
      </w:r>
      <w:r w:rsidRPr="00684CF8">
        <w:tab/>
        <w:t>Преступность</w:t>
      </w:r>
      <w:bookmarkEnd w:id="73"/>
    </w:p>
    <w:p w14:paraId="1318A23A" w14:textId="77777777" w:rsidR="004E58C9" w:rsidRPr="00684CF8" w:rsidRDefault="004E58C9" w:rsidP="004E58C9">
      <w:pPr>
        <w:pStyle w:val="H23G"/>
      </w:pPr>
      <w:bookmarkStart w:id="74" w:name="_Toc32364323"/>
      <w:r w:rsidRPr="00684CF8">
        <w:tab/>
      </w:r>
      <w:r w:rsidRPr="00684CF8">
        <w:tab/>
        <w:t>Тенденции в области видов преступлений</w:t>
      </w:r>
      <w:bookmarkEnd w:id="74"/>
    </w:p>
    <w:p w14:paraId="33145420" w14:textId="77777777" w:rsidR="004E58C9" w:rsidRPr="00684CF8" w:rsidRDefault="004E58C9" w:rsidP="004E58C9">
      <w:pPr>
        <w:pStyle w:val="SingleTxtG"/>
      </w:pPr>
      <w:r w:rsidRPr="00684CF8">
        <w:t>213.</w:t>
      </w:r>
      <w:r w:rsidRPr="00684CF8">
        <w:tab/>
        <w:t>Уголовный кодекс Финляндии (39/1889) был впервые принят в 1889 году. Несмотря на эволюцию форм преступности с течением времени, общее число преступлений по отношению к численности населения осталось практически неизменным.</w:t>
      </w:r>
    </w:p>
    <w:p w14:paraId="2DEC2D49" w14:textId="77777777" w:rsidR="004E58C9" w:rsidRPr="00684CF8" w:rsidRDefault="004E58C9" w:rsidP="004E58C9">
      <w:pPr>
        <w:pStyle w:val="H23G"/>
      </w:pPr>
      <w:bookmarkStart w:id="75" w:name="_Toc32364324"/>
      <w:r w:rsidRPr="00684CF8">
        <w:tab/>
      </w:r>
      <w:r w:rsidRPr="00684CF8">
        <w:tab/>
        <w:t>Принудительные меры</w:t>
      </w:r>
      <w:bookmarkEnd w:id="75"/>
    </w:p>
    <w:p w14:paraId="5892254E" w14:textId="77777777" w:rsidR="004E58C9" w:rsidRPr="00684CF8" w:rsidRDefault="004E58C9" w:rsidP="004E58C9">
      <w:pPr>
        <w:pStyle w:val="SingleTxtG"/>
      </w:pPr>
      <w:r w:rsidRPr="00684CF8">
        <w:t>214.</w:t>
      </w:r>
      <w:r w:rsidRPr="00684CF8">
        <w:tab/>
        <w:t>В Финляндии любые принудительные меры, применяемые полицией, таможней и пограничной службой, всегда должны основываться на законе. К принудительным мерам относятся, например, задержание, арест и введение запрета на поездки. Принудительные меры могут и должны применяться только в том случае, если они соразмерны преследуемым целям, а другие варианты, не связанные с принуждением, отсутствуют. При применении принудительных мер следует избегать привлечения чрезмерного внимания, а поведение должно быть осмотрительным во всех отношениях. В приведенной ниже таблице показано применение принудительных мер в Финляндии в 2013–2018 годах.</w:t>
      </w:r>
    </w:p>
    <w:p w14:paraId="79AE0EBA" w14:textId="77777777" w:rsidR="004E58C9" w:rsidRPr="00684CF8" w:rsidRDefault="004E58C9" w:rsidP="004E58C9">
      <w:pPr>
        <w:pStyle w:val="1"/>
        <w:spacing w:before="240" w:after="120"/>
        <w:ind w:left="1134" w:hanging="1134"/>
        <w:jc w:val="left"/>
        <w:rPr>
          <w:rFonts w:cs="Times New Roman"/>
          <w:szCs w:val="20"/>
        </w:rPr>
      </w:pPr>
      <w:r w:rsidRPr="00684CF8">
        <w:rPr>
          <w:rFonts w:cs="Times New Roman"/>
          <w:b w:val="0"/>
          <w:bCs w:val="0"/>
          <w:szCs w:val="20"/>
        </w:rPr>
        <w:tab/>
      </w:r>
      <w:r w:rsidRPr="00684CF8">
        <w:rPr>
          <w:rFonts w:cs="Times New Roman"/>
          <w:b w:val="0"/>
          <w:bCs w:val="0"/>
          <w:szCs w:val="20"/>
        </w:rPr>
        <w:tab/>
        <w:t>Таблица 15</w:t>
      </w:r>
      <w:r w:rsidRPr="00684CF8">
        <w:rPr>
          <w:b w:val="0"/>
          <w:bCs w:val="0"/>
        </w:rPr>
        <w:br/>
      </w:r>
      <w:r w:rsidRPr="00684CF8">
        <w:rPr>
          <w:rFonts w:cs="Times New Roman"/>
          <w:szCs w:val="20"/>
        </w:rPr>
        <w:t>Применение принудительных мер 2013–2018 г</w:t>
      </w:r>
      <w:r w:rsidRPr="00684CF8">
        <w:t>одов</w:t>
      </w:r>
    </w:p>
    <w:tbl>
      <w:tblPr>
        <w:tblW w:w="7370" w:type="dxa"/>
        <w:tblInd w:w="1134" w:type="dxa"/>
        <w:tblLayout w:type="fixed"/>
        <w:tblCellMar>
          <w:left w:w="0" w:type="dxa"/>
          <w:right w:w="0" w:type="dxa"/>
        </w:tblCellMar>
        <w:tblLook w:val="04A0" w:firstRow="1" w:lastRow="0" w:firstColumn="1" w:lastColumn="0" w:noHBand="0" w:noVBand="1"/>
      </w:tblPr>
      <w:tblGrid>
        <w:gridCol w:w="2694"/>
        <w:gridCol w:w="779"/>
        <w:gridCol w:w="779"/>
        <w:gridCol w:w="780"/>
        <w:gridCol w:w="779"/>
        <w:gridCol w:w="779"/>
        <w:gridCol w:w="780"/>
      </w:tblGrid>
      <w:tr w:rsidR="004E58C9" w:rsidRPr="00684CF8" w14:paraId="57D3BD1D" w14:textId="77777777" w:rsidTr="004E58C9">
        <w:trPr>
          <w:tblHeader/>
        </w:trPr>
        <w:tc>
          <w:tcPr>
            <w:tcW w:w="2694" w:type="dxa"/>
            <w:tcBorders>
              <w:top w:val="single" w:sz="4" w:space="0" w:color="auto"/>
              <w:bottom w:val="single" w:sz="12" w:space="0" w:color="auto"/>
            </w:tcBorders>
            <w:shd w:val="clear" w:color="auto" w:fill="auto"/>
            <w:vAlign w:val="bottom"/>
            <w:hideMark/>
          </w:tcPr>
          <w:p w14:paraId="2577FD44" w14:textId="77777777" w:rsidR="004E58C9" w:rsidRPr="00684CF8" w:rsidRDefault="004E58C9" w:rsidP="004E58C9">
            <w:pPr>
              <w:suppressAutoHyphens w:val="0"/>
              <w:spacing w:before="80" w:after="80" w:line="200" w:lineRule="exact"/>
              <w:rPr>
                <w:rFonts w:cs="Times New Roman"/>
                <w:bCs/>
                <w:i/>
                <w:sz w:val="16"/>
              </w:rPr>
            </w:pPr>
            <w:r w:rsidRPr="00684CF8">
              <w:rPr>
                <w:rFonts w:cs="Times New Roman"/>
                <w:i/>
                <w:sz w:val="16"/>
              </w:rPr>
              <w:t>Категория/год</w:t>
            </w:r>
          </w:p>
        </w:tc>
        <w:tc>
          <w:tcPr>
            <w:tcW w:w="779" w:type="dxa"/>
            <w:tcBorders>
              <w:top w:val="single" w:sz="4" w:space="0" w:color="auto"/>
              <w:bottom w:val="single" w:sz="12" w:space="0" w:color="auto"/>
            </w:tcBorders>
            <w:shd w:val="clear" w:color="auto" w:fill="auto"/>
            <w:vAlign w:val="bottom"/>
            <w:hideMark/>
          </w:tcPr>
          <w:p w14:paraId="073BF1BF"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2013</w:t>
            </w:r>
          </w:p>
        </w:tc>
        <w:tc>
          <w:tcPr>
            <w:tcW w:w="779" w:type="dxa"/>
            <w:tcBorders>
              <w:top w:val="single" w:sz="4" w:space="0" w:color="auto"/>
              <w:bottom w:val="single" w:sz="12" w:space="0" w:color="auto"/>
            </w:tcBorders>
            <w:shd w:val="clear" w:color="auto" w:fill="auto"/>
            <w:vAlign w:val="bottom"/>
            <w:hideMark/>
          </w:tcPr>
          <w:p w14:paraId="21B5F046"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2014</w:t>
            </w:r>
          </w:p>
        </w:tc>
        <w:tc>
          <w:tcPr>
            <w:tcW w:w="780" w:type="dxa"/>
            <w:tcBorders>
              <w:top w:val="single" w:sz="4" w:space="0" w:color="auto"/>
              <w:bottom w:val="single" w:sz="12" w:space="0" w:color="auto"/>
            </w:tcBorders>
            <w:shd w:val="clear" w:color="auto" w:fill="auto"/>
            <w:vAlign w:val="bottom"/>
            <w:hideMark/>
          </w:tcPr>
          <w:p w14:paraId="5BCF76A2"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2015</w:t>
            </w:r>
          </w:p>
        </w:tc>
        <w:tc>
          <w:tcPr>
            <w:tcW w:w="779" w:type="dxa"/>
            <w:tcBorders>
              <w:top w:val="single" w:sz="4" w:space="0" w:color="auto"/>
              <w:bottom w:val="single" w:sz="12" w:space="0" w:color="auto"/>
            </w:tcBorders>
            <w:shd w:val="clear" w:color="auto" w:fill="auto"/>
            <w:vAlign w:val="bottom"/>
            <w:hideMark/>
          </w:tcPr>
          <w:p w14:paraId="41071073"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2016</w:t>
            </w:r>
          </w:p>
        </w:tc>
        <w:tc>
          <w:tcPr>
            <w:tcW w:w="779" w:type="dxa"/>
            <w:tcBorders>
              <w:top w:val="single" w:sz="4" w:space="0" w:color="auto"/>
              <w:bottom w:val="single" w:sz="12" w:space="0" w:color="auto"/>
            </w:tcBorders>
            <w:shd w:val="clear" w:color="auto" w:fill="auto"/>
            <w:vAlign w:val="bottom"/>
            <w:hideMark/>
          </w:tcPr>
          <w:p w14:paraId="470EDF53"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2017</w:t>
            </w:r>
          </w:p>
        </w:tc>
        <w:tc>
          <w:tcPr>
            <w:tcW w:w="780" w:type="dxa"/>
            <w:tcBorders>
              <w:top w:val="single" w:sz="4" w:space="0" w:color="auto"/>
              <w:bottom w:val="single" w:sz="12" w:space="0" w:color="auto"/>
            </w:tcBorders>
            <w:shd w:val="clear" w:color="auto" w:fill="auto"/>
            <w:vAlign w:val="bottom"/>
            <w:hideMark/>
          </w:tcPr>
          <w:p w14:paraId="209A3AF0"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2018</w:t>
            </w:r>
          </w:p>
        </w:tc>
      </w:tr>
      <w:tr w:rsidR="004E58C9" w:rsidRPr="00684CF8" w14:paraId="59118108" w14:textId="77777777" w:rsidTr="004E58C9">
        <w:tc>
          <w:tcPr>
            <w:tcW w:w="2694" w:type="dxa"/>
            <w:tcBorders>
              <w:top w:val="single" w:sz="12" w:space="0" w:color="auto"/>
            </w:tcBorders>
            <w:shd w:val="clear" w:color="auto" w:fill="auto"/>
            <w:hideMark/>
          </w:tcPr>
          <w:p w14:paraId="710AD6A7"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Принудительные меры</w:t>
            </w:r>
          </w:p>
        </w:tc>
        <w:tc>
          <w:tcPr>
            <w:tcW w:w="779" w:type="dxa"/>
            <w:tcBorders>
              <w:top w:val="single" w:sz="12" w:space="0" w:color="auto"/>
            </w:tcBorders>
            <w:shd w:val="clear" w:color="auto" w:fill="auto"/>
            <w:vAlign w:val="bottom"/>
            <w:hideMark/>
          </w:tcPr>
          <w:p w14:paraId="47D9ABB2"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210 302</w:t>
            </w:r>
          </w:p>
        </w:tc>
        <w:tc>
          <w:tcPr>
            <w:tcW w:w="779" w:type="dxa"/>
            <w:tcBorders>
              <w:top w:val="single" w:sz="12" w:space="0" w:color="auto"/>
            </w:tcBorders>
            <w:shd w:val="clear" w:color="auto" w:fill="auto"/>
            <w:vAlign w:val="bottom"/>
            <w:hideMark/>
          </w:tcPr>
          <w:p w14:paraId="049C9C37"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196 748</w:t>
            </w:r>
          </w:p>
        </w:tc>
        <w:tc>
          <w:tcPr>
            <w:tcW w:w="780" w:type="dxa"/>
            <w:tcBorders>
              <w:top w:val="single" w:sz="12" w:space="0" w:color="auto"/>
            </w:tcBorders>
            <w:shd w:val="clear" w:color="auto" w:fill="auto"/>
            <w:vAlign w:val="bottom"/>
            <w:hideMark/>
          </w:tcPr>
          <w:p w14:paraId="0721A793"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197 191</w:t>
            </w:r>
          </w:p>
        </w:tc>
        <w:tc>
          <w:tcPr>
            <w:tcW w:w="779" w:type="dxa"/>
            <w:tcBorders>
              <w:top w:val="single" w:sz="12" w:space="0" w:color="auto"/>
            </w:tcBorders>
            <w:shd w:val="clear" w:color="auto" w:fill="auto"/>
            <w:vAlign w:val="bottom"/>
            <w:hideMark/>
          </w:tcPr>
          <w:p w14:paraId="312671B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197 451</w:t>
            </w:r>
          </w:p>
        </w:tc>
        <w:tc>
          <w:tcPr>
            <w:tcW w:w="779" w:type="dxa"/>
            <w:tcBorders>
              <w:top w:val="single" w:sz="12" w:space="0" w:color="auto"/>
            </w:tcBorders>
            <w:shd w:val="clear" w:color="auto" w:fill="auto"/>
            <w:vAlign w:val="bottom"/>
            <w:hideMark/>
          </w:tcPr>
          <w:p w14:paraId="2AE565FA"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195 777</w:t>
            </w:r>
          </w:p>
        </w:tc>
        <w:tc>
          <w:tcPr>
            <w:tcW w:w="780" w:type="dxa"/>
            <w:tcBorders>
              <w:top w:val="single" w:sz="12" w:space="0" w:color="auto"/>
            </w:tcBorders>
            <w:shd w:val="clear" w:color="auto" w:fill="auto"/>
            <w:vAlign w:val="bottom"/>
            <w:hideMark/>
          </w:tcPr>
          <w:p w14:paraId="3D860242"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195 137</w:t>
            </w:r>
          </w:p>
        </w:tc>
      </w:tr>
      <w:tr w:rsidR="004E58C9" w:rsidRPr="00684CF8" w14:paraId="5A6AE013" w14:textId="77777777" w:rsidTr="004E58C9">
        <w:tc>
          <w:tcPr>
            <w:tcW w:w="2694" w:type="dxa"/>
            <w:shd w:val="clear" w:color="auto" w:fill="auto"/>
            <w:hideMark/>
          </w:tcPr>
          <w:p w14:paraId="0F8FEEB2"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Уголовные дела</w:t>
            </w:r>
          </w:p>
        </w:tc>
        <w:tc>
          <w:tcPr>
            <w:tcW w:w="779" w:type="dxa"/>
            <w:shd w:val="clear" w:color="auto" w:fill="auto"/>
            <w:vAlign w:val="bottom"/>
            <w:hideMark/>
          </w:tcPr>
          <w:p w14:paraId="1FC4CD8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132 457</w:t>
            </w:r>
          </w:p>
        </w:tc>
        <w:tc>
          <w:tcPr>
            <w:tcW w:w="779" w:type="dxa"/>
            <w:shd w:val="clear" w:color="auto" w:fill="auto"/>
            <w:vAlign w:val="bottom"/>
            <w:hideMark/>
          </w:tcPr>
          <w:p w14:paraId="5C0D639F"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126 437</w:t>
            </w:r>
          </w:p>
        </w:tc>
        <w:tc>
          <w:tcPr>
            <w:tcW w:w="780" w:type="dxa"/>
            <w:shd w:val="clear" w:color="auto" w:fill="auto"/>
            <w:vAlign w:val="bottom"/>
            <w:hideMark/>
          </w:tcPr>
          <w:p w14:paraId="08B3B1B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128 136</w:t>
            </w:r>
          </w:p>
        </w:tc>
        <w:tc>
          <w:tcPr>
            <w:tcW w:w="779" w:type="dxa"/>
            <w:shd w:val="clear" w:color="auto" w:fill="auto"/>
            <w:vAlign w:val="bottom"/>
            <w:hideMark/>
          </w:tcPr>
          <w:p w14:paraId="70B582FC"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131 591</w:t>
            </w:r>
          </w:p>
        </w:tc>
        <w:tc>
          <w:tcPr>
            <w:tcW w:w="779" w:type="dxa"/>
            <w:shd w:val="clear" w:color="auto" w:fill="auto"/>
            <w:vAlign w:val="bottom"/>
            <w:hideMark/>
          </w:tcPr>
          <w:p w14:paraId="7E6EDEA7"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131 467</w:t>
            </w:r>
          </w:p>
        </w:tc>
        <w:tc>
          <w:tcPr>
            <w:tcW w:w="780" w:type="dxa"/>
            <w:shd w:val="clear" w:color="auto" w:fill="auto"/>
            <w:vAlign w:val="bottom"/>
            <w:hideMark/>
          </w:tcPr>
          <w:p w14:paraId="7E609617"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134 743</w:t>
            </w:r>
          </w:p>
        </w:tc>
      </w:tr>
      <w:tr w:rsidR="004E58C9" w:rsidRPr="00684CF8" w14:paraId="5435E7C2" w14:textId="77777777" w:rsidTr="004E58C9">
        <w:tc>
          <w:tcPr>
            <w:tcW w:w="2694" w:type="dxa"/>
            <w:tcBorders>
              <w:bottom w:val="single" w:sz="12" w:space="0" w:color="auto"/>
            </w:tcBorders>
            <w:shd w:val="clear" w:color="auto" w:fill="auto"/>
            <w:hideMark/>
          </w:tcPr>
          <w:p w14:paraId="51230C26"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 xml:space="preserve">Преступления по Уголовному </w:t>
            </w:r>
            <w:r w:rsidRPr="00684CF8">
              <w:rPr>
                <w:rFonts w:cs="Times New Roman"/>
                <w:sz w:val="18"/>
              </w:rPr>
              <w:br/>
              <w:t>кодексу</w:t>
            </w:r>
          </w:p>
        </w:tc>
        <w:tc>
          <w:tcPr>
            <w:tcW w:w="779" w:type="dxa"/>
            <w:tcBorders>
              <w:bottom w:val="single" w:sz="12" w:space="0" w:color="auto"/>
            </w:tcBorders>
            <w:shd w:val="clear" w:color="auto" w:fill="auto"/>
            <w:vAlign w:val="bottom"/>
            <w:hideMark/>
          </w:tcPr>
          <w:p w14:paraId="4895E013"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128 755</w:t>
            </w:r>
          </w:p>
        </w:tc>
        <w:tc>
          <w:tcPr>
            <w:tcW w:w="779" w:type="dxa"/>
            <w:tcBorders>
              <w:bottom w:val="single" w:sz="12" w:space="0" w:color="auto"/>
            </w:tcBorders>
            <w:shd w:val="clear" w:color="auto" w:fill="auto"/>
            <w:vAlign w:val="bottom"/>
            <w:hideMark/>
          </w:tcPr>
          <w:p w14:paraId="38C223AD"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123 145</w:t>
            </w:r>
          </w:p>
        </w:tc>
        <w:tc>
          <w:tcPr>
            <w:tcW w:w="780" w:type="dxa"/>
            <w:tcBorders>
              <w:bottom w:val="single" w:sz="12" w:space="0" w:color="auto"/>
            </w:tcBorders>
            <w:shd w:val="clear" w:color="auto" w:fill="auto"/>
            <w:vAlign w:val="bottom"/>
            <w:hideMark/>
          </w:tcPr>
          <w:p w14:paraId="0ADF7779"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125 743</w:t>
            </w:r>
          </w:p>
        </w:tc>
        <w:tc>
          <w:tcPr>
            <w:tcW w:w="779" w:type="dxa"/>
            <w:tcBorders>
              <w:bottom w:val="single" w:sz="12" w:space="0" w:color="auto"/>
            </w:tcBorders>
            <w:shd w:val="clear" w:color="auto" w:fill="auto"/>
            <w:vAlign w:val="bottom"/>
            <w:hideMark/>
          </w:tcPr>
          <w:p w14:paraId="39F7055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129 757</w:t>
            </w:r>
          </w:p>
        </w:tc>
        <w:tc>
          <w:tcPr>
            <w:tcW w:w="779" w:type="dxa"/>
            <w:tcBorders>
              <w:bottom w:val="single" w:sz="12" w:space="0" w:color="auto"/>
            </w:tcBorders>
            <w:shd w:val="clear" w:color="auto" w:fill="auto"/>
            <w:vAlign w:val="bottom"/>
            <w:hideMark/>
          </w:tcPr>
          <w:p w14:paraId="5494D723"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130 859</w:t>
            </w:r>
          </w:p>
        </w:tc>
        <w:tc>
          <w:tcPr>
            <w:tcW w:w="780" w:type="dxa"/>
            <w:tcBorders>
              <w:bottom w:val="single" w:sz="12" w:space="0" w:color="auto"/>
            </w:tcBorders>
            <w:shd w:val="clear" w:color="auto" w:fill="auto"/>
            <w:vAlign w:val="bottom"/>
            <w:hideMark/>
          </w:tcPr>
          <w:p w14:paraId="6D0E2F35"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134 232</w:t>
            </w:r>
          </w:p>
        </w:tc>
      </w:tr>
    </w:tbl>
    <w:p w14:paraId="3308DFB5" w14:textId="77777777" w:rsidR="004E58C9" w:rsidRPr="00684CF8" w:rsidRDefault="004E58C9" w:rsidP="004E58C9">
      <w:pPr>
        <w:pStyle w:val="SingleTxtG"/>
        <w:spacing w:before="120" w:after="240" w:line="220" w:lineRule="exact"/>
        <w:ind w:firstLine="170"/>
        <w:jc w:val="left"/>
        <w:rPr>
          <w:sz w:val="18"/>
          <w:szCs w:val="18"/>
        </w:rPr>
      </w:pPr>
      <w:r w:rsidRPr="00684CF8">
        <w:rPr>
          <w:i/>
          <w:iCs/>
          <w:sz w:val="18"/>
          <w:szCs w:val="18"/>
        </w:rPr>
        <w:t>Источник</w:t>
      </w:r>
      <w:r w:rsidRPr="00684CF8">
        <w:rPr>
          <w:sz w:val="18"/>
          <w:szCs w:val="18"/>
        </w:rPr>
        <w:t>: Статистическое управление Финляндии, статистика правонарушений и мер принуждения.</w:t>
      </w:r>
    </w:p>
    <w:p w14:paraId="767B019C" w14:textId="77777777" w:rsidR="004E58C9" w:rsidRPr="00684CF8" w:rsidRDefault="004E58C9" w:rsidP="004E58C9">
      <w:pPr>
        <w:pStyle w:val="H23G"/>
      </w:pPr>
      <w:bookmarkStart w:id="76" w:name="_Toc32364325"/>
      <w:r w:rsidRPr="00684CF8">
        <w:tab/>
      </w:r>
      <w:r w:rsidRPr="00684CF8">
        <w:tab/>
        <w:t>Убийства</w:t>
      </w:r>
      <w:bookmarkEnd w:id="76"/>
    </w:p>
    <w:p w14:paraId="67F9BC39" w14:textId="78764F6B" w:rsidR="004E58C9" w:rsidRPr="00684CF8" w:rsidRDefault="004E58C9" w:rsidP="004E58C9">
      <w:pPr>
        <w:pStyle w:val="SingleTxtG"/>
      </w:pPr>
      <w:r w:rsidRPr="00684CF8">
        <w:t>215.</w:t>
      </w:r>
      <w:r w:rsidRPr="00684CF8">
        <w:tab/>
        <w:t xml:space="preserve">Тенденция к снижению количества убийств в Финляндии наблюдается с середины 1990-х годов. Наибольшие изменения произошли в количестве насильственных действий, совершаемых мужчинами на почве </w:t>
      </w:r>
      <w:bookmarkStart w:id="77" w:name="_Hlk49340558"/>
      <w:r w:rsidRPr="00684CF8">
        <w:t>злоупотребления алкоголем</w:t>
      </w:r>
      <w:bookmarkEnd w:id="77"/>
      <w:r w:rsidRPr="00684CF8">
        <w:t>. Большинство непреднамеренных убийств, убийств по неосторожности и умышленных убийств в Финляндии происходят в частных домах. В 2010–2018 годах женщины составляли 30</w:t>
      </w:r>
      <w:r w:rsidR="00DF7B7E">
        <w:t> </w:t>
      </w:r>
      <w:r w:rsidRPr="00684CF8">
        <w:t>% жертв убийств. Убийство в Финляндии является характерным преступлением, совершаемым малообразованными, социально изолированными и злоупотребляющими алкоголем мужчинами и женщинами, которые и сами становятся его жертвами. Ситуация остается неизменной на протяжении последних десятилетий. Такие преступления неразрывно связаны со злоупотреблением алкоголем. Коэффициент убийств на 100 000 жителей составил 1,7. В приведенной ниже таблице указано число убийств (непреднамеренных, по неосторожности и умышленных) в 2008–2018 годах.</w:t>
      </w:r>
    </w:p>
    <w:p w14:paraId="72B6CEF7" w14:textId="77777777" w:rsidR="004E58C9" w:rsidRPr="00684CF8" w:rsidRDefault="004E58C9" w:rsidP="004E58C9">
      <w:pPr>
        <w:pStyle w:val="1"/>
        <w:spacing w:before="240" w:after="120"/>
        <w:ind w:left="1134" w:hanging="1134"/>
        <w:jc w:val="left"/>
        <w:rPr>
          <w:rFonts w:cs="Times New Roman"/>
          <w:szCs w:val="20"/>
        </w:rPr>
      </w:pPr>
      <w:r w:rsidRPr="00684CF8">
        <w:rPr>
          <w:rFonts w:cs="Times New Roman"/>
          <w:b w:val="0"/>
          <w:bCs w:val="0"/>
          <w:szCs w:val="20"/>
        </w:rPr>
        <w:lastRenderedPageBreak/>
        <w:tab/>
      </w:r>
      <w:r w:rsidRPr="00684CF8">
        <w:rPr>
          <w:rFonts w:cs="Times New Roman"/>
          <w:b w:val="0"/>
          <w:bCs w:val="0"/>
          <w:szCs w:val="20"/>
        </w:rPr>
        <w:tab/>
        <w:t>Таблица 16</w:t>
      </w:r>
      <w:r w:rsidRPr="00684CF8">
        <w:rPr>
          <w:b w:val="0"/>
          <w:bCs w:val="0"/>
        </w:rPr>
        <w:br/>
      </w:r>
      <w:r w:rsidRPr="00684CF8">
        <w:rPr>
          <w:rFonts w:cs="Times New Roman"/>
          <w:szCs w:val="20"/>
        </w:rPr>
        <w:t>Количество убийств, 2008</w:t>
      </w:r>
      <w:bookmarkStart w:id="78" w:name="_Hlk48407747"/>
      <w:r w:rsidRPr="00684CF8">
        <w:rPr>
          <w:rFonts w:cs="Times New Roman"/>
          <w:szCs w:val="20"/>
        </w:rPr>
        <w:t>–</w:t>
      </w:r>
      <w:bookmarkEnd w:id="78"/>
      <w:r w:rsidRPr="00684CF8">
        <w:rPr>
          <w:rFonts w:cs="Times New Roman"/>
          <w:szCs w:val="20"/>
        </w:rPr>
        <w:t>2018 годы</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528"/>
        <w:gridCol w:w="528"/>
        <w:gridCol w:w="528"/>
        <w:gridCol w:w="528"/>
        <w:gridCol w:w="528"/>
        <w:gridCol w:w="529"/>
        <w:gridCol w:w="528"/>
        <w:gridCol w:w="528"/>
        <w:gridCol w:w="528"/>
        <w:gridCol w:w="528"/>
        <w:gridCol w:w="529"/>
      </w:tblGrid>
      <w:tr w:rsidR="004E58C9" w:rsidRPr="00684CF8" w14:paraId="4294E7FD" w14:textId="77777777" w:rsidTr="004E58C9">
        <w:trPr>
          <w:tblHeader/>
        </w:trPr>
        <w:tc>
          <w:tcPr>
            <w:tcW w:w="1560" w:type="dxa"/>
            <w:tcBorders>
              <w:top w:val="single" w:sz="4" w:space="0" w:color="auto"/>
              <w:bottom w:val="single" w:sz="12" w:space="0" w:color="auto"/>
            </w:tcBorders>
            <w:shd w:val="clear" w:color="auto" w:fill="auto"/>
            <w:vAlign w:val="bottom"/>
            <w:hideMark/>
          </w:tcPr>
          <w:p w14:paraId="6A2EC806" w14:textId="77777777" w:rsidR="004E58C9" w:rsidRPr="00684CF8" w:rsidRDefault="004E58C9" w:rsidP="004E58C9">
            <w:pPr>
              <w:suppressAutoHyphens w:val="0"/>
              <w:spacing w:before="80" w:after="80" w:line="200" w:lineRule="exact"/>
              <w:rPr>
                <w:rFonts w:cs="Times New Roman"/>
                <w:bCs/>
                <w:i/>
                <w:sz w:val="16"/>
              </w:rPr>
            </w:pPr>
            <w:r w:rsidRPr="00684CF8">
              <w:rPr>
                <w:rFonts w:cs="Times New Roman"/>
                <w:i/>
                <w:sz w:val="16"/>
              </w:rPr>
              <w:t>Категория/год</w:t>
            </w:r>
          </w:p>
        </w:tc>
        <w:tc>
          <w:tcPr>
            <w:tcW w:w="528" w:type="dxa"/>
            <w:tcBorders>
              <w:top w:val="single" w:sz="4" w:space="0" w:color="auto"/>
              <w:bottom w:val="single" w:sz="12" w:space="0" w:color="auto"/>
            </w:tcBorders>
            <w:shd w:val="clear" w:color="auto" w:fill="auto"/>
            <w:vAlign w:val="bottom"/>
            <w:hideMark/>
          </w:tcPr>
          <w:p w14:paraId="1FBC7668"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2008</w:t>
            </w:r>
          </w:p>
        </w:tc>
        <w:tc>
          <w:tcPr>
            <w:tcW w:w="528" w:type="dxa"/>
            <w:tcBorders>
              <w:top w:val="single" w:sz="4" w:space="0" w:color="auto"/>
              <w:bottom w:val="single" w:sz="12" w:space="0" w:color="auto"/>
            </w:tcBorders>
            <w:shd w:val="clear" w:color="auto" w:fill="auto"/>
            <w:vAlign w:val="bottom"/>
            <w:hideMark/>
          </w:tcPr>
          <w:p w14:paraId="1C1740A9"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2009</w:t>
            </w:r>
          </w:p>
        </w:tc>
        <w:tc>
          <w:tcPr>
            <w:tcW w:w="528" w:type="dxa"/>
            <w:tcBorders>
              <w:top w:val="single" w:sz="4" w:space="0" w:color="auto"/>
              <w:bottom w:val="single" w:sz="12" w:space="0" w:color="auto"/>
            </w:tcBorders>
            <w:shd w:val="clear" w:color="auto" w:fill="auto"/>
            <w:vAlign w:val="bottom"/>
            <w:hideMark/>
          </w:tcPr>
          <w:p w14:paraId="431854CF"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2010</w:t>
            </w:r>
          </w:p>
        </w:tc>
        <w:tc>
          <w:tcPr>
            <w:tcW w:w="528" w:type="dxa"/>
            <w:tcBorders>
              <w:top w:val="single" w:sz="4" w:space="0" w:color="auto"/>
              <w:bottom w:val="single" w:sz="12" w:space="0" w:color="auto"/>
            </w:tcBorders>
            <w:shd w:val="clear" w:color="auto" w:fill="auto"/>
            <w:vAlign w:val="bottom"/>
            <w:hideMark/>
          </w:tcPr>
          <w:p w14:paraId="177A52A2"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2011</w:t>
            </w:r>
          </w:p>
        </w:tc>
        <w:tc>
          <w:tcPr>
            <w:tcW w:w="528" w:type="dxa"/>
            <w:tcBorders>
              <w:top w:val="single" w:sz="4" w:space="0" w:color="auto"/>
              <w:bottom w:val="single" w:sz="12" w:space="0" w:color="auto"/>
            </w:tcBorders>
            <w:shd w:val="clear" w:color="auto" w:fill="auto"/>
            <w:vAlign w:val="bottom"/>
            <w:hideMark/>
          </w:tcPr>
          <w:p w14:paraId="4AC0C4A0"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2012</w:t>
            </w:r>
          </w:p>
        </w:tc>
        <w:tc>
          <w:tcPr>
            <w:tcW w:w="529" w:type="dxa"/>
            <w:tcBorders>
              <w:top w:val="single" w:sz="4" w:space="0" w:color="auto"/>
              <w:bottom w:val="single" w:sz="12" w:space="0" w:color="auto"/>
            </w:tcBorders>
            <w:shd w:val="clear" w:color="auto" w:fill="auto"/>
            <w:vAlign w:val="bottom"/>
            <w:hideMark/>
          </w:tcPr>
          <w:p w14:paraId="60441BAB"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2013</w:t>
            </w:r>
          </w:p>
        </w:tc>
        <w:tc>
          <w:tcPr>
            <w:tcW w:w="528" w:type="dxa"/>
            <w:tcBorders>
              <w:top w:val="single" w:sz="4" w:space="0" w:color="auto"/>
              <w:bottom w:val="single" w:sz="12" w:space="0" w:color="auto"/>
            </w:tcBorders>
            <w:shd w:val="clear" w:color="auto" w:fill="auto"/>
            <w:vAlign w:val="bottom"/>
            <w:hideMark/>
          </w:tcPr>
          <w:p w14:paraId="2FE65E64"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2014</w:t>
            </w:r>
          </w:p>
        </w:tc>
        <w:tc>
          <w:tcPr>
            <w:tcW w:w="528" w:type="dxa"/>
            <w:tcBorders>
              <w:top w:val="single" w:sz="4" w:space="0" w:color="auto"/>
              <w:bottom w:val="single" w:sz="12" w:space="0" w:color="auto"/>
            </w:tcBorders>
            <w:shd w:val="clear" w:color="auto" w:fill="auto"/>
            <w:vAlign w:val="bottom"/>
            <w:hideMark/>
          </w:tcPr>
          <w:p w14:paraId="33BFF20E"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2015</w:t>
            </w:r>
          </w:p>
        </w:tc>
        <w:tc>
          <w:tcPr>
            <w:tcW w:w="528" w:type="dxa"/>
            <w:tcBorders>
              <w:top w:val="single" w:sz="4" w:space="0" w:color="auto"/>
              <w:bottom w:val="single" w:sz="12" w:space="0" w:color="auto"/>
            </w:tcBorders>
            <w:shd w:val="clear" w:color="auto" w:fill="auto"/>
            <w:vAlign w:val="bottom"/>
            <w:hideMark/>
          </w:tcPr>
          <w:p w14:paraId="65B5C0C0"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2016</w:t>
            </w:r>
          </w:p>
        </w:tc>
        <w:tc>
          <w:tcPr>
            <w:tcW w:w="528" w:type="dxa"/>
            <w:tcBorders>
              <w:top w:val="single" w:sz="4" w:space="0" w:color="auto"/>
              <w:bottom w:val="single" w:sz="12" w:space="0" w:color="auto"/>
            </w:tcBorders>
            <w:shd w:val="clear" w:color="auto" w:fill="auto"/>
            <w:vAlign w:val="bottom"/>
            <w:hideMark/>
          </w:tcPr>
          <w:p w14:paraId="08B07266"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2017</w:t>
            </w:r>
          </w:p>
        </w:tc>
        <w:tc>
          <w:tcPr>
            <w:tcW w:w="529" w:type="dxa"/>
            <w:tcBorders>
              <w:top w:val="single" w:sz="4" w:space="0" w:color="auto"/>
              <w:bottom w:val="single" w:sz="12" w:space="0" w:color="auto"/>
            </w:tcBorders>
            <w:shd w:val="clear" w:color="auto" w:fill="auto"/>
            <w:vAlign w:val="bottom"/>
            <w:hideMark/>
          </w:tcPr>
          <w:p w14:paraId="74217510" w14:textId="77777777" w:rsidR="004E58C9" w:rsidRPr="00684CF8" w:rsidRDefault="004E58C9" w:rsidP="004E58C9">
            <w:pPr>
              <w:suppressAutoHyphens w:val="0"/>
              <w:spacing w:before="80" w:after="80" w:line="200" w:lineRule="exact"/>
              <w:jc w:val="right"/>
              <w:rPr>
                <w:rFonts w:cs="Times New Roman"/>
                <w:bCs/>
                <w:i/>
                <w:sz w:val="16"/>
              </w:rPr>
            </w:pPr>
            <w:r w:rsidRPr="00684CF8">
              <w:rPr>
                <w:rFonts w:cs="Times New Roman"/>
                <w:i/>
                <w:sz w:val="16"/>
              </w:rPr>
              <w:t>2018</w:t>
            </w:r>
          </w:p>
        </w:tc>
      </w:tr>
      <w:tr w:rsidR="004E58C9" w:rsidRPr="00684CF8" w14:paraId="5885A85C" w14:textId="77777777" w:rsidTr="004E58C9">
        <w:tc>
          <w:tcPr>
            <w:tcW w:w="1560" w:type="dxa"/>
            <w:tcBorders>
              <w:top w:val="single" w:sz="12" w:space="0" w:color="auto"/>
            </w:tcBorders>
            <w:shd w:val="clear" w:color="auto" w:fill="auto"/>
            <w:hideMark/>
          </w:tcPr>
          <w:p w14:paraId="6594B471"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Покушения на убийство</w:t>
            </w:r>
          </w:p>
        </w:tc>
        <w:tc>
          <w:tcPr>
            <w:tcW w:w="528" w:type="dxa"/>
            <w:tcBorders>
              <w:top w:val="single" w:sz="12" w:space="0" w:color="auto"/>
            </w:tcBorders>
            <w:shd w:val="clear" w:color="auto" w:fill="auto"/>
            <w:vAlign w:val="bottom"/>
            <w:hideMark/>
          </w:tcPr>
          <w:p w14:paraId="14DB4399"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363</w:t>
            </w:r>
          </w:p>
        </w:tc>
        <w:tc>
          <w:tcPr>
            <w:tcW w:w="528" w:type="dxa"/>
            <w:tcBorders>
              <w:top w:val="single" w:sz="12" w:space="0" w:color="auto"/>
            </w:tcBorders>
            <w:shd w:val="clear" w:color="auto" w:fill="auto"/>
            <w:vAlign w:val="bottom"/>
            <w:hideMark/>
          </w:tcPr>
          <w:p w14:paraId="3ABCF151"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366</w:t>
            </w:r>
          </w:p>
        </w:tc>
        <w:tc>
          <w:tcPr>
            <w:tcW w:w="528" w:type="dxa"/>
            <w:tcBorders>
              <w:top w:val="single" w:sz="12" w:space="0" w:color="auto"/>
            </w:tcBorders>
            <w:shd w:val="clear" w:color="auto" w:fill="auto"/>
            <w:vAlign w:val="bottom"/>
            <w:hideMark/>
          </w:tcPr>
          <w:p w14:paraId="7D8274C2"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308</w:t>
            </w:r>
          </w:p>
        </w:tc>
        <w:tc>
          <w:tcPr>
            <w:tcW w:w="528" w:type="dxa"/>
            <w:tcBorders>
              <w:top w:val="single" w:sz="12" w:space="0" w:color="auto"/>
            </w:tcBorders>
            <w:shd w:val="clear" w:color="auto" w:fill="auto"/>
            <w:vAlign w:val="bottom"/>
            <w:hideMark/>
          </w:tcPr>
          <w:p w14:paraId="10C6297F"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306</w:t>
            </w:r>
          </w:p>
        </w:tc>
        <w:tc>
          <w:tcPr>
            <w:tcW w:w="528" w:type="dxa"/>
            <w:tcBorders>
              <w:top w:val="single" w:sz="12" w:space="0" w:color="auto"/>
            </w:tcBorders>
            <w:shd w:val="clear" w:color="auto" w:fill="auto"/>
            <w:vAlign w:val="bottom"/>
            <w:hideMark/>
          </w:tcPr>
          <w:p w14:paraId="1D3299B9"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350</w:t>
            </w:r>
          </w:p>
        </w:tc>
        <w:tc>
          <w:tcPr>
            <w:tcW w:w="529" w:type="dxa"/>
            <w:tcBorders>
              <w:top w:val="single" w:sz="12" w:space="0" w:color="auto"/>
            </w:tcBorders>
            <w:shd w:val="clear" w:color="auto" w:fill="auto"/>
            <w:vAlign w:val="bottom"/>
            <w:hideMark/>
          </w:tcPr>
          <w:p w14:paraId="3940049B"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264</w:t>
            </w:r>
          </w:p>
        </w:tc>
        <w:tc>
          <w:tcPr>
            <w:tcW w:w="528" w:type="dxa"/>
            <w:tcBorders>
              <w:top w:val="single" w:sz="12" w:space="0" w:color="auto"/>
            </w:tcBorders>
            <w:shd w:val="clear" w:color="auto" w:fill="auto"/>
            <w:vAlign w:val="bottom"/>
            <w:hideMark/>
          </w:tcPr>
          <w:p w14:paraId="67FD8333"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327</w:t>
            </w:r>
          </w:p>
        </w:tc>
        <w:tc>
          <w:tcPr>
            <w:tcW w:w="528" w:type="dxa"/>
            <w:tcBorders>
              <w:top w:val="single" w:sz="12" w:space="0" w:color="auto"/>
            </w:tcBorders>
            <w:shd w:val="clear" w:color="auto" w:fill="auto"/>
            <w:vAlign w:val="bottom"/>
            <w:hideMark/>
          </w:tcPr>
          <w:p w14:paraId="039F3404"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299</w:t>
            </w:r>
          </w:p>
        </w:tc>
        <w:tc>
          <w:tcPr>
            <w:tcW w:w="528" w:type="dxa"/>
            <w:tcBorders>
              <w:top w:val="single" w:sz="12" w:space="0" w:color="auto"/>
            </w:tcBorders>
            <w:shd w:val="clear" w:color="auto" w:fill="auto"/>
            <w:vAlign w:val="bottom"/>
            <w:hideMark/>
          </w:tcPr>
          <w:p w14:paraId="0D9B33EE"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311</w:t>
            </w:r>
          </w:p>
        </w:tc>
        <w:tc>
          <w:tcPr>
            <w:tcW w:w="528" w:type="dxa"/>
            <w:tcBorders>
              <w:top w:val="single" w:sz="12" w:space="0" w:color="auto"/>
            </w:tcBorders>
            <w:shd w:val="clear" w:color="auto" w:fill="auto"/>
            <w:vAlign w:val="bottom"/>
            <w:hideMark/>
          </w:tcPr>
          <w:p w14:paraId="1623E6F6"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348</w:t>
            </w:r>
          </w:p>
        </w:tc>
        <w:tc>
          <w:tcPr>
            <w:tcW w:w="529" w:type="dxa"/>
            <w:tcBorders>
              <w:top w:val="single" w:sz="12" w:space="0" w:color="auto"/>
            </w:tcBorders>
            <w:shd w:val="clear" w:color="auto" w:fill="auto"/>
            <w:vAlign w:val="bottom"/>
            <w:hideMark/>
          </w:tcPr>
          <w:p w14:paraId="7A60395D"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355</w:t>
            </w:r>
          </w:p>
        </w:tc>
      </w:tr>
      <w:tr w:rsidR="004E58C9" w:rsidRPr="00684CF8" w14:paraId="540B9A67" w14:textId="77777777" w:rsidTr="004E58C9">
        <w:tc>
          <w:tcPr>
            <w:tcW w:w="1560" w:type="dxa"/>
            <w:tcBorders>
              <w:bottom w:val="single" w:sz="4" w:space="0" w:color="auto"/>
            </w:tcBorders>
            <w:shd w:val="clear" w:color="auto" w:fill="auto"/>
            <w:hideMark/>
          </w:tcPr>
          <w:p w14:paraId="1A98A9C4" w14:textId="77777777" w:rsidR="004E58C9" w:rsidRPr="00684CF8" w:rsidRDefault="004E58C9" w:rsidP="004E58C9">
            <w:pPr>
              <w:suppressAutoHyphens w:val="0"/>
              <w:spacing w:before="40" w:after="40" w:line="220" w:lineRule="exact"/>
              <w:rPr>
                <w:rFonts w:cs="Times New Roman"/>
                <w:sz w:val="18"/>
              </w:rPr>
            </w:pPr>
            <w:r w:rsidRPr="00684CF8">
              <w:rPr>
                <w:rFonts w:cs="Times New Roman"/>
                <w:sz w:val="18"/>
              </w:rPr>
              <w:t xml:space="preserve">Свершившиеся </w:t>
            </w:r>
            <w:r w:rsidRPr="00684CF8">
              <w:rPr>
                <w:rFonts w:cs="Times New Roman"/>
                <w:sz w:val="18"/>
              </w:rPr>
              <w:br/>
              <w:t>действия</w:t>
            </w:r>
          </w:p>
        </w:tc>
        <w:tc>
          <w:tcPr>
            <w:tcW w:w="528" w:type="dxa"/>
            <w:tcBorders>
              <w:bottom w:val="single" w:sz="4" w:space="0" w:color="auto"/>
            </w:tcBorders>
            <w:shd w:val="clear" w:color="auto" w:fill="auto"/>
            <w:vAlign w:val="bottom"/>
            <w:hideMark/>
          </w:tcPr>
          <w:p w14:paraId="6DB57D99"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132</w:t>
            </w:r>
          </w:p>
        </w:tc>
        <w:tc>
          <w:tcPr>
            <w:tcW w:w="528" w:type="dxa"/>
            <w:tcBorders>
              <w:bottom w:val="single" w:sz="4" w:space="0" w:color="auto"/>
            </w:tcBorders>
            <w:shd w:val="clear" w:color="auto" w:fill="auto"/>
            <w:vAlign w:val="bottom"/>
            <w:hideMark/>
          </w:tcPr>
          <w:p w14:paraId="66A035AA"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114</w:t>
            </w:r>
          </w:p>
        </w:tc>
        <w:tc>
          <w:tcPr>
            <w:tcW w:w="528" w:type="dxa"/>
            <w:tcBorders>
              <w:bottom w:val="single" w:sz="4" w:space="0" w:color="auto"/>
            </w:tcBorders>
            <w:shd w:val="clear" w:color="auto" w:fill="auto"/>
            <w:vAlign w:val="bottom"/>
            <w:hideMark/>
          </w:tcPr>
          <w:p w14:paraId="2B37A7EE"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110</w:t>
            </w:r>
          </w:p>
        </w:tc>
        <w:tc>
          <w:tcPr>
            <w:tcW w:w="528" w:type="dxa"/>
            <w:tcBorders>
              <w:bottom w:val="single" w:sz="4" w:space="0" w:color="auto"/>
            </w:tcBorders>
            <w:shd w:val="clear" w:color="auto" w:fill="auto"/>
            <w:vAlign w:val="bottom"/>
            <w:hideMark/>
          </w:tcPr>
          <w:p w14:paraId="113221E4"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114</w:t>
            </w:r>
          </w:p>
        </w:tc>
        <w:tc>
          <w:tcPr>
            <w:tcW w:w="528" w:type="dxa"/>
            <w:tcBorders>
              <w:bottom w:val="single" w:sz="4" w:space="0" w:color="auto"/>
            </w:tcBorders>
            <w:shd w:val="clear" w:color="auto" w:fill="auto"/>
            <w:vAlign w:val="bottom"/>
            <w:hideMark/>
          </w:tcPr>
          <w:p w14:paraId="4B4AE5CB"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89</w:t>
            </w:r>
          </w:p>
        </w:tc>
        <w:tc>
          <w:tcPr>
            <w:tcW w:w="529" w:type="dxa"/>
            <w:tcBorders>
              <w:bottom w:val="single" w:sz="4" w:space="0" w:color="auto"/>
            </w:tcBorders>
            <w:shd w:val="clear" w:color="auto" w:fill="auto"/>
            <w:vAlign w:val="bottom"/>
            <w:hideMark/>
          </w:tcPr>
          <w:p w14:paraId="135E7EE8"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95</w:t>
            </w:r>
          </w:p>
        </w:tc>
        <w:tc>
          <w:tcPr>
            <w:tcW w:w="528" w:type="dxa"/>
            <w:tcBorders>
              <w:bottom w:val="single" w:sz="4" w:space="0" w:color="auto"/>
            </w:tcBorders>
            <w:shd w:val="clear" w:color="auto" w:fill="auto"/>
            <w:vAlign w:val="bottom"/>
            <w:hideMark/>
          </w:tcPr>
          <w:p w14:paraId="2B373BCF"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101</w:t>
            </w:r>
          </w:p>
        </w:tc>
        <w:tc>
          <w:tcPr>
            <w:tcW w:w="528" w:type="dxa"/>
            <w:tcBorders>
              <w:bottom w:val="single" w:sz="4" w:space="0" w:color="auto"/>
            </w:tcBorders>
            <w:shd w:val="clear" w:color="auto" w:fill="auto"/>
            <w:vAlign w:val="bottom"/>
            <w:hideMark/>
          </w:tcPr>
          <w:p w14:paraId="00FE5084"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96</w:t>
            </w:r>
          </w:p>
        </w:tc>
        <w:tc>
          <w:tcPr>
            <w:tcW w:w="528" w:type="dxa"/>
            <w:tcBorders>
              <w:bottom w:val="single" w:sz="4" w:space="0" w:color="auto"/>
            </w:tcBorders>
            <w:shd w:val="clear" w:color="auto" w:fill="auto"/>
            <w:vAlign w:val="bottom"/>
            <w:hideMark/>
          </w:tcPr>
          <w:p w14:paraId="3763830A"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78</w:t>
            </w:r>
          </w:p>
        </w:tc>
        <w:tc>
          <w:tcPr>
            <w:tcW w:w="528" w:type="dxa"/>
            <w:tcBorders>
              <w:bottom w:val="single" w:sz="4" w:space="0" w:color="auto"/>
            </w:tcBorders>
            <w:shd w:val="clear" w:color="auto" w:fill="auto"/>
            <w:vAlign w:val="bottom"/>
            <w:hideMark/>
          </w:tcPr>
          <w:p w14:paraId="7FA6DB1D"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73</w:t>
            </w:r>
          </w:p>
        </w:tc>
        <w:tc>
          <w:tcPr>
            <w:tcW w:w="529" w:type="dxa"/>
            <w:tcBorders>
              <w:bottom w:val="single" w:sz="4" w:space="0" w:color="auto"/>
            </w:tcBorders>
            <w:shd w:val="clear" w:color="auto" w:fill="auto"/>
            <w:vAlign w:val="bottom"/>
            <w:hideMark/>
          </w:tcPr>
          <w:p w14:paraId="3F30F3F3" w14:textId="77777777" w:rsidR="004E58C9" w:rsidRPr="00684CF8" w:rsidRDefault="004E58C9" w:rsidP="004E58C9">
            <w:pPr>
              <w:suppressAutoHyphens w:val="0"/>
              <w:spacing w:before="40" w:after="40" w:line="220" w:lineRule="exact"/>
              <w:jc w:val="right"/>
              <w:rPr>
                <w:rFonts w:cs="Times New Roman"/>
                <w:sz w:val="18"/>
              </w:rPr>
            </w:pPr>
            <w:r w:rsidRPr="00684CF8">
              <w:rPr>
                <w:rFonts w:cs="Times New Roman"/>
                <w:sz w:val="18"/>
              </w:rPr>
              <w:t>85</w:t>
            </w:r>
          </w:p>
        </w:tc>
      </w:tr>
      <w:tr w:rsidR="004E58C9" w:rsidRPr="00684CF8" w14:paraId="46E47209" w14:textId="77777777" w:rsidTr="004E58C9">
        <w:tc>
          <w:tcPr>
            <w:tcW w:w="1560" w:type="dxa"/>
            <w:tcBorders>
              <w:top w:val="single" w:sz="4" w:space="0" w:color="auto"/>
              <w:bottom w:val="single" w:sz="12" w:space="0" w:color="auto"/>
            </w:tcBorders>
            <w:shd w:val="clear" w:color="auto" w:fill="auto"/>
            <w:hideMark/>
          </w:tcPr>
          <w:p w14:paraId="5C2F3530" w14:textId="77777777" w:rsidR="004E58C9" w:rsidRPr="00684CF8" w:rsidRDefault="004E58C9" w:rsidP="004E58C9">
            <w:pPr>
              <w:suppressAutoHyphens w:val="0"/>
              <w:spacing w:before="80" w:after="80" w:line="220" w:lineRule="exact"/>
              <w:ind w:firstLine="143"/>
              <w:rPr>
                <w:rFonts w:cs="Times New Roman"/>
                <w:b/>
                <w:sz w:val="18"/>
              </w:rPr>
            </w:pPr>
            <w:r w:rsidRPr="00684CF8">
              <w:rPr>
                <w:rFonts w:cs="Times New Roman"/>
                <w:b/>
                <w:bCs/>
                <w:sz w:val="18"/>
              </w:rPr>
              <w:t>Итого</w:t>
            </w:r>
          </w:p>
        </w:tc>
        <w:tc>
          <w:tcPr>
            <w:tcW w:w="528" w:type="dxa"/>
            <w:tcBorders>
              <w:top w:val="single" w:sz="4" w:space="0" w:color="auto"/>
              <w:bottom w:val="single" w:sz="12" w:space="0" w:color="auto"/>
            </w:tcBorders>
            <w:shd w:val="clear" w:color="auto" w:fill="auto"/>
            <w:vAlign w:val="bottom"/>
            <w:hideMark/>
          </w:tcPr>
          <w:p w14:paraId="1A184F20"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495</w:t>
            </w:r>
          </w:p>
        </w:tc>
        <w:tc>
          <w:tcPr>
            <w:tcW w:w="528" w:type="dxa"/>
            <w:tcBorders>
              <w:top w:val="single" w:sz="4" w:space="0" w:color="auto"/>
              <w:bottom w:val="single" w:sz="12" w:space="0" w:color="auto"/>
            </w:tcBorders>
            <w:shd w:val="clear" w:color="auto" w:fill="auto"/>
            <w:vAlign w:val="bottom"/>
            <w:hideMark/>
          </w:tcPr>
          <w:p w14:paraId="31A04C8D"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480</w:t>
            </w:r>
          </w:p>
        </w:tc>
        <w:tc>
          <w:tcPr>
            <w:tcW w:w="528" w:type="dxa"/>
            <w:tcBorders>
              <w:top w:val="single" w:sz="4" w:space="0" w:color="auto"/>
              <w:bottom w:val="single" w:sz="12" w:space="0" w:color="auto"/>
            </w:tcBorders>
            <w:shd w:val="clear" w:color="auto" w:fill="auto"/>
            <w:vAlign w:val="bottom"/>
            <w:hideMark/>
          </w:tcPr>
          <w:p w14:paraId="6DA59376"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418</w:t>
            </w:r>
          </w:p>
        </w:tc>
        <w:tc>
          <w:tcPr>
            <w:tcW w:w="528" w:type="dxa"/>
            <w:tcBorders>
              <w:top w:val="single" w:sz="4" w:space="0" w:color="auto"/>
              <w:bottom w:val="single" w:sz="12" w:space="0" w:color="auto"/>
            </w:tcBorders>
            <w:shd w:val="clear" w:color="auto" w:fill="auto"/>
            <w:vAlign w:val="bottom"/>
            <w:hideMark/>
          </w:tcPr>
          <w:p w14:paraId="041718B2"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420</w:t>
            </w:r>
          </w:p>
        </w:tc>
        <w:tc>
          <w:tcPr>
            <w:tcW w:w="528" w:type="dxa"/>
            <w:tcBorders>
              <w:top w:val="single" w:sz="4" w:space="0" w:color="auto"/>
              <w:bottom w:val="single" w:sz="12" w:space="0" w:color="auto"/>
            </w:tcBorders>
            <w:shd w:val="clear" w:color="auto" w:fill="auto"/>
            <w:vAlign w:val="bottom"/>
            <w:hideMark/>
          </w:tcPr>
          <w:p w14:paraId="051B1DD7"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439</w:t>
            </w:r>
          </w:p>
        </w:tc>
        <w:tc>
          <w:tcPr>
            <w:tcW w:w="529" w:type="dxa"/>
            <w:tcBorders>
              <w:top w:val="single" w:sz="4" w:space="0" w:color="auto"/>
              <w:bottom w:val="single" w:sz="12" w:space="0" w:color="auto"/>
            </w:tcBorders>
            <w:shd w:val="clear" w:color="auto" w:fill="auto"/>
            <w:vAlign w:val="bottom"/>
            <w:hideMark/>
          </w:tcPr>
          <w:p w14:paraId="7C5464EB"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359</w:t>
            </w:r>
          </w:p>
        </w:tc>
        <w:tc>
          <w:tcPr>
            <w:tcW w:w="528" w:type="dxa"/>
            <w:tcBorders>
              <w:top w:val="single" w:sz="4" w:space="0" w:color="auto"/>
              <w:bottom w:val="single" w:sz="12" w:space="0" w:color="auto"/>
            </w:tcBorders>
            <w:shd w:val="clear" w:color="auto" w:fill="auto"/>
            <w:vAlign w:val="bottom"/>
            <w:hideMark/>
          </w:tcPr>
          <w:p w14:paraId="4CB084D4"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428</w:t>
            </w:r>
          </w:p>
        </w:tc>
        <w:tc>
          <w:tcPr>
            <w:tcW w:w="528" w:type="dxa"/>
            <w:tcBorders>
              <w:top w:val="single" w:sz="4" w:space="0" w:color="auto"/>
              <w:bottom w:val="single" w:sz="12" w:space="0" w:color="auto"/>
            </w:tcBorders>
            <w:shd w:val="clear" w:color="auto" w:fill="auto"/>
            <w:vAlign w:val="bottom"/>
            <w:hideMark/>
          </w:tcPr>
          <w:p w14:paraId="2AE4A3CA"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395</w:t>
            </w:r>
          </w:p>
        </w:tc>
        <w:tc>
          <w:tcPr>
            <w:tcW w:w="528" w:type="dxa"/>
            <w:tcBorders>
              <w:top w:val="single" w:sz="4" w:space="0" w:color="auto"/>
              <w:bottom w:val="single" w:sz="12" w:space="0" w:color="auto"/>
            </w:tcBorders>
            <w:shd w:val="clear" w:color="auto" w:fill="auto"/>
            <w:vAlign w:val="bottom"/>
            <w:hideMark/>
          </w:tcPr>
          <w:p w14:paraId="206C5001"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389</w:t>
            </w:r>
          </w:p>
        </w:tc>
        <w:tc>
          <w:tcPr>
            <w:tcW w:w="528" w:type="dxa"/>
            <w:tcBorders>
              <w:top w:val="single" w:sz="4" w:space="0" w:color="auto"/>
              <w:bottom w:val="single" w:sz="12" w:space="0" w:color="auto"/>
            </w:tcBorders>
            <w:shd w:val="clear" w:color="auto" w:fill="auto"/>
            <w:vAlign w:val="bottom"/>
            <w:hideMark/>
          </w:tcPr>
          <w:p w14:paraId="7646051C"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421</w:t>
            </w:r>
          </w:p>
        </w:tc>
        <w:tc>
          <w:tcPr>
            <w:tcW w:w="529" w:type="dxa"/>
            <w:tcBorders>
              <w:top w:val="single" w:sz="4" w:space="0" w:color="auto"/>
              <w:bottom w:val="single" w:sz="12" w:space="0" w:color="auto"/>
            </w:tcBorders>
            <w:shd w:val="clear" w:color="auto" w:fill="auto"/>
            <w:vAlign w:val="bottom"/>
            <w:hideMark/>
          </w:tcPr>
          <w:p w14:paraId="773EFFB3" w14:textId="77777777" w:rsidR="004E58C9" w:rsidRPr="00684CF8" w:rsidRDefault="004E58C9" w:rsidP="004E58C9">
            <w:pPr>
              <w:suppressAutoHyphens w:val="0"/>
              <w:spacing w:before="80" w:after="80" w:line="220" w:lineRule="exact"/>
              <w:jc w:val="right"/>
              <w:rPr>
                <w:rFonts w:cs="Times New Roman"/>
                <w:b/>
                <w:sz w:val="18"/>
              </w:rPr>
            </w:pPr>
            <w:r w:rsidRPr="00684CF8">
              <w:rPr>
                <w:rFonts w:cs="Times New Roman"/>
                <w:b/>
                <w:bCs/>
                <w:sz w:val="18"/>
              </w:rPr>
              <w:t>440</w:t>
            </w:r>
          </w:p>
        </w:tc>
      </w:tr>
    </w:tbl>
    <w:p w14:paraId="44F78E6C" w14:textId="77777777" w:rsidR="004E58C9" w:rsidRPr="00684CF8" w:rsidRDefault="004E58C9" w:rsidP="004E58C9">
      <w:pPr>
        <w:pStyle w:val="SingleTxtG"/>
        <w:spacing w:before="120" w:after="240" w:line="220" w:lineRule="exact"/>
        <w:ind w:firstLine="170"/>
        <w:jc w:val="left"/>
        <w:rPr>
          <w:sz w:val="18"/>
          <w:szCs w:val="18"/>
        </w:rPr>
      </w:pPr>
      <w:r w:rsidRPr="00684CF8">
        <w:rPr>
          <w:i/>
          <w:iCs/>
          <w:sz w:val="18"/>
          <w:szCs w:val="18"/>
        </w:rPr>
        <w:t>Источник</w:t>
      </w:r>
      <w:r w:rsidRPr="00684CF8">
        <w:rPr>
          <w:sz w:val="18"/>
          <w:szCs w:val="18"/>
        </w:rPr>
        <w:t>: Статистическое управление Финляндии, статистика правонарушений и мер принуждения.</w:t>
      </w:r>
    </w:p>
    <w:p w14:paraId="681FA631" w14:textId="77777777" w:rsidR="004E58C9" w:rsidRPr="00684CF8" w:rsidRDefault="004E58C9" w:rsidP="004E58C9">
      <w:pPr>
        <w:pStyle w:val="H23G"/>
      </w:pPr>
      <w:bookmarkStart w:id="79" w:name="_Toc32364326"/>
      <w:r w:rsidRPr="00684CF8">
        <w:tab/>
      </w:r>
      <w:r w:rsidRPr="00684CF8">
        <w:tab/>
        <w:t>Насилие в отношении женщин</w:t>
      </w:r>
      <w:bookmarkEnd w:id="79"/>
    </w:p>
    <w:p w14:paraId="2137814A" w14:textId="7F9BFFA7" w:rsidR="004E58C9" w:rsidRPr="00684CF8" w:rsidRDefault="004E58C9" w:rsidP="004E58C9">
      <w:pPr>
        <w:pStyle w:val="SingleTxtG"/>
      </w:pPr>
      <w:r w:rsidRPr="00684CF8">
        <w:t>216.</w:t>
      </w:r>
      <w:r w:rsidRPr="00684CF8">
        <w:tab/>
        <w:t>В 2018 году в полиции было зарегистрировано 9900 жертв бытового насилия/насилия против лиц, находящихся в близких отношениях, что на 1,4</w:t>
      </w:r>
      <w:r w:rsidR="00DF7B7E">
        <w:t> </w:t>
      </w:r>
      <w:r w:rsidRPr="00684CF8">
        <w:t>% больше, чем в предыдущем году. Из числа взрослых жертв насилия в семье и насилия со стороны сексуального партнера 76,5</w:t>
      </w:r>
      <w:r w:rsidR="00DF7B7E">
        <w:t> </w:t>
      </w:r>
      <w:r w:rsidRPr="00684CF8">
        <w:t>% составляют женщины. В общей сложности 77,6</w:t>
      </w:r>
      <w:r w:rsidR="00DF7B7E">
        <w:t> </w:t>
      </w:r>
      <w:r w:rsidRPr="00684CF8">
        <w:t>% подозреваемых составляли мужчины. В общей сложности 37,5</w:t>
      </w:r>
      <w:r w:rsidR="00DF7B7E">
        <w:t> </w:t>
      </w:r>
      <w:r w:rsidRPr="00684CF8">
        <w:t>% случаев бытового насилия и насилия против лиц, находящихся в близких отношениях, представляет собой насилие между состоящими в браке или сожительствующими парами. В случаях насилия между состоящими в браке или сожительствующими парами или бывшими парами жертвой более чем в 80</w:t>
      </w:r>
      <w:r w:rsidR="00DF7B7E">
        <w:t> </w:t>
      </w:r>
      <w:r w:rsidRPr="00684CF8">
        <w:t>% случаев становилась женщина.</w:t>
      </w:r>
    </w:p>
    <w:p w14:paraId="6967C567" w14:textId="3AD17F7C" w:rsidR="004E58C9" w:rsidRPr="00684CF8" w:rsidRDefault="004E58C9" w:rsidP="004E58C9">
      <w:pPr>
        <w:pStyle w:val="SingleTxtG"/>
      </w:pPr>
      <w:r w:rsidRPr="00684CF8">
        <w:t>217.</w:t>
      </w:r>
      <w:r w:rsidRPr="00684CF8">
        <w:tab/>
        <w:t>В период 2009–2018 годов из в общей сложности 60 000 жертв бытового насилия и насилия против лиц, находящихся в близких отношениях, 8200 были определены как жертвы по меньшей мере дважды в разные годы и 2000 были определены как жертвы по меньшей мере три раза в разные годы. Из общего числа жертв, повторно идентифицированных в течение по меньшей мере двух различных лет, 83</w:t>
      </w:r>
      <w:r w:rsidR="00DF7B7E">
        <w:t> </w:t>
      </w:r>
      <w:r w:rsidRPr="00684CF8">
        <w:t>% составляли женщины. Из числа жертв, повторно идентифицированных по крайней мере в трех (или более) случаях в разные годы, 89</w:t>
      </w:r>
      <w:r w:rsidR="00DF7B7E">
        <w:t> </w:t>
      </w:r>
      <w:r w:rsidRPr="00684CF8">
        <w:t>% составляли женщины.</w:t>
      </w:r>
    </w:p>
    <w:p w14:paraId="4D0CF23C" w14:textId="77777777" w:rsidR="004E58C9" w:rsidRPr="00684CF8" w:rsidRDefault="004E58C9" w:rsidP="004E58C9">
      <w:pPr>
        <w:pStyle w:val="SingleTxtG"/>
      </w:pPr>
      <w:r w:rsidRPr="00684CF8">
        <w:t>218.</w:t>
      </w:r>
      <w:r w:rsidRPr="00684CF8">
        <w:tab/>
        <w:t>Более того, несмотря на то, что количество других видов убийств неуклонно снижается на протяжении последних десятилетий, уровень убийств женщин остается высоким. В 2018 году в общей сложности 16 женщин были убиты своими нынешними/</w:t>
      </w:r>
      <w:r w:rsidRPr="00684CF8">
        <w:br/>
        <w:t>бывшими партнерами. Таким образом, пропорционально численности населения уровень убийств женщин является одним из самых высоких в Европе.</w:t>
      </w:r>
    </w:p>
    <w:p w14:paraId="04B5BE45" w14:textId="77777777" w:rsidR="004E58C9" w:rsidRPr="00684CF8" w:rsidRDefault="004E58C9" w:rsidP="004E58C9">
      <w:pPr>
        <w:pStyle w:val="SingleTxtG"/>
      </w:pPr>
      <w:r w:rsidRPr="00684CF8">
        <w:t>219.</w:t>
      </w:r>
      <w:r w:rsidRPr="00684CF8">
        <w:tab/>
        <w:t>Кроме того, по данным общеевропейского обследования по вопросам насилия в отношении женщин, проведенного Агентством Европейского союза по основным правам в 2015 году, число женщин в Финляндии старше 15 лет, которые сталкивались с насилием со стороны сексуального партнера, выводит страну на второе месте по частоте насилия среди стран ЕС. Из числа женщин, состоящих в близких отношениях, почти одна треть подвергалась насилию со стороны своего нынешнего или бывшего партнера. Чаще всего женщины сталкиваются с насилием в семейных отношениях или на работе.</w:t>
      </w:r>
    </w:p>
    <w:p w14:paraId="4B5101B5" w14:textId="77777777" w:rsidR="004E58C9" w:rsidRPr="00684CF8" w:rsidRDefault="004E58C9" w:rsidP="004E58C9">
      <w:pPr>
        <w:pStyle w:val="SingleTxtG"/>
      </w:pPr>
      <w:r w:rsidRPr="00684CF8">
        <w:t>220.</w:t>
      </w:r>
      <w:r w:rsidRPr="00684CF8">
        <w:tab/>
        <w:t>Финляндия присоединилась к Конвенции Совета Европы о предотвращении и пресечении насилия в отношении женщин и бытового насилия в августе 2015 года. Упомянутый в Конвенции координационный орган — Комитет по борьбе с насилием в отношении женщин и насилием в семье (НАПЕ) — был учрежден Постановлением правительства (1008/2016). Члены Комитета избираются на четырехлетний срок. В состав координационного органа входят представители различных министерств, включая Министерство иностранных дел, Министерство юстиции, Министерство внутренних дел, Министерство социальных дел и здравоохранения, Министерство экономического развития и труда, Министерство образования и культуры и Министерство финансов, а также представители некоторых правительственных и государственных учреждений. Задачи Комитета определены в Постановлении. Они включают, в частности, подготовку национального плана действий по осуществлению Конвенции. Первый план действий на 2018–2021 годы был принят в 2017 году.</w:t>
      </w:r>
    </w:p>
    <w:p w14:paraId="7DBB4FC5" w14:textId="77777777" w:rsidR="004E58C9" w:rsidRPr="00684CF8" w:rsidRDefault="004E58C9" w:rsidP="00DA18FC">
      <w:pPr>
        <w:pStyle w:val="H23G"/>
      </w:pPr>
      <w:bookmarkStart w:id="80" w:name="_Toc32364327"/>
      <w:r w:rsidRPr="00684CF8">
        <w:lastRenderedPageBreak/>
        <w:tab/>
      </w:r>
      <w:r w:rsidRPr="00684CF8">
        <w:tab/>
        <w:t>Сексуальные преступления</w:t>
      </w:r>
      <w:bookmarkEnd w:id="80"/>
    </w:p>
    <w:p w14:paraId="15F042AA" w14:textId="77777777" w:rsidR="004E58C9" w:rsidRPr="00684CF8" w:rsidRDefault="004E58C9" w:rsidP="004E58C9">
      <w:pPr>
        <w:pStyle w:val="SingleTxtG"/>
      </w:pPr>
      <w:r w:rsidRPr="00684CF8">
        <w:t>221.</w:t>
      </w:r>
      <w:r w:rsidRPr="00684CF8">
        <w:tab/>
        <w:t xml:space="preserve">За последние несколько десятилетий законодательство Финляндии о сексуальных преступлениях претерпело значительные изменения. Изнасилование в браке было признано уголовно наказуемым деянием в соответствии с поправкой, принятой в 1994 году. Требование о </w:t>
      </w:r>
      <w:r w:rsidR="00DA18FC" w:rsidRPr="00684CF8">
        <w:t>«</w:t>
      </w:r>
      <w:r w:rsidRPr="00684CF8">
        <w:t>неминуемой опасности</w:t>
      </w:r>
      <w:r w:rsidR="00DA18FC" w:rsidRPr="00684CF8">
        <w:t>»</w:t>
      </w:r>
      <w:r w:rsidRPr="00684CF8">
        <w:t xml:space="preserve"> было исключено из составных элементов преступления изнасилования в 1999 году, и в настоящее время в случаях изнасилования оценивается только та степень, в которой применявшееся насилие было достаточным для того, чтобы сломить волю жертвы. В 2011 году были внесены поправки в подраздел 2 раздела Уголовного кодекса, касающегося изнасилования, с целью усиления защиты, предоставляемой беззащитным жертвам. Новое определение изнасилования было принято в 2014 году, когда понятие легкой формы преступления изнасилования был исключено из закона, а любое принуждение другого лица к половому акту стало наказуемым как изнасилование. Однако этот раздел был сформулирован таким образом, чтобы позволить выносить правонарушителю менее строгое наказание при наличии смягчающих обстоятельств. В 2014 году также была введена уголовная ответственность за сексуальные домогательства. В соответствии с поправкой, принятой в 2019 году, был увеличен максимальный срок наказания, которое может быть назначено за преступления, связанные с сексуальным надругательством над ребенком и сексуальным надругательством над ребенком при отягчающих обстоятельствах. В закон было добавлено такое новое правонарушение, как </w:t>
      </w:r>
      <w:r w:rsidR="00DA18FC" w:rsidRPr="00684CF8">
        <w:t>«</w:t>
      </w:r>
      <w:r w:rsidRPr="00684CF8">
        <w:t>изнасилование ребенка при отягчающих обстоятельствах</w:t>
      </w:r>
      <w:r w:rsidR="00DA18FC" w:rsidRPr="00684CF8">
        <w:t>»</w:t>
      </w:r>
      <w:r w:rsidRPr="00684CF8">
        <w:t>, с тем чтобы охватить действия, которые ранее наказывались как изнасилование при отягчающих обстоятельствах и сексуальное надругательство над ребенком при отягчающих обстоятельствах.</w:t>
      </w:r>
    </w:p>
    <w:p w14:paraId="3D3A1E3E" w14:textId="77777777" w:rsidR="004E58C9" w:rsidRPr="00684CF8" w:rsidRDefault="004E58C9" w:rsidP="004E58C9">
      <w:pPr>
        <w:pStyle w:val="SingleTxtG"/>
      </w:pPr>
      <w:r w:rsidRPr="00684CF8">
        <w:t>222.</w:t>
      </w:r>
      <w:r w:rsidRPr="00684CF8">
        <w:tab/>
        <w:t>Весной 2019 года Министерство юстиции назначило рабочую группу по подготовке реформы положений Уголовного кодекса, касающихся сексуальных преступлений. Реформа направлена на гармонизацию законодательства и его обновление. Рассматриваются такие аспекты, как укрепление фактора согласия в составных элементах преступления изнасилования, а также введение уголовной ответственности за половое сношение с детьми и молодыми людьми как за изнасилование. Рабочая группа также оценит необходимость проведения любой дополнительной реформы положений о сексуальных преступлениях. Доклад рабочей группы должен быть завершен весной 2020 года.</w:t>
      </w:r>
    </w:p>
    <w:p w14:paraId="79A709FC" w14:textId="1214981C" w:rsidR="004E58C9" w:rsidRPr="00684CF8" w:rsidRDefault="004E58C9" w:rsidP="004E58C9">
      <w:pPr>
        <w:pStyle w:val="SingleTxtG"/>
      </w:pPr>
      <w:r w:rsidRPr="00684CF8">
        <w:t>223.</w:t>
      </w:r>
      <w:r w:rsidRPr="00684CF8">
        <w:tab/>
        <w:t>Хотя о большинстве сексуальных преступлений никогда не сообщается в полицию, в 2000-х годах число подозреваемых в изнасилованиях, о которых сообщалось в полицию, возросло. В 2017 году полиция зарегистрировала 1245</w:t>
      </w:r>
      <w:r w:rsidR="00DA18FC" w:rsidRPr="00684CF8">
        <w:t> </w:t>
      </w:r>
      <w:r w:rsidRPr="00684CF8">
        <w:t>сообщений об изнасилованиях, т</w:t>
      </w:r>
      <w:r w:rsidR="008B4107" w:rsidRPr="00684CF8">
        <w:t>. </w:t>
      </w:r>
      <w:r w:rsidRPr="00684CF8">
        <w:t>е</w:t>
      </w:r>
      <w:r w:rsidR="008B4107" w:rsidRPr="00684CF8">
        <w:t>.</w:t>
      </w:r>
      <w:r w:rsidRPr="00684CF8">
        <w:t xml:space="preserve"> за десять лет их число увеличилось примерно на 25</w:t>
      </w:r>
      <w:r w:rsidR="00DF7B7E">
        <w:t> </w:t>
      </w:r>
      <w:r w:rsidRPr="00684CF8">
        <w:t>%. В делах об изнасиловании, переданных в суд, правонарушитель и жертва, как правило, известны друг другу. Лишь около одной шестой из рассмотренных дел касались неизвестного преступника, в то время как в одной трети случаев преступник и жертва были женаты или состояли в близких отношениях. Почти во всех случаях изнасилования, доведенных до сведения полиции, жертвами являются женщины, а</w:t>
      </w:r>
      <w:r w:rsidR="008B4B33">
        <w:t> </w:t>
      </w:r>
      <w:r w:rsidRPr="00684CF8">
        <w:t xml:space="preserve">правонарушителями </w:t>
      </w:r>
      <w:r w:rsidR="00DA18FC" w:rsidRPr="00684CF8">
        <w:t xml:space="preserve">— </w:t>
      </w:r>
      <w:r w:rsidRPr="00684CF8">
        <w:t>мужчины. В 2017 году около половины жертв были моложе 20 лет. Около трети правонарушителей и чуть менее половины жертв в момент совершения преступления находились в состоянии алкогольного опьянения. По</w:t>
      </w:r>
      <w:r w:rsidR="008B4B33">
        <w:t> </w:t>
      </w:r>
      <w:r w:rsidRPr="00684CF8">
        <w:t>оценкам, около четверти правонарушителей были иностранными гражданами. Подозреваемые в совершении изнасилований не отражают системной принадлежности к конкретным группам населения, но в целом являются выходцами из групп с более низким социальным статусом. В 2018 году в полицию поступило 1393</w:t>
      </w:r>
      <w:r w:rsidR="00DA18FC" w:rsidRPr="00684CF8">
        <w:t> </w:t>
      </w:r>
      <w:r w:rsidRPr="00684CF8">
        <w:t>сообщения об изнасилованиях.</w:t>
      </w:r>
    </w:p>
    <w:p w14:paraId="1837041B" w14:textId="77777777" w:rsidR="004E58C9" w:rsidRPr="00684CF8" w:rsidRDefault="004E58C9" w:rsidP="004E58C9">
      <w:pPr>
        <w:pStyle w:val="SingleTxtG"/>
      </w:pPr>
      <w:r w:rsidRPr="00684CF8">
        <w:t>224.</w:t>
      </w:r>
      <w:r w:rsidRPr="00684CF8">
        <w:tab/>
        <w:t xml:space="preserve">За последнее десятилетие значительно возросло число случаев сексуального надругательства над детьми, о которых сообщалось в полицию. Особенно заметный рост числа таких преступлений наблюдался в 2011–2013 годах. В основе этого развития событий лежат, по крайней мере частично, внутрисемейные или другие серийные проявления насилия, совершенные несколькими годами ранее, о которых сообщается только сейчас. Количество зарегистрированных случаев сексуального насилия над детьми отчасти снизилось за несколько лет начиная с 2013 года, но в </w:t>
      </w:r>
      <w:r w:rsidRPr="00684CF8">
        <w:lastRenderedPageBreak/>
        <w:t>2018</w:t>
      </w:r>
      <w:r w:rsidR="00DA18FC" w:rsidRPr="00684CF8">
        <w:t> </w:t>
      </w:r>
      <w:r w:rsidRPr="00684CF8">
        <w:t xml:space="preserve">году снова возросло. Однако статистические данные об этом преступлении свидетельствуют не обязательно об увеличении числа случаев надругательства как явления, а скорее о более жестком контроле, осуществляемом властями, и о повышенном риске выявления, что также подтверждается результатами исследований, проведенных в отношении жертв. Серийные преступления также оказывают значительное влияние на статистику преступности. Финляндия осознает, что Интернет открывает более широкие возможности для сексуального насилия над детьми и подростками, и особенно обеспокоена таким явлением, как </w:t>
      </w:r>
      <w:r w:rsidR="00DA18FC" w:rsidRPr="00684CF8">
        <w:t>«</w:t>
      </w:r>
      <w:r w:rsidRPr="00684CF8">
        <w:t>груминг</w:t>
      </w:r>
      <w:r w:rsidR="00DA18FC" w:rsidRPr="00684CF8">
        <w:t>»</w:t>
      </w:r>
      <w:r w:rsidRPr="00684CF8">
        <w:t>.</w:t>
      </w:r>
    </w:p>
    <w:p w14:paraId="11A54785" w14:textId="77777777" w:rsidR="004E58C9" w:rsidRPr="00684CF8" w:rsidRDefault="004E58C9" w:rsidP="00DA18FC">
      <w:pPr>
        <w:pStyle w:val="H23G"/>
      </w:pPr>
      <w:bookmarkStart w:id="81" w:name="_Toc32364328"/>
      <w:r w:rsidRPr="00684CF8">
        <w:tab/>
      </w:r>
      <w:r w:rsidRPr="00684CF8">
        <w:tab/>
        <w:t>Преступления на почве ненависти</w:t>
      </w:r>
      <w:bookmarkEnd w:id="81"/>
    </w:p>
    <w:p w14:paraId="0CB56647" w14:textId="77777777" w:rsidR="004E58C9" w:rsidRPr="00684CF8" w:rsidRDefault="004E58C9" w:rsidP="004E58C9">
      <w:pPr>
        <w:pStyle w:val="SingleTxtG"/>
      </w:pPr>
      <w:r w:rsidRPr="00684CF8">
        <w:t>225.</w:t>
      </w:r>
      <w:r w:rsidRPr="00684CF8">
        <w:tab/>
        <w:t>Преступления на почве ненависти, о которых сообщается в полицию, отслеживаются в Финляндии уже более 20 лет. Статистические данные о преступлениях на почве ненависти составляются по всей стране на основе сообщений о таких преступлениях, поступающих в полицию.</w:t>
      </w:r>
    </w:p>
    <w:p w14:paraId="262164AC" w14:textId="3FE10408" w:rsidR="004E58C9" w:rsidRPr="00684CF8" w:rsidRDefault="004E58C9" w:rsidP="004E58C9">
      <w:pPr>
        <w:pStyle w:val="SingleTxtG"/>
      </w:pPr>
      <w:r w:rsidRPr="00684CF8">
        <w:t>226.</w:t>
      </w:r>
      <w:r w:rsidRPr="00684CF8">
        <w:tab/>
        <w:t>В последние годы полиция активизировала свою деятельность по выявлению и предотвращению преступлений на почве ненависти. В соответствии с руководящими принципами Национального управления полиции Финляндии при получении сообщения о преступлении полиция должна использовать классификацию преступлений на почве ненависти, когда есть основания подозревать, что в данном случае речь идет об отдельных аспектах преступления на почве ненависти. В 2017 году полиция использовала эту классификацию в отношении 39</w:t>
      </w:r>
      <w:r w:rsidR="00DF7B7E">
        <w:t> </w:t>
      </w:r>
      <w:r w:rsidRPr="00684CF8">
        <w:t>% всех преступлений на почве ненависти, о которых сообщалось в полицию, тогда как в 2016 году этот показатель составлял 23</w:t>
      </w:r>
      <w:r w:rsidR="00DF7B7E">
        <w:t> </w:t>
      </w:r>
      <w:r w:rsidRPr="00684CF8">
        <w:t>%. Одной из основных причин увеличения показателя классификации преступлений на почве ненависти является повышение уровня специальной подготовки сотрудников полиции по вопросам преступлений на почве ненависти.</w:t>
      </w:r>
    </w:p>
    <w:p w14:paraId="6A1FDAC5" w14:textId="77777777" w:rsidR="004E58C9" w:rsidRPr="00684CF8" w:rsidRDefault="004E58C9" w:rsidP="004E58C9">
      <w:pPr>
        <w:pStyle w:val="SingleTxtG"/>
      </w:pPr>
      <w:r w:rsidRPr="00684CF8">
        <w:t>227.</w:t>
      </w:r>
      <w:r w:rsidRPr="00684CF8">
        <w:tab/>
        <w:t>В начале 2017 года при Полицейском управлении Хельсинки была создана национальная группа по расследованию человеконенавистнических высказываний, которой было поручено расследовать наказуемые человеконенавистнические высказывания в Интернете. Рост числа сообщений о преступлениях на почве ненависти в 2017 году действительно в значительной степени объясняется сообщениями, сделанными этой группой, в которых речь шла о преступлениях, связанных с разжиганием межэтнической розни, диффамацией или угрозами.</w:t>
      </w:r>
    </w:p>
    <w:p w14:paraId="6318B1EC" w14:textId="77777777" w:rsidR="004E58C9" w:rsidRPr="00684CF8" w:rsidRDefault="004E58C9" w:rsidP="00DA18FC">
      <w:pPr>
        <w:pStyle w:val="H23G"/>
      </w:pPr>
      <w:bookmarkStart w:id="82" w:name="_Toc32364329"/>
      <w:r w:rsidRPr="00684CF8">
        <w:tab/>
      </w:r>
      <w:r w:rsidRPr="00684CF8">
        <w:tab/>
        <w:t>Наказания в виде лишения свободы</w:t>
      </w:r>
      <w:bookmarkEnd w:id="82"/>
    </w:p>
    <w:p w14:paraId="456E9C53" w14:textId="79FB6963" w:rsidR="004E58C9" w:rsidRPr="00684CF8" w:rsidRDefault="004E58C9" w:rsidP="004E58C9">
      <w:pPr>
        <w:pStyle w:val="SingleTxtG"/>
      </w:pPr>
      <w:r w:rsidRPr="00684CF8">
        <w:t>228.</w:t>
      </w:r>
      <w:r w:rsidRPr="00684CF8">
        <w:tab/>
        <w:t>В 2018 году было вынесено 20 008 приговоров, предусматривающих лишение свободы, что на 4,4</w:t>
      </w:r>
      <w:r w:rsidR="00DF7B7E">
        <w:t> </w:t>
      </w:r>
      <w:r w:rsidRPr="00684CF8">
        <w:t xml:space="preserve">% больше, чем в предыдущем году. Сокращение числа приговоров, предусматривающих наказание в виде лишения свободы, которое наблюдалось с </w:t>
      </w:r>
      <w:r w:rsidR="00DA18FC" w:rsidRPr="00684CF8">
        <w:br/>
      </w:r>
      <w:r w:rsidRPr="00684CF8">
        <w:t>2004 года, прекратилось в 2018 году. Из общего числа приговоров, предусматривающих лишение свободы, наказания в виде реального лишения свободы составляют 28</w:t>
      </w:r>
      <w:r w:rsidR="00DF7B7E">
        <w:t> </w:t>
      </w:r>
      <w:r w:rsidRPr="00684CF8">
        <w:t xml:space="preserve">% и условные наказания </w:t>
      </w:r>
      <w:r w:rsidR="00DA18FC" w:rsidRPr="00684CF8">
        <w:t>—</w:t>
      </w:r>
      <w:r w:rsidRPr="00684CF8">
        <w:t xml:space="preserve"> 64</w:t>
      </w:r>
      <w:r w:rsidR="00DF7B7E">
        <w:t> </w:t>
      </w:r>
      <w:r w:rsidRPr="00684CF8">
        <w:t>%.</w:t>
      </w:r>
    </w:p>
    <w:p w14:paraId="3F700414" w14:textId="77777777" w:rsidR="004E58C9" w:rsidRPr="00684CF8" w:rsidRDefault="004E58C9" w:rsidP="00DA18FC">
      <w:pPr>
        <w:pStyle w:val="1"/>
        <w:spacing w:before="240" w:after="120"/>
        <w:ind w:left="1134" w:hanging="1134"/>
        <w:jc w:val="left"/>
      </w:pPr>
      <w:r w:rsidRPr="00684CF8">
        <w:rPr>
          <w:b w:val="0"/>
          <w:bCs w:val="0"/>
        </w:rPr>
        <w:tab/>
      </w:r>
      <w:r w:rsidRPr="00684CF8">
        <w:rPr>
          <w:b w:val="0"/>
          <w:bCs w:val="0"/>
        </w:rPr>
        <w:tab/>
        <w:t>Таблица 17</w:t>
      </w:r>
      <w:r w:rsidR="00DA18FC" w:rsidRPr="00684CF8">
        <w:rPr>
          <w:b w:val="0"/>
          <w:bCs w:val="0"/>
        </w:rPr>
        <w:br/>
      </w:r>
      <w:r w:rsidRPr="00684CF8">
        <w:t xml:space="preserve">Средняя продолжительность содержания под стражей и наказания в виде </w:t>
      </w:r>
      <w:r w:rsidR="00DA18FC" w:rsidRPr="00684CF8">
        <w:br/>
      </w:r>
      <w:r w:rsidRPr="00684CF8">
        <w:t>лишения свободы</w:t>
      </w:r>
    </w:p>
    <w:tbl>
      <w:tblPr>
        <w:tblW w:w="7370" w:type="dxa"/>
        <w:tblInd w:w="1134" w:type="dxa"/>
        <w:tblLayout w:type="fixed"/>
        <w:tblCellMar>
          <w:left w:w="0" w:type="dxa"/>
          <w:right w:w="0" w:type="dxa"/>
        </w:tblCellMar>
        <w:tblLook w:val="04A0" w:firstRow="1" w:lastRow="0" w:firstColumn="1" w:lastColumn="0" w:noHBand="0" w:noVBand="1"/>
      </w:tblPr>
      <w:tblGrid>
        <w:gridCol w:w="851"/>
        <w:gridCol w:w="3118"/>
        <w:gridCol w:w="3401"/>
      </w:tblGrid>
      <w:tr w:rsidR="00DA18FC" w:rsidRPr="00684CF8" w14:paraId="63937E6F" w14:textId="77777777" w:rsidTr="00DA18FC">
        <w:trPr>
          <w:tblHeader/>
        </w:trPr>
        <w:tc>
          <w:tcPr>
            <w:tcW w:w="851" w:type="dxa"/>
            <w:tcBorders>
              <w:top w:val="single" w:sz="4" w:space="0" w:color="auto"/>
              <w:bottom w:val="single" w:sz="12" w:space="0" w:color="auto"/>
            </w:tcBorders>
            <w:shd w:val="clear" w:color="auto" w:fill="auto"/>
            <w:vAlign w:val="bottom"/>
          </w:tcPr>
          <w:p w14:paraId="47594AA2" w14:textId="77777777" w:rsidR="00DA18FC" w:rsidRPr="00684CF8" w:rsidRDefault="00DA18FC" w:rsidP="00DA18FC">
            <w:pPr>
              <w:suppressAutoHyphens w:val="0"/>
              <w:spacing w:before="80" w:after="80" w:line="200" w:lineRule="exact"/>
              <w:rPr>
                <w:rFonts w:cs="Times New Roman"/>
                <w:bCs/>
                <w:i/>
                <w:sz w:val="16"/>
              </w:rPr>
            </w:pPr>
            <w:r w:rsidRPr="00684CF8">
              <w:rPr>
                <w:rFonts w:cs="Times New Roman"/>
                <w:i/>
                <w:sz w:val="16"/>
              </w:rPr>
              <w:t>Год</w:t>
            </w:r>
          </w:p>
        </w:tc>
        <w:tc>
          <w:tcPr>
            <w:tcW w:w="3118" w:type="dxa"/>
            <w:tcBorders>
              <w:top w:val="single" w:sz="4" w:space="0" w:color="auto"/>
              <w:bottom w:val="single" w:sz="12" w:space="0" w:color="auto"/>
            </w:tcBorders>
            <w:shd w:val="clear" w:color="auto" w:fill="auto"/>
            <w:vAlign w:val="bottom"/>
          </w:tcPr>
          <w:p w14:paraId="4790FAC0" w14:textId="77777777" w:rsidR="00DA18FC" w:rsidRPr="00684CF8" w:rsidRDefault="00DA18FC" w:rsidP="00DA18FC">
            <w:pPr>
              <w:suppressAutoHyphens w:val="0"/>
              <w:spacing w:before="80" w:after="80" w:line="200" w:lineRule="exact"/>
              <w:jc w:val="right"/>
              <w:rPr>
                <w:rFonts w:cs="Times New Roman"/>
                <w:bCs/>
                <w:i/>
                <w:sz w:val="16"/>
              </w:rPr>
            </w:pPr>
            <w:r w:rsidRPr="00684CF8">
              <w:rPr>
                <w:rFonts w:cs="Times New Roman"/>
                <w:i/>
                <w:sz w:val="16"/>
              </w:rPr>
              <w:t>Средняя продолжительность содержания под стражей (месяцы)</w:t>
            </w:r>
          </w:p>
        </w:tc>
        <w:tc>
          <w:tcPr>
            <w:tcW w:w="3401" w:type="dxa"/>
            <w:tcBorders>
              <w:top w:val="single" w:sz="4" w:space="0" w:color="auto"/>
              <w:bottom w:val="single" w:sz="12" w:space="0" w:color="auto"/>
            </w:tcBorders>
            <w:shd w:val="clear" w:color="auto" w:fill="auto"/>
            <w:vAlign w:val="bottom"/>
          </w:tcPr>
          <w:p w14:paraId="1FF05FAF" w14:textId="77777777" w:rsidR="00DA18FC" w:rsidRPr="00684CF8" w:rsidRDefault="00DA18FC" w:rsidP="00DA18FC">
            <w:pPr>
              <w:suppressAutoHyphens w:val="0"/>
              <w:spacing w:before="80" w:after="80" w:line="200" w:lineRule="exact"/>
              <w:jc w:val="right"/>
              <w:rPr>
                <w:rFonts w:cs="Times New Roman"/>
                <w:bCs/>
                <w:i/>
                <w:sz w:val="16"/>
              </w:rPr>
            </w:pPr>
            <w:r w:rsidRPr="00684CF8">
              <w:rPr>
                <w:rFonts w:cs="Times New Roman"/>
                <w:i/>
                <w:sz w:val="16"/>
              </w:rPr>
              <w:t xml:space="preserve">Средняя продолжительность </w:t>
            </w:r>
            <w:r w:rsidRPr="00684CF8">
              <w:rPr>
                <w:rFonts w:cs="Times New Roman"/>
                <w:i/>
                <w:sz w:val="16"/>
              </w:rPr>
              <w:br/>
              <w:t>наказания в виде лишения свободы, отбытого освобожденными заключенными (месяцы)</w:t>
            </w:r>
          </w:p>
        </w:tc>
      </w:tr>
      <w:tr w:rsidR="00DA18FC" w:rsidRPr="00684CF8" w14:paraId="76898B28" w14:textId="77777777" w:rsidTr="00DA18FC">
        <w:tc>
          <w:tcPr>
            <w:tcW w:w="851" w:type="dxa"/>
            <w:tcBorders>
              <w:top w:val="single" w:sz="12" w:space="0" w:color="auto"/>
            </w:tcBorders>
            <w:shd w:val="clear" w:color="auto" w:fill="auto"/>
          </w:tcPr>
          <w:p w14:paraId="2C665B91"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t>2009</w:t>
            </w:r>
          </w:p>
        </w:tc>
        <w:tc>
          <w:tcPr>
            <w:tcW w:w="3118" w:type="dxa"/>
            <w:tcBorders>
              <w:top w:val="single" w:sz="12" w:space="0" w:color="auto"/>
            </w:tcBorders>
            <w:shd w:val="clear" w:color="auto" w:fill="auto"/>
            <w:vAlign w:val="bottom"/>
          </w:tcPr>
          <w:p w14:paraId="6DD38B16"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3,5</w:t>
            </w:r>
          </w:p>
        </w:tc>
        <w:tc>
          <w:tcPr>
            <w:tcW w:w="3401" w:type="dxa"/>
            <w:tcBorders>
              <w:top w:val="single" w:sz="12" w:space="0" w:color="auto"/>
            </w:tcBorders>
            <w:shd w:val="clear" w:color="auto" w:fill="auto"/>
            <w:vAlign w:val="bottom"/>
          </w:tcPr>
          <w:p w14:paraId="678BBAC8"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8,7</w:t>
            </w:r>
          </w:p>
        </w:tc>
      </w:tr>
      <w:tr w:rsidR="00DA18FC" w:rsidRPr="00684CF8" w14:paraId="1E0D6191" w14:textId="77777777" w:rsidTr="00DA18FC">
        <w:tc>
          <w:tcPr>
            <w:tcW w:w="851" w:type="dxa"/>
            <w:shd w:val="clear" w:color="auto" w:fill="auto"/>
          </w:tcPr>
          <w:p w14:paraId="15AC6B14"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t>2010</w:t>
            </w:r>
          </w:p>
        </w:tc>
        <w:tc>
          <w:tcPr>
            <w:tcW w:w="3118" w:type="dxa"/>
            <w:shd w:val="clear" w:color="auto" w:fill="auto"/>
            <w:vAlign w:val="bottom"/>
          </w:tcPr>
          <w:p w14:paraId="1294A753"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3,6</w:t>
            </w:r>
          </w:p>
        </w:tc>
        <w:tc>
          <w:tcPr>
            <w:tcW w:w="3401" w:type="dxa"/>
            <w:shd w:val="clear" w:color="auto" w:fill="auto"/>
            <w:vAlign w:val="bottom"/>
          </w:tcPr>
          <w:p w14:paraId="6BE3D272"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8,7</w:t>
            </w:r>
          </w:p>
        </w:tc>
      </w:tr>
      <w:tr w:rsidR="00DA18FC" w:rsidRPr="00684CF8" w14:paraId="4D1A377D" w14:textId="77777777" w:rsidTr="00DA18FC">
        <w:tc>
          <w:tcPr>
            <w:tcW w:w="851" w:type="dxa"/>
            <w:shd w:val="clear" w:color="auto" w:fill="auto"/>
          </w:tcPr>
          <w:p w14:paraId="0264BEC9"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t>2011</w:t>
            </w:r>
          </w:p>
        </w:tc>
        <w:tc>
          <w:tcPr>
            <w:tcW w:w="3118" w:type="dxa"/>
            <w:shd w:val="clear" w:color="auto" w:fill="auto"/>
            <w:vAlign w:val="bottom"/>
          </w:tcPr>
          <w:p w14:paraId="6DF7E6F4"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3,5</w:t>
            </w:r>
          </w:p>
        </w:tc>
        <w:tc>
          <w:tcPr>
            <w:tcW w:w="3401" w:type="dxa"/>
            <w:shd w:val="clear" w:color="auto" w:fill="auto"/>
            <w:vAlign w:val="bottom"/>
          </w:tcPr>
          <w:p w14:paraId="5A6418DA"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9,0</w:t>
            </w:r>
          </w:p>
        </w:tc>
      </w:tr>
      <w:tr w:rsidR="00DA18FC" w:rsidRPr="00684CF8" w14:paraId="347097BE" w14:textId="77777777" w:rsidTr="00DA18FC">
        <w:tc>
          <w:tcPr>
            <w:tcW w:w="851" w:type="dxa"/>
            <w:shd w:val="clear" w:color="auto" w:fill="auto"/>
          </w:tcPr>
          <w:p w14:paraId="01CF9D84" w14:textId="77777777" w:rsidR="00DA18FC" w:rsidRPr="00684CF8" w:rsidRDefault="00DA18FC" w:rsidP="00DA18FC">
            <w:pPr>
              <w:suppressAutoHyphens w:val="0"/>
              <w:spacing w:before="40" w:after="40" w:line="220" w:lineRule="exact"/>
              <w:rPr>
                <w:rFonts w:cs="Times New Roman"/>
                <w:sz w:val="18"/>
              </w:rPr>
            </w:pPr>
            <w:bookmarkStart w:id="83" w:name="_Hlk14164412"/>
            <w:r w:rsidRPr="00684CF8">
              <w:rPr>
                <w:rFonts w:cs="Times New Roman"/>
                <w:sz w:val="18"/>
              </w:rPr>
              <w:t>2012</w:t>
            </w:r>
          </w:p>
        </w:tc>
        <w:tc>
          <w:tcPr>
            <w:tcW w:w="3118" w:type="dxa"/>
            <w:shd w:val="clear" w:color="auto" w:fill="auto"/>
            <w:vAlign w:val="bottom"/>
          </w:tcPr>
          <w:p w14:paraId="14DA8209"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3,4</w:t>
            </w:r>
          </w:p>
        </w:tc>
        <w:tc>
          <w:tcPr>
            <w:tcW w:w="3401" w:type="dxa"/>
            <w:shd w:val="clear" w:color="auto" w:fill="auto"/>
            <w:vAlign w:val="bottom"/>
          </w:tcPr>
          <w:p w14:paraId="1DBB45C7"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9,3</w:t>
            </w:r>
          </w:p>
        </w:tc>
      </w:tr>
      <w:tr w:rsidR="00DA18FC" w:rsidRPr="00684CF8" w14:paraId="46339854" w14:textId="77777777" w:rsidTr="00DA18FC">
        <w:tc>
          <w:tcPr>
            <w:tcW w:w="851" w:type="dxa"/>
            <w:shd w:val="clear" w:color="auto" w:fill="auto"/>
          </w:tcPr>
          <w:p w14:paraId="5E7A338E" w14:textId="77777777" w:rsidR="00DA18FC" w:rsidRPr="00684CF8" w:rsidRDefault="00DA18FC" w:rsidP="00DA18FC">
            <w:pPr>
              <w:suppressAutoHyphens w:val="0"/>
              <w:spacing w:before="40" w:after="40" w:line="220" w:lineRule="exact"/>
              <w:rPr>
                <w:rFonts w:cs="Times New Roman"/>
                <w:sz w:val="18"/>
              </w:rPr>
            </w:pPr>
            <w:bookmarkStart w:id="84" w:name="_Hlk14164145"/>
            <w:bookmarkEnd w:id="83"/>
            <w:r w:rsidRPr="00684CF8">
              <w:rPr>
                <w:rFonts w:cs="Times New Roman"/>
                <w:sz w:val="18"/>
              </w:rPr>
              <w:t>2013</w:t>
            </w:r>
          </w:p>
        </w:tc>
        <w:tc>
          <w:tcPr>
            <w:tcW w:w="3118" w:type="dxa"/>
            <w:shd w:val="clear" w:color="auto" w:fill="auto"/>
            <w:vAlign w:val="bottom"/>
          </w:tcPr>
          <w:p w14:paraId="1118BF22"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3,5</w:t>
            </w:r>
          </w:p>
        </w:tc>
        <w:tc>
          <w:tcPr>
            <w:tcW w:w="3401" w:type="dxa"/>
            <w:shd w:val="clear" w:color="auto" w:fill="auto"/>
            <w:vAlign w:val="bottom"/>
          </w:tcPr>
          <w:p w14:paraId="7D692815"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10,0</w:t>
            </w:r>
          </w:p>
        </w:tc>
      </w:tr>
      <w:bookmarkEnd w:id="84"/>
      <w:tr w:rsidR="00DA18FC" w:rsidRPr="00684CF8" w14:paraId="6A4479B0" w14:textId="77777777" w:rsidTr="00DA18FC">
        <w:tc>
          <w:tcPr>
            <w:tcW w:w="851" w:type="dxa"/>
            <w:shd w:val="clear" w:color="auto" w:fill="auto"/>
          </w:tcPr>
          <w:p w14:paraId="44679B2B"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t>2014</w:t>
            </w:r>
          </w:p>
        </w:tc>
        <w:tc>
          <w:tcPr>
            <w:tcW w:w="3118" w:type="dxa"/>
            <w:shd w:val="clear" w:color="auto" w:fill="auto"/>
            <w:vAlign w:val="bottom"/>
          </w:tcPr>
          <w:p w14:paraId="55B8937E"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3,8</w:t>
            </w:r>
          </w:p>
        </w:tc>
        <w:tc>
          <w:tcPr>
            <w:tcW w:w="3401" w:type="dxa"/>
            <w:shd w:val="clear" w:color="auto" w:fill="auto"/>
            <w:vAlign w:val="bottom"/>
          </w:tcPr>
          <w:p w14:paraId="24FF1E91"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10,5</w:t>
            </w:r>
          </w:p>
        </w:tc>
      </w:tr>
      <w:tr w:rsidR="00DA18FC" w:rsidRPr="00684CF8" w14:paraId="191E2F68" w14:textId="77777777" w:rsidTr="00DA18FC">
        <w:tc>
          <w:tcPr>
            <w:tcW w:w="851" w:type="dxa"/>
            <w:shd w:val="clear" w:color="auto" w:fill="auto"/>
          </w:tcPr>
          <w:p w14:paraId="5FFD4D0C"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lastRenderedPageBreak/>
              <w:t>2015</w:t>
            </w:r>
          </w:p>
        </w:tc>
        <w:tc>
          <w:tcPr>
            <w:tcW w:w="3118" w:type="dxa"/>
            <w:shd w:val="clear" w:color="auto" w:fill="auto"/>
            <w:vAlign w:val="bottom"/>
          </w:tcPr>
          <w:p w14:paraId="1381A5B8"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3,6</w:t>
            </w:r>
          </w:p>
        </w:tc>
        <w:tc>
          <w:tcPr>
            <w:tcW w:w="3401" w:type="dxa"/>
            <w:shd w:val="clear" w:color="auto" w:fill="auto"/>
            <w:vAlign w:val="bottom"/>
          </w:tcPr>
          <w:p w14:paraId="6FBF4DF2"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10,6</w:t>
            </w:r>
          </w:p>
        </w:tc>
      </w:tr>
      <w:tr w:rsidR="00DA18FC" w:rsidRPr="00684CF8" w14:paraId="126151AB" w14:textId="77777777" w:rsidTr="00DA18FC">
        <w:tc>
          <w:tcPr>
            <w:tcW w:w="851" w:type="dxa"/>
            <w:shd w:val="clear" w:color="auto" w:fill="auto"/>
          </w:tcPr>
          <w:p w14:paraId="360D713D"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t>2016</w:t>
            </w:r>
          </w:p>
        </w:tc>
        <w:tc>
          <w:tcPr>
            <w:tcW w:w="3118" w:type="dxa"/>
            <w:shd w:val="clear" w:color="auto" w:fill="auto"/>
            <w:vAlign w:val="bottom"/>
          </w:tcPr>
          <w:p w14:paraId="3CBDFD70"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3,6</w:t>
            </w:r>
          </w:p>
        </w:tc>
        <w:tc>
          <w:tcPr>
            <w:tcW w:w="3401" w:type="dxa"/>
            <w:shd w:val="clear" w:color="auto" w:fill="auto"/>
            <w:vAlign w:val="bottom"/>
          </w:tcPr>
          <w:p w14:paraId="5FB08814"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11,1</w:t>
            </w:r>
          </w:p>
        </w:tc>
      </w:tr>
      <w:tr w:rsidR="00DA18FC" w:rsidRPr="00684CF8" w14:paraId="34A63F4A" w14:textId="77777777" w:rsidTr="00DA18FC">
        <w:tc>
          <w:tcPr>
            <w:tcW w:w="851" w:type="dxa"/>
            <w:shd w:val="clear" w:color="auto" w:fill="auto"/>
          </w:tcPr>
          <w:p w14:paraId="3A86BDE6"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t>2017</w:t>
            </w:r>
          </w:p>
        </w:tc>
        <w:tc>
          <w:tcPr>
            <w:tcW w:w="3118" w:type="dxa"/>
            <w:shd w:val="clear" w:color="auto" w:fill="auto"/>
            <w:vAlign w:val="bottom"/>
          </w:tcPr>
          <w:p w14:paraId="5E3003E8"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3,7</w:t>
            </w:r>
          </w:p>
        </w:tc>
        <w:tc>
          <w:tcPr>
            <w:tcW w:w="3401" w:type="dxa"/>
            <w:shd w:val="clear" w:color="auto" w:fill="auto"/>
            <w:vAlign w:val="bottom"/>
          </w:tcPr>
          <w:p w14:paraId="7312D5F0"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11,3</w:t>
            </w:r>
          </w:p>
        </w:tc>
      </w:tr>
      <w:tr w:rsidR="00DA18FC" w:rsidRPr="00684CF8" w14:paraId="7BB8DFB9" w14:textId="77777777" w:rsidTr="00DA18FC">
        <w:tc>
          <w:tcPr>
            <w:tcW w:w="851" w:type="dxa"/>
            <w:tcBorders>
              <w:bottom w:val="single" w:sz="12" w:space="0" w:color="auto"/>
            </w:tcBorders>
            <w:shd w:val="clear" w:color="auto" w:fill="auto"/>
          </w:tcPr>
          <w:p w14:paraId="68D6D152" w14:textId="77777777" w:rsidR="00DA18FC" w:rsidRPr="00684CF8" w:rsidRDefault="00DA18FC" w:rsidP="00DA18FC">
            <w:pPr>
              <w:suppressAutoHyphens w:val="0"/>
              <w:spacing w:before="40" w:after="40" w:line="220" w:lineRule="exact"/>
              <w:rPr>
                <w:rFonts w:cs="Times New Roman"/>
                <w:sz w:val="18"/>
              </w:rPr>
            </w:pPr>
            <w:r w:rsidRPr="00684CF8">
              <w:rPr>
                <w:rFonts w:cs="Times New Roman"/>
                <w:sz w:val="18"/>
              </w:rPr>
              <w:t>2018</w:t>
            </w:r>
          </w:p>
        </w:tc>
        <w:tc>
          <w:tcPr>
            <w:tcW w:w="3118" w:type="dxa"/>
            <w:tcBorders>
              <w:bottom w:val="single" w:sz="12" w:space="0" w:color="auto"/>
            </w:tcBorders>
            <w:shd w:val="clear" w:color="auto" w:fill="auto"/>
            <w:vAlign w:val="bottom"/>
          </w:tcPr>
          <w:p w14:paraId="14293605"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3,5</w:t>
            </w:r>
          </w:p>
        </w:tc>
        <w:tc>
          <w:tcPr>
            <w:tcW w:w="3401" w:type="dxa"/>
            <w:tcBorders>
              <w:bottom w:val="single" w:sz="12" w:space="0" w:color="auto"/>
            </w:tcBorders>
            <w:shd w:val="clear" w:color="auto" w:fill="auto"/>
            <w:vAlign w:val="bottom"/>
          </w:tcPr>
          <w:p w14:paraId="0C0A21A1" w14:textId="77777777" w:rsidR="00DA18FC" w:rsidRPr="00684CF8" w:rsidRDefault="00DA18FC" w:rsidP="00DA18FC">
            <w:pPr>
              <w:suppressAutoHyphens w:val="0"/>
              <w:spacing w:before="40" w:after="40" w:line="220" w:lineRule="exact"/>
              <w:jc w:val="right"/>
              <w:rPr>
                <w:rFonts w:cs="Times New Roman"/>
                <w:sz w:val="18"/>
              </w:rPr>
            </w:pPr>
            <w:r w:rsidRPr="00684CF8">
              <w:rPr>
                <w:rFonts w:cs="Times New Roman"/>
                <w:sz w:val="18"/>
              </w:rPr>
              <w:t>11,0</w:t>
            </w:r>
          </w:p>
        </w:tc>
      </w:tr>
    </w:tbl>
    <w:p w14:paraId="7E6BABEC" w14:textId="77777777" w:rsidR="00DA18FC" w:rsidRPr="00684CF8" w:rsidRDefault="00DA18FC" w:rsidP="00DA18FC">
      <w:pPr>
        <w:pStyle w:val="SingleTxtG"/>
        <w:spacing w:before="120" w:after="240" w:line="220" w:lineRule="exact"/>
        <w:ind w:firstLine="170"/>
        <w:rPr>
          <w:sz w:val="18"/>
          <w:szCs w:val="18"/>
        </w:rPr>
      </w:pPr>
      <w:r w:rsidRPr="00684CF8">
        <w:rPr>
          <w:i/>
          <w:iCs/>
          <w:sz w:val="18"/>
          <w:szCs w:val="18"/>
        </w:rPr>
        <w:t>Источник</w:t>
      </w:r>
      <w:r w:rsidRPr="00684CF8">
        <w:rPr>
          <w:sz w:val="18"/>
          <w:szCs w:val="18"/>
        </w:rPr>
        <w:t>: Служба исполнения уголовных наказаний.</w:t>
      </w:r>
    </w:p>
    <w:p w14:paraId="03AF7659" w14:textId="77777777" w:rsidR="00DA18FC" w:rsidRPr="00684CF8" w:rsidRDefault="00DA18FC" w:rsidP="00DA18FC">
      <w:pPr>
        <w:pStyle w:val="SingleTxtG"/>
      </w:pPr>
      <w:r w:rsidRPr="00684CF8">
        <w:t>229.</w:t>
      </w:r>
      <w:r w:rsidRPr="00684CF8">
        <w:tab/>
        <w:t>С 1970-х годов численность заключенных в Финляндии сократилась более чем на треть. За тот же период система уголовных наказаний была дополнена новыми формами санкций, такими как контроль за поведением условно осужденных лиц.</w:t>
      </w:r>
    </w:p>
    <w:p w14:paraId="7D5BE050" w14:textId="77777777" w:rsidR="00DA18FC" w:rsidRPr="00684CF8" w:rsidRDefault="00DA18FC" w:rsidP="00DA18FC">
      <w:pPr>
        <w:pStyle w:val="1"/>
        <w:spacing w:before="240" w:after="120"/>
        <w:ind w:left="1134" w:hanging="1134"/>
        <w:jc w:val="left"/>
        <w:rPr>
          <w:rFonts w:cs="Times New Roman"/>
          <w:szCs w:val="20"/>
        </w:rPr>
      </w:pPr>
      <w:r w:rsidRPr="00684CF8">
        <w:rPr>
          <w:rFonts w:cs="Times New Roman"/>
          <w:b w:val="0"/>
          <w:bCs w:val="0"/>
          <w:szCs w:val="20"/>
        </w:rPr>
        <w:tab/>
      </w:r>
      <w:r w:rsidRPr="00684CF8">
        <w:rPr>
          <w:rFonts w:cs="Times New Roman"/>
          <w:b w:val="0"/>
          <w:bCs w:val="0"/>
          <w:szCs w:val="20"/>
        </w:rPr>
        <w:tab/>
        <w:t>Таблица 18</w:t>
      </w:r>
      <w:r w:rsidRPr="00684CF8">
        <w:rPr>
          <w:b w:val="0"/>
          <w:bCs w:val="0"/>
        </w:rPr>
        <w:br/>
      </w:r>
      <w:r w:rsidRPr="00684CF8">
        <w:rPr>
          <w:rFonts w:cs="Times New Roman"/>
          <w:szCs w:val="20"/>
        </w:rPr>
        <w:t>Среднесуточное количество заключенных</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708"/>
        <w:gridCol w:w="851"/>
        <w:gridCol w:w="1134"/>
        <w:gridCol w:w="1559"/>
        <w:gridCol w:w="1134"/>
        <w:gridCol w:w="1276"/>
        <w:gridCol w:w="1417"/>
      </w:tblGrid>
      <w:tr w:rsidR="00684CF8" w:rsidRPr="00684CF8" w14:paraId="46061167" w14:textId="77777777" w:rsidTr="00DF75A7">
        <w:trPr>
          <w:tblHeader/>
        </w:trPr>
        <w:tc>
          <w:tcPr>
            <w:tcW w:w="426" w:type="dxa"/>
            <w:vMerge w:val="restart"/>
            <w:tcBorders>
              <w:top w:val="single" w:sz="4" w:space="0" w:color="auto"/>
            </w:tcBorders>
            <w:shd w:val="clear" w:color="auto" w:fill="auto"/>
            <w:vAlign w:val="bottom"/>
          </w:tcPr>
          <w:p w14:paraId="48B94ECE" w14:textId="77777777" w:rsidR="00DA18FC" w:rsidRPr="00684CF8" w:rsidRDefault="00DA18FC" w:rsidP="00DA18FC">
            <w:pPr>
              <w:spacing w:before="80" w:after="80" w:line="220" w:lineRule="exact"/>
              <w:rPr>
                <w:bCs/>
                <w:i/>
                <w:sz w:val="16"/>
                <w:szCs w:val="16"/>
              </w:rPr>
            </w:pPr>
            <w:r w:rsidRPr="00684CF8">
              <w:rPr>
                <w:i/>
                <w:iCs/>
                <w:sz w:val="16"/>
                <w:szCs w:val="16"/>
              </w:rPr>
              <w:t>Год</w:t>
            </w:r>
          </w:p>
        </w:tc>
        <w:tc>
          <w:tcPr>
            <w:tcW w:w="5386" w:type="dxa"/>
            <w:gridSpan w:val="5"/>
            <w:tcBorders>
              <w:top w:val="single" w:sz="4" w:space="0" w:color="auto"/>
              <w:bottom w:val="single" w:sz="4" w:space="0" w:color="auto"/>
            </w:tcBorders>
            <w:shd w:val="clear" w:color="auto" w:fill="auto"/>
            <w:vAlign w:val="bottom"/>
          </w:tcPr>
          <w:p w14:paraId="0811047D" w14:textId="77777777" w:rsidR="00DA18FC" w:rsidRPr="00684CF8" w:rsidRDefault="00DA18FC" w:rsidP="00DA18FC">
            <w:pPr>
              <w:suppressAutoHyphens w:val="0"/>
              <w:spacing w:before="80" w:after="80" w:line="220" w:lineRule="exact"/>
              <w:jc w:val="center"/>
              <w:rPr>
                <w:bCs/>
                <w:i/>
                <w:sz w:val="16"/>
                <w:szCs w:val="16"/>
              </w:rPr>
            </w:pPr>
            <w:r w:rsidRPr="00684CF8">
              <w:rPr>
                <w:i/>
                <w:iCs/>
                <w:sz w:val="16"/>
                <w:szCs w:val="16"/>
              </w:rPr>
              <w:t>Среднесуточное количество заключенных</w:t>
            </w:r>
          </w:p>
        </w:tc>
        <w:tc>
          <w:tcPr>
            <w:tcW w:w="1276" w:type="dxa"/>
            <w:vMerge w:val="restart"/>
            <w:tcBorders>
              <w:top w:val="single" w:sz="4" w:space="0" w:color="auto"/>
              <w:bottom w:val="single" w:sz="12" w:space="0" w:color="auto"/>
            </w:tcBorders>
            <w:shd w:val="clear" w:color="auto" w:fill="auto"/>
            <w:vAlign w:val="bottom"/>
          </w:tcPr>
          <w:p w14:paraId="0FE5E61C" w14:textId="77777777" w:rsidR="00DA18FC" w:rsidRPr="00684CF8" w:rsidRDefault="00DA18FC" w:rsidP="00DA18FC">
            <w:pPr>
              <w:suppressAutoHyphens w:val="0"/>
              <w:spacing w:before="80" w:after="80" w:line="220" w:lineRule="exact"/>
              <w:jc w:val="right"/>
              <w:rPr>
                <w:bCs/>
                <w:i/>
                <w:sz w:val="16"/>
                <w:szCs w:val="16"/>
              </w:rPr>
            </w:pPr>
            <w:r w:rsidRPr="00684CF8">
              <w:rPr>
                <w:i/>
                <w:iCs/>
                <w:sz w:val="16"/>
                <w:szCs w:val="16"/>
              </w:rPr>
              <w:t xml:space="preserve">Освобожденные </w:t>
            </w:r>
            <w:r w:rsidRPr="00684CF8">
              <w:rPr>
                <w:i/>
                <w:iCs/>
                <w:sz w:val="16"/>
                <w:szCs w:val="16"/>
              </w:rPr>
              <w:br/>
              <w:t xml:space="preserve">из мест лишения </w:t>
            </w:r>
            <w:r w:rsidRPr="00684CF8">
              <w:rPr>
                <w:i/>
                <w:iCs/>
                <w:sz w:val="16"/>
                <w:szCs w:val="16"/>
              </w:rPr>
              <w:br/>
              <w:t>свободы</w:t>
            </w:r>
          </w:p>
        </w:tc>
        <w:tc>
          <w:tcPr>
            <w:tcW w:w="1417" w:type="dxa"/>
            <w:vMerge w:val="restart"/>
            <w:tcBorders>
              <w:top w:val="single" w:sz="4" w:space="0" w:color="auto"/>
              <w:bottom w:val="single" w:sz="12" w:space="0" w:color="auto"/>
            </w:tcBorders>
            <w:shd w:val="clear" w:color="auto" w:fill="auto"/>
            <w:vAlign w:val="bottom"/>
          </w:tcPr>
          <w:p w14:paraId="01B98A94" w14:textId="77777777" w:rsidR="00DA18FC" w:rsidRPr="00684CF8" w:rsidRDefault="00DA18FC" w:rsidP="00DA18FC">
            <w:pPr>
              <w:suppressAutoHyphens w:val="0"/>
              <w:spacing w:before="80" w:after="80" w:line="220" w:lineRule="exact"/>
              <w:jc w:val="right"/>
              <w:rPr>
                <w:bCs/>
                <w:i/>
                <w:sz w:val="16"/>
                <w:szCs w:val="16"/>
              </w:rPr>
            </w:pPr>
            <w:r w:rsidRPr="00684CF8">
              <w:rPr>
                <w:i/>
                <w:iCs/>
                <w:sz w:val="16"/>
                <w:szCs w:val="16"/>
              </w:rPr>
              <w:t xml:space="preserve">Имеющиеся </w:t>
            </w:r>
            <w:r w:rsidRPr="00684CF8">
              <w:rPr>
                <w:i/>
                <w:iCs/>
                <w:sz w:val="16"/>
                <w:szCs w:val="16"/>
              </w:rPr>
              <w:br/>
              <w:t xml:space="preserve">помещения </w:t>
            </w:r>
            <w:r w:rsidRPr="00684CF8">
              <w:rPr>
                <w:i/>
                <w:iCs/>
                <w:sz w:val="16"/>
                <w:szCs w:val="16"/>
              </w:rPr>
              <w:br/>
              <w:t xml:space="preserve">(во всех местах </w:t>
            </w:r>
            <w:r w:rsidRPr="00684CF8">
              <w:rPr>
                <w:i/>
                <w:iCs/>
                <w:sz w:val="16"/>
                <w:szCs w:val="16"/>
              </w:rPr>
              <w:br/>
              <w:t>лишения свободы)</w:t>
            </w:r>
            <w:r w:rsidRPr="00684CF8">
              <w:rPr>
                <w:sz w:val="16"/>
                <w:szCs w:val="16"/>
              </w:rPr>
              <w:t xml:space="preserve"> </w:t>
            </w:r>
          </w:p>
        </w:tc>
      </w:tr>
      <w:tr w:rsidR="00684CF8" w:rsidRPr="00684CF8" w14:paraId="494BCF59" w14:textId="77777777" w:rsidTr="00DF75A7">
        <w:trPr>
          <w:tblHeader/>
        </w:trPr>
        <w:tc>
          <w:tcPr>
            <w:tcW w:w="426" w:type="dxa"/>
            <w:vMerge/>
            <w:tcBorders>
              <w:bottom w:val="single" w:sz="12" w:space="0" w:color="auto"/>
            </w:tcBorders>
            <w:shd w:val="clear" w:color="auto" w:fill="auto"/>
          </w:tcPr>
          <w:p w14:paraId="71D67AC1" w14:textId="77777777" w:rsidR="00DA18FC" w:rsidRPr="00684CF8" w:rsidRDefault="00DA18FC" w:rsidP="00DA18FC">
            <w:pPr>
              <w:suppressAutoHyphens w:val="0"/>
              <w:spacing w:before="80" w:after="80" w:line="220" w:lineRule="exact"/>
              <w:jc w:val="right"/>
              <w:rPr>
                <w:bCs/>
                <w:i/>
                <w:sz w:val="16"/>
                <w:szCs w:val="16"/>
              </w:rPr>
            </w:pPr>
          </w:p>
        </w:tc>
        <w:tc>
          <w:tcPr>
            <w:tcW w:w="708" w:type="dxa"/>
            <w:tcBorders>
              <w:top w:val="single" w:sz="4" w:space="0" w:color="auto"/>
              <w:bottom w:val="single" w:sz="12" w:space="0" w:color="auto"/>
            </w:tcBorders>
            <w:shd w:val="clear" w:color="auto" w:fill="auto"/>
            <w:vAlign w:val="bottom"/>
          </w:tcPr>
          <w:p w14:paraId="4C3022E4" w14:textId="77777777" w:rsidR="00DA18FC" w:rsidRPr="00684CF8" w:rsidRDefault="00DA18FC" w:rsidP="00DA18FC">
            <w:pPr>
              <w:suppressAutoHyphens w:val="0"/>
              <w:spacing w:before="80" w:after="80" w:line="220" w:lineRule="exact"/>
              <w:jc w:val="right"/>
              <w:rPr>
                <w:bCs/>
                <w:i/>
                <w:sz w:val="16"/>
                <w:szCs w:val="16"/>
              </w:rPr>
            </w:pPr>
            <w:r w:rsidRPr="00684CF8">
              <w:rPr>
                <w:i/>
                <w:iCs/>
                <w:sz w:val="16"/>
                <w:szCs w:val="16"/>
              </w:rPr>
              <w:t>Итого</w:t>
            </w:r>
          </w:p>
        </w:tc>
        <w:tc>
          <w:tcPr>
            <w:tcW w:w="851" w:type="dxa"/>
            <w:tcBorders>
              <w:top w:val="single" w:sz="4" w:space="0" w:color="auto"/>
              <w:bottom w:val="single" w:sz="12" w:space="0" w:color="auto"/>
            </w:tcBorders>
            <w:shd w:val="clear" w:color="auto" w:fill="auto"/>
            <w:vAlign w:val="bottom"/>
          </w:tcPr>
          <w:p w14:paraId="6DB76A81" w14:textId="77777777" w:rsidR="00DA18FC" w:rsidRPr="00684CF8" w:rsidRDefault="00DA18FC" w:rsidP="00DA18FC">
            <w:pPr>
              <w:suppressAutoHyphens w:val="0"/>
              <w:spacing w:before="80" w:after="80" w:line="220" w:lineRule="exact"/>
              <w:jc w:val="right"/>
              <w:rPr>
                <w:bCs/>
                <w:i/>
                <w:sz w:val="16"/>
                <w:szCs w:val="16"/>
              </w:rPr>
            </w:pPr>
            <w:r w:rsidRPr="00684CF8">
              <w:rPr>
                <w:i/>
                <w:iCs/>
                <w:sz w:val="16"/>
                <w:szCs w:val="16"/>
              </w:rPr>
              <w:t>Женщины</w:t>
            </w:r>
          </w:p>
        </w:tc>
        <w:tc>
          <w:tcPr>
            <w:tcW w:w="1134" w:type="dxa"/>
            <w:tcBorders>
              <w:top w:val="single" w:sz="4" w:space="0" w:color="auto"/>
              <w:bottom w:val="single" w:sz="12" w:space="0" w:color="auto"/>
            </w:tcBorders>
            <w:shd w:val="clear" w:color="auto" w:fill="auto"/>
            <w:vAlign w:val="bottom"/>
          </w:tcPr>
          <w:p w14:paraId="307DC35C" w14:textId="77777777" w:rsidR="00DA18FC" w:rsidRPr="00684CF8" w:rsidRDefault="00DA18FC" w:rsidP="00DA18FC">
            <w:pPr>
              <w:suppressAutoHyphens w:val="0"/>
              <w:spacing w:before="80" w:after="80" w:line="220" w:lineRule="exact"/>
              <w:jc w:val="right"/>
              <w:rPr>
                <w:bCs/>
                <w:i/>
                <w:sz w:val="16"/>
                <w:szCs w:val="16"/>
              </w:rPr>
            </w:pPr>
            <w:r w:rsidRPr="00684CF8">
              <w:rPr>
                <w:i/>
                <w:iCs/>
                <w:sz w:val="16"/>
                <w:szCs w:val="16"/>
              </w:rPr>
              <w:t xml:space="preserve">Заключенные </w:t>
            </w:r>
            <w:r w:rsidRPr="00684CF8">
              <w:rPr>
                <w:i/>
                <w:iCs/>
                <w:sz w:val="16"/>
                <w:szCs w:val="16"/>
              </w:rPr>
              <w:br/>
              <w:t xml:space="preserve">по вынесении </w:t>
            </w:r>
            <w:r w:rsidRPr="00684CF8">
              <w:rPr>
                <w:i/>
                <w:iCs/>
                <w:sz w:val="16"/>
                <w:szCs w:val="16"/>
              </w:rPr>
              <w:br/>
              <w:t>приговора</w:t>
            </w:r>
          </w:p>
        </w:tc>
        <w:tc>
          <w:tcPr>
            <w:tcW w:w="1559" w:type="dxa"/>
            <w:tcBorders>
              <w:top w:val="single" w:sz="4" w:space="0" w:color="auto"/>
              <w:bottom w:val="single" w:sz="12" w:space="0" w:color="auto"/>
            </w:tcBorders>
            <w:shd w:val="clear" w:color="auto" w:fill="auto"/>
            <w:vAlign w:val="bottom"/>
          </w:tcPr>
          <w:p w14:paraId="63BC7ADC" w14:textId="77777777" w:rsidR="00DA18FC" w:rsidRPr="00684CF8" w:rsidRDefault="00DA18FC" w:rsidP="00DA18FC">
            <w:pPr>
              <w:suppressAutoHyphens w:val="0"/>
              <w:spacing w:before="80" w:after="80" w:line="220" w:lineRule="exact"/>
              <w:jc w:val="right"/>
              <w:rPr>
                <w:bCs/>
                <w:i/>
                <w:sz w:val="16"/>
                <w:szCs w:val="16"/>
              </w:rPr>
            </w:pPr>
            <w:r w:rsidRPr="00684CF8">
              <w:rPr>
                <w:i/>
                <w:iCs/>
                <w:sz w:val="16"/>
                <w:szCs w:val="16"/>
              </w:rPr>
              <w:t xml:space="preserve">Лица, </w:t>
            </w:r>
            <w:r w:rsidRPr="00684CF8">
              <w:rPr>
                <w:i/>
                <w:iCs/>
                <w:sz w:val="16"/>
                <w:szCs w:val="16"/>
              </w:rPr>
              <w:br/>
              <w:t>содержащиеся под стражей до суда</w:t>
            </w:r>
          </w:p>
        </w:tc>
        <w:tc>
          <w:tcPr>
            <w:tcW w:w="1134" w:type="dxa"/>
            <w:tcBorders>
              <w:top w:val="single" w:sz="4" w:space="0" w:color="auto"/>
              <w:bottom w:val="single" w:sz="12" w:space="0" w:color="auto"/>
            </w:tcBorders>
            <w:shd w:val="clear" w:color="auto" w:fill="auto"/>
            <w:vAlign w:val="bottom"/>
          </w:tcPr>
          <w:p w14:paraId="50C22CFA" w14:textId="77777777" w:rsidR="00DA18FC" w:rsidRPr="00684CF8" w:rsidRDefault="00DA18FC" w:rsidP="00DA18FC">
            <w:pPr>
              <w:suppressAutoHyphens w:val="0"/>
              <w:spacing w:before="80" w:after="80" w:line="220" w:lineRule="exact"/>
              <w:jc w:val="right"/>
              <w:rPr>
                <w:bCs/>
                <w:i/>
                <w:sz w:val="16"/>
                <w:szCs w:val="16"/>
              </w:rPr>
            </w:pPr>
            <w:r w:rsidRPr="00684CF8">
              <w:rPr>
                <w:i/>
                <w:iCs/>
                <w:sz w:val="16"/>
                <w:szCs w:val="16"/>
              </w:rPr>
              <w:t xml:space="preserve">Заключенные </w:t>
            </w:r>
            <w:r w:rsidRPr="00684CF8">
              <w:rPr>
                <w:i/>
                <w:iCs/>
                <w:sz w:val="16"/>
                <w:szCs w:val="16"/>
              </w:rPr>
              <w:br/>
              <w:t xml:space="preserve">из числа </w:t>
            </w:r>
            <w:r w:rsidRPr="00684CF8">
              <w:rPr>
                <w:i/>
                <w:iCs/>
                <w:sz w:val="16"/>
                <w:szCs w:val="16"/>
              </w:rPr>
              <w:br/>
              <w:t>иностранцев</w:t>
            </w:r>
          </w:p>
        </w:tc>
        <w:tc>
          <w:tcPr>
            <w:tcW w:w="1276" w:type="dxa"/>
            <w:vMerge/>
            <w:tcBorders>
              <w:top w:val="single" w:sz="12" w:space="0" w:color="auto"/>
              <w:bottom w:val="single" w:sz="12" w:space="0" w:color="auto"/>
            </w:tcBorders>
            <w:shd w:val="clear" w:color="auto" w:fill="auto"/>
            <w:vAlign w:val="bottom"/>
          </w:tcPr>
          <w:p w14:paraId="4444519B" w14:textId="77777777" w:rsidR="00DA18FC" w:rsidRPr="00684CF8" w:rsidRDefault="00DA18FC" w:rsidP="00DA18FC">
            <w:pPr>
              <w:suppressAutoHyphens w:val="0"/>
              <w:spacing w:before="80" w:after="80" w:line="220" w:lineRule="exact"/>
              <w:jc w:val="right"/>
              <w:rPr>
                <w:bCs/>
                <w:i/>
                <w:sz w:val="16"/>
                <w:szCs w:val="16"/>
              </w:rPr>
            </w:pPr>
          </w:p>
        </w:tc>
        <w:tc>
          <w:tcPr>
            <w:tcW w:w="1417" w:type="dxa"/>
            <w:vMerge/>
            <w:tcBorders>
              <w:top w:val="single" w:sz="12" w:space="0" w:color="auto"/>
              <w:bottom w:val="single" w:sz="12" w:space="0" w:color="auto"/>
            </w:tcBorders>
            <w:shd w:val="clear" w:color="auto" w:fill="auto"/>
            <w:vAlign w:val="bottom"/>
          </w:tcPr>
          <w:p w14:paraId="0BFB7889" w14:textId="77777777" w:rsidR="00DA18FC" w:rsidRPr="00684CF8" w:rsidRDefault="00DA18FC" w:rsidP="00DA18FC">
            <w:pPr>
              <w:suppressAutoHyphens w:val="0"/>
              <w:spacing w:before="80" w:after="80" w:line="220" w:lineRule="exact"/>
              <w:jc w:val="right"/>
              <w:rPr>
                <w:bCs/>
                <w:i/>
                <w:sz w:val="16"/>
                <w:szCs w:val="16"/>
              </w:rPr>
            </w:pPr>
          </w:p>
        </w:tc>
      </w:tr>
      <w:tr w:rsidR="00684CF8" w:rsidRPr="00684CF8" w14:paraId="39F619DF" w14:textId="77777777" w:rsidTr="00DF75A7">
        <w:tc>
          <w:tcPr>
            <w:tcW w:w="426" w:type="dxa"/>
            <w:tcBorders>
              <w:top w:val="single" w:sz="12" w:space="0" w:color="auto"/>
            </w:tcBorders>
            <w:shd w:val="clear" w:color="auto" w:fill="auto"/>
          </w:tcPr>
          <w:p w14:paraId="7C5E7048" w14:textId="77777777" w:rsidR="00DA18FC" w:rsidRPr="00684CF8" w:rsidRDefault="00DA18FC" w:rsidP="00DA18FC">
            <w:pPr>
              <w:suppressAutoHyphens w:val="0"/>
              <w:spacing w:before="40" w:after="40" w:line="220" w:lineRule="exact"/>
              <w:rPr>
                <w:sz w:val="18"/>
                <w:szCs w:val="18"/>
              </w:rPr>
            </w:pPr>
            <w:r w:rsidRPr="00684CF8">
              <w:rPr>
                <w:sz w:val="18"/>
                <w:szCs w:val="18"/>
              </w:rPr>
              <w:t>2009</w:t>
            </w:r>
          </w:p>
        </w:tc>
        <w:tc>
          <w:tcPr>
            <w:tcW w:w="708" w:type="dxa"/>
            <w:tcBorders>
              <w:top w:val="single" w:sz="12" w:space="0" w:color="auto"/>
            </w:tcBorders>
            <w:shd w:val="clear" w:color="auto" w:fill="auto"/>
            <w:vAlign w:val="bottom"/>
          </w:tcPr>
          <w:p w14:paraId="4E066A06"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3 492</w:t>
            </w:r>
          </w:p>
        </w:tc>
        <w:tc>
          <w:tcPr>
            <w:tcW w:w="851" w:type="dxa"/>
            <w:tcBorders>
              <w:top w:val="single" w:sz="12" w:space="0" w:color="auto"/>
            </w:tcBorders>
            <w:shd w:val="clear" w:color="auto" w:fill="auto"/>
            <w:vAlign w:val="bottom"/>
          </w:tcPr>
          <w:p w14:paraId="671E495C"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246</w:t>
            </w:r>
          </w:p>
        </w:tc>
        <w:tc>
          <w:tcPr>
            <w:tcW w:w="1134" w:type="dxa"/>
            <w:tcBorders>
              <w:top w:val="single" w:sz="12" w:space="0" w:color="auto"/>
            </w:tcBorders>
            <w:shd w:val="clear" w:color="auto" w:fill="auto"/>
            <w:vAlign w:val="bottom"/>
          </w:tcPr>
          <w:p w14:paraId="0FF13ED1"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83</w:t>
            </w:r>
          </w:p>
        </w:tc>
        <w:tc>
          <w:tcPr>
            <w:tcW w:w="1559" w:type="dxa"/>
            <w:tcBorders>
              <w:top w:val="single" w:sz="12" w:space="0" w:color="auto"/>
            </w:tcBorders>
            <w:shd w:val="clear" w:color="auto" w:fill="auto"/>
            <w:vAlign w:val="bottom"/>
          </w:tcPr>
          <w:p w14:paraId="35039D16"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569</w:t>
            </w:r>
          </w:p>
        </w:tc>
        <w:tc>
          <w:tcPr>
            <w:tcW w:w="1134" w:type="dxa"/>
            <w:tcBorders>
              <w:top w:val="single" w:sz="12" w:space="0" w:color="auto"/>
            </w:tcBorders>
            <w:shd w:val="clear" w:color="auto" w:fill="auto"/>
            <w:vAlign w:val="bottom"/>
          </w:tcPr>
          <w:p w14:paraId="66AE2191"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370</w:t>
            </w:r>
          </w:p>
        </w:tc>
        <w:tc>
          <w:tcPr>
            <w:tcW w:w="1276" w:type="dxa"/>
            <w:tcBorders>
              <w:top w:val="single" w:sz="12" w:space="0" w:color="auto"/>
            </w:tcBorders>
            <w:shd w:val="clear" w:color="auto" w:fill="auto"/>
            <w:vAlign w:val="bottom"/>
          </w:tcPr>
          <w:p w14:paraId="414AA9F1"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7 246</w:t>
            </w:r>
          </w:p>
        </w:tc>
        <w:tc>
          <w:tcPr>
            <w:tcW w:w="1417" w:type="dxa"/>
            <w:tcBorders>
              <w:top w:val="single" w:sz="12" w:space="0" w:color="auto"/>
            </w:tcBorders>
            <w:shd w:val="clear" w:color="auto" w:fill="auto"/>
            <w:vAlign w:val="bottom"/>
          </w:tcPr>
          <w:p w14:paraId="68665C76"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3 298</w:t>
            </w:r>
          </w:p>
        </w:tc>
      </w:tr>
      <w:tr w:rsidR="00684CF8" w:rsidRPr="00684CF8" w14:paraId="56E58BDC" w14:textId="77777777" w:rsidTr="00DF75A7">
        <w:tc>
          <w:tcPr>
            <w:tcW w:w="426" w:type="dxa"/>
            <w:shd w:val="clear" w:color="auto" w:fill="auto"/>
          </w:tcPr>
          <w:p w14:paraId="314B5548" w14:textId="77777777" w:rsidR="00DA18FC" w:rsidRPr="00684CF8" w:rsidRDefault="00DA18FC" w:rsidP="00DA18FC">
            <w:pPr>
              <w:suppressAutoHyphens w:val="0"/>
              <w:spacing w:before="40" w:after="40" w:line="220" w:lineRule="exact"/>
              <w:rPr>
                <w:sz w:val="18"/>
                <w:szCs w:val="18"/>
              </w:rPr>
            </w:pPr>
            <w:r w:rsidRPr="00684CF8">
              <w:rPr>
                <w:sz w:val="18"/>
                <w:szCs w:val="18"/>
              </w:rPr>
              <w:t>2010</w:t>
            </w:r>
          </w:p>
        </w:tc>
        <w:tc>
          <w:tcPr>
            <w:tcW w:w="708" w:type="dxa"/>
            <w:shd w:val="clear" w:color="auto" w:fill="auto"/>
            <w:vAlign w:val="bottom"/>
          </w:tcPr>
          <w:p w14:paraId="321379C2"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3 291</w:t>
            </w:r>
          </w:p>
        </w:tc>
        <w:tc>
          <w:tcPr>
            <w:tcW w:w="851" w:type="dxa"/>
            <w:shd w:val="clear" w:color="auto" w:fill="auto"/>
            <w:vAlign w:val="bottom"/>
          </w:tcPr>
          <w:p w14:paraId="3032CFB5"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246</w:t>
            </w:r>
          </w:p>
        </w:tc>
        <w:tc>
          <w:tcPr>
            <w:tcW w:w="1134" w:type="dxa"/>
            <w:shd w:val="clear" w:color="auto" w:fill="auto"/>
            <w:vAlign w:val="bottom"/>
          </w:tcPr>
          <w:p w14:paraId="2857307E"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57</w:t>
            </w:r>
          </w:p>
        </w:tc>
        <w:tc>
          <w:tcPr>
            <w:tcW w:w="1559" w:type="dxa"/>
            <w:shd w:val="clear" w:color="auto" w:fill="auto"/>
            <w:vAlign w:val="bottom"/>
          </w:tcPr>
          <w:p w14:paraId="33EC0E2B"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599</w:t>
            </w:r>
          </w:p>
        </w:tc>
        <w:tc>
          <w:tcPr>
            <w:tcW w:w="1134" w:type="dxa"/>
            <w:shd w:val="clear" w:color="auto" w:fill="auto"/>
            <w:vAlign w:val="bottom"/>
          </w:tcPr>
          <w:p w14:paraId="01E84A89"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394</w:t>
            </w:r>
          </w:p>
        </w:tc>
        <w:tc>
          <w:tcPr>
            <w:tcW w:w="1276" w:type="dxa"/>
            <w:shd w:val="clear" w:color="auto" w:fill="auto"/>
            <w:vAlign w:val="bottom"/>
          </w:tcPr>
          <w:p w14:paraId="4780251D"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6 506</w:t>
            </w:r>
          </w:p>
        </w:tc>
        <w:tc>
          <w:tcPr>
            <w:tcW w:w="1417" w:type="dxa"/>
            <w:shd w:val="clear" w:color="auto" w:fill="auto"/>
            <w:vAlign w:val="bottom"/>
          </w:tcPr>
          <w:p w14:paraId="1A1C9DFC"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3 113</w:t>
            </w:r>
          </w:p>
        </w:tc>
      </w:tr>
      <w:tr w:rsidR="00684CF8" w:rsidRPr="00684CF8" w14:paraId="5C9B9AB8" w14:textId="77777777" w:rsidTr="00DF75A7">
        <w:tc>
          <w:tcPr>
            <w:tcW w:w="426" w:type="dxa"/>
            <w:shd w:val="clear" w:color="auto" w:fill="auto"/>
          </w:tcPr>
          <w:p w14:paraId="3F33636B" w14:textId="77777777" w:rsidR="00DA18FC" w:rsidRPr="00684CF8" w:rsidRDefault="00DA18FC" w:rsidP="00DA18FC">
            <w:pPr>
              <w:suppressAutoHyphens w:val="0"/>
              <w:spacing w:before="40" w:after="40" w:line="220" w:lineRule="exact"/>
              <w:rPr>
                <w:sz w:val="18"/>
                <w:szCs w:val="18"/>
              </w:rPr>
            </w:pPr>
            <w:r w:rsidRPr="00684CF8">
              <w:rPr>
                <w:sz w:val="18"/>
                <w:szCs w:val="18"/>
              </w:rPr>
              <w:t>2011</w:t>
            </w:r>
          </w:p>
        </w:tc>
        <w:tc>
          <w:tcPr>
            <w:tcW w:w="708" w:type="dxa"/>
            <w:shd w:val="clear" w:color="auto" w:fill="auto"/>
            <w:vAlign w:val="bottom"/>
          </w:tcPr>
          <w:p w14:paraId="3179DA50"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3 262</w:t>
            </w:r>
          </w:p>
        </w:tc>
        <w:tc>
          <w:tcPr>
            <w:tcW w:w="851" w:type="dxa"/>
            <w:shd w:val="clear" w:color="auto" w:fill="auto"/>
            <w:vAlign w:val="bottom"/>
          </w:tcPr>
          <w:p w14:paraId="2AB8EBC2"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234</w:t>
            </w:r>
          </w:p>
        </w:tc>
        <w:tc>
          <w:tcPr>
            <w:tcW w:w="1134" w:type="dxa"/>
            <w:shd w:val="clear" w:color="auto" w:fill="auto"/>
            <w:vAlign w:val="bottom"/>
          </w:tcPr>
          <w:p w14:paraId="133929E7"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53</w:t>
            </w:r>
          </w:p>
        </w:tc>
        <w:tc>
          <w:tcPr>
            <w:tcW w:w="1559" w:type="dxa"/>
            <w:shd w:val="clear" w:color="auto" w:fill="auto"/>
            <w:vAlign w:val="bottom"/>
          </w:tcPr>
          <w:p w14:paraId="13092DC8"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598</w:t>
            </w:r>
          </w:p>
        </w:tc>
        <w:tc>
          <w:tcPr>
            <w:tcW w:w="1134" w:type="dxa"/>
            <w:shd w:val="clear" w:color="auto" w:fill="auto"/>
            <w:vAlign w:val="bottom"/>
          </w:tcPr>
          <w:p w14:paraId="622E013C"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444</w:t>
            </w:r>
          </w:p>
        </w:tc>
        <w:tc>
          <w:tcPr>
            <w:tcW w:w="1276" w:type="dxa"/>
            <w:shd w:val="clear" w:color="auto" w:fill="auto"/>
            <w:vAlign w:val="bottom"/>
          </w:tcPr>
          <w:p w14:paraId="19F241C0"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6 358</w:t>
            </w:r>
          </w:p>
        </w:tc>
        <w:tc>
          <w:tcPr>
            <w:tcW w:w="1417" w:type="dxa"/>
            <w:shd w:val="clear" w:color="auto" w:fill="auto"/>
            <w:vAlign w:val="bottom"/>
          </w:tcPr>
          <w:p w14:paraId="7DD12C40"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3 092</w:t>
            </w:r>
          </w:p>
        </w:tc>
      </w:tr>
      <w:tr w:rsidR="00684CF8" w:rsidRPr="00684CF8" w14:paraId="53935B3A" w14:textId="77777777" w:rsidTr="00DF75A7">
        <w:tc>
          <w:tcPr>
            <w:tcW w:w="426" w:type="dxa"/>
            <w:shd w:val="clear" w:color="auto" w:fill="auto"/>
          </w:tcPr>
          <w:p w14:paraId="588B6E44" w14:textId="77777777" w:rsidR="00DA18FC" w:rsidRPr="00684CF8" w:rsidRDefault="00DA18FC" w:rsidP="00DA18FC">
            <w:pPr>
              <w:suppressAutoHyphens w:val="0"/>
              <w:spacing w:before="40" w:after="40" w:line="220" w:lineRule="exact"/>
              <w:rPr>
                <w:sz w:val="18"/>
                <w:szCs w:val="18"/>
              </w:rPr>
            </w:pPr>
            <w:r w:rsidRPr="00684CF8">
              <w:rPr>
                <w:sz w:val="18"/>
                <w:szCs w:val="18"/>
              </w:rPr>
              <w:t>2012</w:t>
            </w:r>
          </w:p>
        </w:tc>
        <w:tc>
          <w:tcPr>
            <w:tcW w:w="708" w:type="dxa"/>
            <w:shd w:val="clear" w:color="auto" w:fill="auto"/>
            <w:vAlign w:val="bottom"/>
          </w:tcPr>
          <w:p w14:paraId="78121658"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3 236</w:t>
            </w:r>
          </w:p>
        </w:tc>
        <w:tc>
          <w:tcPr>
            <w:tcW w:w="851" w:type="dxa"/>
            <w:shd w:val="clear" w:color="auto" w:fill="auto"/>
            <w:vAlign w:val="bottom"/>
          </w:tcPr>
          <w:p w14:paraId="68F02088"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224</w:t>
            </w:r>
          </w:p>
        </w:tc>
        <w:tc>
          <w:tcPr>
            <w:tcW w:w="1134" w:type="dxa"/>
            <w:shd w:val="clear" w:color="auto" w:fill="auto"/>
            <w:vAlign w:val="bottom"/>
          </w:tcPr>
          <w:p w14:paraId="5F1CF744"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49</w:t>
            </w:r>
          </w:p>
        </w:tc>
        <w:tc>
          <w:tcPr>
            <w:tcW w:w="1559" w:type="dxa"/>
            <w:shd w:val="clear" w:color="auto" w:fill="auto"/>
            <w:vAlign w:val="bottom"/>
          </w:tcPr>
          <w:p w14:paraId="7546E130"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626</w:t>
            </w:r>
          </w:p>
        </w:tc>
        <w:tc>
          <w:tcPr>
            <w:tcW w:w="1134" w:type="dxa"/>
            <w:shd w:val="clear" w:color="auto" w:fill="auto"/>
            <w:vAlign w:val="bottom"/>
          </w:tcPr>
          <w:p w14:paraId="3B39E773"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470</w:t>
            </w:r>
          </w:p>
        </w:tc>
        <w:tc>
          <w:tcPr>
            <w:tcW w:w="1276" w:type="dxa"/>
            <w:shd w:val="clear" w:color="auto" w:fill="auto"/>
            <w:vAlign w:val="bottom"/>
          </w:tcPr>
          <w:p w14:paraId="3770E7BE"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6 073</w:t>
            </w:r>
          </w:p>
        </w:tc>
        <w:tc>
          <w:tcPr>
            <w:tcW w:w="1417" w:type="dxa"/>
            <w:shd w:val="clear" w:color="auto" w:fill="auto"/>
            <w:vAlign w:val="bottom"/>
          </w:tcPr>
          <w:p w14:paraId="01772A03"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3 089</w:t>
            </w:r>
          </w:p>
        </w:tc>
      </w:tr>
      <w:tr w:rsidR="00684CF8" w:rsidRPr="00684CF8" w14:paraId="708C634A" w14:textId="77777777" w:rsidTr="00DF75A7">
        <w:tc>
          <w:tcPr>
            <w:tcW w:w="426" w:type="dxa"/>
            <w:shd w:val="clear" w:color="auto" w:fill="auto"/>
          </w:tcPr>
          <w:p w14:paraId="571FAB5E" w14:textId="77777777" w:rsidR="00DA18FC" w:rsidRPr="00684CF8" w:rsidRDefault="00DA18FC" w:rsidP="00DA18FC">
            <w:pPr>
              <w:suppressAutoHyphens w:val="0"/>
              <w:spacing w:before="40" w:after="40" w:line="220" w:lineRule="exact"/>
              <w:rPr>
                <w:sz w:val="18"/>
                <w:szCs w:val="18"/>
              </w:rPr>
            </w:pPr>
            <w:r w:rsidRPr="00684CF8">
              <w:rPr>
                <w:sz w:val="18"/>
                <w:szCs w:val="18"/>
              </w:rPr>
              <w:t>2013</w:t>
            </w:r>
          </w:p>
        </w:tc>
        <w:tc>
          <w:tcPr>
            <w:tcW w:w="708" w:type="dxa"/>
            <w:shd w:val="clear" w:color="auto" w:fill="auto"/>
            <w:vAlign w:val="bottom"/>
          </w:tcPr>
          <w:p w14:paraId="74FE1EA5"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3 175</w:t>
            </w:r>
          </w:p>
        </w:tc>
        <w:tc>
          <w:tcPr>
            <w:tcW w:w="851" w:type="dxa"/>
            <w:shd w:val="clear" w:color="auto" w:fill="auto"/>
            <w:vAlign w:val="bottom"/>
          </w:tcPr>
          <w:p w14:paraId="53EA968D"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242</w:t>
            </w:r>
          </w:p>
        </w:tc>
        <w:tc>
          <w:tcPr>
            <w:tcW w:w="1134" w:type="dxa"/>
            <w:shd w:val="clear" w:color="auto" w:fill="auto"/>
            <w:vAlign w:val="bottom"/>
          </w:tcPr>
          <w:p w14:paraId="699E8DBD"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48</w:t>
            </w:r>
          </w:p>
        </w:tc>
        <w:tc>
          <w:tcPr>
            <w:tcW w:w="1559" w:type="dxa"/>
            <w:shd w:val="clear" w:color="auto" w:fill="auto"/>
            <w:vAlign w:val="bottom"/>
          </w:tcPr>
          <w:p w14:paraId="02B088CB"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578</w:t>
            </w:r>
          </w:p>
        </w:tc>
        <w:tc>
          <w:tcPr>
            <w:tcW w:w="1134" w:type="dxa"/>
            <w:shd w:val="clear" w:color="auto" w:fill="auto"/>
            <w:vAlign w:val="bottom"/>
          </w:tcPr>
          <w:p w14:paraId="497C9442"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464</w:t>
            </w:r>
          </w:p>
        </w:tc>
        <w:tc>
          <w:tcPr>
            <w:tcW w:w="1276" w:type="dxa"/>
            <w:shd w:val="clear" w:color="auto" w:fill="auto"/>
            <w:vAlign w:val="bottom"/>
          </w:tcPr>
          <w:p w14:paraId="4B5090E1"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5 851</w:t>
            </w:r>
          </w:p>
        </w:tc>
        <w:tc>
          <w:tcPr>
            <w:tcW w:w="1417" w:type="dxa"/>
            <w:shd w:val="clear" w:color="auto" w:fill="auto"/>
            <w:vAlign w:val="bottom"/>
          </w:tcPr>
          <w:p w14:paraId="6CD2DD9B"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3 089</w:t>
            </w:r>
          </w:p>
        </w:tc>
      </w:tr>
      <w:tr w:rsidR="00684CF8" w:rsidRPr="00684CF8" w14:paraId="2CEC71F0" w14:textId="77777777" w:rsidTr="00DF75A7">
        <w:tc>
          <w:tcPr>
            <w:tcW w:w="426" w:type="dxa"/>
            <w:shd w:val="clear" w:color="auto" w:fill="auto"/>
          </w:tcPr>
          <w:p w14:paraId="54CA01F2" w14:textId="77777777" w:rsidR="00DA18FC" w:rsidRPr="00684CF8" w:rsidRDefault="00DA18FC" w:rsidP="00DA18FC">
            <w:pPr>
              <w:suppressAutoHyphens w:val="0"/>
              <w:spacing w:before="40" w:after="40" w:line="220" w:lineRule="exact"/>
              <w:rPr>
                <w:sz w:val="18"/>
                <w:szCs w:val="18"/>
              </w:rPr>
            </w:pPr>
            <w:r w:rsidRPr="00684CF8">
              <w:rPr>
                <w:sz w:val="18"/>
                <w:szCs w:val="18"/>
              </w:rPr>
              <w:t>2014</w:t>
            </w:r>
          </w:p>
        </w:tc>
        <w:tc>
          <w:tcPr>
            <w:tcW w:w="708" w:type="dxa"/>
            <w:shd w:val="clear" w:color="auto" w:fill="auto"/>
            <w:vAlign w:val="bottom"/>
          </w:tcPr>
          <w:p w14:paraId="64B988B0"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3 097</w:t>
            </w:r>
          </w:p>
        </w:tc>
        <w:tc>
          <w:tcPr>
            <w:tcW w:w="851" w:type="dxa"/>
            <w:shd w:val="clear" w:color="auto" w:fill="auto"/>
            <w:vAlign w:val="bottom"/>
          </w:tcPr>
          <w:p w14:paraId="3CBDB7BB"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239</w:t>
            </w:r>
          </w:p>
        </w:tc>
        <w:tc>
          <w:tcPr>
            <w:tcW w:w="1134" w:type="dxa"/>
            <w:shd w:val="clear" w:color="auto" w:fill="auto"/>
            <w:vAlign w:val="bottom"/>
          </w:tcPr>
          <w:p w14:paraId="553E5B12"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52</w:t>
            </w:r>
          </w:p>
        </w:tc>
        <w:tc>
          <w:tcPr>
            <w:tcW w:w="1559" w:type="dxa"/>
            <w:shd w:val="clear" w:color="auto" w:fill="auto"/>
            <w:vAlign w:val="bottom"/>
          </w:tcPr>
          <w:p w14:paraId="5438AF15"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619</w:t>
            </w:r>
          </w:p>
        </w:tc>
        <w:tc>
          <w:tcPr>
            <w:tcW w:w="1134" w:type="dxa"/>
            <w:shd w:val="clear" w:color="auto" w:fill="auto"/>
            <w:vAlign w:val="bottom"/>
          </w:tcPr>
          <w:p w14:paraId="1DA1A7E6"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483</w:t>
            </w:r>
          </w:p>
        </w:tc>
        <w:tc>
          <w:tcPr>
            <w:tcW w:w="1276" w:type="dxa"/>
            <w:shd w:val="clear" w:color="auto" w:fill="auto"/>
            <w:vAlign w:val="bottom"/>
          </w:tcPr>
          <w:p w14:paraId="5DB2F247"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5 700</w:t>
            </w:r>
          </w:p>
        </w:tc>
        <w:tc>
          <w:tcPr>
            <w:tcW w:w="1417" w:type="dxa"/>
            <w:shd w:val="clear" w:color="auto" w:fill="auto"/>
            <w:vAlign w:val="bottom"/>
          </w:tcPr>
          <w:p w14:paraId="350571D3"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3 083</w:t>
            </w:r>
          </w:p>
        </w:tc>
      </w:tr>
      <w:tr w:rsidR="00684CF8" w:rsidRPr="00684CF8" w14:paraId="69FD4252" w14:textId="77777777" w:rsidTr="00DF75A7">
        <w:tc>
          <w:tcPr>
            <w:tcW w:w="426" w:type="dxa"/>
            <w:shd w:val="clear" w:color="auto" w:fill="auto"/>
          </w:tcPr>
          <w:p w14:paraId="05DBC634" w14:textId="77777777" w:rsidR="00DA18FC" w:rsidRPr="00684CF8" w:rsidRDefault="00DA18FC" w:rsidP="00DA18FC">
            <w:pPr>
              <w:suppressAutoHyphens w:val="0"/>
              <w:spacing w:before="40" w:after="40" w:line="220" w:lineRule="exact"/>
              <w:rPr>
                <w:sz w:val="18"/>
                <w:szCs w:val="18"/>
              </w:rPr>
            </w:pPr>
            <w:r w:rsidRPr="00684CF8">
              <w:rPr>
                <w:sz w:val="18"/>
                <w:szCs w:val="18"/>
              </w:rPr>
              <w:t>2015</w:t>
            </w:r>
          </w:p>
        </w:tc>
        <w:tc>
          <w:tcPr>
            <w:tcW w:w="708" w:type="dxa"/>
            <w:shd w:val="clear" w:color="auto" w:fill="auto"/>
            <w:vAlign w:val="bottom"/>
          </w:tcPr>
          <w:p w14:paraId="5B4F6D57"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3 086</w:t>
            </w:r>
          </w:p>
        </w:tc>
        <w:tc>
          <w:tcPr>
            <w:tcW w:w="851" w:type="dxa"/>
            <w:shd w:val="clear" w:color="auto" w:fill="auto"/>
            <w:vAlign w:val="bottom"/>
          </w:tcPr>
          <w:p w14:paraId="11228224"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231</w:t>
            </w:r>
          </w:p>
        </w:tc>
        <w:tc>
          <w:tcPr>
            <w:tcW w:w="1134" w:type="dxa"/>
            <w:shd w:val="clear" w:color="auto" w:fill="auto"/>
            <w:vAlign w:val="bottom"/>
          </w:tcPr>
          <w:p w14:paraId="73E76941"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52</w:t>
            </w:r>
          </w:p>
        </w:tc>
        <w:tc>
          <w:tcPr>
            <w:tcW w:w="1559" w:type="dxa"/>
            <w:shd w:val="clear" w:color="auto" w:fill="auto"/>
            <w:vAlign w:val="bottom"/>
          </w:tcPr>
          <w:p w14:paraId="0FBDDC13"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597</w:t>
            </w:r>
          </w:p>
        </w:tc>
        <w:tc>
          <w:tcPr>
            <w:tcW w:w="1134" w:type="dxa"/>
            <w:shd w:val="clear" w:color="auto" w:fill="auto"/>
            <w:vAlign w:val="bottom"/>
          </w:tcPr>
          <w:p w14:paraId="01B08951"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477</w:t>
            </w:r>
          </w:p>
        </w:tc>
        <w:tc>
          <w:tcPr>
            <w:tcW w:w="1276" w:type="dxa"/>
            <w:shd w:val="clear" w:color="auto" w:fill="auto"/>
            <w:vAlign w:val="bottom"/>
          </w:tcPr>
          <w:p w14:paraId="6C9095AE"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5 573</w:t>
            </w:r>
          </w:p>
        </w:tc>
        <w:tc>
          <w:tcPr>
            <w:tcW w:w="1417" w:type="dxa"/>
            <w:shd w:val="clear" w:color="auto" w:fill="auto"/>
            <w:vAlign w:val="bottom"/>
          </w:tcPr>
          <w:p w14:paraId="01CB2955"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3 007</w:t>
            </w:r>
          </w:p>
        </w:tc>
      </w:tr>
      <w:tr w:rsidR="00684CF8" w:rsidRPr="00684CF8" w14:paraId="3B5F88C0" w14:textId="77777777" w:rsidTr="00DF75A7">
        <w:tc>
          <w:tcPr>
            <w:tcW w:w="426" w:type="dxa"/>
            <w:shd w:val="clear" w:color="auto" w:fill="auto"/>
          </w:tcPr>
          <w:p w14:paraId="33E63695" w14:textId="77777777" w:rsidR="00DA18FC" w:rsidRPr="00684CF8" w:rsidRDefault="00DA18FC" w:rsidP="00DA18FC">
            <w:pPr>
              <w:suppressAutoHyphens w:val="0"/>
              <w:spacing w:before="40" w:after="40" w:line="220" w:lineRule="exact"/>
              <w:rPr>
                <w:sz w:val="18"/>
                <w:szCs w:val="18"/>
              </w:rPr>
            </w:pPr>
            <w:r w:rsidRPr="00684CF8">
              <w:rPr>
                <w:sz w:val="18"/>
                <w:szCs w:val="18"/>
              </w:rPr>
              <w:t>2016</w:t>
            </w:r>
          </w:p>
        </w:tc>
        <w:tc>
          <w:tcPr>
            <w:tcW w:w="708" w:type="dxa"/>
            <w:shd w:val="clear" w:color="auto" w:fill="auto"/>
            <w:vAlign w:val="bottom"/>
          </w:tcPr>
          <w:p w14:paraId="21C8C71A"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3 120</w:t>
            </w:r>
          </w:p>
        </w:tc>
        <w:tc>
          <w:tcPr>
            <w:tcW w:w="851" w:type="dxa"/>
            <w:shd w:val="clear" w:color="auto" w:fill="auto"/>
            <w:vAlign w:val="bottom"/>
          </w:tcPr>
          <w:p w14:paraId="2E8AE32C"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229</w:t>
            </w:r>
          </w:p>
        </w:tc>
        <w:tc>
          <w:tcPr>
            <w:tcW w:w="1134" w:type="dxa"/>
            <w:shd w:val="clear" w:color="auto" w:fill="auto"/>
            <w:vAlign w:val="bottom"/>
          </w:tcPr>
          <w:p w14:paraId="2139E7B4"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57</w:t>
            </w:r>
          </w:p>
        </w:tc>
        <w:tc>
          <w:tcPr>
            <w:tcW w:w="1559" w:type="dxa"/>
            <w:shd w:val="clear" w:color="auto" w:fill="auto"/>
            <w:vAlign w:val="bottom"/>
          </w:tcPr>
          <w:p w14:paraId="457A9A44"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585</w:t>
            </w:r>
          </w:p>
        </w:tc>
        <w:tc>
          <w:tcPr>
            <w:tcW w:w="1134" w:type="dxa"/>
            <w:shd w:val="clear" w:color="auto" w:fill="auto"/>
            <w:vAlign w:val="bottom"/>
          </w:tcPr>
          <w:p w14:paraId="0B7CED2F"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537</w:t>
            </w:r>
          </w:p>
        </w:tc>
        <w:tc>
          <w:tcPr>
            <w:tcW w:w="1276" w:type="dxa"/>
            <w:shd w:val="clear" w:color="auto" w:fill="auto"/>
            <w:vAlign w:val="bottom"/>
          </w:tcPr>
          <w:p w14:paraId="52A3ECAE"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5 531</w:t>
            </w:r>
          </w:p>
        </w:tc>
        <w:tc>
          <w:tcPr>
            <w:tcW w:w="1417" w:type="dxa"/>
            <w:shd w:val="clear" w:color="auto" w:fill="auto"/>
            <w:vAlign w:val="bottom"/>
          </w:tcPr>
          <w:p w14:paraId="75BBA96C"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2 959</w:t>
            </w:r>
          </w:p>
        </w:tc>
      </w:tr>
      <w:tr w:rsidR="00684CF8" w:rsidRPr="00684CF8" w14:paraId="4F289AFF" w14:textId="77777777" w:rsidTr="00DF75A7">
        <w:tc>
          <w:tcPr>
            <w:tcW w:w="426" w:type="dxa"/>
            <w:shd w:val="clear" w:color="auto" w:fill="auto"/>
          </w:tcPr>
          <w:p w14:paraId="5B0DF29C" w14:textId="77777777" w:rsidR="00DA18FC" w:rsidRPr="00684CF8" w:rsidRDefault="00DA18FC" w:rsidP="00DA18FC">
            <w:pPr>
              <w:suppressAutoHyphens w:val="0"/>
              <w:spacing w:before="40" w:after="40" w:line="220" w:lineRule="exact"/>
              <w:rPr>
                <w:sz w:val="18"/>
                <w:szCs w:val="18"/>
              </w:rPr>
            </w:pPr>
            <w:r w:rsidRPr="00684CF8">
              <w:rPr>
                <w:sz w:val="18"/>
                <w:szCs w:val="18"/>
              </w:rPr>
              <w:t>2017</w:t>
            </w:r>
          </w:p>
        </w:tc>
        <w:tc>
          <w:tcPr>
            <w:tcW w:w="708" w:type="dxa"/>
            <w:shd w:val="clear" w:color="auto" w:fill="auto"/>
            <w:vAlign w:val="bottom"/>
          </w:tcPr>
          <w:p w14:paraId="412121BD"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3 035</w:t>
            </w:r>
          </w:p>
        </w:tc>
        <w:tc>
          <w:tcPr>
            <w:tcW w:w="851" w:type="dxa"/>
            <w:shd w:val="clear" w:color="auto" w:fill="auto"/>
            <w:vAlign w:val="bottom"/>
          </w:tcPr>
          <w:p w14:paraId="2F182C0C"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230</w:t>
            </w:r>
          </w:p>
        </w:tc>
        <w:tc>
          <w:tcPr>
            <w:tcW w:w="1134" w:type="dxa"/>
            <w:shd w:val="clear" w:color="auto" w:fill="auto"/>
            <w:vAlign w:val="bottom"/>
          </w:tcPr>
          <w:p w14:paraId="4D5EA0C6"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55</w:t>
            </w:r>
          </w:p>
        </w:tc>
        <w:tc>
          <w:tcPr>
            <w:tcW w:w="1559" w:type="dxa"/>
            <w:shd w:val="clear" w:color="auto" w:fill="auto"/>
            <w:vAlign w:val="bottom"/>
          </w:tcPr>
          <w:p w14:paraId="424AB2A8"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597</w:t>
            </w:r>
          </w:p>
        </w:tc>
        <w:tc>
          <w:tcPr>
            <w:tcW w:w="1134" w:type="dxa"/>
            <w:shd w:val="clear" w:color="auto" w:fill="auto"/>
            <w:vAlign w:val="bottom"/>
          </w:tcPr>
          <w:p w14:paraId="46B4B1FE"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540</w:t>
            </w:r>
          </w:p>
        </w:tc>
        <w:tc>
          <w:tcPr>
            <w:tcW w:w="1276" w:type="dxa"/>
            <w:shd w:val="clear" w:color="auto" w:fill="auto"/>
            <w:vAlign w:val="bottom"/>
          </w:tcPr>
          <w:p w14:paraId="1D1D4ABF"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5 576</w:t>
            </w:r>
          </w:p>
        </w:tc>
        <w:tc>
          <w:tcPr>
            <w:tcW w:w="1417" w:type="dxa"/>
            <w:shd w:val="clear" w:color="auto" w:fill="auto"/>
            <w:vAlign w:val="bottom"/>
          </w:tcPr>
          <w:p w14:paraId="07C94354"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2 922</w:t>
            </w:r>
          </w:p>
        </w:tc>
      </w:tr>
      <w:tr w:rsidR="00684CF8" w:rsidRPr="00684CF8" w14:paraId="7DE43ACF" w14:textId="77777777" w:rsidTr="00DF75A7">
        <w:tc>
          <w:tcPr>
            <w:tcW w:w="426" w:type="dxa"/>
            <w:shd w:val="clear" w:color="auto" w:fill="auto"/>
          </w:tcPr>
          <w:p w14:paraId="63CF0C4A" w14:textId="77777777" w:rsidR="00DA18FC" w:rsidRPr="00684CF8" w:rsidRDefault="00DA18FC" w:rsidP="00DA18FC">
            <w:pPr>
              <w:suppressAutoHyphens w:val="0"/>
              <w:spacing w:before="40" w:after="40" w:line="220" w:lineRule="exact"/>
              <w:rPr>
                <w:sz w:val="18"/>
                <w:szCs w:val="18"/>
              </w:rPr>
            </w:pPr>
            <w:r w:rsidRPr="00684CF8">
              <w:rPr>
                <w:sz w:val="18"/>
                <w:szCs w:val="18"/>
              </w:rPr>
              <w:t>2018</w:t>
            </w:r>
          </w:p>
        </w:tc>
        <w:tc>
          <w:tcPr>
            <w:tcW w:w="708" w:type="dxa"/>
            <w:shd w:val="clear" w:color="auto" w:fill="auto"/>
            <w:vAlign w:val="bottom"/>
          </w:tcPr>
          <w:p w14:paraId="1917630E"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2 910</w:t>
            </w:r>
          </w:p>
        </w:tc>
        <w:tc>
          <w:tcPr>
            <w:tcW w:w="851" w:type="dxa"/>
            <w:shd w:val="clear" w:color="auto" w:fill="auto"/>
            <w:vAlign w:val="bottom"/>
          </w:tcPr>
          <w:p w14:paraId="313FC057"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218</w:t>
            </w:r>
          </w:p>
        </w:tc>
        <w:tc>
          <w:tcPr>
            <w:tcW w:w="1134" w:type="dxa"/>
            <w:shd w:val="clear" w:color="auto" w:fill="auto"/>
            <w:vAlign w:val="bottom"/>
          </w:tcPr>
          <w:p w14:paraId="75C2A28B"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59</w:t>
            </w:r>
          </w:p>
        </w:tc>
        <w:tc>
          <w:tcPr>
            <w:tcW w:w="1559" w:type="dxa"/>
            <w:shd w:val="clear" w:color="auto" w:fill="auto"/>
            <w:vAlign w:val="bottom"/>
          </w:tcPr>
          <w:p w14:paraId="46E29FA3"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547</w:t>
            </w:r>
          </w:p>
        </w:tc>
        <w:tc>
          <w:tcPr>
            <w:tcW w:w="1134" w:type="dxa"/>
            <w:shd w:val="clear" w:color="auto" w:fill="auto"/>
            <w:vAlign w:val="bottom"/>
          </w:tcPr>
          <w:p w14:paraId="7F1314D7"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482</w:t>
            </w:r>
          </w:p>
        </w:tc>
        <w:tc>
          <w:tcPr>
            <w:tcW w:w="1276" w:type="dxa"/>
            <w:shd w:val="clear" w:color="auto" w:fill="auto"/>
            <w:vAlign w:val="bottom"/>
          </w:tcPr>
          <w:p w14:paraId="1A137A23"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5 531</w:t>
            </w:r>
          </w:p>
        </w:tc>
        <w:tc>
          <w:tcPr>
            <w:tcW w:w="1417" w:type="dxa"/>
            <w:shd w:val="clear" w:color="auto" w:fill="auto"/>
            <w:vAlign w:val="bottom"/>
          </w:tcPr>
          <w:p w14:paraId="78415845" w14:textId="77777777" w:rsidR="00DA18FC" w:rsidRPr="00684CF8" w:rsidRDefault="00DA18FC" w:rsidP="00DA18FC">
            <w:pPr>
              <w:suppressAutoHyphens w:val="0"/>
              <w:spacing w:before="40" w:after="40" w:line="220" w:lineRule="exact"/>
              <w:jc w:val="right"/>
              <w:rPr>
                <w:sz w:val="18"/>
                <w:szCs w:val="18"/>
              </w:rPr>
            </w:pPr>
            <w:r w:rsidRPr="00684CF8">
              <w:rPr>
                <w:sz w:val="18"/>
                <w:szCs w:val="18"/>
              </w:rPr>
              <w:t>2 975</w:t>
            </w:r>
          </w:p>
        </w:tc>
      </w:tr>
    </w:tbl>
    <w:p w14:paraId="37B11F32" w14:textId="77777777" w:rsidR="00DF75A7" w:rsidRPr="00DF75A7" w:rsidRDefault="00DF75A7" w:rsidP="00DF75A7">
      <w:pPr>
        <w:pStyle w:val="SingleTxtG"/>
        <w:spacing w:before="120" w:after="240" w:line="220" w:lineRule="exact"/>
        <w:ind w:firstLine="170"/>
        <w:rPr>
          <w:sz w:val="18"/>
          <w:szCs w:val="18"/>
        </w:rPr>
      </w:pPr>
      <w:r w:rsidRPr="00DF75A7">
        <w:rPr>
          <w:i/>
          <w:iCs/>
          <w:sz w:val="18"/>
          <w:szCs w:val="18"/>
        </w:rPr>
        <w:t>Источник</w:t>
      </w:r>
      <w:r w:rsidRPr="00DF75A7">
        <w:rPr>
          <w:sz w:val="18"/>
          <w:szCs w:val="18"/>
        </w:rPr>
        <w:t xml:space="preserve">: Статистический ежегодник </w:t>
      </w:r>
      <w:bookmarkStart w:id="85" w:name="_Hlk49522929"/>
      <w:r w:rsidRPr="00DF75A7">
        <w:rPr>
          <w:sz w:val="18"/>
          <w:szCs w:val="18"/>
        </w:rPr>
        <w:t xml:space="preserve">Службы исполнения </w:t>
      </w:r>
      <w:bookmarkEnd w:id="85"/>
      <w:r w:rsidRPr="00DF75A7">
        <w:rPr>
          <w:sz w:val="18"/>
          <w:szCs w:val="18"/>
        </w:rPr>
        <w:t>уголовных наказаний за 2018 год.</w:t>
      </w:r>
    </w:p>
    <w:p w14:paraId="21068EB8" w14:textId="77777777" w:rsidR="00DF75A7" w:rsidRPr="00DF75A7" w:rsidRDefault="00DF75A7" w:rsidP="00DF75A7">
      <w:pPr>
        <w:pStyle w:val="SingleTxtG"/>
      </w:pPr>
      <w:r w:rsidRPr="00DF75A7">
        <w:t>230.</w:t>
      </w:r>
      <w:r w:rsidRPr="00DF75A7">
        <w:tab/>
        <w:t>Случаи смерти в тюрьмах довольно редки в Финляндии, и их число в течение последних нескольких лет оставалось практически неизменным.</w:t>
      </w:r>
    </w:p>
    <w:p w14:paraId="139DDC3F" w14:textId="77777777" w:rsidR="00DF75A7" w:rsidRPr="00DF75A7" w:rsidRDefault="00DF75A7" w:rsidP="00DF75A7">
      <w:pPr>
        <w:pStyle w:val="1"/>
        <w:spacing w:before="240" w:after="120"/>
        <w:ind w:left="1134" w:hanging="1134"/>
        <w:jc w:val="left"/>
        <w:rPr>
          <w:rFonts w:cs="Times New Roman"/>
          <w:szCs w:val="20"/>
        </w:rPr>
      </w:pPr>
      <w:r w:rsidRPr="00DF75A7">
        <w:rPr>
          <w:rFonts w:cs="Times New Roman"/>
          <w:b w:val="0"/>
          <w:bCs w:val="0"/>
          <w:szCs w:val="20"/>
        </w:rPr>
        <w:tab/>
      </w:r>
      <w:r w:rsidRPr="00DF75A7">
        <w:rPr>
          <w:rFonts w:cs="Times New Roman"/>
          <w:b w:val="0"/>
          <w:bCs w:val="0"/>
          <w:szCs w:val="20"/>
        </w:rPr>
        <w:tab/>
        <w:t>Таблица 19</w:t>
      </w:r>
      <w:r w:rsidRPr="00684CF8">
        <w:rPr>
          <w:b w:val="0"/>
          <w:bCs w:val="0"/>
        </w:rPr>
        <w:br/>
      </w:r>
      <w:r w:rsidRPr="00DF75A7">
        <w:rPr>
          <w:rFonts w:cs="Times New Roman"/>
          <w:szCs w:val="20"/>
        </w:rPr>
        <w:t>Случаи смерти в тюрьмах</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726"/>
        <w:gridCol w:w="726"/>
        <w:gridCol w:w="726"/>
        <w:gridCol w:w="727"/>
        <w:gridCol w:w="726"/>
        <w:gridCol w:w="726"/>
        <w:gridCol w:w="726"/>
        <w:gridCol w:w="727"/>
      </w:tblGrid>
      <w:tr w:rsidR="00684CF8" w:rsidRPr="00684CF8" w14:paraId="18CDAB5B" w14:textId="77777777" w:rsidTr="00DF75A7">
        <w:trPr>
          <w:tblHeader/>
        </w:trPr>
        <w:tc>
          <w:tcPr>
            <w:tcW w:w="15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A172798" w14:textId="77777777" w:rsidR="00DF75A7" w:rsidRPr="00684CF8" w:rsidRDefault="00DF75A7" w:rsidP="00DF75A7">
            <w:pPr>
              <w:suppressAutoHyphens w:val="0"/>
              <w:spacing w:before="80" w:after="80" w:line="200" w:lineRule="exact"/>
              <w:rPr>
                <w:rFonts w:cs="Times New Roman"/>
                <w:bCs/>
                <w:i/>
                <w:sz w:val="16"/>
              </w:rPr>
            </w:pPr>
            <w:r w:rsidRPr="00684CF8">
              <w:rPr>
                <w:rFonts w:cs="Times New Roman"/>
                <w:i/>
                <w:sz w:val="16"/>
              </w:rPr>
              <w:t>Причина смерти/Год</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556A95D"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2011</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8AC48FF"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2012</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4795447"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2013</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DA2E22A"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2014</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2CCB2BD7"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2015</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95DB4FF"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2016</w:t>
            </w:r>
          </w:p>
        </w:tc>
        <w:tc>
          <w:tcPr>
            <w:tcW w:w="72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AF53E9A"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2017</w:t>
            </w:r>
          </w:p>
        </w:tc>
        <w:tc>
          <w:tcPr>
            <w:tcW w:w="72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D6F7AFA" w14:textId="77777777" w:rsidR="00DF75A7" w:rsidRPr="00684CF8" w:rsidRDefault="00DF75A7" w:rsidP="00DF75A7">
            <w:pPr>
              <w:suppressAutoHyphens w:val="0"/>
              <w:spacing w:before="80" w:after="80" w:line="200" w:lineRule="exact"/>
              <w:jc w:val="right"/>
              <w:rPr>
                <w:rFonts w:cs="Times New Roman"/>
                <w:bCs/>
                <w:i/>
                <w:sz w:val="16"/>
              </w:rPr>
            </w:pPr>
            <w:r w:rsidRPr="00684CF8">
              <w:rPr>
                <w:rFonts w:cs="Times New Roman"/>
                <w:i/>
                <w:sz w:val="16"/>
              </w:rPr>
              <w:t>2018</w:t>
            </w:r>
          </w:p>
        </w:tc>
      </w:tr>
      <w:tr w:rsidR="00684CF8" w:rsidRPr="00684CF8" w14:paraId="296404C6" w14:textId="77777777" w:rsidTr="00DF75A7">
        <w:tc>
          <w:tcPr>
            <w:tcW w:w="1560" w:type="dxa"/>
            <w:tcBorders>
              <w:top w:val="single" w:sz="12" w:space="0" w:color="auto"/>
            </w:tcBorders>
            <w:shd w:val="clear" w:color="auto" w:fill="auto"/>
            <w:tcMar>
              <w:top w:w="0" w:type="dxa"/>
              <w:left w:w="0" w:type="dxa"/>
              <w:bottom w:w="0" w:type="dxa"/>
              <w:right w:w="0" w:type="dxa"/>
            </w:tcMar>
            <w:hideMark/>
          </w:tcPr>
          <w:p w14:paraId="25337011" w14:textId="77777777" w:rsidR="00DF75A7" w:rsidRPr="00684CF8" w:rsidRDefault="00DF75A7" w:rsidP="00DF75A7">
            <w:pPr>
              <w:suppressAutoHyphens w:val="0"/>
              <w:spacing w:before="40" w:after="40" w:line="220" w:lineRule="exact"/>
              <w:rPr>
                <w:rFonts w:cs="Times New Roman"/>
                <w:sz w:val="18"/>
              </w:rPr>
            </w:pPr>
            <w:r w:rsidRPr="00684CF8">
              <w:rPr>
                <w:rFonts w:cs="Times New Roman"/>
                <w:sz w:val="18"/>
              </w:rPr>
              <w:t>Суицид</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415F03E2"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7</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7524C86B"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1F29B07A"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7" w:type="dxa"/>
            <w:tcBorders>
              <w:top w:val="single" w:sz="12" w:space="0" w:color="auto"/>
            </w:tcBorders>
            <w:shd w:val="clear" w:color="auto" w:fill="auto"/>
            <w:tcMar>
              <w:top w:w="0" w:type="dxa"/>
              <w:left w:w="0" w:type="dxa"/>
              <w:bottom w:w="0" w:type="dxa"/>
              <w:right w:w="0" w:type="dxa"/>
            </w:tcMar>
            <w:vAlign w:val="bottom"/>
            <w:hideMark/>
          </w:tcPr>
          <w:p w14:paraId="1D63F8B0"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1F482C8A"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2EE1713E"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6" w:type="dxa"/>
            <w:tcBorders>
              <w:top w:val="single" w:sz="12" w:space="0" w:color="auto"/>
            </w:tcBorders>
            <w:shd w:val="clear" w:color="auto" w:fill="auto"/>
            <w:tcMar>
              <w:top w:w="0" w:type="dxa"/>
              <w:left w:w="0" w:type="dxa"/>
              <w:bottom w:w="0" w:type="dxa"/>
              <w:right w:w="0" w:type="dxa"/>
            </w:tcMar>
            <w:vAlign w:val="bottom"/>
            <w:hideMark/>
          </w:tcPr>
          <w:p w14:paraId="19C21977"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7" w:type="dxa"/>
            <w:tcBorders>
              <w:top w:val="single" w:sz="12" w:space="0" w:color="auto"/>
            </w:tcBorders>
            <w:shd w:val="clear" w:color="auto" w:fill="auto"/>
            <w:tcMar>
              <w:top w:w="0" w:type="dxa"/>
              <w:left w:w="0" w:type="dxa"/>
              <w:bottom w:w="0" w:type="dxa"/>
              <w:right w:w="0" w:type="dxa"/>
            </w:tcMar>
            <w:vAlign w:val="bottom"/>
            <w:hideMark/>
          </w:tcPr>
          <w:p w14:paraId="465797B6"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r>
      <w:tr w:rsidR="00684CF8" w:rsidRPr="00684CF8" w14:paraId="719A5420" w14:textId="77777777" w:rsidTr="00DF75A7">
        <w:tc>
          <w:tcPr>
            <w:tcW w:w="1560" w:type="dxa"/>
            <w:tcBorders>
              <w:bottom w:val="single" w:sz="12" w:space="0" w:color="auto"/>
            </w:tcBorders>
            <w:shd w:val="clear" w:color="auto" w:fill="auto"/>
            <w:tcMar>
              <w:top w:w="0" w:type="dxa"/>
              <w:left w:w="0" w:type="dxa"/>
              <w:bottom w:w="0" w:type="dxa"/>
              <w:right w:w="0" w:type="dxa"/>
            </w:tcMar>
            <w:hideMark/>
          </w:tcPr>
          <w:p w14:paraId="7D17E9BB" w14:textId="77777777" w:rsidR="00DF75A7" w:rsidRPr="00684CF8" w:rsidRDefault="00DF75A7" w:rsidP="00DF75A7">
            <w:pPr>
              <w:suppressAutoHyphens w:val="0"/>
              <w:spacing w:before="40" w:after="40" w:line="220" w:lineRule="exact"/>
              <w:rPr>
                <w:rFonts w:cs="Times New Roman"/>
                <w:sz w:val="18"/>
              </w:rPr>
            </w:pPr>
            <w:r w:rsidRPr="00684CF8">
              <w:rPr>
                <w:rFonts w:cs="Times New Roman"/>
                <w:sz w:val="18"/>
              </w:rPr>
              <w:t>Прочие причины</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196EA7EB"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452C94F3"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3</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5A5AF90E"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3</w:t>
            </w:r>
          </w:p>
        </w:tc>
        <w:tc>
          <w:tcPr>
            <w:tcW w:w="727" w:type="dxa"/>
            <w:tcBorders>
              <w:bottom w:val="single" w:sz="12" w:space="0" w:color="auto"/>
            </w:tcBorders>
            <w:shd w:val="clear" w:color="auto" w:fill="auto"/>
            <w:tcMar>
              <w:top w:w="0" w:type="dxa"/>
              <w:left w:w="0" w:type="dxa"/>
              <w:bottom w:w="0" w:type="dxa"/>
              <w:right w:w="0" w:type="dxa"/>
            </w:tcMar>
            <w:vAlign w:val="bottom"/>
            <w:hideMark/>
          </w:tcPr>
          <w:p w14:paraId="6F117290"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7</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0B64EE69"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1</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3A1ADB6E"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2</w:t>
            </w:r>
          </w:p>
        </w:tc>
        <w:tc>
          <w:tcPr>
            <w:tcW w:w="726" w:type="dxa"/>
            <w:tcBorders>
              <w:bottom w:val="single" w:sz="12" w:space="0" w:color="auto"/>
            </w:tcBorders>
            <w:shd w:val="clear" w:color="auto" w:fill="auto"/>
            <w:tcMar>
              <w:top w:w="0" w:type="dxa"/>
              <w:left w:w="0" w:type="dxa"/>
              <w:bottom w:w="0" w:type="dxa"/>
              <w:right w:w="0" w:type="dxa"/>
            </w:tcMar>
            <w:vAlign w:val="bottom"/>
            <w:hideMark/>
          </w:tcPr>
          <w:p w14:paraId="3360E806"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0</w:t>
            </w:r>
          </w:p>
        </w:tc>
        <w:tc>
          <w:tcPr>
            <w:tcW w:w="727" w:type="dxa"/>
            <w:tcBorders>
              <w:bottom w:val="single" w:sz="12" w:space="0" w:color="auto"/>
            </w:tcBorders>
            <w:shd w:val="clear" w:color="auto" w:fill="auto"/>
            <w:tcMar>
              <w:top w:w="0" w:type="dxa"/>
              <w:left w:w="0" w:type="dxa"/>
              <w:bottom w:w="0" w:type="dxa"/>
              <w:right w:w="0" w:type="dxa"/>
            </w:tcMar>
            <w:vAlign w:val="bottom"/>
            <w:hideMark/>
          </w:tcPr>
          <w:p w14:paraId="27B1F896" w14:textId="77777777" w:rsidR="00DF75A7" w:rsidRPr="00684CF8" w:rsidRDefault="00DF75A7" w:rsidP="00DF75A7">
            <w:pPr>
              <w:suppressAutoHyphens w:val="0"/>
              <w:spacing w:before="40" w:after="40" w:line="220" w:lineRule="exact"/>
              <w:jc w:val="right"/>
              <w:rPr>
                <w:rFonts w:cs="Times New Roman"/>
                <w:sz w:val="18"/>
              </w:rPr>
            </w:pPr>
            <w:r w:rsidRPr="00684CF8">
              <w:rPr>
                <w:rFonts w:cs="Times New Roman"/>
                <w:sz w:val="18"/>
              </w:rPr>
              <w:t>1</w:t>
            </w:r>
          </w:p>
        </w:tc>
      </w:tr>
    </w:tbl>
    <w:p w14:paraId="489A5453" w14:textId="77777777" w:rsidR="00DF75A7" w:rsidRPr="00DF75A7" w:rsidRDefault="00DF75A7" w:rsidP="000B5550">
      <w:pPr>
        <w:pStyle w:val="SingleTxtG"/>
        <w:spacing w:before="120" w:after="240" w:line="220" w:lineRule="exact"/>
        <w:ind w:firstLine="170"/>
        <w:rPr>
          <w:sz w:val="18"/>
          <w:szCs w:val="18"/>
        </w:rPr>
      </w:pPr>
      <w:r w:rsidRPr="00DF75A7">
        <w:rPr>
          <w:i/>
          <w:iCs/>
          <w:sz w:val="18"/>
          <w:szCs w:val="18"/>
        </w:rPr>
        <w:t>Источник</w:t>
      </w:r>
      <w:r w:rsidRPr="00DF75A7">
        <w:rPr>
          <w:sz w:val="18"/>
          <w:szCs w:val="18"/>
        </w:rPr>
        <w:t>: Служба исполнения уголовных наказаний.</w:t>
      </w:r>
    </w:p>
    <w:p w14:paraId="63A1C200" w14:textId="77777777" w:rsidR="00DF75A7" w:rsidRPr="00684CF8" w:rsidRDefault="00DF75A7" w:rsidP="000B5550">
      <w:pPr>
        <w:pStyle w:val="H23G"/>
      </w:pPr>
      <w:bookmarkStart w:id="86" w:name="_Toc32364330"/>
      <w:r w:rsidRPr="00684CF8">
        <w:tab/>
      </w:r>
      <w:r w:rsidRPr="00684CF8">
        <w:tab/>
        <w:t>Смертная казнь</w:t>
      </w:r>
      <w:bookmarkEnd w:id="86"/>
    </w:p>
    <w:p w14:paraId="4F9C6FA3" w14:textId="77777777" w:rsidR="00DF75A7" w:rsidRPr="00DF75A7" w:rsidRDefault="00DF75A7" w:rsidP="00DF75A7">
      <w:pPr>
        <w:pStyle w:val="SingleTxtG"/>
      </w:pPr>
      <w:r w:rsidRPr="00DF75A7">
        <w:t>231.</w:t>
      </w:r>
      <w:r w:rsidRPr="00DF75A7">
        <w:tab/>
        <w:t>Финляндия отменила смертную казнь в 1972 году. В мирное время смертная казнь в последний раз применялась в Финляндии в 1800-х годах.</w:t>
      </w:r>
    </w:p>
    <w:p w14:paraId="3F73A0CC" w14:textId="77777777" w:rsidR="00DF75A7" w:rsidRPr="00684CF8" w:rsidRDefault="00DF75A7" w:rsidP="000B5550">
      <w:pPr>
        <w:pStyle w:val="H23G"/>
      </w:pPr>
      <w:bookmarkStart w:id="87" w:name="_Toc32364331"/>
      <w:r w:rsidRPr="00684CF8">
        <w:tab/>
      </w:r>
      <w:r w:rsidRPr="00684CF8">
        <w:tab/>
        <w:t>Статус жертвы преступления</w:t>
      </w:r>
      <w:bookmarkEnd w:id="87"/>
    </w:p>
    <w:p w14:paraId="51EC911E" w14:textId="77777777" w:rsidR="00DF75A7" w:rsidRPr="00DF75A7" w:rsidRDefault="00DF75A7" w:rsidP="00DF75A7">
      <w:pPr>
        <w:pStyle w:val="SingleTxtG"/>
      </w:pPr>
      <w:r w:rsidRPr="00DF75A7">
        <w:t>232.</w:t>
      </w:r>
      <w:r w:rsidRPr="00DF75A7">
        <w:tab/>
        <w:t xml:space="preserve">Жертвы преступления имеют право на компенсацию ущерба, причиненного им преступлением. Такой ущерб может включать в себя телесные повреждения, материальный ущерб или чисто финансовые потери. Компенсация может быть </w:t>
      </w:r>
      <w:r w:rsidRPr="00DF75A7">
        <w:lastRenderedPageBreak/>
        <w:t>назначена в связи с уголовным преследованием, когда дела объединяются в одном производстве. Закон о гражданско-правовой ответственности (412/1974) регулирует порядок выплаты компенсаций за ущерб, при этом компенсация выплачивается стороной, причинившей ущерб. Ущерб, причиненный физическому лицу или имуществу умершего лица, может быть вторично возмещен государством в соответствии с Законом о компенсации за нанесение противозаконного ущерба (1204/2005). В этом случае из компенсации вычитается сумма, уже выплаченная в порядке возмещения стороне, понесшей ущерб. На компенсацию, выплачиваемую в соответствии с Законом о компенсации за нанесение противозаконного ущерба, проценты не начисляются. В Финляндии не ведется статистика о размерах возмещения ущерба, выплаченного лицами, причинившими ущерб.</w:t>
      </w:r>
    </w:p>
    <w:p w14:paraId="7B881206" w14:textId="77777777" w:rsidR="00DF75A7" w:rsidRPr="00DF75A7" w:rsidRDefault="00DF75A7" w:rsidP="00DF75A7">
      <w:pPr>
        <w:pStyle w:val="SingleTxtG"/>
      </w:pPr>
      <w:r w:rsidRPr="00DF75A7">
        <w:t>233.</w:t>
      </w:r>
      <w:r w:rsidRPr="00DF75A7">
        <w:tab/>
        <w:t xml:space="preserve">Статус жертвы преступления, </w:t>
      </w:r>
      <w:r w:rsidR="008B4107" w:rsidRPr="00684CF8">
        <w:t>т. </w:t>
      </w:r>
      <w:r w:rsidRPr="00DF75A7">
        <w:t>е</w:t>
      </w:r>
      <w:r w:rsidR="008B4107" w:rsidRPr="00684CF8">
        <w:t>.</w:t>
      </w:r>
      <w:r w:rsidRPr="00DF75A7">
        <w:t xml:space="preserve"> потерпевшей стороны, в уголовном судопроизводстве в Финляндии по международным меркам весьма высок. Распоряжения о выплате компенсации потерпевшему за совершенное преступление могут быть истребованы, в первую очередь, от преступника, а также от государственной казны, страховой компании или Ведомства социального страхования Финляндии (</w:t>
      </w:r>
      <w:r w:rsidR="000B5550" w:rsidRPr="00684CF8">
        <w:t>«</w:t>
      </w:r>
      <w:r w:rsidRPr="00DF75A7">
        <w:t>Кела</w:t>
      </w:r>
      <w:r w:rsidR="000B5550" w:rsidRPr="00684CF8">
        <w:t>»</w:t>
      </w:r>
      <w:r w:rsidRPr="00DF75A7">
        <w:t>). Компенсация, выплачиваемая на основании Закона о компенсации за нанесение противозаконного ущерба, является достаточно высокой по международным критериям. Жертвам преступлений также предлагается широкий ряд консультативных, разъяснительных и вспомогательных услуг, которые к тому же постоянно совершенствуются. Разработка уголовного законодательства также во все большей степени направлена на учет положения жертв преступлений.</w:t>
      </w:r>
    </w:p>
    <w:p w14:paraId="2E286020" w14:textId="77777777" w:rsidR="00DF75A7" w:rsidRPr="00684CF8" w:rsidRDefault="00DF75A7" w:rsidP="000B5550">
      <w:pPr>
        <w:pStyle w:val="H23G"/>
      </w:pPr>
      <w:bookmarkStart w:id="88" w:name="_Toc32364332"/>
      <w:r w:rsidRPr="00684CF8">
        <w:tab/>
        <w:t>s)</w:t>
      </w:r>
      <w:r w:rsidRPr="00684CF8">
        <w:tab/>
        <w:t>Всеобщая воинская обязанность</w:t>
      </w:r>
      <w:bookmarkEnd w:id="88"/>
    </w:p>
    <w:p w14:paraId="5DFC6D7C" w14:textId="77777777" w:rsidR="00DF75A7" w:rsidRPr="00DF75A7" w:rsidRDefault="00DF75A7" w:rsidP="00DF75A7">
      <w:pPr>
        <w:pStyle w:val="SingleTxtG"/>
      </w:pPr>
      <w:r w:rsidRPr="00DF75A7">
        <w:t>234.</w:t>
      </w:r>
      <w:r w:rsidRPr="00DF75A7">
        <w:tab/>
        <w:t>Всеобщая воинская обязанность гарантирует военную безопасность Финляндии. Поскольку Финляндия не является членом какого-либо военного альянса, она готова защищать свою территорию, опираясь на собственные ресурсы. Всеобщая воинская обязанность обеспечивает объем ресурсов, достаточный для того, чтобы армия, военно-морской флот и военно-воздушные силы могли эффективно действовать во время войны и кризисов.</w:t>
      </w:r>
    </w:p>
    <w:p w14:paraId="3801214A" w14:textId="77777777" w:rsidR="00DF75A7" w:rsidRPr="00DF75A7" w:rsidRDefault="00DF75A7" w:rsidP="00DF75A7">
      <w:pPr>
        <w:pStyle w:val="SingleTxtG"/>
      </w:pPr>
      <w:r w:rsidRPr="00DF75A7">
        <w:t>235.</w:t>
      </w:r>
      <w:r w:rsidRPr="00DF75A7">
        <w:tab/>
        <w:t>Все финские мужчины в возрасте от 18 до 60 лет являются военнообязанными. Женщины могут подать просьбу о прохождении добровольной военной службы. Все мужчины должны проходить либо военную, либо невоенную службу. Каждый мужчина должен прибыть на сборы в тот год, когда ему исполнится 18 лет. Место и сроки службы призывников определяются во время призыва; одновременно устанавливается их годность к службе. Если призывник не годен к службе, он освобождается от военной службы в мирное время. Призывник может отслужить позже, если у него есть веские причины отложить свою службу. Женщины могут подать просьбу о прохождении добровольной военной службы, направив е</w:t>
      </w:r>
      <w:r w:rsidR="008808F1" w:rsidRPr="00684CF8">
        <w:t>е</w:t>
      </w:r>
      <w:r w:rsidRPr="00DF75A7">
        <w:t xml:space="preserve"> в одно из региональных отделений Сил обороны.</w:t>
      </w:r>
    </w:p>
    <w:p w14:paraId="1E66D54C" w14:textId="77777777" w:rsidR="00DF75A7" w:rsidRPr="00DF75A7" w:rsidRDefault="00DF75A7" w:rsidP="00DF75A7">
      <w:pPr>
        <w:pStyle w:val="SingleTxtG"/>
      </w:pPr>
      <w:r w:rsidRPr="00DF75A7">
        <w:t>236.</w:t>
      </w:r>
      <w:r w:rsidRPr="00DF75A7">
        <w:tab/>
        <w:t>Военная служба длится 165, 255 или 347 дней. Невоенная служба в настоящее время длится 347 дней. После того, как призывники закончили военную службу, они переводятся в запас. Находящимся в запасе может быть предписано пройти переподготовку и, при необходимости, защитить Финляндию с оружием в руках.</w:t>
      </w:r>
    </w:p>
    <w:p w14:paraId="6A118E09" w14:textId="77777777" w:rsidR="00DF75A7" w:rsidRPr="00684CF8" w:rsidRDefault="00DF75A7" w:rsidP="000B5550">
      <w:pPr>
        <w:pStyle w:val="HChG"/>
      </w:pPr>
      <w:bookmarkStart w:id="89" w:name="_Toc32364333"/>
      <w:r w:rsidRPr="00684CF8">
        <w:tab/>
        <w:t>II.</w:t>
      </w:r>
      <w:r w:rsidRPr="00684CF8">
        <w:tab/>
        <w:t>Общие основы защиты и поощрения прав человека</w:t>
      </w:r>
      <w:bookmarkEnd w:id="89"/>
    </w:p>
    <w:p w14:paraId="3E82EFC6" w14:textId="77777777" w:rsidR="00DF75A7" w:rsidRPr="00684CF8" w:rsidRDefault="00DF75A7" w:rsidP="000B5550">
      <w:pPr>
        <w:pStyle w:val="H1G"/>
      </w:pPr>
      <w:bookmarkStart w:id="90" w:name="_Toc32364334"/>
      <w:r w:rsidRPr="00684CF8">
        <w:tab/>
        <w:t>C.</w:t>
      </w:r>
      <w:r w:rsidRPr="00684CF8">
        <w:tab/>
        <w:t>Принятие международных норм в области прав человека</w:t>
      </w:r>
      <w:bookmarkEnd w:id="90"/>
    </w:p>
    <w:p w14:paraId="4035461D" w14:textId="77777777" w:rsidR="00DF75A7" w:rsidRPr="00DF75A7" w:rsidRDefault="00DF75A7" w:rsidP="00DF75A7">
      <w:pPr>
        <w:pStyle w:val="SingleTxtG"/>
      </w:pPr>
      <w:r w:rsidRPr="00DF75A7">
        <w:t>237.</w:t>
      </w:r>
      <w:r w:rsidRPr="00DF75A7">
        <w:tab/>
        <w:t xml:space="preserve">См. </w:t>
      </w:r>
      <w:r w:rsidR="000B5550" w:rsidRPr="00684CF8">
        <w:t>п</w:t>
      </w:r>
      <w:r w:rsidRPr="00DF75A7">
        <w:t>риложение III.</w:t>
      </w:r>
    </w:p>
    <w:p w14:paraId="56CF8F70" w14:textId="77777777" w:rsidR="00DF75A7" w:rsidRPr="00684CF8" w:rsidRDefault="00DF75A7" w:rsidP="000B5550">
      <w:pPr>
        <w:pStyle w:val="H1G"/>
      </w:pPr>
      <w:bookmarkStart w:id="91" w:name="_Toc32364335"/>
      <w:r w:rsidRPr="00684CF8">
        <w:lastRenderedPageBreak/>
        <w:tab/>
        <w:t>D.</w:t>
      </w:r>
      <w:r w:rsidRPr="00684CF8">
        <w:tab/>
        <w:t>Правовые рамки защиты прав человека</w:t>
      </w:r>
      <w:bookmarkEnd w:id="91"/>
    </w:p>
    <w:p w14:paraId="73BEB1C6" w14:textId="77777777" w:rsidR="00DF75A7" w:rsidRPr="00684CF8" w:rsidRDefault="00DF75A7" w:rsidP="000B5550">
      <w:pPr>
        <w:pStyle w:val="H23G"/>
      </w:pPr>
      <w:bookmarkStart w:id="92" w:name="_Toc32364336"/>
      <w:r w:rsidRPr="00684CF8">
        <w:tab/>
        <w:t>a)</w:t>
      </w:r>
      <w:r w:rsidRPr="00684CF8">
        <w:tab/>
        <w:t>Основные права и права человека, гарантированные национальным законодательством</w:t>
      </w:r>
      <w:bookmarkEnd w:id="92"/>
    </w:p>
    <w:p w14:paraId="75B6DCF5" w14:textId="77777777" w:rsidR="00DF75A7" w:rsidRPr="00DF75A7" w:rsidRDefault="00DF75A7" w:rsidP="00DF75A7">
      <w:pPr>
        <w:pStyle w:val="SingleTxtG"/>
      </w:pPr>
      <w:r w:rsidRPr="00DF75A7">
        <w:t>238.</w:t>
      </w:r>
      <w:r w:rsidRPr="00DF75A7">
        <w:tab/>
        <w:t>Пункт 2 статьи 1 Конституции Финляндии гарантирует неприкосновенность человеческого достоинства. В соответствии с тем же положением Конституция Финляндии также обеспечивает свободы и права личности и содействует законности в обществе. В соответствии с пунктом 3 статьи 1 Конституции Финляндия участвует в международном сотрудничестве с целью защиты мира и обеспечения прав человека, а</w:t>
      </w:r>
      <w:r w:rsidR="000B5550" w:rsidRPr="00684CF8">
        <w:t> </w:t>
      </w:r>
      <w:r w:rsidRPr="00DF75A7">
        <w:t>также развития общества. Указанный пункт не является исчерпывающим и позволяет Финляндии участвовать и в других формах международного сотрудничества. В</w:t>
      </w:r>
      <w:r w:rsidR="000B5550" w:rsidRPr="00684CF8">
        <w:t> </w:t>
      </w:r>
      <w:r w:rsidRPr="00DF75A7">
        <w:t>пункте</w:t>
      </w:r>
      <w:r w:rsidR="000B5550" w:rsidRPr="00684CF8">
        <w:t> </w:t>
      </w:r>
      <w:r w:rsidRPr="00DF75A7">
        <w:t>3 упоминается также о членстве Финляндии в Европейском союзе. В</w:t>
      </w:r>
      <w:r w:rsidR="000B5550" w:rsidRPr="00684CF8">
        <w:t> </w:t>
      </w:r>
      <w:r w:rsidRPr="00DF75A7">
        <w:t>пункте</w:t>
      </w:r>
      <w:r w:rsidR="000B5550" w:rsidRPr="00684CF8">
        <w:t> </w:t>
      </w:r>
      <w:r w:rsidRPr="00DF75A7">
        <w:t>3 статьи 2 Конституции подтверждается верховенство права в Финляндии и говорится, что любое осуществление государственной власти должно основываться на законе и что во всей государственной деятельности должен неукоснительно соблюдаться закон. В Финляндии основное внимание в области верховенства права уделяется примату законодательства, который прямо применяется к писаным законам. Кроме того, статья 22 Конституции Финляндии возлагает на государственную власть обязанность следить за соблюдением основных прав и свобод и общечеловеческих прав. Помимо правительства эта обязанность распространяется на законотворчество и отправление правосудия. В соответствии с законом органы государственной власти должны воздерживаться от нарушений основных прав и общечеловеческих прав и обязаны активно содействовать их реализации.</w:t>
      </w:r>
    </w:p>
    <w:p w14:paraId="03478FBB" w14:textId="77777777" w:rsidR="00DF75A7" w:rsidRPr="00DF75A7" w:rsidRDefault="00DF75A7" w:rsidP="00DF75A7">
      <w:pPr>
        <w:pStyle w:val="SingleTxtG"/>
      </w:pPr>
      <w:r w:rsidRPr="00DF75A7">
        <w:t>239.</w:t>
      </w:r>
      <w:r w:rsidRPr="00DF75A7">
        <w:tab/>
        <w:t>Финляндия соблюдает общие принципы защиты основных и общечеловеческих прав</w:t>
      </w:r>
      <w:r w:rsidR="000B5550" w:rsidRPr="00684CF8">
        <w:t xml:space="preserve"> — </w:t>
      </w:r>
      <w:r w:rsidRPr="00DF75A7">
        <w:t xml:space="preserve">их универсальность, неделимость и взаимозависимость </w:t>
      </w:r>
      <w:r w:rsidR="000B5550" w:rsidRPr="00684CF8">
        <w:t>—</w:t>
      </w:r>
      <w:r w:rsidRPr="00DF75A7">
        <w:t xml:space="preserve"> и применяет их без какой-либо дискриминации. Конституция предусматривает универсальную гарантию основных и общечеловеческих прав, поскольку они гарантируются каждому человеку, находящемуся под юрисдикцией Финляндии.</w:t>
      </w:r>
    </w:p>
    <w:p w14:paraId="6B619BA0" w14:textId="77777777" w:rsidR="00DF75A7" w:rsidRPr="00DF75A7" w:rsidRDefault="00DF75A7" w:rsidP="00DF75A7">
      <w:pPr>
        <w:pStyle w:val="SingleTxtG"/>
      </w:pPr>
      <w:r w:rsidRPr="00DF75A7">
        <w:t>240.</w:t>
      </w:r>
      <w:r w:rsidRPr="00DF75A7">
        <w:tab/>
        <w:t>Реализация общечеловеческих и основных прав часто рассматривается как единое целое на национальном уровне, а правовая защита прав человека на национальном уровне часто приравнивается к правовой защите основных прав. Это</w:t>
      </w:r>
      <w:r w:rsidR="000B5550" w:rsidRPr="00684CF8">
        <w:t> </w:t>
      </w:r>
      <w:r w:rsidRPr="00DF75A7">
        <w:t>объясняется существенным сближением положений об основных правах и положений о правах человека, закрепленных в международных договорах по правам человека, в рамках реформы в области основных прав, проведенной в 1995 году. Кроме того, в Финляндии правозащитные положения оказывают воздействие на толкование положений об основных правах.</w:t>
      </w:r>
    </w:p>
    <w:p w14:paraId="1A9C26CA" w14:textId="77777777" w:rsidR="00DF75A7" w:rsidRPr="00DF75A7" w:rsidRDefault="00DF75A7" w:rsidP="00DF75A7">
      <w:pPr>
        <w:pStyle w:val="SingleTxtG"/>
      </w:pPr>
      <w:r w:rsidRPr="00DF75A7">
        <w:t>241.</w:t>
      </w:r>
      <w:r w:rsidRPr="00DF75A7">
        <w:tab/>
        <w:t>Гражданские и политические права, а также экономические, социальные и культурные права, включенные в Конституцию Финляндии, являются следующими:</w:t>
      </w:r>
    </w:p>
    <w:p w14:paraId="7388DFE2" w14:textId="77777777" w:rsidR="00DF75A7" w:rsidRPr="00DF75A7" w:rsidRDefault="00DF75A7" w:rsidP="000B5550">
      <w:pPr>
        <w:pStyle w:val="SingleTxtG"/>
        <w:ind w:left="1701"/>
        <w:rPr>
          <w:i/>
        </w:rPr>
      </w:pPr>
      <w:r w:rsidRPr="00DF75A7">
        <w:rPr>
          <w:i/>
          <w:iCs/>
        </w:rPr>
        <w:t>статья 1, пункт 2, и статья 7: право человека на самоопределение</w:t>
      </w:r>
      <w:r w:rsidR="000B5550" w:rsidRPr="00684CF8">
        <w:rPr>
          <w:i/>
          <w:iCs/>
        </w:rPr>
        <w:t>;</w:t>
      </w:r>
    </w:p>
    <w:p w14:paraId="6501CC66" w14:textId="77777777" w:rsidR="00DF75A7" w:rsidRPr="00DF75A7" w:rsidRDefault="00DF75A7" w:rsidP="000B5550">
      <w:pPr>
        <w:pStyle w:val="SingleTxtG"/>
        <w:ind w:left="1701"/>
        <w:rPr>
          <w:i/>
        </w:rPr>
      </w:pPr>
      <w:r w:rsidRPr="00DF75A7">
        <w:rPr>
          <w:i/>
          <w:iCs/>
        </w:rPr>
        <w:t>статья 6: равноправие;</w:t>
      </w:r>
      <w:r w:rsidRPr="00DF75A7">
        <w:t xml:space="preserve"> </w:t>
      </w:r>
      <w:r w:rsidRPr="00DF75A7">
        <w:rPr>
          <w:i/>
          <w:iCs/>
        </w:rPr>
        <w:t>запрещение дискриминации;</w:t>
      </w:r>
      <w:r w:rsidRPr="00DF75A7">
        <w:t xml:space="preserve"> </w:t>
      </w:r>
      <w:r w:rsidRPr="00DF75A7">
        <w:rPr>
          <w:i/>
          <w:iCs/>
        </w:rPr>
        <w:t>равное обращение с детьми и равенство между полами;</w:t>
      </w:r>
      <w:r w:rsidRPr="00DF75A7">
        <w:t xml:space="preserve"> </w:t>
      </w:r>
    </w:p>
    <w:p w14:paraId="110B4318" w14:textId="77777777" w:rsidR="00DF75A7" w:rsidRPr="00DF75A7" w:rsidRDefault="00DF75A7" w:rsidP="000B5550">
      <w:pPr>
        <w:pStyle w:val="SingleTxtG"/>
        <w:ind w:left="1701"/>
        <w:rPr>
          <w:i/>
        </w:rPr>
      </w:pPr>
      <w:r w:rsidRPr="00DF75A7">
        <w:rPr>
          <w:i/>
          <w:iCs/>
        </w:rPr>
        <w:t>статья 7: право на жизнь, личную свободу, неприкосновенность и безопасность;</w:t>
      </w:r>
      <w:r w:rsidRPr="00DF75A7">
        <w:t xml:space="preserve"> </w:t>
      </w:r>
      <w:r w:rsidRPr="00DF75A7">
        <w:rPr>
          <w:i/>
          <w:iCs/>
        </w:rPr>
        <w:t>запрещение смертной казни, пыток и обращения, унижающего человеческое достоинство;</w:t>
      </w:r>
      <w:r w:rsidRPr="00DF75A7">
        <w:t xml:space="preserve"> </w:t>
      </w:r>
      <w:r w:rsidRPr="00DF75A7">
        <w:rPr>
          <w:i/>
          <w:iCs/>
        </w:rPr>
        <w:t>запрет на произвольное лишение свободы</w:t>
      </w:r>
      <w:r w:rsidR="000B5550" w:rsidRPr="00684CF8">
        <w:rPr>
          <w:i/>
          <w:iCs/>
        </w:rPr>
        <w:t>;</w:t>
      </w:r>
    </w:p>
    <w:p w14:paraId="7819A19E" w14:textId="77777777" w:rsidR="00DF75A7" w:rsidRPr="00DF75A7" w:rsidRDefault="00DF75A7" w:rsidP="000B5550">
      <w:pPr>
        <w:pStyle w:val="SingleTxtG"/>
        <w:ind w:left="1701"/>
        <w:rPr>
          <w:i/>
        </w:rPr>
      </w:pPr>
      <w:r w:rsidRPr="00DF75A7">
        <w:rPr>
          <w:i/>
          <w:iCs/>
        </w:rPr>
        <w:t>статья 8: принцип законности в уголовных делах (nullum crimen, nulla poena sine lege)</w:t>
      </w:r>
      <w:r w:rsidR="000B5550" w:rsidRPr="00684CF8">
        <w:rPr>
          <w:i/>
          <w:iCs/>
        </w:rPr>
        <w:t>;</w:t>
      </w:r>
    </w:p>
    <w:p w14:paraId="0A5A298E" w14:textId="77777777" w:rsidR="00DF75A7" w:rsidRPr="00DF75A7" w:rsidRDefault="00DF75A7" w:rsidP="000B5550">
      <w:pPr>
        <w:pStyle w:val="SingleTxtG"/>
        <w:ind w:left="1701"/>
        <w:rPr>
          <w:i/>
        </w:rPr>
      </w:pPr>
      <w:r w:rsidRPr="00DF75A7">
        <w:rPr>
          <w:i/>
          <w:iCs/>
        </w:rPr>
        <w:t>статья 9: свобода передвижения и свобода выбора места жительства;</w:t>
      </w:r>
      <w:r w:rsidRPr="00DF75A7">
        <w:t xml:space="preserve"> </w:t>
      </w:r>
      <w:r w:rsidRPr="00DF75A7">
        <w:rPr>
          <w:i/>
          <w:iCs/>
        </w:rPr>
        <w:t>свобода покидать страну;</w:t>
      </w:r>
      <w:r w:rsidRPr="00DF75A7">
        <w:t xml:space="preserve"> </w:t>
      </w:r>
      <w:r w:rsidRPr="00DF75A7">
        <w:rPr>
          <w:i/>
          <w:iCs/>
        </w:rPr>
        <w:t>запрет на недопущение въезда граждан в страну и запрет на их выдачу;</w:t>
      </w:r>
      <w:r w:rsidRPr="00DF75A7">
        <w:t xml:space="preserve"> </w:t>
      </w:r>
      <w:r w:rsidRPr="00DF75A7">
        <w:rPr>
          <w:i/>
          <w:iCs/>
        </w:rPr>
        <w:t>ограничение права на выдачу и запрет на выдачу иностранного гражданина в страну, где ему угрожает опасность подвергнуться обращению, нарушающему человеческое достоинство</w:t>
      </w:r>
      <w:r w:rsidR="000B5550" w:rsidRPr="00684CF8">
        <w:rPr>
          <w:i/>
          <w:iCs/>
        </w:rPr>
        <w:t>;</w:t>
      </w:r>
    </w:p>
    <w:p w14:paraId="3FF8E981" w14:textId="77777777" w:rsidR="00DF75A7" w:rsidRPr="00DF75A7" w:rsidRDefault="00DF75A7" w:rsidP="000B5550">
      <w:pPr>
        <w:pStyle w:val="SingleTxtG"/>
        <w:ind w:left="1701"/>
        <w:rPr>
          <w:i/>
        </w:rPr>
      </w:pPr>
      <w:r w:rsidRPr="00DF75A7">
        <w:rPr>
          <w:i/>
          <w:iCs/>
        </w:rPr>
        <w:t>статья 10: защита частной жизни, чести и неприкосновенности жилища;</w:t>
      </w:r>
      <w:r w:rsidRPr="00DF75A7">
        <w:t xml:space="preserve"> </w:t>
      </w:r>
      <w:r w:rsidRPr="00DF75A7">
        <w:rPr>
          <w:i/>
          <w:iCs/>
        </w:rPr>
        <w:t>защита тайны переписки, телефонных переговоров, а также иных интимных сведений;</w:t>
      </w:r>
      <w:r w:rsidRPr="00DF75A7">
        <w:t xml:space="preserve"> </w:t>
      </w:r>
      <w:r w:rsidRPr="00DF75A7">
        <w:rPr>
          <w:i/>
          <w:iCs/>
        </w:rPr>
        <w:t>сюда также включена защита семейной жизни</w:t>
      </w:r>
      <w:r w:rsidR="000B5550" w:rsidRPr="00684CF8">
        <w:rPr>
          <w:i/>
          <w:iCs/>
        </w:rPr>
        <w:t>;</w:t>
      </w:r>
    </w:p>
    <w:p w14:paraId="4B22C730" w14:textId="77777777" w:rsidR="00DF75A7" w:rsidRPr="00DF75A7" w:rsidRDefault="00DF75A7" w:rsidP="000B5550">
      <w:pPr>
        <w:pStyle w:val="SingleTxtG"/>
        <w:ind w:left="1701"/>
        <w:rPr>
          <w:i/>
        </w:rPr>
      </w:pPr>
      <w:r w:rsidRPr="00DF75A7">
        <w:rPr>
          <w:i/>
          <w:iCs/>
        </w:rPr>
        <w:lastRenderedPageBreak/>
        <w:t>статья 11: свобода религии и совести</w:t>
      </w:r>
      <w:r w:rsidR="000B5550" w:rsidRPr="00684CF8">
        <w:rPr>
          <w:i/>
          <w:iCs/>
        </w:rPr>
        <w:t>;</w:t>
      </w:r>
    </w:p>
    <w:p w14:paraId="104067AA" w14:textId="77777777" w:rsidR="00DF75A7" w:rsidRPr="00DF75A7" w:rsidRDefault="00DF75A7" w:rsidP="000B5550">
      <w:pPr>
        <w:pStyle w:val="SingleTxtG"/>
        <w:ind w:left="1701"/>
        <w:rPr>
          <w:i/>
        </w:rPr>
      </w:pPr>
      <w:r w:rsidRPr="00DF75A7">
        <w:rPr>
          <w:i/>
          <w:iCs/>
        </w:rPr>
        <w:t>статья 12: свобода высказываний и открытость официальных документов и съемок</w:t>
      </w:r>
      <w:r w:rsidR="000B5550" w:rsidRPr="00684CF8">
        <w:rPr>
          <w:i/>
          <w:iCs/>
        </w:rPr>
        <w:t>;</w:t>
      </w:r>
    </w:p>
    <w:p w14:paraId="11D59577" w14:textId="77777777" w:rsidR="00DF75A7" w:rsidRPr="00DF75A7" w:rsidRDefault="00DF75A7" w:rsidP="000B5550">
      <w:pPr>
        <w:pStyle w:val="SingleTxtG"/>
        <w:ind w:left="1701"/>
        <w:rPr>
          <w:i/>
        </w:rPr>
      </w:pPr>
      <w:r w:rsidRPr="00DF75A7">
        <w:rPr>
          <w:i/>
          <w:iCs/>
        </w:rPr>
        <w:t>статья 13: свобода собраний и объединений;</w:t>
      </w:r>
      <w:r w:rsidRPr="00DF75A7">
        <w:t xml:space="preserve"> </w:t>
      </w:r>
      <w:r w:rsidRPr="00DF75A7">
        <w:rPr>
          <w:i/>
          <w:iCs/>
        </w:rPr>
        <w:t>право организовывать митинги и демонстрации;</w:t>
      </w:r>
      <w:r w:rsidRPr="00DF75A7">
        <w:t xml:space="preserve"> </w:t>
      </w:r>
      <w:r w:rsidRPr="00DF75A7">
        <w:rPr>
          <w:i/>
          <w:iCs/>
        </w:rPr>
        <w:t>свобода создания профсоюзов</w:t>
      </w:r>
      <w:r w:rsidR="000B5550" w:rsidRPr="00684CF8">
        <w:rPr>
          <w:i/>
          <w:iCs/>
        </w:rPr>
        <w:t>;</w:t>
      </w:r>
    </w:p>
    <w:p w14:paraId="49D3AC41" w14:textId="77777777" w:rsidR="00DF75A7" w:rsidRPr="00DF75A7" w:rsidRDefault="00DF75A7" w:rsidP="000B5550">
      <w:pPr>
        <w:pStyle w:val="SingleTxtG"/>
        <w:ind w:left="1701"/>
        <w:rPr>
          <w:i/>
        </w:rPr>
      </w:pPr>
      <w:r w:rsidRPr="00DF75A7">
        <w:rPr>
          <w:i/>
          <w:iCs/>
        </w:rPr>
        <w:t>статья 14: избирательные права и право на участие в выборах и референдумах;</w:t>
      </w:r>
      <w:r w:rsidRPr="00DF75A7">
        <w:t xml:space="preserve"> </w:t>
      </w:r>
      <w:r w:rsidRPr="00DF75A7">
        <w:rPr>
          <w:i/>
          <w:iCs/>
        </w:rPr>
        <w:t>право граждан, достигших совершеннолетия, избирать и быть избранными на выборах и участвовать в общественной деятельности</w:t>
      </w:r>
      <w:r w:rsidR="000B5550" w:rsidRPr="00684CF8">
        <w:rPr>
          <w:i/>
          <w:iCs/>
        </w:rPr>
        <w:t>;</w:t>
      </w:r>
    </w:p>
    <w:p w14:paraId="58841207" w14:textId="77777777" w:rsidR="00DF75A7" w:rsidRPr="00DF75A7" w:rsidRDefault="00DF75A7" w:rsidP="000B5550">
      <w:pPr>
        <w:pStyle w:val="SingleTxtG"/>
        <w:ind w:left="1701"/>
        <w:rPr>
          <w:i/>
        </w:rPr>
      </w:pPr>
      <w:r w:rsidRPr="00DF75A7">
        <w:rPr>
          <w:i/>
          <w:iCs/>
        </w:rPr>
        <w:t>статья 15: защита собственности</w:t>
      </w:r>
      <w:r w:rsidR="000B5550" w:rsidRPr="00684CF8">
        <w:rPr>
          <w:i/>
          <w:iCs/>
        </w:rPr>
        <w:t>;</w:t>
      </w:r>
    </w:p>
    <w:p w14:paraId="5DB47D45" w14:textId="77777777" w:rsidR="00DF75A7" w:rsidRPr="00DF75A7" w:rsidRDefault="00DF75A7" w:rsidP="000B5550">
      <w:pPr>
        <w:pStyle w:val="SingleTxtG"/>
        <w:ind w:left="1701"/>
        <w:rPr>
          <w:i/>
        </w:rPr>
      </w:pPr>
      <w:r w:rsidRPr="00DF75A7">
        <w:rPr>
          <w:i/>
          <w:iCs/>
        </w:rPr>
        <w:t>статья 16: права в области образования;</w:t>
      </w:r>
      <w:r w:rsidRPr="00DF75A7">
        <w:t xml:space="preserve"> </w:t>
      </w:r>
      <w:r w:rsidRPr="00DF75A7">
        <w:rPr>
          <w:i/>
          <w:iCs/>
        </w:rPr>
        <w:t>право на образование и культуру;</w:t>
      </w:r>
      <w:r w:rsidRPr="00DF75A7">
        <w:t xml:space="preserve"> </w:t>
      </w:r>
      <w:r w:rsidRPr="00DF75A7">
        <w:rPr>
          <w:i/>
          <w:iCs/>
        </w:rPr>
        <w:t>свобода занятия наукой, искусством и получения высшего образования</w:t>
      </w:r>
      <w:r w:rsidR="000B5550" w:rsidRPr="00684CF8">
        <w:rPr>
          <w:i/>
          <w:iCs/>
        </w:rPr>
        <w:t>;</w:t>
      </w:r>
    </w:p>
    <w:p w14:paraId="70369B07" w14:textId="77777777" w:rsidR="00DF75A7" w:rsidRPr="00DF75A7" w:rsidRDefault="00DF75A7" w:rsidP="000B5550">
      <w:pPr>
        <w:pStyle w:val="SingleTxtG"/>
        <w:ind w:left="1701"/>
        <w:rPr>
          <w:i/>
        </w:rPr>
      </w:pPr>
      <w:r w:rsidRPr="00DF75A7">
        <w:rPr>
          <w:i/>
          <w:iCs/>
        </w:rPr>
        <w:t>статья 17: языковые права;</w:t>
      </w:r>
      <w:r w:rsidRPr="00DF75A7">
        <w:t xml:space="preserve"> </w:t>
      </w:r>
      <w:r w:rsidRPr="00DF75A7">
        <w:rPr>
          <w:i/>
          <w:iCs/>
        </w:rPr>
        <w:t>право пользоваться финским или шведским языком в суде и других государственных органах;</w:t>
      </w:r>
      <w:r w:rsidRPr="00DF75A7">
        <w:t xml:space="preserve"> </w:t>
      </w:r>
      <w:r w:rsidRPr="00DF75A7">
        <w:rPr>
          <w:i/>
          <w:iCs/>
        </w:rPr>
        <w:t>право саами, рома и других групп на сохранение и развитие своего языка и культуры, а также права лиц, пользующихся языком жестов</w:t>
      </w:r>
      <w:r w:rsidR="000B5550" w:rsidRPr="00684CF8">
        <w:rPr>
          <w:i/>
          <w:iCs/>
        </w:rPr>
        <w:t>;</w:t>
      </w:r>
    </w:p>
    <w:p w14:paraId="79E64903" w14:textId="77777777" w:rsidR="00DF75A7" w:rsidRPr="00DF75A7" w:rsidRDefault="00DF75A7" w:rsidP="000B5550">
      <w:pPr>
        <w:pStyle w:val="SingleTxtG"/>
        <w:ind w:left="1701"/>
        <w:rPr>
          <w:i/>
        </w:rPr>
      </w:pPr>
      <w:r w:rsidRPr="00DF75A7">
        <w:rPr>
          <w:i/>
          <w:iCs/>
        </w:rPr>
        <w:t>статья 18: право на труд и свобода заниматься предпринимательством;</w:t>
      </w:r>
      <w:r w:rsidRPr="00DF75A7">
        <w:t xml:space="preserve"> </w:t>
      </w:r>
      <w:r w:rsidRPr="00DF75A7">
        <w:rPr>
          <w:i/>
          <w:iCs/>
        </w:rPr>
        <w:t>защита рабочей силы;</w:t>
      </w:r>
      <w:r w:rsidRPr="00DF75A7">
        <w:t xml:space="preserve"> </w:t>
      </w:r>
      <w:r w:rsidRPr="00DF75A7">
        <w:rPr>
          <w:i/>
          <w:iCs/>
        </w:rPr>
        <w:t>защита от увольнения без законного основания</w:t>
      </w:r>
      <w:r w:rsidR="000B5550" w:rsidRPr="00684CF8">
        <w:rPr>
          <w:i/>
          <w:iCs/>
        </w:rPr>
        <w:t>;</w:t>
      </w:r>
    </w:p>
    <w:p w14:paraId="128BE078" w14:textId="77777777" w:rsidR="00DF75A7" w:rsidRPr="00DF75A7" w:rsidRDefault="00DF75A7" w:rsidP="000B5550">
      <w:pPr>
        <w:pStyle w:val="SingleTxtG"/>
        <w:ind w:left="1701"/>
        <w:rPr>
          <w:i/>
        </w:rPr>
      </w:pPr>
      <w:r w:rsidRPr="00DF75A7">
        <w:rPr>
          <w:i/>
          <w:iCs/>
        </w:rPr>
        <w:t>статья 19: социальные права;</w:t>
      </w:r>
      <w:r w:rsidRPr="00DF75A7">
        <w:t xml:space="preserve"> </w:t>
      </w:r>
      <w:r w:rsidRPr="00DF75A7">
        <w:rPr>
          <w:i/>
          <w:iCs/>
        </w:rPr>
        <w:t>право на средства к существованию и уход, необходимые для достойной человека жизни;</w:t>
      </w:r>
      <w:r w:rsidRPr="00DF75A7">
        <w:t xml:space="preserve"> </w:t>
      </w:r>
      <w:r w:rsidRPr="00DF75A7">
        <w:rPr>
          <w:i/>
          <w:iCs/>
        </w:rPr>
        <w:t>право на базовое обеспечение в случае возникновения основных социальных рисков;</w:t>
      </w:r>
      <w:r w:rsidRPr="00DF75A7">
        <w:t xml:space="preserve"> </w:t>
      </w:r>
      <w:r w:rsidRPr="00DF75A7">
        <w:rPr>
          <w:i/>
          <w:iCs/>
        </w:rPr>
        <w:t>право на достаточное медицинское и социальное обслуживание, укрепление здоровья населения, поддержку тех, кто несет ответственность за содержание детей, и обязанность государственных органов содействовать каждому в праве на жилище и в поддержке его усилий по строительству собственного жилища</w:t>
      </w:r>
      <w:r w:rsidR="000B5550" w:rsidRPr="00684CF8">
        <w:rPr>
          <w:i/>
          <w:iCs/>
        </w:rPr>
        <w:t>;</w:t>
      </w:r>
    </w:p>
    <w:p w14:paraId="1B2F101F" w14:textId="77777777" w:rsidR="00DF75A7" w:rsidRPr="00DF75A7" w:rsidRDefault="00DF75A7" w:rsidP="000B5550">
      <w:pPr>
        <w:pStyle w:val="SingleTxtG"/>
        <w:ind w:left="1701"/>
        <w:rPr>
          <w:i/>
        </w:rPr>
      </w:pPr>
      <w:r w:rsidRPr="00DF75A7">
        <w:rPr>
          <w:i/>
          <w:iCs/>
        </w:rPr>
        <w:t>статья 20: ответственность каждого человека за охрану природы и ее разнообразия, окружающей среды и национального наследия</w:t>
      </w:r>
      <w:r w:rsidR="000B5550" w:rsidRPr="00684CF8">
        <w:rPr>
          <w:i/>
          <w:iCs/>
        </w:rPr>
        <w:t>;</w:t>
      </w:r>
    </w:p>
    <w:p w14:paraId="778A3566" w14:textId="77777777" w:rsidR="00DF75A7" w:rsidRPr="00DF75A7" w:rsidRDefault="00DF75A7" w:rsidP="000B5550">
      <w:pPr>
        <w:pStyle w:val="SingleTxtG"/>
        <w:ind w:left="1701"/>
        <w:rPr>
          <w:i/>
        </w:rPr>
      </w:pPr>
      <w:r w:rsidRPr="00DF75A7">
        <w:rPr>
          <w:i/>
          <w:iCs/>
        </w:rPr>
        <w:t>статья 21: судебная защита;</w:t>
      </w:r>
      <w:r w:rsidRPr="00DF75A7">
        <w:t xml:space="preserve"> </w:t>
      </w:r>
      <w:r w:rsidRPr="00DF75A7">
        <w:rPr>
          <w:i/>
          <w:iCs/>
        </w:rPr>
        <w:t>право на надлежащее рассмотрение дела судом или иным государственным органом и право на справедливое судебное разбирательство и качественное рассмотрение дела.</w:t>
      </w:r>
    </w:p>
    <w:p w14:paraId="0C2F767B" w14:textId="77777777" w:rsidR="00DF75A7" w:rsidRPr="00DF75A7" w:rsidRDefault="00DF75A7" w:rsidP="00DF75A7">
      <w:pPr>
        <w:pStyle w:val="SingleTxtG"/>
      </w:pPr>
      <w:r w:rsidRPr="00DF75A7">
        <w:t>242.</w:t>
      </w:r>
      <w:r w:rsidRPr="00DF75A7">
        <w:tab/>
        <w:t>В финской системе защиты основных прав первоочередное внимание уделяется официальной защите или защите, связанной с соблюдаемыми процедурами. Основные права можно изменять и отступать от них исключительно в порядке введения в действие конституционного законодательства, предусмотренного в статье 73 Конституции Финляндии. Указанная процедура требует, чтобы законодательное предложение было одобрено во втором чтении большинством голосов, а затем передано на рассмотрение первой сессии Парламента, проводимой сразу после парламентских выборов. После соответствующего заключения Комиссии по этому вопросу такое предложение должно быть одобрено в неизменном виде лишь в одном чтении на пленарном заседании путем решения, принятого двумя третями поданных голосов.</w:t>
      </w:r>
    </w:p>
    <w:p w14:paraId="13E0F9DE" w14:textId="77777777" w:rsidR="00DF75A7" w:rsidRPr="00DF75A7" w:rsidRDefault="00DF75A7" w:rsidP="00DF75A7">
      <w:pPr>
        <w:pStyle w:val="SingleTxtG"/>
      </w:pPr>
      <w:r w:rsidRPr="00DF75A7">
        <w:t>243.</w:t>
      </w:r>
      <w:r w:rsidRPr="00DF75A7">
        <w:tab/>
        <w:t>В дополнение к формальной защите общие и специальные требования по ограничению основных прав, сформулированные Комиссией по конституционному праву, стали установленными требованиями по ограничению основных прав. Общие требования таковы: принятие закона; достаточное разграничение и конкретность; приемлемость и наличие насущной общественной потребности; незыблемость основополагающего права; необходимость и соразмерность с преследуемыми целями; надлежащая правовая защита; соответствие принятых мер другим международным обязательствам. Ограничения должны соответствовать условиям для ограничения прав человека, изложенным в Европейской конвенции по правам человека (ЕКПЧ) и в решениях Европейского суда по правам человека (ЕСПЧ), и должны толковаться в максимально возможной степени в соответствии с ними.</w:t>
      </w:r>
    </w:p>
    <w:p w14:paraId="38DE816E" w14:textId="77777777" w:rsidR="00DF75A7" w:rsidRPr="00DF75A7" w:rsidRDefault="00DF75A7" w:rsidP="00DF75A7">
      <w:pPr>
        <w:pStyle w:val="SingleTxtG"/>
      </w:pPr>
      <w:r w:rsidRPr="00DF75A7">
        <w:t>244.</w:t>
      </w:r>
      <w:r w:rsidRPr="00DF75A7">
        <w:tab/>
        <w:t xml:space="preserve">Конституция Финляндии содержит положение, касающееся временных отступлений от основных прав и свобод, которые в исключительных обстоятельствах </w:t>
      </w:r>
      <w:r w:rsidRPr="00DF75A7">
        <w:lastRenderedPageBreak/>
        <w:t xml:space="preserve">совместимы с международными правозащитными обязательствами Финляндии. Временные отступления от основных прав, </w:t>
      </w:r>
      <w:bookmarkStart w:id="93" w:name="_Hlk48662713"/>
      <w:r w:rsidRPr="00DF75A7">
        <w:t>которые считаются допустимыми в случае вооруженного нападения на Финляндию или в других чрезвычайных ситуациях, как это предусмотрено законом, представляющих серьезную угрозу для нации, могут быть введены законом или правительственным постановлением, которые должны приниматься на основании предусмотренного в законе разрешения, в силу особой необходимости и с указанием строго ограниченной сферы применения</w:t>
      </w:r>
      <w:bookmarkEnd w:id="93"/>
      <w:r w:rsidRPr="00DF75A7">
        <w:t>.</w:t>
      </w:r>
    </w:p>
    <w:p w14:paraId="4B183340" w14:textId="77777777" w:rsidR="00DF75A7" w:rsidRPr="00684CF8" w:rsidRDefault="00DF75A7" w:rsidP="000B5550">
      <w:pPr>
        <w:pStyle w:val="H23G"/>
      </w:pPr>
      <w:bookmarkStart w:id="94" w:name="_Toc32364337"/>
      <w:r w:rsidRPr="00684CF8">
        <w:tab/>
        <w:t>b)</w:t>
      </w:r>
      <w:r w:rsidRPr="00684CF8">
        <w:tab/>
        <w:t>Договоры по правам человека в национальном законодательстве</w:t>
      </w:r>
      <w:bookmarkEnd w:id="94"/>
    </w:p>
    <w:p w14:paraId="7A72F35E" w14:textId="77777777" w:rsidR="00DF75A7" w:rsidRPr="00DF75A7" w:rsidRDefault="00DF75A7" w:rsidP="00DF75A7">
      <w:pPr>
        <w:pStyle w:val="SingleTxtG"/>
      </w:pPr>
      <w:r w:rsidRPr="00DF75A7">
        <w:t>245.</w:t>
      </w:r>
      <w:r w:rsidRPr="00DF75A7">
        <w:tab/>
        <w:t>Утверждение Парламентом требуется для таких договоров и других международных обязательств, которые содержат положения законодательного характера, имеют иное значение или требуют утверждения Парламентом в соответствии с Конституцией Финляндии. Утверждение Парламентом также требуется для денонсации таких обязательств. Таким образом, приверженность Финляндии соблюдению международных договоров по правам человека всегда подлежит утверждению Парламентом. В отношении международных договоров по правам человека Финляндия применяет дуалистическую модель, в соответствии с которой обязательства, вытекающие из международных договоров, отдельно переносятся в национальное законодательство. В большинстве случаев международные документы осуществляются путем их инкорпорирования в национальное законодательство в форме краткого общего положения о том, что этот документ действует на национальном уровне.</w:t>
      </w:r>
    </w:p>
    <w:p w14:paraId="26EF442D" w14:textId="77777777" w:rsidR="00DF75A7" w:rsidRPr="00DF75A7" w:rsidRDefault="00DF75A7" w:rsidP="00DF75A7">
      <w:pPr>
        <w:pStyle w:val="SingleTxtG"/>
      </w:pPr>
      <w:r w:rsidRPr="00DF75A7">
        <w:t>246.</w:t>
      </w:r>
      <w:r w:rsidRPr="00DF75A7">
        <w:tab/>
        <w:t>Необходимость внесения изменений в национальное законодательство для приведения его в соответствие с новыми обязательствами в области прав человека определяется до ратификации того или иного договора по правам человека. Одного лишь принятия общего закона, делающего этот документ частью национального законодательства, может быть недостаточно, и вместо этого ратификация может потребовать внесения поправок в действующие законы или принятия новых.</w:t>
      </w:r>
    </w:p>
    <w:p w14:paraId="441742E5" w14:textId="77777777" w:rsidR="00DF75A7" w:rsidRPr="00DF75A7" w:rsidRDefault="00DF75A7" w:rsidP="00DF75A7">
      <w:pPr>
        <w:pStyle w:val="SingleTxtG"/>
      </w:pPr>
      <w:r w:rsidRPr="00DF75A7">
        <w:t>247.</w:t>
      </w:r>
      <w:r w:rsidRPr="00DF75A7">
        <w:tab/>
        <w:t>В соответствии со статьей 80 Конституции Финляндии предписания об основных правах и обязанностях индивидуума должны устанавливаться законом, и, таким образом, все договоры о правах человека также вступают в силу на уровне закона. В иерархии норм обязательные для Финляндии договоры по правам человека имеют конституционный статус.</w:t>
      </w:r>
    </w:p>
    <w:p w14:paraId="4B6E2F25" w14:textId="77777777" w:rsidR="00DF75A7" w:rsidRPr="00DF75A7" w:rsidRDefault="00DF75A7" w:rsidP="00DF75A7">
      <w:pPr>
        <w:pStyle w:val="SingleTxtG"/>
      </w:pPr>
      <w:r w:rsidRPr="00DF75A7">
        <w:t>248.</w:t>
      </w:r>
      <w:r w:rsidRPr="00DF75A7">
        <w:tab/>
        <w:t>Права человека, гарантируемые международными договорами, представляют собой минимальный стандарт прав личности, сфера применения которых не может умаляться при разработке законодательства в большей степени, чем в деятельности государственных органов или при отправлении правосудия, но которая может быть расширена. На практике основные и общечеловеческие права находят конкретное выражение в нормах на уровне закона, а также в судебных решениях и другой деятельности государственных органов.</w:t>
      </w:r>
    </w:p>
    <w:p w14:paraId="5D13841E" w14:textId="77777777" w:rsidR="00DF75A7" w:rsidRPr="00684CF8" w:rsidRDefault="00DF75A7" w:rsidP="000B5550">
      <w:pPr>
        <w:pStyle w:val="H23G"/>
      </w:pPr>
      <w:bookmarkStart w:id="95" w:name="_Toc32364338"/>
      <w:r w:rsidRPr="00684CF8">
        <w:tab/>
        <w:t>c)</w:t>
      </w:r>
      <w:r w:rsidRPr="00684CF8">
        <w:tab/>
        <w:t>Надзор за соблюдением законности</w:t>
      </w:r>
      <w:bookmarkEnd w:id="95"/>
    </w:p>
    <w:p w14:paraId="50C05F65" w14:textId="77777777" w:rsidR="00DF75A7" w:rsidRPr="00684CF8" w:rsidRDefault="00DF75A7" w:rsidP="000B5550">
      <w:pPr>
        <w:pStyle w:val="H23G"/>
      </w:pPr>
      <w:bookmarkStart w:id="96" w:name="_Toc32364339"/>
      <w:r w:rsidRPr="00684CF8">
        <w:tab/>
      </w:r>
      <w:r w:rsidRPr="00684CF8">
        <w:tab/>
        <w:t>Парламентская Комиссия по конституционному праву</w:t>
      </w:r>
      <w:bookmarkEnd w:id="96"/>
    </w:p>
    <w:p w14:paraId="7F188020" w14:textId="77777777" w:rsidR="00DF75A7" w:rsidRPr="00DF75A7" w:rsidRDefault="00DF75A7" w:rsidP="00DF75A7">
      <w:pPr>
        <w:pStyle w:val="SingleTxtG"/>
      </w:pPr>
      <w:r w:rsidRPr="00DF75A7">
        <w:t>249.</w:t>
      </w:r>
      <w:r w:rsidRPr="00DF75A7">
        <w:tab/>
        <w:t>Надзор за конституционностью предлагаемого законодательства в основном осуществляется ex ante парламентской Комиссией по конституционному праву. В</w:t>
      </w:r>
      <w:r w:rsidR="000B5550" w:rsidRPr="00684CF8">
        <w:t> </w:t>
      </w:r>
      <w:r w:rsidRPr="00DF75A7">
        <w:t>соответствии со статьей 74 Конституции Финляндии Комиссия по конституционному праву выносит заключения по вопросу о конституционности законопроектов и других передаваемых на е</w:t>
      </w:r>
      <w:r w:rsidR="008808F1" w:rsidRPr="00684CF8">
        <w:t>е</w:t>
      </w:r>
      <w:r w:rsidRPr="00DF75A7">
        <w:t xml:space="preserve"> рассмотрение дел, а также об их соответствии международным договорам по правам человека. Комиссия по конституционному праву состоит из членов Парламента.</w:t>
      </w:r>
    </w:p>
    <w:p w14:paraId="69F8550B" w14:textId="77777777" w:rsidR="00DF75A7" w:rsidRPr="00684CF8" w:rsidRDefault="00DF75A7" w:rsidP="000B5550">
      <w:pPr>
        <w:pStyle w:val="H23G"/>
      </w:pPr>
      <w:bookmarkStart w:id="97" w:name="_Toc32364340"/>
      <w:r w:rsidRPr="00684CF8">
        <w:tab/>
      </w:r>
      <w:r w:rsidRPr="00684CF8">
        <w:tab/>
        <w:t>Суды</w:t>
      </w:r>
      <w:bookmarkEnd w:id="97"/>
    </w:p>
    <w:p w14:paraId="76E365ED" w14:textId="77777777" w:rsidR="00DF75A7" w:rsidRPr="00DF75A7" w:rsidRDefault="00DF75A7" w:rsidP="00DF75A7">
      <w:pPr>
        <w:pStyle w:val="SingleTxtG"/>
      </w:pPr>
      <w:r w:rsidRPr="00DF75A7">
        <w:t>250.</w:t>
      </w:r>
      <w:r w:rsidRPr="00DF75A7">
        <w:tab/>
        <w:t xml:space="preserve">Надзор ex post за соблюдением основных и общечеловеческих прав основывается на конституционном толковании закона судами при отправлении правосудия и их обязанности не применять неконституционные положения. Согласно </w:t>
      </w:r>
      <w:r w:rsidRPr="00DF75A7">
        <w:lastRenderedPageBreak/>
        <w:t>статье 106 Конституции Финляндии, если при применении законодательных норм в ход рассмотрения какого-либо дела судом будет обнаружено явное противоречие с Конституцией, суд обязан применять положения Конституции. В соответствии со статьей 107 Конституции, если предписания указа или какого-либо иного подзаконного акта противоречат Конституции или какому-либо иному закону, то они не могут применяться судом или каким-либо иным государственным органом. Статья</w:t>
      </w:r>
      <w:r w:rsidR="000B5550" w:rsidRPr="00684CF8">
        <w:t> </w:t>
      </w:r>
      <w:r w:rsidRPr="00DF75A7">
        <w:t>107 Конституции распространяется на все органы власти, и противоречие не обязательно должно быть явным. В связи с тем, что Комиссия по конституционному праву осуществляет надзор ex ante, в Финляндии редко возникает необходимость полагаться на надзор ex post.</w:t>
      </w:r>
    </w:p>
    <w:p w14:paraId="0CCA3AA0" w14:textId="77777777" w:rsidR="00DF75A7" w:rsidRPr="00684CF8" w:rsidRDefault="00DF75A7" w:rsidP="000B5550">
      <w:pPr>
        <w:pStyle w:val="H23G"/>
      </w:pPr>
      <w:bookmarkStart w:id="98" w:name="_Toc32364341"/>
      <w:r w:rsidRPr="00684CF8">
        <w:tab/>
      </w:r>
      <w:r w:rsidRPr="00684CF8">
        <w:tab/>
        <w:t>Парламентский омбудсмен</w:t>
      </w:r>
      <w:bookmarkEnd w:id="98"/>
    </w:p>
    <w:p w14:paraId="4537B39D" w14:textId="77777777" w:rsidR="00DF75A7" w:rsidRPr="00DF75A7" w:rsidRDefault="00DF75A7" w:rsidP="00DF75A7">
      <w:pPr>
        <w:pStyle w:val="SingleTxtG"/>
      </w:pPr>
      <w:r w:rsidRPr="00DF75A7">
        <w:t>251.</w:t>
      </w:r>
      <w:r w:rsidRPr="00DF75A7">
        <w:tab/>
        <w:t xml:space="preserve">Парламентский омбудсмен, избираемый Парламентом на четырехлетний срок, осуществляет надзор для обеспечения того, чтобы суды и другие органы власти, а также государственные должностные лица, сотрудники государственного органа и другие лица, </w:t>
      </w:r>
      <w:bookmarkStart w:id="99" w:name="_Hlk49686737"/>
      <w:r w:rsidRPr="00DF75A7">
        <w:t>осуществляющие государственные функции</w:t>
      </w:r>
      <w:bookmarkEnd w:id="99"/>
      <w:r w:rsidRPr="00DF75A7">
        <w:t>, соблюдали закон и выполняли свои обязанности. Омбудсмен осуществляет надзор за законностью действий, предпринимаемых властями, в первую очередь путем расследования полученных жалоб. Обязанности Омбудсмена регулируются Конституцией Финляндии и Законом о Парламентском омбудсмене (197/2002). Положения, касающиеся Парламентского омбудсмена, применяются также в соответствующих случаях к заместителю Омбудсмена. Институт Парламентского омбудсмена был создан в Финляндии еще в 1920 году и, таким образом, является вторым старейшим в мире институтом такого рода.</w:t>
      </w:r>
    </w:p>
    <w:p w14:paraId="04F25D50" w14:textId="77777777" w:rsidR="00DF75A7" w:rsidRPr="00DF75A7" w:rsidRDefault="00DF75A7" w:rsidP="00DF75A7">
      <w:pPr>
        <w:pStyle w:val="SingleTxtG"/>
      </w:pPr>
      <w:r w:rsidRPr="00DF75A7">
        <w:t>252.</w:t>
      </w:r>
      <w:r w:rsidRPr="00DF75A7">
        <w:tab/>
        <w:t>Омбудсмен может также поднимать вопросы по собственной инициативе. Омбудсмен также проводит расследования на местах в государственных учреждениях и ведомствах. На него возложена особая обязанность проводить регулярные инспекционные посещения тюрем и других учреждений, таких как психиатрические больницы, в которых лица могут содержаться под стражей против их воли. К числу других инспектируемых мест относятся подразделения Сил обороны и пограничной службы.</w:t>
      </w:r>
    </w:p>
    <w:p w14:paraId="60F28048" w14:textId="77777777" w:rsidR="00DF75A7" w:rsidRPr="00DF75A7" w:rsidRDefault="00DF75A7" w:rsidP="00DF75A7">
      <w:pPr>
        <w:pStyle w:val="SingleTxtG"/>
      </w:pPr>
      <w:r w:rsidRPr="00DF75A7">
        <w:t>253.</w:t>
      </w:r>
      <w:r w:rsidRPr="00DF75A7">
        <w:tab/>
        <w:t>В своей работе Омбудсмен концентрируется на поощрении основных свобод и прав человека. Кроме того, когда он выступает с презентациями, делает заявления или пишет статьи, он подчеркивает важность этих прав при выполнении общественных задач и разработке законодательства. Помимо консультационных услуг и приема посетителей Омбудсмен активно информирует общественность о своей деятельности. Вместе с Центром по правам человека и его Делегацией Парламентский омбудсмен является частью Национального правозащитного учреждения Финляндии.</w:t>
      </w:r>
    </w:p>
    <w:p w14:paraId="5230292A" w14:textId="77777777" w:rsidR="00DF75A7" w:rsidRPr="00DF75A7" w:rsidRDefault="00DF75A7" w:rsidP="00DF75A7">
      <w:pPr>
        <w:pStyle w:val="SingleTxtG"/>
      </w:pPr>
      <w:r w:rsidRPr="00DF75A7">
        <w:t>254.</w:t>
      </w:r>
      <w:r w:rsidRPr="00DF75A7">
        <w:tab/>
        <w:t>В 2014 году Парламентский омбудсмен стал выполнять функции Национального превентивного механизма (НПМ) в соответствии с Факультативным протоколом к Конвенции ООН против пыток (ФПКПП). Эта должность расширяет компетенцию Омбудсмена по инспектированию всех мест, где содержатся или могут содержаться лица, лишенные свободы. К ним относятся, например, места содержания под стражей на борту судов или летательных аппаратов или задержания в связи с определенными публичными мероприятиями. При выполнении своих обязанностей в качестве НПМ Омбудсмен может теперь полагаться на помощь экспертов, в том числе экспертов, располагающих соответствующим опытом. Кроме того, на Омбудсмена возложена предусмотренная законом обязанность поощрять, защищать и контролировать осуществление Конвенции о правах инвалидов совместно с Центром по правам человека и его Делегацией. Контроль за соблюдением прав детей был возложен на одного из заместителей Омбудсмена.</w:t>
      </w:r>
    </w:p>
    <w:p w14:paraId="1CA81663" w14:textId="77777777" w:rsidR="00DF75A7" w:rsidRPr="00DF75A7" w:rsidRDefault="00DF75A7" w:rsidP="00DF75A7">
      <w:pPr>
        <w:pStyle w:val="SingleTxtG"/>
      </w:pPr>
      <w:r w:rsidRPr="00DF75A7">
        <w:t>255.</w:t>
      </w:r>
      <w:r w:rsidRPr="00DF75A7">
        <w:tab/>
        <w:t>Парламентский Омбудсмен представляет Парламенту ежегодный доклад, в</w:t>
      </w:r>
      <w:r w:rsidR="000B5550" w:rsidRPr="00684CF8">
        <w:t> </w:t>
      </w:r>
      <w:r w:rsidRPr="00DF75A7">
        <w:t>котором он отчитывается о состоянии дел в области отправления правосудия, государственного управления и выполнения государственных задач, а также о недостатках, отмеченных в законодательстве.</w:t>
      </w:r>
    </w:p>
    <w:p w14:paraId="776F9D8B" w14:textId="77777777" w:rsidR="00DF75A7" w:rsidRPr="00684CF8" w:rsidRDefault="00DF75A7" w:rsidP="000B5550">
      <w:pPr>
        <w:pStyle w:val="H23G"/>
      </w:pPr>
      <w:bookmarkStart w:id="100" w:name="_Toc32364342"/>
      <w:r w:rsidRPr="00684CF8">
        <w:lastRenderedPageBreak/>
        <w:tab/>
      </w:r>
      <w:r w:rsidRPr="00684CF8">
        <w:tab/>
        <w:t>Правительственный Канцлер юстиции</w:t>
      </w:r>
      <w:bookmarkEnd w:id="100"/>
    </w:p>
    <w:p w14:paraId="0FFBC593" w14:textId="77777777" w:rsidR="00DF75A7" w:rsidRPr="00DF75A7" w:rsidRDefault="00DF75A7" w:rsidP="00DF75A7">
      <w:pPr>
        <w:pStyle w:val="SingleTxtG"/>
      </w:pPr>
      <w:r w:rsidRPr="00DF75A7">
        <w:t>256.</w:t>
      </w:r>
      <w:r w:rsidRPr="00DF75A7">
        <w:tab/>
        <w:t>Вторым высшим лицом, осуществляющим надзор за законностью, помимо Парламентского омбудсмена, является</w:t>
      </w:r>
      <w:r w:rsidRPr="00DF75A7">
        <w:rPr>
          <w:bCs/>
        </w:rPr>
        <w:t xml:space="preserve"> правительственный</w:t>
      </w:r>
      <w:r w:rsidRPr="00DF75A7">
        <w:t xml:space="preserve"> Канцлер юстиции, в</w:t>
      </w:r>
      <w:r w:rsidR="000B5550" w:rsidRPr="00684CF8">
        <w:t> </w:t>
      </w:r>
      <w:r w:rsidRPr="00DF75A7">
        <w:t>обязанности которого входит контроль за законностью официальных актов правительства, министерств и Президента Республики. Канцлер юстиции участвует во всех пленарных заседаниях правительства, а также в заседаниях Президента Республики, на которых Президент Республики принимает решения по предложениям, вносимым правительством, и обсуждениях в правительстве. На практике надзор за законностью осуществляется путем рассмотрения проектов предложений, которые заранее представляются Канцлеру юстиции. Главной обязанностью Канцлера юстиции является содействие обеспечению верховенства права, как это предусмотрено Конституцией Финляндии.</w:t>
      </w:r>
    </w:p>
    <w:p w14:paraId="48D7576B" w14:textId="77777777" w:rsidR="00DF75A7" w:rsidRPr="00DF75A7" w:rsidRDefault="00DF75A7" w:rsidP="00DF75A7">
      <w:pPr>
        <w:pStyle w:val="SingleTxtG"/>
      </w:pPr>
      <w:r w:rsidRPr="00DF75A7">
        <w:t>257.</w:t>
      </w:r>
      <w:r w:rsidRPr="00DF75A7">
        <w:tab/>
        <w:t>Кроме того, в 2018 году Канцлер юстиции ввел новую процедуру предварительного контроля за разработкой законопроектов и законодательных предложений, предварительного рассмотрения проектов правительственных предложений, имеющих важное значение для основных свобод и прав человека, и применения принципа верховенства права. Одним из элементов предварительного обзора является определение того, реализуются ли основные свободы и права человека так, как это требуется в соответствии с международными договорами, имеющими обязательную силу для Финляндии. В предварительном обзоре также уделяется внимание надлежащему учету общенациональных интересов при осуществлении международных конвенций.</w:t>
      </w:r>
    </w:p>
    <w:p w14:paraId="0841747F" w14:textId="77777777" w:rsidR="00DF75A7" w:rsidRPr="00DF75A7" w:rsidRDefault="00DF75A7" w:rsidP="00DF75A7">
      <w:pPr>
        <w:pStyle w:val="SingleTxtG"/>
      </w:pPr>
      <w:r w:rsidRPr="00DF75A7">
        <w:t>258.</w:t>
      </w:r>
      <w:r w:rsidRPr="00DF75A7">
        <w:tab/>
        <w:t>По запросу Канцлер юстиции должен давать Президенту, правительству и министерствам справки и разъяснения по юридическим вопросам. Как правило, такие разъяснения готовятся в письменной форме, но в некоторых случаях они также представляются в виде устных заявлений.</w:t>
      </w:r>
    </w:p>
    <w:p w14:paraId="521EF0B2" w14:textId="77777777" w:rsidR="00DF75A7" w:rsidRPr="00DF75A7" w:rsidRDefault="00DF75A7" w:rsidP="00DF75A7">
      <w:pPr>
        <w:pStyle w:val="SingleTxtG"/>
      </w:pPr>
      <w:r w:rsidRPr="00DF75A7">
        <w:t>259.</w:t>
      </w:r>
      <w:r w:rsidRPr="00DF75A7">
        <w:tab/>
        <w:t>Канцлер юстиции стремится к тому, чтобы суды и другие органы, а также служащие и другие лица, осуществляющие государственные функции, следовали закону и выполняли возложенные на них обязанности. Канцлер юстиции имеет право проводить проверки тех органов, учреждений, ведомств и других подразделений, которые входят в сферу его полномочий по надзору.</w:t>
      </w:r>
    </w:p>
    <w:p w14:paraId="0804BE39" w14:textId="77777777" w:rsidR="00DF75A7" w:rsidRPr="00DF75A7" w:rsidRDefault="00DF75A7" w:rsidP="00DF75A7">
      <w:pPr>
        <w:pStyle w:val="SingleTxtG"/>
      </w:pPr>
      <w:r w:rsidRPr="00DF75A7">
        <w:t>260.</w:t>
      </w:r>
      <w:r w:rsidRPr="00DF75A7">
        <w:tab/>
        <w:t>Канцлер юстиции осуществляет надзор за деятельностью адвокатов с точки зрения е</w:t>
      </w:r>
      <w:r w:rsidR="008808F1" w:rsidRPr="00684CF8">
        <w:t>е</w:t>
      </w:r>
      <w:r w:rsidRPr="00DF75A7">
        <w:t xml:space="preserve"> соответствия общественным интересам с целью обеспечения соблюдения ими Закона об адвокатуре и Кодекса профессионального поведения адвокатов. Канцлер юстиции имеет право обжалования решений по вопросам, касающимся дисциплинарных санкций, налагаемых на адвокатов, адвокатов, оказывающих государственную юридическую помощь, и лицензированных адвокатов. </w:t>
      </w:r>
      <w:r w:rsidR="000B5550" w:rsidRPr="00684CF8">
        <w:br/>
      </w:r>
      <w:r w:rsidRPr="00DF75A7">
        <w:t>При осуществлении надзора Канцлер юстиции уделяет внимание, в частности, реализации права на справедливое судебное разбирательство, а также осуществлению основных и общечеловеческих прав в отношении других вопросов, касающихся адвокатов, адвокатов, оказывающих государственную юридическую помощь, и лицензированных адвокатов.</w:t>
      </w:r>
    </w:p>
    <w:p w14:paraId="39025737" w14:textId="77777777" w:rsidR="00DF75A7" w:rsidRPr="00DF75A7" w:rsidRDefault="00DF75A7" w:rsidP="00DF75A7">
      <w:pPr>
        <w:pStyle w:val="SingleTxtG"/>
      </w:pPr>
      <w:r w:rsidRPr="00DF75A7">
        <w:t>261.</w:t>
      </w:r>
      <w:r w:rsidRPr="00DF75A7">
        <w:tab/>
        <w:t xml:space="preserve">Канцлер юстиции также осуществляет надзор за соблюдением основных и общечеловеческих прав при исполнении всех своих функций. Эта обязанность подразумевает рассмотрение жалоб, а также замечаний, сделанных в ходе инспекций и иным образом, а именно активный надзор за законодательством, контроль за высшими эшелонами власти и регламентирование деятельности адвокатов. Канцлер юстиции также может поднимать вопросы по собственной инициативе. Помимо рассмотрения отдельных дел, Канцлер юстиции также уделяет особое внимание надзору за структурными условиями реализации основных и общечеловеческих прав. </w:t>
      </w:r>
    </w:p>
    <w:p w14:paraId="29D8AFE6" w14:textId="77777777" w:rsidR="00DF75A7" w:rsidRPr="00DF75A7" w:rsidRDefault="00DF75A7" w:rsidP="00DF75A7">
      <w:pPr>
        <w:pStyle w:val="SingleTxtG"/>
      </w:pPr>
      <w:r w:rsidRPr="00DF75A7">
        <w:t>262.</w:t>
      </w:r>
      <w:r w:rsidRPr="00DF75A7">
        <w:tab/>
        <w:t>Президент Республики назначает Канцлера юстиции и заместителя Канцлера юстиции, а также альтернативного заместителя Канцлера юстиции. Заместитель Канцлера юстиции и его альтернативный заместитель самостоятельно решают вопросы, доводимые до их сведения. Канцлер юстиции призван решать, в частности, вопросы, касающиеся надзора за деятельностью правительства, а также вопросы принципиального характера или вопросы, имеющие далеко идущие последствия.</w:t>
      </w:r>
    </w:p>
    <w:p w14:paraId="78E0D900" w14:textId="77777777" w:rsidR="00DF75A7" w:rsidRPr="00DF75A7" w:rsidRDefault="00DF75A7" w:rsidP="00DF75A7">
      <w:pPr>
        <w:pStyle w:val="SingleTxtG"/>
      </w:pPr>
      <w:r w:rsidRPr="00DF75A7">
        <w:lastRenderedPageBreak/>
        <w:t>263.</w:t>
      </w:r>
      <w:r w:rsidRPr="00DF75A7">
        <w:tab/>
        <w:t>Канцлер юстиции представляет Парламенту и правительству ежегодный отчет о своей деятельности, а также замечания по поводу положения дел с соблюдением законности.</w:t>
      </w:r>
    </w:p>
    <w:p w14:paraId="64F1DC05" w14:textId="77777777" w:rsidR="00DF75A7" w:rsidRPr="00684CF8" w:rsidRDefault="00DF75A7" w:rsidP="000B5550">
      <w:pPr>
        <w:pStyle w:val="H23G"/>
      </w:pPr>
      <w:bookmarkStart w:id="101" w:name="_Toc32364343"/>
      <w:r w:rsidRPr="00684CF8">
        <w:tab/>
        <w:t>d)</w:t>
      </w:r>
      <w:r w:rsidRPr="00684CF8">
        <w:tab/>
        <w:t>Права человека в судах Финляндии</w:t>
      </w:r>
      <w:bookmarkEnd w:id="101"/>
    </w:p>
    <w:p w14:paraId="2D9291F2" w14:textId="77777777" w:rsidR="00DF75A7" w:rsidRPr="00DF75A7" w:rsidRDefault="00DF75A7" w:rsidP="00DF75A7">
      <w:pPr>
        <w:pStyle w:val="SingleTxtG"/>
      </w:pPr>
      <w:r w:rsidRPr="00DF75A7">
        <w:t>264.</w:t>
      </w:r>
      <w:r w:rsidRPr="00DF75A7">
        <w:tab/>
        <w:t>Ссылки на основные и общечеловеческие права в судебных решениях стали встречаться заметно чаще, особенно после присоединения Финляндии к Европейской конвенции по правам человека в 1990 году, проведения реформы в области основных прав в 1995 году и вступления в силу 1 марта 2000 года новой Конституции Финляндии. Присоединение Финляндии к Европейскому союзу в 1995 году также ознаменовало собой повышение того значения, которое придается основным свободам и правам человека. Первоначальным новатором в этом отношении стал Верховный административный суд, чья ссылка на Пакт о гражданских и политических правах в 1988 году стала первой в истории финского права ссылкой такого рода. В том же году Верховный административный суд вынес первое в истории постановление, в котором суд высшей инстанции Финляндии сослался на Конвенцию о статусе беженцев.</w:t>
      </w:r>
    </w:p>
    <w:p w14:paraId="6AF5BA7E" w14:textId="77777777" w:rsidR="00DF75A7" w:rsidRPr="00DF75A7" w:rsidRDefault="00DF75A7" w:rsidP="00DF75A7">
      <w:pPr>
        <w:pStyle w:val="SingleTxtG"/>
      </w:pPr>
      <w:r w:rsidRPr="00DF75A7">
        <w:t>265.</w:t>
      </w:r>
      <w:r w:rsidRPr="00DF75A7">
        <w:tab/>
        <w:t>Нарушения обязательств в области прав человека рассматриваются на уровне закона, например, в порядке подачи чрезвычайной апелляции. В частности, если судебный или надзорный орган, уполномоченный осуществлять надзор за выполнением международных обязательств в области прав человека, обнаруживает судебную ошибку при рассмотрении дела, жертва нарушения может подать жалобу в связи с такой ошибкой. Сегодня прямые ссылки на конвенции по правам человека, а</w:t>
      </w:r>
      <w:r w:rsidR="000B5550" w:rsidRPr="00684CF8">
        <w:t> </w:t>
      </w:r>
      <w:r w:rsidRPr="00DF75A7">
        <w:t>также на заключительные замечания комитетов можно уже встретить в обосновании решений судов более низкой инстанции.</w:t>
      </w:r>
    </w:p>
    <w:p w14:paraId="70005BD9" w14:textId="77777777" w:rsidR="00DF75A7" w:rsidRPr="00684CF8" w:rsidRDefault="00DF75A7" w:rsidP="000B5550">
      <w:pPr>
        <w:pStyle w:val="H23G"/>
      </w:pPr>
      <w:bookmarkStart w:id="102" w:name="_Toc32364344"/>
      <w:r w:rsidRPr="00684CF8">
        <w:tab/>
        <w:t>e)</w:t>
      </w:r>
      <w:r w:rsidRPr="00684CF8">
        <w:tab/>
        <w:t>Нарушения прав человека и средства правовой защиты</w:t>
      </w:r>
      <w:bookmarkEnd w:id="102"/>
    </w:p>
    <w:p w14:paraId="58D07935" w14:textId="77777777" w:rsidR="00DF75A7" w:rsidRPr="00DF75A7" w:rsidRDefault="00DF75A7" w:rsidP="00DF75A7">
      <w:pPr>
        <w:pStyle w:val="SingleTxtG"/>
      </w:pPr>
      <w:r w:rsidRPr="00DF75A7">
        <w:t>266.</w:t>
      </w:r>
      <w:r w:rsidRPr="00DF75A7">
        <w:tab/>
        <w:t>Любое лицо, считающее, что его права человека были нарушены, может обратиться в суд. На практике лицо может ссылаться на свои права человека как в гражданских тяжбах между двумя лицами, так и в уголовных делах в общем суде, а</w:t>
      </w:r>
      <w:r w:rsidR="000B5550" w:rsidRPr="00684CF8">
        <w:t> </w:t>
      </w:r>
      <w:r w:rsidRPr="00DF75A7">
        <w:t>также в административных делах в административном суде. Если будет установлено, что решение органа власти или, в некоторых случаях, действие частной стороны противоречит положениям о правах человека, такое решение или действие отменяется. На права человека можно ссылаться во всех судах Финляндии и во всех судебных инстанциях вплоть до верховных судов.</w:t>
      </w:r>
    </w:p>
    <w:p w14:paraId="50C6DD50" w14:textId="77777777" w:rsidR="00DF75A7" w:rsidRPr="00DF75A7" w:rsidRDefault="00DF75A7" w:rsidP="00DF75A7">
      <w:pPr>
        <w:pStyle w:val="SingleTxtG"/>
      </w:pPr>
      <w:r w:rsidRPr="00DF75A7">
        <w:t>267.</w:t>
      </w:r>
      <w:r w:rsidRPr="00DF75A7">
        <w:tab/>
        <w:t>Если в результате нарушения прав человека был причинен ущерб, то жертва нарушения имеет право на компенсацию в соответствии с Законом о гражданско-правовой ответственности. Однако для возникновения ответственности по возмещению ущерба обычно требуется установить, что ущерб был действительно нанесен, что ущерб был вызван ошибкой или упущением стороны, причинившей ущерб, и что сторона, причинившая ущерб, действовала небрежно. Кроме того, формы возмещения ущерба ограничены Законом о гражданско-правовой ответственности. Дополнительно ответственность за компенсацию может быть установлена путем толкования положений Закона о гражданско-правовой ответственности в увязке с конвенционной нормой в области прав человека, например статьей 13 ЕКПЧ, когда установлено, что данная процедура нарушает права человека, а национальное законодательство не предоставляет де-факто возможности для соответствующей компенсации за нарушение.</w:t>
      </w:r>
    </w:p>
    <w:p w14:paraId="782537F3" w14:textId="77777777" w:rsidR="00DF75A7" w:rsidRPr="00DF75A7" w:rsidRDefault="00DF75A7" w:rsidP="00DF75A7">
      <w:pPr>
        <w:pStyle w:val="SingleTxtG"/>
      </w:pPr>
      <w:r w:rsidRPr="00DF75A7">
        <w:t>268.</w:t>
      </w:r>
      <w:r w:rsidRPr="00DF75A7">
        <w:tab/>
        <w:t>В Финляндии возмещение ущерба назначается по принципу реституции, т</w:t>
      </w:r>
      <w:r w:rsidR="008B4107" w:rsidRPr="00684CF8">
        <w:t>. </w:t>
      </w:r>
      <w:r w:rsidRPr="00DF75A7">
        <w:t>е</w:t>
      </w:r>
      <w:r w:rsidR="008B4107" w:rsidRPr="00684CF8">
        <w:t>. </w:t>
      </w:r>
      <w:r w:rsidRPr="00DF75A7">
        <w:t xml:space="preserve">компенсируется весь ущерб, причиненный потерпевшей стороне. С другой стороны, в Финляндии возмещение ущерба не может быть настолько чрезмерным, чтобы после возмещения ущерба понесшая ущерб сторона несправедливо обогатилась. В Финляндии также не применяются карательные санкции. Поскольку права человека в Финляндии закреплены в законодательстве, ущерб, причиненный в результате нарушения прав человека, всегда является незаконным, что, в свою очередь, позволяет в полной мере возместить ущерб, причиненный личному здоровью и имуществу, и чисто финансовые потери. Государственный орган также может быть признан обязанным выплатить компенсацию, но при осуществлении функций </w:t>
      </w:r>
      <w:r w:rsidRPr="00DF75A7">
        <w:lastRenderedPageBreak/>
        <w:t>государственной власти предъявляются более высокие требования, чем при действиях частного лица.</w:t>
      </w:r>
    </w:p>
    <w:p w14:paraId="46E06913" w14:textId="77777777" w:rsidR="00DF75A7" w:rsidRPr="00DF75A7" w:rsidRDefault="00DF75A7" w:rsidP="00DF75A7">
      <w:pPr>
        <w:pStyle w:val="SingleTxtG"/>
      </w:pPr>
      <w:r w:rsidRPr="00DF75A7">
        <w:t>269.</w:t>
      </w:r>
      <w:r w:rsidRPr="00DF75A7">
        <w:tab/>
        <w:t xml:space="preserve">Если нарушение прав человека возникает вследствие совершения уголовного преступления, то жертва нарушения, в данном случае сторона, потерпевшая в результате совершения уголовного преступления, может сообщить об этом преступлении в полицию для проведения расследования. После досудебного расследования и оценки обвинений уголовное дело, как правило, рассматривается компетентным окружным судом. Финская система санкций в принципе ориентирована на правонарушителя, а не на жертву. Вместе с тем благодаря применению в Финляндии Директивы ЕС о правах жертв (Директива 2012/29/EU Европейского парламента и Совета от 25 октября 2012 года, устанавливающая минимальные стандарты в отношении прав, поддержки и защиты жертв преступлений) в Финляндии надежно гарантируются права жертв преступлений в рамках уголовного судопроизводства, и, кроме того, Финляндия ввела надбавку к расходам на финансирование услуг по поддержке жертв преступлений, таких как </w:t>
      </w:r>
      <w:r w:rsidR="000B5550" w:rsidRPr="00684CF8">
        <w:t>«</w:t>
      </w:r>
      <w:r w:rsidRPr="00DF75A7">
        <w:t>Поддержка жертв в Финляндии</w:t>
      </w:r>
      <w:r w:rsidR="000B5550" w:rsidRPr="00684CF8">
        <w:t>»</w:t>
      </w:r>
      <w:r w:rsidRPr="00DF75A7">
        <w:t>. В рамках уголовных дел также можно прибегать к помощи беспристрастного посредника, с тем чтобы по собственной инициативе сторон можно было решить вопрос о моральном и материальном ущербе, причиненном жертве в результате преступления, а также согласовать меры по его возмещению.</w:t>
      </w:r>
    </w:p>
    <w:p w14:paraId="2A2BEB39" w14:textId="77777777" w:rsidR="00DF75A7" w:rsidRPr="00DF75A7" w:rsidRDefault="00DF75A7" w:rsidP="00DF75A7">
      <w:pPr>
        <w:pStyle w:val="SingleTxtG"/>
      </w:pPr>
      <w:r w:rsidRPr="00DF75A7">
        <w:t>270.</w:t>
      </w:r>
      <w:r w:rsidRPr="00DF75A7">
        <w:tab/>
        <w:t>Во всей деятельности правительства основной предпосылкой является толкование закона и действий, благоприятствующих соблюдению основных и общечеловеческих прав. Верховенство закона требует, чтобы каждый государственный орган соблюдал закон во всей своей деятельности. Поскольку основные и общечеловеческие права закреплены в законе, любое действие, противоречащее им, например административное решение, является, как правило, незаконным. Поправки к незаконному административному решению могут быть внесены либо путем подачи иска о пересмотре решения, либо путем подачи апелляции в административный суд. Неправомерные административные решения отменяются административным судом и Высшим административным судом.</w:t>
      </w:r>
    </w:p>
    <w:p w14:paraId="71EBC411" w14:textId="77777777" w:rsidR="00DF75A7" w:rsidRPr="00DF75A7" w:rsidRDefault="00DF75A7" w:rsidP="00DF75A7">
      <w:pPr>
        <w:pStyle w:val="SingleTxtG"/>
      </w:pPr>
      <w:r w:rsidRPr="00DF75A7">
        <w:t>271.</w:t>
      </w:r>
      <w:r w:rsidRPr="00DF75A7">
        <w:tab/>
        <w:t>Административная жалоба на незаконное поведение органа власти, лица, нанятого органом власти, или другого субъекта, выполняющего государственные административные функции, или невыполнение им своих обязанностей может быть подана любым лицом. Жалоба подается в орган, осуществляющий надзор за соответствующей деятельностью. В конечном счете жалоба всегда может быть подана высшему надзорному органу.</w:t>
      </w:r>
    </w:p>
    <w:p w14:paraId="7CCDC29F" w14:textId="77777777" w:rsidR="00DF75A7" w:rsidRPr="00684CF8" w:rsidRDefault="00DF75A7" w:rsidP="000B5550">
      <w:pPr>
        <w:pStyle w:val="H23G"/>
      </w:pPr>
      <w:bookmarkStart w:id="103" w:name="_Toc32364345"/>
      <w:r w:rsidRPr="00684CF8">
        <w:tab/>
        <w:t>f)</w:t>
      </w:r>
      <w:r w:rsidRPr="00684CF8">
        <w:tab/>
        <w:t>Мониторинг осуществления прав человека</w:t>
      </w:r>
      <w:bookmarkEnd w:id="103"/>
    </w:p>
    <w:p w14:paraId="7CB0571A" w14:textId="77777777" w:rsidR="00DF75A7" w:rsidRPr="00684CF8" w:rsidRDefault="00DF75A7" w:rsidP="000B5550">
      <w:pPr>
        <w:pStyle w:val="H23G"/>
      </w:pPr>
      <w:bookmarkStart w:id="104" w:name="_Toc32364346"/>
      <w:r w:rsidRPr="00684CF8">
        <w:tab/>
      </w:r>
      <w:r w:rsidRPr="00684CF8">
        <w:tab/>
        <w:t>Высшие органы по надзору за соблюдением законности</w:t>
      </w:r>
      <w:bookmarkEnd w:id="104"/>
    </w:p>
    <w:p w14:paraId="140A7EB4" w14:textId="77777777" w:rsidR="00DF75A7" w:rsidRPr="00DF75A7" w:rsidRDefault="00DF75A7" w:rsidP="00DF75A7">
      <w:pPr>
        <w:pStyle w:val="SingleTxtG"/>
      </w:pPr>
      <w:r w:rsidRPr="00DF75A7">
        <w:t>272.</w:t>
      </w:r>
      <w:r w:rsidRPr="00DF75A7">
        <w:tab/>
        <w:t>В Финляндии имеются два высших надзорных органа по вопросам законности</w:t>
      </w:r>
      <w:r w:rsidR="000B5550" w:rsidRPr="00684CF8">
        <w:t> —</w:t>
      </w:r>
      <w:r w:rsidRPr="00DF75A7">
        <w:t xml:space="preserve"> Парламентский омбудсмен и правительственный Канцлер юстиции (см.</w:t>
      </w:r>
      <w:r w:rsidR="000B5550" w:rsidRPr="00684CF8">
        <w:t> </w:t>
      </w:r>
      <w:r w:rsidRPr="00DF75A7">
        <w:t>пункты 250–262). В соответствии со статьями 108 и 109 Конституции Финляндии обе эти инстанции в ходе выполнения своих обязанностей следят за соблюдением основных и общечеловеческих прав. Они также ежегодно отчитываются о своей деятельности, о своих выводах относительно соблюдения законности, о состоянии дел в области отправления правосудия и о нарушениях законодательства, которые они обнаружили.</w:t>
      </w:r>
    </w:p>
    <w:p w14:paraId="71AB7569" w14:textId="77777777" w:rsidR="00DF75A7" w:rsidRPr="00684CF8" w:rsidRDefault="00DF75A7" w:rsidP="000B5550">
      <w:pPr>
        <w:pStyle w:val="H23G"/>
      </w:pPr>
      <w:bookmarkStart w:id="105" w:name="_Toc32364347"/>
      <w:r w:rsidRPr="00684CF8">
        <w:tab/>
      </w:r>
      <w:r w:rsidRPr="00684CF8">
        <w:tab/>
        <w:t>Омбудсмен по борьбе с дискриминацией</w:t>
      </w:r>
      <w:bookmarkEnd w:id="105"/>
    </w:p>
    <w:p w14:paraId="59C43BEC" w14:textId="77777777" w:rsidR="00DF75A7" w:rsidRPr="00DF75A7" w:rsidRDefault="00DF75A7" w:rsidP="00DF75A7">
      <w:pPr>
        <w:pStyle w:val="SingleTxtG"/>
      </w:pPr>
      <w:r w:rsidRPr="00DF75A7">
        <w:t>273.</w:t>
      </w:r>
      <w:r w:rsidRPr="00DF75A7">
        <w:tab/>
        <w:t>Омбудсмен по борьбе с дискриминацией назначается правительством на срок, не превышающий пять лет. Омбудсмен является независимым и самостоятельным должностным лицом. Лицо, назначенное Омбудсменом, освобождается от любой другой должности на время назначения. От Омбудсмена требуются такие квалификации, как степень магистра, хорошее знание основных и общечеловеческих прав, а также понимание круга своих обязанностей и подтвержденные лидерские и управленческие навыки.</w:t>
      </w:r>
    </w:p>
    <w:p w14:paraId="583BB376" w14:textId="77777777" w:rsidR="00DF75A7" w:rsidRPr="00DF75A7" w:rsidRDefault="00DF75A7" w:rsidP="00DF75A7">
      <w:pPr>
        <w:pStyle w:val="SingleTxtG"/>
      </w:pPr>
      <w:r w:rsidRPr="00DF75A7">
        <w:lastRenderedPageBreak/>
        <w:t>274.</w:t>
      </w:r>
      <w:r w:rsidRPr="00DF75A7">
        <w:tab/>
        <w:t>Задача Омбудсмена по борьбе с дискриминацией заключается в контроле за соблюдением Закона о запрещении дискриминации в порядке, предусмотренном в указанном Законе, и в целом в поощрении равноправия и предотвращении дискриминации. Омбудсмен также выполняет функции Национального докладчика по вопросу о торговле людьми. Омбудсмен оказывает помощь лицам, подвергшимся дискриминации, в расследовании их жалоб на дискриминацию, оказывает содействие в планировании мер по поощрению равноправия, издает общие рекомендации по предотвращению дискриминации и поощрению равноправия, а также принимает меры по достижению урегулирования в случаях, связанных с соблюдением Закона о запрещении дискриминации. Помимо поощрения равноправия и борьбы с дискриминацией в круг ведения Омбудсмена входят также мониторинг осуществления прав иностранных граждан, выполнение обязанностей Национального докладчика по вопросу о торговле людьми и мониторинг выдворения из страны иностранных граждан. При исполнении этих обязанностей Омбудсмен уполномочен запрашивать отчеты, выдвигать инициативы, делать заявления, содействовать распространению информации, образованию и обучению, а также принимать участие в европейском и международном сотрудничестве.</w:t>
      </w:r>
    </w:p>
    <w:p w14:paraId="056090D6" w14:textId="77777777" w:rsidR="00DF75A7" w:rsidRPr="00DF75A7" w:rsidRDefault="00DF75A7" w:rsidP="00DF75A7">
      <w:pPr>
        <w:pStyle w:val="SingleTxtG"/>
      </w:pPr>
      <w:r w:rsidRPr="00DF75A7">
        <w:t>275.</w:t>
      </w:r>
      <w:r w:rsidRPr="00DF75A7">
        <w:tab/>
        <w:t>Кроме того, Омбудсмен по борьбе с дискриминацией наделен некоторыми правами, позволяющими ему эффективно выполнять свои обязанности, например правом бесплатно получать от любого органа или другого учреждения, выполняющего государственные административные функции, информацию, необходимую для выполнения Омбудсменом своих надзорных функций, предусмотренных в Законе о запрещении дискриминации и Законе об иностранцах, невзирая на требования о сохранении секретности. Омбудсмен имеет также право получать от любого органа или другого субъекта, выполняющего государственные административные функции, например от школы, а также от их сотрудников любые факты, имеющие отношение к выполнению Омбудсменом своих обязанностей. Кроме того, Омбудсмен может проводить инспекции в помещениях органа власти, учебного заведения и образовательного учреждения или поставщика товаров или услуг, когда такая инспекция необходима в вопросах, относящихся к компетенции Омбудсмена, при осуществлении контроля за соблюдением Закона о запрещении дискриминации. Омбудсмен уполномочен налагать ограниченный определенными условиями штраф для обеспечения соблюдения обязательства по предоставлению доступа к информации. При рассмотрении дела, касающегося применения Закона о запрещении дискриминации, суд оставляет за Омбудсменом по борьбе с дискриминацией возможность быть заслушанным в той мере, в какой это дело входит в сферу компетенции Омбудсмена.</w:t>
      </w:r>
    </w:p>
    <w:p w14:paraId="64A1027C" w14:textId="77777777" w:rsidR="00DF75A7" w:rsidRPr="00DF75A7" w:rsidRDefault="00DF75A7" w:rsidP="00DF75A7">
      <w:pPr>
        <w:pStyle w:val="SingleTxtG"/>
      </w:pPr>
      <w:r w:rsidRPr="00DF75A7">
        <w:t>276.</w:t>
      </w:r>
      <w:r w:rsidRPr="00DF75A7">
        <w:tab/>
        <w:t xml:space="preserve">Омбудсмен </w:t>
      </w:r>
      <w:bookmarkStart w:id="106" w:name="_Hlk48489651"/>
      <w:r w:rsidRPr="00DF75A7">
        <w:t xml:space="preserve">по борьбе с дискриминацией </w:t>
      </w:r>
      <w:bookmarkEnd w:id="106"/>
      <w:r w:rsidRPr="00DF75A7">
        <w:t>представляет правительству ежегодный доклад о своей деятельности, в дополнение к которому каждые четыре года представляется доклад Парламенту об осуществлении принципа равноправия.</w:t>
      </w:r>
    </w:p>
    <w:p w14:paraId="0FE9375A" w14:textId="77777777" w:rsidR="00DF75A7" w:rsidRPr="00684CF8" w:rsidRDefault="00DF75A7" w:rsidP="000B5550">
      <w:pPr>
        <w:pStyle w:val="H23G"/>
      </w:pPr>
      <w:bookmarkStart w:id="107" w:name="_Toc32364348"/>
      <w:r w:rsidRPr="00684CF8">
        <w:tab/>
      </w:r>
      <w:r w:rsidRPr="00684CF8">
        <w:tab/>
        <w:t xml:space="preserve">Омбудсмен по вопросам </w:t>
      </w:r>
      <w:bookmarkEnd w:id="107"/>
      <w:r w:rsidRPr="00684CF8">
        <w:t>равноправия</w:t>
      </w:r>
    </w:p>
    <w:p w14:paraId="00FD252E" w14:textId="77777777" w:rsidR="00DF75A7" w:rsidRPr="00DF75A7" w:rsidRDefault="00DF75A7" w:rsidP="00DF75A7">
      <w:pPr>
        <w:pStyle w:val="SingleTxtG"/>
      </w:pPr>
      <w:r w:rsidRPr="00DF75A7">
        <w:t>277.</w:t>
      </w:r>
      <w:r w:rsidRPr="00DF75A7">
        <w:tab/>
        <w:t xml:space="preserve">Цели Закона о </w:t>
      </w:r>
      <w:bookmarkStart w:id="108" w:name="_Hlk48489775"/>
      <w:r w:rsidRPr="00DF75A7">
        <w:t>равноправии</w:t>
      </w:r>
      <w:bookmarkEnd w:id="108"/>
      <w:r w:rsidRPr="00DF75A7">
        <w:t xml:space="preserve"> женщин и мужчин, т</w:t>
      </w:r>
      <w:r w:rsidR="008B4107" w:rsidRPr="00684CF8">
        <w:t>. </w:t>
      </w:r>
      <w:r w:rsidRPr="00DF75A7">
        <w:t>е</w:t>
      </w:r>
      <w:r w:rsidR="008B4107" w:rsidRPr="00684CF8">
        <w:t>.</w:t>
      </w:r>
      <w:r w:rsidRPr="00DF75A7">
        <w:t xml:space="preserve"> Закона о </w:t>
      </w:r>
      <w:bookmarkStart w:id="109" w:name="_Hlk48490855"/>
      <w:r w:rsidRPr="00DF75A7">
        <w:t>равноправии</w:t>
      </w:r>
      <w:bookmarkEnd w:id="109"/>
      <w:r w:rsidRPr="00DF75A7">
        <w:t xml:space="preserve"> (609/1986), заключаются в предотвращении дискриминации по признаку пола, поощрении равноправия женщин и мужчин и, таким образом, улучшении положения женщин, особенно в трудовой жизни. Закон также направлен на предотвращение дискриминации по признаку гендерной идентичности или гендерного самовыражения. Соблюдение Закона о равноправии контролируется Омбудсменом по вопросам равноправия, который назначается правительством на срок, не превышающий пять лет. Омбудсмен по вопросам равноправия является независимым и самостоятельным должностным лицом в административной структуре Министерства юстиции.</w:t>
      </w:r>
    </w:p>
    <w:p w14:paraId="0A881302" w14:textId="77777777" w:rsidR="00DF75A7" w:rsidRPr="00DF75A7" w:rsidRDefault="00DF75A7" w:rsidP="00DF75A7">
      <w:pPr>
        <w:pStyle w:val="SingleTxtG"/>
      </w:pPr>
      <w:r w:rsidRPr="00DF75A7">
        <w:t>278.</w:t>
      </w:r>
      <w:r w:rsidRPr="00DF75A7">
        <w:tab/>
        <w:t xml:space="preserve">Омбудсмен следит за соблюдением запретов, предусмотренных Законом о </w:t>
      </w:r>
      <w:bookmarkStart w:id="110" w:name="_Hlk48492182"/>
      <w:r w:rsidRPr="00DF75A7">
        <w:t>равноправии</w:t>
      </w:r>
      <w:bookmarkEnd w:id="110"/>
      <w:r w:rsidRPr="00DF75A7">
        <w:t xml:space="preserve"> в отношении дискриминации, и обязательств по содействию равноправию в отношении дискриминации по признаку пола, гендерной идентичности или гендерного самовыражения. Кроме того, посредством инициатив, консультаций и рекомендаций Омбудсмен содействует достижению целей Закона о равноправии и предоставляет информацию о законодательстве в области равноправия и его </w:t>
      </w:r>
      <w:r w:rsidRPr="00DF75A7">
        <w:lastRenderedPageBreak/>
        <w:t>применении на практике. В случае констатации невыполнения обязательств, предусмотренных Законом о равноправии, или иного нарушения положений этого Закона Омбудсмен предоставляет консультации и выносит рекомендации для обеспечения того, чтобы такое противоправное поведение не продолжалось и не повторялось. Кроме того, Омбудсмен может принимать меры для достижения урегулирования по делам, связанным с дискриминацией по смыслу Закона о равноправии. В случаях дискриминации Омбудсмен выносит заключение о толковании Закона о равноправии. Мнения Омбудсмена носят рекомендательный характер.</w:t>
      </w:r>
    </w:p>
    <w:p w14:paraId="214DD72C" w14:textId="77777777" w:rsidR="00DF75A7" w:rsidRPr="00DF75A7" w:rsidRDefault="00DF75A7" w:rsidP="00DF75A7">
      <w:pPr>
        <w:pStyle w:val="SingleTxtG"/>
      </w:pPr>
      <w:r w:rsidRPr="00DF75A7">
        <w:t>279.</w:t>
      </w:r>
      <w:r w:rsidRPr="00DF75A7">
        <w:tab/>
        <w:t>Омбудсмен по вопросам равноправия имеет право бесплатно получать от органов власти информацию, необходимую для контроля за соблюдением Закона о равноправии, невзирая на требования о сохранении секретности тех или иных вопросов или документов. Омбудсмен также имеет право получать информацию, необходимую для контроля за соблюдением Закона о равноправии, от всех соответствующих сторон, например от работодателей, в течение разумного периода времени, установленного Омбудсменом, а также право требовать, чтобы они представили любой имеющийся у них документ, если только данное лицо не наделено правом или обязанностью в законном порядке отказаться от дачи показаний или представления документа. Кроме того, Омбудсмен имеет право проводить инспекции на рабочем месте, в учебном заведении, в организации, представляющей интересы рынка труда, или на предприятиях поставщика товаров и услуг, если есть основания полагать, что были приняты меры, противоречащие Закону о равноправии, или что обязательства в отношении равноправия, предусмотренные в этом Законе, не были выполнены иным образом. В рамках выполнения этих обязанностей Омбудсмен имеет право на получение административной помощи от других органов власти при проведении проверок. Кроме того, Омбудсмен может предоставлять консультации, например при подготовке плана обеспечения равноправия.</w:t>
      </w:r>
    </w:p>
    <w:p w14:paraId="42446EBD" w14:textId="77777777" w:rsidR="00DF75A7" w:rsidRPr="00DF75A7" w:rsidRDefault="00DF75A7" w:rsidP="00DF75A7">
      <w:pPr>
        <w:pStyle w:val="SingleTxtG"/>
      </w:pPr>
      <w:r w:rsidRPr="00DF75A7">
        <w:t>280.</w:t>
      </w:r>
      <w:r w:rsidRPr="00DF75A7">
        <w:tab/>
        <w:t>Омбудсмен по борьбе с дискриминацией представляет правительству ежегодный доклад о своей деятельности, в дополнение к которому каждые четыре года представляется доклад Парламенту об осуществлении принципа равноправия.</w:t>
      </w:r>
    </w:p>
    <w:p w14:paraId="5659303F" w14:textId="77777777" w:rsidR="00DF75A7" w:rsidRPr="00684CF8" w:rsidRDefault="00DF75A7" w:rsidP="00FA6345">
      <w:pPr>
        <w:pStyle w:val="H23G"/>
      </w:pPr>
      <w:bookmarkStart w:id="111" w:name="_Toc32364349"/>
      <w:r w:rsidRPr="00684CF8">
        <w:tab/>
      </w:r>
      <w:r w:rsidRPr="00684CF8">
        <w:tab/>
        <w:t>Омбудсмен по делам детей</w:t>
      </w:r>
      <w:bookmarkEnd w:id="111"/>
    </w:p>
    <w:p w14:paraId="369CD27B" w14:textId="77777777" w:rsidR="00DF75A7" w:rsidRPr="00DF75A7" w:rsidRDefault="00DF75A7" w:rsidP="00DF75A7">
      <w:pPr>
        <w:pStyle w:val="SingleTxtG"/>
      </w:pPr>
      <w:r w:rsidRPr="00DF75A7">
        <w:t>281.</w:t>
      </w:r>
      <w:r w:rsidRPr="00DF75A7">
        <w:tab/>
        <w:t>Омбудсмен по делам детей является независимым и беспристрастным должностным лицом центрального правительства, мандат которого основан на Законе об омбудсмене по делам детей (1221/2004). В соответствии с этим Законом Омбудсмен обязан защищать интересы и права детей в обществе. Омбудсмен не уполномочен заниматься делами отдельных детей или семей и не может отменять решения других органов власти. Омбудсмен работает в тесном сотрудничестве с другими государственными органами, местными органами власти, региональными советами, исследователями, неправительственными организациями, религиозными группами, предприятиями, другими сторонами, участвующими в осуществлении политики в отношении детей, и рядом экспертов по правам детей.</w:t>
      </w:r>
    </w:p>
    <w:p w14:paraId="39437A3F" w14:textId="77777777" w:rsidR="00DF75A7" w:rsidRPr="00DF75A7" w:rsidRDefault="00DF75A7" w:rsidP="00DF75A7">
      <w:pPr>
        <w:pStyle w:val="SingleTxtG"/>
      </w:pPr>
      <w:r w:rsidRPr="00DF75A7">
        <w:t>282.</w:t>
      </w:r>
      <w:r w:rsidRPr="00DF75A7">
        <w:tab/>
        <w:t xml:space="preserve">Совместно с Парламентским омбудсменом Омбудсмен по делам детей составляет национальный орган по надзору за соблюдением прав детей в соответствии с требованиями Комитета ООН по правам ребенка. В соответствии с законом на Омбудсмена по делам детей возложены следующие обязанности: </w:t>
      </w:r>
    </w:p>
    <w:p w14:paraId="6CB59A40" w14:textId="77777777" w:rsidR="00DF75A7" w:rsidRPr="00684CF8" w:rsidRDefault="00DF75A7" w:rsidP="00FA6345">
      <w:pPr>
        <w:pStyle w:val="Bullet1G"/>
      </w:pPr>
      <w:r w:rsidRPr="00684CF8">
        <w:t>обеспечение благополучия детей и молодежи и защита их прав;</w:t>
      </w:r>
    </w:p>
    <w:p w14:paraId="0DEB8183" w14:textId="77777777" w:rsidR="00DF75A7" w:rsidRPr="00684CF8" w:rsidRDefault="00DF75A7" w:rsidP="00FA6345">
      <w:pPr>
        <w:pStyle w:val="Bullet1G"/>
      </w:pPr>
      <w:r w:rsidRPr="00684CF8">
        <w:t>защита интересов детей;</w:t>
      </w:r>
    </w:p>
    <w:p w14:paraId="1ED44699" w14:textId="77777777" w:rsidR="00DF75A7" w:rsidRPr="00684CF8" w:rsidRDefault="00DF75A7" w:rsidP="00FA6345">
      <w:pPr>
        <w:pStyle w:val="Bullet1G"/>
      </w:pPr>
      <w:r w:rsidRPr="00684CF8">
        <w:t>консультирование детей и молодежи и доведение их мнений до сведения лиц, принимающих решения;</w:t>
      </w:r>
    </w:p>
    <w:p w14:paraId="50A52469" w14:textId="77777777" w:rsidR="00DF75A7" w:rsidRPr="00684CF8" w:rsidRDefault="00DF75A7" w:rsidP="00FA6345">
      <w:pPr>
        <w:pStyle w:val="Bullet1G"/>
      </w:pPr>
      <w:r w:rsidRPr="00684CF8">
        <w:t>распространение информации о правах детей среди государственных органов и организаций, которые работают с детьми, а также среди широкой общественности;</w:t>
      </w:r>
    </w:p>
    <w:p w14:paraId="6A72BF43" w14:textId="77777777" w:rsidR="00DF75A7" w:rsidRPr="00684CF8" w:rsidRDefault="00DF75A7" w:rsidP="00FA6345">
      <w:pPr>
        <w:pStyle w:val="Bullet1G"/>
        <w:keepNext/>
      </w:pPr>
      <w:r w:rsidRPr="00684CF8">
        <w:lastRenderedPageBreak/>
        <w:t>поощрение сотрудничества между сторонами, участвующими в осуществлении политики в отношении детей;</w:t>
      </w:r>
    </w:p>
    <w:p w14:paraId="4F20557D" w14:textId="77777777" w:rsidR="00DF75A7" w:rsidRPr="00684CF8" w:rsidRDefault="00DF75A7" w:rsidP="00FA6345">
      <w:pPr>
        <w:pStyle w:val="Bullet1G"/>
      </w:pPr>
      <w:r w:rsidRPr="00684CF8">
        <w:t>содействие соблюдению Конвенции ООН о правах ребенка.</w:t>
      </w:r>
    </w:p>
    <w:p w14:paraId="267C88AF" w14:textId="77777777" w:rsidR="00DF75A7" w:rsidRPr="00DF75A7" w:rsidRDefault="00DF75A7" w:rsidP="00DF75A7">
      <w:pPr>
        <w:pStyle w:val="SingleTxtG"/>
      </w:pPr>
      <w:r w:rsidRPr="00DF75A7">
        <w:t>283.</w:t>
      </w:r>
      <w:r w:rsidRPr="00DF75A7">
        <w:tab/>
        <w:t>Омбудсмен по делам детей отчитывается перед правительством Финляндии один раз в год и перед Парламентом Финляндии один раз в четыре года. Омбудсмен также отчитывается о благополучии и положении детей и молодежи перед Комитетом ООН по правам ребенка, представляя свой собственный доклад Комитету в связи с рассмотрением периодического доклада правительства. Ежегодный доклад Омбудсмена включает в себя обзор деятельности Омбудсмена за год, положение дел с правами детей, прогресс, достигнутый в области обеспечения благополучия детей, а</w:t>
      </w:r>
      <w:r w:rsidR="00FA6345" w:rsidRPr="00684CF8">
        <w:t> </w:t>
      </w:r>
      <w:r w:rsidRPr="00DF75A7">
        <w:t xml:space="preserve">также любые законодательные вопросы, доведенные до сведения Омбудсмена. </w:t>
      </w:r>
    </w:p>
    <w:p w14:paraId="1294671C" w14:textId="77777777" w:rsidR="00DF75A7" w:rsidRPr="00684CF8" w:rsidRDefault="00DF75A7" w:rsidP="00FA6345">
      <w:pPr>
        <w:pStyle w:val="H23G"/>
      </w:pPr>
      <w:bookmarkStart w:id="112" w:name="_Toc32364350"/>
      <w:r w:rsidRPr="00684CF8">
        <w:tab/>
      </w:r>
      <w:r w:rsidRPr="00684CF8">
        <w:tab/>
        <w:t>Омбудсмен по защите данных</w:t>
      </w:r>
      <w:bookmarkEnd w:id="112"/>
    </w:p>
    <w:p w14:paraId="6244663A" w14:textId="77777777" w:rsidR="00DF75A7" w:rsidRPr="00DF75A7" w:rsidRDefault="00DF75A7" w:rsidP="00DF75A7">
      <w:pPr>
        <w:pStyle w:val="SingleTxtG"/>
      </w:pPr>
      <w:r w:rsidRPr="00DF75A7">
        <w:t>284.</w:t>
      </w:r>
      <w:r w:rsidRPr="00DF75A7">
        <w:tab/>
        <w:t>Омбудсмен по защите данных является независимым и самостоятельным должностным лицом. Омбудсмен по защите данных и его заместители назначаются правительством сроком на пять лет.</w:t>
      </w:r>
    </w:p>
    <w:p w14:paraId="75129CBA" w14:textId="77777777" w:rsidR="00DF75A7" w:rsidRPr="00DF75A7" w:rsidRDefault="00DF75A7" w:rsidP="00DF75A7">
      <w:pPr>
        <w:pStyle w:val="SingleTxtG"/>
      </w:pPr>
      <w:r w:rsidRPr="00DF75A7">
        <w:t>285.</w:t>
      </w:r>
      <w:r w:rsidRPr="00DF75A7">
        <w:tab/>
        <w:t>На Управление Омбудсмена по защите данных возложены, в частности, следующие обязанности:</w:t>
      </w:r>
    </w:p>
    <w:p w14:paraId="66138DB8" w14:textId="77777777" w:rsidR="00DF75A7" w:rsidRPr="00684CF8" w:rsidRDefault="00DF75A7" w:rsidP="00FA6345">
      <w:pPr>
        <w:pStyle w:val="Bullet1G"/>
      </w:pPr>
      <w:r w:rsidRPr="00684CF8">
        <w:t>надзор за соблюдением законодательства о защите данных и других законов, касающихся обработки персональных данных;</w:t>
      </w:r>
    </w:p>
    <w:p w14:paraId="1730B951" w14:textId="77777777" w:rsidR="00DF75A7" w:rsidRPr="00684CF8" w:rsidRDefault="00DF75A7" w:rsidP="00FA6345">
      <w:pPr>
        <w:pStyle w:val="Bullet1G"/>
      </w:pPr>
      <w:r w:rsidRPr="00684CF8">
        <w:t>повышение осведомленности о рисках, правилах, гарантиях, обязательствах и правах, связанных с обработкой персональных данных;</w:t>
      </w:r>
    </w:p>
    <w:p w14:paraId="43421A5D" w14:textId="77777777" w:rsidR="00DF75A7" w:rsidRPr="00684CF8" w:rsidRDefault="00DF75A7" w:rsidP="00FA6345">
      <w:pPr>
        <w:pStyle w:val="Bullet1G"/>
      </w:pPr>
      <w:r w:rsidRPr="00684CF8">
        <w:t>проведение расследований и инспекций на местах;</w:t>
      </w:r>
    </w:p>
    <w:p w14:paraId="59FA35A1" w14:textId="77777777" w:rsidR="00DF75A7" w:rsidRPr="00684CF8" w:rsidRDefault="00DF75A7" w:rsidP="00FA6345">
      <w:pPr>
        <w:pStyle w:val="Bullet1G"/>
      </w:pPr>
      <w:r w:rsidRPr="00684CF8">
        <w:t>наложение административных санкций за нарушение ОПЗД;</w:t>
      </w:r>
    </w:p>
    <w:p w14:paraId="6EE84524" w14:textId="77777777" w:rsidR="00DF75A7" w:rsidRPr="00684CF8" w:rsidRDefault="00DF75A7" w:rsidP="00FA6345">
      <w:pPr>
        <w:pStyle w:val="Bullet1G"/>
      </w:pPr>
      <w:r w:rsidRPr="00684CF8">
        <w:t>подготовка заявлений о законодательных и административных изменениях, которые влияют на защиту прав и свобод человека в отношении обработки персональных данных;</w:t>
      </w:r>
    </w:p>
    <w:p w14:paraId="5FB1663F" w14:textId="77777777" w:rsidR="00DF75A7" w:rsidRPr="00684CF8" w:rsidRDefault="00DF75A7" w:rsidP="00FA6345">
      <w:pPr>
        <w:pStyle w:val="Bullet1G"/>
      </w:pPr>
      <w:r w:rsidRPr="00684CF8">
        <w:t>подготовка заявлений о правонарушениях, связанных с обработкой персональных данных;</w:t>
      </w:r>
    </w:p>
    <w:p w14:paraId="33AC5594" w14:textId="77777777" w:rsidR="00DF75A7" w:rsidRPr="00684CF8" w:rsidRDefault="00DF75A7" w:rsidP="00FA6345">
      <w:pPr>
        <w:pStyle w:val="Bullet1G"/>
      </w:pPr>
      <w:r w:rsidRPr="00684CF8">
        <w:t>контроль за обработкой информации о кредитоспособности и корпоративных кредитных рейтингах;</w:t>
      </w:r>
    </w:p>
    <w:p w14:paraId="755BEEAC" w14:textId="77777777" w:rsidR="00DF75A7" w:rsidRPr="00684CF8" w:rsidRDefault="00DF75A7" w:rsidP="00FA6345">
      <w:pPr>
        <w:pStyle w:val="Bullet1G"/>
      </w:pPr>
      <w:r w:rsidRPr="00684CF8">
        <w:t>обработка запросов о выдаче распоряжений относительно прав субъектов данных и уведомлений о других нарушениях, связанных с обработкой персональных данных;</w:t>
      </w:r>
    </w:p>
    <w:p w14:paraId="62E02981" w14:textId="77777777" w:rsidR="00DF75A7" w:rsidRPr="00684CF8" w:rsidRDefault="00DF75A7" w:rsidP="00FA6345">
      <w:pPr>
        <w:pStyle w:val="Bullet1G"/>
      </w:pPr>
      <w:r w:rsidRPr="00684CF8">
        <w:t>получение заявлений от сотрудников по защите данных;</w:t>
      </w:r>
    </w:p>
    <w:p w14:paraId="4CA51ECB" w14:textId="77777777" w:rsidR="00DF75A7" w:rsidRPr="00684CF8" w:rsidRDefault="00DF75A7" w:rsidP="00FA6345">
      <w:pPr>
        <w:pStyle w:val="Bullet1G"/>
      </w:pPr>
      <w:r w:rsidRPr="00684CF8">
        <w:t>получение сообщений о нарушениях, связанных с обработкой персональных данных;</w:t>
      </w:r>
    </w:p>
    <w:p w14:paraId="759B1EEB" w14:textId="77777777" w:rsidR="00DF75A7" w:rsidRPr="00684CF8" w:rsidRDefault="00DF75A7" w:rsidP="00FA6345">
      <w:pPr>
        <w:pStyle w:val="Bullet1G"/>
      </w:pPr>
      <w:r w:rsidRPr="00684CF8">
        <w:t>составление перечня обстоятельств, при которых требуется оценка воздействия на защиту данных;</w:t>
      </w:r>
    </w:p>
    <w:p w14:paraId="5AFE2105" w14:textId="77777777" w:rsidR="00DF75A7" w:rsidRPr="00684CF8" w:rsidRDefault="00DF75A7" w:rsidP="00FA6345">
      <w:pPr>
        <w:pStyle w:val="Bullet1G"/>
      </w:pPr>
      <w:r w:rsidRPr="00684CF8">
        <w:t>оценка предварительных консультаций, касающихся обработки данных с высокой степенью риска;</w:t>
      </w:r>
    </w:p>
    <w:p w14:paraId="62459C33" w14:textId="77777777" w:rsidR="00DF75A7" w:rsidRPr="00684CF8" w:rsidRDefault="00DF75A7" w:rsidP="00FA6345">
      <w:pPr>
        <w:pStyle w:val="Bullet1G"/>
      </w:pPr>
      <w:r w:rsidRPr="00684CF8">
        <w:t>утверждение свода правил и стандартных положений;</w:t>
      </w:r>
    </w:p>
    <w:p w14:paraId="23863323" w14:textId="77777777" w:rsidR="00DF75A7" w:rsidRPr="00684CF8" w:rsidRDefault="00DF75A7" w:rsidP="00FA6345">
      <w:pPr>
        <w:pStyle w:val="Bullet1G"/>
      </w:pPr>
      <w:r w:rsidRPr="00684CF8">
        <w:t>поощрение утверждения сертификатов, аккредитация сертификационных органов и отзыв выданных сертификатов;</w:t>
      </w:r>
    </w:p>
    <w:p w14:paraId="6E647AB0" w14:textId="77777777" w:rsidR="00DF75A7" w:rsidRPr="00684CF8" w:rsidRDefault="00DF75A7" w:rsidP="00FA6345">
      <w:pPr>
        <w:pStyle w:val="Bullet1G"/>
      </w:pPr>
      <w:r w:rsidRPr="00684CF8">
        <w:t xml:space="preserve">сотрудничество с другими органами ЕС по защите данных на основе принципа </w:t>
      </w:r>
      <w:r w:rsidR="00DA4238" w:rsidRPr="00684CF8">
        <w:t>«</w:t>
      </w:r>
      <w:r w:rsidRPr="00684CF8">
        <w:t>единого окна</w:t>
      </w:r>
      <w:r w:rsidR="00DA4238" w:rsidRPr="00684CF8">
        <w:t>»</w:t>
      </w:r>
      <w:r w:rsidRPr="00684CF8">
        <w:t xml:space="preserve"> и, при необходимости, передача вопросов в Европейский совет по защите данных.</w:t>
      </w:r>
    </w:p>
    <w:p w14:paraId="1FC39BE3" w14:textId="77777777" w:rsidR="00DF75A7" w:rsidRPr="00684CF8" w:rsidRDefault="00DF75A7" w:rsidP="00DA4238">
      <w:pPr>
        <w:pStyle w:val="H23G"/>
      </w:pPr>
      <w:bookmarkStart w:id="113" w:name="_Toc32364351"/>
      <w:r w:rsidRPr="00684CF8">
        <w:lastRenderedPageBreak/>
        <w:tab/>
      </w:r>
      <w:r w:rsidRPr="00684CF8">
        <w:tab/>
        <w:t>Омбудсмен по вопросам разведки</w:t>
      </w:r>
      <w:bookmarkEnd w:id="113"/>
    </w:p>
    <w:p w14:paraId="2E402750" w14:textId="77777777" w:rsidR="00DF75A7" w:rsidRPr="00DF75A7" w:rsidRDefault="00DF75A7" w:rsidP="00DF75A7">
      <w:pPr>
        <w:pStyle w:val="SingleTxtG"/>
      </w:pPr>
      <w:r w:rsidRPr="00DF75A7">
        <w:t>286.</w:t>
      </w:r>
      <w:r w:rsidRPr="00DF75A7">
        <w:tab/>
        <w:t xml:space="preserve">После принятия Парламентом нового Закона о надзоре за сбором разведывательных данных (121/2019) была учреждена должность Омбудсмена по вопросам разведки в увязке с деятельностью Управления Омбудсмена по защите данных в целях надзора за законностью </w:t>
      </w:r>
      <w:bookmarkStart w:id="114" w:name="_Hlk48493543"/>
      <w:r w:rsidRPr="00DF75A7">
        <w:t>разведывательной деятельности</w:t>
      </w:r>
      <w:bookmarkEnd w:id="114"/>
      <w:r w:rsidRPr="00DF75A7">
        <w:t>. Омбудсмен является самостоятельным и независимым должностным лицом, назначаемым правительством сроком на пять лет. Прежде чем приступить к его назначению, правительство предоставляет парламентской Комиссии по контролю за разведывательной деятельностью возможность быть заслушанной по данному вопросу.</w:t>
      </w:r>
    </w:p>
    <w:p w14:paraId="6E30E55A" w14:textId="77777777" w:rsidR="00DF75A7" w:rsidRPr="00DF75A7" w:rsidRDefault="00DF75A7" w:rsidP="00DF75A7">
      <w:pPr>
        <w:pStyle w:val="SingleTxtG"/>
      </w:pPr>
      <w:r w:rsidRPr="00DF75A7">
        <w:t>287.</w:t>
      </w:r>
      <w:r w:rsidRPr="00DF75A7">
        <w:tab/>
        <w:t>В качестве должностного лица по надзору за законностью разведывательной деятельности Омбудсмен по вопросам разведки выполняет следующие обязанности:</w:t>
      </w:r>
    </w:p>
    <w:p w14:paraId="64DB9DDC" w14:textId="77777777" w:rsidR="00DF75A7" w:rsidRPr="00684CF8" w:rsidRDefault="00DF75A7" w:rsidP="00644E8E">
      <w:pPr>
        <w:pStyle w:val="Bullet1G"/>
      </w:pPr>
      <w:r w:rsidRPr="00684CF8">
        <w:t>надзор за законностью использования методов сбора разведывательных данных и разведывательной информации, а также других видов разведывательной деятельности;</w:t>
      </w:r>
    </w:p>
    <w:p w14:paraId="5843FDFA" w14:textId="77777777" w:rsidR="00DF75A7" w:rsidRPr="00684CF8" w:rsidRDefault="00DF75A7" w:rsidP="00644E8E">
      <w:pPr>
        <w:pStyle w:val="Bullet1G"/>
      </w:pPr>
      <w:r w:rsidRPr="00684CF8">
        <w:t>надзор за осуществлением основных и общечеловеческих прав в деятельности спецслужб;</w:t>
      </w:r>
    </w:p>
    <w:p w14:paraId="43733FBB" w14:textId="77777777" w:rsidR="00DF75A7" w:rsidRPr="00684CF8" w:rsidRDefault="00DF75A7" w:rsidP="00644E8E">
      <w:pPr>
        <w:pStyle w:val="Bullet1G"/>
      </w:pPr>
      <w:r w:rsidRPr="00684CF8">
        <w:t>содействие обеспечению правовой защиты и соответствующих оптимальных видов практики в области сбора оперативной информации;</w:t>
      </w:r>
    </w:p>
    <w:p w14:paraId="3760AF98" w14:textId="77777777" w:rsidR="00DF75A7" w:rsidRPr="00684CF8" w:rsidRDefault="00DF75A7" w:rsidP="00644E8E">
      <w:pPr>
        <w:pStyle w:val="Bullet1G"/>
      </w:pPr>
      <w:r w:rsidRPr="00684CF8">
        <w:t>мониторинг и оценка функциональности законодательства, относящегося к компетенции Омбудсмена, и внесение предложений по его разработке, которые Омбудсмен считает необходимыми.</w:t>
      </w:r>
    </w:p>
    <w:p w14:paraId="133D18B6" w14:textId="77777777" w:rsidR="00DF75A7" w:rsidRPr="00DF75A7" w:rsidRDefault="00DF75A7" w:rsidP="00DF75A7">
      <w:pPr>
        <w:pStyle w:val="SingleTxtG"/>
      </w:pPr>
      <w:r w:rsidRPr="00DF75A7">
        <w:t>288.</w:t>
      </w:r>
      <w:r w:rsidRPr="00DF75A7">
        <w:tab/>
        <w:t>Омбудсмен по вопросам разведки должен незамедлительно получать информацию обо всех жалобах, поданных в суды в связи с методами сбора оперативных данных, а также о разрешениях на применение методов сбора оперативных данных, выдаваемых судами, и о решениях, принимаемых органами по правам человека в области сбора оперативных данных. Омбудсмен имеет право получать информацию и отчеты, необходимые для выполнения своих надзорных функций, от органов власти и других организаций, выполняющих государственные административные функции. Омбудсмен может также проводить инспекции в помещениях государственных органов и других субъектов, на которые возложены обязанности по государственному управлению, с целью осуществления надзора за законностью разведывательной деятельности в вопросах, относящихся к компетенции Омбудсмена. В контексте таких проверок Омбудсмен имеет право доступа ко всем помещениям и информационным системам, необходимым для осуществления надзора. Омбудсмен имеет право присутствовать и быть заслушанным в суде в ходе рассмотрения вопроса о разрешении на применение метода сбора разведывательных данных, а также право обжаловать решение суда.</w:t>
      </w:r>
    </w:p>
    <w:p w14:paraId="29E9C454" w14:textId="77777777" w:rsidR="00DF75A7" w:rsidRPr="00DF75A7" w:rsidRDefault="00DF75A7" w:rsidP="00DF75A7">
      <w:pPr>
        <w:pStyle w:val="SingleTxtG"/>
      </w:pPr>
      <w:r w:rsidRPr="00DF75A7">
        <w:t>289.</w:t>
      </w:r>
      <w:r w:rsidRPr="00DF75A7">
        <w:tab/>
        <w:t>Любое лицо, которое считает, что его права были нарушены в связи с действиями спецслужб или что были предприняты другие незаконные действия, может подать жалобу Омбудсмену по вопросам разведки по теме, относящейся к компетенции Омбудсмена. На основании жалобы Омбудсмен принимает те меры, которые он считает необходимыми с точки зрения законности разведывательной деятельности, осуществления основных и общечеловеческих прав или обеспечения правовой защиты. Омбудсмен получает отчет по данному делу, если он считает это необходимым.</w:t>
      </w:r>
    </w:p>
    <w:p w14:paraId="081D8590" w14:textId="77777777" w:rsidR="00DF75A7" w:rsidRPr="00DF75A7" w:rsidRDefault="00DF75A7" w:rsidP="00DF75A7">
      <w:pPr>
        <w:pStyle w:val="SingleTxtG"/>
      </w:pPr>
      <w:r w:rsidRPr="00DF75A7">
        <w:t>290.</w:t>
      </w:r>
      <w:r w:rsidRPr="00DF75A7">
        <w:tab/>
        <w:t>Любое лицо, ставшее объектом сбора разведывательных данных или подозревающее, что оно стало объектом сбора разведывательных данных, может обратиться к Омбудсмену по вопросам разведки с просьбой расследовать законность использованных методов сбора разведывательных данных. Омбудсмен может распорядиться приостановить или прекратить использование метода сбора оперативных данных, если он считает, что тот или иной орган власти действовал незаконно в ходе своей деятельности по сбору оперативных данных.</w:t>
      </w:r>
    </w:p>
    <w:p w14:paraId="6F999DE1" w14:textId="77777777" w:rsidR="00DF75A7" w:rsidRPr="00DF75A7" w:rsidRDefault="00DF75A7" w:rsidP="00DF75A7">
      <w:pPr>
        <w:pStyle w:val="SingleTxtG"/>
      </w:pPr>
      <w:r w:rsidRPr="00DF75A7">
        <w:lastRenderedPageBreak/>
        <w:t>291.</w:t>
      </w:r>
      <w:r w:rsidRPr="00DF75A7">
        <w:tab/>
        <w:t>Омбудсмен по вопросам разведки ежегодно представляет Парламенту, Парламентскому омбудсмену и правительству доклад о своей деятельности и направляет любые существенные выводы в отношении своих надзорных функций на рассмотрение парламентской Комиссии по контролю за разведывательной деятельностью.</w:t>
      </w:r>
    </w:p>
    <w:p w14:paraId="734AC642" w14:textId="77777777" w:rsidR="00DF75A7" w:rsidRPr="00684CF8" w:rsidRDefault="00DF75A7" w:rsidP="00644E8E">
      <w:pPr>
        <w:pStyle w:val="H23G"/>
      </w:pPr>
      <w:bookmarkStart w:id="115" w:name="_Toc32364352"/>
      <w:r w:rsidRPr="00684CF8">
        <w:tab/>
        <w:t>g)</w:t>
      </w:r>
      <w:r w:rsidRPr="00684CF8">
        <w:tab/>
        <w:t>Региональные правозащитные механизмы</w:t>
      </w:r>
      <w:bookmarkEnd w:id="115"/>
    </w:p>
    <w:p w14:paraId="16A4C631" w14:textId="77777777" w:rsidR="00DF75A7" w:rsidRPr="00684CF8" w:rsidRDefault="00DF75A7" w:rsidP="00644E8E">
      <w:pPr>
        <w:pStyle w:val="H23G"/>
      </w:pPr>
      <w:bookmarkStart w:id="116" w:name="_Toc32364353"/>
      <w:r w:rsidRPr="00684CF8">
        <w:tab/>
      </w:r>
      <w:r w:rsidRPr="00684CF8">
        <w:tab/>
        <w:t>Совет Европы и Европейский суд по правам человека</w:t>
      </w:r>
      <w:bookmarkEnd w:id="116"/>
    </w:p>
    <w:p w14:paraId="4A541526" w14:textId="77777777" w:rsidR="00DF75A7" w:rsidRPr="00DF75A7" w:rsidRDefault="00DF75A7" w:rsidP="00DF75A7">
      <w:pPr>
        <w:pStyle w:val="SingleTxtG"/>
      </w:pPr>
      <w:r w:rsidRPr="00DF75A7">
        <w:t>292.</w:t>
      </w:r>
      <w:r w:rsidRPr="00DF75A7">
        <w:tab/>
        <w:t xml:space="preserve">Финляндия вступила в Совет Европы в 1989 году. Европейская конвенция о правах человека (ЕКПЧ) была ратифицирована Финляндией в 1990 году, </w:t>
      </w:r>
      <w:r w:rsidR="00644E8E" w:rsidRPr="00684CF8">
        <w:br/>
      </w:r>
      <w:r w:rsidRPr="00DF75A7">
        <w:t xml:space="preserve">и одновременно Финляндия признала компетенцию Европейского суда по правам человека (ЕСПЧ). В силу вышеупомянутой дуалистической модели ратификация ЕКПЧ потребовала от Финляндии принятия многочисленных поправок к законодательству, и поэтому простое всеобщее правоприменение не является возможным. В контексте ратификации Финляндия признала как компетенцию тогдашнего Комитета по правам человека рассматривать сообщения от отдельных лиц, так и компетенцию ЕСПЧ. Правоприменение осуществлялось путем принятия соответствующего Закона в порядке процедуры конституционного введения в действие, </w:t>
      </w:r>
      <w:r w:rsidR="008B4107" w:rsidRPr="00684CF8">
        <w:t>т. </w:t>
      </w:r>
      <w:r w:rsidRPr="00DF75A7">
        <w:t>е</w:t>
      </w:r>
      <w:r w:rsidR="008B4107" w:rsidRPr="00684CF8">
        <w:t>.</w:t>
      </w:r>
      <w:r w:rsidRPr="00DF75A7">
        <w:t xml:space="preserve"> большинством в две трети голосов членов Парламента. Однако признание компетенции ЕСПЧ не требует внесения поправок в Конституцию Финляндии.</w:t>
      </w:r>
    </w:p>
    <w:p w14:paraId="16BC3A5C" w14:textId="77777777" w:rsidR="00DF75A7" w:rsidRPr="00DF75A7" w:rsidRDefault="00DF75A7" w:rsidP="00DF75A7">
      <w:pPr>
        <w:pStyle w:val="SingleTxtG"/>
      </w:pPr>
      <w:r w:rsidRPr="00DF75A7">
        <w:t>293.</w:t>
      </w:r>
      <w:r w:rsidRPr="00DF75A7">
        <w:tab/>
        <w:t xml:space="preserve">Парламент Аландских островов также был обязан утвердить этот Закон, с тем чтобы можно было ратифицировать Конвенцию. Аутентичными вариантами ЕКПЧ в Финляндии являются тексты на английском и французском языках. Первая ссылка на ЕКПЧ в судебной практике содержится в решении, вынесенном Апелляционным судом 12 сентября 1990 года (статья 6 ЕКПЧ). Верховный суд в своих решениях также начал ссылаться на ЕКПЧ и решения ЕСПЧ как на элемент своего </w:t>
      </w:r>
      <w:r w:rsidR="00D17646" w:rsidRPr="00684CF8">
        <w:t>«</w:t>
      </w:r>
      <w:r w:rsidRPr="00DF75A7">
        <w:t>правозащитного</w:t>
      </w:r>
      <w:r w:rsidR="00D17646" w:rsidRPr="00684CF8">
        <w:t>»</w:t>
      </w:r>
      <w:r w:rsidRPr="00DF75A7">
        <w:t xml:space="preserve"> толкования права.</w:t>
      </w:r>
    </w:p>
    <w:p w14:paraId="4E178FF2" w14:textId="77777777" w:rsidR="00DF75A7" w:rsidRPr="00DF75A7" w:rsidRDefault="00DF75A7" w:rsidP="00DF75A7">
      <w:pPr>
        <w:pStyle w:val="SingleTxtG"/>
      </w:pPr>
      <w:r w:rsidRPr="00DF75A7">
        <w:t>294.</w:t>
      </w:r>
      <w:r w:rsidRPr="00DF75A7">
        <w:tab/>
        <w:t>Общее число решений, вынесенных ЕСПЧ по делам с участием Финляндии, составляет 190, из которых 141 решение было вынесено против государства. В</w:t>
      </w:r>
      <w:r w:rsidR="00D17646" w:rsidRPr="00684CF8">
        <w:t> </w:t>
      </w:r>
      <w:r w:rsidRPr="00DF75A7">
        <w:t>Финляндии решения ЕСПЧ оказали влияние на толкование прав, касающихся свободы выражения мнений и защиты частной жизни, а также установление баланса между этими правами. Многие решения, в которых было констатировано нарушение требования о разумных сроках, привели к принятию законодательства, касающегося компенсации за чрезмерно затянутые судебные разбирательства, в то время как в делах, связанных с принципом ne bis in idem при налогообложении, Верховный суд Финляндии в некоторых отношениях следовал более строгому подходу, чем ЕСПЧ.</w:t>
      </w:r>
    </w:p>
    <w:p w14:paraId="78FA1D6A" w14:textId="77777777" w:rsidR="00DF75A7" w:rsidRPr="00DF75A7" w:rsidRDefault="00DF75A7" w:rsidP="00DF75A7">
      <w:pPr>
        <w:pStyle w:val="SingleTxtG"/>
      </w:pPr>
      <w:r w:rsidRPr="00DF75A7">
        <w:t>295.</w:t>
      </w:r>
      <w:r w:rsidRPr="00DF75A7">
        <w:tab/>
        <w:t>В Финляндии исполнение решений ЕСПЧ контролируется и координируется представителем правительства в ЕСПЧ, который является руководителем отдела по делам судов по правам человека и конвенций Министерства иностранных дел. Меры по исполнению судебных решений (помимо выплаты компенсаций и распределения судебных издержек) оцениваются отраслевыми министерствами в сотрудничестве с представителем правительства, который также готовит все планы и отчеты о деятельности.</w:t>
      </w:r>
    </w:p>
    <w:p w14:paraId="2E4757EE" w14:textId="77777777" w:rsidR="00DF75A7" w:rsidRPr="00DF75A7" w:rsidRDefault="00DF75A7" w:rsidP="00DF75A7">
      <w:pPr>
        <w:pStyle w:val="SingleTxtG"/>
      </w:pPr>
      <w:r w:rsidRPr="00DF75A7">
        <w:t>296.</w:t>
      </w:r>
      <w:r w:rsidRPr="00DF75A7">
        <w:tab/>
        <w:t>На сегодняшний день в Комитет министров Совета Европы по надзору за исполнением было представлено в общей сложности 173 дела, участником которых являлась Финляндия. Из них 144 дела были закрыты окончательным решением, а</w:t>
      </w:r>
      <w:r w:rsidR="00D17646" w:rsidRPr="00684CF8">
        <w:t> </w:t>
      </w:r>
      <w:r w:rsidRPr="00DF75A7">
        <w:t>29</w:t>
      </w:r>
      <w:r w:rsidR="00D17646" w:rsidRPr="00684CF8">
        <w:t> </w:t>
      </w:r>
      <w:r w:rsidRPr="00DF75A7">
        <w:t>дел по-прежнему находятся на стадии рассмотрения. В рамках этих мер были приняты меры по исполнению на национальном уровне, однако отчеты о проделанной работе еще не завершены.</w:t>
      </w:r>
    </w:p>
    <w:p w14:paraId="02051903" w14:textId="77777777" w:rsidR="00DF75A7" w:rsidRPr="00684CF8" w:rsidRDefault="00DF75A7" w:rsidP="00D17646">
      <w:pPr>
        <w:pStyle w:val="H23G"/>
      </w:pPr>
      <w:bookmarkStart w:id="117" w:name="_Toc32364354"/>
      <w:r w:rsidRPr="00684CF8">
        <w:tab/>
      </w:r>
      <w:r w:rsidRPr="00684CF8">
        <w:tab/>
        <w:t>Европейский союз</w:t>
      </w:r>
      <w:bookmarkEnd w:id="117"/>
    </w:p>
    <w:p w14:paraId="189D2983" w14:textId="77777777" w:rsidR="00DF75A7" w:rsidRPr="00DF75A7" w:rsidRDefault="00DF75A7" w:rsidP="00DF75A7">
      <w:pPr>
        <w:pStyle w:val="SingleTxtG"/>
      </w:pPr>
      <w:r w:rsidRPr="00DF75A7">
        <w:t>297.</w:t>
      </w:r>
      <w:r w:rsidRPr="00DF75A7">
        <w:tab/>
        <w:t xml:space="preserve">Помимо конституций государств </w:t>
      </w:r>
      <w:r w:rsidR="00D17646" w:rsidRPr="00684CF8">
        <w:t>—</w:t>
      </w:r>
      <w:r w:rsidRPr="00DF75A7">
        <w:t xml:space="preserve"> членов ЕС, общечеловеческие права и основные права человека были также укреплены в Хартии Европейского союза об основных правах. Кроме того, в ЕС введено в действие положение о поощрении </w:t>
      </w:r>
      <w:r w:rsidRPr="00DF75A7">
        <w:lastRenderedPageBreak/>
        <w:t>основных прав. Хотя Хартия дополняет национальные системы, она их не подменяет. В тех случаях, когда основные права отдельных лиц не соблюдаются, решение по таким делам принимают национальные суды. В особых случаях, когда государство</w:t>
      </w:r>
      <w:r w:rsidR="00D17646" w:rsidRPr="00684CF8">
        <w:t xml:space="preserve"> — </w:t>
      </w:r>
      <w:r w:rsidRPr="00DF75A7">
        <w:t xml:space="preserve">член ЕС не соблюдает законодательство ЕС и нарушает права того или иного лица, Европейская Комиссия может подать иск против такого государства-члена в Суд Европейского </w:t>
      </w:r>
      <w:r w:rsidR="008B4B33">
        <w:t>с</w:t>
      </w:r>
      <w:r w:rsidRPr="00DF75A7">
        <w:t>оюза.</w:t>
      </w:r>
    </w:p>
    <w:p w14:paraId="604E3A84" w14:textId="77777777" w:rsidR="00DF75A7" w:rsidRPr="00684CF8" w:rsidRDefault="00DF75A7" w:rsidP="00D17646">
      <w:pPr>
        <w:pStyle w:val="H1G"/>
      </w:pPr>
      <w:r w:rsidRPr="00684CF8">
        <w:tab/>
        <w:t>E.</w:t>
      </w:r>
      <w:r w:rsidRPr="00684CF8">
        <w:tab/>
        <w:t>Рамки поощрения прав человека</w:t>
      </w:r>
    </w:p>
    <w:p w14:paraId="3427C613" w14:textId="77777777" w:rsidR="00DF75A7" w:rsidRPr="00684CF8" w:rsidRDefault="00DF75A7" w:rsidP="00D17646">
      <w:pPr>
        <w:pStyle w:val="H23G"/>
      </w:pPr>
      <w:bookmarkStart w:id="118" w:name="_Toc32364356"/>
      <w:r w:rsidRPr="00684CF8">
        <w:tab/>
        <w:t>a)</w:t>
      </w:r>
      <w:r w:rsidRPr="00684CF8">
        <w:tab/>
        <w:t>Парламент Финляндии</w:t>
      </w:r>
      <w:bookmarkEnd w:id="118"/>
    </w:p>
    <w:p w14:paraId="74E6A4DC" w14:textId="77777777" w:rsidR="00DF75A7" w:rsidRPr="00DF75A7" w:rsidRDefault="00DF75A7" w:rsidP="00DF75A7">
      <w:pPr>
        <w:pStyle w:val="SingleTxtG"/>
      </w:pPr>
      <w:r w:rsidRPr="00DF75A7">
        <w:t>298.</w:t>
      </w:r>
      <w:r w:rsidRPr="00DF75A7">
        <w:tab/>
        <w:t xml:space="preserve">Исходный постулат заключается в равной ценности всех прав человека, гражданских и политических прав, а также экономических, социальных и культурных прав наряду со всеми другими </w:t>
      </w:r>
      <w:bookmarkStart w:id="119" w:name="_Hlk48580124"/>
      <w:r w:rsidRPr="00DF75A7">
        <w:t>общечеловечески</w:t>
      </w:r>
      <w:bookmarkEnd w:id="119"/>
      <w:r w:rsidRPr="00DF75A7">
        <w:t>ми правами. Все права человека одинаково важны и взаимозависимы. Обязательства в области прав человека должны соблюдать те, кто осуществляет государственную власть на всех уровнях: национальном, региональном и местном. В соответствии со статьей 124 Конституции Финляндии задачи по управлению обществом могут передаваться другим органам только на основе закона или в силу закона, если это необходимо по причине целесообразности для выполнения задачи и не угрожает основным свободам и правам, правовой защите и иным целям благого управления. В этом случае орган, которому передана такая задача, должен также в своей деятельности соблюдать основные и общечеловеческие права и выполнять международные обязательства Финляндии.</w:t>
      </w:r>
    </w:p>
    <w:p w14:paraId="4F4F8395" w14:textId="77777777" w:rsidR="00DF75A7" w:rsidRPr="00DF75A7" w:rsidRDefault="00DF75A7" w:rsidP="00DF75A7">
      <w:pPr>
        <w:pStyle w:val="SingleTxtG"/>
      </w:pPr>
      <w:r w:rsidRPr="00DF75A7">
        <w:t>299.</w:t>
      </w:r>
      <w:r w:rsidRPr="00DF75A7">
        <w:tab/>
        <w:t>В соответствии со статьей 3 Конституции Финляндии законодательная власть в Финляндии осуществляется Парламентом, который также принимает решения о государственных финансах. При осуществлении своей законодательной власти Парламент должен соблюдать закон. В частности, уже на этапе разработки законодательства Парламент должен обеспечить, чтобы закон не был неконституционным и тем самым не противоречил основным и общечеловеческим правам. Таким правам уделяется внимание в ходе разработки законодательства, в</w:t>
      </w:r>
      <w:r w:rsidR="00D17646" w:rsidRPr="00684CF8">
        <w:t> </w:t>
      </w:r>
      <w:r w:rsidRPr="00DF75A7">
        <w:t>частности во время процедуры получения заявлений и их рассмотрения правительством, которые имеют место до принятия и вступления в силу того или иного закона.</w:t>
      </w:r>
    </w:p>
    <w:p w14:paraId="3877C81E" w14:textId="77777777" w:rsidR="00DF75A7" w:rsidRPr="00DF75A7" w:rsidRDefault="00DF75A7" w:rsidP="00DF75A7">
      <w:pPr>
        <w:pStyle w:val="SingleTxtG"/>
      </w:pPr>
      <w:r w:rsidRPr="00DF75A7">
        <w:t>300.</w:t>
      </w:r>
      <w:r w:rsidRPr="00DF75A7">
        <w:tab/>
        <w:t>В соответствии со статьей 35 Конституции Финляндии на весь срок своих полномочий Парламент избирает Большую комиссию, а также Комиссию по конституционному праву, Комиссию по иностранным делам, Финансовую комиссию и другие постоянные комиссии, которые указаны в Регламенте Парламента. Основная функция Комиссии по конституционному праву состоит в том, чтобы выступать с заявлениями по направляемым на е</w:t>
      </w:r>
      <w:r w:rsidR="00D17646" w:rsidRPr="00684CF8">
        <w:t>е</w:t>
      </w:r>
      <w:r w:rsidRPr="00DF75A7">
        <w:t xml:space="preserve"> рассмотрение законопроектам, а также по вопросу о конституционности других вопросов и их влиянии на международные договоры по правам человека. </w:t>
      </w:r>
      <w:bookmarkStart w:id="120" w:name="_Hlk48579671"/>
      <w:r w:rsidRPr="00DF75A7">
        <w:t xml:space="preserve">Комиссия по конституционному праву </w:t>
      </w:r>
      <w:bookmarkEnd w:id="120"/>
      <w:r w:rsidRPr="00DF75A7">
        <w:t>разрабатывает Конституцию, а также тесно связанные с ней законы, такие как законодательство, касающееся автономии Аландских островов, выборов, гражданства, языка и политических партий. Комиссия по конституционному праву является постоянной специальной комиссией Парламента.</w:t>
      </w:r>
    </w:p>
    <w:p w14:paraId="6644EA55" w14:textId="77777777" w:rsidR="00DF75A7" w:rsidRPr="00DF75A7" w:rsidRDefault="00DF75A7" w:rsidP="00DF75A7">
      <w:pPr>
        <w:pStyle w:val="SingleTxtG"/>
      </w:pPr>
      <w:r w:rsidRPr="00DF75A7">
        <w:t>301.</w:t>
      </w:r>
      <w:r w:rsidRPr="00DF75A7">
        <w:tab/>
        <w:t>Комиссия по конституционному праву состоит не менее чем из 17 членов, назначаемых из числа депутатов Парламента. Комиссия отвечает за разработку законодательства по вопросам, касающимся принятия или изменения Конституции или законодательства, тесно связанного с ней. В докладах Комиссии, как правило, рассматриваются аспекты целесообразности, а также может быть дано толкование Конституции Финляндии. По просьбе другой Комиссии или пленарной сессии Парламента Комиссия представляет заключения, в которых она оценивает конституционность разрабатываемых законопроектов и их связь с международными конвенциями по правам человека. Мнение Комиссии обычно запрашивается по проектам разработки законодательства в тех случаях, когда связь предлагаемого законодательства с Конституцией не ясна, или по вопросу, по которому Комиссия ранее не высказывала своего мнения.</w:t>
      </w:r>
    </w:p>
    <w:p w14:paraId="7CDEAAFF" w14:textId="77777777" w:rsidR="00DF75A7" w:rsidRPr="00DF75A7" w:rsidRDefault="00DF75A7" w:rsidP="00DF75A7">
      <w:pPr>
        <w:pStyle w:val="SingleTxtG"/>
      </w:pPr>
      <w:r w:rsidRPr="00DF75A7">
        <w:lastRenderedPageBreak/>
        <w:t>302.</w:t>
      </w:r>
      <w:r w:rsidRPr="00DF75A7">
        <w:tab/>
        <w:t>Поскольку Комиссия по конституционному праву отвечает за конституционность законодательства, при подготовке своего заключения она обычно консультируется с экспертами в области конституционного права, а также время от времени и с представителями других отраслей права в соответствии с установившейся практикой и на основе Регламента Парламента. Комиссия проводит широкие консультации с исследователями в области права и профессорами. Институт консультаций Комиссии по конституционному праву с экспертами стал настолько устоявшимся, обычным и обширным с точки зрения круга участвующих лиц, что его можно де-факто считать наиболее важным инструментом Комиссии в деле осуществления предварительного надзора за конституционностью законодательства. Сама процедура консультаций во многих случаях осуществляется в письменной форме, т</w:t>
      </w:r>
      <w:r w:rsidR="00D17646" w:rsidRPr="00684CF8">
        <w:t>.</w:t>
      </w:r>
      <w:r w:rsidR="00D17646" w:rsidRPr="00684CF8">
        <w:rPr>
          <w:lang w:val="en-US"/>
        </w:rPr>
        <w:t> </w:t>
      </w:r>
      <w:r w:rsidR="00D17646" w:rsidRPr="00684CF8">
        <w:t xml:space="preserve">е. </w:t>
      </w:r>
      <w:r w:rsidRPr="00DF75A7">
        <w:t>экспертов просят представить письменное заключение по рассматриваемому вопросу.</w:t>
      </w:r>
    </w:p>
    <w:p w14:paraId="0552FCF7" w14:textId="77777777" w:rsidR="00DF75A7" w:rsidRPr="00684CF8" w:rsidRDefault="00DF75A7" w:rsidP="00D17646">
      <w:pPr>
        <w:pStyle w:val="H23G"/>
      </w:pPr>
      <w:bookmarkStart w:id="121" w:name="_Toc32364357"/>
      <w:r w:rsidRPr="00684CF8">
        <w:tab/>
        <w:t>b)</w:t>
      </w:r>
      <w:r w:rsidRPr="00684CF8">
        <w:tab/>
        <w:t>Местные органы власти</w:t>
      </w:r>
      <w:bookmarkEnd w:id="121"/>
    </w:p>
    <w:p w14:paraId="5BBF3AD0" w14:textId="77777777" w:rsidR="00DF75A7" w:rsidRPr="00DF75A7" w:rsidRDefault="00DF75A7" w:rsidP="00DF75A7">
      <w:pPr>
        <w:pStyle w:val="SingleTxtG"/>
      </w:pPr>
      <w:r w:rsidRPr="00DF75A7">
        <w:t>303.</w:t>
      </w:r>
      <w:r w:rsidRPr="00DF75A7">
        <w:tab/>
        <w:t xml:space="preserve">Права человека должны также поощряться на уровне местных органов власти. Это обязательство основано на статье 22 Конституции Финляндии, в тексте которой </w:t>
      </w:r>
      <w:r w:rsidR="00D17646" w:rsidRPr="00684CF8">
        <w:t>«</w:t>
      </w:r>
      <w:r w:rsidRPr="00DF75A7">
        <w:t>органы государственной власти</w:t>
      </w:r>
      <w:r w:rsidR="00D17646" w:rsidRPr="00684CF8">
        <w:t>»</w:t>
      </w:r>
      <w:r w:rsidRPr="00DF75A7">
        <w:t xml:space="preserve"> включают как центральные, так и местные органы власти. Обязанность органов государственной власти гарантировать основные права и свободы и общечеловеческие права является расширением правозащитной системы, предусматривающей санкции за нарушения прав человека, о чем свидетельствует тот факт, что указанное положение уравнивает основные </w:t>
      </w:r>
      <w:bookmarkStart w:id="122" w:name="_Hlk49851178"/>
      <w:r w:rsidRPr="00DF75A7">
        <w:t xml:space="preserve">и общечеловеческие </w:t>
      </w:r>
      <w:bookmarkEnd w:id="122"/>
      <w:r w:rsidRPr="00DF75A7">
        <w:t>права. Однако в связи с обязанностью местных органов власти гарантировать основные и общечеловеческие права какие-либо санкции отсутствуют. Тем не менее правовые интересы в области основных и общечеловеческих прав сходятся настолько, что действия государственных властей во многих случаях достигают обеих целей.</w:t>
      </w:r>
    </w:p>
    <w:p w14:paraId="52402869" w14:textId="77777777" w:rsidR="00DF75A7" w:rsidRPr="00684CF8" w:rsidRDefault="00DF75A7" w:rsidP="00D17646">
      <w:pPr>
        <w:pStyle w:val="H23G"/>
      </w:pPr>
      <w:bookmarkStart w:id="123" w:name="_Toc32364358"/>
      <w:r w:rsidRPr="00684CF8">
        <w:tab/>
        <w:t>c)</w:t>
      </w:r>
      <w:r w:rsidRPr="00684CF8">
        <w:tab/>
        <w:t>Национальное правозащитное учреждение (НПУ)</w:t>
      </w:r>
      <w:bookmarkEnd w:id="123"/>
    </w:p>
    <w:p w14:paraId="025B1EBD" w14:textId="77777777" w:rsidR="00DF75A7" w:rsidRPr="00DF75A7" w:rsidRDefault="00DF75A7" w:rsidP="00DF75A7">
      <w:pPr>
        <w:pStyle w:val="SingleTxtG"/>
      </w:pPr>
      <w:r w:rsidRPr="00DF75A7">
        <w:t>304.</w:t>
      </w:r>
      <w:r w:rsidRPr="00DF75A7">
        <w:tab/>
        <w:t>Национальное правозащитное учреждение Финляндии состоит из Центра по правам человека и его Делегации, а также Парламентского омбудсмена. Национальное правозащитное учреждение Финляндии было аккредитовано со статусом А в 2014 и</w:t>
      </w:r>
      <w:r w:rsidR="00D17646" w:rsidRPr="00684CF8">
        <w:t> </w:t>
      </w:r>
      <w:r w:rsidRPr="00DF75A7">
        <w:t xml:space="preserve">2019 годах. </w:t>
      </w:r>
    </w:p>
    <w:p w14:paraId="7CB6DCEC" w14:textId="77777777" w:rsidR="00DF75A7" w:rsidRPr="00DF75A7" w:rsidRDefault="00DF75A7" w:rsidP="00DF75A7">
      <w:pPr>
        <w:pStyle w:val="SingleTxtG"/>
      </w:pPr>
      <w:r w:rsidRPr="00DF75A7">
        <w:t>305.</w:t>
      </w:r>
      <w:r w:rsidRPr="00DF75A7">
        <w:tab/>
        <w:t xml:space="preserve">НПУ в целом поощряет, защищает и контролирует осуществление Конвенции ООН о правах инвалидов на основе закона в соответствии со статьей 33(2) Конвенции. </w:t>
      </w:r>
    </w:p>
    <w:p w14:paraId="0E4646A5" w14:textId="77777777" w:rsidR="00DF75A7" w:rsidRPr="00DF75A7" w:rsidRDefault="00DF75A7" w:rsidP="00DF75A7">
      <w:pPr>
        <w:pStyle w:val="SingleTxtG"/>
      </w:pPr>
      <w:r w:rsidRPr="00DF75A7">
        <w:t>306.</w:t>
      </w:r>
      <w:r w:rsidRPr="00DF75A7">
        <w:tab/>
        <w:t>Дополнительным направлением деятельности НПУ является поощрение прав пожилых лиц в целях укрепления законодательной перспективы в деятельности и принятии решений, касающихся пожилых лиц, а также в более широком плане с точки зрения отношения к ним.</w:t>
      </w:r>
    </w:p>
    <w:p w14:paraId="3910EA8E" w14:textId="77777777" w:rsidR="00DF75A7" w:rsidRPr="00684CF8" w:rsidRDefault="00DF75A7" w:rsidP="00D17646">
      <w:pPr>
        <w:pStyle w:val="H23G"/>
      </w:pPr>
      <w:bookmarkStart w:id="124" w:name="_Toc32364359"/>
      <w:r w:rsidRPr="00684CF8">
        <w:tab/>
      </w:r>
      <w:r w:rsidRPr="00684CF8">
        <w:tab/>
        <w:t>Центр по правам человека</w:t>
      </w:r>
      <w:bookmarkEnd w:id="124"/>
    </w:p>
    <w:p w14:paraId="59030F6B" w14:textId="77777777" w:rsidR="00DF75A7" w:rsidRPr="00DF75A7" w:rsidRDefault="00DF75A7" w:rsidP="00DF75A7">
      <w:pPr>
        <w:pStyle w:val="SingleTxtG"/>
      </w:pPr>
      <w:r w:rsidRPr="00DF75A7">
        <w:t>307.</w:t>
      </w:r>
      <w:r w:rsidRPr="00DF75A7">
        <w:tab/>
        <w:t xml:space="preserve">Центр по правам человека начал свою работу в марте 2012 года. </w:t>
      </w:r>
      <w:r w:rsidR="00D17646" w:rsidRPr="00684CF8">
        <w:br/>
      </w:r>
      <w:r w:rsidRPr="00DF75A7">
        <w:t xml:space="preserve">Его обязанности изложены в Законе о Парламентском омбудсмене. Центр по правам человека является автономным и независимым экспертным учреждением, задача которого заключается в содействии осуществлению </w:t>
      </w:r>
      <w:bookmarkStart w:id="125" w:name="_Hlk49851239"/>
      <w:r w:rsidRPr="00DF75A7">
        <w:t>основных и общечеловеческих прав</w:t>
      </w:r>
      <w:bookmarkEnd w:id="125"/>
      <w:r w:rsidRPr="00DF75A7">
        <w:t>, а также в расширении сотрудничества и обмена информацией между различными субъектами. В административном плане он связан с аппаратом Парламентского омбудсмена.</w:t>
      </w:r>
    </w:p>
    <w:p w14:paraId="657360CC" w14:textId="77777777" w:rsidR="00DF75A7" w:rsidRPr="00DF75A7" w:rsidRDefault="00DF75A7" w:rsidP="00DF75A7">
      <w:pPr>
        <w:pStyle w:val="SingleTxtG"/>
      </w:pPr>
      <w:r w:rsidRPr="00DF75A7">
        <w:t>308.</w:t>
      </w:r>
      <w:r w:rsidRPr="00DF75A7">
        <w:tab/>
        <w:t>Перед Центром по правам человека поставлены следующие задачи:</w:t>
      </w:r>
    </w:p>
    <w:p w14:paraId="165565A7" w14:textId="77777777" w:rsidR="00DF75A7" w:rsidRPr="00684CF8" w:rsidRDefault="00DF75A7" w:rsidP="00D17646">
      <w:pPr>
        <w:pStyle w:val="Bullet1G"/>
      </w:pPr>
      <w:r w:rsidRPr="00684CF8">
        <w:t>содействие предоставлению информации, подготовке кадров, образованию и исследованиям в области основных и общечеловеческих прав;</w:t>
      </w:r>
    </w:p>
    <w:p w14:paraId="65296E97" w14:textId="77777777" w:rsidR="00DF75A7" w:rsidRPr="00684CF8" w:rsidRDefault="00DF75A7" w:rsidP="00D17646">
      <w:pPr>
        <w:pStyle w:val="Bullet1G"/>
      </w:pPr>
      <w:r w:rsidRPr="00684CF8">
        <w:t>подготовка проектов докладов об осуществлении основных и общечеловеческих прав;</w:t>
      </w:r>
    </w:p>
    <w:p w14:paraId="0184762B" w14:textId="77777777" w:rsidR="00DF75A7" w:rsidRPr="00684CF8" w:rsidRDefault="00DF75A7" w:rsidP="00D17646">
      <w:pPr>
        <w:pStyle w:val="Bullet1G"/>
      </w:pPr>
      <w:r w:rsidRPr="00684CF8">
        <w:t>выступления с инициативами и заявлениями в интересах поощрения и осуществления основных и общечеловеческих прав;</w:t>
      </w:r>
    </w:p>
    <w:p w14:paraId="51B604E5" w14:textId="77777777" w:rsidR="00DF75A7" w:rsidRPr="00684CF8" w:rsidRDefault="00DF75A7" w:rsidP="00D17646">
      <w:pPr>
        <w:pStyle w:val="Bullet1G"/>
      </w:pPr>
      <w:r w:rsidRPr="00684CF8">
        <w:lastRenderedPageBreak/>
        <w:t>участие в европейском и международном сотрудничестве, связанном с поощрением и защитой основных и общечеловеческих прав;</w:t>
      </w:r>
    </w:p>
    <w:p w14:paraId="4EE6A4A7" w14:textId="77777777" w:rsidR="00DF75A7" w:rsidRPr="00684CF8" w:rsidRDefault="00DF75A7" w:rsidP="00D17646">
      <w:pPr>
        <w:pStyle w:val="Bullet1G"/>
      </w:pPr>
      <w:r w:rsidRPr="00684CF8">
        <w:t>выполнение других аналогичных задач, связанных с поощрением и осуществлением основных и общечеловеческих прав;</w:t>
      </w:r>
    </w:p>
    <w:p w14:paraId="01476959" w14:textId="77777777" w:rsidR="00DF75A7" w:rsidRPr="00684CF8" w:rsidRDefault="00DF75A7" w:rsidP="00D17646">
      <w:pPr>
        <w:pStyle w:val="Bullet1G"/>
      </w:pPr>
      <w:r w:rsidRPr="00684CF8">
        <w:t>поощрение, защита и мониторинг выполнения Конвенции ООН о правах инвалидов.</w:t>
      </w:r>
    </w:p>
    <w:p w14:paraId="2BA1242B" w14:textId="77777777" w:rsidR="00DF75A7" w:rsidRPr="00DF75A7" w:rsidRDefault="00DF75A7" w:rsidP="00DF75A7">
      <w:pPr>
        <w:pStyle w:val="SingleTxtG"/>
      </w:pPr>
      <w:r w:rsidRPr="00DF75A7">
        <w:t>309.</w:t>
      </w:r>
      <w:r w:rsidRPr="00DF75A7">
        <w:tab/>
        <w:t>Центр не занимается рассмотрением жалоб и других отдельных случаев.</w:t>
      </w:r>
    </w:p>
    <w:p w14:paraId="5FF55F3C" w14:textId="77777777" w:rsidR="00DF75A7" w:rsidRPr="00DF75A7" w:rsidRDefault="00DF75A7" w:rsidP="00DF75A7">
      <w:pPr>
        <w:pStyle w:val="SingleTxtG"/>
      </w:pPr>
      <w:r w:rsidRPr="00DF75A7">
        <w:t>310.</w:t>
      </w:r>
      <w:r w:rsidRPr="00DF75A7">
        <w:tab/>
        <w:t>Центр следит за соблюдением международных договоров по правам человека в Финляндии, выполнением заключительных замечаний, принятых международными договорными наблюдательными органами в отношении Финляндии, а также за исполнением решений и других постановлений ЕСПЧ и иных международных договорных органов.</w:t>
      </w:r>
    </w:p>
    <w:p w14:paraId="63536F6D" w14:textId="77777777" w:rsidR="00DF75A7" w:rsidRPr="00DF75A7" w:rsidRDefault="00DF75A7" w:rsidP="00DF75A7">
      <w:pPr>
        <w:pStyle w:val="SingleTxtG"/>
      </w:pPr>
      <w:r w:rsidRPr="00DF75A7">
        <w:t>311.</w:t>
      </w:r>
      <w:r w:rsidRPr="00DF75A7">
        <w:tab/>
        <w:t>Центр осуществляет широкое международное сотрудничество в рамках Европейской сети национальных правозащитных учреждений (ЕСНПУ) и Глобального альянса национальных правозащитных учреждений (ГАНПУ), а также их тематических рабочих групп.</w:t>
      </w:r>
    </w:p>
    <w:p w14:paraId="12E69D0A" w14:textId="77777777" w:rsidR="00DF75A7" w:rsidRPr="00684CF8" w:rsidRDefault="00DF75A7" w:rsidP="00D17646">
      <w:pPr>
        <w:pStyle w:val="H23G"/>
      </w:pPr>
      <w:bookmarkStart w:id="126" w:name="_Toc32364360"/>
      <w:r w:rsidRPr="00684CF8">
        <w:tab/>
      </w:r>
      <w:r w:rsidRPr="00684CF8">
        <w:tab/>
        <w:t>Делегация по правам человека</w:t>
      </w:r>
      <w:bookmarkEnd w:id="126"/>
    </w:p>
    <w:p w14:paraId="34234673" w14:textId="77777777" w:rsidR="00DF75A7" w:rsidRPr="00DF75A7" w:rsidRDefault="00DF75A7" w:rsidP="00DF75A7">
      <w:pPr>
        <w:pStyle w:val="SingleTxtG"/>
      </w:pPr>
      <w:r w:rsidRPr="00DF75A7">
        <w:t>312.</w:t>
      </w:r>
      <w:r w:rsidRPr="00DF75A7">
        <w:tab/>
        <w:t xml:space="preserve">В Центр по правам человека входит Делегация по правам человека в составе </w:t>
      </w:r>
      <w:r w:rsidR="00D17646" w:rsidRPr="00684CF8">
        <w:br/>
      </w:r>
      <w:r w:rsidRPr="00DF75A7">
        <w:t>20–40 членов, которые широко представляют финских правозащитников. Состав Делегации разнообразен с точки зрения экспертов, носит представительный характер, а процесс отбора его членов прозрачен. Делегация функционирует как орган сотрудничества в области основных и общечеловеческих прав и помогает активизировать обмен информацией между различными субъектами. Она также рассматривает вопросы прав человека, имеющие далеко идущее значение и принципиальную важность. Делегация регулярно представляет инициативы и мнения по актуальным вопросам, связанным с основными и общечеловеческими правами, и</w:t>
      </w:r>
      <w:r w:rsidR="00D17646" w:rsidRPr="00684CF8">
        <w:t> </w:t>
      </w:r>
      <w:r w:rsidRPr="00DF75A7">
        <w:t xml:space="preserve">стремится отстаивать их, в частности во внутренней политике в области прав человека. Парламентский омбудсмен назначает Делегацию на четырехлетний срок после консультации с директором Центра по правам человека, который также возглавляет Делегацию. Делегация выбирает заместителя Председателя. Делегация собирается два </w:t>
      </w:r>
      <w:r w:rsidR="008B4B33">
        <w:t>–</w:t>
      </w:r>
      <w:r w:rsidRPr="00DF75A7">
        <w:t xml:space="preserve"> четыре раза в год.</w:t>
      </w:r>
    </w:p>
    <w:p w14:paraId="48527DFF" w14:textId="77777777" w:rsidR="00DF75A7" w:rsidRPr="00DF75A7" w:rsidRDefault="00DF75A7" w:rsidP="00DF75A7">
      <w:pPr>
        <w:pStyle w:val="SingleTxtG"/>
      </w:pPr>
      <w:r w:rsidRPr="00DF75A7">
        <w:t>313.</w:t>
      </w:r>
      <w:r w:rsidRPr="00DF75A7">
        <w:tab/>
        <w:t>Заседания и работа Делегации по правам человека готовятся совместно с Центром по правам человека рабочим комитетом в составе 6–8 членов Делегации. Делегация также уполномочена создавать группы, в которые она назначает членов из своего числа. Группы могут создаваться для подготовки и рассмотрения конкретных задач. Постоянной группой Делегации является Комитет по правам инвалидов, который принимает участие в выполнении обязанностей, определенных в статье 33(2) Конвенции ООН о правах инвалидов, в порядке, установленном в Правилах процедуры Делегации. Делегация также может при необходимости создавать временные группы.</w:t>
      </w:r>
    </w:p>
    <w:p w14:paraId="1FB87FC6" w14:textId="77777777" w:rsidR="00DF75A7" w:rsidRPr="00684CF8" w:rsidRDefault="00DF75A7" w:rsidP="00D17646">
      <w:pPr>
        <w:pStyle w:val="H23G"/>
      </w:pPr>
      <w:bookmarkStart w:id="127" w:name="_Toc32364361"/>
      <w:r w:rsidRPr="00684CF8">
        <w:tab/>
        <w:t>d)</w:t>
      </w:r>
      <w:r w:rsidRPr="00684CF8">
        <w:tab/>
        <w:t>Правительственная сеть контактных лиц по вопросам основных и</w:t>
      </w:r>
      <w:r w:rsidR="00D17646" w:rsidRPr="00684CF8">
        <w:t> </w:t>
      </w:r>
      <w:r w:rsidRPr="00684CF8">
        <w:t>общечеловеческих прав</w:t>
      </w:r>
      <w:bookmarkEnd w:id="127"/>
    </w:p>
    <w:p w14:paraId="040A8422" w14:textId="77777777" w:rsidR="00DF75A7" w:rsidRPr="00DF75A7" w:rsidRDefault="00DF75A7" w:rsidP="00DF75A7">
      <w:pPr>
        <w:pStyle w:val="SingleTxtG"/>
      </w:pPr>
      <w:r w:rsidRPr="00DF75A7">
        <w:t>314.</w:t>
      </w:r>
      <w:r w:rsidRPr="00DF75A7">
        <w:tab/>
        <w:t xml:space="preserve">Правительственная сеть контактных лиц по вопросам основных и общечеловеческих прав служит укреплению реализации таких прав человека в Финляндии. В обязанности сети входит мониторинг положения в области основных и общечеловеческих прав в Финляндии, а также осуществление на национальном уровне международных обязательств и государственной политики в области основных и общечеловеческих прав. Сеть также принимает участие в укреплении внутренней координации в рамках правительства и диалога по вопросам основных и общечеловеческих прав. Кроме того, сеть инициирует исследования и проекты развития, направленные на получение информации о ходе осуществления основных и общечеловеческих прав в Финляндии и содействие их реализации. В сети </w:t>
      </w:r>
      <w:r w:rsidRPr="00DF75A7">
        <w:lastRenderedPageBreak/>
        <w:t>представлены все министерства, в том числе эксперты Парламентского омбудсмена и правительственного Канцлера юстиции, а также Центра по правам человека.</w:t>
      </w:r>
    </w:p>
    <w:p w14:paraId="227BBE7B" w14:textId="77777777" w:rsidR="00DF75A7" w:rsidRPr="00DF75A7" w:rsidRDefault="00DF75A7" w:rsidP="00DF75A7">
      <w:pPr>
        <w:pStyle w:val="SingleTxtG"/>
      </w:pPr>
      <w:r w:rsidRPr="00DF75A7">
        <w:t>315.</w:t>
      </w:r>
      <w:r w:rsidRPr="00DF75A7">
        <w:tab/>
        <w:t>Одной из ключевых обязанностей правительственной сети контактных лиц по вопросам основных и общечеловеческих прав является надзор за осуществлением Национального плана действий в области основных и общечеловеческих прав. Создание сети обеспечило новый инструмент для систематического мониторинга выполнения плана. Сеть проводит регулярные совещания и самостоятельно составляет свою собственную повестку дня. Сеть часто занимается анализом и сопоставлением с контрольными показателями рекомендаций, вынесенных в соответствии с международными договорами по правам человека, и следит за их выполнением. Расширение коммуникации между заинтересованными сторонами можно также отнести на счет сети контактных лиц по вопросам основных и общечеловеческих прав.</w:t>
      </w:r>
    </w:p>
    <w:p w14:paraId="00473C05" w14:textId="77777777" w:rsidR="00DF75A7" w:rsidRPr="00684CF8" w:rsidRDefault="00DF75A7" w:rsidP="00D17646">
      <w:pPr>
        <w:pStyle w:val="H1G"/>
      </w:pPr>
      <w:bookmarkStart w:id="128" w:name="_Toc32364362"/>
      <w:r w:rsidRPr="00684CF8">
        <w:tab/>
        <w:t>F.</w:t>
      </w:r>
      <w:r w:rsidRPr="00684CF8">
        <w:tab/>
        <w:t>Публикация и распространение документов по правам человека и</w:t>
      </w:r>
      <w:r w:rsidR="00D17646" w:rsidRPr="00684CF8">
        <w:t> </w:t>
      </w:r>
      <w:r w:rsidRPr="00684CF8">
        <w:t>повышение осведомленности о них</w:t>
      </w:r>
      <w:bookmarkEnd w:id="128"/>
    </w:p>
    <w:p w14:paraId="47D63C4B" w14:textId="77777777" w:rsidR="00DF75A7" w:rsidRPr="00684CF8" w:rsidRDefault="00DF75A7" w:rsidP="00D17646">
      <w:pPr>
        <w:pStyle w:val="H23G"/>
      </w:pPr>
      <w:bookmarkStart w:id="129" w:name="_Toc32364363"/>
      <w:r w:rsidRPr="00684CF8">
        <w:tab/>
        <w:t>a)</w:t>
      </w:r>
      <w:r w:rsidRPr="00684CF8">
        <w:tab/>
        <w:t>Осведомленность о правах человека</w:t>
      </w:r>
      <w:bookmarkEnd w:id="129"/>
    </w:p>
    <w:p w14:paraId="00D3F719" w14:textId="77777777" w:rsidR="00DF75A7" w:rsidRPr="00DF75A7" w:rsidRDefault="00DF75A7" w:rsidP="00DF75A7">
      <w:pPr>
        <w:pStyle w:val="SingleTxtG"/>
      </w:pPr>
      <w:r w:rsidRPr="00DF75A7">
        <w:t>316.</w:t>
      </w:r>
      <w:r w:rsidRPr="00DF75A7">
        <w:tab/>
        <w:t xml:space="preserve">Переводы документов по правам человека на финский и шведский языки публикуются в серии </w:t>
      </w:r>
      <w:r w:rsidR="00D17646" w:rsidRPr="00684CF8">
        <w:t>«</w:t>
      </w:r>
      <w:r w:rsidRPr="00DF75A7">
        <w:t>Договоры</w:t>
      </w:r>
      <w:r w:rsidR="00D17646" w:rsidRPr="00684CF8">
        <w:t>»</w:t>
      </w:r>
      <w:r w:rsidRPr="00DF75A7">
        <w:t xml:space="preserve"> Свода статутов Финляндии. Свод статутов доступен в крупных публичных библиотеках; кроме того, документы можно просмотреть в онлайновом режиме в интернет-сервисе </w:t>
      </w:r>
      <w:r w:rsidR="00D17646" w:rsidRPr="00684CF8">
        <w:t>«</w:t>
      </w:r>
      <w:r w:rsidRPr="00DF75A7">
        <w:t>Финлекс</w:t>
      </w:r>
      <w:r w:rsidR="00D17646" w:rsidRPr="00684CF8">
        <w:t>»</w:t>
      </w:r>
      <w:r w:rsidRPr="00DF75A7">
        <w:t xml:space="preserve"> по правовой информации (</w:t>
      </w:r>
      <w:hyperlink r:id="rId17" w:history="1">
        <w:r w:rsidRPr="00DF75A7">
          <w:rPr>
            <w:rStyle w:val="af1"/>
            <w:color w:val="auto"/>
          </w:rPr>
          <w:t>www.finlex.fi/en</w:t>
        </w:r>
      </w:hyperlink>
      <w:r w:rsidRPr="00DF75A7">
        <w:t>) и на веб-сайте Министерства иностранных дел (</w:t>
      </w:r>
      <w:hyperlink r:id="rId18" w:history="1">
        <w:r w:rsidRPr="00DF75A7">
          <w:rPr>
            <w:rStyle w:val="af1"/>
            <w:color w:val="auto"/>
          </w:rPr>
          <w:t>https://um.fi/kahdenvaliset-ja-monenvaliset-sopimukset</w:t>
        </w:r>
      </w:hyperlink>
      <w:r w:rsidRPr="00DF75A7">
        <w:t>). В Финляндии бесплатный доступ в Интернет предоставляется, например, публичными библиотеками.</w:t>
      </w:r>
    </w:p>
    <w:p w14:paraId="5EBB2085" w14:textId="77777777" w:rsidR="00DF75A7" w:rsidRPr="00DF75A7" w:rsidRDefault="00DF75A7" w:rsidP="00DF75A7">
      <w:pPr>
        <w:pStyle w:val="SingleTxtG"/>
      </w:pPr>
      <w:r w:rsidRPr="00DF75A7">
        <w:t>317.</w:t>
      </w:r>
      <w:r w:rsidRPr="00DF75A7">
        <w:tab/>
        <w:t>Периодические доклады правительства об осуществлении договоров публикуются на веб-сайте Министерства иностранных дел (</w:t>
      </w:r>
      <w:hyperlink r:id="rId19" w:history="1">
        <w:r w:rsidRPr="00DF75A7">
          <w:rPr>
            <w:rStyle w:val="af1"/>
            <w:color w:val="auto"/>
          </w:rPr>
          <w:t>https://um.fi/kahdenvaliset-ja-monenvaliset-sopimukset</w:t>
        </w:r>
      </w:hyperlink>
      <w:r w:rsidRPr="00DF75A7">
        <w:t>), на котором также представлены заключительные замечания на трех языках (английском, финском, шведском).</w:t>
      </w:r>
    </w:p>
    <w:p w14:paraId="4BDB6F20" w14:textId="77777777" w:rsidR="00DF75A7" w:rsidRPr="00684CF8" w:rsidRDefault="00DF75A7" w:rsidP="00D17646">
      <w:pPr>
        <w:pStyle w:val="H23G"/>
      </w:pPr>
      <w:bookmarkStart w:id="130" w:name="_Toc32364364"/>
      <w:r w:rsidRPr="00684CF8">
        <w:tab/>
      </w:r>
      <w:r w:rsidRPr="00684CF8">
        <w:tab/>
        <w:t xml:space="preserve">Национальный план действий в области основных и общечеловеческих прав </w:t>
      </w:r>
      <w:bookmarkEnd w:id="130"/>
    </w:p>
    <w:p w14:paraId="3C42F7A4" w14:textId="77777777" w:rsidR="00DF75A7" w:rsidRPr="00DF75A7" w:rsidRDefault="00DF75A7" w:rsidP="00DF75A7">
      <w:pPr>
        <w:pStyle w:val="SingleTxtG"/>
      </w:pPr>
      <w:r w:rsidRPr="00DF75A7">
        <w:t>318.</w:t>
      </w:r>
      <w:r w:rsidRPr="00DF75A7">
        <w:tab/>
        <w:t xml:space="preserve">В повышении осведомленности о правах человека важную роль сыграли национальные планы действий в области </w:t>
      </w:r>
      <w:bookmarkStart w:id="131" w:name="_Hlk49946609"/>
      <w:r w:rsidRPr="00DF75A7">
        <w:t xml:space="preserve">основных и общечеловеческих прав </w:t>
      </w:r>
      <w:bookmarkEnd w:id="131"/>
      <w:r w:rsidRPr="00DF75A7">
        <w:t xml:space="preserve">на </w:t>
      </w:r>
      <w:r w:rsidR="00D17646" w:rsidRPr="00684CF8">
        <w:br/>
      </w:r>
      <w:r w:rsidRPr="00DF75A7">
        <w:t xml:space="preserve">2012–2013 годы и на 2017–2019 годы. В настоящее время разрабатывается третий Национальный план действий в области основных и общечеловеческих прав на </w:t>
      </w:r>
      <w:r w:rsidR="00D17646" w:rsidRPr="00684CF8">
        <w:br/>
      </w:r>
      <w:r w:rsidRPr="00DF75A7">
        <w:t>2020–2023 годы. Он будет сосредоточен на разработке показателей в области основных и общечеловеческих прав. Будет разработана система мониторинга за осуществлением основных и общечеловеческих прав на основе поддающихся измерению показателей.</w:t>
      </w:r>
    </w:p>
    <w:p w14:paraId="70232053" w14:textId="77777777" w:rsidR="00DF75A7" w:rsidRPr="00DF75A7" w:rsidRDefault="00DF75A7" w:rsidP="00DF75A7">
      <w:pPr>
        <w:pStyle w:val="SingleTxtG"/>
      </w:pPr>
      <w:r w:rsidRPr="00DF75A7">
        <w:t>319.</w:t>
      </w:r>
      <w:r w:rsidRPr="00DF75A7">
        <w:tab/>
        <w:t>Что касается второго Национального плана действий в области основных и общечеловеческих прав на 2017–2019 годы, то 16 февраля 2017 года правительство приняло принципиальное решение о его утверждении. Цель Плана действий заключается в поощрении обязательства органов государственной власти гарантировать соблюдение основных прав и свобод и общечеловеческих прав, как это предусмотрено в статье 22 Конституции Финляндии. Меры, принимаемые в рамках Плана действий, направлены на решение выявленных проблем в области основных и общечеловеческих прав и дополняют работу, проводимую в различных секторах политики в целях поощрения основных и общечеловеческих прав.</w:t>
      </w:r>
    </w:p>
    <w:p w14:paraId="0E9BF083" w14:textId="77777777" w:rsidR="00DF75A7" w:rsidRPr="00DF75A7" w:rsidRDefault="00DF75A7" w:rsidP="00DF75A7">
      <w:pPr>
        <w:pStyle w:val="SingleTxtG"/>
      </w:pPr>
      <w:r w:rsidRPr="00DF75A7">
        <w:t>320.</w:t>
      </w:r>
      <w:r w:rsidRPr="00DF75A7">
        <w:tab/>
        <w:t xml:space="preserve">При подготовке Плана действий особое внимание было уделено рекомендациям, адресованным Финляндии органами по наблюдению за осуществлением международных договоров, мнениям лиц, осуществляющих надзор за соблюдением законности, и специальных омбудсменов, а также проблемным областям, на которые указали организации гражданского общества. Основные направления Национального плана действий сосредоточены на образовании в области </w:t>
      </w:r>
      <w:bookmarkStart w:id="132" w:name="_Hlk49948699"/>
      <w:r w:rsidRPr="00DF75A7">
        <w:t>основных и общечеловеческих прав</w:t>
      </w:r>
      <w:bookmarkEnd w:id="132"/>
      <w:r w:rsidRPr="00DF75A7">
        <w:t xml:space="preserve">, равноправии, праве на самоопределение, а также на основных правах и цифровизации. План действий включает в себя в общей </w:t>
      </w:r>
      <w:r w:rsidRPr="00DF75A7">
        <w:lastRenderedPageBreak/>
        <w:t>сложности 43 проекта и нацелен на обеспечение рамок для реализации прав человека в течение определенного периода времени, несмотря на многочисленные изменения в обществе, происходящие за тот же период времени.</w:t>
      </w:r>
    </w:p>
    <w:p w14:paraId="0F669BD9" w14:textId="77777777" w:rsidR="00DF75A7" w:rsidRPr="00DF75A7" w:rsidRDefault="00DF75A7" w:rsidP="00DF75A7">
      <w:pPr>
        <w:pStyle w:val="SingleTxtG"/>
      </w:pPr>
      <w:r w:rsidRPr="00DF75A7">
        <w:t>321.</w:t>
      </w:r>
      <w:r w:rsidRPr="00DF75A7">
        <w:tab/>
        <w:t>Отобранные приоритетные области в Плане действий имели широкий охват и включали сквозные темы, т</w:t>
      </w:r>
      <w:r w:rsidR="008B4107" w:rsidRPr="00684CF8">
        <w:t>. </w:t>
      </w:r>
      <w:r w:rsidRPr="00DF75A7">
        <w:t>е</w:t>
      </w:r>
      <w:r w:rsidR="008B4107" w:rsidRPr="00684CF8">
        <w:t>.</w:t>
      </w:r>
      <w:r w:rsidRPr="00DF75A7">
        <w:t xml:space="preserve"> темы, относящиеся к мандату нескольких министерств. Приоритетные направления позволили каждому министерству принять участие в реализации целей и мероприятий Плана действий. Выбор сквозных тем также способствовал развитию сотрудничества в реализации основных и общечеловеческих прав по всему спектру секторальной деятельности министерств.</w:t>
      </w:r>
    </w:p>
    <w:p w14:paraId="6E758788" w14:textId="77777777" w:rsidR="00DF75A7" w:rsidRPr="00DF75A7" w:rsidRDefault="00DF75A7" w:rsidP="00DF75A7">
      <w:pPr>
        <w:pStyle w:val="SingleTxtG"/>
      </w:pPr>
      <w:r w:rsidRPr="00DF75A7">
        <w:t>322.</w:t>
      </w:r>
      <w:r w:rsidRPr="00DF75A7">
        <w:tab/>
        <w:t>План действий был также направлен на повышение осведомленности об основных и общечеловеческих правах как среди определенных профессиональных групп и слоев населения, так и во всем обществе в целом. Предполагалось также, что осуществление Плана действий обеспечит согласованность национальной и международной политики Финляндии в области основных и общечеловеческих прав.</w:t>
      </w:r>
    </w:p>
    <w:p w14:paraId="2DDD52FC" w14:textId="77777777" w:rsidR="00DF75A7" w:rsidRPr="00DF75A7" w:rsidRDefault="00DF75A7" w:rsidP="00DF75A7">
      <w:pPr>
        <w:pStyle w:val="SingleTxtG"/>
      </w:pPr>
      <w:r w:rsidRPr="00DF75A7">
        <w:t>323.</w:t>
      </w:r>
      <w:r w:rsidRPr="00DF75A7">
        <w:tab/>
        <w:t>Для каждой меры в рамках Плана действий были определены показатели для мониторинга их выполнения. Эти показатели были в основном общими индикаторами реализации. Работа над показателями была продолжена в рамках Плана действий путем разработки показателей равноправия и барометра основных прав.</w:t>
      </w:r>
    </w:p>
    <w:p w14:paraId="1EC55AA7" w14:textId="77777777" w:rsidR="00DF75A7" w:rsidRPr="00DF75A7" w:rsidRDefault="00DF75A7" w:rsidP="00DF75A7">
      <w:pPr>
        <w:pStyle w:val="SingleTxtG"/>
      </w:pPr>
      <w:r w:rsidRPr="00DF75A7">
        <w:t>324.</w:t>
      </w:r>
      <w:r w:rsidRPr="00DF75A7">
        <w:tab/>
        <w:t>Что касается образования и подготовки в области основных и общечеловеческих прав, то проекты в рамках Плана действий позволили повысить компетентность государственных должностных лиц в области основных и общечеловеческих прав, разработать оценку воздействия статутных проектов на основные и общечеловеческие права, содействовать образованию и подготовке в области основных и общечеловеческих прав в школах, а также расширить знания в области таких прав человека среди просителей убежища. План действий также предусматривает создание в 2019 году национального барометра по основным правам в качестве дополнения к обследованию в области основных прав, проводимому Агентством ЕС по основным правам с целью определения мнений, опыта и осведомленности об основных и общечеловеческих правах и их реализации в Финляндии среди лиц, говорящих на шведском, русском и арабском языках, а также инвалидов.</w:t>
      </w:r>
    </w:p>
    <w:p w14:paraId="143368A0" w14:textId="77777777" w:rsidR="00DF75A7" w:rsidRPr="00DF75A7" w:rsidRDefault="00DF75A7" w:rsidP="00DF75A7">
      <w:pPr>
        <w:pStyle w:val="SingleTxtG"/>
      </w:pPr>
      <w:r w:rsidRPr="00DF75A7">
        <w:t>325.</w:t>
      </w:r>
      <w:r w:rsidRPr="00DF75A7">
        <w:tab/>
        <w:t>В проектах в области образования и профессиональной подготовки, осуществляемых в рамках Плана действий, также участвуют партнеры за рамками правительства, такие как Центр по правам человека, Национальное агентство Финляндии по вопросам образования, Парламент саами и программа подготовки педагогов в Хельсинкском университете.</w:t>
      </w:r>
    </w:p>
    <w:p w14:paraId="13417F32" w14:textId="77777777" w:rsidR="00DF75A7" w:rsidRPr="00DF75A7" w:rsidRDefault="00DF75A7" w:rsidP="00DF75A7">
      <w:pPr>
        <w:pStyle w:val="SingleTxtG"/>
      </w:pPr>
      <w:r w:rsidRPr="00DF75A7">
        <w:t>326.</w:t>
      </w:r>
      <w:r w:rsidRPr="00DF75A7">
        <w:tab/>
        <w:t xml:space="preserve">В Плане действий указывается, что увеличение объема информации, получаемой на основе исследований, и снижение порога для сообщения о факте дискриминации являются ключевыми средствами для более эффективного выявления дискриминации и для того, чтобы она стала заметной, и что дискриминация может быть предотвращена путем оказания влияния на социально-психологические </w:t>
      </w:r>
      <w:bookmarkStart w:id="133" w:name="_Hlk48584961"/>
      <w:r w:rsidRPr="00DF75A7">
        <w:t>установки</w:t>
      </w:r>
      <w:bookmarkEnd w:id="133"/>
      <w:r w:rsidRPr="00DF75A7">
        <w:t xml:space="preserve"> и воспринимаемую безопасность различных групп, а также путем взаимодействия между ними и их включения в общество. Проекты, предусмотренные Планом действий, помимо прочего, повысили осведомленности о равноправии, оказали влияние на социально-психологические установки и культуру гражданской дискуссии, содействовали налаживанию хороших отношений между группами населения, способствовали равным возможностям для различных групп населения, оказали поддержку планированию обеспечения </w:t>
      </w:r>
      <w:bookmarkStart w:id="134" w:name="_Hlk48585011"/>
      <w:r w:rsidRPr="00DF75A7">
        <w:t>равноправия</w:t>
      </w:r>
      <w:bookmarkEnd w:id="134"/>
      <w:r w:rsidRPr="00DF75A7">
        <w:t xml:space="preserve"> в местных органах власти и расширили возможности правительства по оценке достижения равноправия, выявлению и устранению дискриминации и содействию равноправию. В рамках Плана действий группа по мониторингу дискриминации также разработала набор показателей равноправия и дискриминации для мониторинга следующих пяти секторов: 1) социально-психологические установки, 2) опыт и наблюдения за дискриминацией, 3) оценочные суждения и жалобы, касающиеся дискриминации, 4)</w:t>
      </w:r>
      <w:r w:rsidR="00BF2C74" w:rsidRPr="00684CF8">
        <w:t> </w:t>
      </w:r>
      <w:r w:rsidRPr="00DF75A7">
        <w:t>преступления на почве ненависти и ненавистнические высказывания и 5)</w:t>
      </w:r>
      <w:r w:rsidR="00BF2C74" w:rsidRPr="00684CF8">
        <w:t> </w:t>
      </w:r>
      <w:r w:rsidRPr="00DF75A7">
        <w:t xml:space="preserve">содействие равноправию. Данные исследований и статистические данные, </w:t>
      </w:r>
      <w:r w:rsidRPr="00DF75A7">
        <w:lastRenderedPageBreak/>
        <w:t xml:space="preserve">относящиеся к этим контролируемым тематическим секторам, регулярно обобщаются на странице показателей мониторинга на веб-сайте </w:t>
      </w:r>
      <w:hyperlink r:id="rId20" w:history="1">
        <w:r w:rsidR="00BF2C74" w:rsidRPr="00684CF8">
          <w:rPr>
            <w:rStyle w:val="af1"/>
            <w:color w:val="auto"/>
          </w:rPr>
          <w:t>www.yhdenvertaisuus.fi</w:t>
        </w:r>
      </w:hyperlink>
      <w:r w:rsidRPr="00DF75A7">
        <w:t>.</w:t>
      </w:r>
    </w:p>
    <w:p w14:paraId="52B95610" w14:textId="77777777" w:rsidR="00DF75A7" w:rsidRPr="00684CF8" w:rsidRDefault="00DF75A7" w:rsidP="00BF2C74">
      <w:pPr>
        <w:pStyle w:val="H23G"/>
      </w:pPr>
      <w:bookmarkStart w:id="135" w:name="_Toc32364365"/>
      <w:r w:rsidRPr="00684CF8">
        <w:tab/>
      </w:r>
      <w:r w:rsidRPr="00684CF8">
        <w:tab/>
        <w:t>Осведомленность о правах человека в системе образования</w:t>
      </w:r>
      <w:bookmarkEnd w:id="135"/>
    </w:p>
    <w:p w14:paraId="2B2786CB" w14:textId="77777777" w:rsidR="00DF75A7" w:rsidRPr="00DF75A7" w:rsidRDefault="00DF75A7" w:rsidP="00DF75A7">
      <w:pPr>
        <w:pStyle w:val="SingleTxtG"/>
      </w:pPr>
      <w:r w:rsidRPr="00DF75A7">
        <w:t>327.</w:t>
      </w:r>
      <w:r w:rsidRPr="00DF75A7">
        <w:tab/>
        <w:t xml:space="preserve">Права человека были включены во все разделы новой национальной учебной программы базового образования, которая вступила в силу в августе 2016 года. Кроме того, образование в области демократии и равноправия предусмотрено в рамках профессиональной подготовки лиц, работающих с детьми и молодежью, а также включается в качестве тем в программы дальнейшего и непрерывного образования. Работа по обеспечению равноправия также проводится непосредственно в области базового образования и воспитания и обучения детей младшего возраста. </w:t>
      </w:r>
      <w:r w:rsidR="00BF2C74" w:rsidRPr="00684CF8">
        <w:br/>
      </w:r>
      <w:r w:rsidRPr="00DF75A7">
        <w:t>В совместном проекте Центра по правам человека, Министерства юстиции и Хельсинкского университета, осуществление которого началось в 2018 году, рассматриваются пути превращения образования в области демократии и прав человека в компонент педагогического образования и школьной культуры таким образом, чтобы оно выходило за рамки эпизодического тематического дня. Содержание образования в области демократии и прав человека лежит в основе профессиональных навыков учителей и приобретает все большее значение в нашем все более разнообразном обществе. Этот проект является частью более широкого координационного проекта ДИНО (Развитие образования в области демократии и прав человека и содействие участию молодежи) Министерства юстиции, направленного на развитие образования для формирования демократической гражданской позиции и образования в области прав человека, а также на вовлечение молодежи.</w:t>
      </w:r>
    </w:p>
    <w:p w14:paraId="266AF190" w14:textId="77777777" w:rsidR="00DF75A7" w:rsidRPr="00684CF8" w:rsidRDefault="00DF75A7" w:rsidP="00BF2C74">
      <w:pPr>
        <w:pStyle w:val="H23G"/>
      </w:pPr>
      <w:bookmarkStart w:id="136" w:name="_Toc32364366"/>
      <w:r w:rsidRPr="00684CF8">
        <w:tab/>
        <w:t>b)</w:t>
      </w:r>
      <w:r w:rsidRPr="00684CF8">
        <w:tab/>
      </w:r>
      <w:r w:rsidRPr="00684CF8">
        <w:rPr>
          <w:bCs/>
        </w:rPr>
        <w:t xml:space="preserve">Исследования в области </w:t>
      </w:r>
      <w:bookmarkEnd w:id="136"/>
      <w:r w:rsidRPr="00684CF8">
        <w:t>основных и общечеловеческих прав</w:t>
      </w:r>
    </w:p>
    <w:p w14:paraId="6FC1F6A7" w14:textId="77777777" w:rsidR="00DF75A7" w:rsidRPr="00DF75A7" w:rsidRDefault="00DF75A7" w:rsidP="00DF75A7">
      <w:pPr>
        <w:pStyle w:val="SingleTxtG"/>
      </w:pPr>
      <w:r w:rsidRPr="00DF75A7">
        <w:t>328.</w:t>
      </w:r>
      <w:r w:rsidRPr="00DF75A7">
        <w:tab/>
        <w:t>Положение дел с исследованиями в области основных и общечеловеческих прав в Финляндии обстоит благоприятно. Финляндия обладает солидным опытом в этой области исследований, которая за последние несколько десятилетий стала устоявшейся дисциплиной. Финляндия приняла к сведению большой объем исследований в области прав человека, а также многоаспектность их содержания. Хотя исследования в области прав человека проводятся главным образом в университетах и их научно-исследовательских заведениях, ими занимаются и другие учреждения, включая государственные научно-исследовательские центры, правительство и министерства, ОГО и консультативные учреждения, а также независимые исследователи. Ценится междисциплинарный подход, поскольку он воспринимается как обогащающий все стороны, участвующие в исследованиях, и способствующий укреплению мышления исследователей благодаря многочисленным методам, применяемым в исследованиях.</w:t>
      </w:r>
    </w:p>
    <w:p w14:paraId="7F206099" w14:textId="77777777" w:rsidR="00DF75A7" w:rsidRPr="00DF75A7" w:rsidRDefault="00DF75A7" w:rsidP="00DF75A7">
      <w:pPr>
        <w:pStyle w:val="SingleTxtG"/>
      </w:pPr>
      <w:r w:rsidRPr="00DF75A7">
        <w:t>329.</w:t>
      </w:r>
      <w:r w:rsidRPr="00DF75A7">
        <w:tab/>
        <w:t xml:space="preserve">Исследования проводятся параллельно с включением в законодательство Финляндии принципов </w:t>
      </w:r>
      <w:bookmarkStart w:id="137" w:name="_Hlk48585762"/>
      <w:r w:rsidRPr="00DF75A7">
        <w:t>основных и общечеловеческих прав</w:t>
      </w:r>
      <w:bookmarkEnd w:id="137"/>
      <w:r w:rsidRPr="00DF75A7">
        <w:t>. На сегодняшний день внимание в исследованиях уделяется прежде всего основным правам, что находит свое отражение, в частности, в том, что большая часть исследований публикуется на финском или шведском языках, хотя в последние годы большее распространение получили англоязычные исследовательские публикации. Так или иначе, количество курсов и учебных модулей, предлагаемых на финском языке в области основных и общечеловеческих прав, считается низким, что находит отражение в выборе тем для исследований.</w:t>
      </w:r>
    </w:p>
    <w:p w14:paraId="1826B835" w14:textId="77777777" w:rsidR="00DF75A7" w:rsidRPr="00DF75A7" w:rsidRDefault="00DF75A7" w:rsidP="00DF75A7">
      <w:pPr>
        <w:pStyle w:val="SingleTxtG"/>
      </w:pPr>
      <w:r w:rsidRPr="00DF75A7">
        <w:t>330.</w:t>
      </w:r>
      <w:r w:rsidRPr="00DF75A7">
        <w:tab/>
        <w:t xml:space="preserve">Соответствующие исследования в университетах могут проводиться на нескольких факультетах, однако упор делается на дисциплины права и публичного права. Под эгидой университетов в Финляндии также созданы научно-исследовательские заведения, специализирующиеся в области </w:t>
      </w:r>
      <w:bookmarkStart w:id="138" w:name="_Hlk48585933"/>
      <w:r w:rsidRPr="00DF75A7">
        <w:t>основных и общечеловеческих прав</w:t>
      </w:r>
      <w:bookmarkEnd w:id="138"/>
      <w:r w:rsidRPr="00DF75A7">
        <w:t xml:space="preserve">. Круг ведения некоторых государственных научно-исследовательских заведений, отделенных от университетов, таких как Финский институт здравоохранения и социального обеспечения (ТХЛ) и Финский институт международных отношений (ФИИА), включает подготовку общественно полезных отраслевых исследований. В своих работах исследователи этих институтов сосредоточиваются на основных и общечеловеческих правах. Центральные органы </w:t>
      </w:r>
      <w:r w:rsidRPr="00DF75A7">
        <w:lastRenderedPageBreak/>
        <w:t>власти, такие как правительство и отдельные министерства, также заказывают проведение исследований в области основных и общечеловеческих прав, с тем чтобы использовать их результаты в процессе принятия решений и разработки законодательства.</w:t>
      </w:r>
    </w:p>
    <w:p w14:paraId="20758F04" w14:textId="77777777" w:rsidR="00DF75A7" w:rsidRPr="00684CF8" w:rsidRDefault="00DF75A7" w:rsidP="00BF2C74">
      <w:pPr>
        <w:pStyle w:val="H23G"/>
      </w:pPr>
      <w:bookmarkStart w:id="139" w:name="_Toc32364367"/>
      <w:r w:rsidRPr="00684CF8">
        <w:tab/>
        <w:t>c)</w:t>
      </w:r>
      <w:r w:rsidRPr="00684CF8">
        <w:tab/>
        <w:t>Роль гражданского участия в поощрении прав человека</w:t>
      </w:r>
      <w:bookmarkEnd w:id="139"/>
    </w:p>
    <w:p w14:paraId="58FC440C" w14:textId="77777777" w:rsidR="00DF75A7" w:rsidRPr="00DF75A7" w:rsidRDefault="00DF75A7" w:rsidP="00DF75A7">
      <w:pPr>
        <w:pStyle w:val="SingleTxtG"/>
      </w:pPr>
      <w:r w:rsidRPr="00DF75A7">
        <w:t>331.</w:t>
      </w:r>
      <w:r w:rsidRPr="00DF75A7">
        <w:tab/>
        <w:t>В рамках финской демократии Конституция Финляндии гарантирует право человека участвовать в развитии общества и влиять на него и условия его жизни. Официальные каналы гражданского участия состоят из голосования, гражданской инициативы, ОГО и политических организаций. Кроме того, гражданское участие включает в себя общение с депутатами Парламента и членами местных советов, лоббирование и консультации экспертов, общественные дебаты, петиции, а иногда бойкоты и демонстрации.</w:t>
      </w:r>
    </w:p>
    <w:p w14:paraId="60CB7805" w14:textId="77777777" w:rsidR="00DF75A7" w:rsidRPr="00DF75A7" w:rsidRDefault="00DF75A7" w:rsidP="00DF75A7">
      <w:pPr>
        <w:pStyle w:val="SingleTxtG"/>
      </w:pPr>
      <w:r w:rsidRPr="00DF75A7">
        <w:t>332.</w:t>
      </w:r>
      <w:r w:rsidRPr="00DF75A7">
        <w:tab/>
        <w:t>В соответствии с финским законодательством органы власти должны действовать открыто и прозрачно. Гражданам должны быть предоставлены возможности защищать свои права и интересы, получать информацию о готовящихся решениях органов власти и влиять на принятие решений по интересующим их вопросам. Органы государственной власти должны консультироваться с гражданами, когда они готовят вопросы, затрагивающие жизнь граждан. В соответствии с Законом об открытости деятельности правительства органы власти в своей деятельности руководствуются принципом открытости. Например, официальные документы, как правило, являются общедоступными. Органы власти должны также информировать общественность о своей деятельности и услугах, а также о правах и обязанностях частных лиц и корпораций в вопросах, относящихся к сфере компетенции органов власти. Каждый человек имеет право получать информацию о вопросах, подготавливаемых властями, а также участвовать в развитии общества и сферы его жизнедеятельности и влиять на этот процесс. Онлайновые демократические сервисы позволяют гражданам и заинтересованным сторонам участвовать в подготовке вопросов и вносить свой вклад в принятие решений.</w:t>
      </w:r>
    </w:p>
    <w:p w14:paraId="78C834B9" w14:textId="77777777" w:rsidR="00DF75A7" w:rsidRPr="00DF75A7" w:rsidRDefault="00DF75A7" w:rsidP="00DF75A7">
      <w:pPr>
        <w:pStyle w:val="SingleTxtG"/>
      </w:pPr>
      <w:r w:rsidRPr="00DF75A7">
        <w:t>333.</w:t>
      </w:r>
      <w:r w:rsidRPr="00DF75A7">
        <w:tab/>
        <w:t xml:space="preserve">Консультации являются неотъемлемой частью процесса разработки законодательства в области основных и общечеловеческих прав. Под консультациями понимается такая стадия процесса разработки закона, на которой получают мнения, знания и опыт ключевых заинтересованных сторон по готовящемуся вопросу. Цель консультаций с гражданами и заинтересованными сторонами </w:t>
      </w:r>
      <w:r w:rsidR="00BF2C74" w:rsidRPr="00684CF8">
        <w:t>—</w:t>
      </w:r>
      <w:r w:rsidRPr="00DF75A7">
        <w:t xml:space="preserve"> обеспечить открытость, прозрачность и высокое качество процесса разработки закона.</w:t>
      </w:r>
    </w:p>
    <w:p w14:paraId="339BA667" w14:textId="77777777" w:rsidR="00DF75A7" w:rsidRPr="00684CF8" w:rsidRDefault="00DF75A7" w:rsidP="00BF2C74">
      <w:pPr>
        <w:pStyle w:val="H23G"/>
      </w:pPr>
      <w:bookmarkStart w:id="140" w:name="_Toc32364368"/>
      <w:r w:rsidRPr="00684CF8">
        <w:tab/>
        <w:t>d)</w:t>
      </w:r>
      <w:r w:rsidRPr="00684CF8">
        <w:tab/>
        <w:t>Бюджетные ассигнования на права человека</w:t>
      </w:r>
      <w:bookmarkEnd w:id="140"/>
    </w:p>
    <w:p w14:paraId="754B875F" w14:textId="77777777" w:rsidR="00DF75A7" w:rsidRPr="00DF75A7" w:rsidRDefault="00DF75A7" w:rsidP="00DF75A7">
      <w:pPr>
        <w:pStyle w:val="SingleTxtG"/>
      </w:pPr>
      <w:r w:rsidRPr="00DF75A7">
        <w:t>334.</w:t>
      </w:r>
      <w:r w:rsidRPr="00DF75A7">
        <w:tab/>
        <w:t>Бюджетные ассигнования на поощрение прав человека включают, в частности, ассигнования на решение национальных проблем в области прав человека по линии административного отдела Министерства юстиции и на сотрудничество в целях развития через административный отдел Министерства иностранных дел.</w:t>
      </w:r>
    </w:p>
    <w:p w14:paraId="6D952C10" w14:textId="77777777" w:rsidR="00DF75A7" w:rsidRPr="00684CF8" w:rsidRDefault="00DF75A7" w:rsidP="00BF2C74">
      <w:pPr>
        <w:pStyle w:val="H23G"/>
      </w:pPr>
      <w:bookmarkStart w:id="141" w:name="_Toc32364369"/>
      <w:r w:rsidRPr="00684CF8">
        <w:tab/>
        <w:t>e)</w:t>
      </w:r>
      <w:r w:rsidRPr="00684CF8">
        <w:tab/>
        <w:t>Сотрудничество в целях развития</w:t>
      </w:r>
      <w:bookmarkEnd w:id="141"/>
    </w:p>
    <w:p w14:paraId="0EC85907" w14:textId="3D07043C" w:rsidR="00DF75A7" w:rsidRPr="00DF75A7" w:rsidRDefault="00DF75A7" w:rsidP="00DF75A7">
      <w:pPr>
        <w:pStyle w:val="SingleTxtG"/>
      </w:pPr>
      <w:r w:rsidRPr="00DF75A7">
        <w:t>335.</w:t>
      </w:r>
      <w:r w:rsidRPr="00DF75A7">
        <w:tab/>
        <w:t>В 2019 году ассигнования Финляндии на сотрудничество в целях развития в размере 989 млн евро составили 0,41</w:t>
      </w:r>
      <w:r w:rsidR="00DF7B7E">
        <w:t> </w:t>
      </w:r>
      <w:r w:rsidRPr="00DF75A7">
        <w:t>% валового национального дохода (ВНД). Ассигнования будут использоваться для финансирования официальной помощи в целях развития (ОПР) и других мероприятий по сотрудничеству в целях развития.</w:t>
      </w:r>
    </w:p>
    <w:p w14:paraId="370C14B8" w14:textId="77777777" w:rsidR="00DF75A7" w:rsidRPr="00DF75A7" w:rsidRDefault="00DF75A7" w:rsidP="00DF75A7">
      <w:pPr>
        <w:pStyle w:val="SingleTxtG"/>
      </w:pPr>
      <w:r w:rsidRPr="00DF75A7">
        <w:t>336.</w:t>
      </w:r>
      <w:r w:rsidRPr="00DF75A7">
        <w:tab/>
        <w:t>Министерство иностранных дел отвечает за особую статью расходов на ОПР в бюджете Финляндии. Эти средства используются, например, для двустороннего сотрудничества в области развития между Финляндией и странами-партнерами, поддержки работы, проводимой учреждениями ООН, банками развития и финскими ОГО, а также для гуманитарной помощи.</w:t>
      </w:r>
    </w:p>
    <w:p w14:paraId="6583B301" w14:textId="77777777" w:rsidR="00DF75A7" w:rsidRPr="00DF75A7" w:rsidRDefault="00DF75A7" w:rsidP="00DF75A7">
      <w:pPr>
        <w:pStyle w:val="SingleTxtG"/>
      </w:pPr>
      <w:r w:rsidRPr="00DF75A7">
        <w:t>337.</w:t>
      </w:r>
      <w:r w:rsidRPr="00DF75A7">
        <w:tab/>
        <w:t xml:space="preserve">В статистике другие виды финансирования по линии сотрудничества в целях развития покрывают расходы, связанные с приемом беженцев, взносом Финляндии в бюджет Европейского союза на сотрудничество в целях развития и другими выплатами, относящимися к помощи в целях развития по линии различных </w:t>
      </w:r>
      <w:r w:rsidRPr="00DF75A7">
        <w:lastRenderedPageBreak/>
        <w:t>административных подразделений. В него также включена оценка инвестиций, осуществленных Финским фондом промышленного сотрудничества Finnfund в 2019</w:t>
      </w:r>
      <w:r w:rsidR="00BF2C74" w:rsidRPr="00684CF8">
        <w:t> </w:t>
      </w:r>
      <w:r w:rsidRPr="00DF75A7">
        <w:t>году, которые считаются относящимися к деятельности по сотрудничеству в целях развития, и оценка других инвестиций в политику в области развития.</w:t>
      </w:r>
    </w:p>
    <w:p w14:paraId="0877173E" w14:textId="77777777" w:rsidR="00DF75A7" w:rsidRPr="00DF75A7" w:rsidRDefault="00DF75A7" w:rsidP="00DF75A7">
      <w:pPr>
        <w:pStyle w:val="SingleTxtG"/>
      </w:pPr>
      <w:r w:rsidRPr="00DF75A7">
        <w:t>338.</w:t>
      </w:r>
      <w:r w:rsidRPr="00DF75A7">
        <w:tab/>
        <w:t>Финляндия обязалась достичь целевого уровня ОПР в размере 0,7</w:t>
      </w:r>
      <w:r w:rsidR="008B4B33">
        <w:t> </w:t>
      </w:r>
      <w:r w:rsidRPr="00DF75A7">
        <w:t>% от ВНД.</w:t>
      </w:r>
    </w:p>
    <w:p w14:paraId="5BC34BE3" w14:textId="77777777" w:rsidR="00DF75A7" w:rsidRPr="00DF75A7" w:rsidRDefault="00DF75A7" w:rsidP="00DF75A7">
      <w:pPr>
        <w:pStyle w:val="SingleTxtG"/>
      </w:pPr>
      <w:r w:rsidRPr="00DF75A7">
        <w:t>339.</w:t>
      </w:r>
      <w:r w:rsidRPr="00DF75A7">
        <w:tab/>
        <w:t xml:space="preserve">Десятью крупнейшими странами-партнерами или регионами-партнерами в 2018 году стали Афганистан, Вьетнам, Индонезия, Кения, </w:t>
      </w:r>
      <w:r w:rsidR="005065E5" w:rsidRPr="00DF75A7">
        <w:t xml:space="preserve">Мозамбик, </w:t>
      </w:r>
      <w:r w:rsidRPr="00DF75A7">
        <w:t>Непал, Сирийская Арабская Республика, Сомали, Танзания и Эфиопия.</w:t>
      </w:r>
    </w:p>
    <w:p w14:paraId="6E431D4D" w14:textId="77777777" w:rsidR="00DF75A7" w:rsidRPr="00DF75A7" w:rsidRDefault="00DF75A7" w:rsidP="00DF75A7">
      <w:pPr>
        <w:pStyle w:val="SingleTxtG"/>
      </w:pPr>
      <w:r w:rsidRPr="00DF75A7">
        <w:t>340.</w:t>
      </w:r>
      <w:r w:rsidRPr="00DF75A7">
        <w:tab/>
        <w:t>Финляндия обязуется ежегодно направлять около 10</w:t>
      </w:r>
      <w:r w:rsidR="005065E5">
        <w:t> </w:t>
      </w:r>
      <w:r w:rsidRPr="00DF75A7">
        <w:t>% своих ассигнований на помощь в целях развития на оказание гуманитарной помощи странам, получающим официальную помощь в целях развития. Помощь Финляндии направляется странам, обратившимся в ООН с официальным запросом о предоставлении помощи, при условии, что их гуманитарная ситуация была подвергнута надежной оценке потребностей, а гуманитарные организации, занимающиеся оказанием гуманитарной помощи, обратились с призывом к совместным действиям при координации со стороны ООН. При принятии решения о предоставлении помощи Финляндия учитывает несколько факторов: масштабы кризиса, доля населения, пострадавшего от него, число умерших и больных, число нуждающихся в срочной помощи и остро недоедающих детей в возрасте до пяти лет. Средства на гуманитарную помощь Министерство иностранных дел направляет через органы системы ООН, международное движение Красного Креста и финские организации по оказанию помощи.</w:t>
      </w:r>
    </w:p>
    <w:p w14:paraId="1FC80B03" w14:textId="77777777" w:rsidR="00DF75A7" w:rsidRPr="00684CF8" w:rsidRDefault="00DF75A7" w:rsidP="00BF2C74">
      <w:pPr>
        <w:pStyle w:val="H1G"/>
      </w:pPr>
      <w:bookmarkStart w:id="142" w:name="_Toc32364370"/>
      <w:r w:rsidRPr="00684CF8">
        <w:tab/>
        <w:t>G.</w:t>
      </w:r>
      <w:r w:rsidRPr="00684CF8">
        <w:tab/>
        <w:t>Процедура подготовки докладов на национальном уровне</w:t>
      </w:r>
      <w:bookmarkEnd w:id="142"/>
    </w:p>
    <w:p w14:paraId="585B2544" w14:textId="77777777" w:rsidR="00DF75A7" w:rsidRPr="00684CF8" w:rsidRDefault="00DF75A7" w:rsidP="00BF2C74">
      <w:pPr>
        <w:pStyle w:val="H23G"/>
      </w:pPr>
      <w:bookmarkStart w:id="143" w:name="_Toc32364371"/>
      <w:r w:rsidRPr="00684CF8">
        <w:tab/>
        <w:t>a)</w:t>
      </w:r>
      <w:r w:rsidRPr="00684CF8">
        <w:tab/>
        <w:t>Национальная координация периодических докладов</w:t>
      </w:r>
      <w:bookmarkEnd w:id="143"/>
    </w:p>
    <w:p w14:paraId="3BB17DDE" w14:textId="77777777" w:rsidR="00DF75A7" w:rsidRPr="00DF75A7" w:rsidRDefault="00DF75A7" w:rsidP="00DF75A7">
      <w:pPr>
        <w:pStyle w:val="SingleTxtG"/>
      </w:pPr>
      <w:r w:rsidRPr="00DF75A7">
        <w:t>341.</w:t>
      </w:r>
      <w:r w:rsidRPr="00DF75A7">
        <w:tab/>
        <w:t>В Финляндии периодические доклады по основным договорам ООН и Совета Европы в области прав человека, а также в рамках Универсального периодического обзора ООН (УПО) находятся в центре внимания Отдела по делам судов и конвенций по правам человека Министерства иностранных дел. Министерство подготавливает и координирует проекты докладов, завершает составление докладов и направляет их в Комитеты. Кроме того, Министерство организует подготовку к участию Финляндии в слушаниях, проводимых договорными органами, а также координирует комментарии правительства по проектам замечаний общего порядка/рекомендаций договорных органов.</w:t>
      </w:r>
    </w:p>
    <w:p w14:paraId="23367129" w14:textId="77777777" w:rsidR="00DF75A7" w:rsidRPr="00684CF8" w:rsidRDefault="00DF75A7" w:rsidP="00BF2C74">
      <w:pPr>
        <w:pStyle w:val="H23G"/>
      </w:pPr>
      <w:bookmarkStart w:id="144" w:name="_Toc32364372"/>
      <w:r w:rsidRPr="00684CF8">
        <w:tab/>
        <w:t>b)</w:t>
      </w:r>
      <w:r w:rsidRPr="00684CF8">
        <w:tab/>
        <w:t>Участие правительственных и неправительственных организаций</w:t>
      </w:r>
      <w:bookmarkEnd w:id="144"/>
    </w:p>
    <w:p w14:paraId="7A9FFE9E" w14:textId="77777777" w:rsidR="00DF75A7" w:rsidRPr="00DF75A7" w:rsidRDefault="00DF75A7" w:rsidP="00DF75A7">
      <w:pPr>
        <w:pStyle w:val="SingleTxtG"/>
      </w:pPr>
      <w:r w:rsidRPr="00DF75A7">
        <w:t>342.</w:t>
      </w:r>
      <w:r w:rsidRPr="00DF75A7">
        <w:tab/>
        <w:t>Периодические доклады, представляемые международным договорным органам, готовятся открыто в Министерстве иностранных дел в сотрудничестве с другими министерствами и в консультации с надзорными органами по вопросам соблюдения законности, специальными омбудсменами, консультативными советами, церквями и религиозными общинами, а также гражданским обществом. Министерство иностранных дел готовит проект доклада, который распространяется для получения по нему замечаний и представляется для проведения консультаций. Предлагается, в</w:t>
      </w:r>
      <w:r w:rsidR="00BF2C74" w:rsidRPr="00684CF8">
        <w:t> </w:t>
      </w:r>
      <w:r w:rsidRPr="00DF75A7">
        <w:t xml:space="preserve">частности, высказывать мнения по проектам докладов, в том числе через онлайн-сервис </w:t>
      </w:r>
      <w:hyperlink r:id="rId21" w:history="1">
        <w:r w:rsidRPr="00DF75A7">
          <w:rPr>
            <w:rStyle w:val="af1"/>
            <w:color w:val="auto"/>
          </w:rPr>
          <w:t>Lausuntopalvelu.fi</w:t>
        </w:r>
      </w:hyperlink>
      <w:r w:rsidRPr="00DF75A7">
        <w:t>, который позволяет представлять свои материалы также и частным лицам.</w:t>
      </w:r>
    </w:p>
    <w:p w14:paraId="66F7F399" w14:textId="77777777" w:rsidR="00DF75A7" w:rsidRPr="00DF75A7" w:rsidRDefault="00DF75A7" w:rsidP="00DF75A7">
      <w:pPr>
        <w:pStyle w:val="SingleTxtG"/>
      </w:pPr>
      <w:r w:rsidRPr="00DF75A7">
        <w:t>343.</w:t>
      </w:r>
      <w:r w:rsidRPr="00DF75A7">
        <w:tab/>
        <w:t>Национальное правозащитное учреждение, представляемое в международном сотрудничестве Центром по правам человека, также активно участвует в процессе подготовки периодических докладов, формулируя свои собственные мнения на различных стадиях процесса подготовки докладов, организуя мероприятия, связанные с докладами, вынося рекомендации ОГО и участвуя в слушаниях в договорных органах.</w:t>
      </w:r>
    </w:p>
    <w:p w14:paraId="51492CB1" w14:textId="77777777" w:rsidR="00DF75A7" w:rsidRPr="00684CF8" w:rsidRDefault="00DF75A7" w:rsidP="00BF2C74">
      <w:pPr>
        <w:pStyle w:val="H23G"/>
      </w:pPr>
      <w:bookmarkStart w:id="145" w:name="_Toc32364373"/>
      <w:r w:rsidRPr="00684CF8">
        <w:lastRenderedPageBreak/>
        <w:tab/>
        <w:t>c)</w:t>
      </w:r>
      <w:r w:rsidRPr="00684CF8">
        <w:tab/>
        <w:t xml:space="preserve">Слушания по проектам докладов </w:t>
      </w:r>
      <w:bookmarkEnd w:id="145"/>
    </w:p>
    <w:p w14:paraId="7F4462A8" w14:textId="77777777" w:rsidR="00DF75A7" w:rsidRPr="00DF75A7" w:rsidRDefault="00DF75A7" w:rsidP="00DF75A7">
      <w:pPr>
        <w:pStyle w:val="SingleTxtG"/>
      </w:pPr>
      <w:r w:rsidRPr="00DF75A7">
        <w:t>344.</w:t>
      </w:r>
      <w:r w:rsidRPr="00DF75A7">
        <w:tab/>
        <w:t>Министерство иностранных дел организует национальные слушания по проектам докладов для обеспечения прямого взаимодействия между властями и гражданским обществом.</w:t>
      </w:r>
    </w:p>
    <w:p w14:paraId="7D89B77F" w14:textId="77777777" w:rsidR="00DF75A7" w:rsidRPr="00684CF8" w:rsidRDefault="00DF75A7" w:rsidP="00BF2C74">
      <w:pPr>
        <w:pStyle w:val="H23G"/>
      </w:pPr>
      <w:bookmarkStart w:id="146" w:name="_Toc32364374"/>
      <w:r w:rsidRPr="00684CF8">
        <w:tab/>
        <w:t>d)</w:t>
      </w:r>
      <w:r w:rsidRPr="00684CF8">
        <w:tab/>
        <w:t xml:space="preserve">Последующая деятельность в связи с заключительными замечаниями </w:t>
      </w:r>
      <w:r w:rsidR="00BF2C74" w:rsidRPr="00684CF8">
        <w:br/>
      </w:r>
      <w:r w:rsidRPr="00684CF8">
        <w:t>и их распространение</w:t>
      </w:r>
      <w:bookmarkEnd w:id="146"/>
    </w:p>
    <w:p w14:paraId="275175B4" w14:textId="77777777" w:rsidR="00DF75A7" w:rsidRPr="00DF75A7" w:rsidRDefault="00DF75A7" w:rsidP="00DF75A7">
      <w:pPr>
        <w:pStyle w:val="SingleTxtG"/>
      </w:pPr>
      <w:r w:rsidRPr="00DF75A7">
        <w:t>345.</w:t>
      </w:r>
      <w:r w:rsidRPr="00DF75A7">
        <w:tab/>
        <w:t>Заключительные замечания переводятся на национальные языки Финляндии, финский и шведский, а также, при необходимости, на северный саами в отношении рекомендаций, касающихся саами. Правительство выпускает пресс-релиз по заключительным замечаниям договорных органов ООН, в дополнение к чему заключительные замечания также направляются непосредственно Президенту Республики, Парламенту, министерствам, судам высшей инстанции и органам, осуществляющим надзор за соблюдением законности, Национальному правозащитному учреждению, специальным омбудсменам, консультативным советам, Ассоциации местных и региональных органов власти Финляндии, правительству Аландских островов, церквям, религиозным общинам, правозащитным институтам при университетах и многочисленным организациям гражданского общества. Переводы заключительных замечаний на другие языки размещаются на веб-сайте Министерства иностранных дел.</w:t>
      </w:r>
    </w:p>
    <w:p w14:paraId="7B1D49E3" w14:textId="77777777" w:rsidR="00DF75A7" w:rsidRPr="00DF75A7" w:rsidRDefault="00DF75A7" w:rsidP="00DF75A7">
      <w:pPr>
        <w:pStyle w:val="SingleTxtG"/>
      </w:pPr>
      <w:r w:rsidRPr="00DF75A7">
        <w:t>346.</w:t>
      </w:r>
      <w:r w:rsidRPr="00DF75A7">
        <w:tab/>
        <w:t>Правительственная сеть контактных лиц по вопросам основных и общечеловеческих прав рассматривает рекомендации, адресованные Финляндии, и со своей стороны стремится содействовать их выполнению в министерствах. Осуществление заключительных замечаний также рассматривается на семинарах.</w:t>
      </w:r>
    </w:p>
    <w:p w14:paraId="2DA87EF4" w14:textId="77777777" w:rsidR="00DF75A7" w:rsidRPr="00684CF8" w:rsidRDefault="00DF75A7" w:rsidP="00BF2C74">
      <w:pPr>
        <w:pStyle w:val="H1G"/>
      </w:pPr>
      <w:bookmarkStart w:id="147" w:name="_Toc32364375"/>
      <w:r w:rsidRPr="00684CF8">
        <w:tab/>
        <w:t>H.</w:t>
      </w:r>
      <w:r w:rsidRPr="00684CF8">
        <w:tab/>
        <w:t>Другая информация, касающаяся прав человека</w:t>
      </w:r>
      <w:bookmarkEnd w:id="147"/>
    </w:p>
    <w:p w14:paraId="341B294A" w14:textId="77777777" w:rsidR="00DF75A7" w:rsidRPr="00684CF8" w:rsidRDefault="00DF75A7" w:rsidP="00BF2C74">
      <w:pPr>
        <w:pStyle w:val="H23G"/>
      </w:pPr>
      <w:bookmarkStart w:id="148" w:name="_Toc32364376"/>
      <w:r w:rsidRPr="00684CF8">
        <w:tab/>
      </w:r>
      <w:r w:rsidRPr="00684CF8">
        <w:tab/>
        <w:t>Повестка дня до 2030 года</w:t>
      </w:r>
      <w:bookmarkEnd w:id="148"/>
    </w:p>
    <w:p w14:paraId="110BBCC6" w14:textId="77777777" w:rsidR="00DF75A7" w:rsidRPr="00DF75A7" w:rsidRDefault="00DF75A7" w:rsidP="00DF75A7">
      <w:pPr>
        <w:pStyle w:val="SingleTxtG"/>
      </w:pPr>
      <w:r w:rsidRPr="00DF75A7">
        <w:t>347.</w:t>
      </w:r>
      <w:r w:rsidRPr="00DF75A7">
        <w:tab/>
        <w:t>В начале 2016 года Канцелярия Премьер-министра взяла на себя ответственность за координацию национального осуществления Повестки дня до 2030</w:t>
      </w:r>
      <w:r w:rsidR="00BF2C74" w:rsidRPr="00684CF8">
        <w:t> </w:t>
      </w:r>
      <w:r w:rsidRPr="00DF75A7">
        <w:t>года и за национальную политику в области устойчивого развития через секретариат Национальной комиссии по устойчивому развитию. Созданный при Канцелярии Премьер-министра координационный секретариат планирует, готовит, координирует и обеспечивает выполнение Повестки дня до 2030 года на национальном уровне. Координационный секретариат состоит из представителей Генерального секретариата Национальной комиссии по устойчивому развитию, Министерства иностранных дел и Канцелярии Премьер-министра.</w:t>
      </w:r>
    </w:p>
    <w:p w14:paraId="0A55B6F3" w14:textId="77777777" w:rsidR="00DF75A7" w:rsidRPr="00DF75A7" w:rsidRDefault="00DF75A7" w:rsidP="00DF75A7">
      <w:pPr>
        <w:pStyle w:val="SingleTxtG"/>
      </w:pPr>
      <w:r w:rsidRPr="00DF75A7">
        <w:t>348.</w:t>
      </w:r>
      <w:r w:rsidRPr="00DF75A7">
        <w:tab/>
        <w:t xml:space="preserve">Национальная комиссия по устойчивому развитию, возглавляемая Премьер-министром, является одним из ключевых субъектов, отвечающих за мониторинг и оценку осуществления Повестки дня до 2030 года. Перед Комиссией поставлена задача интегрировать осуществление Повестки дня до 2030 года в национальные усилия в области устойчивого развития. Вторая обязанность Комиссии заключается в том, чтобы пропагандировать, контролировать и оценивать выполнение обязательств национального общества в области устойчивого развития и сообщать о его результатах. Группа экспертов по устойчивому развитию, организованная Финским инновационным фондом </w:t>
      </w:r>
      <w:r w:rsidR="00BF2C74" w:rsidRPr="00684CF8">
        <w:t>«</w:t>
      </w:r>
      <w:r w:rsidRPr="00DF75A7">
        <w:t>Ситра</w:t>
      </w:r>
      <w:r w:rsidR="00BF2C74" w:rsidRPr="00684CF8">
        <w:t>»</w:t>
      </w:r>
      <w:r w:rsidRPr="00DF75A7">
        <w:t xml:space="preserve">, занимается подготовкой и критической оценкой работы Комиссии и прогресса, достигнутого в выполнении национальных обязательств. </w:t>
      </w:r>
    </w:p>
    <w:p w14:paraId="1558328A" w14:textId="77777777" w:rsidR="00DF75A7" w:rsidRPr="00DF75A7" w:rsidRDefault="00DF75A7" w:rsidP="00DF75A7">
      <w:pPr>
        <w:pStyle w:val="SingleTxtG"/>
      </w:pPr>
      <w:r w:rsidRPr="00DF75A7">
        <w:t>349.</w:t>
      </w:r>
      <w:r w:rsidRPr="00DF75A7">
        <w:tab/>
        <w:t xml:space="preserve">Вторым ключевым участником реализации Повестки дня </w:t>
      </w:r>
      <w:bookmarkStart w:id="149" w:name="_Hlk48660135"/>
      <w:r w:rsidRPr="00DF75A7">
        <w:t xml:space="preserve">до 2030 года </w:t>
      </w:r>
      <w:bookmarkEnd w:id="149"/>
      <w:r w:rsidRPr="00DF75A7">
        <w:t xml:space="preserve">является Комитет по политике в области развития. В то время как Национальная комиссия по устойчивому развитию осуществляет мониторинг и оценку прогресса в области устойчивого развития главным образом в Финляндии и с точки зрения национальной политики, Комитет по политике в области развития занимается мониторингом и оценкой реализации внешней политики Финляндии в области развития и международных обязательств. Она следит за осуществлением Повестки дня до </w:t>
      </w:r>
      <w:r w:rsidRPr="00DF75A7">
        <w:lastRenderedPageBreak/>
        <w:t>2030</w:t>
      </w:r>
      <w:r w:rsidR="00BF2C74" w:rsidRPr="00684CF8">
        <w:t> </w:t>
      </w:r>
      <w:r w:rsidRPr="00DF75A7">
        <w:t>года в отношении политики Финляндии в области развития и контролирует выполнение правительственной программы и правительственной политики в области развития.</w:t>
      </w:r>
    </w:p>
    <w:p w14:paraId="73979CB0" w14:textId="77777777" w:rsidR="00DF75A7" w:rsidRPr="00DF75A7" w:rsidRDefault="00DF75A7" w:rsidP="00DF75A7">
      <w:pPr>
        <w:pStyle w:val="SingleTxtG"/>
      </w:pPr>
      <w:r w:rsidRPr="00DF75A7">
        <w:t>350.</w:t>
      </w:r>
      <w:r w:rsidRPr="00DF75A7">
        <w:tab/>
        <w:t>Правительство подготовило Национальный план действий по осуществлению Повестки дня до 2030 года, и этот план был включен в правительственную программу. Основу для осуществления Повестки дня до 2030 года составляют политика и законодательные меры правительства, а также обеспечение соблюдения национальных и международных документов и стратегий, имеющих обязательную силу для Финляндии. Многочисленные стратегии, программы и меры, которые направлены непосредственно на реализацию или поддержку Повестки дня до 2030</w:t>
      </w:r>
      <w:r w:rsidR="00BF2C74" w:rsidRPr="00684CF8">
        <w:t> </w:t>
      </w:r>
      <w:r w:rsidRPr="00DF75A7">
        <w:t>года, осуществляются в различных административных подразделениях.</w:t>
      </w:r>
    </w:p>
    <w:p w14:paraId="1A6313DC" w14:textId="77777777" w:rsidR="00DF75A7" w:rsidRPr="00DF75A7" w:rsidRDefault="00DF75A7" w:rsidP="00DF75A7">
      <w:pPr>
        <w:pStyle w:val="SingleTxtG"/>
      </w:pPr>
      <w:r w:rsidRPr="00DF75A7">
        <w:t>351.</w:t>
      </w:r>
      <w:r w:rsidRPr="00DF75A7">
        <w:tab/>
        <w:t>С этой целью было проведено исследование возможностей и исходной ситуации Финляндии в плане осуществления Повестки дня до 2030 года. В исследовании были обозначены области, в которых Финляндии предстоит преодолеть наибольшие пробелы, и области, в которых она перевыполнила поставленные задачи, а также области, в которых Финляндия могла бы поделиться своим опытом с другими государствами. Осенью 2016 года Финляндия пересмотрела свои национальные показатели устойчивого развития в рамках усилий, к которым были привлечены не только национальная сеть показателей, но и ОГО.</w:t>
      </w:r>
    </w:p>
    <w:p w14:paraId="65FDA594" w14:textId="77777777" w:rsidR="00DF75A7" w:rsidRPr="00DF75A7" w:rsidRDefault="00DF75A7" w:rsidP="00DF75A7">
      <w:pPr>
        <w:pStyle w:val="SingleTxtG"/>
      </w:pPr>
      <w:r w:rsidRPr="00DF75A7">
        <w:t>352.</w:t>
      </w:r>
      <w:r w:rsidRPr="00DF75A7">
        <w:tab/>
        <w:t>Финляндия одной из первых сообщила о своих планах по реализации Повестки дня до 2030 года на Политическом форуме высокого уровня ООН по устойчивому развитию в июле 2016 года.</w:t>
      </w:r>
    </w:p>
    <w:p w14:paraId="4EC6039E" w14:textId="77777777" w:rsidR="00DF75A7" w:rsidRPr="00684CF8" w:rsidRDefault="00DF75A7" w:rsidP="00BF2C74">
      <w:pPr>
        <w:pStyle w:val="HChG"/>
      </w:pPr>
      <w:bookmarkStart w:id="150" w:name="_Toc32364377"/>
      <w:r w:rsidRPr="00684CF8">
        <w:tab/>
        <w:t>III.</w:t>
      </w:r>
      <w:r w:rsidRPr="00684CF8">
        <w:tab/>
        <w:t>Запрещение дискриминации, равноправие и средства правовой защиты</w:t>
      </w:r>
      <w:bookmarkEnd w:id="150"/>
    </w:p>
    <w:p w14:paraId="1D85B0F9" w14:textId="77777777" w:rsidR="00DF75A7" w:rsidRPr="00684CF8" w:rsidRDefault="00DF75A7" w:rsidP="00BF2C74">
      <w:pPr>
        <w:pStyle w:val="H1G"/>
      </w:pPr>
      <w:bookmarkStart w:id="151" w:name="_Toc32364378"/>
      <w:r w:rsidRPr="00684CF8">
        <w:tab/>
        <w:t>I.</w:t>
      </w:r>
      <w:r w:rsidRPr="00684CF8">
        <w:tab/>
        <w:t>Общая информация о равноправии и запрещении дискриминации</w:t>
      </w:r>
      <w:bookmarkEnd w:id="151"/>
    </w:p>
    <w:p w14:paraId="2CE2FB81" w14:textId="77777777" w:rsidR="00DF75A7" w:rsidRPr="00DF75A7" w:rsidRDefault="00DF75A7" w:rsidP="00DF75A7">
      <w:pPr>
        <w:pStyle w:val="SingleTxtG"/>
      </w:pPr>
      <w:r w:rsidRPr="00DF75A7">
        <w:t>353.</w:t>
      </w:r>
      <w:r w:rsidRPr="00DF75A7">
        <w:tab/>
        <w:t xml:space="preserve">Положение о равноправии, закрепленное в Конституции Финляндии (статья 6), подтверждает равенство всех лиц, находящихся под юрисдикцией Финляндии, перед законом. Данное положение имеет особое значение с точки зрения отношений между индивидуумом и правительством, но оно также применимо и к отношениям между частными лицами. В этом положении отражено не только традиционное требование о равенстве перед законом, но и понятие фактического равноправия. Указанная статья состоит из общего положения о равноправии (пункт 1), </w:t>
      </w:r>
      <w:bookmarkStart w:id="152" w:name="_Hlk48496588"/>
      <w:r w:rsidRPr="00DF75A7">
        <w:t>запрещени</w:t>
      </w:r>
      <w:bookmarkEnd w:id="152"/>
      <w:r w:rsidRPr="00DF75A7">
        <w:t>я дискриминации (пункт 2), положения об обращении с детьми как с равными индивидуумами и положения о праве детей оказывать влияние на решение вопросов, которые касаются их самих, в соответствии с уровнем их развития (пункт 3), а также положения о равноправии между полами (пункт 4).</w:t>
      </w:r>
    </w:p>
    <w:p w14:paraId="1AD73C70" w14:textId="77777777" w:rsidR="00DF75A7" w:rsidRPr="00DF75A7" w:rsidRDefault="00DF75A7" w:rsidP="00DF75A7">
      <w:pPr>
        <w:pStyle w:val="SingleTxtG"/>
      </w:pPr>
      <w:r w:rsidRPr="00DF75A7">
        <w:t>354.</w:t>
      </w:r>
      <w:r w:rsidRPr="00DF75A7">
        <w:tab/>
        <w:t xml:space="preserve">Положение о равноправии и запрещении дискриминации, закрепленное в Конституции Финляндии, устанавливает минимальный стандарт, и, следовательно, специальный регламентирующий акт (например, Закон о запрещении дискриминации) шире по своему охвату. Минимальный стандарт равноправия и недопущения дискриминации, установленный Конституцией, всегда допускает отступления в порядке, благоприятствующем защите основополагающих прав. При этом статья 6 Конституции представляет собой положение, содержащее руководящие указания для законодателей, а также для судебных решений. </w:t>
      </w:r>
    </w:p>
    <w:p w14:paraId="4E364D7C" w14:textId="77777777" w:rsidR="00DF75A7" w:rsidRPr="00DF75A7" w:rsidRDefault="00DF75A7" w:rsidP="00DF75A7">
      <w:pPr>
        <w:pStyle w:val="SingleTxtG"/>
      </w:pPr>
      <w:r w:rsidRPr="00DF75A7">
        <w:t>355.</w:t>
      </w:r>
      <w:r w:rsidRPr="00DF75A7">
        <w:tab/>
        <w:t xml:space="preserve">Статья 6 Конституции Финляндии исключена из сферы применения исключительных полномочий в кризисных ситуациях в соответствии со статьей 23 Конституции, и поэтому никакие такие временные отступления от положения о равноправии и недискриминации, которые считаются допустимыми в случае вооруженного нападения на Финляндию или в других чрезвычайных ситуациях, как это предусмотрено законом, представляющих серьезную угрозу для нации, не могут быть введены законом или правительственным постановлением, которые должны </w:t>
      </w:r>
      <w:r w:rsidRPr="00DF75A7">
        <w:lastRenderedPageBreak/>
        <w:t>приниматься на основании предусмотренного в законе разрешения, в силу особой необходимости и с указанием строго ограниченной сферы применения.</w:t>
      </w:r>
    </w:p>
    <w:p w14:paraId="14475BC0" w14:textId="77777777" w:rsidR="00DF75A7" w:rsidRPr="00DF75A7" w:rsidRDefault="00DF75A7" w:rsidP="00DF75A7">
      <w:pPr>
        <w:pStyle w:val="SingleTxtG"/>
      </w:pPr>
      <w:r w:rsidRPr="00DF75A7">
        <w:t>356.</w:t>
      </w:r>
      <w:r w:rsidRPr="00DF75A7">
        <w:tab/>
        <w:t>Общее положение о равноправии в Конституции Финляндии выражает основной принцип запрещения дискриминации и равноправия. Оно включает в себя запрет на произвольное обращение и требование о равном обращении в одинаковых обстоятельствах. Лицо или группа лиц не могут произвольно быть поставлены в более благоприятное или неблагоприятное положение, чем другие. Однако это положение не требует, чтобы ко всем людям относились одинаково во всех отношениях, если только обстоятельства не являются одинаковыми. Взгляды на равноправие актуальны как при распределении льгот и прав через законодательство, так и при наложении обязательств. С другой стороны, для законодательства характерно, что в силу определенных приемлемых интересов общества к людям в законодательстве относятся по-разному, в частности, в целях содействия фактическому равноправию.</w:t>
      </w:r>
    </w:p>
    <w:p w14:paraId="10979617" w14:textId="77777777" w:rsidR="00DF75A7" w:rsidRPr="00DF75A7" w:rsidRDefault="00DF75A7" w:rsidP="00DF75A7">
      <w:pPr>
        <w:pStyle w:val="SingleTxtG"/>
      </w:pPr>
      <w:r w:rsidRPr="00DF75A7">
        <w:t>357.</w:t>
      </w:r>
      <w:r w:rsidRPr="00DF75A7">
        <w:tab/>
        <w:t>Положения Конституции Финляндии о запрещении дискриминации дополняют общее положение о равноправии. В пункте 2 статьи 6 Конституции содержится перечень некоторых запрещенных оснований для дискриминации, где прямо упомянуты пол, возраст, происхождение, язык, религия, убеждения, взгляды, состояние здоровья и инвалидность. Однако этот перечень не является исчерпывающим. К конкретно упомянутым запрещенным основаниям для дискриминации приравниваются и другие причины, касающиеся того или иного лица. К таким другим причинам относятся социальное положение, материальное положение, участие в деятельности объединения, семейные отношения, беременность, законнорожд</w:t>
      </w:r>
      <w:r w:rsidR="008808F1" w:rsidRPr="00684CF8">
        <w:t>е</w:t>
      </w:r>
      <w:r w:rsidRPr="00DF75A7">
        <w:t>нность ребенка, сексуальная ориентация и место жительства.</w:t>
      </w:r>
    </w:p>
    <w:p w14:paraId="2265B2D2" w14:textId="77777777" w:rsidR="00DF75A7" w:rsidRPr="00DF75A7" w:rsidRDefault="00DF75A7" w:rsidP="00DF75A7">
      <w:pPr>
        <w:pStyle w:val="SingleTxtG"/>
      </w:pPr>
      <w:r w:rsidRPr="00DF75A7">
        <w:t>358.</w:t>
      </w:r>
      <w:r w:rsidRPr="00DF75A7">
        <w:tab/>
        <w:t>Положение о недискриминации не запрещает все виды дискриминации, даже если дискриминация основана на причине, прямо упомянутой в этом положении. Существенное значение имеет то, может ли дискриминация быть оправдана приемлемым с точки зрения системы основных прав образом. Однако к такому обоснованию предъявляются высокие требования, особенно в отношении запрещенных оснований для дискриминации, перечисленных в этом положении. В</w:t>
      </w:r>
      <w:r w:rsidR="00BF2C74" w:rsidRPr="00684CF8">
        <w:t> </w:t>
      </w:r>
      <w:r w:rsidRPr="00DF75A7">
        <w:t>практике Комиссии по конституционному праву обращалось внимание не только на приемлемость дискриминации, но и на соразмерность выбранных средств дискриминации. Положение о запрещении дискриминации также применяется к сегрегации. Предоставление услуг, которые эквивалентны как таковые, различным группам населения в особом порядке запрещено, за исключением случаев, когда в данной ситуации это может считаться оправданным по обоснованным причинам.</w:t>
      </w:r>
    </w:p>
    <w:p w14:paraId="3289DA30" w14:textId="77777777" w:rsidR="00DF75A7" w:rsidRPr="00DF75A7" w:rsidRDefault="00DF75A7" w:rsidP="00DF75A7">
      <w:pPr>
        <w:pStyle w:val="SingleTxtG"/>
      </w:pPr>
      <w:r w:rsidRPr="00DF75A7">
        <w:t>359.</w:t>
      </w:r>
      <w:r w:rsidRPr="00DF75A7">
        <w:tab/>
        <w:t>Конституция Финляндии также запрещает косвенную дискриминацию, т</w:t>
      </w:r>
      <w:r w:rsidR="00BF2C74" w:rsidRPr="00684CF8">
        <w:t>. е. </w:t>
      </w:r>
      <w:r w:rsidRPr="00DF75A7">
        <w:t>меры, последствия которых фактически, пусть даже и непрямым образом, приводят в результате к дискриминации. Протекционизм или создание условий, ставящих некое лицо или группу лиц в привилегированное положение, также запрещены, если на деле это привело бы к дискриминации в отношении других лиц.</w:t>
      </w:r>
    </w:p>
    <w:p w14:paraId="6D842A3E" w14:textId="77777777" w:rsidR="00DF75A7" w:rsidRPr="00DF75A7" w:rsidRDefault="00DF75A7" w:rsidP="00DF75A7">
      <w:pPr>
        <w:pStyle w:val="SingleTxtG"/>
      </w:pPr>
      <w:r w:rsidRPr="00DF75A7">
        <w:t>360.</w:t>
      </w:r>
      <w:r w:rsidRPr="00DF75A7">
        <w:tab/>
        <w:t>Положения Конституции Финляндии о равноправии и запрещении дискриминации не исключают позитивной дискриминации, необходимой для обеспечения фактического равноправия, т</w:t>
      </w:r>
      <w:r w:rsidR="00BF2C74" w:rsidRPr="00684CF8">
        <w:t>.</w:t>
      </w:r>
      <w:r w:rsidR="00BF2C74" w:rsidRPr="00684CF8">
        <w:rPr>
          <w:lang w:val="en-US"/>
        </w:rPr>
        <w:t> </w:t>
      </w:r>
      <w:r w:rsidR="00BF2C74" w:rsidRPr="00684CF8">
        <w:t>е.</w:t>
      </w:r>
      <w:r w:rsidRPr="00DF75A7">
        <w:t xml:space="preserve"> мер по улучшению положения и условий жизни той или иной группы (например, женщин, детей, меньшинств, безработных).</w:t>
      </w:r>
    </w:p>
    <w:p w14:paraId="02557F51" w14:textId="77777777" w:rsidR="00DF75A7" w:rsidRPr="00DF75A7" w:rsidRDefault="00DF75A7" w:rsidP="00DF75A7">
      <w:pPr>
        <w:pStyle w:val="SingleTxtG"/>
      </w:pPr>
      <w:r w:rsidRPr="00DF75A7">
        <w:t>361.</w:t>
      </w:r>
      <w:r w:rsidRPr="00DF75A7">
        <w:tab/>
        <w:t>В Финляндии равноправие неразрывно связано также со статусом детей, поскольку в положениях пункта 3 статьи 6 Конституции Финляндии о равном обращении с детьми подчеркивается, что с детьми следует обращаться наравне со взрослыми, так как они в принципе имеют равные с ними основные права, а также содействовать их равноправию в отношениях друг с другом. Положение о праве детей оказывать влияние на решение вопросов, которые касаются их самих, соответственно, показывает, что с детьми следует обращаться как с равными индивидуумами, а не просто как с пассивным объектом деятельности.</w:t>
      </w:r>
    </w:p>
    <w:p w14:paraId="25020465" w14:textId="77777777" w:rsidR="00DF75A7" w:rsidRPr="00DF75A7" w:rsidRDefault="00DF75A7" w:rsidP="00DF75A7">
      <w:pPr>
        <w:pStyle w:val="SingleTxtG"/>
      </w:pPr>
      <w:r w:rsidRPr="00DF75A7">
        <w:t>362.</w:t>
      </w:r>
      <w:r w:rsidRPr="00DF75A7">
        <w:tab/>
        <w:t xml:space="preserve">В пункте 4 статьи 6 Конституции Финляндии содержится общая обязанность поощрять равноправие между полами в общественной деятельности и трудовой жизни, особенно в отношении заработной платы и других условий найма, в соответствии с более детальными предписаниями закона. Под содействием </w:t>
      </w:r>
      <w:r w:rsidRPr="00DF75A7">
        <w:lastRenderedPageBreak/>
        <w:t>поощрению равноправия в общественной деятельности понимается содействие обеспечению равных возможностей для участия и гражданской активности для мужчин и женщин в процессе принятия решений в обществе. В этом положении не уточняются средства, которые должны быть использованы для поощрения равноправия между полами, и решение этого вопроса оста</w:t>
      </w:r>
      <w:r w:rsidR="00BF2C74" w:rsidRPr="00684CF8">
        <w:t>в</w:t>
      </w:r>
      <w:r w:rsidRPr="00DF75A7">
        <w:t>лено на усмотрение законодателя.</w:t>
      </w:r>
    </w:p>
    <w:p w14:paraId="596F527C" w14:textId="77777777" w:rsidR="00DF75A7" w:rsidRPr="00DF75A7" w:rsidRDefault="00DF75A7" w:rsidP="00DF75A7">
      <w:pPr>
        <w:pStyle w:val="SingleTxtG"/>
      </w:pPr>
      <w:r w:rsidRPr="00DF75A7">
        <w:t>363.</w:t>
      </w:r>
      <w:r w:rsidRPr="00DF75A7">
        <w:tab/>
        <w:t>Были приняты отдельные законы, призванные конкретизировать положения статьи 6 Конституции Финляндии: Закон о запрещении дискриминации и Закон о равноправии.</w:t>
      </w:r>
    </w:p>
    <w:p w14:paraId="1EBC4DF1" w14:textId="77777777" w:rsidR="00DF75A7" w:rsidRPr="00684CF8" w:rsidRDefault="00DF75A7" w:rsidP="00BF2C74">
      <w:pPr>
        <w:pStyle w:val="H1G"/>
      </w:pPr>
      <w:bookmarkStart w:id="153" w:name="_Toc32364379"/>
      <w:r w:rsidRPr="00684CF8">
        <w:tab/>
        <w:t>J.</w:t>
      </w:r>
      <w:r w:rsidRPr="00684CF8">
        <w:tab/>
        <w:t>Поощрение равноправия и недискриминации и предотвращение дискриминации</w:t>
      </w:r>
      <w:bookmarkEnd w:id="153"/>
    </w:p>
    <w:p w14:paraId="3906E9CC" w14:textId="77777777" w:rsidR="00DF75A7" w:rsidRPr="00DF75A7" w:rsidRDefault="00DF75A7" w:rsidP="00DF75A7">
      <w:pPr>
        <w:pStyle w:val="SingleTxtG"/>
      </w:pPr>
      <w:r w:rsidRPr="00DF75A7">
        <w:t>364.</w:t>
      </w:r>
      <w:r w:rsidRPr="00DF75A7">
        <w:tab/>
        <w:t>Новый Закон о запрещении дискриминации вступил в силу 1 января 20</w:t>
      </w:r>
      <w:r w:rsidR="005065E5">
        <w:t>15</w:t>
      </w:r>
      <w:r w:rsidRPr="00DF75A7">
        <w:t xml:space="preserve"> года. Закон обеспечивает широкую защиту от дискриминации. Помимо общественной деятельности, Закон также распространяется на действия отдельных лиц, однако исключает деятельность, связанную с частной или семейной жизнью и вероисповеданием. Закон предусматривает одинаково широкую защиту от дискриминации независимо от того, основана ли дискриминация на происхождении, возрасте, национальности, языке, религии, убеждениях, взглядах, состоянии здоровья, инвалидности, сексуальной ориентации или других личных признаках.</w:t>
      </w:r>
    </w:p>
    <w:p w14:paraId="59440961" w14:textId="77777777" w:rsidR="00DF75A7" w:rsidRPr="00DF75A7" w:rsidRDefault="00DF75A7" w:rsidP="00DF75A7">
      <w:pPr>
        <w:pStyle w:val="SingleTxtG"/>
      </w:pPr>
      <w:r w:rsidRPr="00DF75A7">
        <w:t>365.</w:t>
      </w:r>
      <w:r w:rsidRPr="00DF75A7">
        <w:tab/>
        <w:t>Предусмотренная в Законе о запрещении дискриминации обязанность содействовать равноправию распространяется не только на органы власти, но и на поставщиков услуг в области образования и профессиональной подготовки, учебные заведения и школы, а также на работодателей. Они обязаны подготовить план содействия равноправию. Обязательство по подготовке плана распространяется на работодателей, которые регулярно нанимают на работу не менее 30 человек. Такой план должен охватывать все основания для дискриминации, указанные в Законе о запрещении дискриминации. Ранее подготовка плана требовалась только для поощрения этнического равенства.</w:t>
      </w:r>
    </w:p>
    <w:p w14:paraId="2228B903" w14:textId="77777777" w:rsidR="00DF75A7" w:rsidRPr="00DF75A7" w:rsidRDefault="00DF75A7" w:rsidP="00DF75A7">
      <w:pPr>
        <w:pStyle w:val="SingleTxtG"/>
      </w:pPr>
      <w:r w:rsidRPr="00DF75A7">
        <w:t>366.</w:t>
      </w:r>
      <w:r w:rsidRPr="00DF75A7">
        <w:tab/>
        <w:t>Орган власти, работник сферы образования, работодатель или поставщик товаров и услуг должны в каждой ситуации вносить должные и надлежащие коррективы, необходимые для того, чтобы инвалид мог наравне с другими людьми иметь дело с властями и получать доступ к образованию, работе и общедоступным товарам и услугам, а также решать свои рабочие задачи и продвигать свою карьеру. Предлагаемые товары и услуги также должны быть одинаково доступны для всех. Инвалидность человека должна приниматься во внимание при обслуживании, и, например, доступные средства и пути перемещения должны быть организованы, насколько это возможно, для каждого, кто в них нуждается. Сегодня на работодателей уже возложена обязанность по внесению необходимых и уместных корректировок в интересах работника с ограниченными возможностями, в то время как для поставщиков товаров и услуг, таких как гостиницы, рестораны и супермаркеты, эта обязанность является новой.</w:t>
      </w:r>
    </w:p>
    <w:p w14:paraId="0F4E7BB7" w14:textId="77777777" w:rsidR="00DF75A7" w:rsidRPr="00DF75A7" w:rsidRDefault="00DF75A7" w:rsidP="00DF75A7">
      <w:pPr>
        <w:pStyle w:val="SingleTxtG"/>
      </w:pPr>
      <w:r w:rsidRPr="00DF75A7">
        <w:t>367.</w:t>
      </w:r>
      <w:r w:rsidRPr="00DF75A7">
        <w:tab/>
        <w:t>Для целей Закона понятие поставщика товаров и услуг распространяется также на государственных поставщиков товаров и услуг. Хотя требование о должной и надлежащей корректировке уже применялось к работодателям в соответствии с прежним Законом о запрещении дискриминации, на работодателей возлагается новая обязанность, касающаяся оперативного представления по запросу письменного отчета в обоснование своих действий применительно к инвалиду, который считает, что он подвергся дискриминации в результате отказа в разумной корректировке при подаче заявления о приеме на работу или на государственную службу, или в рамках трудовых отношений, или же в рамках трудовых отношений с общественно-публичной организацией.</w:t>
      </w:r>
    </w:p>
    <w:p w14:paraId="50ECC3DE" w14:textId="77777777" w:rsidR="00DF75A7" w:rsidRPr="00DF75A7" w:rsidRDefault="00DF75A7" w:rsidP="00DF75A7">
      <w:pPr>
        <w:pStyle w:val="SingleTxtG"/>
      </w:pPr>
      <w:r w:rsidRPr="00DF75A7">
        <w:t>368.</w:t>
      </w:r>
      <w:r w:rsidRPr="00DF75A7">
        <w:tab/>
        <w:t xml:space="preserve">Надзор за соблюдением Закона о запрещении дискриминации осуществляется Омбудсменом </w:t>
      </w:r>
      <w:r w:rsidRPr="00DF75A7">
        <w:rPr>
          <w:bCs/>
        </w:rPr>
        <w:t>по борьбе с дискриминацией</w:t>
      </w:r>
      <w:r w:rsidRPr="00DF75A7">
        <w:t xml:space="preserve">, Национальным трибуналом по борьбе с дискриминацией и равноправию и органами, отвечающими за охрану труда и технику </w:t>
      </w:r>
      <w:r w:rsidRPr="00DF75A7">
        <w:lastRenderedPageBreak/>
        <w:t xml:space="preserve">безопасности. На Омбудсмена </w:t>
      </w:r>
      <w:r w:rsidRPr="00DF75A7">
        <w:rPr>
          <w:bCs/>
        </w:rPr>
        <w:t>по борьбе с дискриминацией</w:t>
      </w:r>
      <w:r w:rsidRPr="00DF75A7">
        <w:t xml:space="preserve"> также возложены обязанности, связанные с обеспечением равноправия в сфере труда, хотя в отдельных случаях, касающихся трудовых отношений, реализация принципа равноправия остается под надзором органов, отвечающих за охрану труда и технику безопасности.</w:t>
      </w:r>
    </w:p>
    <w:p w14:paraId="2622F1D1" w14:textId="77777777" w:rsidR="00DF75A7" w:rsidRPr="00DF75A7" w:rsidRDefault="00DF75A7" w:rsidP="00DF75A7">
      <w:pPr>
        <w:pStyle w:val="SingleTxtG"/>
      </w:pPr>
      <w:r w:rsidRPr="00DF75A7">
        <w:t>369.</w:t>
      </w:r>
      <w:r w:rsidRPr="00DF75A7">
        <w:tab/>
        <w:t xml:space="preserve">Положения о запрещении дискриминации по признаку пола и о равноправии между полами по-прежнему закреплены в Законе о равноправии женщин и мужчин. Цель этого Закона заключается в предотвращении дискриминации по признаку пола и поощрении </w:t>
      </w:r>
      <w:bookmarkStart w:id="154" w:name="_Hlk48662413"/>
      <w:r w:rsidRPr="00DF75A7">
        <w:t xml:space="preserve">равноправия между </w:t>
      </w:r>
      <w:bookmarkEnd w:id="154"/>
      <w:r w:rsidRPr="00DF75A7">
        <w:t>женщинами и мужчинами, а также в улучшении положения женщин, особенно на рабочем месте. Закон также направлен на предотвращение дискриминации по признаку гендерной идентичности или гендерного самовыражения.</w:t>
      </w:r>
    </w:p>
    <w:p w14:paraId="25A3B46C" w14:textId="77777777" w:rsidR="00DF75A7" w:rsidRPr="00DF75A7" w:rsidRDefault="00DF75A7" w:rsidP="00DF75A7">
      <w:pPr>
        <w:pStyle w:val="SingleTxtG"/>
      </w:pPr>
      <w:r w:rsidRPr="00DF75A7">
        <w:t>370.</w:t>
      </w:r>
      <w:r w:rsidRPr="00DF75A7">
        <w:tab/>
        <w:t>В Закон о равноправии были добавлены положения о запрещении дискриминации по признаку гендерной идентичности или гендерного самовыражения, положения Закона, касающиеся плана обеспечения равноправия на рабочем месте, были пересмотрены, а планирование обеспечения равноправия в учебных заведениях было распространено на школы, предоставляющие образование, о котором говорится в Законе о базовом образовании.</w:t>
      </w:r>
    </w:p>
    <w:p w14:paraId="144D5061" w14:textId="77777777" w:rsidR="00DF75A7" w:rsidRPr="00DF75A7" w:rsidRDefault="00DF75A7" w:rsidP="00DF75A7">
      <w:pPr>
        <w:pStyle w:val="SingleTxtG"/>
      </w:pPr>
      <w:r w:rsidRPr="00DF75A7">
        <w:t>371.</w:t>
      </w:r>
      <w:r w:rsidRPr="00DF75A7">
        <w:tab/>
        <w:t>Надзор за соблюдением Закона о равноправии осуществляет Омбудсмен по вопросам равноправия (в отношении мандата Омбудсмена см. пункты 276–279). Если какое-либо лицо считает, что оно подверглось дискриминации, запрещенной Законом о равноправии, оно может обратиться к Омбудсмену по вопросам равноправия за консультацией, руководством или содействием в урегулировании спора. В тех случаях, когда Омбудсмен констатирует невыполнение обязательств по Закону о равноправии или нарушение его положений, он стремится предотвратить такое поведение, прежде всего путем предоставления рекомендаций и консультаций. Омбудсмен по вопросам равноправия уполномочен выносить дело о незаконной дискриминации в отношении какого-либо лица на рассмотрение Национального трибунала по борьбе с дискриминацией и равноправию.</w:t>
      </w:r>
    </w:p>
    <w:p w14:paraId="7511551A" w14:textId="77777777" w:rsidR="00DF75A7" w:rsidRPr="00DF75A7" w:rsidRDefault="00DF75A7" w:rsidP="00DF75A7">
      <w:pPr>
        <w:pStyle w:val="SingleTxtG"/>
      </w:pPr>
      <w:r w:rsidRPr="00DF75A7">
        <w:t>372.</w:t>
      </w:r>
      <w:r w:rsidRPr="00DF75A7">
        <w:tab/>
        <w:t xml:space="preserve">Помимо Омбудсмена по вопросам равноправия, вопросами поощрения равноправия и предотвращения дискриминации занимается Омбудсмен </w:t>
      </w:r>
      <w:r w:rsidRPr="00DF75A7">
        <w:rPr>
          <w:bCs/>
        </w:rPr>
        <w:t>по борьбе с дискриминацией</w:t>
      </w:r>
      <w:r w:rsidRPr="00DF75A7">
        <w:t xml:space="preserve"> (в отношении мандата Омбудсмена см. пункты 272–275). Лица, которые испытали на себе или наблюдали дискриминацию по признаку возраста, происхождения, гражданства, языка, религии, убеждений, взглядов, политической или профсоюзной деятельности, семейных отношений, здоровья, инвалидности, сексуальной ориентации или по другим личным признакам, могут обратиться к Омбудсмену </w:t>
      </w:r>
      <w:r w:rsidRPr="00DF75A7">
        <w:rPr>
          <w:bCs/>
        </w:rPr>
        <w:t>по борьбе с дискриминацией</w:t>
      </w:r>
      <w:r w:rsidRPr="00DF75A7">
        <w:t>, на которого в соответствии с законом возложена прямая обязанность улучшать положение и защищать права групп, подвергающихся риску дискриминации.</w:t>
      </w:r>
    </w:p>
    <w:p w14:paraId="34FACBAB" w14:textId="77777777" w:rsidR="00DF75A7" w:rsidRPr="00DF75A7" w:rsidRDefault="00DF75A7" w:rsidP="00DF75A7">
      <w:pPr>
        <w:pStyle w:val="SingleTxtG"/>
      </w:pPr>
      <w:r w:rsidRPr="00DF75A7">
        <w:t>373.</w:t>
      </w:r>
      <w:r w:rsidRPr="00DF75A7">
        <w:tab/>
        <w:t>Круг ведения Национального трибунала по борьбе с дискриминацией и равноправию охватывает надзор за всеми признаками дискриминации. Трибунал может выносить запреты и постановления и подтверждать мировое соглашение сторон в деле, а также налагать условный штраф для обеспечения исполнения своего запрета или постановления. Соблюдение Закона о запрещении дискриминации применительно к трудовой жизни выходит за рамки надзорных полномочий Трибунала.</w:t>
      </w:r>
    </w:p>
    <w:p w14:paraId="14643777" w14:textId="77777777" w:rsidR="00DF75A7" w:rsidRPr="00DF75A7" w:rsidRDefault="00DF75A7" w:rsidP="00DF75A7">
      <w:pPr>
        <w:pStyle w:val="SingleTxtG"/>
      </w:pPr>
      <w:r w:rsidRPr="00DF75A7">
        <w:t>374.</w:t>
      </w:r>
      <w:r w:rsidRPr="00DF75A7">
        <w:tab/>
        <w:t xml:space="preserve">Национальный трибунал по борьбе с дискриминацией и равноправию является беспристрастным и независимым судебным органом. В случаях, касающихся Закона о запрещении дискриминации, жалоба в Трибунал может быть подана лицом, заявляющим о дискриминации, или Омбудсменом по борьбе с дискриминацией. </w:t>
      </w:r>
      <w:r w:rsidR="00BF2C74" w:rsidRPr="00684CF8">
        <w:br/>
      </w:r>
      <w:r w:rsidRPr="00DF75A7">
        <w:t xml:space="preserve">В случаях, касающихся Закона о равноправии, жалоба подается Омбудсменом по вопросам равноправия с согласия заинтересованного лица. Трибунал не уполномочен рассматривать дела или принимать надзорные меры по собственной инициативе. Трибунал назначается правительством для надзора за соблюдением Закона о запрещении дискриминации и Закона о равноправии. Мандат Трибунала охватывает как частную деятельность, так и деятельность государственных, административных и коммерческих организаций, в то время как вопросы, связанные с частной и семейной жизнью, из его мандата исключены. Вопрос, касающийся Парламента Финляндии, </w:t>
      </w:r>
      <w:r w:rsidRPr="00DF75A7">
        <w:lastRenderedPageBreak/>
        <w:t>может быть передан на рассмотрение Трибунала только в том случае, если он затрагивает деятельность Парламента или одной из его инстанций как органа государственной власти или работодателя. Надзор, осуществляемый Трибуналом, не распространяется на деятельность Президента Республики, пленарных сессий правительства, судов и других судебных органов, правительственного Канцлера юстиции или Парламентского омбудсмена.</w:t>
      </w:r>
    </w:p>
    <w:p w14:paraId="63B089A0" w14:textId="77777777" w:rsidR="00DF75A7" w:rsidRPr="00DF75A7" w:rsidRDefault="00DF75A7" w:rsidP="00DF75A7">
      <w:pPr>
        <w:pStyle w:val="SingleTxtG"/>
      </w:pPr>
      <w:r w:rsidRPr="00DF75A7">
        <w:t>375.</w:t>
      </w:r>
      <w:r w:rsidRPr="00DF75A7">
        <w:tab/>
        <w:t>Национальный трибунал по борьбе с дискриминацией и равноправию не расследует дела, которые уже находятся на рассмотрении другого органа. В случаях, когда Трибунал выносит решение, он может запретить продолжающуюся или повторяющуюся дискриминацию или виктимизацию и наложить условный штраф для обеспечения соблюдения его предписаний, а также распорядиться о выплате такого штрафа. Кроме того, Трибунал может предписать соответствующей стороне принять в разумные сроки меры для выполнения обязательств по Закону о запрещении дискриминации. Однако он не может предписать такой стороне выплатить компенсацию. Решения Трибунала могут быть обжалованы в административном суде. Несмотря на то, что за рассмотрение жалоб или принятие решений плата не взимается, стороны сами покрывают другие расходы, связанные с разбирательством, например оплату услуг юрисконсульта или адвоката.</w:t>
      </w:r>
    </w:p>
    <w:p w14:paraId="069C9E36" w14:textId="77777777" w:rsidR="00DF75A7" w:rsidRPr="00DF75A7" w:rsidRDefault="00DF75A7" w:rsidP="00DF75A7">
      <w:pPr>
        <w:pStyle w:val="SingleTxtG"/>
      </w:pPr>
      <w:r w:rsidRPr="00DF75A7">
        <w:t>376.</w:t>
      </w:r>
      <w:r w:rsidRPr="00DF75A7">
        <w:tab/>
        <w:t>Национальный трибунал по борьбе с дискриминацией и равноправию выносил решения и мнения по таким темам, как дискриминация в отношении инвалидов и дискриминация по признаку этнического происхождения, сексуальной ориентации, места жительства, языка и возраста.</w:t>
      </w:r>
    </w:p>
    <w:p w14:paraId="416E445A" w14:textId="77777777" w:rsidR="00DF75A7" w:rsidRPr="00DF75A7" w:rsidRDefault="00DF75A7" w:rsidP="00DF75A7">
      <w:pPr>
        <w:pStyle w:val="SingleTxtG"/>
      </w:pPr>
      <w:r w:rsidRPr="00DF75A7">
        <w:t>377.</w:t>
      </w:r>
      <w:r w:rsidRPr="00DF75A7">
        <w:tab/>
        <w:t>Должности и управления Омбудсмена по вопросам равноправия, Омбудсмена по делам детей и Омбудсмена по борьбе с дискриминацией относятся к административным подразделениям Министерства юстиции. Туда же относится и Национальный трибунал по борьбе с дискриминацией и равноправию. Специальные омбудсмены и новый Трибунал действуют в качестве независимых и беспристрастных инстанций в рамках административной структуры Министерства юстиции. Обязанности и проекты, связанные с поощрением отказа от дискриминации и равноправия в соответствии с новым Законом о запрещении дискриминации, а также Консультативный совет по межэтническим отношениям были переданы из структуры Министерства внутренних дел в ведение Министерства юстиции, в то время как Министерство социальных дел и здравоохранения по-прежнему несет ответственность за выполнение обязанностей, связанных с Законом о равноправии.</w:t>
      </w:r>
    </w:p>
    <w:p w14:paraId="3E40F627" w14:textId="77777777" w:rsidR="00DF75A7" w:rsidRPr="00DF75A7" w:rsidRDefault="00DF75A7" w:rsidP="00DF75A7">
      <w:pPr>
        <w:pStyle w:val="SingleTxtG"/>
      </w:pPr>
      <w:r w:rsidRPr="00DF75A7">
        <w:t>378.</w:t>
      </w:r>
      <w:r w:rsidRPr="00DF75A7">
        <w:tab/>
        <w:t>На национальную систему мониторинга дискриминации, действующую под эгидой правительства, возложены, в частности, задачи подготовки докладов о распространенности дискриминации в финском обществе. Подразделение по мониторингу собирает информацию о положении дел с дискриминацией в отношении различных возрастных групп и групп меньшинств, а также анализирует положение дел с дискриминацией по признаку пола. Министерство юстиции ведет веб-сайт, на котором обобщаются данные о дискриминации.</w:t>
      </w:r>
    </w:p>
    <w:p w14:paraId="5D301E9E" w14:textId="77777777" w:rsidR="00381C24" w:rsidRPr="00684CF8" w:rsidRDefault="00BF2C74" w:rsidP="00BF2C74">
      <w:pPr>
        <w:spacing w:before="240"/>
        <w:jc w:val="center"/>
        <w:rPr>
          <w:u w:val="single"/>
        </w:rPr>
      </w:pPr>
      <w:r w:rsidRPr="00684CF8">
        <w:rPr>
          <w:u w:val="single"/>
        </w:rPr>
        <w:tab/>
      </w:r>
      <w:r w:rsidRPr="00684CF8">
        <w:rPr>
          <w:u w:val="single"/>
        </w:rPr>
        <w:tab/>
      </w:r>
      <w:r w:rsidRPr="00684CF8">
        <w:rPr>
          <w:u w:val="single"/>
        </w:rPr>
        <w:tab/>
      </w:r>
    </w:p>
    <w:sectPr w:rsidR="00381C24" w:rsidRPr="00684CF8" w:rsidSect="00A40DEA">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27A4" w14:textId="77777777" w:rsidR="0030249E" w:rsidRPr="00A312BC" w:rsidRDefault="0030249E" w:rsidP="00A312BC"/>
  </w:endnote>
  <w:endnote w:type="continuationSeparator" w:id="0">
    <w:p w14:paraId="646E33B4" w14:textId="77777777" w:rsidR="0030249E" w:rsidRPr="00A312BC" w:rsidRDefault="0030249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Roboto Light">
    <w:altName w:val="Roboto Light"/>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EF13" w14:textId="77777777" w:rsidR="0030249E" w:rsidRPr="00A40DEA" w:rsidRDefault="0030249E">
    <w:pPr>
      <w:pStyle w:val="a8"/>
    </w:pPr>
    <w:r w:rsidRPr="00A40DEA">
      <w:rPr>
        <w:b/>
        <w:sz w:val="18"/>
      </w:rPr>
      <w:fldChar w:fldCharType="begin"/>
    </w:r>
    <w:r w:rsidRPr="00A40DEA">
      <w:rPr>
        <w:b/>
        <w:sz w:val="18"/>
      </w:rPr>
      <w:instrText xml:space="preserve"> PAGE  \* MERGEFORMAT </w:instrText>
    </w:r>
    <w:r w:rsidRPr="00A40DEA">
      <w:rPr>
        <w:b/>
        <w:sz w:val="18"/>
      </w:rPr>
      <w:fldChar w:fldCharType="separate"/>
    </w:r>
    <w:r w:rsidRPr="00A40DEA">
      <w:rPr>
        <w:b/>
        <w:noProof/>
        <w:sz w:val="18"/>
      </w:rPr>
      <w:t>2</w:t>
    </w:r>
    <w:r w:rsidRPr="00A40DEA">
      <w:rPr>
        <w:b/>
        <w:sz w:val="18"/>
      </w:rPr>
      <w:fldChar w:fldCharType="end"/>
    </w:r>
    <w:r>
      <w:rPr>
        <w:b/>
        <w:sz w:val="18"/>
      </w:rPr>
      <w:tab/>
    </w:r>
    <w:r>
      <w:t>GE.20-10404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5B9F" w14:textId="77777777" w:rsidR="0030249E" w:rsidRPr="00A40DEA" w:rsidRDefault="0030249E" w:rsidP="00A40DEA">
    <w:pPr>
      <w:pStyle w:val="a8"/>
      <w:tabs>
        <w:tab w:val="clear" w:pos="9639"/>
        <w:tab w:val="right" w:pos="9638"/>
      </w:tabs>
      <w:rPr>
        <w:b/>
        <w:sz w:val="18"/>
      </w:rPr>
    </w:pPr>
    <w:r>
      <w:t>GE.20-10404</w:t>
    </w:r>
    <w:r>
      <w:tab/>
    </w:r>
    <w:r w:rsidRPr="00A40DEA">
      <w:rPr>
        <w:b/>
        <w:sz w:val="18"/>
      </w:rPr>
      <w:fldChar w:fldCharType="begin"/>
    </w:r>
    <w:r w:rsidRPr="00A40DEA">
      <w:rPr>
        <w:b/>
        <w:sz w:val="18"/>
      </w:rPr>
      <w:instrText xml:space="preserve"> PAGE  \* MERGEFORMAT </w:instrText>
    </w:r>
    <w:r w:rsidRPr="00A40DEA">
      <w:rPr>
        <w:b/>
        <w:sz w:val="18"/>
      </w:rPr>
      <w:fldChar w:fldCharType="separate"/>
    </w:r>
    <w:r w:rsidRPr="00A40DEA">
      <w:rPr>
        <w:b/>
        <w:noProof/>
        <w:sz w:val="18"/>
      </w:rPr>
      <w:t>3</w:t>
    </w:r>
    <w:r w:rsidRPr="00A40D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16ED" w14:textId="27175E6E" w:rsidR="0030249E" w:rsidRPr="00A40DEA" w:rsidRDefault="0030249E" w:rsidP="00A40DEA">
    <w:pPr>
      <w:spacing w:before="120" w:line="240" w:lineRule="auto"/>
    </w:pPr>
    <w:r>
      <w:t>GE.</w:t>
    </w:r>
    <w:r>
      <w:rPr>
        <w:b/>
        <w:noProof/>
        <w:lang w:val="fr-CH" w:eastAsia="fr-CH"/>
      </w:rPr>
      <w:drawing>
        <wp:anchor distT="0" distB="0" distL="114300" distR="114300" simplePos="0" relativeHeight="251658240" behindDoc="0" locked="0" layoutInCell="1" allowOverlap="1" wp14:anchorId="143BA7BA" wp14:editId="4F9E40B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20-10404  (R)</w:t>
    </w:r>
    <w:r>
      <w:rPr>
        <w:lang w:val="en-US"/>
      </w:rPr>
      <w:t xml:space="preserve">  210920  0</w:t>
    </w:r>
    <w:r w:rsidR="00BA0275">
      <w:rPr>
        <w:lang w:val="en-US"/>
      </w:rPr>
      <w:t>2</w:t>
    </w:r>
    <w:r>
      <w:rPr>
        <w:lang w:val="en-US"/>
      </w:rPr>
      <w:t>1020</w:t>
    </w:r>
    <w:r>
      <w:br/>
    </w:r>
    <w:r w:rsidRPr="00A40DEA">
      <w:rPr>
        <w:rFonts w:ascii="C39T30Lfz" w:hAnsi="C39T30Lfz"/>
        <w:kern w:val="14"/>
        <w:sz w:val="56"/>
      </w:rPr>
      <w:t>*2010404*</w:t>
    </w:r>
    <w:r>
      <w:rPr>
        <w:noProof/>
      </w:rPr>
      <w:drawing>
        <wp:anchor distT="0" distB="0" distL="114300" distR="114300" simplePos="0" relativeHeight="251659264" behindDoc="0" locked="0" layoutInCell="1" allowOverlap="1" wp14:anchorId="05269F61" wp14:editId="35BD045C">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CA28" w14:textId="77777777" w:rsidR="0030249E" w:rsidRPr="001075E9" w:rsidRDefault="0030249E" w:rsidP="001075E9">
      <w:pPr>
        <w:tabs>
          <w:tab w:val="right" w:pos="2155"/>
        </w:tabs>
        <w:spacing w:after="80" w:line="240" w:lineRule="auto"/>
        <w:ind w:left="680"/>
        <w:rPr>
          <w:u w:val="single"/>
        </w:rPr>
      </w:pPr>
      <w:r>
        <w:rPr>
          <w:u w:val="single"/>
        </w:rPr>
        <w:tab/>
      </w:r>
    </w:p>
  </w:footnote>
  <w:footnote w:type="continuationSeparator" w:id="0">
    <w:p w14:paraId="71989323" w14:textId="77777777" w:rsidR="0030249E" w:rsidRDefault="0030249E" w:rsidP="00407B78">
      <w:pPr>
        <w:tabs>
          <w:tab w:val="right" w:pos="2155"/>
        </w:tabs>
        <w:spacing w:after="80"/>
        <w:ind w:left="680"/>
        <w:rPr>
          <w:u w:val="single"/>
        </w:rPr>
      </w:pPr>
      <w:r>
        <w:rPr>
          <w:u w:val="single"/>
        </w:rPr>
        <w:tab/>
      </w:r>
    </w:p>
  </w:footnote>
  <w:footnote w:id="1">
    <w:p w14:paraId="2F5D1923" w14:textId="77777777" w:rsidR="0030249E" w:rsidRPr="00BE49D0" w:rsidRDefault="0030249E">
      <w:pPr>
        <w:pStyle w:val="ad"/>
        <w:rPr>
          <w:sz w:val="20"/>
        </w:rPr>
      </w:pPr>
      <w:r>
        <w:tab/>
      </w:r>
      <w:r w:rsidRPr="00BE49D0">
        <w:rPr>
          <w:rStyle w:val="aa"/>
          <w:sz w:val="20"/>
          <w:vertAlign w:val="baseline"/>
        </w:rPr>
        <w:t>*</w:t>
      </w:r>
      <w:r w:rsidRPr="00BE49D0">
        <w:rPr>
          <w:rStyle w:val="aa"/>
          <w:vertAlign w:val="baseline"/>
        </w:rPr>
        <w:tab/>
      </w:r>
      <w:r w:rsidRPr="005C6E9E">
        <w:t>Настоящий документ выпускается без официального редактирования.</w:t>
      </w:r>
    </w:p>
  </w:footnote>
  <w:footnote w:id="2">
    <w:p w14:paraId="219A13C8" w14:textId="77777777" w:rsidR="0030249E" w:rsidRPr="00BE49D0" w:rsidRDefault="0030249E">
      <w:pPr>
        <w:pStyle w:val="ad"/>
        <w:rPr>
          <w:sz w:val="20"/>
        </w:rPr>
      </w:pPr>
      <w:r>
        <w:tab/>
      </w:r>
      <w:r w:rsidRPr="00BE49D0">
        <w:rPr>
          <w:rStyle w:val="aa"/>
          <w:sz w:val="20"/>
          <w:vertAlign w:val="baseline"/>
        </w:rPr>
        <w:t>**</w:t>
      </w:r>
      <w:r w:rsidRPr="00BE49D0">
        <w:rPr>
          <w:rStyle w:val="aa"/>
          <w:vertAlign w:val="baseline"/>
        </w:rPr>
        <w:tab/>
      </w:r>
      <w:r>
        <w:t>Приложение</w:t>
      </w:r>
      <w:r w:rsidRPr="00372C4C">
        <w:t xml:space="preserve"> </w:t>
      </w:r>
      <w:r>
        <w:t>к</w:t>
      </w:r>
      <w:r w:rsidRPr="00372C4C">
        <w:t xml:space="preserve"> </w:t>
      </w:r>
      <w:r>
        <w:t>настоящему</w:t>
      </w:r>
      <w:r w:rsidRPr="00372C4C">
        <w:t xml:space="preserve"> </w:t>
      </w:r>
      <w:r w:rsidRPr="00E16E78">
        <w:t xml:space="preserve">документу доступно </w:t>
      </w:r>
      <w:r>
        <w:t>на</w:t>
      </w:r>
      <w:r w:rsidRPr="00372C4C">
        <w:t xml:space="preserve"> </w:t>
      </w:r>
      <w:r>
        <w:t>веб</w:t>
      </w:r>
      <w:r w:rsidRPr="00372C4C">
        <w:t>-</w:t>
      </w:r>
      <w:r>
        <w:t>сайте Управления</w:t>
      </w:r>
      <w:r w:rsidRPr="00372C4C">
        <w:t xml:space="preserve"> Верховного комиссара Организации Объединенных Наций по правам человека.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FBDE" w14:textId="69F658A2" w:rsidR="0030249E" w:rsidRPr="00A40DEA" w:rsidRDefault="009942D7">
    <w:pPr>
      <w:pStyle w:val="a5"/>
    </w:pPr>
    <w:r>
      <w:fldChar w:fldCharType="begin"/>
    </w:r>
    <w:r>
      <w:instrText xml:space="preserve"> TITLE  \* MERGEFORMAT </w:instrText>
    </w:r>
    <w:r>
      <w:fldChar w:fldCharType="separate"/>
    </w:r>
    <w:r>
      <w:t>HRI/CORE/FIN/2020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029C6" w14:textId="392DB1C5" w:rsidR="0030249E" w:rsidRPr="00A40DEA" w:rsidRDefault="009942D7" w:rsidP="00A40DEA">
    <w:pPr>
      <w:pStyle w:val="a5"/>
      <w:jc w:val="right"/>
    </w:pPr>
    <w:r>
      <w:fldChar w:fldCharType="begin"/>
    </w:r>
    <w:r>
      <w:instrText xml:space="preserve"> TITLE  \* MERGEFORMAT </w:instrText>
    </w:r>
    <w:r>
      <w:fldChar w:fldCharType="separate"/>
    </w:r>
    <w:r>
      <w:t>HRI/CORE/FIN/2020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F27456"/>
    <w:multiLevelType w:val="hybridMultilevel"/>
    <w:tmpl w:val="04BAAAF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61B4EDA"/>
    <w:multiLevelType w:val="hybridMultilevel"/>
    <w:tmpl w:val="DFD81A38"/>
    <w:lvl w:ilvl="0" w:tplc="4C943784">
      <w:start w:val="1"/>
      <w:numFmt w:val="lowerRoman"/>
      <w:pStyle w:val="Titre5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F4735"/>
    <w:multiLevelType w:val="hybridMultilevel"/>
    <w:tmpl w:val="57560906"/>
    <w:lvl w:ilvl="0" w:tplc="7C0E9A44">
      <w:start w:val="1"/>
      <w:numFmt w:val="decimal"/>
      <w:lvlText w:val="%1."/>
      <w:lvlJc w:val="left"/>
      <w:pPr>
        <w:ind w:left="1854"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12C7065"/>
    <w:multiLevelType w:val="hybridMultilevel"/>
    <w:tmpl w:val="6F2698AA"/>
    <w:lvl w:ilvl="0" w:tplc="203E4ACA">
      <w:start w:val="1"/>
      <w:numFmt w:val="lowerLetter"/>
      <w:pStyle w:val="Titre4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8435B"/>
    <w:multiLevelType w:val="hybridMultilevel"/>
    <w:tmpl w:val="78D63F16"/>
    <w:lvl w:ilvl="0" w:tplc="9B26A98C">
      <w:start w:val="1"/>
      <w:numFmt w:val="decimal"/>
      <w:lvlText w:val="%1."/>
      <w:lvlJc w:val="left"/>
      <w:pPr>
        <w:ind w:left="2988" w:hanging="360"/>
      </w:pPr>
      <w:rPr>
        <w:b w:val="0"/>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D374ADB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4"/>
  </w:num>
  <w:num w:numId="4">
    <w:abstractNumId w:val="15"/>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21"/>
  </w:num>
  <w:num w:numId="18">
    <w:abstractNumId w:val="23"/>
  </w:num>
  <w:num w:numId="19">
    <w:abstractNumId w:val="24"/>
  </w:num>
  <w:num w:numId="20">
    <w:abstractNumId w:val="21"/>
  </w:num>
  <w:num w:numId="21">
    <w:abstractNumId w:val="23"/>
  </w:num>
  <w:num w:numId="22">
    <w:abstractNumId w:val="25"/>
  </w:num>
  <w:num w:numId="23">
    <w:abstractNumId w:val="25"/>
    <w:lvlOverride w:ilvl="0">
      <w:lvl w:ilvl="0" w:tplc="3B64B33E">
        <w:start w:val="1"/>
        <w:numFmt w:val="bullet"/>
        <w:lvlText w:val="•"/>
        <w:lvlJc w:val="left"/>
        <w:pPr>
          <w:tabs>
            <w:tab w:val="num" w:pos="1701"/>
          </w:tabs>
          <w:ind w:left="1701" w:hanging="170"/>
        </w:pPr>
        <w:rPr>
          <w:rFonts w:ascii="Times New Roman" w:hAnsi="Times New Roman" w:cs="Times New Roman" w:hint="default"/>
        </w:rPr>
      </w:lvl>
    </w:lvlOverride>
  </w:num>
  <w:num w:numId="24">
    <w:abstractNumId w:val="19"/>
  </w:num>
  <w:num w:numId="25">
    <w:abstractNumId w:val="12"/>
  </w:num>
  <w:num w:numId="26">
    <w:abstractNumId w:val="20"/>
  </w:num>
  <w:num w:numId="27">
    <w:abstractNumId w:val="13"/>
  </w:num>
  <w:num w:numId="28">
    <w:abstractNumId w:val="11"/>
  </w:num>
  <w:num w:numId="29">
    <w:abstractNumId w:val="17"/>
  </w:num>
  <w:num w:numId="30">
    <w:abstractNumId w:val="22"/>
  </w:num>
  <w:num w:numId="31">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3B"/>
    <w:rsid w:val="0003138D"/>
    <w:rsid w:val="00033EE1"/>
    <w:rsid w:val="00042B72"/>
    <w:rsid w:val="0005105F"/>
    <w:rsid w:val="000558BD"/>
    <w:rsid w:val="00081D9E"/>
    <w:rsid w:val="000B4D23"/>
    <w:rsid w:val="000B5550"/>
    <w:rsid w:val="000B57E7"/>
    <w:rsid w:val="000B6373"/>
    <w:rsid w:val="000C66FA"/>
    <w:rsid w:val="000F09DF"/>
    <w:rsid w:val="000F1DEB"/>
    <w:rsid w:val="000F61B2"/>
    <w:rsid w:val="001075E9"/>
    <w:rsid w:val="00111C09"/>
    <w:rsid w:val="00160AE9"/>
    <w:rsid w:val="00180183"/>
    <w:rsid w:val="0018024D"/>
    <w:rsid w:val="00181061"/>
    <w:rsid w:val="0018649F"/>
    <w:rsid w:val="00196389"/>
    <w:rsid w:val="001A6659"/>
    <w:rsid w:val="001B3EF6"/>
    <w:rsid w:val="001C7A89"/>
    <w:rsid w:val="001E2C2D"/>
    <w:rsid w:val="0020092A"/>
    <w:rsid w:val="00205D9D"/>
    <w:rsid w:val="002115B8"/>
    <w:rsid w:val="00231B15"/>
    <w:rsid w:val="00256DA5"/>
    <w:rsid w:val="00291476"/>
    <w:rsid w:val="002A2EFC"/>
    <w:rsid w:val="002A79B1"/>
    <w:rsid w:val="002B1258"/>
    <w:rsid w:val="002C0E18"/>
    <w:rsid w:val="002C6A31"/>
    <w:rsid w:val="002D5AAC"/>
    <w:rsid w:val="002E5067"/>
    <w:rsid w:val="002F405F"/>
    <w:rsid w:val="002F7EEC"/>
    <w:rsid w:val="00301299"/>
    <w:rsid w:val="0030249E"/>
    <w:rsid w:val="00307FB6"/>
    <w:rsid w:val="00317339"/>
    <w:rsid w:val="00322004"/>
    <w:rsid w:val="003402C2"/>
    <w:rsid w:val="00347795"/>
    <w:rsid w:val="00365FFD"/>
    <w:rsid w:val="00373BCE"/>
    <w:rsid w:val="00381C24"/>
    <w:rsid w:val="003958D0"/>
    <w:rsid w:val="003A3D90"/>
    <w:rsid w:val="003B00E5"/>
    <w:rsid w:val="00407B78"/>
    <w:rsid w:val="00413B91"/>
    <w:rsid w:val="00424203"/>
    <w:rsid w:val="004253D3"/>
    <w:rsid w:val="00452493"/>
    <w:rsid w:val="00454E07"/>
    <w:rsid w:val="00471B10"/>
    <w:rsid w:val="00472C5C"/>
    <w:rsid w:val="00477D72"/>
    <w:rsid w:val="004D541E"/>
    <w:rsid w:val="004E58C9"/>
    <w:rsid w:val="004F6AD5"/>
    <w:rsid w:val="0050108D"/>
    <w:rsid w:val="005065E5"/>
    <w:rsid w:val="00513081"/>
    <w:rsid w:val="00517901"/>
    <w:rsid w:val="00526683"/>
    <w:rsid w:val="00565172"/>
    <w:rsid w:val="005709E0"/>
    <w:rsid w:val="00572E19"/>
    <w:rsid w:val="005961C8"/>
    <w:rsid w:val="005D7914"/>
    <w:rsid w:val="005E2B41"/>
    <w:rsid w:val="005F0B42"/>
    <w:rsid w:val="00644E8E"/>
    <w:rsid w:val="00647E5B"/>
    <w:rsid w:val="00681A10"/>
    <w:rsid w:val="00684CF8"/>
    <w:rsid w:val="006A1ED8"/>
    <w:rsid w:val="006C2031"/>
    <w:rsid w:val="006D461A"/>
    <w:rsid w:val="006F35EE"/>
    <w:rsid w:val="007021FF"/>
    <w:rsid w:val="00712895"/>
    <w:rsid w:val="00757357"/>
    <w:rsid w:val="007B5263"/>
    <w:rsid w:val="007D59F0"/>
    <w:rsid w:val="008221B3"/>
    <w:rsid w:val="00825F8D"/>
    <w:rsid w:val="00830E31"/>
    <w:rsid w:val="00834B71"/>
    <w:rsid w:val="0086445C"/>
    <w:rsid w:val="008808F1"/>
    <w:rsid w:val="00894693"/>
    <w:rsid w:val="008A08D7"/>
    <w:rsid w:val="008B4107"/>
    <w:rsid w:val="008B4B33"/>
    <w:rsid w:val="008B6909"/>
    <w:rsid w:val="00904FE1"/>
    <w:rsid w:val="00906890"/>
    <w:rsid w:val="00911BE4"/>
    <w:rsid w:val="00943923"/>
    <w:rsid w:val="00946182"/>
    <w:rsid w:val="00951972"/>
    <w:rsid w:val="009608F3"/>
    <w:rsid w:val="009729BC"/>
    <w:rsid w:val="009942D7"/>
    <w:rsid w:val="009A24AC"/>
    <w:rsid w:val="009F4FCC"/>
    <w:rsid w:val="00A312BC"/>
    <w:rsid w:val="00A40DEA"/>
    <w:rsid w:val="00A658A6"/>
    <w:rsid w:val="00A84021"/>
    <w:rsid w:val="00A84D35"/>
    <w:rsid w:val="00A917B3"/>
    <w:rsid w:val="00AB4B51"/>
    <w:rsid w:val="00AD5305"/>
    <w:rsid w:val="00AF6C40"/>
    <w:rsid w:val="00B10CC7"/>
    <w:rsid w:val="00B223EA"/>
    <w:rsid w:val="00B539E7"/>
    <w:rsid w:val="00B62458"/>
    <w:rsid w:val="00B872CB"/>
    <w:rsid w:val="00BA0275"/>
    <w:rsid w:val="00BB2CD5"/>
    <w:rsid w:val="00BC18B2"/>
    <w:rsid w:val="00BD33EE"/>
    <w:rsid w:val="00BE49D0"/>
    <w:rsid w:val="00BF2C74"/>
    <w:rsid w:val="00C106D6"/>
    <w:rsid w:val="00C60F0C"/>
    <w:rsid w:val="00C77D3E"/>
    <w:rsid w:val="00C805C9"/>
    <w:rsid w:val="00C92939"/>
    <w:rsid w:val="00CA1679"/>
    <w:rsid w:val="00CB151C"/>
    <w:rsid w:val="00CE02F6"/>
    <w:rsid w:val="00CE5A1A"/>
    <w:rsid w:val="00CE6069"/>
    <w:rsid w:val="00CF55F6"/>
    <w:rsid w:val="00D10B31"/>
    <w:rsid w:val="00D17646"/>
    <w:rsid w:val="00D33D63"/>
    <w:rsid w:val="00D43BB9"/>
    <w:rsid w:val="00D90028"/>
    <w:rsid w:val="00D90138"/>
    <w:rsid w:val="00D9638A"/>
    <w:rsid w:val="00DA18FC"/>
    <w:rsid w:val="00DA4238"/>
    <w:rsid w:val="00DC7155"/>
    <w:rsid w:val="00DF71B9"/>
    <w:rsid w:val="00DF75A7"/>
    <w:rsid w:val="00DF7B7E"/>
    <w:rsid w:val="00E73F76"/>
    <w:rsid w:val="00E97D4E"/>
    <w:rsid w:val="00EA2C9F"/>
    <w:rsid w:val="00ED0BDA"/>
    <w:rsid w:val="00ED4505"/>
    <w:rsid w:val="00EF1360"/>
    <w:rsid w:val="00EF3220"/>
    <w:rsid w:val="00F31455"/>
    <w:rsid w:val="00F3160A"/>
    <w:rsid w:val="00F65B3B"/>
    <w:rsid w:val="00F81780"/>
    <w:rsid w:val="00F94155"/>
    <w:rsid w:val="00F9783F"/>
    <w:rsid w:val="00FA634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5499F"/>
  <w15:docId w15:val="{1EB2C441-54EA-4DD2-B011-EFA99130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CE6069"/>
    <w:pPr>
      <w:keepNext/>
      <w:outlineLvl w:val="1"/>
    </w:pPr>
    <w:rPr>
      <w:rFonts w:cs="Arial"/>
      <w:bCs/>
      <w:iCs/>
      <w:szCs w:val="28"/>
    </w:rPr>
  </w:style>
  <w:style w:type="paragraph" w:styleId="3">
    <w:name w:val="heading 3"/>
    <w:basedOn w:val="a"/>
    <w:next w:val="a"/>
    <w:link w:val="30"/>
    <w:uiPriority w:val="9"/>
    <w:qFormat/>
    <w:rsid w:val="00CE6069"/>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E6069"/>
    <w:pPr>
      <w:keepNext/>
      <w:spacing w:before="240" w:after="60"/>
      <w:outlineLvl w:val="3"/>
    </w:pPr>
    <w:rPr>
      <w:b/>
      <w:bCs/>
      <w:sz w:val="28"/>
      <w:szCs w:val="28"/>
    </w:rPr>
  </w:style>
  <w:style w:type="paragraph" w:styleId="5">
    <w:name w:val="heading 5"/>
    <w:basedOn w:val="a"/>
    <w:next w:val="a"/>
    <w:link w:val="50"/>
    <w:uiPriority w:val="9"/>
    <w:qFormat/>
    <w:rsid w:val="00CE6069"/>
    <w:pPr>
      <w:spacing w:before="240" w:after="60"/>
      <w:outlineLvl w:val="4"/>
    </w:pPr>
    <w:rPr>
      <w:b/>
      <w:bCs/>
      <w:i/>
      <w:iCs/>
      <w:sz w:val="26"/>
      <w:szCs w:val="26"/>
    </w:rPr>
  </w:style>
  <w:style w:type="paragraph" w:styleId="6">
    <w:name w:val="heading 6"/>
    <w:basedOn w:val="a"/>
    <w:next w:val="a"/>
    <w:link w:val="60"/>
    <w:uiPriority w:val="9"/>
    <w:qFormat/>
    <w:rsid w:val="00CE6069"/>
    <w:pPr>
      <w:spacing w:before="240" w:after="60"/>
      <w:outlineLvl w:val="5"/>
    </w:pPr>
    <w:rPr>
      <w:b/>
      <w:bCs/>
      <w:sz w:val="22"/>
    </w:rPr>
  </w:style>
  <w:style w:type="paragraph" w:styleId="7">
    <w:name w:val="heading 7"/>
    <w:basedOn w:val="a"/>
    <w:next w:val="a"/>
    <w:link w:val="70"/>
    <w:uiPriority w:val="9"/>
    <w:semiHidden/>
    <w:qFormat/>
    <w:rsid w:val="00CE6069"/>
    <w:pPr>
      <w:spacing w:before="240" w:after="60"/>
      <w:outlineLvl w:val="6"/>
    </w:pPr>
    <w:rPr>
      <w:sz w:val="24"/>
      <w:szCs w:val="24"/>
    </w:rPr>
  </w:style>
  <w:style w:type="paragraph" w:styleId="8">
    <w:name w:val="heading 8"/>
    <w:basedOn w:val="a"/>
    <w:next w:val="a"/>
    <w:link w:val="80"/>
    <w:uiPriority w:val="9"/>
    <w:semiHidden/>
    <w:qFormat/>
    <w:rsid w:val="00CE6069"/>
    <w:pPr>
      <w:spacing w:before="240" w:after="60"/>
      <w:outlineLvl w:val="7"/>
    </w:pPr>
    <w:rPr>
      <w:i/>
      <w:iCs/>
      <w:sz w:val="24"/>
      <w:szCs w:val="24"/>
    </w:rPr>
  </w:style>
  <w:style w:type="paragraph" w:styleId="9">
    <w:name w:val="heading 9"/>
    <w:basedOn w:val="a"/>
    <w:next w:val="a"/>
    <w:link w:val="90"/>
    <w:uiPriority w:val="9"/>
    <w:semiHidden/>
    <w:qFormat/>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1"/>
    <w:qFormat/>
    <w:rsid w:val="002B1258"/>
    <w:pPr>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uiPriority w:val="9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946182"/>
    <w:rPr>
      <w:sz w:val="16"/>
      <w:lang w:val="en-GB" w:eastAsia="ru-RU"/>
    </w:rPr>
  </w:style>
  <w:style w:type="character" w:styleId="aa">
    <w:name w:val="footnote reference"/>
    <w:aliases w:val="4_G,Footnote Refernece"/>
    <w:basedOn w:val="a0"/>
    <w:uiPriority w:val="99"/>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uiPriority w:val="39"/>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Char,Char"/>
    <w:basedOn w:val="a"/>
    <w:link w:val="ae"/>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Char Знак,Char Знак"/>
    <w:basedOn w:val="a0"/>
    <w:link w:val="ad"/>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customStyle="1" w:styleId="10">
    <w:name w:val="Заголовок 1 Знак"/>
    <w:aliases w:val="Table_G Знак"/>
    <w:basedOn w:val="a0"/>
    <w:link w:val="1"/>
    <w:uiPriority w:val="9"/>
    <w:rsid w:val="00946182"/>
    <w:rPr>
      <w:rFonts w:cs="Arial"/>
      <w:b/>
      <w:bCs/>
      <w:szCs w:val="32"/>
      <w:lang w:val="ru-RU" w:eastAsia="ru-RU"/>
    </w:rPr>
  </w:style>
  <w:style w:type="character" w:styleId="af1">
    <w:name w:val="Hyperlink"/>
    <w:basedOn w:val="a0"/>
    <w:uiPriority w:val="99"/>
    <w:rsid w:val="00946182"/>
    <w:rPr>
      <w:color w:val="0000FF" w:themeColor="hyperlink"/>
      <w:u w:val="none"/>
    </w:rPr>
  </w:style>
  <w:style w:type="character" w:styleId="af2">
    <w:name w:val="FollowedHyperlink"/>
    <w:basedOn w:val="a0"/>
    <w:uiPriority w:val="99"/>
    <w:rsid w:val="00946182"/>
    <w:rPr>
      <w:color w:val="800080" w:themeColor="followedHyperlink"/>
      <w:u w:val="none"/>
    </w:rPr>
  </w:style>
  <w:style w:type="character" w:styleId="af3">
    <w:name w:val="Unresolved Mention"/>
    <w:basedOn w:val="a0"/>
    <w:uiPriority w:val="99"/>
    <w:semiHidden/>
    <w:unhideWhenUsed/>
    <w:rsid w:val="00477D72"/>
    <w:rPr>
      <w:color w:val="605E5C"/>
      <w:shd w:val="clear" w:color="auto" w:fill="E1DFDD"/>
    </w:rPr>
  </w:style>
  <w:style w:type="table" w:styleId="11">
    <w:name w:val="Table Grid 1"/>
    <w:basedOn w:val="a1"/>
    <w:semiHidden/>
    <w:rsid w:val="00DF75A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NoG">
    <w:name w:val="_ParNo_G"/>
    <w:basedOn w:val="SingleTxtG"/>
    <w:qFormat/>
    <w:rsid w:val="00DF75A7"/>
    <w:pPr>
      <w:numPr>
        <w:numId w:val="25"/>
      </w:numPr>
      <w:suppressAutoHyphens w:val="0"/>
      <w:spacing w:line="240" w:lineRule="auto"/>
    </w:pPr>
    <w:rPr>
      <w:lang w:val="fr-CH"/>
    </w:rPr>
  </w:style>
  <w:style w:type="paragraph" w:styleId="af4">
    <w:name w:val="List Paragraph"/>
    <w:basedOn w:val="a"/>
    <w:link w:val="af5"/>
    <w:uiPriority w:val="34"/>
    <w:qFormat/>
    <w:rsid w:val="00DF75A7"/>
    <w:pPr>
      <w:suppressAutoHyphens w:val="0"/>
      <w:spacing w:after="160" w:line="259" w:lineRule="auto"/>
      <w:ind w:left="720"/>
      <w:contextualSpacing/>
      <w:jc w:val="both"/>
    </w:pPr>
    <w:rPr>
      <w:sz w:val="22"/>
      <w:lang w:val="en-US"/>
    </w:rPr>
  </w:style>
  <w:style w:type="table" w:customStyle="1" w:styleId="21">
    <w:name w:val="Таблица простая 21"/>
    <w:basedOn w:val="a1"/>
    <w:uiPriority w:val="42"/>
    <w:rsid w:val="00DF75A7"/>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6">
    <w:name w:val="annotation reference"/>
    <w:basedOn w:val="a0"/>
    <w:uiPriority w:val="99"/>
    <w:semiHidden/>
    <w:unhideWhenUsed/>
    <w:rsid w:val="00DF75A7"/>
    <w:rPr>
      <w:sz w:val="16"/>
      <w:szCs w:val="16"/>
    </w:rPr>
  </w:style>
  <w:style w:type="paragraph" w:styleId="af7">
    <w:name w:val="annotation text"/>
    <w:basedOn w:val="a"/>
    <w:link w:val="af8"/>
    <w:uiPriority w:val="99"/>
    <w:unhideWhenUsed/>
    <w:rsid w:val="00DF75A7"/>
    <w:pPr>
      <w:suppressAutoHyphens w:val="0"/>
      <w:spacing w:after="160" w:line="240" w:lineRule="auto"/>
      <w:jc w:val="both"/>
    </w:pPr>
    <w:rPr>
      <w:sz w:val="22"/>
      <w:szCs w:val="20"/>
      <w:lang w:val="en-US"/>
    </w:rPr>
  </w:style>
  <w:style w:type="character" w:customStyle="1" w:styleId="af8">
    <w:name w:val="Текст примечания Знак"/>
    <w:basedOn w:val="a0"/>
    <w:link w:val="af7"/>
    <w:uiPriority w:val="99"/>
    <w:rsid w:val="00DF75A7"/>
    <w:rPr>
      <w:rFonts w:eastAsiaTheme="minorHAnsi" w:cstheme="minorBidi"/>
      <w:sz w:val="22"/>
      <w:lang w:val="en-US" w:eastAsia="en-US"/>
    </w:rPr>
  </w:style>
  <w:style w:type="paragraph" w:styleId="af9">
    <w:name w:val="annotation subject"/>
    <w:basedOn w:val="af7"/>
    <w:next w:val="af7"/>
    <w:link w:val="afa"/>
    <w:uiPriority w:val="99"/>
    <w:semiHidden/>
    <w:unhideWhenUsed/>
    <w:rsid w:val="00DF75A7"/>
    <w:rPr>
      <w:b/>
      <w:bCs/>
    </w:rPr>
  </w:style>
  <w:style w:type="character" w:customStyle="1" w:styleId="afa">
    <w:name w:val="Тема примечания Знак"/>
    <w:basedOn w:val="af8"/>
    <w:link w:val="af9"/>
    <w:uiPriority w:val="99"/>
    <w:semiHidden/>
    <w:rsid w:val="00DF75A7"/>
    <w:rPr>
      <w:rFonts w:eastAsiaTheme="minorHAnsi" w:cstheme="minorBidi"/>
      <w:b/>
      <w:bCs/>
      <w:sz w:val="22"/>
      <w:lang w:val="en-US" w:eastAsia="en-US"/>
    </w:rPr>
  </w:style>
  <w:style w:type="paragraph" w:styleId="afb">
    <w:name w:val="Revision"/>
    <w:hidden/>
    <w:uiPriority w:val="99"/>
    <w:semiHidden/>
    <w:rsid w:val="00DF75A7"/>
    <w:rPr>
      <w:rFonts w:asciiTheme="minorHAnsi" w:eastAsiaTheme="minorHAnsi" w:hAnsiTheme="minorHAnsi" w:cstheme="minorBidi"/>
      <w:sz w:val="22"/>
      <w:szCs w:val="22"/>
      <w:lang w:val="en-US" w:eastAsia="en-US"/>
    </w:rPr>
  </w:style>
  <w:style w:type="paragraph" w:styleId="afc">
    <w:name w:val="Normal (Web)"/>
    <w:basedOn w:val="a"/>
    <w:uiPriority w:val="99"/>
    <w:semiHidden/>
    <w:unhideWhenUsed/>
    <w:rsid w:val="00DF75A7"/>
    <w:pPr>
      <w:suppressAutoHyphens w:val="0"/>
      <w:spacing w:before="100" w:beforeAutospacing="1" w:after="100" w:afterAutospacing="1" w:line="240" w:lineRule="auto"/>
      <w:jc w:val="both"/>
    </w:pPr>
    <w:rPr>
      <w:rFonts w:eastAsia="Times New Roman" w:cs="Times New Roman"/>
      <w:sz w:val="24"/>
      <w:szCs w:val="24"/>
      <w:lang w:val="en-US"/>
    </w:rPr>
  </w:style>
  <w:style w:type="character" w:styleId="afd">
    <w:name w:val="Strong"/>
    <w:basedOn w:val="a0"/>
    <w:uiPriority w:val="22"/>
    <w:qFormat/>
    <w:rsid w:val="00DF75A7"/>
    <w:rPr>
      <w:b/>
      <w:bCs/>
    </w:rPr>
  </w:style>
  <w:style w:type="paragraph" w:customStyle="1" w:styleId="richtextp1">
    <w:name w:val="richtext_p1"/>
    <w:basedOn w:val="a"/>
    <w:rsid w:val="00DF75A7"/>
    <w:pPr>
      <w:suppressAutoHyphens w:val="0"/>
      <w:spacing w:after="85" w:line="240" w:lineRule="auto"/>
      <w:jc w:val="both"/>
    </w:pPr>
    <w:rPr>
      <w:rFonts w:eastAsia="Times New Roman" w:cs="Times New Roman"/>
      <w:sz w:val="24"/>
      <w:szCs w:val="24"/>
      <w:lang w:val="en-US"/>
    </w:rPr>
  </w:style>
  <w:style w:type="character" w:customStyle="1" w:styleId="20">
    <w:name w:val="Заголовок 2 Знак"/>
    <w:basedOn w:val="a0"/>
    <w:link w:val="2"/>
    <w:uiPriority w:val="9"/>
    <w:rsid w:val="00DF75A7"/>
    <w:rPr>
      <w:rFonts w:eastAsiaTheme="minorHAnsi" w:cs="Arial"/>
      <w:bCs/>
      <w:iCs/>
      <w:szCs w:val="28"/>
      <w:lang w:val="ru-RU" w:eastAsia="en-US"/>
    </w:rPr>
  </w:style>
  <w:style w:type="character" w:customStyle="1" w:styleId="30">
    <w:name w:val="Заголовок 3 Знак"/>
    <w:basedOn w:val="a0"/>
    <w:link w:val="3"/>
    <w:uiPriority w:val="9"/>
    <w:rsid w:val="00DF75A7"/>
    <w:rPr>
      <w:rFonts w:ascii="Arial" w:eastAsiaTheme="minorHAnsi" w:hAnsi="Arial" w:cs="Arial"/>
      <w:b/>
      <w:bCs/>
      <w:sz w:val="26"/>
      <w:szCs w:val="26"/>
      <w:lang w:val="ru-RU" w:eastAsia="en-US"/>
    </w:rPr>
  </w:style>
  <w:style w:type="paragraph" w:customStyle="1" w:styleId="Titre41">
    <w:name w:val="Titre 41"/>
    <w:basedOn w:val="1"/>
    <w:link w:val="Titre4Char"/>
    <w:rsid w:val="00DF75A7"/>
    <w:pPr>
      <w:keepLines/>
      <w:numPr>
        <w:numId w:val="26"/>
      </w:numPr>
      <w:tabs>
        <w:tab w:val="clear" w:pos="567"/>
        <w:tab w:val="left" w:pos="851"/>
      </w:tabs>
      <w:suppressAutoHyphens w:val="0"/>
      <w:spacing w:before="240" w:after="120" w:line="240" w:lineRule="exact"/>
      <w:ind w:right="1134"/>
      <w:contextualSpacing/>
    </w:pPr>
    <w:rPr>
      <w:rFonts w:eastAsiaTheme="majorEastAsia"/>
      <w:bCs w:val="0"/>
      <w:lang w:val="fr-CH" w:eastAsia="en-US"/>
    </w:rPr>
  </w:style>
  <w:style w:type="paragraph" w:customStyle="1" w:styleId="Titre51">
    <w:name w:val="Titre 51"/>
    <w:basedOn w:val="Titre41"/>
    <w:link w:val="Titre5Char"/>
    <w:rsid w:val="00DF75A7"/>
    <w:pPr>
      <w:numPr>
        <w:numId w:val="27"/>
      </w:numPr>
    </w:pPr>
    <w:rPr>
      <w:b w:val="0"/>
      <w:i/>
    </w:rPr>
  </w:style>
  <w:style w:type="character" w:customStyle="1" w:styleId="Titre4Char">
    <w:name w:val="Titre 4 Char"/>
    <w:basedOn w:val="10"/>
    <w:link w:val="Titre41"/>
    <w:rsid w:val="00DF75A7"/>
    <w:rPr>
      <w:rFonts w:eastAsiaTheme="majorEastAsia" w:cs="Arial"/>
      <w:b/>
      <w:bCs w:val="0"/>
      <w:szCs w:val="32"/>
      <w:lang w:val="fr-CH" w:eastAsia="en-US"/>
    </w:rPr>
  </w:style>
  <w:style w:type="character" w:customStyle="1" w:styleId="Titre5Char">
    <w:name w:val="Titre 5 Char"/>
    <w:basedOn w:val="Titre4Char"/>
    <w:link w:val="Titre51"/>
    <w:rsid w:val="00DF75A7"/>
    <w:rPr>
      <w:rFonts w:eastAsiaTheme="majorEastAsia" w:cs="Arial"/>
      <w:b w:val="0"/>
      <w:bCs w:val="0"/>
      <w:i/>
      <w:szCs w:val="32"/>
      <w:lang w:val="fr-CH" w:eastAsia="en-US"/>
    </w:rPr>
  </w:style>
  <w:style w:type="paragraph" w:styleId="afe">
    <w:name w:val="TOC Heading"/>
    <w:basedOn w:val="1"/>
    <w:next w:val="a"/>
    <w:uiPriority w:val="39"/>
    <w:unhideWhenUsed/>
    <w:qFormat/>
    <w:rsid w:val="00DF75A7"/>
    <w:pPr>
      <w:keepLines/>
      <w:tabs>
        <w:tab w:val="clear" w:pos="567"/>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en-US"/>
    </w:rPr>
  </w:style>
  <w:style w:type="paragraph" w:styleId="22">
    <w:name w:val="toc 2"/>
    <w:basedOn w:val="a"/>
    <w:next w:val="a"/>
    <w:autoRedefine/>
    <w:uiPriority w:val="39"/>
    <w:unhideWhenUsed/>
    <w:rsid w:val="00DF75A7"/>
    <w:pPr>
      <w:suppressAutoHyphens w:val="0"/>
      <w:spacing w:after="100" w:line="259" w:lineRule="auto"/>
      <w:ind w:left="220"/>
    </w:pPr>
    <w:rPr>
      <w:rFonts w:eastAsiaTheme="minorEastAsia" w:cs="Times New Roman"/>
      <w:b/>
      <w:sz w:val="22"/>
      <w:lang w:val="en-US"/>
    </w:rPr>
  </w:style>
  <w:style w:type="paragraph" w:styleId="12">
    <w:name w:val="toc 1"/>
    <w:basedOn w:val="a"/>
    <w:next w:val="a"/>
    <w:autoRedefine/>
    <w:uiPriority w:val="39"/>
    <w:unhideWhenUsed/>
    <w:rsid w:val="00DF75A7"/>
    <w:pPr>
      <w:suppressAutoHyphens w:val="0"/>
      <w:spacing w:after="100" w:line="259" w:lineRule="auto"/>
    </w:pPr>
    <w:rPr>
      <w:rFonts w:eastAsiaTheme="minorEastAsia" w:cs="Times New Roman"/>
      <w:b/>
      <w:sz w:val="24"/>
      <w:lang w:val="en-US"/>
    </w:rPr>
  </w:style>
  <w:style w:type="paragraph" w:styleId="31">
    <w:name w:val="toc 3"/>
    <w:basedOn w:val="a"/>
    <w:next w:val="a"/>
    <w:autoRedefine/>
    <w:uiPriority w:val="39"/>
    <w:unhideWhenUsed/>
    <w:rsid w:val="00DF75A7"/>
    <w:pPr>
      <w:suppressAutoHyphens w:val="0"/>
      <w:spacing w:after="100" w:line="259" w:lineRule="auto"/>
      <w:ind w:left="440"/>
    </w:pPr>
    <w:rPr>
      <w:rFonts w:eastAsiaTheme="minorEastAsia" w:cs="Times New Roman"/>
      <w:sz w:val="22"/>
      <w:lang w:val="en-US"/>
    </w:rPr>
  </w:style>
  <w:style w:type="character" w:customStyle="1" w:styleId="sessionsubtitle">
    <w:name w:val="sessionsubtitle"/>
    <w:basedOn w:val="a0"/>
    <w:rsid w:val="00DF75A7"/>
  </w:style>
  <w:style w:type="paragraph" w:customStyle="1" w:styleId="Default">
    <w:name w:val="Default"/>
    <w:rsid w:val="00DF75A7"/>
    <w:pPr>
      <w:autoSpaceDE w:val="0"/>
      <w:autoSpaceDN w:val="0"/>
      <w:adjustRightInd w:val="0"/>
    </w:pPr>
    <w:rPr>
      <w:rFonts w:eastAsiaTheme="minorHAnsi"/>
      <w:color w:val="000000"/>
      <w:sz w:val="24"/>
      <w:szCs w:val="24"/>
      <w:lang w:val="en-US" w:eastAsia="en-US"/>
    </w:rPr>
  </w:style>
  <w:style w:type="character" w:customStyle="1" w:styleId="af5">
    <w:name w:val="Абзац списка Знак"/>
    <w:basedOn w:val="a0"/>
    <w:link w:val="af4"/>
    <w:uiPriority w:val="34"/>
    <w:rsid w:val="00DF75A7"/>
    <w:rPr>
      <w:rFonts w:eastAsiaTheme="minorHAnsi" w:cstheme="minorBidi"/>
      <w:sz w:val="22"/>
      <w:szCs w:val="22"/>
      <w:lang w:val="en-US" w:eastAsia="en-US"/>
    </w:rPr>
  </w:style>
  <w:style w:type="character" w:customStyle="1" w:styleId="40">
    <w:name w:val="Заголовок 4 Знак"/>
    <w:basedOn w:val="a0"/>
    <w:link w:val="4"/>
    <w:uiPriority w:val="9"/>
    <w:rsid w:val="00DF75A7"/>
    <w:rPr>
      <w:rFonts w:eastAsiaTheme="minorHAnsi" w:cstheme="minorBidi"/>
      <w:b/>
      <w:bCs/>
      <w:sz w:val="28"/>
      <w:szCs w:val="28"/>
      <w:lang w:val="ru-RU" w:eastAsia="en-US"/>
    </w:rPr>
  </w:style>
  <w:style w:type="character" w:customStyle="1" w:styleId="50">
    <w:name w:val="Заголовок 5 Знак"/>
    <w:basedOn w:val="a0"/>
    <w:link w:val="5"/>
    <w:uiPriority w:val="9"/>
    <w:rsid w:val="00DF75A7"/>
    <w:rPr>
      <w:rFonts w:eastAsiaTheme="minorHAnsi" w:cstheme="minorBidi"/>
      <w:b/>
      <w:bCs/>
      <w:i/>
      <w:iCs/>
      <w:sz w:val="26"/>
      <w:szCs w:val="26"/>
      <w:lang w:val="ru-RU" w:eastAsia="en-US"/>
    </w:rPr>
  </w:style>
  <w:style w:type="character" w:customStyle="1" w:styleId="60">
    <w:name w:val="Заголовок 6 Знак"/>
    <w:basedOn w:val="a0"/>
    <w:link w:val="6"/>
    <w:uiPriority w:val="9"/>
    <w:rsid w:val="00DF75A7"/>
    <w:rPr>
      <w:rFonts w:eastAsiaTheme="minorHAnsi" w:cstheme="minorBidi"/>
      <w:b/>
      <w:bCs/>
      <w:sz w:val="22"/>
      <w:szCs w:val="22"/>
      <w:lang w:val="ru-RU" w:eastAsia="en-US"/>
    </w:rPr>
  </w:style>
  <w:style w:type="table" w:customStyle="1" w:styleId="-11">
    <w:name w:val="Таблица-сетка 1 светлая1"/>
    <w:basedOn w:val="a1"/>
    <w:uiPriority w:val="46"/>
    <w:rsid w:val="00DF75A7"/>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0">
    <w:name w:val="A6"/>
    <w:uiPriority w:val="99"/>
    <w:rsid w:val="00DF75A7"/>
    <w:rPr>
      <w:rFonts w:cs="Roboto Light"/>
      <w:color w:val="000000"/>
      <w:sz w:val="20"/>
      <w:szCs w:val="20"/>
    </w:rPr>
  </w:style>
  <w:style w:type="character" w:customStyle="1" w:styleId="table-chart-value">
    <w:name w:val="table-chart-value"/>
    <w:basedOn w:val="a0"/>
    <w:rsid w:val="00DF75A7"/>
  </w:style>
  <w:style w:type="paragraph" w:styleId="51">
    <w:name w:val="toc 5"/>
    <w:basedOn w:val="a"/>
    <w:next w:val="a"/>
    <w:autoRedefine/>
    <w:uiPriority w:val="39"/>
    <w:unhideWhenUsed/>
    <w:rsid w:val="00DF75A7"/>
    <w:pPr>
      <w:suppressAutoHyphens w:val="0"/>
      <w:spacing w:after="100" w:line="259" w:lineRule="auto"/>
      <w:ind w:left="880"/>
      <w:jc w:val="both"/>
    </w:pPr>
    <w:rPr>
      <w:lang w:val="en-US"/>
    </w:rPr>
  </w:style>
  <w:style w:type="paragraph" w:styleId="41">
    <w:name w:val="toc 4"/>
    <w:basedOn w:val="a"/>
    <w:next w:val="a"/>
    <w:autoRedefine/>
    <w:uiPriority w:val="39"/>
    <w:unhideWhenUsed/>
    <w:rsid w:val="00DF75A7"/>
    <w:pPr>
      <w:suppressAutoHyphens w:val="0"/>
      <w:spacing w:after="100" w:line="259" w:lineRule="auto"/>
      <w:ind w:left="660"/>
      <w:jc w:val="both"/>
    </w:pPr>
    <w:rPr>
      <w:i/>
      <w:sz w:val="22"/>
      <w:lang w:val="en-US"/>
    </w:rPr>
  </w:style>
  <w:style w:type="paragraph" w:customStyle="1" w:styleId="Tableaux">
    <w:name w:val="Tableaux"/>
    <w:basedOn w:val="a"/>
    <w:link w:val="TableauxChar"/>
    <w:qFormat/>
    <w:rsid w:val="00DF75A7"/>
    <w:pPr>
      <w:suppressAutoHyphens w:val="0"/>
      <w:autoSpaceDE w:val="0"/>
      <w:autoSpaceDN w:val="0"/>
      <w:adjustRightInd w:val="0"/>
      <w:spacing w:before="240" w:after="120" w:line="240" w:lineRule="auto"/>
      <w:jc w:val="both"/>
    </w:pPr>
    <w:rPr>
      <w:rFonts w:cs="Times New Roman"/>
      <w:b/>
      <w:sz w:val="22"/>
      <w:szCs w:val="20"/>
      <w:lang w:val="fr-FR"/>
    </w:rPr>
  </w:style>
  <w:style w:type="character" w:customStyle="1" w:styleId="90">
    <w:name w:val="Заголовок 9 Знак"/>
    <w:basedOn w:val="a0"/>
    <w:link w:val="9"/>
    <w:uiPriority w:val="9"/>
    <w:semiHidden/>
    <w:rsid w:val="00DF75A7"/>
    <w:rPr>
      <w:rFonts w:ascii="Arial" w:eastAsiaTheme="minorHAnsi" w:hAnsi="Arial" w:cs="Arial"/>
      <w:sz w:val="22"/>
      <w:szCs w:val="22"/>
      <w:lang w:val="ru-RU" w:eastAsia="en-US"/>
    </w:rPr>
  </w:style>
  <w:style w:type="character" w:customStyle="1" w:styleId="TableauxChar">
    <w:name w:val="Tableaux Char"/>
    <w:basedOn w:val="a0"/>
    <w:link w:val="Tableaux"/>
    <w:rsid w:val="00DF75A7"/>
    <w:rPr>
      <w:rFonts w:eastAsiaTheme="minorHAnsi"/>
      <w:b/>
      <w:sz w:val="22"/>
      <w:lang w:val="fr-FR" w:eastAsia="en-US"/>
    </w:rPr>
  </w:style>
  <w:style w:type="character" w:customStyle="1" w:styleId="80">
    <w:name w:val="Заголовок 8 Знак"/>
    <w:basedOn w:val="a0"/>
    <w:link w:val="8"/>
    <w:uiPriority w:val="9"/>
    <w:semiHidden/>
    <w:rsid w:val="00DF75A7"/>
    <w:rPr>
      <w:rFonts w:eastAsiaTheme="minorHAnsi" w:cstheme="minorBidi"/>
      <w:i/>
      <w:iCs/>
      <w:sz w:val="24"/>
      <w:szCs w:val="24"/>
      <w:lang w:val="ru-RU" w:eastAsia="en-US"/>
    </w:rPr>
  </w:style>
  <w:style w:type="character" w:customStyle="1" w:styleId="70">
    <w:name w:val="Заголовок 7 Знак"/>
    <w:basedOn w:val="a0"/>
    <w:link w:val="7"/>
    <w:uiPriority w:val="9"/>
    <w:semiHidden/>
    <w:rsid w:val="00DF75A7"/>
    <w:rPr>
      <w:rFonts w:eastAsiaTheme="minorHAnsi" w:cstheme="minorBidi"/>
      <w:sz w:val="24"/>
      <w:szCs w:val="24"/>
      <w:lang w:val="ru-RU" w:eastAsia="en-US"/>
    </w:rPr>
  </w:style>
  <w:style w:type="paragraph" w:customStyle="1" w:styleId="Graphique">
    <w:name w:val="Graphique"/>
    <w:basedOn w:val="a"/>
    <w:link w:val="GraphiqueChar"/>
    <w:qFormat/>
    <w:rsid w:val="00DF75A7"/>
    <w:pPr>
      <w:suppressAutoHyphens w:val="0"/>
      <w:spacing w:before="160" w:after="160" w:line="259" w:lineRule="auto"/>
      <w:jc w:val="center"/>
    </w:pPr>
    <w:rPr>
      <w:rFonts w:cs="Times New Roman"/>
      <w:b/>
      <w:sz w:val="24"/>
      <w:szCs w:val="24"/>
      <w:lang w:val="fr-FR"/>
    </w:rPr>
  </w:style>
  <w:style w:type="character" w:customStyle="1" w:styleId="GraphiqueChar">
    <w:name w:val="Graphique Char"/>
    <w:basedOn w:val="a0"/>
    <w:link w:val="Graphique"/>
    <w:rsid w:val="00DF75A7"/>
    <w:rPr>
      <w:rFonts w:eastAsiaTheme="minorHAnsi"/>
      <w:b/>
      <w:sz w:val="24"/>
      <w:szCs w:val="24"/>
      <w:lang w:val="fr-FR" w:eastAsia="en-US"/>
    </w:rPr>
  </w:style>
  <w:style w:type="paragraph" w:styleId="61">
    <w:name w:val="toc 6"/>
    <w:basedOn w:val="a"/>
    <w:next w:val="a"/>
    <w:autoRedefine/>
    <w:uiPriority w:val="39"/>
    <w:unhideWhenUsed/>
    <w:rsid w:val="00DF75A7"/>
    <w:pPr>
      <w:suppressAutoHyphens w:val="0"/>
      <w:spacing w:after="100" w:line="259" w:lineRule="auto"/>
      <w:jc w:val="both"/>
    </w:pPr>
    <w:rPr>
      <w:sz w:val="22"/>
      <w:lang w:val="en-US"/>
    </w:rPr>
  </w:style>
  <w:style w:type="paragraph" w:customStyle="1" w:styleId="SingleTxtGR">
    <w:name w:val="_ Single Txt_GR"/>
    <w:basedOn w:val="a"/>
    <w:rsid w:val="00DF75A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Char1">
    <w:name w:val="_ Single Txt_G Char1"/>
    <w:link w:val="SingleTxtG"/>
    <w:rsid w:val="00DF75A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onmaksajat.fi/" TargetMode="External"/><Relationship Id="rId13" Type="http://schemas.openxmlformats.org/officeDocument/2006/relationships/hyperlink" Target="https://www.kuntalaisaloite.fi/fi" TargetMode="External"/><Relationship Id="rId18" Type="http://schemas.openxmlformats.org/officeDocument/2006/relationships/hyperlink" Target="https://um.fi/kahdenvaliset-ja-monenvaliset-sopimukse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lausuntopalvelu.fi/FI" TargetMode="External"/><Relationship Id="rId7" Type="http://schemas.openxmlformats.org/officeDocument/2006/relationships/image" Target="media/image1.wmf"/><Relationship Id="rId12" Type="http://schemas.openxmlformats.org/officeDocument/2006/relationships/hyperlink" Target="https://www.kansalaisaloite.fi/fi" TargetMode="External"/><Relationship Id="rId17" Type="http://schemas.openxmlformats.org/officeDocument/2006/relationships/hyperlink" Target="file:///\\conf-share1\LS\RUS\COMMON\MSWDocs\_3Final\www.finlex.fi\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demokratia.fi/" TargetMode="External"/><Relationship Id="rId20" Type="http://schemas.openxmlformats.org/officeDocument/2006/relationships/hyperlink" Target="http://www.yhdenvertaisuus.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akantaa.fi/f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uortenideat.fi/fi/"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demokratia.fi/" TargetMode="External"/><Relationship Id="rId19" Type="http://schemas.openxmlformats.org/officeDocument/2006/relationships/hyperlink" Target="https://um.fi/kahdenvaliset-ja-monenvaliset-sopimukset" TargetMode="External"/><Relationship Id="rId4" Type="http://schemas.openxmlformats.org/officeDocument/2006/relationships/webSettings" Target="webSettings.xml"/><Relationship Id="rId9" Type="http://schemas.openxmlformats.org/officeDocument/2006/relationships/hyperlink" Target="https://www.kansalaisaloite.fi/fi" TargetMode="External"/><Relationship Id="rId14" Type="http://schemas.openxmlformats.org/officeDocument/2006/relationships/hyperlink" Target="https://www.lausuntopalvelu.fi/FI"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71</Pages>
  <Words>31669</Words>
  <Characters>210589</Characters>
  <Application>Microsoft Office Word</Application>
  <DocSecurity>0</DocSecurity>
  <Lines>4669</Lines>
  <Paragraphs>1760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HRI/CORE/FIN/2020</vt:lpstr>
      <vt:lpstr>A/</vt:lpstr>
      <vt:lpstr>A/</vt:lpstr>
    </vt:vector>
  </TitlesOfParts>
  <Company>DCM</Company>
  <LinksUpToDate>false</LinksUpToDate>
  <CharactersWithSpaces>240904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HRI/CORE/FIN/2020</dc:title>
  <dc:subject/>
  <dc:creator>Anna PETELINA</dc:creator>
  <cp:keywords/>
  <cp:lastModifiedBy>Ioulia Goussarova</cp:lastModifiedBy>
  <cp:revision>3</cp:revision>
  <cp:lastPrinted>2020-10-01T15:27:00Z</cp:lastPrinted>
  <dcterms:created xsi:type="dcterms:W3CDTF">2020-10-01T15:27:00Z</dcterms:created>
  <dcterms:modified xsi:type="dcterms:W3CDTF">2020-10-01T15:27:00Z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