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14:paraId="2DED4067" w14:textId="77777777" w:rsidTr="00A130A4">
        <w:trPr>
          <w:trHeight w:hRule="exact" w:val="851"/>
        </w:trPr>
        <w:tc>
          <w:tcPr>
            <w:tcW w:w="1274" w:type="dxa"/>
            <w:tcBorders>
              <w:bottom w:val="single" w:sz="4" w:space="0" w:color="auto"/>
            </w:tcBorders>
          </w:tcPr>
          <w:p w14:paraId="341D3649" w14:textId="77777777" w:rsidR="006B3E27" w:rsidRPr="00983870" w:rsidRDefault="006B3E27" w:rsidP="00A130A4">
            <w:pPr>
              <w:bidi w:val="0"/>
              <w:jc w:val="right"/>
            </w:pPr>
          </w:p>
        </w:tc>
        <w:tc>
          <w:tcPr>
            <w:tcW w:w="4537" w:type="dxa"/>
            <w:tcBorders>
              <w:bottom w:val="single" w:sz="4" w:space="0" w:color="auto"/>
            </w:tcBorders>
            <w:vAlign w:val="bottom"/>
          </w:tcPr>
          <w:p w14:paraId="5FB861FD" w14:textId="77777777"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14:paraId="3F940E16" w14:textId="77777777" w:rsidR="006B3E27" w:rsidRPr="00243C8A" w:rsidRDefault="007A46D1" w:rsidP="00A0227D">
            <w:pPr>
              <w:bidi w:val="0"/>
              <w:spacing w:after="20"/>
              <w:jc w:val="left"/>
              <w:rPr>
                <w:szCs w:val="20"/>
              </w:rPr>
            </w:pPr>
            <w:r w:rsidRPr="007A46D1">
              <w:rPr>
                <w:sz w:val="40"/>
                <w:szCs w:val="20"/>
              </w:rPr>
              <w:t>HRI</w:t>
            </w:r>
            <w:r>
              <w:rPr>
                <w:szCs w:val="20"/>
              </w:rPr>
              <w:t>/CORE/FIN/</w:t>
            </w:r>
            <w:r w:rsidRPr="005C19F0">
              <w:rPr>
                <w:szCs w:val="20"/>
              </w:rPr>
              <w:t>2020</w:t>
            </w:r>
          </w:p>
        </w:tc>
      </w:tr>
      <w:tr w:rsidR="006B3E27" w:rsidRPr="00DB7679" w14:paraId="329D3370" w14:textId="77777777" w:rsidTr="00A130A4">
        <w:trPr>
          <w:trHeight w:hRule="exact" w:val="2835"/>
        </w:trPr>
        <w:tc>
          <w:tcPr>
            <w:tcW w:w="1274" w:type="dxa"/>
            <w:tcBorders>
              <w:top w:val="single" w:sz="4" w:space="0" w:color="auto"/>
              <w:bottom w:val="single" w:sz="12" w:space="0" w:color="auto"/>
            </w:tcBorders>
          </w:tcPr>
          <w:p w14:paraId="01CC842A" w14:textId="77777777" w:rsidR="006B3E27" w:rsidRPr="00DB7679" w:rsidRDefault="0059622A" w:rsidP="00A130A4">
            <w:pPr>
              <w:jc w:val="center"/>
              <w:rPr>
                <w:rtl/>
              </w:rPr>
            </w:pPr>
            <w:r>
              <w:rPr>
                <w:noProof/>
              </w:rPr>
              <w:drawing>
                <wp:inline distT="0" distB="0" distL="0" distR="0" wp14:anchorId="3363F8F5" wp14:editId="1D52A8F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1DF70372" w14:textId="77777777"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14:paraId="284BEB22" w14:textId="77777777" w:rsidR="006B3E27" w:rsidRDefault="00A0227D" w:rsidP="00A0227D">
            <w:pPr>
              <w:bidi w:val="0"/>
              <w:spacing w:before="240"/>
              <w:jc w:val="left"/>
            </w:pPr>
            <w:r>
              <w:t>Distr.</w:t>
            </w:r>
            <w:r w:rsidRPr="00BB79C1">
              <w:t>:</w:t>
            </w:r>
            <w:r>
              <w:t xml:space="preserve"> General</w:t>
            </w:r>
          </w:p>
          <w:p w14:paraId="0388431C" w14:textId="4C7C7906" w:rsidR="00A0227D" w:rsidRDefault="00735692" w:rsidP="00A0227D">
            <w:pPr>
              <w:bidi w:val="0"/>
              <w:jc w:val="left"/>
            </w:pPr>
            <w:r>
              <w:t>4 August 2020</w:t>
            </w:r>
          </w:p>
          <w:p w14:paraId="1D832ECA" w14:textId="77777777" w:rsidR="00A0227D" w:rsidRDefault="00A0227D" w:rsidP="00A0227D">
            <w:pPr>
              <w:bidi w:val="0"/>
              <w:jc w:val="left"/>
            </w:pPr>
            <w:r>
              <w:t>Arabic</w:t>
            </w:r>
          </w:p>
          <w:p w14:paraId="4CA6B5E7" w14:textId="77777777" w:rsidR="00A0227D" w:rsidRPr="008B4BC6" w:rsidRDefault="00A0227D" w:rsidP="00A0227D">
            <w:pPr>
              <w:bidi w:val="0"/>
              <w:jc w:val="left"/>
            </w:pPr>
            <w:r>
              <w:t>Original</w:t>
            </w:r>
            <w:r w:rsidRPr="00BB79C1">
              <w:t>:</w:t>
            </w:r>
            <w:r>
              <w:t xml:space="preserve"> English</w:t>
            </w:r>
          </w:p>
        </w:tc>
      </w:tr>
    </w:tbl>
    <w:p w14:paraId="57292E81" w14:textId="77777777" w:rsidR="00A0227D" w:rsidRPr="009B1F51" w:rsidRDefault="00A0227D" w:rsidP="00A0227D">
      <w:pPr>
        <w:pStyle w:val="HMGA"/>
        <w:rPr>
          <w:szCs w:val="20"/>
          <w:lang w:val="ar-SA" w:eastAsia="zh-TW" w:bidi="en-GB"/>
        </w:rPr>
      </w:pPr>
      <w:r>
        <w:rPr>
          <w:rtl/>
        </w:rPr>
        <w:tab/>
      </w:r>
      <w:r>
        <w:rPr>
          <w:rtl/>
        </w:rPr>
        <w:tab/>
        <w:t>وثيقة أساسية موحَّدة تشكل جزءاً من تقارير الدول الأطراف</w:t>
      </w:r>
    </w:p>
    <w:p w14:paraId="61E9E11B" w14:textId="03AAB393" w:rsidR="00A0227D" w:rsidRPr="008F5541" w:rsidRDefault="00A0227D" w:rsidP="00A0227D">
      <w:pPr>
        <w:pStyle w:val="HMGA"/>
        <w:rPr>
          <w:szCs w:val="20"/>
          <w:lang w:eastAsia="zh-TW" w:bidi="en-GB"/>
        </w:rPr>
      </w:pPr>
      <w:r>
        <w:rPr>
          <w:rtl/>
        </w:rPr>
        <w:tab/>
      </w:r>
      <w:r>
        <w:rPr>
          <w:rtl/>
        </w:rPr>
        <w:tab/>
        <w:t>فنلندا</w:t>
      </w:r>
      <w:r w:rsidR="008F5541" w:rsidRPr="008F5541">
        <w:rPr>
          <w:rStyle w:val="FootnoteReference"/>
          <w:sz w:val="20"/>
          <w:vertAlign w:val="baseline"/>
          <w:rtl/>
        </w:rPr>
        <w:footnoteReference w:customMarkFollows="1" w:id="1"/>
        <w:t>*</w:t>
      </w:r>
      <w:r w:rsidR="008F5541">
        <w:rPr>
          <w:rFonts w:hint="cs"/>
          <w:rtl/>
        </w:rPr>
        <w:t xml:space="preserve"> </w:t>
      </w:r>
      <w:r w:rsidR="008F5541" w:rsidRPr="008F5541">
        <w:rPr>
          <w:rStyle w:val="FootnoteReference"/>
          <w:sz w:val="20"/>
          <w:vertAlign w:val="baseline"/>
          <w:rtl/>
        </w:rPr>
        <w:footnoteReference w:customMarkFollows="1" w:id="2"/>
        <w:t>**</w:t>
      </w:r>
    </w:p>
    <w:p w14:paraId="646DA545" w14:textId="344841BE" w:rsidR="00A0227D" w:rsidRPr="00517E37" w:rsidRDefault="00A0227D" w:rsidP="00517E37">
      <w:pPr>
        <w:pStyle w:val="SingleTxtGA"/>
        <w:jc w:val="right"/>
        <w:rPr>
          <w:szCs w:val="20"/>
          <w:lang w:eastAsia="zh-TW" w:bidi="en-GB"/>
        </w:rPr>
      </w:pPr>
      <w:r w:rsidRPr="00517E37">
        <w:rPr>
          <w:rtl/>
        </w:rPr>
        <w:t>[</w:t>
      </w:r>
      <w:r>
        <w:rPr>
          <w:rtl/>
        </w:rPr>
        <w:t>تاريخ الاستلام</w:t>
      </w:r>
      <w:r w:rsidRPr="00BB79C1">
        <w:rPr>
          <w:rtl/>
        </w:rPr>
        <w:t>:</w:t>
      </w:r>
      <w:r>
        <w:rPr>
          <w:rtl/>
        </w:rPr>
        <w:t xml:space="preserve"> </w:t>
      </w:r>
      <w:r w:rsidRPr="005C19F0">
        <w:rPr>
          <w:szCs w:val="20"/>
          <w:rtl/>
        </w:rPr>
        <w:t>17</w:t>
      </w:r>
      <w:r>
        <w:rPr>
          <w:rtl/>
        </w:rPr>
        <w:t xml:space="preserve"> آذار/مارس </w:t>
      </w:r>
      <w:r w:rsidRPr="005C19F0">
        <w:rPr>
          <w:szCs w:val="20"/>
          <w:rtl/>
        </w:rPr>
        <w:t>2020</w:t>
      </w:r>
      <w:r w:rsidR="00517E37" w:rsidRPr="00517E37">
        <w:rPr>
          <w:rFonts w:hint="cs"/>
          <w:rtl/>
        </w:rPr>
        <w:t>]</w:t>
      </w:r>
    </w:p>
    <w:p w14:paraId="4C784962" w14:textId="3C43A1FB" w:rsidR="00A0227D" w:rsidRPr="009B1F51" w:rsidRDefault="00A0227D" w:rsidP="008F5541">
      <w:pPr>
        <w:pStyle w:val="HChGA"/>
        <w:spacing w:before="120"/>
        <w:rPr>
          <w:szCs w:val="20"/>
          <w:lang w:val="ar-SA" w:eastAsia="zh-TW" w:bidi="en-GB"/>
        </w:rPr>
      </w:pPr>
      <w:bookmarkStart w:id="0" w:name="_Toc32364267"/>
      <w:r>
        <w:br w:type="page"/>
      </w:r>
      <w:r>
        <w:rPr>
          <w:rtl/>
        </w:rPr>
        <w:lastRenderedPageBreak/>
        <w:tab/>
        <w:t>أولا</w:t>
      </w:r>
      <w:r>
        <w:rPr>
          <w:rFonts w:hint="cs"/>
          <w:rtl/>
        </w:rPr>
        <w:t>ً</w:t>
      </w:r>
      <w:r w:rsidRPr="00EF3655">
        <w:rPr>
          <w:rtl/>
        </w:rPr>
        <w:t>-</w:t>
      </w:r>
      <w:r>
        <w:rPr>
          <w:rtl/>
        </w:rPr>
        <w:tab/>
        <w:t>معلومات عامة عن فنلندا</w:t>
      </w:r>
    </w:p>
    <w:p w14:paraId="3DA40FF1" w14:textId="57906106" w:rsidR="00A0227D" w:rsidRPr="009B1F51" w:rsidRDefault="00A0227D" w:rsidP="00A0227D">
      <w:pPr>
        <w:pStyle w:val="H1GA"/>
        <w:rPr>
          <w:szCs w:val="20"/>
          <w:lang w:val="ar-SA" w:eastAsia="zh-TW" w:bidi="en-GB"/>
        </w:rPr>
      </w:pPr>
      <w:r>
        <w:rPr>
          <w:rtl/>
        </w:rPr>
        <w:tab/>
        <w:t>ألف</w:t>
      </w:r>
      <w:r w:rsidRPr="00EF3655">
        <w:rPr>
          <w:rtl/>
        </w:rPr>
        <w:t>-</w:t>
      </w:r>
      <w:r>
        <w:rPr>
          <w:rtl/>
        </w:rPr>
        <w:tab/>
        <w:t>السكان، والاقتصاد، والصحة، والضمان الاجتماعي، والتعليم والرعاية في مرحلة الطفولة المبكرة، والتعليم والتدريب، والعمالة</w:t>
      </w:r>
      <w:bookmarkEnd w:id="0"/>
    </w:p>
    <w:p w14:paraId="5A045423" w14:textId="3229279C" w:rsidR="00A0227D" w:rsidRPr="009B1F51" w:rsidRDefault="00A0227D" w:rsidP="00A0227D">
      <w:pPr>
        <w:pStyle w:val="H23GA"/>
        <w:rPr>
          <w:szCs w:val="20"/>
          <w:lang w:val="ar-SA" w:eastAsia="zh-TW" w:bidi="en-GB"/>
        </w:rPr>
      </w:pPr>
      <w:bookmarkStart w:id="1" w:name="_Toc32364268"/>
      <w:r>
        <w:rPr>
          <w:rtl/>
        </w:rPr>
        <w:tab/>
      </w:r>
      <w:r w:rsidRPr="00794E95">
        <w:rPr>
          <w:rtl/>
        </w:rPr>
        <w:t>(</w:t>
      </w:r>
      <w:r>
        <w:rPr>
          <w:rtl/>
        </w:rPr>
        <w:t>أ</w:t>
      </w:r>
      <w:r w:rsidRPr="00794E95">
        <w:rPr>
          <w:rtl/>
        </w:rPr>
        <w:t>)</w:t>
      </w:r>
      <w:r>
        <w:rPr>
          <w:rtl/>
        </w:rPr>
        <w:tab/>
        <w:t>السكان</w:t>
      </w:r>
      <w:bookmarkEnd w:id="1"/>
    </w:p>
    <w:p w14:paraId="731C9668" w14:textId="77777777" w:rsidR="00A0227D" w:rsidRPr="009B1F51" w:rsidRDefault="00A0227D" w:rsidP="00A0227D">
      <w:pPr>
        <w:pStyle w:val="H23GA"/>
        <w:rPr>
          <w:szCs w:val="20"/>
          <w:lang w:val="ar-SA" w:eastAsia="zh-TW" w:bidi="en-GB"/>
        </w:rPr>
      </w:pPr>
      <w:bookmarkStart w:id="2" w:name="_Toc32364269"/>
      <w:r>
        <w:rPr>
          <w:rtl/>
        </w:rPr>
        <w:tab/>
      </w:r>
      <w:r>
        <w:rPr>
          <w:rtl/>
        </w:rPr>
        <w:tab/>
        <w:t>عدد السكان</w:t>
      </w:r>
      <w:bookmarkEnd w:id="2"/>
    </w:p>
    <w:p w14:paraId="2AC30FDD" w14:textId="38F6AF5C" w:rsidR="00A0227D" w:rsidRPr="009B1F51" w:rsidRDefault="00A0227D" w:rsidP="00A0227D">
      <w:pPr>
        <w:pStyle w:val="SingleTxtGA"/>
        <w:rPr>
          <w:szCs w:val="20"/>
          <w:lang w:val="ar-SA" w:eastAsia="zh-TW" w:bidi="en-GB"/>
        </w:rPr>
      </w:pPr>
      <w:r w:rsidRPr="005C19F0">
        <w:rPr>
          <w:szCs w:val="20"/>
          <w:rtl/>
        </w:rPr>
        <w:t>1</w:t>
      </w:r>
      <w:r w:rsidRPr="00EF3655">
        <w:rPr>
          <w:rtl/>
        </w:rPr>
        <w:t>-</w:t>
      </w:r>
      <w:r>
        <w:rPr>
          <w:rtl/>
        </w:rPr>
        <w:tab/>
        <w:t xml:space="preserve">فنلندا هي سابع أكبر بلد في أوروبا من حيث المساحة </w:t>
      </w:r>
      <w:r w:rsidRPr="00794E95">
        <w:rPr>
          <w:rtl/>
        </w:rPr>
        <w:t>(</w:t>
      </w:r>
      <w:r w:rsidR="00FA3B93">
        <w:rPr>
          <w:rFonts w:hint="cs"/>
          <w:szCs w:val="20"/>
          <w:rtl/>
        </w:rPr>
        <w:t>424 338</w:t>
      </w:r>
      <w:r>
        <w:rPr>
          <w:rtl/>
        </w:rPr>
        <w:t xml:space="preserve"> كم</w:t>
      </w:r>
      <w:r w:rsidRPr="001E7B3A">
        <w:rPr>
          <w:szCs w:val="20"/>
          <w:vertAlign w:val="superscript"/>
          <w:rtl/>
        </w:rPr>
        <w:t>2</w:t>
      </w:r>
      <w:r w:rsidRPr="00794E95">
        <w:rPr>
          <w:rtl/>
        </w:rPr>
        <w:t>)</w:t>
      </w:r>
      <w:r>
        <w:rPr>
          <w:rtl/>
        </w:rPr>
        <w:t xml:space="preserve">. ورغم حجم فنلندا، فإنها من أقل بلدان أوروبا في عدد السكان </w:t>
      </w:r>
      <w:r w:rsidRPr="00794E95">
        <w:rPr>
          <w:rtl/>
        </w:rPr>
        <w:t>(</w:t>
      </w:r>
      <w:r>
        <w:rPr>
          <w:rtl/>
        </w:rPr>
        <w:t xml:space="preserve">حوالي </w:t>
      </w:r>
      <w:r w:rsidRPr="005C19F0">
        <w:rPr>
          <w:szCs w:val="20"/>
          <w:rtl/>
        </w:rPr>
        <w:t>5</w:t>
      </w:r>
      <w:r w:rsidR="00F24ACC">
        <w:rPr>
          <w:rFonts w:ascii="Traditional Arabic"/>
          <w:szCs w:val="20"/>
          <w:rtl/>
        </w:rPr>
        <w:t>,</w:t>
      </w:r>
      <w:r w:rsidRPr="005C19F0">
        <w:rPr>
          <w:szCs w:val="20"/>
          <w:rtl/>
        </w:rPr>
        <w:t>5</w:t>
      </w:r>
      <w:r>
        <w:rPr>
          <w:rtl/>
        </w:rPr>
        <w:t xml:space="preserve"> مليون نسمة</w:t>
      </w:r>
      <w:r w:rsidRPr="00794E95">
        <w:rPr>
          <w:rtl/>
        </w:rPr>
        <w:t>)</w:t>
      </w:r>
      <w:r>
        <w:rPr>
          <w:rtl/>
        </w:rPr>
        <w:t xml:space="preserve">. ويزيد عدد النساء قليلاً على عدد الرجال. وفي بداية عام </w:t>
      </w:r>
      <w:r w:rsidRPr="005C19F0">
        <w:rPr>
          <w:szCs w:val="20"/>
          <w:rtl/>
        </w:rPr>
        <w:t>2018</w:t>
      </w:r>
      <w:r>
        <w:rPr>
          <w:rtl/>
        </w:rPr>
        <w:t xml:space="preserve">، كانت الكثافة السكانية في فنلندا </w:t>
      </w:r>
      <w:r w:rsidRPr="005C19F0">
        <w:rPr>
          <w:szCs w:val="20"/>
          <w:rtl/>
        </w:rPr>
        <w:t>18</w:t>
      </w:r>
      <w:r>
        <w:rPr>
          <w:rtl/>
        </w:rPr>
        <w:t xml:space="preserve"> شخصاً لكل كيلومتر مربع.</w:t>
      </w:r>
    </w:p>
    <w:p w14:paraId="18446356" w14:textId="54684403" w:rsidR="00A0227D" w:rsidRPr="009B1F51" w:rsidRDefault="00A0227D" w:rsidP="00A0227D">
      <w:pPr>
        <w:pStyle w:val="SingleTxtGA"/>
        <w:rPr>
          <w:szCs w:val="20"/>
          <w:lang w:val="ar-SA" w:eastAsia="zh-TW" w:bidi="en-GB"/>
        </w:rPr>
      </w:pPr>
      <w:r w:rsidRPr="005C19F0">
        <w:rPr>
          <w:szCs w:val="20"/>
          <w:rtl/>
        </w:rPr>
        <w:t>2</w:t>
      </w:r>
      <w:r w:rsidRPr="00EF3655">
        <w:rPr>
          <w:rtl/>
        </w:rPr>
        <w:t>-</w:t>
      </w:r>
      <w:r>
        <w:rPr>
          <w:rtl/>
        </w:rPr>
        <w:tab/>
        <w:t xml:space="preserve">وتجري فنلندا إحصاءات سكانية منذ عام </w:t>
      </w:r>
      <w:r w:rsidRPr="005C19F0">
        <w:rPr>
          <w:szCs w:val="20"/>
          <w:rtl/>
        </w:rPr>
        <w:t>1749</w:t>
      </w:r>
      <w:r>
        <w:rPr>
          <w:rtl/>
        </w:rPr>
        <w:t xml:space="preserve">، عندما كان عدد سكان البلد </w:t>
      </w:r>
      <w:r w:rsidRPr="005C19F0">
        <w:rPr>
          <w:szCs w:val="20"/>
          <w:rtl/>
        </w:rPr>
        <w:t>400</w:t>
      </w:r>
      <w:r>
        <w:rPr>
          <w:rFonts w:ascii="Traditional Arabic"/>
          <w:szCs w:val="20"/>
          <w:rtl/>
        </w:rPr>
        <w:t xml:space="preserve"> </w:t>
      </w:r>
      <w:r w:rsidRPr="005C19F0">
        <w:rPr>
          <w:szCs w:val="20"/>
          <w:rtl/>
        </w:rPr>
        <w:t>410</w:t>
      </w:r>
      <w:r>
        <w:rPr>
          <w:rtl/>
        </w:rPr>
        <w:t xml:space="preserve"> نسمة. ولكن ازداد عدد السكان الفنلنديين باطراد منذ ذلك الحين في بضع سنوات استثنائية. وحدث </w:t>
      </w:r>
      <w:r w:rsidRPr="005C19F0">
        <w:rPr>
          <w:spacing w:val="-4"/>
          <w:rtl/>
        </w:rPr>
        <w:t xml:space="preserve">أشد انخفاض في عدد السكان في عام المجاعة، وهو </w:t>
      </w:r>
      <w:r w:rsidR="001E7B3A">
        <w:rPr>
          <w:rFonts w:hint="cs"/>
          <w:spacing w:val="-4"/>
          <w:szCs w:val="20"/>
          <w:rtl/>
        </w:rPr>
        <w:t>868 1</w:t>
      </w:r>
      <w:r w:rsidRPr="005C19F0">
        <w:rPr>
          <w:spacing w:val="-4"/>
          <w:rtl/>
        </w:rPr>
        <w:t xml:space="preserve">، حيث انخفض عدد السكان بأكثر من </w:t>
      </w:r>
      <w:r w:rsidRPr="005C19F0">
        <w:rPr>
          <w:spacing w:val="-4"/>
          <w:szCs w:val="20"/>
          <w:rtl/>
        </w:rPr>
        <w:t>000</w:t>
      </w:r>
      <w:r w:rsidRPr="005C19F0">
        <w:rPr>
          <w:rFonts w:ascii="Traditional Arabic"/>
          <w:spacing w:val="-4"/>
          <w:szCs w:val="20"/>
          <w:rtl/>
        </w:rPr>
        <w:t xml:space="preserve"> </w:t>
      </w:r>
      <w:r w:rsidRPr="005C19F0">
        <w:rPr>
          <w:spacing w:val="-4"/>
          <w:szCs w:val="20"/>
          <w:rtl/>
        </w:rPr>
        <w:t>96</w:t>
      </w:r>
      <w:r>
        <w:rPr>
          <w:rtl/>
        </w:rPr>
        <w:t xml:space="preserve"> نسمة. أما أحدث عامين شهدا انخفاض عدد السكان، بسبب الهجرة الجماعية من فنلندا إلى السويد، فهما </w:t>
      </w:r>
      <w:r w:rsidRPr="005C19F0">
        <w:rPr>
          <w:szCs w:val="20"/>
          <w:rtl/>
        </w:rPr>
        <w:t>1969</w:t>
      </w:r>
      <w:r>
        <w:rPr>
          <w:rtl/>
        </w:rPr>
        <w:t xml:space="preserve"> و</w:t>
      </w:r>
      <w:r w:rsidRPr="005C19F0">
        <w:rPr>
          <w:szCs w:val="20"/>
          <w:rtl/>
        </w:rPr>
        <w:t>1970</w:t>
      </w:r>
      <w:r w:rsidRPr="001E7B3A">
        <w:rPr>
          <w:rtl/>
        </w:rPr>
        <w:t>.</w:t>
      </w:r>
      <w:r>
        <w:rPr>
          <w:rtl/>
        </w:rPr>
        <w:t xml:space="preserve"> وفي نهاية عام </w:t>
      </w:r>
      <w:r w:rsidRPr="005C19F0">
        <w:rPr>
          <w:szCs w:val="20"/>
          <w:rtl/>
        </w:rPr>
        <w:t>2018</w:t>
      </w:r>
      <w:r>
        <w:rPr>
          <w:rtl/>
        </w:rPr>
        <w:t xml:space="preserve">، كان عدد سكان فنلندا </w:t>
      </w:r>
      <w:r w:rsidRPr="005C19F0">
        <w:rPr>
          <w:szCs w:val="20"/>
        </w:rPr>
        <w:t>5</w:t>
      </w:r>
      <w:r w:rsidR="00F24ACC">
        <w:rPr>
          <w:rFonts w:ascii="Traditional Arabic"/>
          <w:szCs w:val="20"/>
        </w:rPr>
        <w:t> </w:t>
      </w:r>
      <w:r w:rsidRPr="005C19F0">
        <w:rPr>
          <w:szCs w:val="20"/>
        </w:rPr>
        <w:t>517</w:t>
      </w:r>
      <w:r w:rsidR="00F24ACC">
        <w:rPr>
          <w:rFonts w:ascii="Traditional Arabic"/>
          <w:szCs w:val="20"/>
        </w:rPr>
        <w:t> </w:t>
      </w:r>
      <w:r w:rsidRPr="005C19F0">
        <w:rPr>
          <w:szCs w:val="20"/>
        </w:rPr>
        <w:t>919</w:t>
      </w:r>
      <w:r>
        <w:rPr>
          <w:rtl/>
        </w:rPr>
        <w:t xml:space="preserve"> نسمة.</w:t>
      </w:r>
    </w:p>
    <w:p w14:paraId="12A389C0" w14:textId="239EE957" w:rsidR="00A0227D" w:rsidRPr="0084652C" w:rsidRDefault="00A0227D" w:rsidP="00A0227D">
      <w:pPr>
        <w:pStyle w:val="SingleTxtGA"/>
        <w:rPr>
          <w:szCs w:val="20"/>
          <w:lang w:val="ar-SA" w:eastAsia="zh-TW" w:bidi="en-GB"/>
        </w:rPr>
      </w:pPr>
      <w:r w:rsidRPr="005C19F0">
        <w:rPr>
          <w:szCs w:val="20"/>
          <w:rtl/>
        </w:rPr>
        <w:t>3</w:t>
      </w:r>
      <w:r w:rsidRPr="00EF3655">
        <w:rPr>
          <w:rtl/>
        </w:rPr>
        <w:t>-</w:t>
      </w:r>
      <w:r>
        <w:rPr>
          <w:rtl/>
        </w:rPr>
        <w:tab/>
        <w:t xml:space="preserve">وفي السنوات الأخيرة، ازداد عدد السكان الفنلنديين بمعدل سنوي بلغ حوالي </w:t>
      </w:r>
      <w:r w:rsidRPr="005C19F0">
        <w:rPr>
          <w:szCs w:val="20"/>
          <w:rtl/>
        </w:rPr>
        <w:t>0</w:t>
      </w:r>
      <w:r w:rsidR="00F24ACC">
        <w:rPr>
          <w:rFonts w:ascii="Traditional Arabic"/>
          <w:szCs w:val="20"/>
          <w:rtl/>
        </w:rPr>
        <w:t>,</w:t>
      </w:r>
      <w:r w:rsidRPr="005C19F0">
        <w:rPr>
          <w:szCs w:val="20"/>
          <w:rtl/>
        </w:rPr>
        <w:t>5</w:t>
      </w:r>
      <w:r>
        <w:rPr>
          <w:rtl/>
        </w:rPr>
        <w:t xml:space="preserve"> في المائة. وباتت الهجرة الصافية الأجنبية تفسِّر زيادة نسبة النمو السكاني في القرن الحادي والعشرين، وتُعزى الزيادة في عدد سكان فنلندا منذ عام </w:t>
      </w:r>
      <w:r w:rsidRPr="005C19F0">
        <w:rPr>
          <w:szCs w:val="20"/>
          <w:rtl/>
        </w:rPr>
        <w:t>2007</w:t>
      </w:r>
      <w:r>
        <w:rPr>
          <w:rtl/>
        </w:rPr>
        <w:t xml:space="preserve"> إلى الهجرة الصافية أكثر منها إلى الزيادة في عدد المواليد.</w:t>
      </w:r>
    </w:p>
    <w:p w14:paraId="26E8445F" w14:textId="66C00B9C" w:rsidR="00A0227D" w:rsidRPr="009B1F51" w:rsidRDefault="00A0227D" w:rsidP="00A0227D">
      <w:pPr>
        <w:pStyle w:val="SingleTxtGA"/>
        <w:rPr>
          <w:szCs w:val="20"/>
          <w:lang w:val="ar-SA" w:eastAsia="zh-TW" w:bidi="en-GB"/>
        </w:rPr>
      </w:pPr>
      <w:r w:rsidRPr="005C19F0">
        <w:rPr>
          <w:szCs w:val="20"/>
          <w:rtl/>
        </w:rPr>
        <w:t>4</w:t>
      </w:r>
      <w:r w:rsidRPr="00EF3655">
        <w:rPr>
          <w:rtl/>
        </w:rPr>
        <w:t>-</w:t>
      </w:r>
      <w:r>
        <w:rPr>
          <w:rtl/>
        </w:rPr>
        <w:tab/>
        <w:t xml:space="preserve">وسيكون عام </w:t>
      </w:r>
      <w:r w:rsidRPr="005C19F0">
        <w:rPr>
          <w:szCs w:val="20"/>
          <w:rtl/>
        </w:rPr>
        <w:t>2018</w:t>
      </w:r>
      <w:r>
        <w:rPr>
          <w:rtl/>
        </w:rPr>
        <w:t xml:space="preserve"> هو الثالث على التوالي الذي تشهد فيه فنلندا زيادة معدل الوفيات على </w:t>
      </w:r>
      <w:r w:rsidRPr="00F24ACC">
        <w:rPr>
          <w:spacing w:val="-4"/>
          <w:rtl/>
        </w:rPr>
        <w:t xml:space="preserve">معدل المواليد. ومن المتوقع أن يستمر عدد المواليد في الانخفاض وأن يستمر عدد الوفيات في الارتفاع على الرغم من زيادة الأعمار. ومن المتوقع أن يؤدي صافي الهجرة إلى إدامة النمو السكاني حتى عام </w:t>
      </w:r>
      <w:r w:rsidRPr="00F24ACC">
        <w:rPr>
          <w:spacing w:val="-4"/>
          <w:szCs w:val="20"/>
          <w:rtl/>
        </w:rPr>
        <w:t>2035</w:t>
      </w:r>
      <w:r w:rsidRPr="00F24ACC">
        <w:rPr>
          <w:spacing w:val="-4"/>
          <w:rtl/>
        </w:rPr>
        <w:t>،</w:t>
      </w:r>
      <w:r>
        <w:rPr>
          <w:rtl/>
        </w:rPr>
        <w:t xml:space="preserve"> عندما يبلغ عدد سكان فنلندا </w:t>
      </w:r>
      <w:r w:rsidRPr="005C19F0">
        <w:rPr>
          <w:szCs w:val="20"/>
          <w:rtl/>
        </w:rPr>
        <w:t>5</w:t>
      </w:r>
      <w:r w:rsidR="00F24ACC">
        <w:rPr>
          <w:rFonts w:ascii="Traditional Arabic"/>
          <w:szCs w:val="20"/>
          <w:rtl/>
        </w:rPr>
        <w:t>,</w:t>
      </w:r>
      <w:r w:rsidRPr="005C19F0">
        <w:rPr>
          <w:szCs w:val="20"/>
          <w:rtl/>
        </w:rPr>
        <w:t>62</w:t>
      </w:r>
      <w:r>
        <w:rPr>
          <w:rtl/>
        </w:rPr>
        <w:t xml:space="preserve"> ملايين نسمة. ومن المتوقع بعد ذلك أن يبدأ تراجع عدد السكان إلى ما دون العدد الحالي، بحلول خمسينات القرن الحادي والعشرين.</w:t>
      </w:r>
    </w:p>
    <w:p w14:paraId="3793BE23" w14:textId="1B7B5D3B" w:rsidR="00A0227D" w:rsidRPr="009B1F51" w:rsidRDefault="00A0227D" w:rsidP="00A0227D">
      <w:pPr>
        <w:pStyle w:val="SingleTxtGA"/>
        <w:rPr>
          <w:szCs w:val="20"/>
          <w:lang w:val="ar-SA" w:eastAsia="zh-TW" w:bidi="en-GB"/>
        </w:rPr>
      </w:pPr>
      <w:r w:rsidRPr="005C19F0">
        <w:rPr>
          <w:szCs w:val="20"/>
          <w:rtl/>
        </w:rPr>
        <w:t>5</w:t>
      </w:r>
      <w:r w:rsidRPr="00EF3655">
        <w:rPr>
          <w:rtl/>
        </w:rPr>
        <w:t>-</w:t>
      </w:r>
      <w:r>
        <w:rPr>
          <w:rtl/>
        </w:rPr>
        <w:tab/>
      </w:r>
      <w:r>
        <w:rPr>
          <w:rtl/>
          <w:lang w:val="fr-CH"/>
        </w:rPr>
        <w:t>وتتواصل</w:t>
      </w:r>
      <w:r>
        <w:rPr>
          <w:rtl/>
        </w:rPr>
        <w:t xml:space="preserve"> الهجرة الداخلية من المناطق الريفية إلى الحضرية بخطى متسارعة، ويتزايد تركز سكان فنلندا في أكبر المناطق الحضرية. وتوجد في فنلندا تسع مدن يزيد عدد سكان كل منها على </w:t>
      </w:r>
      <w:r w:rsidR="00F24ACC">
        <w:rPr>
          <w:rFonts w:hint="cs"/>
          <w:szCs w:val="20"/>
          <w:rtl/>
        </w:rPr>
        <w:t>000 100</w:t>
      </w:r>
      <w:r>
        <w:rPr>
          <w:rtl/>
        </w:rPr>
        <w:t xml:space="preserve"> نسمة، وهي موطن لنحو </w:t>
      </w:r>
      <w:r w:rsidRPr="005C19F0">
        <w:rPr>
          <w:szCs w:val="20"/>
        </w:rPr>
        <w:t>40</w:t>
      </w:r>
      <w:r w:rsidR="002B5B92">
        <w:rPr>
          <w:rFonts w:ascii="Traditional Arabic" w:hAnsi="Traditional Arabic" w:hint="cs"/>
          <w:sz w:val="28"/>
          <w:rtl/>
        </w:rPr>
        <w:t xml:space="preserve"> في المائة</w:t>
      </w:r>
      <w:r>
        <w:rPr>
          <w:rtl/>
        </w:rPr>
        <w:t xml:space="preserve"> من سكان البلد.</w:t>
      </w:r>
    </w:p>
    <w:p w14:paraId="39F22573" w14:textId="6B1A2A5E" w:rsidR="00A0227D" w:rsidRPr="00D62DE9" w:rsidRDefault="00A0227D" w:rsidP="00A0227D">
      <w:pPr>
        <w:pStyle w:val="SingleTxtGA"/>
        <w:rPr>
          <w:szCs w:val="20"/>
          <w:lang w:eastAsia="zh-TW" w:bidi="en-GB"/>
        </w:rPr>
      </w:pPr>
      <w:r w:rsidRPr="005C19F0">
        <w:rPr>
          <w:szCs w:val="20"/>
          <w:rtl/>
        </w:rPr>
        <w:t>6</w:t>
      </w:r>
      <w:r w:rsidRPr="00EF3655">
        <w:rPr>
          <w:rtl/>
        </w:rPr>
        <w:t>-</w:t>
      </w:r>
      <w:r>
        <w:rPr>
          <w:rtl/>
        </w:rPr>
        <w:tab/>
        <w:t xml:space="preserve">وبلغت نسبة الإعالة السكانية في فنلندا </w:t>
      </w:r>
      <w:r w:rsidRPr="005C19F0">
        <w:rPr>
          <w:szCs w:val="20"/>
          <w:rtl/>
        </w:rPr>
        <w:t>60</w:t>
      </w:r>
      <w:r w:rsidR="00F24ACC">
        <w:rPr>
          <w:rFonts w:ascii="Traditional Arabic"/>
          <w:szCs w:val="20"/>
          <w:rtl/>
        </w:rPr>
        <w:t>,</w:t>
      </w:r>
      <w:r w:rsidRPr="005C19F0">
        <w:rPr>
          <w:szCs w:val="20"/>
          <w:rtl/>
        </w:rPr>
        <w:t>8</w:t>
      </w:r>
      <w:r>
        <w:rPr>
          <w:rtl/>
        </w:rPr>
        <w:t xml:space="preserve"> في نهاية عام </w:t>
      </w:r>
      <w:r w:rsidRPr="005C19F0">
        <w:rPr>
          <w:szCs w:val="20"/>
          <w:rtl/>
        </w:rPr>
        <w:t>2018</w:t>
      </w:r>
      <w:r w:rsidRPr="00F24ACC">
        <w:rPr>
          <w:rtl/>
        </w:rPr>
        <w:t>.</w:t>
      </w:r>
      <w:r>
        <w:rPr>
          <w:rtl/>
        </w:rPr>
        <w:t xml:space="preserve"> وتشير هذه النسبة إلى عدد الأشخاص الذين تتراوح أعمارهم بين </w:t>
      </w:r>
      <w:r w:rsidRPr="005C19F0">
        <w:rPr>
          <w:szCs w:val="20"/>
          <w:rtl/>
        </w:rPr>
        <w:t>15</w:t>
      </w:r>
      <w:r>
        <w:rPr>
          <w:rtl/>
        </w:rPr>
        <w:t xml:space="preserve"> عاماً أو أقل و</w:t>
      </w:r>
      <w:r w:rsidRPr="005C19F0">
        <w:rPr>
          <w:szCs w:val="20"/>
          <w:rtl/>
        </w:rPr>
        <w:t>65</w:t>
      </w:r>
      <w:r>
        <w:rPr>
          <w:rtl/>
        </w:rPr>
        <w:t xml:space="preserve"> عاماً أو أكثر لكل </w:t>
      </w:r>
      <w:r w:rsidRPr="005C19F0">
        <w:rPr>
          <w:szCs w:val="20"/>
          <w:rtl/>
        </w:rPr>
        <w:t>100</w:t>
      </w:r>
      <w:r>
        <w:rPr>
          <w:rtl/>
        </w:rPr>
        <w:t xml:space="preserve"> شخص في سن العمل </w:t>
      </w:r>
      <w:r w:rsidRPr="00794E95">
        <w:rPr>
          <w:rtl/>
        </w:rPr>
        <w:t>(</w:t>
      </w:r>
      <w:r w:rsidRPr="005C19F0">
        <w:rPr>
          <w:szCs w:val="20"/>
          <w:rtl/>
        </w:rPr>
        <w:t>15</w:t>
      </w:r>
      <w:r w:rsidRPr="00EF3655">
        <w:rPr>
          <w:rtl/>
        </w:rPr>
        <w:t>-</w:t>
      </w:r>
      <w:r w:rsidRPr="005C19F0">
        <w:rPr>
          <w:szCs w:val="20"/>
          <w:rtl/>
        </w:rPr>
        <w:t>64</w:t>
      </w:r>
      <w:r>
        <w:rPr>
          <w:rtl/>
        </w:rPr>
        <w:t xml:space="preserve"> عاماً</w:t>
      </w:r>
      <w:r w:rsidRPr="00794E95">
        <w:rPr>
          <w:rtl/>
        </w:rPr>
        <w:t>)</w:t>
      </w:r>
      <w:r>
        <w:rPr>
          <w:rtl/>
        </w:rPr>
        <w:t>.</w:t>
      </w:r>
    </w:p>
    <w:p w14:paraId="1993735D" w14:textId="520AF3EE" w:rsidR="00A0227D" w:rsidRPr="009B1F51" w:rsidRDefault="00A0227D" w:rsidP="00A0227D">
      <w:pPr>
        <w:pStyle w:val="SingleTxtGA"/>
        <w:rPr>
          <w:szCs w:val="20"/>
          <w:lang w:val="ar-SA" w:eastAsia="zh-TW" w:bidi="en-GB"/>
        </w:rPr>
      </w:pPr>
      <w:r w:rsidRPr="005C19F0">
        <w:rPr>
          <w:szCs w:val="20"/>
          <w:rtl/>
        </w:rPr>
        <w:t>7</w:t>
      </w:r>
      <w:r w:rsidRPr="00EF3655">
        <w:rPr>
          <w:rtl/>
        </w:rPr>
        <w:t>-</w:t>
      </w:r>
      <w:r>
        <w:rPr>
          <w:rtl/>
        </w:rPr>
        <w:tab/>
        <w:t xml:space="preserve">ووفقاً للتجميع الإحصائي للبلديات، بلغت نسبة الإعالة السكانية </w:t>
      </w:r>
      <w:r w:rsidRPr="005C19F0">
        <w:rPr>
          <w:szCs w:val="20"/>
          <w:rtl/>
        </w:rPr>
        <w:t>55</w:t>
      </w:r>
      <w:r w:rsidR="000C6186">
        <w:rPr>
          <w:rFonts w:ascii="Traditional Arabic"/>
          <w:szCs w:val="20"/>
          <w:rtl/>
        </w:rPr>
        <w:t>,</w:t>
      </w:r>
      <w:r w:rsidRPr="005C19F0">
        <w:rPr>
          <w:szCs w:val="20"/>
          <w:rtl/>
        </w:rPr>
        <w:t>7</w:t>
      </w:r>
      <w:r>
        <w:rPr>
          <w:rtl/>
        </w:rPr>
        <w:t xml:space="preserve"> في البلديات الحضرية، و</w:t>
      </w:r>
      <w:r w:rsidRPr="005C19F0">
        <w:rPr>
          <w:szCs w:val="20"/>
          <w:rtl/>
        </w:rPr>
        <w:t>72</w:t>
      </w:r>
      <w:r w:rsidR="0050146E">
        <w:rPr>
          <w:rFonts w:ascii="Traditional Arabic"/>
          <w:szCs w:val="20"/>
          <w:rtl/>
        </w:rPr>
        <w:t>,</w:t>
      </w:r>
      <w:r w:rsidRPr="005C19F0">
        <w:rPr>
          <w:szCs w:val="20"/>
          <w:rtl/>
        </w:rPr>
        <w:t>1</w:t>
      </w:r>
      <w:r>
        <w:rPr>
          <w:rtl/>
        </w:rPr>
        <w:t xml:space="preserve"> في البلديات شبه الحضرية، و</w:t>
      </w:r>
      <w:r w:rsidRPr="005C19F0">
        <w:rPr>
          <w:szCs w:val="20"/>
          <w:rtl/>
        </w:rPr>
        <w:t>79</w:t>
      </w:r>
      <w:r>
        <w:rPr>
          <w:rtl/>
        </w:rPr>
        <w:t xml:space="preserve"> في البلديات الريفية. وقد بات تصنيف البلديات على أساس الحدود البلدية تكتنفه بعض المشاكل بسبب زيادة مساحة أراضي البلديات. وقد أدت عمليات دمج البلديات إلى وضع أصبحت فيه بعض المناطق داخل نفس البلدية ذات طابع حضري ومناطق أخرى ذات طابع ريفي.</w:t>
      </w:r>
    </w:p>
    <w:p w14:paraId="48BD6E4F" w14:textId="38D1E28B" w:rsidR="00A0227D" w:rsidRPr="009B1F51" w:rsidRDefault="00A0227D" w:rsidP="00A0227D">
      <w:pPr>
        <w:pStyle w:val="SingleTxtGA"/>
        <w:rPr>
          <w:szCs w:val="20"/>
          <w:lang w:val="ar-SA" w:eastAsia="zh-TW" w:bidi="en-GB"/>
        </w:rPr>
      </w:pPr>
      <w:r w:rsidRPr="005C19F0">
        <w:rPr>
          <w:szCs w:val="20"/>
          <w:rtl/>
        </w:rPr>
        <w:t>8</w:t>
      </w:r>
      <w:r w:rsidRPr="00EF3655">
        <w:rPr>
          <w:rtl/>
        </w:rPr>
        <w:t>-</w:t>
      </w:r>
      <w:r>
        <w:rPr>
          <w:rtl/>
        </w:rPr>
        <w:tab/>
        <w:t xml:space="preserve">ويتيح استخدام البيانات الجغرافية بشكل مستقل عن حدود البلديات تحديد المناطق وتصنيفها بشكل أكثر دقةً. وقد </w:t>
      </w:r>
      <w:r w:rsidRPr="005F02FF">
        <w:rPr>
          <w:rtl/>
        </w:rPr>
        <w:t>وضع معهد البيئة الفنلندي</w:t>
      </w:r>
      <w:r>
        <w:rPr>
          <w:rtl/>
        </w:rPr>
        <w:t>،</w:t>
      </w:r>
      <w:r w:rsidRPr="005F02FF">
        <w:rPr>
          <w:rtl/>
        </w:rPr>
        <w:t xml:space="preserve"> </w:t>
      </w:r>
      <w:r>
        <w:rPr>
          <w:rtl/>
        </w:rPr>
        <w:t xml:space="preserve">بالتعاون مع قسم الجغرافيا في جامعة </w:t>
      </w:r>
      <w:r>
        <w:rPr>
          <w:rtl/>
        </w:rPr>
        <w:lastRenderedPageBreak/>
        <w:t>أولو، تصنيفا</w:t>
      </w:r>
      <w:r w:rsidR="00D62DE9">
        <w:rPr>
          <w:rFonts w:hint="cs"/>
          <w:rtl/>
        </w:rPr>
        <w:t>ً</w:t>
      </w:r>
      <w:r>
        <w:rPr>
          <w:rtl/>
        </w:rPr>
        <w:t xml:space="preserve"> جديدا</w:t>
      </w:r>
      <w:r w:rsidR="00D62DE9">
        <w:rPr>
          <w:rFonts w:hint="cs"/>
          <w:rtl/>
        </w:rPr>
        <w:t>ً</w:t>
      </w:r>
      <w:r>
        <w:rPr>
          <w:rtl/>
        </w:rPr>
        <w:t xml:space="preserve"> للمناطق استناداً إلى البيانات الجغرافية. وكانت نسبة الإعالة السكانية التي حُددت باستخدام هذا التصنيف </w:t>
      </w:r>
      <w:r w:rsidRPr="005C19F0">
        <w:rPr>
          <w:szCs w:val="20"/>
          <w:rtl/>
        </w:rPr>
        <w:t>55</w:t>
      </w:r>
      <w:r w:rsidR="000C6186">
        <w:rPr>
          <w:rFonts w:ascii="Traditional Arabic"/>
          <w:szCs w:val="20"/>
          <w:rtl/>
        </w:rPr>
        <w:t>,</w:t>
      </w:r>
      <w:r w:rsidRPr="005C19F0">
        <w:rPr>
          <w:szCs w:val="20"/>
          <w:rtl/>
        </w:rPr>
        <w:t>6</w:t>
      </w:r>
      <w:r>
        <w:rPr>
          <w:rtl/>
        </w:rPr>
        <w:t xml:space="preserve"> في المناطق الحضرية و</w:t>
      </w:r>
      <w:r w:rsidRPr="005C19F0">
        <w:rPr>
          <w:szCs w:val="20"/>
          <w:rtl/>
        </w:rPr>
        <w:t>77</w:t>
      </w:r>
      <w:r w:rsidR="000C6186">
        <w:rPr>
          <w:rFonts w:ascii="Traditional Arabic"/>
          <w:szCs w:val="20"/>
          <w:rtl/>
        </w:rPr>
        <w:t>,</w:t>
      </w:r>
      <w:r w:rsidRPr="005C19F0">
        <w:rPr>
          <w:szCs w:val="20"/>
          <w:rtl/>
        </w:rPr>
        <w:t>1</w:t>
      </w:r>
      <w:r>
        <w:rPr>
          <w:rtl/>
        </w:rPr>
        <w:t xml:space="preserve"> في المناطق الريفية.</w:t>
      </w:r>
    </w:p>
    <w:p w14:paraId="263D9708" w14:textId="1CDF3A04" w:rsidR="00A0227D" w:rsidRPr="009B1F51" w:rsidRDefault="00A0227D" w:rsidP="00A0227D">
      <w:pPr>
        <w:pStyle w:val="SingleTxtGA"/>
        <w:rPr>
          <w:szCs w:val="20"/>
          <w:lang w:val="ar-SA" w:eastAsia="zh-TW" w:bidi="en-GB"/>
        </w:rPr>
      </w:pPr>
      <w:r w:rsidRPr="005C19F0">
        <w:rPr>
          <w:szCs w:val="20"/>
          <w:rtl/>
        </w:rPr>
        <w:t>9</w:t>
      </w:r>
      <w:r w:rsidRPr="00EF3655">
        <w:rPr>
          <w:rtl/>
        </w:rPr>
        <w:t>-</w:t>
      </w:r>
      <w:r>
        <w:rPr>
          <w:rtl/>
        </w:rPr>
        <w:tab/>
        <w:t xml:space="preserve">وتتوطن نسبة </w:t>
      </w:r>
      <w:r w:rsidRPr="005C19F0">
        <w:rPr>
          <w:szCs w:val="20"/>
          <w:rtl/>
        </w:rPr>
        <w:t>70</w:t>
      </w:r>
      <w:r w:rsidR="000C6186">
        <w:rPr>
          <w:rFonts w:ascii="Traditional Arabic"/>
          <w:szCs w:val="20"/>
          <w:rtl/>
        </w:rPr>
        <w:t>,</w:t>
      </w:r>
      <w:r w:rsidRPr="005C19F0">
        <w:rPr>
          <w:szCs w:val="20"/>
          <w:rtl/>
        </w:rPr>
        <w:t>3</w:t>
      </w:r>
      <w:r>
        <w:rPr>
          <w:rtl/>
        </w:rPr>
        <w:t xml:space="preserve"> في المائة من سكان فنلندا المناطق الحضرية ونسبة </w:t>
      </w:r>
      <w:r w:rsidRPr="005C19F0">
        <w:rPr>
          <w:szCs w:val="20"/>
          <w:rtl/>
        </w:rPr>
        <w:t>28</w:t>
      </w:r>
      <w:r w:rsidR="000C6186">
        <w:rPr>
          <w:rFonts w:ascii="Traditional Arabic"/>
          <w:szCs w:val="20"/>
          <w:rtl/>
        </w:rPr>
        <w:t>,</w:t>
      </w:r>
      <w:r w:rsidRPr="005C19F0">
        <w:rPr>
          <w:szCs w:val="20"/>
          <w:rtl/>
        </w:rPr>
        <w:t>4</w:t>
      </w:r>
      <w:r w:rsidRPr="005F02FF">
        <w:rPr>
          <w:rtl/>
        </w:rPr>
        <w:t xml:space="preserve"> في المائة المناطق الريفية</w:t>
      </w:r>
      <w:r>
        <w:rPr>
          <w:rtl/>
        </w:rPr>
        <w:t xml:space="preserve">. ويُستبعد من هذه الأرقام الأشخاص الذين ليس لهم مسكن ثابت </w:t>
      </w:r>
      <w:r w:rsidRPr="00794E95">
        <w:rPr>
          <w:rtl/>
        </w:rPr>
        <w:t>(</w:t>
      </w:r>
      <w:r>
        <w:rPr>
          <w:rtl/>
        </w:rPr>
        <w:t>أي المقيمون بصفة دائمة في مرافق الرعاية</w:t>
      </w:r>
      <w:r w:rsidRPr="00794E95">
        <w:rPr>
          <w:rtl/>
        </w:rPr>
        <w:t>)</w:t>
      </w:r>
      <w:r>
        <w:rPr>
          <w:rtl/>
        </w:rPr>
        <w:t xml:space="preserve">. وفيما يلي توزع أكثر تفصيلاً لنسبة الإعالة السكانية في عام </w:t>
      </w:r>
      <w:r w:rsidRPr="005C19F0">
        <w:rPr>
          <w:szCs w:val="20"/>
          <w:rtl/>
        </w:rPr>
        <w:t>2018</w:t>
      </w:r>
      <w:r w:rsidRPr="00BB79C1">
        <w:rPr>
          <w:rtl/>
        </w:rPr>
        <w:t>:</w:t>
      </w:r>
    </w:p>
    <w:p w14:paraId="23D7C894" w14:textId="28B3F301" w:rsidR="00A0227D" w:rsidRPr="00DF0156" w:rsidRDefault="00A0227D" w:rsidP="00A0227D">
      <w:pPr>
        <w:pStyle w:val="Bullet1GA"/>
        <w:bidi/>
        <w:rPr>
          <w:szCs w:val="20"/>
          <w:lang w:val="ar-SA" w:eastAsia="zh-TW" w:bidi="en-GB"/>
        </w:rPr>
      </w:pPr>
      <w:r>
        <w:rPr>
          <w:rtl/>
        </w:rPr>
        <w:t xml:space="preserve">المنطقة الحضرية الداخلية، </w:t>
      </w:r>
      <w:r w:rsidRPr="005C19F0">
        <w:rPr>
          <w:szCs w:val="20"/>
          <w:rtl/>
        </w:rPr>
        <w:t>50</w:t>
      </w:r>
      <w:r w:rsidR="000C6186">
        <w:rPr>
          <w:rFonts w:ascii="Traditional Arabic"/>
          <w:szCs w:val="20"/>
          <w:rtl/>
        </w:rPr>
        <w:t>,</w:t>
      </w:r>
      <w:r w:rsidRPr="005C19F0">
        <w:rPr>
          <w:szCs w:val="20"/>
          <w:rtl/>
        </w:rPr>
        <w:t>7</w:t>
      </w:r>
    </w:p>
    <w:p w14:paraId="283691DC" w14:textId="7628ADF8" w:rsidR="00A0227D" w:rsidRPr="00DF0156" w:rsidRDefault="00A0227D" w:rsidP="00A0227D">
      <w:pPr>
        <w:pStyle w:val="Bullet1GA"/>
        <w:bidi/>
        <w:rPr>
          <w:szCs w:val="20"/>
          <w:lang w:val="ar-SA" w:eastAsia="zh-TW" w:bidi="en-GB"/>
        </w:rPr>
      </w:pPr>
      <w:r>
        <w:rPr>
          <w:rtl/>
        </w:rPr>
        <w:t xml:space="preserve">المنطقة الحضرية الخارجية، </w:t>
      </w:r>
      <w:r w:rsidRPr="005C19F0">
        <w:rPr>
          <w:szCs w:val="20"/>
          <w:rtl/>
        </w:rPr>
        <w:t>58</w:t>
      </w:r>
      <w:r w:rsidR="000C6186">
        <w:rPr>
          <w:rFonts w:ascii="Traditional Arabic"/>
          <w:szCs w:val="20"/>
          <w:rtl/>
        </w:rPr>
        <w:t>,</w:t>
      </w:r>
      <w:r w:rsidRPr="005C19F0">
        <w:rPr>
          <w:szCs w:val="20"/>
          <w:rtl/>
        </w:rPr>
        <w:t>6</w:t>
      </w:r>
    </w:p>
    <w:p w14:paraId="50867252" w14:textId="4E983365" w:rsidR="00A0227D" w:rsidRPr="00DF0156" w:rsidRDefault="00A0227D" w:rsidP="00A0227D">
      <w:pPr>
        <w:pStyle w:val="Bullet1GA"/>
        <w:bidi/>
        <w:rPr>
          <w:szCs w:val="20"/>
          <w:lang w:val="ar-SA" w:eastAsia="zh-TW" w:bidi="en-GB"/>
        </w:rPr>
      </w:pPr>
      <w:r>
        <w:rPr>
          <w:rtl/>
        </w:rPr>
        <w:t xml:space="preserve">المناطق شبه الحضرية، </w:t>
      </w:r>
      <w:r w:rsidRPr="005C19F0">
        <w:rPr>
          <w:szCs w:val="20"/>
          <w:rtl/>
        </w:rPr>
        <w:t>64</w:t>
      </w:r>
      <w:r w:rsidR="000C6186">
        <w:rPr>
          <w:rFonts w:ascii="Traditional Arabic"/>
          <w:szCs w:val="20"/>
          <w:rtl/>
        </w:rPr>
        <w:t>,</w:t>
      </w:r>
      <w:r w:rsidRPr="005C19F0">
        <w:rPr>
          <w:szCs w:val="20"/>
          <w:rtl/>
        </w:rPr>
        <w:t>1</w:t>
      </w:r>
    </w:p>
    <w:p w14:paraId="50DCA5FB" w14:textId="3B4270EF" w:rsidR="00A0227D" w:rsidRPr="009B1F51" w:rsidRDefault="00A0227D" w:rsidP="00A0227D">
      <w:pPr>
        <w:pStyle w:val="Bullet1GA"/>
        <w:bidi/>
        <w:rPr>
          <w:szCs w:val="20"/>
          <w:lang w:val="ar-SA" w:eastAsia="zh-TW" w:bidi="en-GB"/>
        </w:rPr>
      </w:pPr>
      <w:r>
        <w:rPr>
          <w:rtl/>
        </w:rPr>
        <w:t xml:space="preserve">المناطق الريفية القريبة من المناطق الحضرية، </w:t>
      </w:r>
      <w:r w:rsidRPr="005C19F0">
        <w:rPr>
          <w:szCs w:val="20"/>
          <w:rtl/>
        </w:rPr>
        <w:t>70</w:t>
      </w:r>
      <w:r w:rsidR="000C6186">
        <w:rPr>
          <w:rFonts w:ascii="Traditional Arabic"/>
          <w:szCs w:val="20"/>
          <w:rtl/>
        </w:rPr>
        <w:t>,</w:t>
      </w:r>
      <w:r w:rsidRPr="005C19F0">
        <w:rPr>
          <w:szCs w:val="20"/>
          <w:rtl/>
        </w:rPr>
        <w:t>3</w:t>
      </w:r>
    </w:p>
    <w:p w14:paraId="3BD86121" w14:textId="57157282" w:rsidR="00A0227D" w:rsidRPr="009B1F51" w:rsidRDefault="00A0227D" w:rsidP="00A0227D">
      <w:pPr>
        <w:pStyle w:val="Bullet1GA"/>
        <w:bidi/>
        <w:rPr>
          <w:szCs w:val="20"/>
          <w:lang w:val="ar-SA" w:eastAsia="zh-TW" w:bidi="en-GB"/>
        </w:rPr>
      </w:pPr>
      <w:r>
        <w:rPr>
          <w:rtl/>
        </w:rPr>
        <w:t xml:space="preserve">المراكز المحلية في المناطق الريفية، </w:t>
      </w:r>
      <w:r w:rsidRPr="005C19F0">
        <w:rPr>
          <w:szCs w:val="20"/>
          <w:rtl/>
        </w:rPr>
        <w:t>75</w:t>
      </w:r>
      <w:r w:rsidR="000C6186">
        <w:rPr>
          <w:rFonts w:ascii="Traditional Arabic"/>
          <w:szCs w:val="20"/>
          <w:rtl/>
        </w:rPr>
        <w:t>,</w:t>
      </w:r>
      <w:r w:rsidRPr="005C19F0">
        <w:rPr>
          <w:szCs w:val="20"/>
          <w:rtl/>
        </w:rPr>
        <w:t>7</w:t>
      </w:r>
    </w:p>
    <w:p w14:paraId="77130BBF" w14:textId="4EFD3295" w:rsidR="00A0227D" w:rsidRPr="00DF0156" w:rsidRDefault="00A0227D" w:rsidP="00A0227D">
      <w:pPr>
        <w:pStyle w:val="Bullet1GA"/>
        <w:bidi/>
        <w:rPr>
          <w:szCs w:val="20"/>
          <w:lang w:val="ar-SA" w:eastAsia="zh-TW" w:bidi="en-GB"/>
        </w:rPr>
      </w:pPr>
      <w:r>
        <w:rPr>
          <w:rtl/>
        </w:rPr>
        <w:t xml:space="preserve">المناطق الريفية الوسطى، </w:t>
      </w:r>
      <w:r w:rsidRPr="005C19F0">
        <w:rPr>
          <w:szCs w:val="20"/>
          <w:rtl/>
        </w:rPr>
        <w:t>79</w:t>
      </w:r>
      <w:r w:rsidR="000C6186">
        <w:rPr>
          <w:rFonts w:ascii="Traditional Arabic"/>
          <w:szCs w:val="20"/>
          <w:rtl/>
        </w:rPr>
        <w:t>,</w:t>
      </w:r>
      <w:r w:rsidRPr="005C19F0">
        <w:rPr>
          <w:szCs w:val="20"/>
          <w:rtl/>
        </w:rPr>
        <w:t>3</w:t>
      </w:r>
    </w:p>
    <w:p w14:paraId="30B699A5" w14:textId="084C9FBE" w:rsidR="00A0227D" w:rsidRPr="00DF0156" w:rsidRDefault="00A0227D" w:rsidP="00A0227D">
      <w:pPr>
        <w:pStyle w:val="Bullet1GA"/>
        <w:bidi/>
        <w:rPr>
          <w:szCs w:val="20"/>
          <w:lang w:val="ar-SA" w:eastAsia="zh-TW" w:bidi="en-GB"/>
        </w:rPr>
      </w:pPr>
      <w:r>
        <w:rPr>
          <w:rtl/>
        </w:rPr>
        <w:t xml:space="preserve">المناطق الريفية القليلة السكان، </w:t>
      </w:r>
      <w:r w:rsidRPr="005C19F0">
        <w:rPr>
          <w:szCs w:val="20"/>
          <w:rtl/>
        </w:rPr>
        <w:t>84</w:t>
      </w:r>
      <w:r w:rsidR="000C6186">
        <w:rPr>
          <w:rFonts w:ascii="Traditional Arabic"/>
          <w:szCs w:val="20"/>
          <w:rtl/>
        </w:rPr>
        <w:t>,</w:t>
      </w:r>
      <w:r w:rsidRPr="005C19F0">
        <w:rPr>
          <w:szCs w:val="20"/>
          <w:rtl/>
        </w:rPr>
        <w:t>1</w:t>
      </w:r>
    </w:p>
    <w:p w14:paraId="68312123" w14:textId="10E57B3C" w:rsidR="00A0227D" w:rsidRPr="0084652C" w:rsidRDefault="00A0227D" w:rsidP="00A0227D">
      <w:pPr>
        <w:pStyle w:val="SingleTxtGA"/>
        <w:rPr>
          <w:szCs w:val="20"/>
          <w:lang w:val="ar-SA" w:eastAsia="zh-TW" w:bidi="en-GB"/>
        </w:rPr>
      </w:pPr>
      <w:r w:rsidRPr="005C19F0">
        <w:rPr>
          <w:szCs w:val="20"/>
          <w:rtl/>
        </w:rPr>
        <w:t>10</w:t>
      </w:r>
      <w:r w:rsidRPr="00EF3655">
        <w:rPr>
          <w:rtl/>
        </w:rPr>
        <w:t>-</w:t>
      </w:r>
      <w:r>
        <w:rPr>
          <w:rtl/>
        </w:rPr>
        <w:tab/>
        <w:t xml:space="preserve">وقد تراجعت نسبة الإعالة السكانية في فنلندا في السنوات الأخيرة. وكانت نسبة الإعالة للبلد بأكمله </w:t>
      </w:r>
      <w:r w:rsidRPr="005C19F0">
        <w:rPr>
          <w:szCs w:val="20"/>
          <w:rtl/>
        </w:rPr>
        <w:t>60</w:t>
      </w:r>
      <w:r w:rsidR="000C6186">
        <w:rPr>
          <w:rFonts w:ascii="Traditional Arabic"/>
          <w:szCs w:val="20"/>
          <w:rtl/>
        </w:rPr>
        <w:t>,</w:t>
      </w:r>
      <w:r w:rsidRPr="005C19F0">
        <w:rPr>
          <w:szCs w:val="20"/>
          <w:rtl/>
        </w:rPr>
        <w:t>1</w:t>
      </w:r>
      <w:r>
        <w:rPr>
          <w:rtl/>
        </w:rPr>
        <w:t xml:space="preserve"> في عام </w:t>
      </w:r>
      <w:r w:rsidRPr="005C19F0">
        <w:rPr>
          <w:szCs w:val="20"/>
          <w:rtl/>
        </w:rPr>
        <w:t>2017</w:t>
      </w:r>
      <w:r>
        <w:rPr>
          <w:rtl/>
        </w:rPr>
        <w:t xml:space="preserve"> مع اختلافات شاسعة فيما بين المناطق. وفي منطقة أوسيما، تتمتع المدن الثلاث الكبرى في البلد بنسبة إعالة سكانية أفضل تبلغ </w:t>
      </w:r>
      <w:r w:rsidRPr="005C19F0">
        <w:rPr>
          <w:szCs w:val="20"/>
          <w:rtl/>
        </w:rPr>
        <w:t>51</w:t>
      </w:r>
      <w:r w:rsidR="000C6186">
        <w:rPr>
          <w:rFonts w:ascii="Traditional Arabic"/>
          <w:szCs w:val="20"/>
          <w:rtl/>
        </w:rPr>
        <w:t>,</w:t>
      </w:r>
      <w:r w:rsidRPr="005C19F0">
        <w:rPr>
          <w:szCs w:val="20"/>
          <w:rtl/>
        </w:rPr>
        <w:t>1</w:t>
      </w:r>
      <w:r>
        <w:rPr>
          <w:rtl/>
        </w:rPr>
        <w:t xml:space="preserve"> في حين أن المناطق ذات الكثافة السكانية المنخفضة لديها تركيبة عمرية أقل فائدة بكثير من المناطق الحضرية في البلد. ونسبة الإعالة السكانية في منطقة سافو الجنوبية هي الأضعف، إذ تبلغ </w:t>
      </w:r>
      <w:r w:rsidRPr="005C19F0">
        <w:rPr>
          <w:szCs w:val="20"/>
          <w:rtl/>
        </w:rPr>
        <w:t>72</w:t>
      </w:r>
      <w:r w:rsidR="000C6186">
        <w:rPr>
          <w:rFonts w:ascii="Traditional Arabic"/>
          <w:szCs w:val="20"/>
          <w:rtl/>
        </w:rPr>
        <w:t>,</w:t>
      </w:r>
      <w:r w:rsidRPr="005C19F0">
        <w:rPr>
          <w:szCs w:val="20"/>
          <w:rtl/>
        </w:rPr>
        <w:t>8</w:t>
      </w:r>
      <w:r w:rsidRPr="006D219D">
        <w:rPr>
          <w:rtl/>
        </w:rPr>
        <w:t>.</w:t>
      </w:r>
      <w:r>
        <w:rPr>
          <w:rtl/>
        </w:rPr>
        <w:t xml:space="preserve"> ومن المتوقع أن تستمر نسبة الإعالة السكانية في التدهور في جميع أنحاء البلاد مع تقدم السكان في العمر. ومن الناحية النسبية، سيكون لشيخوخة السكان تأثير أقوى على المناطق الحضرية.</w:t>
      </w:r>
    </w:p>
    <w:p w14:paraId="3FD11F85" w14:textId="2E65CA6E" w:rsidR="00A0227D" w:rsidRPr="009B1F51" w:rsidRDefault="00A0227D" w:rsidP="00A0227D">
      <w:pPr>
        <w:pStyle w:val="SingleTxtGA"/>
        <w:rPr>
          <w:szCs w:val="20"/>
          <w:lang w:val="ar-SA" w:eastAsia="zh-TW" w:bidi="en-GB"/>
        </w:rPr>
      </w:pPr>
      <w:r w:rsidRPr="005C19F0">
        <w:rPr>
          <w:szCs w:val="20"/>
          <w:rtl/>
        </w:rPr>
        <w:t>11</w:t>
      </w:r>
      <w:r w:rsidRPr="00EF3655">
        <w:rPr>
          <w:rtl/>
        </w:rPr>
        <w:t>-</w:t>
      </w:r>
      <w:r>
        <w:rPr>
          <w:rtl/>
        </w:rPr>
        <w:tab/>
        <w:t xml:space="preserve">ونظراً لأن المواطنين الأجانب لا يشكلون سوى </w:t>
      </w:r>
      <w:r w:rsidRPr="005C19F0">
        <w:rPr>
          <w:szCs w:val="20"/>
          <w:rtl/>
        </w:rPr>
        <w:t>5</w:t>
      </w:r>
      <w:r w:rsidR="002B5B92">
        <w:rPr>
          <w:sz w:val="28"/>
          <w:rtl/>
        </w:rPr>
        <w:t xml:space="preserve"> في المائة</w:t>
      </w:r>
      <w:r>
        <w:rPr>
          <w:rtl/>
        </w:rPr>
        <w:t xml:space="preserve"> من السكان </w:t>
      </w:r>
      <w:r w:rsidRPr="00794E95">
        <w:rPr>
          <w:rtl/>
        </w:rPr>
        <w:t>(</w:t>
      </w:r>
      <w:r w:rsidR="003D2616">
        <w:rPr>
          <w:rFonts w:hint="cs"/>
          <w:szCs w:val="20"/>
          <w:rtl/>
        </w:rPr>
        <w:t>572 257</w:t>
      </w:r>
      <w:r>
        <w:rPr>
          <w:rtl/>
        </w:rPr>
        <w:t xml:space="preserve"> شخصاً في عام</w:t>
      </w:r>
      <w:r w:rsidR="003D2616">
        <w:rPr>
          <w:rFonts w:hint="cs"/>
          <w:rtl/>
        </w:rPr>
        <w:t> </w:t>
      </w:r>
      <w:r w:rsidRPr="005C19F0">
        <w:rPr>
          <w:szCs w:val="20"/>
          <w:rtl/>
        </w:rPr>
        <w:t>2018</w:t>
      </w:r>
      <w:r w:rsidRPr="00794E95">
        <w:rPr>
          <w:rtl/>
        </w:rPr>
        <w:t>)</w:t>
      </w:r>
      <w:r>
        <w:rPr>
          <w:rtl/>
        </w:rPr>
        <w:t xml:space="preserve">، يتمتع سكان فنلندا بتجانس كبير. </w:t>
      </w:r>
      <w:r>
        <w:rPr>
          <w:rtl/>
          <w:lang w:val="fr-CH"/>
        </w:rPr>
        <w:t>و</w:t>
      </w:r>
      <w:r>
        <w:rPr>
          <w:rtl/>
        </w:rPr>
        <w:t>يشكل المواطنون الإستونيون والروس أكبر مجموعتين من المواطنين الأجانب.</w:t>
      </w:r>
    </w:p>
    <w:p w14:paraId="54B3090E" w14:textId="18E6AC00" w:rsidR="00A0227D" w:rsidRPr="00327BDA" w:rsidRDefault="00A0227D" w:rsidP="00A0227D">
      <w:pPr>
        <w:pStyle w:val="SingleTxtGA"/>
        <w:rPr>
          <w:spacing w:val="-4"/>
          <w:szCs w:val="20"/>
          <w:lang w:val="ar-SA" w:eastAsia="zh-TW" w:bidi="en-GB"/>
        </w:rPr>
      </w:pPr>
      <w:r w:rsidRPr="00327BDA">
        <w:rPr>
          <w:spacing w:val="-4"/>
          <w:szCs w:val="20"/>
          <w:rtl/>
        </w:rPr>
        <w:t>12</w:t>
      </w:r>
      <w:r w:rsidRPr="00327BDA">
        <w:rPr>
          <w:spacing w:val="-4"/>
          <w:rtl/>
        </w:rPr>
        <w:t>-</w:t>
      </w:r>
      <w:r w:rsidRPr="00327BDA">
        <w:rPr>
          <w:spacing w:val="-4"/>
          <w:rtl/>
        </w:rPr>
        <w:tab/>
        <w:t xml:space="preserve">وفنلندا بلد ثنائي اللغة، ولغتاه الوطنيتان هما الفنلندية والسويدية. ويشكل الفنلنديون الناطقون باللغة السويدية حوالي </w:t>
      </w:r>
      <w:r w:rsidRPr="00327BDA">
        <w:rPr>
          <w:spacing w:val="-4"/>
          <w:szCs w:val="20"/>
          <w:rtl/>
        </w:rPr>
        <w:t>5</w:t>
      </w:r>
      <w:r w:rsidR="002B5B92">
        <w:rPr>
          <w:spacing w:val="-4"/>
          <w:sz w:val="28"/>
          <w:rtl/>
        </w:rPr>
        <w:t xml:space="preserve"> في المائة</w:t>
      </w:r>
      <w:r w:rsidRPr="00327BDA">
        <w:rPr>
          <w:spacing w:val="-4"/>
          <w:rtl/>
        </w:rPr>
        <w:t xml:space="preserve"> من السكان. ويُلزِم دستور فنلندا (</w:t>
      </w:r>
      <w:r w:rsidRPr="00327BDA">
        <w:rPr>
          <w:spacing w:val="-4"/>
          <w:szCs w:val="20"/>
        </w:rPr>
        <w:t>1999</w:t>
      </w:r>
      <w:r w:rsidRPr="00327BDA">
        <w:rPr>
          <w:rFonts w:ascii="Traditional Arabic"/>
          <w:spacing w:val="-4"/>
          <w:szCs w:val="20"/>
        </w:rPr>
        <w:t>/</w:t>
      </w:r>
      <w:r w:rsidRPr="00327BDA">
        <w:rPr>
          <w:spacing w:val="-4"/>
          <w:szCs w:val="20"/>
        </w:rPr>
        <w:t>731</w:t>
      </w:r>
      <w:r w:rsidRPr="00327BDA">
        <w:rPr>
          <w:spacing w:val="-4"/>
          <w:rtl/>
        </w:rPr>
        <w:t>) السلطات العامة بأن تلبي الاحتياجات الثقافية والمجتمعية لسكان فنلندا الناطقين بالفنلندية والناطقين بالسويدية على قدم المساواة. ولكل شخص الحق في استخدام لغته الخاصة، الفنلندية أو السويدية، أمام المحاكم وغيرها من السلطات.</w:t>
      </w:r>
    </w:p>
    <w:p w14:paraId="736F52D2" w14:textId="77777777" w:rsidR="00A0227D" w:rsidRDefault="00A0227D" w:rsidP="00327BDA">
      <w:pPr>
        <w:pStyle w:val="SingleTxtGA"/>
        <w:spacing w:after="0"/>
        <w:rPr>
          <w:szCs w:val="20"/>
          <w:lang w:val="ar-SA" w:eastAsia="zh-TW" w:bidi="en-GB"/>
        </w:rPr>
      </w:pPr>
      <w:r>
        <w:rPr>
          <w:rtl/>
        </w:rPr>
        <w:t xml:space="preserve">الجدول </w:t>
      </w:r>
      <w:r w:rsidRPr="005C19F0">
        <w:rPr>
          <w:szCs w:val="20"/>
          <w:rtl/>
        </w:rPr>
        <w:t>1</w:t>
      </w:r>
      <w:r>
        <w:rPr>
          <w:rtl/>
        </w:rPr>
        <w:t xml:space="preserve"> </w:t>
      </w:r>
    </w:p>
    <w:p w14:paraId="10C94258" w14:textId="77777777" w:rsidR="00A0227D" w:rsidRPr="00A0227D" w:rsidRDefault="00A0227D" w:rsidP="00A0227D">
      <w:pPr>
        <w:pStyle w:val="SingleTxtGA"/>
        <w:rPr>
          <w:b/>
          <w:bCs/>
          <w:szCs w:val="20"/>
          <w:lang w:val="ar-SA" w:eastAsia="zh-TW" w:bidi="en-GB"/>
        </w:rPr>
      </w:pPr>
      <w:r w:rsidRPr="00A0227D">
        <w:rPr>
          <w:b/>
          <w:bCs/>
          <w:rtl/>
        </w:rPr>
        <w:t xml:space="preserve">عدد السكان بحسب اللغة في الفترة </w:t>
      </w:r>
      <w:r w:rsidRPr="005C19F0">
        <w:rPr>
          <w:b/>
          <w:bCs/>
          <w:szCs w:val="20"/>
          <w:rtl/>
        </w:rPr>
        <w:t>2013</w:t>
      </w:r>
      <w:r w:rsidRPr="00EF3655">
        <w:rPr>
          <w:rtl/>
        </w:rPr>
        <w:t>-</w:t>
      </w:r>
      <w:r w:rsidRPr="005C19F0">
        <w:rPr>
          <w:b/>
          <w:bCs/>
          <w:szCs w:val="20"/>
          <w:rtl/>
        </w:rPr>
        <w:t>2018</w:t>
      </w:r>
      <w:r w:rsidRPr="00A0227D">
        <w:rPr>
          <w:b/>
          <w:bCs/>
          <w:rtl/>
        </w:rPr>
        <w:t xml:space="preserve"> </w:t>
      </w:r>
    </w:p>
    <w:tbl>
      <w:tblPr>
        <w:bidiVisual/>
        <w:tblW w:w="7223" w:type="dxa"/>
        <w:tblInd w:w="12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2"/>
        <w:gridCol w:w="968"/>
        <w:gridCol w:w="968"/>
        <w:gridCol w:w="969"/>
        <w:gridCol w:w="968"/>
        <w:gridCol w:w="968"/>
        <w:gridCol w:w="930"/>
      </w:tblGrid>
      <w:tr w:rsidR="00A0227D" w:rsidRPr="005C59F8" w14:paraId="46DBC6FE" w14:textId="77777777" w:rsidTr="00327BDA">
        <w:trPr>
          <w:tblHeader/>
        </w:trPr>
        <w:tc>
          <w:tcPr>
            <w:tcW w:w="1452" w:type="dxa"/>
            <w:tcBorders>
              <w:top w:val="single" w:sz="4" w:space="0" w:color="auto"/>
              <w:bottom w:val="single" w:sz="12" w:space="0" w:color="auto"/>
            </w:tcBorders>
            <w:shd w:val="clear" w:color="auto" w:fill="auto"/>
            <w:noWrap/>
            <w:vAlign w:val="bottom"/>
            <w:hideMark/>
          </w:tcPr>
          <w:p w14:paraId="1402EDC8" w14:textId="77777777" w:rsidR="00A0227D" w:rsidRPr="00327BDA" w:rsidRDefault="00A0227D" w:rsidP="00327BDA">
            <w:pPr>
              <w:spacing w:before="40" w:after="40" w:line="300" w:lineRule="exact"/>
              <w:ind w:right="113"/>
              <w:rPr>
                <w:bCs/>
                <w:i/>
                <w:sz w:val="28"/>
                <w:szCs w:val="28"/>
              </w:rPr>
            </w:pPr>
          </w:p>
        </w:tc>
        <w:tc>
          <w:tcPr>
            <w:tcW w:w="968" w:type="dxa"/>
            <w:tcBorders>
              <w:top w:val="single" w:sz="4" w:space="0" w:color="auto"/>
              <w:bottom w:val="single" w:sz="12" w:space="0" w:color="auto"/>
            </w:tcBorders>
            <w:shd w:val="clear" w:color="auto" w:fill="auto"/>
            <w:noWrap/>
            <w:vAlign w:val="bottom"/>
            <w:hideMark/>
          </w:tcPr>
          <w:p w14:paraId="4F68D3E4"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2013</w:t>
            </w:r>
          </w:p>
        </w:tc>
        <w:tc>
          <w:tcPr>
            <w:tcW w:w="968" w:type="dxa"/>
            <w:tcBorders>
              <w:top w:val="single" w:sz="4" w:space="0" w:color="auto"/>
              <w:bottom w:val="single" w:sz="12" w:space="0" w:color="auto"/>
            </w:tcBorders>
            <w:shd w:val="clear" w:color="auto" w:fill="auto"/>
            <w:noWrap/>
            <w:vAlign w:val="bottom"/>
            <w:hideMark/>
          </w:tcPr>
          <w:p w14:paraId="0395C18D"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2014</w:t>
            </w:r>
          </w:p>
        </w:tc>
        <w:tc>
          <w:tcPr>
            <w:tcW w:w="969" w:type="dxa"/>
            <w:tcBorders>
              <w:top w:val="single" w:sz="4" w:space="0" w:color="auto"/>
              <w:bottom w:val="single" w:sz="12" w:space="0" w:color="auto"/>
            </w:tcBorders>
            <w:shd w:val="clear" w:color="auto" w:fill="auto"/>
            <w:noWrap/>
            <w:vAlign w:val="bottom"/>
            <w:hideMark/>
          </w:tcPr>
          <w:p w14:paraId="232EEB08"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2015</w:t>
            </w:r>
          </w:p>
        </w:tc>
        <w:tc>
          <w:tcPr>
            <w:tcW w:w="968" w:type="dxa"/>
            <w:tcBorders>
              <w:top w:val="single" w:sz="4" w:space="0" w:color="auto"/>
              <w:bottom w:val="single" w:sz="12" w:space="0" w:color="auto"/>
            </w:tcBorders>
            <w:shd w:val="clear" w:color="auto" w:fill="auto"/>
            <w:noWrap/>
            <w:vAlign w:val="bottom"/>
            <w:hideMark/>
          </w:tcPr>
          <w:p w14:paraId="59FB5D35"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2016</w:t>
            </w:r>
          </w:p>
        </w:tc>
        <w:tc>
          <w:tcPr>
            <w:tcW w:w="968" w:type="dxa"/>
            <w:tcBorders>
              <w:top w:val="single" w:sz="4" w:space="0" w:color="auto"/>
              <w:bottom w:val="single" w:sz="12" w:space="0" w:color="auto"/>
            </w:tcBorders>
            <w:shd w:val="clear" w:color="auto" w:fill="auto"/>
            <w:vAlign w:val="bottom"/>
            <w:hideMark/>
          </w:tcPr>
          <w:p w14:paraId="1B33A926"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2017</w:t>
            </w:r>
          </w:p>
        </w:tc>
        <w:tc>
          <w:tcPr>
            <w:tcW w:w="930" w:type="dxa"/>
            <w:tcBorders>
              <w:top w:val="single" w:sz="4" w:space="0" w:color="auto"/>
              <w:bottom w:val="single" w:sz="12" w:space="0" w:color="auto"/>
            </w:tcBorders>
            <w:shd w:val="clear" w:color="auto" w:fill="auto"/>
            <w:vAlign w:val="bottom"/>
            <w:hideMark/>
          </w:tcPr>
          <w:p w14:paraId="27ECEA0D" w14:textId="77777777" w:rsidR="00A0227D" w:rsidRPr="005C59F8" w:rsidRDefault="00A0227D" w:rsidP="005C59F8">
            <w:pPr>
              <w:spacing w:before="40" w:after="40" w:line="300" w:lineRule="exact"/>
              <w:ind w:left="57" w:right="113"/>
              <w:jc w:val="left"/>
              <w:textDirection w:val="tbRlV"/>
              <w:rPr>
                <w:bCs/>
                <w:i/>
                <w:sz w:val="18"/>
                <w:szCs w:val="18"/>
                <w:lang w:val="ar-SA" w:eastAsia="zh-TW" w:bidi="en-GB"/>
              </w:rPr>
            </w:pPr>
            <w:r w:rsidRPr="005C59F8">
              <w:rPr>
                <w:i/>
                <w:iCs/>
                <w:sz w:val="18"/>
                <w:szCs w:val="18"/>
                <w:rtl/>
              </w:rPr>
              <w:t>2018</w:t>
            </w:r>
          </w:p>
        </w:tc>
      </w:tr>
      <w:tr w:rsidR="00A0227D" w:rsidRPr="005C59F8" w14:paraId="17FA8369" w14:textId="77777777" w:rsidTr="00327BDA">
        <w:tc>
          <w:tcPr>
            <w:tcW w:w="1452" w:type="dxa"/>
            <w:tcBorders>
              <w:top w:val="single" w:sz="12" w:space="0" w:color="auto"/>
            </w:tcBorders>
            <w:shd w:val="clear" w:color="auto" w:fill="auto"/>
            <w:noWrap/>
            <w:hideMark/>
          </w:tcPr>
          <w:p w14:paraId="786DE90B" w14:textId="77777777" w:rsidR="00A0227D" w:rsidRPr="00327BDA" w:rsidRDefault="00A0227D" w:rsidP="00327BDA">
            <w:pPr>
              <w:overflowPunct w:val="0"/>
              <w:autoSpaceDE w:val="0"/>
              <w:autoSpaceDN w:val="0"/>
              <w:adjustRightInd w:val="0"/>
              <w:spacing w:before="40" w:after="40" w:line="300" w:lineRule="exact"/>
              <w:ind w:right="113"/>
              <w:textDirection w:val="tbRlV"/>
              <w:textAlignment w:val="baseline"/>
              <w:rPr>
                <w:bCs/>
                <w:sz w:val="28"/>
                <w:szCs w:val="28"/>
                <w:lang w:val="ar-SA" w:eastAsia="zh-TW" w:bidi="en-GB"/>
              </w:rPr>
            </w:pPr>
            <w:r w:rsidRPr="00327BDA">
              <w:rPr>
                <w:sz w:val="28"/>
                <w:szCs w:val="28"/>
                <w:rtl/>
              </w:rPr>
              <w:t>الفنلندية</w:t>
            </w:r>
          </w:p>
        </w:tc>
        <w:tc>
          <w:tcPr>
            <w:tcW w:w="968" w:type="dxa"/>
            <w:tcBorders>
              <w:top w:val="single" w:sz="12" w:space="0" w:color="auto"/>
            </w:tcBorders>
            <w:shd w:val="clear" w:color="auto" w:fill="auto"/>
            <w:noWrap/>
            <w:vAlign w:val="bottom"/>
            <w:hideMark/>
          </w:tcPr>
          <w:p w14:paraId="2B9244FB"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362</w:t>
            </w:r>
            <w:r w:rsidRPr="005C59F8">
              <w:rPr>
                <w:rFonts w:ascii="Traditional Arabic"/>
                <w:sz w:val="18"/>
                <w:szCs w:val="18"/>
                <w:rtl/>
              </w:rPr>
              <w:t xml:space="preserve"> </w:t>
            </w:r>
            <w:r w:rsidRPr="005C59F8">
              <w:rPr>
                <w:sz w:val="18"/>
                <w:szCs w:val="18"/>
                <w:rtl/>
              </w:rPr>
              <w:t>869</w:t>
            </w:r>
            <w:r w:rsidRPr="005C59F8">
              <w:rPr>
                <w:rFonts w:ascii="Traditional Arabic"/>
                <w:sz w:val="18"/>
                <w:szCs w:val="18"/>
                <w:rtl/>
              </w:rPr>
              <w:t xml:space="preserve"> </w:t>
            </w:r>
            <w:r w:rsidRPr="005C59F8">
              <w:rPr>
                <w:sz w:val="18"/>
                <w:szCs w:val="18"/>
                <w:rtl/>
              </w:rPr>
              <w:t>4</w:t>
            </w:r>
          </w:p>
        </w:tc>
        <w:tc>
          <w:tcPr>
            <w:tcW w:w="968" w:type="dxa"/>
            <w:tcBorders>
              <w:top w:val="single" w:sz="12" w:space="0" w:color="auto"/>
            </w:tcBorders>
            <w:shd w:val="clear" w:color="auto" w:fill="auto"/>
            <w:noWrap/>
            <w:vAlign w:val="bottom"/>
            <w:hideMark/>
          </w:tcPr>
          <w:p w14:paraId="256D1FEF"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751</w:t>
            </w:r>
            <w:r w:rsidRPr="005C59F8">
              <w:rPr>
                <w:rFonts w:ascii="Traditional Arabic"/>
                <w:sz w:val="18"/>
                <w:szCs w:val="18"/>
                <w:rtl/>
              </w:rPr>
              <w:t xml:space="preserve"> </w:t>
            </w:r>
            <w:r w:rsidRPr="005C59F8">
              <w:rPr>
                <w:sz w:val="18"/>
                <w:szCs w:val="18"/>
                <w:rtl/>
              </w:rPr>
              <w:t>868</w:t>
            </w:r>
            <w:r w:rsidRPr="005C59F8">
              <w:rPr>
                <w:rFonts w:ascii="Traditional Arabic"/>
                <w:sz w:val="18"/>
                <w:szCs w:val="18"/>
                <w:rtl/>
              </w:rPr>
              <w:t xml:space="preserve"> </w:t>
            </w:r>
            <w:r w:rsidRPr="005C59F8">
              <w:rPr>
                <w:sz w:val="18"/>
                <w:szCs w:val="18"/>
                <w:rtl/>
              </w:rPr>
              <w:t>4</w:t>
            </w:r>
          </w:p>
        </w:tc>
        <w:tc>
          <w:tcPr>
            <w:tcW w:w="969" w:type="dxa"/>
            <w:tcBorders>
              <w:top w:val="single" w:sz="12" w:space="0" w:color="auto"/>
            </w:tcBorders>
            <w:shd w:val="clear" w:color="auto" w:fill="auto"/>
            <w:noWrap/>
            <w:vAlign w:val="bottom"/>
            <w:hideMark/>
          </w:tcPr>
          <w:p w14:paraId="666EE9FD"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628</w:t>
            </w:r>
            <w:r w:rsidRPr="005C59F8">
              <w:rPr>
                <w:rFonts w:ascii="Traditional Arabic"/>
                <w:sz w:val="18"/>
                <w:szCs w:val="18"/>
                <w:rtl/>
              </w:rPr>
              <w:t xml:space="preserve"> </w:t>
            </w:r>
            <w:r w:rsidRPr="005C59F8">
              <w:rPr>
                <w:sz w:val="18"/>
                <w:szCs w:val="18"/>
                <w:rtl/>
              </w:rPr>
              <w:t>865</w:t>
            </w:r>
            <w:r w:rsidRPr="005C59F8">
              <w:rPr>
                <w:rFonts w:ascii="Traditional Arabic"/>
                <w:sz w:val="18"/>
                <w:szCs w:val="18"/>
                <w:rtl/>
              </w:rPr>
              <w:t xml:space="preserve"> </w:t>
            </w:r>
            <w:r w:rsidRPr="005C59F8">
              <w:rPr>
                <w:sz w:val="18"/>
                <w:szCs w:val="18"/>
                <w:rtl/>
              </w:rPr>
              <w:t>4</w:t>
            </w:r>
          </w:p>
        </w:tc>
        <w:tc>
          <w:tcPr>
            <w:tcW w:w="968" w:type="dxa"/>
            <w:tcBorders>
              <w:top w:val="single" w:sz="12" w:space="0" w:color="auto"/>
            </w:tcBorders>
            <w:shd w:val="clear" w:color="auto" w:fill="auto"/>
            <w:noWrap/>
            <w:vAlign w:val="bottom"/>
            <w:hideMark/>
          </w:tcPr>
          <w:p w14:paraId="48138AC4"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795</w:t>
            </w:r>
            <w:r w:rsidRPr="005C59F8">
              <w:rPr>
                <w:rFonts w:ascii="Traditional Arabic"/>
                <w:sz w:val="18"/>
                <w:szCs w:val="18"/>
                <w:rtl/>
              </w:rPr>
              <w:t xml:space="preserve"> </w:t>
            </w:r>
            <w:r w:rsidRPr="005C59F8">
              <w:rPr>
                <w:sz w:val="18"/>
                <w:szCs w:val="18"/>
                <w:rtl/>
              </w:rPr>
              <w:t>857</w:t>
            </w:r>
            <w:r w:rsidRPr="005C59F8">
              <w:rPr>
                <w:rFonts w:ascii="Traditional Arabic"/>
                <w:sz w:val="18"/>
                <w:szCs w:val="18"/>
                <w:rtl/>
              </w:rPr>
              <w:t xml:space="preserve"> </w:t>
            </w:r>
            <w:r w:rsidRPr="005C59F8">
              <w:rPr>
                <w:sz w:val="18"/>
                <w:szCs w:val="18"/>
                <w:rtl/>
              </w:rPr>
              <w:t>4</w:t>
            </w:r>
          </w:p>
        </w:tc>
        <w:tc>
          <w:tcPr>
            <w:tcW w:w="968" w:type="dxa"/>
            <w:tcBorders>
              <w:top w:val="single" w:sz="12" w:space="0" w:color="auto"/>
            </w:tcBorders>
            <w:shd w:val="clear" w:color="auto" w:fill="auto"/>
            <w:vAlign w:val="bottom"/>
            <w:hideMark/>
          </w:tcPr>
          <w:p w14:paraId="30BF64B6"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761</w:t>
            </w:r>
            <w:r w:rsidRPr="005C59F8">
              <w:rPr>
                <w:rFonts w:ascii="Traditional Arabic"/>
                <w:sz w:val="18"/>
                <w:szCs w:val="18"/>
                <w:rtl/>
              </w:rPr>
              <w:t xml:space="preserve"> </w:t>
            </w:r>
            <w:r w:rsidRPr="005C59F8">
              <w:rPr>
                <w:sz w:val="18"/>
                <w:szCs w:val="18"/>
                <w:rtl/>
              </w:rPr>
              <w:t>848</w:t>
            </w:r>
            <w:r w:rsidRPr="005C59F8">
              <w:rPr>
                <w:rFonts w:ascii="Traditional Arabic"/>
                <w:sz w:val="18"/>
                <w:szCs w:val="18"/>
                <w:rtl/>
              </w:rPr>
              <w:t xml:space="preserve"> </w:t>
            </w:r>
            <w:r w:rsidRPr="005C59F8">
              <w:rPr>
                <w:sz w:val="18"/>
                <w:szCs w:val="18"/>
                <w:rtl/>
              </w:rPr>
              <w:t>4</w:t>
            </w:r>
          </w:p>
        </w:tc>
        <w:tc>
          <w:tcPr>
            <w:tcW w:w="930" w:type="dxa"/>
            <w:tcBorders>
              <w:top w:val="single" w:sz="12" w:space="0" w:color="auto"/>
            </w:tcBorders>
            <w:shd w:val="clear" w:color="auto" w:fill="auto"/>
            <w:vAlign w:val="bottom"/>
            <w:hideMark/>
          </w:tcPr>
          <w:p w14:paraId="398755FC" w14:textId="77777777" w:rsidR="00A0227D" w:rsidRPr="005C59F8" w:rsidRDefault="00A0227D" w:rsidP="005C59F8">
            <w:pPr>
              <w:overflowPunct w:val="0"/>
              <w:autoSpaceDE w:val="0"/>
              <w:autoSpaceDN w:val="0"/>
              <w:adjustRightInd w:val="0"/>
              <w:spacing w:before="40" w:after="40" w:line="300" w:lineRule="exact"/>
              <w:ind w:left="57" w:right="113"/>
              <w:jc w:val="left"/>
              <w:textDirection w:val="tbRlV"/>
              <w:textAlignment w:val="baseline"/>
              <w:rPr>
                <w:sz w:val="18"/>
                <w:szCs w:val="18"/>
                <w:lang w:val="ar-SA" w:eastAsia="zh-TW" w:bidi="en-GB"/>
              </w:rPr>
            </w:pPr>
            <w:r w:rsidRPr="005C59F8">
              <w:rPr>
                <w:sz w:val="18"/>
                <w:szCs w:val="18"/>
                <w:rtl/>
              </w:rPr>
              <w:t>778</w:t>
            </w:r>
            <w:r w:rsidRPr="005C59F8">
              <w:rPr>
                <w:rFonts w:ascii="Traditional Arabic"/>
                <w:sz w:val="18"/>
                <w:szCs w:val="18"/>
                <w:rtl/>
              </w:rPr>
              <w:t xml:space="preserve"> </w:t>
            </w:r>
            <w:r w:rsidRPr="005C59F8">
              <w:rPr>
                <w:sz w:val="18"/>
                <w:szCs w:val="18"/>
                <w:rtl/>
              </w:rPr>
              <w:t>835</w:t>
            </w:r>
            <w:r w:rsidRPr="005C59F8">
              <w:rPr>
                <w:rFonts w:ascii="Traditional Arabic"/>
                <w:sz w:val="18"/>
                <w:szCs w:val="18"/>
                <w:rtl/>
              </w:rPr>
              <w:t xml:space="preserve"> </w:t>
            </w:r>
            <w:r w:rsidRPr="005C59F8">
              <w:rPr>
                <w:sz w:val="18"/>
                <w:szCs w:val="18"/>
                <w:rtl/>
              </w:rPr>
              <w:t>4</w:t>
            </w:r>
          </w:p>
        </w:tc>
      </w:tr>
      <w:tr w:rsidR="00A0227D" w:rsidRPr="005C59F8" w14:paraId="49CDAF44" w14:textId="77777777" w:rsidTr="00327BDA">
        <w:tc>
          <w:tcPr>
            <w:tcW w:w="1452" w:type="dxa"/>
            <w:shd w:val="clear" w:color="auto" w:fill="auto"/>
            <w:noWrap/>
            <w:hideMark/>
          </w:tcPr>
          <w:p w14:paraId="009004FA"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السويدية</w:t>
            </w:r>
          </w:p>
        </w:tc>
        <w:tc>
          <w:tcPr>
            <w:tcW w:w="968" w:type="dxa"/>
            <w:shd w:val="clear" w:color="auto" w:fill="auto"/>
            <w:noWrap/>
            <w:vAlign w:val="bottom"/>
            <w:hideMark/>
          </w:tcPr>
          <w:p w14:paraId="301B964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910</w:t>
            </w:r>
            <w:r w:rsidRPr="005C59F8">
              <w:rPr>
                <w:rFonts w:ascii="Traditional Arabic"/>
                <w:sz w:val="18"/>
                <w:szCs w:val="18"/>
                <w:rtl/>
              </w:rPr>
              <w:t xml:space="preserve"> </w:t>
            </w:r>
            <w:r w:rsidRPr="005C59F8">
              <w:rPr>
                <w:sz w:val="18"/>
                <w:szCs w:val="18"/>
                <w:rtl/>
              </w:rPr>
              <w:t>290</w:t>
            </w:r>
          </w:p>
        </w:tc>
        <w:tc>
          <w:tcPr>
            <w:tcW w:w="968" w:type="dxa"/>
            <w:shd w:val="clear" w:color="auto" w:fill="auto"/>
            <w:noWrap/>
            <w:vAlign w:val="bottom"/>
            <w:hideMark/>
          </w:tcPr>
          <w:p w14:paraId="2D61091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747</w:t>
            </w:r>
            <w:r w:rsidRPr="005C59F8">
              <w:rPr>
                <w:rFonts w:ascii="Traditional Arabic"/>
                <w:sz w:val="18"/>
                <w:szCs w:val="18"/>
                <w:rtl/>
              </w:rPr>
              <w:t xml:space="preserve"> </w:t>
            </w:r>
            <w:r w:rsidRPr="005C59F8">
              <w:rPr>
                <w:sz w:val="18"/>
                <w:szCs w:val="18"/>
                <w:rtl/>
              </w:rPr>
              <w:t>290</w:t>
            </w:r>
          </w:p>
        </w:tc>
        <w:tc>
          <w:tcPr>
            <w:tcW w:w="969" w:type="dxa"/>
            <w:shd w:val="clear" w:color="auto" w:fill="auto"/>
            <w:noWrap/>
            <w:vAlign w:val="bottom"/>
            <w:hideMark/>
          </w:tcPr>
          <w:p w14:paraId="7EA7BBB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161</w:t>
            </w:r>
            <w:r w:rsidRPr="005C59F8">
              <w:rPr>
                <w:rFonts w:ascii="Traditional Arabic"/>
                <w:sz w:val="18"/>
                <w:szCs w:val="18"/>
                <w:rtl/>
              </w:rPr>
              <w:t xml:space="preserve"> </w:t>
            </w:r>
            <w:r w:rsidRPr="005C59F8">
              <w:rPr>
                <w:sz w:val="18"/>
                <w:szCs w:val="18"/>
                <w:rtl/>
              </w:rPr>
              <w:t>290</w:t>
            </w:r>
          </w:p>
        </w:tc>
        <w:tc>
          <w:tcPr>
            <w:tcW w:w="968" w:type="dxa"/>
            <w:shd w:val="clear" w:color="auto" w:fill="auto"/>
            <w:noWrap/>
            <w:vAlign w:val="bottom"/>
            <w:hideMark/>
          </w:tcPr>
          <w:p w14:paraId="03DA698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540</w:t>
            </w:r>
            <w:r w:rsidRPr="005C59F8">
              <w:rPr>
                <w:rFonts w:ascii="Traditional Arabic"/>
                <w:sz w:val="18"/>
                <w:szCs w:val="18"/>
                <w:rtl/>
              </w:rPr>
              <w:t xml:space="preserve"> </w:t>
            </w:r>
            <w:r w:rsidRPr="005C59F8">
              <w:rPr>
                <w:sz w:val="18"/>
                <w:szCs w:val="18"/>
                <w:rtl/>
              </w:rPr>
              <w:t>289</w:t>
            </w:r>
          </w:p>
        </w:tc>
        <w:tc>
          <w:tcPr>
            <w:tcW w:w="968" w:type="dxa"/>
            <w:shd w:val="clear" w:color="auto" w:fill="auto"/>
            <w:vAlign w:val="bottom"/>
            <w:hideMark/>
          </w:tcPr>
          <w:p w14:paraId="6D0F989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052</w:t>
            </w:r>
            <w:r w:rsidRPr="005C59F8">
              <w:rPr>
                <w:rFonts w:ascii="Traditional Arabic"/>
                <w:sz w:val="18"/>
                <w:szCs w:val="18"/>
                <w:rtl/>
              </w:rPr>
              <w:t xml:space="preserve"> </w:t>
            </w:r>
            <w:r w:rsidRPr="005C59F8">
              <w:rPr>
                <w:sz w:val="18"/>
                <w:szCs w:val="18"/>
                <w:rtl/>
              </w:rPr>
              <w:t>289</w:t>
            </w:r>
          </w:p>
        </w:tc>
        <w:tc>
          <w:tcPr>
            <w:tcW w:w="930" w:type="dxa"/>
            <w:shd w:val="clear" w:color="auto" w:fill="auto"/>
            <w:vAlign w:val="bottom"/>
            <w:hideMark/>
          </w:tcPr>
          <w:p w14:paraId="0A5DC14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400</w:t>
            </w:r>
            <w:r w:rsidRPr="005C59F8">
              <w:rPr>
                <w:rFonts w:ascii="Traditional Arabic"/>
                <w:sz w:val="18"/>
                <w:szCs w:val="18"/>
                <w:rtl/>
              </w:rPr>
              <w:t xml:space="preserve"> </w:t>
            </w:r>
            <w:r w:rsidRPr="005C59F8">
              <w:rPr>
                <w:sz w:val="18"/>
                <w:szCs w:val="18"/>
                <w:rtl/>
              </w:rPr>
              <w:t>288</w:t>
            </w:r>
          </w:p>
        </w:tc>
      </w:tr>
      <w:tr w:rsidR="00A0227D" w:rsidRPr="005C59F8" w14:paraId="7EAB14CB" w14:textId="77777777" w:rsidTr="00327BDA">
        <w:tc>
          <w:tcPr>
            <w:tcW w:w="1452" w:type="dxa"/>
            <w:shd w:val="clear" w:color="auto" w:fill="auto"/>
            <w:noWrap/>
            <w:hideMark/>
          </w:tcPr>
          <w:p w14:paraId="72C9AD0D" w14:textId="77777777" w:rsidR="00A0227D" w:rsidRPr="00327BDA" w:rsidRDefault="00A0227D" w:rsidP="00327BDA">
            <w:pPr>
              <w:spacing w:before="40" w:after="40" w:line="300" w:lineRule="exact"/>
              <w:ind w:right="113"/>
              <w:textDirection w:val="tbRlV"/>
              <w:rPr>
                <w:bCs/>
                <w:sz w:val="28"/>
                <w:szCs w:val="28"/>
                <w:rtl/>
                <w:lang w:val="fr-CH" w:eastAsia="zh-TW" w:bidi="en-GB"/>
              </w:rPr>
            </w:pPr>
            <w:r w:rsidRPr="00327BDA">
              <w:rPr>
                <w:sz w:val="28"/>
                <w:szCs w:val="28"/>
                <w:rtl/>
              </w:rPr>
              <w:t>الصامية</w:t>
            </w:r>
          </w:p>
        </w:tc>
        <w:tc>
          <w:tcPr>
            <w:tcW w:w="968" w:type="dxa"/>
            <w:shd w:val="clear" w:color="auto" w:fill="auto"/>
            <w:noWrap/>
            <w:vAlign w:val="bottom"/>
            <w:hideMark/>
          </w:tcPr>
          <w:p w14:paraId="3E00B466"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930</w:t>
            </w:r>
            <w:r w:rsidRPr="005C59F8">
              <w:rPr>
                <w:rFonts w:ascii="Traditional Arabic"/>
                <w:sz w:val="18"/>
                <w:szCs w:val="18"/>
                <w:rtl/>
              </w:rPr>
              <w:t xml:space="preserve"> </w:t>
            </w:r>
            <w:r w:rsidRPr="005C59F8">
              <w:rPr>
                <w:sz w:val="18"/>
                <w:szCs w:val="18"/>
                <w:rtl/>
              </w:rPr>
              <w:t>1</w:t>
            </w:r>
          </w:p>
        </w:tc>
        <w:tc>
          <w:tcPr>
            <w:tcW w:w="968" w:type="dxa"/>
            <w:shd w:val="clear" w:color="auto" w:fill="auto"/>
            <w:noWrap/>
            <w:vAlign w:val="bottom"/>
            <w:hideMark/>
          </w:tcPr>
          <w:p w14:paraId="3C157D74"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949</w:t>
            </w:r>
            <w:r w:rsidRPr="005C59F8">
              <w:rPr>
                <w:rFonts w:ascii="Traditional Arabic"/>
                <w:sz w:val="18"/>
                <w:szCs w:val="18"/>
                <w:rtl/>
              </w:rPr>
              <w:t xml:space="preserve"> </w:t>
            </w:r>
            <w:r w:rsidRPr="005C59F8">
              <w:rPr>
                <w:sz w:val="18"/>
                <w:szCs w:val="18"/>
                <w:rtl/>
              </w:rPr>
              <w:t>1</w:t>
            </w:r>
          </w:p>
        </w:tc>
        <w:tc>
          <w:tcPr>
            <w:tcW w:w="969" w:type="dxa"/>
            <w:shd w:val="clear" w:color="auto" w:fill="auto"/>
            <w:noWrap/>
            <w:vAlign w:val="bottom"/>
            <w:hideMark/>
          </w:tcPr>
          <w:p w14:paraId="1F7AA12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957</w:t>
            </w:r>
            <w:r w:rsidRPr="005C59F8">
              <w:rPr>
                <w:rFonts w:ascii="Traditional Arabic"/>
                <w:sz w:val="18"/>
                <w:szCs w:val="18"/>
                <w:rtl/>
              </w:rPr>
              <w:t xml:space="preserve"> </w:t>
            </w:r>
            <w:r w:rsidRPr="005C59F8">
              <w:rPr>
                <w:sz w:val="18"/>
                <w:szCs w:val="18"/>
                <w:rtl/>
              </w:rPr>
              <w:t>1</w:t>
            </w:r>
          </w:p>
        </w:tc>
        <w:tc>
          <w:tcPr>
            <w:tcW w:w="968" w:type="dxa"/>
            <w:shd w:val="clear" w:color="auto" w:fill="auto"/>
            <w:noWrap/>
            <w:vAlign w:val="bottom"/>
            <w:hideMark/>
          </w:tcPr>
          <w:p w14:paraId="3E856974"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969</w:t>
            </w:r>
            <w:r w:rsidRPr="005C59F8">
              <w:rPr>
                <w:rFonts w:ascii="Traditional Arabic"/>
                <w:sz w:val="18"/>
                <w:szCs w:val="18"/>
                <w:rtl/>
              </w:rPr>
              <w:t xml:space="preserve"> </w:t>
            </w:r>
            <w:r w:rsidRPr="005C59F8">
              <w:rPr>
                <w:sz w:val="18"/>
                <w:szCs w:val="18"/>
                <w:rtl/>
              </w:rPr>
              <w:t>1</w:t>
            </w:r>
          </w:p>
        </w:tc>
        <w:tc>
          <w:tcPr>
            <w:tcW w:w="968" w:type="dxa"/>
            <w:shd w:val="clear" w:color="auto" w:fill="auto"/>
            <w:vAlign w:val="bottom"/>
            <w:hideMark/>
          </w:tcPr>
          <w:p w14:paraId="1F2B4C8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992</w:t>
            </w:r>
            <w:r w:rsidRPr="005C59F8">
              <w:rPr>
                <w:rFonts w:ascii="Traditional Arabic"/>
                <w:sz w:val="18"/>
                <w:szCs w:val="18"/>
                <w:rtl/>
              </w:rPr>
              <w:t xml:space="preserve"> </w:t>
            </w:r>
            <w:r w:rsidRPr="005C59F8">
              <w:rPr>
                <w:sz w:val="18"/>
                <w:szCs w:val="18"/>
                <w:rtl/>
              </w:rPr>
              <w:t>1</w:t>
            </w:r>
          </w:p>
        </w:tc>
        <w:tc>
          <w:tcPr>
            <w:tcW w:w="930" w:type="dxa"/>
            <w:shd w:val="clear" w:color="auto" w:fill="auto"/>
            <w:vAlign w:val="bottom"/>
            <w:hideMark/>
          </w:tcPr>
          <w:p w14:paraId="5B23922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995</w:t>
            </w:r>
            <w:r w:rsidRPr="005C59F8">
              <w:rPr>
                <w:rFonts w:ascii="Traditional Arabic"/>
                <w:sz w:val="18"/>
                <w:szCs w:val="18"/>
                <w:rtl/>
              </w:rPr>
              <w:t xml:space="preserve"> </w:t>
            </w:r>
            <w:r w:rsidRPr="005C59F8">
              <w:rPr>
                <w:sz w:val="18"/>
                <w:szCs w:val="18"/>
                <w:rtl/>
              </w:rPr>
              <w:t>1</w:t>
            </w:r>
          </w:p>
        </w:tc>
      </w:tr>
      <w:tr w:rsidR="00A0227D" w:rsidRPr="005C59F8" w14:paraId="01DA0823" w14:textId="77777777" w:rsidTr="00327BDA">
        <w:tc>
          <w:tcPr>
            <w:tcW w:w="1452" w:type="dxa"/>
            <w:tcBorders>
              <w:bottom w:val="nil"/>
            </w:tcBorders>
            <w:shd w:val="clear" w:color="auto" w:fill="auto"/>
            <w:noWrap/>
            <w:hideMark/>
          </w:tcPr>
          <w:p w14:paraId="0449B127"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اللغات الأخرى</w:t>
            </w:r>
            <w:r w:rsidRPr="00BB79C1">
              <w:rPr>
                <w:rtl/>
              </w:rPr>
              <w:t>:</w:t>
            </w:r>
          </w:p>
        </w:tc>
        <w:tc>
          <w:tcPr>
            <w:tcW w:w="968" w:type="dxa"/>
            <w:tcBorders>
              <w:bottom w:val="nil"/>
            </w:tcBorders>
            <w:shd w:val="clear" w:color="auto" w:fill="auto"/>
            <w:noWrap/>
            <w:vAlign w:val="bottom"/>
            <w:hideMark/>
          </w:tcPr>
          <w:p w14:paraId="1A1DCCF5" w14:textId="77777777" w:rsidR="00A0227D" w:rsidRPr="005C59F8" w:rsidRDefault="00A0227D" w:rsidP="005C59F8">
            <w:pPr>
              <w:spacing w:before="40" w:after="40" w:line="300" w:lineRule="exact"/>
              <w:ind w:left="57" w:right="113"/>
              <w:jc w:val="left"/>
              <w:rPr>
                <w:sz w:val="18"/>
                <w:szCs w:val="18"/>
              </w:rPr>
            </w:pPr>
          </w:p>
        </w:tc>
        <w:tc>
          <w:tcPr>
            <w:tcW w:w="968" w:type="dxa"/>
            <w:tcBorders>
              <w:bottom w:val="nil"/>
            </w:tcBorders>
            <w:shd w:val="clear" w:color="auto" w:fill="auto"/>
            <w:noWrap/>
            <w:vAlign w:val="bottom"/>
            <w:hideMark/>
          </w:tcPr>
          <w:p w14:paraId="044C97CB" w14:textId="77777777" w:rsidR="00A0227D" w:rsidRPr="005C59F8" w:rsidRDefault="00A0227D" w:rsidP="005C59F8">
            <w:pPr>
              <w:spacing w:before="40" w:after="40" w:line="300" w:lineRule="exact"/>
              <w:ind w:left="57" w:right="113"/>
              <w:jc w:val="left"/>
              <w:rPr>
                <w:sz w:val="18"/>
                <w:szCs w:val="18"/>
              </w:rPr>
            </w:pPr>
          </w:p>
        </w:tc>
        <w:tc>
          <w:tcPr>
            <w:tcW w:w="969" w:type="dxa"/>
            <w:tcBorders>
              <w:bottom w:val="nil"/>
            </w:tcBorders>
            <w:shd w:val="clear" w:color="auto" w:fill="auto"/>
            <w:noWrap/>
            <w:vAlign w:val="bottom"/>
            <w:hideMark/>
          </w:tcPr>
          <w:p w14:paraId="0967F07C" w14:textId="77777777" w:rsidR="00A0227D" w:rsidRPr="005C59F8" w:rsidRDefault="00A0227D" w:rsidP="005C59F8">
            <w:pPr>
              <w:spacing w:before="40" w:after="40" w:line="300" w:lineRule="exact"/>
              <w:ind w:left="57" w:right="113"/>
              <w:jc w:val="left"/>
              <w:rPr>
                <w:sz w:val="18"/>
                <w:szCs w:val="18"/>
              </w:rPr>
            </w:pPr>
          </w:p>
        </w:tc>
        <w:tc>
          <w:tcPr>
            <w:tcW w:w="968" w:type="dxa"/>
            <w:tcBorders>
              <w:bottom w:val="nil"/>
            </w:tcBorders>
            <w:shd w:val="clear" w:color="auto" w:fill="auto"/>
            <w:noWrap/>
            <w:vAlign w:val="bottom"/>
            <w:hideMark/>
          </w:tcPr>
          <w:p w14:paraId="73817F30" w14:textId="77777777" w:rsidR="00A0227D" w:rsidRPr="005C59F8" w:rsidRDefault="00A0227D" w:rsidP="005C59F8">
            <w:pPr>
              <w:spacing w:before="40" w:after="40" w:line="300" w:lineRule="exact"/>
              <w:ind w:left="57" w:right="113"/>
              <w:jc w:val="left"/>
              <w:rPr>
                <w:sz w:val="18"/>
                <w:szCs w:val="18"/>
              </w:rPr>
            </w:pPr>
          </w:p>
        </w:tc>
        <w:tc>
          <w:tcPr>
            <w:tcW w:w="968" w:type="dxa"/>
            <w:tcBorders>
              <w:bottom w:val="nil"/>
            </w:tcBorders>
            <w:shd w:val="clear" w:color="auto" w:fill="auto"/>
            <w:vAlign w:val="bottom"/>
          </w:tcPr>
          <w:p w14:paraId="49F952D7" w14:textId="77777777" w:rsidR="00A0227D" w:rsidRPr="005C59F8" w:rsidRDefault="00A0227D" w:rsidP="005C59F8">
            <w:pPr>
              <w:spacing w:before="40" w:after="40" w:line="300" w:lineRule="exact"/>
              <w:ind w:left="57" w:right="113"/>
              <w:jc w:val="left"/>
              <w:rPr>
                <w:sz w:val="18"/>
                <w:szCs w:val="18"/>
              </w:rPr>
            </w:pPr>
          </w:p>
        </w:tc>
        <w:tc>
          <w:tcPr>
            <w:tcW w:w="930" w:type="dxa"/>
            <w:tcBorders>
              <w:bottom w:val="nil"/>
            </w:tcBorders>
            <w:shd w:val="clear" w:color="auto" w:fill="auto"/>
            <w:vAlign w:val="bottom"/>
          </w:tcPr>
          <w:p w14:paraId="7CEBEC6D" w14:textId="77777777" w:rsidR="00A0227D" w:rsidRPr="005C59F8" w:rsidRDefault="00A0227D" w:rsidP="005C59F8">
            <w:pPr>
              <w:spacing w:before="40" w:after="40" w:line="300" w:lineRule="exact"/>
              <w:ind w:left="57" w:right="113"/>
              <w:jc w:val="left"/>
              <w:rPr>
                <w:sz w:val="18"/>
                <w:szCs w:val="18"/>
              </w:rPr>
            </w:pPr>
          </w:p>
        </w:tc>
      </w:tr>
      <w:tr w:rsidR="00A0227D" w:rsidRPr="005C59F8" w14:paraId="234E1178" w14:textId="77777777" w:rsidTr="00327BDA">
        <w:tc>
          <w:tcPr>
            <w:tcW w:w="1452" w:type="dxa"/>
            <w:tcBorders>
              <w:top w:val="nil"/>
              <w:bottom w:val="nil"/>
            </w:tcBorders>
            <w:shd w:val="clear" w:color="auto" w:fill="auto"/>
            <w:noWrap/>
            <w:hideMark/>
          </w:tcPr>
          <w:p w14:paraId="2476E7FB"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الروسية</w:t>
            </w:r>
          </w:p>
        </w:tc>
        <w:tc>
          <w:tcPr>
            <w:tcW w:w="968" w:type="dxa"/>
            <w:tcBorders>
              <w:top w:val="nil"/>
              <w:bottom w:val="nil"/>
            </w:tcBorders>
            <w:shd w:val="clear" w:color="auto" w:fill="auto"/>
            <w:noWrap/>
            <w:vAlign w:val="bottom"/>
            <w:hideMark/>
          </w:tcPr>
          <w:p w14:paraId="00AE43A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379</w:t>
            </w:r>
            <w:r w:rsidRPr="005C59F8">
              <w:rPr>
                <w:rFonts w:ascii="Traditional Arabic"/>
                <w:sz w:val="18"/>
                <w:szCs w:val="18"/>
                <w:rtl/>
              </w:rPr>
              <w:t xml:space="preserve"> </w:t>
            </w:r>
            <w:r w:rsidRPr="005C59F8">
              <w:rPr>
                <w:sz w:val="18"/>
                <w:szCs w:val="18"/>
                <w:rtl/>
              </w:rPr>
              <w:t>66</w:t>
            </w:r>
          </w:p>
        </w:tc>
        <w:tc>
          <w:tcPr>
            <w:tcW w:w="968" w:type="dxa"/>
            <w:tcBorders>
              <w:top w:val="nil"/>
              <w:bottom w:val="nil"/>
            </w:tcBorders>
            <w:shd w:val="clear" w:color="auto" w:fill="auto"/>
            <w:noWrap/>
            <w:vAlign w:val="bottom"/>
            <w:hideMark/>
          </w:tcPr>
          <w:p w14:paraId="38673D3B"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614</w:t>
            </w:r>
            <w:r w:rsidRPr="005C59F8">
              <w:rPr>
                <w:rFonts w:ascii="Traditional Arabic"/>
                <w:sz w:val="18"/>
                <w:szCs w:val="18"/>
                <w:rtl/>
              </w:rPr>
              <w:t xml:space="preserve"> </w:t>
            </w:r>
            <w:r w:rsidRPr="005C59F8">
              <w:rPr>
                <w:sz w:val="18"/>
                <w:szCs w:val="18"/>
                <w:rtl/>
              </w:rPr>
              <w:t>69</w:t>
            </w:r>
          </w:p>
        </w:tc>
        <w:tc>
          <w:tcPr>
            <w:tcW w:w="969" w:type="dxa"/>
            <w:tcBorders>
              <w:top w:val="nil"/>
              <w:bottom w:val="nil"/>
            </w:tcBorders>
            <w:shd w:val="clear" w:color="auto" w:fill="auto"/>
            <w:noWrap/>
            <w:vAlign w:val="bottom"/>
            <w:hideMark/>
          </w:tcPr>
          <w:p w14:paraId="6BA4E42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436</w:t>
            </w:r>
            <w:r w:rsidRPr="005C59F8">
              <w:rPr>
                <w:rFonts w:ascii="Traditional Arabic"/>
                <w:sz w:val="18"/>
                <w:szCs w:val="18"/>
                <w:rtl/>
              </w:rPr>
              <w:t xml:space="preserve"> </w:t>
            </w:r>
            <w:r w:rsidRPr="005C59F8">
              <w:rPr>
                <w:sz w:val="18"/>
                <w:szCs w:val="18"/>
                <w:rtl/>
              </w:rPr>
              <w:t>72</w:t>
            </w:r>
          </w:p>
        </w:tc>
        <w:tc>
          <w:tcPr>
            <w:tcW w:w="968" w:type="dxa"/>
            <w:tcBorders>
              <w:top w:val="nil"/>
              <w:bottom w:val="nil"/>
            </w:tcBorders>
            <w:shd w:val="clear" w:color="auto" w:fill="auto"/>
            <w:noWrap/>
            <w:vAlign w:val="bottom"/>
            <w:hideMark/>
          </w:tcPr>
          <w:p w14:paraId="2FD1FB7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444</w:t>
            </w:r>
            <w:r w:rsidRPr="005C59F8">
              <w:rPr>
                <w:rFonts w:ascii="Traditional Arabic"/>
                <w:sz w:val="18"/>
                <w:szCs w:val="18"/>
                <w:rtl/>
              </w:rPr>
              <w:t xml:space="preserve"> </w:t>
            </w:r>
            <w:r w:rsidRPr="005C59F8">
              <w:rPr>
                <w:sz w:val="18"/>
                <w:szCs w:val="18"/>
                <w:rtl/>
              </w:rPr>
              <w:t>75</w:t>
            </w:r>
          </w:p>
        </w:tc>
        <w:tc>
          <w:tcPr>
            <w:tcW w:w="968" w:type="dxa"/>
            <w:tcBorders>
              <w:top w:val="nil"/>
              <w:bottom w:val="nil"/>
            </w:tcBorders>
            <w:shd w:val="clear" w:color="auto" w:fill="auto"/>
            <w:vAlign w:val="bottom"/>
            <w:hideMark/>
          </w:tcPr>
          <w:p w14:paraId="25AA01B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177</w:t>
            </w:r>
            <w:r w:rsidRPr="005C59F8">
              <w:rPr>
                <w:rFonts w:ascii="Traditional Arabic"/>
                <w:sz w:val="18"/>
                <w:szCs w:val="18"/>
                <w:rtl/>
              </w:rPr>
              <w:t xml:space="preserve"> </w:t>
            </w:r>
            <w:r w:rsidRPr="005C59F8">
              <w:rPr>
                <w:sz w:val="18"/>
                <w:szCs w:val="18"/>
                <w:rtl/>
              </w:rPr>
              <w:t>77</w:t>
            </w:r>
          </w:p>
        </w:tc>
        <w:tc>
          <w:tcPr>
            <w:tcW w:w="930" w:type="dxa"/>
            <w:tcBorders>
              <w:top w:val="nil"/>
              <w:bottom w:val="nil"/>
            </w:tcBorders>
            <w:shd w:val="clear" w:color="auto" w:fill="auto"/>
            <w:vAlign w:val="bottom"/>
            <w:hideMark/>
          </w:tcPr>
          <w:p w14:paraId="060FB2E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225</w:t>
            </w:r>
            <w:r w:rsidRPr="005C59F8">
              <w:rPr>
                <w:rFonts w:ascii="Traditional Arabic"/>
                <w:sz w:val="18"/>
                <w:szCs w:val="18"/>
                <w:rtl/>
              </w:rPr>
              <w:t xml:space="preserve"> </w:t>
            </w:r>
            <w:r w:rsidRPr="005C59F8">
              <w:rPr>
                <w:sz w:val="18"/>
                <w:szCs w:val="18"/>
                <w:rtl/>
              </w:rPr>
              <w:t>79</w:t>
            </w:r>
          </w:p>
        </w:tc>
      </w:tr>
      <w:tr w:rsidR="00A0227D" w:rsidRPr="005C59F8" w14:paraId="3C995C37" w14:textId="77777777" w:rsidTr="00327BDA">
        <w:tc>
          <w:tcPr>
            <w:tcW w:w="1452" w:type="dxa"/>
            <w:tcBorders>
              <w:top w:val="nil"/>
            </w:tcBorders>
            <w:shd w:val="clear" w:color="auto" w:fill="auto"/>
            <w:noWrap/>
            <w:hideMark/>
          </w:tcPr>
          <w:p w14:paraId="0500F71F"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lastRenderedPageBreak/>
              <w:t>الإستونية</w:t>
            </w:r>
          </w:p>
        </w:tc>
        <w:tc>
          <w:tcPr>
            <w:tcW w:w="968" w:type="dxa"/>
            <w:tcBorders>
              <w:top w:val="nil"/>
            </w:tcBorders>
            <w:shd w:val="clear" w:color="auto" w:fill="auto"/>
            <w:noWrap/>
            <w:vAlign w:val="bottom"/>
            <w:hideMark/>
          </w:tcPr>
          <w:p w14:paraId="1115218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936</w:t>
            </w:r>
            <w:r w:rsidRPr="005C59F8">
              <w:rPr>
                <w:rFonts w:ascii="Traditional Arabic"/>
                <w:sz w:val="18"/>
                <w:szCs w:val="18"/>
                <w:rtl/>
              </w:rPr>
              <w:t xml:space="preserve"> </w:t>
            </w:r>
            <w:r w:rsidRPr="005C59F8">
              <w:rPr>
                <w:sz w:val="18"/>
                <w:szCs w:val="18"/>
                <w:rtl/>
              </w:rPr>
              <w:t>42</w:t>
            </w:r>
          </w:p>
        </w:tc>
        <w:tc>
          <w:tcPr>
            <w:tcW w:w="968" w:type="dxa"/>
            <w:tcBorders>
              <w:top w:val="nil"/>
            </w:tcBorders>
            <w:shd w:val="clear" w:color="auto" w:fill="auto"/>
            <w:noWrap/>
            <w:vAlign w:val="bottom"/>
            <w:hideMark/>
          </w:tcPr>
          <w:p w14:paraId="72B3F38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195</w:t>
            </w:r>
            <w:r w:rsidRPr="005C59F8">
              <w:rPr>
                <w:rFonts w:ascii="Traditional Arabic"/>
                <w:sz w:val="18"/>
                <w:szCs w:val="18"/>
                <w:rtl/>
              </w:rPr>
              <w:t xml:space="preserve"> </w:t>
            </w:r>
            <w:r w:rsidRPr="005C59F8">
              <w:rPr>
                <w:sz w:val="18"/>
                <w:szCs w:val="18"/>
                <w:rtl/>
              </w:rPr>
              <w:t>46</w:t>
            </w:r>
          </w:p>
        </w:tc>
        <w:tc>
          <w:tcPr>
            <w:tcW w:w="969" w:type="dxa"/>
            <w:tcBorders>
              <w:top w:val="nil"/>
            </w:tcBorders>
            <w:shd w:val="clear" w:color="auto" w:fill="auto"/>
            <w:noWrap/>
            <w:vAlign w:val="bottom"/>
            <w:hideMark/>
          </w:tcPr>
          <w:p w14:paraId="7C92B126"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087</w:t>
            </w:r>
            <w:r w:rsidRPr="005C59F8">
              <w:rPr>
                <w:rFonts w:ascii="Traditional Arabic"/>
                <w:sz w:val="18"/>
                <w:szCs w:val="18"/>
                <w:rtl/>
              </w:rPr>
              <w:t xml:space="preserve"> </w:t>
            </w:r>
            <w:r w:rsidRPr="005C59F8">
              <w:rPr>
                <w:sz w:val="18"/>
                <w:szCs w:val="18"/>
                <w:rtl/>
              </w:rPr>
              <w:t>48</w:t>
            </w:r>
          </w:p>
        </w:tc>
        <w:tc>
          <w:tcPr>
            <w:tcW w:w="968" w:type="dxa"/>
            <w:tcBorders>
              <w:top w:val="nil"/>
            </w:tcBorders>
            <w:shd w:val="clear" w:color="auto" w:fill="auto"/>
            <w:noWrap/>
            <w:vAlign w:val="bottom"/>
            <w:hideMark/>
          </w:tcPr>
          <w:p w14:paraId="22A2EBA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241</w:t>
            </w:r>
            <w:r w:rsidRPr="005C59F8">
              <w:rPr>
                <w:rFonts w:ascii="Traditional Arabic"/>
                <w:sz w:val="18"/>
                <w:szCs w:val="18"/>
                <w:rtl/>
              </w:rPr>
              <w:t xml:space="preserve"> </w:t>
            </w:r>
            <w:r w:rsidRPr="005C59F8">
              <w:rPr>
                <w:sz w:val="18"/>
                <w:szCs w:val="18"/>
                <w:rtl/>
              </w:rPr>
              <w:t>49</w:t>
            </w:r>
          </w:p>
        </w:tc>
        <w:tc>
          <w:tcPr>
            <w:tcW w:w="968" w:type="dxa"/>
            <w:tcBorders>
              <w:top w:val="nil"/>
            </w:tcBorders>
            <w:shd w:val="clear" w:color="auto" w:fill="auto"/>
            <w:vAlign w:val="bottom"/>
            <w:hideMark/>
          </w:tcPr>
          <w:p w14:paraId="5F3822D6"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590</w:t>
            </w:r>
            <w:r w:rsidRPr="005C59F8">
              <w:rPr>
                <w:rFonts w:ascii="Traditional Arabic"/>
                <w:sz w:val="18"/>
                <w:szCs w:val="18"/>
                <w:rtl/>
              </w:rPr>
              <w:t xml:space="preserve"> </w:t>
            </w:r>
            <w:r w:rsidRPr="005C59F8">
              <w:rPr>
                <w:sz w:val="18"/>
                <w:szCs w:val="18"/>
                <w:rtl/>
              </w:rPr>
              <w:t>49</w:t>
            </w:r>
          </w:p>
        </w:tc>
        <w:tc>
          <w:tcPr>
            <w:tcW w:w="930" w:type="dxa"/>
            <w:tcBorders>
              <w:top w:val="nil"/>
            </w:tcBorders>
            <w:shd w:val="clear" w:color="auto" w:fill="auto"/>
            <w:vAlign w:val="bottom"/>
            <w:hideMark/>
          </w:tcPr>
          <w:p w14:paraId="079D678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691</w:t>
            </w:r>
            <w:r w:rsidRPr="005C59F8">
              <w:rPr>
                <w:rFonts w:ascii="Traditional Arabic"/>
                <w:sz w:val="18"/>
                <w:szCs w:val="18"/>
                <w:rtl/>
              </w:rPr>
              <w:t xml:space="preserve"> </w:t>
            </w:r>
            <w:r w:rsidRPr="005C59F8">
              <w:rPr>
                <w:sz w:val="18"/>
                <w:szCs w:val="18"/>
                <w:rtl/>
              </w:rPr>
              <w:t>49</w:t>
            </w:r>
          </w:p>
        </w:tc>
      </w:tr>
      <w:tr w:rsidR="00A0227D" w:rsidRPr="005C59F8" w14:paraId="155199CB" w14:textId="77777777" w:rsidTr="00327BDA">
        <w:tc>
          <w:tcPr>
            <w:tcW w:w="1452" w:type="dxa"/>
            <w:shd w:val="clear" w:color="auto" w:fill="auto"/>
            <w:noWrap/>
            <w:hideMark/>
          </w:tcPr>
          <w:p w14:paraId="62739055"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العربية</w:t>
            </w:r>
          </w:p>
        </w:tc>
        <w:tc>
          <w:tcPr>
            <w:tcW w:w="968" w:type="dxa"/>
            <w:shd w:val="clear" w:color="auto" w:fill="auto"/>
            <w:noWrap/>
            <w:vAlign w:val="bottom"/>
            <w:hideMark/>
          </w:tcPr>
          <w:p w14:paraId="0674EB5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170</w:t>
            </w:r>
            <w:r w:rsidRPr="005C59F8">
              <w:rPr>
                <w:rFonts w:ascii="Traditional Arabic"/>
                <w:sz w:val="18"/>
                <w:szCs w:val="18"/>
                <w:rtl/>
              </w:rPr>
              <w:t xml:space="preserve"> </w:t>
            </w:r>
            <w:r w:rsidRPr="005C59F8">
              <w:rPr>
                <w:sz w:val="18"/>
                <w:szCs w:val="18"/>
                <w:rtl/>
              </w:rPr>
              <w:t>13</w:t>
            </w:r>
          </w:p>
        </w:tc>
        <w:tc>
          <w:tcPr>
            <w:tcW w:w="968" w:type="dxa"/>
            <w:shd w:val="clear" w:color="auto" w:fill="auto"/>
            <w:noWrap/>
            <w:vAlign w:val="bottom"/>
            <w:hideMark/>
          </w:tcPr>
          <w:p w14:paraId="4E762A7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825</w:t>
            </w:r>
            <w:r w:rsidRPr="005C59F8">
              <w:rPr>
                <w:rFonts w:ascii="Traditional Arabic"/>
                <w:sz w:val="18"/>
                <w:szCs w:val="18"/>
                <w:rtl/>
              </w:rPr>
              <w:t xml:space="preserve"> </w:t>
            </w:r>
            <w:r w:rsidRPr="005C59F8">
              <w:rPr>
                <w:sz w:val="18"/>
                <w:szCs w:val="18"/>
                <w:rtl/>
              </w:rPr>
              <w:t>14</w:t>
            </w:r>
          </w:p>
        </w:tc>
        <w:tc>
          <w:tcPr>
            <w:tcW w:w="969" w:type="dxa"/>
            <w:shd w:val="clear" w:color="auto" w:fill="auto"/>
            <w:noWrap/>
            <w:vAlign w:val="bottom"/>
            <w:hideMark/>
          </w:tcPr>
          <w:p w14:paraId="2649309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713</w:t>
            </w:r>
            <w:r w:rsidRPr="005C59F8">
              <w:rPr>
                <w:rFonts w:ascii="Traditional Arabic"/>
                <w:sz w:val="18"/>
                <w:szCs w:val="18"/>
                <w:rtl/>
              </w:rPr>
              <w:t xml:space="preserve"> </w:t>
            </w:r>
            <w:r w:rsidRPr="005C59F8">
              <w:rPr>
                <w:sz w:val="18"/>
                <w:szCs w:val="18"/>
                <w:rtl/>
              </w:rPr>
              <w:t>16</w:t>
            </w:r>
          </w:p>
        </w:tc>
        <w:tc>
          <w:tcPr>
            <w:tcW w:w="968" w:type="dxa"/>
            <w:shd w:val="clear" w:color="auto" w:fill="auto"/>
            <w:noWrap/>
            <w:vAlign w:val="bottom"/>
            <w:hideMark/>
          </w:tcPr>
          <w:p w14:paraId="60D8E9C4"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783</w:t>
            </w:r>
            <w:r w:rsidRPr="005C59F8">
              <w:rPr>
                <w:rFonts w:ascii="Traditional Arabic"/>
                <w:sz w:val="18"/>
                <w:szCs w:val="18"/>
                <w:rtl/>
              </w:rPr>
              <w:t xml:space="preserve"> </w:t>
            </w:r>
            <w:r w:rsidRPr="005C59F8">
              <w:rPr>
                <w:sz w:val="18"/>
                <w:szCs w:val="18"/>
                <w:rtl/>
              </w:rPr>
              <w:t>21</w:t>
            </w:r>
          </w:p>
        </w:tc>
        <w:tc>
          <w:tcPr>
            <w:tcW w:w="968" w:type="dxa"/>
            <w:shd w:val="clear" w:color="auto" w:fill="auto"/>
            <w:vAlign w:val="bottom"/>
            <w:hideMark/>
          </w:tcPr>
          <w:p w14:paraId="7C8CDBC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467</w:t>
            </w:r>
            <w:r w:rsidRPr="005C59F8">
              <w:rPr>
                <w:rFonts w:ascii="Traditional Arabic"/>
                <w:sz w:val="18"/>
                <w:szCs w:val="18"/>
                <w:rtl/>
              </w:rPr>
              <w:t xml:space="preserve"> </w:t>
            </w:r>
            <w:r w:rsidRPr="005C59F8">
              <w:rPr>
                <w:sz w:val="18"/>
                <w:szCs w:val="18"/>
                <w:rtl/>
              </w:rPr>
              <w:t>26</w:t>
            </w:r>
          </w:p>
        </w:tc>
        <w:tc>
          <w:tcPr>
            <w:tcW w:w="930" w:type="dxa"/>
            <w:shd w:val="clear" w:color="auto" w:fill="auto"/>
            <w:vAlign w:val="bottom"/>
            <w:hideMark/>
          </w:tcPr>
          <w:p w14:paraId="42D8E18C"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462</w:t>
            </w:r>
            <w:r w:rsidRPr="005C59F8">
              <w:rPr>
                <w:rFonts w:ascii="Traditional Arabic"/>
                <w:sz w:val="18"/>
                <w:szCs w:val="18"/>
                <w:rtl/>
              </w:rPr>
              <w:t xml:space="preserve"> </w:t>
            </w:r>
            <w:r w:rsidRPr="005C59F8">
              <w:rPr>
                <w:sz w:val="18"/>
                <w:szCs w:val="18"/>
                <w:rtl/>
              </w:rPr>
              <w:t>29</w:t>
            </w:r>
          </w:p>
        </w:tc>
      </w:tr>
      <w:tr w:rsidR="00A0227D" w:rsidRPr="005C59F8" w14:paraId="7B61ECD4" w14:textId="77777777" w:rsidTr="00327BDA">
        <w:tc>
          <w:tcPr>
            <w:tcW w:w="1452" w:type="dxa"/>
            <w:shd w:val="clear" w:color="auto" w:fill="auto"/>
            <w:noWrap/>
            <w:hideMark/>
          </w:tcPr>
          <w:p w14:paraId="7685C3BB"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الصومالية</w:t>
            </w:r>
            <w:r w:rsidRPr="00327BDA">
              <w:rPr>
                <w:sz w:val="28"/>
                <w:szCs w:val="28"/>
                <w:rtl/>
              </w:rPr>
              <w:t>‬</w:t>
            </w:r>
          </w:p>
        </w:tc>
        <w:tc>
          <w:tcPr>
            <w:tcW w:w="968" w:type="dxa"/>
            <w:shd w:val="clear" w:color="auto" w:fill="auto"/>
            <w:noWrap/>
            <w:vAlign w:val="bottom"/>
            <w:hideMark/>
          </w:tcPr>
          <w:p w14:paraId="04B2C59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789</w:t>
            </w:r>
            <w:r w:rsidRPr="005C59F8">
              <w:rPr>
                <w:rFonts w:ascii="Traditional Arabic"/>
                <w:sz w:val="18"/>
                <w:szCs w:val="18"/>
                <w:rtl/>
              </w:rPr>
              <w:t xml:space="preserve"> </w:t>
            </w:r>
            <w:r w:rsidRPr="005C59F8">
              <w:rPr>
                <w:sz w:val="18"/>
                <w:szCs w:val="18"/>
                <w:rtl/>
              </w:rPr>
              <w:t>15</w:t>
            </w:r>
          </w:p>
        </w:tc>
        <w:tc>
          <w:tcPr>
            <w:tcW w:w="968" w:type="dxa"/>
            <w:shd w:val="clear" w:color="auto" w:fill="auto"/>
            <w:noWrap/>
            <w:vAlign w:val="bottom"/>
            <w:hideMark/>
          </w:tcPr>
          <w:p w14:paraId="5953C212"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721</w:t>
            </w:r>
            <w:r w:rsidRPr="005C59F8">
              <w:rPr>
                <w:rFonts w:ascii="Traditional Arabic"/>
                <w:sz w:val="18"/>
                <w:szCs w:val="18"/>
                <w:rtl/>
              </w:rPr>
              <w:t xml:space="preserve"> </w:t>
            </w:r>
            <w:r w:rsidRPr="005C59F8">
              <w:rPr>
                <w:sz w:val="18"/>
                <w:szCs w:val="18"/>
                <w:rtl/>
              </w:rPr>
              <w:t>16</w:t>
            </w:r>
          </w:p>
        </w:tc>
        <w:tc>
          <w:tcPr>
            <w:tcW w:w="969" w:type="dxa"/>
            <w:shd w:val="clear" w:color="auto" w:fill="auto"/>
            <w:noWrap/>
            <w:vAlign w:val="bottom"/>
            <w:hideMark/>
          </w:tcPr>
          <w:p w14:paraId="7D49028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871</w:t>
            </w:r>
            <w:r w:rsidRPr="005C59F8">
              <w:rPr>
                <w:rFonts w:ascii="Traditional Arabic"/>
                <w:sz w:val="18"/>
                <w:szCs w:val="18"/>
                <w:rtl/>
              </w:rPr>
              <w:t xml:space="preserve"> </w:t>
            </w:r>
            <w:r w:rsidRPr="005C59F8">
              <w:rPr>
                <w:sz w:val="18"/>
                <w:szCs w:val="18"/>
                <w:rtl/>
              </w:rPr>
              <w:t>17</w:t>
            </w:r>
          </w:p>
        </w:tc>
        <w:tc>
          <w:tcPr>
            <w:tcW w:w="968" w:type="dxa"/>
            <w:shd w:val="clear" w:color="auto" w:fill="auto"/>
            <w:noWrap/>
            <w:vAlign w:val="bottom"/>
            <w:hideMark/>
          </w:tcPr>
          <w:p w14:paraId="74F3EF8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059</w:t>
            </w:r>
            <w:r w:rsidRPr="005C59F8">
              <w:rPr>
                <w:rFonts w:ascii="Traditional Arabic"/>
                <w:sz w:val="18"/>
                <w:szCs w:val="18"/>
                <w:rtl/>
              </w:rPr>
              <w:t xml:space="preserve"> </w:t>
            </w:r>
            <w:r w:rsidRPr="005C59F8">
              <w:rPr>
                <w:sz w:val="18"/>
                <w:szCs w:val="18"/>
                <w:rtl/>
              </w:rPr>
              <w:t>19</w:t>
            </w:r>
          </w:p>
        </w:tc>
        <w:tc>
          <w:tcPr>
            <w:tcW w:w="968" w:type="dxa"/>
            <w:shd w:val="clear" w:color="auto" w:fill="auto"/>
            <w:vAlign w:val="bottom"/>
            <w:hideMark/>
          </w:tcPr>
          <w:p w14:paraId="4D3813A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007</w:t>
            </w:r>
            <w:r w:rsidRPr="005C59F8">
              <w:rPr>
                <w:rFonts w:ascii="Traditional Arabic"/>
                <w:sz w:val="18"/>
                <w:szCs w:val="18"/>
                <w:rtl/>
              </w:rPr>
              <w:t xml:space="preserve"> </w:t>
            </w:r>
            <w:r w:rsidRPr="005C59F8">
              <w:rPr>
                <w:sz w:val="18"/>
                <w:szCs w:val="18"/>
                <w:rtl/>
              </w:rPr>
              <w:t>20</w:t>
            </w:r>
          </w:p>
        </w:tc>
        <w:tc>
          <w:tcPr>
            <w:tcW w:w="930" w:type="dxa"/>
            <w:shd w:val="clear" w:color="auto" w:fill="auto"/>
            <w:vAlign w:val="bottom"/>
            <w:hideMark/>
          </w:tcPr>
          <w:p w14:paraId="7B58091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944</w:t>
            </w:r>
            <w:r w:rsidRPr="005C59F8">
              <w:rPr>
                <w:rFonts w:ascii="Traditional Arabic"/>
                <w:sz w:val="18"/>
                <w:szCs w:val="18"/>
                <w:rtl/>
              </w:rPr>
              <w:t xml:space="preserve"> </w:t>
            </w:r>
            <w:r w:rsidRPr="005C59F8">
              <w:rPr>
                <w:sz w:val="18"/>
                <w:szCs w:val="18"/>
                <w:rtl/>
              </w:rPr>
              <w:t>20</w:t>
            </w:r>
          </w:p>
        </w:tc>
      </w:tr>
      <w:tr w:rsidR="00A0227D" w:rsidRPr="005C59F8" w14:paraId="1EB37486" w14:textId="77777777" w:rsidTr="00327BDA">
        <w:tc>
          <w:tcPr>
            <w:tcW w:w="1452" w:type="dxa"/>
            <w:shd w:val="clear" w:color="auto" w:fill="auto"/>
            <w:noWrap/>
            <w:hideMark/>
          </w:tcPr>
          <w:p w14:paraId="76C77ED1"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الإنكليزية</w:t>
            </w:r>
          </w:p>
        </w:tc>
        <w:tc>
          <w:tcPr>
            <w:tcW w:w="968" w:type="dxa"/>
            <w:shd w:val="clear" w:color="auto" w:fill="auto"/>
            <w:noWrap/>
            <w:vAlign w:val="bottom"/>
            <w:hideMark/>
          </w:tcPr>
          <w:p w14:paraId="5E59173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570</w:t>
            </w:r>
            <w:r w:rsidRPr="005C59F8">
              <w:rPr>
                <w:rFonts w:ascii="Traditional Arabic"/>
                <w:sz w:val="18"/>
                <w:szCs w:val="18"/>
                <w:rtl/>
              </w:rPr>
              <w:t xml:space="preserve"> </w:t>
            </w:r>
            <w:r w:rsidRPr="005C59F8">
              <w:rPr>
                <w:sz w:val="18"/>
                <w:szCs w:val="18"/>
                <w:rtl/>
              </w:rPr>
              <w:t>15</w:t>
            </w:r>
          </w:p>
        </w:tc>
        <w:tc>
          <w:tcPr>
            <w:tcW w:w="968" w:type="dxa"/>
            <w:shd w:val="clear" w:color="auto" w:fill="auto"/>
            <w:noWrap/>
            <w:vAlign w:val="bottom"/>
            <w:hideMark/>
          </w:tcPr>
          <w:p w14:paraId="1ADCFD4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732</w:t>
            </w:r>
            <w:r w:rsidRPr="005C59F8">
              <w:rPr>
                <w:rFonts w:ascii="Traditional Arabic"/>
                <w:sz w:val="18"/>
                <w:szCs w:val="18"/>
                <w:rtl/>
              </w:rPr>
              <w:t xml:space="preserve"> </w:t>
            </w:r>
            <w:r w:rsidRPr="005C59F8">
              <w:rPr>
                <w:sz w:val="18"/>
                <w:szCs w:val="18"/>
                <w:rtl/>
              </w:rPr>
              <w:t>16</w:t>
            </w:r>
          </w:p>
        </w:tc>
        <w:tc>
          <w:tcPr>
            <w:tcW w:w="969" w:type="dxa"/>
            <w:shd w:val="clear" w:color="auto" w:fill="auto"/>
            <w:noWrap/>
            <w:vAlign w:val="bottom"/>
            <w:hideMark/>
          </w:tcPr>
          <w:p w14:paraId="2AEDC4F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784</w:t>
            </w:r>
            <w:r w:rsidRPr="005C59F8">
              <w:rPr>
                <w:rFonts w:ascii="Traditional Arabic"/>
                <w:sz w:val="18"/>
                <w:szCs w:val="18"/>
                <w:rtl/>
              </w:rPr>
              <w:t xml:space="preserve"> </w:t>
            </w:r>
            <w:r w:rsidRPr="005C59F8">
              <w:rPr>
                <w:sz w:val="18"/>
                <w:szCs w:val="18"/>
                <w:rtl/>
              </w:rPr>
              <w:t>17</w:t>
            </w:r>
          </w:p>
        </w:tc>
        <w:tc>
          <w:tcPr>
            <w:tcW w:w="968" w:type="dxa"/>
            <w:shd w:val="clear" w:color="auto" w:fill="auto"/>
            <w:noWrap/>
            <w:vAlign w:val="bottom"/>
            <w:hideMark/>
          </w:tcPr>
          <w:p w14:paraId="7EAA23B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758</w:t>
            </w:r>
            <w:r w:rsidRPr="005C59F8">
              <w:rPr>
                <w:rFonts w:ascii="Traditional Arabic"/>
                <w:sz w:val="18"/>
                <w:szCs w:val="18"/>
                <w:rtl/>
              </w:rPr>
              <w:t xml:space="preserve"> </w:t>
            </w:r>
            <w:r w:rsidRPr="005C59F8">
              <w:rPr>
                <w:sz w:val="18"/>
                <w:szCs w:val="18"/>
                <w:rtl/>
              </w:rPr>
              <w:t>18</w:t>
            </w:r>
          </w:p>
        </w:tc>
        <w:tc>
          <w:tcPr>
            <w:tcW w:w="968" w:type="dxa"/>
            <w:shd w:val="clear" w:color="auto" w:fill="auto"/>
            <w:vAlign w:val="bottom"/>
            <w:hideMark/>
          </w:tcPr>
          <w:p w14:paraId="6028806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626</w:t>
            </w:r>
            <w:r w:rsidRPr="005C59F8">
              <w:rPr>
                <w:rFonts w:ascii="Traditional Arabic"/>
                <w:sz w:val="18"/>
                <w:szCs w:val="18"/>
                <w:rtl/>
              </w:rPr>
              <w:t xml:space="preserve"> </w:t>
            </w:r>
            <w:r w:rsidRPr="005C59F8">
              <w:rPr>
                <w:sz w:val="18"/>
                <w:szCs w:val="18"/>
                <w:rtl/>
              </w:rPr>
              <w:t>19</w:t>
            </w:r>
          </w:p>
        </w:tc>
        <w:tc>
          <w:tcPr>
            <w:tcW w:w="930" w:type="dxa"/>
            <w:shd w:val="clear" w:color="auto" w:fill="auto"/>
            <w:vAlign w:val="bottom"/>
            <w:hideMark/>
          </w:tcPr>
          <w:p w14:paraId="0CD33C0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713</w:t>
            </w:r>
            <w:r w:rsidRPr="005C59F8">
              <w:rPr>
                <w:rFonts w:ascii="Traditional Arabic"/>
                <w:sz w:val="18"/>
                <w:szCs w:val="18"/>
                <w:rtl/>
              </w:rPr>
              <w:t xml:space="preserve"> </w:t>
            </w:r>
            <w:r w:rsidRPr="005C59F8">
              <w:rPr>
                <w:sz w:val="18"/>
                <w:szCs w:val="18"/>
                <w:rtl/>
              </w:rPr>
              <w:t>20</w:t>
            </w:r>
          </w:p>
        </w:tc>
      </w:tr>
      <w:tr w:rsidR="00A0227D" w:rsidRPr="005C59F8" w14:paraId="7FDC4999" w14:textId="77777777" w:rsidTr="00327BDA">
        <w:tc>
          <w:tcPr>
            <w:tcW w:w="1452" w:type="dxa"/>
            <w:shd w:val="clear" w:color="auto" w:fill="auto"/>
            <w:noWrap/>
            <w:hideMark/>
          </w:tcPr>
          <w:p w14:paraId="6589FC30"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الكردية</w:t>
            </w:r>
          </w:p>
        </w:tc>
        <w:tc>
          <w:tcPr>
            <w:tcW w:w="968" w:type="dxa"/>
            <w:shd w:val="clear" w:color="auto" w:fill="auto"/>
            <w:noWrap/>
            <w:vAlign w:val="bottom"/>
            <w:hideMark/>
          </w:tcPr>
          <w:p w14:paraId="799CB086"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075</w:t>
            </w:r>
            <w:r w:rsidRPr="005C59F8">
              <w:rPr>
                <w:rFonts w:ascii="Traditional Arabic"/>
                <w:sz w:val="18"/>
                <w:szCs w:val="18"/>
                <w:rtl/>
              </w:rPr>
              <w:t xml:space="preserve"> </w:t>
            </w:r>
            <w:r w:rsidRPr="005C59F8">
              <w:rPr>
                <w:sz w:val="18"/>
                <w:szCs w:val="18"/>
                <w:rtl/>
              </w:rPr>
              <w:t>10</w:t>
            </w:r>
          </w:p>
        </w:tc>
        <w:tc>
          <w:tcPr>
            <w:tcW w:w="968" w:type="dxa"/>
            <w:shd w:val="clear" w:color="auto" w:fill="auto"/>
            <w:noWrap/>
            <w:vAlign w:val="bottom"/>
            <w:hideMark/>
          </w:tcPr>
          <w:p w14:paraId="0B2D04E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731</w:t>
            </w:r>
            <w:r w:rsidRPr="005C59F8">
              <w:rPr>
                <w:rFonts w:ascii="Traditional Arabic"/>
                <w:sz w:val="18"/>
                <w:szCs w:val="18"/>
                <w:rtl/>
              </w:rPr>
              <w:t xml:space="preserve"> </w:t>
            </w:r>
            <w:r w:rsidRPr="005C59F8">
              <w:rPr>
                <w:sz w:val="18"/>
                <w:szCs w:val="18"/>
                <w:rtl/>
              </w:rPr>
              <w:t>10</w:t>
            </w:r>
          </w:p>
        </w:tc>
        <w:tc>
          <w:tcPr>
            <w:tcW w:w="969" w:type="dxa"/>
            <w:shd w:val="clear" w:color="auto" w:fill="auto"/>
            <w:noWrap/>
            <w:vAlign w:val="bottom"/>
            <w:hideMark/>
          </w:tcPr>
          <w:p w14:paraId="592123D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271</w:t>
            </w:r>
            <w:r w:rsidRPr="005C59F8">
              <w:rPr>
                <w:rFonts w:ascii="Traditional Arabic"/>
                <w:sz w:val="18"/>
                <w:szCs w:val="18"/>
                <w:rtl/>
              </w:rPr>
              <w:t xml:space="preserve"> </w:t>
            </w:r>
            <w:r w:rsidRPr="005C59F8">
              <w:rPr>
                <w:sz w:val="18"/>
                <w:szCs w:val="18"/>
                <w:rtl/>
              </w:rPr>
              <w:t>11</w:t>
            </w:r>
          </w:p>
        </w:tc>
        <w:tc>
          <w:tcPr>
            <w:tcW w:w="968" w:type="dxa"/>
            <w:shd w:val="clear" w:color="auto" w:fill="auto"/>
            <w:noWrap/>
            <w:vAlign w:val="bottom"/>
            <w:hideMark/>
          </w:tcPr>
          <w:p w14:paraId="67691C30"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226</w:t>
            </w:r>
            <w:r w:rsidRPr="005C59F8">
              <w:rPr>
                <w:rFonts w:ascii="Traditional Arabic"/>
                <w:sz w:val="18"/>
                <w:szCs w:val="18"/>
                <w:rtl/>
              </w:rPr>
              <w:t xml:space="preserve"> </w:t>
            </w:r>
            <w:r w:rsidRPr="005C59F8">
              <w:rPr>
                <w:sz w:val="18"/>
                <w:szCs w:val="18"/>
                <w:rtl/>
              </w:rPr>
              <w:t>12</w:t>
            </w:r>
          </w:p>
        </w:tc>
        <w:tc>
          <w:tcPr>
            <w:tcW w:w="968" w:type="dxa"/>
            <w:shd w:val="clear" w:color="auto" w:fill="auto"/>
            <w:vAlign w:val="bottom"/>
            <w:hideMark/>
          </w:tcPr>
          <w:p w14:paraId="466B4DE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327</w:t>
            </w:r>
            <w:r w:rsidRPr="005C59F8">
              <w:rPr>
                <w:rFonts w:ascii="Traditional Arabic"/>
                <w:sz w:val="18"/>
                <w:szCs w:val="18"/>
                <w:rtl/>
              </w:rPr>
              <w:t xml:space="preserve"> </w:t>
            </w:r>
            <w:r w:rsidRPr="005C59F8">
              <w:rPr>
                <w:sz w:val="18"/>
                <w:szCs w:val="18"/>
                <w:rtl/>
              </w:rPr>
              <w:t>13</w:t>
            </w:r>
          </w:p>
        </w:tc>
        <w:tc>
          <w:tcPr>
            <w:tcW w:w="930" w:type="dxa"/>
            <w:shd w:val="clear" w:color="auto" w:fill="auto"/>
            <w:vAlign w:val="bottom"/>
            <w:hideMark/>
          </w:tcPr>
          <w:p w14:paraId="1D98896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054</w:t>
            </w:r>
            <w:r w:rsidRPr="005C59F8">
              <w:rPr>
                <w:rFonts w:ascii="Traditional Arabic"/>
                <w:sz w:val="18"/>
                <w:szCs w:val="18"/>
                <w:rtl/>
              </w:rPr>
              <w:t xml:space="preserve"> </w:t>
            </w:r>
            <w:r w:rsidRPr="005C59F8">
              <w:rPr>
                <w:sz w:val="18"/>
                <w:szCs w:val="18"/>
                <w:rtl/>
              </w:rPr>
              <w:t>14</w:t>
            </w:r>
          </w:p>
        </w:tc>
      </w:tr>
      <w:tr w:rsidR="00A0227D" w:rsidRPr="005C59F8" w14:paraId="4BF9DC1F" w14:textId="77777777" w:rsidTr="00327BDA">
        <w:tc>
          <w:tcPr>
            <w:tcW w:w="1452" w:type="dxa"/>
            <w:shd w:val="clear" w:color="auto" w:fill="auto"/>
            <w:noWrap/>
            <w:hideMark/>
          </w:tcPr>
          <w:p w14:paraId="41006539"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الفارسية</w:t>
            </w:r>
          </w:p>
        </w:tc>
        <w:tc>
          <w:tcPr>
            <w:tcW w:w="968" w:type="dxa"/>
            <w:shd w:val="clear" w:color="auto" w:fill="auto"/>
            <w:noWrap/>
            <w:vAlign w:val="bottom"/>
            <w:hideMark/>
          </w:tcPr>
          <w:p w14:paraId="47381240"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281</w:t>
            </w:r>
            <w:r w:rsidRPr="005C59F8">
              <w:rPr>
                <w:rFonts w:ascii="Traditional Arabic"/>
                <w:sz w:val="18"/>
                <w:szCs w:val="18"/>
                <w:rtl/>
              </w:rPr>
              <w:t xml:space="preserve"> </w:t>
            </w:r>
            <w:r w:rsidRPr="005C59F8">
              <w:rPr>
                <w:sz w:val="18"/>
                <w:szCs w:val="18"/>
                <w:rtl/>
              </w:rPr>
              <w:t>7</w:t>
            </w:r>
          </w:p>
        </w:tc>
        <w:tc>
          <w:tcPr>
            <w:tcW w:w="968" w:type="dxa"/>
            <w:shd w:val="clear" w:color="auto" w:fill="auto"/>
            <w:noWrap/>
            <w:vAlign w:val="bottom"/>
            <w:hideMark/>
          </w:tcPr>
          <w:p w14:paraId="4D20F33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103</w:t>
            </w:r>
            <w:r w:rsidRPr="005C59F8">
              <w:rPr>
                <w:rFonts w:ascii="Traditional Arabic"/>
                <w:sz w:val="18"/>
                <w:szCs w:val="18"/>
                <w:rtl/>
              </w:rPr>
              <w:t xml:space="preserve"> </w:t>
            </w:r>
            <w:r w:rsidRPr="005C59F8">
              <w:rPr>
                <w:sz w:val="18"/>
                <w:szCs w:val="18"/>
                <w:rtl/>
              </w:rPr>
              <w:t>8</w:t>
            </w:r>
          </w:p>
        </w:tc>
        <w:tc>
          <w:tcPr>
            <w:tcW w:w="969" w:type="dxa"/>
            <w:shd w:val="clear" w:color="auto" w:fill="auto"/>
            <w:noWrap/>
            <w:vAlign w:val="bottom"/>
            <w:hideMark/>
          </w:tcPr>
          <w:p w14:paraId="041FA09C"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745</w:t>
            </w:r>
            <w:r w:rsidRPr="005C59F8">
              <w:rPr>
                <w:rFonts w:ascii="Traditional Arabic"/>
                <w:sz w:val="18"/>
                <w:szCs w:val="18"/>
                <w:rtl/>
              </w:rPr>
              <w:t xml:space="preserve"> </w:t>
            </w:r>
            <w:r w:rsidRPr="005C59F8">
              <w:rPr>
                <w:sz w:val="18"/>
                <w:szCs w:val="18"/>
                <w:rtl/>
              </w:rPr>
              <w:t>8</w:t>
            </w:r>
          </w:p>
        </w:tc>
        <w:tc>
          <w:tcPr>
            <w:tcW w:w="968" w:type="dxa"/>
            <w:shd w:val="clear" w:color="auto" w:fill="auto"/>
            <w:noWrap/>
            <w:vAlign w:val="bottom"/>
            <w:hideMark/>
          </w:tcPr>
          <w:p w14:paraId="4C613E6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882</w:t>
            </w:r>
            <w:r w:rsidRPr="005C59F8">
              <w:rPr>
                <w:rFonts w:ascii="Traditional Arabic"/>
                <w:sz w:val="18"/>
                <w:szCs w:val="18"/>
                <w:rtl/>
              </w:rPr>
              <w:t xml:space="preserve"> </w:t>
            </w:r>
            <w:r w:rsidRPr="005C59F8">
              <w:rPr>
                <w:sz w:val="18"/>
                <w:szCs w:val="18"/>
                <w:rtl/>
              </w:rPr>
              <w:t>10</w:t>
            </w:r>
          </w:p>
        </w:tc>
        <w:tc>
          <w:tcPr>
            <w:tcW w:w="968" w:type="dxa"/>
            <w:shd w:val="clear" w:color="auto" w:fill="auto"/>
            <w:vAlign w:val="bottom"/>
            <w:hideMark/>
          </w:tcPr>
          <w:p w14:paraId="49A435C2"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090</w:t>
            </w:r>
            <w:r w:rsidRPr="005C59F8">
              <w:rPr>
                <w:rFonts w:ascii="Traditional Arabic"/>
                <w:sz w:val="18"/>
                <w:szCs w:val="18"/>
                <w:rtl/>
              </w:rPr>
              <w:t xml:space="preserve"> </w:t>
            </w:r>
            <w:r w:rsidRPr="005C59F8">
              <w:rPr>
                <w:sz w:val="18"/>
                <w:szCs w:val="18"/>
                <w:rtl/>
              </w:rPr>
              <w:t>12</w:t>
            </w:r>
          </w:p>
        </w:tc>
        <w:tc>
          <w:tcPr>
            <w:tcW w:w="930" w:type="dxa"/>
            <w:shd w:val="clear" w:color="auto" w:fill="auto"/>
            <w:vAlign w:val="bottom"/>
            <w:hideMark/>
          </w:tcPr>
          <w:p w14:paraId="3BAF37BB"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017</w:t>
            </w:r>
            <w:r w:rsidRPr="005C59F8">
              <w:rPr>
                <w:rFonts w:ascii="Traditional Arabic"/>
                <w:sz w:val="18"/>
                <w:szCs w:val="18"/>
                <w:rtl/>
              </w:rPr>
              <w:t xml:space="preserve"> </w:t>
            </w:r>
            <w:r w:rsidRPr="005C59F8">
              <w:rPr>
                <w:sz w:val="18"/>
                <w:szCs w:val="18"/>
                <w:rtl/>
              </w:rPr>
              <w:t>13</w:t>
            </w:r>
          </w:p>
        </w:tc>
      </w:tr>
      <w:tr w:rsidR="00A0227D" w:rsidRPr="005C59F8" w14:paraId="4622934F" w14:textId="77777777" w:rsidTr="00327BDA">
        <w:tc>
          <w:tcPr>
            <w:tcW w:w="1452" w:type="dxa"/>
            <w:shd w:val="clear" w:color="auto" w:fill="auto"/>
            <w:noWrap/>
            <w:hideMark/>
          </w:tcPr>
          <w:p w14:paraId="4B7E6D46"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الصينية</w:t>
            </w:r>
          </w:p>
        </w:tc>
        <w:tc>
          <w:tcPr>
            <w:tcW w:w="968" w:type="dxa"/>
            <w:shd w:val="clear" w:color="auto" w:fill="auto"/>
            <w:noWrap/>
            <w:vAlign w:val="bottom"/>
            <w:hideMark/>
          </w:tcPr>
          <w:p w14:paraId="4C32F25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496</w:t>
            </w:r>
            <w:r w:rsidRPr="005C59F8">
              <w:rPr>
                <w:rFonts w:ascii="Traditional Arabic"/>
                <w:sz w:val="18"/>
                <w:szCs w:val="18"/>
                <w:rtl/>
              </w:rPr>
              <w:t xml:space="preserve"> </w:t>
            </w:r>
            <w:r w:rsidRPr="005C59F8">
              <w:rPr>
                <w:sz w:val="18"/>
                <w:szCs w:val="18"/>
                <w:rtl/>
              </w:rPr>
              <w:t>9</w:t>
            </w:r>
          </w:p>
        </w:tc>
        <w:tc>
          <w:tcPr>
            <w:tcW w:w="968" w:type="dxa"/>
            <w:shd w:val="clear" w:color="auto" w:fill="auto"/>
            <w:noWrap/>
            <w:vAlign w:val="bottom"/>
            <w:hideMark/>
          </w:tcPr>
          <w:p w14:paraId="5988D51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110</w:t>
            </w:r>
            <w:r w:rsidRPr="005C59F8">
              <w:rPr>
                <w:rFonts w:ascii="Traditional Arabic"/>
                <w:sz w:val="18"/>
                <w:szCs w:val="18"/>
                <w:rtl/>
              </w:rPr>
              <w:t xml:space="preserve"> </w:t>
            </w:r>
            <w:r w:rsidRPr="005C59F8">
              <w:rPr>
                <w:sz w:val="18"/>
                <w:szCs w:val="18"/>
                <w:rtl/>
              </w:rPr>
              <w:t>10</w:t>
            </w:r>
          </w:p>
        </w:tc>
        <w:tc>
          <w:tcPr>
            <w:tcW w:w="969" w:type="dxa"/>
            <w:shd w:val="clear" w:color="auto" w:fill="auto"/>
            <w:noWrap/>
            <w:vAlign w:val="bottom"/>
            <w:hideMark/>
          </w:tcPr>
          <w:p w14:paraId="7164B8FC"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722</w:t>
            </w:r>
            <w:r w:rsidRPr="005C59F8">
              <w:rPr>
                <w:rFonts w:ascii="Traditional Arabic"/>
                <w:sz w:val="18"/>
                <w:szCs w:val="18"/>
                <w:rtl/>
              </w:rPr>
              <w:t xml:space="preserve"> </w:t>
            </w:r>
            <w:r w:rsidRPr="005C59F8">
              <w:rPr>
                <w:sz w:val="18"/>
                <w:szCs w:val="18"/>
                <w:rtl/>
              </w:rPr>
              <w:t>10</w:t>
            </w:r>
          </w:p>
        </w:tc>
        <w:tc>
          <w:tcPr>
            <w:tcW w:w="968" w:type="dxa"/>
            <w:shd w:val="clear" w:color="auto" w:fill="auto"/>
            <w:noWrap/>
            <w:vAlign w:val="bottom"/>
            <w:hideMark/>
          </w:tcPr>
          <w:p w14:paraId="40199AA0"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334</w:t>
            </w:r>
            <w:r w:rsidRPr="005C59F8">
              <w:rPr>
                <w:rFonts w:ascii="Traditional Arabic"/>
                <w:sz w:val="18"/>
                <w:szCs w:val="18"/>
                <w:rtl/>
              </w:rPr>
              <w:t xml:space="preserve"> </w:t>
            </w:r>
            <w:r w:rsidRPr="005C59F8">
              <w:rPr>
                <w:sz w:val="18"/>
                <w:szCs w:val="18"/>
                <w:rtl/>
              </w:rPr>
              <w:t>11</w:t>
            </w:r>
          </w:p>
        </w:tc>
        <w:tc>
          <w:tcPr>
            <w:tcW w:w="968" w:type="dxa"/>
            <w:shd w:val="clear" w:color="auto" w:fill="auto"/>
            <w:vAlign w:val="bottom"/>
            <w:hideMark/>
          </w:tcPr>
          <w:p w14:paraId="314DC85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825</w:t>
            </w:r>
            <w:r w:rsidRPr="005C59F8">
              <w:rPr>
                <w:rFonts w:ascii="Traditional Arabic"/>
                <w:sz w:val="18"/>
                <w:szCs w:val="18"/>
                <w:rtl/>
              </w:rPr>
              <w:t xml:space="preserve"> </w:t>
            </w:r>
            <w:r w:rsidRPr="005C59F8">
              <w:rPr>
                <w:sz w:val="18"/>
                <w:szCs w:val="18"/>
                <w:rtl/>
              </w:rPr>
              <w:t>11</w:t>
            </w:r>
          </w:p>
        </w:tc>
        <w:tc>
          <w:tcPr>
            <w:tcW w:w="930" w:type="dxa"/>
            <w:shd w:val="clear" w:color="auto" w:fill="auto"/>
            <w:vAlign w:val="bottom"/>
            <w:hideMark/>
          </w:tcPr>
          <w:p w14:paraId="100C6244"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407</w:t>
            </w:r>
            <w:r w:rsidRPr="005C59F8">
              <w:rPr>
                <w:rFonts w:ascii="Traditional Arabic"/>
                <w:sz w:val="18"/>
                <w:szCs w:val="18"/>
                <w:rtl/>
              </w:rPr>
              <w:t xml:space="preserve"> </w:t>
            </w:r>
            <w:r w:rsidRPr="005C59F8">
              <w:rPr>
                <w:sz w:val="18"/>
                <w:szCs w:val="18"/>
                <w:rtl/>
              </w:rPr>
              <w:t>12</w:t>
            </w:r>
          </w:p>
        </w:tc>
      </w:tr>
      <w:tr w:rsidR="00A0227D" w:rsidRPr="005C59F8" w14:paraId="6DD2628B" w14:textId="77777777" w:rsidTr="00327BDA">
        <w:tc>
          <w:tcPr>
            <w:tcW w:w="1452" w:type="dxa"/>
            <w:shd w:val="clear" w:color="auto" w:fill="auto"/>
            <w:noWrap/>
            <w:hideMark/>
          </w:tcPr>
          <w:p w14:paraId="377A17EA"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الألبانية</w:t>
            </w:r>
          </w:p>
        </w:tc>
        <w:tc>
          <w:tcPr>
            <w:tcW w:w="968" w:type="dxa"/>
            <w:shd w:val="clear" w:color="auto" w:fill="auto"/>
            <w:noWrap/>
            <w:vAlign w:val="bottom"/>
            <w:hideMark/>
          </w:tcPr>
          <w:p w14:paraId="61F43A2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214</w:t>
            </w:r>
            <w:r w:rsidRPr="005C59F8">
              <w:rPr>
                <w:rFonts w:ascii="Traditional Arabic"/>
                <w:sz w:val="18"/>
                <w:szCs w:val="18"/>
                <w:rtl/>
              </w:rPr>
              <w:t xml:space="preserve"> </w:t>
            </w:r>
            <w:r w:rsidRPr="005C59F8">
              <w:rPr>
                <w:sz w:val="18"/>
                <w:szCs w:val="18"/>
                <w:rtl/>
              </w:rPr>
              <w:t>8</w:t>
            </w:r>
          </w:p>
        </w:tc>
        <w:tc>
          <w:tcPr>
            <w:tcW w:w="968" w:type="dxa"/>
            <w:shd w:val="clear" w:color="auto" w:fill="auto"/>
            <w:noWrap/>
            <w:vAlign w:val="bottom"/>
            <w:hideMark/>
          </w:tcPr>
          <w:p w14:paraId="7167FBA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754</w:t>
            </w:r>
            <w:r w:rsidRPr="005C59F8">
              <w:rPr>
                <w:rFonts w:ascii="Traditional Arabic"/>
                <w:sz w:val="18"/>
                <w:szCs w:val="18"/>
                <w:rtl/>
              </w:rPr>
              <w:t xml:space="preserve"> </w:t>
            </w:r>
            <w:r w:rsidRPr="005C59F8">
              <w:rPr>
                <w:sz w:val="18"/>
                <w:szCs w:val="18"/>
                <w:rtl/>
              </w:rPr>
              <w:t>8</w:t>
            </w:r>
          </w:p>
        </w:tc>
        <w:tc>
          <w:tcPr>
            <w:tcW w:w="969" w:type="dxa"/>
            <w:shd w:val="clear" w:color="auto" w:fill="auto"/>
            <w:noWrap/>
            <w:vAlign w:val="bottom"/>
            <w:hideMark/>
          </w:tcPr>
          <w:p w14:paraId="3D2F124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233</w:t>
            </w:r>
            <w:r w:rsidRPr="005C59F8">
              <w:rPr>
                <w:rFonts w:ascii="Traditional Arabic"/>
                <w:sz w:val="18"/>
                <w:szCs w:val="18"/>
                <w:rtl/>
              </w:rPr>
              <w:t xml:space="preserve"> </w:t>
            </w:r>
            <w:r w:rsidRPr="005C59F8">
              <w:rPr>
                <w:sz w:val="18"/>
                <w:szCs w:val="18"/>
                <w:rtl/>
              </w:rPr>
              <w:t>9</w:t>
            </w:r>
          </w:p>
        </w:tc>
        <w:tc>
          <w:tcPr>
            <w:tcW w:w="968" w:type="dxa"/>
            <w:shd w:val="clear" w:color="auto" w:fill="auto"/>
            <w:noWrap/>
            <w:vAlign w:val="bottom"/>
            <w:hideMark/>
          </w:tcPr>
          <w:p w14:paraId="51DE414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791</w:t>
            </w:r>
            <w:r w:rsidRPr="005C59F8">
              <w:rPr>
                <w:rFonts w:ascii="Traditional Arabic"/>
                <w:sz w:val="18"/>
                <w:szCs w:val="18"/>
                <w:rtl/>
              </w:rPr>
              <w:t xml:space="preserve"> </w:t>
            </w:r>
            <w:r w:rsidRPr="005C59F8">
              <w:rPr>
                <w:sz w:val="18"/>
                <w:szCs w:val="18"/>
                <w:rtl/>
              </w:rPr>
              <w:t>9</w:t>
            </w:r>
          </w:p>
        </w:tc>
        <w:tc>
          <w:tcPr>
            <w:tcW w:w="968" w:type="dxa"/>
            <w:shd w:val="clear" w:color="auto" w:fill="auto"/>
            <w:vAlign w:val="bottom"/>
            <w:hideMark/>
          </w:tcPr>
          <w:p w14:paraId="567B462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391</w:t>
            </w:r>
            <w:r w:rsidRPr="005C59F8">
              <w:rPr>
                <w:rFonts w:ascii="Traditional Arabic"/>
                <w:sz w:val="18"/>
                <w:szCs w:val="18"/>
                <w:rtl/>
              </w:rPr>
              <w:t xml:space="preserve"> </w:t>
            </w:r>
            <w:r w:rsidRPr="005C59F8">
              <w:rPr>
                <w:sz w:val="18"/>
                <w:szCs w:val="18"/>
                <w:rtl/>
              </w:rPr>
              <w:t>10</w:t>
            </w:r>
          </w:p>
        </w:tc>
        <w:tc>
          <w:tcPr>
            <w:tcW w:w="930" w:type="dxa"/>
            <w:shd w:val="clear" w:color="auto" w:fill="auto"/>
            <w:vAlign w:val="bottom"/>
            <w:hideMark/>
          </w:tcPr>
          <w:p w14:paraId="523F9F62"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990</w:t>
            </w:r>
            <w:r w:rsidRPr="005C59F8">
              <w:rPr>
                <w:rFonts w:ascii="Traditional Arabic"/>
                <w:sz w:val="18"/>
                <w:szCs w:val="18"/>
                <w:rtl/>
              </w:rPr>
              <w:t xml:space="preserve"> </w:t>
            </w:r>
            <w:r w:rsidRPr="005C59F8">
              <w:rPr>
                <w:sz w:val="18"/>
                <w:szCs w:val="18"/>
                <w:rtl/>
              </w:rPr>
              <w:t>10</w:t>
            </w:r>
          </w:p>
        </w:tc>
      </w:tr>
      <w:tr w:rsidR="00A0227D" w:rsidRPr="005C59F8" w14:paraId="4036BE01" w14:textId="77777777" w:rsidTr="00327BDA">
        <w:tc>
          <w:tcPr>
            <w:tcW w:w="1452" w:type="dxa"/>
            <w:shd w:val="clear" w:color="auto" w:fill="auto"/>
            <w:noWrap/>
            <w:hideMark/>
          </w:tcPr>
          <w:p w14:paraId="3B1B5692"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الفييتنامية</w:t>
            </w:r>
          </w:p>
        </w:tc>
        <w:tc>
          <w:tcPr>
            <w:tcW w:w="968" w:type="dxa"/>
            <w:shd w:val="clear" w:color="auto" w:fill="auto"/>
            <w:noWrap/>
            <w:vAlign w:val="bottom"/>
            <w:hideMark/>
          </w:tcPr>
          <w:p w14:paraId="22D5046B"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991</w:t>
            </w:r>
            <w:r w:rsidRPr="005C59F8">
              <w:rPr>
                <w:rFonts w:ascii="Traditional Arabic"/>
                <w:sz w:val="18"/>
                <w:szCs w:val="18"/>
                <w:rtl/>
              </w:rPr>
              <w:t xml:space="preserve"> </w:t>
            </w:r>
            <w:r w:rsidRPr="005C59F8">
              <w:rPr>
                <w:sz w:val="18"/>
                <w:szCs w:val="18"/>
                <w:rtl/>
              </w:rPr>
              <w:t>6</w:t>
            </w:r>
          </w:p>
        </w:tc>
        <w:tc>
          <w:tcPr>
            <w:tcW w:w="968" w:type="dxa"/>
            <w:shd w:val="clear" w:color="auto" w:fill="auto"/>
            <w:noWrap/>
            <w:vAlign w:val="bottom"/>
            <w:hideMark/>
          </w:tcPr>
          <w:p w14:paraId="61174D7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532</w:t>
            </w:r>
            <w:r w:rsidRPr="005C59F8">
              <w:rPr>
                <w:rFonts w:ascii="Traditional Arabic"/>
                <w:sz w:val="18"/>
                <w:szCs w:val="18"/>
                <w:rtl/>
              </w:rPr>
              <w:t xml:space="preserve"> </w:t>
            </w:r>
            <w:r w:rsidRPr="005C59F8">
              <w:rPr>
                <w:sz w:val="18"/>
                <w:szCs w:val="18"/>
                <w:rtl/>
              </w:rPr>
              <w:t>7</w:t>
            </w:r>
          </w:p>
        </w:tc>
        <w:tc>
          <w:tcPr>
            <w:tcW w:w="969" w:type="dxa"/>
            <w:shd w:val="clear" w:color="auto" w:fill="auto"/>
            <w:noWrap/>
            <w:vAlign w:val="bottom"/>
            <w:hideMark/>
          </w:tcPr>
          <w:p w14:paraId="5604C5B2"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273</w:t>
            </w:r>
            <w:r w:rsidRPr="005C59F8">
              <w:rPr>
                <w:rFonts w:ascii="Traditional Arabic"/>
                <w:sz w:val="18"/>
                <w:szCs w:val="18"/>
                <w:rtl/>
              </w:rPr>
              <w:t xml:space="preserve"> </w:t>
            </w:r>
            <w:r w:rsidRPr="005C59F8">
              <w:rPr>
                <w:sz w:val="18"/>
                <w:szCs w:val="18"/>
                <w:rtl/>
              </w:rPr>
              <w:t>8</w:t>
            </w:r>
          </w:p>
        </w:tc>
        <w:tc>
          <w:tcPr>
            <w:tcW w:w="968" w:type="dxa"/>
            <w:shd w:val="clear" w:color="auto" w:fill="auto"/>
            <w:noWrap/>
            <w:vAlign w:val="bottom"/>
            <w:hideMark/>
          </w:tcPr>
          <w:p w14:paraId="10211F39"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248</w:t>
            </w:r>
            <w:r w:rsidRPr="005C59F8">
              <w:rPr>
                <w:rFonts w:ascii="Traditional Arabic"/>
                <w:sz w:val="18"/>
                <w:szCs w:val="18"/>
                <w:rtl/>
              </w:rPr>
              <w:t xml:space="preserve"> </w:t>
            </w:r>
            <w:r w:rsidRPr="005C59F8">
              <w:rPr>
                <w:sz w:val="18"/>
                <w:szCs w:val="18"/>
                <w:rtl/>
              </w:rPr>
              <w:t>9</w:t>
            </w:r>
          </w:p>
        </w:tc>
        <w:tc>
          <w:tcPr>
            <w:tcW w:w="968" w:type="dxa"/>
            <w:shd w:val="clear" w:color="auto" w:fill="auto"/>
            <w:vAlign w:val="bottom"/>
            <w:hideMark/>
          </w:tcPr>
          <w:p w14:paraId="61B79436"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872</w:t>
            </w:r>
            <w:r w:rsidRPr="005C59F8">
              <w:rPr>
                <w:rFonts w:ascii="Traditional Arabic"/>
                <w:sz w:val="18"/>
                <w:szCs w:val="18"/>
                <w:rtl/>
              </w:rPr>
              <w:t xml:space="preserve"> </w:t>
            </w:r>
            <w:r w:rsidRPr="005C59F8">
              <w:rPr>
                <w:sz w:val="18"/>
                <w:szCs w:val="18"/>
                <w:rtl/>
              </w:rPr>
              <w:t>9</w:t>
            </w:r>
          </w:p>
        </w:tc>
        <w:tc>
          <w:tcPr>
            <w:tcW w:w="930" w:type="dxa"/>
            <w:shd w:val="clear" w:color="auto" w:fill="auto"/>
            <w:vAlign w:val="bottom"/>
            <w:hideMark/>
          </w:tcPr>
          <w:p w14:paraId="5ABDD8E5"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440</w:t>
            </w:r>
            <w:r w:rsidRPr="005C59F8">
              <w:rPr>
                <w:rFonts w:ascii="Traditional Arabic"/>
                <w:sz w:val="18"/>
                <w:szCs w:val="18"/>
                <w:rtl/>
              </w:rPr>
              <w:t xml:space="preserve"> </w:t>
            </w:r>
            <w:r w:rsidRPr="005C59F8">
              <w:rPr>
                <w:sz w:val="18"/>
                <w:szCs w:val="18"/>
                <w:rtl/>
              </w:rPr>
              <w:t>10</w:t>
            </w:r>
          </w:p>
        </w:tc>
      </w:tr>
      <w:tr w:rsidR="00A0227D" w:rsidRPr="005C59F8" w14:paraId="2EEE079B" w14:textId="77777777" w:rsidTr="00327BDA">
        <w:tc>
          <w:tcPr>
            <w:tcW w:w="1452" w:type="dxa"/>
            <w:shd w:val="clear" w:color="auto" w:fill="auto"/>
            <w:noWrap/>
            <w:hideMark/>
          </w:tcPr>
          <w:p w14:paraId="0F240D06"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التايلندية</w:t>
            </w:r>
          </w:p>
        </w:tc>
        <w:tc>
          <w:tcPr>
            <w:tcW w:w="968" w:type="dxa"/>
            <w:shd w:val="clear" w:color="auto" w:fill="auto"/>
            <w:noWrap/>
            <w:vAlign w:val="bottom"/>
            <w:hideMark/>
          </w:tcPr>
          <w:p w14:paraId="75145EC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513</w:t>
            </w:r>
            <w:r w:rsidRPr="005C59F8">
              <w:rPr>
                <w:rFonts w:ascii="Traditional Arabic"/>
                <w:sz w:val="18"/>
                <w:szCs w:val="18"/>
                <w:rtl/>
              </w:rPr>
              <w:t xml:space="preserve"> </w:t>
            </w:r>
            <w:r w:rsidRPr="005C59F8">
              <w:rPr>
                <w:sz w:val="18"/>
                <w:szCs w:val="18"/>
                <w:rtl/>
              </w:rPr>
              <w:t>7</w:t>
            </w:r>
          </w:p>
        </w:tc>
        <w:tc>
          <w:tcPr>
            <w:tcW w:w="968" w:type="dxa"/>
            <w:shd w:val="clear" w:color="auto" w:fill="auto"/>
            <w:noWrap/>
            <w:vAlign w:val="bottom"/>
            <w:hideMark/>
          </w:tcPr>
          <w:p w14:paraId="298573C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038</w:t>
            </w:r>
            <w:r w:rsidRPr="005C59F8">
              <w:rPr>
                <w:rFonts w:ascii="Traditional Arabic"/>
                <w:sz w:val="18"/>
                <w:szCs w:val="18"/>
                <w:rtl/>
              </w:rPr>
              <w:t xml:space="preserve"> </w:t>
            </w:r>
            <w:r w:rsidRPr="005C59F8">
              <w:rPr>
                <w:sz w:val="18"/>
                <w:szCs w:val="18"/>
                <w:rtl/>
              </w:rPr>
              <w:t>8</w:t>
            </w:r>
          </w:p>
        </w:tc>
        <w:tc>
          <w:tcPr>
            <w:tcW w:w="969" w:type="dxa"/>
            <w:shd w:val="clear" w:color="auto" w:fill="auto"/>
            <w:noWrap/>
            <w:vAlign w:val="bottom"/>
            <w:hideMark/>
          </w:tcPr>
          <w:p w14:paraId="7FB67D10"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582</w:t>
            </w:r>
            <w:r w:rsidRPr="005C59F8">
              <w:rPr>
                <w:rFonts w:ascii="Traditional Arabic"/>
                <w:sz w:val="18"/>
                <w:szCs w:val="18"/>
                <w:rtl/>
              </w:rPr>
              <w:t xml:space="preserve"> </w:t>
            </w:r>
            <w:r w:rsidRPr="005C59F8">
              <w:rPr>
                <w:sz w:val="18"/>
                <w:szCs w:val="18"/>
                <w:rtl/>
              </w:rPr>
              <w:t>8</w:t>
            </w:r>
          </w:p>
        </w:tc>
        <w:tc>
          <w:tcPr>
            <w:tcW w:w="968" w:type="dxa"/>
            <w:shd w:val="clear" w:color="auto" w:fill="auto"/>
            <w:noWrap/>
            <w:vAlign w:val="bottom"/>
            <w:hideMark/>
          </w:tcPr>
          <w:p w14:paraId="16E8D9BB"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047</w:t>
            </w:r>
            <w:r w:rsidRPr="005C59F8">
              <w:rPr>
                <w:rFonts w:ascii="Traditional Arabic"/>
                <w:sz w:val="18"/>
                <w:szCs w:val="18"/>
                <w:rtl/>
              </w:rPr>
              <w:t xml:space="preserve"> </w:t>
            </w:r>
            <w:r w:rsidRPr="005C59F8">
              <w:rPr>
                <w:sz w:val="18"/>
                <w:szCs w:val="18"/>
                <w:rtl/>
              </w:rPr>
              <w:t>9</w:t>
            </w:r>
          </w:p>
        </w:tc>
        <w:tc>
          <w:tcPr>
            <w:tcW w:w="968" w:type="dxa"/>
            <w:shd w:val="clear" w:color="auto" w:fill="auto"/>
            <w:vAlign w:val="bottom"/>
            <w:hideMark/>
          </w:tcPr>
          <w:p w14:paraId="7DF5ABC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403</w:t>
            </w:r>
            <w:r w:rsidRPr="005C59F8">
              <w:rPr>
                <w:rFonts w:ascii="Traditional Arabic"/>
                <w:sz w:val="18"/>
                <w:szCs w:val="18"/>
                <w:rtl/>
              </w:rPr>
              <w:t xml:space="preserve"> </w:t>
            </w:r>
            <w:r w:rsidRPr="005C59F8">
              <w:rPr>
                <w:sz w:val="18"/>
                <w:szCs w:val="18"/>
                <w:rtl/>
              </w:rPr>
              <w:t>9</w:t>
            </w:r>
          </w:p>
        </w:tc>
        <w:tc>
          <w:tcPr>
            <w:tcW w:w="930" w:type="dxa"/>
            <w:shd w:val="clear" w:color="auto" w:fill="auto"/>
            <w:vAlign w:val="bottom"/>
            <w:hideMark/>
          </w:tcPr>
          <w:p w14:paraId="54CBF11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763</w:t>
            </w:r>
            <w:r w:rsidRPr="005C59F8">
              <w:rPr>
                <w:rFonts w:ascii="Traditional Arabic"/>
                <w:sz w:val="18"/>
                <w:szCs w:val="18"/>
                <w:rtl/>
              </w:rPr>
              <w:t xml:space="preserve"> </w:t>
            </w:r>
            <w:r w:rsidRPr="005C59F8">
              <w:rPr>
                <w:sz w:val="18"/>
                <w:szCs w:val="18"/>
                <w:rtl/>
              </w:rPr>
              <w:t>9</w:t>
            </w:r>
          </w:p>
        </w:tc>
      </w:tr>
      <w:tr w:rsidR="00A0227D" w:rsidRPr="005C59F8" w14:paraId="39A0B7D0" w14:textId="77777777" w:rsidTr="00327BDA">
        <w:tc>
          <w:tcPr>
            <w:tcW w:w="1452" w:type="dxa"/>
            <w:shd w:val="clear" w:color="auto" w:fill="auto"/>
            <w:noWrap/>
            <w:hideMark/>
          </w:tcPr>
          <w:p w14:paraId="7CA69AE0"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التركية</w:t>
            </w:r>
          </w:p>
        </w:tc>
        <w:tc>
          <w:tcPr>
            <w:tcW w:w="968" w:type="dxa"/>
            <w:shd w:val="clear" w:color="auto" w:fill="auto"/>
            <w:noWrap/>
            <w:vAlign w:val="bottom"/>
            <w:hideMark/>
          </w:tcPr>
          <w:p w14:paraId="1E906DDA"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441</w:t>
            </w:r>
            <w:r w:rsidRPr="005C59F8">
              <w:rPr>
                <w:rFonts w:ascii="Traditional Arabic"/>
                <w:sz w:val="18"/>
                <w:szCs w:val="18"/>
                <w:rtl/>
              </w:rPr>
              <w:t xml:space="preserve"> </w:t>
            </w:r>
            <w:r w:rsidRPr="005C59F8">
              <w:rPr>
                <w:sz w:val="18"/>
                <w:szCs w:val="18"/>
                <w:rtl/>
              </w:rPr>
              <w:t>6</w:t>
            </w:r>
          </w:p>
        </w:tc>
        <w:tc>
          <w:tcPr>
            <w:tcW w:w="968" w:type="dxa"/>
            <w:shd w:val="clear" w:color="auto" w:fill="auto"/>
            <w:noWrap/>
            <w:vAlign w:val="bottom"/>
            <w:hideMark/>
          </w:tcPr>
          <w:p w14:paraId="25D2FC05"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766</w:t>
            </w:r>
            <w:r w:rsidRPr="005C59F8">
              <w:rPr>
                <w:rFonts w:ascii="Traditional Arabic"/>
                <w:sz w:val="18"/>
                <w:szCs w:val="18"/>
                <w:rtl/>
              </w:rPr>
              <w:t xml:space="preserve"> </w:t>
            </w:r>
            <w:r w:rsidRPr="005C59F8">
              <w:rPr>
                <w:sz w:val="18"/>
                <w:szCs w:val="18"/>
                <w:rtl/>
              </w:rPr>
              <w:t>6</w:t>
            </w:r>
          </w:p>
        </w:tc>
        <w:tc>
          <w:tcPr>
            <w:tcW w:w="969" w:type="dxa"/>
            <w:shd w:val="clear" w:color="auto" w:fill="auto"/>
            <w:noWrap/>
            <w:vAlign w:val="bottom"/>
            <w:hideMark/>
          </w:tcPr>
          <w:p w14:paraId="2A1B0BA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082</w:t>
            </w:r>
            <w:r w:rsidRPr="005C59F8">
              <w:rPr>
                <w:rFonts w:ascii="Traditional Arabic"/>
                <w:sz w:val="18"/>
                <w:szCs w:val="18"/>
                <w:rtl/>
              </w:rPr>
              <w:t xml:space="preserve"> </w:t>
            </w:r>
            <w:r w:rsidRPr="005C59F8">
              <w:rPr>
                <w:sz w:val="18"/>
                <w:szCs w:val="18"/>
                <w:rtl/>
              </w:rPr>
              <w:t>7</w:t>
            </w:r>
          </w:p>
        </w:tc>
        <w:tc>
          <w:tcPr>
            <w:tcW w:w="968" w:type="dxa"/>
            <w:shd w:val="clear" w:color="auto" w:fill="auto"/>
            <w:noWrap/>
            <w:vAlign w:val="bottom"/>
            <w:hideMark/>
          </w:tcPr>
          <w:p w14:paraId="6A9AFC94"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403</w:t>
            </w:r>
            <w:r w:rsidRPr="005C59F8">
              <w:rPr>
                <w:rFonts w:ascii="Traditional Arabic"/>
                <w:sz w:val="18"/>
                <w:szCs w:val="18"/>
                <w:rtl/>
              </w:rPr>
              <w:t xml:space="preserve"> </w:t>
            </w:r>
            <w:r w:rsidRPr="005C59F8">
              <w:rPr>
                <w:sz w:val="18"/>
                <w:szCs w:val="18"/>
                <w:rtl/>
              </w:rPr>
              <w:t>7</w:t>
            </w:r>
          </w:p>
        </w:tc>
        <w:tc>
          <w:tcPr>
            <w:tcW w:w="968" w:type="dxa"/>
            <w:shd w:val="clear" w:color="auto" w:fill="auto"/>
            <w:vAlign w:val="bottom"/>
            <w:hideMark/>
          </w:tcPr>
          <w:p w14:paraId="56D89DB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739</w:t>
            </w:r>
            <w:r w:rsidRPr="005C59F8">
              <w:rPr>
                <w:rFonts w:ascii="Traditional Arabic"/>
                <w:sz w:val="18"/>
                <w:szCs w:val="18"/>
                <w:rtl/>
              </w:rPr>
              <w:t xml:space="preserve"> </w:t>
            </w:r>
            <w:r w:rsidRPr="005C59F8">
              <w:rPr>
                <w:sz w:val="18"/>
                <w:szCs w:val="18"/>
                <w:rtl/>
              </w:rPr>
              <w:t>7</w:t>
            </w:r>
          </w:p>
        </w:tc>
        <w:tc>
          <w:tcPr>
            <w:tcW w:w="930" w:type="dxa"/>
            <w:shd w:val="clear" w:color="auto" w:fill="auto"/>
            <w:vAlign w:val="bottom"/>
            <w:hideMark/>
          </w:tcPr>
          <w:p w14:paraId="4F278185"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127</w:t>
            </w:r>
            <w:r w:rsidRPr="005C59F8">
              <w:rPr>
                <w:rFonts w:ascii="Traditional Arabic"/>
                <w:sz w:val="18"/>
                <w:szCs w:val="18"/>
                <w:rtl/>
              </w:rPr>
              <w:t xml:space="preserve"> </w:t>
            </w:r>
            <w:r w:rsidRPr="005C59F8">
              <w:rPr>
                <w:sz w:val="18"/>
                <w:szCs w:val="18"/>
                <w:rtl/>
              </w:rPr>
              <w:t>8</w:t>
            </w:r>
          </w:p>
        </w:tc>
      </w:tr>
      <w:tr w:rsidR="00A0227D" w:rsidRPr="005C59F8" w14:paraId="3350BD9C" w14:textId="77777777" w:rsidTr="00327BDA">
        <w:tc>
          <w:tcPr>
            <w:tcW w:w="1452" w:type="dxa"/>
            <w:shd w:val="clear" w:color="auto" w:fill="auto"/>
            <w:noWrap/>
            <w:hideMark/>
          </w:tcPr>
          <w:p w14:paraId="65B88100"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الإسبانية</w:t>
            </w:r>
          </w:p>
        </w:tc>
        <w:tc>
          <w:tcPr>
            <w:tcW w:w="968" w:type="dxa"/>
            <w:shd w:val="clear" w:color="auto" w:fill="auto"/>
            <w:noWrap/>
            <w:vAlign w:val="bottom"/>
            <w:hideMark/>
          </w:tcPr>
          <w:p w14:paraId="7239C00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022</w:t>
            </w:r>
            <w:r w:rsidRPr="005C59F8">
              <w:rPr>
                <w:rFonts w:ascii="Traditional Arabic"/>
                <w:sz w:val="18"/>
                <w:szCs w:val="18"/>
                <w:rtl/>
              </w:rPr>
              <w:t xml:space="preserve"> </w:t>
            </w:r>
            <w:r w:rsidRPr="005C59F8">
              <w:rPr>
                <w:sz w:val="18"/>
                <w:szCs w:val="18"/>
                <w:rtl/>
              </w:rPr>
              <w:t>6</w:t>
            </w:r>
          </w:p>
        </w:tc>
        <w:tc>
          <w:tcPr>
            <w:tcW w:w="968" w:type="dxa"/>
            <w:shd w:val="clear" w:color="auto" w:fill="auto"/>
            <w:noWrap/>
            <w:vAlign w:val="bottom"/>
            <w:hideMark/>
          </w:tcPr>
          <w:p w14:paraId="2C89B7D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583</w:t>
            </w:r>
            <w:r w:rsidRPr="005C59F8">
              <w:rPr>
                <w:rFonts w:ascii="Traditional Arabic"/>
                <w:sz w:val="18"/>
                <w:szCs w:val="18"/>
                <w:rtl/>
              </w:rPr>
              <w:t xml:space="preserve"> </w:t>
            </w:r>
            <w:r w:rsidRPr="005C59F8">
              <w:rPr>
                <w:sz w:val="18"/>
                <w:szCs w:val="18"/>
                <w:rtl/>
              </w:rPr>
              <w:t>6</w:t>
            </w:r>
          </w:p>
        </w:tc>
        <w:tc>
          <w:tcPr>
            <w:tcW w:w="969" w:type="dxa"/>
            <w:shd w:val="clear" w:color="auto" w:fill="auto"/>
            <w:noWrap/>
            <w:vAlign w:val="bottom"/>
            <w:hideMark/>
          </w:tcPr>
          <w:p w14:paraId="3A5FB74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025</w:t>
            </w:r>
            <w:r w:rsidRPr="005C59F8">
              <w:rPr>
                <w:rFonts w:ascii="Traditional Arabic"/>
                <w:sz w:val="18"/>
                <w:szCs w:val="18"/>
                <w:rtl/>
              </w:rPr>
              <w:t xml:space="preserve"> </w:t>
            </w:r>
            <w:r w:rsidRPr="005C59F8">
              <w:rPr>
                <w:sz w:val="18"/>
                <w:szCs w:val="18"/>
                <w:rtl/>
              </w:rPr>
              <w:t>7</w:t>
            </w:r>
          </w:p>
        </w:tc>
        <w:tc>
          <w:tcPr>
            <w:tcW w:w="968" w:type="dxa"/>
            <w:shd w:val="clear" w:color="auto" w:fill="auto"/>
            <w:noWrap/>
            <w:vAlign w:val="bottom"/>
            <w:hideMark/>
          </w:tcPr>
          <w:p w14:paraId="05082E9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449</w:t>
            </w:r>
            <w:r w:rsidRPr="005C59F8">
              <w:rPr>
                <w:rFonts w:ascii="Traditional Arabic"/>
                <w:sz w:val="18"/>
                <w:szCs w:val="18"/>
                <w:rtl/>
              </w:rPr>
              <w:t xml:space="preserve"> </w:t>
            </w:r>
            <w:r w:rsidRPr="005C59F8">
              <w:rPr>
                <w:sz w:val="18"/>
                <w:szCs w:val="18"/>
                <w:rtl/>
              </w:rPr>
              <w:t>7</w:t>
            </w:r>
          </w:p>
        </w:tc>
        <w:tc>
          <w:tcPr>
            <w:tcW w:w="968" w:type="dxa"/>
            <w:shd w:val="clear" w:color="auto" w:fill="auto"/>
            <w:vAlign w:val="bottom"/>
            <w:hideMark/>
          </w:tcPr>
          <w:p w14:paraId="25F0F98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770</w:t>
            </w:r>
            <w:r w:rsidRPr="005C59F8">
              <w:rPr>
                <w:rFonts w:ascii="Traditional Arabic"/>
                <w:sz w:val="18"/>
                <w:szCs w:val="18"/>
                <w:rtl/>
              </w:rPr>
              <w:t xml:space="preserve"> </w:t>
            </w:r>
            <w:r w:rsidRPr="005C59F8">
              <w:rPr>
                <w:sz w:val="18"/>
                <w:szCs w:val="18"/>
                <w:rtl/>
              </w:rPr>
              <w:t>7</w:t>
            </w:r>
          </w:p>
        </w:tc>
        <w:tc>
          <w:tcPr>
            <w:tcW w:w="930" w:type="dxa"/>
            <w:shd w:val="clear" w:color="auto" w:fill="auto"/>
            <w:vAlign w:val="bottom"/>
            <w:hideMark/>
          </w:tcPr>
          <w:p w14:paraId="28A093B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099</w:t>
            </w:r>
            <w:r w:rsidRPr="005C59F8">
              <w:rPr>
                <w:rFonts w:ascii="Traditional Arabic"/>
                <w:sz w:val="18"/>
                <w:szCs w:val="18"/>
                <w:rtl/>
              </w:rPr>
              <w:t xml:space="preserve"> </w:t>
            </w:r>
            <w:r w:rsidRPr="005C59F8">
              <w:rPr>
                <w:sz w:val="18"/>
                <w:szCs w:val="18"/>
                <w:rtl/>
              </w:rPr>
              <w:t>8</w:t>
            </w:r>
          </w:p>
        </w:tc>
      </w:tr>
      <w:tr w:rsidR="00A0227D" w:rsidRPr="005C59F8" w14:paraId="739C0273" w14:textId="77777777" w:rsidTr="00327BDA">
        <w:tc>
          <w:tcPr>
            <w:tcW w:w="1452" w:type="dxa"/>
            <w:shd w:val="clear" w:color="auto" w:fill="auto"/>
            <w:noWrap/>
            <w:hideMark/>
          </w:tcPr>
          <w:p w14:paraId="3B86DE7E"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الألمانية</w:t>
            </w:r>
          </w:p>
        </w:tc>
        <w:tc>
          <w:tcPr>
            <w:tcW w:w="968" w:type="dxa"/>
            <w:shd w:val="clear" w:color="auto" w:fill="auto"/>
            <w:noWrap/>
            <w:vAlign w:val="bottom"/>
            <w:hideMark/>
          </w:tcPr>
          <w:p w14:paraId="401252E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902</w:t>
            </w:r>
            <w:r w:rsidRPr="005C59F8">
              <w:rPr>
                <w:rFonts w:ascii="Traditional Arabic"/>
                <w:sz w:val="18"/>
                <w:szCs w:val="18"/>
                <w:rtl/>
              </w:rPr>
              <w:t xml:space="preserve"> </w:t>
            </w:r>
            <w:r w:rsidRPr="005C59F8">
              <w:rPr>
                <w:sz w:val="18"/>
                <w:szCs w:val="18"/>
                <w:rtl/>
              </w:rPr>
              <w:t>5</w:t>
            </w:r>
          </w:p>
        </w:tc>
        <w:tc>
          <w:tcPr>
            <w:tcW w:w="968" w:type="dxa"/>
            <w:shd w:val="clear" w:color="auto" w:fill="auto"/>
            <w:noWrap/>
            <w:vAlign w:val="bottom"/>
            <w:hideMark/>
          </w:tcPr>
          <w:p w14:paraId="1A042F0F"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059</w:t>
            </w:r>
            <w:r w:rsidRPr="005C59F8">
              <w:rPr>
                <w:rFonts w:ascii="Traditional Arabic"/>
                <w:sz w:val="18"/>
                <w:szCs w:val="18"/>
                <w:rtl/>
              </w:rPr>
              <w:t xml:space="preserve"> </w:t>
            </w:r>
            <w:r w:rsidRPr="005C59F8">
              <w:rPr>
                <w:sz w:val="18"/>
                <w:szCs w:val="18"/>
                <w:rtl/>
              </w:rPr>
              <w:t>6</w:t>
            </w:r>
          </w:p>
        </w:tc>
        <w:tc>
          <w:tcPr>
            <w:tcW w:w="969" w:type="dxa"/>
            <w:shd w:val="clear" w:color="auto" w:fill="auto"/>
            <w:noWrap/>
            <w:vAlign w:val="bottom"/>
            <w:hideMark/>
          </w:tcPr>
          <w:p w14:paraId="2D8E079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168</w:t>
            </w:r>
            <w:r w:rsidRPr="005C59F8">
              <w:rPr>
                <w:rFonts w:ascii="Traditional Arabic"/>
                <w:sz w:val="18"/>
                <w:szCs w:val="18"/>
                <w:rtl/>
              </w:rPr>
              <w:t xml:space="preserve"> </w:t>
            </w:r>
            <w:r w:rsidRPr="005C59F8">
              <w:rPr>
                <w:sz w:val="18"/>
                <w:szCs w:val="18"/>
                <w:rtl/>
              </w:rPr>
              <w:t>6</w:t>
            </w:r>
          </w:p>
        </w:tc>
        <w:tc>
          <w:tcPr>
            <w:tcW w:w="968" w:type="dxa"/>
            <w:shd w:val="clear" w:color="auto" w:fill="auto"/>
            <w:noWrap/>
            <w:vAlign w:val="bottom"/>
            <w:hideMark/>
          </w:tcPr>
          <w:p w14:paraId="3CC563E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256</w:t>
            </w:r>
            <w:r w:rsidRPr="005C59F8">
              <w:rPr>
                <w:rFonts w:ascii="Traditional Arabic"/>
                <w:sz w:val="18"/>
                <w:szCs w:val="18"/>
                <w:rtl/>
              </w:rPr>
              <w:t xml:space="preserve"> </w:t>
            </w:r>
            <w:r w:rsidRPr="005C59F8">
              <w:rPr>
                <w:sz w:val="18"/>
                <w:szCs w:val="18"/>
                <w:rtl/>
              </w:rPr>
              <w:t>6</w:t>
            </w:r>
          </w:p>
        </w:tc>
        <w:tc>
          <w:tcPr>
            <w:tcW w:w="968" w:type="dxa"/>
            <w:shd w:val="clear" w:color="auto" w:fill="auto"/>
            <w:vAlign w:val="bottom"/>
            <w:hideMark/>
          </w:tcPr>
          <w:p w14:paraId="7B97468C"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183</w:t>
            </w:r>
            <w:r w:rsidRPr="005C59F8">
              <w:rPr>
                <w:rFonts w:ascii="Traditional Arabic"/>
                <w:sz w:val="18"/>
                <w:szCs w:val="18"/>
                <w:rtl/>
              </w:rPr>
              <w:t xml:space="preserve"> </w:t>
            </w:r>
            <w:r w:rsidRPr="005C59F8">
              <w:rPr>
                <w:sz w:val="18"/>
                <w:szCs w:val="18"/>
                <w:rtl/>
              </w:rPr>
              <w:t>6</w:t>
            </w:r>
          </w:p>
        </w:tc>
        <w:tc>
          <w:tcPr>
            <w:tcW w:w="930" w:type="dxa"/>
            <w:shd w:val="clear" w:color="auto" w:fill="auto"/>
            <w:vAlign w:val="bottom"/>
            <w:hideMark/>
          </w:tcPr>
          <w:p w14:paraId="757A65B0"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317</w:t>
            </w:r>
            <w:r w:rsidRPr="005C59F8">
              <w:rPr>
                <w:rFonts w:ascii="Traditional Arabic"/>
                <w:sz w:val="18"/>
                <w:szCs w:val="18"/>
                <w:rtl/>
              </w:rPr>
              <w:t xml:space="preserve"> </w:t>
            </w:r>
            <w:r w:rsidRPr="005C59F8">
              <w:rPr>
                <w:sz w:val="18"/>
                <w:szCs w:val="18"/>
                <w:rtl/>
              </w:rPr>
              <w:t>6</w:t>
            </w:r>
          </w:p>
        </w:tc>
      </w:tr>
      <w:tr w:rsidR="00A0227D" w:rsidRPr="005C59F8" w14:paraId="423068EB" w14:textId="77777777" w:rsidTr="00327BDA">
        <w:tc>
          <w:tcPr>
            <w:tcW w:w="1452" w:type="dxa"/>
            <w:shd w:val="clear" w:color="auto" w:fill="auto"/>
            <w:noWrap/>
            <w:hideMark/>
          </w:tcPr>
          <w:p w14:paraId="4316FD2C"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البولندية</w:t>
            </w:r>
          </w:p>
        </w:tc>
        <w:tc>
          <w:tcPr>
            <w:tcW w:w="968" w:type="dxa"/>
            <w:shd w:val="clear" w:color="auto" w:fill="auto"/>
            <w:noWrap/>
            <w:vAlign w:val="bottom"/>
            <w:hideMark/>
          </w:tcPr>
          <w:p w14:paraId="63FB638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060</w:t>
            </w:r>
            <w:r w:rsidRPr="005C59F8">
              <w:rPr>
                <w:rFonts w:ascii="Traditional Arabic"/>
                <w:sz w:val="18"/>
                <w:szCs w:val="18"/>
                <w:rtl/>
              </w:rPr>
              <w:t xml:space="preserve"> </w:t>
            </w:r>
            <w:r w:rsidRPr="005C59F8">
              <w:rPr>
                <w:sz w:val="18"/>
                <w:szCs w:val="18"/>
                <w:rtl/>
              </w:rPr>
              <w:t>4</w:t>
            </w:r>
          </w:p>
        </w:tc>
        <w:tc>
          <w:tcPr>
            <w:tcW w:w="968" w:type="dxa"/>
            <w:shd w:val="clear" w:color="auto" w:fill="auto"/>
            <w:noWrap/>
            <w:vAlign w:val="bottom"/>
            <w:hideMark/>
          </w:tcPr>
          <w:p w14:paraId="3E25935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459</w:t>
            </w:r>
            <w:r w:rsidRPr="005C59F8">
              <w:rPr>
                <w:rFonts w:ascii="Traditional Arabic"/>
                <w:sz w:val="18"/>
                <w:szCs w:val="18"/>
                <w:rtl/>
              </w:rPr>
              <w:t xml:space="preserve"> </w:t>
            </w:r>
            <w:r w:rsidRPr="005C59F8">
              <w:rPr>
                <w:sz w:val="18"/>
                <w:szCs w:val="18"/>
                <w:rtl/>
              </w:rPr>
              <w:t>4</w:t>
            </w:r>
          </w:p>
        </w:tc>
        <w:tc>
          <w:tcPr>
            <w:tcW w:w="969" w:type="dxa"/>
            <w:shd w:val="clear" w:color="auto" w:fill="auto"/>
            <w:noWrap/>
            <w:vAlign w:val="bottom"/>
            <w:hideMark/>
          </w:tcPr>
          <w:p w14:paraId="42919EDC"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794</w:t>
            </w:r>
            <w:r w:rsidRPr="005C59F8">
              <w:rPr>
                <w:rFonts w:ascii="Traditional Arabic"/>
                <w:sz w:val="18"/>
                <w:szCs w:val="18"/>
                <w:rtl/>
              </w:rPr>
              <w:t xml:space="preserve"> </w:t>
            </w:r>
            <w:r w:rsidRPr="005C59F8">
              <w:rPr>
                <w:sz w:val="18"/>
                <w:szCs w:val="18"/>
                <w:rtl/>
              </w:rPr>
              <w:t>4</w:t>
            </w:r>
          </w:p>
        </w:tc>
        <w:tc>
          <w:tcPr>
            <w:tcW w:w="968" w:type="dxa"/>
            <w:shd w:val="clear" w:color="auto" w:fill="auto"/>
            <w:noWrap/>
            <w:vAlign w:val="bottom"/>
            <w:hideMark/>
          </w:tcPr>
          <w:p w14:paraId="6788313D"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081</w:t>
            </w:r>
            <w:r w:rsidRPr="005C59F8">
              <w:rPr>
                <w:rFonts w:ascii="Traditional Arabic"/>
                <w:sz w:val="18"/>
                <w:szCs w:val="18"/>
                <w:rtl/>
              </w:rPr>
              <w:t xml:space="preserve"> </w:t>
            </w:r>
            <w:r w:rsidRPr="005C59F8">
              <w:rPr>
                <w:sz w:val="18"/>
                <w:szCs w:val="18"/>
                <w:rtl/>
              </w:rPr>
              <w:t>5</w:t>
            </w:r>
          </w:p>
        </w:tc>
        <w:tc>
          <w:tcPr>
            <w:tcW w:w="968" w:type="dxa"/>
            <w:shd w:val="clear" w:color="auto" w:fill="auto"/>
            <w:vAlign w:val="bottom"/>
            <w:hideMark/>
          </w:tcPr>
          <w:p w14:paraId="6ED5F0C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274</w:t>
            </w:r>
            <w:r w:rsidRPr="005C59F8">
              <w:rPr>
                <w:rFonts w:ascii="Traditional Arabic"/>
                <w:sz w:val="18"/>
                <w:szCs w:val="18"/>
                <w:rtl/>
              </w:rPr>
              <w:t xml:space="preserve"> </w:t>
            </w:r>
            <w:r w:rsidRPr="005C59F8">
              <w:rPr>
                <w:sz w:val="18"/>
                <w:szCs w:val="18"/>
                <w:rtl/>
              </w:rPr>
              <w:t>5</w:t>
            </w:r>
          </w:p>
        </w:tc>
        <w:tc>
          <w:tcPr>
            <w:tcW w:w="930" w:type="dxa"/>
            <w:shd w:val="clear" w:color="auto" w:fill="auto"/>
            <w:vAlign w:val="bottom"/>
            <w:hideMark/>
          </w:tcPr>
          <w:p w14:paraId="20824F7E"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441</w:t>
            </w:r>
            <w:r w:rsidRPr="005C59F8">
              <w:rPr>
                <w:rFonts w:ascii="Traditional Arabic"/>
                <w:sz w:val="18"/>
                <w:szCs w:val="18"/>
                <w:rtl/>
              </w:rPr>
              <w:t xml:space="preserve"> </w:t>
            </w:r>
            <w:r w:rsidRPr="005C59F8">
              <w:rPr>
                <w:sz w:val="18"/>
                <w:szCs w:val="18"/>
                <w:rtl/>
              </w:rPr>
              <w:t>5</w:t>
            </w:r>
          </w:p>
        </w:tc>
      </w:tr>
      <w:tr w:rsidR="00A0227D" w:rsidRPr="005C59F8" w14:paraId="27D59488" w14:textId="77777777" w:rsidTr="00327BDA">
        <w:tc>
          <w:tcPr>
            <w:tcW w:w="1452" w:type="dxa"/>
            <w:tcBorders>
              <w:bottom w:val="single" w:sz="4" w:space="0" w:color="auto"/>
            </w:tcBorders>
            <w:shd w:val="clear" w:color="auto" w:fill="auto"/>
            <w:noWrap/>
            <w:hideMark/>
          </w:tcPr>
          <w:p w14:paraId="5635D889" w14:textId="77777777" w:rsidR="00A0227D" w:rsidRPr="00327BDA" w:rsidRDefault="00A0227D" w:rsidP="00327BDA">
            <w:pPr>
              <w:spacing w:before="40" w:after="40" w:line="300" w:lineRule="exact"/>
              <w:ind w:right="113"/>
              <w:textDirection w:val="tbRlV"/>
              <w:rPr>
                <w:bCs/>
                <w:sz w:val="28"/>
                <w:szCs w:val="28"/>
                <w:lang w:val="ar-SA" w:eastAsia="zh-TW" w:bidi="en-GB"/>
              </w:rPr>
            </w:pPr>
            <w:r w:rsidRPr="00327BDA">
              <w:rPr>
                <w:sz w:val="28"/>
                <w:szCs w:val="28"/>
                <w:rtl/>
              </w:rPr>
              <w:t>أخرى</w:t>
            </w:r>
          </w:p>
        </w:tc>
        <w:tc>
          <w:tcPr>
            <w:tcW w:w="968" w:type="dxa"/>
            <w:tcBorders>
              <w:bottom w:val="single" w:sz="4" w:space="0" w:color="auto"/>
            </w:tcBorders>
            <w:shd w:val="clear" w:color="auto" w:fill="auto"/>
            <w:noWrap/>
            <w:vAlign w:val="bottom"/>
            <w:hideMark/>
          </w:tcPr>
          <w:p w14:paraId="6AC0DF7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229</w:t>
            </w:r>
            <w:r w:rsidRPr="005C59F8">
              <w:rPr>
                <w:rFonts w:ascii="Traditional Arabic"/>
                <w:sz w:val="18"/>
                <w:szCs w:val="18"/>
                <w:rtl/>
              </w:rPr>
              <w:t xml:space="preserve"> </w:t>
            </w:r>
            <w:r w:rsidRPr="005C59F8">
              <w:rPr>
                <w:sz w:val="18"/>
                <w:szCs w:val="18"/>
                <w:rtl/>
              </w:rPr>
              <w:t>63</w:t>
            </w:r>
          </w:p>
        </w:tc>
        <w:tc>
          <w:tcPr>
            <w:tcW w:w="968" w:type="dxa"/>
            <w:tcBorders>
              <w:bottom w:val="single" w:sz="4" w:space="0" w:color="auto"/>
            </w:tcBorders>
            <w:shd w:val="clear" w:color="auto" w:fill="auto"/>
            <w:noWrap/>
            <w:vAlign w:val="bottom"/>
            <w:hideMark/>
          </w:tcPr>
          <w:p w14:paraId="04493D43"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084</w:t>
            </w:r>
            <w:r w:rsidRPr="005C59F8">
              <w:rPr>
                <w:rFonts w:ascii="Traditional Arabic"/>
                <w:sz w:val="18"/>
                <w:szCs w:val="18"/>
                <w:rtl/>
              </w:rPr>
              <w:t xml:space="preserve"> </w:t>
            </w:r>
            <w:r w:rsidRPr="005C59F8">
              <w:rPr>
                <w:sz w:val="18"/>
                <w:szCs w:val="18"/>
                <w:rtl/>
              </w:rPr>
              <w:t>69</w:t>
            </w:r>
          </w:p>
        </w:tc>
        <w:tc>
          <w:tcPr>
            <w:tcW w:w="969" w:type="dxa"/>
            <w:tcBorders>
              <w:bottom w:val="single" w:sz="4" w:space="0" w:color="auto"/>
            </w:tcBorders>
            <w:shd w:val="clear" w:color="auto" w:fill="auto"/>
            <w:noWrap/>
            <w:vAlign w:val="bottom"/>
            <w:hideMark/>
          </w:tcPr>
          <w:p w14:paraId="08BFD7D5"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776</w:t>
            </w:r>
            <w:r w:rsidRPr="005C59F8">
              <w:rPr>
                <w:rFonts w:ascii="Traditional Arabic"/>
                <w:sz w:val="18"/>
                <w:szCs w:val="18"/>
                <w:rtl/>
              </w:rPr>
              <w:t xml:space="preserve"> </w:t>
            </w:r>
            <w:r w:rsidRPr="005C59F8">
              <w:rPr>
                <w:sz w:val="18"/>
                <w:szCs w:val="18"/>
                <w:rtl/>
              </w:rPr>
              <w:t>74</w:t>
            </w:r>
          </w:p>
        </w:tc>
        <w:tc>
          <w:tcPr>
            <w:tcW w:w="968" w:type="dxa"/>
            <w:tcBorders>
              <w:bottom w:val="single" w:sz="4" w:space="0" w:color="auto"/>
            </w:tcBorders>
            <w:shd w:val="clear" w:color="auto" w:fill="auto"/>
            <w:noWrap/>
            <w:vAlign w:val="bottom"/>
            <w:hideMark/>
          </w:tcPr>
          <w:p w14:paraId="42C7CB77"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991</w:t>
            </w:r>
            <w:r w:rsidRPr="005C59F8">
              <w:rPr>
                <w:rFonts w:ascii="Traditional Arabic"/>
                <w:sz w:val="18"/>
                <w:szCs w:val="18"/>
                <w:rtl/>
              </w:rPr>
              <w:t xml:space="preserve"> </w:t>
            </w:r>
            <w:r w:rsidRPr="005C59F8">
              <w:rPr>
                <w:sz w:val="18"/>
                <w:szCs w:val="18"/>
                <w:rtl/>
              </w:rPr>
              <w:t>80</w:t>
            </w:r>
          </w:p>
        </w:tc>
        <w:tc>
          <w:tcPr>
            <w:tcW w:w="968" w:type="dxa"/>
            <w:tcBorders>
              <w:bottom w:val="single" w:sz="4" w:space="0" w:color="auto"/>
            </w:tcBorders>
            <w:shd w:val="clear" w:color="auto" w:fill="auto"/>
            <w:vAlign w:val="bottom"/>
            <w:hideMark/>
          </w:tcPr>
          <w:p w14:paraId="05D559D8"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584</w:t>
            </w:r>
            <w:r w:rsidRPr="005C59F8">
              <w:rPr>
                <w:rFonts w:ascii="Traditional Arabic"/>
                <w:sz w:val="18"/>
                <w:szCs w:val="18"/>
                <w:rtl/>
              </w:rPr>
              <w:t xml:space="preserve"> </w:t>
            </w:r>
            <w:r w:rsidRPr="005C59F8">
              <w:rPr>
                <w:sz w:val="18"/>
                <w:szCs w:val="18"/>
                <w:rtl/>
              </w:rPr>
              <w:t>86</w:t>
            </w:r>
          </w:p>
        </w:tc>
        <w:tc>
          <w:tcPr>
            <w:tcW w:w="930" w:type="dxa"/>
            <w:tcBorders>
              <w:bottom w:val="single" w:sz="4" w:space="0" w:color="auto"/>
            </w:tcBorders>
            <w:shd w:val="clear" w:color="auto" w:fill="auto"/>
            <w:vAlign w:val="bottom"/>
            <w:hideMark/>
          </w:tcPr>
          <w:p w14:paraId="64E45D21" w14:textId="77777777" w:rsidR="00A0227D" w:rsidRPr="005C59F8" w:rsidRDefault="00A0227D" w:rsidP="005C59F8">
            <w:pPr>
              <w:spacing w:before="40" w:after="40" w:line="300" w:lineRule="exact"/>
              <w:ind w:left="57" w:right="113"/>
              <w:jc w:val="left"/>
              <w:textDirection w:val="tbRlV"/>
              <w:rPr>
                <w:sz w:val="18"/>
                <w:szCs w:val="18"/>
                <w:lang w:val="ar-SA" w:eastAsia="zh-TW" w:bidi="en-GB"/>
              </w:rPr>
            </w:pPr>
            <w:r w:rsidRPr="005C59F8">
              <w:rPr>
                <w:sz w:val="18"/>
                <w:szCs w:val="18"/>
                <w:rtl/>
              </w:rPr>
              <w:t>056</w:t>
            </w:r>
            <w:r w:rsidRPr="005C59F8">
              <w:rPr>
                <w:rFonts w:ascii="Traditional Arabic"/>
                <w:sz w:val="18"/>
                <w:szCs w:val="18"/>
                <w:rtl/>
              </w:rPr>
              <w:t xml:space="preserve"> </w:t>
            </w:r>
            <w:r w:rsidRPr="005C59F8">
              <w:rPr>
                <w:sz w:val="18"/>
                <w:szCs w:val="18"/>
                <w:rtl/>
              </w:rPr>
              <w:t>93</w:t>
            </w:r>
          </w:p>
        </w:tc>
      </w:tr>
      <w:tr w:rsidR="00A0227D" w:rsidRPr="005C59F8" w14:paraId="39338682" w14:textId="77777777" w:rsidTr="00327BDA">
        <w:tc>
          <w:tcPr>
            <w:tcW w:w="1452" w:type="dxa"/>
            <w:tcBorders>
              <w:top w:val="single" w:sz="4" w:space="0" w:color="auto"/>
            </w:tcBorders>
            <w:shd w:val="clear" w:color="auto" w:fill="auto"/>
            <w:noWrap/>
            <w:hideMark/>
          </w:tcPr>
          <w:p w14:paraId="47AFDB34" w14:textId="77777777" w:rsidR="00A0227D" w:rsidRPr="00327BDA" w:rsidRDefault="00A0227D" w:rsidP="00327BDA">
            <w:pPr>
              <w:spacing w:before="40" w:after="40" w:line="300" w:lineRule="exact"/>
              <w:ind w:left="283"/>
              <w:textDirection w:val="tbRlV"/>
              <w:rPr>
                <w:b/>
                <w:bCs/>
                <w:sz w:val="28"/>
                <w:szCs w:val="28"/>
                <w:lang w:val="ar-SA" w:eastAsia="zh-TW" w:bidi="en-GB"/>
              </w:rPr>
            </w:pPr>
            <w:r w:rsidRPr="00327BDA">
              <w:rPr>
                <w:b/>
                <w:bCs/>
                <w:sz w:val="28"/>
                <w:szCs w:val="28"/>
                <w:rtl/>
              </w:rPr>
              <w:t>المجموع</w:t>
            </w:r>
          </w:p>
        </w:tc>
        <w:tc>
          <w:tcPr>
            <w:tcW w:w="968" w:type="dxa"/>
            <w:tcBorders>
              <w:top w:val="single" w:sz="4" w:space="0" w:color="auto"/>
            </w:tcBorders>
            <w:shd w:val="clear" w:color="auto" w:fill="auto"/>
            <w:noWrap/>
            <w:vAlign w:val="bottom"/>
            <w:hideMark/>
          </w:tcPr>
          <w:p w14:paraId="407943C4" w14:textId="77777777" w:rsidR="00A0227D" w:rsidRPr="005C59F8" w:rsidRDefault="00A0227D" w:rsidP="005C59F8">
            <w:pPr>
              <w:spacing w:before="40" w:after="40" w:line="300" w:lineRule="exact"/>
              <w:ind w:left="57" w:right="113"/>
              <w:jc w:val="left"/>
              <w:textDirection w:val="tbRlV"/>
              <w:rPr>
                <w:b/>
                <w:sz w:val="18"/>
                <w:szCs w:val="18"/>
                <w:lang w:val="ar-SA" w:eastAsia="zh-TW" w:bidi="en-GB"/>
              </w:rPr>
            </w:pPr>
            <w:r w:rsidRPr="005C59F8">
              <w:rPr>
                <w:b/>
                <w:bCs/>
                <w:sz w:val="18"/>
                <w:szCs w:val="18"/>
                <w:rtl/>
              </w:rPr>
              <w:t>270</w:t>
            </w:r>
            <w:r w:rsidRPr="005C59F8">
              <w:rPr>
                <w:rFonts w:ascii="Traditional Arabic"/>
                <w:b/>
                <w:bCs/>
                <w:sz w:val="18"/>
                <w:szCs w:val="18"/>
                <w:rtl/>
              </w:rPr>
              <w:t xml:space="preserve"> </w:t>
            </w:r>
            <w:r w:rsidRPr="005C59F8">
              <w:rPr>
                <w:b/>
                <w:bCs/>
                <w:sz w:val="18"/>
                <w:szCs w:val="18"/>
                <w:rtl/>
              </w:rPr>
              <w:t>451</w:t>
            </w:r>
            <w:r w:rsidRPr="005C59F8">
              <w:rPr>
                <w:rFonts w:ascii="Traditional Arabic"/>
                <w:b/>
                <w:bCs/>
                <w:sz w:val="18"/>
                <w:szCs w:val="18"/>
                <w:rtl/>
              </w:rPr>
              <w:t xml:space="preserve"> </w:t>
            </w:r>
            <w:r w:rsidRPr="005C59F8">
              <w:rPr>
                <w:b/>
                <w:bCs/>
                <w:sz w:val="18"/>
                <w:szCs w:val="18"/>
                <w:rtl/>
              </w:rPr>
              <w:t>5</w:t>
            </w:r>
          </w:p>
        </w:tc>
        <w:tc>
          <w:tcPr>
            <w:tcW w:w="968" w:type="dxa"/>
            <w:tcBorders>
              <w:top w:val="single" w:sz="4" w:space="0" w:color="auto"/>
            </w:tcBorders>
            <w:shd w:val="clear" w:color="auto" w:fill="auto"/>
            <w:noWrap/>
            <w:vAlign w:val="bottom"/>
            <w:hideMark/>
          </w:tcPr>
          <w:p w14:paraId="072982EF" w14:textId="77777777" w:rsidR="00A0227D" w:rsidRPr="005C59F8" w:rsidRDefault="00A0227D" w:rsidP="005C59F8">
            <w:pPr>
              <w:spacing w:before="40" w:after="40" w:line="300" w:lineRule="exact"/>
              <w:ind w:left="57" w:right="113"/>
              <w:jc w:val="left"/>
              <w:textDirection w:val="tbRlV"/>
              <w:rPr>
                <w:b/>
                <w:sz w:val="18"/>
                <w:szCs w:val="18"/>
                <w:lang w:val="ar-SA" w:eastAsia="zh-TW" w:bidi="en-GB"/>
              </w:rPr>
            </w:pPr>
            <w:r w:rsidRPr="005C59F8">
              <w:rPr>
                <w:b/>
                <w:bCs/>
                <w:sz w:val="18"/>
                <w:szCs w:val="18"/>
                <w:rtl/>
              </w:rPr>
              <w:t>753</w:t>
            </w:r>
            <w:r w:rsidRPr="005C59F8">
              <w:rPr>
                <w:rFonts w:ascii="Traditional Arabic"/>
                <w:b/>
                <w:bCs/>
                <w:sz w:val="18"/>
                <w:szCs w:val="18"/>
                <w:rtl/>
              </w:rPr>
              <w:t xml:space="preserve"> </w:t>
            </w:r>
            <w:r w:rsidRPr="005C59F8">
              <w:rPr>
                <w:b/>
                <w:bCs/>
                <w:sz w:val="18"/>
                <w:szCs w:val="18"/>
                <w:rtl/>
              </w:rPr>
              <w:t>471</w:t>
            </w:r>
            <w:r w:rsidRPr="005C59F8">
              <w:rPr>
                <w:rFonts w:ascii="Traditional Arabic"/>
                <w:b/>
                <w:bCs/>
                <w:sz w:val="18"/>
                <w:szCs w:val="18"/>
                <w:rtl/>
              </w:rPr>
              <w:t xml:space="preserve"> </w:t>
            </w:r>
            <w:r w:rsidRPr="005C59F8">
              <w:rPr>
                <w:b/>
                <w:bCs/>
                <w:sz w:val="18"/>
                <w:szCs w:val="18"/>
                <w:rtl/>
              </w:rPr>
              <w:t>5</w:t>
            </w:r>
          </w:p>
        </w:tc>
        <w:tc>
          <w:tcPr>
            <w:tcW w:w="969" w:type="dxa"/>
            <w:tcBorders>
              <w:top w:val="single" w:sz="4" w:space="0" w:color="auto"/>
            </w:tcBorders>
            <w:shd w:val="clear" w:color="auto" w:fill="auto"/>
            <w:noWrap/>
            <w:vAlign w:val="bottom"/>
            <w:hideMark/>
          </w:tcPr>
          <w:p w14:paraId="5E90BE4C" w14:textId="77777777" w:rsidR="00A0227D" w:rsidRPr="005C59F8" w:rsidRDefault="00A0227D" w:rsidP="005C59F8">
            <w:pPr>
              <w:spacing w:before="40" w:after="40" w:line="300" w:lineRule="exact"/>
              <w:ind w:left="57" w:right="113"/>
              <w:jc w:val="left"/>
              <w:textDirection w:val="tbRlV"/>
              <w:rPr>
                <w:b/>
                <w:sz w:val="18"/>
                <w:szCs w:val="18"/>
                <w:lang w:val="ar-SA" w:eastAsia="zh-TW" w:bidi="en-GB"/>
              </w:rPr>
            </w:pPr>
            <w:r w:rsidRPr="005C59F8">
              <w:rPr>
                <w:b/>
                <w:bCs/>
                <w:sz w:val="18"/>
                <w:szCs w:val="18"/>
                <w:rtl/>
              </w:rPr>
              <w:t>308</w:t>
            </w:r>
            <w:r w:rsidRPr="005C59F8">
              <w:rPr>
                <w:rFonts w:ascii="Traditional Arabic"/>
                <w:b/>
                <w:bCs/>
                <w:sz w:val="18"/>
                <w:szCs w:val="18"/>
                <w:rtl/>
              </w:rPr>
              <w:t xml:space="preserve"> </w:t>
            </w:r>
            <w:r w:rsidRPr="005C59F8">
              <w:rPr>
                <w:b/>
                <w:bCs/>
                <w:sz w:val="18"/>
                <w:szCs w:val="18"/>
                <w:rtl/>
              </w:rPr>
              <w:t>487</w:t>
            </w:r>
            <w:r w:rsidRPr="005C59F8">
              <w:rPr>
                <w:rFonts w:ascii="Traditional Arabic"/>
                <w:b/>
                <w:bCs/>
                <w:sz w:val="18"/>
                <w:szCs w:val="18"/>
                <w:rtl/>
              </w:rPr>
              <w:t xml:space="preserve"> </w:t>
            </w:r>
            <w:r w:rsidRPr="005C59F8">
              <w:rPr>
                <w:b/>
                <w:bCs/>
                <w:sz w:val="18"/>
                <w:szCs w:val="18"/>
                <w:rtl/>
              </w:rPr>
              <w:t>5</w:t>
            </w:r>
          </w:p>
        </w:tc>
        <w:tc>
          <w:tcPr>
            <w:tcW w:w="968" w:type="dxa"/>
            <w:tcBorders>
              <w:top w:val="single" w:sz="4" w:space="0" w:color="auto"/>
            </w:tcBorders>
            <w:shd w:val="clear" w:color="auto" w:fill="auto"/>
            <w:noWrap/>
            <w:vAlign w:val="bottom"/>
            <w:hideMark/>
          </w:tcPr>
          <w:p w14:paraId="71E161A4" w14:textId="77777777" w:rsidR="00A0227D" w:rsidRPr="005C59F8" w:rsidRDefault="00A0227D" w:rsidP="005C59F8">
            <w:pPr>
              <w:spacing w:before="40" w:after="40" w:line="300" w:lineRule="exact"/>
              <w:ind w:left="57" w:right="113"/>
              <w:jc w:val="left"/>
              <w:textDirection w:val="tbRlV"/>
              <w:rPr>
                <w:b/>
                <w:sz w:val="18"/>
                <w:szCs w:val="18"/>
                <w:lang w:val="ar-SA" w:eastAsia="zh-TW" w:bidi="en-GB"/>
              </w:rPr>
            </w:pPr>
            <w:r w:rsidRPr="005C59F8">
              <w:rPr>
                <w:b/>
                <w:bCs/>
                <w:sz w:val="18"/>
                <w:szCs w:val="18"/>
                <w:rtl/>
              </w:rPr>
              <w:t>297</w:t>
            </w:r>
            <w:r w:rsidRPr="005C59F8">
              <w:rPr>
                <w:rFonts w:ascii="Traditional Arabic"/>
                <w:b/>
                <w:bCs/>
                <w:sz w:val="18"/>
                <w:szCs w:val="18"/>
                <w:rtl/>
              </w:rPr>
              <w:t xml:space="preserve"> </w:t>
            </w:r>
            <w:r w:rsidRPr="005C59F8">
              <w:rPr>
                <w:b/>
                <w:bCs/>
                <w:sz w:val="18"/>
                <w:szCs w:val="18"/>
                <w:rtl/>
              </w:rPr>
              <w:t>503</w:t>
            </w:r>
            <w:r w:rsidRPr="005C59F8">
              <w:rPr>
                <w:rFonts w:ascii="Traditional Arabic"/>
                <w:b/>
                <w:bCs/>
                <w:sz w:val="18"/>
                <w:szCs w:val="18"/>
                <w:rtl/>
              </w:rPr>
              <w:t xml:space="preserve"> </w:t>
            </w:r>
            <w:r w:rsidRPr="005C59F8">
              <w:rPr>
                <w:b/>
                <w:bCs/>
                <w:sz w:val="18"/>
                <w:szCs w:val="18"/>
                <w:rtl/>
              </w:rPr>
              <w:t>5</w:t>
            </w:r>
          </w:p>
        </w:tc>
        <w:tc>
          <w:tcPr>
            <w:tcW w:w="968" w:type="dxa"/>
            <w:tcBorders>
              <w:top w:val="single" w:sz="4" w:space="0" w:color="auto"/>
            </w:tcBorders>
            <w:shd w:val="clear" w:color="auto" w:fill="auto"/>
            <w:vAlign w:val="bottom"/>
            <w:hideMark/>
          </w:tcPr>
          <w:p w14:paraId="6E6BD054" w14:textId="77777777" w:rsidR="00A0227D" w:rsidRPr="005C59F8" w:rsidRDefault="00A0227D" w:rsidP="005C59F8">
            <w:pPr>
              <w:spacing w:before="40" w:after="40" w:line="300" w:lineRule="exact"/>
              <w:ind w:left="57" w:right="113"/>
              <w:jc w:val="left"/>
              <w:textDirection w:val="tbRlV"/>
              <w:rPr>
                <w:b/>
                <w:bCs/>
                <w:sz w:val="18"/>
                <w:szCs w:val="18"/>
                <w:lang w:val="ar-SA" w:eastAsia="zh-TW" w:bidi="en-GB"/>
              </w:rPr>
            </w:pPr>
            <w:r w:rsidRPr="005C59F8">
              <w:rPr>
                <w:b/>
                <w:bCs/>
                <w:sz w:val="18"/>
                <w:szCs w:val="18"/>
                <w:rtl/>
              </w:rPr>
              <w:t>130</w:t>
            </w:r>
            <w:r w:rsidRPr="005C59F8">
              <w:rPr>
                <w:rFonts w:ascii="Traditional Arabic"/>
                <w:b/>
                <w:bCs/>
                <w:sz w:val="18"/>
                <w:szCs w:val="18"/>
                <w:rtl/>
              </w:rPr>
              <w:t xml:space="preserve"> </w:t>
            </w:r>
            <w:r w:rsidRPr="005C59F8">
              <w:rPr>
                <w:b/>
                <w:bCs/>
                <w:sz w:val="18"/>
                <w:szCs w:val="18"/>
                <w:rtl/>
              </w:rPr>
              <w:t>513</w:t>
            </w:r>
            <w:r w:rsidRPr="005C59F8">
              <w:rPr>
                <w:rFonts w:ascii="Traditional Arabic"/>
                <w:b/>
                <w:bCs/>
                <w:sz w:val="18"/>
                <w:szCs w:val="18"/>
                <w:rtl/>
              </w:rPr>
              <w:t xml:space="preserve"> </w:t>
            </w:r>
            <w:r w:rsidRPr="005C59F8">
              <w:rPr>
                <w:b/>
                <w:bCs/>
                <w:sz w:val="18"/>
                <w:szCs w:val="18"/>
                <w:rtl/>
              </w:rPr>
              <w:t>5</w:t>
            </w:r>
          </w:p>
        </w:tc>
        <w:tc>
          <w:tcPr>
            <w:tcW w:w="930" w:type="dxa"/>
            <w:tcBorders>
              <w:top w:val="single" w:sz="4" w:space="0" w:color="auto"/>
            </w:tcBorders>
            <w:shd w:val="clear" w:color="auto" w:fill="auto"/>
            <w:vAlign w:val="bottom"/>
            <w:hideMark/>
          </w:tcPr>
          <w:p w14:paraId="39241B2E" w14:textId="77777777" w:rsidR="00A0227D" w:rsidRPr="005C59F8" w:rsidRDefault="00A0227D" w:rsidP="005C59F8">
            <w:pPr>
              <w:spacing w:before="40" w:after="40" w:line="300" w:lineRule="exact"/>
              <w:ind w:left="57" w:right="113"/>
              <w:jc w:val="left"/>
              <w:textDirection w:val="tbRlV"/>
              <w:rPr>
                <w:b/>
                <w:bCs/>
                <w:sz w:val="18"/>
                <w:szCs w:val="18"/>
                <w:lang w:val="ar-SA" w:eastAsia="zh-TW" w:bidi="en-GB"/>
              </w:rPr>
            </w:pPr>
            <w:r w:rsidRPr="005C59F8">
              <w:rPr>
                <w:b/>
                <w:bCs/>
                <w:sz w:val="18"/>
                <w:szCs w:val="18"/>
                <w:rtl/>
              </w:rPr>
              <w:t>919</w:t>
            </w:r>
            <w:r w:rsidRPr="005C59F8">
              <w:rPr>
                <w:rFonts w:ascii="Traditional Arabic"/>
                <w:b/>
                <w:bCs/>
                <w:sz w:val="18"/>
                <w:szCs w:val="18"/>
                <w:rtl/>
              </w:rPr>
              <w:t xml:space="preserve"> </w:t>
            </w:r>
            <w:r w:rsidRPr="005C59F8">
              <w:rPr>
                <w:b/>
                <w:bCs/>
                <w:sz w:val="18"/>
                <w:szCs w:val="18"/>
                <w:rtl/>
              </w:rPr>
              <w:t>517</w:t>
            </w:r>
            <w:r w:rsidRPr="005C59F8">
              <w:rPr>
                <w:rFonts w:ascii="Traditional Arabic"/>
                <w:b/>
                <w:bCs/>
                <w:sz w:val="18"/>
                <w:szCs w:val="18"/>
                <w:rtl/>
              </w:rPr>
              <w:t xml:space="preserve"> </w:t>
            </w:r>
            <w:r w:rsidRPr="005C59F8">
              <w:rPr>
                <w:b/>
                <w:bCs/>
                <w:sz w:val="18"/>
                <w:szCs w:val="18"/>
                <w:rtl/>
              </w:rPr>
              <w:t>5</w:t>
            </w:r>
          </w:p>
        </w:tc>
      </w:tr>
    </w:tbl>
    <w:p w14:paraId="08BBF80E" w14:textId="77777777" w:rsidR="00A0227D" w:rsidRPr="00327BDA" w:rsidRDefault="00A0227D" w:rsidP="00A0227D">
      <w:pPr>
        <w:pStyle w:val="SingleTxtGA"/>
        <w:rPr>
          <w:sz w:val="26"/>
          <w:szCs w:val="26"/>
          <w:lang w:val="ar-SA" w:eastAsia="zh-TW" w:bidi="en-GB"/>
        </w:rPr>
      </w:pPr>
      <w:r w:rsidRPr="00327BDA">
        <w:rPr>
          <w:i/>
          <w:iCs/>
          <w:sz w:val="26"/>
          <w:szCs w:val="26"/>
          <w:rtl/>
        </w:rPr>
        <w:t>المصدر</w:t>
      </w:r>
      <w:r w:rsidRPr="00BB79C1">
        <w:rPr>
          <w:rtl/>
        </w:rPr>
        <w:t>:</w:t>
      </w:r>
      <w:r w:rsidRPr="00327BDA">
        <w:rPr>
          <w:sz w:val="26"/>
          <w:szCs w:val="26"/>
          <w:rtl/>
        </w:rPr>
        <w:t xml:space="preserve"> إحصاءات فنلندا، التركيبة السكانية.</w:t>
      </w:r>
    </w:p>
    <w:p w14:paraId="2E27E7DC" w14:textId="60D357F8" w:rsidR="00A0227D" w:rsidRPr="00327BDA" w:rsidRDefault="00A0227D" w:rsidP="00A0227D">
      <w:pPr>
        <w:pStyle w:val="SingleTxtGA"/>
        <w:rPr>
          <w:spacing w:val="-2"/>
          <w:szCs w:val="20"/>
          <w:lang w:val="ar-SA" w:eastAsia="zh-TW" w:bidi="en-GB"/>
        </w:rPr>
      </w:pPr>
      <w:r w:rsidRPr="00327BDA">
        <w:rPr>
          <w:spacing w:val="-2"/>
          <w:szCs w:val="20"/>
          <w:rtl/>
        </w:rPr>
        <w:t>13</w:t>
      </w:r>
      <w:r w:rsidRPr="00327BDA">
        <w:rPr>
          <w:spacing w:val="-2"/>
          <w:rtl/>
        </w:rPr>
        <w:t>-</w:t>
      </w:r>
      <w:r w:rsidRPr="00327BDA">
        <w:rPr>
          <w:spacing w:val="-2"/>
          <w:rtl/>
        </w:rPr>
        <w:tab/>
        <w:t xml:space="preserve">وكانت الانتماءات الدينية للسكان في عام </w:t>
      </w:r>
      <w:r w:rsidRPr="00327BDA">
        <w:rPr>
          <w:spacing w:val="-2"/>
          <w:szCs w:val="20"/>
          <w:rtl/>
        </w:rPr>
        <w:t>2018</w:t>
      </w:r>
      <w:r w:rsidRPr="00327BDA">
        <w:rPr>
          <w:spacing w:val="-2"/>
          <w:rtl/>
        </w:rPr>
        <w:t xml:space="preserve"> على النحو التالي</w:t>
      </w:r>
      <w:r w:rsidRPr="00BB79C1">
        <w:rPr>
          <w:rtl/>
        </w:rPr>
        <w:t>:</w:t>
      </w:r>
      <w:r w:rsidRPr="00327BDA">
        <w:rPr>
          <w:spacing w:val="-2"/>
          <w:rtl/>
        </w:rPr>
        <w:t xml:space="preserve"> الإنجيلية اللوثرية </w:t>
      </w:r>
      <w:r w:rsidRPr="00327BDA">
        <w:rPr>
          <w:spacing w:val="-2"/>
          <w:szCs w:val="20"/>
          <w:rtl/>
        </w:rPr>
        <w:t>70</w:t>
      </w:r>
      <w:r w:rsidR="002B5B92">
        <w:rPr>
          <w:spacing w:val="-2"/>
          <w:sz w:val="28"/>
          <w:rtl/>
        </w:rPr>
        <w:t xml:space="preserve"> في المائة</w:t>
      </w:r>
      <w:r w:rsidRPr="00327BDA">
        <w:rPr>
          <w:spacing w:val="-2"/>
          <w:rtl/>
        </w:rPr>
        <w:t xml:space="preserve">، والأرثوذكسية </w:t>
      </w:r>
      <w:r w:rsidRPr="00327BDA">
        <w:rPr>
          <w:spacing w:val="-2"/>
          <w:szCs w:val="20"/>
          <w:rtl/>
        </w:rPr>
        <w:t>1</w:t>
      </w:r>
      <w:r w:rsidR="002B5B92">
        <w:rPr>
          <w:spacing w:val="-2"/>
          <w:sz w:val="28"/>
          <w:rtl/>
        </w:rPr>
        <w:t xml:space="preserve"> في المائة</w:t>
      </w:r>
      <w:r w:rsidRPr="00327BDA">
        <w:rPr>
          <w:spacing w:val="-2"/>
          <w:rtl/>
        </w:rPr>
        <w:t xml:space="preserve">، وديانات أخرى </w:t>
      </w:r>
      <w:r w:rsidRPr="00327BDA">
        <w:rPr>
          <w:spacing w:val="-2"/>
          <w:szCs w:val="20"/>
          <w:rtl/>
        </w:rPr>
        <w:t>12</w:t>
      </w:r>
      <w:r w:rsidR="002B5B92">
        <w:rPr>
          <w:spacing w:val="-2"/>
          <w:sz w:val="28"/>
          <w:rtl/>
        </w:rPr>
        <w:t xml:space="preserve"> في المائة</w:t>
      </w:r>
      <w:r w:rsidRPr="00327BDA">
        <w:rPr>
          <w:spacing w:val="-2"/>
          <w:rtl/>
        </w:rPr>
        <w:t xml:space="preserve">، في حين لا تنتمي نسبة </w:t>
      </w:r>
      <w:r w:rsidRPr="00327BDA">
        <w:rPr>
          <w:spacing w:val="-2"/>
          <w:szCs w:val="20"/>
          <w:rtl/>
        </w:rPr>
        <w:t>27</w:t>
      </w:r>
      <w:r w:rsidR="002B5B92">
        <w:rPr>
          <w:spacing w:val="-2"/>
          <w:sz w:val="28"/>
          <w:rtl/>
        </w:rPr>
        <w:t xml:space="preserve"> في المائة</w:t>
      </w:r>
      <w:r w:rsidRPr="00327BDA">
        <w:rPr>
          <w:spacing w:val="-2"/>
          <w:rtl/>
        </w:rPr>
        <w:t xml:space="preserve"> من السكان إلى أي طائفة دينية.</w:t>
      </w:r>
    </w:p>
    <w:p w14:paraId="4BF6B44B" w14:textId="77777777" w:rsidR="00A0227D" w:rsidRPr="0084652C" w:rsidRDefault="00A0227D" w:rsidP="00A0227D">
      <w:pPr>
        <w:pStyle w:val="SingleTxtGA"/>
        <w:rPr>
          <w:szCs w:val="20"/>
          <w:lang w:val="ar-SA" w:eastAsia="zh-TW" w:bidi="en-GB"/>
        </w:rPr>
      </w:pPr>
      <w:r w:rsidRPr="005C19F0">
        <w:rPr>
          <w:szCs w:val="20"/>
          <w:rtl/>
        </w:rPr>
        <w:t>14</w:t>
      </w:r>
      <w:r w:rsidRPr="00EF3655">
        <w:rPr>
          <w:rtl/>
        </w:rPr>
        <w:t>-</w:t>
      </w:r>
      <w:r>
        <w:rPr>
          <w:rtl/>
        </w:rPr>
        <w:tab/>
        <w:t xml:space="preserve">ولا تجمع فنلندا بيانات إحصائية عن الانتماء إلى أية فئة إثنية. </w:t>
      </w:r>
      <w:r>
        <w:rPr>
          <w:rtl/>
          <w:lang w:val="fr-CH"/>
        </w:rPr>
        <w:t>و</w:t>
      </w:r>
      <w:r>
        <w:rPr>
          <w:rtl/>
        </w:rPr>
        <w:t xml:space="preserve">بموجب لائحة الاتحاد الأوروبي </w:t>
      </w:r>
      <w:r w:rsidRPr="005C19F0">
        <w:rPr>
          <w:szCs w:val="20"/>
        </w:rPr>
        <w:t>679</w:t>
      </w:r>
      <w:r>
        <w:rPr>
          <w:rFonts w:ascii="Traditional Arabic"/>
          <w:szCs w:val="20"/>
        </w:rPr>
        <w:t>/</w:t>
      </w:r>
      <w:r w:rsidRPr="005C19F0">
        <w:rPr>
          <w:szCs w:val="20"/>
        </w:rPr>
        <w:t>2016</w:t>
      </w:r>
      <w:r>
        <w:rPr>
          <w:rtl/>
        </w:rPr>
        <w:t xml:space="preserve"> الصادرة عن البرلمان الأوروبي والمجلس </w:t>
      </w:r>
      <w:r w:rsidRPr="00794E95">
        <w:rPr>
          <w:rtl/>
        </w:rPr>
        <w:t>(</w:t>
      </w:r>
      <w:r>
        <w:rPr>
          <w:rtl/>
        </w:rPr>
        <w:t>اللائحة العامة لحماية البيانات</w:t>
      </w:r>
      <w:r w:rsidRPr="00794E95">
        <w:rPr>
          <w:rtl/>
        </w:rPr>
        <w:t>)</w:t>
      </w:r>
      <w:r>
        <w:rPr>
          <w:rtl/>
        </w:rPr>
        <w:t xml:space="preserve">، التي يُشار إليها في هذه الوثيقة بالرمز </w:t>
      </w:r>
      <w:r>
        <w:t>GDPR</w:t>
      </w:r>
      <w:r>
        <w:rPr>
          <w:rtl/>
        </w:rPr>
        <w:t>، يُحظر من حيث المبدأ معالجة البيانات الشخصية التي تكشف عن الأصل العرقي أو الإثني. وفي الوقت الحاضر، تجمع هيئة إحصاءات فنلندا إحصاءات عن لغة الأشخاص وبلد المولد وكذلك عن جنسيتهم وأصلهم.</w:t>
      </w:r>
    </w:p>
    <w:p w14:paraId="526F8520" w14:textId="77777777" w:rsidR="00A0227D" w:rsidRPr="001B48CE" w:rsidRDefault="00A0227D" w:rsidP="00A0227D">
      <w:pPr>
        <w:pStyle w:val="H23GA"/>
        <w:rPr>
          <w:szCs w:val="20"/>
          <w:lang w:val="ar-SA" w:eastAsia="zh-TW" w:bidi="en-GB"/>
        </w:rPr>
      </w:pPr>
      <w:bookmarkStart w:id="3" w:name="_Toc32364270"/>
      <w:r>
        <w:rPr>
          <w:rtl/>
        </w:rPr>
        <w:tab/>
      </w:r>
      <w:r>
        <w:rPr>
          <w:rtl/>
        </w:rPr>
        <w:tab/>
      </w:r>
      <w:r w:rsidRPr="001B48CE">
        <w:rPr>
          <w:rtl/>
          <w:lang w:val="fr-CH"/>
        </w:rPr>
        <w:t>ال</w:t>
      </w:r>
      <w:r w:rsidRPr="001B48CE">
        <w:rPr>
          <w:rtl/>
        </w:rPr>
        <w:t>شعب الصامي</w:t>
      </w:r>
      <w:bookmarkEnd w:id="3"/>
    </w:p>
    <w:p w14:paraId="1B52FB56" w14:textId="6313500C" w:rsidR="00A0227D" w:rsidRPr="009B1F51" w:rsidRDefault="00A0227D" w:rsidP="00A0227D">
      <w:pPr>
        <w:pStyle w:val="SingleTxtGA"/>
        <w:rPr>
          <w:szCs w:val="20"/>
          <w:lang w:val="ar-SA" w:eastAsia="zh-TW" w:bidi="en-GB"/>
        </w:rPr>
      </w:pPr>
      <w:r w:rsidRPr="005C19F0">
        <w:rPr>
          <w:szCs w:val="20"/>
          <w:rtl/>
        </w:rPr>
        <w:t>15</w:t>
      </w:r>
      <w:r w:rsidRPr="00EF3655">
        <w:rPr>
          <w:rtl/>
        </w:rPr>
        <w:t>-</w:t>
      </w:r>
      <w:r>
        <w:rPr>
          <w:rtl/>
        </w:rPr>
        <w:tab/>
        <w:t xml:space="preserve">الصاميون هم الشعب الأصلي الوحيد لفنلندا. وتشير المعلومات التي جمعها برلمان الصاميين إلى أن عدد الصاميين في فنلندا بلغ </w:t>
      </w:r>
      <w:r w:rsidRPr="005C19F0">
        <w:rPr>
          <w:szCs w:val="20"/>
          <w:rtl/>
        </w:rPr>
        <w:t>463</w:t>
      </w:r>
      <w:r>
        <w:rPr>
          <w:rFonts w:ascii="Traditional Arabic"/>
          <w:szCs w:val="20"/>
          <w:rtl/>
        </w:rPr>
        <w:t xml:space="preserve"> </w:t>
      </w:r>
      <w:r w:rsidRPr="005C19F0">
        <w:rPr>
          <w:szCs w:val="20"/>
          <w:rtl/>
        </w:rPr>
        <w:t>10</w:t>
      </w:r>
      <w:r>
        <w:rPr>
          <w:rtl/>
        </w:rPr>
        <w:t xml:space="preserve"> شخصاً في عام </w:t>
      </w:r>
      <w:r w:rsidRPr="005C19F0">
        <w:rPr>
          <w:szCs w:val="20"/>
          <w:rtl/>
        </w:rPr>
        <w:t>2015</w:t>
      </w:r>
      <w:r w:rsidRPr="00F23CD3">
        <w:rPr>
          <w:rtl/>
        </w:rPr>
        <w:t>. وتسكن نسبة</w:t>
      </w:r>
      <w:r>
        <w:rPr>
          <w:rtl/>
        </w:rPr>
        <w:t xml:space="preserve"> </w:t>
      </w:r>
      <w:r w:rsidRPr="005C19F0">
        <w:rPr>
          <w:szCs w:val="20"/>
          <w:rtl/>
        </w:rPr>
        <w:t>33</w:t>
      </w:r>
      <w:r w:rsidR="000C6186">
        <w:rPr>
          <w:rFonts w:ascii="Traditional Arabic"/>
          <w:szCs w:val="20"/>
          <w:rtl/>
        </w:rPr>
        <w:t>,</w:t>
      </w:r>
      <w:r w:rsidRPr="005C19F0">
        <w:rPr>
          <w:szCs w:val="20"/>
          <w:rtl/>
        </w:rPr>
        <w:t>44</w:t>
      </w:r>
      <w:r>
        <w:rPr>
          <w:rtl/>
        </w:rPr>
        <w:t xml:space="preserve"> في المائة فقط من الصاميين في فنلندا في الموطن الأصلي للشعب الصامي </w:t>
      </w:r>
      <w:r w:rsidRPr="00794E95">
        <w:rPr>
          <w:rtl/>
        </w:rPr>
        <w:t>(</w:t>
      </w:r>
      <w:r>
        <w:rPr>
          <w:rtl/>
        </w:rPr>
        <w:t>بلديات إينونتيكيو وأوتسيوكي وإناري، فضلا</w:t>
      </w:r>
      <w:r w:rsidR="00327BDA">
        <w:rPr>
          <w:rFonts w:hint="cs"/>
          <w:rtl/>
        </w:rPr>
        <w:t>ً</w:t>
      </w:r>
      <w:r>
        <w:rPr>
          <w:rtl/>
        </w:rPr>
        <w:t xml:space="preserve"> عن منطقة رابطة مالكي الرنة في لابلاند، في بلدية سودانكيلا</w:t>
      </w:r>
      <w:r w:rsidRPr="00794E95">
        <w:rPr>
          <w:rtl/>
        </w:rPr>
        <w:t>)</w:t>
      </w:r>
      <w:r>
        <w:rPr>
          <w:rtl/>
        </w:rPr>
        <w:t xml:space="preserve">، وتسكن نسبة </w:t>
      </w:r>
      <w:r w:rsidRPr="005C19F0">
        <w:rPr>
          <w:szCs w:val="20"/>
          <w:rtl/>
        </w:rPr>
        <w:t>60</w:t>
      </w:r>
      <w:r w:rsidR="000C6186">
        <w:rPr>
          <w:rFonts w:ascii="Traditional Arabic"/>
          <w:szCs w:val="20"/>
          <w:rtl/>
        </w:rPr>
        <w:t>,</w:t>
      </w:r>
      <w:r w:rsidRPr="005C19F0">
        <w:rPr>
          <w:szCs w:val="20"/>
          <w:rtl/>
        </w:rPr>
        <w:t>47</w:t>
      </w:r>
      <w:r>
        <w:rPr>
          <w:rtl/>
        </w:rPr>
        <w:t xml:space="preserve"> في المائة منهم في أماكن أخرى في فنلندا، والبقية في الخارج.</w:t>
      </w:r>
    </w:p>
    <w:p w14:paraId="5980DC7F" w14:textId="2F7AEA72" w:rsidR="00A0227D" w:rsidRPr="009B1F51" w:rsidRDefault="00A0227D" w:rsidP="00A0227D">
      <w:pPr>
        <w:pStyle w:val="SingleTxtGA"/>
        <w:rPr>
          <w:szCs w:val="20"/>
          <w:lang w:val="ar-SA" w:eastAsia="zh-TW" w:bidi="en-GB"/>
        </w:rPr>
      </w:pPr>
      <w:r w:rsidRPr="005C19F0">
        <w:rPr>
          <w:szCs w:val="20"/>
          <w:rtl/>
        </w:rPr>
        <w:t>16</w:t>
      </w:r>
      <w:r w:rsidRPr="00EF3655">
        <w:rPr>
          <w:rtl/>
        </w:rPr>
        <w:t>-</w:t>
      </w:r>
      <w:r>
        <w:rPr>
          <w:rtl/>
        </w:rPr>
        <w:tab/>
        <w:t xml:space="preserve">وتكفل المادة </w:t>
      </w:r>
      <w:r w:rsidRPr="005C19F0">
        <w:rPr>
          <w:szCs w:val="20"/>
          <w:rtl/>
        </w:rPr>
        <w:t>17</w:t>
      </w:r>
      <w:r w:rsidRPr="00794E95">
        <w:rPr>
          <w:rtl/>
        </w:rPr>
        <w:t>(</w:t>
      </w:r>
      <w:r w:rsidRPr="005C19F0">
        <w:rPr>
          <w:szCs w:val="20"/>
          <w:rtl/>
        </w:rPr>
        <w:t>3</w:t>
      </w:r>
      <w:r w:rsidRPr="00794E95">
        <w:rPr>
          <w:rtl/>
        </w:rPr>
        <w:t>)</w:t>
      </w:r>
      <w:r>
        <w:rPr>
          <w:rtl/>
        </w:rPr>
        <w:t xml:space="preserve"> من دستور فنلندا للصاميين، كشعب أصلي، الحق في المحافظة على لغتهم وثقافتهم وتطويرهما. وتنص المادة </w:t>
      </w:r>
      <w:r w:rsidRPr="005C19F0">
        <w:rPr>
          <w:szCs w:val="20"/>
          <w:rtl/>
        </w:rPr>
        <w:t>121</w:t>
      </w:r>
      <w:r w:rsidRPr="00794E95">
        <w:rPr>
          <w:rtl/>
        </w:rPr>
        <w:t>(</w:t>
      </w:r>
      <w:r w:rsidRPr="005C19F0">
        <w:rPr>
          <w:szCs w:val="20"/>
          <w:rtl/>
        </w:rPr>
        <w:t>4</w:t>
      </w:r>
      <w:r w:rsidRPr="00794E95">
        <w:rPr>
          <w:rtl/>
        </w:rPr>
        <w:t>)</w:t>
      </w:r>
      <w:r w:rsidR="00780964">
        <w:rPr>
          <w:rFonts w:ascii="Traditional Arabic" w:hint="cs"/>
          <w:szCs w:val="20"/>
          <w:rtl/>
        </w:rPr>
        <w:t> </w:t>
      </w:r>
      <w:r w:rsidRPr="00DF1A99">
        <w:rPr>
          <w:rtl/>
        </w:rPr>
        <w:t>من دستور فنلندا</w:t>
      </w:r>
      <w:r>
        <w:rPr>
          <w:rFonts w:ascii="Traditional Arabic"/>
          <w:szCs w:val="20"/>
          <w:rtl/>
        </w:rPr>
        <w:t xml:space="preserve"> </w:t>
      </w:r>
      <w:r>
        <w:rPr>
          <w:rtl/>
        </w:rPr>
        <w:t xml:space="preserve">على "تمتع الصاميين في منطقتهم الأصلية بالحكم الذاتي في المسائل المتصلة باللغة والثقافة، على النحو المنصوص عليه في القانون". وتشمل الثقافة الصامية اللغة الصامية، والتراث الثقافي، والتراث الحرفي، وأشكال التعبير الثقافي، ووسائل </w:t>
      </w:r>
      <w:r>
        <w:rPr>
          <w:rtl/>
        </w:rPr>
        <w:lastRenderedPageBreak/>
        <w:t xml:space="preserve">العيش التقليدية للصاميين، مثل تربية الرنة وصيد الأسماك والحرف اليدوية والبحث عن الطعام والصيد، إلى جانب الأشكال الحديثة لمزاولة هذه الأنشطة. وينص قانون اللغة الصامية </w:t>
      </w:r>
      <w:r w:rsidRPr="00794E95">
        <w:rPr>
          <w:rtl/>
        </w:rPr>
        <w:t>(</w:t>
      </w:r>
      <w:r w:rsidRPr="005C19F0">
        <w:rPr>
          <w:szCs w:val="20"/>
        </w:rPr>
        <w:t>2003</w:t>
      </w:r>
      <w:r>
        <w:rPr>
          <w:rFonts w:ascii="Traditional Arabic"/>
          <w:szCs w:val="20"/>
        </w:rPr>
        <w:t>/</w:t>
      </w:r>
      <w:r w:rsidRPr="005C19F0">
        <w:rPr>
          <w:szCs w:val="20"/>
        </w:rPr>
        <w:t>1086</w:t>
      </w:r>
      <w:r w:rsidRPr="00794E95">
        <w:rPr>
          <w:rtl/>
        </w:rPr>
        <w:t>)</w:t>
      </w:r>
      <w:r>
        <w:rPr>
          <w:rtl/>
        </w:rPr>
        <w:t xml:space="preserve"> على حق الصاميين في استخدام اللغة الصامية أمام السلطات.</w:t>
      </w:r>
    </w:p>
    <w:p w14:paraId="3F97CE33" w14:textId="77777777" w:rsidR="00A0227D" w:rsidRPr="009B1F51" w:rsidRDefault="00A0227D" w:rsidP="00A0227D">
      <w:pPr>
        <w:pStyle w:val="SingleTxtGA"/>
        <w:rPr>
          <w:szCs w:val="20"/>
          <w:lang w:val="ar-SA" w:eastAsia="zh-TW" w:bidi="en-GB"/>
        </w:rPr>
      </w:pPr>
      <w:r w:rsidRPr="005C19F0">
        <w:rPr>
          <w:szCs w:val="20"/>
          <w:rtl/>
        </w:rPr>
        <w:t>17</w:t>
      </w:r>
      <w:r w:rsidRPr="00EF3655">
        <w:rPr>
          <w:rtl/>
        </w:rPr>
        <w:t>-</w:t>
      </w:r>
      <w:r>
        <w:rPr>
          <w:rtl/>
        </w:rPr>
        <w:tab/>
        <w:t xml:space="preserve">وسنت فنلندا قانون الإسكولت </w:t>
      </w:r>
      <w:r w:rsidRPr="00794E95">
        <w:rPr>
          <w:rtl/>
        </w:rPr>
        <w:t>(</w:t>
      </w:r>
      <w:r w:rsidRPr="005C19F0">
        <w:rPr>
          <w:szCs w:val="20"/>
        </w:rPr>
        <w:t>1995</w:t>
      </w:r>
      <w:r>
        <w:rPr>
          <w:rFonts w:ascii="Traditional Arabic"/>
          <w:szCs w:val="20"/>
        </w:rPr>
        <w:t>/</w:t>
      </w:r>
      <w:r w:rsidRPr="005C19F0">
        <w:rPr>
          <w:szCs w:val="20"/>
        </w:rPr>
        <w:t>253</w:t>
      </w:r>
      <w:r w:rsidRPr="00794E95">
        <w:rPr>
          <w:rtl/>
        </w:rPr>
        <w:t>)</w:t>
      </w:r>
      <w:r>
        <w:rPr>
          <w:rtl/>
        </w:rPr>
        <w:t xml:space="preserve"> لتعزيز الظروف المعيشية للصاميين الإسكولت وسبل معيشتهم في مناطقهم، فضلاً عن الحفاظ على ثقافة طائفة الإسكولت. وحُددت منطقة الإسكولت في القانون، الذي يعترف أيضاً بجمعية قرى الإسكولت كهيئة إدارية قديمة تدير شؤون طائفة الإسكولت. </w:t>
      </w:r>
    </w:p>
    <w:p w14:paraId="3DCE611B" w14:textId="77777777" w:rsidR="00A0227D" w:rsidRPr="0084652C" w:rsidRDefault="00A0227D" w:rsidP="00A0227D">
      <w:pPr>
        <w:pStyle w:val="SingleTxtGA"/>
        <w:rPr>
          <w:szCs w:val="20"/>
          <w:lang w:val="ar-SA" w:eastAsia="zh-TW" w:bidi="en-GB"/>
        </w:rPr>
      </w:pPr>
      <w:r w:rsidRPr="005C19F0">
        <w:rPr>
          <w:szCs w:val="20"/>
          <w:rtl/>
        </w:rPr>
        <w:t>18</w:t>
      </w:r>
      <w:r w:rsidRPr="00EF3655">
        <w:rPr>
          <w:rtl/>
        </w:rPr>
        <w:t>-</w:t>
      </w:r>
      <w:r>
        <w:rPr>
          <w:rtl/>
        </w:rPr>
        <w:tab/>
        <w:t>وتوجد ثلاث لغات صامية مستعملة في فنلندا</w:t>
      </w:r>
      <w:r w:rsidRPr="00BB79C1">
        <w:rPr>
          <w:rtl/>
        </w:rPr>
        <w:t>:</w:t>
      </w:r>
      <w:r>
        <w:rPr>
          <w:rtl/>
        </w:rPr>
        <w:t xml:space="preserve"> الصامية الشمالية، والصامية الإنارية، والصامية الإسكولت، والأخيرتان على وجه الخصوص معرضتان للاندثار. و</w:t>
      </w:r>
      <w:r w:rsidRPr="00B03381">
        <w:rPr>
          <w:rtl/>
        </w:rPr>
        <w:t>تشير اللغة الصامية</w:t>
      </w:r>
      <w:r>
        <w:rPr>
          <w:rtl/>
        </w:rPr>
        <w:t>،</w:t>
      </w:r>
      <w:r w:rsidRPr="00B03381">
        <w:rPr>
          <w:rtl/>
        </w:rPr>
        <w:t xml:space="preserve"> </w:t>
      </w:r>
      <w:r>
        <w:rPr>
          <w:rtl/>
        </w:rPr>
        <w:t xml:space="preserve">بموجب قانون اللغة الصامية، إلى اللغات الصامية الثلاث مجتمعة. وفي نهاية عام </w:t>
      </w:r>
      <w:r w:rsidRPr="005C19F0">
        <w:rPr>
          <w:szCs w:val="20"/>
          <w:rtl/>
        </w:rPr>
        <w:t>2018</w:t>
      </w:r>
      <w:r>
        <w:rPr>
          <w:rtl/>
        </w:rPr>
        <w:t xml:space="preserve">، أعلن </w:t>
      </w:r>
      <w:r w:rsidRPr="005C19F0">
        <w:rPr>
          <w:szCs w:val="20"/>
          <w:rtl/>
        </w:rPr>
        <w:t>995</w:t>
      </w:r>
      <w:r>
        <w:rPr>
          <w:rFonts w:ascii="Traditional Arabic"/>
          <w:szCs w:val="20"/>
          <w:rtl/>
        </w:rPr>
        <w:t xml:space="preserve"> </w:t>
      </w:r>
      <w:r w:rsidRPr="005C19F0">
        <w:rPr>
          <w:szCs w:val="20"/>
          <w:rtl/>
        </w:rPr>
        <w:t>1</w:t>
      </w:r>
      <w:r>
        <w:rPr>
          <w:rtl/>
        </w:rPr>
        <w:t xml:space="preserve"> شخصاً في فنلندا في نظام المعلومات السكانية </w:t>
      </w:r>
      <w:r w:rsidRPr="00947437">
        <w:rPr>
          <w:rtl/>
        </w:rPr>
        <w:t xml:space="preserve">أن اللغة الصامية </w:t>
      </w:r>
      <w:r>
        <w:rPr>
          <w:rtl/>
        </w:rPr>
        <w:t xml:space="preserve">هي لغتهم الأصلية. وتمنح المادة </w:t>
      </w:r>
      <w:r w:rsidRPr="005C19F0">
        <w:rPr>
          <w:szCs w:val="20"/>
          <w:rtl/>
        </w:rPr>
        <w:t>7</w:t>
      </w:r>
      <w:r>
        <w:rPr>
          <w:rtl/>
        </w:rPr>
        <w:t xml:space="preserve"> من قانون اللغة الصامية الشعب الصامي الحق في إعلان اللغة الصامية كلغتهم الأصلية في السجل السكاني. وبما أن هذا الحق لم يُمارس من قِبل جميع الناطقين باللغة الصامية، فإن عدد الناطقين باللغة الصامية المشار إليه في الإحصاءات الرسمية لا يعبر دائماً عن عددهم الفعلي. ولا يسمح نظام المعلومات السكانية بالإعلان إلا عن لغة أصلية واحدة، وغالباً ما يعلن الصاميون أن اللغة الفنلندية هي لغتهم الأم على الرغم من أن لديهم لغتين أصليتين أو</w:t>
      </w:r>
      <w:r>
        <w:rPr>
          <w:rtl/>
          <w:lang w:val="fr-CH"/>
        </w:rPr>
        <w:t xml:space="preserve"> حتى</w:t>
      </w:r>
      <w:r>
        <w:rPr>
          <w:rtl/>
        </w:rPr>
        <w:t xml:space="preserve"> ثلاث لغات أصلية. وعلاوة على ذلك، يتكلم عدد كبير من الناطقين بالصامية لغة أخرى أيضاً.</w:t>
      </w:r>
    </w:p>
    <w:p w14:paraId="317015D6" w14:textId="511B7DAA" w:rsidR="00A0227D" w:rsidRPr="0084652C" w:rsidRDefault="00A0227D" w:rsidP="00A0227D">
      <w:pPr>
        <w:pStyle w:val="SingleTxtGA"/>
        <w:rPr>
          <w:szCs w:val="20"/>
          <w:lang w:val="ar-SA" w:eastAsia="zh-TW" w:bidi="en-GB"/>
        </w:rPr>
      </w:pPr>
      <w:r w:rsidRPr="005C19F0">
        <w:rPr>
          <w:szCs w:val="20"/>
          <w:rtl/>
        </w:rPr>
        <w:t>19</w:t>
      </w:r>
      <w:r w:rsidRPr="00EF3655">
        <w:rPr>
          <w:rtl/>
        </w:rPr>
        <w:t>-</w:t>
      </w:r>
      <w:r>
        <w:rPr>
          <w:rtl/>
        </w:rPr>
        <w:tab/>
        <w:t xml:space="preserve">والبرلمان الصامي هو بمثابة حكومة الشعب الصامي المستقلة المنشأة بموجب قانون </w:t>
      </w:r>
      <w:r w:rsidRPr="00794E95">
        <w:rPr>
          <w:rtl/>
        </w:rPr>
        <w:t>(</w:t>
      </w:r>
      <w:r>
        <w:rPr>
          <w:rtl/>
        </w:rPr>
        <w:t xml:space="preserve">هو قانون البرلمان الصامي، </w:t>
      </w:r>
      <w:r w:rsidRPr="005C19F0">
        <w:rPr>
          <w:szCs w:val="20"/>
        </w:rPr>
        <w:t>974</w:t>
      </w:r>
      <w:r>
        <w:rPr>
          <w:rFonts w:ascii="Traditional Arabic"/>
          <w:szCs w:val="20"/>
        </w:rPr>
        <w:t>/</w:t>
      </w:r>
      <w:r w:rsidRPr="005C19F0">
        <w:rPr>
          <w:szCs w:val="20"/>
        </w:rPr>
        <w:t>1995</w:t>
      </w:r>
      <w:r w:rsidRPr="00794E95">
        <w:rPr>
          <w:rtl/>
        </w:rPr>
        <w:t>)</w:t>
      </w:r>
      <w:r>
        <w:rPr>
          <w:rtl/>
        </w:rPr>
        <w:t>. ويعمل البرلمان الصامي في الفرع الإداري لوزارة العدل، ولكن بمعزل عن السلطات الحكومية المركزية. ويُعهد إلى البرلمان الصامي القيام بالواجبات المحددة له في دستور فنلندا، أي الحكم الذاتي في المسائل المتصلة بلغة الشعب الصامي وثقافته، وحماية عمليات حفظ وتطوير الثقافة الأصلية للصاميين.</w:t>
      </w:r>
    </w:p>
    <w:p w14:paraId="34028218" w14:textId="77777777" w:rsidR="00A0227D" w:rsidRPr="009B1F51" w:rsidRDefault="00A0227D" w:rsidP="00A0227D">
      <w:pPr>
        <w:pStyle w:val="SingleTxtGA"/>
        <w:rPr>
          <w:szCs w:val="20"/>
          <w:lang w:val="ar-SA" w:eastAsia="zh-TW" w:bidi="en-GB"/>
        </w:rPr>
      </w:pPr>
      <w:r w:rsidRPr="005C19F0">
        <w:rPr>
          <w:szCs w:val="20"/>
          <w:rtl/>
        </w:rPr>
        <w:t>20</w:t>
      </w:r>
      <w:r w:rsidRPr="00EF3655">
        <w:rPr>
          <w:rtl/>
        </w:rPr>
        <w:t>-</w:t>
      </w:r>
      <w:r>
        <w:rPr>
          <w:rtl/>
        </w:rPr>
        <w:tab/>
        <w:t xml:space="preserve">وتلزِم المادة </w:t>
      </w:r>
      <w:r w:rsidRPr="005C19F0">
        <w:rPr>
          <w:szCs w:val="20"/>
          <w:rtl/>
        </w:rPr>
        <w:t>9</w:t>
      </w:r>
      <w:r>
        <w:rPr>
          <w:rtl/>
        </w:rPr>
        <w:t xml:space="preserve"> من القانون المتعلق بالبرلمان الصامي السلطات بالتفاوض مع البرلمان الصامي فيما يخص جميع التدابير البعيدة المدى والمهمة التي قد تؤثر بشكل مباشر ومحدد على وضع الصاميين كشعب أصلي والتي تتعلق بكل من التخطيط المجتمعي؛ وإدارة أراضي الدولة والمناطق المحمية ومناطق الحياة البرية واستغلالها وتأجيرها والتنازل عنها؛ </w:t>
      </w:r>
      <w:r>
        <w:rPr>
          <w:rtl/>
          <w:lang w:val="fr-CH"/>
        </w:rPr>
        <w:t>و</w:t>
      </w:r>
      <w:r>
        <w:rPr>
          <w:rtl/>
        </w:rPr>
        <w:t>التنقيب عن الرواسب المعدنية والذهب واستغلالها في المناطق البرية والمائية التابعة للدولة؛ والتعديلات التشريعية أو الإدارية في الحرف التي تختص بها الثقافة الصامية؛ والارتقاء بتدريس اللغة الصامية واستخدامها في المدارس، فضلاً عن الارتقاء بالخدمات الاجتماعية والصحية؛ وأي مسائل أخرى تؤثر في اللغة والثقافة الصامية أو وضع الصاميين كشعب أصلي في موطنهم الأصلي.</w:t>
      </w:r>
    </w:p>
    <w:p w14:paraId="5F4593E8" w14:textId="77777777" w:rsidR="00A0227D" w:rsidRPr="009B1F51" w:rsidRDefault="00A0227D" w:rsidP="00C50140">
      <w:pPr>
        <w:pStyle w:val="SingleTxtGA"/>
        <w:rPr>
          <w:szCs w:val="20"/>
          <w:lang w:val="ar-SA" w:eastAsia="zh-TW" w:bidi="en-GB"/>
        </w:rPr>
      </w:pPr>
      <w:r w:rsidRPr="005C19F0">
        <w:rPr>
          <w:szCs w:val="20"/>
          <w:rtl/>
        </w:rPr>
        <w:t>21</w:t>
      </w:r>
      <w:r w:rsidRPr="00EF3655">
        <w:rPr>
          <w:rtl/>
        </w:rPr>
        <w:t>-</w:t>
      </w:r>
      <w:r>
        <w:rPr>
          <w:rtl/>
        </w:rPr>
        <w:tab/>
        <w:t xml:space="preserve">ويعمل برلمان الصاميين كقناة لتمويل ثقافة الصاميين ورابطاتهم، وأنشطة الشباب، واستخدام </w:t>
      </w:r>
      <w:r>
        <w:rPr>
          <w:rtl/>
          <w:lang w:val="fr-CH"/>
        </w:rPr>
        <w:t xml:space="preserve">اللغة الصامية في التعليم في مرحلة الطفولة المبكرة </w:t>
      </w:r>
      <w:r>
        <w:rPr>
          <w:rtl/>
        </w:rPr>
        <w:t>وفي تقديم الرعاية والخدمات الصحية والاجتماعية. وبالإضافة إلى ذلك، يعد البرلمان الصامي مواد تعليمية باللغة الصامية، تُخصص لها اعتمادات مالية سنوية في الميزانية.</w:t>
      </w:r>
    </w:p>
    <w:p w14:paraId="0B48062C" w14:textId="01E00430" w:rsidR="00A0227D" w:rsidRPr="009B1F51" w:rsidRDefault="00A0227D" w:rsidP="00C50140">
      <w:pPr>
        <w:pStyle w:val="SingleTxtGA"/>
        <w:rPr>
          <w:szCs w:val="20"/>
          <w:lang w:val="ar-SA" w:eastAsia="zh-TW" w:bidi="en-GB"/>
        </w:rPr>
      </w:pPr>
      <w:r w:rsidRPr="005C19F0">
        <w:rPr>
          <w:szCs w:val="20"/>
          <w:rtl/>
        </w:rPr>
        <w:t>22</w:t>
      </w:r>
      <w:r w:rsidRPr="00EF3655">
        <w:rPr>
          <w:rtl/>
        </w:rPr>
        <w:t>-</w:t>
      </w:r>
      <w:r>
        <w:rPr>
          <w:rtl/>
        </w:rPr>
        <w:tab/>
        <w:t xml:space="preserve">ويُخصص لعمليات البرلمان الصامي اعتمادات مالية من الميزانية. وفي عام </w:t>
      </w:r>
      <w:r w:rsidRPr="005C19F0">
        <w:rPr>
          <w:szCs w:val="20"/>
          <w:rtl/>
        </w:rPr>
        <w:t>2019</w:t>
      </w:r>
      <w:r>
        <w:rPr>
          <w:rtl/>
        </w:rPr>
        <w:t>، بلغ</w:t>
      </w:r>
      <w:r>
        <w:rPr>
          <w:rtl/>
          <w:lang w:val="fr-CH"/>
        </w:rPr>
        <w:t>ت التحويلات الحكومية</w:t>
      </w:r>
      <w:r>
        <w:rPr>
          <w:rtl/>
        </w:rPr>
        <w:t xml:space="preserve"> التقديرية العامة، المخصصة للحفاظ على الاستقلالية اللغوية والثقافية للشعب الصامي، </w:t>
      </w:r>
      <w:r w:rsidRPr="005C19F0">
        <w:rPr>
          <w:szCs w:val="20"/>
        </w:rPr>
        <w:t>3</w:t>
      </w:r>
      <w:r w:rsidR="00780964">
        <w:rPr>
          <w:rFonts w:ascii="Traditional Arabic"/>
          <w:szCs w:val="20"/>
        </w:rPr>
        <w:t> </w:t>
      </w:r>
      <w:r w:rsidRPr="005C19F0">
        <w:rPr>
          <w:szCs w:val="20"/>
        </w:rPr>
        <w:t>787</w:t>
      </w:r>
      <w:r w:rsidR="00780964">
        <w:rPr>
          <w:rFonts w:ascii="Traditional Arabic"/>
          <w:szCs w:val="20"/>
        </w:rPr>
        <w:t> </w:t>
      </w:r>
      <w:r w:rsidRPr="005C19F0">
        <w:rPr>
          <w:szCs w:val="20"/>
        </w:rPr>
        <w:t>000</w:t>
      </w:r>
      <w:r>
        <w:rPr>
          <w:rtl/>
        </w:rPr>
        <w:t xml:space="preserve"> يورو.</w:t>
      </w:r>
    </w:p>
    <w:p w14:paraId="6521861F" w14:textId="77777777" w:rsidR="00A0227D" w:rsidRPr="00C726A7" w:rsidRDefault="00A0227D" w:rsidP="00C50140">
      <w:pPr>
        <w:pStyle w:val="SingleTxtGA"/>
        <w:rPr>
          <w:szCs w:val="20"/>
          <w:lang w:eastAsia="zh-TW" w:bidi="en-GB"/>
        </w:rPr>
      </w:pPr>
      <w:r w:rsidRPr="005C19F0">
        <w:rPr>
          <w:szCs w:val="20"/>
          <w:rtl/>
        </w:rPr>
        <w:lastRenderedPageBreak/>
        <w:t>23</w:t>
      </w:r>
      <w:r w:rsidRPr="00EF3655">
        <w:rPr>
          <w:rtl/>
        </w:rPr>
        <w:t>-</w:t>
      </w:r>
      <w:r>
        <w:rPr>
          <w:rtl/>
        </w:rPr>
        <w:tab/>
        <w:t xml:space="preserve">وتجيز المادة </w:t>
      </w:r>
      <w:r w:rsidRPr="005C19F0">
        <w:rPr>
          <w:szCs w:val="20"/>
          <w:rtl/>
        </w:rPr>
        <w:t>10</w:t>
      </w:r>
      <w:r>
        <w:rPr>
          <w:rtl/>
        </w:rPr>
        <w:t xml:space="preserve"> من قانون التعليم الأساسي </w:t>
      </w:r>
      <w:r w:rsidRPr="00794E95">
        <w:rPr>
          <w:rtl/>
        </w:rPr>
        <w:t>(</w:t>
      </w:r>
      <w:r w:rsidRPr="005C19F0">
        <w:rPr>
          <w:szCs w:val="20"/>
          <w:rtl/>
        </w:rPr>
        <w:t>628</w:t>
      </w:r>
      <w:r>
        <w:rPr>
          <w:rFonts w:ascii="Traditional Arabic"/>
          <w:szCs w:val="20"/>
          <w:rtl/>
        </w:rPr>
        <w:t>/</w:t>
      </w:r>
      <w:r w:rsidRPr="005C19F0">
        <w:rPr>
          <w:szCs w:val="20"/>
          <w:rtl/>
        </w:rPr>
        <w:t>1998</w:t>
      </w:r>
      <w:r w:rsidRPr="00794E95">
        <w:rPr>
          <w:rtl/>
        </w:rPr>
        <w:t>)</w:t>
      </w:r>
      <w:r>
        <w:rPr>
          <w:rtl/>
        </w:rPr>
        <w:t xml:space="preserve"> استخدام اللغة الصامية في التدريس في مرحلة التعليم الأساسي. وتُستخدم اللغة الصامية باعتبارها اللغة الأساسية لتدريس التلاميذ الذين يعيشون في موطن الصاميين ويتقنون اللغة الصامية. وتُدرَّس اللغة الصامية أيضاً كمادة في مقرر "اللغة والأدب الأصليان" </w:t>
      </w:r>
      <w:r>
        <w:rPr>
          <w:rtl/>
          <w:lang w:val="fr-CH"/>
        </w:rPr>
        <w:t>مع</w:t>
      </w:r>
      <w:r>
        <w:rPr>
          <w:rtl/>
        </w:rPr>
        <w:t xml:space="preserve"> تدريس اللغة الفنلندية أو السويدية إلى جانب الصامية وفقاً لمنهج مُكيَّف ليناسب الناطقين باللغة الصامية. ويمكن أيضاً تدريس اللغة الصامية كلغة أجنبية إما في إطار منهج اللغة للسنوات الست الأولى من التعليم الأساسي، أو المناهج الأقصَر مدةً للسنوات من السابعة إلى التاسعة من التعليم الأساسي، أو في التعليم الثانوي العام. ويجوز أيضاً استخدام اللغة الصامية للتدريس في نظام تدريس اللغة بالغمر أو في نظام التعليم بلُغتين. وتنطبق الأحكام التشريعية على</w:t>
      </w:r>
      <w:r>
        <w:rPr>
          <w:rtl/>
          <w:lang w:val="fr-CH"/>
        </w:rPr>
        <w:t xml:space="preserve"> جميع</w:t>
      </w:r>
      <w:r>
        <w:rPr>
          <w:rtl/>
        </w:rPr>
        <w:t xml:space="preserve"> اللغات الصامية الثلاث على حد سواء. وتتقيد البلديات في موطن الصاميين بالمقررات الوطنية وخطط توزيع الدروس في تدريس اللغة الصامية وفي التدريس باللغة الصامية. وخارج موطن الصاميين، لا يُقدَّم التعليم باللغة الصامية، ويكون تدريس اللغة الصامية تكميلياً للتعليم الأساسي، فلا تكون فيه اللغة الصامية مادة أساسية، ويحصل فيه المدرسون على تحويلات تقديرية من الحكومة لتقديم درسين أسبوعياً مدة كل منهما ساعة واحدة.</w:t>
      </w:r>
    </w:p>
    <w:p w14:paraId="52233FAF" w14:textId="77777777" w:rsidR="00A0227D" w:rsidRPr="00600C7D" w:rsidRDefault="00A0227D" w:rsidP="00C50140">
      <w:pPr>
        <w:pStyle w:val="SingleTxtGA"/>
      </w:pPr>
      <w:r w:rsidRPr="005C19F0">
        <w:rPr>
          <w:szCs w:val="20"/>
          <w:rtl/>
        </w:rPr>
        <w:t>24</w:t>
      </w:r>
      <w:r w:rsidRPr="00EF3655">
        <w:rPr>
          <w:rtl/>
        </w:rPr>
        <w:t>-</w:t>
      </w:r>
      <w:r>
        <w:rPr>
          <w:rtl/>
        </w:rPr>
        <w:tab/>
        <w:t xml:space="preserve">وفي البلديات الواقعة في موطن الصاميين، أمكن تنفيذ التعليم وتطويره بفضل التمويل الخاص المخصص لهذه البلديات. وقد يشكل التمويل المخصص لمرتبات المعلمين الناشئة عن التعليم باللغة الصامية أو تدريس اللغة الصامية ما يصل إلى </w:t>
      </w:r>
      <w:r w:rsidRPr="005C19F0">
        <w:rPr>
          <w:szCs w:val="20"/>
          <w:rtl/>
        </w:rPr>
        <w:t>100</w:t>
      </w:r>
      <w:r>
        <w:rPr>
          <w:rtl/>
        </w:rPr>
        <w:t xml:space="preserve"> في المائة من المرتبات. ويتزايد عدد التلاميذ وعدد ساعات تدريس اللغة الصامية أو التدريس باللغة الصامية في مرحلة التعليم الأساسي الذي تقدمه البلديات في موطن الصاميين، في حين انخفض عدد التلاميذ الذين يتعلمون اللغة الصامية في المدارس الثانوية العامة وانتهى تعليم اللغة الصامية. وشهد</w:t>
      </w:r>
      <w:r>
        <w:rPr>
          <w:rtl/>
          <w:lang w:val="fr-CH"/>
        </w:rPr>
        <w:t xml:space="preserve"> العقد الأول من القرن الحادي والعشرين تزايداً طفيفاً في</w:t>
      </w:r>
      <w:r>
        <w:rPr>
          <w:rtl/>
        </w:rPr>
        <w:t xml:space="preserve"> أعداد التلاميذ الناطقين بالصامية الإنارية والصامية الشمالية، في </w:t>
      </w:r>
      <w:r w:rsidRPr="00600C7D">
        <w:rPr>
          <w:rtl/>
        </w:rPr>
        <w:t xml:space="preserve">حين أن الحالة بالنسبة </w:t>
      </w:r>
      <w:r>
        <w:rPr>
          <w:rtl/>
        </w:rPr>
        <w:t>للصامية الإ</w:t>
      </w:r>
      <w:r w:rsidRPr="00600C7D">
        <w:rPr>
          <w:rtl/>
        </w:rPr>
        <w:t>سكولت هش</w:t>
      </w:r>
      <w:r>
        <w:rPr>
          <w:rtl/>
        </w:rPr>
        <w:t>ة و</w:t>
      </w:r>
      <w:r w:rsidRPr="00600C7D">
        <w:rPr>
          <w:rtl/>
        </w:rPr>
        <w:t xml:space="preserve">عدد التلاميذ </w:t>
      </w:r>
      <w:r>
        <w:rPr>
          <w:rtl/>
        </w:rPr>
        <w:t>لم يتغير.</w:t>
      </w:r>
    </w:p>
    <w:p w14:paraId="2D4EF00C" w14:textId="77777777" w:rsidR="00A0227D" w:rsidRPr="009B1F51" w:rsidRDefault="00A0227D" w:rsidP="00C50140">
      <w:pPr>
        <w:pStyle w:val="H23GA"/>
        <w:rPr>
          <w:szCs w:val="20"/>
          <w:lang w:val="ar-SA" w:eastAsia="zh-TW" w:bidi="en-GB"/>
        </w:rPr>
      </w:pPr>
      <w:bookmarkStart w:id="4" w:name="_Toc32364271"/>
      <w:r>
        <w:rPr>
          <w:rtl/>
        </w:rPr>
        <w:tab/>
      </w:r>
      <w:r>
        <w:rPr>
          <w:rtl/>
        </w:rPr>
        <w:tab/>
        <w:t>الأقليات القومية وغيرها من الأقليات</w:t>
      </w:r>
      <w:bookmarkEnd w:id="4"/>
    </w:p>
    <w:p w14:paraId="485BBD2C" w14:textId="30E38C40" w:rsidR="00A0227D" w:rsidRPr="00970B1E" w:rsidRDefault="00A0227D" w:rsidP="00C50140">
      <w:pPr>
        <w:pStyle w:val="SingleTxtGA"/>
        <w:rPr>
          <w:szCs w:val="20"/>
          <w:lang w:eastAsia="zh-TW" w:bidi="en-GB"/>
        </w:rPr>
      </w:pPr>
      <w:r w:rsidRPr="005C19F0">
        <w:rPr>
          <w:szCs w:val="20"/>
          <w:rtl/>
        </w:rPr>
        <w:t>25</w:t>
      </w:r>
      <w:r w:rsidRPr="00EF3655">
        <w:rPr>
          <w:rtl/>
        </w:rPr>
        <w:t>-</w:t>
      </w:r>
      <w:r>
        <w:rPr>
          <w:rtl/>
        </w:rPr>
        <w:tab/>
        <w:t xml:space="preserve">يقدر المجلس الاستشاري الوطني لشؤون الروما أن عدد السكان الحاليين من الروما في فنلندا </w:t>
      </w:r>
      <w:r w:rsidRPr="001E2CFF">
        <w:rPr>
          <w:spacing w:val="-4"/>
          <w:rtl/>
        </w:rPr>
        <w:t xml:space="preserve">يتراوح ما بين </w:t>
      </w:r>
      <w:r w:rsidRPr="001E2CFF">
        <w:rPr>
          <w:spacing w:val="-4"/>
          <w:szCs w:val="20"/>
          <w:rtl/>
        </w:rPr>
        <w:t>000</w:t>
      </w:r>
      <w:r w:rsidRPr="001E2CFF">
        <w:rPr>
          <w:rFonts w:ascii="Traditional Arabic"/>
          <w:spacing w:val="-4"/>
          <w:szCs w:val="20"/>
          <w:rtl/>
        </w:rPr>
        <w:t xml:space="preserve"> </w:t>
      </w:r>
      <w:r w:rsidRPr="001E2CFF">
        <w:rPr>
          <w:spacing w:val="-4"/>
          <w:szCs w:val="20"/>
          <w:rtl/>
        </w:rPr>
        <w:t>10</w:t>
      </w:r>
      <w:r w:rsidRPr="001E2CFF">
        <w:rPr>
          <w:rFonts w:ascii="Traditional Arabic"/>
          <w:spacing w:val="-4"/>
          <w:szCs w:val="20"/>
          <w:rtl/>
        </w:rPr>
        <w:t xml:space="preserve"> </w:t>
      </w:r>
      <w:r w:rsidRPr="001E2CFF">
        <w:rPr>
          <w:spacing w:val="-4"/>
          <w:rtl/>
        </w:rPr>
        <w:t>و</w:t>
      </w:r>
      <w:r w:rsidRPr="001E2CFF">
        <w:rPr>
          <w:spacing w:val="-4"/>
          <w:szCs w:val="20"/>
          <w:rtl/>
        </w:rPr>
        <w:t>000</w:t>
      </w:r>
      <w:r w:rsidRPr="001E2CFF">
        <w:rPr>
          <w:rFonts w:ascii="Traditional Arabic"/>
          <w:spacing w:val="-4"/>
          <w:szCs w:val="20"/>
          <w:rtl/>
        </w:rPr>
        <w:t xml:space="preserve"> </w:t>
      </w:r>
      <w:r w:rsidRPr="001E2CFF">
        <w:rPr>
          <w:spacing w:val="-4"/>
          <w:szCs w:val="20"/>
          <w:rtl/>
        </w:rPr>
        <w:t>12</w:t>
      </w:r>
      <w:r w:rsidRPr="001E2CFF">
        <w:rPr>
          <w:spacing w:val="-4"/>
          <w:rtl/>
        </w:rPr>
        <w:t xml:space="preserve"> شخص. ويُقدَّر أن عدداً آخر من الروما الفنلنديين يتراوح ما بين </w:t>
      </w:r>
      <w:r w:rsidR="001E2CFF" w:rsidRPr="001E2CFF">
        <w:rPr>
          <w:rFonts w:hint="cs"/>
          <w:spacing w:val="-4"/>
          <w:szCs w:val="20"/>
          <w:rtl/>
        </w:rPr>
        <w:t>000 3</w:t>
      </w:r>
      <w:r>
        <w:rPr>
          <w:rFonts w:ascii="Traditional Arabic"/>
          <w:szCs w:val="20"/>
          <w:rtl/>
        </w:rPr>
        <w:t xml:space="preserve"> </w:t>
      </w:r>
      <w:r>
        <w:rPr>
          <w:rtl/>
        </w:rPr>
        <w:t>و</w:t>
      </w:r>
      <w:r w:rsidR="001E2CFF">
        <w:rPr>
          <w:rFonts w:hint="cs"/>
          <w:szCs w:val="20"/>
          <w:rtl/>
        </w:rPr>
        <w:t>000 4</w:t>
      </w:r>
      <w:r>
        <w:rPr>
          <w:rtl/>
        </w:rPr>
        <w:t xml:space="preserve"> يعيشون في السويد. ويتوزع السكان الروما في جميع أنحاء فنلندا ولكن توزعهم الجغرافي غير متساو. وتقدر الوكالة الوطنية الفنلندية للتعليم أن حوالي </w:t>
      </w:r>
      <w:r w:rsidR="001E2CFF">
        <w:rPr>
          <w:rFonts w:hint="cs"/>
          <w:szCs w:val="20"/>
          <w:rtl/>
        </w:rPr>
        <w:t>500 4</w:t>
      </w:r>
      <w:r>
        <w:rPr>
          <w:rtl/>
        </w:rPr>
        <w:t xml:space="preserve"> شخص من الروما يعيشون في جنوب </w:t>
      </w:r>
      <w:r w:rsidRPr="00970B1E">
        <w:rPr>
          <w:spacing w:val="-4"/>
          <w:rtl/>
        </w:rPr>
        <w:t xml:space="preserve">فنلندا، وحوالي </w:t>
      </w:r>
      <w:r w:rsidR="001E2CFF" w:rsidRPr="00970B1E">
        <w:rPr>
          <w:rFonts w:hint="cs"/>
          <w:spacing w:val="-4"/>
          <w:szCs w:val="20"/>
          <w:rtl/>
        </w:rPr>
        <w:t>500 2</w:t>
      </w:r>
      <w:r w:rsidRPr="00970B1E">
        <w:rPr>
          <w:spacing w:val="-4"/>
          <w:rtl/>
        </w:rPr>
        <w:t xml:space="preserve"> شخص منهم يعيشون في غرب فنلندا ومناطقها الداخلية وجنوب غربها، ونحو </w:t>
      </w:r>
      <w:r w:rsidR="001E2CFF" w:rsidRPr="00970B1E">
        <w:rPr>
          <w:rFonts w:hint="cs"/>
          <w:spacing w:val="-4"/>
          <w:szCs w:val="20"/>
          <w:rtl/>
        </w:rPr>
        <w:t>500 1</w:t>
      </w:r>
      <w:r>
        <w:rPr>
          <w:rtl/>
        </w:rPr>
        <w:t xml:space="preserve"> شخص يعيشون في شرقي فنلندا، ونحو </w:t>
      </w:r>
      <w:r w:rsidR="001E2CFF">
        <w:rPr>
          <w:rFonts w:hint="cs"/>
          <w:szCs w:val="20"/>
          <w:rtl/>
        </w:rPr>
        <w:t>000 1</w:t>
      </w:r>
      <w:r>
        <w:rPr>
          <w:rtl/>
        </w:rPr>
        <w:t xml:space="preserve"> شخص في أقصى شمال فنلندا. ويتزايد باطراد عدد المهاجرين الروما الوافدين إلى فنلندا من الدول الأعضاء الأخرى في الاتحاد الأوروبي، ويتزايد كذلك باطراد عدد الناطقين </w:t>
      </w:r>
      <w:r>
        <w:rPr>
          <w:rtl/>
          <w:lang w:val="fr-CH"/>
        </w:rPr>
        <w:t>بلغة الروما بلهجتيها البلغارية والرومانية</w:t>
      </w:r>
      <w:r>
        <w:rPr>
          <w:rtl/>
        </w:rPr>
        <w:t xml:space="preserve">. ويبلغ حالياً عدد مواطني الاتحاد الأوروبي المنحدرين من أصل الروما نحو </w:t>
      </w:r>
      <w:r w:rsidRPr="005C19F0">
        <w:rPr>
          <w:szCs w:val="20"/>
          <w:rtl/>
        </w:rPr>
        <w:t>500</w:t>
      </w:r>
      <w:r>
        <w:rPr>
          <w:rtl/>
        </w:rPr>
        <w:t xml:space="preserve"> شخص في فنلندا.</w:t>
      </w:r>
      <w:r w:rsidR="00970B1E">
        <w:rPr>
          <w:szCs w:val="20"/>
          <w:lang w:eastAsia="zh-TW" w:bidi="en-GB"/>
        </w:rPr>
        <w:t xml:space="preserve"> </w:t>
      </w:r>
    </w:p>
    <w:p w14:paraId="02751F66" w14:textId="047CED7F" w:rsidR="00A0227D" w:rsidRPr="009B1F51" w:rsidRDefault="00A0227D" w:rsidP="00C50140">
      <w:pPr>
        <w:pStyle w:val="SingleTxtGA"/>
        <w:rPr>
          <w:szCs w:val="20"/>
          <w:lang w:val="ar-SA" w:eastAsia="zh-TW" w:bidi="en-GB"/>
        </w:rPr>
      </w:pPr>
      <w:r w:rsidRPr="005C19F0">
        <w:rPr>
          <w:szCs w:val="20"/>
          <w:rtl/>
        </w:rPr>
        <w:t>26</w:t>
      </w:r>
      <w:r w:rsidRPr="00EF3655">
        <w:rPr>
          <w:rtl/>
        </w:rPr>
        <w:t>-</w:t>
      </w:r>
      <w:r>
        <w:rPr>
          <w:rtl/>
        </w:rPr>
        <w:tab/>
      </w:r>
      <w:r>
        <w:rPr>
          <w:rtl/>
          <w:lang w:val="fr-CH"/>
        </w:rPr>
        <w:t>و</w:t>
      </w:r>
      <w:r>
        <w:rPr>
          <w:rtl/>
        </w:rPr>
        <w:t xml:space="preserve">في نهاية عام </w:t>
      </w:r>
      <w:r w:rsidRPr="005C19F0">
        <w:rPr>
          <w:szCs w:val="20"/>
          <w:rtl/>
        </w:rPr>
        <w:t>2018</w:t>
      </w:r>
      <w:r>
        <w:rPr>
          <w:rtl/>
        </w:rPr>
        <w:t xml:space="preserve">، كان يقيم في فنلندا </w:t>
      </w:r>
      <w:r w:rsidR="00EE2745">
        <w:rPr>
          <w:rFonts w:hint="cs"/>
          <w:szCs w:val="20"/>
          <w:rtl/>
        </w:rPr>
        <w:t>225 79</w:t>
      </w:r>
      <w:r>
        <w:rPr>
          <w:rtl/>
        </w:rPr>
        <w:t xml:space="preserve"> شخصاً لغتهم الأم هي الروسية. وقد ازداد عدد أفراد الأقلية الروسية التقليدية في فنلندا في العقد الماضي نتيجة قدوم عدد كبير من المهاجرين الجدد، وفي الوقت الحاضر، يشكل المتحدثون باللغة الروسية أكبر مجموعة من المهاجرين الناطقين بلغة أجنبية في فنلندا. ومن حيث التوزع الجغرافي، يتركز السكان الناطقون بالروسية في أكبر البلديات، أما في البلديات الأصغر حجماً فيعيش أكبر عدد من الناطقين باللغة الروسية في البلديات القريبة من الحدود الروسية.</w:t>
      </w:r>
    </w:p>
    <w:p w14:paraId="62423A6F" w14:textId="7475D28D" w:rsidR="00A0227D" w:rsidRPr="00522F4F" w:rsidRDefault="00A0227D" w:rsidP="00B37752">
      <w:pPr>
        <w:pStyle w:val="SingleTxtGA"/>
        <w:rPr>
          <w:spacing w:val="-6"/>
        </w:rPr>
      </w:pPr>
      <w:r w:rsidRPr="005C19F0">
        <w:rPr>
          <w:szCs w:val="20"/>
          <w:rtl/>
        </w:rPr>
        <w:lastRenderedPageBreak/>
        <w:t>27</w:t>
      </w:r>
      <w:r w:rsidRPr="00EF3655">
        <w:rPr>
          <w:rtl/>
        </w:rPr>
        <w:t>-</w:t>
      </w:r>
      <w:r>
        <w:rPr>
          <w:rtl/>
        </w:rPr>
        <w:tab/>
        <w:t xml:space="preserve">وما فتئ عدد الناطقين باللغة الإستونية في فنلندا يشهد تزايداً كبيراً، فهم يشكلون حالياً ثاني أكبر مجموعة من الناطقين بلغة أجنبية. وفي نهاية عام </w:t>
      </w:r>
      <w:r w:rsidRPr="005C19F0">
        <w:rPr>
          <w:szCs w:val="20"/>
          <w:rtl/>
        </w:rPr>
        <w:t>2018</w:t>
      </w:r>
      <w:r>
        <w:rPr>
          <w:rtl/>
        </w:rPr>
        <w:t xml:space="preserve">، كان يقيم في فنلندا </w:t>
      </w:r>
      <w:r w:rsidR="00D63255">
        <w:rPr>
          <w:rFonts w:hint="cs"/>
          <w:szCs w:val="20"/>
          <w:rtl/>
        </w:rPr>
        <w:t>691 49</w:t>
      </w:r>
      <w:r>
        <w:rPr>
          <w:rtl/>
        </w:rPr>
        <w:t xml:space="preserve"> شخصا</w:t>
      </w:r>
      <w:r w:rsidR="00D63255">
        <w:rPr>
          <w:rFonts w:hint="cs"/>
          <w:rtl/>
        </w:rPr>
        <w:t>ً</w:t>
      </w:r>
      <w:r>
        <w:rPr>
          <w:rtl/>
        </w:rPr>
        <w:t xml:space="preserve"> لغتهم الأم هي الإستونية. وقد بدأت هجرة الإستونيين إلى فنلندا في تسعينات القرن العشرين </w:t>
      </w:r>
      <w:r w:rsidRPr="00794E95">
        <w:rPr>
          <w:rtl/>
        </w:rPr>
        <w:t>(</w:t>
      </w:r>
      <w:r>
        <w:rPr>
          <w:rtl/>
        </w:rPr>
        <w:t>في عام</w:t>
      </w:r>
      <w:r w:rsidR="00B37752">
        <w:rPr>
          <w:rFonts w:hint="cs"/>
          <w:rtl/>
        </w:rPr>
        <w:t> </w:t>
      </w:r>
      <w:r w:rsidRPr="005C19F0">
        <w:rPr>
          <w:szCs w:val="20"/>
          <w:rtl/>
        </w:rPr>
        <w:t>1990</w:t>
      </w:r>
      <w:r>
        <w:rPr>
          <w:rtl/>
        </w:rPr>
        <w:t xml:space="preserve">، كان </w:t>
      </w:r>
      <w:r w:rsidR="00D63255">
        <w:rPr>
          <w:rFonts w:hint="cs"/>
          <w:szCs w:val="20"/>
          <w:rtl/>
        </w:rPr>
        <w:t>394 1</w:t>
      </w:r>
      <w:r>
        <w:rPr>
          <w:rtl/>
        </w:rPr>
        <w:t xml:space="preserve"> شخصاً من الناطقين بالإستونية يقيمون في فنلندا</w:t>
      </w:r>
      <w:r w:rsidRPr="00794E95">
        <w:rPr>
          <w:rtl/>
        </w:rPr>
        <w:t>)</w:t>
      </w:r>
      <w:r>
        <w:rPr>
          <w:rtl/>
        </w:rPr>
        <w:t xml:space="preserve">، وتسارعت وتيرة الهجرة </w:t>
      </w:r>
      <w:r w:rsidRPr="00522F4F">
        <w:rPr>
          <w:spacing w:val="-6"/>
          <w:rtl/>
        </w:rPr>
        <w:t xml:space="preserve">بعد انضمام إستونيا إلى الاتحاد الأوروبي في عام </w:t>
      </w:r>
      <w:r w:rsidRPr="00522F4F">
        <w:rPr>
          <w:spacing w:val="-6"/>
          <w:szCs w:val="20"/>
          <w:rtl/>
        </w:rPr>
        <w:t>2004</w:t>
      </w:r>
      <w:r w:rsidRPr="00522F4F">
        <w:rPr>
          <w:spacing w:val="-6"/>
          <w:rtl/>
        </w:rPr>
        <w:t>. وغالبية الإستونيين في فنلندا هم من العمال المهاجرين.</w:t>
      </w:r>
    </w:p>
    <w:p w14:paraId="21C89EE0" w14:textId="77777777" w:rsidR="00A0227D" w:rsidRPr="009B1F51" w:rsidRDefault="00A0227D" w:rsidP="00C50140">
      <w:pPr>
        <w:pStyle w:val="SingleTxtGA"/>
        <w:rPr>
          <w:szCs w:val="20"/>
          <w:lang w:val="ar-SA" w:eastAsia="zh-TW" w:bidi="en-GB"/>
        </w:rPr>
      </w:pPr>
      <w:r w:rsidRPr="005C19F0">
        <w:rPr>
          <w:szCs w:val="20"/>
          <w:rtl/>
        </w:rPr>
        <w:t>28</w:t>
      </w:r>
      <w:r w:rsidRPr="00EF3655">
        <w:rPr>
          <w:rtl/>
        </w:rPr>
        <w:t>-</w:t>
      </w:r>
      <w:r>
        <w:rPr>
          <w:rtl/>
        </w:rPr>
        <w:tab/>
        <w:t xml:space="preserve">ويقيم في فنلندا ما </w:t>
      </w:r>
      <w:r>
        <w:rPr>
          <w:rtl/>
          <w:lang w:val="fr-CH"/>
        </w:rPr>
        <w:t>بي</w:t>
      </w:r>
      <w:r w:rsidRPr="00484B9B">
        <w:rPr>
          <w:rtl/>
          <w:lang w:val="fr-CH"/>
        </w:rPr>
        <w:t xml:space="preserve">ن </w:t>
      </w:r>
      <w:r w:rsidRPr="005C19F0">
        <w:rPr>
          <w:szCs w:val="20"/>
          <w:rtl/>
          <w:lang w:val="fr-CH"/>
        </w:rPr>
        <w:t>700</w:t>
      </w:r>
      <w:r w:rsidRPr="00484B9B">
        <w:rPr>
          <w:rtl/>
          <w:lang w:val="fr-CH"/>
        </w:rPr>
        <w:t xml:space="preserve"> </w:t>
      </w:r>
      <w:r>
        <w:rPr>
          <w:rtl/>
          <w:lang w:val="fr-CH"/>
        </w:rPr>
        <w:t>و</w:t>
      </w:r>
      <w:r w:rsidRPr="005C19F0">
        <w:rPr>
          <w:szCs w:val="20"/>
          <w:rtl/>
          <w:lang w:val="fr-CH"/>
        </w:rPr>
        <w:t>800</w:t>
      </w:r>
      <w:r>
        <w:rPr>
          <w:rFonts w:ascii="Traditional Arabic"/>
          <w:szCs w:val="20"/>
          <w:rtl/>
        </w:rPr>
        <w:t xml:space="preserve"> </w:t>
      </w:r>
      <w:r>
        <w:rPr>
          <w:rtl/>
          <w:lang w:val="fr-CH"/>
        </w:rPr>
        <w:t xml:space="preserve">شخص </w:t>
      </w:r>
      <w:r>
        <w:rPr>
          <w:rtl/>
        </w:rPr>
        <w:t xml:space="preserve">من التتار ذوي الأصل التركي، لا تزال اللغة الأصلية لأكثر من نصفهم هي التترية. </w:t>
      </w:r>
      <w:r>
        <w:rPr>
          <w:rtl/>
          <w:lang w:val="fr-CH"/>
        </w:rPr>
        <w:t>ويتحدث</w:t>
      </w:r>
      <w:r>
        <w:rPr>
          <w:rtl/>
        </w:rPr>
        <w:t xml:space="preserve"> التتار الفنلنديون اللغة التترية الميشارية كلغتهم الأم، وهي لهجة غربية من اللغة التترية التي هي واحدة من اللغات التركية. وفي عام </w:t>
      </w:r>
      <w:r w:rsidRPr="005C19F0">
        <w:rPr>
          <w:szCs w:val="20"/>
          <w:rtl/>
        </w:rPr>
        <w:t>2015</w:t>
      </w:r>
      <w:r>
        <w:rPr>
          <w:rtl/>
        </w:rPr>
        <w:t xml:space="preserve">، كان </w:t>
      </w:r>
      <w:r w:rsidRPr="005C19F0">
        <w:rPr>
          <w:szCs w:val="20"/>
          <w:rtl/>
        </w:rPr>
        <w:t>184</w:t>
      </w:r>
      <w:r>
        <w:rPr>
          <w:rtl/>
        </w:rPr>
        <w:t xml:space="preserve"> شخصاً قد أعلنوا</w:t>
      </w:r>
      <w:r w:rsidRPr="00C33971">
        <w:rPr>
          <w:rtl/>
        </w:rPr>
        <w:t xml:space="preserve"> في السجلات السكانية</w:t>
      </w:r>
      <w:r>
        <w:rPr>
          <w:rtl/>
        </w:rPr>
        <w:t xml:space="preserve"> أن اللغة التترية هي لغتهم الأصلية. وتقيم غالبية التتار الذين يسكنون فنلندا في منطقة هلسنكي.</w:t>
      </w:r>
    </w:p>
    <w:p w14:paraId="2883CD18" w14:textId="4DEBC7B3" w:rsidR="00A0227D" w:rsidRPr="009B1F51" w:rsidRDefault="00A0227D" w:rsidP="00C50140">
      <w:pPr>
        <w:pStyle w:val="SingleTxtGA"/>
        <w:rPr>
          <w:szCs w:val="20"/>
          <w:lang w:val="ar-SA" w:eastAsia="zh-TW" w:bidi="en-GB"/>
        </w:rPr>
      </w:pPr>
      <w:r w:rsidRPr="005C19F0">
        <w:rPr>
          <w:szCs w:val="20"/>
          <w:rtl/>
        </w:rPr>
        <w:t>29</w:t>
      </w:r>
      <w:r w:rsidRPr="00EF3655">
        <w:rPr>
          <w:rtl/>
        </w:rPr>
        <w:t>-</w:t>
      </w:r>
      <w:r>
        <w:rPr>
          <w:rtl/>
        </w:rPr>
        <w:tab/>
        <w:t xml:space="preserve">وتضم المجتمعات اليهودية في هلسنكي وتوركو حوالي </w:t>
      </w:r>
      <w:r w:rsidRPr="005C19F0">
        <w:rPr>
          <w:szCs w:val="20"/>
          <w:rtl/>
        </w:rPr>
        <w:t>100</w:t>
      </w:r>
      <w:r>
        <w:rPr>
          <w:rtl/>
        </w:rPr>
        <w:t xml:space="preserve"> شخص يتحدثون اللغة الييدية، </w:t>
      </w:r>
      <w:r w:rsidRPr="005C19F0">
        <w:rPr>
          <w:szCs w:val="20"/>
          <w:rtl/>
        </w:rPr>
        <w:t>20</w:t>
      </w:r>
      <w:r>
        <w:rPr>
          <w:rtl/>
        </w:rPr>
        <w:t xml:space="preserve"> منهم يعتبرونها لغتهم الأصلية. ويبلغ عدد الناطقين باللغة العبرية </w:t>
      </w:r>
      <w:r w:rsidRPr="005C19F0">
        <w:rPr>
          <w:szCs w:val="20"/>
          <w:rtl/>
        </w:rPr>
        <w:t>150</w:t>
      </w:r>
      <w:r>
        <w:rPr>
          <w:rFonts w:ascii="Traditional Arabic"/>
          <w:szCs w:val="20"/>
          <w:rtl/>
        </w:rPr>
        <w:t xml:space="preserve"> </w:t>
      </w:r>
      <w:r w:rsidRPr="00594EC2">
        <w:rPr>
          <w:rtl/>
        </w:rPr>
        <w:t>شخصاً</w:t>
      </w:r>
      <w:r>
        <w:rPr>
          <w:rtl/>
        </w:rPr>
        <w:t xml:space="preserve">، في حين يستخدم </w:t>
      </w:r>
      <w:r w:rsidRPr="005C19F0">
        <w:rPr>
          <w:szCs w:val="20"/>
          <w:rtl/>
        </w:rPr>
        <w:t>200</w:t>
      </w:r>
      <w:r>
        <w:rPr>
          <w:rtl/>
        </w:rPr>
        <w:t xml:space="preserve"> شخص آخرين على الأقل اللغة العبرية بوصفها لغتهم الأم الثانية. ولا توجد في فنلندا إحصاءات رسمية عن الناطقين باللغة الييدية والعبرية. واللغة الييدية، كلغة منطوقة، على وشك الاندثار في فنلندا، غير أن التراث الثقافي باللغة الييدية سيبقى مهماً للهوية اليهودية أيضاً في المستقبل، وستظل اللغة موضوعاً للدراسة والاهتمام. وتشكل اللغة الفنلندية اللغة الرئيسية للسكان اليهود في فنلندا واللغة الأصلية أيضاً لغالبيتهم. وقد أعادت الاضطرابات التي شهدتها أوروبا الشرقية في تسعينات</w:t>
      </w:r>
      <w:r>
        <w:t xml:space="preserve"> </w:t>
      </w:r>
      <w:r>
        <w:rPr>
          <w:rtl/>
          <w:lang w:val="fr-CH"/>
        </w:rPr>
        <w:t>القرن العشرين</w:t>
      </w:r>
      <w:r>
        <w:rPr>
          <w:rtl/>
        </w:rPr>
        <w:t xml:space="preserve"> اللغة الروسية إلى الجالية اليهودية في فنلندا رغم أن اللغة الروسية وحدَها هي اللغة الأم لأقلية صغيرة.</w:t>
      </w:r>
      <w:r w:rsidR="00507B18">
        <w:rPr>
          <w:rtl/>
        </w:rPr>
        <w:t xml:space="preserve"> و</w:t>
      </w:r>
      <w:r>
        <w:rPr>
          <w:rtl/>
        </w:rPr>
        <w:t>لا يفتأ يهود فنلندا يزدادون غنى من حيث التنوع الثقافي، وتعبر الطائفة اليهودية في البلد عن التنوع الثقافي الأوسع للمجتمع الفنلندي.</w:t>
      </w:r>
    </w:p>
    <w:p w14:paraId="635FE3C3" w14:textId="72649D7D" w:rsidR="00A0227D" w:rsidRPr="00C726A7" w:rsidRDefault="00A0227D" w:rsidP="00C50140">
      <w:pPr>
        <w:pStyle w:val="SingleTxtGA"/>
        <w:rPr>
          <w:szCs w:val="20"/>
          <w:lang w:eastAsia="zh-TW" w:bidi="en-GB"/>
        </w:rPr>
      </w:pPr>
      <w:r w:rsidRPr="005C19F0">
        <w:rPr>
          <w:szCs w:val="20"/>
          <w:rtl/>
        </w:rPr>
        <w:t>30</w:t>
      </w:r>
      <w:r w:rsidRPr="00EF3655">
        <w:rPr>
          <w:rtl/>
        </w:rPr>
        <w:t>-</w:t>
      </w:r>
      <w:r>
        <w:rPr>
          <w:rtl/>
        </w:rPr>
        <w:tab/>
        <w:t xml:space="preserve">ويعيش في فنلندا نحو </w:t>
      </w:r>
      <w:r w:rsidR="00D63255">
        <w:rPr>
          <w:rFonts w:hint="cs"/>
          <w:szCs w:val="20"/>
          <w:rtl/>
        </w:rPr>
        <w:t>000 5</w:t>
      </w:r>
      <w:r>
        <w:rPr>
          <w:rtl/>
        </w:rPr>
        <w:t xml:space="preserve"> شخص من الناطقين باللغة </w:t>
      </w:r>
      <w:r w:rsidRPr="00F5715A">
        <w:rPr>
          <w:rtl/>
        </w:rPr>
        <w:t>الكاريلية</w:t>
      </w:r>
      <w:r>
        <w:rPr>
          <w:rFonts w:cs="Times New Roman"/>
          <w:szCs w:val="20"/>
          <w:rtl/>
        </w:rPr>
        <w:t>.</w:t>
      </w:r>
      <w:r>
        <w:rPr>
          <w:rtl/>
        </w:rPr>
        <w:t xml:space="preserve"> وهناك نحو </w:t>
      </w:r>
      <w:r w:rsidR="00D63255">
        <w:rPr>
          <w:rFonts w:hint="cs"/>
          <w:szCs w:val="20"/>
          <w:rtl/>
        </w:rPr>
        <w:t>000 20</w:t>
      </w:r>
      <w:r>
        <w:rPr>
          <w:rtl/>
        </w:rPr>
        <w:t xml:space="preserve"> شخص آخر يعرّفون أنفسهم بأنهم من </w:t>
      </w:r>
      <w:r w:rsidRPr="00F5715A">
        <w:rPr>
          <w:rtl/>
        </w:rPr>
        <w:t xml:space="preserve">الناطقين </w:t>
      </w:r>
      <w:bookmarkStart w:id="5" w:name="_Hlk48558761"/>
      <w:r w:rsidRPr="00F5715A">
        <w:rPr>
          <w:rtl/>
        </w:rPr>
        <w:t>باللغة الكاريلية</w:t>
      </w:r>
      <w:r>
        <w:rPr>
          <w:rtl/>
        </w:rPr>
        <w:t xml:space="preserve"> </w:t>
      </w:r>
      <w:bookmarkEnd w:id="5"/>
      <w:r>
        <w:rPr>
          <w:rtl/>
        </w:rPr>
        <w:t>وكلا المجموعتين تفهم هذه اللغة وتتحدث بها إلى حد ما</w:t>
      </w:r>
      <w:r w:rsidRPr="00F5715A">
        <w:rPr>
          <w:rtl/>
        </w:rPr>
        <w:t xml:space="preserve"> على الأقل</w:t>
      </w:r>
      <w:r>
        <w:rPr>
          <w:rtl/>
        </w:rPr>
        <w:t xml:space="preserve">. ومع ذلك، لا توجد إحصاءات شاملة عن الناطقين </w:t>
      </w:r>
      <w:r w:rsidRPr="00F5715A">
        <w:rPr>
          <w:rtl/>
        </w:rPr>
        <w:t>باللغة الكاريلية</w:t>
      </w:r>
      <w:r>
        <w:rPr>
          <w:rtl/>
        </w:rPr>
        <w:t xml:space="preserve"> في فنلندا. وبدايةً من عام </w:t>
      </w:r>
      <w:r w:rsidRPr="005C19F0">
        <w:rPr>
          <w:szCs w:val="20"/>
          <w:rtl/>
        </w:rPr>
        <w:t>2011</w:t>
      </w:r>
      <w:r>
        <w:rPr>
          <w:rtl/>
        </w:rPr>
        <w:t xml:space="preserve">، أصبح </w:t>
      </w:r>
      <w:r>
        <w:rPr>
          <w:rtl/>
          <w:lang w:bidi="ar-DZ"/>
        </w:rPr>
        <w:t xml:space="preserve">خيار </w:t>
      </w:r>
      <w:r w:rsidRPr="00F5715A">
        <w:rPr>
          <w:rtl/>
        </w:rPr>
        <w:t xml:space="preserve">اللغة الكاريلية </w:t>
      </w:r>
      <w:r>
        <w:rPr>
          <w:rtl/>
        </w:rPr>
        <w:t xml:space="preserve">متاحاً من بين اللغات الأصلية في نظام المعلومات السكانية الذي يستخدمه مركز تسجيل السكان. وفي عام </w:t>
      </w:r>
      <w:r w:rsidRPr="005C19F0">
        <w:rPr>
          <w:szCs w:val="20"/>
          <w:rtl/>
        </w:rPr>
        <w:t>2015</w:t>
      </w:r>
      <w:r>
        <w:rPr>
          <w:rtl/>
        </w:rPr>
        <w:t xml:space="preserve">، أعلن </w:t>
      </w:r>
      <w:r w:rsidRPr="005C19F0">
        <w:rPr>
          <w:szCs w:val="20"/>
          <w:rtl/>
        </w:rPr>
        <w:t>152</w:t>
      </w:r>
      <w:r>
        <w:rPr>
          <w:rtl/>
        </w:rPr>
        <w:t xml:space="preserve"> شخصاً أن </w:t>
      </w:r>
      <w:r w:rsidRPr="00F5715A">
        <w:rPr>
          <w:rtl/>
        </w:rPr>
        <w:t xml:space="preserve">اللغة الكاريلية </w:t>
      </w:r>
      <w:r>
        <w:rPr>
          <w:rtl/>
        </w:rPr>
        <w:t>هي لغتهم الأصلية.</w:t>
      </w:r>
    </w:p>
    <w:p w14:paraId="70B1AC11" w14:textId="1ED7669F" w:rsidR="00A0227D" w:rsidRPr="00C726A7" w:rsidRDefault="00A0227D" w:rsidP="00C50140">
      <w:pPr>
        <w:pStyle w:val="SingleTxtGA"/>
        <w:rPr>
          <w:szCs w:val="20"/>
          <w:lang w:eastAsia="zh-TW" w:bidi="en-GB"/>
        </w:rPr>
      </w:pPr>
      <w:r w:rsidRPr="005C19F0">
        <w:rPr>
          <w:szCs w:val="20"/>
          <w:rtl/>
        </w:rPr>
        <w:t>31</w:t>
      </w:r>
      <w:r w:rsidRPr="00EF3655">
        <w:rPr>
          <w:rtl/>
        </w:rPr>
        <w:t>-</w:t>
      </w:r>
      <w:r w:rsidR="00C50140">
        <w:rPr>
          <w:rtl/>
        </w:rPr>
        <w:tab/>
      </w:r>
      <w:r>
        <w:rPr>
          <w:rtl/>
        </w:rPr>
        <w:t>ويكفل القانون، بموجب</w:t>
      </w:r>
      <w:r w:rsidRPr="00F5715A">
        <w:rPr>
          <w:rtl/>
        </w:rPr>
        <w:t xml:space="preserve"> </w:t>
      </w:r>
      <w:r>
        <w:rPr>
          <w:rtl/>
        </w:rPr>
        <w:t>الفقرة</w:t>
      </w:r>
      <w:r w:rsidRPr="00F5715A">
        <w:rPr>
          <w:rtl/>
        </w:rPr>
        <w:t xml:space="preserve"> </w:t>
      </w:r>
      <w:r w:rsidRPr="005C19F0">
        <w:rPr>
          <w:szCs w:val="20"/>
          <w:rtl/>
        </w:rPr>
        <w:t>3</w:t>
      </w:r>
      <w:r w:rsidRPr="00F5715A">
        <w:rPr>
          <w:rtl/>
        </w:rPr>
        <w:t xml:space="preserve"> </w:t>
      </w:r>
      <w:r>
        <w:rPr>
          <w:rtl/>
        </w:rPr>
        <w:t xml:space="preserve">من المادة </w:t>
      </w:r>
      <w:r w:rsidRPr="005C19F0">
        <w:rPr>
          <w:szCs w:val="20"/>
          <w:rtl/>
        </w:rPr>
        <w:t>17</w:t>
      </w:r>
      <w:r>
        <w:rPr>
          <w:rtl/>
        </w:rPr>
        <w:t xml:space="preserve"> من دستور فنلندا، حقوق الأشخاص الذين يستخدمون لغة الإشارة والأشخاص المحتاجين إلى مساعدة تتعلق بالترجمة الشفوية أو الترجمة التحريرية بسبب الإعاقة. ويشكل مستخدمو لغة الإشارة أقلية لغوية وثقافية في فنلندا. ويوصي برنامج السياسة اللغوية للغات الإشارة الوطنية في فنلندا بأن تعزز الدولة وضع لغات الأقليات، بما فيها لغات الإشارة، على الصعيد الأوروبي، وذلك مثلاً في الميثاق الأوروبي للغات الإقليمية أو لغات الأقليات وفي وثائق </w:t>
      </w:r>
      <w:r w:rsidRPr="009A3C44">
        <w:rPr>
          <w:spacing w:val="-2"/>
          <w:rtl/>
        </w:rPr>
        <w:t>أخرى تتناول اللغات. ولدى فنلندا لغتان وطنيتان للإشارة</w:t>
      </w:r>
      <w:r w:rsidRPr="00BB79C1">
        <w:rPr>
          <w:rtl/>
        </w:rPr>
        <w:t>:</w:t>
      </w:r>
      <w:r w:rsidRPr="009A3C44">
        <w:rPr>
          <w:spacing w:val="-2"/>
          <w:rtl/>
        </w:rPr>
        <w:t xml:space="preserve"> لغة الإشارة الفنلندية ولغة الإشارة الفنلندية </w:t>
      </w:r>
      <w:r w:rsidRPr="00EF3655">
        <w:rPr>
          <w:rtl/>
        </w:rPr>
        <w:t>-</w:t>
      </w:r>
      <w:r w:rsidRPr="009A3C44">
        <w:rPr>
          <w:spacing w:val="-2"/>
          <w:rtl/>
        </w:rPr>
        <w:t xml:space="preserve"> </w:t>
      </w:r>
      <w:r>
        <w:rPr>
          <w:rtl/>
        </w:rPr>
        <w:t xml:space="preserve">السويدية. الأولى هي اللغة الأصلية لحوالي </w:t>
      </w:r>
      <w:r w:rsidR="009A3C44">
        <w:rPr>
          <w:rFonts w:hint="cs"/>
          <w:szCs w:val="20"/>
          <w:rtl/>
        </w:rPr>
        <w:t>000 4</w:t>
      </w:r>
      <w:r w:rsidRPr="00EF3655">
        <w:rPr>
          <w:rtl/>
        </w:rPr>
        <w:t>-</w:t>
      </w:r>
      <w:r w:rsidR="009A3C44">
        <w:rPr>
          <w:rFonts w:hint="cs"/>
          <w:szCs w:val="20"/>
          <w:rtl/>
        </w:rPr>
        <w:t>000 5</w:t>
      </w:r>
      <w:r>
        <w:rPr>
          <w:rtl/>
        </w:rPr>
        <w:t xml:space="preserve"> شخص من الصم أو ذوي الإعاقة السمعية. وباختصار، يستخدم لغة الإشارة الفنلندية حوالي </w:t>
      </w:r>
      <w:r w:rsidR="009A3C44">
        <w:rPr>
          <w:rFonts w:hint="cs"/>
          <w:szCs w:val="20"/>
          <w:rtl/>
        </w:rPr>
        <w:t>000 14</w:t>
      </w:r>
      <w:r>
        <w:rPr>
          <w:rtl/>
        </w:rPr>
        <w:t xml:space="preserve"> شخص، بمن فيهم ذوو الإعاقة السمعية. وقُدر عدد مستخدمي لغة الإشارة الفنلندية </w:t>
      </w:r>
      <w:r w:rsidRPr="00EF3655">
        <w:rPr>
          <w:rtl/>
        </w:rPr>
        <w:t>-</w:t>
      </w:r>
      <w:r>
        <w:rPr>
          <w:rtl/>
        </w:rPr>
        <w:t xml:space="preserve"> السويدية بنحو </w:t>
      </w:r>
      <w:r w:rsidRPr="005C19F0">
        <w:rPr>
          <w:szCs w:val="20"/>
          <w:rtl/>
        </w:rPr>
        <w:t>300</w:t>
      </w:r>
      <w:r>
        <w:rPr>
          <w:rtl/>
        </w:rPr>
        <w:t xml:space="preserve"> شخص، نصفهم من الصم. ومع ذلك، كشفت دراسة أجريت في</w:t>
      </w:r>
      <w:r>
        <w:rPr>
          <w:rtl/>
          <w:lang w:val="fr-CH"/>
        </w:rPr>
        <w:t xml:space="preserve"> الفترة</w:t>
      </w:r>
      <w:r>
        <w:rPr>
          <w:rtl/>
        </w:rPr>
        <w:t xml:space="preserve"> </w:t>
      </w:r>
      <w:r w:rsidRPr="005C19F0">
        <w:rPr>
          <w:szCs w:val="20"/>
          <w:rtl/>
        </w:rPr>
        <w:t>2014</w:t>
      </w:r>
      <w:r w:rsidRPr="00EF3655">
        <w:rPr>
          <w:rtl/>
        </w:rPr>
        <w:t>-</w:t>
      </w:r>
      <w:r w:rsidRPr="005C19F0">
        <w:rPr>
          <w:szCs w:val="20"/>
          <w:rtl/>
        </w:rPr>
        <w:t>2015</w:t>
      </w:r>
      <w:r>
        <w:rPr>
          <w:rtl/>
        </w:rPr>
        <w:t xml:space="preserve"> أن عدد الصم الذين يستخدمون لغة الإشارة الفنلندية السويدية يبلغ نحو </w:t>
      </w:r>
      <w:r w:rsidRPr="005C19F0">
        <w:rPr>
          <w:szCs w:val="20"/>
          <w:rtl/>
        </w:rPr>
        <w:t>90</w:t>
      </w:r>
      <w:r>
        <w:rPr>
          <w:rtl/>
        </w:rPr>
        <w:t xml:space="preserve"> شخصاً، معظمهم من المتقدمين جدا في العمر. والواقع أن لغة الإشارة الفنلندية السويدية معرضة بشدة للاندثار. </w:t>
      </w:r>
    </w:p>
    <w:p w14:paraId="6B230E85" w14:textId="77777777" w:rsidR="00A0227D" w:rsidRPr="009B1F51" w:rsidRDefault="00A0227D" w:rsidP="00C50140">
      <w:pPr>
        <w:pStyle w:val="H23GA"/>
        <w:rPr>
          <w:szCs w:val="20"/>
          <w:lang w:val="ar-SA" w:eastAsia="zh-TW" w:bidi="en-GB"/>
        </w:rPr>
      </w:pPr>
      <w:bookmarkStart w:id="6" w:name="_Toc32364272"/>
      <w:r>
        <w:rPr>
          <w:rtl/>
        </w:rPr>
        <w:lastRenderedPageBreak/>
        <w:tab/>
      </w:r>
      <w:r>
        <w:rPr>
          <w:rtl/>
        </w:rPr>
        <w:tab/>
        <w:t>معدل المواليد ومعدل الوفيات</w:t>
      </w:r>
      <w:bookmarkEnd w:id="6"/>
    </w:p>
    <w:p w14:paraId="3AF0F862" w14:textId="64366C19" w:rsidR="00A0227D" w:rsidRPr="00522F4F" w:rsidRDefault="00A0227D" w:rsidP="00C50140">
      <w:pPr>
        <w:pStyle w:val="SingleTxtGA"/>
        <w:rPr>
          <w:spacing w:val="-6"/>
          <w:szCs w:val="20"/>
          <w:lang w:val="ar-SA" w:eastAsia="zh-TW" w:bidi="en-GB"/>
        </w:rPr>
      </w:pPr>
      <w:r w:rsidRPr="005C19F0">
        <w:rPr>
          <w:szCs w:val="20"/>
          <w:rtl/>
        </w:rPr>
        <w:t>32</w:t>
      </w:r>
      <w:r w:rsidRPr="00EF3655">
        <w:rPr>
          <w:rtl/>
        </w:rPr>
        <w:t>-</w:t>
      </w:r>
      <w:r>
        <w:rPr>
          <w:rtl/>
        </w:rPr>
        <w:tab/>
        <w:t>بلغ عدد الأطفال المولودين</w:t>
      </w:r>
      <w:r w:rsidRPr="008F1BB9">
        <w:rPr>
          <w:rtl/>
        </w:rPr>
        <w:t xml:space="preserve"> في عام </w:t>
      </w:r>
      <w:r w:rsidRPr="005C19F0">
        <w:rPr>
          <w:szCs w:val="20"/>
          <w:rtl/>
        </w:rPr>
        <w:t>2018</w:t>
      </w:r>
      <w:r>
        <w:rPr>
          <w:rtl/>
        </w:rPr>
        <w:t xml:space="preserve"> في فنلندا </w:t>
      </w:r>
      <w:r w:rsidR="006F1A3A">
        <w:rPr>
          <w:rFonts w:hint="cs"/>
          <w:szCs w:val="20"/>
          <w:rtl/>
        </w:rPr>
        <w:t>577 47</w:t>
      </w:r>
      <w:r>
        <w:rPr>
          <w:rtl/>
        </w:rPr>
        <w:t xml:space="preserve"> طفلاً</w:t>
      </w:r>
      <w:r>
        <w:rPr>
          <w:rFonts w:ascii="Traditional Arabic"/>
          <w:szCs w:val="20"/>
          <w:rtl/>
        </w:rPr>
        <w:t>.</w:t>
      </w:r>
      <w:r>
        <w:rPr>
          <w:rtl/>
        </w:rPr>
        <w:t xml:space="preserve"> وقد انخفض معدل المواليد للعام الثامن على التوالي. فنقص بمقدار </w:t>
      </w:r>
      <w:r w:rsidR="00522F4F">
        <w:rPr>
          <w:rFonts w:hint="cs"/>
          <w:szCs w:val="20"/>
          <w:rtl/>
        </w:rPr>
        <w:t>744 2</w:t>
      </w:r>
      <w:r w:rsidRPr="000027AB">
        <w:rPr>
          <w:rtl/>
        </w:rPr>
        <w:t xml:space="preserve"> </w:t>
      </w:r>
      <w:r>
        <w:rPr>
          <w:rtl/>
        </w:rPr>
        <w:t xml:space="preserve">ولادةً عن عام </w:t>
      </w:r>
      <w:r w:rsidRPr="005C19F0">
        <w:rPr>
          <w:szCs w:val="20"/>
          <w:rtl/>
        </w:rPr>
        <w:t>2017</w:t>
      </w:r>
      <w:r>
        <w:rPr>
          <w:rFonts w:ascii="Traditional Arabic"/>
          <w:szCs w:val="20"/>
          <w:rtl/>
        </w:rPr>
        <w:t xml:space="preserve"> </w:t>
      </w:r>
      <w:r>
        <w:rPr>
          <w:rtl/>
        </w:rPr>
        <w:t xml:space="preserve">أو بنسبة </w:t>
      </w:r>
      <w:r w:rsidRPr="005C19F0">
        <w:rPr>
          <w:szCs w:val="20"/>
          <w:rtl/>
        </w:rPr>
        <w:t>5</w:t>
      </w:r>
      <w:r w:rsidR="00522F4F">
        <w:rPr>
          <w:rFonts w:ascii="Traditional Arabic"/>
          <w:szCs w:val="20"/>
          <w:rtl/>
        </w:rPr>
        <w:t>,</w:t>
      </w:r>
      <w:r w:rsidRPr="005C19F0">
        <w:rPr>
          <w:szCs w:val="20"/>
          <w:rtl/>
        </w:rPr>
        <w:t>5</w:t>
      </w:r>
      <w:r w:rsidR="002B5B92">
        <w:rPr>
          <w:rFonts w:ascii="Traditional Arabic"/>
          <w:sz w:val="28"/>
          <w:rtl/>
        </w:rPr>
        <w:t xml:space="preserve"> في المائة</w:t>
      </w:r>
      <w:r>
        <w:rPr>
          <w:rtl/>
        </w:rPr>
        <w:t xml:space="preserve">، وهو أعلى </w:t>
      </w:r>
      <w:r w:rsidRPr="00522F4F">
        <w:rPr>
          <w:spacing w:val="-6"/>
          <w:rtl/>
        </w:rPr>
        <w:t xml:space="preserve">انخفاض سنوي نسبياً منذ أوائل سبعينات القرن العشرين. وإلى جانب انخفاض معدل المواليد، استمر انخفاض معدل الخصوبة في عام </w:t>
      </w:r>
      <w:r w:rsidRPr="00522F4F">
        <w:rPr>
          <w:spacing w:val="-6"/>
          <w:szCs w:val="20"/>
          <w:rtl/>
        </w:rPr>
        <w:t>2018</w:t>
      </w:r>
      <w:r w:rsidRPr="00522F4F">
        <w:rPr>
          <w:rFonts w:ascii="Traditional Arabic"/>
          <w:spacing w:val="-6"/>
          <w:szCs w:val="20"/>
          <w:rtl/>
        </w:rPr>
        <w:t>.</w:t>
      </w:r>
      <w:r w:rsidRPr="00522F4F">
        <w:rPr>
          <w:spacing w:val="-6"/>
          <w:rtl/>
        </w:rPr>
        <w:t xml:space="preserve"> فبمعدل الخصوبة السائد في عام </w:t>
      </w:r>
      <w:r w:rsidRPr="00522F4F">
        <w:rPr>
          <w:spacing w:val="-6"/>
          <w:szCs w:val="20"/>
          <w:rtl/>
        </w:rPr>
        <w:t>2018</w:t>
      </w:r>
      <w:r w:rsidRPr="00522F4F">
        <w:rPr>
          <w:spacing w:val="-6"/>
          <w:rtl/>
        </w:rPr>
        <w:t xml:space="preserve">، تلد المرأة ما متوسطه </w:t>
      </w:r>
      <w:r w:rsidRPr="00522F4F">
        <w:rPr>
          <w:spacing w:val="-6"/>
          <w:szCs w:val="20"/>
          <w:rtl/>
        </w:rPr>
        <w:t>1</w:t>
      </w:r>
      <w:r w:rsidR="00871AEF" w:rsidRPr="00522F4F">
        <w:rPr>
          <w:rFonts w:ascii="Traditional Arabic"/>
          <w:spacing w:val="-6"/>
          <w:szCs w:val="20"/>
          <w:rtl/>
        </w:rPr>
        <w:t>,</w:t>
      </w:r>
      <w:r w:rsidRPr="00522F4F">
        <w:rPr>
          <w:spacing w:val="-6"/>
          <w:szCs w:val="20"/>
          <w:rtl/>
        </w:rPr>
        <w:t>41</w:t>
      </w:r>
      <w:r w:rsidRPr="00522F4F">
        <w:rPr>
          <w:spacing w:val="-6"/>
          <w:rtl/>
        </w:rPr>
        <w:t xml:space="preserve"> طفلاً.</w:t>
      </w:r>
    </w:p>
    <w:p w14:paraId="49758904" w14:textId="7E7EB8EB" w:rsidR="00A0227D" w:rsidRPr="009B1F51" w:rsidRDefault="00A0227D" w:rsidP="00C50140">
      <w:pPr>
        <w:pStyle w:val="SingleTxtGA"/>
        <w:rPr>
          <w:szCs w:val="20"/>
          <w:lang w:val="ar-SA" w:eastAsia="zh-TW" w:bidi="en-GB"/>
        </w:rPr>
      </w:pPr>
      <w:r w:rsidRPr="005C19F0">
        <w:rPr>
          <w:szCs w:val="20"/>
          <w:rtl/>
        </w:rPr>
        <w:t>33</w:t>
      </w:r>
      <w:r w:rsidRPr="00EF3655">
        <w:rPr>
          <w:rtl/>
        </w:rPr>
        <w:t>-</w:t>
      </w:r>
      <w:r>
        <w:rPr>
          <w:rtl/>
        </w:rPr>
        <w:tab/>
        <w:t xml:space="preserve">وتُوفي ما مجموعه </w:t>
      </w:r>
      <w:r w:rsidR="005E1E18">
        <w:rPr>
          <w:rFonts w:hint="cs"/>
          <w:szCs w:val="20"/>
          <w:rtl/>
        </w:rPr>
        <w:t>527 54</w:t>
      </w:r>
      <w:r>
        <w:rPr>
          <w:rtl/>
        </w:rPr>
        <w:t xml:space="preserve"> شخصاً في عام </w:t>
      </w:r>
      <w:r w:rsidRPr="005C19F0">
        <w:rPr>
          <w:szCs w:val="20"/>
          <w:rtl/>
        </w:rPr>
        <w:t>2018</w:t>
      </w:r>
      <w:r>
        <w:rPr>
          <w:rtl/>
        </w:rPr>
        <w:t xml:space="preserve">، وهو أعلى رقم منذ عام </w:t>
      </w:r>
      <w:r w:rsidRPr="005C19F0">
        <w:rPr>
          <w:szCs w:val="20"/>
          <w:rtl/>
        </w:rPr>
        <w:t>1944</w:t>
      </w:r>
      <w:r>
        <w:rPr>
          <w:rFonts w:ascii="Traditional Arabic"/>
          <w:szCs w:val="20"/>
          <w:rtl/>
        </w:rPr>
        <w:t>.</w:t>
      </w:r>
      <w:r>
        <w:rPr>
          <w:rtl/>
        </w:rPr>
        <w:t xml:space="preserve"> وكان العام القياسي السابق من حيث عدد الوفيات، في فترة ما بعد أربعينات القرن العشرين، هو عام </w:t>
      </w:r>
      <w:r w:rsidRPr="005C19F0">
        <w:rPr>
          <w:szCs w:val="20"/>
          <w:rtl/>
        </w:rPr>
        <w:t>2016</w:t>
      </w:r>
      <w:r>
        <w:rPr>
          <w:rtl/>
        </w:rPr>
        <w:t xml:space="preserve">، حيث كان عدد الوفيات أقل بمقدار </w:t>
      </w:r>
      <w:r w:rsidRPr="005C19F0">
        <w:rPr>
          <w:szCs w:val="20"/>
          <w:rtl/>
        </w:rPr>
        <w:t>604</w:t>
      </w:r>
      <w:r>
        <w:rPr>
          <w:rtl/>
        </w:rPr>
        <w:t xml:space="preserve"> وفيات عن عام </w:t>
      </w:r>
      <w:r w:rsidRPr="005C19F0">
        <w:rPr>
          <w:szCs w:val="20"/>
          <w:rtl/>
        </w:rPr>
        <w:t>2018</w:t>
      </w:r>
      <w:r>
        <w:rPr>
          <w:rtl/>
        </w:rPr>
        <w:t>.</w:t>
      </w:r>
    </w:p>
    <w:p w14:paraId="3D1627E2" w14:textId="1E52C828" w:rsidR="00A0227D" w:rsidRPr="009B1F51" w:rsidRDefault="00A0227D" w:rsidP="00C50140">
      <w:pPr>
        <w:pStyle w:val="SingleTxtGA"/>
        <w:rPr>
          <w:szCs w:val="20"/>
          <w:lang w:val="ar-SA" w:eastAsia="zh-TW" w:bidi="en-GB"/>
        </w:rPr>
      </w:pPr>
      <w:r w:rsidRPr="005C19F0">
        <w:rPr>
          <w:szCs w:val="20"/>
          <w:rtl/>
        </w:rPr>
        <w:t>34</w:t>
      </w:r>
      <w:r w:rsidRPr="00EF3655">
        <w:rPr>
          <w:rtl/>
        </w:rPr>
        <w:t>-</w:t>
      </w:r>
      <w:r>
        <w:rPr>
          <w:rtl/>
        </w:rPr>
        <w:tab/>
        <w:t xml:space="preserve">وتبلغ نسبة سكان فنلندا الذين تتجاوز أعمارهم </w:t>
      </w:r>
      <w:r w:rsidRPr="005C19F0">
        <w:rPr>
          <w:szCs w:val="20"/>
          <w:rtl/>
        </w:rPr>
        <w:t>65</w:t>
      </w:r>
      <w:r>
        <w:rPr>
          <w:rtl/>
        </w:rPr>
        <w:t xml:space="preserve"> سنة </w:t>
      </w:r>
      <w:r w:rsidRPr="005C19F0">
        <w:rPr>
          <w:szCs w:val="20"/>
          <w:rtl/>
        </w:rPr>
        <w:t>22</w:t>
      </w:r>
      <w:r>
        <w:rPr>
          <w:rtl/>
        </w:rPr>
        <w:t xml:space="preserve"> في المائة، والذين تقل أعمارهم عن </w:t>
      </w:r>
      <w:r w:rsidRPr="005C19F0">
        <w:rPr>
          <w:szCs w:val="20"/>
          <w:rtl/>
        </w:rPr>
        <w:t>15</w:t>
      </w:r>
      <w:r>
        <w:rPr>
          <w:rtl/>
        </w:rPr>
        <w:t xml:space="preserve"> سنة </w:t>
      </w:r>
      <w:r w:rsidRPr="005C19F0">
        <w:rPr>
          <w:szCs w:val="20"/>
          <w:rtl/>
        </w:rPr>
        <w:t>16</w:t>
      </w:r>
      <w:r>
        <w:rPr>
          <w:rtl/>
        </w:rPr>
        <w:t xml:space="preserve"> في المائة. وكان عدد الأشخاص الذين تقل أعمارهم عن </w:t>
      </w:r>
      <w:r w:rsidRPr="005C19F0">
        <w:rPr>
          <w:szCs w:val="20"/>
          <w:rtl/>
        </w:rPr>
        <w:t>15</w:t>
      </w:r>
      <w:r>
        <w:rPr>
          <w:rtl/>
        </w:rPr>
        <w:t xml:space="preserve"> سنةً وتزيد على </w:t>
      </w:r>
      <w:r w:rsidRPr="005C19F0">
        <w:rPr>
          <w:szCs w:val="20"/>
          <w:rtl/>
        </w:rPr>
        <w:t>65</w:t>
      </w:r>
      <w:r>
        <w:rPr>
          <w:rtl/>
        </w:rPr>
        <w:t xml:space="preserve"> سنةً، من كل </w:t>
      </w:r>
      <w:r w:rsidRPr="005C19F0">
        <w:rPr>
          <w:szCs w:val="20"/>
          <w:rtl/>
        </w:rPr>
        <w:t>100</w:t>
      </w:r>
      <w:r>
        <w:rPr>
          <w:rtl/>
        </w:rPr>
        <w:t xml:space="preserve"> شخص في سن العمل </w:t>
      </w:r>
      <w:r w:rsidRPr="00794E95">
        <w:rPr>
          <w:rtl/>
        </w:rPr>
        <w:t>(</w:t>
      </w:r>
      <w:r w:rsidRPr="005C19F0">
        <w:rPr>
          <w:szCs w:val="20"/>
          <w:rtl/>
        </w:rPr>
        <w:t>15</w:t>
      </w:r>
      <w:r w:rsidRPr="00EF3655">
        <w:rPr>
          <w:rtl/>
        </w:rPr>
        <w:t>-</w:t>
      </w:r>
      <w:r w:rsidRPr="005C19F0">
        <w:rPr>
          <w:szCs w:val="20"/>
          <w:rtl/>
        </w:rPr>
        <w:t>64</w:t>
      </w:r>
      <w:r>
        <w:rPr>
          <w:rtl/>
        </w:rPr>
        <w:t xml:space="preserve"> عاما</w:t>
      </w:r>
      <w:r w:rsidR="00871AEF">
        <w:rPr>
          <w:rFonts w:hint="cs"/>
          <w:rtl/>
        </w:rPr>
        <w:t>ً</w:t>
      </w:r>
      <w:r w:rsidRPr="00794E95">
        <w:rPr>
          <w:rtl/>
        </w:rPr>
        <w:t>)</w:t>
      </w:r>
      <w:r>
        <w:rPr>
          <w:rtl/>
        </w:rPr>
        <w:t xml:space="preserve">، </w:t>
      </w:r>
      <w:r w:rsidRPr="005C19F0">
        <w:rPr>
          <w:szCs w:val="20"/>
          <w:rtl/>
        </w:rPr>
        <w:t>61</w:t>
      </w:r>
      <w:r>
        <w:rPr>
          <w:rtl/>
        </w:rPr>
        <w:t xml:space="preserve"> شخصا</w:t>
      </w:r>
      <w:r w:rsidR="00871AEF">
        <w:rPr>
          <w:rFonts w:hint="cs"/>
          <w:rtl/>
        </w:rPr>
        <w:t>ً</w:t>
      </w:r>
      <w:r>
        <w:rPr>
          <w:rtl/>
        </w:rPr>
        <w:t xml:space="preserve"> في جميع أنحاء البلد في عام </w:t>
      </w:r>
      <w:r w:rsidRPr="005C19F0">
        <w:rPr>
          <w:szCs w:val="20"/>
          <w:rtl/>
        </w:rPr>
        <w:t>2018</w:t>
      </w:r>
      <w:r>
        <w:rPr>
          <w:rtl/>
        </w:rPr>
        <w:t>.</w:t>
      </w:r>
    </w:p>
    <w:p w14:paraId="1604E33E" w14:textId="77777777" w:rsidR="00A0227D" w:rsidRPr="00C50140" w:rsidRDefault="00A0227D" w:rsidP="00C50140">
      <w:pPr>
        <w:pStyle w:val="H23GA"/>
        <w:rPr>
          <w:szCs w:val="20"/>
          <w:lang w:eastAsia="zh-TW" w:bidi="en-GB"/>
        </w:rPr>
      </w:pPr>
      <w:bookmarkStart w:id="7" w:name="_Toc32364273"/>
      <w:r>
        <w:rPr>
          <w:rtl/>
        </w:rPr>
        <w:tab/>
      </w:r>
      <w:r>
        <w:rPr>
          <w:rtl/>
        </w:rPr>
        <w:tab/>
        <w:t>الأُسر</w:t>
      </w:r>
      <w:bookmarkEnd w:id="7"/>
    </w:p>
    <w:p w14:paraId="548E88B4" w14:textId="62F1B7AC" w:rsidR="00A0227D" w:rsidRPr="00522F4F" w:rsidRDefault="00A0227D" w:rsidP="00C50140">
      <w:pPr>
        <w:pStyle w:val="SingleTxtGA"/>
        <w:rPr>
          <w:spacing w:val="-2"/>
          <w:szCs w:val="20"/>
          <w:lang w:val="ar-SA" w:eastAsia="zh-TW" w:bidi="en-GB"/>
        </w:rPr>
      </w:pPr>
      <w:r w:rsidRPr="005C19F0">
        <w:rPr>
          <w:szCs w:val="20"/>
          <w:rtl/>
        </w:rPr>
        <w:t>35</w:t>
      </w:r>
      <w:r w:rsidRPr="00EF3655">
        <w:rPr>
          <w:rtl/>
        </w:rPr>
        <w:t>-</w:t>
      </w:r>
      <w:r>
        <w:rPr>
          <w:rtl/>
        </w:rPr>
        <w:tab/>
        <w:t xml:space="preserve">في نهاية عام </w:t>
      </w:r>
      <w:r w:rsidRPr="005C19F0">
        <w:rPr>
          <w:szCs w:val="20"/>
          <w:rtl/>
        </w:rPr>
        <w:t>2018</w:t>
      </w:r>
      <w:r>
        <w:rPr>
          <w:rtl/>
        </w:rPr>
        <w:t xml:space="preserve">، بلغ عدد الأسر في فنلندا </w:t>
      </w:r>
      <w:r w:rsidRPr="005C19F0">
        <w:rPr>
          <w:szCs w:val="20"/>
        </w:rPr>
        <w:t>1</w:t>
      </w:r>
      <w:r w:rsidR="00871AEF">
        <w:rPr>
          <w:rFonts w:ascii="Traditional Arabic"/>
          <w:szCs w:val="20"/>
        </w:rPr>
        <w:t> </w:t>
      </w:r>
      <w:r w:rsidRPr="005C19F0">
        <w:rPr>
          <w:szCs w:val="20"/>
        </w:rPr>
        <w:t>469</w:t>
      </w:r>
      <w:r w:rsidR="00871AEF">
        <w:rPr>
          <w:rFonts w:ascii="Traditional Arabic"/>
          <w:szCs w:val="20"/>
        </w:rPr>
        <w:t> </w:t>
      </w:r>
      <w:r w:rsidRPr="005C19F0">
        <w:rPr>
          <w:szCs w:val="20"/>
        </w:rPr>
        <w:t>000</w:t>
      </w:r>
      <w:r>
        <w:rPr>
          <w:rtl/>
        </w:rPr>
        <w:t xml:space="preserve"> أسرة. وما انفك عدد الأسر يرتفع بثبات حتى عام </w:t>
      </w:r>
      <w:r w:rsidRPr="005C19F0">
        <w:rPr>
          <w:szCs w:val="20"/>
          <w:rtl/>
        </w:rPr>
        <w:t>2016</w:t>
      </w:r>
      <w:r>
        <w:rPr>
          <w:rtl/>
        </w:rPr>
        <w:t xml:space="preserve"> ثم تراجع في عامي </w:t>
      </w:r>
      <w:r w:rsidRPr="005C19F0">
        <w:rPr>
          <w:szCs w:val="20"/>
          <w:rtl/>
        </w:rPr>
        <w:t>2017</w:t>
      </w:r>
      <w:r>
        <w:rPr>
          <w:rtl/>
        </w:rPr>
        <w:t xml:space="preserve"> و</w:t>
      </w:r>
      <w:r w:rsidRPr="005C19F0">
        <w:rPr>
          <w:szCs w:val="20"/>
          <w:rtl/>
        </w:rPr>
        <w:t>2018</w:t>
      </w:r>
      <w:r>
        <w:rPr>
          <w:rtl/>
        </w:rPr>
        <w:t xml:space="preserve">. وكان متوسط حجم الأسرة </w:t>
      </w:r>
      <w:r w:rsidRPr="005C19F0">
        <w:rPr>
          <w:szCs w:val="20"/>
          <w:rtl/>
        </w:rPr>
        <w:t>2</w:t>
      </w:r>
      <w:r w:rsidR="00372310">
        <w:rPr>
          <w:rFonts w:ascii="Traditional Arabic" w:hAnsi="Traditional Arabic"/>
          <w:szCs w:val="20"/>
          <w:rtl/>
        </w:rPr>
        <w:t>,</w:t>
      </w:r>
      <w:r w:rsidRPr="005C19F0">
        <w:rPr>
          <w:szCs w:val="20"/>
          <w:rtl/>
        </w:rPr>
        <w:t>7</w:t>
      </w:r>
      <w:r>
        <w:rPr>
          <w:rtl/>
        </w:rPr>
        <w:t xml:space="preserve"> فرداً في </w:t>
      </w:r>
      <w:r w:rsidRPr="00372310">
        <w:rPr>
          <w:spacing w:val="-4"/>
          <w:rtl/>
        </w:rPr>
        <w:t>عام</w:t>
      </w:r>
      <w:r w:rsidR="00522F4F" w:rsidRPr="00372310">
        <w:rPr>
          <w:rFonts w:hint="cs"/>
          <w:spacing w:val="-4"/>
          <w:rtl/>
        </w:rPr>
        <w:t> </w:t>
      </w:r>
      <w:r w:rsidRPr="00372310">
        <w:rPr>
          <w:spacing w:val="-4"/>
          <w:szCs w:val="20"/>
          <w:rtl/>
        </w:rPr>
        <w:t>2018</w:t>
      </w:r>
      <w:r w:rsidRPr="00372310">
        <w:rPr>
          <w:spacing w:val="-4"/>
          <w:rtl/>
        </w:rPr>
        <w:t xml:space="preserve"> وكانت نسبة </w:t>
      </w:r>
      <w:r w:rsidRPr="00372310">
        <w:rPr>
          <w:spacing w:val="-4"/>
          <w:szCs w:val="20"/>
          <w:rtl/>
        </w:rPr>
        <w:t>73</w:t>
      </w:r>
      <w:r w:rsidR="002B5B92" w:rsidRPr="00372310">
        <w:rPr>
          <w:spacing w:val="-4"/>
          <w:sz w:val="28"/>
          <w:rtl/>
        </w:rPr>
        <w:t xml:space="preserve"> في المائة</w:t>
      </w:r>
      <w:r w:rsidRPr="00372310">
        <w:rPr>
          <w:spacing w:val="-4"/>
          <w:rtl/>
        </w:rPr>
        <w:t xml:space="preserve"> من السكان أفراداً في أسرة. وبلغ عدد الأسر الوحيدة الوالد </w:t>
      </w:r>
      <w:r w:rsidR="00871AEF" w:rsidRPr="00372310">
        <w:rPr>
          <w:rFonts w:hint="cs"/>
          <w:spacing w:val="-4"/>
          <w:szCs w:val="20"/>
          <w:rtl/>
        </w:rPr>
        <w:t>180 186</w:t>
      </w:r>
      <w:r>
        <w:rPr>
          <w:rtl/>
        </w:rPr>
        <w:t xml:space="preserve"> </w:t>
      </w:r>
      <w:r w:rsidRPr="00522F4F">
        <w:rPr>
          <w:spacing w:val="-2"/>
          <w:rtl/>
        </w:rPr>
        <w:t xml:space="preserve">أسرة في عام </w:t>
      </w:r>
      <w:r w:rsidRPr="00522F4F">
        <w:rPr>
          <w:spacing w:val="-2"/>
          <w:szCs w:val="20"/>
          <w:rtl/>
        </w:rPr>
        <w:t>2018</w:t>
      </w:r>
      <w:r w:rsidRPr="00BB79C1">
        <w:rPr>
          <w:rtl/>
        </w:rPr>
        <w:t>:</w:t>
      </w:r>
      <w:r w:rsidRPr="00522F4F">
        <w:rPr>
          <w:spacing w:val="-2"/>
          <w:rtl/>
        </w:rPr>
        <w:t xml:space="preserve"> منها</w:t>
      </w:r>
      <w:r w:rsidRPr="00522F4F">
        <w:rPr>
          <w:rFonts w:ascii="Traditional Arabic"/>
          <w:spacing w:val="-2"/>
          <w:szCs w:val="20"/>
          <w:rtl/>
        </w:rPr>
        <w:t xml:space="preserve"> </w:t>
      </w:r>
      <w:r w:rsidR="00871AEF" w:rsidRPr="00522F4F">
        <w:rPr>
          <w:rFonts w:hint="cs"/>
          <w:spacing w:val="-2"/>
          <w:szCs w:val="20"/>
          <w:rtl/>
        </w:rPr>
        <w:t>888 152</w:t>
      </w:r>
      <w:r w:rsidRPr="00522F4F">
        <w:rPr>
          <w:spacing w:val="-2"/>
          <w:rtl/>
        </w:rPr>
        <w:t xml:space="preserve"> أسرة تتألف من أم وأطفال، و</w:t>
      </w:r>
      <w:r w:rsidR="00871AEF" w:rsidRPr="00522F4F">
        <w:rPr>
          <w:rFonts w:hint="cs"/>
          <w:spacing w:val="-2"/>
          <w:szCs w:val="20"/>
          <w:rtl/>
        </w:rPr>
        <w:t>292 33</w:t>
      </w:r>
      <w:r w:rsidRPr="00522F4F">
        <w:rPr>
          <w:spacing w:val="-2"/>
          <w:rtl/>
        </w:rPr>
        <w:t xml:space="preserve"> أسرة تتألف من أب وأطفال.</w:t>
      </w:r>
    </w:p>
    <w:p w14:paraId="7B1F50A8" w14:textId="77777777" w:rsidR="00A0227D" w:rsidRPr="00C50140" w:rsidRDefault="00A0227D" w:rsidP="00C50140">
      <w:pPr>
        <w:pStyle w:val="H23GA"/>
        <w:rPr>
          <w:szCs w:val="20"/>
          <w:lang w:eastAsia="zh-TW" w:bidi="en-GB"/>
        </w:rPr>
      </w:pPr>
      <w:bookmarkStart w:id="8" w:name="_Toc32364274"/>
      <w:r>
        <w:rPr>
          <w:rtl/>
        </w:rPr>
        <w:tab/>
      </w:r>
      <w:r>
        <w:rPr>
          <w:rtl/>
        </w:rPr>
        <w:tab/>
        <w:t>الهجرة</w:t>
      </w:r>
      <w:bookmarkEnd w:id="8"/>
    </w:p>
    <w:p w14:paraId="7B66331D" w14:textId="77777777" w:rsidR="00A0227D" w:rsidRPr="00C726A7" w:rsidRDefault="00A0227D" w:rsidP="00C50140">
      <w:pPr>
        <w:pStyle w:val="SingleTxtGA"/>
        <w:rPr>
          <w:szCs w:val="20"/>
          <w:lang w:eastAsia="zh-TW" w:bidi="en-GB"/>
        </w:rPr>
      </w:pPr>
      <w:r w:rsidRPr="005C19F0">
        <w:rPr>
          <w:szCs w:val="20"/>
          <w:rtl/>
        </w:rPr>
        <w:t>36</w:t>
      </w:r>
      <w:r w:rsidRPr="00EF3655">
        <w:rPr>
          <w:rtl/>
        </w:rPr>
        <w:t>-</w:t>
      </w:r>
      <w:r>
        <w:rPr>
          <w:rtl/>
        </w:rPr>
        <w:tab/>
        <w:t>تستند سياسة الهجرة في فنلندا وما يُصاغ من تشريعات ذات صلة بالهجرة إلى السياسة المشتركة للاتحاد الأوروبي التي تنظم الهجرة واللجوء، وإلى الصكوك الدولية، والأهداف التي حددتها الحكومة.</w:t>
      </w:r>
    </w:p>
    <w:p w14:paraId="1AC3E9EE" w14:textId="5B8E7664" w:rsidR="00A0227D" w:rsidRPr="009B1F51" w:rsidRDefault="00A0227D" w:rsidP="00C50140">
      <w:pPr>
        <w:pStyle w:val="SingleTxtGA"/>
        <w:rPr>
          <w:szCs w:val="20"/>
          <w:lang w:val="ar-SA" w:eastAsia="zh-TW" w:bidi="en-GB"/>
        </w:rPr>
      </w:pPr>
      <w:r w:rsidRPr="005C19F0">
        <w:rPr>
          <w:szCs w:val="20"/>
          <w:rtl/>
        </w:rPr>
        <w:t>37</w:t>
      </w:r>
      <w:r w:rsidRPr="00EF3655">
        <w:rPr>
          <w:rtl/>
        </w:rPr>
        <w:t>-</w:t>
      </w:r>
      <w:r>
        <w:rPr>
          <w:rtl/>
        </w:rPr>
        <w:tab/>
        <w:t xml:space="preserve">ومع انخفاض معدل المواليد على مدى عدة سنوات متتالية وارتفاع معدل تقدم السكان في العمر، أدركت فنلندا الحاجة إلى العمالة الأجنبية. والعمالة الأجنبية مطلوبة لتعزيز النمو الاقتصادي والعمالة في البلد. وتهدف حكومة رئيسة الوزراء سانا مارين </w:t>
      </w:r>
      <w:r w:rsidRPr="00794E95">
        <w:rPr>
          <w:rtl/>
        </w:rPr>
        <w:t>(</w:t>
      </w:r>
      <w:r>
        <w:rPr>
          <w:rtl/>
        </w:rPr>
        <w:t xml:space="preserve">التي اضطلعت بمهامها اعتباراً من كانون الأول/ديسمبر </w:t>
      </w:r>
      <w:r w:rsidRPr="005C19F0">
        <w:rPr>
          <w:szCs w:val="20"/>
          <w:rtl/>
        </w:rPr>
        <w:t>2019</w:t>
      </w:r>
      <w:r w:rsidRPr="00794E95">
        <w:rPr>
          <w:rtl/>
        </w:rPr>
        <w:t>)</w:t>
      </w:r>
      <w:r>
        <w:rPr>
          <w:rtl/>
        </w:rPr>
        <w:t xml:space="preserve"> إلى زيادة هجرة العمالة الوافدة وكذلك هجرة العمال الموسميين والطلاب إليها. وسنت حكومة رئيس الوزراء جوها سيبيلا </w:t>
      </w:r>
      <w:r w:rsidRPr="00794E95">
        <w:rPr>
          <w:rtl/>
        </w:rPr>
        <w:t>(</w:t>
      </w:r>
      <w:r w:rsidRPr="005C19F0">
        <w:rPr>
          <w:szCs w:val="20"/>
          <w:rtl/>
        </w:rPr>
        <w:t>2015</w:t>
      </w:r>
      <w:r w:rsidRPr="00EF3655">
        <w:rPr>
          <w:rtl/>
        </w:rPr>
        <w:t>-</w:t>
      </w:r>
      <w:r w:rsidRPr="005C19F0">
        <w:rPr>
          <w:szCs w:val="20"/>
          <w:rtl/>
        </w:rPr>
        <w:t>2019</w:t>
      </w:r>
      <w:r w:rsidRPr="00794E95">
        <w:rPr>
          <w:rtl/>
        </w:rPr>
        <w:t>)</w:t>
      </w:r>
      <w:r>
        <w:rPr>
          <w:rtl/>
        </w:rPr>
        <w:t xml:space="preserve"> عدداً من التعديلات التشريعية بهدف تشجيع هجرة المتخصصين والطلاب بوسائل متنوعة.</w:t>
      </w:r>
    </w:p>
    <w:p w14:paraId="68F215D1" w14:textId="46479790" w:rsidR="00A0227D" w:rsidRPr="00734046" w:rsidRDefault="00A0227D" w:rsidP="00C50140">
      <w:pPr>
        <w:pStyle w:val="SingleTxtGA"/>
      </w:pPr>
      <w:r w:rsidRPr="005C19F0">
        <w:rPr>
          <w:szCs w:val="20"/>
          <w:rtl/>
        </w:rPr>
        <w:t>38</w:t>
      </w:r>
      <w:r w:rsidRPr="00EF3655">
        <w:rPr>
          <w:rtl/>
        </w:rPr>
        <w:t>-</w:t>
      </w:r>
      <w:r>
        <w:rPr>
          <w:rtl/>
        </w:rPr>
        <w:tab/>
        <w:t xml:space="preserve">وتزايدت أعداد العمال والطلاب المهاجرين إلى فنلندا على مدى عدة سنوات متتالية. ففي عام </w:t>
      </w:r>
      <w:r w:rsidRPr="005C19F0">
        <w:rPr>
          <w:szCs w:val="20"/>
          <w:rtl/>
        </w:rPr>
        <w:t>2018</w:t>
      </w:r>
      <w:r>
        <w:rPr>
          <w:rtl/>
        </w:rPr>
        <w:t xml:space="preserve">، طلب ما مجموعه </w:t>
      </w:r>
      <w:r w:rsidR="0044718C">
        <w:rPr>
          <w:rFonts w:hint="cs"/>
          <w:szCs w:val="20"/>
          <w:rtl/>
        </w:rPr>
        <w:t>281 6</w:t>
      </w:r>
      <w:r>
        <w:rPr>
          <w:rtl/>
        </w:rPr>
        <w:t xml:space="preserve"> شخصاً أول تصريح إقامة لهم بغرض الدراسة </w:t>
      </w:r>
      <w:r w:rsidRPr="00794E95">
        <w:rPr>
          <w:rtl/>
        </w:rPr>
        <w:t>(</w:t>
      </w:r>
      <w:r w:rsidR="0044718C">
        <w:rPr>
          <w:rFonts w:hint="cs"/>
          <w:szCs w:val="20"/>
          <w:rtl/>
        </w:rPr>
        <w:t>646 5</w:t>
      </w:r>
      <w:r w:rsidRPr="004534C6">
        <w:rPr>
          <w:rtl/>
        </w:rPr>
        <w:t xml:space="preserve"> </w:t>
      </w:r>
      <w:r>
        <w:rPr>
          <w:rtl/>
        </w:rPr>
        <w:t>متقدم</w:t>
      </w:r>
      <w:r w:rsidRPr="004534C6">
        <w:rPr>
          <w:rtl/>
        </w:rPr>
        <w:t xml:space="preserve">اً في عام </w:t>
      </w:r>
      <w:r w:rsidRPr="005C19F0">
        <w:rPr>
          <w:szCs w:val="20"/>
          <w:rtl/>
        </w:rPr>
        <w:t>2017</w:t>
      </w:r>
      <w:r w:rsidRPr="00794E95">
        <w:rPr>
          <w:rtl/>
        </w:rPr>
        <w:t>)</w:t>
      </w:r>
      <w:r>
        <w:rPr>
          <w:rtl/>
        </w:rPr>
        <w:t xml:space="preserve">. ومُنحت تصاريح إقامة أولى بغرض الدراسة إلى </w:t>
      </w:r>
      <w:r w:rsidR="0044718C">
        <w:rPr>
          <w:rFonts w:hint="cs"/>
          <w:szCs w:val="20"/>
          <w:rtl/>
        </w:rPr>
        <w:t>202 5</w:t>
      </w:r>
      <w:r>
        <w:rPr>
          <w:rtl/>
        </w:rPr>
        <w:t xml:space="preserve"> متقدم في عام </w:t>
      </w:r>
      <w:r w:rsidRPr="005C19F0">
        <w:rPr>
          <w:szCs w:val="20"/>
          <w:rtl/>
        </w:rPr>
        <w:t>2018</w:t>
      </w:r>
      <w:r>
        <w:rPr>
          <w:rtl/>
        </w:rPr>
        <w:t xml:space="preserve"> </w:t>
      </w:r>
      <w:r w:rsidRPr="00794E95">
        <w:rPr>
          <w:rtl/>
        </w:rPr>
        <w:t>(</w:t>
      </w:r>
      <w:r w:rsidR="0044718C">
        <w:rPr>
          <w:rFonts w:hint="cs"/>
          <w:szCs w:val="20"/>
          <w:rtl/>
        </w:rPr>
        <w:t>194 5</w:t>
      </w:r>
      <w:r>
        <w:rPr>
          <w:rtl/>
        </w:rPr>
        <w:t xml:space="preserve"> متقدماً في عام </w:t>
      </w:r>
      <w:r w:rsidRPr="005C19F0">
        <w:rPr>
          <w:szCs w:val="20"/>
          <w:rtl/>
        </w:rPr>
        <w:t>2017</w:t>
      </w:r>
      <w:r w:rsidRPr="00794E95">
        <w:rPr>
          <w:rtl/>
        </w:rPr>
        <w:t>)</w:t>
      </w:r>
      <w:r>
        <w:rPr>
          <w:rtl/>
        </w:rPr>
        <w:t xml:space="preserve">. وبلغ عدد طلبات الحصول على تصريح إقامة أول المقدمة في عام </w:t>
      </w:r>
      <w:r w:rsidRPr="005C19F0">
        <w:rPr>
          <w:szCs w:val="20"/>
          <w:rtl/>
        </w:rPr>
        <w:t>2018</w:t>
      </w:r>
      <w:r>
        <w:rPr>
          <w:rtl/>
        </w:rPr>
        <w:t xml:space="preserve"> </w:t>
      </w:r>
      <w:r w:rsidRPr="0044718C">
        <w:rPr>
          <w:spacing w:val="-2"/>
          <w:rtl/>
        </w:rPr>
        <w:t xml:space="preserve">بغرض العمل </w:t>
      </w:r>
      <w:r w:rsidR="0044718C" w:rsidRPr="0044718C">
        <w:rPr>
          <w:rFonts w:hint="cs"/>
          <w:spacing w:val="-2"/>
          <w:szCs w:val="20"/>
          <w:rtl/>
        </w:rPr>
        <w:t>805 10</w:t>
      </w:r>
      <w:r w:rsidRPr="0044718C">
        <w:rPr>
          <w:spacing w:val="-2"/>
          <w:rtl/>
        </w:rPr>
        <w:t xml:space="preserve"> طلبات (</w:t>
      </w:r>
      <w:r w:rsidR="0044718C" w:rsidRPr="0044718C">
        <w:rPr>
          <w:rFonts w:hint="cs"/>
          <w:spacing w:val="-2"/>
          <w:szCs w:val="20"/>
          <w:rtl/>
        </w:rPr>
        <w:t>650 8</w:t>
      </w:r>
      <w:r w:rsidRPr="0044718C">
        <w:rPr>
          <w:spacing w:val="-2"/>
          <w:rtl/>
        </w:rPr>
        <w:t xml:space="preserve"> طلباً في عام </w:t>
      </w:r>
      <w:r w:rsidRPr="0044718C">
        <w:rPr>
          <w:spacing w:val="-2"/>
          <w:szCs w:val="20"/>
          <w:rtl/>
        </w:rPr>
        <w:t>2017</w:t>
      </w:r>
      <w:r w:rsidRPr="0044718C">
        <w:rPr>
          <w:spacing w:val="-2"/>
          <w:rtl/>
        </w:rPr>
        <w:t xml:space="preserve">). ومُنح تصريح إقامة بغرض العمل إلى </w:t>
      </w:r>
      <w:r w:rsidR="0044718C" w:rsidRPr="0044718C">
        <w:rPr>
          <w:rFonts w:hint="cs"/>
          <w:spacing w:val="-2"/>
          <w:szCs w:val="20"/>
          <w:rtl/>
        </w:rPr>
        <w:t>687 7</w:t>
      </w:r>
      <w:r>
        <w:rPr>
          <w:rtl/>
        </w:rPr>
        <w:t xml:space="preserve"> متقدماً </w:t>
      </w:r>
      <w:r w:rsidRPr="00794E95">
        <w:rPr>
          <w:rtl/>
        </w:rPr>
        <w:t>(</w:t>
      </w:r>
      <w:r w:rsidR="0044718C">
        <w:rPr>
          <w:rFonts w:hint="cs"/>
          <w:szCs w:val="20"/>
          <w:rtl/>
        </w:rPr>
        <w:t>751 6</w:t>
      </w:r>
      <w:r w:rsidRPr="00734046">
        <w:rPr>
          <w:rtl/>
        </w:rPr>
        <w:t xml:space="preserve"> متقدماً في عام </w:t>
      </w:r>
      <w:r w:rsidRPr="005C19F0">
        <w:rPr>
          <w:szCs w:val="20"/>
          <w:rtl/>
        </w:rPr>
        <w:t>2017</w:t>
      </w:r>
      <w:r w:rsidRPr="00794E95">
        <w:rPr>
          <w:rtl/>
        </w:rPr>
        <w:t>)</w:t>
      </w:r>
      <w:r>
        <w:rPr>
          <w:rtl/>
        </w:rPr>
        <w:t xml:space="preserve">. وإضافةً إلى ذلك، مُنحت شهادات العمل الموسمي إلى </w:t>
      </w:r>
      <w:r w:rsidRPr="005C19F0">
        <w:rPr>
          <w:szCs w:val="20"/>
          <w:rtl/>
        </w:rPr>
        <w:t>916</w:t>
      </w:r>
      <w:r w:rsidRPr="00734046">
        <w:rPr>
          <w:rtl/>
        </w:rPr>
        <w:t xml:space="preserve"> </w:t>
      </w:r>
      <w:r w:rsidRPr="005C19F0">
        <w:rPr>
          <w:szCs w:val="20"/>
          <w:rtl/>
        </w:rPr>
        <w:t>6</w:t>
      </w:r>
      <w:r>
        <w:rPr>
          <w:rtl/>
        </w:rPr>
        <w:t xml:space="preserve"> شخصاً. وفي كل عام، تمنح دائرة الهجرة الفنلندية الجنسية الفنلندية لحوالي </w:t>
      </w:r>
      <w:r w:rsidRPr="005C19F0">
        <w:rPr>
          <w:szCs w:val="20"/>
          <w:rtl/>
        </w:rPr>
        <w:t>000</w:t>
      </w:r>
      <w:r w:rsidRPr="00734046">
        <w:rPr>
          <w:rtl/>
        </w:rPr>
        <w:t xml:space="preserve"> </w:t>
      </w:r>
      <w:r w:rsidRPr="005C19F0">
        <w:rPr>
          <w:szCs w:val="20"/>
          <w:rtl/>
        </w:rPr>
        <w:t>10</w:t>
      </w:r>
      <w:r>
        <w:rPr>
          <w:rtl/>
        </w:rPr>
        <w:t xml:space="preserve"> شخص.</w:t>
      </w:r>
    </w:p>
    <w:p w14:paraId="2A3BE245" w14:textId="6B898E3C" w:rsidR="00A0227D" w:rsidRPr="009B1F51" w:rsidRDefault="00A0227D" w:rsidP="00C50140">
      <w:pPr>
        <w:pStyle w:val="SingleTxtGA"/>
        <w:rPr>
          <w:szCs w:val="20"/>
          <w:lang w:val="ar-SA" w:eastAsia="zh-TW" w:bidi="en-GB"/>
        </w:rPr>
      </w:pPr>
      <w:r w:rsidRPr="005C19F0">
        <w:rPr>
          <w:szCs w:val="20"/>
          <w:rtl/>
        </w:rPr>
        <w:t>39</w:t>
      </w:r>
      <w:r w:rsidRPr="00EF3655">
        <w:rPr>
          <w:rtl/>
        </w:rPr>
        <w:t>-</w:t>
      </w:r>
      <w:r>
        <w:rPr>
          <w:rtl/>
        </w:rPr>
        <w:tab/>
        <w:t xml:space="preserve">ويشكل المستفيدون من الحماية الدولية نسبة ضئيلة إلى حد ما من المهاجرين إلى فنلندا. ففي عام </w:t>
      </w:r>
      <w:r w:rsidRPr="005C19F0">
        <w:rPr>
          <w:szCs w:val="20"/>
          <w:rtl/>
        </w:rPr>
        <w:t>2018</w:t>
      </w:r>
      <w:r>
        <w:rPr>
          <w:rtl/>
        </w:rPr>
        <w:t xml:space="preserve">، تلقت دائرة الهجرة الفنلندية </w:t>
      </w:r>
      <w:r w:rsidR="005C0212">
        <w:rPr>
          <w:rFonts w:hint="cs"/>
          <w:szCs w:val="20"/>
          <w:rtl/>
        </w:rPr>
        <w:t>548 4</w:t>
      </w:r>
      <w:r>
        <w:rPr>
          <w:rtl/>
        </w:rPr>
        <w:t xml:space="preserve"> طلب لجوء، كان نصفها تقريباً عبارة عن طلبات </w:t>
      </w:r>
      <w:r>
        <w:rPr>
          <w:rtl/>
        </w:rPr>
        <w:lastRenderedPageBreak/>
        <w:t xml:space="preserve">لاحقة. وعلى الرغم من الانخفاض الملحوظ في أعداد مقدمي الطلبات في السنوات الأخيرة، لا يزال نظام اللجوء الفنلندي يعاني من الإجهاد بسبب عدد مقدمي الطلبات المرتفع جداً في عام </w:t>
      </w:r>
      <w:r w:rsidRPr="005C19F0">
        <w:rPr>
          <w:szCs w:val="20"/>
          <w:rtl/>
        </w:rPr>
        <w:t>2015</w:t>
      </w:r>
      <w:r w:rsidRPr="00D66396">
        <w:rPr>
          <w:rtl/>
        </w:rPr>
        <w:t>.</w:t>
      </w:r>
      <w:r>
        <w:rPr>
          <w:rtl/>
        </w:rPr>
        <w:t xml:space="preserve"> وفي السنوات الأخيرة، سُنّت تعديلات تشريعية للتعجيل بإجراءات اللجوء وقُصّرت مدة معالجة الطلبات.</w:t>
      </w:r>
    </w:p>
    <w:p w14:paraId="566447C2" w14:textId="23AE48B0" w:rsidR="00A0227D" w:rsidRPr="009B1F51" w:rsidRDefault="00A0227D" w:rsidP="00C50140">
      <w:pPr>
        <w:pStyle w:val="SingleTxtGA"/>
        <w:rPr>
          <w:szCs w:val="20"/>
          <w:lang w:val="ar-SA" w:eastAsia="zh-TW" w:bidi="en-GB"/>
        </w:rPr>
      </w:pPr>
      <w:r w:rsidRPr="005C19F0">
        <w:rPr>
          <w:szCs w:val="20"/>
          <w:rtl/>
        </w:rPr>
        <w:t>40</w:t>
      </w:r>
      <w:r w:rsidRPr="00EF3655">
        <w:rPr>
          <w:rtl/>
        </w:rPr>
        <w:t>-</w:t>
      </w:r>
      <w:r>
        <w:rPr>
          <w:rtl/>
        </w:rPr>
        <w:tab/>
        <w:t xml:space="preserve">وفيما يتعلق بطرد الأشخاص الذين صدر قرار برفض دخولهم أو قرار بترحيلهم، واصلت فنلندا إجراء مفاوضات ثنائية مع البلدان الرئيسية من أجل إنشاء نظم لإعادة أشخاص إلى أوطانهم. وبموجب تعديل أُدخل على قانون الأجانب </w:t>
      </w:r>
      <w:r w:rsidRPr="00794E95">
        <w:rPr>
          <w:rtl/>
        </w:rPr>
        <w:t>(</w:t>
      </w:r>
      <w:r w:rsidRPr="005C19F0">
        <w:rPr>
          <w:szCs w:val="20"/>
          <w:rtl/>
        </w:rPr>
        <w:t>301</w:t>
      </w:r>
      <w:r>
        <w:rPr>
          <w:rtl/>
        </w:rPr>
        <w:t>/</w:t>
      </w:r>
      <w:r w:rsidRPr="005C19F0">
        <w:rPr>
          <w:szCs w:val="20"/>
          <w:rtl/>
        </w:rPr>
        <w:t>2004</w:t>
      </w:r>
      <w:r w:rsidRPr="00794E95">
        <w:rPr>
          <w:rtl/>
        </w:rPr>
        <w:t>)</w:t>
      </w:r>
      <w:r>
        <w:rPr>
          <w:rtl/>
        </w:rPr>
        <w:t>، تم تسريع إجراءات طرد الأشخاص الذين ارتكبوا جرائم أو الذين يشكلون تهديدا</w:t>
      </w:r>
      <w:r w:rsidR="009D61F3">
        <w:rPr>
          <w:rFonts w:hint="cs"/>
          <w:rtl/>
        </w:rPr>
        <w:t>ً</w:t>
      </w:r>
      <w:r>
        <w:rPr>
          <w:rtl/>
        </w:rPr>
        <w:t xml:space="preserve"> للنظام العام والسلامة العامة. وعُدِّل أيضاً قانون الجنسية </w:t>
      </w:r>
      <w:r w:rsidRPr="00794E95">
        <w:rPr>
          <w:rtl/>
        </w:rPr>
        <w:t>(</w:t>
      </w:r>
      <w:r w:rsidRPr="005C19F0">
        <w:rPr>
          <w:szCs w:val="20"/>
          <w:rtl/>
        </w:rPr>
        <w:t>359</w:t>
      </w:r>
      <w:r>
        <w:rPr>
          <w:rFonts w:ascii="Traditional Arabic"/>
          <w:szCs w:val="20"/>
          <w:rtl/>
        </w:rPr>
        <w:t>/</w:t>
      </w:r>
      <w:r w:rsidRPr="005C19F0">
        <w:rPr>
          <w:szCs w:val="20"/>
          <w:rtl/>
        </w:rPr>
        <w:t>2003</w:t>
      </w:r>
      <w:r w:rsidRPr="00794E95">
        <w:rPr>
          <w:rtl/>
        </w:rPr>
        <w:t>)</w:t>
      </w:r>
      <w:r>
        <w:rPr>
          <w:rtl/>
        </w:rPr>
        <w:t xml:space="preserve"> لكي يتسنى تجريد الأشخاص الذين ارتكبوا جرائم خطيرة معينة من الجنسية الفنلندية.</w:t>
      </w:r>
    </w:p>
    <w:p w14:paraId="6021BD62" w14:textId="3CC4F953" w:rsidR="00A0227D" w:rsidRPr="009D61F3" w:rsidRDefault="00A0227D" w:rsidP="009D61F3">
      <w:pPr>
        <w:pStyle w:val="SingleTxtGA"/>
        <w:spacing w:after="0"/>
        <w:rPr>
          <w:szCs w:val="20"/>
          <w:lang w:eastAsia="zh-TW" w:bidi="en-GB"/>
        </w:rPr>
      </w:pPr>
      <w:r>
        <w:rPr>
          <w:rtl/>
        </w:rPr>
        <w:t xml:space="preserve">الجدول </w:t>
      </w:r>
      <w:r w:rsidRPr="005C19F0">
        <w:rPr>
          <w:szCs w:val="20"/>
          <w:rtl/>
        </w:rPr>
        <w:t>2</w:t>
      </w:r>
    </w:p>
    <w:p w14:paraId="096B45A0" w14:textId="77777777" w:rsidR="00A0227D" w:rsidRPr="00C50140" w:rsidRDefault="00A0227D" w:rsidP="00C50140">
      <w:pPr>
        <w:pStyle w:val="SingleTxtGA"/>
        <w:rPr>
          <w:b/>
          <w:bCs/>
          <w:szCs w:val="20"/>
          <w:lang w:val="ar-SA" w:eastAsia="zh-TW" w:bidi="en-GB"/>
        </w:rPr>
      </w:pPr>
      <w:r w:rsidRPr="00C50140">
        <w:rPr>
          <w:b/>
          <w:bCs/>
          <w:rtl/>
        </w:rPr>
        <w:t xml:space="preserve">المواطنون الأجانب في الفترة </w:t>
      </w:r>
      <w:r w:rsidRPr="005C19F0">
        <w:rPr>
          <w:b/>
          <w:bCs/>
          <w:szCs w:val="20"/>
          <w:rtl/>
        </w:rPr>
        <w:t>2017</w:t>
      </w:r>
      <w:r w:rsidRPr="00EF3655">
        <w:rPr>
          <w:rtl/>
        </w:rPr>
        <w:t>-</w:t>
      </w:r>
      <w:r w:rsidRPr="005C19F0">
        <w:rPr>
          <w:b/>
          <w:bCs/>
          <w:szCs w:val="20"/>
          <w:rtl/>
        </w:rPr>
        <w:t>2018</w:t>
      </w:r>
    </w:p>
    <w:tbl>
      <w:tblPr>
        <w:bidiVisual/>
        <w:tblW w:w="7209" w:type="dxa"/>
        <w:tblInd w:w="122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8"/>
        <w:gridCol w:w="854"/>
        <w:gridCol w:w="685"/>
        <w:gridCol w:w="1447"/>
        <w:gridCol w:w="807"/>
        <w:gridCol w:w="686"/>
        <w:gridCol w:w="1412"/>
      </w:tblGrid>
      <w:tr w:rsidR="00A0227D" w:rsidRPr="000726CE" w14:paraId="34870C4A" w14:textId="77777777" w:rsidTr="000A1C86">
        <w:trPr>
          <w:tblHeader/>
        </w:trPr>
        <w:tc>
          <w:tcPr>
            <w:tcW w:w="1318" w:type="dxa"/>
            <w:tcBorders>
              <w:top w:val="single" w:sz="4" w:space="0" w:color="auto"/>
              <w:bottom w:val="single" w:sz="12" w:space="0" w:color="auto"/>
            </w:tcBorders>
            <w:shd w:val="clear" w:color="auto" w:fill="auto"/>
            <w:noWrap/>
            <w:vAlign w:val="bottom"/>
            <w:hideMark/>
          </w:tcPr>
          <w:p w14:paraId="735AC99D" w14:textId="77777777" w:rsidR="00A0227D" w:rsidRPr="009D61F3" w:rsidRDefault="00A0227D" w:rsidP="009D61F3">
            <w:pPr>
              <w:spacing w:before="40" w:after="40" w:line="300" w:lineRule="exact"/>
              <w:ind w:left="57" w:right="113"/>
              <w:textDirection w:val="tbRlV"/>
              <w:rPr>
                <w:i/>
                <w:sz w:val="26"/>
                <w:szCs w:val="26"/>
                <w:lang w:val="ar-SA" w:eastAsia="zh-TW" w:bidi="en-GB"/>
              </w:rPr>
            </w:pPr>
            <w:r w:rsidRPr="009D61F3">
              <w:rPr>
                <w:i/>
                <w:iCs/>
                <w:sz w:val="26"/>
                <w:szCs w:val="26"/>
                <w:rtl/>
              </w:rPr>
              <w:t>بلد المواطنة</w:t>
            </w:r>
          </w:p>
        </w:tc>
        <w:tc>
          <w:tcPr>
            <w:tcW w:w="854" w:type="dxa"/>
            <w:tcBorders>
              <w:top w:val="single" w:sz="4" w:space="0" w:color="auto"/>
              <w:bottom w:val="single" w:sz="12" w:space="0" w:color="auto"/>
            </w:tcBorders>
            <w:shd w:val="clear" w:color="auto" w:fill="auto"/>
            <w:noWrap/>
            <w:vAlign w:val="bottom"/>
            <w:hideMark/>
          </w:tcPr>
          <w:p w14:paraId="7CF5789A" w14:textId="77777777" w:rsidR="00A0227D" w:rsidRPr="009D61F3" w:rsidRDefault="00A0227D" w:rsidP="009D61F3">
            <w:pPr>
              <w:spacing w:before="40" w:after="40" w:line="300" w:lineRule="exact"/>
              <w:ind w:left="57" w:right="113"/>
              <w:textDirection w:val="tbRlV"/>
              <w:rPr>
                <w:bCs/>
                <w:i/>
                <w:sz w:val="18"/>
                <w:szCs w:val="18"/>
                <w:lang w:val="ar-SA" w:eastAsia="zh-TW" w:bidi="en-GB"/>
              </w:rPr>
            </w:pPr>
            <w:r w:rsidRPr="009D61F3">
              <w:rPr>
                <w:i/>
                <w:iCs/>
                <w:sz w:val="18"/>
                <w:szCs w:val="18"/>
                <w:rtl/>
              </w:rPr>
              <w:t>2017</w:t>
            </w:r>
          </w:p>
        </w:tc>
        <w:tc>
          <w:tcPr>
            <w:tcW w:w="685" w:type="dxa"/>
            <w:tcBorders>
              <w:top w:val="single" w:sz="4" w:space="0" w:color="auto"/>
              <w:bottom w:val="single" w:sz="12" w:space="0" w:color="auto"/>
            </w:tcBorders>
            <w:shd w:val="clear" w:color="auto" w:fill="auto"/>
            <w:noWrap/>
            <w:vAlign w:val="bottom"/>
            <w:hideMark/>
          </w:tcPr>
          <w:p w14:paraId="7020B3CA" w14:textId="3FAAD25B" w:rsidR="00A0227D" w:rsidRPr="009D61F3" w:rsidRDefault="002B5B92" w:rsidP="009D61F3">
            <w:pPr>
              <w:spacing w:before="40" w:after="40" w:line="300" w:lineRule="exact"/>
              <w:ind w:left="57" w:right="113"/>
              <w:textDirection w:val="tbRlV"/>
              <w:rPr>
                <w:bCs/>
                <w:i/>
                <w:sz w:val="26"/>
                <w:szCs w:val="26"/>
                <w:lang w:val="ar-SA" w:eastAsia="zh-TW" w:bidi="en-GB"/>
              </w:rPr>
            </w:pPr>
            <w:r>
              <w:rPr>
                <w:rFonts w:ascii="Traditional Arabic"/>
                <w:i/>
                <w:iCs/>
                <w:sz w:val="26"/>
                <w:szCs w:val="26"/>
                <w:rtl/>
              </w:rPr>
              <w:t>في المائة</w:t>
            </w:r>
          </w:p>
        </w:tc>
        <w:tc>
          <w:tcPr>
            <w:tcW w:w="1447" w:type="dxa"/>
            <w:tcBorders>
              <w:top w:val="single" w:sz="4" w:space="0" w:color="auto"/>
              <w:bottom w:val="single" w:sz="12" w:space="0" w:color="auto"/>
            </w:tcBorders>
            <w:shd w:val="clear" w:color="auto" w:fill="auto"/>
            <w:noWrap/>
            <w:vAlign w:val="bottom"/>
            <w:hideMark/>
          </w:tcPr>
          <w:p w14:paraId="319E325D" w14:textId="77777777" w:rsidR="00A0227D" w:rsidRPr="000A1C86" w:rsidRDefault="00A0227D" w:rsidP="009D61F3">
            <w:pPr>
              <w:spacing w:before="40" w:after="40" w:line="300" w:lineRule="exact"/>
              <w:ind w:left="57" w:right="113"/>
              <w:textDirection w:val="tbRlV"/>
              <w:rPr>
                <w:rFonts w:ascii="Times New Roman Italic" w:hAnsi="Times New Roman Italic" w:cs="Traditional Arabic Italic"/>
                <w:bCs/>
                <w:i/>
                <w:spacing w:val="-4"/>
                <w:sz w:val="26"/>
                <w:szCs w:val="26"/>
                <w:lang w:eastAsia="zh-TW" w:bidi="en-GB"/>
              </w:rPr>
            </w:pPr>
            <w:r w:rsidRPr="000A1C86">
              <w:rPr>
                <w:rFonts w:ascii="Times New Roman Italic" w:hAnsi="Times New Roman Italic" w:cs="Traditional Arabic Italic"/>
                <w:i/>
                <w:iCs/>
                <w:spacing w:val="-4"/>
                <w:sz w:val="26"/>
                <w:szCs w:val="26"/>
                <w:rtl/>
              </w:rPr>
              <w:t>التغير على أساس سنوي، النسبة المئوية</w:t>
            </w:r>
          </w:p>
        </w:tc>
        <w:tc>
          <w:tcPr>
            <w:tcW w:w="807" w:type="dxa"/>
            <w:tcBorders>
              <w:top w:val="single" w:sz="4" w:space="0" w:color="auto"/>
              <w:bottom w:val="single" w:sz="12" w:space="0" w:color="auto"/>
            </w:tcBorders>
            <w:shd w:val="clear" w:color="auto" w:fill="auto"/>
            <w:noWrap/>
            <w:vAlign w:val="bottom"/>
            <w:hideMark/>
          </w:tcPr>
          <w:p w14:paraId="1CFED581" w14:textId="77777777" w:rsidR="00A0227D" w:rsidRPr="009D61F3" w:rsidRDefault="00A0227D" w:rsidP="009D61F3">
            <w:pPr>
              <w:spacing w:before="40" w:after="40" w:line="300" w:lineRule="exact"/>
              <w:ind w:left="57" w:right="113"/>
              <w:textDirection w:val="tbRlV"/>
              <w:rPr>
                <w:bCs/>
                <w:i/>
                <w:sz w:val="18"/>
                <w:szCs w:val="18"/>
                <w:lang w:val="ar-SA" w:eastAsia="zh-TW" w:bidi="en-GB"/>
              </w:rPr>
            </w:pPr>
            <w:r w:rsidRPr="009D61F3">
              <w:rPr>
                <w:i/>
                <w:iCs/>
                <w:sz w:val="18"/>
                <w:szCs w:val="18"/>
                <w:rtl/>
              </w:rPr>
              <w:t>2018</w:t>
            </w:r>
          </w:p>
        </w:tc>
        <w:tc>
          <w:tcPr>
            <w:tcW w:w="686" w:type="dxa"/>
            <w:tcBorders>
              <w:top w:val="single" w:sz="4" w:space="0" w:color="auto"/>
              <w:bottom w:val="single" w:sz="12" w:space="0" w:color="auto"/>
            </w:tcBorders>
            <w:shd w:val="clear" w:color="auto" w:fill="auto"/>
            <w:noWrap/>
            <w:vAlign w:val="bottom"/>
            <w:hideMark/>
          </w:tcPr>
          <w:p w14:paraId="775186C8" w14:textId="1754BCEF" w:rsidR="00A0227D" w:rsidRPr="009D61F3" w:rsidRDefault="002B5B92" w:rsidP="009D61F3">
            <w:pPr>
              <w:spacing w:before="40" w:after="40" w:line="300" w:lineRule="exact"/>
              <w:ind w:left="57" w:right="113"/>
              <w:textDirection w:val="tbRlV"/>
              <w:rPr>
                <w:bCs/>
                <w:i/>
                <w:sz w:val="26"/>
                <w:szCs w:val="26"/>
                <w:lang w:val="ar-SA" w:eastAsia="zh-TW" w:bidi="en-GB"/>
              </w:rPr>
            </w:pPr>
            <w:r>
              <w:rPr>
                <w:rFonts w:ascii="Traditional Arabic"/>
                <w:i/>
                <w:iCs/>
                <w:sz w:val="26"/>
                <w:szCs w:val="26"/>
                <w:rtl/>
              </w:rPr>
              <w:t>في المائة</w:t>
            </w:r>
          </w:p>
        </w:tc>
        <w:tc>
          <w:tcPr>
            <w:tcW w:w="1412" w:type="dxa"/>
            <w:tcBorders>
              <w:top w:val="single" w:sz="4" w:space="0" w:color="auto"/>
              <w:bottom w:val="single" w:sz="12" w:space="0" w:color="auto"/>
            </w:tcBorders>
            <w:shd w:val="clear" w:color="auto" w:fill="auto"/>
            <w:noWrap/>
            <w:vAlign w:val="bottom"/>
            <w:hideMark/>
          </w:tcPr>
          <w:p w14:paraId="0DACAD75" w14:textId="77777777" w:rsidR="00A0227D" w:rsidRPr="000A1C86" w:rsidRDefault="00A0227D" w:rsidP="009D61F3">
            <w:pPr>
              <w:spacing w:before="40" w:after="40" w:line="300" w:lineRule="exact"/>
              <w:ind w:left="57" w:right="113"/>
              <w:textDirection w:val="tbRlV"/>
              <w:rPr>
                <w:rFonts w:ascii="Times New Roman Italic" w:hAnsi="Times New Roman Italic" w:cs="Traditional Arabic Italic"/>
                <w:bCs/>
                <w:i/>
                <w:spacing w:val="-4"/>
                <w:sz w:val="26"/>
                <w:szCs w:val="26"/>
                <w:lang w:val="ar-SA" w:eastAsia="zh-TW" w:bidi="en-GB"/>
              </w:rPr>
            </w:pPr>
            <w:r w:rsidRPr="000A1C86">
              <w:rPr>
                <w:rFonts w:ascii="Times New Roman Italic" w:hAnsi="Times New Roman Italic" w:cs="Traditional Arabic Italic"/>
                <w:i/>
                <w:iCs/>
                <w:spacing w:val="-4"/>
                <w:sz w:val="26"/>
                <w:szCs w:val="26"/>
                <w:rtl/>
              </w:rPr>
              <w:t>التغير على أساس سنوي، النسبة المئوية</w:t>
            </w:r>
          </w:p>
        </w:tc>
      </w:tr>
      <w:tr w:rsidR="00A0227D" w:rsidRPr="000726CE" w14:paraId="1C351666" w14:textId="77777777" w:rsidTr="000A1C86">
        <w:trPr>
          <w:trHeight w:hRule="exact" w:val="113"/>
          <w:tblHeader/>
        </w:trPr>
        <w:tc>
          <w:tcPr>
            <w:tcW w:w="1318" w:type="dxa"/>
            <w:tcBorders>
              <w:top w:val="single" w:sz="12" w:space="0" w:color="auto"/>
              <w:bottom w:val="nil"/>
            </w:tcBorders>
            <w:shd w:val="clear" w:color="auto" w:fill="auto"/>
            <w:noWrap/>
            <w:vAlign w:val="bottom"/>
          </w:tcPr>
          <w:p w14:paraId="3BEF41DC" w14:textId="77777777" w:rsidR="00A0227D" w:rsidRPr="009D61F3" w:rsidRDefault="00A0227D" w:rsidP="009D61F3">
            <w:pPr>
              <w:spacing w:before="40" w:after="40" w:line="300" w:lineRule="exact"/>
              <w:ind w:left="57" w:right="113"/>
              <w:jc w:val="left"/>
              <w:rPr>
                <w:i/>
                <w:sz w:val="26"/>
                <w:szCs w:val="26"/>
              </w:rPr>
            </w:pPr>
          </w:p>
        </w:tc>
        <w:tc>
          <w:tcPr>
            <w:tcW w:w="854" w:type="dxa"/>
            <w:tcBorders>
              <w:top w:val="single" w:sz="12" w:space="0" w:color="auto"/>
              <w:bottom w:val="nil"/>
            </w:tcBorders>
            <w:shd w:val="clear" w:color="auto" w:fill="auto"/>
            <w:noWrap/>
            <w:vAlign w:val="bottom"/>
          </w:tcPr>
          <w:p w14:paraId="64BE59A1" w14:textId="77777777" w:rsidR="00A0227D" w:rsidRPr="000726CE" w:rsidRDefault="00A0227D" w:rsidP="009D61F3">
            <w:pPr>
              <w:spacing w:before="40" w:after="40" w:line="300" w:lineRule="exact"/>
              <w:ind w:left="57" w:right="113"/>
              <w:jc w:val="left"/>
              <w:rPr>
                <w:bCs/>
                <w:i/>
                <w:sz w:val="16"/>
                <w:szCs w:val="24"/>
              </w:rPr>
            </w:pPr>
          </w:p>
        </w:tc>
        <w:tc>
          <w:tcPr>
            <w:tcW w:w="685" w:type="dxa"/>
            <w:tcBorders>
              <w:top w:val="single" w:sz="12" w:space="0" w:color="auto"/>
              <w:bottom w:val="nil"/>
            </w:tcBorders>
            <w:shd w:val="clear" w:color="auto" w:fill="auto"/>
            <w:noWrap/>
            <w:vAlign w:val="bottom"/>
          </w:tcPr>
          <w:p w14:paraId="758164FB" w14:textId="77777777" w:rsidR="00A0227D" w:rsidRPr="000726CE" w:rsidRDefault="00A0227D" w:rsidP="009D61F3">
            <w:pPr>
              <w:spacing w:before="40" w:after="40" w:line="300" w:lineRule="exact"/>
              <w:ind w:left="57" w:right="113"/>
              <w:jc w:val="left"/>
              <w:rPr>
                <w:bCs/>
                <w:i/>
                <w:sz w:val="16"/>
                <w:szCs w:val="24"/>
              </w:rPr>
            </w:pPr>
          </w:p>
        </w:tc>
        <w:tc>
          <w:tcPr>
            <w:tcW w:w="1447" w:type="dxa"/>
            <w:tcBorders>
              <w:top w:val="single" w:sz="12" w:space="0" w:color="auto"/>
              <w:bottom w:val="nil"/>
            </w:tcBorders>
            <w:shd w:val="clear" w:color="auto" w:fill="auto"/>
            <w:noWrap/>
            <w:vAlign w:val="bottom"/>
          </w:tcPr>
          <w:p w14:paraId="000BD5D1" w14:textId="77777777" w:rsidR="00A0227D" w:rsidRPr="000726CE" w:rsidRDefault="00A0227D" w:rsidP="009D61F3">
            <w:pPr>
              <w:spacing w:before="40" w:after="40" w:line="300" w:lineRule="exact"/>
              <w:ind w:left="57" w:right="113"/>
              <w:jc w:val="left"/>
              <w:rPr>
                <w:bCs/>
                <w:i/>
                <w:sz w:val="16"/>
                <w:szCs w:val="24"/>
              </w:rPr>
            </w:pPr>
          </w:p>
        </w:tc>
        <w:tc>
          <w:tcPr>
            <w:tcW w:w="807" w:type="dxa"/>
            <w:tcBorders>
              <w:top w:val="single" w:sz="12" w:space="0" w:color="auto"/>
              <w:bottom w:val="nil"/>
            </w:tcBorders>
            <w:shd w:val="clear" w:color="auto" w:fill="auto"/>
            <w:noWrap/>
            <w:vAlign w:val="bottom"/>
          </w:tcPr>
          <w:p w14:paraId="6116644D" w14:textId="77777777" w:rsidR="00A0227D" w:rsidRPr="000726CE" w:rsidRDefault="00A0227D" w:rsidP="009D61F3">
            <w:pPr>
              <w:spacing w:before="40" w:after="40" w:line="300" w:lineRule="exact"/>
              <w:ind w:left="57" w:right="113"/>
              <w:jc w:val="left"/>
              <w:rPr>
                <w:bCs/>
                <w:i/>
                <w:sz w:val="16"/>
                <w:szCs w:val="24"/>
              </w:rPr>
            </w:pPr>
          </w:p>
        </w:tc>
        <w:tc>
          <w:tcPr>
            <w:tcW w:w="686" w:type="dxa"/>
            <w:tcBorders>
              <w:top w:val="single" w:sz="12" w:space="0" w:color="auto"/>
              <w:bottom w:val="nil"/>
            </w:tcBorders>
            <w:shd w:val="clear" w:color="auto" w:fill="auto"/>
            <w:noWrap/>
            <w:vAlign w:val="bottom"/>
          </w:tcPr>
          <w:p w14:paraId="3312D2B7" w14:textId="77777777" w:rsidR="00A0227D" w:rsidRPr="000726CE" w:rsidRDefault="00A0227D" w:rsidP="009D61F3">
            <w:pPr>
              <w:spacing w:before="40" w:after="40" w:line="300" w:lineRule="exact"/>
              <w:ind w:left="57" w:right="113"/>
              <w:jc w:val="left"/>
              <w:rPr>
                <w:bCs/>
                <w:i/>
                <w:sz w:val="16"/>
                <w:szCs w:val="24"/>
              </w:rPr>
            </w:pPr>
          </w:p>
        </w:tc>
        <w:tc>
          <w:tcPr>
            <w:tcW w:w="1412" w:type="dxa"/>
            <w:tcBorders>
              <w:top w:val="single" w:sz="12" w:space="0" w:color="auto"/>
              <w:bottom w:val="nil"/>
            </w:tcBorders>
            <w:shd w:val="clear" w:color="auto" w:fill="auto"/>
            <w:noWrap/>
            <w:vAlign w:val="bottom"/>
          </w:tcPr>
          <w:p w14:paraId="742A7771" w14:textId="77777777" w:rsidR="00A0227D" w:rsidRPr="000726CE" w:rsidRDefault="00A0227D" w:rsidP="009D61F3">
            <w:pPr>
              <w:spacing w:before="40" w:after="40" w:line="300" w:lineRule="exact"/>
              <w:ind w:left="57" w:right="113"/>
              <w:jc w:val="left"/>
              <w:rPr>
                <w:bCs/>
                <w:i/>
                <w:sz w:val="16"/>
                <w:szCs w:val="24"/>
              </w:rPr>
            </w:pPr>
          </w:p>
        </w:tc>
      </w:tr>
      <w:tr w:rsidR="00A0227D" w:rsidRPr="000726CE" w14:paraId="74AFA8B9" w14:textId="77777777" w:rsidTr="000A1C86">
        <w:tc>
          <w:tcPr>
            <w:tcW w:w="1318" w:type="dxa"/>
            <w:tcBorders>
              <w:top w:val="nil"/>
            </w:tcBorders>
            <w:shd w:val="clear" w:color="auto" w:fill="auto"/>
            <w:noWrap/>
            <w:hideMark/>
          </w:tcPr>
          <w:p w14:paraId="3BA913B5"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إستونيا</w:t>
            </w:r>
          </w:p>
        </w:tc>
        <w:tc>
          <w:tcPr>
            <w:tcW w:w="854" w:type="dxa"/>
            <w:tcBorders>
              <w:top w:val="nil"/>
            </w:tcBorders>
            <w:shd w:val="clear" w:color="auto" w:fill="auto"/>
            <w:noWrap/>
            <w:vAlign w:val="bottom"/>
            <w:hideMark/>
          </w:tcPr>
          <w:p w14:paraId="6065D99F"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539</w:t>
            </w:r>
            <w:r w:rsidRPr="005C59F8">
              <w:rPr>
                <w:rFonts w:ascii="Traditional Arabic"/>
                <w:sz w:val="18"/>
                <w:szCs w:val="18"/>
                <w:rtl/>
              </w:rPr>
              <w:t xml:space="preserve"> </w:t>
            </w:r>
            <w:r w:rsidRPr="005C59F8">
              <w:rPr>
                <w:sz w:val="18"/>
                <w:szCs w:val="18"/>
                <w:rtl/>
              </w:rPr>
              <w:t>51</w:t>
            </w:r>
          </w:p>
        </w:tc>
        <w:tc>
          <w:tcPr>
            <w:tcW w:w="685" w:type="dxa"/>
            <w:tcBorders>
              <w:top w:val="nil"/>
            </w:tcBorders>
            <w:shd w:val="clear" w:color="auto" w:fill="auto"/>
            <w:noWrap/>
            <w:vAlign w:val="bottom"/>
            <w:hideMark/>
          </w:tcPr>
          <w:p w14:paraId="3E5AA4E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20</w:t>
            </w:r>
            <w:r w:rsidRPr="005C59F8">
              <w:rPr>
                <w:rFonts w:ascii="Traditional Arabic"/>
                <w:sz w:val="18"/>
                <w:szCs w:val="18"/>
                <w:rtl/>
              </w:rPr>
              <w:t>,</w:t>
            </w:r>
            <w:r w:rsidRPr="005C59F8">
              <w:rPr>
                <w:sz w:val="18"/>
                <w:szCs w:val="18"/>
                <w:rtl/>
              </w:rPr>
              <w:t>7</w:t>
            </w:r>
          </w:p>
        </w:tc>
        <w:tc>
          <w:tcPr>
            <w:tcW w:w="1447" w:type="dxa"/>
            <w:tcBorders>
              <w:top w:val="nil"/>
            </w:tcBorders>
            <w:shd w:val="clear" w:color="auto" w:fill="auto"/>
            <w:noWrap/>
            <w:vAlign w:val="bottom"/>
            <w:hideMark/>
          </w:tcPr>
          <w:p w14:paraId="3675A463"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w:t>
            </w:r>
            <w:r w:rsidRPr="005C59F8">
              <w:rPr>
                <w:rFonts w:ascii="Traditional Arabic"/>
                <w:sz w:val="18"/>
                <w:szCs w:val="18"/>
                <w:rtl/>
              </w:rPr>
              <w:t>,</w:t>
            </w:r>
            <w:r w:rsidRPr="005C59F8">
              <w:rPr>
                <w:sz w:val="18"/>
                <w:szCs w:val="18"/>
                <w:rtl/>
              </w:rPr>
              <w:t>1</w:t>
            </w:r>
          </w:p>
        </w:tc>
        <w:tc>
          <w:tcPr>
            <w:tcW w:w="807" w:type="dxa"/>
            <w:tcBorders>
              <w:top w:val="nil"/>
            </w:tcBorders>
            <w:shd w:val="clear" w:color="auto" w:fill="auto"/>
            <w:noWrap/>
            <w:vAlign w:val="bottom"/>
            <w:hideMark/>
          </w:tcPr>
          <w:p w14:paraId="5A303BB6"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456</w:t>
            </w:r>
            <w:r w:rsidRPr="005C59F8">
              <w:rPr>
                <w:rFonts w:ascii="Traditional Arabic"/>
                <w:sz w:val="18"/>
                <w:szCs w:val="18"/>
                <w:rtl/>
              </w:rPr>
              <w:t xml:space="preserve"> </w:t>
            </w:r>
            <w:r w:rsidRPr="005C59F8">
              <w:rPr>
                <w:sz w:val="18"/>
                <w:szCs w:val="18"/>
                <w:rtl/>
              </w:rPr>
              <w:t>51</w:t>
            </w:r>
          </w:p>
        </w:tc>
        <w:tc>
          <w:tcPr>
            <w:tcW w:w="686" w:type="dxa"/>
            <w:tcBorders>
              <w:top w:val="nil"/>
            </w:tcBorders>
            <w:shd w:val="clear" w:color="auto" w:fill="auto"/>
            <w:noWrap/>
            <w:vAlign w:val="bottom"/>
            <w:hideMark/>
          </w:tcPr>
          <w:p w14:paraId="076F957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20</w:t>
            </w:r>
            <w:r w:rsidRPr="005C59F8">
              <w:rPr>
                <w:rFonts w:ascii="Traditional Arabic"/>
                <w:sz w:val="18"/>
                <w:szCs w:val="18"/>
                <w:rtl/>
              </w:rPr>
              <w:t>,</w:t>
            </w:r>
            <w:r w:rsidRPr="005C59F8">
              <w:rPr>
                <w:sz w:val="18"/>
                <w:szCs w:val="18"/>
                <w:rtl/>
              </w:rPr>
              <w:t>0</w:t>
            </w:r>
          </w:p>
        </w:tc>
        <w:tc>
          <w:tcPr>
            <w:tcW w:w="1412" w:type="dxa"/>
            <w:tcBorders>
              <w:top w:val="nil"/>
            </w:tcBorders>
            <w:shd w:val="clear" w:color="auto" w:fill="auto"/>
            <w:noWrap/>
            <w:vAlign w:val="bottom"/>
            <w:hideMark/>
          </w:tcPr>
          <w:p w14:paraId="5EC6336C" w14:textId="3BE26A63" w:rsidR="00A0227D" w:rsidRPr="002923C6" w:rsidRDefault="002923C6" w:rsidP="009D61F3">
            <w:pPr>
              <w:spacing w:before="40" w:after="40" w:line="300" w:lineRule="exact"/>
              <w:ind w:left="57" w:right="113"/>
              <w:jc w:val="left"/>
              <w:textDirection w:val="tbRlV"/>
              <w:rPr>
                <w:sz w:val="18"/>
                <w:szCs w:val="18"/>
                <w:lang w:eastAsia="zh-TW" w:bidi="en-GB"/>
              </w:rPr>
            </w:pPr>
            <w:r w:rsidRPr="005C59F8">
              <w:rPr>
                <w:sz w:val="18"/>
                <w:szCs w:val="18"/>
                <w:rtl/>
              </w:rPr>
              <w:t>-</w:t>
            </w:r>
            <w:r w:rsidR="00A0227D" w:rsidRPr="005C59F8">
              <w:rPr>
                <w:sz w:val="18"/>
                <w:szCs w:val="18"/>
                <w:rtl/>
              </w:rPr>
              <w:t>0</w:t>
            </w:r>
            <w:r w:rsidR="009D61F3" w:rsidRPr="005C59F8">
              <w:rPr>
                <w:rFonts w:ascii="Traditional Arabic"/>
                <w:sz w:val="18"/>
                <w:szCs w:val="18"/>
                <w:rtl/>
              </w:rPr>
              <w:t>,</w:t>
            </w:r>
            <w:r w:rsidR="00A0227D" w:rsidRPr="005C59F8">
              <w:rPr>
                <w:sz w:val="18"/>
                <w:szCs w:val="18"/>
                <w:rtl/>
              </w:rPr>
              <w:t>2</w:t>
            </w:r>
          </w:p>
        </w:tc>
      </w:tr>
      <w:tr w:rsidR="00A0227D" w:rsidRPr="000726CE" w14:paraId="20177C04" w14:textId="77777777" w:rsidTr="000A1C86">
        <w:tc>
          <w:tcPr>
            <w:tcW w:w="1318" w:type="dxa"/>
            <w:tcBorders>
              <w:bottom w:val="nil"/>
            </w:tcBorders>
            <w:shd w:val="clear" w:color="auto" w:fill="auto"/>
            <w:noWrap/>
            <w:hideMark/>
          </w:tcPr>
          <w:p w14:paraId="11E8B007"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rFonts w:ascii="Traditional Arabic"/>
                <w:sz w:val="26"/>
                <w:szCs w:val="26"/>
                <w:rtl/>
              </w:rPr>
              <w:t>روسيا</w:t>
            </w:r>
          </w:p>
        </w:tc>
        <w:tc>
          <w:tcPr>
            <w:tcW w:w="854" w:type="dxa"/>
            <w:tcBorders>
              <w:bottom w:val="nil"/>
            </w:tcBorders>
            <w:shd w:val="clear" w:color="auto" w:fill="auto"/>
            <w:noWrap/>
            <w:vAlign w:val="bottom"/>
            <w:hideMark/>
          </w:tcPr>
          <w:p w14:paraId="26B5C8E6"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183</w:t>
            </w:r>
            <w:r w:rsidRPr="005C59F8">
              <w:rPr>
                <w:rFonts w:ascii="Traditional Arabic"/>
                <w:sz w:val="18"/>
                <w:szCs w:val="18"/>
                <w:rtl/>
              </w:rPr>
              <w:t xml:space="preserve"> </w:t>
            </w:r>
            <w:r w:rsidRPr="005C59F8">
              <w:rPr>
                <w:sz w:val="18"/>
                <w:szCs w:val="18"/>
                <w:rtl/>
              </w:rPr>
              <w:t>29</w:t>
            </w:r>
          </w:p>
        </w:tc>
        <w:tc>
          <w:tcPr>
            <w:tcW w:w="685" w:type="dxa"/>
            <w:tcBorders>
              <w:bottom w:val="nil"/>
            </w:tcBorders>
            <w:shd w:val="clear" w:color="auto" w:fill="auto"/>
            <w:noWrap/>
            <w:vAlign w:val="bottom"/>
            <w:hideMark/>
          </w:tcPr>
          <w:p w14:paraId="26E8D68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11</w:t>
            </w:r>
            <w:r w:rsidRPr="005C59F8">
              <w:rPr>
                <w:rFonts w:ascii="Traditional Arabic"/>
                <w:sz w:val="18"/>
                <w:szCs w:val="18"/>
                <w:rtl/>
              </w:rPr>
              <w:t>,</w:t>
            </w:r>
            <w:r w:rsidRPr="005C59F8">
              <w:rPr>
                <w:sz w:val="18"/>
                <w:szCs w:val="18"/>
                <w:rtl/>
              </w:rPr>
              <w:t>7</w:t>
            </w:r>
          </w:p>
        </w:tc>
        <w:tc>
          <w:tcPr>
            <w:tcW w:w="1447" w:type="dxa"/>
            <w:tcBorders>
              <w:bottom w:val="nil"/>
            </w:tcBorders>
            <w:shd w:val="clear" w:color="auto" w:fill="auto"/>
            <w:noWrap/>
            <w:vAlign w:val="bottom"/>
            <w:hideMark/>
          </w:tcPr>
          <w:p w14:paraId="4D7BC580" w14:textId="36812ED6" w:rsidR="00A0227D" w:rsidRPr="002923C6" w:rsidRDefault="002923C6" w:rsidP="009D61F3">
            <w:pPr>
              <w:spacing w:before="40" w:after="40" w:line="300" w:lineRule="exact"/>
              <w:ind w:left="57" w:right="113"/>
              <w:jc w:val="left"/>
              <w:textDirection w:val="tbRlV"/>
              <w:rPr>
                <w:sz w:val="18"/>
                <w:szCs w:val="18"/>
                <w:lang w:eastAsia="zh-TW" w:bidi="en-GB"/>
              </w:rPr>
            </w:pPr>
            <w:r w:rsidRPr="005C59F8">
              <w:rPr>
                <w:sz w:val="18"/>
                <w:szCs w:val="18"/>
                <w:rtl/>
              </w:rPr>
              <w:t>-</w:t>
            </w:r>
            <w:r w:rsidR="00A0227D" w:rsidRPr="005C59F8">
              <w:rPr>
                <w:sz w:val="18"/>
                <w:szCs w:val="18"/>
                <w:rtl/>
              </w:rPr>
              <w:t>5</w:t>
            </w:r>
            <w:r w:rsidR="00A0227D" w:rsidRPr="005C59F8">
              <w:rPr>
                <w:rFonts w:ascii="Traditional Arabic"/>
                <w:sz w:val="18"/>
                <w:szCs w:val="18"/>
                <w:rtl/>
              </w:rPr>
              <w:t>,</w:t>
            </w:r>
            <w:r w:rsidR="00A0227D" w:rsidRPr="005C59F8">
              <w:rPr>
                <w:sz w:val="18"/>
                <w:szCs w:val="18"/>
                <w:rtl/>
              </w:rPr>
              <w:t>8</w:t>
            </w:r>
          </w:p>
        </w:tc>
        <w:tc>
          <w:tcPr>
            <w:tcW w:w="807" w:type="dxa"/>
            <w:tcBorders>
              <w:bottom w:val="nil"/>
            </w:tcBorders>
            <w:shd w:val="clear" w:color="auto" w:fill="auto"/>
            <w:noWrap/>
            <w:vAlign w:val="bottom"/>
            <w:hideMark/>
          </w:tcPr>
          <w:p w14:paraId="20549705"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747</w:t>
            </w:r>
            <w:r w:rsidRPr="005C59F8">
              <w:rPr>
                <w:rFonts w:ascii="Traditional Arabic"/>
                <w:sz w:val="18"/>
                <w:szCs w:val="18"/>
                <w:rtl/>
              </w:rPr>
              <w:t xml:space="preserve"> </w:t>
            </w:r>
            <w:r w:rsidRPr="005C59F8">
              <w:rPr>
                <w:sz w:val="18"/>
                <w:szCs w:val="18"/>
                <w:rtl/>
              </w:rPr>
              <w:t>28</w:t>
            </w:r>
          </w:p>
        </w:tc>
        <w:tc>
          <w:tcPr>
            <w:tcW w:w="686" w:type="dxa"/>
            <w:tcBorders>
              <w:bottom w:val="nil"/>
            </w:tcBorders>
            <w:shd w:val="clear" w:color="auto" w:fill="auto"/>
            <w:noWrap/>
            <w:vAlign w:val="bottom"/>
            <w:hideMark/>
          </w:tcPr>
          <w:p w14:paraId="6832544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11</w:t>
            </w:r>
            <w:r w:rsidRPr="005C59F8">
              <w:rPr>
                <w:rFonts w:ascii="Traditional Arabic"/>
                <w:sz w:val="18"/>
                <w:szCs w:val="18"/>
                <w:rtl/>
              </w:rPr>
              <w:t>,</w:t>
            </w:r>
            <w:r w:rsidRPr="005C59F8">
              <w:rPr>
                <w:sz w:val="18"/>
                <w:szCs w:val="18"/>
                <w:rtl/>
              </w:rPr>
              <w:t>2</w:t>
            </w:r>
          </w:p>
        </w:tc>
        <w:tc>
          <w:tcPr>
            <w:tcW w:w="1412" w:type="dxa"/>
            <w:tcBorders>
              <w:bottom w:val="nil"/>
            </w:tcBorders>
            <w:shd w:val="clear" w:color="auto" w:fill="auto"/>
            <w:noWrap/>
            <w:vAlign w:val="bottom"/>
            <w:hideMark/>
          </w:tcPr>
          <w:p w14:paraId="6DD85A92" w14:textId="70273E08"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5</w:t>
            </w:r>
          </w:p>
        </w:tc>
      </w:tr>
      <w:tr w:rsidR="00A0227D" w:rsidRPr="000726CE" w14:paraId="04DAED63" w14:textId="77777777" w:rsidTr="000A1C86">
        <w:tc>
          <w:tcPr>
            <w:tcW w:w="1318" w:type="dxa"/>
            <w:tcBorders>
              <w:top w:val="nil"/>
              <w:left w:val="nil"/>
              <w:bottom w:val="nil"/>
              <w:right w:val="nil"/>
            </w:tcBorders>
            <w:shd w:val="clear" w:color="auto" w:fill="auto"/>
            <w:noWrap/>
            <w:hideMark/>
          </w:tcPr>
          <w:p w14:paraId="3FFD6B5D"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العراق</w:t>
            </w:r>
          </w:p>
        </w:tc>
        <w:tc>
          <w:tcPr>
            <w:tcW w:w="854" w:type="dxa"/>
            <w:tcBorders>
              <w:top w:val="nil"/>
              <w:left w:val="nil"/>
              <w:bottom w:val="nil"/>
              <w:right w:val="nil"/>
            </w:tcBorders>
            <w:shd w:val="clear" w:color="auto" w:fill="auto"/>
            <w:noWrap/>
            <w:vAlign w:val="bottom"/>
            <w:hideMark/>
          </w:tcPr>
          <w:p w14:paraId="780C9451"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729</w:t>
            </w:r>
            <w:r w:rsidRPr="005C59F8">
              <w:rPr>
                <w:rFonts w:ascii="Traditional Arabic"/>
                <w:sz w:val="18"/>
                <w:szCs w:val="18"/>
                <w:rtl/>
              </w:rPr>
              <w:t xml:space="preserve"> </w:t>
            </w:r>
            <w:r w:rsidRPr="005C59F8">
              <w:rPr>
                <w:sz w:val="18"/>
                <w:szCs w:val="18"/>
                <w:rtl/>
              </w:rPr>
              <w:t>11</w:t>
            </w:r>
          </w:p>
        </w:tc>
        <w:tc>
          <w:tcPr>
            <w:tcW w:w="685" w:type="dxa"/>
            <w:tcBorders>
              <w:top w:val="nil"/>
              <w:left w:val="nil"/>
              <w:bottom w:val="nil"/>
              <w:right w:val="nil"/>
            </w:tcBorders>
            <w:shd w:val="clear" w:color="auto" w:fill="auto"/>
            <w:noWrap/>
            <w:vAlign w:val="bottom"/>
            <w:hideMark/>
          </w:tcPr>
          <w:p w14:paraId="15A2D6D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4</w:t>
            </w:r>
            <w:r w:rsidRPr="005C59F8">
              <w:rPr>
                <w:rFonts w:ascii="Traditional Arabic"/>
                <w:sz w:val="18"/>
                <w:szCs w:val="18"/>
                <w:rtl/>
              </w:rPr>
              <w:t>,</w:t>
            </w:r>
            <w:r w:rsidRPr="005C59F8">
              <w:rPr>
                <w:sz w:val="18"/>
                <w:szCs w:val="18"/>
                <w:rtl/>
              </w:rPr>
              <w:t>7</w:t>
            </w:r>
          </w:p>
        </w:tc>
        <w:tc>
          <w:tcPr>
            <w:tcW w:w="1447" w:type="dxa"/>
            <w:tcBorders>
              <w:top w:val="nil"/>
              <w:left w:val="nil"/>
              <w:bottom w:val="nil"/>
              <w:right w:val="nil"/>
            </w:tcBorders>
            <w:shd w:val="clear" w:color="auto" w:fill="auto"/>
            <w:noWrap/>
            <w:vAlign w:val="bottom"/>
            <w:hideMark/>
          </w:tcPr>
          <w:p w14:paraId="2318FA35"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19</w:t>
            </w:r>
            <w:r w:rsidRPr="005C59F8">
              <w:rPr>
                <w:rFonts w:ascii="Traditional Arabic"/>
                <w:sz w:val="18"/>
                <w:szCs w:val="18"/>
                <w:rtl/>
              </w:rPr>
              <w:t>,</w:t>
            </w:r>
            <w:r w:rsidRPr="005C59F8">
              <w:rPr>
                <w:sz w:val="18"/>
                <w:szCs w:val="18"/>
                <w:rtl/>
              </w:rPr>
              <w:t>5</w:t>
            </w:r>
          </w:p>
        </w:tc>
        <w:tc>
          <w:tcPr>
            <w:tcW w:w="807" w:type="dxa"/>
            <w:tcBorders>
              <w:top w:val="nil"/>
              <w:left w:val="nil"/>
              <w:bottom w:val="nil"/>
              <w:right w:val="nil"/>
            </w:tcBorders>
            <w:shd w:val="clear" w:color="auto" w:fill="auto"/>
            <w:noWrap/>
            <w:vAlign w:val="bottom"/>
            <w:hideMark/>
          </w:tcPr>
          <w:p w14:paraId="10437FA6"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078</w:t>
            </w:r>
            <w:r w:rsidRPr="005C59F8">
              <w:rPr>
                <w:rFonts w:ascii="Traditional Arabic"/>
                <w:sz w:val="18"/>
                <w:szCs w:val="18"/>
                <w:rtl/>
              </w:rPr>
              <w:t xml:space="preserve"> </w:t>
            </w:r>
            <w:r w:rsidRPr="005C59F8">
              <w:rPr>
                <w:sz w:val="18"/>
                <w:szCs w:val="18"/>
                <w:rtl/>
              </w:rPr>
              <w:t>13</w:t>
            </w:r>
          </w:p>
        </w:tc>
        <w:tc>
          <w:tcPr>
            <w:tcW w:w="686" w:type="dxa"/>
            <w:tcBorders>
              <w:top w:val="nil"/>
              <w:left w:val="nil"/>
              <w:bottom w:val="nil"/>
              <w:right w:val="nil"/>
            </w:tcBorders>
            <w:shd w:val="clear" w:color="auto" w:fill="auto"/>
            <w:noWrap/>
            <w:vAlign w:val="bottom"/>
            <w:hideMark/>
          </w:tcPr>
          <w:p w14:paraId="0884C63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w:t>
            </w:r>
            <w:r w:rsidRPr="005C59F8">
              <w:rPr>
                <w:rFonts w:ascii="Traditional Arabic"/>
                <w:sz w:val="18"/>
                <w:szCs w:val="18"/>
                <w:rtl/>
              </w:rPr>
              <w:t>,</w:t>
            </w:r>
            <w:r w:rsidRPr="005C59F8">
              <w:rPr>
                <w:sz w:val="18"/>
                <w:szCs w:val="18"/>
                <w:rtl/>
              </w:rPr>
              <w:t>1</w:t>
            </w:r>
          </w:p>
        </w:tc>
        <w:tc>
          <w:tcPr>
            <w:tcW w:w="1412" w:type="dxa"/>
            <w:tcBorders>
              <w:top w:val="nil"/>
              <w:left w:val="nil"/>
              <w:bottom w:val="nil"/>
              <w:right w:val="nil"/>
            </w:tcBorders>
            <w:shd w:val="clear" w:color="auto" w:fill="auto"/>
            <w:noWrap/>
            <w:vAlign w:val="bottom"/>
            <w:hideMark/>
          </w:tcPr>
          <w:p w14:paraId="68B50DAF"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11</w:t>
            </w:r>
            <w:r w:rsidRPr="005C59F8">
              <w:rPr>
                <w:rFonts w:ascii="Traditional Arabic"/>
                <w:sz w:val="18"/>
                <w:szCs w:val="18"/>
                <w:rtl/>
              </w:rPr>
              <w:t>,</w:t>
            </w:r>
            <w:r w:rsidRPr="005C59F8">
              <w:rPr>
                <w:sz w:val="18"/>
                <w:szCs w:val="18"/>
                <w:rtl/>
              </w:rPr>
              <w:t>5</w:t>
            </w:r>
          </w:p>
        </w:tc>
      </w:tr>
      <w:tr w:rsidR="00A0227D" w:rsidRPr="000726CE" w14:paraId="61F00A56" w14:textId="77777777" w:rsidTr="000A1C86">
        <w:tc>
          <w:tcPr>
            <w:tcW w:w="1318" w:type="dxa"/>
            <w:tcBorders>
              <w:top w:val="nil"/>
              <w:left w:val="nil"/>
              <w:bottom w:val="nil"/>
              <w:right w:val="nil"/>
            </w:tcBorders>
            <w:shd w:val="clear" w:color="auto" w:fill="auto"/>
            <w:noWrap/>
            <w:hideMark/>
          </w:tcPr>
          <w:p w14:paraId="5DD19746" w14:textId="77777777" w:rsidR="00A0227D" w:rsidRPr="000A1C86" w:rsidRDefault="00A0227D" w:rsidP="009D61F3">
            <w:pPr>
              <w:spacing w:before="40" w:after="40" w:line="300" w:lineRule="exact"/>
              <w:ind w:left="57" w:right="113"/>
              <w:jc w:val="left"/>
              <w:textDirection w:val="tbRlV"/>
              <w:rPr>
                <w:bCs/>
                <w:sz w:val="26"/>
                <w:szCs w:val="26"/>
                <w:lang w:eastAsia="zh-TW" w:bidi="en-GB"/>
              </w:rPr>
            </w:pPr>
            <w:r w:rsidRPr="009D61F3">
              <w:rPr>
                <w:sz w:val="26"/>
                <w:szCs w:val="26"/>
                <w:rtl/>
              </w:rPr>
              <w:t>الصين</w:t>
            </w:r>
          </w:p>
        </w:tc>
        <w:tc>
          <w:tcPr>
            <w:tcW w:w="854" w:type="dxa"/>
            <w:tcBorders>
              <w:top w:val="nil"/>
              <w:left w:val="nil"/>
              <w:bottom w:val="nil"/>
              <w:right w:val="nil"/>
            </w:tcBorders>
            <w:shd w:val="clear" w:color="auto" w:fill="auto"/>
            <w:noWrap/>
            <w:vAlign w:val="bottom"/>
            <w:hideMark/>
          </w:tcPr>
          <w:p w14:paraId="4CA54DF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742</w:t>
            </w:r>
            <w:r w:rsidRPr="005C59F8">
              <w:rPr>
                <w:rFonts w:ascii="Traditional Arabic"/>
                <w:sz w:val="18"/>
                <w:szCs w:val="18"/>
                <w:rtl/>
              </w:rPr>
              <w:t xml:space="preserve"> </w:t>
            </w:r>
            <w:r w:rsidRPr="005C59F8">
              <w:rPr>
                <w:sz w:val="18"/>
                <w:szCs w:val="18"/>
                <w:rtl/>
              </w:rPr>
              <w:t>8</w:t>
            </w:r>
          </w:p>
        </w:tc>
        <w:tc>
          <w:tcPr>
            <w:tcW w:w="685" w:type="dxa"/>
            <w:tcBorders>
              <w:top w:val="nil"/>
              <w:left w:val="nil"/>
              <w:bottom w:val="nil"/>
              <w:right w:val="nil"/>
            </w:tcBorders>
            <w:shd w:val="clear" w:color="auto" w:fill="auto"/>
            <w:noWrap/>
            <w:vAlign w:val="bottom"/>
            <w:hideMark/>
          </w:tcPr>
          <w:p w14:paraId="7CADE2E2" w14:textId="77777777" w:rsidR="00A0227D" w:rsidRPr="009D61F3" w:rsidRDefault="00A0227D" w:rsidP="009D61F3">
            <w:pPr>
              <w:spacing w:before="40" w:after="40" w:line="300" w:lineRule="exact"/>
              <w:ind w:left="57" w:right="113"/>
              <w:jc w:val="left"/>
              <w:textDirection w:val="tbRlV"/>
              <w:rPr>
                <w:sz w:val="18"/>
                <w:szCs w:val="18"/>
                <w:lang w:eastAsia="zh-TW" w:bidi="en-GB"/>
              </w:rPr>
            </w:pPr>
            <w:r w:rsidRPr="005C59F8">
              <w:rPr>
                <w:sz w:val="18"/>
                <w:szCs w:val="18"/>
                <w:rtl/>
              </w:rPr>
              <w:t>3</w:t>
            </w:r>
            <w:r w:rsidRPr="005C59F8">
              <w:rPr>
                <w:rFonts w:ascii="Traditional Arabic"/>
                <w:sz w:val="18"/>
                <w:szCs w:val="18"/>
                <w:rtl/>
              </w:rPr>
              <w:t>,</w:t>
            </w:r>
            <w:r w:rsidRPr="005C59F8">
              <w:rPr>
                <w:sz w:val="18"/>
                <w:szCs w:val="18"/>
                <w:rtl/>
              </w:rPr>
              <w:t>5</w:t>
            </w:r>
          </w:p>
        </w:tc>
        <w:tc>
          <w:tcPr>
            <w:tcW w:w="1447" w:type="dxa"/>
            <w:tcBorders>
              <w:top w:val="nil"/>
              <w:left w:val="nil"/>
              <w:bottom w:val="nil"/>
              <w:right w:val="nil"/>
            </w:tcBorders>
            <w:shd w:val="clear" w:color="auto" w:fill="auto"/>
            <w:noWrap/>
            <w:vAlign w:val="bottom"/>
            <w:hideMark/>
          </w:tcPr>
          <w:p w14:paraId="35E6019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1</w:t>
            </w:r>
          </w:p>
        </w:tc>
        <w:tc>
          <w:tcPr>
            <w:tcW w:w="807" w:type="dxa"/>
            <w:tcBorders>
              <w:top w:val="nil"/>
              <w:left w:val="nil"/>
              <w:bottom w:val="nil"/>
              <w:right w:val="nil"/>
            </w:tcBorders>
            <w:shd w:val="clear" w:color="auto" w:fill="auto"/>
            <w:noWrap/>
            <w:vAlign w:val="bottom"/>
            <w:hideMark/>
          </w:tcPr>
          <w:p w14:paraId="53D80A0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230</w:t>
            </w:r>
            <w:r w:rsidRPr="005C59F8">
              <w:rPr>
                <w:rFonts w:ascii="Traditional Arabic"/>
                <w:sz w:val="18"/>
                <w:szCs w:val="18"/>
                <w:rtl/>
              </w:rPr>
              <w:t xml:space="preserve"> </w:t>
            </w:r>
            <w:r w:rsidRPr="005C59F8">
              <w:rPr>
                <w:sz w:val="18"/>
                <w:szCs w:val="18"/>
                <w:rtl/>
              </w:rPr>
              <w:t>9</w:t>
            </w:r>
          </w:p>
        </w:tc>
        <w:tc>
          <w:tcPr>
            <w:tcW w:w="686" w:type="dxa"/>
            <w:tcBorders>
              <w:top w:val="nil"/>
              <w:left w:val="nil"/>
              <w:bottom w:val="nil"/>
              <w:right w:val="nil"/>
            </w:tcBorders>
            <w:shd w:val="clear" w:color="auto" w:fill="auto"/>
            <w:noWrap/>
            <w:vAlign w:val="bottom"/>
            <w:hideMark/>
          </w:tcPr>
          <w:p w14:paraId="2206426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6</w:t>
            </w:r>
          </w:p>
        </w:tc>
        <w:tc>
          <w:tcPr>
            <w:tcW w:w="1412" w:type="dxa"/>
            <w:tcBorders>
              <w:top w:val="nil"/>
              <w:left w:val="nil"/>
              <w:bottom w:val="nil"/>
              <w:right w:val="nil"/>
            </w:tcBorders>
            <w:shd w:val="clear" w:color="auto" w:fill="auto"/>
            <w:noWrap/>
            <w:vAlign w:val="bottom"/>
            <w:hideMark/>
          </w:tcPr>
          <w:p w14:paraId="652F482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w:t>
            </w:r>
            <w:r w:rsidRPr="005C59F8">
              <w:rPr>
                <w:rFonts w:ascii="Traditional Arabic"/>
                <w:sz w:val="18"/>
                <w:szCs w:val="18"/>
                <w:rtl/>
              </w:rPr>
              <w:t>,</w:t>
            </w:r>
            <w:r w:rsidRPr="005C59F8">
              <w:rPr>
                <w:sz w:val="18"/>
                <w:szCs w:val="18"/>
                <w:rtl/>
              </w:rPr>
              <w:t>6</w:t>
            </w:r>
          </w:p>
        </w:tc>
      </w:tr>
      <w:tr w:rsidR="00A0227D" w:rsidRPr="000726CE" w14:paraId="50958B48" w14:textId="77777777" w:rsidTr="000A1C86">
        <w:tc>
          <w:tcPr>
            <w:tcW w:w="1318" w:type="dxa"/>
            <w:tcBorders>
              <w:top w:val="nil"/>
              <w:left w:val="nil"/>
              <w:bottom w:val="nil"/>
              <w:right w:val="nil"/>
            </w:tcBorders>
            <w:shd w:val="clear" w:color="auto" w:fill="auto"/>
            <w:noWrap/>
            <w:hideMark/>
          </w:tcPr>
          <w:p w14:paraId="50C95CFC"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السويد</w:t>
            </w:r>
          </w:p>
        </w:tc>
        <w:tc>
          <w:tcPr>
            <w:tcW w:w="854" w:type="dxa"/>
            <w:tcBorders>
              <w:top w:val="nil"/>
              <w:left w:val="nil"/>
              <w:bottom w:val="nil"/>
              <w:right w:val="nil"/>
            </w:tcBorders>
            <w:shd w:val="clear" w:color="auto" w:fill="auto"/>
            <w:noWrap/>
            <w:vAlign w:val="bottom"/>
            <w:hideMark/>
          </w:tcPr>
          <w:p w14:paraId="5800FDE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018</w:t>
            </w:r>
            <w:r w:rsidRPr="005C59F8">
              <w:rPr>
                <w:rFonts w:ascii="Traditional Arabic"/>
                <w:sz w:val="18"/>
                <w:szCs w:val="18"/>
                <w:rtl/>
              </w:rPr>
              <w:t xml:space="preserve"> </w:t>
            </w:r>
            <w:r w:rsidRPr="005C59F8">
              <w:rPr>
                <w:sz w:val="18"/>
                <w:szCs w:val="18"/>
                <w:rtl/>
              </w:rPr>
              <w:t>8</w:t>
            </w:r>
          </w:p>
        </w:tc>
        <w:tc>
          <w:tcPr>
            <w:tcW w:w="685" w:type="dxa"/>
            <w:tcBorders>
              <w:top w:val="nil"/>
              <w:left w:val="nil"/>
              <w:bottom w:val="nil"/>
              <w:right w:val="nil"/>
            </w:tcBorders>
            <w:shd w:val="clear" w:color="auto" w:fill="auto"/>
            <w:noWrap/>
            <w:vAlign w:val="bottom"/>
            <w:hideMark/>
          </w:tcPr>
          <w:p w14:paraId="391A206D"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2</w:t>
            </w:r>
          </w:p>
        </w:tc>
        <w:tc>
          <w:tcPr>
            <w:tcW w:w="1447" w:type="dxa"/>
            <w:tcBorders>
              <w:top w:val="nil"/>
              <w:left w:val="nil"/>
              <w:bottom w:val="nil"/>
              <w:right w:val="nil"/>
            </w:tcBorders>
            <w:shd w:val="clear" w:color="auto" w:fill="auto"/>
            <w:noWrap/>
            <w:vAlign w:val="bottom"/>
            <w:hideMark/>
          </w:tcPr>
          <w:p w14:paraId="3A5AB955" w14:textId="2194447C" w:rsidR="00A0227D" w:rsidRPr="005C59F8" w:rsidRDefault="002923C6" w:rsidP="009D61F3">
            <w:pPr>
              <w:spacing w:before="40" w:after="40" w:line="300" w:lineRule="exact"/>
              <w:ind w:left="57" w:right="113"/>
              <w:jc w:val="left"/>
              <w:textDirection w:val="tbRlV"/>
              <w:rPr>
                <w:sz w:val="18"/>
                <w:szCs w:val="18"/>
                <w:lang w:val="ar-SA" w:eastAsia="zh-TW" w:bidi="en-GB"/>
              </w:rPr>
            </w:pPr>
            <w:r w:rsidRPr="005C59F8">
              <w:rPr>
                <w:sz w:val="18"/>
                <w:szCs w:val="18"/>
                <w:rtl/>
              </w:rPr>
              <w:t>-</w:t>
            </w:r>
            <w:r w:rsidR="00A0227D" w:rsidRPr="005C59F8">
              <w:rPr>
                <w:sz w:val="18"/>
                <w:szCs w:val="18"/>
                <w:rtl/>
              </w:rPr>
              <w:t>0٫3</w:t>
            </w:r>
          </w:p>
        </w:tc>
        <w:tc>
          <w:tcPr>
            <w:tcW w:w="807" w:type="dxa"/>
            <w:tcBorders>
              <w:top w:val="nil"/>
              <w:left w:val="nil"/>
              <w:bottom w:val="nil"/>
              <w:right w:val="nil"/>
            </w:tcBorders>
            <w:shd w:val="clear" w:color="auto" w:fill="auto"/>
            <w:noWrap/>
            <w:vAlign w:val="bottom"/>
            <w:hideMark/>
          </w:tcPr>
          <w:p w14:paraId="4584D383"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996</w:t>
            </w:r>
            <w:r w:rsidRPr="005C59F8">
              <w:rPr>
                <w:rFonts w:ascii="Traditional Arabic"/>
                <w:sz w:val="18"/>
                <w:szCs w:val="18"/>
                <w:rtl/>
              </w:rPr>
              <w:t xml:space="preserve"> </w:t>
            </w:r>
            <w:r w:rsidRPr="005C59F8">
              <w:rPr>
                <w:sz w:val="18"/>
                <w:szCs w:val="18"/>
                <w:rtl/>
              </w:rPr>
              <w:t>7</w:t>
            </w:r>
          </w:p>
        </w:tc>
        <w:tc>
          <w:tcPr>
            <w:tcW w:w="686" w:type="dxa"/>
            <w:tcBorders>
              <w:top w:val="nil"/>
              <w:left w:val="nil"/>
              <w:bottom w:val="nil"/>
              <w:right w:val="nil"/>
            </w:tcBorders>
            <w:shd w:val="clear" w:color="auto" w:fill="auto"/>
            <w:noWrap/>
            <w:vAlign w:val="bottom"/>
            <w:hideMark/>
          </w:tcPr>
          <w:p w14:paraId="13B3161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1</w:t>
            </w:r>
          </w:p>
        </w:tc>
        <w:tc>
          <w:tcPr>
            <w:tcW w:w="1412" w:type="dxa"/>
            <w:tcBorders>
              <w:top w:val="nil"/>
              <w:left w:val="nil"/>
              <w:bottom w:val="nil"/>
              <w:right w:val="nil"/>
            </w:tcBorders>
            <w:shd w:val="clear" w:color="auto" w:fill="auto"/>
            <w:noWrap/>
            <w:vAlign w:val="bottom"/>
            <w:hideMark/>
          </w:tcPr>
          <w:p w14:paraId="58625CF8" w14:textId="517831D0" w:rsidR="00A0227D" w:rsidRPr="002923C6" w:rsidRDefault="002923C6" w:rsidP="009D61F3">
            <w:pPr>
              <w:spacing w:before="40" w:after="40" w:line="300" w:lineRule="exact"/>
              <w:ind w:left="57" w:right="113"/>
              <w:jc w:val="left"/>
              <w:textDirection w:val="tbRlV"/>
              <w:rPr>
                <w:sz w:val="18"/>
                <w:szCs w:val="18"/>
                <w:lang w:eastAsia="zh-TW" w:bidi="en-GB"/>
              </w:rPr>
            </w:pPr>
            <w:r w:rsidRPr="005C59F8">
              <w:rPr>
                <w:sz w:val="18"/>
                <w:szCs w:val="18"/>
                <w:rtl/>
              </w:rPr>
              <w:t>-</w:t>
            </w:r>
            <w:r w:rsidR="00A0227D" w:rsidRPr="005C59F8">
              <w:rPr>
                <w:sz w:val="18"/>
                <w:szCs w:val="18"/>
                <w:rtl/>
              </w:rPr>
              <w:t>0٫3</w:t>
            </w:r>
          </w:p>
        </w:tc>
      </w:tr>
      <w:tr w:rsidR="00A0227D" w:rsidRPr="000726CE" w14:paraId="4A0275F1" w14:textId="77777777" w:rsidTr="000A1C86">
        <w:tc>
          <w:tcPr>
            <w:tcW w:w="1318" w:type="dxa"/>
            <w:tcBorders>
              <w:top w:val="nil"/>
              <w:left w:val="nil"/>
              <w:bottom w:val="nil"/>
              <w:right w:val="nil"/>
            </w:tcBorders>
            <w:shd w:val="clear" w:color="auto" w:fill="auto"/>
            <w:noWrap/>
            <w:hideMark/>
          </w:tcPr>
          <w:p w14:paraId="140D264C"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تايلند</w:t>
            </w:r>
          </w:p>
        </w:tc>
        <w:tc>
          <w:tcPr>
            <w:tcW w:w="854" w:type="dxa"/>
            <w:tcBorders>
              <w:top w:val="nil"/>
              <w:left w:val="nil"/>
              <w:bottom w:val="nil"/>
              <w:right w:val="nil"/>
            </w:tcBorders>
            <w:shd w:val="clear" w:color="auto" w:fill="auto"/>
            <w:noWrap/>
            <w:vAlign w:val="bottom"/>
            <w:hideMark/>
          </w:tcPr>
          <w:p w14:paraId="5782DC9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533</w:t>
            </w:r>
            <w:r w:rsidRPr="005C59F8">
              <w:rPr>
                <w:rFonts w:ascii="Traditional Arabic"/>
                <w:sz w:val="18"/>
                <w:szCs w:val="18"/>
                <w:rtl/>
              </w:rPr>
              <w:t xml:space="preserve"> </w:t>
            </w:r>
            <w:r w:rsidRPr="005C59F8">
              <w:rPr>
                <w:sz w:val="18"/>
                <w:szCs w:val="18"/>
                <w:rtl/>
              </w:rPr>
              <w:t>7</w:t>
            </w:r>
          </w:p>
        </w:tc>
        <w:tc>
          <w:tcPr>
            <w:tcW w:w="685" w:type="dxa"/>
            <w:tcBorders>
              <w:top w:val="nil"/>
              <w:left w:val="nil"/>
              <w:bottom w:val="nil"/>
              <w:right w:val="nil"/>
            </w:tcBorders>
            <w:shd w:val="clear" w:color="auto" w:fill="auto"/>
            <w:noWrap/>
            <w:vAlign w:val="bottom"/>
            <w:hideMark/>
          </w:tcPr>
          <w:p w14:paraId="52567D47"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0</w:t>
            </w:r>
          </w:p>
        </w:tc>
        <w:tc>
          <w:tcPr>
            <w:tcW w:w="1447" w:type="dxa"/>
            <w:tcBorders>
              <w:top w:val="nil"/>
              <w:left w:val="nil"/>
              <w:bottom w:val="nil"/>
              <w:right w:val="nil"/>
            </w:tcBorders>
            <w:shd w:val="clear" w:color="auto" w:fill="auto"/>
            <w:noWrap/>
            <w:vAlign w:val="bottom"/>
            <w:hideMark/>
          </w:tcPr>
          <w:p w14:paraId="5B10EB8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w:t>
            </w:r>
            <w:r w:rsidRPr="005C59F8">
              <w:rPr>
                <w:rFonts w:ascii="Traditional Arabic"/>
                <w:sz w:val="18"/>
                <w:szCs w:val="18"/>
                <w:rtl/>
              </w:rPr>
              <w:t>,</w:t>
            </w:r>
            <w:r w:rsidRPr="005C59F8">
              <w:rPr>
                <w:sz w:val="18"/>
                <w:szCs w:val="18"/>
                <w:rtl/>
              </w:rPr>
              <w:t>6</w:t>
            </w:r>
          </w:p>
        </w:tc>
        <w:tc>
          <w:tcPr>
            <w:tcW w:w="807" w:type="dxa"/>
            <w:tcBorders>
              <w:top w:val="nil"/>
              <w:left w:val="nil"/>
              <w:bottom w:val="nil"/>
              <w:right w:val="nil"/>
            </w:tcBorders>
            <w:shd w:val="clear" w:color="auto" w:fill="auto"/>
            <w:noWrap/>
            <w:vAlign w:val="bottom"/>
            <w:hideMark/>
          </w:tcPr>
          <w:p w14:paraId="33277E1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632</w:t>
            </w:r>
            <w:r w:rsidRPr="005C59F8">
              <w:rPr>
                <w:rFonts w:ascii="Traditional Arabic"/>
                <w:sz w:val="18"/>
                <w:szCs w:val="18"/>
                <w:rtl/>
              </w:rPr>
              <w:t xml:space="preserve"> </w:t>
            </w:r>
            <w:r w:rsidRPr="005C59F8">
              <w:rPr>
                <w:sz w:val="18"/>
                <w:szCs w:val="18"/>
                <w:rtl/>
              </w:rPr>
              <w:t>7</w:t>
            </w:r>
          </w:p>
        </w:tc>
        <w:tc>
          <w:tcPr>
            <w:tcW w:w="686" w:type="dxa"/>
            <w:tcBorders>
              <w:top w:val="nil"/>
              <w:left w:val="nil"/>
              <w:bottom w:val="nil"/>
              <w:right w:val="nil"/>
            </w:tcBorders>
            <w:shd w:val="clear" w:color="auto" w:fill="auto"/>
            <w:noWrap/>
            <w:vAlign w:val="bottom"/>
            <w:hideMark/>
          </w:tcPr>
          <w:p w14:paraId="0D1E1EF7"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0</w:t>
            </w:r>
          </w:p>
        </w:tc>
        <w:tc>
          <w:tcPr>
            <w:tcW w:w="1412" w:type="dxa"/>
            <w:tcBorders>
              <w:top w:val="nil"/>
              <w:left w:val="nil"/>
              <w:bottom w:val="nil"/>
              <w:right w:val="nil"/>
            </w:tcBorders>
            <w:shd w:val="clear" w:color="auto" w:fill="auto"/>
            <w:noWrap/>
            <w:vAlign w:val="bottom"/>
            <w:hideMark/>
          </w:tcPr>
          <w:p w14:paraId="5796A9F1"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3</w:t>
            </w:r>
          </w:p>
        </w:tc>
      </w:tr>
      <w:tr w:rsidR="00A0227D" w:rsidRPr="000726CE" w14:paraId="2C9E2FBF" w14:textId="77777777" w:rsidTr="000A1C86">
        <w:tc>
          <w:tcPr>
            <w:tcW w:w="1318" w:type="dxa"/>
            <w:tcBorders>
              <w:top w:val="nil"/>
              <w:left w:val="nil"/>
              <w:bottom w:val="nil"/>
              <w:right w:val="nil"/>
            </w:tcBorders>
            <w:shd w:val="clear" w:color="auto" w:fill="auto"/>
            <w:noWrap/>
            <w:hideMark/>
          </w:tcPr>
          <w:p w14:paraId="5B736DE6"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الصومال</w:t>
            </w:r>
          </w:p>
        </w:tc>
        <w:tc>
          <w:tcPr>
            <w:tcW w:w="854" w:type="dxa"/>
            <w:tcBorders>
              <w:top w:val="nil"/>
              <w:left w:val="nil"/>
              <w:bottom w:val="nil"/>
              <w:right w:val="nil"/>
            </w:tcBorders>
            <w:shd w:val="clear" w:color="auto" w:fill="auto"/>
            <w:noWrap/>
            <w:vAlign w:val="bottom"/>
            <w:hideMark/>
          </w:tcPr>
          <w:p w14:paraId="764BF81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677</w:t>
            </w:r>
            <w:r w:rsidRPr="005C59F8">
              <w:rPr>
                <w:rFonts w:ascii="Traditional Arabic"/>
                <w:sz w:val="18"/>
                <w:szCs w:val="18"/>
                <w:rtl/>
              </w:rPr>
              <w:t xml:space="preserve"> </w:t>
            </w:r>
            <w:r w:rsidRPr="005C59F8">
              <w:rPr>
                <w:sz w:val="18"/>
                <w:szCs w:val="18"/>
                <w:rtl/>
              </w:rPr>
              <w:t>6</w:t>
            </w:r>
          </w:p>
        </w:tc>
        <w:tc>
          <w:tcPr>
            <w:tcW w:w="685" w:type="dxa"/>
            <w:tcBorders>
              <w:top w:val="nil"/>
              <w:left w:val="nil"/>
              <w:bottom w:val="nil"/>
              <w:right w:val="nil"/>
            </w:tcBorders>
            <w:shd w:val="clear" w:color="auto" w:fill="auto"/>
            <w:noWrap/>
            <w:vAlign w:val="bottom"/>
            <w:hideMark/>
          </w:tcPr>
          <w:p w14:paraId="5B79FEB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7</w:t>
            </w:r>
          </w:p>
        </w:tc>
        <w:tc>
          <w:tcPr>
            <w:tcW w:w="1447" w:type="dxa"/>
            <w:tcBorders>
              <w:top w:val="nil"/>
              <w:left w:val="nil"/>
              <w:bottom w:val="nil"/>
              <w:right w:val="nil"/>
            </w:tcBorders>
            <w:shd w:val="clear" w:color="auto" w:fill="auto"/>
            <w:noWrap/>
            <w:vAlign w:val="bottom"/>
            <w:hideMark/>
          </w:tcPr>
          <w:p w14:paraId="722CD93D" w14:textId="52396BA2" w:rsidR="00A0227D" w:rsidRPr="005C59F8" w:rsidRDefault="002923C6" w:rsidP="009D61F3">
            <w:pPr>
              <w:spacing w:before="40" w:after="40" w:line="300" w:lineRule="exact"/>
              <w:ind w:left="57" w:right="113"/>
              <w:jc w:val="left"/>
              <w:textDirection w:val="tbRlV"/>
              <w:rPr>
                <w:sz w:val="18"/>
                <w:szCs w:val="18"/>
                <w:lang w:val="ar-SA" w:eastAsia="zh-TW" w:bidi="en-GB"/>
              </w:rPr>
            </w:pPr>
            <w:r w:rsidRPr="005C59F8">
              <w:rPr>
                <w:sz w:val="18"/>
                <w:szCs w:val="18"/>
                <w:rtl/>
              </w:rPr>
              <w:t>-</w:t>
            </w:r>
            <w:r w:rsidR="00A0227D" w:rsidRPr="005C59F8">
              <w:rPr>
                <w:sz w:val="18"/>
                <w:szCs w:val="18"/>
                <w:rtl/>
              </w:rPr>
              <w:t>4</w:t>
            </w:r>
            <w:r w:rsidR="00A0227D" w:rsidRPr="005C59F8">
              <w:rPr>
                <w:rFonts w:ascii="Traditional Arabic"/>
                <w:sz w:val="18"/>
                <w:szCs w:val="18"/>
                <w:rtl/>
              </w:rPr>
              <w:t>,</w:t>
            </w:r>
            <w:r w:rsidR="00A0227D" w:rsidRPr="005C59F8">
              <w:rPr>
                <w:sz w:val="18"/>
                <w:szCs w:val="18"/>
                <w:rtl/>
              </w:rPr>
              <w:t>9</w:t>
            </w:r>
          </w:p>
        </w:tc>
        <w:tc>
          <w:tcPr>
            <w:tcW w:w="807" w:type="dxa"/>
            <w:tcBorders>
              <w:top w:val="nil"/>
              <w:left w:val="nil"/>
              <w:bottom w:val="nil"/>
              <w:right w:val="nil"/>
            </w:tcBorders>
            <w:shd w:val="clear" w:color="auto" w:fill="auto"/>
            <w:noWrap/>
            <w:vAlign w:val="bottom"/>
            <w:hideMark/>
          </w:tcPr>
          <w:p w14:paraId="3D96EC8D"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448</w:t>
            </w:r>
            <w:r w:rsidRPr="005C59F8">
              <w:rPr>
                <w:rFonts w:ascii="Traditional Arabic"/>
                <w:sz w:val="18"/>
                <w:szCs w:val="18"/>
                <w:rtl/>
              </w:rPr>
              <w:t xml:space="preserve"> </w:t>
            </w:r>
            <w:r w:rsidRPr="005C59F8">
              <w:rPr>
                <w:sz w:val="18"/>
                <w:szCs w:val="18"/>
                <w:rtl/>
              </w:rPr>
              <w:t>6</w:t>
            </w:r>
          </w:p>
        </w:tc>
        <w:tc>
          <w:tcPr>
            <w:tcW w:w="686" w:type="dxa"/>
            <w:tcBorders>
              <w:top w:val="nil"/>
              <w:left w:val="nil"/>
              <w:bottom w:val="nil"/>
              <w:right w:val="nil"/>
            </w:tcBorders>
            <w:shd w:val="clear" w:color="auto" w:fill="auto"/>
            <w:noWrap/>
            <w:vAlign w:val="bottom"/>
            <w:hideMark/>
          </w:tcPr>
          <w:p w14:paraId="61FDAC9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5</w:t>
            </w:r>
          </w:p>
        </w:tc>
        <w:tc>
          <w:tcPr>
            <w:tcW w:w="1412" w:type="dxa"/>
            <w:tcBorders>
              <w:top w:val="nil"/>
              <w:left w:val="nil"/>
              <w:bottom w:val="nil"/>
              <w:right w:val="nil"/>
            </w:tcBorders>
            <w:shd w:val="clear" w:color="auto" w:fill="auto"/>
            <w:noWrap/>
            <w:vAlign w:val="bottom"/>
            <w:hideMark/>
          </w:tcPr>
          <w:p w14:paraId="5BD24497" w14:textId="414D086C" w:rsidR="00A0227D" w:rsidRPr="005C59F8" w:rsidRDefault="002923C6" w:rsidP="009D61F3">
            <w:pPr>
              <w:spacing w:before="40" w:after="40" w:line="300" w:lineRule="exact"/>
              <w:ind w:left="57" w:right="113"/>
              <w:jc w:val="left"/>
              <w:textDirection w:val="tbRlV"/>
              <w:rPr>
                <w:sz w:val="18"/>
                <w:szCs w:val="18"/>
                <w:lang w:val="ar-SA" w:eastAsia="zh-TW" w:bidi="en-GB"/>
              </w:rPr>
            </w:pPr>
            <w:r w:rsidRPr="005C59F8">
              <w:rPr>
                <w:sz w:val="18"/>
                <w:szCs w:val="18"/>
                <w:rtl/>
              </w:rPr>
              <w:t>-</w:t>
            </w:r>
            <w:r w:rsidR="00A0227D" w:rsidRPr="005C59F8">
              <w:rPr>
                <w:sz w:val="18"/>
                <w:szCs w:val="18"/>
                <w:rtl/>
              </w:rPr>
              <w:t>3</w:t>
            </w:r>
            <w:r w:rsidR="00A0227D" w:rsidRPr="005C59F8">
              <w:rPr>
                <w:rFonts w:ascii="Traditional Arabic"/>
                <w:sz w:val="18"/>
                <w:szCs w:val="18"/>
                <w:rtl/>
              </w:rPr>
              <w:t>,</w:t>
            </w:r>
            <w:r w:rsidR="00A0227D" w:rsidRPr="005C59F8">
              <w:rPr>
                <w:sz w:val="18"/>
                <w:szCs w:val="18"/>
                <w:rtl/>
              </w:rPr>
              <w:t>4</w:t>
            </w:r>
          </w:p>
        </w:tc>
      </w:tr>
      <w:tr w:rsidR="00A0227D" w:rsidRPr="000726CE" w14:paraId="7DB1660E" w14:textId="77777777" w:rsidTr="000A1C86">
        <w:tc>
          <w:tcPr>
            <w:tcW w:w="1318" w:type="dxa"/>
            <w:tcBorders>
              <w:top w:val="nil"/>
              <w:left w:val="nil"/>
              <w:bottom w:val="nil"/>
              <w:right w:val="nil"/>
            </w:tcBorders>
            <w:shd w:val="clear" w:color="auto" w:fill="auto"/>
            <w:noWrap/>
            <w:hideMark/>
          </w:tcPr>
          <w:p w14:paraId="4B9A7286"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أفغانستان</w:t>
            </w:r>
          </w:p>
        </w:tc>
        <w:tc>
          <w:tcPr>
            <w:tcW w:w="854" w:type="dxa"/>
            <w:tcBorders>
              <w:top w:val="nil"/>
              <w:left w:val="nil"/>
              <w:bottom w:val="nil"/>
              <w:right w:val="nil"/>
            </w:tcBorders>
            <w:shd w:val="clear" w:color="auto" w:fill="auto"/>
            <w:noWrap/>
            <w:vAlign w:val="bottom"/>
            <w:hideMark/>
          </w:tcPr>
          <w:p w14:paraId="7F286B1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792</w:t>
            </w:r>
            <w:r w:rsidRPr="005C59F8">
              <w:rPr>
                <w:rFonts w:ascii="Traditional Arabic"/>
                <w:sz w:val="18"/>
                <w:szCs w:val="18"/>
                <w:rtl/>
              </w:rPr>
              <w:t xml:space="preserve"> </w:t>
            </w:r>
            <w:r w:rsidRPr="005C59F8">
              <w:rPr>
                <w:sz w:val="18"/>
                <w:szCs w:val="18"/>
                <w:rtl/>
              </w:rPr>
              <w:t>5</w:t>
            </w:r>
          </w:p>
        </w:tc>
        <w:tc>
          <w:tcPr>
            <w:tcW w:w="685" w:type="dxa"/>
            <w:tcBorders>
              <w:top w:val="nil"/>
              <w:left w:val="nil"/>
              <w:bottom w:val="nil"/>
              <w:right w:val="nil"/>
            </w:tcBorders>
            <w:shd w:val="clear" w:color="auto" w:fill="auto"/>
            <w:noWrap/>
            <w:vAlign w:val="bottom"/>
            <w:hideMark/>
          </w:tcPr>
          <w:p w14:paraId="4CA197E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3</w:t>
            </w:r>
          </w:p>
        </w:tc>
        <w:tc>
          <w:tcPr>
            <w:tcW w:w="1447" w:type="dxa"/>
            <w:tcBorders>
              <w:top w:val="nil"/>
              <w:left w:val="nil"/>
              <w:bottom w:val="nil"/>
              <w:right w:val="nil"/>
            </w:tcBorders>
            <w:shd w:val="clear" w:color="auto" w:fill="auto"/>
            <w:noWrap/>
            <w:vAlign w:val="bottom"/>
            <w:hideMark/>
          </w:tcPr>
          <w:p w14:paraId="6E4DD355"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9</w:t>
            </w:r>
            <w:r w:rsidRPr="005C59F8">
              <w:rPr>
                <w:rFonts w:ascii="Traditional Arabic"/>
                <w:sz w:val="18"/>
                <w:szCs w:val="18"/>
                <w:rtl/>
              </w:rPr>
              <w:t>,</w:t>
            </w:r>
            <w:r w:rsidRPr="005C59F8">
              <w:rPr>
                <w:sz w:val="18"/>
                <w:szCs w:val="18"/>
                <w:rtl/>
              </w:rPr>
              <w:t>4</w:t>
            </w:r>
          </w:p>
        </w:tc>
        <w:tc>
          <w:tcPr>
            <w:tcW w:w="807" w:type="dxa"/>
            <w:tcBorders>
              <w:top w:val="nil"/>
              <w:left w:val="nil"/>
              <w:bottom w:val="nil"/>
              <w:right w:val="nil"/>
            </w:tcBorders>
            <w:shd w:val="clear" w:color="auto" w:fill="auto"/>
            <w:noWrap/>
            <w:vAlign w:val="bottom"/>
            <w:hideMark/>
          </w:tcPr>
          <w:p w14:paraId="3AB1503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198</w:t>
            </w:r>
            <w:r w:rsidRPr="005C59F8">
              <w:rPr>
                <w:rFonts w:ascii="Traditional Arabic"/>
                <w:sz w:val="18"/>
                <w:szCs w:val="18"/>
                <w:rtl/>
              </w:rPr>
              <w:t xml:space="preserve"> </w:t>
            </w:r>
            <w:r w:rsidRPr="005C59F8">
              <w:rPr>
                <w:sz w:val="18"/>
                <w:szCs w:val="18"/>
                <w:rtl/>
              </w:rPr>
              <w:t>6</w:t>
            </w:r>
          </w:p>
        </w:tc>
        <w:tc>
          <w:tcPr>
            <w:tcW w:w="686" w:type="dxa"/>
            <w:tcBorders>
              <w:top w:val="nil"/>
              <w:left w:val="nil"/>
              <w:bottom w:val="nil"/>
              <w:right w:val="nil"/>
            </w:tcBorders>
            <w:shd w:val="clear" w:color="auto" w:fill="auto"/>
            <w:noWrap/>
            <w:vAlign w:val="bottom"/>
            <w:hideMark/>
          </w:tcPr>
          <w:p w14:paraId="3F5F8DB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4</w:t>
            </w:r>
          </w:p>
        </w:tc>
        <w:tc>
          <w:tcPr>
            <w:tcW w:w="1412" w:type="dxa"/>
            <w:tcBorders>
              <w:top w:val="nil"/>
              <w:left w:val="nil"/>
              <w:bottom w:val="nil"/>
              <w:right w:val="nil"/>
            </w:tcBorders>
            <w:shd w:val="clear" w:color="auto" w:fill="auto"/>
            <w:noWrap/>
            <w:vAlign w:val="bottom"/>
            <w:hideMark/>
          </w:tcPr>
          <w:p w14:paraId="4FCCC514"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w:t>
            </w:r>
            <w:r w:rsidRPr="005C59F8">
              <w:rPr>
                <w:rFonts w:ascii="Traditional Arabic"/>
                <w:sz w:val="18"/>
                <w:szCs w:val="18"/>
                <w:rtl/>
              </w:rPr>
              <w:t>,</w:t>
            </w:r>
            <w:r w:rsidRPr="005C59F8">
              <w:rPr>
                <w:sz w:val="18"/>
                <w:szCs w:val="18"/>
                <w:rtl/>
              </w:rPr>
              <w:t>0</w:t>
            </w:r>
          </w:p>
        </w:tc>
      </w:tr>
      <w:tr w:rsidR="00A0227D" w:rsidRPr="000726CE" w14:paraId="417DCD43" w14:textId="77777777" w:rsidTr="000A1C86">
        <w:tc>
          <w:tcPr>
            <w:tcW w:w="1318" w:type="dxa"/>
            <w:tcBorders>
              <w:top w:val="nil"/>
              <w:left w:val="nil"/>
              <w:bottom w:val="nil"/>
              <w:right w:val="nil"/>
            </w:tcBorders>
            <w:shd w:val="clear" w:color="auto" w:fill="auto"/>
            <w:noWrap/>
            <w:hideMark/>
          </w:tcPr>
          <w:p w14:paraId="19A52677"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سوريا</w:t>
            </w:r>
          </w:p>
        </w:tc>
        <w:tc>
          <w:tcPr>
            <w:tcW w:w="854" w:type="dxa"/>
            <w:tcBorders>
              <w:top w:val="nil"/>
              <w:left w:val="nil"/>
              <w:bottom w:val="nil"/>
              <w:right w:val="nil"/>
            </w:tcBorders>
            <w:shd w:val="clear" w:color="auto" w:fill="auto"/>
            <w:noWrap/>
            <w:vAlign w:val="bottom"/>
            <w:hideMark/>
          </w:tcPr>
          <w:p w14:paraId="6FC174F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290</w:t>
            </w:r>
            <w:r w:rsidRPr="005C59F8">
              <w:rPr>
                <w:rFonts w:ascii="Traditional Arabic"/>
                <w:sz w:val="18"/>
                <w:szCs w:val="18"/>
                <w:rtl/>
              </w:rPr>
              <w:t xml:space="preserve"> </w:t>
            </w:r>
            <w:r w:rsidRPr="005C59F8">
              <w:rPr>
                <w:sz w:val="18"/>
                <w:szCs w:val="18"/>
                <w:rtl/>
              </w:rPr>
              <w:t>5</w:t>
            </w:r>
          </w:p>
        </w:tc>
        <w:tc>
          <w:tcPr>
            <w:tcW w:w="685" w:type="dxa"/>
            <w:tcBorders>
              <w:top w:val="nil"/>
              <w:left w:val="nil"/>
              <w:bottom w:val="nil"/>
              <w:right w:val="nil"/>
            </w:tcBorders>
            <w:shd w:val="clear" w:color="auto" w:fill="auto"/>
            <w:noWrap/>
            <w:vAlign w:val="bottom"/>
            <w:hideMark/>
          </w:tcPr>
          <w:p w14:paraId="6BB17B2D"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1</w:t>
            </w:r>
          </w:p>
        </w:tc>
        <w:tc>
          <w:tcPr>
            <w:tcW w:w="1447" w:type="dxa"/>
            <w:tcBorders>
              <w:top w:val="nil"/>
              <w:left w:val="nil"/>
              <w:bottom w:val="nil"/>
              <w:right w:val="nil"/>
            </w:tcBorders>
            <w:shd w:val="clear" w:color="auto" w:fill="auto"/>
            <w:noWrap/>
            <w:vAlign w:val="bottom"/>
            <w:hideMark/>
          </w:tcPr>
          <w:p w14:paraId="12CF5DF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57</w:t>
            </w:r>
            <w:r w:rsidRPr="005C59F8">
              <w:rPr>
                <w:rFonts w:ascii="Traditional Arabic"/>
                <w:sz w:val="18"/>
                <w:szCs w:val="18"/>
                <w:rtl/>
              </w:rPr>
              <w:t>,</w:t>
            </w:r>
            <w:r w:rsidRPr="005C59F8">
              <w:rPr>
                <w:sz w:val="18"/>
                <w:szCs w:val="18"/>
                <w:rtl/>
              </w:rPr>
              <w:t>7</w:t>
            </w:r>
          </w:p>
        </w:tc>
        <w:tc>
          <w:tcPr>
            <w:tcW w:w="807" w:type="dxa"/>
            <w:tcBorders>
              <w:top w:val="nil"/>
              <w:left w:val="nil"/>
              <w:bottom w:val="nil"/>
              <w:right w:val="nil"/>
            </w:tcBorders>
            <w:shd w:val="clear" w:color="auto" w:fill="auto"/>
            <w:noWrap/>
            <w:vAlign w:val="bottom"/>
            <w:hideMark/>
          </w:tcPr>
          <w:p w14:paraId="3854A6DF"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016</w:t>
            </w:r>
            <w:r w:rsidRPr="005C59F8">
              <w:rPr>
                <w:rFonts w:ascii="Traditional Arabic"/>
                <w:sz w:val="18"/>
                <w:szCs w:val="18"/>
                <w:rtl/>
              </w:rPr>
              <w:t xml:space="preserve"> </w:t>
            </w:r>
            <w:r w:rsidRPr="005C59F8">
              <w:rPr>
                <w:sz w:val="18"/>
                <w:szCs w:val="18"/>
                <w:rtl/>
              </w:rPr>
              <w:t>6</w:t>
            </w:r>
          </w:p>
        </w:tc>
        <w:tc>
          <w:tcPr>
            <w:tcW w:w="686" w:type="dxa"/>
            <w:tcBorders>
              <w:top w:val="nil"/>
              <w:left w:val="nil"/>
              <w:bottom w:val="nil"/>
              <w:right w:val="nil"/>
            </w:tcBorders>
            <w:shd w:val="clear" w:color="auto" w:fill="auto"/>
            <w:noWrap/>
            <w:vAlign w:val="bottom"/>
            <w:hideMark/>
          </w:tcPr>
          <w:p w14:paraId="2292803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3</w:t>
            </w:r>
          </w:p>
        </w:tc>
        <w:tc>
          <w:tcPr>
            <w:tcW w:w="1412" w:type="dxa"/>
            <w:tcBorders>
              <w:top w:val="nil"/>
              <w:left w:val="nil"/>
              <w:bottom w:val="nil"/>
              <w:right w:val="nil"/>
            </w:tcBorders>
            <w:shd w:val="clear" w:color="auto" w:fill="auto"/>
            <w:noWrap/>
            <w:vAlign w:val="bottom"/>
            <w:hideMark/>
          </w:tcPr>
          <w:p w14:paraId="694CC711"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13</w:t>
            </w:r>
            <w:r w:rsidRPr="005C59F8">
              <w:rPr>
                <w:rFonts w:ascii="Traditional Arabic"/>
                <w:sz w:val="18"/>
                <w:szCs w:val="18"/>
                <w:rtl/>
              </w:rPr>
              <w:t>,</w:t>
            </w:r>
            <w:r w:rsidRPr="005C59F8">
              <w:rPr>
                <w:sz w:val="18"/>
                <w:szCs w:val="18"/>
                <w:rtl/>
              </w:rPr>
              <w:t>7</w:t>
            </w:r>
          </w:p>
        </w:tc>
      </w:tr>
      <w:tr w:rsidR="00A0227D" w:rsidRPr="000726CE" w14:paraId="00EB4B9E" w14:textId="77777777" w:rsidTr="000A1C86">
        <w:tc>
          <w:tcPr>
            <w:tcW w:w="1318" w:type="dxa"/>
            <w:tcBorders>
              <w:top w:val="nil"/>
              <w:left w:val="nil"/>
              <w:bottom w:val="nil"/>
              <w:right w:val="nil"/>
            </w:tcBorders>
            <w:shd w:val="clear" w:color="auto" w:fill="auto"/>
            <w:noWrap/>
            <w:hideMark/>
          </w:tcPr>
          <w:p w14:paraId="1238675F"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فيتنام</w:t>
            </w:r>
          </w:p>
        </w:tc>
        <w:tc>
          <w:tcPr>
            <w:tcW w:w="854" w:type="dxa"/>
            <w:tcBorders>
              <w:top w:val="nil"/>
              <w:left w:val="nil"/>
              <w:bottom w:val="nil"/>
              <w:right w:val="nil"/>
            </w:tcBorders>
            <w:shd w:val="clear" w:color="auto" w:fill="auto"/>
            <w:noWrap/>
            <w:vAlign w:val="bottom"/>
            <w:hideMark/>
          </w:tcPr>
          <w:p w14:paraId="18E26DC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603</w:t>
            </w:r>
            <w:r w:rsidRPr="005C59F8">
              <w:rPr>
                <w:rFonts w:ascii="Traditional Arabic"/>
                <w:sz w:val="18"/>
                <w:szCs w:val="18"/>
                <w:rtl/>
              </w:rPr>
              <w:t xml:space="preserve"> </w:t>
            </w:r>
            <w:r w:rsidRPr="005C59F8">
              <w:rPr>
                <w:sz w:val="18"/>
                <w:szCs w:val="18"/>
                <w:rtl/>
              </w:rPr>
              <w:t>5</w:t>
            </w:r>
          </w:p>
        </w:tc>
        <w:tc>
          <w:tcPr>
            <w:tcW w:w="685" w:type="dxa"/>
            <w:tcBorders>
              <w:top w:val="nil"/>
              <w:left w:val="nil"/>
              <w:bottom w:val="nil"/>
              <w:right w:val="nil"/>
            </w:tcBorders>
            <w:shd w:val="clear" w:color="auto" w:fill="auto"/>
            <w:noWrap/>
            <w:vAlign w:val="bottom"/>
            <w:hideMark/>
          </w:tcPr>
          <w:p w14:paraId="419AED1F"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2</w:t>
            </w:r>
          </w:p>
        </w:tc>
        <w:tc>
          <w:tcPr>
            <w:tcW w:w="1447" w:type="dxa"/>
            <w:tcBorders>
              <w:top w:val="nil"/>
              <w:left w:val="nil"/>
              <w:bottom w:val="nil"/>
              <w:right w:val="nil"/>
            </w:tcBorders>
            <w:shd w:val="clear" w:color="auto" w:fill="auto"/>
            <w:noWrap/>
            <w:vAlign w:val="bottom"/>
            <w:hideMark/>
          </w:tcPr>
          <w:p w14:paraId="6F87991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w:t>
            </w:r>
            <w:r w:rsidRPr="005C59F8">
              <w:rPr>
                <w:rFonts w:ascii="Traditional Arabic"/>
                <w:sz w:val="18"/>
                <w:szCs w:val="18"/>
                <w:rtl/>
              </w:rPr>
              <w:t>,</w:t>
            </w:r>
            <w:r w:rsidRPr="005C59F8">
              <w:rPr>
                <w:sz w:val="18"/>
                <w:szCs w:val="18"/>
                <w:rtl/>
              </w:rPr>
              <w:t>7</w:t>
            </w:r>
          </w:p>
        </w:tc>
        <w:tc>
          <w:tcPr>
            <w:tcW w:w="807" w:type="dxa"/>
            <w:tcBorders>
              <w:top w:val="nil"/>
              <w:left w:val="nil"/>
              <w:bottom w:val="nil"/>
              <w:right w:val="nil"/>
            </w:tcBorders>
            <w:shd w:val="clear" w:color="auto" w:fill="auto"/>
            <w:noWrap/>
            <w:vAlign w:val="bottom"/>
            <w:hideMark/>
          </w:tcPr>
          <w:p w14:paraId="40084D7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941</w:t>
            </w:r>
            <w:r w:rsidRPr="005C59F8">
              <w:rPr>
                <w:rFonts w:ascii="Traditional Arabic"/>
                <w:sz w:val="18"/>
                <w:szCs w:val="18"/>
                <w:rtl/>
              </w:rPr>
              <w:t xml:space="preserve"> </w:t>
            </w:r>
            <w:r w:rsidRPr="005C59F8">
              <w:rPr>
                <w:sz w:val="18"/>
                <w:szCs w:val="18"/>
                <w:rtl/>
              </w:rPr>
              <w:t>5</w:t>
            </w:r>
          </w:p>
        </w:tc>
        <w:tc>
          <w:tcPr>
            <w:tcW w:w="686" w:type="dxa"/>
            <w:tcBorders>
              <w:top w:val="nil"/>
              <w:left w:val="nil"/>
              <w:bottom w:val="nil"/>
              <w:right w:val="nil"/>
            </w:tcBorders>
            <w:shd w:val="clear" w:color="auto" w:fill="auto"/>
            <w:noWrap/>
            <w:vAlign w:val="bottom"/>
            <w:hideMark/>
          </w:tcPr>
          <w:p w14:paraId="198F8BF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3</w:t>
            </w:r>
          </w:p>
        </w:tc>
        <w:tc>
          <w:tcPr>
            <w:tcW w:w="1412" w:type="dxa"/>
            <w:tcBorders>
              <w:top w:val="nil"/>
              <w:left w:val="nil"/>
              <w:bottom w:val="nil"/>
              <w:right w:val="nil"/>
            </w:tcBorders>
            <w:shd w:val="clear" w:color="auto" w:fill="auto"/>
            <w:noWrap/>
            <w:vAlign w:val="bottom"/>
            <w:hideMark/>
          </w:tcPr>
          <w:p w14:paraId="32F8769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w:t>
            </w:r>
            <w:r w:rsidRPr="005C59F8">
              <w:rPr>
                <w:rFonts w:ascii="Traditional Arabic"/>
                <w:sz w:val="18"/>
                <w:szCs w:val="18"/>
                <w:rtl/>
              </w:rPr>
              <w:t>,</w:t>
            </w:r>
            <w:r w:rsidRPr="005C59F8">
              <w:rPr>
                <w:sz w:val="18"/>
                <w:szCs w:val="18"/>
                <w:rtl/>
              </w:rPr>
              <w:t>0</w:t>
            </w:r>
          </w:p>
        </w:tc>
      </w:tr>
      <w:tr w:rsidR="00A0227D" w:rsidRPr="000726CE" w14:paraId="6DB8E59D" w14:textId="77777777" w:rsidTr="000A1C86">
        <w:tc>
          <w:tcPr>
            <w:tcW w:w="1318" w:type="dxa"/>
            <w:tcBorders>
              <w:top w:val="nil"/>
              <w:left w:val="nil"/>
              <w:bottom w:val="nil"/>
              <w:right w:val="nil"/>
            </w:tcBorders>
            <w:shd w:val="clear" w:color="auto" w:fill="auto"/>
            <w:noWrap/>
            <w:hideMark/>
          </w:tcPr>
          <w:p w14:paraId="5DC0930F"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الهند</w:t>
            </w:r>
          </w:p>
        </w:tc>
        <w:tc>
          <w:tcPr>
            <w:tcW w:w="854" w:type="dxa"/>
            <w:tcBorders>
              <w:top w:val="nil"/>
              <w:left w:val="nil"/>
              <w:bottom w:val="nil"/>
              <w:right w:val="nil"/>
            </w:tcBorders>
            <w:shd w:val="clear" w:color="auto" w:fill="auto"/>
            <w:noWrap/>
            <w:vAlign w:val="bottom"/>
            <w:hideMark/>
          </w:tcPr>
          <w:p w14:paraId="3FD69C2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159</w:t>
            </w:r>
            <w:r w:rsidRPr="005C59F8">
              <w:rPr>
                <w:rFonts w:ascii="Traditional Arabic"/>
                <w:sz w:val="18"/>
                <w:szCs w:val="18"/>
                <w:rtl/>
              </w:rPr>
              <w:t xml:space="preserve"> </w:t>
            </w:r>
            <w:r w:rsidRPr="005C59F8">
              <w:rPr>
                <w:sz w:val="18"/>
                <w:szCs w:val="18"/>
                <w:rtl/>
              </w:rPr>
              <w:t>5</w:t>
            </w:r>
          </w:p>
        </w:tc>
        <w:tc>
          <w:tcPr>
            <w:tcW w:w="685" w:type="dxa"/>
            <w:tcBorders>
              <w:top w:val="nil"/>
              <w:left w:val="nil"/>
              <w:bottom w:val="nil"/>
              <w:right w:val="nil"/>
            </w:tcBorders>
            <w:shd w:val="clear" w:color="auto" w:fill="auto"/>
            <w:noWrap/>
            <w:vAlign w:val="bottom"/>
            <w:hideMark/>
          </w:tcPr>
          <w:p w14:paraId="2731C3E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1</w:t>
            </w:r>
          </w:p>
        </w:tc>
        <w:tc>
          <w:tcPr>
            <w:tcW w:w="1447" w:type="dxa"/>
            <w:tcBorders>
              <w:top w:val="nil"/>
              <w:left w:val="nil"/>
              <w:bottom w:val="nil"/>
              <w:right w:val="nil"/>
            </w:tcBorders>
            <w:shd w:val="clear" w:color="auto" w:fill="auto"/>
            <w:noWrap/>
            <w:vAlign w:val="bottom"/>
            <w:hideMark/>
          </w:tcPr>
          <w:p w14:paraId="3B359484"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9</w:t>
            </w:r>
          </w:p>
        </w:tc>
        <w:tc>
          <w:tcPr>
            <w:tcW w:w="807" w:type="dxa"/>
            <w:tcBorders>
              <w:top w:val="nil"/>
              <w:left w:val="nil"/>
              <w:bottom w:val="nil"/>
              <w:right w:val="nil"/>
            </w:tcBorders>
            <w:shd w:val="clear" w:color="auto" w:fill="auto"/>
            <w:noWrap/>
            <w:vAlign w:val="bottom"/>
            <w:hideMark/>
          </w:tcPr>
          <w:p w14:paraId="118F61C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730</w:t>
            </w:r>
            <w:r w:rsidRPr="005C59F8">
              <w:rPr>
                <w:rFonts w:ascii="Traditional Arabic"/>
                <w:sz w:val="18"/>
                <w:szCs w:val="18"/>
                <w:rtl/>
              </w:rPr>
              <w:t xml:space="preserve"> </w:t>
            </w:r>
            <w:r w:rsidRPr="005C59F8">
              <w:rPr>
                <w:sz w:val="18"/>
                <w:szCs w:val="18"/>
                <w:rtl/>
              </w:rPr>
              <w:t>5</w:t>
            </w:r>
          </w:p>
        </w:tc>
        <w:tc>
          <w:tcPr>
            <w:tcW w:w="686" w:type="dxa"/>
            <w:tcBorders>
              <w:top w:val="nil"/>
              <w:left w:val="nil"/>
              <w:bottom w:val="nil"/>
              <w:right w:val="nil"/>
            </w:tcBorders>
            <w:shd w:val="clear" w:color="auto" w:fill="auto"/>
            <w:noWrap/>
            <w:vAlign w:val="bottom"/>
            <w:hideMark/>
          </w:tcPr>
          <w:p w14:paraId="44A5B567"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2</w:t>
            </w:r>
          </w:p>
        </w:tc>
        <w:tc>
          <w:tcPr>
            <w:tcW w:w="1412" w:type="dxa"/>
            <w:tcBorders>
              <w:top w:val="nil"/>
              <w:left w:val="nil"/>
              <w:bottom w:val="nil"/>
              <w:right w:val="nil"/>
            </w:tcBorders>
            <w:shd w:val="clear" w:color="auto" w:fill="auto"/>
            <w:noWrap/>
            <w:vAlign w:val="bottom"/>
            <w:hideMark/>
          </w:tcPr>
          <w:p w14:paraId="242D022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11</w:t>
            </w:r>
            <w:r w:rsidRPr="005C59F8">
              <w:rPr>
                <w:rFonts w:ascii="Traditional Arabic"/>
                <w:sz w:val="18"/>
                <w:szCs w:val="18"/>
                <w:rtl/>
              </w:rPr>
              <w:t>,</w:t>
            </w:r>
            <w:r w:rsidRPr="005C59F8">
              <w:rPr>
                <w:sz w:val="18"/>
                <w:szCs w:val="18"/>
                <w:rtl/>
              </w:rPr>
              <w:t>1</w:t>
            </w:r>
          </w:p>
        </w:tc>
      </w:tr>
      <w:tr w:rsidR="00A0227D" w:rsidRPr="000726CE" w14:paraId="44E403B6" w14:textId="77777777" w:rsidTr="000A1C86">
        <w:tc>
          <w:tcPr>
            <w:tcW w:w="1318" w:type="dxa"/>
            <w:tcBorders>
              <w:top w:val="nil"/>
              <w:left w:val="nil"/>
              <w:bottom w:val="nil"/>
              <w:right w:val="nil"/>
            </w:tcBorders>
            <w:shd w:val="clear" w:color="auto" w:fill="auto"/>
            <w:noWrap/>
            <w:hideMark/>
          </w:tcPr>
          <w:p w14:paraId="694DA880"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تركيا</w:t>
            </w:r>
          </w:p>
        </w:tc>
        <w:tc>
          <w:tcPr>
            <w:tcW w:w="854" w:type="dxa"/>
            <w:tcBorders>
              <w:top w:val="nil"/>
              <w:left w:val="nil"/>
              <w:bottom w:val="nil"/>
              <w:right w:val="nil"/>
            </w:tcBorders>
            <w:shd w:val="clear" w:color="auto" w:fill="auto"/>
            <w:noWrap/>
            <w:vAlign w:val="bottom"/>
            <w:hideMark/>
          </w:tcPr>
          <w:p w14:paraId="6346291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660</w:t>
            </w:r>
            <w:r w:rsidRPr="005C59F8">
              <w:rPr>
                <w:rFonts w:ascii="Traditional Arabic"/>
                <w:sz w:val="18"/>
                <w:szCs w:val="18"/>
                <w:rtl/>
              </w:rPr>
              <w:t xml:space="preserve"> </w:t>
            </w:r>
            <w:r w:rsidRPr="005C59F8">
              <w:rPr>
                <w:sz w:val="18"/>
                <w:szCs w:val="18"/>
                <w:rtl/>
              </w:rPr>
              <w:t>4</w:t>
            </w:r>
          </w:p>
        </w:tc>
        <w:tc>
          <w:tcPr>
            <w:tcW w:w="685" w:type="dxa"/>
            <w:tcBorders>
              <w:top w:val="nil"/>
              <w:left w:val="nil"/>
              <w:bottom w:val="nil"/>
              <w:right w:val="nil"/>
            </w:tcBorders>
            <w:shd w:val="clear" w:color="auto" w:fill="auto"/>
            <w:noWrap/>
            <w:vAlign w:val="bottom"/>
            <w:hideMark/>
          </w:tcPr>
          <w:p w14:paraId="15A2409A"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9</w:t>
            </w:r>
          </w:p>
        </w:tc>
        <w:tc>
          <w:tcPr>
            <w:tcW w:w="1447" w:type="dxa"/>
            <w:tcBorders>
              <w:top w:val="nil"/>
              <w:left w:val="nil"/>
              <w:bottom w:val="nil"/>
              <w:right w:val="nil"/>
            </w:tcBorders>
            <w:shd w:val="clear" w:color="auto" w:fill="auto"/>
            <w:noWrap/>
            <w:vAlign w:val="bottom"/>
            <w:hideMark/>
          </w:tcPr>
          <w:p w14:paraId="0C951C1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w:t>
            </w:r>
            <w:r w:rsidRPr="005C59F8">
              <w:rPr>
                <w:rFonts w:ascii="Traditional Arabic"/>
                <w:sz w:val="18"/>
                <w:szCs w:val="18"/>
                <w:rtl/>
              </w:rPr>
              <w:t>,</w:t>
            </w:r>
            <w:r w:rsidRPr="005C59F8">
              <w:rPr>
                <w:sz w:val="18"/>
                <w:szCs w:val="18"/>
                <w:rtl/>
              </w:rPr>
              <w:t>1</w:t>
            </w:r>
          </w:p>
        </w:tc>
        <w:tc>
          <w:tcPr>
            <w:tcW w:w="807" w:type="dxa"/>
            <w:tcBorders>
              <w:top w:val="nil"/>
              <w:left w:val="nil"/>
              <w:bottom w:val="nil"/>
              <w:right w:val="nil"/>
            </w:tcBorders>
            <w:shd w:val="clear" w:color="auto" w:fill="auto"/>
            <w:noWrap/>
            <w:vAlign w:val="bottom"/>
            <w:hideMark/>
          </w:tcPr>
          <w:p w14:paraId="4F63E836"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794</w:t>
            </w:r>
            <w:r w:rsidRPr="005C59F8">
              <w:rPr>
                <w:rFonts w:ascii="Traditional Arabic"/>
                <w:sz w:val="18"/>
                <w:szCs w:val="18"/>
                <w:rtl/>
              </w:rPr>
              <w:t xml:space="preserve"> </w:t>
            </w:r>
            <w:r w:rsidRPr="005C59F8">
              <w:rPr>
                <w:sz w:val="18"/>
                <w:szCs w:val="18"/>
                <w:rtl/>
              </w:rPr>
              <w:t>4</w:t>
            </w:r>
          </w:p>
        </w:tc>
        <w:tc>
          <w:tcPr>
            <w:tcW w:w="686" w:type="dxa"/>
            <w:tcBorders>
              <w:top w:val="nil"/>
              <w:left w:val="nil"/>
              <w:bottom w:val="nil"/>
              <w:right w:val="nil"/>
            </w:tcBorders>
            <w:shd w:val="clear" w:color="auto" w:fill="auto"/>
            <w:noWrap/>
            <w:vAlign w:val="bottom"/>
            <w:hideMark/>
          </w:tcPr>
          <w:p w14:paraId="46D0467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9</w:t>
            </w:r>
          </w:p>
        </w:tc>
        <w:tc>
          <w:tcPr>
            <w:tcW w:w="1412" w:type="dxa"/>
            <w:tcBorders>
              <w:top w:val="nil"/>
              <w:left w:val="nil"/>
              <w:bottom w:val="nil"/>
              <w:right w:val="nil"/>
            </w:tcBorders>
            <w:shd w:val="clear" w:color="auto" w:fill="auto"/>
            <w:noWrap/>
            <w:vAlign w:val="bottom"/>
            <w:hideMark/>
          </w:tcPr>
          <w:p w14:paraId="3F2D38A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9</w:t>
            </w:r>
          </w:p>
        </w:tc>
      </w:tr>
      <w:tr w:rsidR="00A0227D" w:rsidRPr="000726CE" w14:paraId="3FCC2519" w14:textId="77777777" w:rsidTr="000A1C86">
        <w:tc>
          <w:tcPr>
            <w:tcW w:w="1318" w:type="dxa"/>
            <w:tcBorders>
              <w:top w:val="nil"/>
              <w:left w:val="nil"/>
              <w:bottom w:val="nil"/>
              <w:right w:val="nil"/>
            </w:tcBorders>
            <w:shd w:val="clear" w:color="auto" w:fill="auto"/>
            <w:noWrap/>
            <w:hideMark/>
          </w:tcPr>
          <w:p w14:paraId="7A6F462A"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المملكة المتحدة</w:t>
            </w:r>
          </w:p>
        </w:tc>
        <w:tc>
          <w:tcPr>
            <w:tcW w:w="854" w:type="dxa"/>
            <w:tcBorders>
              <w:top w:val="nil"/>
              <w:left w:val="nil"/>
              <w:bottom w:val="nil"/>
              <w:right w:val="nil"/>
            </w:tcBorders>
            <w:shd w:val="clear" w:color="auto" w:fill="auto"/>
            <w:noWrap/>
            <w:vAlign w:val="bottom"/>
            <w:hideMark/>
          </w:tcPr>
          <w:p w14:paraId="19E3AC6D"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518</w:t>
            </w:r>
            <w:r w:rsidRPr="005C59F8">
              <w:rPr>
                <w:rFonts w:ascii="Traditional Arabic"/>
                <w:sz w:val="18"/>
                <w:szCs w:val="18"/>
                <w:rtl/>
              </w:rPr>
              <w:t xml:space="preserve"> </w:t>
            </w:r>
            <w:r w:rsidRPr="005C59F8">
              <w:rPr>
                <w:sz w:val="18"/>
                <w:szCs w:val="18"/>
                <w:rtl/>
              </w:rPr>
              <w:t>4</w:t>
            </w:r>
          </w:p>
        </w:tc>
        <w:tc>
          <w:tcPr>
            <w:tcW w:w="685" w:type="dxa"/>
            <w:tcBorders>
              <w:top w:val="nil"/>
              <w:left w:val="nil"/>
              <w:bottom w:val="nil"/>
              <w:right w:val="nil"/>
            </w:tcBorders>
            <w:shd w:val="clear" w:color="auto" w:fill="auto"/>
            <w:noWrap/>
            <w:vAlign w:val="bottom"/>
            <w:hideMark/>
          </w:tcPr>
          <w:p w14:paraId="4E5A8C1E"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8</w:t>
            </w:r>
          </w:p>
        </w:tc>
        <w:tc>
          <w:tcPr>
            <w:tcW w:w="1447" w:type="dxa"/>
            <w:tcBorders>
              <w:top w:val="nil"/>
              <w:left w:val="nil"/>
              <w:bottom w:val="nil"/>
              <w:right w:val="nil"/>
            </w:tcBorders>
            <w:shd w:val="clear" w:color="auto" w:fill="auto"/>
            <w:noWrap/>
            <w:vAlign w:val="bottom"/>
            <w:hideMark/>
          </w:tcPr>
          <w:p w14:paraId="02BE2F6C" w14:textId="12915041" w:rsidR="00A0227D" w:rsidRPr="005C59F8" w:rsidRDefault="002923C6" w:rsidP="009D61F3">
            <w:pPr>
              <w:spacing w:before="40" w:after="40" w:line="300" w:lineRule="exact"/>
              <w:ind w:left="57" w:right="113"/>
              <w:jc w:val="left"/>
              <w:textDirection w:val="tbRlV"/>
              <w:rPr>
                <w:sz w:val="18"/>
                <w:szCs w:val="18"/>
                <w:lang w:val="ar-SA" w:eastAsia="zh-TW" w:bidi="en-GB"/>
              </w:rPr>
            </w:pPr>
            <w:r w:rsidRPr="005C59F8">
              <w:rPr>
                <w:sz w:val="18"/>
                <w:szCs w:val="18"/>
                <w:rtl/>
              </w:rPr>
              <w:t>-</w:t>
            </w:r>
            <w:r w:rsidR="00A0227D" w:rsidRPr="005C59F8">
              <w:rPr>
                <w:sz w:val="18"/>
                <w:szCs w:val="18"/>
                <w:rtl/>
              </w:rPr>
              <w:t>1</w:t>
            </w:r>
            <w:r w:rsidR="00A0227D" w:rsidRPr="005C59F8">
              <w:rPr>
                <w:rFonts w:ascii="Traditional Arabic"/>
                <w:sz w:val="18"/>
                <w:szCs w:val="18"/>
                <w:rtl/>
              </w:rPr>
              <w:t>,</w:t>
            </w:r>
            <w:r w:rsidR="00A0227D" w:rsidRPr="005C59F8">
              <w:rPr>
                <w:sz w:val="18"/>
                <w:szCs w:val="18"/>
                <w:rtl/>
              </w:rPr>
              <w:t>0</w:t>
            </w:r>
          </w:p>
        </w:tc>
        <w:tc>
          <w:tcPr>
            <w:tcW w:w="807" w:type="dxa"/>
            <w:tcBorders>
              <w:top w:val="nil"/>
              <w:left w:val="nil"/>
              <w:bottom w:val="nil"/>
              <w:right w:val="nil"/>
            </w:tcBorders>
            <w:shd w:val="clear" w:color="auto" w:fill="auto"/>
            <w:noWrap/>
            <w:vAlign w:val="bottom"/>
            <w:hideMark/>
          </w:tcPr>
          <w:p w14:paraId="552DF183"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619</w:t>
            </w:r>
            <w:r w:rsidRPr="005C59F8">
              <w:rPr>
                <w:rFonts w:ascii="Traditional Arabic"/>
                <w:sz w:val="18"/>
                <w:szCs w:val="18"/>
                <w:rtl/>
              </w:rPr>
              <w:t xml:space="preserve"> </w:t>
            </w:r>
            <w:r w:rsidRPr="005C59F8">
              <w:rPr>
                <w:sz w:val="18"/>
                <w:szCs w:val="18"/>
                <w:rtl/>
              </w:rPr>
              <w:t>4</w:t>
            </w:r>
          </w:p>
        </w:tc>
        <w:tc>
          <w:tcPr>
            <w:tcW w:w="686" w:type="dxa"/>
            <w:tcBorders>
              <w:top w:val="nil"/>
              <w:left w:val="nil"/>
              <w:bottom w:val="nil"/>
              <w:right w:val="nil"/>
            </w:tcBorders>
            <w:shd w:val="clear" w:color="auto" w:fill="auto"/>
            <w:noWrap/>
            <w:vAlign w:val="bottom"/>
            <w:hideMark/>
          </w:tcPr>
          <w:p w14:paraId="5E97200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8</w:t>
            </w:r>
          </w:p>
        </w:tc>
        <w:tc>
          <w:tcPr>
            <w:tcW w:w="1412" w:type="dxa"/>
            <w:tcBorders>
              <w:top w:val="nil"/>
              <w:left w:val="nil"/>
              <w:bottom w:val="nil"/>
              <w:right w:val="nil"/>
            </w:tcBorders>
            <w:shd w:val="clear" w:color="auto" w:fill="auto"/>
            <w:noWrap/>
            <w:vAlign w:val="bottom"/>
            <w:hideMark/>
          </w:tcPr>
          <w:p w14:paraId="66B4C3E5"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2</w:t>
            </w:r>
          </w:p>
        </w:tc>
      </w:tr>
      <w:tr w:rsidR="00A0227D" w:rsidRPr="000726CE" w14:paraId="4237CFA0" w14:textId="77777777" w:rsidTr="000A1C86">
        <w:tc>
          <w:tcPr>
            <w:tcW w:w="1318" w:type="dxa"/>
            <w:tcBorders>
              <w:top w:val="nil"/>
              <w:left w:val="nil"/>
              <w:bottom w:val="nil"/>
              <w:right w:val="nil"/>
            </w:tcBorders>
            <w:shd w:val="clear" w:color="auto" w:fill="auto"/>
            <w:noWrap/>
            <w:hideMark/>
          </w:tcPr>
          <w:p w14:paraId="15B8020E"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أوكرانيا</w:t>
            </w:r>
          </w:p>
        </w:tc>
        <w:tc>
          <w:tcPr>
            <w:tcW w:w="854" w:type="dxa"/>
            <w:tcBorders>
              <w:top w:val="nil"/>
              <w:left w:val="nil"/>
              <w:bottom w:val="nil"/>
              <w:right w:val="nil"/>
            </w:tcBorders>
            <w:shd w:val="clear" w:color="auto" w:fill="auto"/>
            <w:noWrap/>
            <w:vAlign w:val="bottom"/>
            <w:hideMark/>
          </w:tcPr>
          <w:p w14:paraId="4F33A1F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033</w:t>
            </w:r>
            <w:r w:rsidRPr="005C59F8">
              <w:rPr>
                <w:rFonts w:ascii="Traditional Arabic"/>
                <w:sz w:val="18"/>
                <w:szCs w:val="18"/>
                <w:rtl/>
              </w:rPr>
              <w:t xml:space="preserve"> </w:t>
            </w:r>
            <w:r w:rsidRPr="005C59F8">
              <w:rPr>
                <w:sz w:val="18"/>
                <w:szCs w:val="18"/>
                <w:rtl/>
              </w:rPr>
              <w:t>4</w:t>
            </w:r>
          </w:p>
        </w:tc>
        <w:tc>
          <w:tcPr>
            <w:tcW w:w="685" w:type="dxa"/>
            <w:tcBorders>
              <w:top w:val="nil"/>
              <w:left w:val="nil"/>
              <w:bottom w:val="nil"/>
              <w:right w:val="nil"/>
            </w:tcBorders>
            <w:shd w:val="clear" w:color="auto" w:fill="auto"/>
            <w:noWrap/>
            <w:vAlign w:val="bottom"/>
            <w:hideMark/>
          </w:tcPr>
          <w:p w14:paraId="0ADA24A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6</w:t>
            </w:r>
          </w:p>
        </w:tc>
        <w:tc>
          <w:tcPr>
            <w:tcW w:w="1447" w:type="dxa"/>
            <w:tcBorders>
              <w:top w:val="nil"/>
              <w:left w:val="nil"/>
              <w:bottom w:val="nil"/>
              <w:right w:val="nil"/>
            </w:tcBorders>
            <w:shd w:val="clear" w:color="auto" w:fill="auto"/>
            <w:noWrap/>
            <w:vAlign w:val="bottom"/>
            <w:hideMark/>
          </w:tcPr>
          <w:p w14:paraId="6DBCE7E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7</w:t>
            </w:r>
            <w:r w:rsidRPr="005C59F8">
              <w:rPr>
                <w:rFonts w:ascii="Traditional Arabic"/>
                <w:sz w:val="18"/>
                <w:szCs w:val="18"/>
                <w:rtl/>
              </w:rPr>
              <w:t>,</w:t>
            </w:r>
            <w:r w:rsidRPr="005C59F8">
              <w:rPr>
                <w:sz w:val="18"/>
                <w:szCs w:val="18"/>
                <w:rtl/>
              </w:rPr>
              <w:t>2</w:t>
            </w:r>
          </w:p>
        </w:tc>
        <w:tc>
          <w:tcPr>
            <w:tcW w:w="807" w:type="dxa"/>
            <w:tcBorders>
              <w:top w:val="nil"/>
              <w:left w:val="nil"/>
              <w:bottom w:val="nil"/>
              <w:right w:val="nil"/>
            </w:tcBorders>
            <w:shd w:val="clear" w:color="auto" w:fill="auto"/>
            <w:noWrap/>
            <w:vAlign w:val="bottom"/>
            <w:hideMark/>
          </w:tcPr>
          <w:p w14:paraId="031A06A1"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593</w:t>
            </w:r>
            <w:r w:rsidRPr="005C59F8">
              <w:rPr>
                <w:rFonts w:ascii="Traditional Arabic"/>
                <w:sz w:val="18"/>
                <w:szCs w:val="18"/>
                <w:rtl/>
              </w:rPr>
              <w:t xml:space="preserve"> </w:t>
            </w:r>
            <w:r w:rsidRPr="005C59F8">
              <w:rPr>
                <w:sz w:val="18"/>
                <w:szCs w:val="18"/>
                <w:rtl/>
              </w:rPr>
              <w:t>4</w:t>
            </w:r>
          </w:p>
        </w:tc>
        <w:tc>
          <w:tcPr>
            <w:tcW w:w="686" w:type="dxa"/>
            <w:tcBorders>
              <w:top w:val="nil"/>
              <w:left w:val="nil"/>
              <w:bottom w:val="nil"/>
              <w:right w:val="nil"/>
            </w:tcBorders>
            <w:shd w:val="clear" w:color="auto" w:fill="auto"/>
            <w:noWrap/>
            <w:vAlign w:val="bottom"/>
            <w:hideMark/>
          </w:tcPr>
          <w:p w14:paraId="187D0377"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8</w:t>
            </w:r>
          </w:p>
        </w:tc>
        <w:tc>
          <w:tcPr>
            <w:tcW w:w="1412" w:type="dxa"/>
            <w:tcBorders>
              <w:top w:val="nil"/>
              <w:left w:val="nil"/>
              <w:bottom w:val="nil"/>
              <w:right w:val="nil"/>
            </w:tcBorders>
            <w:shd w:val="clear" w:color="auto" w:fill="auto"/>
            <w:noWrap/>
            <w:vAlign w:val="bottom"/>
            <w:hideMark/>
          </w:tcPr>
          <w:p w14:paraId="0EFAAFD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13</w:t>
            </w:r>
            <w:r w:rsidRPr="005C59F8">
              <w:rPr>
                <w:rFonts w:ascii="Traditional Arabic"/>
                <w:sz w:val="18"/>
                <w:szCs w:val="18"/>
                <w:rtl/>
              </w:rPr>
              <w:t>,</w:t>
            </w:r>
            <w:r w:rsidRPr="005C59F8">
              <w:rPr>
                <w:sz w:val="18"/>
                <w:szCs w:val="18"/>
                <w:rtl/>
              </w:rPr>
              <w:t>9</w:t>
            </w:r>
          </w:p>
        </w:tc>
      </w:tr>
      <w:tr w:rsidR="00A0227D" w:rsidRPr="000726CE" w14:paraId="2B3E3C7F" w14:textId="77777777" w:rsidTr="000A1C86">
        <w:tc>
          <w:tcPr>
            <w:tcW w:w="1318" w:type="dxa"/>
            <w:tcBorders>
              <w:top w:val="nil"/>
              <w:left w:val="nil"/>
              <w:bottom w:val="nil"/>
              <w:right w:val="nil"/>
            </w:tcBorders>
            <w:shd w:val="clear" w:color="auto" w:fill="auto"/>
            <w:noWrap/>
            <w:hideMark/>
          </w:tcPr>
          <w:p w14:paraId="7224F9C6"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بولندا</w:t>
            </w:r>
          </w:p>
        </w:tc>
        <w:tc>
          <w:tcPr>
            <w:tcW w:w="854" w:type="dxa"/>
            <w:tcBorders>
              <w:top w:val="nil"/>
              <w:left w:val="nil"/>
              <w:bottom w:val="nil"/>
              <w:right w:val="nil"/>
            </w:tcBorders>
            <w:shd w:val="clear" w:color="auto" w:fill="auto"/>
            <w:noWrap/>
            <w:vAlign w:val="bottom"/>
            <w:hideMark/>
          </w:tcPr>
          <w:p w14:paraId="0F8F1A2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284</w:t>
            </w:r>
            <w:r w:rsidRPr="005C59F8">
              <w:rPr>
                <w:rFonts w:ascii="Traditional Arabic"/>
                <w:sz w:val="18"/>
                <w:szCs w:val="18"/>
                <w:rtl/>
              </w:rPr>
              <w:t xml:space="preserve"> </w:t>
            </w:r>
            <w:r w:rsidRPr="005C59F8">
              <w:rPr>
                <w:sz w:val="18"/>
                <w:szCs w:val="18"/>
                <w:rtl/>
              </w:rPr>
              <w:t>4</w:t>
            </w:r>
          </w:p>
        </w:tc>
        <w:tc>
          <w:tcPr>
            <w:tcW w:w="685" w:type="dxa"/>
            <w:tcBorders>
              <w:top w:val="nil"/>
              <w:left w:val="nil"/>
              <w:bottom w:val="nil"/>
              <w:right w:val="nil"/>
            </w:tcBorders>
            <w:shd w:val="clear" w:color="auto" w:fill="auto"/>
            <w:noWrap/>
            <w:vAlign w:val="bottom"/>
            <w:hideMark/>
          </w:tcPr>
          <w:p w14:paraId="7FEB9332"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7</w:t>
            </w:r>
          </w:p>
        </w:tc>
        <w:tc>
          <w:tcPr>
            <w:tcW w:w="1447" w:type="dxa"/>
            <w:tcBorders>
              <w:top w:val="nil"/>
              <w:left w:val="nil"/>
              <w:bottom w:val="nil"/>
              <w:right w:val="nil"/>
            </w:tcBorders>
            <w:shd w:val="clear" w:color="auto" w:fill="auto"/>
            <w:noWrap/>
            <w:vAlign w:val="bottom"/>
            <w:hideMark/>
          </w:tcPr>
          <w:p w14:paraId="0B7AF27B"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2</w:t>
            </w:r>
          </w:p>
        </w:tc>
        <w:tc>
          <w:tcPr>
            <w:tcW w:w="807" w:type="dxa"/>
            <w:tcBorders>
              <w:top w:val="nil"/>
              <w:left w:val="nil"/>
              <w:bottom w:val="nil"/>
              <w:right w:val="nil"/>
            </w:tcBorders>
            <w:shd w:val="clear" w:color="auto" w:fill="auto"/>
            <w:noWrap/>
            <w:vAlign w:val="bottom"/>
            <w:hideMark/>
          </w:tcPr>
          <w:p w14:paraId="06B5225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410</w:t>
            </w:r>
            <w:r w:rsidRPr="005C59F8">
              <w:rPr>
                <w:rFonts w:ascii="Traditional Arabic"/>
                <w:sz w:val="18"/>
                <w:szCs w:val="18"/>
                <w:rtl/>
              </w:rPr>
              <w:t xml:space="preserve"> </w:t>
            </w:r>
            <w:r w:rsidRPr="005C59F8">
              <w:rPr>
                <w:sz w:val="18"/>
                <w:szCs w:val="18"/>
                <w:rtl/>
              </w:rPr>
              <w:t>4</w:t>
            </w:r>
          </w:p>
        </w:tc>
        <w:tc>
          <w:tcPr>
            <w:tcW w:w="686" w:type="dxa"/>
            <w:tcBorders>
              <w:top w:val="nil"/>
              <w:left w:val="nil"/>
              <w:bottom w:val="nil"/>
              <w:right w:val="nil"/>
            </w:tcBorders>
            <w:shd w:val="clear" w:color="auto" w:fill="auto"/>
            <w:noWrap/>
            <w:vAlign w:val="bottom"/>
            <w:hideMark/>
          </w:tcPr>
          <w:p w14:paraId="6DF32C4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7</w:t>
            </w:r>
          </w:p>
        </w:tc>
        <w:tc>
          <w:tcPr>
            <w:tcW w:w="1412" w:type="dxa"/>
            <w:tcBorders>
              <w:top w:val="nil"/>
              <w:left w:val="nil"/>
              <w:bottom w:val="nil"/>
              <w:right w:val="nil"/>
            </w:tcBorders>
            <w:shd w:val="clear" w:color="auto" w:fill="auto"/>
            <w:noWrap/>
            <w:vAlign w:val="bottom"/>
            <w:hideMark/>
          </w:tcPr>
          <w:p w14:paraId="24F6CDB4"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9</w:t>
            </w:r>
          </w:p>
        </w:tc>
      </w:tr>
      <w:tr w:rsidR="00A0227D" w:rsidRPr="000726CE" w14:paraId="59D8FBFC" w14:textId="77777777" w:rsidTr="000A1C86">
        <w:tc>
          <w:tcPr>
            <w:tcW w:w="1318" w:type="dxa"/>
            <w:tcBorders>
              <w:top w:val="nil"/>
              <w:left w:val="nil"/>
              <w:bottom w:val="nil"/>
              <w:right w:val="nil"/>
            </w:tcBorders>
            <w:shd w:val="clear" w:color="auto" w:fill="auto"/>
            <w:noWrap/>
            <w:hideMark/>
          </w:tcPr>
          <w:p w14:paraId="0DA3A044"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ألمانيا</w:t>
            </w:r>
          </w:p>
        </w:tc>
        <w:tc>
          <w:tcPr>
            <w:tcW w:w="854" w:type="dxa"/>
            <w:tcBorders>
              <w:top w:val="nil"/>
              <w:left w:val="nil"/>
              <w:bottom w:val="nil"/>
              <w:right w:val="nil"/>
            </w:tcBorders>
            <w:shd w:val="clear" w:color="auto" w:fill="auto"/>
            <w:noWrap/>
            <w:vAlign w:val="bottom"/>
            <w:hideMark/>
          </w:tcPr>
          <w:p w14:paraId="59481928"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014</w:t>
            </w:r>
            <w:r w:rsidRPr="005C59F8">
              <w:rPr>
                <w:rFonts w:ascii="Traditional Arabic"/>
                <w:sz w:val="18"/>
                <w:szCs w:val="18"/>
                <w:rtl/>
              </w:rPr>
              <w:t xml:space="preserve"> </w:t>
            </w:r>
            <w:r w:rsidRPr="005C59F8">
              <w:rPr>
                <w:sz w:val="18"/>
                <w:szCs w:val="18"/>
                <w:rtl/>
              </w:rPr>
              <w:t>4</w:t>
            </w:r>
          </w:p>
        </w:tc>
        <w:tc>
          <w:tcPr>
            <w:tcW w:w="685" w:type="dxa"/>
            <w:tcBorders>
              <w:top w:val="nil"/>
              <w:left w:val="nil"/>
              <w:bottom w:val="nil"/>
              <w:right w:val="nil"/>
            </w:tcBorders>
            <w:shd w:val="clear" w:color="auto" w:fill="auto"/>
            <w:noWrap/>
            <w:vAlign w:val="bottom"/>
            <w:hideMark/>
          </w:tcPr>
          <w:p w14:paraId="3DFA062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6</w:t>
            </w:r>
          </w:p>
        </w:tc>
        <w:tc>
          <w:tcPr>
            <w:tcW w:w="1447" w:type="dxa"/>
            <w:tcBorders>
              <w:top w:val="nil"/>
              <w:left w:val="nil"/>
              <w:bottom w:val="nil"/>
              <w:right w:val="nil"/>
            </w:tcBorders>
            <w:shd w:val="clear" w:color="auto" w:fill="auto"/>
            <w:noWrap/>
            <w:vAlign w:val="bottom"/>
            <w:hideMark/>
          </w:tcPr>
          <w:p w14:paraId="3BCB9C61" w14:textId="08C51DCB" w:rsidR="00A0227D" w:rsidRPr="005C59F8" w:rsidRDefault="002923C6" w:rsidP="009D61F3">
            <w:pPr>
              <w:spacing w:before="40" w:after="40" w:line="300" w:lineRule="exact"/>
              <w:ind w:left="57" w:right="113"/>
              <w:jc w:val="left"/>
              <w:textDirection w:val="tbRlV"/>
              <w:rPr>
                <w:sz w:val="18"/>
                <w:szCs w:val="18"/>
                <w:lang w:val="ar-SA" w:eastAsia="zh-TW" w:bidi="en-GB"/>
              </w:rPr>
            </w:pPr>
            <w:r w:rsidRPr="005C59F8">
              <w:rPr>
                <w:sz w:val="18"/>
                <w:szCs w:val="18"/>
                <w:rtl/>
              </w:rPr>
              <w:t>-</w:t>
            </w:r>
            <w:r w:rsidR="00A0227D" w:rsidRPr="005C59F8">
              <w:rPr>
                <w:sz w:val="18"/>
                <w:szCs w:val="18"/>
                <w:rtl/>
              </w:rPr>
              <w:t>3</w:t>
            </w:r>
            <w:r>
              <w:rPr>
                <w:rFonts w:ascii="Traditional Arabic" w:hAnsi="Traditional Arabic"/>
                <w:sz w:val="18"/>
                <w:szCs w:val="18"/>
                <w:rtl/>
              </w:rPr>
              <w:t>,</w:t>
            </w:r>
            <w:r w:rsidR="00A0227D" w:rsidRPr="005C59F8">
              <w:rPr>
                <w:sz w:val="18"/>
                <w:szCs w:val="18"/>
                <w:rtl/>
              </w:rPr>
              <w:t>3</w:t>
            </w:r>
          </w:p>
        </w:tc>
        <w:tc>
          <w:tcPr>
            <w:tcW w:w="807" w:type="dxa"/>
            <w:tcBorders>
              <w:top w:val="nil"/>
              <w:left w:val="nil"/>
              <w:bottom w:val="nil"/>
              <w:right w:val="nil"/>
            </w:tcBorders>
            <w:shd w:val="clear" w:color="auto" w:fill="auto"/>
            <w:noWrap/>
            <w:vAlign w:val="bottom"/>
            <w:hideMark/>
          </w:tcPr>
          <w:p w14:paraId="0D3AF947"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102</w:t>
            </w:r>
            <w:r w:rsidRPr="005C59F8">
              <w:rPr>
                <w:rFonts w:ascii="Traditional Arabic"/>
                <w:sz w:val="18"/>
                <w:szCs w:val="18"/>
                <w:rtl/>
              </w:rPr>
              <w:t xml:space="preserve"> </w:t>
            </w:r>
            <w:r w:rsidRPr="005C59F8">
              <w:rPr>
                <w:sz w:val="18"/>
                <w:szCs w:val="18"/>
                <w:rtl/>
              </w:rPr>
              <w:t>4</w:t>
            </w:r>
          </w:p>
        </w:tc>
        <w:tc>
          <w:tcPr>
            <w:tcW w:w="686" w:type="dxa"/>
            <w:tcBorders>
              <w:top w:val="nil"/>
              <w:left w:val="nil"/>
              <w:bottom w:val="nil"/>
              <w:right w:val="nil"/>
            </w:tcBorders>
            <w:shd w:val="clear" w:color="auto" w:fill="auto"/>
            <w:noWrap/>
            <w:vAlign w:val="bottom"/>
            <w:hideMark/>
          </w:tcPr>
          <w:p w14:paraId="2A79C993"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1</w:t>
            </w:r>
            <w:r w:rsidRPr="005C59F8">
              <w:rPr>
                <w:rFonts w:ascii="Traditional Arabic"/>
                <w:sz w:val="18"/>
                <w:szCs w:val="18"/>
                <w:rtl/>
              </w:rPr>
              <w:t>,</w:t>
            </w:r>
            <w:r w:rsidRPr="005C59F8">
              <w:rPr>
                <w:sz w:val="18"/>
                <w:szCs w:val="18"/>
                <w:rtl/>
              </w:rPr>
              <w:t>6</w:t>
            </w:r>
          </w:p>
        </w:tc>
        <w:tc>
          <w:tcPr>
            <w:tcW w:w="1412" w:type="dxa"/>
            <w:tcBorders>
              <w:top w:val="nil"/>
              <w:left w:val="nil"/>
              <w:bottom w:val="nil"/>
              <w:right w:val="nil"/>
            </w:tcBorders>
            <w:shd w:val="clear" w:color="auto" w:fill="auto"/>
            <w:noWrap/>
            <w:vAlign w:val="bottom"/>
            <w:hideMark/>
          </w:tcPr>
          <w:p w14:paraId="1D36C965"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2</w:t>
            </w:r>
            <w:r w:rsidRPr="005C59F8">
              <w:rPr>
                <w:rFonts w:ascii="Traditional Arabic"/>
                <w:sz w:val="18"/>
                <w:szCs w:val="18"/>
                <w:rtl/>
              </w:rPr>
              <w:t>,</w:t>
            </w:r>
            <w:r w:rsidRPr="005C59F8">
              <w:rPr>
                <w:sz w:val="18"/>
                <w:szCs w:val="18"/>
                <w:rtl/>
              </w:rPr>
              <w:t>2</w:t>
            </w:r>
          </w:p>
        </w:tc>
      </w:tr>
      <w:tr w:rsidR="00A0227D" w:rsidRPr="000726CE" w14:paraId="46A350D3" w14:textId="77777777" w:rsidTr="000A1C86">
        <w:tc>
          <w:tcPr>
            <w:tcW w:w="1318" w:type="dxa"/>
            <w:tcBorders>
              <w:top w:val="nil"/>
              <w:bottom w:val="single" w:sz="4" w:space="0" w:color="auto"/>
            </w:tcBorders>
            <w:shd w:val="clear" w:color="auto" w:fill="auto"/>
            <w:noWrap/>
            <w:hideMark/>
          </w:tcPr>
          <w:p w14:paraId="7447D9A5" w14:textId="77777777" w:rsidR="00A0227D" w:rsidRPr="009D61F3" w:rsidRDefault="00A0227D" w:rsidP="009D61F3">
            <w:pPr>
              <w:spacing w:before="40" w:after="40" w:line="300" w:lineRule="exact"/>
              <w:ind w:left="57" w:right="113"/>
              <w:jc w:val="left"/>
              <w:textDirection w:val="tbRlV"/>
              <w:rPr>
                <w:bCs/>
                <w:sz w:val="26"/>
                <w:szCs w:val="26"/>
                <w:lang w:val="ar-SA" w:eastAsia="zh-TW" w:bidi="en-GB"/>
              </w:rPr>
            </w:pPr>
            <w:r w:rsidRPr="009D61F3">
              <w:rPr>
                <w:sz w:val="26"/>
                <w:szCs w:val="26"/>
                <w:rtl/>
              </w:rPr>
              <w:t>بلدان أخرى</w:t>
            </w:r>
          </w:p>
        </w:tc>
        <w:tc>
          <w:tcPr>
            <w:tcW w:w="854" w:type="dxa"/>
            <w:tcBorders>
              <w:top w:val="nil"/>
              <w:bottom w:val="single" w:sz="4" w:space="0" w:color="auto"/>
            </w:tcBorders>
            <w:shd w:val="clear" w:color="auto" w:fill="auto"/>
            <w:noWrap/>
            <w:vAlign w:val="bottom"/>
            <w:hideMark/>
          </w:tcPr>
          <w:p w14:paraId="03758CC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678</w:t>
            </w:r>
            <w:r w:rsidRPr="005C59F8">
              <w:rPr>
                <w:rFonts w:ascii="Traditional Arabic"/>
                <w:sz w:val="18"/>
                <w:szCs w:val="18"/>
                <w:rtl/>
              </w:rPr>
              <w:t xml:space="preserve"> </w:t>
            </w:r>
            <w:r w:rsidRPr="005C59F8">
              <w:rPr>
                <w:sz w:val="18"/>
                <w:szCs w:val="18"/>
                <w:rtl/>
              </w:rPr>
              <w:t>82</w:t>
            </w:r>
          </w:p>
        </w:tc>
        <w:tc>
          <w:tcPr>
            <w:tcW w:w="685" w:type="dxa"/>
            <w:tcBorders>
              <w:top w:val="nil"/>
              <w:bottom w:val="single" w:sz="4" w:space="0" w:color="auto"/>
            </w:tcBorders>
            <w:shd w:val="clear" w:color="auto" w:fill="auto"/>
            <w:noWrap/>
            <w:vAlign w:val="bottom"/>
            <w:hideMark/>
          </w:tcPr>
          <w:p w14:paraId="4FA55453"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33</w:t>
            </w:r>
            <w:r w:rsidRPr="005C59F8">
              <w:rPr>
                <w:rFonts w:ascii="Traditional Arabic"/>
                <w:sz w:val="18"/>
                <w:szCs w:val="18"/>
                <w:rtl/>
              </w:rPr>
              <w:t>,</w:t>
            </w:r>
            <w:r w:rsidRPr="005C59F8">
              <w:rPr>
                <w:sz w:val="18"/>
                <w:szCs w:val="18"/>
                <w:rtl/>
              </w:rPr>
              <w:t>1</w:t>
            </w:r>
          </w:p>
        </w:tc>
        <w:tc>
          <w:tcPr>
            <w:tcW w:w="1447" w:type="dxa"/>
            <w:tcBorders>
              <w:top w:val="nil"/>
              <w:bottom w:val="single" w:sz="4" w:space="0" w:color="auto"/>
            </w:tcBorders>
            <w:shd w:val="clear" w:color="auto" w:fill="auto"/>
            <w:noWrap/>
            <w:vAlign w:val="bottom"/>
            <w:hideMark/>
          </w:tcPr>
          <w:p w14:paraId="14A0E54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w:t>
            </w:r>
            <w:r w:rsidRPr="005C59F8">
              <w:rPr>
                <w:rFonts w:ascii="Traditional Arabic"/>
                <w:sz w:val="18"/>
                <w:szCs w:val="18"/>
                <w:rtl/>
              </w:rPr>
              <w:t>,</w:t>
            </w:r>
            <w:r w:rsidRPr="005C59F8">
              <w:rPr>
                <w:sz w:val="18"/>
                <w:szCs w:val="18"/>
                <w:rtl/>
              </w:rPr>
              <w:t>2</w:t>
            </w:r>
          </w:p>
        </w:tc>
        <w:tc>
          <w:tcPr>
            <w:tcW w:w="807" w:type="dxa"/>
            <w:tcBorders>
              <w:top w:val="nil"/>
              <w:bottom w:val="single" w:sz="4" w:space="0" w:color="auto"/>
            </w:tcBorders>
            <w:shd w:val="clear" w:color="auto" w:fill="auto"/>
            <w:noWrap/>
            <w:vAlign w:val="bottom"/>
            <w:hideMark/>
          </w:tcPr>
          <w:p w14:paraId="7B8952B9"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582</w:t>
            </w:r>
            <w:r w:rsidRPr="005C59F8">
              <w:rPr>
                <w:rFonts w:ascii="Traditional Arabic"/>
                <w:sz w:val="18"/>
                <w:szCs w:val="18"/>
                <w:rtl/>
              </w:rPr>
              <w:t xml:space="preserve"> </w:t>
            </w:r>
            <w:r w:rsidRPr="005C59F8">
              <w:rPr>
                <w:sz w:val="18"/>
                <w:szCs w:val="18"/>
                <w:rtl/>
              </w:rPr>
              <w:t>86</w:t>
            </w:r>
          </w:p>
        </w:tc>
        <w:tc>
          <w:tcPr>
            <w:tcW w:w="686" w:type="dxa"/>
            <w:tcBorders>
              <w:top w:val="nil"/>
              <w:bottom w:val="single" w:sz="4" w:space="0" w:color="auto"/>
            </w:tcBorders>
            <w:shd w:val="clear" w:color="auto" w:fill="auto"/>
            <w:noWrap/>
            <w:vAlign w:val="bottom"/>
            <w:hideMark/>
          </w:tcPr>
          <w:p w14:paraId="5E37734C"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33</w:t>
            </w:r>
            <w:r w:rsidRPr="005C59F8">
              <w:rPr>
                <w:rFonts w:ascii="Traditional Arabic"/>
                <w:sz w:val="18"/>
                <w:szCs w:val="18"/>
                <w:rtl/>
              </w:rPr>
              <w:t>,</w:t>
            </w:r>
            <w:r w:rsidRPr="005C59F8">
              <w:rPr>
                <w:sz w:val="18"/>
                <w:szCs w:val="18"/>
                <w:rtl/>
              </w:rPr>
              <w:t>6</w:t>
            </w:r>
          </w:p>
        </w:tc>
        <w:tc>
          <w:tcPr>
            <w:tcW w:w="1412" w:type="dxa"/>
            <w:tcBorders>
              <w:top w:val="nil"/>
              <w:bottom w:val="single" w:sz="4" w:space="0" w:color="auto"/>
            </w:tcBorders>
            <w:shd w:val="clear" w:color="auto" w:fill="auto"/>
            <w:noWrap/>
            <w:vAlign w:val="bottom"/>
            <w:hideMark/>
          </w:tcPr>
          <w:p w14:paraId="104F20A0" w14:textId="77777777" w:rsidR="00A0227D" w:rsidRPr="005C59F8" w:rsidRDefault="00A0227D" w:rsidP="009D61F3">
            <w:pPr>
              <w:spacing w:before="40" w:after="40" w:line="300" w:lineRule="exact"/>
              <w:ind w:left="57" w:right="113"/>
              <w:jc w:val="left"/>
              <w:textDirection w:val="tbRlV"/>
              <w:rPr>
                <w:sz w:val="18"/>
                <w:szCs w:val="18"/>
                <w:lang w:val="ar-SA" w:eastAsia="zh-TW" w:bidi="en-GB"/>
              </w:rPr>
            </w:pPr>
            <w:r w:rsidRPr="005C59F8">
              <w:rPr>
                <w:sz w:val="18"/>
                <w:szCs w:val="18"/>
                <w:rtl/>
              </w:rPr>
              <w:t>4</w:t>
            </w:r>
            <w:r w:rsidRPr="005C59F8">
              <w:rPr>
                <w:rFonts w:ascii="Traditional Arabic"/>
                <w:sz w:val="18"/>
                <w:szCs w:val="18"/>
                <w:rtl/>
              </w:rPr>
              <w:t>,</w:t>
            </w:r>
            <w:r w:rsidRPr="005C59F8">
              <w:rPr>
                <w:sz w:val="18"/>
                <w:szCs w:val="18"/>
                <w:rtl/>
              </w:rPr>
              <w:t>7</w:t>
            </w:r>
          </w:p>
        </w:tc>
      </w:tr>
      <w:tr w:rsidR="00A0227D" w:rsidRPr="000726CE" w14:paraId="4F3F61DD" w14:textId="77777777" w:rsidTr="000A1C86">
        <w:tc>
          <w:tcPr>
            <w:tcW w:w="1318" w:type="dxa"/>
            <w:tcBorders>
              <w:top w:val="single" w:sz="4" w:space="0" w:color="auto"/>
            </w:tcBorders>
            <w:shd w:val="clear" w:color="auto" w:fill="auto"/>
            <w:noWrap/>
            <w:hideMark/>
          </w:tcPr>
          <w:p w14:paraId="0260790F" w14:textId="594D3962" w:rsidR="00A0227D" w:rsidRPr="009D61F3" w:rsidRDefault="005310F2" w:rsidP="009D61F3">
            <w:pPr>
              <w:spacing w:before="40" w:after="40" w:line="300" w:lineRule="exact"/>
              <w:ind w:left="57"/>
              <w:jc w:val="left"/>
              <w:textDirection w:val="tbRlV"/>
              <w:rPr>
                <w:b/>
                <w:bCs/>
                <w:sz w:val="26"/>
                <w:szCs w:val="26"/>
                <w:lang w:val="ar-SA" w:eastAsia="zh-TW" w:bidi="en-GB"/>
              </w:rPr>
            </w:pPr>
            <w:r>
              <w:rPr>
                <w:rFonts w:hint="cs"/>
                <w:b/>
                <w:bCs/>
                <w:sz w:val="26"/>
                <w:szCs w:val="26"/>
                <w:rtl/>
              </w:rPr>
              <w:t xml:space="preserve">   </w:t>
            </w:r>
            <w:r w:rsidR="00A0227D" w:rsidRPr="009D61F3">
              <w:rPr>
                <w:b/>
                <w:bCs/>
                <w:sz w:val="26"/>
                <w:szCs w:val="26"/>
                <w:rtl/>
              </w:rPr>
              <w:t>المجموع</w:t>
            </w:r>
          </w:p>
        </w:tc>
        <w:tc>
          <w:tcPr>
            <w:tcW w:w="854" w:type="dxa"/>
            <w:tcBorders>
              <w:top w:val="single" w:sz="4" w:space="0" w:color="auto"/>
            </w:tcBorders>
            <w:shd w:val="clear" w:color="auto" w:fill="auto"/>
            <w:noWrap/>
            <w:vAlign w:val="bottom"/>
            <w:hideMark/>
          </w:tcPr>
          <w:p w14:paraId="4A10F616"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
                <w:bCs/>
                <w:sz w:val="18"/>
                <w:szCs w:val="18"/>
                <w:rtl/>
              </w:rPr>
              <w:t>452</w:t>
            </w:r>
            <w:r w:rsidRPr="005C59F8">
              <w:rPr>
                <w:rFonts w:ascii="Traditional Arabic"/>
                <w:b/>
                <w:bCs/>
                <w:sz w:val="18"/>
                <w:szCs w:val="18"/>
                <w:rtl/>
              </w:rPr>
              <w:t xml:space="preserve"> </w:t>
            </w:r>
            <w:r w:rsidRPr="005C59F8">
              <w:rPr>
                <w:b/>
                <w:bCs/>
                <w:sz w:val="18"/>
                <w:szCs w:val="18"/>
                <w:rtl/>
              </w:rPr>
              <w:t>249</w:t>
            </w:r>
          </w:p>
        </w:tc>
        <w:tc>
          <w:tcPr>
            <w:tcW w:w="685" w:type="dxa"/>
            <w:tcBorders>
              <w:top w:val="single" w:sz="4" w:space="0" w:color="auto"/>
            </w:tcBorders>
            <w:shd w:val="clear" w:color="auto" w:fill="auto"/>
            <w:noWrap/>
            <w:vAlign w:val="bottom"/>
            <w:hideMark/>
          </w:tcPr>
          <w:p w14:paraId="07BD8855"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
                <w:bCs/>
                <w:sz w:val="18"/>
                <w:szCs w:val="18"/>
                <w:rtl/>
              </w:rPr>
              <w:t>100</w:t>
            </w:r>
          </w:p>
        </w:tc>
        <w:tc>
          <w:tcPr>
            <w:tcW w:w="1447" w:type="dxa"/>
            <w:tcBorders>
              <w:top w:val="single" w:sz="4" w:space="0" w:color="auto"/>
            </w:tcBorders>
            <w:shd w:val="clear" w:color="auto" w:fill="auto"/>
            <w:noWrap/>
            <w:vAlign w:val="bottom"/>
            <w:hideMark/>
          </w:tcPr>
          <w:p w14:paraId="0D23E34C"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Cs/>
                <w:sz w:val="18"/>
                <w:szCs w:val="18"/>
                <w:rtl/>
              </w:rPr>
              <w:t>2</w:t>
            </w:r>
            <w:r w:rsidRPr="005C59F8">
              <w:rPr>
                <w:rFonts w:ascii="Traditional Arabic"/>
                <w:bCs/>
                <w:sz w:val="18"/>
                <w:szCs w:val="18"/>
                <w:rtl/>
              </w:rPr>
              <w:t>,</w:t>
            </w:r>
            <w:r w:rsidRPr="005C59F8">
              <w:rPr>
                <w:bCs/>
                <w:sz w:val="18"/>
                <w:szCs w:val="18"/>
                <w:rtl/>
              </w:rPr>
              <w:t>4</w:t>
            </w:r>
          </w:p>
        </w:tc>
        <w:tc>
          <w:tcPr>
            <w:tcW w:w="807" w:type="dxa"/>
            <w:tcBorders>
              <w:top w:val="single" w:sz="4" w:space="0" w:color="auto"/>
            </w:tcBorders>
            <w:shd w:val="clear" w:color="auto" w:fill="auto"/>
            <w:noWrap/>
            <w:vAlign w:val="bottom"/>
            <w:hideMark/>
          </w:tcPr>
          <w:p w14:paraId="34D399DA"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
                <w:bCs/>
                <w:sz w:val="18"/>
                <w:szCs w:val="18"/>
                <w:rtl/>
              </w:rPr>
              <w:t>572</w:t>
            </w:r>
            <w:r w:rsidRPr="005C59F8">
              <w:rPr>
                <w:rFonts w:ascii="Traditional Arabic"/>
                <w:b/>
                <w:bCs/>
                <w:sz w:val="18"/>
                <w:szCs w:val="18"/>
                <w:rtl/>
              </w:rPr>
              <w:t xml:space="preserve"> </w:t>
            </w:r>
            <w:r w:rsidRPr="005C59F8">
              <w:rPr>
                <w:b/>
                <w:bCs/>
                <w:sz w:val="18"/>
                <w:szCs w:val="18"/>
                <w:rtl/>
              </w:rPr>
              <w:t>257</w:t>
            </w:r>
          </w:p>
        </w:tc>
        <w:tc>
          <w:tcPr>
            <w:tcW w:w="686" w:type="dxa"/>
            <w:tcBorders>
              <w:top w:val="single" w:sz="4" w:space="0" w:color="auto"/>
            </w:tcBorders>
            <w:shd w:val="clear" w:color="auto" w:fill="auto"/>
            <w:noWrap/>
            <w:vAlign w:val="bottom"/>
            <w:hideMark/>
          </w:tcPr>
          <w:p w14:paraId="34C1FF5C"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
                <w:bCs/>
                <w:sz w:val="18"/>
                <w:szCs w:val="18"/>
                <w:rtl/>
              </w:rPr>
              <w:t>100</w:t>
            </w:r>
          </w:p>
        </w:tc>
        <w:tc>
          <w:tcPr>
            <w:tcW w:w="1412" w:type="dxa"/>
            <w:tcBorders>
              <w:top w:val="single" w:sz="4" w:space="0" w:color="auto"/>
            </w:tcBorders>
            <w:shd w:val="clear" w:color="auto" w:fill="auto"/>
            <w:noWrap/>
            <w:vAlign w:val="bottom"/>
            <w:hideMark/>
          </w:tcPr>
          <w:p w14:paraId="116E4AFC" w14:textId="77777777" w:rsidR="00A0227D" w:rsidRPr="005C59F8" w:rsidRDefault="00A0227D" w:rsidP="009D61F3">
            <w:pPr>
              <w:spacing w:before="40" w:after="40" w:line="300" w:lineRule="exact"/>
              <w:ind w:left="57" w:right="113"/>
              <w:jc w:val="left"/>
              <w:textDirection w:val="tbRlV"/>
              <w:rPr>
                <w:b/>
                <w:bCs/>
                <w:sz w:val="18"/>
                <w:szCs w:val="18"/>
                <w:lang w:val="ar-SA" w:eastAsia="zh-TW" w:bidi="en-GB"/>
              </w:rPr>
            </w:pPr>
            <w:r w:rsidRPr="005C59F8">
              <w:rPr>
                <w:bCs/>
                <w:sz w:val="18"/>
                <w:szCs w:val="18"/>
                <w:rtl/>
              </w:rPr>
              <w:t>3</w:t>
            </w:r>
            <w:r w:rsidRPr="005C59F8">
              <w:rPr>
                <w:rFonts w:ascii="Traditional Arabic"/>
                <w:bCs/>
                <w:sz w:val="18"/>
                <w:szCs w:val="18"/>
                <w:rtl/>
              </w:rPr>
              <w:t>,</w:t>
            </w:r>
            <w:r w:rsidRPr="005C59F8">
              <w:rPr>
                <w:bCs/>
                <w:sz w:val="18"/>
                <w:szCs w:val="18"/>
                <w:rtl/>
              </w:rPr>
              <w:t>3</w:t>
            </w:r>
          </w:p>
        </w:tc>
      </w:tr>
    </w:tbl>
    <w:p w14:paraId="4D9A3D97" w14:textId="5A9F1325" w:rsidR="00A0227D" w:rsidRPr="009D61F3" w:rsidRDefault="00A0227D" w:rsidP="00C50140">
      <w:pPr>
        <w:pStyle w:val="SingleTxtGA"/>
        <w:rPr>
          <w:sz w:val="26"/>
          <w:szCs w:val="26"/>
          <w:lang w:val="ar-SA" w:eastAsia="zh-TW" w:bidi="en-GB"/>
        </w:rPr>
      </w:pPr>
      <w:r w:rsidRPr="009D61F3">
        <w:rPr>
          <w:i/>
          <w:iCs/>
          <w:sz w:val="26"/>
          <w:szCs w:val="26"/>
          <w:rtl/>
        </w:rPr>
        <w:t>المصدر</w:t>
      </w:r>
      <w:r w:rsidRPr="00BB79C1">
        <w:rPr>
          <w:rtl/>
        </w:rPr>
        <w:t>:</w:t>
      </w:r>
      <w:r w:rsidR="009D61F3">
        <w:rPr>
          <w:rFonts w:hint="cs"/>
          <w:sz w:val="26"/>
          <w:szCs w:val="26"/>
          <w:rtl/>
        </w:rPr>
        <w:t xml:space="preserve"> </w:t>
      </w:r>
      <w:r w:rsidRPr="009D61F3">
        <w:rPr>
          <w:sz w:val="26"/>
          <w:szCs w:val="26"/>
          <w:rtl/>
        </w:rPr>
        <w:t xml:space="preserve">إحصاءات فنلندا، </w:t>
      </w:r>
      <w:r w:rsidRPr="009D61F3">
        <w:rPr>
          <w:sz w:val="26"/>
          <w:szCs w:val="26"/>
          <w:rtl/>
          <w:lang w:bidi="ar-DZ"/>
        </w:rPr>
        <w:t xml:space="preserve">التركيبة </w:t>
      </w:r>
      <w:r w:rsidRPr="009D61F3">
        <w:rPr>
          <w:sz w:val="26"/>
          <w:szCs w:val="26"/>
          <w:rtl/>
        </w:rPr>
        <w:t>السكانية.</w:t>
      </w:r>
    </w:p>
    <w:p w14:paraId="3139AFAF" w14:textId="72B2A70A" w:rsidR="00A0227D" w:rsidRPr="00C50140" w:rsidRDefault="00C50140" w:rsidP="00C50140">
      <w:pPr>
        <w:pStyle w:val="H23GA"/>
        <w:rPr>
          <w:szCs w:val="20"/>
          <w:lang w:eastAsia="zh-TW" w:bidi="en-GB"/>
        </w:rPr>
      </w:pPr>
      <w:bookmarkStart w:id="9" w:name="_Toc32364275"/>
      <w:r>
        <w:rPr>
          <w:rtl/>
        </w:rPr>
        <w:tab/>
      </w:r>
      <w:r w:rsidR="00A0227D" w:rsidRPr="00794E95">
        <w:rPr>
          <w:rtl/>
        </w:rPr>
        <w:t>(</w:t>
      </w:r>
      <w:r w:rsidR="00A0227D">
        <w:rPr>
          <w:rtl/>
        </w:rPr>
        <w:t>ب</w:t>
      </w:r>
      <w:r w:rsidR="00A0227D" w:rsidRPr="00794E95">
        <w:rPr>
          <w:rtl/>
        </w:rPr>
        <w:t>)</w:t>
      </w:r>
      <w:r w:rsidR="00A0227D">
        <w:rPr>
          <w:rtl/>
        </w:rPr>
        <w:tab/>
        <w:t>الاقتصاد</w:t>
      </w:r>
      <w:bookmarkEnd w:id="9"/>
    </w:p>
    <w:p w14:paraId="0D15A0A6" w14:textId="77777777" w:rsidR="00A0227D" w:rsidRPr="00CB0B50" w:rsidRDefault="00A0227D" w:rsidP="00C50140">
      <w:pPr>
        <w:pStyle w:val="H23GA"/>
        <w:rPr>
          <w:szCs w:val="20"/>
          <w:lang w:val="ar-SA" w:eastAsia="zh-TW" w:bidi="en-GB"/>
        </w:rPr>
      </w:pPr>
      <w:bookmarkStart w:id="10" w:name="_Toc32364276"/>
      <w:r>
        <w:rPr>
          <w:rtl/>
        </w:rPr>
        <w:tab/>
      </w:r>
      <w:r>
        <w:rPr>
          <w:rtl/>
        </w:rPr>
        <w:tab/>
        <w:t>الدخل القومي الإجمالي</w:t>
      </w:r>
      <w:bookmarkEnd w:id="10"/>
    </w:p>
    <w:p w14:paraId="11C0AC24" w14:textId="3351A73A" w:rsidR="00A0227D" w:rsidRPr="009B1F51" w:rsidRDefault="00A0227D" w:rsidP="00C50140">
      <w:pPr>
        <w:pStyle w:val="SingleTxtGA"/>
        <w:rPr>
          <w:szCs w:val="20"/>
          <w:lang w:val="ar-SA" w:eastAsia="zh-TW" w:bidi="en-GB"/>
        </w:rPr>
      </w:pPr>
      <w:r w:rsidRPr="005C19F0">
        <w:rPr>
          <w:szCs w:val="20"/>
          <w:rtl/>
        </w:rPr>
        <w:t>41</w:t>
      </w:r>
      <w:r w:rsidRPr="00EF3655">
        <w:rPr>
          <w:rtl/>
        </w:rPr>
        <w:t>-</w:t>
      </w:r>
      <w:r>
        <w:rPr>
          <w:rtl/>
        </w:rPr>
        <w:tab/>
        <w:t xml:space="preserve">في عام </w:t>
      </w:r>
      <w:r w:rsidRPr="005C19F0">
        <w:rPr>
          <w:szCs w:val="20"/>
          <w:rtl/>
        </w:rPr>
        <w:t>2018</w:t>
      </w:r>
      <w:r>
        <w:rPr>
          <w:rtl/>
        </w:rPr>
        <w:t xml:space="preserve">، بلغ الناتج المحلي الإجمالي لفنلندا حوالي </w:t>
      </w:r>
      <w:r w:rsidRPr="005C19F0">
        <w:rPr>
          <w:szCs w:val="20"/>
          <w:rtl/>
        </w:rPr>
        <w:t>233</w:t>
      </w:r>
      <w:r w:rsidR="0063047E">
        <w:rPr>
          <w:rFonts w:ascii="Traditional Arabic"/>
          <w:szCs w:val="20"/>
          <w:rtl/>
        </w:rPr>
        <w:t>,</w:t>
      </w:r>
      <w:r w:rsidRPr="005C19F0">
        <w:rPr>
          <w:szCs w:val="20"/>
          <w:rtl/>
        </w:rPr>
        <w:t>6</w:t>
      </w:r>
      <w:r>
        <w:rPr>
          <w:rtl/>
        </w:rPr>
        <w:t xml:space="preserve"> مليار يورو، وبلغ التغير السنوي في الحجم </w:t>
      </w:r>
      <w:r w:rsidRPr="005C19F0">
        <w:rPr>
          <w:szCs w:val="20"/>
          <w:rtl/>
        </w:rPr>
        <w:t>2</w:t>
      </w:r>
      <w:r w:rsidR="0063047E">
        <w:rPr>
          <w:rFonts w:ascii="Traditional Arabic"/>
          <w:szCs w:val="20"/>
          <w:rtl/>
        </w:rPr>
        <w:t>,</w:t>
      </w:r>
      <w:r w:rsidRPr="005C19F0">
        <w:rPr>
          <w:szCs w:val="20"/>
          <w:rtl/>
        </w:rPr>
        <w:t>3</w:t>
      </w:r>
      <w:r>
        <w:rPr>
          <w:rtl/>
        </w:rPr>
        <w:t xml:space="preserve"> في المائة. وبلغ نصيب الفرد من الناتج المحلي الإجمالي </w:t>
      </w:r>
      <w:r w:rsidRPr="005C19F0">
        <w:rPr>
          <w:szCs w:val="20"/>
          <w:rtl/>
        </w:rPr>
        <w:t>504</w:t>
      </w:r>
      <w:r>
        <w:rPr>
          <w:rFonts w:ascii="Traditional Arabic"/>
          <w:szCs w:val="20"/>
          <w:rtl/>
        </w:rPr>
        <w:t xml:space="preserve"> </w:t>
      </w:r>
      <w:r w:rsidRPr="005C19F0">
        <w:rPr>
          <w:szCs w:val="20"/>
          <w:rtl/>
        </w:rPr>
        <w:t>42</w:t>
      </w:r>
      <w:r>
        <w:rPr>
          <w:rtl/>
        </w:rPr>
        <w:t xml:space="preserve"> يورو.</w:t>
      </w:r>
    </w:p>
    <w:p w14:paraId="27989E85" w14:textId="51281A57" w:rsidR="00A0227D" w:rsidRPr="009B1F51" w:rsidRDefault="00A0227D" w:rsidP="00C50140">
      <w:pPr>
        <w:pStyle w:val="SingleTxtGA"/>
        <w:rPr>
          <w:szCs w:val="20"/>
          <w:lang w:val="ar-SA" w:eastAsia="zh-TW" w:bidi="en-GB"/>
        </w:rPr>
      </w:pPr>
      <w:r w:rsidRPr="005C19F0">
        <w:rPr>
          <w:szCs w:val="20"/>
          <w:rtl/>
        </w:rPr>
        <w:lastRenderedPageBreak/>
        <w:t>42</w:t>
      </w:r>
      <w:r w:rsidRPr="00EF3655">
        <w:rPr>
          <w:rtl/>
        </w:rPr>
        <w:t>-</w:t>
      </w:r>
      <w:r>
        <w:rPr>
          <w:rtl/>
        </w:rPr>
        <w:tab/>
        <w:t xml:space="preserve">وبلغ المعدل الضريبي، أي نسبة الضرائب والمدفوعات الشبيهة بالضريبة إلى الناتج المحلي الإجمالي، حوالي </w:t>
      </w:r>
      <w:r w:rsidRPr="005C19F0">
        <w:rPr>
          <w:szCs w:val="20"/>
          <w:rtl/>
        </w:rPr>
        <w:t>42</w:t>
      </w:r>
      <w:r w:rsidR="0063047E">
        <w:rPr>
          <w:rFonts w:ascii="Traditional Arabic"/>
          <w:szCs w:val="20"/>
          <w:rtl/>
        </w:rPr>
        <w:t>,</w:t>
      </w:r>
      <w:r w:rsidRPr="005C19F0">
        <w:rPr>
          <w:szCs w:val="20"/>
          <w:rtl/>
        </w:rPr>
        <w:t>4</w:t>
      </w:r>
      <w:r>
        <w:rPr>
          <w:rFonts w:ascii="Traditional Arabic"/>
          <w:szCs w:val="20"/>
          <w:rtl/>
        </w:rPr>
        <w:t xml:space="preserve"> </w:t>
      </w:r>
      <w:r w:rsidRPr="00451F76">
        <w:rPr>
          <w:rtl/>
        </w:rPr>
        <w:t>في المائة</w:t>
      </w:r>
      <w:r>
        <w:rPr>
          <w:rtl/>
        </w:rPr>
        <w:t xml:space="preserve"> في عام </w:t>
      </w:r>
      <w:r w:rsidRPr="005C19F0">
        <w:rPr>
          <w:szCs w:val="20"/>
          <w:rtl/>
        </w:rPr>
        <w:t>2018</w:t>
      </w:r>
      <w:r>
        <w:rPr>
          <w:rtl/>
        </w:rPr>
        <w:t>، ولا يُتوقع حدوث أي تغيير كبير في المستقبل المنظور.</w:t>
      </w:r>
    </w:p>
    <w:p w14:paraId="25062C0F" w14:textId="77777777" w:rsidR="00A0227D" w:rsidRPr="009B1F51" w:rsidRDefault="00A0227D" w:rsidP="00C50140">
      <w:pPr>
        <w:pStyle w:val="SingleTxtGA"/>
        <w:rPr>
          <w:szCs w:val="20"/>
          <w:lang w:val="ar-SA" w:eastAsia="zh-TW" w:bidi="en-GB"/>
        </w:rPr>
      </w:pPr>
      <w:r w:rsidRPr="005C19F0">
        <w:rPr>
          <w:szCs w:val="20"/>
          <w:rtl/>
        </w:rPr>
        <w:t>43</w:t>
      </w:r>
      <w:r w:rsidRPr="00EF3655">
        <w:rPr>
          <w:rtl/>
        </w:rPr>
        <w:t>-</w:t>
      </w:r>
      <w:r>
        <w:rPr>
          <w:rtl/>
        </w:rPr>
        <w:tab/>
        <w:t xml:space="preserve">وكان متوسط الدخل الخاضع للضريبة للأشخاص الطبيعيين </w:t>
      </w:r>
      <w:r w:rsidRPr="005C19F0">
        <w:rPr>
          <w:szCs w:val="20"/>
          <w:rtl/>
        </w:rPr>
        <w:t>540</w:t>
      </w:r>
      <w:r>
        <w:rPr>
          <w:rFonts w:ascii="Traditional Arabic"/>
          <w:szCs w:val="20"/>
          <w:rtl/>
        </w:rPr>
        <w:t xml:space="preserve"> </w:t>
      </w:r>
      <w:r w:rsidRPr="005C19F0">
        <w:rPr>
          <w:szCs w:val="20"/>
          <w:rtl/>
        </w:rPr>
        <w:t>29</w:t>
      </w:r>
      <w:r>
        <w:rPr>
          <w:rtl/>
        </w:rPr>
        <w:t xml:space="preserve"> يورو لكل صاحب دخل في عام </w:t>
      </w:r>
      <w:r w:rsidRPr="005C19F0">
        <w:rPr>
          <w:szCs w:val="20"/>
          <w:rtl/>
        </w:rPr>
        <w:t>2017</w:t>
      </w:r>
      <w:r w:rsidRPr="00BB79C1">
        <w:rPr>
          <w:rtl/>
        </w:rPr>
        <w:t>:</w:t>
      </w:r>
      <w:r>
        <w:rPr>
          <w:rFonts w:ascii="Traditional Arabic"/>
          <w:szCs w:val="20"/>
          <w:rtl/>
        </w:rPr>
        <w:t xml:space="preserve"> </w:t>
      </w:r>
      <w:r w:rsidRPr="005C19F0">
        <w:rPr>
          <w:szCs w:val="20"/>
          <w:rtl/>
        </w:rPr>
        <w:t>227</w:t>
      </w:r>
      <w:r>
        <w:rPr>
          <w:rFonts w:ascii="Traditional Arabic"/>
          <w:szCs w:val="20"/>
          <w:rtl/>
        </w:rPr>
        <w:t xml:space="preserve"> </w:t>
      </w:r>
      <w:r w:rsidRPr="005C19F0">
        <w:rPr>
          <w:szCs w:val="20"/>
          <w:rtl/>
        </w:rPr>
        <w:t>34</w:t>
      </w:r>
      <w:r>
        <w:rPr>
          <w:rtl/>
        </w:rPr>
        <w:t xml:space="preserve"> يورو للرجال و</w:t>
      </w:r>
      <w:r w:rsidRPr="005C19F0">
        <w:rPr>
          <w:szCs w:val="20"/>
          <w:rtl/>
        </w:rPr>
        <w:t>061</w:t>
      </w:r>
      <w:r>
        <w:rPr>
          <w:rFonts w:ascii="Traditional Arabic"/>
          <w:szCs w:val="20"/>
          <w:rtl/>
        </w:rPr>
        <w:t xml:space="preserve"> </w:t>
      </w:r>
      <w:r w:rsidRPr="005C19F0">
        <w:rPr>
          <w:szCs w:val="20"/>
          <w:rtl/>
        </w:rPr>
        <w:t>25</w:t>
      </w:r>
      <w:r>
        <w:rPr>
          <w:rtl/>
        </w:rPr>
        <w:t xml:space="preserve"> يورو للنساء.</w:t>
      </w:r>
    </w:p>
    <w:p w14:paraId="78D509D2" w14:textId="77777777" w:rsidR="00A0227D" w:rsidRPr="009B1F51" w:rsidRDefault="00A0227D" w:rsidP="00C50140">
      <w:pPr>
        <w:pStyle w:val="H23GA"/>
        <w:rPr>
          <w:szCs w:val="20"/>
          <w:lang w:val="ar-SA" w:eastAsia="zh-TW" w:bidi="en-GB"/>
        </w:rPr>
      </w:pPr>
      <w:bookmarkStart w:id="11" w:name="_Toc32364277"/>
      <w:r>
        <w:rPr>
          <w:rtl/>
        </w:rPr>
        <w:tab/>
      </w:r>
      <w:r>
        <w:rPr>
          <w:rtl/>
        </w:rPr>
        <w:tab/>
        <w:t>مؤشر أسعار ا</w:t>
      </w:r>
      <w:bookmarkEnd w:id="11"/>
      <w:r>
        <w:rPr>
          <w:rtl/>
        </w:rPr>
        <w:t>لاستهلاك</w:t>
      </w:r>
    </w:p>
    <w:p w14:paraId="1FE6BD58" w14:textId="77777777" w:rsidR="00A0227D" w:rsidRPr="009B1F51" w:rsidRDefault="00A0227D" w:rsidP="00C50140">
      <w:pPr>
        <w:pStyle w:val="SingleTxtGA"/>
        <w:rPr>
          <w:szCs w:val="20"/>
          <w:lang w:val="ar-SA" w:eastAsia="zh-TW" w:bidi="en-GB"/>
        </w:rPr>
      </w:pPr>
      <w:r w:rsidRPr="005C19F0">
        <w:rPr>
          <w:szCs w:val="20"/>
          <w:rtl/>
        </w:rPr>
        <w:t>44</w:t>
      </w:r>
      <w:r w:rsidRPr="00EF3655">
        <w:rPr>
          <w:rtl/>
        </w:rPr>
        <w:t>-</w:t>
      </w:r>
      <w:r>
        <w:rPr>
          <w:rtl/>
        </w:rPr>
        <w:tab/>
        <w:t>يبين مؤشر أسعار الاستهلاك تطور أسعار المنتجات والخدمات التي تشتريها الأسر المعيشية في فنلندا. ويُستخدم مؤشر أسعار الاستهلاك كمقياس عام للتضخم.</w:t>
      </w:r>
    </w:p>
    <w:p w14:paraId="71FA9CC7" w14:textId="77777777" w:rsidR="00A0227D" w:rsidRPr="009B1F51" w:rsidRDefault="00A0227D" w:rsidP="00C50140">
      <w:pPr>
        <w:pStyle w:val="SingleTxtGA"/>
        <w:rPr>
          <w:szCs w:val="20"/>
          <w:lang w:val="ar-SA" w:eastAsia="zh-TW" w:bidi="en-GB"/>
        </w:rPr>
      </w:pPr>
      <w:r w:rsidRPr="005C19F0">
        <w:rPr>
          <w:szCs w:val="20"/>
          <w:rtl/>
        </w:rPr>
        <w:t>45</w:t>
      </w:r>
      <w:r w:rsidRPr="00EF3655">
        <w:rPr>
          <w:rtl/>
        </w:rPr>
        <w:t>-</w:t>
      </w:r>
      <w:r>
        <w:rPr>
          <w:rtl/>
        </w:rPr>
        <w:tab/>
        <w:t>وي</w:t>
      </w:r>
      <w:r>
        <w:rPr>
          <w:rtl/>
          <w:lang w:val="fr-CH"/>
        </w:rPr>
        <w:t>ُ</w:t>
      </w:r>
      <w:r>
        <w:rPr>
          <w:rtl/>
        </w:rPr>
        <w:t xml:space="preserve">حسب </w:t>
      </w:r>
      <w:bookmarkStart w:id="12" w:name="_Hlk48582110"/>
      <w:r>
        <w:rPr>
          <w:rtl/>
        </w:rPr>
        <w:t xml:space="preserve">مؤشر أسعار الاستهلاك </w:t>
      </w:r>
      <w:bookmarkEnd w:id="12"/>
      <w:r>
        <w:rPr>
          <w:rtl/>
        </w:rPr>
        <w:t>بحساب أسعار سلع مختلفة بالاقتران مع حصص استهلاكها. ويُحسب المؤشر بطريقة معادلة مؤشر أسعار لاسبيرس حيث ترتبط حصص الاستهلاك المستخدمة كأوزان بفترة الأساس.</w:t>
      </w:r>
    </w:p>
    <w:p w14:paraId="365D66E5" w14:textId="77777777" w:rsidR="00A0227D" w:rsidRDefault="00A0227D" w:rsidP="00862864">
      <w:pPr>
        <w:pStyle w:val="SingleTxtGA"/>
        <w:spacing w:after="0"/>
        <w:rPr>
          <w:szCs w:val="20"/>
          <w:lang w:val="ar-SA" w:eastAsia="zh-TW" w:bidi="en-GB"/>
        </w:rPr>
      </w:pPr>
      <w:r>
        <w:rPr>
          <w:rtl/>
        </w:rPr>
        <w:t xml:space="preserve">الجدول </w:t>
      </w:r>
      <w:r w:rsidRPr="005C19F0">
        <w:rPr>
          <w:szCs w:val="20"/>
          <w:rtl/>
        </w:rPr>
        <w:t>3</w:t>
      </w:r>
    </w:p>
    <w:p w14:paraId="3841288C" w14:textId="77777777" w:rsidR="00A0227D" w:rsidRPr="00C50140" w:rsidRDefault="00A0227D" w:rsidP="00C50140">
      <w:pPr>
        <w:pStyle w:val="SingleTxtGA"/>
        <w:rPr>
          <w:b/>
          <w:bCs/>
          <w:szCs w:val="20"/>
          <w:lang w:val="ar-SA" w:eastAsia="zh-TW" w:bidi="en-GB"/>
        </w:rPr>
      </w:pPr>
      <w:r w:rsidRPr="00C50140">
        <w:rPr>
          <w:b/>
          <w:bCs/>
          <w:rtl/>
        </w:rPr>
        <w:t xml:space="preserve">مؤشر أسعار الاستهلاك بحسب مجموعات السلع والخدمات في الفترة </w:t>
      </w:r>
      <w:r w:rsidRPr="005C19F0">
        <w:rPr>
          <w:b/>
          <w:bCs/>
          <w:szCs w:val="20"/>
          <w:rtl/>
        </w:rPr>
        <w:t>2010</w:t>
      </w:r>
      <w:r w:rsidRPr="00EF3655">
        <w:rPr>
          <w:rtl/>
        </w:rPr>
        <w:t>-</w:t>
      </w:r>
      <w:r w:rsidRPr="005C19F0">
        <w:rPr>
          <w:b/>
          <w:bCs/>
          <w:szCs w:val="20"/>
          <w:rtl/>
        </w:rPr>
        <w:t>2016</w:t>
      </w:r>
    </w:p>
    <w:tbl>
      <w:tblPr>
        <w:bidiVisual/>
        <w:tblW w:w="7197" w:type="dxa"/>
        <w:tblInd w:w="122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3"/>
        <w:gridCol w:w="762"/>
        <w:gridCol w:w="770"/>
        <w:gridCol w:w="770"/>
        <w:gridCol w:w="771"/>
        <w:gridCol w:w="770"/>
        <w:gridCol w:w="770"/>
        <w:gridCol w:w="770"/>
        <w:gridCol w:w="772"/>
        <w:gridCol w:w="609"/>
      </w:tblGrid>
      <w:tr w:rsidR="00A0227D" w:rsidRPr="00054B3B" w14:paraId="37D62223" w14:textId="77777777" w:rsidTr="00054B3B">
        <w:trPr>
          <w:tblHeader/>
        </w:trPr>
        <w:tc>
          <w:tcPr>
            <w:tcW w:w="433" w:type="dxa"/>
            <w:tcBorders>
              <w:top w:val="single" w:sz="4" w:space="0" w:color="auto"/>
              <w:bottom w:val="single" w:sz="12" w:space="0" w:color="auto"/>
            </w:tcBorders>
            <w:shd w:val="clear" w:color="auto" w:fill="auto"/>
            <w:vAlign w:val="bottom"/>
          </w:tcPr>
          <w:p w14:paraId="36BD5608" w14:textId="77777777" w:rsidR="00A0227D" w:rsidRPr="00054B3B" w:rsidRDefault="00A0227D" w:rsidP="00054B3B">
            <w:pPr>
              <w:spacing w:after="40" w:line="300" w:lineRule="exact"/>
              <w:ind w:left="57" w:right="57"/>
              <w:rPr>
                <w:bCs/>
                <w:i/>
                <w:sz w:val="18"/>
                <w:szCs w:val="18"/>
              </w:rPr>
            </w:pPr>
          </w:p>
        </w:tc>
        <w:tc>
          <w:tcPr>
            <w:tcW w:w="762" w:type="dxa"/>
            <w:tcBorders>
              <w:top w:val="single" w:sz="4" w:space="0" w:color="auto"/>
              <w:bottom w:val="single" w:sz="12" w:space="0" w:color="auto"/>
            </w:tcBorders>
            <w:shd w:val="clear" w:color="auto" w:fill="auto"/>
            <w:vAlign w:val="bottom"/>
            <w:hideMark/>
          </w:tcPr>
          <w:p w14:paraId="189A3C36"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2010</w:t>
            </w:r>
          </w:p>
        </w:tc>
        <w:tc>
          <w:tcPr>
            <w:tcW w:w="770" w:type="dxa"/>
            <w:tcBorders>
              <w:top w:val="single" w:sz="4" w:space="0" w:color="auto"/>
              <w:bottom w:val="single" w:sz="12" w:space="0" w:color="auto"/>
            </w:tcBorders>
            <w:shd w:val="clear" w:color="auto" w:fill="auto"/>
            <w:vAlign w:val="bottom"/>
            <w:hideMark/>
          </w:tcPr>
          <w:p w14:paraId="7004AC25"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2011</w:t>
            </w:r>
          </w:p>
        </w:tc>
        <w:tc>
          <w:tcPr>
            <w:tcW w:w="770" w:type="dxa"/>
            <w:tcBorders>
              <w:top w:val="single" w:sz="4" w:space="0" w:color="auto"/>
              <w:bottom w:val="single" w:sz="12" w:space="0" w:color="auto"/>
            </w:tcBorders>
            <w:shd w:val="clear" w:color="auto" w:fill="auto"/>
            <w:vAlign w:val="bottom"/>
            <w:hideMark/>
          </w:tcPr>
          <w:p w14:paraId="7E4D010C"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2012</w:t>
            </w:r>
          </w:p>
        </w:tc>
        <w:tc>
          <w:tcPr>
            <w:tcW w:w="771" w:type="dxa"/>
            <w:tcBorders>
              <w:top w:val="single" w:sz="4" w:space="0" w:color="auto"/>
              <w:bottom w:val="single" w:sz="12" w:space="0" w:color="auto"/>
            </w:tcBorders>
            <w:shd w:val="clear" w:color="auto" w:fill="auto"/>
            <w:vAlign w:val="bottom"/>
            <w:hideMark/>
          </w:tcPr>
          <w:p w14:paraId="6B2E2211"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2013</w:t>
            </w:r>
          </w:p>
        </w:tc>
        <w:tc>
          <w:tcPr>
            <w:tcW w:w="770" w:type="dxa"/>
            <w:tcBorders>
              <w:top w:val="single" w:sz="4" w:space="0" w:color="auto"/>
              <w:bottom w:val="single" w:sz="12" w:space="0" w:color="auto"/>
            </w:tcBorders>
            <w:shd w:val="clear" w:color="auto" w:fill="auto"/>
            <w:vAlign w:val="bottom"/>
            <w:hideMark/>
          </w:tcPr>
          <w:p w14:paraId="63DDD7FD"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2014</w:t>
            </w:r>
          </w:p>
        </w:tc>
        <w:tc>
          <w:tcPr>
            <w:tcW w:w="770" w:type="dxa"/>
            <w:tcBorders>
              <w:top w:val="single" w:sz="4" w:space="0" w:color="auto"/>
              <w:bottom w:val="single" w:sz="12" w:space="0" w:color="auto"/>
            </w:tcBorders>
            <w:shd w:val="clear" w:color="auto" w:fill="auto"/>
            <w:vAlign w:val="bottom"/>
            <w:hideMark/>
          </w:tcPr>
          <w:p w14:paraId="50B401D1"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2015</w:t>
            </w:r>
          </w:p>
        </w:tc>
        <w:tc>
          <w:tcPr>
            <w:tcW w:w="770" w:type="dxa"/>
            <w:tcBorders>
              <w:top w:val="single" w:sz="4" w:space="0" w:color="auto"/>
              <w:bottom w:val="single" w:sz="12" w:space="0" w:color="auto"/>
            </w:tcBorders>
            <w:shd w:val="clear" w:color="auto" w:fill="auto"/>
            <w:vAlign w:val="bottom"/>
            <w:hideMark/>
          </w:tcPr>
          <w:p w14:paraId="24B680E6"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2016</w:t>
            </w:r>
          </w:p>
        </w:tc>
        <w:tc>
          <w:tcPr>
            <w:tcW w:w="772" w:type="dxa"/>
            <w:tcBorders>
              <w:top w:val="single" w:sz="4" w:space="0" w:color="auto"/>
              <w:bottom w:val="single" w:sz="12" w:space="0" w:color="auto"/>
            </w:tcBorders>
            <w:shd w:val="clear" w:color="auto" w:fill="auto"/>
            <w:vAlign w:val="bottom"/>
          </w:tcPr>
          <w:p w14:paraId="087BC675"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2017</w:t>
            </w:r>
          </w:p>
        </w:tc>
        <w:tc>
          <w:tcPr>
            <w:tcW w:w="609" w:type="dxa"/>
            <w:tcBorders>
              <w:top w:val="single" w:sz="4" w:space="0" w:color="auto"/>
              <w:bottom w:val="single" w:sz="12" w:space="0" w:color="auto"/>
            </w:tcBorders>
            <w:shd w:val="clear" w:color="auto" w:fill="auto"/>
            <w:vAlign w:val="bottom"/>
          </w:tcPr>
          <w:p w14:paraId="0F793440" w14:textId="77777777" w:rsidR="00A0227D" w:rsidRPr="00054B3B" w:rsidRDefault="00A0227D" w:rsidP="00054B3B">
            <w:pPr>
              <w:spacing w:after="40" w:line="300" w:lineRule="exact"/>
              <w:ind w:left="57" w:right="57"/>
              <w:textDirection w:val="tbRlV"/>
              <w:rPr>
                <w:bCs/>
                <w:i/>
                <w:sz w:val="18"/>
                <w:szCs w:val="18"/>
                <w:lang w:val="ar-SA" w:eastAsia="zh-TW" w:bidi="en-GB"/>
              </w:rPr>
            </w:pPr>
            <w:r w:rsidRPr="00054B3B">
              <w:rPr>
                <w:i/>
                <w:iCs/>
                <w:sz w:val="18"/>
                <w:szCs w:val="18"/>
                <w:rtl/>
              </w:rPr>
              <w:t>2018</w:t>
            </w:r>
          </w:p>
        </w:tc>
      </w:tr>
      <w:tr w:rsidR="00A0227D" w:rsidRPr="00054B3B" w14:paraId="2A2ECED3" w14:textId="77777777" w:rsidTr="00054B3B">
        <w:tc>
          <w:tcPr>
            <w:tcW w:w="433" w:type="dxa"/>
            <w:tcBorders>
              <w:top w:val="single" w:sz="12" w:space="0" w:color="auto"/>
            </w:tcBorders>
            <w:shd w:val="clear" w:color="auto" w:fill="auto"/>
            <w:hideMark/>
          </w:tcPr>
          <w:p w14:paraId="2CE87CF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Pr>
              <w:t>0</w:t>
            </w:r>
          </w:p>
        </w:tc>
        <w:tc>
          <w:tcPr>
            <w:tcW w:w="762" w:type="dxa"/>
            <w:tcBorders>
              <w:top w:val="single" w:sz="12" w:space="0" w:color="auto"/>
            </w:tcBorders>
            <w:shd w:val="clear" w:color="auto" w:fill="auto"/>
            <w:vAlign w:val="bottom"/>
            <w:hideMark/>
          </w:tcPr>
          <w:p w14:paraId="6E0F114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tcBorders>
              <w:top w:val="single" w:sz="12" w:space="0" w:color="auto"/>
            </w:tcBorders>
            <w:shd w:val="clear" w:color="auto" w:fill="auto"/>
            <w:vAlign w:val="bottom"/>
            <w:hideMark/>
          </w:tcPr>
          <w:p w14:paraId="5316D32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4</w:t>
            </w:r>
          </w:p>
        </w:tc>
        <w:tc>
          <w:tcPr>
            <w:tcW w:w="770" w:type="dxa"/>
            <w:tcBorders>
              <w:top w:val="single" w:sz="12" w:space="0" w:color="auto"/>
            </w:tcBorders>
            <w:shd w:val="clear" w:color="auto" w:fill="auto"/>
            <w:vAlign w:val="bottom"/>
            <w:hideMark/>
          </w:tcPr>
          <w:p w14:paraId="2DAFF48F"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3</w:t>
            </w:r>
          </w:p>
        </w:tc>
        <w:tc>
          <w:tcPr>
            <w:tcW w:w="771" w:type="dxa"/>
            <w:tcBorders>
              <w:top w:val="single" w:sz="12" w:space="0" w:color="auto"/>
            </w:tcBorders>
            <w:shd w:val="clear" w:color="auto" w:fill="auto"/>
            <w:vAlign w:val="bottom"/>
            <w:hideMark/>
          </w:tcPr>
          <w:p w14:paraId="5245E6E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107</w:t>
            </w:r>
            <w:r w:rsidRPr="00054B3B">
              <w:rPr>
                <w:rFonts w:ascii="Traditional Arabic"/>
                <w:sz w:val="18"/>
                <w:szCs w:val="18"/>
                <w:rtl/>
              </w:rPr>
              <w:t>,</w:t>
            </w:r>
            <w:r w:rsidRPr="00054B3B">
              <w:rPr>
                <w:sz w:val="18"/>
                <w:szCs w:val="18"/>
                <w:rtl/>
              </w:rPr>
              <w:t>9</w:t>
            </w:r>
          </w:p>
        </w:tc>
        <w:tc>
          <w:tcPr>
            <w:tcW w:w="770" w:type="dxa"/>
            <w:tcBorders>
              <w:top w:val="single" w:sz="12" w:space="0" w:color="auto"/>
            </w:tcBorders>
            <w:shd w:val="clear" w:color="auto" w:fill="auto"/>
            <w:vAlign w:val="bottom"/>
            <w:hideMark/>
          </w:tcPr>
          <w:p w14:paraId="5EB89E7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0</w:t>
            </w:r>
          </w:p>
        </w:tc>
        <w:tc>
          <w:tcPr>
            <w:tcW w:w="770" w:type="dxa"/>
            <w:tcBorders>
              <w:top w:val="single" w:sz="12" w:space="0" w:color="auto"/>
            </w:tcBorders>
            <w:shd w:val="clear" w:color="auto" w:fill="auto"/>
            <w:vAlign w:val="bottom"/>
            <w:hideMark/>
          </w:tcPr>
          <w:p w14:paraId="6BA3ED94"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108</w:t>
            </w:r>
            <w:r w:rsidRPr="00054B3B">
              <w:rPr>
                <w:rFonts w:ascii="Traditional Arabic"/>
                <w:sz w:val="18"/>
                <w:szCs w:val="18"/>
                <w:rtl/>
              </w:rPr>
              <w:t>,</w:t>
            </w:r>
            <w:r w:rsidRPr="00054B3B">
              <w:rPr>
                <w:sz w:val="18"/>
                <w:szCs w:val="18"/>
                <w:rtl/>
              </w:rPr>
              <w:t>8</w:t>
            </w:r>
          </w:p>
        </w:tc>
        <w:tc>
          <w:tcPr>
            <w:tcW w:w="770" w:type="dxa"/>
            <w:tcBorders>
              <w:top w:val="single" w:sz="12" w:space="0" w:color="auto"/>
            </w:tcBorders>
            <w:shd w:val="clear" w:color="auto" w:fill="auto"/>
            <w:vAlign w:val="bottom"/>
            <w:hideMark/>
          </w:tcPr>
          <w:p w14:paraId="0ADE495F"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2</w:t>
            </w:r>
          </w:p>
        </w:tc>
        <w:tc>
          <w:tcPr>
            <w:tcW w:w="772" w:type="dxa"/>
            <w:tcBorders>
              <w:top w:val="single" w:sz="12" w:space="0" w:color="auto"/>
            </w:tcBorders>
            <w:shd w:val="clear" w:color="auto" w:fill="auto"/>
            <w:vAlign w:val="bottom"/>
          </w:tcPr>
          <w:p w14:paraId="0CB165B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0</w:t>
            </w:r>
          </w:p>
        </w:tc>
        <w:tc>
          <w:tcPr>
            <w:tcW w:w="609" w:type="dxa"/>
            <w:tcBorders>
              <w:top w:val="single" w:sz="12" w:space="0" w:color="auto"/>
            </w:tcBorders>
            <w:shd w:val="clear" w:color="auto" w:fill="auto"/>
            <w:vAlign w:val="bottom"/>
          </w:tcPr>
          <w:p w14:paraId="0C9779F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2</w:t>
            </w:r>
          </w:p>
        </w:tc>
      </w:tr>
      <w:tr w:rsidR="00A0227D" w:rsidRPr="00054B3B" w14:paraId="2828B097" w14:textId="77777777" w:rsidTr="00054B3B">
        <w:tc>
          <w:tcPr>
            <w:tcW w:w="433" w:type="dxa"/>
            <w:shd w:val="clear" w:color="auto" w:fill="auto"/>
            <w:hideMark/>
          </w:tcPr>
          <w:p w14:paraId="60C1432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w:t>
            </w:r>
          </w:p>
        </w:tc>
        <w:tc>
          <w:tcPr>
            <w:tcW w:w="762" w:type="dxa"/>
            <w:shd w:val="clear" w:color="auto" w:fill="auto"/>
            <w:vAlign w:val="bottom"/>
            <w:hideMark/>
          </w:tcPr>
          <w:p w14:paraId="713AFCF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7F07BE4F"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3</w:t>
            </w:r>
          </w:p>
        </w:tc>
        <w:tc>
          <w:tcPr>
            <w:tcW w:w="770" w:type="dxa"/>
            <w:shd w:val="clear" w:color="auto" w:fill="auto"/>
            <w:vAlign w:val="bottom"/>
            <w:hideMark/>
          </w:tcPr>
          <w:p w14:paraId="671CE59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8</w:t>
            </w:r>
          </w:p>
        </w:tc>
        <w:tc>
          <w:tcPr>
            <w:tcW w:w="771" w:type="dxa"/>
            <w:shd w:val="clear" w:color="auto" w:fill="auto"/>
            <w:vAlign w:val="bottom"/>
            <w:hideMark/>
          </w:tcPr>
          <w:p w14:paraId="5AA0CCA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117</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65D8646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117</w:t>
            </w:r>
            <w:r w:rsidRPr="00054B3B">
              <w:rPr>
                <w:rFonts w:ascii="Traditional Arabic"/>
                <w:sz w:val="18"/>
                <w:szCs w:val="18"/>
                <w:rtl/>
              </w:rPr>
              <w:t>,</w:t>
            </w:r>
            <w:r w:rsidRPr="00054B3B">
              <w:rPr>
                <w:sz w:val="18"/>
                <w:szCs w:val="18"/>
                <w:rtl/>
              </w:rPr>
              <w:t>9</w:t>
            </w:r>
          </w:p>
        </w:tc>
        <w:tc>
          <w:tcPr>
            <w:tcW w:w="770" w:type="dxa"/>
            <w:shd w:val="clear" w:color="auto" w:fill="auto"/>
            <w:vAlign w:val="bottom"/>
            <w:hideMark/>
          </w:tcPr>
          <w:p w14:paraId="3991C58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115</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28537F4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114</w:t>
            </w:r>
            <w:r w:rsidRPr="00054B3B">
              <w:rPr>
                <w:rFonts w:ascii="Traditional Arabic"/>
                <w:sz w:val="18"/>
                <w:szCs w:val="18"/>
                <w:rtl/>
              </w:rPr>
              <w:t>,</w:t>
            </w:r>
            <w:r w:rsidRPr="00054B3B">
              <w:rPr>
                <w:sz w:val="18"/>
                <w:szCs w:val="18"/>
                <w:rtl/>
              </w:rPr>
              <w:t>4</w:t>
            </w:r>
          </w:p>
        </w:tc>
        <w:tc>
          <w:tcPr>
            <w:tcW w:w="772" w:type="dxa"/>
            <w:shd w:val="clear" w:color="auto" w:fill="auto"/>
            <w:vAlign w:val="bottom"/>
          </w:tcPr>
          <w:p w14:paraId="2647436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113</w:t>
            </w:r>
            <w:r w:rsidRPr="00054B3B">
              <w:rPr>
                <w:rFonts w:ascii="Traditional Arabic"/>
                <w:sz w:val="18"/>
                <w:szCs w:val="18"/>
                <w:rtl/>
              </w:rPr>
              <w:t>,</w:t>
            </w:r>
            <w:r w:rsidRPr="00054B3B">
              <w:rPr>
                <w:sz w:val="18"/>
                <w:szCs w:val="18"/>
                <w:rtl/>
              </w:rPr>
              <w:t>3</w:t>
            </w:r>
          </w:p>
        </w:tc>
        <w:tc>
          <w:tcPr>
            <w:tcW w:w="609" w:type="dxa"/>
            <w:shd w:val="clear" w:color="auto" w:fill="auto"/>
            <w:vAlign w:val="bottom"/>
          </w:tcPr>
          <w:p w14:paraId="16F09FA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115</w:t>
            </w:r>
            <w:r w:rsidRPr="00054B3B">
              <w:rPr>
                <w:rFonts w:ascii="Traditional Arabic"/>
                <w:sz w:val="18"/>
                <w:szCs w:val="18"/>
                <w:rtl/>
              </w:rPr>
              <w:t>,</w:t>
            </w:r>
            <w:r w:rsidRPr="00054B3B">
              <w:rPr>
                <w:sz w:val="18"/>
                <w:szCs w:val="18"/>
                <w:rtl/>
              </w:rPr>
              <w:t>5</w:t>
            </w:r>
          </w:p>
        </w:tc>
      </w:tr>
      <w:tr w:rsidR="00A0227D" w:rsidRPr="00054B3B" w14:paraId="27221673" w14:textId="77777777" w:rsidTr="00054B3B">
        <w:tc>
          <w:tcPr>
            <w:tcW w:w="433" w:type="dxa"/>
            <w:shd w:val="clear" w:color="auto" w:fill="auto"/>
            <w:hideMark/>
          </w:tcPr>
          <w:p w14:paraId="3C0B672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2</w:t>
            </w:r>
          </w:p>
        </w:tc>
        <w:tc>
          <w:tcPr>
            <w:tcW w:w="762" w:type="dxa"/>
            <w:shd w:val="clear" w:color="auto" w:fill="auto"/>
            <w:vAlign w:val="bottom"/>
            <w:hideMark/>
          </w:tcPr>
          <w:p w14:paraId="1C81E66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3E714BC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8</w:t>
            </w:r>
          </w:p>
        </w:tc>
        <w:tc>
          <w:tcPr>
            <w:tcW w:w="770" w:type="dxa"/>
            <w:shd w:val="clear" w:color="auto" w:fill="auto"/>
            <w:vAlign w:val="bottom"/>
            <w:hideMark/>
          </w:tcPr>
          <w:p w14:paraId="1B74A78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107</w:t>
            </w:r>
            <w:r w:rsidRPr="00054B3B">
              <w:rPr>
                <w:rFonts w:ascii="Traditional Arabic"/>
                <w:sz w:val="18"/>
                <w:szCs w:val="18"/>
                <w:rtl/>
              </w:rPr>
              <w:t>,</w:t>
            </w:r>
            <w:r w:rsidRPr="00054B3B">
              <w:rPr>
                <w:sz w:val="18"/>
                <w:szCs w:val="18"/>
                <w:rtl/>
              </w:rPr>
              <w:t>9</w:t>
            </w:r>
          </w:p>
        </w:tc>
        <w:tc>
          <w:tcPr>
            <w:tcW w:w="771" w:type="dxa"/>
            <w:shd w:val="clear" w:color="auto" w:fill="auto"/>
            <w:vAlign w:val="bottom"/>
            <w:hideMark/>
          </w:tcPr>
          <w:p w14:paraId="654C7DA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3</w:t>
            </w:r>
          </w:p>
        </w:tc>
        <w:tc>
          <w:tcPr>
            <w:tcW w:w="770" w:type="dxa"/>
            <w:shd w:val="clear" w:color="auto" w:fill="auto"/>
            <w:vAlign w:val="bottom"/>
            <w:hideMark/>
          </w:tcPr>
          <w:p w14:paraId="427E2B3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114</w:t>
            </w:r>
            <w:r w:rsidRPr="00054B3B">
              <w:rPr>
                <w:rFonts w:ascii="Traditional Arabic"/>
                <w:sz w:val="18"/>
                <w:szCs w:val="18"/>
                <w:rtl/>
              </w:rPr>
              <w:t>,</w:t>
            </w:r>
            <w:r w:rsidRPr="00054B3B">
              <w:rPr>
                <w:sz w:val="18"/>
                <w:szCs w:val="18"/>
                <w:rtl/>
              </w:rPr>
              <w:t>6</w:t>
            </w:r>
          </w:p>
        </w:tc>
        <w:tc>
          <w:tcPr>
            <w:tcW w:w="770" w:type="dxa"/>
            <w:shd w:val="clear" w:color="auto" w:fill="auto"/>
            <w:vAlign w:val="bottom"/>
            <w:hideMark/>
          </w:tcPr>
          <w:p w14:paraId="7D4BCC5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116</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5FEC1C9F"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117</w:t>
            </w:r>
            <w:r w:rsidRPr="00054B3B">
              <w:rPr>
                <w:rFonts w:ascii="Traditional Arabic"/>
                <w:sz w:val="18"/>
                <w:szCs w:val="18"/>
                <w:rtl/>
              </w:rPr>
              <w:t>,</w:t>
            </w:r>
            <w:r w:rsidRPr="00054B3B">
              <w:rPr>
                <w:sz w:val="18"/>
                <w:szCs w:val="18"/>
                <w:rtl/>
              </w:rPr>
              <w:t>2</w:t>
            </w:r>
          </w:p>
        </w:tc>
        <w:tc>
          <w:tcPr>
            <w:tcW w:w="772" w:type="dxa"/>
            <w:shd w:val="clear" w:color="auto" w:fill="auto"/>
            <w:vAlign w:val="bottom"/>
          </w:tcPr>
          <w:p w14:paraId="0012DDF3"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120</w:t>
            </w:r>
            <w:r w:rsidRPr="00054B3B">
              <w:rPr>
                <w:rFonts w:ascii="Traditional Arabic"/>
                <w:sz w:val="18"/>
                <w:szCs w:val="18"/>
                <w:rtl/>
              </w:rPr>
              <w:t>,</w:t>
            </w:r>
            <w:r w:rsidRPr="00054B3B">
              <w:rPr>
                <w:sz w:val="18"/>
                <w:szCs w:val="18"/>
                <w:rtl/>
              </w:rPr>
              <w:t>7</w:t>
            </w:r>
          </w:p>
        </w:tc>
        <w:tc>
          <w:tcPr>
            <w:tcW w:w="609" w:type="dxa"/>
            <w:shd w:val="clear" w:color="auto" w:fill="auto"/>
            <w:vAlign w:val="bottom"/>
          </w:tcPr>
          <w:p w14:paraId="6ED9731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128</w:t>
            </w:r>
            <w:r w:rsidRPr="00054B3B">
              <w:rPr>
                <w:rFonts w:ascii="Traditional Arabic"/>
                <w:sz w:val="18"/>
                <w:szCs w:val="18"/>
                <w:rtl/>
              </w:rPr>
              <w:t>,</w:t>
            </w:r>
            <w:r w:rsidRPr="00054B3B">
              <w:rPr>
                <w:sz w:val="18"/>
                <w:szCs w:val="18"/>
                <w:rtl/>
              </w:rPr>
              <w:t>2</w:t>
            </w:r>
          </w:p>
        </w:tc>
      </w:tr>
      <w:tr w:rsidR="00A0227D" w:rsidRPr="00054B3B" w14:paraId="64728D29" w14:textId="77777777" w:rsidTr="00054B3B">
        <w:tc>
          <w:tcPr>
            <w:tcW w:w="433" w:type="dxa"/>
            <w:shd w:val="clear" w:color="auto" w:fill="auto"/>
            <w:hideMark/>
          </w:tcPr>
          <w:p w14:paraId="61C40514"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3</w:t>
            </w:r>
          </w:p>
        </w:tc>
        <w:tc>
          <w:tcPr>
            <w:tcW w:w="762" w:type="dxa"/>
            <w:shd w:val="clear" w:color="auto" w:fill="auto"/>
            <w:vAlign w:val="bottom"/>
            <w:hideMark/>
          </w:tcPr>
          <w:p w14:paraId="3803BF2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02C95B2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101</w:t>
            </w:r>
            <w:r w:rsidRPr="00054B3B">
              <w:rPr>
                <w:rFonts w:ascii="Traditional Arabic"/>
                <w:sz w:val="18"/>
                <w:szCs w:val="18"/>
                <w:rtl/>
              </w:rPr>
              <w:t>,</w:t>
            </w:r>
            <w:r w:rsidRPr="00054B3B">
              <w:rPr>
                <w:sz w:val="18"/>
                <w:szCs w:val="18"/>
                <w:rtl/>
              </w:rPr>
              <w:t>2</w:t>
            </w:r>
          </w:p>
        </w:tc>
        <w:tc>
          <w:tcPr>
            <w:tcW w:w="770" w:type="dxa"/>
            <w:shd w:val="clear" w:color="auto" w:fill="auto"/>
            <w:vAlign w:val="bottom"/>
            <w:hideMark/>
          </w:tcPr>
          <w:p w14:paraId="01BA465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9</w:t>
            </w:r>
          </w:p>
        </w:tc>
        <w:tc>
          <w:tcPr>
            <w:tcW w:w="771" w:type="dxa"/>
            <w:shd w:val="clear" w:color="auto" w:fill="auto"/>
            <w:vAlign w:val="bottom"/>
            <w:hideMark/>
          </w:tcPr>
          <w:p w14:paraId="6229AF1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6</w:t>
            </w:r>
          </w:p>
        </w:tc>
        <w:tc>
          <w:tcPr>
            <w:tcW w:w="770" w:type="dxa"/>
            <w:shd w:val="clear" w:color="auto" w:fill="auto"/>
            <w:vAlign w:val="bottom"/>
            <w:hideMark/>
          </w:tcPr>
          <w:p w14:paraId="742F896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2</w:t>
            </w:r>
          </w:p>
        </w:tc>
        <w:tc>
          <w:tcPr>
            <w:tcW w:w="770" w:type="dxa"/>
            <w:shd w:val="clear" w:color="auto" w:fill="auto"/>
            <w:vAlign w:val="bottom"/>
            <w:hideMark/>
          </w:tcPr>
          <w:p w14:paraId="5EB7FF0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8</w:t>
            </w:r>
          </w:p>
        </w:tc>
        <w:tc>
          <w:tcPr>
            <w:tcW w:w="770" w:type="dxa"/>
            <w:shd w:val="clear" w:color="auto" w:fill="auto"/>
            <w:vAlign w:val="bottom"/>
            <w:hideMark/>
          </w:tcPr>
          <w:p w14:paraId="53BE8C2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1</w:t>
            </w:r>
          </w:p>
        </w:tc>
        <w:tc>
          <w:tcPr>
            <w:tcW w:w="772" w:type="dxa"/>
            <w:shd w:val="clear" w:color="auto" w:fill="auto"/>
            <w:vAlign w:val="bottom"/>
          </w:tcPr>
          <w:p w14:paraId="50127B6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9</w:t>
            </w:r>
          </w:p>
        </w:tc>
        <w:tc>
          <w:tcPr>
            <w:tcW w:w="609" w:type="dxa"/>
            <w:shd w:val="clear" w:color="auto" w:fill="auto"/>
            <w:vAlign w:val="bottom"/>
          </w:tcPr>
          <w:p w14:paraId="7014AE6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99</w:t>
            </w:r>
            <w:r w:rsidRPr="00054B3B">
              <w:rPr>
                <w:rFonts w:ascii="Traditional Arabic"/>
                <w:sz w:val="18"/>
                <w:szCs w:val="18"/>
                <w:rtl/>
              </w:rPr>
              <w:t>,</w:t>
            </w:r>
            <w:r w:rsidRPr="00054B3B">
              <w:rPr>
                <w:sz w:val="18"/>
                <w:szCs w:val="18"/>
                <w:rtl/>
              </w:rPr>
              <w:t>7</w:t>
            </w:r>
          </w:p>
        </w:tc>
      </w:tr>
      <w:tr w:rsidR="00A0227D" w:rsidRPr="00054B3B" w14:paraId="61309AB8" w14:textId="77777777" w:rsidTr="00054B3B">
        <w:tc>
          <w:tcPr>
            <w:tcW w:w="433" w:type="dxa"/>
            <w:shd w:val="clear" w:color="auto" w:fill="auto"/>
            <w:hideMark/>
          </w:tcPr>
          <w:p w14:paraId="199E5A8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4</w:t>
            </w:r>
          </w:p>
        </w:tc>
        <w:tc>
          <w:tcPr>
            <w:tcW w:w="762" w:type="dxa"/>
            <w:shd w:val="clear" w:color="auto" w:fill="auto"/>
            <w:vAlign w:val="bottom"/>
            <w:hideMark/>
          </w:tcPr>
          <w:p w14:paraId="6B02BCF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631808C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3</w:t>
            </w:r>
          </w:p>
        </w:tc>
        <w:tc>
          <w:tcPr>
            <w:tcW w:w="770" w:type="dxa"/>
            <w:shd w:val="clear" w:color="auto" w:fill="auto"/>
            <w:vAlign w:val="bottom"/>
            <w:hideMark/>
          </w:tcPr>
          <w:p w14:paraId="2C14906F"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108</w:t>
            </w:r>
            <w:r w:rsidRPr="00054B3B">
              <w:rPr>
                <w:rFonts w:ascii="Traditional Arabic"/>
                <w:sz w:val="18"/>
                <w:szCs w:val="18"/>
                <w:rtl/>
              </w:rPr>
              <w:t>,</w:t>
            </w:r>
            <w:r w:rsidRPr="00054B3B">
              <w:rPr>
                <w:sz w:val="18"/>
                <w:szCs w:val="18"/>
                <w:rtl/>
              </w:rPr>
              <w:t>1</w:t>
            </w:r>
          </w:p>
        </w:tc>
        <w:tc>
          <w:tcPr>
            <w:tcW w:w="771" w:type="dxa"/>
            <w:shd w:val="clear" w:color="auto" w:fill="auto"/>
            <w:vAlign w:val="bottom"/>
            <w:hideMark/>
          </w:tcPr>
          <w:p w14:paraId="2BF5AE4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108</w:t>
            </w:r>
            <w:r w:rsidRPr="00054B3B">
              <w:rPr>
                <w:rFonts w:ascii="Traditional Arabic"/>
                <w:sz w:val="18"/>
                <w:szCs w:val="18"/>
                <w:rtl/>
              </w:rPr>
              <w:t>,</w:t>
            </w:r>
            <w:r w:rsidRPr="00054B3B">
              <w:rPr>
                <w:sz w:val="18"/>
                <w:szCs w:val="18"/>
                <w:rtl/>
              </w:rPr>
              <w:t>5</w:t>
            </w:r>
          </w:p>
        </w:tc>
        <w:tc>
          <w:tcPr>
            <w:tcW w:w="770" w:type="dxa"/>
            <w:shd w:val="clear" w:color="auto" w:fill="auto"/>
            <w:vAlign w:val="bottom"/>
            <w:hideMark/>
          </w:tcPr>
          <w:p w14:paraId="0B2B4C8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8</w:t>
            </w:r>
          </w:p>
        </w:tc>
        <w:tc>
          <w:tcPr>
            <w:tcW w:w="770" w:type="dxa"/>
            <w:shd w:val="clear" w:color="auto" w:fill="auto"/>
            <w:vAlign w:val="bottom"/>
            <w:hideMark/>
          </w:tcPr>
          <w:p w14:paraId="1723D17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54280784"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3</w:t>
            </w:r>
          </w:p>
        </w:tc>
        <w:tc>
          <w:tcPr>
            <w:tcW w:w="772" w:type="dxa"/>
            <w:shd w:val="clear" w:color="auto" w:fill="auto"/>
            <w:vAlign w:val="bottom"/>
          </w:tcPr>
          <w:p w14:paraId="1EB536C3"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112</w:t>
            </w:r>
            <w:r w:rsidRPr="00054B3B">
              <w:rPr>
                <w:rFonts w:ascii="Traditional Arabic"/>
                <w:sz w:val="18"/>
                <w:szCs w:val="18"/>
                <w:rtl/>
              </w:rPr>
              <w:t>,</w:t>
            </w:r>
            <w:r w:rsidRPr="00054B3B">
              <w:rPr>
                <w:sz w:val="18"/>
                <w:szCs w:val="18"/>
                <w:rtl/>
              </w:rPr>
              <w:t>8</w:t>
            </w:r>
          </w:p>
        </w:tc>
        <w:tc>
          <w:tcPr>
            <w:tcW w:w="609" w:type="dxa"/>
            <w:shd w:val="clear" w:color="auto" w:fill="auto"/>
            <w:vAlign w:val="bottom"/>
          </w:tcPr>
          <w:p w14:paraId="2902883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114</w:t>
            </w:r>
            <w:r w:rsidRPr="00054B3B">
              <w:rPr>
                <w:rFonts w:ascii="Traditional Arabic"/>
                <w:sz w:val="18"/>
                <w:szCs w:val="18"/>
                <w:rtl/>
              </w:rPr>
              <w:t>,</w:t>
            </w:r>
            <w:r w:rsidRPr="00054B3B">
              <w:rPr>
                <w:sz w:val="18"/>
                <w:szCs w:val="18"/>
                <w:rtl/>
              </w:rPr>
              <w:t>5</w:t>
            </w:r>
          </w:p>
        </w:tc>
      </w:tr>
      <w:tr w:rsidR="00A0227D" w:rsidRPr="00054B3B" w14:paraId="4B73C601" w14:textId="77777777" w:rsidTr="00054B3B">
        <w:tc>
          <w:tcPr>
            <w:tcW w:w="433" w:type="dxa"/>
            <w:shd w:val="clear" w:color="auto" w:fill="auto"/>
            <w:hideMark/>
          </w:tcPr>
          <w:p w14:paraId="20AC5E8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Pr>
              <w:t>5</w:t>
            </w:r>
          </w:p>
        </w:tc>
        <w:tc>
          <w:tcPr>
            <w:tcW w:w="762" w:type="dxa"/>
            <w:shd w:val="clear" w:color="auto" w:fill="auto"/>
            <w:vAlign w:val="bottom"/>
            <w:hideMark/>
          </w:tcPr>
          <w:p w14:paraId="0FB37182"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7216437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3</w:t>
            </w:r>
          </w:p>
        </w:tc>
        <w:tc>
          <w:tcPr>
            <w:tcW w:w="770" w:type="dxa"/>
            <w:shd w:val="clear" w:color="auto" w:fill="auto"/>
            <w:vAlign w:val="bottom"/>
            <w:hideMark/>
          </w:tcPr>
          <w:p w14:paraId="5B282C9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9</w:t>
            </w:r>
          </w:p>
        </w:tc>
        <w:tc>
          <w:tcPr>
            <w:tcW w:w="771" w:type="dxa"/>
            <w:shd w:val="clear" w:color="auto" w:fill="auto"/>
            <w:vAlign w:val="bottom"/>
            <w:hideMark/>
          </w:tcPr>
          <w:p w14:paraId="2F4455F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105</w:t>
            </w:r>
            <w:r w:rsidRPr="00054B3B">
              <w:rPr>
                <w:rFonts w:ascii="Traditional Arabic"/>
                <w:sz w:val="18"/>
                <w:szCs w:val="18"/>
                <w:rtl/>
              </w:rPr>
              <w:t>,</w:t>
            </w:r>
            <w:r w:rsidRPr="00054B3B">
              <w:rPr>
                <w:sz w:val="18"/>
                <w:szCs w:val="18"/>
                <w:rtl/>
              </w:rPr>
              <w:t>4</w:t>
            </w:r>
          </w:p>
        </w:tc>
        <w:tc>
          <w:tcPr>
            <w:tcW w:w="770" w:type="dxa"/>
            <w:shd w:val="clear" w:color="auto" w:fill="auto"/>
            <w:vAlign w:val="bottom"/>
            <w:hideMark/>
          </w:tcPr>
          <w:p w14:paraId="6BA35AF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74E4CAC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105</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0845396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105</w:t>
            </w:r>
            <w:r w:rsidRPr="00054B3B">
              <w:rPr>
                <w:rFonts w:ascii="Traditional Arabic"/>
                <w:sz w:val="18"/>
                <w:szCs w:val="18"/>
                <w:rtl/>
              </w:rPr>
              <w:t>,</w:t>
            </w:r>
            <w:r w:rsidRPr="00054B3B">
              <w:rPr>
                <w:sz w:val="18"/>
                <w:szCs w:val="18"/>
                <w:rtl/>
              </w:rPr>
              <w:t>3</w:t>
            </w:r>
          </w:p>
        </w:tc>
        <w:tc>
          <w:tcPr>
            <w:tcW w:w="772" w:type="dxa"/>
            <w:shd w:val="clear" w:color="auto" w:fill="auto"/>
            <w:vAlign w:val="bottom"/>
          </w:tcPr>
          <w:p w14:paraId="62B7BB92"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105</w:t>
            </w:r>
            <w:r w:rsidRPr="00054B3B">
              <w:rPr>
                <w:rFonts w:ascii="Traditional Arabic"/>
                <w:sz w:val="18"/>
                <w:szCs w:val="18"/>
                <w:rtl/>
              </w:rPr>
              <w:t>,</w:t>
            </w:r>
            <w:r w:rsidRPr="00054B3B">
              <w:rPr>
                <w:sz w:val="18"/>
                <w:szCs w:val="18"/>
                <w:rtl/>
              </w:rPr>
              <w:t>1</w:t>
            </w:r>
          </w:p>
        </w:tc>
        <w:tc>
          <w:tcPr>
            <w:tcW w:w="609" w:type="dxa"/>
            <w:shd w:val="clear" w:color="auto" w:fill="auto"/>
            <w:vAlign w:val="bottom"/>
          </w:tcPr>
          <w:p w14:paraId="3DA3AEC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104</w:t>
            </w:r>
            <w:r w:rsidRPr="00054B3B">
              <w:rPr>
                <w:rFonts w:ascii="Traditional Arabic"/>
                <w:sz w:val="18"/>
                <w:szCs w:val="18"/>
                <w:rtl/>
              </w:rPr>
              <w:t>,</w:t>
            </w:r>
            <w:r w:rsidRPr="00054B3B">
              <w:rPr>
                <w:sz w:val="18"/>
                <w:szCs w:val="18"/>
                <w:rtl/>
              </w:rPr>
              <w:t>2</w:t>
            </w:r>
          </w:p>
        </w:tc>
      </w:tr>
      <w:tr w:rsidR="00A0227D" w:rsidRPr="00054B3B" w14:paraId="059E8CC2" w14:textId="77777777" w:rsidTr="00054B3B">
        <w:tc>
          <w:tcPr>
            <w:tcW w:w="433" w:type="dxa"/>
            <w:shd w:val="clear" w:color="auto" w:fill="auto"/>
            <w:hideMark/>
          </w:tcPr>
          <w:p w14:paraId="337FEE6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6</w:t>
            </w:r>
          </w:p>
        </w:tc>
        <w:tc>
          <w:tcPr>
            <w:tcW w:w="762" w:type="dxa"/>
            <w:shd w:val="clear" w:color="auto" w:fill="auto"/>
            <w:vAlign w:val="bottom"/>
            <w:hideMark/>
          </w:tcPr>
          <w:p w14:paraId="4DEAB22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3FC2356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1886733A"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101</w:t>
            </w:r>
            <w:r w:rsidRPr="00054B3B">
              <w:rPr>
                <w:rFonts w:ascii="Traditional Arabic"/>
                <w:sz w:val="18"/>
                <w:szCs w:val="18"/>
                <w:rtl/>
              </w:rPr>
              <w:t>,</w:t>
            </w:r>
            <w:r w:rsidRPr="00054B3B">
              <w:rPr>
                <w:sz w:val="18"/>
                <w:szCs w:val="18"/>
                <w:rtl/>
              </w:rPr>
              <w:t>1</w:t>
            </w:r>
          </w:p>
        </w:tc>
        <w:tc>
          <w:tcPr>
            <w:tcW w:w="771" w:type="dxa"/>
            <w:shd w:val="clear" w:color="auto" w:fill="auto"/>
            <w:vAlign w:val="bottom"/>
            <w:hideMark/>
          </w:tcPr>
          <w:p w14:paraId="78FF394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9</w:t>
            </w:r>
          </w:p>
        </w:tc>
        <w:tc>
          <w:tcPr>
            <w:tcW w:w="770" w:type="dxa"/>
            <w:shd w:val="clear" w:color="auto" w:fill="auto"/>
            <w:vAlign w:val="bottom"/>
            <w:hideMark/>
          </w:tcPr>
          <w:p w14:paraId="724473D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471DCBDD"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3</w:t>
            </w:r>
          </w:p>
        </w:tc>
        <w:tc>
          <w:tcPr>
            <w:tcW w:w="770" w:type="dxa"/>
            <w:shd w:val="clear" w:color="auto" w:fill="auto"/>
            <w:vAlign w:val="bottom"/>
            <w:hideMark/>
          </w:tcPr>
          <w:p w14:paraId="5D22AA63"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116</w:t>
            </w:r>
            <w:r w:rsidRPr="00054B3B">
              <w:rPr>
                <w:rFonts w:ascii="Traditional Arabic"/>
                <w:sz w:val="18"/>
                <w:szCs w:val="18"/>
                <w:rtl/>
              </w:rPr>
              <w:t>,</w:t>
            </w:r>
            <w:r w:rsidRPr="00054B3B">
              <w:rPr>
                <w:sz w:val="18"/>
                <w:szCs w:val="18"/>
                <w:rtl/>
              </w:rPr>
              <w:t>8</w:t>
            </w:r>
          </w:p>
        </w:tc>
        <w:tc>
          <w:tcPr>
            <w:tcW w:w="772" w:type="dxa"/>
            <w:shd w:val="clear" w:color="auto" w:fill="auto"/>
            <w:vAlign w:val="bottom"/>
          </w:tcPr>
          <w:p w14:paraId="15EF6E4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118</w:t>
            </w:r>
            <w:r w:rsidRPr="00054B3B">
              <w:rPr>
                <w:rFonts w:ascii="Traditional Arabic"/>
                <w:sz w:val="18"/>
                <w:szCs w:val="18"/>
                <w:rtl/>
              </w:rPr>
              <w:t>,</w:t>
            </w:r>
            <w:r w:rsidRPr="00054B3B">
              <w:rPr>
                <w:sz w:val="18"/>
                <w:szCs w:val="18"/>
                <w:rtl/>
              </w:rPr>
              <w:t>8</w:t>
            </w:r>
          </w:p>
        </w:tc>
        <w:tc>
          <w:tcPr>
            <w:tcW w:w="609" w:type="dxa"/>
            <w:shd w:val="clear" w:color="auto" w:fill="auto"/>
            <w:vAlign w:val="bottom"/>
          </w:tcPr>
          <w:p w14:paraId="1D66A39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120</w:t>
            </w:r>
            <w:r w:rsidRPr="00054B3B">
              <w:rPr>
                <w:rFonts w:ascii="Traditional Arabic"/>
                <w:sz w:val="18"/>
                <w:szCs w:val="18"/>
                <w:rtl/>
              </w:rPr>
              <w:t>,</w:t>
            </w:r>
            <w:r w:rsidRPr="00054B3B">
              <w:rPr>
                <w:sz w:val="18"/>
                <w:szCs w:val="18"/>
                <w:rtl/>
              </w:rPr>
              <w:t>2</w:t>
            </w:r>
          </w:p>
        </w:tc>
      </w:tr>
      <w:tr w:rsidR="00A0227D" w:rsidRPr="00054B3B" w14:paraId="4E92BEAA" w14:textId="77777777" w:rsidTr="00054B3B">
        <w:tc>
          <w:tcPr>
            <w:tcW w:w="433" w:type="dxa"/>
            <w:shd w:val="clear" w:color="auto" w:fill="auto"/>
            <w:hideMark/>
          </w:tcPr>
          <w:p w14:paraId="2E8AAB1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7</w:t>
            </w:r>
          </w:p>
        </w:tc>
        <w:tc>
          <w:tcPr>
            <w:tcW w:w="762" w:type="dxa"/>
            <w:shd w:val="clear" w:color="auto" w:fill="auto"/>
            <w:vAlign w:val="bottom"/>
            <w:hideMark/>
          </w:tcPr>
          <w:p w14:paraId="18D28F8A"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60D9501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9</w:t>
            </w:r>
          </w:p>
        </w:tc>
        <w:tc>
          <w:tcPr>
            <w:tcW w:w="770" w:type="dxa"/>
            <w:shd w:val="clear" w:color="auto" w:fill="auto"/>
            <w:vAlign w:val="bottom"/>
            <w:hideMark/>
          </w:tcPr>
          <w:p w14:paraId="0BE33E1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108</w:t>
            </w:r>
            <w:r w:rsidRPr="00054B3B">
              <w:rPr>
                <w:rFonts w:ascii="Traditional Arabic"/>
                <w:sz w:val="18"/>
                <w:szCs w:val="18"/>
                <w:rtl/>
              </w:rPr>
              <w:t>,</w:t>
            </w:r>
            <w:r w:rsidRPr="00054B3B">
              <w:rPr>
                <w:sz w:val="18"/>
                <w:szCs w:val="18"/>
                <w:rtl/>
              </w:rPr>
              <w:t>6</w:t>
            </w:r>
          </w:p>
        </w:tc>
        <w:tc>
          <w:tcPr>
            <w:tcW w:w="771" w:type="dxa"/>
            <w:shd w:val="clear" w:color="auto" w:fill="auto"/>
            <w:vAlign w:val="bottom"/>
            <w:hideMark/>
          </w:tcPr>
          <w:p w14:paraId="27D255E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4B36F67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2</w:t>
            </w:r>
          </w:p>
        </w:tc>
        <w:tc>
          <w:tcPr>
            <w:tcW w:w="770" w:type="dxa"/>
            <w:shd w:val="clear" w:color="auto" w:fill="auto"/>
            <w:vAlign w:val="bottom"/>
            <w:hideMark/>
          </w:tcPr>
          <w:p w14:paraId="169AABE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107</w:t>
            </w:r>
            <w:r w:rsidRPr="00054B3B">
              <w:rPr>
                <w:rFonts w:ascii="Traditional Arabic"/>
                <w:sz w:val="18"/>
                <w:szCs w:val="18"/>
                <w:rtl/>
              </w:rPr>
              <w:t>,</w:t>
            </w:r>
            <w:r w:rsidRPr="00054B3B">
              <w:rPr>
                <w:sz w:val="18"/>
                <w:szCs w:val="18"/>
                <w:rtl/>
              </w:rPr>
              <w:t>1</w:t>
            </w:r>
          </w:p>
        </w:tc>
        <w:tc>
          <w:tcPr>
            <w:tcW w:w="770" w:type="dxa"/>
            <w:shd w:val="clear" w:color="auto" w:fill="auto"/>
            <w:vAlign w:val="bottom"/>
            <w:hideMark/>
          </w:tcPr>
          <w:p w14:paraId="46C22B0A"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9</w:t>
            </w:r>
          </w:p>
        </w:tc>
        <w:tc>
          <w:tcPr>
            <w:tcW w:w="772" w:type="dxa"/>
            <w:shd w:val="clear" w:color="auto" w:fill="auto"/>
            <w:vAlign w:val="bottom"/>
          </w:tcPr>
          <w:p w14:paraId="21FA023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109</w:t>
            </w:r>
            <w:r w:rsidRPr="00054B3B">
              <w:rPr>
                <w:rFonts w:ascii="Traditional Arabic"/>
                <w:sz w:val="18"/>
                <w:szCs w:val="18"/>
                <w:rtl/>
              </w:rPr>
              <w:t>,</w:t>
            </w:r>
            <w:r w:rsidRPr="00054B3B">
              <w:rPr>
                <w:sz w:val="18"/>
                <w:szCs w:val="18"/>
                <w:rtl/>
              </w:rPr>
              <w:t>7</w:t>
            </w:r>
          </w:p>
        </w:tc>
        <w:tc>
          <w:tcPr>
            <w:tcW w:w="609" w:type="dxa"/>
            <w:shd w:val="clear" w:color="auto" w:fill="auto"/>
            <w:vAlign w:val="bottom"/>
          </w:tcPr>
          <w:p w14:paraId="0F33BAD2"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6</w:t>
            </w:r>
          </w:p>
        </w:tc>
      </w:tr>
      <w:tr w:rsidR="00A0227D" w:rsidRPr="00054B3B" w14:paraId="61A1C693" w14:textId="77777777" w:rsidTr="00054B3B">
        <w:tc>
          <w:tcPr>
            <w:tcW w:w="433" w:type="dxa"/>
            <w:shd w:val="clear" w:color="auto" w:fill="auto"/>
            <w:hideMark/>
          </w:tcPr>
          <w:p w14:paraId="6EA95852"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w:t>
            </w:r>
          </w:p>
        </w:tc>
        <w:tc>
          <w:tcPr>
            <w:tcW w:w="762" w:type="dxa"/>
            <w:shd w:val="clear" w:color="auto" w:fill="auto"/>
            <w:vAlign w:val="bottom"/>
            <w:hideMark/>
          </w:tcPr>
          <w:p w14:paraId="71AE3673"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436BD2F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98</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1A88101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91</w:t>
            </w:r>
            <w:r w:rsidRPr="00054B3B">
              <w:rPr>
                <w:rFonts w:ascii="Traditional Arabic"/>
                <w:sz w:val="18"/>
                <w:szCs w:val="18"/>
                <w:rtl/>
              </w:rPr>
              <w:t>,</w:t>
            </w:r>
            <w:r w:rsidRPr="00054B3B">
              <w:rPr>
                <w:sz w:val="18"/>
                <w:szCs w:val="18"/>
                <w:rtl/>
              </w:rPr>
              <w:t>7</w:t>
            </w:r>
          </w:p>
        </w:tc>
        <w:tc>
          <w:tcPr>
            <w:tcW w:w="771" w:type="dxa"/>
            <w:shd w:val="clear" w:color="auto" w:fill="auto"/>
            <w:vAlign w:val="bottom"/>
            <w:hideMark/>
          </w:tcPr>
          <w:p w14:paraId="70DE001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85</w:t>
            </w:r>
            <w:r w:rsidRPr="00054B3B">
              <w:rPr>
                <w:rFonts w:ascii="Traditional Arabic"/>
                <w:sz w:val="18"/>
                <w:szCs w:val="18"/>
                <w:rtl/>
              </w:rPr>
              <w:t>,</w:t>
            </w:r>
            <w:r w:rsidRPr="00054B3B">
              <w:rPr>
                <w:sz w:val="18"/>
                <w:szCs w:val="18"/>
                <w:rtl/>
              </w:rPr>
              <w:t>6</w:t>
            </w:r>
          </w:p>
        </w:tc>
        <w:tc>
          <w:tcPr>
            <w:tcW w:w="770" w:type="dxa"/>
            <w:shd w:val="clear" w:color="auto" w:fill="auto"/>
            <w:vAlign w:val="bottom"/>
            <w:hideMark/>
          </w:tcPr>
          <w:p w14:paraId="0FB68C5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86</w:t>
            </w:r>
            <w:r w:rsidRPr="00054B3B">
              <w:rPr>
                <w:rFonts w:ascii="Traditional Arabic"/>
                <w:sz w:val="18"/>
                <w:szCs w:val="18"/>
                <w:rtl/>
              </w:rPr>
              <w:t>,</w:t>
            </w:r>
            <w:r w:rsidRPr="00054B3B">
              <w:rPr>
                <w:sz w:val="18"/>
                <w:szCs w:val="18"/>
                <w:rtl/>
              </w:rPr>
              <w:t>8</w:t>
            </w:r>
          </w:p>
        </w:tc>
        <w:tc>
          <w:tcPr>
            <w:tcW w:w="770" w:type="dxa"/>
            <w:shd w:val="clear" w:color="auto" w:fill="auto"/>
            <w:vAlign w:val="bottom"/>
            <w:hideMark/>
          </w:tcPr>
          <w:p w14:paraId="69327D3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83</w:t>
            </w:r>
            <w:r w:rsidRPr="00054B3B">
              <w:rPr>
                <w:rFonts w:ascii="Traditional Arabic"/>
                <w:sz w:val="18"/>
                <w:szCs w:val="18"/>
                <w:rtl/>
              </w:rPr>
              <w:t>,</w:t>
            </w:r>
            <w:r w:rsidRPr="00054B3B">
              <w:rPr>
                <w:sz w:val="18"/>
                <w:szCs w:val="18"/>
                <w:rtl/>
              </w:rPr>
              <w:t>1</w:t>
            </w:r>
          </w:p>
        </w:tc>
        <w:tc>
          <w:tcPr>
            <w:tcW w:w="770" w:type="dxa"/>
            <w:shd w:val="clear" w:color="auto" w:fill="auto"/>
            <w:vAlign w:val="bottom"/>
            <w:hideMark/>
          </w:tcPr>
          <w:p w14:paraId="50FA3C6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83</w:t>
            </w:r>
            <w:r w:rsidRPr="00054B3B">
              <w:rPr>
                <w:rFonts w:ascii="Traditional Arabic"/>
                <w:sz w:val="18"/>
                <w:szCs w:val="18"/>
                <w:rtl/>
              </w:rPr>
              <w:t>,</w:t>
            </w:r>
            <w:r w:rsidRPr="00054B3B">
              <w:rPr>
                <w:sz w:val="18"/>
                <w:szCs w:val="18"/>
                <w:rtl/>
              </w:rPr>
              <w:t>8</w:t>
            </w:r>
          </w:p>
        </w:tc>
        <w:tc>
          <w:tcPr>
            <w:tcW w:w="772" w:type="dxa"/>
            <w:shd w:val="clear" w:color="auto" w:fill="auto"/>
            <w:vAlign w:val="bottom"/>
          </w:tcPr>
          <w:p w14:paraId="2AEC6009"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82</w:t>
            </w:r>
            <w:r w:rsidRPr="00054B3B">
              <w:rPr>
                <w:rFonts w:ascii="Traditional Arabic"/>
                <w:sz w:val="18"/>
                <w:szCs w:val="18"/>
                <w:rtl/>
              </w:rPr>
              <w:t>,</w:t>
            </w:r>
            <w:r w:rsidRPr="00054B3B">
              <w:rPr>
                <w:sz w:val="18"/>
                <w:szCs w:val="18"/>
                <w:rtl/>
              </w:rPr>
              <w:t>4</w:t>
            </w:r>
          </w:p>
        </w:tc>
        <w:tc>
          <w:tcPr>
            <w:tcW w:w="609" w:type="dxa"/>
            <w:shd w:val="clear" w:color="auto" w:fill="auto"/>
            <w:vAlign w:val="bottom"/>
          </w:tcPr>
          <w:p w14:paraId="492D1595"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80</w:t>
            </w:r>
            <w:r w:rsidRPr="00054B3B">
              <w:rPr>
                <w:rFonts w:ascii="Traditional Arabic"/>
                <w:sz w:val="18"/>
                <w:szCs w:val="18"/>
                <w:rtl/>
              </w:rPr>
              <w:t>,</w:t>
            </w:r>
            <w:r w:rsidRPr="00054B3B">
              <w:rPr>
                <w:sz w:val="18"/>
                <w:szCs w:val="18"/>
                <w:rtl/>
              </w:rPr>
              <w:t>3</w:t>
            </w:r>
          </w:p>
        </w:tc>
      </w:tr>
      <w:tr w:rsidR="00A0227D" w:rsidRPr="00054B3B" w14:paraId="172C2205" w14:textId="77777777" w:rsidTr="00054B3B">
        <w:tc>
          <w:tcPr>
            <w:tcW w:w="433" w:type="dxa"/>
            <w:tcBorders>
              <w:bottom w:val="nil"/>
            </w:tcBorders>
            <w:shd w:val="clear" w:color="auto" w:fill="auto"/>
            <w:hideMark/>
          </w:tcPr>
          <w:p w14:paraId="164BE04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lang w:val="ar-SA" w:eastAsia="zh-TW"/>
              </w:rPr>
              <w:t>9</w:t>
            </w:r>
          </w:p>
        </w:tc>
        <w:tc>
          <w:tcPr>
            <w:tcW w:w="762" w:type="dxa"/>
            <w:tcBorders>
              <w:bottom w:val="nil"/>
            </w:tcBorders>
            <w:shd w:val="clear" w:color="auto" w:fill="auto"/>
            <w:vAlign w:val="bottom"/>
            <w:hideMark/>
          </w:tcPr>
          <w:p w14:paraId="77E6D1D6"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tcBorders>
              <w:bottom w:val="nil"/>
            </w:tcBorders>
            <w:shd w:val="clear" w:color="auto" w:fill="auto"/>
            <w:vAlign w:val="bottom"/>
            <w:hideMark/>
          </w:tcPr>
          <w:p w14:paraId="6D0CEFB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99</w:t>
            </w:r>
            <w:r w:rsidRPr="00054B3B">
              <w:rPr>
                <w:rFonts w:ascii="Traditional Arabic"/>
                <w:sz w:val="18"/>
                <w:szCs w:val="18"/>
                <w:rtl/>
              </w:rPr>
              <w:t>,</w:t>
            </w:r>
            <w:r w:rsidRPr="00054B3B">
              <w:rPr>
                <w:sz w:val="18"/>
                <w:szCs w:val="18"/>
                <w:rtl/>
              </w:rPr>
              <w:t>7</w:t>
            </w:r>
          </w:p>
        </w:tc>
        <w:tc>
          <w:tcPr>
            <w:tcW w:w="770" w:type="dxa"/>
            <w:tcBorders>
              <w:bottom w:val="nil"/>
            </w:tcBorders>
            <w:shd w:val="clear" w:color="auto" w:fill="auto"/>
            <w:vAlign w:val="bottom"/>
            <w:hideMark/>
          </w:tcPr>
          <w:p w14:paraId="2455D5D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2</w:t>
            </w:r>
          </w:p>
        </w:tc>
        <w:tc>
          <w:tcPr>
            <w:tcW w:w="771" w:type="dxa"/>
            <w:tcBorders>
              <w:bottom w:val="nil"/>
            </w:tcBorders>
            <w:shd w:val="clear" w:color="auto" w:fill="auto"/>
            <w:vAlign w:val="bottom"/>
            <w:hideMark/>
          </w:tcPr>
          <w:p w14:paraId="0BF96B2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8</w:t>
            </w:r>
          </w:p>
        </w:tc>
        <w:tc>
          <w:tcPr>
            <w:tcW w:w="770" w:type="dxa"/>
            <w:tcBorders>
              <w:bottom w:val="nil"/>
            </w:tcBorders>
            <w:shd w:val="clear" w:color="auto" w:fill="auto"/>
            <w:vAlign w:val="bottom"/>
            <w:hideMark/>
          </w:tcPr>
          <w:p w14:paraId="7A908D08"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101</w:t>
            </w:r>
            <w:r w:rsidRPr="00054B3B">
              <w:rPr>
                <w:rFonts w:ascii="Traditional Arabic"/>
                <w:sz w:val="18"/>
                <w:szCs w:val="18"/>
                <w:rtl/>
              </w:rPr>
              <w:t>,</w:t>
            </w:r>
            <w:r w:rsidRPr="00054B3B">
              <w:rPr>
                <w:sz w:val="18"/>
                <w:szCs w:val="18"/>
                <w:rtl/>
              </w:rPr>
              <w:t>5</w:t>
            </w:r>
          </w:p>
        </w:tc>
        <w:tc>
          <w:tcPr>
            <w:tcW w:w="770" w:type="dxa"/>
            <w:tcBorders>
              <w:bottom w:val="nil"/>
            </w:tcBorders>
            <w:shd w:val="clear" w:color="auto" w:fill="auto"/>
            <w:vAlign w:val="bottom"/>
            <w:hideMark/>
          </w:tcPr>
          <w:p w14:paraId="167F724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2</w:t>
            </w:r>
          </w:p>
        </w:tc>
        <w:tc>
          <w:tcPr>
            <w:tcW w:w="770" w:type="dxa"/>
            <w:tcBorders>
              <w:bottom w:val="nil"/>
            </w:tcBorders>
            <w:shd w:val="clear" w:color="auto" w:fill="auto"/>
            <w:vAlign w:val="bottom"/>
            <w:hideMark/>
          </w:tcPr>
          <w:p w14:paraId="324EF55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99</w:t>
            </w:r>
            <w:r w:rsidRPr="00054B3B">
              <w:rPr>
                <w:rFonts w:ascii="Traditional Arabic"/>
                <w:sz w:val="18"/>
                <w:szCs w:val="18"/>
                <w:rtl/>
              </w:rPr>
              <w:t>,</w:t>
            </w:r>
            <w:r w:rsidRPr="00054B3B">
              <w:rPr>
                <w:sz w:val="18"/>
                <w:szCs w:val="18"/>
                <w:rtl/>
              </w:rPr>
              <w:t>6</w:t>
            </w:r>
          </w:p>
        </w:tc>
        <w:tc>
          <w:tcPr>
            <w:tcW w:w="772" w:type="dxa"/>
            <w:tcBorders>
              <w:bottom w:val="nil"/>
            </w:tcBorders>
            <w:shd w:val="clear" w:color="auto" w:fill="auto"/>
            <w:vAlign w:val="bottom"/>
          </w:tcPr>
          <w:p w14:paraId="1A25E5C4"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98</w:t>
            </w:r>
            <w:r w:rsidRPr="00054B3B">
              <w:rPr>
                <w:rFonts w:ascii="Traditional Arabic"/>
                <w:sz w:val="18"/>
                <w:szCs w:val="18"/>
                <w:rtl/>
              </w:rPr>
              <w:t>,</w:t>
            </w:r>
            <w:r w:rsidRPr="00054B3B">
              <w:rPr>
                <w:sz w:val="18"/>
                <w:szCs w:val="18"/>
                <w:rtl/>
              </w:rPr>
              <w:t>9</w:t>
            </w:r>
          </w:p>
        </w:tc>
        <w:tc>
          <w:tcPr>
            <w:tcW w:w="609" w:type="dxa"/>
            <w:tcBorders>
              <w:bottom w:val="nil"/>
            </w:tcBorders>
            <w:shd w:val="clear" w:color="auto" w:fill="auto"/>
            <w:vAlign w:val="bottom"/>
          </w:tcPr>
          <w:p w14:paraId="3AEC52AA"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98</w:t>
            </w:r>
            <w:r w:rsidRPr="00054B3B">
              <w:rPr>
                <w:rFonts w:ascii="Traditional Arabic"/>
                <w:sz w:val="18"/>
                <w:szCs w:val="18"/>
                <w:rtl/>
              </w:rPr>
              <w:t>,</w:t>
            </w:r>
            <w:r w:rsidRPr="00054B3B">
              <w:rPr>
                <w:sz w:val="18"/>
                <w:szCs w:val="18"/>
                <w:rtl/>
              </w:rPr>
              <w:t>9</w:t>
            </w:r>
          </w:p>
        </w:tc>
      </w:tr>
      <w:tr w:rsidR="00A0227D" w:rsidRPr="00054B3B" w14:paraId="40391D6D" w14:textId="77777777" w:rsidTr="00054B3B">
        <w:tc>
          <w:tcPr>
            <w:tcW w:w="433" w:type="dxa"/>
            <w:tcBorders>
              <w:top w:val="nil"/>
              <w:bottom w:val="nil"/>
            </w:tcBorders>
            <w:shd w:val="clear" w:color="auto" w:fill="auto"/>
            <w:hideMark/>
          </w:tcPr>
          <w:p w14:paraId="1321E0A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w:t>
            </w:r>
          </w:p>
        </w:tc>
        <w:tc>
          <w:tcPr>
            <w:tcW w:w="762" w:type="dxa"/>
            <w:tcBorders>
              <w:top w:val="nil"/>
              <w:bottom w:val="nil"/>
            </w:tcBorders>
            <w:shd w:val="clear" w:color="auto" w:fill="auto"/>
            <w:vAlign w:val="bottom"/>
            <w:hideMark/>
          </w:tcPr>
          <w:p w14:paraId="15B3268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tcBorders>
              <w:top w:val="nil"/>
              <w:bottom w:val="nil"/>
            </w:tcBorders>
            <w:shd w:val="clear" w:color="auto" w:fill="auto"/>
            <w:vAlign w:val="bottom"/>
            <w:hideMark/>
          </w:tcPr>
          <w:p w14:paraId="14DAD38E"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2</w:t>
            </w:r>
          </w:p>
        </w:tc>
        <w:tc>
          <w:tcPr>
            <w:tcW w:w="770" w:type="dxa"/>
            <w:tcBorders>
              <w:top w:val="nil"/>
              <w:bottom w:val="nil"/>
            </w:tcBorders>
            <w:shd w:val="clear" w:color="auto" w:fill="auto"/>
            <w:vAlign w:val="bottom"/>
            <w:hideMark/>
          </w:tcPr>
          <w:p w14:paraId="29F2AA6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105</w:t>
            </w:r>
            <w:r w:rsidRPr="00054B3B">
              <w:rPr>
                <w:rFonts w:ascii="Traditional Arabic"/>
                <w:sz w:val="18"/>
                <w:szCs w:val="18"/>
                <w:rtl/>
              </w:rPr>
              <w:t>,</w:t>
            </w:r>
            <w:r w:rsidRPr="00054B3B">
              <w:rPr>
                <w:sz w:val="18"/>
                <w:szCs w:val="18"/>
                <w:rtl/>
              </w:rPr>
              <w:t>0</w:t>
            </w:r>
          </w:p>
        </w:tc>
        <w:tc>
          <w:tcPr>
            <w:tcW w:w="771" w:type="dxa"/>
            <w:tcBorders>
              <w:top w:val="nil"/>
              <w:bottom w:val="nil"/>
            </w:tcBorders>
            <w:shd w:val="clear" w:color="auto" w:fill="auto"/>
            <w:vAlign w:val="bottom"/>
            <w:hideMark/>
          </w:tcPr>
          <w:p w14:paraId="5D7F2321"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107</w:t>
            </w:r>
            <w:r w:rsidRPr="00054B3B">
              <w:rPr>
                <w:rFonts w:ascii="Traditional Arabic"/>
                <w:sz w:val="18"/>
                <w:szCs w:val="18"/>
                <w:rtl/>
              </w:rPr>
              <w:t>,</w:t>
            </w:r>
            <w:r w:rsidRPr="00054B3B">
              <w:rPr>
                <w:sz w:val="18"/>
                <w:szCs w:val="18"/>
                <w:rtl/>
              </w:rPr>
              <w:t>9</w:t>
            </w:r>
          </w:p>
        </w:tc>
        <w:tc>
          <w:tcPr>
            <w:tcW w:w="770" w:type="dxa"/>
            <w:tcBorders>
              <w:top w:val="nil"/>
              <w:bottom w:val="nil"/>
            </w:tcBorders>
            <w:shd w:val="clear" w:color="auto" w:fill="auto"/>
            <w:vAlign w:val="bottom"/>
            <w:hideMark/>
          </w:tcPr>
          <w:p w14:paraId="7173854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114</w:t>
            </w:r>
            <w:r w:rsidRPr="00054B3B">
              <w:rPr>
                <w:rFonts w:ascii="Traditional Arabic"/>
                <w:sz w:val="18"/>
                <w:szCs w:val="18"/>
                <w:rtl/>
              </w:rPr>
              <w:t>,</w:t>
            </w:r>
            <w:r w:rsidRPr="00054B3B">
              <w:rPr>
                <w:sz w:val="18"/>
                <w:szCs w:val="18"/>
                <w:rtl/>
              </w:rPr>
              <w:t>2</w:t>
            </w:r>
          </w:p>
        </w:tc>
        <w:tc>
          <w:tcPr>
            <w:tcW w:w="770" w:type="dxa"/>
            <w:tcBorders>
              <w:top w:val="nil"/>
              <w:bottom w:val="nil"/>
            </w:tcBorders>
            <w:shd w:val="clear" w:color="auto" w:fill="auto"/>
            <w:vAlign w:val="bottom"/>
            <w:hideMark/>
          </w:tcPr>
          <w:p w14:paraId="77CDAC6B"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113</w:t>
            </w:r>
            <w:r w:rsidRPr="00054B3B">
              <w:rPr>
                <w:rFonts w:ascii="Traditional Arabic"/>
                <w:sz w:val="18"/>
                <w:szCs w:val="18"/>
                <w:rtl/>
              </w:rPr>
              <w:t>,</w:t>
            </w:r>
            <w:r w:rsidRPr="00054B3B">
              <w:rPr>
                <w:sz w:val="18"/>
                <w:szCs w:val="18"/>
                <w:rtl/>
              </w:rPr>
              <w:t>1</w:t>
            </w:r>
          </w:p>
        </w:tc>
        <w:tc>
          <w:tcPr>
            <w:tcW w:w="770" w:type="dxa"/>
            <w:tcBorders>
              <w:top w:val="nil"/>
              <w:bottom w:val="nil"/>
            </w:tcBorders>
            <w:shd w:val="clear" w:color="auto" w:fill="auto"/>
            <w:vAlign w:val="bottom"/>
            <w:hideMark/>
          </w:tcPr>
          <w:p w14:paraId="285C6FCC"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115</w:t>
            </w:r>
            <w:r w:rsidRPr="00054B3B">
              <w:rPr>
                <w:rFonts w:ascii="Traditional Arabic"/>
                <w:sz w:val="18"/>
                <w:szCs w:val="18"/>
                <w:rtl/>
              </w:rPr>
              <w:t>,</w:t>
            </w:r>
            <w:r w:rsidRPr="00054B3B">
              <w:rPr>
                <w:sz w:val="18"/>
                <w:szCs w:val="18"/>
                <w:rtl/>
              </w:rPr>
              <w:t>7</w:t>
            </w:r>
          </w:p>
        </w:tc>
        <w:tc>
          <w:tcPr>
            <w:tcW w:w="772" w:type="dxa"/>
            <w:tcBorders>
              <w:top w:val="nil"/>
              <w:bottom w:val="nil"/>
            </w:tcBorders>
            <w:shd w:val="clear" w:color="auto" w:fill="auto"/>
            <w:vAlign w:val="bottom"/>
          </w:tcPr>
          <w:p w14:paraId="7D39A060"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117</w:t>
            </w:r>
            <w:r w:rsidRPr="00054B3B">
              <w:rPr>
                <w:rFonts w:ascii="Traditional Arabic"/>
                <w:sz w:val="18"/>
                <w:szCs w:val="18"/>
                <w:rtl/>
              </w:rPr>
              <w:t>,</w:t>
            </w:r>
            <w:r w:rsidRPr="00054B3B">
              <w:rPr>
                <w:sz w:val="18"/>
                <w:szCs w:val="18"/>
                <w:rtl/>
              </w:rPr>
              <w:t>6</w:t>
            </w:r>
          </w:p>
        </w:tc>
        <w:tc>
          <w:tcPr>
            <w:tcW w:w="609" w:type="dxa"/>
            <w:tcBorders>
              <w:top w:val="nil"/>
              <w:bottom w:val="nil"/>
            </w:tcBorders>
            <w:shd w:val="clear" w:color="auto" w:fill="auto"/>
            <w:vAlign w:val="bottom"/>
          </w:tcPr>
          <w:p w14:paraId="26CA76B7" w14:textId="77777777" w:rsidR="00A0227D" w:rsidRPr="00054B3B" w:rsidRDefault="00A0227D" w:rsidP="00054B3B">
            <w:pPr>
              <w:spacing w:after="40" w:line="300" w:lineRule="exact"/>
              <w:ind w:left="57" w:right="57"/>
              <w:textDirection w:val="tbRlV"/>
              <w:rPr>
                <w:sz w:val="18"/>
                <w:szCs w:val="18"/>
                <w:lang w:val="ar-SA" w:eastAsia="zh-TW" w:bidi="en-GB"/>
              </w:rPr>
            </w:pPr>
            <w:r w:rsidRPr="00054B3B">
              <w:rPr>
                <w:sz w:val="18"/>
                <w:szCs w:val="18"/>
                <w:rtl/>
              </w:rPr>
              <w:t>119</w:t>
            </w:r>
            <w:r w:rsidRPr="00054B3B">
              <w:rPr>
                <w:rFonts w:ascii="Traditional Arabic"/>
                <w:sz w:val="18"/>
                <w:szCs w:val="18"/>
                <w:rtl/>
              </w:rPr>
              <w:t>,</w:t>
            </w:r>
            <w:r w:rsidRPr="00054B3B">
              <w:rPr>
                <w:sz w:val="18"/>
                <w:szCs w:val="18"/>
                <w:rtl/>
              </w:rPr>
              <w:t>3</w:t>
            </w:r>
          </w:p>
        </w:tc>
      </w:tr>
      <w:tr w:rsidR="00A0227D" w:rsidRPr="00054B3B" w14:paraId="008DD005" w14:textId="77777777" w:rsidTr="00054B3B">
        <w:tc>
          <w:tcPr>
            <w:tcW w:w="433" w:type="dxa"/>
            <w:tcBorders>
              <w:top w:val="nil"/>
            </w:tcBorders>
            <w:shd w:val="clear" w:color="auto" w:fill="auto"/>
            <w:hideMark/>
          </w:tcPr>
          <w:p w14:paraId="6A2ABB5B"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w:t>
            </w:r>
          </w:p>
        </w:tc>
        <w:tc>
          <w:tcPr>
            <w:tcW w:w="762" w:type="dxa"/>
            <w:tcBorders>
              <w:top w:val="nil"/>
            </w:tcBorders>
            <w:shd w:val="clear" w:color="auto" w:fill="auto"/>
            <w:vAlign w:val="bottom"/>
            <w:hideMark/>
          </w:tcPr>
          <w:p w14:paraId="04628D52"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tcBorders>
              <w:top w:val="nil"/>
            </w:tcBorders>
            <w:shd w:val="clear" w:color="auto" w:fill="auto"/>
            <w:vAlign w:val="bottom"/>
            <w:hideMark/>
          </w:tcPr>
          <w:p w14:paraId="53D42E8C"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102</w:t>
            </w:r>
            <w:r w:rsidRPr="00054B3B">
              <w:rPr>
                <w:rFonts w:ascii="Traditional Arabic"/>
                <w:sz w:val="18"/>
                <w:szCs w:val="18"/>
                <w:rtl/>
              </w:rPr>
              <w:t>,</w:t>
            </w:r>
            <w:r w:rsidRPr="00054B3B">
              <w:rPr>
                <w:sz w:val="18"/>
                <w:szCs w:val="18"/>
                <w:rtl/>
              </w:rPr>
              <w:t>5</w:t>
            </w:r>
          </w:p>
        </w:tc>
        <w:tc>
          <w:tcPr>
            <w:tcW w:w="770" w:type="dxa"/>
            <w:tcBorders>
              <w:top w:val="nil"/>
            </w:tcBorders>
            <w:shd w:val="clear" w:color="auto" w:fill="auto"/>
            <w:vAlign w:val="bottom"/>
            <w:hideMark/>
          </w:tcPr>
          <w:p w14:paraId="0E0A8DB3"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106</w:t>
            </w:r>
            <w:r w:rsidRPr="00054B3B">
              <w:rPr>
                <w:rFonts w:ascii="Traditional Arabic"/>
                <w:sz w:val="18"/>
                <w:szCs w:val="18"/>
                <w:rtl/>
              </w:rPr>
              <w:t>,</w:t>
            </w:r>
            <w:r w:rsidRPr="00054B3B">
              <w:rPr>
                <w:sz w:val="18"/>
                <w:szCs w:val="18"/>
                <w:rtl/>
              </w:rPr>
              <w:t>4</w:t>
            </w:r>
          </w:p>
        </w:tc>
        <w:tc>
          <w:tcPr>
            <w:tcW w:w="771" w:type="dxa"/>
            <w:tcBorders>
              <w:top w:val="nil"/>
            </w:tcBorders>
            <w:shd w:val="clear" w:color="auto" w:fill="auto"/>
            <w:vAlign w:val="bottom"/>
            <w:hideMark/>
          </w:tcPr>
          <w:p w14:paraId="45EAC187"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1</w:t>
            </w:r>
          </w:p>
        </w:tc>
        <w:tc>
          <w:tcPr>
            <w:tcW w:w="770" w:type="dxa"/>
            <w:tcBorders>
              <w:top w:val="nil"/>
            </w:tcBorders>
            <w:shd w:val="clear" w:color="auto" w:fill="auto"/>
            <w:vAlign w:val="bottom"/>
            <w:hideMark/>
          </w:tcPr>
          <w:p w14:paraId="5A0F260B"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113</w:t>
            </w:r>
            <w:r w:rsidRPr="00054B3B">
              <w:rPr>
                <w:rFonts w:ascii="Traditional Arabic"/>
                <w:sz w:val="18"/>
                <w:szCs w:val="18"/>
                <w:rtl/>
              </w:rPr>
              <w:t>,</w:t>
            </w:r>
            <w:r w:rsidRPr="00054B3B">
              <w:rPr>
                <w:sz w:val="18"/>
                <w:szCs w:val="18"/>
                <w:rtl/>
              </w:rPr>
              <w:t>8</w:t>
            </w:r>
          </w:p>
        </w:tc>
        <w:tc>
          <w:tcPr>
            <w:tcW w:w="770" w:type="dxa"/>
            <w:tcBorders>
              <w:top w:val="nil"/>
            </w:tcBorders>
            <w:shd w:val="clear" w:color="auto" w:fill="auto"/>
            <w:vAlign w:val="bottom"/>
            <w:hideMark/>
          </w:tcPr>
          <w:p w14:paraId="12335136"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115</w:t>
            </w:r>
            <w:r w:rsidRPr="00054B3B">
              <w:rPr>
                <w:rFonts w:ascii="Traditional Arabic"/>
                <w:sz w:val="18"/>
                <w:szCs w:val="18"/>
                <w:rtl/>
              </w:rPr>
              <w:t>,</w:t>
            </w:r>
            <w:r w:rsidRPr="00054B3B">
              <w:rPr>
                <w:sz w:val="18"/>
                <w:szCs w:val="18"/>
                <w:rtl/>
              </w:rPr>
              <w:t>5</w:t>
            </w:r>
          </w:p>
        </w:tc>
        <w:tc>
          <w:tcPr>
            <w:tcW w:w="770" w:type="dxa"/>
            <w:tcBorders>
              <w:top w:val="nil"/>
            </w:tcBorders>
            <w:shd w:val="clear" w:color="auto" w:fill="auto"/>
            <w:vAlign w:val="bottom"/>
            <w:hideMark/>
          </w:tcPr>
          <w:p w14:paraId="55BF3698"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117</w:t>
            </w:r>
            <w:r w:rsidRPr="00054B3B">
              <w:rPr>
                <w:rFonts w:ascii="Traditional Arabic"/>
                <w:sz w:val="18"/>
                <w:szCs w:val="18"/>
                <w:rtl/>
              </w:rPr>
              <w:t>,</w:t>
            </w:r>
            <w:r w:rsidRPr="00054B3B">
              <w:rPr>
                <w:sz w:val="18"/>
                <w:szCs w:val="18"/>
                <w:rtl/>
              </w:rPr>
              <w:t>5</w:t>
            </w:r>
          </w:p>
        </w:tc>
        <w:tc>
          <w:tcPr>
            <w:tcW w:w="772" w:type="dxa"/>
            <w:tcBorders>
              <w:top w:val="nil"/>
            </w:tcBorders>
            <w:shd w:val="clear" w:color="auto" w:fill="auto"/>
            <w:vAlign w:val="bottom"/>
          </w:tcPr>
          <w:p w14:paraId="239E44FB"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119</w:t>
            </w:r>
            <w:r w:rsidRPr="00054B3B">
              <w:rPr>
                <w:rFonts w:ascii="Traditional Arabic"/>
                <w:sz w:val="18"/>
                <w:szCs w:val="18"/>
                <w:rtl/>
              </w:rPr>
              <w:t>,</w:t>
            </w:r>
            <w:r w:rsidRPr="00054B3B">
              <w:rPr>
                <w:sz w:val="18"/>
                <w:szCs w:val="18"/>
                <w:rtl/>
              </w:rPr>
              <w:t>7</w:t>
            </w:r>
          </w:p>
        </w:tc>
        <w:tc>
          <w:tcPr>
            <w:tcW w:w="609" w:type="dxa"/>
            <w:tcBorders>
              <w:top w:val="nil"/>
            </w:tcBorders>
            <w:shd w:val="clear" w:color="auto" w:fill="auto"/>
            <w:vAlign w:val="bottom"/>
          </w:tcPr>
          <w:p w14:paraId="09C909E8"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122</w:t>
            </w:r>
            <w:r w:rsidRPr="00054B3B">
              <w:rPr>
                <w:rFonts w:ascii="Traditional Arabic"/>
                <w:sz w:val="18"/>
                <w:szCs w:val="18"/>
                <w:rtl/>
              </w:rPr>
              <w:t>,</w:t>
            </w:r>
            <w:r w:rsidRPr="00054B3B">
              <w:rPr>
                <w:sz w:val="18"/>
                <w:szCs w:val="18"/>
                <w:rtl/>
              </w:rPr>
              <w:t>5</w:t>
            </w:r>
          </w:p>
        </w:tc>
      </w:tr>
      <w:tr w:rsidR="00A0227D" w:rsidRPr="00054B3B" w14:paraId="12059B00" w14:textId="77777777" w:rsidTr="00054B3B">
        <w:tc>
          <w:tcPr>
            <w:tcW w:w="433" w:type="dxa"/>
            <w:shd w:val="clear" w:color="auto" w:fill="auto"/>
            <w:hideMark/>
          </w:tcPr>
          <w:p w14:paraId="5B71EEE9"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12</w:t>
            </w:r>
          </w:p>
        </w:tc>
        <w:tc>
          <w:tcPr>
            <w:tcW w:w="762" w:type="dxa"/>
            <w:shd w:val="clear" w:color="auto" w:fill="auto"/>
            <w:vAlign w:val="bottom"/>
            <w:hideMark/>
          </w:tcPr>
          <w:p w14:paraId="3CE74919"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100</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0FEC0AF8"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103</w:t>
            </w:r>
            <w:r w:rsidRPr="00054B3B">
              <w:rPr>
                <w:rFonts w:ascii="Traditional Arabic"/>
                <w:sz w:val="18"/>
                <w:szCs w:val="18"/>
                <w:rtl/>
              </w:rPr>
              <w:t>,</w:t>
            </w:r>
            <w:r w:rsidRPr="00054B3B">
              <w:rPr>
                <w:sz w:val="18"/>
                <w:szCs w:val="18"/>
                <w:rtl/>
              </w:rPr>
              <w:t>6</w:t>
            </w:r>
          </w:p>
        </w:tc>
        <w:tc>
          <w:tcPr>
            <w:tcW w:w="770" w:type="dxa"/>
            <w:shd w:val="clear" w:color="auto" w:fill="auto"/>
            <w:vAlign w:val="bottom"/>
            <w:hideMark/>
          </w:tcPr>
          <w:p w14:paraId="6D6D7920"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107</w:t>
            </w:r>
            <w:r w:rsidRPr="00054B3B">
              <w:rPr>
                <w:rFonts w:ascii="Traditional Arabic"/>
                <w:sz w:val="18"/>
                <w:szCs w:val="18"/>
                <w:rtl/>
              </w:rPr>
              <w:t>,</w:t>
            </w:r>
            <w:r w:rsidRPr="00054B3B">
              <w:rPr>
                <w:sz w:val="18"/>
                <w:szCs w:val="18"/>
                <w:rtl/>
              </w:rPr>
              <w:t>8</w:t>
            </w:r>
          </w:p>
        </w:tc>
        <w:tc>
          <w:tcPr>
            <w:tcW w:w="771" w:type="dxa"/>
            <w:shd w:val="clear" w:color="auto" w:fill="auto"/>
            <w:vAlign w:val="bottom"/>
            <w:hideMark/>
          </w:tcPr>
          <w:p w14:paraId="1BCCA0D6"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108</w:t>
            </w:r>
            <w:r w:rsidRPr="00054B3B">
              <w:rPr>
                <w:rFonts w:ascii="Traditional Arabic"/>
                <w:sz w:val="18"/>
                <w:szCs w:val="18"/>
                <w:rtl/>
              </w:rPr>
              <w:t>,</w:t>
            </w:r>
            <w:r w:rsidRPr="00054B3B">
              <w:rPr>
                <w:sz w:val="18"/>
                <w:szCs w:val="18"/>
                <w:rtl/>
              </w:rPr>
              <w:t>1</w:t>
            </w:r>
          </w:p>
        </w:tc>
        <w:tc>
          <w:tcPr>
            <w:tcW w:w="770" w:type="dxa"/>
            <w:shd w:val="clear" w:color="auto" w:fill="auto"/>
            <w:vAlign w:val="bottom"/>
            <w:hideMark/>
          </w:tcPr>
          <w:p w14:paraId="1442EDEA"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7</w:t>
            </w:r>
          </w:p>
        </w:tc>
        <w:tc>
          <w:tcPr>
            <w:tcW w:w="770" w:type="dxa"/>
            <w:shd w:val="clear" w:color="auto" w:fill="auto"/>
            <w:vAlign w:val="bottom"/>
            <w:hideMark/>
          </w:tcPr>
          <w:p w14:paraId="66ADD803"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0</w:t>
            </w:r>
          </w:p>
        </w:tc>
        <w:tc>
          <w:tcPr>
            <w:tcW w:w="770" w:type="dxa"/>
            <w:shd w:val="clear" w:color="auto" w:fill="auto"/>
            <w:vAlign w:val="bottom"/>
            <w:hideMark/>
          </w:tcPr>
          <w:p w14:paraId="3644D929"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7</w:t>
            </w:r>
          </w:p>
        </w:tc>
        <w:tc>
          <w:tcPr>
            <w:tcW w:w="772" w:type="dxa"/>
            <w:shd w:val="clear" w:color="auto" w:fill="auto"/>
            <w:vAlign w:val="bottom"/>
          </w:tcPr>
          <w:p w14:paraId="0A4BCD38"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111</w:t>
            </w:r>
            <w:r w:rsidRPr="00054B3B">
              <w:rPr>
                <w:rFonts w:ascii="Traditional Arabic"/>
                <w:sz w:val="18"/>
                <w:szCs w:val="18"/>
                <w:rtl/>
              </w:rPr>
              <w:t>,</w:t>
            </w:r>
            <w:r w:rsidRPr="00054B3B">
              <w:rPr>
                <w:sz w:val="18"/>
                <w:szCs w:val="18"/>
                <w:rtl/>
              </w:rPr>
              <w:t>0</w:t>
            </w:r>
          </w:p>
        </w:tc>
        <w:tc>
          <w:tcPr>
            <w:tcW w:w="609" w:type="dxa"/>
            <w:shd w:val="clear" w:color="auto" w:fill="auto"/>
            <w:vAlign w:val="bottom"/>
          </w:tcPr>
          <w:p w14:paraId="190C9039" w14:textId="77777777" w:rsidR="00A0227D" w:rsidRPr="00054B3B" w:rsidRDefault="00A0227D" w:rsidP="00054B3B">
            <w:pPr>
              <w:keepNext/>
              <w:spacing w:after="40" w:line="300" w:lineRule="exact"/>
              <w:ind w:left="57" w:right="57"/>
              <w:textDirection w:val="tbRlV"/>
              <w:rPr>
                <w:sz w:val="18"/>
                <w:szCs w:val="18"/>
                <w:lang w:val="ar-SA" w:eastAsia="zh-TW" w:bidi="en-GB"/>
              </w:rPr>
            </w:pPr>
            <w:r w:rsidRPr="00054B3B">
              <w:rPr>
                <w:sz w:val="18"/>
                <w:szCs w:val="18"/>
                <w:rtl/>
              </w:rPr>
              <w:t>110</w:t>
            </w:r>
            <w:r w:rsidRPr="00054B3B">
              <w:rPr>
                <w:rFonts w:ascii="Traditional Arabic"/>
                <w:sz w:val="18"/>
                <w:szCs w:val="18"/>
                <w:rtl/>
              </w:rPr>
              <w:t>,</w:t>
            </w:r>
            <w:r w:rsidRPr="00054B3B">
              <w:rPr>
                <w:sz w:val="18"/>
                <w:szCs w:val="18"/>
                <w:rtl/>
              </w:rPr>
              <w:t>3</w:t>
            </w:r>
          </w:p>
        </w:tc>
      </w:tr>
    </w:tbl>
    <w:p w14:paraId="7C17FCA1" w14:textId="77777777" w:rsidR="00A0227D" w:rsidRPr="00054B3B" w:rsidRDefault="00A0227D" w:rsidP="0083362E">
      <w:pPr>
        <w:pStyle w:val="SingleTxtGA"/>
        <w:spacing w:after="0"/>
        <w:rPr>
          <w:sz w:val="26"/>
          <w:szCs w:val="26"/>
          <w:lang w:val="ar-SA" w:eastAsia="zh-TW" w:bidi="en-GB"/>
        </w:rPr>
      </w:pPr>
      <w:r w:rsidRPr="00054B3B">
        <w:rPr>
          <w:i/>
          <w:iCs/>
          <w:sz w:val="26"/>
          <w:szCs w:val="26"/>
          <w:rtl/>
        </w:rPr>
        <w:t>المصدر</w:t>
      </w:r>
      <w:r w:rsidRPr="00BB79C1">
        <w:rPr>
          <w:rtl/>
        </w:rPr>
        <w:t>:</w:t>
      </w:r>
      <w:r w:rsidRPr="00054B3B">
        <w:rPr>
          <w:sz w:val="26"/>
          <w:szCs w:val="26"/>
          <w:rtl/>
        </w:rPr>
        <w:t xml:space="preserve"> إحصاءات فنلندا، مؤشر أسعار الاستهلاك، رسوم بيانية.</w:t>
      </w:r>
    </w:p>
    <w:p w14:paraId="3F439E14" w14:textId="77777777" w:rsidR="00A0227D" w:rsidRPr="0083362E" w:rsidRDefault="00A0227D" w:rsidP="000A1C86">
      <w:pPr>
        <w:pStyle w:val="SingleTxtGA"/>
        <w:spacing w:after="360" w:line="300" w:lineRule="exact"/>
        <w:rPr>
          <w:sz w:val="26"/>
          <w:szCs w:val="26"/>
          <w:lang w:val="ar-SA" w:eastAsia="zh-TW" w:bidi="en-GB"/>
        </w:rPr>
      </w:pPr>
      <w:r w:rsidRPr="0083362E">
        <w:rPr>
          <w:sz w:val="18"/>
          <w:szCs w:val="18"/>
          <w:rtl/>
        </w:rPr>
        <w:t>0</w:t>
      </w:r>
      <w:r w:rsidRPr="0083362E">
        <w:rPr>
          <w:sz w:val="26"/>
          <w:szCs w:val="26"/>
          <w:rtl/>
        </w:rPr>
        <w:t xml:space="preserve"> = مؤشر أسعار الاستهلاك، </w:t>
      </w:r>
      <w:r w:rsidRPr="0083362E">
        <w:rPr>
          <w:sz w:val="18"/>
          <w:szCs w:val="18"/>
          <w:rtl/>
        </w:rPr>
        <w:t>01</w:t>
      </w:r>
      <w:r w:rsidRPr="0083362E">
        <w:rPr>
          <w:sz w:val="26"/>
          <w:szCs w:val="26"/>
          <w:rtl/>
        </w:rPr>
        <w:t xml:space="preserve"> = الأغذية والمشروبات غير الكحولية، </w:t>
      </w:r>
      <w:r w:rsidRPr="0083362E">
        <w:rPr>
          <w:sz w:val="18"/>
          <w:szCs w:val="18"/>
          <w:rtl/>
        </w:rPr>
        <w:t xml:space="preserve">02 </w:t>
      </w:r>
      <w:r w:rsidRPr="0083362E">
        <w:rPr>
          <w:sz w:val="26"/>
          <w:szCs w:val="26"/>
          <w:rtl/>
        </w:rPr>
        <w:t xml:space="preserve">= المشروبات الكحولية والتبغ، </w:t>
      </w:r>
      <w:r w:rsidRPr="0083362E">
        <w:rPr>
          <w:sz w:val="18"/>
          <w:szCs w:val="18"/>
          <w:rtl/>
        </w:rPr>
        <w:t xml:space="preserve">03 </w:t>
      </w:r>
      <w:r w:rsidRPr="0083362E">
        <w:rPr>
          <w:sz w:val="26"/>
          <w:szCs w:val="26"/>
          <w:rtl/>
        </w:rPr>
        <w:t>= الملابس والأحذية</w:t>
      </w:r>
      <w:r w:rsidRPr="0083362E">
        <w:rPr>
          <w:sz w:val="26"/>
          <w:szCs w:val="26"/>
          <w:rtl/>
          <w:lang w:val="fr-CH"/>
        </w:rPr>
        <w:t xml:space="preserve">، </w:t>
      </w:r>
      <w:r w:rsidRPr="0083362E">
        <w:rPr>
          <w:sz w:val="18"/>
          <w:szCs w:val="18"/>
          <w:rtl/>
        </w:rPr>
        <w:t xml:space="preserve">04 </w:t>
      </w:r>
      <w:r w:rsidRPr="0083362E">
        <w:rPr>
          <w:sz w:val="26"/>
          <w:szCs w:val="26"/>
          <w:rtl/>
        </w:rPr>
        <w:t xml:space="preserve">= السكن والماء والكهرباء والغاز وأنواع الوقود الأخرى، </w:t>
      </w:r>
      <w:r w:rsidRPr="0083362E">
        <w:rPr>
          <w:sz w:val="18"/>
          <w:szCs w:val="18"/>
          <w:rtl/>
        </w:rPr>
        <w:t xml:space="preserve">05 </w:t>
      </w:r>
      <w:r w:rsidRPr="0083362E">
        <w:rPr>
          <w:sz w:val="26"/>
          <w:szCs w:val="26"/>
          <w:rtl/>
        </w:rPr>
        <w:t xml:space="preserve">= المفروشات والمعدات المنزلية والصيانة الروتينية للمنزل، </w:t>
      </w:r>
      <w:r w:rsidRPr="0083362E">
        <w:rPr>
          <w:sz w:val="18"/>
          <w:szCs w:val="18"/>
          <w:rtl/>
        </w:rPr>
        <w:t xml:space="preserve">06 </w:t>
      </w:r>
      <w:r w:rsidRPr="0083362E">
        <w:rPr>
          <w:sz w:val="26"/>
          <w:szCs w:val="26"/>
          <w:rtl/>
        </w:rPr>
        <w:t xml:space="preserve">= الصحة، </w:t>
      </w:r>
      <w:r w:rsidRPr="0083362E">
        <w:rPr>
          <w:sz w:val="18"/>
          <w:szCs w:val="18"/>
          <w:rtl/>
        </w:rPr>
        <w:t xml:space="preserve">07 </w:t>
      </w:r>
      <w:r w:rsidRPr="0083362E">
        <w:rPr>
          <w:sz w:val="26"/>
          <w:szCs w:val="26"/>
          <w:rtl/>
        </w:rPr>
        <w:t xml:space="preserve">= النقل، </w:t>
      </w:r>
      <w:r w:rsidRPr="0083362E">
        <w:rPr>
          <w:sz w:val="18"/>
          <w:szCs w:val="18"/>
          <w:rtl/>
        </w:rPr>
        <w:t xml:space="preserve">08 </w:t>
      </w:r>
      <w:r w:rsidRPr="0083362E">
        <w:rPr>
          <w:sz w:val="26"/>
          <w:szCs w:val="26"/>
          <w:rtl/>
        </w:rPr>
        <w:t xml:space="preserve">= الاتصالات، </w:t>
      </w:r>
      <w:r w:rsidRPr="0083362E">
        <w:rPr>
          <w:sz w:val="18"/>
          <w:szCs w:val="18"/>
          <w:rtl/>
        </w:rPr>
        <w:t xml:space="preserve">09 </w:t>
      </w:r>
      <w:r w:rsidRPr="0083362E">
        <w:rPr>
          <w:sz w:val="26"/>
          <w:szCs w:val="26"/>
          <w:rtl/>
        </w:rPr>
        <w:t xml:space="preserve">= الترفيه والثقافة، </w:t>
      </w:r>
      <w:r w:rsidRPr="0083362E">
        <w:rPr>
          <w:sz w:val="18"/>
          <w:szCs w:val="18"/>
          <w:rtl/>
        </w:rPr>
        <w:t xml:space="preserve">10 </w:t>
      </w:r>
      <w:r w:rsidRPr="0083362E">
        <w:rPr>
          <w:sz w:val="26"/>
          <w:szCs w:val="26"/>
          <w:rtl/>
        </w:rPr>
        <w:t xml:space="preserve">= التعليم، </w:t>
      </w:r>
      <w:r w:rsidRPr="0083362E">
        <w:rPr>
          <w:sz w:val="18"/>
          <w:szCs w:val="18"/>
          <w:rtl/>
        </w:rPr>
        <w:t xml:space="preserve">11 </w:t>
      </w:r>
      <w:r w:rsidRPr="0083362E">
        <w:rPr>
          <w:sz w:val="26"/>
          <w:szCs w:val="26"/>
          <w:rtl/>
        </w:rPr>
        <w:t xml:space="preserve">= المطاعم والفنادق، </w:t>
      </w:r>
      <w:r w:rsidRPr="0083362E">
        <w:rPr>
          <w:sz w:val="18"/>
          <w:szCs w:val="18"/>
          <w:rtl/>
        </w:rPr>
        <w:t xml:space="preserve">12 </w:t>
      </w:r>
      <w:r w:rsidRPr="0083362E">
        <w:rPr>
          <w:sz w:val="26"/>
          <w:szCs w:val="26"/>
          <w:rtl/>
        </w:rPr>
        <w:t>= السلع والخدمات المتنوعة.</w:t>
      </w:r>
    </w:p>
    <w:p w14:paraId="20144D32" w14:textId="77777777" w:rsidR="00A0227D" w:rsidRPr="009B1F51" w:rsidRDefault="00A0227D" w:rsidP="00054B3B">
      <w:pPr>
        <w:pStyle w:val="SingleTxtGA"/>
        <w:rPr>
          <w:szCs w:val="20"/>
          <w:lang w:val="ar-SA" w:eastAsia="zh-TW" w:bidi="en-GB"/>
        </w:rPr>
      </w:pPr>
      <w:r w:rsidRPr="005C19F0">
        <w:rPr>
          <w:szCs w:val="20"/>
          <w:rtl/>
        </w:rPr>
        <w:t>46</w:t>
      </w:r>
      <w:r w:rsidRPr="00EF3655">
        <w:rPr>
          <w:rtl/>
        </w:rPr>
        <w:t>-</w:t>
      </w:r>
      <w:r>
        <w:rPr>
          <w:rtl/>
        </w:rPr>
        <w:tab/>
        <w:t xml:space="preserve">وتستخدم </w:t>
      </w:r>
      <w:r w:rsidRPr="0048449E">
        <w:rPr>
          <w:rtl/>
        </w:rPr>
        <w:t>الدول الأعضاء في الاتحاد الأوروبي</w:t>
      </w:r>
      <w:r>
        <w:rPr>
          <w:rtl/>
        </w:rPr>
        <w:t xml:space="preserve"> أيضاً،</w:t>
      </w:r>
      <w:r w:rsidRPr="0048449E">
        <w:rPr>
          <w:rtl/>
        </w:rPr>
        <w:t xml:space="preserve"> </w:t>
      </w:r>
      <w:r>
        <w:rPr>
          <w:rtl/>
        </w:rPr>
        <w:t>بالإضافة إلى المؤشرات الوطنية لأسعار الاستهلاك، مؤشراً موحداً لأسعار الاستهلاك. والغرض الرئيسي من استخدامه هو مقارنة التضخم فيما بين بلدان الاتحاد الأوروبي. ويستخدم المصرف المركزي الأوروبي</w:t>
      </w:r>
      <w:r w:rsidRPr="00B44C08">
        <w:rPr>
          <w:rtl/>
        </w:rPr>
        <w:t xml:space="preserve"> في سياسته النقدية</w:t>
      </w:r>
      <w:r>
        <w:rPr>
          <w:rtl/>
        </w:rPr>
        <w:t xml:space="preserve"> المؤشر الموحد لأسعار الاستهلاك كمقياس للتضخم. ويسترشد حساب المؤشر الموحد لأسعار الاستهلاك بلوائح الاتحاد الأوروبي. </w:t>
      </w:r>
    </w:p>
    <w:p w14:paraId="45E2282B" w14:textId="77777777" w:rsidR="00A0227D" w:rsidRPr="009B1F51" w:rsidRDefault="00A0227D" w:rsidP="00C50140">
      <w:pPr>
        <w:pStyle w:val="H23GA"/>
        <w:rPr>
          <w:szCs w:val="20"/>
          <w:lang w:val="ar-SA" w:eastAsia="zh-TW" w:bidi="en-GB"/>
        </w:rPr>
      </w:pPr>
      <w:bookmarkStart w:id="13" w:name="_Toc32364278"/>
      <w:r>
        <w:rPr>
          <w:rtl/>
        </w:rPr>
        <w:lastRenderedPageBreak/>
        <w:tab/>
      </w:r>
      <w:r>
        <w:rPr>
          <w:rtl/>
        </w:rPr>
        <w:tab/>
        <w:t>ديون الحكومة المركزية</w:t>
      </w:r>
      <w:bookmarkEnd w:id="13"/>
    </w:p>
    <w:p w14:paraId="102BCB85" w14:textId="77777777" w:rsidR="00A0227D" w:rsidRPr="009B1F51" w:rsidRDefault="00A0227D" w:rsidP="00054B3B">
      <w:pPr>
        <w:pStyle w:val="SingleTxtGA"/>
        <w:rPr>
          <w:szCs w:val="20"/>
          <w:lang w:val="ar-SA" w:eastAsia="zh-TW" w:bidi="en-GB"/>
        </w:rPr>
      </w:pPr>
      <w:r w:rsidRPr="005C19F0">
        <w:rPr>
          <w:szCs w:val="20"/>
          <w:rtl/>
        </w:rPr>
        <w:t>47</w:t>
      </w:r>
      <w:r w:rsidRPr="00EF3655">
        <w:rPr>
          <w:rtl/>
        </w:rPr>
        <w:t>-</w:t>
      </w:r>
      <w:r>
        <w:rPr>
          <w:rtl/>
        </w:rPr>
        <w:tab/>
        <w:t xml:space="preserve">بموجب دستور فنلندا، لا يجوز تحمل ديون الحكومة المركزية إلا بموافقة البرلمان. ويجب أن تبين الموافقة الحد الأقصى للديون الجديدة أو المستوى الإجمالي لديون الحكومة المركزية. وقد أذن البرلمان للحكومة بتحمل الديون شريطة ألا تتجاوز القيمة الاسمية لديون الحكومة المركزية </w:t>
      </w:r>
      <w:r w:rsidRPr="005C19F0">
        <w:rPr>
          <w:szCs w:val="20"/>
          <w:rtl/>
        </w:rPr>
        <w:t>125</w:t>
      </w:r>
      <w:r>
        <w:rPr>
          <w:rtl/>
        </w:rPr>
        <w:t xml:space="preserve"> مليار يورو، حتى إشعار آخر، وألّا تزيد قيمة الدين القصير الأجل، في وقت الاقتراض، على </w:t>
      </w:r>
      <w:r w:rsidRPr="005C19F0">
        <w:rPr>
          <w:szCs w:val="20"/>
          <w:rtl/>
        </w:rPr>
        <w:t>18</w:t>
      </w:r>
      <w:r>
        <w:rPr>
          <w:rtl/>
        </w:rPr>
        <w:t xml:space="preserve"> مليار يورو.</w:t>
      </w:r>
    </w:p>
    <w:p w14:paraId="7B2B753F" w14:textId="77777777" w:rsidR="00A0227D" w:rsidRPr="009B1F51" w:rsidRDefault="00A0227D" w:rsidP="00C50140">
      <w:pPr>
        <w:pStyle w:val="SingleTxtGA"/>
        <w:rPr>
          <w:szCs w:val="20"/>
          <w:lang w:val="ar-SA" w:eastAsia="zh-TW" w:bidi="en-GB"/>
        </w:rPr>
      </w:pPr>
      <w:r w:rsidRPr="005C19F0">
        <w:rPr>
          <w:szCs w:val="20"/>
          <w:rtl/>
        </w:rPr>
        <w:t>48</w:t>
      </w:r>
      <w:r w:rsidRPr="00EF3655">
        <w:rPr>
          <w:rtl/>
        </w:rPr>
        <w:t>-</w:t>
      </w:r>
      <w:r>
        <w:rPr>
          <w:rtl/>
        </w:rPr>
        <w:tab/>
        <w:t>وقد أذن البرلمان للحكومة بالحصول على قروض قصيرة الأجل عند الضرورة لغرض ضمان توفُّر السيولة المالية للحكومة المركزية، وكذلك لإبرام عقود مشتقة بحسب تقديرها، لأغراض إدارة المخاطر المتعلقة بإدارة ديون الحكومة المركزية.</w:t>
      </w:r>
    </w:p>
    <w:p w14:paraId="4D3DDA1D" w14:textId="77777777" w:rsidR="00A0227D" w:rsidRPr="004E7718" w:rsidRDefault="00A0227D" w:rsidP="004E7718">
      <w:pPr>
        <w:pStyle w:val="SingleTxtGA"/>
        <w:spacing w:after="0"/>
        <w:rPr>
          <w:szCs w:val="20"/>
          <w:lang w:eastAsia="zh-TW" w:bidi="en-GB"/>
        </w:rPr>
      </w:pPr>
      <w:r>
        <w:rPr>
          <w:rtl/>
        </w:rPr>
        <w:t xml:space="preserve">الجدول </w:t>
      </w:r>
      <w:r w:rsidRPr="005C19F0">
        <w:rPr>
          <w:szCs w:val="20"/>
          <w:rtl/>
        </w:rPr>
        <w:t>4</w:t>
      </w:r>
    </w:p>
    <w:p w14:paraId="58E5577C" w14:textId="77777777" w:rsidR="00A0227D" w:rsidRPr="00C50140" w:rsidRDefault="00A0227D" w:rsidP="00C50140">
      <w:pPr>
        <w:pStyle w:val="SingleTxtGA"/>
        <w:rPr>
          <w:b/>
          <w:bCs/>
          <w:szCs w:val="20"/>
          <w:lang w:val="ar-SA" w:eastAsia="zh-TW" w:bidi="en-GB"/>
        </w:rPr>
      </w:pPr>
      <w:r w:rsidRPr="00C50140">
        <w:rPr>
          <w:b/>
          <w:bCs/>
          <w:rtl/>
        </w:rPr>
        <w:t xml:space="preserve">تطور ديون الحكومة المركزية الفنلندية في الفترة </w:t>
      </w:r>
      <w:r w:rsidRPr="005C19F0">
        <w:rPr>
          <w:b/>
          <w:bCs/>
          <w:szCs w:val="20"/>
          <w:rtl/>
        </w:rPr>
        <w:t>2010</w:t>
      </w:r>
      <w:r w:rsidRPr="00EF3655">
        <w:rPr>
          <w:rtl/>
        </w:rPr>
        <w:t>-</w:t>
      </w:r>
      <w:r w:rsidRPr="005C19F0">
        <w:rPr>
          <w:b/>
          <w:bCs/>
          <w:szCs w:val="20"/>
          <w:rtl/>
        </w:rPr>
        <w:t>2018</w:t>
      </w:r>
    </w:p>
    <w:tbl>
      <w:tblPr>
        <w:bidiVisual/>
        <w:tblW w:w="7220" w:type="dxa"/>
        <w:tblInd w:w="12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2"/>
        <w:gridCol w:w="2948"/>
        <w:gridCol w:w="1490"/>
      </w:tblGrid>
      <w:tr w:rsidR="00A0227D" w:rsidRPr="00B5076A" w14:paraId="46F00D7A" w14:textId="77777777" w:rsidTr="000A1C86">
        <w:trPr>
          <w:tblHeader/>
        </w:trPr>
        <w:tc>
          <w:tcPr>
            <w:tcW w:w="2782" w:type="dxa"/>
            <w:tcBorders>
              <w:top w:val="single" w:sz="4" w:space="0" w:color="auto"/>
              <w:bottom w:val="single" w:sz="12" w:space="0" w:color="auto"/>
            </w:tcBorders>
            <w:shd w:val="clear" w:color="auto" w:fill="auto"/>
            <w:vAlign w:val="bottom"/>
          </w:tcPr>
          <w:p w14:paraId="715A1ECA" w14:textId="77777777" w:rsidR="00A0227D" w:rsidRPr="004E7718" w:rsidRDefault="00A0227D" w:rsidP="004E7718">
            <w:pPr>
              <w:spacing w:before="20" w:after="40" w:line="300" w:lineRule="exact"/>
              <w:ind w:left="57" w:right="57"/>
              <w:textDirection w:val="tbRlV"/>
              <w:rPr>
                <w:bCs/>
                <w:i/>
                <w:sz w:val="26"/>
                <w:szCs w:val="26"/>
                <w:lang w:val="ar-SA" w:eastAsia="zh-TW" w:bidi="en-GB"/>
              </w:rPr>
            </w:pPr>
            <w:r w:rsidRPr="004E7718">
              <w:rPr>
                <w:i/>
                <w:iCs/>
                <w:sz w:val="26"/>
                <w:szCs w:val="26"/>
                <w:rtl/>
              </w:rPr>
              <w:t>السنة</w:t>
            </w:r>
          </w:p>
        </w:tc>
        <w:tc>
          <w:tcPr>
            <w:tcW w:w="2948" w:type="dxa"/>
            <w:tcBorders>
              <w:top w:val="single" w:sz="4" w:space="0" w:color="auto"/>
              <w:bottom w:val="single" w:sz="12" w:space="0" w:color="auto"/>
            </w:tcBorders>
            <w:shd w:val="clear" w:color="auto" w:fill="auto"/>
            <w:vAlign w:val="bottom"/>
          </w:tcPr>
          <w:p w14:paraId="295C170E" w14:textId="77777777" w:rsidR="00A0227D" w:rsidRPr="004E7718" w:rsidRDefault="00A0227D" w:rsidP="004E7718">
            <w:pPr>
              <w:spacing w:before="20" w:after="40" w:line="300" w:lineRule="exact"/>
              <w:ind w:left="57" w:right="57"/>
              <w:textDirection w:val="tbRlV"/>
              <w:rPr>
                <w:rFonts w:hint="cs"/>
                <w:bCs/>
                <w:i/>
                <w:sz w:val="26"/>
                <w:szCs w:val="26"/>
                <w:lang w:eastAsia="zh-TW" w:bidi="en-GB"/>
              </w:rPr>
            </w:pPr>
            <w:r w:rsidRPr="004E7718">
              <w:rPr>
                <w:i/>
                <w:iCs/>
                <w:sz w:val="26"/>
                <w:szCs w:val="26"/>
                <w:rtl/>
              </w:rPr>
              <w:t>مليون يورو</w:t>
            </w:r>
          </w:p>
        </w:tc>
        <w:tc>
          <w:tcPr>
            <w:tcW w:w="1490" w:type="dxa"/>
            <w:tcBorders>
              <w:top w:val="single" w:sz="4" w:space="0" w:color="auto"/>
              <w:bottom w:val="single" w:sz="12" w:space="0" w:color="auto"/>
            </w:tcBorders>
            <w:shd w:val="clear" w:color="auto" w:fill="auto"/>
            <w:vAlign w:val="bottom"/>
          </w:tcPr>
          <w:p w14:paraId="4CED4EAC" w14:textId="77777777" w:rsidR="00A0227D" w:rsidRPr="004E7718" w:rsidRDefault="00A0227D" w:rsidP="004E7718">
            <w:pPr>
              <w:spacing w:before="20" w:after="40" w:line="300" w:lineRule="exact"/>
              <w:ind w:left="57" w:right="57"/>
              <w:textDirection w:val="tbRlV"/>
              <w:rPr>
                <w:bCs/>
                <w:i/>
                <w:sz w:val="26"/>
                <w:szCs w:val="26"/>
                <w:lang w:val="ar-SA" w:eastAsia="zh-TW" w:bidi="en-GB"/>
              </w:rPr>
            </w:pPr>
            <w:r w:rsidRPr="004E7718">
              <w:rPr>
                <w:i/>
                <w:iCs/>
                <w:sz w:val="26"/>
                <w:szCs w:val="26"/>
                <w:rtl/>
              </w:rPr>
              <w:t>النسبة المئوية من الناتج المحلي الإجمالي</w:t>
            </w:r>
          </w:p>
        </w:tc>
      </w:tr>
      <w:tr w:rsidR="00A0227D" w:rsidRPr="00B5076A" w14:paraId="525BD97B" w14:textId="77777777" w:rsidTr="000A1C86">
        <w:tc>
          <w:tcPr>
            <w:tcW w:w="2782" w:type="dxa"/>
            <w:tcBorders>
              <w:top w:val="single" w:sz="12" w:space="0" w:color="auto"/>
            </w:tcBorders>
            <w:shd w:val="clear" w:color="auto" w:fill="auto"/>
          </w:tcPr>
          <w:p w14:paraId="0241D7DE"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2010</w:t>
            </w:r>
          </w:p>
        </w:tc>
        <w:tc>
          <w:tcPr>
            <w:tcW w:w="2948" w:type="dxa"/>
            <w:tcBorders>
              <w:top w:val="single" w:sz="12" w:space="0" w:color="auto"/>
            </w:tcBorders>
            <w:shd w:val="clear" w:color="auto" w:fill="auto"/>
            <w:vAlign w:val="bottom"/>
          </w:tcPr>
          <w:p w14:paraId="33030B4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152</w:t>
            </w:r>
            <w:r w:rsidRPr="004E7718">
              <w:rPr>
                <w:rFonts w:ascii="Traditional Arabic"/>
                <w:sz w:val="18"/>
                <w:szCs w:val="18"/>
                <w:rtl/>
              </w:rPr>
              <w:t xml:space="preserve"> </w:t>
            </w:r>
            <w:r w:rsidRPr="004E7718">
              <w:rPr>
                <w:sz w:val="18"/>
                <w:szCs w:val="18"/>
                <w:rtl/>
              </w:rPr>
              <w:t>75</w:t>
            </w:r>
          </w:p>
        </w:tc>
        <w:tc>
          <w:tcPr>
            <w:tcW w:w="1490" w:type="dxa"/>
            <w:tcBorders>
              <w:top w:val="single" w:sz="12" w:space="0" w:color="auto"/>
            </w:tcBorders>
            <w:shd w:val="clear" w:color="auto" w:fill="auto"/>
            <w:vAlign w:val="bottom"/>
          </w:tcPr>
          <w:p w14:paraId="16D3B1E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40</w:t>
            </w:r>
            <w:r w:rsidRPr="004E7718">
              <w:rPr>
                <w:rFonts w:ascii="Traditional Arabic"/>
                <w:sz w:val="18"/>
                <w:szCs w:val="18"/>
                <w:rtl/>
              </w:rPr>
              <w:t>,</w:t>
            </w:r>
            <w:r w:rsidRPr="004E7718">
              <w:rPr>
                <w:sz w:val="18"/>
                <w:szCs w:val="18"/>
                <w:rtl/>
              </w:rPr>
              <w:t>2</w:t>
            </w:r>
          </w:p>
        </w:tc>
      </w:tr>
      <w:tr w:rsidR="00A0227D" w:rsidRPr="00B5076A" w14:paraId="0DA95C70" w14:textId="77777777" w:rsidTr="000A1C86">
        <w:tc>
          <w:tcPr>
            <w:tcW w:w="2782" w:type="dxa"/>
            <w:shd w:val="clear" w:color="auto" w:fill="auto"/>
          </w:tcPr>
          <w:p w14:paraId="28B32E3C"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2011</w:t>
            </w:r>
          </w:p>
        </w:tc>
        <w:tc>
          <w:tcPr>
            <w:tcW w:w="2948" w:type="dxa"/>
            <w:shd w:val="clear" w:color="auto" w:fill="auto"/>
            <w:vAlign w:val="bottom"/>
          </w:tcPr>
          <w:p w14:paraId="7D01728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661</w:t>
            </w:r>
            <w:r w:rsidRPr="004E7718">
              <w:rPr>
                <w:rFonts w:ascii="Traditional Arabic"/>
                <w:sz w:val="18"/>
                <w:szCs w:val="18"/>
                <w:rtl/>
              </w:rPr>
              <w:t xml:space="preserve"> </w:t>
            </w:r>
            <w:r w:rsidRPr="004E7718">
              <w:rPr>
                <w:sz w:val="18"/>
                <w:szCs w:val="18"/>
                <w:rtl/>
              </w:rPr>
              <w:t>79</w:t>
            </w:r>
          </w:p>
        </w:tc>
        <w:tc>
          <w:tcPr>
            <w:tcW w:w="1490" w:type="dxa"/>
            <w:shd w:val="clear" w:color="auto" w:fill="auto"/>
            <w:vAlign w:val="bottom"/>
          </w:tcPr>
          <w:p w14:paraId="3B92E6B4"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40</w:t>
            </w:r>
            <w:r w:rsidRPr="004E7718">
              <w:rPr>
                <w:rFonts w:ascii="Traditional Arabic"/>
                <w:sz w:val="18"/>
                <w:szCs w:val="18"/>
                <w:rtl/>
              </w:rPr>
              <w:t>,</w:t>
            </w:r>
            <w:r w:rsidRPr="004E7718">
              <w:rPr>
                <w:sz w:val="18"/>
                <w:szCs w:val="18"/>
                <w:rtl/>
              </w:rPr>
              <w:t>5</w:t>
            </w:r>
          </w:p>
        </w:tc>
      </w:tr>
      <w:tr w:rsidR="00A0227D" w:rsidRPr="00B5076A" w14:paraId="12659541" w14:textId="77777777" w:rsidTr="000A1C86">
        <w:tc>
          <w:tcPr>
            <w:tcW w:w="2782" w:type="dxa"/>
            <w:shd w:val="clear" w:color="auto" w:fill="auto"/>
          </w:tcPr>
          <w:p w14:paraId="354BEE6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2012</w:t>
            </w:r>
          </w:p>
        </w:tc>
        <w:tc>
          <w:tcPr>
            <w:tcW w:w="2948" w:type="dxa"/>
            <w:shd w:val="clear" w:color="auto" w:fill="auto"/>
            <w:vAlign w:val="bottom"/>
          </w:tcPr>
          <w:p w14:paraId="3D04FA3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910</w:t>
            </w:r>
            <w:r w:rsidRPr="004E7718">
              <w:rPr>
                <w:rFonts w:ascii="Traditional Arabic"/>
                <w:sz w:val="18"/>
                <w:szCs w:val="18"/>
                <w:rtl/>
              </w:rPr>
              <w:t xml:space="preserve"> </w:t>
            </w:r>
            <w:r w:rsidRPr="004E7718">
              <w:rPr>
                <w:sz w:val="18"/>
                <w:szCs w:val="18"/>
                <w:rtl/>
              </w:rPr>
              <w:t>83</w:t>
            </w:r>
          </w:p>
        </w:tc>
        <w:tc>
          <w:tcPr>
            <w:tcW w:w="1490" w:type="dxa"/>
            <w:shd w:val="clear" w:color="auto" w:fill="auto"/>
            <w:vAlign w:val="bottom"/>
          </w:tcPr>
          <w:p w14:paraId="02FF2CC8"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42</w:t>
            </w:r>
            <w:r w:rsidRPr="004E7718">
              <w:rPr>
                <w:rFonts w:ascii="Traditional Arabic"/>
                <w:sz w:val="18"/>
                <w:szCs w:val="18"/>
                <w:rtl/>
              </w:rPr>
              <w:t>,</w:t>
            </w:r>
            <w:r w:rsidRPr="004E7718">
              <w:rPr>
                <w:sz w:val="18"/>
                <w:szCs w:val="18"/>
                <w:rtl/>
              </w:rPr>
              <w:t>0</w:t>
            </w:r>
          </w:p>
        </w:tc>
      </w:tr>
      <w:tr w:rsidR="00A0227D" w:rsidRPr="00B5076A" w14:paraId="09553BE8" w14:textId="77777777" w:rsidTr="000A1C86">
        <w:tc>
          <w:tcPr>
            <w:tcW w:w="2782" w:type="dxa"/>
            <w:shd w:val="clear" w:color="auto" w:fill="auto"/>
          </w:tcPr>
          <w:p w14:paraId="5E1B929D"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2013</w:t>
            </w:r>
          </w:p>
        </w:tc>
        <w:tc>
          <w:tcPr>
            <w:tcW w:w="2948" w:type="dxa"/>
            <w:shd w:val="clear" w:color="auto" w:fill="auto"/>
            <w:vAlign w:val="bottom"/>
          </w:tcPr>
          <w:p w14:paraId="62D48420"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738</w:t>
            </w:r>
            <w:r w:rsidRPr="004E7718">
              <w:rPr>
                <w:rFonts w:ascii="Traditional Arabic"/>
                <w:sz w:val="18"/>
                <w:szCs w:val="18"/>
                <w:rtl/>
              </w:rPr>
              <w:t xml:space="preserve"> </w:t>
            </w:r>
            <w:r w:rsidRPr="004E7718">
              <w:rPr>
                <w:sz w:val="18"/>
                <w:szCs w:val="18"/>
                <w:rtl/>
              </w:rPr>
              <w:t>89</w:t>
            </w:r>
          </w:p>
        </w:tc>
        <w:tc>
          <w:tcPr>
            <w:tcW w:w="1490" w:type="dxa"/>
            <w:shd w:val="clear" w:color="auto" w:fill="auto"/>
            <w:vAlign w:val="bottom"/>
          </w:tcPr>
          <w:p w14:paraId="0DDD9978"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44</w:t>
            </w:r>
            <w:r w:rsidRPr="004E7718">
              <w:rPr>
                <w:rFonts w:ascii="Traditional Arabic"/>
                <w:sz w:val="18"/>
                <w:szCs w:val="18"/>
                <w:rtl/>
              </w:rPr>
              <w:t>,</w:t>
            </w:r>
            <w:r w:rsidRPr="004E7718">
              <w:rPr>
                <w:sz w:val="18"/>
                <w:szCs w:val="18"/>
                <w:rtl/>
              </w:rPr>
              <w:t>1</w:t>
            </w:r>
          </w:p>
        </w:tc>
      </w:tr>
      <w:tr w:rsidR="00A0227D" w:rsidRPr="00B5076A" w14:paraId="76186C2B" w14:textId="77777777" w:rsidTr="000A1C86">
        <w:tc>
          <w:tcPr>
            <w:tcW w:w="2782" w:type="dxa"/>
            <w:shd w:val="clear" w:color="auto" w:fill="auto"/>
          </w:tcPr>
          <w:p w14:paraId="25E7E64F"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2014</w:t>
            </w:r>
          </w:p>
        </w:tc>
        <w:tc>
          <w:tcPr>
            <w:tcW w:w="2948" w:type="dxa"/>
            <w:shd w:val="clear" w:color="auto" w:fill="auto"/>
            <w:vAlign w:val="bottom"/>
          </w:tcPr>
          <w:p w14:paraId="4C7B32ED"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129</w:t>
            </w:r>
            <w:r w:rsidRPr="004E7718">
              <w:rPr>
                <w:rFonts w:ascii="Traditional Arabic"/>
                <w:sz w:val="18"/>
                <w:szCs w:val="18"/>
                <w:rtl/>
              </w:rPr>
              <w:t xml:space="preserve"> </w:t>
            </w:r>
            <w:r w:rsidRPr="004E7718">
              <w:rPr>
                <w:sz w:val="18"/>
                <w:szCs w:val="18"/>
                <w:rtl/>
              </w:rPr>
              <w:t>95</w:t>
            </w:r>
          </w:p>
        </w:tc>
        <w:tc>
          <w:tcPr>
            <w:tcW w:w="1490" w:type="dxa"/>
            <w:shd w:val="clear" w:color="auto" w:fill="auto"/>
            <w:vAlign w:val="bottom"/>
          </w:tcPr>
          <w:p w14:paraId="2D5D79DA"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46</w:t>
            </w:r>
            <w:r w:rsidRPr="004E7718">
              <w:rPr>
                <w:rFonts w:ascii="Traditional Arabic"/>
                <w:sz w:val="18"/>
                <w:szCs w:val="18"/>
                <w:rtl/>
              </w:rPr>
              <w:t>,</w:t>
            </w:r>
            <w:r w:rsidRPr="004E7718">
              <w:rPr>
                <w:sz w:val="18"/>
                <w:szCs w:val="18"/>
                <w:rtl/>
              </w:rPr>
              <w:t>3</w:t>
            </w:r>
          </w:p>
        </w:tc>
      </w:tr>
      <w:tr w:rsidR="00A0227D" w:rsidRPr="00B5076A" w14:paraId="251455AD" w14:textId="77777777" w:rsidTr="000A1C86">
        <w:tc>
          <w:tcPr>
            <w:tcW w:w="2782" w:type="dxa"/>
            <w:shd w:val="clear" w:color="auto" w:fill="auto"/>
          </w:tcPr>
          <w:p w14:paraId="21FAB4DE"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2015</w:t>
            </w:r>
          </w:p>
        </w:tc>
        <w:tc>
          <w:tcPr>
            <w:tcW w:w="2948" w:type="dxa"/>
            <w:shd w:val="clear" w:color="auto" w:fill="auto"/>
            <w:vAlign w:val="bottom"/>
          </w:tcPr>
          <w:p w14:paraId="29F97D3F"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807</w:t>
            </w:r>
            <w:r w:rsidRPr="004E7718">
              <w:rPr>
                <w:rFonts w:ascii="Traditional Arabic"/>
                <w:sz w:val="18"/>
                <w:szCs w:val="18"/>
                <w:rtl/>
              </w:rPr>
              <w:t xml:space="preserve"> </w:t>
            </w:r>
            <w:r w:rsidRPr="004E7718">
              <w:rPr>
                <w:sz w:val="18"/>
                <w:szCs w:val="18"/>
                <w:rtl/>
              </w:rPr>
              <w:t>99</w:t>
            </w:r>
          </w:p>
        </w:tc>
        <w:tc>
          <w:tcPr>
            <w:tcW w:w="1490" w:type="dxa"/>
            <w:shd w:val="clear" w:color="auto" w:fill="auto"/>
            <w:vAlign w:val="bottom"/>
          </w:tcPr>
          <w:p w14:paraId="6346902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47</w:t>
            </w:r>
            <w:r w:rsidRPr="004E7718">
              <w:rPr>
                <w:rFonts w:ascii="Traditional Arabic"/>
                <w:sz w:val="18"/>
                <w:szCs w:val="18"/>
                <w:rtl/>
              </w:rPr>
              <w:t>,</w:t>
            </w:r>
            <w:r w:rsidRPr="004E7718">
              <w:rPr>
                <w:sz w:val="18"/>
                <w:szCs w:val="18"/>
                <w:rtl/>
              </w:rPr>
              <w:t>6</w:t>
            </w:r>
          </w:p>
        </w:tc>
      </w:tr>
      <w:tr w:rsidR="00A0227D" w:rsidRPr="00B5076A" w14:paraId="3E7ACBA4" w14:textId="77777777" w:rsidTr="000A1C86">
        <w:tc>
          <w:tcPr>
            <w:tcW w:w="2782" w:type="dxa"/>
            <w:shd w:val="clear" w:color="auto" w:fill="auto"/>
          </w:tcPr>
          <w:p w14:paraId="182781DA"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2016</w:t>
            </w:r>
          </w:p>
        </w:tc>
        <w:tc>
          <w:tcPr>
            <w:tcW w:w="2948" w:type="dxa"/>
            <w:shd w:val="clear" w:color="auto" w:fill="auto"/>
            <w:vAlign w:val="bottom"/>
          </w:tcPr>
          <w:p w14:paraId="3EAD3DEB"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352</w:t>
            </w:r>
            <w:r w:rsidRPr="004E7718">
              <w:rPr>
                <w:rFonts w:ascii="Traditional Arabic"/>
                <w:sz w:val="18"/>
                <w:szCs w:val="18"/>
                <w:rtl/>
              </w:rPr>
              <w:t xml:space="preserve"> </w:t>
            </w:r>
            <w:r w:rsidRPr="004E7718">
              <w:rPr>
                <w:sz w:val="18"/>
                <w:szCs w:val="18"/>
                <w:rtl/>
              </w:rPr>
              <w:t>102</w:t>
            </w:r>
          </w:p>
        </w:tc>
        <w:tc>
          <w:tcPr>
            <w:tcW w:w="1490" w:type="dxa"/>
            <w:shd w:val="clear" w:color="auto" w:fill="auto"/>
            <w:vAlign w:val="bottom"/>
          </w:tcPr>
          <w:p w14:paraId="172D4347"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47</w:t>
            </w:r>
            <w:r w:rsidRPr="004E7718">
              <w:rPr>
                <w:rFonts w:ascii="Traditional Arabic"/>
                <w:sz w:val="18"/>
                <w:szCs w:val="18"/>
                <w:rtl/>
              </w:rPr>
              <w:t>,</w:t>
            </w:r>
            <w:r w:rsidRPr="004E7718">
              <w:rPr>
                <w:sz w:val="18"/>
                <w:szCs w:val="18"/>
                <w:rtl/>
              </w:rPr>
              <w:t>4</w:t>
            </w:r>
          </w:p>
        </w:tc>
      </w:tr>
      <w:tr w:rsidR="00A0227D" w:rsidRPr="00B5076A" w14:paraId="080420AE" w14:textId="77777777" w:rsidTr="000A1C86">
        <w:tc>
          <w:tcPr>
            <w:tcW w:w="2782" w:type="dxa"/>
            <w:shd w:val="clear" w:color="auto" w:fill="auto"/>
          </w:tcPr>
          <w:p w14:paraId="07E32C0C"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2017</w:t>
            </w:r>
          </w:p>
        </w:tc>
        <w:tc>
          <w:tcPr>
            <w:tcW w:w="2948" w:type="dxa"/>
            <w:shd w:val="clear" w:color="auto" w:fill="auto"/>
            <w:vAlign w:val="bottom"/>
          </w:tcPr>
          <w:p w14:paraId="311D7731"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773</w:t>
            </w:r>
            <w:r w:rsidRPr="004E7718">
              <w:rPr>
                <w:rFonts w:ascii="Traditional Arabic"/>
                <w:sz w:val="18"/>
                <w:szCs w:val="18"/>
                <w:rtl/>
              </w:rPr>
              <w:t xml:space="preserve"> </w:t>
            </w:r>
            <w:r w:rsidRPr="004E7718">
              <w:rPr>
                <w:sz w:val="18"/>
                <w:szCs w:val="18"/>
                <w:rtl/>
              </w:rPr>
              <w:t>105</w:t>
            </w:r>
          </w:p>
        </w:tc>
        <w:tc>
          <w:tcPr>
            <w:tcW w:w="1490" w:type="dxa"/>
            <w:shd w:val="clear" w:color="auto" w:fill="auto"/>
            <w:vAlign w:val="bottom"/>
          </w:tcPr>
          <w:p w14:paraId="52725A6E"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47</w:t>
            </w:r>
            <w:r w:rsidRPr="004E7718">
              <w:rPr>
                <w:rFonts w:ascii="Traditional Arabic"/>
                <w:sz w:val="18"/>
                <w:szCs w:val="18"/>
                <w:rtl/>
              </w:rPr>
              <w:t>,</w:t>
            </w:r>
            <w:r w:rsidRPr="004E7718">
              <w:rPr>
                <w:sz w:val="18"/>
                <w:szCs w:val="18"/>
                <w:rtl/>
              </w:rPr>
              <w:t>2</w:t>
            </w:r>
          </w:p>
        </w:tc>
      </w:tr>
      <w:tr w:rsidR="00A0227D" w:rsidRPr="00B5076A" w14:paraId="7B797690" w14:textId="77777777" w:rsidTr="000A1C86">
        <w:tc>
          <w:tcPr>
            <w:tcW w:w="2782" w:type="dxa"/>
            <w:shd w:val="clear" w:color="auto" w:fill="auto"/>
          </w:tcPr>
          <w:p w14:paraId="21666A36"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2018</w:t>
            </w:r>
          </w:p>
        </w:tc>
        <w:tc>
          <w:tcPr>
            <w:tcW w:w="2948" w:type="dxa"/>
            <w:shd w:val="clear" w:color="auto" w:fill="auto"/>
            <w:vAlign w:val="bottom"/>
          </w:tcPr>
          <w:p w14:paraId="71055987"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973</w:t>
            </w:r>
            <w:r w:rsidRPr="004E7718">
              <w:rPr>
                <w:rFonts w:ascii="Traditional Arabic"/>
                <w:sz w:val="18"/>
                <w:szCs w:val="18"/>
                <w:rtl/>
              </w:rPr>
              <w:t xml:space="preserve"> </w:t>
            </w:r>
            <w:r w:rsidRPr="004E7718">
              <w:rPr>
                <w:sz w:val="18"/>
                <w:szCs w:val="18"/>
                <w:rtl/>
              </w:rPr>
              <w:t>104</w:t>
            </w:r>
          </w:p>
        </w:tc>
        <w:tc>
          <w:tcPr>
            <w:tcW w:w="1490" w:type="dxa"/>
            <w:shd w:val="clear" w:color="auto" w:fill="auto"/>
            <w:vAlign w:val="bottom"/>
          </w:tcPr>
          <w:p w14:paraId="75488DEB"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45</w:t>
            </w:r>
            <w:r w:rsidRPr="004E7718">
              <w:rPr>
                <w:rFonts w:ascii="Traditional Arabic"/>
                <w:sz w:val="18"/>
                <w:szCs w:val="18"/>
                <w:rtl/>
              </w:rPr>
              <w:t>,</w:t>
            </w:r>
            <w:r w:rsidRPr="004E7718">
              <w:rPr>
                <w:sz w:val="18"/>
                <w:szCs w:val="18"/>
                <w:rtl/>
              </w:rPr>
              <w:t>0</w:t>
            </w:r>
          </w:p>
        </w:tc>
      </w:tr>
      <w:tr w:rsidR="00A0227D" w:rsidRPr="00B5076A" w14:paraId="727D4331" w14:textId="77777777" w:rsidTr="000A1C86">
        <w:tc>
          <w:tcPr>
            <w:tcW w:w="2782" w:type="dxa"/>
            <w:shd w:val="clear" w:color="auto" w:fill="auto"/>
          </w:tcPr>
          <w:p w14:paraId="7DC67ECD"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Pr>
              <w:t>2019</w:t>
            </w:r>
            <w:r w:rsidRPr="004E7718">
              <w:rPr>
                <w:rFonts w:ascii="Traditional Arabic"/>
                <w:sz w:val="18"/>
                <w:szCs w:val="18"/>
                <w:rtl/>
              </w:rPr>
              <w:t>*</w:t>
            </w:r>
          </w:p>
        </w:tc>
        <w:tc>
          <w:tcPr>
            <w:tcW w:w="2948" w:type="dxa"/>
            <w:shd w:val="clear" w:color="auto" w:fill="auto"/>
            <w:vAlign w:val="bottom"/>
          </w:tcPr>
          <w:p w14:paraId="42FB6E7E" w14:textId="77777777" w:rsidR="00A0227D" w:rsidRPr="004E7718" w:rsidRDefault="00A0227D" w:rsidP="004E7718">
            <w:pPr>
              <w:spacing w:before="20" w:after="40" w:line="300" w:lineRule="exact"/>
              <w:ind w:left="57" w:right="57"/>
              <w:rPr>
                <w:sz w:val="18"/>
                <w:szCs w:val="18"/>
              </w:rPr>
            </w:pPr>
          </w:p>
        </w:tc>
        <w:tc>
          <w:tcPr>
            <w:tcW w:w="1490" w:type="dxa"/>
            <w:shd w:val="clear" w:color="auto" w:fill="auto"/>
            <w:vAlign w:val="bottom"/>
          </w:tcPr>
          <w:p w14:paraId="42CAA087"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44</w:t>
            </w:r>
            <w:r w:rsidRPr="004E7718">
              <w:rPr>
                <w:rFonts w:ascii="Traditional Arabic"/>
                <w:sz w:val="18"/>
                <w:szCs w:val="18"/>
                <w:rtl/>
              </w:rPr>
              <w:t>,</w:t>
            </w:r>
            <w:r w:rsidRPr="004E7718">
              <w:rPr>
                <w:sz w:val="18"/>
                <w:szCs w:val="18"/>
                <w:rtl/>
              </w:rPr>
              <w:t>5</w:t>
            </w:r>
          </w:p>
        </w:tc>
      </w:tr>
      <w:tr w:rsidR="00A0227D" w:rsidRPr="00B5076A" w14:paraId="165A8294" w14:textId="77777777" w:rsidTr="000A1C86">
        <w:tc>
          <w:tcPr>
            <w:tcW w:w="2782" w:type="dxa"/>
            <w:shd w:val="clear" w:color="auto" w:fill="auto"/>
          </w:tcPr>
          <w:p w14:paraId="4A879B12"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Pr>
              <w:t>2020</w:t>
            </w:r>
            <w:r w:rsidRPr="004E7718">
              <w:rPr>
                <w:rFonts w:ascii="Traditional Arabic"/>
                <w:sz w:val="18"/>
                <w:szCs w:val="18"/>
                <w:rtl/>
              </w:rPr>
              <w:t>*</w:t>
            </w:r>
          </w:p>
        </w:tc>
        <w:tc>
          <w:tcPr>
            <w:tcW w:w="2948" w:type="dxa"/>
            <w:shd w:val="clear" w:color="auto" w:fill="auto"/>
            <w:vAlign w:val="bottom"/>
          </w:tcPr>
          <w:p w14:paraId="4F54ED83" w14:textId="77777777" w:rsidR="00A0227D" w:rsidRPr="004E7718" w:rsidRDefault="00A0227D" w:rsidP="004E7718">
            <w:pPr>
              <w:spacing w:before="20" w:after="40" w:line="300" w:lineRule="exact"/>
              <w:ind w:left="57" w:right="57"/>
              <w:rPr>
                <w:sz w:val="18"/>
                <w:szCs w:val="18"/>
              </w:rPr>
            </w:pPr>
          </w:p>
        </w:tc>
        <w:tc>
          <w:tcPr>
            <w:tcW w:w="1490" w:type="dxa"/>
            <w:shd w:val="clear" w:color="auto" w:fill="auto"/>
            <w:vAlign w:val="bottom"/>
          </w:tcPr>
          <w:p w14:paraId="08288A9E" w14:textId="77777777" w:rsidR="00A0227D" w:rsidRPr="004E7718" w:rsidRDefault="00A0227D" w:rsidP="004E7718">
            <w:pPr>
              <w:spacing w:before="20" w:after="40" w:line="300" w:lineRule="exact"/>
              <w:ind w:left="57" w:right="57"/>
              <w:textDirection w:val="tbRlV"/>
              <w:rPr>
                <w:sz w:val="18"/>
                <w:szCs w:val="18"/>
                <w:lang w:val="ar-SA" w:eastAsia="zh-TW" w:bidi="en-GB"/>
              </w:rPr>
            </w:pPr>
            <w:r w:rsidRPr="004E7718">
              <w:rPr>
                <w:sz w:val="18"/>
                <w:szCs w:val="18"/>
                <w:rtl/>
              </w:rPr>
              <w:t>43</w:t>
            </w:r>
            <w:r w:rsidRPr="004E7718">
              <w:rPr>
                <w:rFonts w:ascii="Traditional Arabic"/>
                <w:sz w:val="18"/>
                <w:szCs w:val="18"/>
                <w:rtl/>
              </w:rPr>
              <w:t>,</w:t>
            </w:r>
            <w:r w:rsidRPr="004E7718">
              <w:rPr>
                <w:sz w:val="18"/>
                <w:szCs w:val="18"/>
                <w:rtl/>
              </w:rPr>
              <w:t>8</w:t>
            </w:r>
          </w:p>
        </w:tc>
      </w:tr>
    </w:tbl>
    <w:p w14:paraId="29501D91" w14:textId="77777777" w:rsidR="00A0227D" w:rsidRDefault="00A0227D" w:rsidP="005310F2">
      <w:pPr>
        <w:pStyle w:val="SingleTxtGA"/>
        <w:spacing w:after="0"/>
        <w:rPr>
          <w:sz w:val="18"/>
          <w:szCs w:val="20"/>
          <w:lang w:val="ar-SA" w:eastAsia="zh-TW" w:bidi="en-GB"/>
        </w:rPr>
      </w:pPr>
      <w:r w:rsidRPr="005310F2">
        <w:rPr>
          <w:i/>
          <w:iCs/>
          <w:sz w:val="26"/>
          <w:szCs w:val="26"/>
          <w:rtl/>
        </w:rPr>
        <w:t>المصدر</w:t>
      </w:r>
      <w:r w:rsidRPr="00BB79C1">
        <w:rPr>
          <w:rtl/>
        </w:rPr>
        <w:t>:</w:t>
      </w:r>
      <w:r>
        <w:rPr>
          <w:rtl/>
        </w:rPr>
        <w:t xml:space="preserve"> </w:t>
      </w:r>
      <w:proofErr w:type="spellStart"/>
      <w:r w:rsidRPr="004E7718">
        <w:rPr>
          <w:rFonts w:cs="Times New Roman"/>
          <w:sz w:val="18"/>
          <w:szCs w:val="18"/>
          <w:rtl/>
        </w:rPr>
        <w:t>veronmaksajat.fi</w:t>
      </w:r>
      <w:proofErr w:type="spellEnd"/>
      <w:r>
        <w:rPr>
          <w:rFonts w:cs="Times New Roman"/>
          <w:szCs w:val="20"/>
          <w:rtl/>
        </w:rPr>
        <w:t xml:space="preserve"> </w:t>
      </w:r>
      <w:r w:rsidRPr="004E7718">
        <w:rPr>
          <w:rFonts w:ascii="Traditional Arabic"/>
          <w:sz w:val="26"/>
          <w:szCs w:val="26"/>
          <w:rtl/>
        </w:rPr>
        <w:t>[</w:t>
      </w:r>
      <w:r w:rsidRPr="004E7718">
        <w:rPr>
          <w:sz w:val="26"/>
          <w:szCs w:val="26"/>
          <w:rtl/>
        </w:rPr>
        <w:t>رابطة دافعي الضرائب الفنلندية</w:t>
      </w:r>
      <w:r w:rsidRPr="004E7718">
        <w:rPr>
          <w:rFonts w:ascii="Traditional Arabic"/>
          <w:sz w:val="26"/>
          <w:szCs w:val="26"/>
          <w:rtl/>
        </w:rPr>
        <w:t>]</w:t>
      </w:r>
      <w:r w:rsidRPr="004E7718">
        <w:rPr>
          <w:sz w:val="26"/>
          <w:szCs w:val="26"/>
          <w:rtl/>
        </w:rPr>
        <w:t>، ديون الحكومة المركزية.</w:t>
      </w:r>
    </w:p>
    <w:p w14:paraId="018B0731" w14:textId="77777777" w:rsidR="00A0227D" w:rsidRPr="004E7718" w:rsidRDefault="00A0227D" w:rsidP="005310F2">
      <w:pPr>
        <w:pStyle w:val="SingleTxtGA"/>
        <w:tabs>
          <w:tab w:val="clear" w:pos="1928"/>
          <w:tab w:val="left" w:pos="1828"/>
        </w:tabs>
        <w:ind w:firstLine="312"/>
        <w:rPr>
          <w:sz w:val="18"/>
          <w:szCs w:val="20"/>
          <w:lang w:eastAsia="zh-TW" w:bidi="en-GB"/>
        </w:rPr>
      </w:pPr>
      <w:r>
        <w:rPr>
          <w:rFonts w:ascii="Traditional Arabic"/>
          <w:szCs w:val="20"/>
        </w:rPr>
        <w:t>*</w:t>
      </w:r>
      <w:r>
        <w:rPr>
          <w:rtl/>
        </w:rPr>
        <w:tab/>
      </w:r>
      <w:r w:rsidRPr="004E7718">
        <w:rPr>
          <w:rtl/>
        </w:rPr>
        <w:t>توقعات</w:t>
      </w:r>
      <w:r>
        <w:rPr>
          <w:rtl/>
        </w:rPr>
        <w:t>.</w:t>
      </w:r>
    </w:p>
    <w:p w14:paraId="4D9F892A" w14:textId="77777777" w:rsidR="00A0227D" w:rsidRPr="00607C9E" w:rsidRDefault="00A0227D" w:rsidP="00C50140">
      <w:pPr>
        <w:pStyle w:val="H23GA"/>
        <w:rPr>
          <w:szCs w:val="20"/>
          <w:lang w:eastAsia="zh-TW" w:bidi="en-GB"/>
        </w:rPr>
      </w:pPr>
      <w:bookmarkStart w:id="14" w:name="_Toc32364279"/>
      <w:r>
        <w:rPr>
          <w:rtl/>
        </w:rPr>
        <w:tab/>
      </w:r>
      <w:r>
        <w:rPr>
          <w:rtl/>
        </w:rPr>
        <w:tab/>
        <w:t xml:space="preserve">الاقتصاد غير </w:t>
      </w:r>
      <w:bookmarkEnd w:id="14"/>
      <w:r>
        <w:rPr>
          <w:rtl/>
        </w:rPr>
        <w:t>الرسمي</w:t>
      </w:r>
    </w:p>
    <w:p w14:paraId="7C5DEA18" w14:textId="77777777" w:rsidR="00A0227D" w:rsidRPr="00C726A7" w:rsidRDefault="00A0227D" w:rsidP="00C50140">
      <w:pPr>
        <w:pStyle w:val="SingleTxtGA"/>
        <w:rPr>
          <w:szCs w:val="20"/>
          <w:lang w:eastAsia="zh-TW" w:bidi="en-GB"/>
        </w:rPr>
      </w:pPr>
      <w:r w:rsidRPr="005C19F0">
        <w:rPr>
          <w:szCs w:val="20"/>
          <w:rtl/>
        </w:rPr>
        <w:t>49</w:t>
      </w:r>
      <w:r w:rsidRPr="00EF3655">
        <w:rPr>
          <w:rtl/>
        </w:rPr>
        <w:t>-</w:t>
      </w:r>
      <w:r>
        <w:rPr>
          <w:rtl/>
        </w:rPr>
        <w:tab/>
        <w:t>تكافح فنلندا الاقتصاد غير الرسمي عن طريق الإجراءات السياساتية</w:t>
      </w:r>
      <w:r w:rsidRPr="001F563F">
        <w:rPr>
          <w:rtl/>
        </w:rPr>
        <w:t xml:space="preserve"> والتشريعات</w:t>
      </w:r>
      <w:r>
        <w:rPr>
          <w:rtl/>
        </w:rPr>
        <w:t xml:space="preserve"> المتعلقة بمكافحة الاقتصاد الرمادي والجريمة الاقتصادية، والمتعلقة كذلك بأمن العمالة والضمان الاجتماعي وسوق العمل بوجه عام. ويُعد أداء سوق العمل وشموليته هدفين مهمين. وتتمتع التشريعات الفنلندية المتعلقة بالعمل والخدمات الاجتماعية بنطاق تطبيق واسع، ولذلك لا توجد "إجراءات رسمية" محددة فيما يتعلق بالاقتصاد غير الرسمي.</w:t>
      </w:r>
    </w:p>
    <w:p w14:paraId="39EA9E38" w14:textId="77777777" w:rsidR="00A0227D" w:rsidRPr="00C726A7" w:rsidRDefault="00A0227D" w:rsidP="00C50140">
      <w:pPr>
        <w:pStyle w:val="SingleTxtGA"/>
        <w:rPr>
          <w:szCs w:val="20"/>
          <w:lang w:eastAsia="zh-TW" w:bidi="en-GB"/>
        </w:rPr>
      </w:pPr>
      <w:r w:rsidRPr="005C19F0">
        <w:rPr>
          <w:szCs w:val="20"/>
          <w:rtl/>
        </w:rPr>
        <w:t>50</w:t>
      </w:r>
      <w:r w:rsidRPr="00EF3655">
        <w:rPr>
          <w:rtl/>
        </w:rPr>
        <w:t>-</w:t>
      </w:r>
      <w:r>
        <w:rPr>
          <w:rtl/>
        </w:rPr>
        <w:tab/>
      </w:r>
      <w:r>
        <w:rPr>
          <w:rtl/>
          <w:lang w:val="fr-CH"/>
        </w:rPr>
        <w:t>ويجري،</w:t>
      </w:r>
      <w:r>
        <w:rPr>
          <w:rtl/>
        </w:rPr>
        <w:t xml:space="preserve"> في إطار تعاون ثلاثي، إعداد تشريعات متعلقة بالعمل والخدمات الاجتماعية، وسياسات متعلقة بتطوير الحياة العملية. وتشكل المساواة بين الموظفين وتعزيز المشاركة في الحياة العملية وجهتي النظر الرئيسيتين فيما يتعلق بأداء سوق العمل في جميع عمليات صياغة التشريعات والسياسات. وثمة عنصر أساسي آخر في تعزيز إدماج أشخاص أقل حظا في الحياة العملية، وهو تحسين الخدمات العامة.</w:t>
      </w:r>
    </w:p>
    <w:p w14:paraId="78C49BCA" w14:textId="77777777" w:rsidR="00A0227D" w:rsidRPr="009B1F51" w:rsidRDefault="00A0227D" w:rsidP="00C50140">
      <w:pPr>
        <w:pStyle w:val="SingleTxtGA"/>
        <w:rPr>
          <w:szCs w:val="20"/>
          <w:lang w:val="ar-SA" w:eastAsia="zh-TW" w:bidi="en-GB"/>
        </w:rPr>
      </w:pPr>
      <w:r w:rsidRPr="005C19F0">
        <w:rPr>
          <w:szCs w:val="20"/>
          <w:rtl/>
        </w:rPr>
        <w:lastRenderedPageBreak/>
        <w:t>51</w:t>
      </w:r>
      <w:r w:rsidRPr="00EF3655">
        <w:rPr>
          <w:rtl/>
        </w:rPr>
        <w:t>-</w:t>
      </w:r>
      <w:r>
        <w:rPr>
          <w:rtl/>
        </w:rPr>
        <w:tab/>
      </w:r>
      <w:r>
        <w:rPr>
          <w:rtl/>
          <w:lang w:val="fr-CH"/>
        </w:rPr>
        <w:t>و</w:t>
      </w:r>
      <w:r>
        <w:rPr>
          <w:rtl/>
        </w:rPr>
        <w:t xml:space="preserve">يضمن دستور فنلندا للجميع، </w:t>
      </w:r>
      <w:r w:rsidRPr="00B33E6F">
        <w:rPr>
          <w:rtl/>
        </w:rPr>
        <w:t>بما في ذلك الجهات الفاعلة في الاقتصاد غير الرسمي</w:t>
      </w:r>
      <w:r>
        <w:rPr>
          <w:szCs w:val="20"/>
          <w:rtl/>
        </w:rPr>
        <w:t xml:space="preserve">، </w:t>
      </w:r>
      <w:r>
        <w:rPr>
          <w:rtl/>
        </w:rPr>
        <w:t>الحق في حرية تكوين الجمعيات والحق في التفاوض الجماعي.</w:t>
      </w:r>
    </w:p>
    <w:p w14:paraId="29997F3B" w14:textId="6B7AC955" w:rsidR="00A0227D" w:rsidRPr="005310F2" w:rsidRDefault="00A0227D" w:rsidP="00C50140">
      <w:pPr>
        <w:pStyle w:val="SingleTxtGA"/>
        <w:rPr>
          <w:spacing w:val="-4"/>
          <w:szCs w:val="20"/>
          <w:lang w:eastAsia="zh-TW" w:bidi="en-GB"/>
        </w:rPr>
      </w:pPr>
      <w:r w:rsidRPr="005310F2">
        <w:rPr>
          <w:spacing w:val="-4"/>
          <w:szCs w:val="20"/>
          <w:rtl/>
        </w:rPr>
        <w:t>52</w:t>
      </w:r>
      <w:r w:rsidRPr="005310F2">
        <w:rPr>
          <w:spacing w:val="-4"/>
          <w:rtl/>
        </w:rPr>
        <w:t>-</w:t>
      </w:r>
      <w:r w:rsidRPr="005310F2">
        <w:rPr>
          <w:spacing w:val="-4"/>
          <w:rtl/>
        </w:rPr>
        <w:tab/>
        <w:t>ولا غنى عن إجراءات</w:t>
      </w:r>
      <w:r w:rsidR="00507B18" w:rsidRPr="005310F2">
        <w:rPr>
          <w:spacing w:val="-4"/>
          <w:rtl/>
        </w:rPr>
        <w:t xml:space="preserve"> </w:t>
      </w:r>
      <w:r w:rsidRPr="005310F2">
        <w:rPr>
          <w:spacing w:val="-4"/>
          <w:rtl/>
        </w:rPr>
        <w:t>تعزيز القدرات الإشرافية للسلطات وتحسين أدواتها المتعلقة بالإشراف على الامتثال للوائح التي تنظم الحياة العملية، من أجل مكافحة الاقتصاد غير الرسمي والاقتصاد الرمادي.</w:t>
      </w:r>
    </w:p>
    <w:p w14:paraId="00B2D52D" w14:textId="77777777" w:rsidR="00A0227D" w:rsidRPr="009B1F51" w:rsidRDefault="00A0227D" w:rsidP="00C50140">
      <w:pPr>
        <w:pStyle w:val="SingleTxtGA"/>
        <w:rPr>
          <w:szCs w:val="20"/>
          <w:lang w:val="ar-SA" w:eastAsia="zh-TW" w:bidi="en-GB"/>
        </w:rPr>
      </w:pPr>
      <w:r w:rsidRPr="005C19F0">
        <w:rPr>
          <w:szCs w:val="20"/>
          <w:rtl/>
        </w:rPr>
        <w:t>53</w:t>
      </w:r>
      <w:r w:rsidRPr="00EF3655">
        <w:rPr>
          <w:rtl/>
        </w:rPr>
        <w:t>-</w:t>
      </w:r>
      <w:r>
        <w:rPr>
          <w:rtl/>
        </w:rPr>
        <w:tab/>
        <w:t xml:space="preserve">والمنبر الأوروبي لمكافحة العمل غير المعلن هو هيئة على مستوى الاتحاد الأوروبي أصدرت صحائف وقائع وطنية بشأن </w:t>
      </w:r>
      <w:r>
        <w:rPr>
          <w:rtl/>
          <w:lang w:val="fr-CH"/>
        </w:rPr>
        <w:t>ال</w:t>
      </w:r>
      <w:r>
        <w:rPr>
          <w:rtl/>
        </w:rPr>
        <w:t xml:space="preserve">سياسات والإجراءات التي تتخذها الدول الأعضاء لأجل التصدي للعمل غير المعلن. وللاطلاع على معلومات عن الإجراءات التي اتخذتها فنلندا، يرجى الاطلاع على صحيفة الوقائع المرفقة بشأن العمل غير المعلن </w:t>
      </w:r>
      <w:r w:rsidRPr="00EF3655">
        <w:rPr>
          <w:rtl/>
        </w:rPr>
        <w:t>-</w:t>
      </w:r>
      <w:r>
        <w:rPr>
          <w:rtl/>
        </w:rPr>
        <w:t xml:space="preserve"> فنلندا </w:t>
      </w:r>
      <w:r w:rsidRPr="00794E95">
        <w:rPr>
          <w:rtl/>
        </w:rPr>
        <w:t>(</w:t>
      </w:r>
      <w:r>
        <w:rPr>
          <w:rtl/>
        </w:rPr>
        <w:t xml:space="preserve">أيلول/سبتمبر </w:t>
      </w:r>
      <w:r w:rsidRPr="005C19F0">
        <w:rPr>
          <w:szCs w:val="20"/>
          <w:rtl/>
        </w:rPr>
        <w:t>2017</w:t>
      </w:r>
      <w:r w:rsidRPr="00794E95">
        <w:rPr>
          <w:rtl/>
        </w:rPr>
        <w:t>)</w:t>
      </w:r>
      <w:r>
        <w:rPr>
          <w:rtl/>
        </w:rPr>
        <w:t xml:space="preserve"> </w:t>
      </w:r>
      <w:r w:rsidRPr="00794E95">
        <w:rPr>
          <w:rtl/>
        </w:rPr>
        <w:t>(</w:t>
      </w:r>
      <w:r>
        <w:rPr>
          <w:rtl/>
        </w:rPr>
        <w:t>المرفق الأول</w:t>
      </w:r>
      <w:r w:rsidRPr="00794E95">
        <w:rPr>
          <w:rtl/>
        </w:rPr>
        <w:t>)</w:t>
      </w:r>
      <w:r>
        <w:rPr>
          <w:rtl/>
        </w:rPr>
        <w:t xml:space="preserve">. </w:t>
      </w:r>
    </w:p>
    <w:p w14:paraId="67A8D18C" w14:textId="77777777" w:rsidR="00A0227D" w:rsidRPr="009B1F51" w:rsidRDefault="00A0227D" w:rsidP="00C50140">
      <w:pPr>
        <w:pStyle w:val="SingleTxtGA"/>
        <w:rPr>
          <w:szCs w:val="20"/>
          <w:lang w:val="ar-SA" w:eastAsia="zh-TW" w:bidi="en-GB"/>
        </w:rPr>
      </w:pPr>
      <w:r w:rsidRPr="005C19F0">
        <w:rPr>
          <w:szCs w:val="20"/>
          <w:rtl/>
        </w:rPr>
        <w:t>54</w:t>
      </w:r>
      <w:r w:rsidRPr="00EF3655">
        <w:rPr>
          <w:rtl/>
        </w:rPr>
        <w:t>-</w:t>
      </w:r>
      <w:r>
        <w:rPr>
          <w:rtl/>
        </w:rPr>
        <w:tab/>
        <w:t>ولا تتوفر إحصاءات موثوقة عن الاقتصاد غير الرسمي أو العمل غير المعلن.</w:t>
      </w:r>
    </w:p>
    <w:p w14:paraId="527BDC86" w14:textId="1003A51F" w:rsidR="00A0227D" w:rsidRPr="009B1F51" w:rsidRDefault="00A0227D" w:rsidP="00C50140">
      <w:pPr>
        <w:pStyle w:val="SingleTxtGA"/>
        <w:rPr>
          <w:szCs w:val="20"/>
          <w:lang w:val="ar-SA" w:eastAsia="zh-TW" w:bidi="en-GB"/>
        </w:rPr>
      </w:pPr>
      <w:r w:rsidRPr="005C19F0">
        <w:rPr>
          <w:szCs w:val="20"/>
          <w:rtl/>
        </w:rPr>
        <w:t>55</w:t>
      </w:r>
      <w:r w:rsidRPr="00EF3655">
        <w:rPr>
          <w:rtl/>
        </w:rPr>
        <w:t>-</w:t>
      </w:r>
      <w:r>
        <w:rPr>
          <w:rtl/>
        </w:rPr>
        <w:tab/>
        <w:t xml:space="preserve">وفي فنلندا، يرتبط الاقتصاد الرمادي والعمل غير المعلن عادةً بـ "أجور المظروف" </w:t>
      </w:r>
      <w:r w:rsidRPr="00794E95">
        <w:rPr>
          <w:rtl/>
        </w:rPr>
        <w:t>(</w:t>
      </w:r>
      <w:r>
        <w:rPr>
          <w:rtl/>
        </w:rPr>
        <w:t>أي إبلاغ السلطات أقل من العمالة الحقيقية</w:t>
      </w:r>
      <w:r w:rsidRPr="00794E95">
        <w:rPr>
          <w:rtl/>
        </w:rPr>
        <w:t>)</w:t>
      </w:r>
      <w:r>
        <w:rPr>
          <w:rtl/>
        </w:rPr>
        <w:t xml:space="preserve"> في قطاعي البناء والضيافة. ومن المعروف أيضا</w:t>
      </w:r>
      <w:r w:rsidR="00507B18">
        <w:rPr>
          <w:rFonts w:hint="cs"/>
          <w:rtl/>
        </w:rPr>
        <w:t>ً</w:t>
      </w:r>
      <w:r>
        <w:rPr>
          <w:rtl/>
        </w:rPr>
        <w:t xml:space="preserve"> أن العمالة الخفية موجودة في صناعة الترفيه والقطاع العقاري. ويتجلى الاقتصاد الرمادي والعمل غير المعلن بشكل خاص في قطاع تجديد المنازل الذي تتولاه مؤسسات صغيرة أو أشخاص يعملون لحسابهم الخاص. ورغم أن عمل الأشخاص غير الحائزين للوثائق اللازمة </w:t>
      </w:r>
      <w:r w:rsidRPr="00794E95">
        <w:rPr>
          <w:rtl/>
        </w:rPr>
        <w:t>(</w:t>
      </w:r>
      <w:r>
        <w:rPr>
          <w:rtl/>
        </w:rPr>
        <w:t>دون تصريح عمل</w:t>
      </w:r>
      <w:r w:rsidRPr="00794E95">
        <w:rPr>
          <w:rtl/>
        </w:rPr>
        <w:t>)</w:t>
      </w:r>
      <w:r>
        <w:rPr>
          <w:rtl/>
        </w:rPr>
        <w:t xml:space="preserve"> لا يمثل مشكلة في فنلندا، فقد اعتُرف بانخفاض الأجور كمشكلة تصادف المهاجرين، لا سيما في قطاعي البناء وخدمات المطاعم.</w:t>
      </w:r>
    </w:p>
    <w:p w14:paraId="74C7DEDD" w14:textId="594CCF3A" w:rsidR="00A0227D" w:rsidRPr="009B1F51" w:rsidRDefault="00A0227D" w:rsidP="00C50140">
      <w:pPr>
        <w:pStyle w:val="SingleTxtGA"/>
        <w:rPr>
          <w:szCs w:val="20"/>
          <w:lang w:val="ar-SA" w:eastAsia="zh-TW" w:bidi="en-GB"/>
        </w:rPr>
      </w:pPr>
      <w:r w:rsidRPr="005C19F0">
        <w:rPr>
          <w:szCs w:val="20"/>
          <w:rtl/>
        </w:rPr>
        <w:t>56</w:t>
      </w:r>
      <w:r w:rsidRPr="00EF3655">
        <w:rPr>
          <w:rtl/>
        </w:rPr>
        <w:t>-</w:t>
      </w:r>
      <w:r>
        <w:rPr>
          <w:rtl/>
        </w:rPr>
        <w:tab/>
        <w:t>والأجور غير المعلنة أكثر شيوعا</w:t>
      </w:r>
      <w:r w:rsidR="00C13097">
        <w:rPr>
          <w:rFonts w:hint="cs"/>
          <w:rtl/>
        </w:rPr>
        <w:t>ً</w:t>
      </w:r>
      <w:r>
        <w:rPr>
          <w:rtl/>
        </w:rPr>
        <w:t xml:space="preserve"> في قطاع البناء </w:t>
      </w:r>
      <w:r w:rsidRPr="00794E95">
        <w:rPr>
          <w:rtl/>
        </w:rPr>
        <w:t>(</w:t>
      </w:r>
      <w:r w:rsidRPr="005C19F0">
        <w:rPr>
          <w:szCs w:val="20"/>
          <w:rtl/>
        </w:rPr>
        <w:t>7</w:t>
      </w:r>
      <w:r w:rsidR="0063047E">
        <w:rPr>
          <w:rFonts w:ascii="Traditional Arabic"/>
          <w:szCs w:val="20"/>
          <w:rtl/>
        </w:rPr>
        <w:t>,</w:t>
      </w:r>
      <w:r w:rsidRPr="005C19F0">
        <w:rPr>
          <w:szCs w:val="20"/>
          <w:rtl/>
        </w:rPr>
        <w:t>1</w:t>
      </w:r>
      <w:r>
        <w:rPr>
          <w:rtl/>
        </w:rPr>
        <w:t xml:space="preserve"> في المائة من مجموع الرواتب</w:t>
      </w:r>
      <w:r w:rsidRPr="00794E95">
        <w:rPr>
          <w:rtl/>
        </w:rPr>
        <w:t>)</w:t>
      </w:r>
      <w:r>
        <w:rPr>
          <w:rtl/>
        </w:rPr>
        <w:t xml:space="preserve"> وفي القطاع العقاري </w:t>
      </w:r>
      <w:r w:rsidRPr="00794E95">
        <w:rPr>
          <w:rtl/>
        </w:rPr>
        <w:t>(</w:t>
      </w:r>
      <w:r w:rsidRPr="005C19F0">
        <w:rPr>
          <w:szCs w:val="20"/>
          <w:rtl/>
        </w:rPr>
        <w:t>6</w:t>
      </w:r>
      <w:r w:rsidR="0063047E">
        <w:rPr>
          <w:rFonts w:ascii="Traditional Arabic"/>
          <w:szCs w:val="20"/>
          <w:rtl/>
        </w:rPr>
        <w:t>,</w:t>
      </w:r>
      <w:r w:rsidRPr="005C19F0">
        <w:rPr>
          <w:szCs w:val="20"/>
          <w:rtl/>
        </w:rPr>
        <w:t>7</w:t>
      </w:r>
      <w:r>
        <w:rPr>
          <w:rtl/>
        </w:rPr>
        <w:t xml:space="preserve"> في المائة</w:t>
      </w:r>
      <w:r w:rsidRPr="00794E95">
        <w:rPr>
          <w:rtl/>
        </w:rPr>
        <w:t>)</w:t>
      </w:r>
      <w:r>
        <w:rPr>
          <w:rtl/>
        </w:rPr>
        <w:t>. وكثي</w:t>
      </w:r>
      <w:r w:rsidR="00166C15">
        <w:rPr>
          <w:rtl/>
        </w:rPr>
        <w:t xml:space="preserve">راً </w:t>
      </w:r>
      <w:r>
        <w:rPr>
          <w:rtl/>
        </w:rPr>
        <w:t>ما يُذكر قطاع الضيافة وقطاع الصناعات التحويلية وكذلك قطاع الترفيه ضمن القطاعات التي يتزايد فيها العمل غير المعلن.</w:t>
      </w:r>
    </w:p>
    <w:p w14:paraId="32BDAA7D" w14:textId="77777777" w:rsidR="00A0227D" w:rsidRPr="00A355F3" w:rsidRDefault="00A0227D" w:rsidP="00C50140">
      <w:pPr>
        <w:pStyle w:val="SingleTxtGA"/>
        <w:rPr>
          <w:spacing w:val="-4"/>
          <w:szCs w:val="20"/>
          <w:lang w:val="ar-SA" w:eastAsia="zh-TW" w:bidi="en-GB"/>
        </w:rPr>
      </w:pPr>
      <w:r w:rsidRPr="00A355F3">
        <w:rPr>
          <w:spacing w:val="-6"/>
          <w:szCs w:val="20"/>
          <w:rtl/>
        </w:rPr>
        <w:t>57</w:t>
      </w:r>
      <w:r w:rsidRPr="00A355F3">
        <w:rPr>
          <w:spacing w:val="-6"/>
          <w:rtl/>
        </w:rPr>
        <w:t>-</w:t>
      </w:r>
      <w:r w:rsidRPr="00A355F3">
        <w:rPr>
          <w:spacing w:val="-6"/>
          <w:rtl/>
        </w:rPr>
        <w:tab/>
        <w:t xml:space="preserve">ولا تتوفر إحصاءات عن توزع العمل غير المعلن بحسب حجم صاحب العمل. وفي معظم الحالات، </w:t>
      </w:r>
      <w:r w:rsidRPr="00A355F3">
        <w:rPr>
          <w:spacing w:val="-2"/>
          <w:rtl/>
        </w:rPr>
        <w:t>يرتبط العمل غير المعلن بالمؤسسات الصغيرة والمتوسطة الحجم. وفي المؤسسات الكبيرة، ترتبط المشاكل أكثر</w:t>
      </w:r>
      <w:r w:rsidRPr="00A355F3">
        <w:rPr>
          <w:spacing w:val="-6"/>
          <w:rtl/>
        </w:rPr>
        <w:t xml:space="preserve"> </w:t>
      </w:r>
      <w:r w:rsidRPr="00A355F3">
        <w:rPr>
          <w:rtl/>
        </w:rPr>
        <w:t>بالترتيبات التي تُتخذ بقصد التهرب من ضريبة الدخل على الاستحقاقات المدفوعة للموظفين.</w:t>
      </w:r>
    </w:p>
    <w:p w14:paraId="31424DF6" w14:textId="77777777" w:rsidR="00A0227D" w:rsidRPr="009B1F51" w:rsidRDefault="00A0227D" w:rsidP="00C50140">
      <w:pPr>
        <w:pStyle w:val="H23GA"/>
        <w:rPr>
          <w:szCs w:val="20"/>
          <w:lang w:val="ar-SA" w:eastAsia="zh-TW" w:bidi="en-GB"/>
        </w:rPr>
      </w:pPr>
      <w:bookmarkStart w:id="15" w:name="_Toc32364280"/>
      <w:r>
        <w:rPr>
          <w:rtl/>
        </w:rPr>
        <w:tab/>
      </w:r>
      <w:r>
        <w:rPr>
          <w:rtl/>
        </w:rPr>
        <w:tab/>
        <w:t>الفقر وتوزع الدخل</w:t>
      </w:r>
      <w:bookmarkEnd w:id="15"/>
    </w:p>
    <w:p w14:paraId="57B593F5" w14:textId="748D5717" w:rsidR="00A0227D" w:rsidRPr="009B1F51" w:rsidRDefault="00A0227D" w:rsidP="00C50140">
      <w:pPr>
        <w:pStyle w:val="SingleTxtGA"/>
        <w:rPr>
          <w:szCs w:val="20"/>
          <w:lang w:val="ar-SA" w:eastAsia="zh-TW" w:bidi="en-GB"/>
        </w:rPr>
      </w:pPr>
      <w:r w:rsidRPr="005C19F0">
        <w:rPr>
          <w:szCs w:val="20"/>
          <w:rtl/>
        </w:rPr>
        <w:t>58</w:t>
      </w:r>
      <w:r w:rsidRPr="00EF3655">
        <w:rPr>
          <w:rtl/>
        </w:rPr>
        <w:t>-</w:t>
      </w:r>
      <w:r>
        <w:rPr>
          <w:rtl/>
        </w:rPr>
        <w:tab/>
        <w:t>تغيَّر هيكل الأسرة المعيشية في فنلندا في العقدين الماضيين. فقد ازداد شيوع الأسر المعيشية التي تتألف من شخص واحد أو شخصين بينما انخفضت نسبة الأسر ذات الأطفال. وكان شكل</w:t>
      </w:r>
      <w:r w:rsidRPr="001D0407">
        <w:rPr>
          <w:rtl/>
        </w:rPr>
        <w:t xml:space="preserve"> </w:t>
      </w:r>
      <w:r>
        <w:rPr>
          <w:rtl/>
        </w:rPr>
        <w:t>ا</w:t>
      </w:r>
      <w:r w:rsidRPr="001D0407">
        <w:rPr>
          <w:rtl/>
        </w:rPr>
        <w:t>لأسر المعيشية</w:t>
      </w:r>
      <w:r>
        <w:rPr>
          <w:rtl/>
        </w:rPr>
        <w:t xml:space="preserve"> الأكثر شيوعاً في عام </w:t>
      </w:r>
      <w:r w:rsidRPr="005C19F0">
        <w:rPr>
          <w:szCs w:val="20"/>
          <w:rtl/>
        </w:rPr>
        <w:t>2017</w:t>
      </w:r>
      <w:r>
        <w:rPr>
          <w:rtl/>
        </w:rPr>
        <w:t xml:space="preserve"> هو الأسرة التي تتألف من شخص واحد، والتي كانت نسبتها </w:t>
      </w:r>
      <w:r w:rsidRPr="005C19F0">
        <w:rPr>
          <w:szCs w:val="20"/>
          <w:rtl/>
        </w:rPr>
        <w:t>43</w:t>
      </w:r>
      <w:r>
        <w:rPr>
          <w:rtl/>
        </w:rPr>
        <w:t xml:space="preserve"> في المائة من جميع الأسر المعيشية. وكان الأزواج الذين ليس لديهم أطفال يشكلون </w:t>
      </w:r>
      <w:r w:rsidRPr="005C19F0">
        <w:rPr>
          <w:szCs w:val="20"/>
          <w:rtl/>
        </w:rPr>
        <w:t>30</w:t>
      </w:r>
      <w:r>
        <w:rPr>
          <w:rtl/>
        </w:rPr>
        <w:t xml:space="preserve"> في</w:t>
      </w:r>
      <w:r w:rsidR="004E7718">
        <w:rPr>
          <w:rFonts w:hint="cs"/>
          <w:rtl/>
        </w:rPr>
        <w:t> </w:t>
      </w:r>
      <w:r>
        <w:rPr>
          <w:rtl/>
        </w:rPr>
        <w:t xml:space="preserve">المائة من الأسر المعيشية، وكانت نسبة الأسر المعيشية ذات الوالد الواحد أو الوالدين التي لديها أطفال </w:t>
      </w:r>
      <w:r w:rsidRPr="005C19F0">
        <w:rPr>
          <w:szCs w:val="20"/>
          <w:rtl/>
        </w:rPr>
        <w:t>21</w:t>
      </w:r>
      <w:r w:rsidR="0063047E">
        <w:rPr>
          <w:rFonts w:ascii="Traditional Arabic"/>
          <w:szCs w:val="20"/>
          <w:rtl/>
        </w:rPr>
        <w:t>,</w:t>
      </w:r>
      <w:r w:rsidRPr="005C19F0">
        <w:rPr>
          <w:szCs w:val="20"/>
          <w:rtl/>
        </w:rPr>
        <w:t>2</w:t>
      </w:r>
      <w:r>
        <w:rPr>
          <w:rtl/>
        </w:rPr>
        <w:t xml:space="preserve"> في المائة. وتشمل فئة "أُسر أخرى"</w:t>
      </w:r>
      <w:r>
        <w:rPr>
          <w:rtl/>
          <w:lang w:val="fr-CH"/>
        </w:rPr>
        <w:t>، مثلاً،</w:t>
      </w:r>
      <w:r>
        <w:rPr>
          <w:rtl/>
        </w:rPr>
        <w:t xml:space="preserve"> الأسر المعيشية المتعددة الأجيال والأسر المعيشية التي تتألف من والدين وأبناء بالغين.</w:t>
      </w:r>
    </w:p>
    <w:p w14:paraId="6BFA03AE" w14:textId="619ED964" w:rsidR="00A0227D" w:rsidRPr="009B1F51" w:rsidRDefault="00A0227D" w:rsidP="0016371A">
      <w:pPr>
        <w:pStyle w:val="SingleTxtGA"/>
        <w:rPr>
          <w:szCs w:val="20"/>
          <w:lang w:val="ar-SA" w:eastAsia="zh-TW" w:bidi="en-GB"/>
        </w:rPr>
      </w:pPr>
      <w:r w:rsidRPr="005C19F0">
        <w:rPr>
          <w:szCs w:val="20"/>
          <w:rtl/>
        </w:rPr>
        <w:t>59</w:t>
      </w:r>
      <w:r w:rsidRPr="00EF3655">
        <w:rPr>
          <w:rtl/>
        </w:rPr>
        <w:t>-</w:t>
      </w:r>
      <w:r>
        <w:rPr>
          <w:rtl/>
        </w:rPr>
        <w:tab/>
        <w:t xml:space="preserve">وتباينت نسبة السكان ذوي الدخل المنخفض والدخل المنخفض باستمرار بنحو </w:t>
      </w:r>
      <w:r w:rsidRPr="005C19F0">
        <w:rPr>
          <w:szCs w:val="20"/>
          <w:rtl/>
        </w:rPr>
        <w:t>12</w:t>
      </w:r>
      <w:r w:rsidR="002B5B92">
        <w:rPr>
          <w:sz w:val="28"/>
          <w:rtl/>
        </w:rPr>
        <w:t xml:space="preserve"> في المائة</w:t>
      </w:r>
      <w:r>
        <w:rPr>
          <w:rtl/>
        </w:rPr>
        <w:t xml:space="preserve"> في السنوات الأخيرة. وشهد مستوى الدخل العام تحسناً ضعيفاً في نفس الفترة، وبالتالي لم يحدث تغير يذكر في عتبة الدخل المنخفض، التي هي ثابتة بالنسبة إلى متوسط الدخل. </w:t>
      </w:r>
    </w:p>
    <w:p w14:paraId="716C16B4" w14:textId="77777777" w:rsidR="00A0227D" w:rsidRPr="009B1F51" w:rsidRDefault="00A0227D" w:rsidP="0016371A">
      <w:pPr>
        <w:pStyle w:val="SingleTxtGA"/>
        <w:rPr>
          <w:szCs w:val="20"/>
          <w:lang w:val="ar-SA" w:eastAsia="zh-TW" w:bidi="en-GB"/>
        </w:rPr>
      </w:pPr>
      <w:r w:rsidRPr="005C19F0">
        <w:rPr>
          <w:szCs w:val="20"/>
          <w:rtl/>
        </w:rPr>
        <w:t>60</w:t>
      </w:r>
      <w:r w:rsidRPr="00EF3655">
        <w:rPr>
          <w:rtl/>
        </w:rPr>
        <w:t>-</w:t>
      </w:r>
      <w:r>
        <w:rPr>
          <w:rtl/>
        </w:rPr>
        <w:tab/>
        <w:t>و</w:t>
      </w:r>
      <w:r>
        <w:rPr>
          <w:rtl/>
          <w:lang w:val="fr-CH"/>
        </w:rPr>
        <w:t>تقل نسبة</w:t>
      </w:r>
      <w:r>
        <w:rPr>
          <w:rtl/>
        </w:rPr>
        <w:t xml:space="preserve"> تعرض الأسر ذات الأطفال لخطر الفقر عن نسبة تعرض جميع السكان لذلك الخطر. وبلغت نسبة</w:t>
      </w:r>
      <w:r w:rsidRPr="006B651F">
        <w:rPr>
          <w:rtl/>
        </w:rPr>
        <w:t xml:space="preserve"> </w:t>
      </w:r>
      <w:r>
        <w:rPr>
          <w:rtl/>
        </w:rPr>
        <w:t>التعرض لخطر الفقر بالنسبة للأشخاص</w:t>
      </w:r>
      <w:r w:rsidRPr="006B651F">
        <w:rPr>
          <w:rtl/>
        </w:rPr>
        <w:t xml:space="preserve"> الذين يعيشون في </w:t>
      </w:r>
      <w:r w:rsidRPr="00794E95">
        <w:rPr>
          <w:rtl/>
        </w:rPr>
        <w:t>(</w:t>
      </w:r>
      <w:r w:rsidRPr="006B651F">
        <w:rPr>
          <w:rtl/>
        </w:rPr>
        <w:t>ينتمون</w:t>
      </w:r>
      <w:r>
        <w:rPr>
          <w:rtl/>
        </w:rPr>
        <w:t xml:space="preserve"> إلى</w:t>
      </w:r>
      <w:r w:rsidRPr="00794E95">
        <w:rPr>
          <w:rtl/>
        </w:rPr>
        <w:t>)</w:t>
      </w:r>
      <w:r w:rsidRPr="006B651F">
        <w:rPr>
          <w:rtl/>
        </w:rPr>
        <w:t xml:space="preserve"> أسر </w:t>
      </w:r>
      <w:r>
        <w:rPr>
          <w:rtl/>
        </w:rPr>
        <w:t>ذات</w:t>
      </w:r>
      <w:r w:rsidRPr="006B651F">
        <w:rPr>
          <w:rtl/>
        </w:rPr>
        <w:t xml:space="preserve"> أطفال</w:t>
      </w:r>
      <w:r>
        <w:rPr>
          <w:rtl/>
        </w:rPr>
        <w:t xml:space="preserve">، نحو </w:t>
      </w:r>
      <w:r w:rsidRPr="005C19F0">
        <w:rPr>
          <w:szCs w:val="20"/>
          <w:rtl/>
        </w:rPr>
        <w:t>9</w:t>
      </w:r>
      <w:r>
        <w:rPr>
          <w:rtl/>
        </w:rPr>
        <w:t xml:space="preserve"> في المائة في السنوات الأخيرة. ولا يزال الدخل المنخفض </w:t>
      </w:r>
      <w:r>
        <w:rPr>
          <w:rtl/>
          <w:lang w:val="fr-CH"/>
        </w:rPr>
        <w:t xml:space="preserve">يمثل </w:t>
      </w:r>
      <w:r>
        <w:rPr>
          <w:rtl/>
        </w:rPr>
        <w:t xml:space="preserve">مشكلة كبيرة للأسر </w:t>
      </w:r>
      <w:r>
        <w:rPr>
          <w:rtl/>
        </w:rPr>
        <w:lastRenderedPageBreak/>
        <w:t xml:space="preserve">الوحيدة الوالد. ومع ذلك، يقل الفقر النسبي في فنلندا مقارنة بما هو عليه في معظم الدول الأعضاء في الاتحاد الأوروبي. </w:t>
      </w:r>
    </w:p>
    <w:p w14:paraId="5AAFF831" w14:textId="4ABF219E" w:rsidR="00A0227D" w:rsidRPr="009B1F51" w:rsidRDefault="00A0227D" w:rsidP="0016371A">
      <w:pPr>
        <w:pStyle w:val="SingleTxtGA"/>
        <w:rPr>
          <w:szCs w:val="20"/>
          <w:lang w:val="ar-SA" w:eastAsia="zh-TW" w:bidi="en-GB"/>
        </w:rPr>
      </w:pPr>
      <w:r w:rsidRPr="005C19F0">
        <w:rPr>
          <w:szCs w:val="20"/>
          <w:rtl/>
        </w:rPr>
        <w:t>61</w:t>
      </w:r>
      <w:r w:rsidRPr="00EF3655">
        <w:rPr>
          <w:rtl/>
        </w:rPr>
        <w:t>-</w:t>
      </w:r>
      <w:r>
        <w:rPr>
          <w:rtl/>
        </w:rPr>
        <w:tab/>
        <w:t xml:space="preserve">وتُسجَّل أعلى مستويات الدخل في صفوف الأزواج الذين تتراوح أعمارهم ما بين </w:t>
      </w:r>
      <w:r w:rsidRPr="005C19F0">
        <w:rPr>
          <w:szCs w:val="20"/>
          <w:rtl/>
        </w:rPr>
        <w:t>35</w:t>
      </w:r>
      <w:r>
        <w:rPr>
          <w:rtl/>
        </w:rPr>
        <w:t xml:space="preserve"> و</w:t>
      </w:r>
      <w:r w:rsidRPr="005C19F0">
        <w:rPr>
          <w:szCs w:val="20"/>
          <w:rtl/>
        </w:rPr>
        <w:t>64</w:t>
      </w:r>
      <w:r>
        <w:rPr>
          <w:rtl/>
        </w:rPr>
        <w:t xml:space="preserve"> سنة، بينما تسجَّل أدنى مستويات الدخل في صفوف الشباب والعزاب الذين هم في سن التقاعد والوالدِين الوحيدين. ويفتقد الأشخاص الذين يعيشون بمفردهم المزايا الاستهلاكية المشتركة التي يتمتع بها الأزواج والتي تنشأ عن التشارك في تكاليف السكن وغيرها. وعلاوة على ذلك، يتأثر مستوى دخل الوالدِين الوحيدين لأن دخل كاسِب قوت واحد يجب أن يُنفق على أكثر من شخص واحد.</w:t>
      </w:r>
    </w:p>
    <w:p w14:paraId="2BD152EF" w14:textId="33815808" w:rsidR="00A0227D" w:rsidRPr="005310F2" w:rsidRDefault="00A0227D" w:rsidP="0016371A">
      <w:pPr>
        <w:pStyle w:val="SingleTxtGA"/>
        <w:rPr>
          <w:spacing w:val="-2"/>
          <w:szCs w:val="20"/>
          <w:lang w:val="ar-SA" w:eastAsia="zh-TW" w:bidi="en-GB"/>
        </w:rPr>
      </w:pPr>
      <w:r w:rsidRPr="005310F2">
        <w:rPr>
          <w:spacing w:val="-2"/>
          <w:szCs w:val="20"/>
          <w:rtl/>
        </w:rPr>
        <w:t>62</w:t>
      </w:r>
      <w:r w:rsidRPr="005310F2">
        <w:rPr>
          <w:spacing w:val="-2"/>
          <w:rtl/>
        </w:rPr>
        <w:t>-</w:t>
      </w:r>
      <w:r w:rsidRPr="005310F2">
        <w:rPr>
          <w:spacing w:val="-2"/>
          <w:rtl/>
        </w:rPr>
        <w:tab/>
        <w:t>والفقر في فنلندا غال</w:t>
      </w:r>
      <w:r w:rsidR="00340DBC" w:rsidRPr="005310F2">
        <w:rPr>
          <w:spacing w:val="-2"/>
          <w:rtl/>
        </w:rPr>
        <w:t xml:space="preserve">باً </w:t>
      </w:r>
      <w:r w:rsidRPr="005310F2">
        <w:rPr>
          <w:spacing w:val="-2"/>
          <w:rtl/>
        </w:rPr>
        <w:t xml:space="preserve">ما يكون متوارثاً عبر الأجيال، وقد ازداد الفقر شيوعاً في صفوف الأسر ذات الأطفال بعد الكساد الذي شهدته تسعينات القرن العشرين. وتشير الإحصاءات إلى زيادة شيوع الفقر لدى الأسر ذات الأطفال المنحدرة من أصول مهاجرة، بالمقارنة مع أسر عامة السكان التي لديها أطفال. وازداد الفقر أيضاً في صفوف الأسر الوحيدة الوالد منذ تسعينات القرن العشرين. ومن بين جميع الأسر المعيشية، تُدفع المساعدة الاجتماعية في أغلب الأحيان إلى الأمهات الوحيدات. وفي عام </w:t>
      </w:r>
      <w:r w:rsidRPr="005310F2">
        <w:rPr>
          <w:spacing w:val="-2"/>
          <w:szCs w:val="20"/>
          <w:rtl/>
        </w:rPr>
        <w:t>2017</w:t>
      </w:r>
      <w:r w:rsidRPr="005310F2">
        <w:rPr>
          <w:spacing w:val="-2"/>
          <w:rtl/>
        </w:rPr>
        <w:t xml:space="preserve">، </w:t>
      </w:r>
      <w:r w:rsidRPr="00042150">
        <w:rPr>
          <w:spacing w:val="-4"/>
          <w:rtl/>
        </w:rPr>
        <w:t xml:space="preserve">حصل نحو </w:t>
      </w:r>
      <w:r w:rsidRPr="00042150">
        <w:rPr>
          <w:spacing w:val="-4"/>
          <w:szCs w:val="20"/>
          <w:rtl/>
        </w:rPr>
        <w:t>30</w:t>
      </w:r>
      <w:r w:rsidR="002B5B92" w:rsidRPr="00042150">
        <w:rPr>
          <w:spacing w:val="-4"/>
          <w:sz w:val="28"/>
          <w:rtl/>
        </w:rPr>
        <w:t xml:space="preserve"> في المائة</w:t>
      </w:r>
      <w:r w:rsidRPr="00042150">
        <w:rPr>
          <w:spacing w:val="-4"/>
          <w:rtl/>
        </w:rPr>
        <w:t xml:space="preserve"> من الأسر التي ترعاها أمهات عازبات على مساعدات اجتماعية، مقارنة بنسبة </w:t>
      </w:r>
      <w:r w:rsidRPr="00042150">
        <w:rPr>
          <w:spacing w:val="-4"/>
          <w:szCs w:val="20"/>
          <w:rtl/>
        </w:rPr>
        <w:t>8</w:t>
      </w:r>
      <w:r w:rsidR="00104B67" w:rsidRPr="00042150">
        <w:rPr>
          <w:rFonts w:ascii="Traditional Arabic"/>
          <w:spacing w:val="-4"/>
          <w:szCs w:val="20"/>
          <w:rtl/>
        </w:rPr>
        <w:t>,</w:t>
      </w:r>
      <w:r w:rsidRPr="00042150">
        <w:rPr>
          <w:spacing w:val="-4"/>
          <w:szCs w:val="20"/>
          <w:rtl/>
        </w:rPr>
        <w:t>5</w:t>
      </w:r>
      <w:r w:rsidR="002B5B92" w:rsidRPr="005310F2">
        <w:rPr>
          <w:spacing w:val="-2"/>
          <w:sz w:val="28"/>
          <w:rtl/>
        </w:rPr>
        <w:t xml:space="preserve"> في المائة</w:t>
      </w:r>
      <w:r w:rsidRPr="005310F2">
        <w:rPr>
          <w:spacing w:val="-2"/>
          <w:rtl/>
        </w:rPr>
        <w:t xml:space="preserve"> لجميع السكان. والمسنات هن الأشد تعرضاً لخطر الفقر الدائم. و</w:t>
      </w:r>
      <w:r w:rsidRPr="005310F2">
        <w:rPr>
          <w:spacing w:val="-2"/>
          <w:rtl/>
          <w:lang w:val="fr-CH"/>
        </w:rPr>
        <w:t>من الم</w:t>
      </w:r>
      <w:r w:rsidRPr="005310F2">
        <w:rPr>
          <w:spacing w:val="-2"/>
          <w:rtl/>
        </w:rPr>
        <w:t xml:space="preserve">رجح أن تعيش النساء ذوات الإعاقة في فقر. وتبلغ نسبة تعرض المرأة ذات الإعاقة لخطر الفقر نحو </w:t>
      </w:r>
      <w:r w:rsidRPr="005310F2">
        <w:rPr>
          <w:spacing w:val="-2"/>
          <w:szCs w:val="20"/>
          <w:rtl/>
        </w:rPr>
        <w:t>25</w:t>
      </w:r>
      <w:r w:rsidR="00104B67" w:rsidRPr="005310F2">
        <w:rPr>
          <w:rFonts w:ascii="Traditional Arabic"/>
          <w:spacing w:val="-2"/>
          <w:szCs w:val="20"/>
          <w:rtl/>
        </w:rPr>
        <w:t>,</w:t>
      </w:r>
      <w:r w:rsidRPr="005310F2">
        <w:rPr>
          <w:spacing w:val="-2"/>
          <w:szCs w:val="20"/>
          <w:rtl/>
        </w:rPr>
        <w:t>5</w:t>
      </w:r>
      <w:r w:rsidRPr="005310F2">
        <w:rPr>
          <w:spacing w:val="-2"/>
          <w:rtl/>
        </w:rPr>
        <w:t xml:space="preserve"> في المائة، في حين أن نسبة تعرض الرجل ذي الإعاقة للفقر هي </w:t>
      </w:r>
      <w:r w:rsidRPr="005310F2">
        <w:rPr>
          <w:spacing w:val="-2"/>
          <w:szCs w:val="20"/>
          <w:rtl/>
        </w:rPr>
        <w:t>23</w:t>
      </w:r>
      <w:r w:rsidR="00104B67" w:rsidRPr="005310F2">
        <w:rPr>
          <w:rFonts w:ascii="Traditional Arabic"/>
          <w:spacing w:val="-2"/>
          <w:szCs w:val="20"/>
          <w:rtl/>
        </w:rPr>
        <w:t>,</w:t>
      </w:r>
      <w:r w:rsidRPr="005310F2">
        <w:rPr>
          <w:spacing w:val="-2"/>
          <w:szCs w:val="20"/>
          <w:rtl/>
        </w:rPr>
        <w:t>9</w:t>
      </w:r>
      <w:r w:rsidRPr="005310F2">
        <w:rPr>
          <w:spacing w:val="-2"/>
          <w:rtl/>
        </w:rPr>
        <w:t xml:space="preserve"> في المائة. أما النساء والرجال من غير ذوي الإعاقة، فتبلغ نسبة تعرضهم لخطر الفقر </w:t>
      </w:r>
      <w:r w:rsidRPr="005310F2">
        <w:rPr>
          <w:spacing w:val="-2"/>
          <w:szCs w:val="20"/>
          <w:rtl/>
        </w:rPr>
        <w:t>14</w:t>
      </w:r>
      <w:r w:rsidR="00104B67" w:rsidRPr="005310F2">
        <w:rPr>
          <w:rFonts w:ascii="Traditional Arabic"/>
          <w:spacing w:val="-2"/>
          <w:szCs w:val="20"/>
          <w:rtl/>
        </w:rPr>
        <w:t>,</w:t>
      </w:r>
      <w:r w:rsidRPr="005310F2">
        <w:rPr>
          <w:spacing w:val="-2"/>
          <w:szCs w:val="20"/>
          <w:rtl/>
        </w:rPr>
        <w:t>3</w:t>
      </w:r>
      <w:r w:rsidRPr="005310F2">
        <w:rPr>
          <w:spacing w:val="-2"/>
          <w:rtl/>
        </w:rPr>
        <w:t xml:space="preserve"> في المائة و</w:t>
      </w:r>
      <w:r w:rsidRPr="005310F2">
        <w:rPr>
          <w:spacing w:val="-2"/>
          <w:szCs w:val="20"/>
          <w:rtl/>
        </w:rPr>
        <w:t>13</w:t>
      </w:r>
      <w:r w:rsidR="00104B67" w:rsidRPr="005310F2">
        <w:rPr>
          <w:rFonts w:ascii="Traditional Arabic"/>
          <w:spacing w:val="-2"/>
          <w:szCs w:val="20"/>
          <w:rtl/>
        </w:rPr>
        <w:t>,</w:t>
      </w:r>
      <w:r w:rsidRPr="005310F2">
        <w:rPr>
          <w:spacing w:val="-2"/>
          <w:szCs w:val="20"/>
          <w:rtl/>
        </w:rPr>
        <w:t>7</w:t>
      </w:r>
      <w:r w:rsidRPr="005310F2">
        <w:rPr>
          <w:spacing w:val="-2"/>
          <w:rtl/>
        </w:rPr>
        <w:t xml:space="preserve"> في المائة، على التوالي.</w:t>
      </w:r>
    </w:p>
    <w:p w14:paraId="18675A37" w14:textId="77777777" w:rsidR="00A0227D" w:rsidRPr="009B1F51" w:rsidRDefault="00A0227D" w:rsidP="0016371A">
      <w:pPr>
        <w:pStyle w:val="SingleTxtGA"/>
        <w:rPr>
          <w:szCs w:val="20"/>
          <w:lang w:val="ar-SA" w:eastAsia="zh-TW" w:bidi="en-GB"/>
        </w:rPr>
      </w:pPr>
      <w:r w:rsidRPr="005C19F0">
        <w:rPr>
          <w:szCs w:val="20"/>
          <w:rtl/>
        </w:rPr>
        <w:t>63</w:t>
      </w:r>
      <w:r w:rsidRPr="00EF3655">
        <w:rPr>
          <w:rtl/>
        </w:rPr>
        <w:t>-</w:t>
      </w:r>
      <w:r>
        <w:rPr>
          <w:rtl/>
        </w:rPr>
        <w:tab/>
        <w:t xml:space="preserve">ويشيع استخدام معامل جيني كمؤشر على الفروق في الدخل التي تُستخدم لوصف جملة أمور، منها توزع الدخل والأصول. فكلما ارتفعت قيمة مؤشر جيني، كلما ازداد التفاوت في توزع الدخل. وأعلى قيمة ممكنة لمعامل جيني هي </w:t>
      </w:r>
      <w:r w:rsidRPr="005C19F0">
        <w:rPr>
          <w:szCs w:val="20"/>
          <w:rtl/>
        </w:rPr>
        <w:t>100</w:t>
      </w:r>
      <w:r>
        <w:rPr>
          <w:rFonts w:ascii="Traditional Arabic"/>
          <w:szCs w:val="20"/>
          <w:rtl/>
        </w:rPr>
        <w:t>.</w:t>
      </w:r>
      <w:r>
        <w:rPr>
          <w:rtl/>
        </w:rPr>
        <w:t xml:space="preserve"> وفي هذه الحالة، يحصل متلقي أعلى دخل على كل الدخل. أما أدنى قيمة لمعامل جيني فهي </w:t>
      </w:r>
      <w:r w:rsidRPr="00305A8E">
        <w:rPr>
          <w:rtl/>
        </w:rPr>
        <w:t>صفر</w:t>
      </w:r>
      <w:r>
        <w:rPr>
          <w:rtl/>
        </w:rPr>
        <w:t xml:space="preserve">، وذلك عندما يكون دخل جميع متلقيي الدخل متساوياً. وفي الجدول أدناه تجميع لمعامِلات جيني فيما يتعلق ببعض المؤشرات الاقتصادية الرئيسية في الفترة </w:t>
      </w:r>
      <w:r w:rsidRPr="005C19F0">
        <w:rPr>
          <w:szCs w:val="20"/>
          <w:rtl/>
        </w:rPr>
        <w:t>2012</w:t>
      </w:r>
      <w:r w:rsidRPr="00EF3655">
        <w:rPr>
          <w:rtl/>
        </w:rPr>
        <w:t>-</w:t>
      </w:r>
      <w:r w:rsidRPr="005C19F0">
        <w:rPr>
          <w:szCs w:val="20"/>
          <w:rtl/>
        </w:rPr>
        <w:t>2017</w:t>
      </w:r>
      <w:r>
        <w:rPr>
          <w:rtl/>
        </w:rPr>
        <w:t>.</w:t>
      </w:r>
    </w:p>
    <w:p w14:paraId="4FFCBD15" w14:textId="1B1BDD67" w:rsidR="00A0227D" w:rsidRPr="0016371A" w:rsidRDefault="00A0227D" w:rsidP="00555660">
      <w:pPr>
        <w:pStyle w:val="SingleTxtGA"/>
        <w:spacing w:after="0"/>
        <w:rPr>
          <w:szCs w:val="20"/>
          <w:lang w:eastAsia="zh-TW" w:bidi="en-GB"/>
        </w:rPr>
      </w:pPr>
      <w:r>
        <w:rPr>
          <w:rtl/>
        </w:rPr>
        <w:t xml:space="preserve">الجدول </w:t>
      </w:r>
      <w:r w:rsidRPr="005C19F0">
        <w:rPr>
          <w:szCs w:val="20"/>
          <w:rtl/>
        </w:rPr>
        <w:t>5</w:t>
      </w:r>
    </w:p>
    <w:p w14:paraId="2DEEA4F3" w14:textId="77777777" w:rsidR="00A0227D" w:rsidRPr="0016371A" w:rsidRDefault="00A0227D" w:rsidP="0016371A">
      <w:pPr>
        <w:pStyle w:val="SingleTxtGA"/>
        <w:rPr>
          <w:b/>
          <w:bCs/>
          <w:szCs w:val="20"/>
          <w:lang w:val="ar-SA" w:eastAsia="zh-TW" w:bidi="en-GB"/>
        </w:rPr>
      </w:pPr>
      <w:r w:rsidRPr="0016371A">
        <w:rPr>
          <w:b/>
          <w:bCs/>
          <w:rtl/>
        </w:rPr>
        <w:t>معاملات جيني لدخل عوامل الإنتاج والدخل الإجمالي والدخل المتاح، و</w:t>
      </w:r>
      <w:r w:rsidRPr="0016371A">
        <w:rPr>
          <w:b/>
          <w:bCs/>
          <w:rtl/>
          <w:lang w:val="fr-CH"/>
        </w:rPr>
        <w:t xml:space="preserve">مساواة </w:t>
      </w:r>
      <w:r w:rsidRPr="0016371A">
        <w:rPr>
          <w:b/>
          <w:bCs/>
          <w:rtl/>
        </w:rPr>
        <w:t xml:space="preserve">أثر التحويلات الحالية على الفروق في الدخل في الفترة </w:t>
      </w:r>
      <w:r w:rsidRPr="005C19F0">
        <w:rPr>
          <w:b/>
          <w:bCs/>
          <w:szCs w:val="20"/>
          <w:rtl/>
        </w:rPr>
        <w:t>2012</w:t>
      </w:r>
      <w:r w:rsidRPr="00EF3655">
        <w:rPr>
          <w:rtl/>
        </w:rPr>
        <w:t>-</w:t>
      </w:r>
      <w:r w:rsidRPr="005C19F0">
        <w:rPr>
          <w:b/>
          <w:bCs/>
          <w:szCs w:val="20"/>
          <w:rtl/>
        </w:rPr>
        <w:t>2017</w:t>
      </w:r>
    </w:p>
    <w:tbl>
      <w:tblPr>
        <w:bidiVisual/>
        <w:tblW w:w="7209" w:type="dxa"/>
        <w:tblInd w:w="12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0"/>
        <w:gridCol w:w="882"/>
        <w:gridCol w:w="1190"/>
        <w:gridCol w:w="1385"/>
        <w:gridCol w:w="1260"/>
        <w:gridCol w:w="1172"/>
        <w:gridCol w:w="830"/>
      </w:tblGrid>
      <w:tr w:rsidR="00A0227D" w:rsidRPr="00941D50" w14:paraId="796C9652" w14:textId="77777777" w:rsidTr="00A355F3">
        <w:trPr>
          <w:tblHeader/>
        </w:trPr>
        <w:tc>
          <w:tcPr>
            <w:tcW w:w="490" w:type="dxa"/>
            <w:vMerge w:val="restart"/>
            <w:tcBorders>
              <w:top w:val="single" w:sz="4" w:space="0" w:color="auto"/>
              <w:bottom w:val="single" w:sz="12" w:space="0" w:color="auto"/>
            </w:tcBorders>
            <w:shd w:val="clear" w:color="auto" w:fill="auto"/>
            <w:vAlign w:val="bottom"/>
            <w:hideMark/>
          </w:tcPr>
          <w:p w14:paraId="373ABB58" w14:textId="77777777" w:rsidR="00A0227D" w:rsidRPr="00555660" w:rsidRDefault="00A0227D" w:rsidP="00555660">
            <w:pPr>
              <w:spacing w:before="20" w:after="40" w:line="300" w:lineRule="exact"/>
              <w:ind w:left="57"/>
              <w:textDirection w:val="tbRlV"/>
              <w:rPr>
                <w:i/>
                <w:sz w:val="24"/>
                <w:szCs w:val="24"/>
                <w:lang w:val="ar-SA" w:eastAsia="zh-TW" w:bidi="en-GB"/>
              </w:rPr>
            </w:pPr>
            <w:r w:rsidRPr="00555660">
              <w:rPr>
                <w:i/>
                <w:iCs/>
                <w:sz w:val="24"/>
                <w:szCs w:val="24"/>
                <w:rtl/>
              </w:rPr>
              <w:t>السنة</w:t>
            </w:r>
          </w:p>
        </w:tc>
        <w:tc>
          <w:tcPr>
            <w:tcW w:w="3457"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6331FA3B" w14:textId="0974A2DD" w:rsidR="00A0227D" w:rsidRPr="00555660" w:rsidRDefault="00A0227D" w:rsidP="005310F2">
            <w:pPr>
              <w:spacing w:before="20" w:after="40" w:line="300" w:lineRule="exact"/>
              <w:ind w:left="57"/>
              <w:jc w:val="center"/>
              <w:textDirection w:val="tbRlV"/>
              <w:rPr>
                <w:i/>
                <w:sz w:val="24"/>
                <w:szCs w:val="24"/>
                <w:lang w:eastAsia="zh-TW" w:bidi="en-GB"/>
              </w:rPr>
            </w:pPr>
            <w:r w:rsidRPr="00555660">
              <w:rPr>
                <w:i/>
                <w:iCs/>
                <w:sz w:val="24"/>
                <w:szCs w:val="24"/>
                <w:rtl/>
              </w:rPr>
              <w:t xml:space="preserve">معامل جيني </w:t>
            </w:r>
            <w:r w:rsidR="00555660" w:rsidRPr="00555660">
              <w:rPr>
                <w:rFonts w:ascii="Traditional Arabic" w:hint="cs"/>
                <w:i/>
                <w:iCs/>
                <w:sz w:val="24"/>
                <w:szCs w:val="24"/>
                <w:rtl/>
              </w:rPr>
              <w:t>(</w:t>
            </w:r>
            <w:r w:rsidR="002B5B92">
              <w:rPr>
                <w:rFonts w:ascii="Traditional Arabic"/>
                <w:i/>
                <w:iCs/>
                <w:sz w:val="24"/>
                <w:szCs w:val="24"/>
                <w:rtl/>
              </w:rPr>
              <w:t>في المائة</w:t>
            </w:r>
            <w:r w:rsidR="00555660" w:rsidRPr="00555660">
              <w:rPr>
                <w:rFonts w:ascii="Traditional Arabic" w:hint="cs"/>
                <w:i/>
                <w:iCs/>
                <w:sz w:val="24"/>
                <w:szCs w:val="24"/>
                <w:rtl/>
              </w:rPr>
              <w:t>)</w:t>
            </w:r>
          </w:p>
        </w:tc>
        <w:tc>
          <w:tcPr>
            <w:tcW w:w="3262"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0F598C6B" w14:textId="77777777" w:rsidR="00A0227D" w:rsidRPr="00555660" w:rsidRDefault="00A0227D" w:rsidP="005310F2">
            <w:pPr>
              <w:spacing w:before="20" w:after="40" w:line="300" w:lineRule="exact"/>
              <w:ind w:left="57"/>
              <w:jc w:val="center"/>
              <w:textDirection w:val="tbRlV"/>
              <w:rPr>
                <w:i/>
                <w:sz w:val="24"/>
                <w:szCs w:val="24"/>
                <w:lang w:val="ar-SA" w:eastAsia="zh-TW" w:bidi="en-GB"/>
              </w:rPr>
            </w:pPr>
            <w:r w:rsidRPr="00555660">
              <w:rPr>
                <w:i/>
                <w:iCs/>
                <w:sz w:val="24"/>
                <w:szCs w:val="24"/>
                <w:rtl/>
              </w:rPr>
              <w:t>مساواة أثر التحويلات الجارية على الفروق في الدخل</w:t>
            </w:r>
          </w:p>
        </w:tc>
      </w:tr>
      <w:tr w:rsidR="00A0227D" w:rsidRPr="00941D50" w14:paraId="16678037" w14:textId="77777777" w:rsidTr="005310F2">
        <w:trPr>
          <w:tblHeader/>
        </w:trPr>
        <w:tc>
          <w:tcPr>
            <w:tcW w:w="490" w:type="dxa"/>
            <w:vMerge/>
            <w:tcBorders>
              <w:top w:val="single" w:sz="12" w:space="0" w:color="auto"/>
              <w:bottom w:val="single" w:sz="12" w:space="0" w:color="auto"/>
            </w:tcBorders>
            <w:shd w:val="clear" w:color="auto" w:fill="auto"/>
            <w:vAlign w:val="bottom"/>
            <w:hideMark/>
          </w:tcPr>
          <w:p w14:paraId="55CFC37F" w14:textId="77777777" w:rsidR="00A0227D" w:rsidRPr="00555660" w:rsidRDefault="00A0227D" w:rsidP="00555660">
            <w:pPr>
              <w:spacing w:before="20" w:after="40" w:line="300" w:lineRule="exact"/>
              <w:ind w:left="57"/>
              <w:rPr>
                <w:b/>
                <w:sz w:val="24"/>
                <w:szCs w:val="24"/>
              </w:rPr>
            </w:pPr>
          </w:p>
        </w:tc>
        <w:tc>
          <w:tcPr>
            <w:tcW w:w="882" w:type="dxa"/>
            <w:tcBorders>
              <w:top w:val="single" w:sz="4" w:space="0" w:color="auto"/>
              <w:bottom w:val="single" w:sz="12" w:space="0" w:color="auto"/>
            </w:tcBorders>
            <w:shd w:val="clear" w:color="auto" w:fill="auto"/>
            <w:vAlign w:val="bottom"/>
            <w:hideMark/>
          </w:tcPr>
          <w:p w14:paraId="1E8BB4C8" w14:textId="77777777" w:rsidR="00A0227D" w:rsidRPr="00555660" w:rsidRDefault="00A0227D" w:rsidP="00042150">
            <w:pPr>
              <w:spacing w:before="20" w:after="40" w:line="300" w:lineRule="exact"/>
              <w:ind w:left="57"/>
              <w:jc w:val="left"/>
              <w:textDirection w:val="tbRlV"/>
              <w:rPr>
                <w:i/>
                <w:sz w:val="24"/>
                <w:szCs w:val="24"/>
                <w:lang w:val="ar-SA" w:eastAsia="zh-TW" w:bidi="en-GB"/>
              </w:rPr>
            </w:pPr>
            <w:r w:rsidRPr="00555660">
              <w:rPr>
                <w:i/>
                <w:iCs/>
                <w:sz w:val="24"/>
                <w:szCs w:val="24"/>
                <w:rtl/>
              </w:rPr>
              <w:t>دخل عوامل الإنتاج</w:t>
            </w:r>
          </w:p>
        </w:tc>
        <w:tc>
          <w:tcPr>
            <w:tcW w:w="1190" w:type="dxa"/>
            <w:tcBorders>
              <w:top w:val="single" w:sz="4" w:space="0" w:color="auto"/>
              <w:bottom w:val="single" w:sz="12" w:space="0" w:color="auto"/>
            </w:tcBorders>
            <w:shd w:val="clear" w:color="auto" w:fill="auto"/>
            <w:vAlign w:val="bottom"/>
            <w:hideMark/>
          </w:tcPr>
          <w:p w14:paraId="70A327BB" w14:textId="77777777" w:rsidR="00A0227D" w:rsidRPr="00555660" w:rsidRDefault="00A0227D" w:rsidP="00555660">
            <w:pPr>
              <w:spacing w:before="20" w:after="40" w:line="300" w:lineRule="exact"/>
              <w:ind w:left="57"/>
              <w:textDirection w:val="tbRlV"/>
              <w:rPr>
                <w:i/>
                <w:sz w:val="24"/>
                <w:szCs w:val="24"/>
                <w:lang w:val="ar-SA" w:eastAsia="zh-TW" w:bidi="en-GB"/>
              </w:rPr>
            </w:pPr>
            <w:r w:rsidRPr="00555660">
              <w:rPr>
                <w:i/>
                <w:iCs/>
                <w:sz w:val="24"/>
                <w:szCs w:val="24"/>
                <w:rtl/>
              </w:rPr>
              <w:t>الدخل الإجمالي</w:t>
            </w:r>
          </w:p>
        </w:tc>
        <w:tc>
          <w:tcPr>
            <w:tcW w:w="1385" w:type="dxa"/>
            <w:tcBorders>
              <w:top w:val="single" w:sz="4" w:space="0" w:color="auto"/>
              <w:bottom w:val="single" w:sz="12" w:space="0" w:color="auto"/>
              <w:right w:val="single" w:sz="24" w:space="0" w:color="FFFFFF" w:themeColor="background1"/>
            </w:tcBorders>
            <w:shd w:val="clear" w:color="auto" w:fill="auto"/>
            <w:vAlign w:val="bottom"/>
            <w:hideMark/>
          </w:tcPr>
          <w:p w14:paraId="3E383149" w14:textId="77777777" w:rsidR="00A0227D" w:rsidRPr="00555660" w:rsidRDefault="00A0227D" w:rsidP="00555660">
            <w:pPr>
              <w:spacing w:before="20" w:after="40" w:line="300" w:lineRule="exact"/>
              <w:ind w:left="57"/>
              <w:textDirection w:val="tbRlV"/>
              <w:rPr>
                <w:i/>
                <w:sz w:val="24"/>
                <w:szCs w:val="24"/>
                <w:lang w:val="ar-SA" w:eastAsia="zh-TW" w:bidi="en-GB"/>
              </w:rPr>
            </w:pPr>
            <w:r w:rsidRPr="00555660">
              <w:rPr>
                <w:i/>
                <w:iCs/>
                <w:sz w:val="24"/>
                <w:szCs w:val="24"/>
                <w:rtl/>
              </w:rPr>
              <w:t>الدخل</w:t>
            </w:r>
            <w:r w:rsidRPr="00555660">
              <w:rPr>
                <w:i/>
                <w:iCs/>
                <w:sz w:val="24"/>
                <w:szCs w:val="24"/>
                <w:rtl/>
                <w:lang w:val="fr-CH"/>
              </w:rPr>
              <w:t xml:space="preserve"> النقدي</w:t>
            </w:r>
            <w:r w:rsidRPr="00555660">
              <w:rPr>
                <w:i/>
                <w:iCs/>
                <w:sz w:val="24"/>
                <w:szCs w:val="24"/>
                <w:rtl/>
              </w:rPr>
              <w:t xml:space="preserve"> المتاح</w:t>
            </w:r>
          </w:p>
        </w:tc>
        <w:tc>
          <w:tcPr>
            <w:tcW w:w="1260" w:type="dxa"/>
            <w:tcBorders>
              <w:top w:val="single" w:sz="4" w:space="0" w:color="auto"/>
              <w:left w:val="single" w:sz="24" w:space="0" w:color="FFFFFF" w:themeColor="background1"/>
              <w:bottom w:val="single" w:sz="12" w:space="0" w:color="auto"/>
            </w:tcBorders>
            <w:shd w:val="clear" w:color="auto" w:fill="auto"/>
            <w:vAlign w:val="bottom"/>
            <w:hideMark/>
          </w:tcPr>
          <w:p w14:paraId="0CC79D35" w14:textId="77777777" w:rsidR="00A0227D" w:rsidRPr="00555660" w:rsidRDefault="00A0227D" w:rsidP="00555660">
            <w:pPr>
              <w:spacing w:before="20" w:after="40" w:line="300" w:lineRule="exact"/>
              <w:ind w:left="57"/>
              <w:textDirection w:val="tbRlV"/>
              <w:rPr>
                <w:i/>
                <w:sz w:val="24"/>
                <w:szCs w:val="24"/>
                <w:lang w:val="ar-SA" w:eastAsia="zh-TW" w:bidi="en-GB"/>
              </w:rPr>
            </w:pPr>
            <w:r w:rsidRPr="00555660">
              <w:rPr>
                <w:sz w:val="24"/>
                <w:szCs w:val="24"/>
                <w:rtl/>
              </w:rPr>
              <w:t>التحويلات الحالية الواردة</w:t>
            </w:r>
          </w:p>
        </w:tc>
        <w:tc>
          <w:tcPr>
            <w:tcW w:w="1172" w:type="dxa"/>
            <w:tcBorders>
              <w:top w:val="single" w:sz="4" w:space="0" w:color="auto"/>
              <w:bottom w:val="single" w:sz="12" w:space="0" w:color="auto"/>
            </w:tcBorders>
            <w:shd w:val="clear" w:color="auto" w:fill="auto"/>
            <w:vAlign w:val="bottom"/>
            <w:hideMark/>
          </w:tcPr>
          <w:p w14:paraId="60E6AC01" w14:textId="77777777" w:rsidR="00A0227D" w:rsidRPr="00555660" w:rsidRDefault="00A0227D" w:rsidP="00042150">
            <w:pPr>
              <w:spacing w:before="20" w:after="40" w:line="300" w:lineRule="exact"/>
              <w:ind w:left="57"/>
              <w:jc w:val="left"/>
              <w:textDirection w:val="tbRlV"/>
              <w:rPr>
                <w:i/>
                <w:sz w:val="24"/>
                <w:szCs w:val="24"/>
                <w:lang w:val="ar-SA" w:eastAsia="zh-TW" w:bidi="en-GB"/>
              </w:rPr>
            </w:pPr>
            <w:r w:rsidRPr="00555660">
              <w:rPr>
                <w:i/>
                <w:iCs/>
                <w:sz w:val="24"/>
                <w:szCs w:val="24"/>
                <w:rtl/>
              </w:rPr>
              <w:t>التحويلات الحالية المدفوعة</w:t>
            </w:r>
          </w:p>
        </w:tc>
        <w:tc>
          <w:tcPr>
            <w:tcW w:w="830" w:type="dxa"/>
            <w:tcBorders>
              <w:top w:val="single" w:sz="4" w:space="0" w:color="auto"/>
              <w:bottom w:val="single" w:sz="12" w:space="0" w:color="auto"/>
            </w:tcBorders>
            <w:shd w:val="clear" w:color="auto" w:fill="auto"/>
            <w:vAlign w:val="bottom"/>
            <w:hideMark/>
          </w:tcPr>
          <w:p w14:paraId="0C619395" w14:textId="77777777" w:rsidR="00A0227D" w:rsidRPr="00555660" w:rsidRDefault="00A0227D" w:rsidP="00555660">
            <w:pPr>
              <w:spacing w:before="20" w:after="40" w:line="300" w:lineRule="exact"/>
              <w:ind w:left="57"/>
              <w:textDirection w:val="tbRlV"/>
              <w:rPr>
                <w:i/>
                <w:sz w:val="24"/>
                <w:szCs w:val="24"/>
                <w:lang w:val="ar-SA" w:eastAsia="zh-TW" w:bidi="en-GB"/>
              </w:rPr>
            </w:pPr>
            <w:r w:rsidRPr="00555660">
              <w:rPr>
                <w:i/>
                <w:iCs/>
                <w:sz w:val="24"/>
                <w:szCs w:val="24"/>
                <w:rtl/>
              </w:rPr>
              <w:t>الأثر المشترك</w:t>
            </w:r>
          </w:p>
        </w:tc>
      </w:tr>
      <w:tr w:rsidR="00A0227D" w:rsidRPr="00941D50" w14:paraId="60940E65" w14:textId="77777777" w:rsidTr="005310F2">
        <w:tc>
          <w:tcPr>
            <w:tcW w:w="490" w:type="dxa"/>
            <w:tcBorders>
              <w:top w:val="single" w:sz="12" w:space="0" w:color="auto"/>
              <w:bottom w:val="nil"/>
            </w:tcBorders>
            <w:shd w:val="clear" w:color="auto" w:fill="auto"/>
            <w:hideMark/>
          </w:tcPr>
          <w:p w14:paraId="1BAE8397"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2012</w:t>
            </w:r>
          </w:p>
        </w:tc>
        <w:tc>
          <w:tcPr>
            <w:tcW w:w="882" w:type="dxa"/>
            <w:tcBorders>
              <w:top w:val="single" w:sz="12" w:space="0" w:color="auto"/>
              <w:bottom w:val="nil"/>
            </w:tcBorders>
            <w:shd w:val="clear" w:color="auto" w:fill="auto"/>
            <w:vAlign w:val="bottom"/>
            <w:hideMark/>
          </w:tcPr>
          <w:p w14:paraId="10FB07E2"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49</w:t>
            </w:r>
            <w:r w:rsidRPr="00555660">
              <w:rPr>
                <w:rFonts w:ascii="Traditional Arabic"/>
                <w:sz w:val="18"/>
                <w:szCs w:val="18"/>
                <w:rtl/>
              </w:rPr>
              <w:t>,</w:t>
            </w:r>
            <w:r w:rsidRPr="00555660">
              <w:rPr>
                <w:sz w:val="18"/>
                <w:szCs w:val="18"/>
                <w:rtl/>
              </w:rPr>
              <w:t>7</w:t>
            </w:r>
          </w:p>
        </w:tc>
        <w:tc>
          <w:tcPr>
            <w:tcW w:w="1190" w:type="dxa"/>
            <w:tcBorders>
              <w:top w:val="single" w:sz="12" w:space="0" w:color="auto"/>
              <w:bottom w:val="nil"/>
            </w:tcBorders>
            <w:shd w:val="clear" w:color="auto" w:fill="auto"/>
            <w:vAlign w:val="bottom"/>
            <w:hideMark/>
          </w:tcPr>
          <w:p w14:paraId="096A1C48"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31</w:t>
            </w:r>
            <w:r w:rsidRPr="00555660">
              <w:rPr>
                <w:rFonts w:ascii="Traditional Arabic"/>
                <w:sz w:val="18"/>
                <w:szCs w:val="18"/>
                <w:rtl/>
              </w:rPr>
              <w:t>,</w:t>
            </w:r>
            <w:r w:rsidRPr="00555660">
              <w:rPr>
                <w:sz w:val="18"/>
                <w:szCs w:val="18"/>
                <w:rtl/>
              </w:rPr>
              <w:t>5</w:t>
            </w:r>
          </w:p>
        </w:tc>
        <w:tc>
          <w:tcPr>
            <w:tcW w:w="1385" w:type="dxa"/>
            <w:tcBorders>
              <w:top w:val="single" w:sz="12" w:space="0" w:color="auto"/>
              <w:bottom w:val="nil"/>
            </w:tcBorders>
            <w:shd w:val="clear" w:color="auto" w:fill="auto"/>
            <w:vAlign w:val="bottom"/>
            <w:hideMark/>
          </w:tcPr>
          <w:p w14:paraId="46CBABF4"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26</w:t>
            </w:r>
            <w:r w:rsidRPr="00555660">
              <w:rPr>
                <w:rFonts w:ascii="Traditional Arabic"/>
                <w:sz w:val="18"/>
                <w:szCs w:val="18"/>
                <w:rtl/>
              </w:rPr>
              <w:t>,</w:t>
            </w:r>
            <w:r w:rsidRPr="00555660">
              <w:rPr>
                <w:sz w:val="18"/>
                <w:szCs w:val="18"/>
                <w:rtl/>
              </w:rPr>
              <w:t>9</w:t>
            </w:r>
          </w:p>
        </w:tc>
        <w:tc>
          <w:tcPr>
            <w:tcW w:w="1260" w:type="dxa"/>
            <w:tcBorders>
              <w:top w:val="single" w:sz="12" w:space="0" w:color="auto"/>
              <w:bottom w:val="nil"/>
            </w:tcBorders>
            <w:shd w:val="clear" w:color="auto" w:fill="auto"/>
            <w:vAlign w:val="bottom"/>
            <w:hideMark/>
          </w:tcPr>
          <w:p w14:paraId="0E909985"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36</w:t>
            </w:r>
            <w:r w:rsidRPr="00555660">
              <w:rPr>
                <w:rFonts w:ascii="Traditional Arabic"/>
                <w:sz w:val="18"/>
                <w:szCs w:val="18"/>
                <w:rtl/>
              </w:rPr>
              <w:t>,</w:t>
            </w:r>
            <w:r w:rsidRPr="00555660">
              <w:rPr>
                <w:sz w:val="18"/>
                <w:szCs w:val="18"/>
                <w:rtl/>
              </w:rPr>
              <w:t>8</w:t>
            </w:r>
          </w:p>
        </w:tc>
        <w:tc>
          <w:tcPr>
            <w:tcW w:w="1172" w:type="dxa"/>
            <w:tcBorders>
              <w:top w:val="single" w:sz="12" w:space="0" w:color="auto"/>
              <w:bottom w:val="nil"/>
            </w:tcBorders>
            <w:shd w:val="clear" w:color="auto" w:fill="auto"/>
            <w:vAlign w:val="bottom"/>
            <w:hideMark/>
          </w:tcPr>
          <w:p w14:paraId="5C5E29AE"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14</w:t>
            </w:r>
            <w:r w:rsidRPr="00555660">
              <w:rPr>
                <w:rFonts w:ascii="Traditional Arabic"/>
                <w:sz w:val="18"/>
                <w:szCs w:val="18"/>
                <w:rtl/>
              </w:rPr>
              <w:t>,</w:t>
            </w:r>
            <w:r w:rsidRPr="00555660">
              <w:rPr>
                <w:sz w:val="18"/>
                <w:szCs w:val="18"/>
                <w:rtl/>
              </w:rPr>
              <w:t>5</w:t>
            </w:r>
          </w:p>
        </w:tc>
        <w:tc>
          <w:tcPr>
            <w:tcW w:w="830" w:type="dxa"/>
            <w:tcBorders>
              <w:top w:val="single" w:sz="12" w:space="0" w:color="auto"/>
              <w:bottom w:val="nil"/>
            </w:tcBorders>
            <w:shd w:val="clear" w:color="auto" w:fill="auto"/>
            <w:vAlign w:val="bottom"/>
            <w:hideMark/>
          </w:tcPr>
          <w:p w14:paraId="2371D20D"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46</w:t>
            </w:r>
            <w:r w:rsidRPr="00555660">
              <w:rPr>
                <w:rFonts w:ascii="Traditional Arabic"/>
                <w:sz w:val="18"/>
                <w:szCs w:val="18"/>
                <w:rtl/>
              </w:rPr>
              <w:t>,</w:t>
            </w:r>
            <w:r w:rsidRPr="00555660">
              <w:rPr>
                <w:sz w:val="18"/>
                <w:szCs w:val="18"/>
                <w:rtl/>
              </w:rPr>
              <w:t>0</w:t>
            </w:r>
          </w:p>
        </w:tc>
      </w:tr>
      <w:tr w:rsidR="00A0227D" w:rsidRPr="00941D50" w14:paraId="06B89D1A" w14:textId="77777777" w:rsidTr="005310F2">
        <w:tc>
          <w:tcPr>
            <w:tcW w:w="490" w:type="dxa"/>
            <w:tcBorders>
              <w:top w:val="nil"/>
            </w:tcBorders>
            <w:shd w:val="clear" w:color="auto" w:fill="auto"/>
            <w:hideMark/>
          </w:tcPr>
          <w:p w14:paraId="2AF91215"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2013</w:t>
            </w:r>
          </w:p>
        </w:tc>
        <w:tc>
          <w:tcPr>
            <w:tcW w:w="882" w:type="dxa"/>
            <w:tcBorders>
              <w:top w:val="nil"/>
            </w:tcBorders>
            <w:shd w:val="clear" w:color="auto" w:fill="auto"/>
            <w:vAlign w:val="bottom"/>
            <w:hideMark/>
          </w:tcPr>
          <w:p w14:paraId="30377DDB" w14:textId="77777777" w:rsidR="00A0227D" w:rsidRPr="005310F2" w:rsidRDefault="00A0227D" w:rsidP="00555660">
            <w:pPr>
              <w:spacing w:before="20" w:after="40" w:line="300" w:lineRule="exact"/>
              <w:ind w:left="57"/>
              <w:textDirection w:val="tbRlV"/>
              <w:rPr>
                <w:sz w:val="18"/>
                <w:szCs w:val="18"/>
                <w:lang w:eastAsia="zh-TW" w:bidi="en-GB"/>
              </w:rPr>
            </w:pPr>
            <w:r w:rsidRPr="00555660">
              <w:rPr>
                <w:sz w:val="18"/>
                <w:szCs w:val="18"/>
                <w:rtl/>
              </w:rPr>
              <w:t>50</w:t>
            </w:r>
            <w:r w:rsidRPr="00555660">
              <w:rPr>
                <w:rFonts w:ascii="Traditional Arabic"/>
                <w:sz w:val="18"/>
                <w:szCs w:val="18"/>
                <w:rtl/>
              </w:rPr>
              <w:t>,</w:t>
            </w:r>
            <w:r w:rsidRPr="00555660">
              <w:rPr>
                <w:sz w:val="18"/>
                <w:szCs w:val="18"/>
                <w:rtl/>
              </w:rPr>
              <w:t>7</w:t>
            </w:r>
          </w:p>
        </w:tc>
        <w:tc>
          <w:tcPr>
            <w:tcW w:w="1190" w:type="dxa"/>
            <w:tcBorders>
              <w:top w:val="nil"/>
            </w:tcBorders>
            <w:shd w:val="clear" w:color="auto" w:fill="auto"/>
            <w:vAlign w:val="bottom"/>
            <w:hideMark/>
          </w:tcPr>
          <w:p w14:paraId="5BE4064F"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31</w:t>
            </w:r>
            <w:r w:rsidRPr="00555660">
              <w:rPr>
                <w:rFonts w:ascii="Traditional Arabic"/>
                <w:sz w:val="18"/>
                <w:szCs w:val="18"/>
                <w:rtl/>
              </w:rPr>
              <w:t>,</w:t>
            </w:r>
            <w:r w:rsidRPr="00555660">
              <w:rPr>
                <w:sz w:val="18"/>
                <w:szCs w:val="18"/>
                <w:rtl/>
              </w:rPr>
              <w:t>9</w:t>
            </w:r>
          </w:p>
        </w:tc>
        <w:tc>
          <w:tcPr>
            <w:tcW w:w="1385" w:type="dxa"/>
            <w:tcBorders>
              <w:top w:val="nil"/>
            </w:tcBorders>
            <w:shd w:val="clear" w:color="auto" w:fill="auto"/>
            <w:vAlign w:val="bottom"/>
            <w:hideMark/>
          </w:tcPr>
          <w:p w14:paraId="55D2F70A"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27</w:t>
            </w:r>
            <w:r w:rsidRPr="00555660">
              <w:rPr>
                <w:rFonts w:ascii="Traditional Arabic"/>
                <w:sz w:val="18"/>
                <w:szCs w:val="18"/>
                <w:rtl/>
              </w:rPr>
              <w:t>,</w:t>
            </w:r>
            <w:r w:rsidRPr="00555660">
              <w:rPr>
                <w:sz w:val="18"/>
                <w:szCs w:val="18"/>
                <w:rtl/>
              </w:rPr>
              <w:t>2</w:t>
            </w:r>
          </w:p>
        </w:tc>
        <w:tc>
          <w:tcPr>
            <w:tcW w:w="1260" w:type="dxa"/>
            <w:tcBorders>
              <w:top w:val="nil"/>
            </w:tcBorders>
            <w:shd w:val="clear" w:color="auto" w:fill="auto"/>
            <w:vAlign w:val="bottom"/>
            <w:hideMark/>
          </w:tcPr>
          <w:p w14:paraId="195C1B85"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37</w:t>
            </w:r>
            <w:r w:rsidRPr="00555660">
              <w:rPr>
                <w:rFonts w:ascii="Traditional Arabic"/>
                <w:sz w:val="18"/>
                <w:szCs w:val="18"/>
                <w:rtl/>
              </w:rPr>
              <w:t>,</w:t>
            </w:r>
            <w:r w:rsidRPr="00555660">
              <w:rPr>
                <w:sz w:val="18"/>
                <w:szCs w:val="18"/>
                <w:rtl/>
              </w:rPr>
              <w:t>2</w:t>
            </w:r>
          </w:p>
        </w:tc>
        <w:tc>
          <w:tcPr>
            <w:tcW w:w="1172" w:type="dxa"/>
            <w:tcBorders>
              <w:top w:val="nil"/>
            </w:tcBorders>
            <w:shd w:val="clear" w:color="auto" w:fill="auto"/>
            <w:vAlign w:val="bottom"/>
            <w:hideMark/>
          </w:tcPr>
          <w:p w14:paraId="7D986B78"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14</w:t>
            </w:r>
            <w:r w:rsidRPr="00555660">
              <w:rPr>
                <w:rFonts w:ascii="Traditional Arabic"/>
                <w:sz w:val="18"/>
                <w:szCs w:val="18"/>
                <w:rtl/>
              </w:rPr>
              <w:t>,</w:t>
            </w:r>
            <w:r w:rsidRPr="00555660">
              <w:rPr>
                <w:sz w:val="18"/>
                <w:szCs w:val="18"/>
                <w:rtl/>
              </w:rPr>
              <w:t>6</w:t>
            </w:r>
          </w:p>
        </w:tc>
        <w:tc>
          <w:tcPr>
            <w:tcW w:w="830" w:type="dxa"/>
            <w:tcBorders>
              <w:top w:val="nil"/>
            </w:tcBorders>
            <w:shd w:val="clear" w:color="auto" w:fill="auto"/>
            <w:vAlign w:val="bottom"/>
            <w:hideMark/>
          </w:tcPr>
          <w:p w14:paraId="5B5FD699"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46</w:t>
            </w:r>
            <w:r w:rsidRPr="00555660">
              <w:rPr>
                <w:rFonts w:ascii="Traditional Arabic"/>
                <w:sz w:val="18"/>
                <w:szCs w:val="18"/>
                <w:rtl/>
              </w:rPr>
              <w:t>,</w:t>
            </w:r>
            <w:r w:rsidRPr="00555660">
              <w:rPr>
                <w:sz w:val="18"/>
                <w:szCs w:val="18"/>
                <w:rtl/>
              </w:rPr>
              <w:t>3</w:t>
            </w:r>
          </w:p>
        </w:tc>
      </w:tr>
      <w:tr w:rsidR="00A0227D" w:rsidRPr="00941D50" w14:paraId="2A47C606" w14:textId="77777777" w:rsidTr="00A355F3">
        <w:tc>
          <w:tcPr>
            <w:tcW w:w="490" w:type="dxa"/>
            <w:shd w:val="clear" w:color="auto" w:fill="auto"/>
            <w:hideMark/>
          </w:tcPr>
          <w:p w14:paraId="736FA909"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2014</w:t>
            </w:r>
          </w:p>
        </w:tc>
        <w:tc>
          <w:tcPr>
            <w:tcW w:w="882" w:type="dxa"/>
            <w:shd w:val="clear" w:color="auto" w:fill="auto"/>
            <w:vAlign w:val="bottom"/>
            <w:hideMark/>
          </w:tcPr>
          <w:p w14:paraId="1DB4C01F"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51</w:t>
            </w:r>
            <w:r w:rsidRPr="00555660">
              <w:rPr>
                <w:rFonts w:ascii="Traditional Arabic"/>
                <w:sz w:val="18"/>
                <w:szCs w:val="18"/>
                <w:rtl/>
              </w:rPr>
              <w:t>,</w:t>
            </w:r>
            <w:r w:rsidRPr="00555660">
              <w:rPr>
                <w:sz w:val="18"/>
                <w:szCs w:val="18"/>
                <w:rtl/>
              </w:rPr>
              <w:t>1</w:t>
            </w:r>
          </w:p>
        </w:tc>
        <w:tc>
          <w:tcPr>
            <w:tcW w:w="1190" w:type="dxa"/>
            <w:shd w:val="clear" w:color="auto" w:fill="auto"/>
            <w:vAlign w:val="bottom"/>
            <w:hideMark/>
          </w:tcPr>
          <w:p w14:paraId="3A3B36DC"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31</w:t>
            </w:r>
            <w:r w:rsidRPr="00555660">
              <w:rPr>
                <w:rFonts w:ascii="Traditional Arabic"/>
                <w:sz w:val="18"/>
                <w:szCs w:val="18"/>
                <w:rtl/>
              </w:rPr>
              <w:t>,</w:t>
            </w:r>
            <w:r w:rsidRPr="00555660">
              <w:rPr>
                <w:sz w:val="18"/>
                <w:szCs w:val="18"/>
                <w:rtl/>
              </w:rPr>
              <w:t>8</w:t>
            </w:r>
          </w:p>
        </w:tc>
        <w:tc>
          <w:tcPr>
            <w:tcW w:w="1385" w:type="dxa"/>
            <w:shd w:val="clear" w:color="auto" w:fill="auto"/>
            <w:vAlign w:val="bottom"/>
            <w:hideMark/>
          </w:tcPr>
          <w:p w14:paraId="0CB46859"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27</w:t>
            </w:r>
            <w:r w:rsidRPr="00555660">
              <w:rPr>
                <w:rFonts w:ascii="Traditional Arabic"/>
                <w:sz w:val="18"/>
                <w:szCs w:val="18"/>
                <w:rtl/>
              </w:rPr>
              <w:t>,</w:t>
            </w:r>
            <w:r w:rsidRPr="00555660">
              <w:rPr>
                <w:sz w:val="18"/>
                <w:szCs w:val="18"/>
                <w:rtl/>
              </w:rPr>
              <w:t>0</w:t>
            </w:r>
          </w:p>
        </w:tc>
        <w:tc>
          <w:tcPr>
            <w:tcW w:w="1260" w:type="dxa"/>
            <w:shd w:val="clear" w:color="auto" w:fill="auto"/>
            <w:vAlign w:val="bottom"/>
            <w:hideMark/>
          </w:tcPr>
          <w:p w14:paraId="0013CA52"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37</w:t>
            </w:r>
            <w:r w:rsidRPr="00555660">
              <w:rPr>
                <w:rFonts w:ascii="Traditional Arabic"/>
                <w:sz w:val="18"/>
                <w:szCs w:val="18"/>
                <w:rtl/>
              </w:rPr>
              <w:t>,</w:t>
            </w:r>
            <w:r w:rsidRPr="00555660">
              <w:rPr>
                <w:sz w:val="18"/>
                <w:szCs w:val="18"/>
                <w:rtl/>
              </w:rPr>
              <w:t>7</w:t>
            </w:r>
          </w:p>
        </w:tc>
        <w:tc>
          <w:tcPr>
            <w:tcW w:w="1172" w:type="dxa"/>
            <w:shd w:val="clear" w:color="auto" w:fill="auto"/>
            <w:vAlign w:val="bottom"/>
            <w:hideMark/>
          </w:tcPr>
          <w:p w14:paraId="124550CF"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15</w:t>
            </w:r>
            <w:r w:rsidRPr="00555660">
              <w:rPr>
                <w:rFonts w:ascii="Traditional Arabic"/>
                <w:sz w:val="18"/>
                <w:szCs w:val="18"/>
                <w:rtl/>
              </w:rPr>
              <w:t>,</w:t>
            </w:r>
            <w:r w:rsidRPr="00555660">
              <w:rPr>
                <w:sz w:val="18"/>
                <w:szCs w:val="18"/>
                <w:rtl/>
              </w:rPr>
              <w:t>0</w:t>
            </w:r>
          </w:p>
        </w:tc>
        <w:tc>
          <w:tcPr>
            <w:tcW w:w="830" w:type="dxa"/>
            <w:shd w:val="clear" w:color="auto" w:fill="auto"/>
            <w:vAlign w:val="bottom"/>
            <w:hideMark/>
          </w:tcPr>
          <w:p w14:paraId="0839BE57"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47</w:t>
            </w:r>
            <w:r w:rsidRPr="00555660">
              <w:rPr>
                <w:rFonts w:ascii="Traditional Arabic"/>
                <w:sz w:val="18"/>
                <w:szCs w:val="18"/>
                <w:rtl/>
              </w:rPr>
              <w:t>,</w:t>
            </w:r>
            <w:r w:rsidRPr="00555660">
              <w:rPr>
                <w:sz w:val="18"/>
                <w:szCs w:val="18"/>
                <w:rtl/>
              </w:rPr>
              <w:t>1</w:t>
            </w:r>
          </w:p>
        </w:tc>
      </w:tr>
      <w:tr w:rsidR="00A0227D" w:rsidRPr="00941D50" w14:paraId="4C8C3828" w14:textId="77777777" w:rsidTr="00A355F3">
        <w:tc>
          <w:tcPr>
            <w:tcW w:w="490" w:type="dxa"/>
            <w:shd w:val="clear" w:color="auto" w:fill="auto"/>
            <w:hideMark/>
          </w:tcPr>
          <w:p w14:paraId="1E84A13A"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2015</w:t>
            </w:r>
          </w:p>
        </w:tc>
        <w:tc>
          <w:tcPr>
            <w:tcW w:w="882" w:type="dxa"/>
            <w:shd w:val="clear" w:color="auto" w:fill="auto"/>
            <w:vAlign w:val="bottom"/>
            <w:hideMark/>
          </w:tcPr>
          <w:p w14:paraId="6129F58D"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51</w:t>
            </w:r>
            <w:r w:rsidRPr="00555660">
              <w:rPr>
                <w:rFonts w:ascii="Traditional Arabic"/>
                <w:sz w:val="18"/>
                <w:szCs w:val="18"/>
                <w:rtl/>
              </w:rPr>
              <w:t>,</w:t>
            </w:r>
            <w:r w:rsidRPr="00555660">
              <w:rPr>
                <w:sz w:val="18"/>
                <w:szCs w:val="18"/>
                <w:rtl/>
              </w:rPr>
              <w:t>9</w:t>
            </w:r>
          </w:p>
        </w:tc>
        <w:tc>
          <w:tcPr>
            <w:tcW w:w="1190" w:type="dxa"/>
            <w:shd w:val="clear" w:color="auto" w:fill="auto"/>
            <w:vAlign w:val="bottom"/>
            <w:hideMark/>
          </w:tcPr>
          <w:p w14:paraId="21BE0701"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32</w:t>
            </w:r>
            <w:r w:rsidRPr="00555660">
              <w:rPr>
                <w:rFonts w:ascii="Traditional Arabic"/>
                <w:sz w:val="18"/>
                <w:szCs w:val="18"/>
                <w:rtl/>
              </w:rPr>
              <w:t>,</w:t>
            </w:r>
            <w:r w:rsidRPr="00555660">
              <w:rPr>
                <w:sz w:val="18"/>
                <w:szCs w:val="18"/>
                <w:rtl/>
              </w:rPr>
              <w:t>3</w:t>
            </w:r>
          </w:p>
        </w:tc>
        <w:tc>
          <w:tcPr>
            <w:tcW w:w="1385" w:type="dxa"/>
            <w:shd w:val="clear" w:color="auto" w:fill="auto"/>
            <w:vAlign w:val="bottom"/>
            <w:hideMark/>
          </w:tcPr>
          <w:p w14:paraId="121F709B"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27</w:t>
            </w:r>
            <w:r w:rsidRPr="00555660">
              <w:rPr>
                <w:rFonts w:ascii="Traditional Arabic"/>
                <w:sz w:val="18"/>
                <w:szCs w:val="18"/>
                <w:rtl/>
              </w:rPr>
              <w:t>,</w:t>
            </w:r>
            <w:r w:rsidRPr="00555660">
              <w:rPr>
                <w:sz w:val="18"/>
                <w:szCs w:val="18"/>
                <w:rtl/>
              </w:rPr>
              <w:t>3</w:t>
            </w:r>
          </w:p>
        </w:tc>
        <w:tc>
          <w:tcPr>
            <w:tcW w:w="1260" w:type="dxa"/>
            <w:shd w:val="clear" w:color="auto" w:fill="auto"/>
            <w:vAlign w:val="bottom"/>
            <w:hideMark/>
          </w:tcPr>
          <w:p w14:paraId="5B2FA979"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37</w:t>
            </w:r>
            <w:r w:rsidRPr="00555660">
              <w:rPr>
                <w:rFonts w:ascii="Traditional Arabic"/>
                <w:sz w:val="18"/>
                <w:szCs w:val="18"/>
                <w:rtl/>
              </w:rPr>
              <w:t>,</w:t>
            </w:r>
            <w:r w:rsidRPr="00555660">
              <w:rPr>
                <w:sz w:val="18"/>
                <w:szCs w:val="18"/>
                <w:rtl/>
              </w:rPr>
              <w:t>8</w:t>
            </w:r>
          </w:p>
        </w:tc>
        <w:tc>
          <w:tcPr>
            <w:tcW w:w="1172" w:type="dxa"/>
            <w:shd w:val="clear" w:color="auto" w:fill="auto"/>
            <w:vAlign w:val="bottom"/>
            <w:hideMark/>
          </w:tcPr>
          <w:p w14:paraId="4E856584"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15</w:t>
            </w:r>
            <w:r w:rsidRPr="00555660">
              <w:rPr>
                <w:rFonts w:ascii="Traditional Arabic"/>
                <w:sz w:val="18"/>
                <w:szCs w:val="18"/>
                <w:rtl/>
              </w:rPr>
              <w:t>,</w:t>
            </w:r>
            <w:r w:rsidRPr="00555660">
              <w:rPr>
                <w:sz w:val="18"/>
                <w:szCs w:val="18"/>
                <w:rtl/>
              </w:rPr>
              <w:t>4</w:t>
            </w:r>
          </w:p>
        </w:tc>
        <w:tc>
          <w:tcPr>
            <w:tcW w:w="830" w:type="dxa"/>
            <w:shd w:val="clear" w:color="auto" w:fill="auto"/>
            <w:vAlign w:val="bottom"/>
            <w:hideMark/>
          </w:tcPr>
          <w:p w14:paraId="6E945BA2"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47</w:t>
            </w:r>
            <w:r w:rsidRPr="00555660">
              <w:rPr>
                <w:rFonts w:ascii="Traditional Arabic"/>
                <w:sz w:val="18"/>
                <w:szCs w:val="18"/>
                <w:rtl/>
              </w:rPr>
              <w:t>,</w:t>
            </w:r>
            <w:r w:rsidRPr="00555660">
              <w:rPr>
                <w:sz w:val="18"/>
                <w:szCs w:val="18"/>
                <w:rtl/>
              </w:rPr>
              <w:t>4</w:t>
            </w:r>
          </w:p>
        </w:tc>
      </w:tr>
      <w:tr w:rsidR="00A0227D" w:rsidRPr="00941D50" w14:paraId="1F0249A4" w14:textId="77777777" w:rsidTr="00A355F3">
        <w:tc>
          <w:tcPr>
            <w:tcW w:w="490" w:type="dxa"/>
            <w:tcBorders>
              <w:bottom w:val="nil"/>
            </w:tcBorders>
            <w:shd w:val="clear" w:color="auto" w:fill="auto"/>
            <w:hideMark/>
          </w:tcPr>
          <w:p w14:paraId="3A533C5C"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2016</w:t>
            </w:r>
          </w:p>
        </w:tc>
        <w:tc>
          <w:tcPr>
            <w:tcW w:w="882" w:type="dxa"/>
            <w:tcBorders>
              <w:bottom w:val="nil"/>
            </w:tcBorders>
            <w:shd w:val="clear" w:color="auto" w:fill="auto"/>
            <w:vAlign w:val="bottom"/>
            <w:hideMark/>
          </w:tcPr>
          <w:p w14:paraId="263F697E"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52</w:t>
            </w:r>
            <w:r w:rsidRPr="00555660">
              <w:rPr>
                <w:rFonts w:ascii="Traditional Arabic"/>
                <w:sz w:val="18"/>
                <w:szCs w:val="18"/>
                <w:rtl/>
              </w:rPr>
              <w:t>,</w:t>
            </w:r>
            <w:r w:rsidRPr="00555660">
              <w:rPr>
                <w:sz w:val="18"/>
                <w:szCs w:val="18"/>
                <w:rtl/>
              </w:rPr>
              <w:t>0</w:t>
            </w:r>
          </w:p>
        </w:tc>
        <w:tc>
          <w:tcPr>
            <w:tcW w:w="1190" w:type="dxa"/>
            <w:tcBorders>
              <w:bottom w:val="nil"/>
            </w:tcBorders>
            <w:shd w:val="clear" w:color="auto" w:fill="auto"/>
            <w:vAlign w:val="bottom"/>
            <w:hideMark/>
          </w:tcPr>
          <w:p w14:paraId="69BED8F8"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32</w:t>
            </w:r>
            <w:r w:rsidRPr="00555660">
              <w:rPr>
                <w:rFonts w:ascii="Traditional Arabic"/>
                <w:sz w:val="18"/>
                <w:szCs w:val="18"/>
                <w:rtl/>
              </w:rPr>
              <w:t>,</w:t>
            </w:r>
            <w:r w:rsidRPr="00555660">
              <w:rPr>
                <w:sz w:val="18"/>
                <w:szCs w:val="18"/>
                <w:rtl/>
              </w:rPr>
              <w:t>3</w:t>
            </w:r>
          </w:p>
        </w:tc>
        <w:tc>
          <w:tcPr>
            <w:tcW w:w="1385" w:type="dxa"/>
            <w:tcBorders>
              <w:bottom w:val="nil"/>
            </w:tcBorders>
            <w:shd w:val="clear" w:color="auto" w:fill="auto"/>
            <w:vAlign w:val="bottom"/>
            <w:hideMark/>
          </w:tcPr>
          <w:p w14:paraId="599685E6"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27</w:t>
            </w:r>
            <w:r w:rsidRPr="00555660">
              <w:rPr>
                <w:rFonts w:ascii="Traditional Arabic"/>
                <w:sz w:val="18"/>
                <w:szCs w:val="18"/>
                <w:rtl/>
              </w:rPr>
              <w:t>,</w:t>
            </w:r>
            <w:r w:rsidRPr="00555660">
              <w:rPr>
                <w:sz w:val="18"/>
                <w:szCs w:val="18"/>
                <w:rtl/>
              </w:rPr>
              <w:t>2</w:t>
            </w:r>
          </w:p>
        </w:tc>
        <w:tc>
          <w:tcPr>
            <w:tcW w:w="1260" w:type="dxa"/>
            <w:tcBorders>
              <w:bottom w:val="nil"/>
            </w:tcBorders>
            <w:shd w:val="clear" w:color="auto" w:fill="auto"/>
            <w:vAlign w:val="bottom"/>
            <w:hideMark/>
          </w:tcPr>
          <w:p w14:paraId="7E9BA04B"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37</w:t>
            </w:r>
            <w:r w:rsidRPr="00555660">
              <w:rPr>
                <w:rFonts w:ascii="Traditional Arabic"/>
                <w:sz w:val="18"/>
                <w:szCs w:val="18"/>
                <w:rtl/>
              </w:rPr>
              <w:t>,</w:t>
            </w:r>
            <w:r w:rsidRPr="00555660">
              <w:rPr>
                <w:sz w:val="18"/>
                <w:szCs w:val="18"/>
                <w:rtl/>
              </w:rPr>
              <w:t>9</w:t>
            </w:r>
          </w:p>
        </w:tc>
        <w:tc>
          <w:tcPr>
            <w:tcW w:w="1172" w:type="dxa"/>
            <w:tcBorders>
              <w:bottom w:val="nil"/>
            </w:tcBorders>
            <w:shd w:val="clear" w:color="auto" w:fill="auto"/>
            <w:vAlign w:val="bottom"/>
            <w:hideMark/>
          </w:tcPr>
          <w:p w14:paraId="336151FC"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15</w:t>
            </w:r>
            <w:r w:rsidRPr="00555660">
              <w:rPr>
                <w:rFonts w:ascii="Traditional Arabic"/>
                <w:sz w:val="18"/>
                <w:szCs w:val="18"/>
                <w:rtl/>
              </w:rPr>
              <w:t>,</w:t>
            </w:r>
            <w:r w:rsidRPr="00555660">
              <w:rPr>
                <w:sz w:val="18"/>
                <w:szCs w:val="18"/>
                <w:rtl/>
              </w:rPr>
              <w:t>8</w:t>
            </w:r>
          </w:p>
        </w:tc>
        <w:tc>
          <w:tcPr>
            <w:tcW w:w="830" w:type="dxa"/>
            <w:tcBorders>
              <w:bottom w:val="nil"/>
            </w:tcBorders>
            <w:shd w:val="clear" w:color="auto" w:fill="auto"/>
            <w:vAlign w:val="bottom"/>
            <w:hideMark/>
          </w:tcPr>
          <w:p w14:paraId="37930A63"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47</w:t>
            </w:r>
            <w:r w:rsidRPr="00555660">
              <w:rPr>
                <w:rFonts w:ascii="Traditional Arabic"/>
                <w:sz w:val="18"/>
                <w:szCs w:val="18"/>
                <w:rtl/>
              </w:rPr>
              <w:t>,</w:t>
            </w:r>
            <w:r w:rsidRPr="00555660">
              <w:rPr>
                <w:sz w:val="18"/>
                <w:szCs w:val="18"/>
                <w:rtl/>
              </w:rPr>
              <w:t>7</w:t>
            </w:r>
          </w:p>
        </w:tc>
      </w:tr>
      <w:tr w:rsidR="00A0227D" w:rsidRPr="00941D50" w14:paraId="5EC9C07A" w14:textId="77777777" w:rsidTr="00A355F3">
        <w:tc>
          <w:tcPr>
            <w:tcW w:w="490" w:type="dxa"/>
            <w:tcBorders>
              <w:top w:val="nil"/>
              <w:bottom w:val="single" w:sz="12" w:space="0" w:color="auto"/>
            </w:tcBorders>
            <w:shd w:val="clear" w:color="auto" w:fill="auto"/>
            <w:hideMark/>
          </w:tcPr>
          <w:p w14:paraId="35CFCB9B" w14:textId="77777777" w:rsidR="00A0227D" w:rsidRPr="00555660" w:rsidRDefault="00A0227D" w:rsidP="00555660">
            <w:pPr>
              <w:spacing w:before="20" w:after="40" w:line="300" w:lineRule="exact"/>
              <w:ind w:left="57"/>
              <w:textDirection w:val="tbRlV"/>
              <w:rPr>
                <w:bCs/>
                <w:sz w:val="18"/>
                <w:szCs w:val="18"/>
                <w:lang w:val="ar-SA" w:eastAsia="zh-TW" w:bidi="en-GB"/>
              </w:rPr>
            </w:pPr>
            <w:r w:rsidRPr="00555660">
              <w:rPr>
                <w:sz w:val="18"/>
                <w:szCs w:val="18"/>
                <w:rtl/>
              </w:rPr>
              <w:t>2017</w:t>
            </w:r>
          </w:p>
        </w:tc>
        <w:tc>
          <w:tcPr>
            <w:tcW w:w="882" w:type="dxa"/>
            <w:tcBorders>
              <w:top w:val="nil"/>
              <w:bottom w:val="single" w:sz="12" w:space="0" w:color="auto"/>
            </w:tcBorders>
            <w:shd w:val="clear" w:color="auto" w:fill="auto"/>
            <w:vAlign w:val="bottom"/>
            <w:hideMark/>
          </w:tcPr>
          <w:p w14:paraId="7FC2C788"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52</w:t>
            </w:r>
            <w:r w:rsidRPr="00555660">
              <w:rPr>
                <w:rFonts w:ascii="Traditional Arabic"/>
                <w:sz w:val="18"/>
                <w:szCs w:val="18"/>
                <w:rtl/>
              </w:rPr>
              <w:t>,</w:t>
            </w:r>
            <w:r w:rsidRPr="00555660">
              <w:rPr>
                <w:sz w:val="18"/>
                <w:szCs w:val="18"/>
                <w:rtl/>
              </w:rPr>
              <w:t>3</w:t>
            </w:r>
          </w:p>
        </w:tc>
        <w:tc>
          <w:tcPr>
            <w:tcW w:w="1190" w:type="dxa"/>
            <w:tcBorders>
              <w:top w:val="nil"/>
              <w:bottom w:val="single" w:sz="12" w:space="0" w:color="auto"/>
            </w:tcBorders>
            <w:shd w:val="clear" w:color="auto" w:fill="auto"/>
            <w:vAlign w:val="bottom"/>
            <w:hideMark/>
          </w:tcPr>
          <w:p w14:paraId="6E6D9E85"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32</w:t>
            </w:r>
            <w:r w:rsidRPr="00555660">
              <w:rPr>
                <w:rFonts w:ascii="Traditional Arabic"/>
                <w:sz w:val="18"/>
                <w:szCs w:val="18"/>
                <w:rtl/>
              </w:rPr>
              <w:t>,</w:t>
            </w:r>
            <w:r w:rsidRPr="00555660">
              <w:rPr>
                <w:sz w:val="18"/>
                <w:szCs w:val="18"/>
                <w:rtl/>
              </w:rPr>
              <w:t>7</w:t>
            </w:r>
          </w:p>
        </w:tc>
        <w:tc>
          <w:tcPr>
            <w:tcW w:w="1385" w:type="dxa"/>
            <w:tcBorders>
              <w:top w:val="nil"/>
              <w:bottom w:val="single" w:sz="12" w:space="0" w:color="auto"/>
            </w:tcBorders>
            <w:shd w:val="clear" w:color="auto" w:fill="auto"/>
            <w:vAlign w:val="bottom"/>
            <w:hideMark/>
          </w:tcPr>
          <w:p w14:paraId="7E6746BA"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27</w:t>
            </w:r>
            <w:r w:rsidRPr="00555660">
              <w:rPr>
                <w:rFonts w:ascii="Traditional Arabic"/>
                <w:sz w:val="18"/>
                <w:szCs w:val="18"/>
                <w:rtl/>
              </w:rPr>
              <w:t>,</w:t>
            </w:r>
            <w:r w:rsidRPr="00555660">
              <w:rPr>
                <w:sz w:val="18"/>
                <w:szCs w:val="18"/>
                <w:rtl/>
              </w:rPr>
              <w:t>7</w:t>
            </w:r>
          </w:p>
        </w:tc>
        <w:tc>
          <w:tcPr>
            <w:tcW w:w="1260" w:type="dxa"/>
            <w:tcBorders>
              <w:top w:val="nil"/>
              <w:bottom w:val="single" w:sz="12" w:space="0" w:color="auto"/>
            </w:tcBorders>
            <w:shd w:val="clear" w:color="auto" w:fill="auto"/>
            <w:vAlign w:val="bottom"/>
            <w:hideMark/>
          </w:tcPr>
          <w:p w14:paraId="5B115BDC"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37</w:t>
            </w:r>
            <w:r w:rsidRPr="00555660">
              <w:rPr>
                <w:rFonts w:ascii="Traditional Arabic"/>
                <w:sz w:val="18"/>
                <w:szCs w:val="18"/>
                <w:rtl/>
              </w:rPr>
              <w:t>,</w:t>
            </w:r>
            <w:r w:rsidRPr="00555660">
              <w:rPr>
                <w:sz w:val="18"/>
                <w:szCs w:val="18"/>
                <w:rtl/>
              </w:rPr>
              <w:t>4</w:t>
            </w:r>
          </w:p>
        </w:tc>
        <w:tc>
          <w:tcPr>
            <w:tcW w:w="1172" w:type="dxa"/>
            <w:tcBorders>
              <w:top w:val="nil"/>
              <w:bottom w:val="single" w:sz="12" w:space="0" w:color="auto"/>
            </w:tcBorders>
            <w:shd w:val="clear" w:color="auto" w:fill="auto"/>
            <w:vAlign w:val="bottom"/>
            <w:hideMark/>
          </w:tcPr>
          <w:p w14:paraId="43FDDE5D"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15</w:t>
            </w:r>
            <w:r w:rsidRPr="00555660">
              <w:rPr>
                <w:rFonts w:ascii="Traditional Arabic"/>
                <w:sz w:val="18"/>
                <w:szCs w:val="18"/>
                <w:rtl/>
              </w:rPr>
              <w:t>,</w:t>
            </w:r>
            <w:r w:rsidRPr="00555660">
              <w:rPr>
                <w:sz w:val="18"/>
                <w:szCs w:val="18"/>
                <w:rtl/>
              </w:rPr>
              <w:t>4</w:t>
            </w:r>
          </w:p>
        </w:tc>
        <w:tc>
          <w:tcPr>
            <w:tcW w:w="830" w:type="dxa"/>
            <w:tcBorders>
              <w:top w:val="nil"/>
              <w:bottom w:val="single" w:sz="12" w:space="0" w:color="auto"/>
            </w:tcBorders>
            <w:shd w:val="clear" w:color="auto" w:fill="auto"/>
            <w:vAlign w:val="bottom"/>
            <w:hideMark/>
          </w:tcPr>
          <w:p w14:paraId="7D486EA6" w14:textId="77777777" w:rsidR="00A0227D" w:rsidRPr="00555660" w:rsidRDefault="00A0227D" w:rsidP="00555660">
            <w:pPr>
              <w:spacing w:before="20" w:after="40" w:line="300" w:lineRule="exact"/>
              <w:ind w:left="57"/>
              <w:textDirection w:val="tbRlV"/>
              <w:rPr>
                <w:sz w:val="18"/>
                <w:szCs w:val="18"/>
                <w:lang w:val="ar-SA" w:eastAsia="zh-TW" w:bidi="en-GB"/>
              </w:rPr>
            </w:pPr>
            <w:r w:rsidRPr="00555660">
              <w:rPr>
                <w:sz w:val="18"/>
                <w:szCs w:val="18"/>
                <w:rtl/>
              </w:rPr>
              <w:t>47</w:t>
            </w:r>
            <w:r w:rsidRPr="00555660">
              <w:rPr>
                <w:rFonts w:ascii="Traditional Arabic"/>
                <w:sz w:val="18"/>
                <w:szCs w:val="18"/>
                <w:rtl/>
              </w:rPr>
              <w:t>,</w:t>
            </w:r>
            <w:r w:rsidRPr="00555660">
              <w:rPr>
                <w:sz w:val="18"/>
                <w:szCs w:val="18"/>
                <w:rtl/>
              </w:rPr>
              <w:t>0</w:t>
            </w:r>
          </w:p>
        </w:tc>
      </w:tr>
    </w:tbl>
    <w:p w14:paraId="7CE9F0FE" w14:textId="77777777" w:rsidR="00A0227D" w:rsidRPr="00555660" w:rsidRDefault="00A0227D" w:rsidP="0016371A">
      <w:pPr>
        <w:pStyle w:val="SingleTxtGA"/>
        <w:rPr>
          <w:sz w:val="26"/>
          <w:szCs w:val="26"/>
          <w:lang w:eastAsia="zh-TW" w:bidi="en-GB"/>
        </w:rPr>
      </w:pPr>
      <w:r w:rsidRPr="00555660">
        <w:rPr>
          <w:i/>
          <w:iCs/>
          <w:sz w:val="26"/>
          <w:szCs w:val="26"/>
          <w:rtl/>
        </w:rPr>
        <w:t>المصدر</w:t>
      </w:r>
      <w:r w:rsidRPr="00BB79C1">
        <w:rPr>
          <w:rtl/>
        </w:rPr>
        <w:t>:</w:t>
      </w:r>
      <w:r w:rsidRPr="00555660">
        <w:rPr>
          <w:sz w:val="26"/>
          <w:szCs w:val="26"/>
          <w:rtl/>
        </w:rPr>
        <w:t xml:space="preserve"> إحصاءات فنلندا، إجمالي الإحصاءات المتعلقة بتوزع الدخل </w:t>
      </w:r>
      <w:r w:rsidRPr="00555660">
        <w:rPr>
          <w:sz w:val="18"/>
          <w:szCs w:val="18"/>
          <w:rtl/>
        </w:rPr>
        <w:t>2017</w:t>
      </w:r>
      <w:r w:rsidRPr="00555660">
        <w:rPr>
          <w:sz w:val="26"/>
          <w:szCs w:val="26"/>
          <w:rtl/>
        </w:rPr>
        <w:t>، قاعدة بيانات إحصاءات فنلندا.</w:t>
      </w:r>
    </w:p>
    <w:p w14:paraId="35CF36F6" w14:textId="7181C425" w:rsidR="00A0227D" w:rsidRPr="0016371A" w:rsidRDefault="0016371A" w:rsidP="0016371A">
      <w:pPr>
        <w:pStyle w:val="H23GA"/>
        <w:rPr>
          <w:szCs w:val="20"/>
          <w:lang w:eastAsia="zh-TW" w:bidi="en-GB"/>
        </w:rPr>
      </w:pPr>
      <w:bookmarkStart w:id="16" w:name="_Toc32364281"/>
      <w:r>
        <w:rPr>
          <w:rtl/>
        </w:rPr>
        <w:lastRenderedPageBreak/>
        <w:tab/>
      </w:r>
      <w:r w:rsidR="00A0227D" w:rsidRPr="00794E95">
        <w:rPr>
          <w:rtl/>
        </w:rPr>
        <w:t>(</w:t>
      </w:r>
      <w:r w:rsidR="00A0227D">
        <w:rPr>
          <w:rtl/>
        </w:rPr>
        <w:t>ج</w:t>
      </w:r>
      <w:r w:rsidR="00A0227D" w:rsidRPr="00794E95">
        <w:rPr>
          <w:rtl/>
        </w:rPr>
        <w:t>)</w:t>
      </w:r>
      <w:r w:rsidR="00A0227D">
        <w:rPr>
          <w:rtl/>
        </w:rPr>
        <w:tab/>
        <w:t>الصحة</w:t>
      </w:r>
      <w:bookmarkEnd w:id="16"/>
    </w:p>
    <w:p w14:paraId="697C4A6A" w14:textId="77777777" w:rsidR="00A0227D" w:rsidRPr="005310F2" w:rsidRDefault="00A0227D" w:rsidP="0016371A">
      <w:pPr>
        <w:pStyle w:val="H23GA"/>
        <w:rPr>
          <w:szCs w:val="20"/>
          <w:lang w:eastAsia="zh-TW" w:bidi="en-GB"/>
        </w:rPr>
      </w:pPr>
      <w:bookmarkStart w:id="17" w:name="_Toc32364282"/>
      <w:r>
        <w:rPr>
          <w:rtl/>
        </w:rPr>
        <w:tab/>
      </w:r>
      <w:r>
        <w:rPr>
          <w:rtl/>
        </w:rPr>
        <w:tab/>
        <w:t>الخدمات الصحية</w:t>
      </w:r>
      <w:bookmarkEnd w:id="17"/>
    </w:p>
    <w:p w14:paraId="603FB68C" w14:textId="44BD82F7" w:rsidR="00A0227D" w:rsidRPr="009B1F51" w:rsidRDefault="00A0227D" w:rsidP="0016371A">
      <w:pPr>
        <w:pStyle w:val="SingleTxtGA"/>
        <w:rPr>
          <w:szCs w:val="20"/>
          <w:lang w:val="ar-SA" w:eastAsia="zh-TW" w:bidi="en-GB"/>
        </w:rPr>
      </w:pPr>
      <w:r w:rsidRPr="005C19F0">
        <w:rPr>
          <w:szCs w:val="20"/>
          <w:rtl/>
        </w:rPr>
        <w:t>64</w:t>
      </w:r>
      <w:r w:rsidRPr="00EF3655">
        <w:rPr>
          <w:rtl/>
        </w:rPr>
        <w:t>-</w:t>
      </w:r>
      <w:r>
        <w:rPr>
          <w:rtl/>
        </w:rPr>
        <w:tab/>
        <w:t xml:space="preserve">تتمثل الأهداف الرئيسية من السياسة الصحية في فنلندا في تعزيز الصحة والوقاية من الأمراض. وتقع مسؤولية السياسة الاجتماعية والصحية وما يتصل بها من صياغة </w:t>
      </w:r>
      <w:r>
        <w:rPr>
          <w:rtl/>
          <w:lang w:val="fr-CH"/>
        </w:rPr>
        <w:t>ال</w:t>
      </w:r>
      <w:r>
        <w:rPr>
          <w:rtl/>
        </w:rPr>
        <w:t>تشريعات على عاتق وزارة الشؤون الاجتماعية والصحة. وتشمل المشاريع الصحية الرئيسية الحالية إصلاح هيكل الخدمات في خدمات الرفاه الاجتماعي والرعاية الصحية والخطة الإنمائية الوطنية للرفاه</w:t>
      </w:r>
      <w:r w:rsidR="00507B18">
        <w:rPr>
          <w:rtl/>
        </w:rPr>
        <w:t xml:space="preserve"> </w:t>
      </w:r>
      <w:r>
        <w:rPr>
          <w:rtl/>
        </w:rPr>
        <w:t xml:space="preserve">الاجتماعي والرعاية الصحية </w:t>
      </w:r>
      <w:r w:rsidRPr="00794E95">
        <w:rPr>
          <w:rtl/>
        </w:rPr>
        <w:t>(</w:t>
      </w:r>
      <w:r>
        <w:rPr>
          <w:rtl/>
        </w:rPr>
        <w:t>برنامج كاست</w:t>
      </w:r>
      <w:r w:rsidRPr="00794E95">
        <w:rPr>
          <w:rtl/>
        </w:rPr>
        <w:t>)</w:t>
      </w:r>
      <w:r>
        <w:rPr>
          <w:rtl/>
        </w:rPr>
        <w:t>.</w:t>
      </w:r>
    </w:p>
    <w:p w14:paraId="074B043C" w14:textId="77777777" w:rsidR="00A0227D" w:rsidRPr="00C726A7" w:rsidRDefault="00A0227D" w:rsidP="0016371A">
      <w:pPr>
        <w:pStyle w:val="SingleTxtGA"/>
        <w:rPr>
          <w:szCs w:val="20"/>
          <w:lang w:eastAsia="zh-TW"/>
        </w:rPr>
      </w:pPr>
      <w:r w:rsidRPr="005C19F0">
        <w:rPr>
          <w:szCs w:val="20"/>
          <w:rtl/>
        </w:rPr>
        <w:t>65</w:t>
      </w:r>
      <w:r w:rsidRPr="00EF3655">
        <w:rPr>
          <w:rtl/>
        </w:rPr>
        <w:t>-</w:t>
      </w:r>
      <w:r>
        <w:rPr>
          <w:rtl/>
        </w:rPr>
        <w:tab/>
        <w:t>ويحق لكل فرد في فنلندا الحصول على الخدمات الصحية والاجتماعية المناسبة. ويشكل نظام الرفاه الاجتماعي والرعاية الصحية في البلديات، الذي يُنفَّذ بدعم من الحكومة المركزية، أساس نظام الرفاه الاجتماعي والرعاية الصحية. وفي فنلندا، يحق لطالبي اللجوء البالغين الحصول على العلاج الطبي العاجل والأساسي، في حين يحق لطالبي اللجوء القاصرين الحصول على نفس الرعاية الصحية التي يتمتع بها سكان البلدية. ولا يُقدم الخدمات القطاعُ العام فقط، بل تقدمها أيضاً المؤسسات الخاصة. ولدى فنلندا أيضاً عدد كبير من منظمات المجتمع المدني الت</w:t>
      </w:r>
      <w:r w:rsidRPr="00EC4FD1">
        <w:rPr>
          <w:rtl/>
        </w:rPr>
        <w:t xml:space="preserve">ي تقدم خدماتها </w:t>
      </w:r>
      <w:r>
        <w:rPr>
          <w:rtl/>
        </w:rPr>
        <w:t>في مجال الرفاه الاجتماعي والرعاية الصحية مجاناً و</w:t>
      </w:r>
      <w:r>
        <w:rPr>
          <w:rtl/>
          <w:lang w:bidi="ar-DZ"/>
        </w:rPr>
        <w:t>ب</w:t>
      </w:r>
      <w:r>
        <w:rPr>
          <w:rtl/>
        </w:rPr>
        <w:t xml:space="preserve">مقابل مادي. </w:t>
      </w:r>
    </w:p>
    <w:p w14:paraId="63EE306F" w14:textId="77777777" w:rsidR="00A0227D" w:rsidRPr="009B1F51" w:rsidRDefault="00A0227D" w:rsidP="0016371A">
      <w:pPr>
        <w:pStyle w:val="SingleTxtGA"/>
        <w:rPr>
          <w:szCs w:val="20"/>
          <w:lang w:val="ar-SA" w:eastAsia="zh-TW" w:bidi="en-GB"/>
        </w:rPr>
      </w:pPr>
      <w:r w:rsidRPr="005C19F0">
        <w:rPr>
          <w:szCs w:val="20"/>
          <w:rtl/>
        </w:rPr>
        <w:t>66</w:t>
      </w:r>
      <w:r w:rsidRPr="00EF3655">
        <w:rPr>
          <w:rtl/>
        </w:rPr>
        <w:t>-</w:t>
      </w:r>
      <w:r>
        <w:rPr>
          <w:rtl/>
        </w:rPr>
        <w:tab/>
        <w:t xml:space="preserve">وتنقسم الخدمات الصحية إلى الرعاية الصحية الأساسية والرعاية الطبية المتخصصة. وتُقدم خدمات الرعاية الصحية الأساسية </w:t>
      </w:r>
      <w:r w:rsidRPr="00EC4FD1">
        <w:rPr>
          <w:rtl/>
        </w:rPr>
        <w:t>المراكز</w:t>
      </w:r>
      <w:r>
        <w:rPr>
          <w:rtl/>
        </w:rPr>
        <w:t>ُ</w:t>
      </w:r>
      <w:r w:rsidRPr="00EC4FD1">
        <w:rPr>
          <w:rtl/>
        </w:rPr>
        <w:t xml:space="preserve"> الصحية البلدي</w:t>
      </w:r>
      <w:r>
        <w:rPr>
          <w:rtl/>
        </w:rPr>
        <w:t>ة، بينما تُقدم الرعاية الطبية المتخصصة أساساً المستشفياتُ. وتقع مسؤولية توفير الرعاية الصحية الوقائية، وكذلك الرعاية الطبية للموظفين، حيثما أمكن، على عاتق صاحب العمل. وفي الوقت نفسه، تكمِّل خدمات الرعاية الصحية الخاصة خدمات الرعاية الصحية المقدمة في البلديات. ويمكن للبلديات أن تشتري</w:t>
      </w:r>
      <w:r w:rsidRPr="00EC4FD1">
        <w:rPr>
          <w:rtl/>
        </w:rPr>
        <w:t xml:space="preserve"> أيضاً</w:t>
      </w:r>
      <w:r>
        <w:rPr>
          <w:rtl/>
        </w:rPr>
        <w:t xml:space="preserve"> خدمات من القطاع الخاص.</w:t>
      </w:r>
    </w:p>
    <w:p w14:paraId="43C50CD5" w14:textId="056D41EE" w:rsidR="00A0227D" w:rsidRPr="009B1F51" w:rsidRDefault="00A0227D" w:rsidP="00B446CB">
      <w:pPr>
        <w:pStyle w:val="SingleTxtGA"/>
        <w:rPr>
          <w:szCs w:val="20"/>
          <w:lang w:val="ar-SA" w:eastAsia="zh-TW" w:bidi="en-GB"/>
        </w:rPr>
      </w:pPr>
      <w:r w:rsidRPr="005C19F0">
        <w:rPr>
          <w:szCs w:val="20"/>
          <w:rtl/>
        </w:rPr>
        <w:t>67</w:t>
      </w:r>
      <w:r w:rsidRPr="00EF3655">
        <w:rPr>
          <w:rtl/>
        </w:rPr>
        <w:t>-</w:t>
      </w:r>
      <w:r>
        <w:rPr>
          <w:rtl/>
        </w:rPr>
        <w:tab/>
        <w:t>ومن السلطات الرئيسية الأخرى في قطاع الصحة المعهد الفنلندي للصحة والرفاه، المسؤول عن البحث والتطوير في مجال الخدمات الصحية، فضلا</w:t>
      </w:r>
      <w:r w:rsidR="00340DBC">
        <w:rPr>
          <w:rFonts w:hint="cs"/>
          <w:rtl/>
        </w:rPr>
        <w:t>ً</w:t>
      </w:r>
      <w:r>
        <w:rPr>
          <w:rtl/>
        </w:rPr>
        <w:t xml:space="preserve"> عن الخدمات المهنية الأخرى في هذا المجال؛ والهيئة الوطنية المشرفة على خدمات الرفاه الاجتماعي والرعاية الصحية </w:t>
      </w:r>
      <w:r w:rsidRPr="00794E95">
        <w:t>(</w:t>
      </w:r>
      <w:r>
        <w:t>Valvira</w:t>
      </w:r>
      <w:r w:rsidRPr="00794E95">
        <w:t>)</w:t>
      </w:r>
      <w:r>
        <w:rPr>
          <w:rtl/>
        </w:rPr>
        <w:t xml:space="preserve">، التي توجه عملية إصدار التراخيص في مجال الرفاه الاجتماعي والرعاية الصحية وتشرف عليها وترعاها؛ وهيئة تنظيم الأدوية الفنلندية </w:t>
      </w:r>
      <w:r w:rsidRPr="00794E95">
        <w:t>(</w:t>
      </w:r>
      <w:r>
        <w:t>Fimea</w:t>
      </w:r>
      <w:r w:rsidRPr="00794E95">
        <w:t>)</w:t>
      </w:r>
      <w:r>
        <w:rPr>
          <w:rtl/>
        </w:rPr>
        <w:t>، المسؤولة عن إصدار تراخيص تسويق الأدوية وعن الإشراف على عمليات التسويق وكذلك عن البحث والتطوير في قطاع الأدوية و</w:t>
      </w:r>
      <w:r>
        <w:rPr>
          <w:rtl/>
          <w:lang w:val="fr-CH"/>
        </w:rPr>
        <w:t>إصدار</w:t>
      </w:r>
      <w:r>
        <w:rPr>
          <w:rtl/>
        </w:rPr>
        <w:t xml:space="preserve"> المعلومات الدوائية. وبالإضافة إلى ما تقدم ذكره، تتولى الهيئات الإدارية الإقليمية التابعة للدولة الإشراف الإقليمي على الرعاية الصحية، وتوجيه المهنيين العاملين في مجال الرعاية الصحية والإشراف عليهم.</w:t>
      </w:r>
    </w:p>
    <w:p w14:paraId="798A208A" w14:textId="77777777" w:rsidR="00A0227D" w:rsidRPr="009B1F51" w:rsidRDefault="00A0227D" w:rsidP="0016371A">
      <w:pPr>
        <w:pStyle w:val="H23GA"/>
        <w:rPr>
          <w:szCs w:val="20"/>
          <w:lang w:val="ar-SA" w:eastAsia="zh-TW" w:bidi="en-GB"/>
        </w:rPr>
      </w:pPr>
      <w:bookmarkStart w:id="18" w:name="_Toc32364283"/>
      <w:r>
        <w:rPr>
          <w:rtl/>
        </w:rPr>
        <w:tab/>
      </w:r>
      <w:r>
        <w:rPr>
          <w:rtl/>
        </w:rPr>
        <w:tab/>
        <w:t>وفيات الرضع ووفيات الأمومة ومتوسط العمر</w:t>
      </w:r>
      <w:bookmarkEnd w:id="18"/>
      <w:r>
        <w:rPr>
          <w:rtl/>
        </w:rPr>
        <w:t xml:space="preserve"> المتوقع</w:t>
      </w:r>
    </w:p>
    <w:p w14:paraId="430F542E" w14:textId="77777777" w:rsidR="00A0227D" w:rsidRPr="009B1F51" w:rsidRDefault="00A0227D" w:rsidP="0016371A">
      <w:pPr>
        <w:pStyle w:val="SingleTxtGA"/>
        <w:rPr>
          <w:szCs w:val="20"/>
          <w:lang w:val="ar-SA" w:eastAsia="zh-TW" w:bidi="en-GB"/>
        </w:rPr>
      </w:pPr>
      <w:r w:rsidRPr="005C19F0">
        <w:rPr>
          <w:szCs w:val="20"/>
          <w:rtl/>
        </w:rPr>
        <w:t>68</w:t>
      </w:r>
      <w:r w:rsidRPr="00EF3655">
        <w:rPr>
          <w:rtl/>
        </w:rPr>
        <w:t>-</w:t>
      </w:r>
      <w:r>
        <w:rPr>
          <w:rtl/>
        </w:rPr>
        <w:tab/>
        <w:t xml:space="preserve">يشير معدل وفيات الرضع إلى عدد وفيات الأطفال الذين لا تتجاوز أعمارهم سنة واحدة، ويُعبَّر عنه برقم لكل </w:t>
      </w:r>
      <w:r w:rsidRPr="005C19F0">
        <w:rPr>
          <w:szCs w:val="20"/>
          <w:rtl/>
        </w:rPr>
        <w:t>000</w:t>
      </w:r>
      <w:r>
        <w:rPr>
          <w:rFonts w:ascii="Traditional Arabic"/>
          <w:szCs w:val="20"/>
          <w:rtl/>
        </w:rPr>
        <w:t xml:space="preserve"> </w:t>
      </w:r>
      <w:r w:rsidRPr="005C19F0">
        <w:rPr>
          <w:szCs w:val="20"/>
          <w:rtl/>
        </w:rPr>
        <w:t>1</w:t>
      </w:r>
      <w:r>
        <w:rPr>
          <w:rtl/>
        </w:rPr>
        <w:t xml:space="preserve"> مولود حي. وفي عام </w:t>
      </w:r>
      <w:r w:rsidRPr="005C19F0">
        <w:rPr>
          <w:szCs w:val="20"/>
          <w:rtl/>
        </w:rPr>
        <w:t>2018</w:t>
      </w:r>
      <w:r>
        <w:rPr>
          <w:rtl/>
        </w:rPr>
        <w:t xml:space="preserve">، تُوفي في فنلندا </w:t>
      </w:r>
      <w:r w:rsidRPr="005C19F0">
        <w:rPr>
          <w:szCs w:val="20"/>
          <w:rtl/>
        </w:rPr>
        <w:t>101</w:t>
      </w:r>
      <w:r>
        <w:rPr>
          <w:rtl/>
        </w:rPr>
        <w:t xml:space="preserve"> طفلاً تقل أعمارهم عن سنة. وكان معدل وفيات الرضع </w:t>
      </w:r>
      <w:r w:rsidRPr="005C19F0">
        <w:rPr>
          <w:szCs w:val="20"/>
          <w:rtl/>
        </w:rPr>
        <w:t>2</w:t>
      </w:r>
      <w:r>
        <w:rPr>
          <w:rFonts w:ascii="Traditional Arabic"/>
          <w:szCs w:val="20"/>
          <w:rtl/>
        </w:rPr>
        <w:t>.</w:t>
      </w:r>
      <w:r w:rsidRPr="005C19F0">
        <w:rPr>
          <w:szCs w:val="20"/>
          <w:rtl/>
        </w:rPr>
        <w:t>1</w:t>
      </w:r>
      <w:r>
        <w:rPr>
          <w:rtl/>
        </w:rPr>
        <w:t xml:space="preserve"> وفاة لكل </w:t>
      </w:r>
      <w:r w:rsidRPr="005C19F0">
        <w:rPr>
          <w:szCs w:val="20"/>
          <w:rtl/>
        </w:rPr>
        <w:t>000</w:t>
      </w:r>
      <w:r>
        <w:rPr>
          <w:rFonts w:ascii="Traditional Arabic"/>
          <w:szCs w:val="20"/>
          <w:rtl/>
        </w:rPr>
        <w:t xml:space="preserve"> </w:t>
      </w:r>
      <w:r w:rsidRPr="005C19F0">
        <w:rPr>
          <w:szCs w:val="20"/>
          <w:rtl/>
        </w:rPr>
        <w:t>1</w:t>
      </w:r>
      <w:r>
        <w:rPr>
          <w:rtl/>
        </w:rPr>
        <w:t xml:space="preserve"> مولود حي.</w:t>
      </w:r>
    </w:p>
    <w:p w14:paraId="3E1D40E7" w14:textId="7F6CE6A4" w:rsidR="00A0227D" w:rsidRPr="002C60E6" w:rsidRDefault="00A0227D" w:rsidP="000A1C86">
      <w:pPr>
        <w:pStyle w:val="SingleTxtGA"/>
        <w:pageBreakBefore/>
        <w:spacing w:after="0"/>
        <w:rPr>
          <w:szCs w:val="20"/>
          <w:lang w:eastAsia="zh-TW" w:bidi="en-GB"/>
        </w:rPr>
      </w:pPr>
      <w:r>
        <w:rPr>
          <w:rtl/>
        </w:rPr>
        <w:lastRenderedPageBreak/>
        <w:t xml:space="preserve">الجدول </w:t>
      </w:r>
      <w:r w:rsidRPr="005C19F0">
        <w:rPr>
          <w:szCs w:val="20"/>
          <w:rtl/>
        </w:rPr>
        <w:t>6</w:t>
      </w:r>
    </w:p>
    <w:p w14:paraId="034FAFBE" w14:textId="77777777" w:rsidR="00A0227D" w:rsidRPr="0016371A" w:rsidRDefault="00A0227D" w:rsidP="0016371A">
      <w:pPr>
        <w:pStyle w:val="SingleTxtGA"/>
        <w:rPr>
          <w:b/>
          <w:bCs/>
          <w:szCs w:val="20"/>
          <w:lang w:val="ar-SA" w:eastAsia="zh-TW" w:bidi="en-GB"/>
        </w:rPr>
      </w:pPr>
      <w:r w:rsidRPr="0016371A">
        <w:rPr>
          <w:b/>
          <w:bCs/>
          <w:rtl/>
        </w:rPr>
        <w:t xml:space="preserve">وفيات الأمومة ومعدل وفيات الأمومة في الفترة </w:t>
      </w:r>
      <w:r w:rsidRPr="005C19F0">
        <w:rPr>
          <w:b/>
          <w:bCs/>
          <w:szCs w:val="20"/>
          <w:rtl/>
        </w:rPr>
        <w:t>2013</w:t>
      </w:r>
      <w:r w:rsidRPr="00EF3655">
        <w:rPr>
          <w:rtl/>
        </w:rPr>
        <w:t>-</w:t>
      </w:r>
      <w:r w:rsidRPr="005C19F0">
        <w:rPr>
          <w:b/>
          <w:bCs/>
          <w:szCs w:val="20"/>
          <w:rtl/>
        </w:rPr>
        <w:t>2017</w:t>
      </w:r>
    </w:p>
    <w:tbl>
      <w:tblPr>
        <w:bidiVisual/>
        <w:tblW w:w="7195" w:type="dxa"/>
        <w:tblInd w:w="12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6"/>
        <w:gridCol w:w="4255"/>
        <w:gridCol w:w="1064"/>
      </w:tblGrid>
      <w:tr w:rsidR="00A0227D" w:rsidRPr="00E6179A" w14:paraId="2ED0D5E5" w14:textId="77777777" w:rsidTr="000A1C86">
        <w:trPr>
          <w:tblHeader/>
        </w:trPr>
        <w:tc>
          <w:tcPr>
            <w:tcW w:w="1876" w:type="dxa"/>
            <w:tcBorders>
              <w:top w:val="single" w:sz="4" w:space="0" w:color="auto"/>
              <w:bottom w:val="single" w:sz="12" w:space="0" w:color="auto"/>
            </w:tcBorders>
            <w:shd w:val="clear" w:color="auto" w:fill="auto"/>
            <w:vAlign w:val="bottom"/>
            <w:hideMark/>
          </w:tcPr>
          <w:p w14:paraId="2315CCFD" w14:textId="77777777" w:rsidR="00A0227D" w:rsidRPr="002C60E6" w:rsidRDefault="00A0227D" w:rsidP="0060644B">
            <w:pPr>
              <w:spacing w:before="20" w:after="40" w:line="300" w:lineRule="exact"/>
              <w:ind w:left="57" w:right="57"/>
              <w:textDirection w:val="tbRlV"/>
              <w:rPr>
                <w:i/>
                <w:sz w:val="26"/>
                <w:szCs w:val="26"/>
                <w:lang w:val="ar-SA" w:eastAsia="zh-TW" w:bidi="en-GB"/>
              </w:rPr>
            </w:pPr>
            <w:r w:rsidRPr="002C60E6">
              <w:rPr>
                <w:i/>
                <w:iCs/>
                <w:sz w:val="26"/>
                <w:szCs w:val="26"/>
                <w:rtl/>
              </w:rPr>
              <w:t>السنة</w:t>
            </w:r>
          </w:p>
        </w:tc>
        <w:tc>
          <w:tcPr>
            <w:tcW w:w="4255" w:type="dxa"/>
            <w:tcBorders>
              <w:top w:val="single" w:sz="4" w:space="0" w:color="auto"/>
              <w:bottom w:val="single" w:sz="12" w:space="0" w:color="auto"/>
            </w:tcBorders>
            <w:shd w:val="clear" w:color="auto" w:fill="auto"/>
            <w:vAlign w:val="bottom"/>
            <w:hideMark/>
          </w:tcPr>
          <w:p w14:paraId="1665CBE6" w14:textId="255E3F89" w:rsidR="00A0227D" w:rsidRPr="00E6179A" w:rsidRDefault="00A0227D" w:rsidP="0060644B">
            <w:pPr>
              <w:spacing w:before="20" w:after="40" w:line="300" w:lineRule="exact"/>
              <w:ind w:left="57" w:right="57"/>
              <w:textDirection w:val="tbRlV"/>
              <w:rPr>
                <w:i/>
                <w:sz w:val="16"/>
                <w:szCs w:val="20"/>
                <w:lang w:val="ar-SA" w:eastAsia="zh-TW" w:bidi="en-GB"/>
              </w:rPr>
            </w:pPr>
            <w:r w:rsidRPr="002C60E6">
              <w:rPr>
                <w:i/>
                <w:iCs/>
                <w:sz w:val="26"/>
                <w:szCs w:val="26"/>
                <w:rtl/>
              </w:rPr>
              <w:t>معدل وفيات الأمومة لكل</w:t>
            </w:r>
            <w:r>
              <w:rPr>
                <w:i/>
                <w:iCs/>
                <w:rtl/>
              </w:rPr>
              <w:t xml:space="preserve"> </w:t>
            </w:r>
            <w:r w:rsidR="002C60E6">
              <w:rPr>
                <w:rFonts w:hint="cs"/>
                <w:i/>
                <w:iCs/>
                <w:szCs w:val="20"/>
                <w:rtl/>
              </w:rPr>
              <w:t>000 100</w:t>
            </w:r>
            <w:r>
              <w:rPr>
                <w:i/>
                <w:iCs/>
                <w:rtl/>
              </w:rPr>
              <w:t xml:space="preserve"> </w:t>
            </w:r>
            <w:r w:rsidRPr="002C60E6">
              <w:rPr>
                <w:i/>
                <w:iCs/>
                <w:sz w:val="26"/>
                <w:szCs w:val="26"/>
                <w:rtl/>
              </w:rPr>
              <w:t>مولود حي</w:t>
            </w:r>
          </w:p>
        </w:tc>
        <w:tc>
          <w:tcPr>
            <w:tcW w:w="1064" w:type="dxa"/>
            <w:tcBorders>
              <w:top w:val="single" w:sz="4" w:space="0" w:color="auto"/>
              <w:bottom w:val="single" w:sz="12" w:space="0" w:color="auto"/>
            </w:tcBorders>
            <w:shd w:val="clear" w:color="auto" w:fill="auto"/>
            <w:vAlign w:val="bottom"/>
            <w:hideMark/>
          </w:tcPr>
          <w:p w14:paraId="5A4BF3B2" w14:textId="77777777" w:rsidR="00A0227D" w:rsidRPr="002C60E6" w:rsidRDefault="00A0227D" w:rsidP="0060644B">
            <w:pPr>
              <w:spacing w:before="20" w:after="40" w:line="300" w:lineRule="exact"/>
              <w:ind w:left="57" w:right="57"/>
              <w:textDirection w:val="tbRlV"/>
              <w:rPr>
                <w:i/>
                <w:sz w:val="26"/>
                <w:szCs w:val="26"/>
                <w:lang w:val="ar-SA" w:eastAsia="zh-TW" w:bidi="en-GB"/>
              </w:rPr>
            </w:pPr>
            <w:r w:rsidRPr="002C60E6">
              <w:rPr>
                <w:i/>
                <w:iCs/>
                <w:sz w:val="26"/>
                <w:szCs w:val="26"/>
                <w:rtl/>
              </w:rPr>
              <w:t>وفيات الأمومة</w:t>
            </w:r>
          </w:p>
        </w:tc>
      </w:tr>
      <w:tr w:rsidR="00A0227D" w:rsidRPr="00E6179A" w14:paraId="4A793557" w14:textId="77777777" w:rsidTr="000A1C86">
        <w:tc>
          <w:tcPr>
            <w:tcW w:w="1876" w:type="dxa"/>
            <w:tcBorders>
              <w:top w:val="single" w:sz="12" w:space="0" w:color="auto"/>
              <w:bottom w:val="nil"/>
            </w:tcBorders>
            <w:shd w:val="clear" w:color="auto" w:fill="auto"/>
            <w:hideMark/>
          </w:tcPr>
          <w:p w14:paraId="1CAA910E" w14:textId="77777777" w:rsidR="00A0227D" w:rsidRPr="0060644B" w:rsidRDefault="00A0227D" w:rsidP="0060644B">
            <w:pPr>
              <w:spacing w:before="20" w:after="40" w:line="300" w:lineRule="exact"/>
              <w:ind w:left="57" w:right="57"/>
              <w:textDirection w:val="tbRlV"/>
              <w:rPr>
                <w:sz w:val="18"/>
                <w:szCs w:val="18"/>
                <w:lang w:eastAsia="zh-TW" w:bidi="en-GB"/>
              </w:rPr>
            </w:pPr>
            <w:r w:rsidRPr="002C60E6">
              <w:rPr>
                <w:sz w:val="18"/>
                <w:szCs w:val="18"/>
                <w:rtl/>
              </w:rPr>
              <w:t>2017</w:t>
            </w:r>
          </w:p>
        </w:tc>
        <w:tc>
          <w:tcPr>
            <w:tcW w:w="4255" w:type="dxa"/>
            <w:tcBorders>
              <w:top w:val="single" w:sz="12" w:space="0" w:color="auto"/>
              <w:bottom w:val="nil"/>
            </w:tcBorders>
            <w:shd w:val="clear" w:color="auto" w:fill="auto"/>
            <w:vAlign w:val="bottom"/>
            <w:hideMark/>
          </w:tcPr>
          <w:p w14:paraId="568B77EA"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7</w:t>
            </w:r>
            <w:r w:rsidRPr="002C60E6">
              <w:rPr>
                <w:rFonts w:ascii="Traditional Arabic"/>
                <w:sz w:val="18"/>
                <w:szCs w:val="18"/>
                <w:rtl/>
              </w:rPr>
              <w:t>,</w:t>
            </w:r>
            <w:r w:rsidRPr="002C60E6">
              <w:rPr>
                <w:sz w:val="18"/>
                <w:szCs w:val="18"/>
                <w:rtl/>
              </w:rPr>
              <w:t>9</w:t>
            </w:r>
          </w:p>
        </w:tc>
        <w:tc>
          <w:tcPr>
            <w:tcW w:w="1064" w:type="dxa"/>
            <w:tcBorders>
              <w:top w:val="single" w:sz="12" w:space="0" w:color="auto"/>
              <w:bottom w:val="nil"/>
            </w:tcBorders>
            <w:shd w:val="clear" w:color="auto" w:fill="auto"/>
            <w:vAlign w:val="bottom"/>
            <w:hideMark/>
          </w:tcPr>
          <w:p w14:paraId="3F841DD4"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4</w:t>
            </w:r>
          </w:p>
        </w:tc>
      </w:tr>
      <w:tr w:rsidR="00A0227D" w:rsidRPr="00E6179A" w14:paraId="463E63E9" w14:textId="77777777" w:rsidTr="000A1C86">
        <w:tc>
          <w:tcPr>
            <w:tcW w:w="1876" w:type="dxa"/>
            <w:tcBorders>
              <w:top w:val="nil"/>
            </w:tcBorders>
            <w:shd w:val="clear" w:color="auto" w:fill="auto"/>
            <w:hideMark/>
          </w:tcPr>
          <w:p w14:paraId="270036F4"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2016</w:t>
            </w:r>
          </w:p>
        </w:tc>
        <w:tc>
          <w:tcPr>
            <w:tcW w:w="4255" w:type="dxa"/>
            <w:tcBorders>
              <w:top w:val="nil"/>
            </w:tcBorders>
            <w:shd w:val="clear" w:color="auto" w:fill="auto"/>
            <w:vAlign w:val="bottom"/>
            <w:hideMark/>
          </w:tcPr>
          <w:p w14:paraId="4E48FB24"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5</w:t>
            </w:r>
            <w:r w:rsidRPr="002C60E6">
              <w:rPr>
                <w:rFonts w:ascii="Traditional Arabic"/>
                <w:sz w:val="18"/>
                <w:szCs w:val="18"/>
                <w:rtl/>
              </w:rPr>
              <w:t>,</w:t>
            </w:r>
            <w:r w:rsidRPr="002C60E6">
              <w:rPr>
                <w:sz w:val="18"/>
                <w:szCs w:val="18"/>
                <w:rtl/>
              </w:rPr>
              <w:t>7</w:t>
            </w:r>
          </w:p>
        </w:tc>
        <w:tc>
          <w:tcPr>
            <w:tcW w:w="1064" w:type="dxa"/>
            <w:tcBorders>
              <w:top w:val="nil"/>
            </w:tcBorders>
            <w:shd w:val="clear" w:color="auto" w:fill="auto"/>
            <w:vAlign w:val="bottom"/>
            <w:hideMark/>
          </w:tcPr>
          <w:p w14:paraId="60D77F60"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3</w:t>
            </w:r>
          </w:p>
        </w:tc>
      </w:tr>
      <w:tr w:rsidR="00A0227D" w:rsidRPr="00E6179A" w14:paraId="7F5230C3" w14:textId="77777777" w:rsidTr="000A1C86">
        <w:tc>
          <w:tcPr>
            <w:tcW w:w="1876" w:type="dxa"/>
            <w:shd w:val="clear" w:color="auto" w:fill="auto"/>
            <w:hideMark/>
          </w:tcPr>
          <w:p w14:paraId="628BB9E9"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2015</w:t>
            </w:r>
          </w:p>
        </w:tc>
        <w:tc>
          <w:tcPr>
            <w:tcW w:w="4255" w:type="dxa"/>
            <w:shd w:val="clear" w:color="auto" w:fill="auto"/>
            <w:vAlign w:val="bottom"/>
            <w:hideMark/>
          </w:tcPr>
          <w:p w14:paraId="2567F870"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3</w:t>
            </w:r>
            <w:r w:rsidRPr="002C60E6">
              <w:rPr>
                <w:rFonts w:ascii="Traditional Arabic"/>
                <w:sz w:val="18"/>
                <w:szCs w:val="18"/>
                <w:rtl/>
              </w:rPr>
              <w:t>,</w:t>
            </w:r>
            <w:r w:rsidRPr="002C60E6">
              <w:rPr>
                <w:sz w:val="18"/>
                <w:szCs w:val="18"/>
                <w:rtl/>
              </w:rPr>
              <w:t>6</w:t>
            </w:r>
          </w:p>
        </w:tc>
        <w:tc>
          <w:tcPr>
            <w:tcW w:w="1064" w:type="dxa"/>
            <w:shd w:val="clear" w:color="auto" w:fill="auto"/>
            <w:vAlign w:val="bottom"/>
            <w:hideMark/>
          </w:tcPr>
          <w:p w14:paraId="20B29D88"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2</w:t>
            </w:r>
          </w:p>
        </w:tc>
      </w:tr>
      <w:tr w:rsidR="00A0227D" w:rsidRPr="00E6179A" w14:paraId="5C8576F9" w14:textId="77777777" w:rsidTr="000A1C86">
        <w:tc>
          <w:tcPr>
            <w:tcW w:w="1876" w:type="dxa"/>
            <w:shd w:val="clear" w:color="auto" w:fill="auto"/>
            <w:hideMark/>
          </w:tcPr>
          <w:p w14:paraId="0F259830"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2014</w:t>
            </w:r>
          </w:p>
        </w:tc>
        <w:tc>
          <w:tcPr>
            <w:tcW w:w="4255" w:type="dxa"/>
            <w:shd w:val="clear" w:color="auto" w:fill="auto"/>
            <w:vAlign w:val="bottom"/>
            <w:hideMark/>
          </w:tcPr>
          <w:p w14:paraId="304C19EB"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5</w:t>
            </w:r>
            <w:r w:rsidRPr="002C60E6">
              <w:rPr>
                <w:rFonts w:ascii="Traditional Arabic"/>
                <w:sz w:val="18"/>
                <w:szCs w:val="18"/>
                <w:rtl/>
              </w:rPr>
              <w:t>,</w:t>
            </w:r>
            <w:r w:rsidRPr="002C60E6">
              <w:rPr>
                <w:sz w:val="18"/>
                <w:szCs w:val="18"/>
                <w:rtl/>
              </w:rPr>
              <w:t>2</w:t>
            </w:r>
          </w:p>
        </w:tc>
        <w:tc>
          <w:tcPr>
            <w:tcW w:w="1064" w:type="dxa"/>
            <w:shd w:val="clear" w:color="auto" w:fill="auto"/>
            <w:vAlign w:val="bottom"/>
            <w:hideMark/>
          </w:tcPr>
          <w:p w14:paraId="728B13DA"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3</w:t>
            </w:r>
          </w:p>
        </w:tc>
      </w:tr>
      <w:tr w:rsidR="00A0227D" w:rsidRPr="00E6179A" w14:paraId="00604520" w14:textId="77777777" w:rsidTr="000A1C86">
        <w:tc>
          <w:tcPr>
            <w:tcW w:w="1876" w:type="dxa"/>
            <w:shd w:val="clear" w:color="auto" w:fill="auto"/>
            <w:hideMark/>
          </w:tcPr>
          <w:p w14:paraId="07321423"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2013</w:t>
            </w:r>
          </w:p>
        </w:tc>
        <w:tc>
          <w:tcPr>
            <w:tcW w:w="4255" w:type="dxa"/>
            <w:shd w:val="clear" w:color="auto" w:fill="auto"/>
            <w:vAlign w:val="bottom"/>
            <w:hideMark/>
          </w:tcPr>
          <w:p w14:paraId="273B48D9"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1</w:t>
            </w:r>
            <w:r w:rsidRPr="002C60E6">
              <w:rPr>
                <w:rFonts w:ascii="Traditional Arabic"/>
                <w:sz w:val="18"/>
                <w:szCs w:val="18"/>
                <w:rtl/>
              </w:rPr>
              <w:t>,</w:t>
            </w:r>
            <w:r w:rsidRPr="002C60E6">
              <w:rPr>
                <w:sz w:val="18"/>
                <w:szCs w:val="18"/>
                <w:rtl/>
              </w:rPr>
              <w:t>7</w:t>
            </w:r>
          </w:p>
        </w:tc>
        <w:tc>
          <w:tcPr>
            <w:tcW w:w="1064" w:type="dxa"/>
            <w:shd w:val="clear" w:color="auto" w:fill="auto"/>
            <w:vAlign w:val="bottom"/>
            <w:hideMark/>
          </w:tcPr>
          <w:p w14:paraId="28668746" w14:textId="77777777" w:rsidR="00A0227D" w:rsidRPr="002C60E6" w:rsidRDefault="00A0227D" w:rsidP="0060644B">
            <w:pPr>
              <w:spacing w:before="20" w:after="40" w:line="300" w:lineRule="exact"/>
              <w:ind w:left="57" w:right="57"/>
              <w:textDirection w:val="tbRlV"/>
              <w:rPr>
                <w:sz w:val="18"/>
                <w:szCs w:val="18"/>
                <w:lang w:val="ar-SA" w:eastAsia="zh-TW" w:bidi="en-GB"/>
              </w:rPr>
            </w:pPr>
            <w:r w:rsidRPr="002C60E6">
              <w:rPr>
                <w:sz w:val="18"/>
                <w:szCs w:val="18"/>
                <w:rtl/>
              </w:rPr>
              <w:t>1</w:t>
            </w:r>
          </w:p>
        </w:tc>
      </w:tr>
    </w:tbl>
    <w:p w14:paraId="0848950D" w14:textId="77777777" w:rsidR="00A0227D" w:rsidRPr="0060644B" w:rsidRDefault="00A0227D" w:rsidP="0016371A">
      <w:pPr>
        <w:pStyle w:val="SingleTxtGA"/>
        <w:rPr>
          <w:sz w:val="26"/>
          <w:szCs w:val="26"/>
          <w:lang w:eastAsia="zh-TW" w:bidi="en-GB"/>
        </w:rPr>
      </w:pPr>
      <w:r w:rsidRPr="0060644B">
        <w:rPr>
          <w:i/>
          <w:iCs/>
          <w:sz w:val="26"/>
          <w:szCs w:val="26"/>
          <w:rtl/>
        </w:rPr>
        <w:t>المصدر</w:t>
      </w:r>
      <w:r w:rsidRPr="00BB79C1">
        <w:rPr>
          <w:rtl/>
        </w:rPr>
        <w:t>:</w:t>
      </w:r>
      <w:r w:rsidRPr="0060644B">
        <w:rPr>
          <w:sz w:val="26"/>
          <w:szCs w:val="26"/>
          <w:rtl/>
        </w:rPr>
        <w:t xml:space="preserve"> إحصاءات فنلندا، أسباب الوفاة.</w:t>
      </w:r>
    </w:p>
    <w:p w14:paraId="638ABE95" w14:textId="31FD1962" w:rsidR="00A0227D" w:rsidRPr="00C726A7" w:rsidRDefault="00A0227D" w:rsidP="00B446CB">
      <w:pPr>
        <w:pStyle w:val="SingleTxtGA"/>
        <w:rPr>
          <w:szCs w:val="20"/>
          <w:lang w:eastAsia="zh-TW" w:bidi="en-GB"/>
        </w:rPr>
      </w:pPr>
      <w:r w:rsidRPr="005C19F0">
        <w:rPr>
          <w:szCs w:val="20"/>
          <w:rtl/>
        </w:rPr>
        <w:t>69</w:t>
      </w:r>
      <w:r w:rsidRPr="00EF3655">
        <w:rPr>
          <w:rtl/>
        </w:rPr>
        <w:t>-</w:t>
      </w:r>
      <w:r>
        <w:rPr>
          <w:rtl/>
        </w:rPr>
        <w:tab/>
        <w:t>و</w:t>
      </w:r>
      <w:r w:rsidRPr="00184F0A">
        <w:rPr>
          <w:rtl/>
        </w:rPr>
        <w:t xml:space="preserve">في عام </w:t>
      </w:r>
      <w:r w:rsidRPr="005C19F0">
        <w:rPr>
          <w:szCs w:val="20"/>
          <w:rtl/>
        </w:rPr>
        <w:t>2018</w:t>
      </w:r>
      <w:r>
        <w:rPr>
          <w:rtl/>
        </w:rPr>
        <w:t xml:space="preserve">، كان </w:t>
      </w:r>
      <w:r w:rsidRPr="007207FB">
        <w:rPr>
          <w:rtl/>
        </w:rPr>
        <w:t xml:space="preserve">طول العمر المتوقع </w:t>
      </w:r>
      <w:r w:rsidRPr="005C19F0">
        <w:rPr>
          <w:szCs w:val="20"/>
          <w:rtl/>
        </w:rPr>
        <w:t>81</w:t>
      </w:r>
      <w:r w:rsidR="00104B67">
        <w:rPr>
          <w:rFonts w:ascii="Traditional Arabic"/>
          <w:szCs w:val="20"/>
          <w:rtl/>
        </w:rPr>
        <w:t>,</w:t>
      </w:r>
      <w:r w:rsidRPr="005C19F0">
        <w:rPr>
          <w:szCs w:val="20"/>
          <w:rtl/>
        </w:rPr>
        <w:t>6</w:t>
      </w:r>
      <w:r>
        <w:rPr>
          <w:rtl/>
        </w:rPr>
        <w:t xml:space="preserve"> سنة للطفل المولود في فنلندا. وبلغ </w:t>
      </w:r>
      <w:r w:rsidRPr="007207FB">
        <w:rPr>
          <w:rtl/>
        </w:rPr>
        <w:t>طول العمر المتوقع</w:t>
      </w:r>
      <w:r>
        <w:rPr>
          <w:rtl/>
        </w:rPr>
        <w:t xml:space="preserve"> </w:t>
      </w:r>
      <w:r w:rsidRPr="005C19F0">
        <w:rPr>
          <w:szCs w:val="20"/>
          <w:rtl/>
        </w:rPr>
        <w:t>78</w:t>
      </w:r>
      <w:r w:rsidR="00104B67">
        <w:rPr>
          <w:rFonts w:ascii="Traditional Arabic"/>
          <w:szCs w:val="20"/>
          <w:rtl/>
        </w:rPr>
        <w:t>,</w:t>
      </w:r>
      <w:r w:rsidRPr="005C19F0">
        <w:rPr>
          <w:szCs w:val="20"/>
          <w:rtl/>
        </w:rPr>
        <w:t>9</w:t>
      </w:r>
      <w:r>
        <w:rPr>
          <w:rtl/>
        </w:rPr>
        <w:t xml:space="preserve"> سنة للذكور و</w:t>
      </w:r>
      <w:r w:rsidRPr="005C19F0">
        <w:rPr>
          <w:szCs w:val="20"/>
          <w:rtl/>
        </w:rPr>
        <w:t>84</w:t>
      </w:r>
      <w:r w:rsidR="00104B67">
        <w:rPr>
          <w:rFonts w:ascii="Traditional Arabic"/>
          <w:szCs w:val="20"/>
          <w:rtl/>
        </w:rPr>
        <w:t>,</w:t>
      </w:r>
      <w:r w:rsidRPr="005C19F0">
        <w:rPr>
          <w:szCs w:val="20"/>
          <w:rtl/>
        </w:rPr>
        <w:t>3</w:t>
      </w:r>
      <w:r>
        <w:rPr>
          <w:rtl/>
        </w:rPr>
        <w:t xml:space="preserve"> سنةً للإناث. وقد ازداد </w:t>
      </w:r>
      <w:bookmarkStart w:id="19" w:name="_Hlk50037333"/>
      <w:r>
        <w:rPr>
          <w:rtl/>
        </w:rPr>
        <w:t xml:space="preserve">طول العمر المتوقع </w:t>
      </w:r>
      <w:bookmarkEnd w:id="19"/>
      <w:r>
        <w:rPr>
          <w:rtl/>
        </w:rPr>
        <w:t>لكل من الرجال والنساء زيادة طفيفة في تلك السنة.</w:t>
      </w:r>
    </w:p>
    <w:p w14:paraId="5CBE3E72" w14:textId="13B75882" w:rsidR="00A0227D" w:rsidRPr="009B1F51" w:rsidRDefault="00A0227D" w:rsidP="0016371A">
      <w:pPr>
        <w:pStyle w:val="SingleTxtGA"/>
        <w:rPr>
          <w:szCs w:val="20"/>
          <w:lang w:val="ar-SA" w:eastAsia="zh-TW" w:bidi="en-GB"/>
        </w:rPr>
      </w:pPr>
      <w:r w:rsidRPr="005C19F0">
        <w:rPr>
          <w:szCs w:val="20"/>
          <w:rtl/>
        </w:rPr>
        <w:t>70</w:t>
      </w:r>
      <w:r w:rsidRPr="00EF3655">
        <w:rPr>
          <w:rtl/>
        </w:rPr>
        <w:t>-</w:t>
      </w:r>
      <w:r>
        <w:rPr>
          <w:rtl/>
        </w:rPr>
        <w:tab/>
        <w:t xml:space="preserve">وتشير إحصاءات أسباب الوفاة إلى </w:t>
      </w:r>
      <w:r>
        <w:rPr>
          <w:rtl/>
          <w:lang w:val="fr-CH"/>
        </w:rPr>
        <w:t>وفاة</w:t>
      </w:r>
      <w:r>
        <w:rPr>
          <w:rtl/>
        </w:rPr>
        <w:t xml:space="preserve"> ما مجموعه </w:t>
      </w:r>
      <w:r w:rsidR="00104B67">
        <w:rPr>
          <w:rFonts w:hint="cs"/>
          <w:szCs w:val="20"/>
          <w:rtl/>
        </w:rPr>
        <w:t>670 53</w:t>
      </w:r>
      <w:r>
        <w:rPr>
          <w:rtl/>
        </w:rPr>
        <w:t xml:space="preserve"> شخصا</w:t>
      </w:r>
      <w:r w:rsidR="00104B67">
        <w:rPr>
          <w:rFonts w:hint="cs"/>
          <w:rtl/>
        </w:rPr>
        <w:t>ً</w:t>
      </w:r>
      <w:r>
        <w:rPr>
          <w:rtl/>
        </w:rPr>
        <w:t xml:space="preserve"> في عام </w:t>
      </w:r>
      <w:r w:rsidRPr="005C19F0">
        <w:rPr>
          <w:szCs w:val="20"/>
          <w:rtl/>
        </w:rPr>
        <w:t>2017</w:t>
      </w:r>
      <w:r w:rsidRPr="00A7170E">
        <w:rPr>
          <w:rtl/>
        </w:rPr>
        <w:t>.</w:t>
      </w:r>
      <w:r>
        <w:rPr>
          <w:rtl/>
        </w:rPr>
        <w:t xml:space="preserve"> ويقل هذا الرقم بنسبة </w:t>
      </w:r>
      <w:r w:rsidRPr="005C19F0">
        <w:rPr>
          <w:szCs w:val="20"/>
          <w:rtl/>
        </w:rPr>
        <w:t>0</w:t>
      </w:r>
      <w:r w:rsidR="00104B67">
        <w:rPr>
          <w:rFonts w:ascii="Traditional Arabic"/>
          <w:szCs w:val="20"/>
          <w:rtl/>
        </w:rPr>
        <w:t>,</w:t>
      </w:r>
      <w:r w:rsidRPr="005C19F0">
        <w:rPr>
          <w:szCs w:val="20"/>
          <w:rtl/>
        </w:rPr>
        <w:t>5</w:t>
      </w:r>
      <w:r>
        <w:rPr>
          <w:rtl/>
        </w:rPr>
        <w:t xml:space="preserve"> في المائة عنه في العام السابق. وينعكس ارتفاع </w:t>
      </w:r>
      <w:r w:rsidRPr="00275A67">
        <w:rPr>
          <w:rtl/>
        </w:rPr>
        <w:t xml:space="preserve">طول العمر المتوقع </w:t>
      </w:r>
      <w:r>
        <w:rPr>
          <w:rtl/>
        </w:rPr>
        <w:t xml:space="preserve">في تغير </w:t>
      </w:r>
      <w:r>
        <w:rPr>
          <w:rtl/>
          <w:lang w:val="fr-CH"/>
        </w:rPr>
        <w:t>ال</w:t>
      </w:r>
      <w:r>
        <w:rPr>
          <w:rtl/>
        </w:rPr>
        <w:t>توزع العمري للوفيات</w:t>
      </w:r>
      <w:r w:rsidRPr="00BB79C1">
        <w:rPr>
          <w:rtl/>
        </w:rPr>
        <w:t>:</w:t>
      </w:r>
      <w:r>
        <w:rPr>
          <w:rtl/>
        </w:rPr>
        <w:t xml:space="preserve"> فقد ازداد معدل وفيات الأشخاص الذين تزيد أعمارهم على </w:t>
      </w:r>
      <w:r w:rsidRPr="005C19F0">
        <w:rPr>
          <w:szCs w:val="20"/>
          <w:rtl/>
        </w:rPr>
        <w:t>80</w:t>
      </w:r>
      <w:r>
        <w:rPr>
          <w:rtl/>
        </w:rPr>
        <w:t xml:space="preserve"> سنة، ولكنه بالكاد تغير بالنسبة للأشخاص دون سن الثمانين. وانعكس ارتفاع معدل وفيات المسنين في أسباب الوفاة، أساساً، في شكل زيادة عدد الوفيات الناجمة عن الخرف وأمراض جهاز الدورة الدموية. وقد كانت الأخيرة أيضا</w:t>
      </w:r>
      <w:r w:rsidR="00D26384">
        <w:rPr>
          <w:rFonts w:hint="cs"/>
          <w:rtl/>
        </w:rPr>
        <w:t>ً</w:t>
      </w:r>
      <w:r>
        <w:rPr>
          <w:rtl/>
        </w:rPr>
        <w:t xml:space="preserve"> السبب الرئيسي في الوفاة، حيث تسببت في نسبة </w:t>
      </w:r>
      <w:r w:rsidRPr="005C19F0">
        <w:rPr>
          <w:szCs w:val="20"/>
          <w:rtl/>
        </w:rPr>
        <w:t>36</w:t>
      </w:r>
      <w:r>
        <w:rPr>
          <w:rtl/>
        </w:rPr>
        <w:t xml:space="preserve"> في المائة من جميع الوفيات.</w:t>
      </w:r>
    </w:p>
    <w:p w14:paraId="096E94A7" w14:textId="562CDBF4" w:rsidR="00A0227D" w:rsidRPr="0016371A" w:rsidRDefault="0016371A" w:rsidP="0016371A">
      <w:pPr>
        <w:pStyle w:val="H23GA"/>
        <w:rPr>
          <w:szCs w:val="20"/>
          <w:lang w:eastAsia="zh-TW" w:bidi="en-GB"/>
        </w:rPr>
      </w:pPr>
      <w:bookmarkStart w:id="20" w:name="_Toc32364284"/>
      <w:r>
        <w:rPr>
          <w:rtl/>
        </w:rPr>
        <w:tab/>
      </w:r>
      <w:r w:rsidR="00A0227D" w:rsidRPr="00794E95">
        <w:rPr>
          <w:rtl/>
        </w:rPr>
        <w:t>(</w:t>
      </w:r>
      <w:r w:rsidR="00A0227D">
        <w:rPr>
          <w:rtl/>
        </w:rPr>
        <w:t>د</w:t>
      </w:r>
      <w:r w:rsidR="00A0227D" w:rsidRPr="00794E95">
        <w:rPr>
          <w:rtl/>
        </w:rPr>
        <w:t>)</w:t>
      </w:r>
      <w:r w:rsidR="00A0227D">
        <w:rPr>
          <w:rtl/>
        </w:rPr>
        <w:tab/>
        <w:t>الضمان الاجتماعي</w:t>
      </w:r>
      <w:bookmarkEnd w:id="20"/>
    </w:p>
    <w:p w14:paraId="72497A18" w14:textId="412F7415" w:rsidR="00A0227D" w:rsidRPr="009B1F51" w:rsidRDefault="00A0227D" w:rsidP="0016371A">
      <w:pPr>
        <w:pStyle w:val="SingleTxtGA"/>
        <w:rPr>
          <w:szCs w:val="20"/>
          <w:lang w:val="ar-SA" w:eastAsia="zh-TW" w:bidi="en-GB"/>
        </w:rPr>
      </w:pPr>
      <w:r w:rsidRPr="005C19F0">
        <w:rPr>
          <w:szCs w:val="20"/>
          <w:rtl/>
        </w:rPr>
        <w:t>71</w:t>
      </w:r>
      <w:r w:rsidRPr="00EF3655">
        <w:rPr>
          <w:rtl/>
        </w:rPr>
        <w:t>-</w:t>
      </w:r>
      <w:r>
        <w:rPr>
          <w:rtl/>
        </w:rPr>
        <w:tab/>
        <w:t xml:space="preserve">يتألف الضمان الاجتماعي من </w:t>
      </w:r>
      <w:r>
        <w:rPr>
          <w:rtl/>
          <w:lang w:val="fr-CH"/>
        </w:rPr>
        <w:t>ال</w:t>
      </w:r>
      <w:r>
        <w:rPr>
          <w:rtl/>
        </w:rPr>
        <w:t>استحقاقات على أساس الإقامة والعمل. وجميع الأشخاص المقيمين بصفة اعتيادية في فنلندا مشمولون بالضمان التقاعدي، والخدمات الصحية والاجتماعية، واستحقاقات التأمين الصحي، واستحقاقات الوالدين، والاستحقاقات الأسرية. ويحق أيضا</w:t>
      </w:r>
      <w:r w:rsidR="00D26384">
        <w:rPr>
          <w:rFonts w:hint="cs"/>
          <w:rtl/>
        </w:rPr>
        <w:t>ً</w:t>
      </w:r>
      <w:r>
        <w:rPr>
          <w:rtl/>
        </w:rPr>
        <w:t xml:space="preserve"> للأشخاص الذين يصلون إلى فنلندا بغرض العمل الحصول على الاستحقاقات على أساس الإقامة. وقطاعات الضمان الاجتماعي على أساس العمالة فقط هي نظام المعاشات التقاعدية المتصلة بالدخل ونظام التأمين على العمال من الحوادث والأمراض المهنية.</w:t>
      </w:r>
    </w:p>
    <w:p w14:paraId="07DDEA1A" w14:textId="77777777" w:rsidR="00A0227D" w:rsidRPr="009B1F51" w:rsidRDefault="00A0227D" w:rsidP="003F3EF7">
      <w:pPr>
        <w:pStyle w:val="SingleTxtGA"/>
        <w:rPr>
          <w:szCs w:val="20"/>
          <w:lang w:val="ar-SA" w:eastAsia="zh-TW" w:bidi="en-GB"/>
        </w:rPr>
      </w:pPr>
      <w:r w:rsidRPr="005C19F0">
        <w:rPr>
          <w:szCs w:val="20"/>
          <w:rtl/>
        </w:rPr>
        <w:t>72</w:t>
      </w:r>
      <w:r w:rsidRPr="00EF3655">
        <w:rPr>
          <w:rtl/>
        </w:rPr>
        <w:t>-</w:t>
      </w:r>
      <w:r>
        <w:rPr>
          <w:rtl/>
        </w:rPr>
        <w:tab/>
        <w:t>ووزارة الشؤون الاجتماعية والصحة هي المسؤولة عن تشريعات الضمان الاجتماعي والتطور العام للضمان الاجتماعي. وتشارك عدة منظمات كذلك في تنفيذ الضمان الاجتماعي. ومن مميزات النظام الفنلندي أن إدارة نظام المعاشات التقاعدية المتصلة بالدخل ونظام التأمين على العمال من الحوادث والأمراض المهنية مناطة بشركات تأمين خاصة.</w:t>
      </w:r>
    </w:p>
    <w:p w14:paraId="676A92D4" w14:textId="77777777" w:rsidR="00A0227D" w:rsidRPr="009B1F51" w:rsidRDefault="00A0227D" w:rsidP="003F3EF7">
      <w:pPr>
        <w:pStyle w:val="SingleTxtGA"/>
        <w:rPr>
          <w:szCs w:val="20"/>
          <w:lang w:val="ar-SA" w:eastAsia="zh-TW" w:bidi="en-GB"/>
        </w:rPr>
      </w:pPr>
      <w:r w:rsidRPr="005C19F0">
        <w:rPr>
          <w:szCs w:val="20"/>
          <w:rtl/>
        </w:rPr>
        <w:t>73</w:t>
      </w:r>
      <w:r w:rsidRPr="00EF3655">
        <w:rPr>
          <w:rtl/>
        </w:rPr>
        <w:t>-</w:t>
      </w:r>
      <w:r>
        <w:rPr>
          <w:rtl/>
        </w:rPr>
        <w:tab/>
      </w:r>
      <w:r>
        <w:rPr>
          <w:rtl/>
          <w:lang w:val="fr-CH"/>
        </w:rPr>
        <w:t>و</w:t>
      </w:r>
      <w:r>
        <w:rPr>
          <w:rtl/>
        </w:rPr>
        <w:t xml:space="preserve">تقدم مؤسسة التأمين الاجتماعي الفنلندية </w:t>
      </w:r>
      <w:r w:rsidRPr="00794E95">
        <w:rPr>
          <w:rtl/>
        </w:rPr>
        <w:t>(</w:t>
      </w:r>
      <w:r>
        <w:t>Kela</w:t>
      </w:r>
      <w:r w:rsidRPr="00794E95">
        <w:rPr>
          <w:rtl/>
        </w:rPr>
        <w:t>)</w:t>
      </w:r>
      <w:r>
        <w:rPr>
          <w:rtl/>
        </w:rPr>
        <w:t xml:space="preserve"> استحقاقات الضمان الاجتماعي على أساس الإقامة واستحقاقات البطالة في إطار الأمن الاقتصادي الأساسي. وهذه المؤسسة هيئة مستقلة بموجب القانون العام وتخضع لإشراف البرلمان. وتقدم صناديق البطالة استحقاقات البطالة المتصلة بالدخل. والعضوية في هذه الصناديق طوعية للموظفين والعاملين لحسابهم الخاص. وتصدر القرارات المتعلقة بالضمان الاجتماعي كتابة ويجوز للأشخاص غير الراضين عن قرار صادر في حقهم الطعن فيه.</w:t>
      </w:r>
    </w:p>
    <w:p w14:paraId="7E8FAF5F" w14:textId="4F3AA382" w:rsidR="00A0227D" w:rsidRPr="00C726A7" w:rsidRDefault="00A0227D" w:rsidP="003F3EF7">
      <w:pPr>
        <w:pStyle w:val="SingleTxtGA"/>
        <w:rPr>
          <w:szCs w:val="20"/>
          <w:lang w:eastAsia="zh-TW" w:bidi="en-GB"/>
        </w:rPr>
      </w:pPr>
      <w:r w:rsidRPr="005C19F0">
        <w:rPr>
          <w:szCs w:val="20"/>
          <w:rtl/>
        </w:rPr>
        <w:t>74</w:t>
      </w:r>
      <w:r w:rsidRPr="00EF3655">
        <w:rPr>
          <w:rtl/>
        </w:rPr>
        <w:t>-</w:t>
      </w:r>
      <w:r>
        <w:rPr>
          <w:rtl/>
        </w:rPr>
        <w:tab/>
        <w:t xml:space="preserve">والمساعدة الاجتماعية هي الملاذ الأخير للحصول على المساعدة المالية المقدمة في إطار الرفاه الاجتماعي. وهي تتألف من المساعدة الاجتماعية الأساسية والمساعدة الاجتماعية التكميلية </w:t>
      </w:r>
      <w:r>
        <w:rPr>
          <w:rtl/>
        </w:rPr>
        <w:lastRenderedPageBreak/>
        <w:t>والمساعدة الاجتماعية الوقائية. وتقدم</w:t>
      </w:r>
      <w:r w:rsidRPr="00232574">
        <w:rPr>
          <w:rtl/>
        </w:rPr>
        <w:t xml:space="preserve"> مؤسسة التأمين الاجتماعي الفنلندية</w:t>
      </w:r>
      <w:r>
        <w:rPr>
          <w:rtl/>
        </w:rPr>
        <w:t xml:space="preserve"> بشكل مستقل، منذ عام</w:t>
      </w:r>
      <w:r w:rsidR="008D1A1E">
        <w:rPr>
          <w:rFonts w:hint="cs"/>
          <w:rtl/>
        </w:rPr>
        <w:t> </w:t>
      </w:r>
      <w:r w:rsidRPr="005C19F0">
        <w:rPr>
          <w:szCs w:val="20"/>
          <w:rtl/>
        </w:rPr>
        <w:t>2017</w:t>
      </w:r>
      <w:r>
        <w:rPr>
          <w:rtl/>
        </w:rPr>
        <w:t>، المساعدة الاجتماعية الأساسية. وتقدم البلديات والحكومة المركزية،</w:t>
      </w:r>
      <w:r w:rsidRPr="00232574">
        <w:rPr>
          <w:rtl/>
        </w:rPr>
        <w:t xml:space="preserve"> على قدم المساواة</w:t>
      </w:r>
      <w:r>
        <w:rPr>
          <w:rtl/>
        </w:rPr>
        <w:t>، التمويل اللازم للمساعدة الاجتماعية الأساسية. والبلديات مسؤولة أيضا</w:t>
      </w:r>
      <w:r w:rsidR="001F7F9C">
        <w:rPr>
          <w:rFonts w:hint="cs"/>
          <w:rtl/>
        </w:rPr>
        <w:t>ً</w:t>
      </w:r>
      <w:r>
        <w:rPr>
          <w:rtl/>
        </w:rPr>
        <w:t xml:space="preserve"> عن تقديم المساعدة الاجتماعية التكميلية والوقائية.</w:t>
      </w:r>
    </w:p>
    <w:p w14:paraId="6947BFFA" w14:textId="687584FC" w:rsidR="00A0227D" w:rsidRPr="009B1F51" w:rsidRDefault="00A0227D" w:rsidP="003F3EF7">
      <w:pPr>
        <w:pStyle w:val="SingleTxtGA"/>
        <w:rPr>
          <w:szCs w:val="20"/>
          <w:lang w:val="ar-SA" w:eastAsia="zh-TW" w:bidi="en-GB"/>
        </w:rPr>
      </w:pPr>
      <w:r w:rsidRPr="005C19F0">
        <w:rPr>
          <w:szCs w:val="20"/>
          <w:rtl/>
        </w:rPr>
        <w:t>75</w:t>
      </w:r>
      <w:r w:rsidRPr="00EF3655">
        <w:rPr>
          <w:rtl/>
        </w:rPr>
        <w:t>-</w:t>
      </w:r>
      <w:r>
        <w:rPr>
          <w:rtl/>
        </w:rPr>
        <w:tab/>
        <w:t xml:space="preserve">والحكومة المركزية هي الممول الرئيسي للضمان الاجتماعي، فهي تمول جميع الاستحقاقات الأسرية، واستحقاقات السكن، واستحقاقات الإعاقة. والحكومة المركزية مسؤولة </w:t>
      </w:r>
      <w:r w:rsidR="00C74C59">
        <w:rPr>
          <w:rtl/>
        </w:rPr>
        <w:t>أيضاً</w:t>
      </w:r>
      <w:r>
        <w:rPr>
          <w:rtl/>
        </w:rPr>
        <w:t xml:space="preserve"> عن تمويل إعانات سوق العمل بالاشتراك مع البلديات، وتساهم في تمويل إعانة البطالة المتصلة بالدخل وإعانة البطالة الأساسية. وتساهم الحكومة المركزية في تمويل الخدمات الصحية والاجتماعية عن طريق التحويلات الحكومية التقديرية إلى البلديات. وفيما يتعلق بالمعاشات التقاعدية، تمول الحكومة المركزية المعاشات التقاعدية الوطنية وتشارك في تمويل معاشات الأشخاص العاملين لحسابهم الخاص، والمزارعين العاملين لحسابهم الخاص، والبحارة. وعلاوة على ذلك، تساهم الحكومة المركزية في تمويل التأمين الصحي الوطني فيما يتعلق بالتأمين الطبي.</w:t>
      </w:r>
    </w:p>
    <w:p w14:paraId="009CCC64" w14:textId="1FD9E685" w:rsidR="00A0227D" w:rsidRPr="009B1F51" w:rsidRDefault="00A0227D" w:rsidP="003F3EF7">
      <w:pPr>
        <w:pStyle w:val="SingleTxtGA"/>
        <w:rPr>
          <w:szCs w:val="20"/>
          <w:lang w:val="ar-SA" w:eastAsia="zh-TW" w:bidi="en-GB"/>
        </w:rPr>
      </w:pPr>
      <w:r w:rsidRPr="005C19F0">
        <w:rPr>
          <w:szCs w:val="20"/>
          <w:rtl/>
        </w:rPr>
        <w:t>76</w:t>
      </w:r>
      <w:r w:rsidRPr="00EF3655">
        <w:rPr>
          <w:rtl/>
        </w:rPr>
        <w:t>-</w:t>
      </w:r>
      <w:r>
        <w:rPr>
          <w:rtl/>
        </w:rPr>
        <w:tab/>
        <w:t>و</w:t>
      </w:r>
      <w:r>
        <w:rPr>
          <w:rtl/>
          <w:lang w:val="fr-CH"/>
        </w:rPr>
        <w:t xml:space="preserve">تُكلف </w:t>
      </w:r>
      <w:r>
        <w:rPr>
          <w:rtl/>
        </w:rPr>
        <w:t>البلديات بتمويل الخدمات الصحية والاجتماعية من الرسوم التي تفرَض على العملاء فضلا</w:t>
      </w:r>
      <w:r w:rsidR="00340DBC">
        <w:rPr>
          <w:rFonts w:hint="cs"/>
          <w:rtl/>
        </w:rPr>
        <w:t>ً</w:t>
      </w:r>
      <w:r>
        <w:rPr>
          <w:rtl/>
        </w:rPr>
        <w:t xml:space="preserve"> عن الضرائب.</w:t>
      </w:r>
    </w:p>
    <w:p w14:paraId="1A59C164" w14:textId="77777777" w:rsidR="00A0227D" w:rsidRPr="009B1F51" w:rsidRDefault="00A0227D" w:rsidP="003F3EF7">
      <w:pPr>
        <w:pStyle w:val="SingleTxtGA"/>
        <w:rPr>
          <w:szCs w:val="20"/>
          <w:lang w:val="ar-SA" w:eastAsia="zh-TW" w:bidi="en-GB"/>
        </w:rPr>
      </w:pPr>
      <w:r w:rsidRPr="005C19F0">
        <w:rPr>
          <w:szCs w:val="20"/>
          <w:rtl/>
        </w:rPr>
        <w:t>77</w:t>
      </w:r>
      <w:r w:rsidRPr="00EF3655">
        <w:rPr>
          <w:rtl/>
        </w:rPr>
        <w:t>-</w:t>
      </w:r>
      <w:r>
        <w:rPr>
          <w:rtl/>
        </w:rPr>
        <w:tab/>
        <w:t>ويمول أرباب العمل والموظف</w:t>
      </w:r>
      <w:r>
        <w:rPr>
          <w:rtl/>
          <w:lang w:val="fr-CH"/>
        </w:rPr>
        <w:t>و</w:t>
      </w:r>
      <w:r>
        <w:rPr>
          <w:rtl/>
        </w:rPr>
        <w:t>ن والعاملون لحسابهم الخاص الضمان الاجتماعي بالمساهمة في تمويل إعانة البطالة المتصلة بالدخل وإعانة البطالة الأساسية، والمعاشات التقاعدية المتصلة بالدخل، والتأمين الصحي الوطني، والتأمين من الحوادث. ويُجمع هذا التمويل في شكل أقساط تأمين.</w:t>
      </w:r>
    </w:p>
    <w:p w14:paraId="005CE17D" w14:textId="778E0D2C" w:rsidR="00A0227D" w:rsidRPr="008D719B" w:rsidRDefault="003F3EF7" w:rsidP="003F3EF7">
      <w:pPr>
        <w:pStyle w:val="H23GA"/>
        <w:rPr>
          <w:szCs w:val="20"/>
          <w:lang w:val="ar-SA" w:eastAsia="zh-TW" w:bidi="en-GB"/>
        </w:rPr>
      </w:pPr>
      <w:bookmarkStart w:id="21" w:name="_Toc32364285"/>
      <w:r>
        <w:rPr>
          <w:rtl/>
        </w:rPr>
        <w:tab/>
      </w:r>
      <w:r w:rsidR="00A0227D" w:rsidRPr="00794E95">
        <w:rPr>
          <w:rtl/>
        </w:rPr>
        <w:t>(</w:t>
      </w:r>
      <w:r w:rsidR="00A0227D">
        <w:rPr>
          <w:rtl/>
        </w:rPr>
        <w:t>ه</w:t>
      </w:r>
      <w:r w:rsidR="00A0227D" w:rsidRPr="00794E95">
        <w:rPr>
          <w:rtl/>
        </w:rPr>
        <w:t>)</w:t>
      </w:r>
      <w:r w:rsidR="00A0227D">
        <w:rPr>
          <w:rtl/>
        </w:rPr>
        <w:tab/>
        <w:t>إصلاح الحكومة الإقليمية وإصلاح الخدمات الصحية والاجتماعية</w:t>
      </w:r>
      <w:bookmarkEnd w:id="21"/>
    </w:p>
    <w:p w14:paraId="06433452" w14:textId="77777777" w:rsidR="00A0227D" w:rsidRPr="009B1F51" w:rsidRDefault="00A0227D" w:rsidP="003F3EF7">
      <w:pPr>
        <w:pStyle w:val="SingleTxtGA"/>
        <w:rPr>
          <w:szCs w:val="20"/>
          <w:lang w:val="ar-SA" w:eastAsia="zh-TW" w:bidi="en-GB"/>
        </w:rPr>
      </w:pPr>
      <w:r w:rsidRPr="005C19F0">
        <w:rPr>
          <w:szCs w:val="20"/>
          <w:rtl/>
        </w:rPr>
        <w:t>78</w:t>
      </w:r>
      <w:r w:rsidRPr="00EF3655">
        <w:rPr>
          <w:rtl/>
        </w:rPr>
        <w:t>-</w:t>
      </w:r>
      <w:r>
        <w:rPr>
          <w:rtl/>
        </w:rPr>
        <w:tab/>
        <w:t xml:space="preserve">وفقاً لبرنامج حكومة رئيسة الوزراء سانا مارين، ستشرع الحكومة في إعادة هيكلة الخدمات الصحية والاجتماعية بغية نقل المسؤولية عن تنظيم هذه الخدمات إلى </w:t>
      </w:r>
      <w:r w:rsidRPr="005C19F0">
        <w:rPr>
          <w:szCs w:val="20"/>
          <w:rtl/>
        </w:rPr>
        <w:t>18</w:t>
      </w:r>
      <w:r>
        <w:rPr>
          <w:rtl/>
        </w:rPr>
        <w:t xml:space="preserve"> مقاطعة. ومن المقرر أن يكون القطاع العام هو مقدم الخدمات الرئيسي في المقاطعات، على أن يقدم القطاع الخاص وقطاعات ثالثة الخدمات التكميلية. وتتمثل الأهداف الرئيسية من إصلاح الخدمات الصحية والاجتماعية في الحد من أوجه عدم المساواة في الصحة والرفاه، وضمان الخدمات الصحية والاجتماعية المتساوية والجيدة للجميع، وتحسين توافر الخدمات وإمكانية الحصول عليها، وضمان توافر العمالة الماهرة، والتصدي للتحديات التي تطرحها التغيرات في المجتمع، والحد من زيادة التكاليف.</w:t>
      </w:r>
    </w:p>
    <w:p w14:paraId="5B3AD696" w14:textId="443F84F1" w:rsidR="00A0227D" w:rsidRPr="009B1F51" w:rsidRDefault="00A0227D" w:rsidP="003F3EF7">
      <w:pPr>
        <w:pStyle w:val="SingleTxtGA"/>
        <w:rPr>
          <w:szCs w:val="20"/>
          <w:lang w:val="ar-SA" w:eastAsia="zh-TW" w:bidi="en-GB"/>
        </w:rPr>
      </w:pPr>
      <w:r w:rsidRPr="005C19F0">
        <w:rPr>
          <w:szCs w:val="20"/>
          <w:rtl/>
        </w:rPr>
        <w:t>79</w:t>
      </w:r>
      <w:r w:rsidRPr="00EF3655">
        <w:rPr>
          <w:rtl/>
        </w:rPr>
        <w:t>-</w:t>
      </w:r>
      <w:r>
        <w:rPr>
          <w:rtl/>
        </w:rPr>
        <w:tab/>
        <w:t>ويشير برنامج حكومة رئيسة الوزراء، سانا مارين، أيضا</w:t>
      </w:r>
      <w:r w:rsidR="001C066B">
        <w:rPr>
          <w:rFonts w:hint="cs"/>
          <w:rtl/>
        </w:rPr>
        <w:t>ً</w:t>
      </w:r>
      <w:r>
        <w:rPr>
          <w:rtl/>
        </w:rPr>
        <w:t xml:space="preserve"> إلى ضرورة إصلاح نظام الضمان الاجتماعي. وسيركز إصلاح نظام الضمان الاجتماعي على ضمان العدالة الاجتماعية وحماية أمن الدخل للأشخاص المعرضين لمخاطر اجتماعية. ويلزَم أساسا</w:t>
      </w:r>
      <w:r w:rsidR="003E0023">
        <w:rPr>
          <w:rFonts w:hint="cs"/>
          <w:rtl/>
        </w:rPr>
        <w:t>ً</w:t>
      </w:r>
      <w:r>
        <w:rPr>
          <w:rtl/>
        </w:rPr>
        <w:t xml:space="preserve"> جعلُ النظام أكثر اعتمادية وشمولا</w:t>
      </w:r>
      <w:r w:rsidR="001C066B">
        <w:rPr>
          <w:rFonts w:hint="cs"/>
          <w:rtl/>
        </w:rPr>
        <w:t>ً</w:t>
      </w:r>
      <w:r>
        <w:rPr>
          <w:rtl/>
        </w:rPr>
        <w:t xml:space="preserve"> وأسهل فهما. وستُشكَّل لجنة برلمانية بقصد التحضير للإصلاح استناداً إلى معلومات بحثية. وستُنجز الأعمال التحضيرية أفقيا</w:t>
      </w:r>
      <w:r w:rsidR="003E0023">
        <w:rPr>
          <w:rFonts w:hint="cs"/>
          <w:rtl/>
        </w:rPr>
        <w:t>ً</w:t>
      </w:r>
      <w:r>
        <w:rPr>
          <w:rtl/>
        </w:rPr>
        <w:t xml:space="preserve"> على نطاق واسع، بالاستفادة من خبرات قطاعات شتى.</w:t>
      </w:r>
    </w:p>
    <w:p w14:paraId="7B47302C" w14:textId="46E6FE05" w:rsidR="00A0227D" w:rsidRPr="009B1F51" w:rsidRDefault="003F3EF7" w:rsidP="003F3EF7">
      <w:pPr>
        <w:pStyle w:val="H23GA"/>
        <w:rPr>
          <w:szCs w:val="20"/>
          <w:lang w:val="ar-SA" w:eastAsia="zh-TW" w:bidi="en-GB"/>
        </w:rPr>
      </w:pPr>
      <w:bookmarkStart w:id="22" w:name="_Toc32364286"/>
      <w:r>
        <w:rPr>
          <w:rtl/>
        </w:rPr>
        <w:tab/>
      </w:r>
      <w:r w:rsidR="00A0227D" w:rsidRPr="00794E95">
        <w:rPr>
          <w:rtl/>
        </w:rPr>
        <w:t>(</w:t>
      </w:r>
      <w:r w:rsidR="00A0227D">
        <w:rPr>
          <w:rtl/>
        </w:rPr>
        <w:t>و</w:t>
      </w:r>
      <w:r w:rsidR="00A0227D" w:rsidRPr="00794E95">
        <w:rPr>
          <w:rtl/>
        </w:rPr>
        <w:t>)</w:t>
      </w:r>
      <w:r w:rsidR="00A0227D">
        <w:rPr>
          <w:rtl/>
        </w:rPr>
        <w:tab/>
        <w:t>التعليم والرعاية في مرحلة الطفولة المبكرة، والتعليم والتدريب</w:t>
      </w:r>
      <w:bookmarkEnd w:id="22"/>
    </w:p>
    <w:p w14:paraId="75100B08" w14:textId="37BC7F23" w:rsidR="00A0227D" w:rsidRPr="009B1F51" w:rsidRDefault="00A0227D" w:rsidP="003F3EF7">
      <w:pPr>
        <w:pStyle w:val="SingleTxtGA"/>
        <w:rPr>
          <w:szCs w:val="20"/>
          <w:lang w:val="ar-SA" w:eastAsia="zh-TW" w:bidi="en-GB"/>
        </w:rPr>
      </w:pPr>
      <w:r w:rsidRPr="005C19F0">
        <w:rPr>
          <w:szCs w:val="20"/>
          <w:rtl/>
        </w:rPr>
        <w:t>80</w:t>
      </w:r>
      <w:r w:rsidRPr="00EF3655">
        <w:rPr>
          <w:rtl/>
        </w:rPr>
        <w:t>-</w:t>
      </w:r>
      <w:r w:rsidR="003F3EF7">
        <w:rPr>
          <w:rtl/>
        </w:rPr>
        <w:tab/>
      </w:r>
      <w:r>
        <w:rPr>
          <w:rtl/>
        </w:rPr>
        <w:t>يُقصد بالتعليم والرعاية في مرحلة الطفولة المبكرة كيانٌ منهجي موجه نحو تحقيق الأهداف، يتألف من التنشئة والتعليم والرعاية، مع تركيز خاص على التربية. وتتمثل أهداف التعليم والرعاية في مرحلة الطفولة المبكرة في دعم نمو الأطفال ونمائهم وتعلمهم وتعزيز رفاهِهم. ويحق لكل طفل</w:t>
      </w:r>
      <w:r w:rsidRPr="00E52595">
        <w:rPr>
          <w:rtl/>
        </w:rPr>
        <w:t xml:space="preserve"> في فنلندا</w:t>
      </w:r>
      <w:r>
        <w:rPr>
          <w:rtl/>
        </w:rPr>
        <w:t xml:space="preserve"> الحصول على </w:t>
      </w:r>
      <w:r w:rsidRPr="005C19F0">
        <w:rPr>
          <w:szCs w:val="20"/>
          <w:rtl/>
        </w:rPr>
        <w:t>20</w:t>
      </w:r>
      <w:r>
        <w:rPr>
          <w:rtl/>
        </w:rPr>
        <w:t xml:space="preserve"> ساعة في الأسبوع من التعليم والرعاية في مرحلة الطفولة المبكرة. ويُقدم التعليم والرعاية </w:t>
      </w:r>
      <w:bookmarkStart w:id="23" w:name="_Hlk48836398"/>
      <w:r>
        <w:rPr>
          <w:rtl/>
        </w:rPr>
        <w:t xml:space="preserve">في مرحلة الطفولة المبكرة </w:t>
      </w:r>
      <w:bookmarkEnd w:id="23"/>
      <w:r>
        <w:rPr>
          <w:rtl/>
        </w:rPr>
        <w:t xml:space="preserve">على أساس التفرغ التام إذا كان والدا الطفل أو الأوصياء عليه </w:t>
      </w:r>
      <w:r>
        <w:rPr>
          <w:rtl/>
        </w:rPr>
        <w:lastRenderedPageBreak/>
        <w:t xml:space="preserve">يعملون بدوام كامل أو يدرسون أو يعملون كرواد أعمال أو يؤدون عملهم بدوام كامل. ويُقدم التعليم والرعاية للطفل </w:t>
      </w:r>
      <w:r w:rsidRPr="00B93695">
        <w:rPr>
          <w:rtl/>
        </w:rPr>
        <w:t xml:space="preserve">في مرحلة الطفولة المبكرة </w:t>
      </w:r>
      <w:r>
        <w:rPr>
          <w:rtl/>
        </w:rPr>
        <w:t>على أساس دوام كامل إذا كان ذلك ضرورياً لنماء الطفل أو لاحتياجاته من الدعم أو لظروف أسرته، أو إذا كان ذلك يخدم مصالح الطفل الفضلى. ويجري حاليا</w:t>
      </w:r>
      <w:r w:rsidR="008D1A1E">
        <w:rPr>
          <w:rFonts w:hint="cs"/>
          <w:rtl/>
        </w:rPr>
        <w:t>ً</w:t>
      </w:r>
      <w:r>
        <w:rPr>
          <w:rtl/>
        </w:rPr>
        <w:t xml:space="preserve"> تعديل قانون الرعاية والتعليم في مرحلة الطفولة المبكرة </w:t>
      </w:r>
      <w:r w:rsidRPr="00794E95">
        <w:rPr>
          <w:rtl/>
        </w:rPr>
        <w:t>(</w:t>
      </w:r>
      <w:r w:rsidRPr="005C19F0">
        <w:rPr>
          <w:szCs w:val="20"/>
        </w:rPr>
        <w:t>2018</w:t>
      </w:r>
      <w:r>
        <w:rPr>
          <w:rFonts w:ascii="Traditional Arabic"/>
          <w:szCs w:val="20"/>
        </w:rPr>
        <w:t>/</w:t>
      </w:r>
      <w:r w:rsidRPr="005C19F0">
        <w:rPr>
          <w:szCs w:val="20"/>
        </w:rPr>
        <w:t>540</w:t>
      </w:r>
      <w:r w:rsidRPr="00794E95">
        <w:rPr>
          <w:rtl/>
        </w:rPr>
        <w:t>)</w:t>
      </w:r>
      <w:r>
        <w:rPr>
          <w:rtl/>
        </w:rPr>
        <w:t xml:space="preserve"> لمنح</w:t>
      </w:r>
      <w:r w:rsidRPr="00565703">
        <w:rPr>
          <w:rtl/>
        </w:rPr>
        <w:t xml:space="preserve"> جميع الأطفال</w:t>
      </w:r>
      <w:r>
        <w:rPr>
          <w:rtl/>
        </w:rPr>
        <w:t xml:space="preserve"> حقاً شخصياً في التعليم والرعاية في مرحلة الطفولة المبكرة دون أي قيود. ومن المقرر أن يدخل القانون المعدل حيز النفاذ في </w:t>
      </w:r>
      <w:r w:rsidRPr="005C19F0">
        <w:rPr>
          <w:szCs w:val="20"/>
          <w:rtl/>
        </w:rPr>
        <w:t>1</w:t>
      </w:r>
      <w:r>
        <w:rPr>
          <w:rtl/>
        </w:rPr>
        <w:t xml:space="preserve"> آب/أغسطس </w:t>
      </w:r>
      <w:r w:rsidRPr="005C19F0">
        <w:rPr>
          <w:szCs w:val="20"/>
          <w:rtl/>
        </w:rPr>
        <w:t>2020</w:t>
      </w:r>
      <w:r>
        <w:rPr>
          <w:rtl/>
        </w:rPr>
        <w:t>.</w:t>
      </w:r>
    </w:p>
    <w:p w14:paraId="03842646" w14:textId="77777777" w:rsidR="00A0227D" w:rsidRPr="009B1F51" w:rsidRDefault="00A0227D" w:rsidP="00376013">
      <w:pPr>
        <w:pStyle w:val="SingleTxtGA"/>
        <w:rPr>
          <w:szCs w:val="20"/>
          <w:lang w:val="ar-SA" w:eastAsia="zh-TW" w:bidi="en-GB"/>
        </w:rPr>
      </w:pPr>
      <w:r w:rsidRPr="005C19F0">
        <w:rPr>
          <w:szCs w:val="20"/>
          <w:rtl/>
        </w:rPr>
        <w:t>81</w:t>
      </w:r>
      <w:r w:rsidRPr="00EF3655">
        <w:rPr>
          <w:rtl/>
        </w:rPr>
        <w:t>-</w:t>
      </w:r>
      <w:r>
        <w:rPr>
          <w:rtl/>
        </w:rPr>
        <w:tab/>
        <w:t>والحق في التعليم والتدريب حق أساسي وإعماله مكفول بموجب الحق، المنصوص عليه في القانون، في التعليم الأساسي المجاني، وبموجب</w:t>
      </w:r>
      <w:r>
        <w:t xml:space="preserve"> </w:t>
      </w:r>
      <w:r>
        <w:rPr>
          <w:rtl/>
          <w:lang w:val="fr-CH"/>
        </w:rPr>
        <w:t>الحق في</w:t>
      </w:r>
      <w:r>
        <w:rPr>
          <w:rtl/>
        </w:rPr>
        <w:t xml:space="preserve"> التعليم الإلزامي. وتكفل السلطات العامة للجميع فرصة متساوية في تلقي الخدمات التعليمية الأخرى كل وفق قدراته واحتياجاته الخاصة، فضلاً عن إتاحة فرصة نمائه الذاتي دون أن تمنعه الصعوبات الاقتصادية من ذلك.</w:t>
      </w:r>
    </w:p>
    <w:p w14:paraId="7FBD0259" w14:textId="418E3C53" w:rsidR="00A0227D" w:rsidRPr="009B1F51" w:rsidRDefault="00A0227D" w:rsidP="00376013">
      <w:pPr>
        <w:pStyle w:val="SingleTxtGA"/>
        <w:rPr>
          <w:szCs w:val="20"/>
          <w:lang w:val="ar-SA" w:eastAsia="zh-TW" w:bidi="en-GB"/>
        </w:rPr>
      </w:pPr>
      <w:r w:rsidRPr="005C19F0">
        <w:rPr>
          <w:szCs w:val="20"/>
          <w:rtl/>
        </w:rPr>
        <w:t>82</w:t>
      </w:r>
      <w:r w:rsidRPr="00EF3655">
        <w:rPr>
          <w:rtl/>
        </w:rPr>
        <w:t>-</w:t>
      </w:r>
      <w:r>
        <w:rPr>
          <w:rtl/>
        </w:rPr>
        <w:tab/>
      </w:r>
      <w:r w:rsidRPr="003728F1">
        <w:rPr>
          <w:rtl/>
        </w:rPr>
        <w:t>ويجب على</w:t>
      </w:r>
      <w:r>
        <w:rPr>
          <w:rtl/>
        </w:rPr>
        <w:t xml:space="preserve"> الأطفال في فنلندا الالتحاق بسنة واحدة من التعليم قبل الابتدائي، أو أي </w:t>
      </w:r>
      <w:r>
        <w:rPr>
          <w:rtl/>
          <w:lang w:val="fr-CH"/>
        </w:rPr>
        <w:t>ن</w:t>
      </w:r>
      <w:r>
        <w:rPr>
          <w:rtl/>
        </w:rPr>
        <w:t>شاط آخر يحقق أهداف التعليم قبل الابتدائي، وذلك في السنة التي تسبق بدء التعليم الإلزامي. والهدف من التعليم قبل الابتدائي، كجزء من التعليم في مرحلة الطفولة المبكرة، هو تحسين قدرة الأطفال على التعلم. ويبدأ التعليم الإلزامي في السنة التي يبلغ فيها الطفل سن السابعة وينتهي بعد استكمال منهج التعليم الأساسي أو بعد مرور عشر سنوات على بدء التعليم الإلزامي. وعادةً ما يُستكمل التعليم الأساسي، أي المدرسة الشاملة، في غضون تسع سنوات. ويدعم التعليم الأساسي نمو التلاميذ كأُناس وأفراد في المجتمع، ويزودهم بالمعرفة والمهارات اللازمة في الحياة، ويعزز</w:t>
      </w:r>
      <w:r>
        <w:rPr>
          <w:rtl/>
          <w:lang w:val="fr-CH"/>
        </w:rPr>
        <w:t xml:space="preserve"> أيضاً</w:t>
      </w:r>
      <w:r>
        <w:rPr>
          <w:rtl/>
        </w:rPr>
        <w:t xml:space="preserve"> التحضر والمساواة في المجتمع</w:t>
      </w:r>
      <w:r w:rsidR="00507B18">
        <w:rPr>
          <w:rtl/>
        </w:rPr>
        <w:t xml:space="preserve"> </w:t>
      </w:r>
      <w:r>
        <w:rPr>
          <w:rtl/>
        </w:rPr>
        <w:t>ويجعلهم قادرين على تلبية الشروط المسبقة المطلوبة للمشاركة في التعليم.</w:t>
      </w:r>
    </w:p>
    <w:p w14:paraId="11101602" w14:textId="40345107" w:rsidR="00A0227D" w:rsidRPr="009B1F51" w:rsidRDefault="00A0227D" w:rsidP="00376013">
      <w:pPr>
        <w:pStyle w:val="SingleTxtGA"/>
        <w:rPr>
          <w:szCs w:val="20"/>
          <w:lang w:val="ar-SA" w:eastAsia="zh-TW" w:bidi="en-GB"/>
        </w:rPr>
      </w:pPr>
      <w:r w:rsidRPr="005C19F0">
        <w:rPr>
          <w:szCs w:val="20"/>
          <w:rtl/>
        </w:rPr>
        <w:t>83</w:t>
      </w:r>
      <w:r w:rsidRPr="00EF3655">
        <w:rPr>
          <w:rtl/>
        </w:rPr>
        <w:t>-</w:t>
      </w:r>
      <w:r>
        <w:rPr>
          <w:rtl/>
        </w:rPr>
        <w:tab/>
        <w:t xml:space="preserve">وبعد إتمام التعليم الإلزامي، يمكن للتلاميذ الانتقال إلى التعليم الثانوي، سواء </w:t>
      </w:r>
      <w:r>
        <w:rPr>
          <w:rtl/>
          <w:lang w:val="fr-CH"/>
        </w:rPr>
        <w:t xml:space="preserve">التعليم </w:t>
      </w:r>
      <w:r>
        <w:rPr>
          <w:rtl/>
        </w:rPr>
        <w:t xml:space="preserve">المهني أو الثانوي العام. ويُختتم هذا الأخير بامتحان الشهادة الثانوية. ويحصل طلاب التعليم الثانوي المهني العالي على مؤهل ثانوي </w:t>
      </w:r>
      <w:r w:rsidRPr="00EF1D09">
        <w:rPr>
          <w:rtl/>
        </w:rPr>
        <w:t>مهني</w:t>
      </w:r>
      <w:r>
        <w:rPr>
          <w:rtl/>
        </w:rPr>
        <w:t xml:space="preserve">، أو مؤهل مهني إضافي، أو مؤهل مهني متخصص. ويُقدَّم التعليم ما بعد الثانوي في الجامعات وفي جامعات العلوم التطبيقية. وتجري الجامعات أيضاً بحوثا وتوفر التعليم القائم على البحث، في حين تتجه جامعات العلوم التطبيقية عملياً نحو تلبية متطلبات عالم العمل. ويهدف برنامج الحكومة لعام </w:t>
      </w:r>
      <w:r w:rsidRPr="005C19F0">
        <w:rPr>
          <w:szCs w:val="20"/>
          <w:rtl/>
        </w:rPr>
        <w:t>2019</w:t>
      </w:r>
      <w:r>
        <w:rPr>
          <w:rtl/>
        </w:rPr>
        <w:t xml:space="preserve"> إلى ضمان حصول كل شخص يكمل التعليم الأساسي على مؤهل ثانوي عالٍ. ويتحقق ذلك عن طريق رفع الحد الأدنى لسِن ترك المدرسة إلى </w:t>
      </w:r>
      <w:r w:rsidRPr="005C19F0">
        <w:rPr>
          <w:szCs w:val="20"/>
          <w:rtl/>
        </w:rPr>
        <w:t>18</w:t>
      </w:r>
      <w:r>
        <w:rPr>
          <w:rtl/>
        </w:rPr>
        <w:t xml:space="preserve"> سنة، وإدخال مجموعة من خيارات الدراسة والدعم إلى التعليم الإلزامي بحيث يمكن إدراجها في نطاق المؤهلات الثانوية العليا. ولا</w:t>
      </w:r>
      <w:r w:rsidR="00A215B8">
        <w:rPr>
          <w:rFonts w:hint="cs"/>
          <w:rtl/>
        </w:rPr>
        <w:t> </w:t>
      </w:r>
      <w:r>
        <w:rPr>
          <w:rtl/>
        </w:rPr>
        <w:t>يمكن تمديد التعليم الإلزامي ما لم تُلغَ رسوم التعليم الثانوي العالي. وتتطلب القرارات المتعلقة بتمديد التعليم الإلزامي تعديل التشريع الحالي.</w:t>
      </w:r>
    </w:p>
    <w:p w14:paraId="31290000" w14:textId="5D605E97" w:rsidR="00A0227D" w:rsidRPr="009B1F51" w:rsidRDefault="00A0227D" w:rsidP="00376013">
      <w:pPr>
        <w:pStyle w:val="SingleTxtGA"/>
        <w:rPr>
          <w:szCs w:val="20"/>
          <w:lang w:val="ar-SA" w:eastAsia="zh-TW" w:bidi="en-GB"/>
        </w:rPr>
      </w:pPr>
      <w:r w:rsidRPr="005C19F0">
        <w:rPr>
          <w:szCs w:val="20"/>
          <w:rtl/>
        </w:rPr>
        <w:t>84</w:t>
      </w:r>
      <w:r w:rsidRPr="00EF3655">
        <w:rPr>
          <w:rtl/>
        </w:rPr>
        <w:t>-</w:t>
      </w:r>
      <w:r>
        <w:rPr>
          <w:rtl/>
        </w:rPr>
        <w:tab/>
        <w:t xml:space="preserve">وفي عام </w:t>
      </w:r>
      <w:r w:rsidRPr="005C19F0">
        <w:rPr>
          <w:szCs w:val="20"/>
          <w:rtl/>
        </w:rPr>
        <w:t>2017</w:t>
      </w:r>
      <w:r>
        <w:rPr>
          <w:rtl/>
        </w:rPr>
        <w:t xml:space="preserve">، تنافس نحو </w:t>
      </w:r>
      <w:r w:rsidRPr="005C19F0">
        <w:rPr>
          <w:szCs w:val="20"/>
        </w:rPr>
        <w:t>72</w:t>
      </w:r>
      <w:r>
        <w:rPr>
          <w:rFonts w:ascii="Traditional Arabic"/>
          <w:szCs w:val="20"/>
          <w:rtl/>
        </w:rPr>
        <w:t xml:space="preserve"> </w:t>
      </w:r>
      <w:r w:rsidRPr="008B7C8B">
        <w:rPr>
          <w:rtl/>
        </w:rPr>
        <w:t xml:space="preserve">في المائة </w:t>
      </w:r>
      <w:r>
        <w:rPr>
          <w:rtl/>
        </w:rPr>
        <w:t xml:space="preserve">من الفنلنديين الذين تبلغ أعمارهم </w:t>
      </w:r>
      <w:r w:rsidRPr="005C19F0">
        <w:rPr>
          <w:szCs w:val="20"/>
          <w:rtl/>
        </w:rPr>
        <w:t>15</w:t>
      </w:r>
      <w:r>
        <w:rPr>
          <w:rtl/>
        </w:rPr>
        <w:t xml:space="preserve"> عاما</w:t>
      </w:r>
      <w:r w:rsidR="008D2046">
        <w:rPr>
          <w:rFonts w:hint="cs"/>
          <w:rtl/>
        </w:rPr>
        <w:t>ً</w:t>
      </w:r>
      <w:r>
        <w:rPr>
          <w:rtl/>
        </w:rPr>
        <w:t xml:space="preserve"> على الأقل من أجل الحصول على مؤهل ما بعد الأساسي في</w:t>
      </w:r>
      <w:r>
        <w:rPr>
          <w:rtl/>
          <w:lang w:val="fr-CH"/>
        </w:rPr>
        <w:t xml:space="preserve"> نظام</w:t>
      </w:r>
      <w:r>
        <w:rPr>
          <w:rtl/>
        </w:rPr>
        <w:t xml:space="preserve"> التعليم الثانوي العالي أو نظام التعليم الثانوي المهني أو في جامعة أو جامعة للعلوم التطبيقية. ومن بين جميع السكان الذين تبلغ أعمارهم </w:t>
      </w:r>
      <w:r w:rsidRPr="005C19F0">
        <w:rPr>
          <w:szCs w:val="20"/>
          <w:rtl/>
        </w:rPr>
        <w:t>15</w:t>
      </w:r>
      <w:r>
        <w:rPr>
          <w:rtl/>
        </w:rPr>
        <w:t xml:space="preserve"> سنة على الأقل، حصل نحو </w:t>
      </w:r>
      <w:r w:rsidRPr="005C19F0">
        <w:rPr>
          <w:szCs w:val="20"/>
          <w:rtl/>
        </w:rPr>
        <w:t>40</w:t>
      </w:r>
      <w:r>
        <w:rPr>
          <w:rtl/>
        </w:rPr>
        <w:t xml:space="preserve"> في المائة منهم على مؤهل ثانوي عالٍ وحصل نحو </w:t>
      </w:r>
      <w:r w:rsidRPr="005C19F0">
        <w:rPr>
          <w:szCs w:val="20"/>
          <w:rtl/>
        </w:rPr>
        <w:t>31</w:t>
      </w:r>
      <w:r>
        <w:rPr>
          <w:rtl/>
        </w:rPr>
        <w:t xml:space="preserve"> في المائة منهم على مؤهل جامعي.</w:t>
      </w:r>
    </w:p>
    <w:p w14:paraId="0CF1DF76" w14:textId="2B0A01F4" w:rsidR="00A0227D" w:rsidRPr="009B1F51" w:rsidRDefault="00A0227D" w:rsidP="001C3228">
      <w:pPr>
        <w:pStyle w:val="SingleTxtGA"/>
        <w:rPr>
          <w:szCs w:val="20"/>
          <w:lang w:val="ar-SA" w:eastAsia="zh-TW" w:bidi="en-GB"/>
        </w:rPr>
      </w:pPr>
      <w:r w:rsidRPr="005C19F0">
        <w:rPr>
          <w:szCs w:val="20"/>
          <w:rtl/>
        </w:rPr>
        <w:t>85</w:t>
      </w:r>
      <w:r w:rsidRPr="00EF3655">
        <w:rPr>
          <w:rtl/>
        </w:rPr>
        <w:t>-</w:t>
      </w:r>
      <w:r>
        <w:rPr>
          <w:rtl/>
        </w:rPr>
        <w:tab/>
      </w:r>
      <w:r>
        <w:rPr>
          <w:rtl/>
          <w:lang w:val="fr-CH"/>
        </w:rPr>
        <w:t>و</w:t>
      </w:r>
      <w:r>
        <w:rPr>
          <w:rtl/>
        </w:rPr>
        <w:t xml:space="preserve">في العام الدراسي </w:t>
      </w:r>
      <w:r w:rsidRPr="005C19F0">
        <w:rPr>
          <w:szCs w:val="20"/>
          <w:rtl/>
        </w:rPr>
        <w:t>2017</w:t>
      </w:r>
      <w:r w:rsidRPr="00EF3655">
        <w:rPr>
          <w:rtl/>
        </w:rPr>
        <w:t>-</w:t>
      </w:r>
      <w:r w:rsidRPr="005C19F0">
        <w:rPr>
          <w:szCs w:val="20"/>
          <w:rtl/>
        </w:rPr>
        <w:t>2018</w:t>
      </w:r>
      <w:r>
        <w:rPr>
          <w:rtl/>
        </w:rPr>
        <w:t xml:space="preserve">، انقطع عن الدراسة ما مجموعه </w:t>
      </w:r>
      <w:r w:rsidRPr="005C19F0">
        <w:rPr>
          <w:szCs w:val="20"/>
          <w:rtl/>
        </w:rPr>
        <w:t>510</w:t>
      </w:r>
      <w:r>
        <w:rPr>
          <w:rtl/>
        </w:rPr>
        <w:t xml:space="preserve"> من تلاميذ التعليم </w:t>
      </w:r>
      <w:r w:rsidRPr="000A1C86">
        <w:rPr>
          <w:spacing w:val="-2"/>
          <w:rtl/>
        </w:rPr>
        <w:t xml:space="preserve">الأساسي في فنلندا. فالتلاميذ الذين تخلفوا تماماً عن الالتحاق بالتعليم الإلزامي في الفصل الدراسي لفترة الربيع، بلغ عددهم </w:t>
      </w:r>
      <w:r w:rsidRPr="000A1C86">
        <w:rPr>
          <w:spacing w:val="-2"/>
          <w:szCs w:val="20"/>
          <w:rtl/>
        </w:rPr>
        <w:t>64</w:t>
      </w:r>
      <w:r w:rsidRPr="000A1C86">
        <w:rPr>
          <w:spacing w:val="-2"/>
          <w:rtl/>
        </w:rPr>
        <w:t xml:space="preserve"> تلميذاً، أما التلاميذ الذين تجاوز سنهم سن التعليم الإلزامي وتركوا المدرسة دون الحصول على شهادة التعليم الأساسي فكان عددهم </w:t>
      </w:r>
      <w:r w:rsidRPr="000A1C86">
        <w:rPr>
          <w:spacing w:val="-2"/>
          <w:szCs w:val="20"/>
          <w:rtl/>
        </w:rPr>
        <w:t>436</w:t>
      </w:r>
      <w:r w:rsidRPr="000A1C86">
        <w:rPr>
          <w:spacing w:val="-2"/>
          <w:rtl/>
        </w:rPr>
        <w:t xml:space="preserve"> تلميذاً. وبلغت نسبة البنات </w:t>
      </w:r>
      <w:r w:rsidRPr="000A1C86">
        <w:rPr>
          <w:spacing w:val="-2"/>
          <w:szCs w:val="20"/>
          <w:rtl/>
        </w:rPr>
        <w:t>37</w:t>
      </w:r>
      <w:r w:rsidRPr="000A1C86">
        <w:rPr>
          <w:spacing w:val="-2"/>
          <w:rtl/>
        </w:rPr>
        <w:t xml:space="preserve"> في المائة</w:t>
      </w:r>
      <w:r>
        <w:rPr>
          <w:rtl/>
        </w:rPr>
        <w:t xml:space="preserve"> </w:t>
      </w:r>
      <w:r>
        <w:rPr>
          <w:rtl/>
        </w:rPr>
        <w:lastRenderedPageBreak/>
        <w:t>من</w:t>
      </w:r>
      <w:r w:rsidR="000A1C86">
        <w:rPr>
          <w:rFonts w:hint="cs"/>
          <w:rtl/>
        </w:rPr>
        <w:t> </w:t>
      </w:r>
      <w:r>
        <w:rPr>
          <w:rtl/>
        </w:rPr>
        <w:t xml:space="preserve">جميع المتسربين من التعليم الأساسي، حيث لم تلتحق </w:t>
      </w:r>
      <w:r w:rsidRPr="005C19F0">
        <w:rPr>
          <w:szCs w:val="20"/>
          <w:rtl/>
        </w:rPr>
        <w:t>33</w:t>
      </w:r>
      <w:r>
        <w:rPr>
          <w:rtl/>
        </w:rPr>
        <w:t xml:space="preserve"> بنتاً بالتعليم الإلزامي، وتركت </w:t>
      </w:r>
      <w:r w:rsidRPr="005C19F0">
        <w:rPr>
          <w:szCs w:val="20"/>
          <w:rtl/>
        </w:rPr>
        <w:t>157</w:t>
      </w:r>
      <w:r>
        <w:rPr>
          <w:rtl/>
        </w:rPr>
        <w:t xml:space="preserve"> بنتاً المدرسة دون الحصول على شهادة التعليم الأساسي.</w:t>
      </w:r>
    </w:p>
    <w:p w14:paraId="36167514" w14:textId="0641AA15" w:rsidR="00A0227D" w:rsidRPr="009B1F51" w:rsidRDefault="00A0227D" w:rsidP="001C3228">
      <w:pPr>
        <w:pStyle w:val="SingleTxtGA"/>
        <w:rPr>
          <w:szCs w:val="20"/>
          <w:lang w:val="ar-SA" w:eastAsia="zh-TW" w:bidi="en-GB"/>
        </w:rPr>
      </w:pPr>
      <w:r w:rsidRPr="005C19F0">
        <w:rPr>
          <w:szCs w:val="20"/>
          <w:rtl/>
        </w:rPr>
        <w:t>86</w:t>
      </w:r>
      <w:r w:rsidRPr="00EF3655">
        <w:rPr>
          <w:rtl/>
        </w:rPr>
        <w:t>-</w:t>
      </w:r>
      <w:r>
        <w:rPr>
          <w:rtl/>
        </w:rPr>
        <w:tab/>
      </w:r>
      <w:r>
        <w:rPr>
          <w:rtl/>
          <w:lang w:val="fr-CH"/>
        </w:rPr>
        <w:t>و</w:t>
      </w:r>
      <w:r>
        <w:rPr>
          <w:rtl/>
        </w:rPr>
        <w:t xml:space="preserve">في التعليم الجامعي، تسربت نسبة </w:t>
      </w:r>
      <w:r w:rsidRPr="005C19F0">
        <w:rPr>
          <w:szCs w:val="20"/>
          <w:rtl/>
        </w:rPr>
        <w:t>5</w:t>
      </w:r>
      <w:r w:rsidR="00612275">
        <w:rPr>
          <w:rFonts w:ascii="Traditional Arabic"/>
          <w:szCs w:val="20"/>
          <w:rtl/>
        </w:rPr>
        <w:t>,</w:t>
      </w:r>
      <w:r w:rsidRPr="005C19F0">
        <w:rPr>
          <w:szCs w:val="20"/>
          <w:rtl/>
        </w:rPr>
        <w:t>1</w:t>
      </w:r>
      <w:r>
        <w:rPr>
          <w:rFonts w:ascii="Traditional Arabic"/>
          <w:szCs w:val="20"/>
          <w:rtl/>
        </w:rPr>
        <w:t xml:space="preserve"> </w:t>
      </w:r>
      <w:r w:rsidRPr="00612275">
        <w:rPr>
          <w:rtl/>
        </w:rPr>
        <w:t xml:space="preserve">في المائة </w:t>
      </w:r>
      <w:r w:rsidRPr="00B94647">
        <w:rPr>
          <w:rtl/>
        </w:rPr>
        <w:t>من الطلاب</w:t>
      </w:r>
      <w:r>
        <w:rPr>
          <w:rtl/>
        </w:rPr>
        <w:t xml:space="preserve"> من التعليم دون أن يلتحقوا بأي تعليم جامعي آخر في العام الدراسي </w:t>
      </w:r>
      <w:r w:rsidRPr="005C19F0">
        <w:rPr>
          <w:szCs w:val="20"/>
          <w:rtl/>
        </w:rPr>
        <w:t>2016</w:t>
      </w:r>
      <w:r w:rsidRPr="00EF3655">
        <w:rPr>
          <w:rtl/>
        </w:rPr>
        <w:t>-</w:t>
      </w:r>
      <w:r w:rsidRPr="005C19F0">
        <w:rPr>
          <w:szCs w:val="20"/>
          <w:rtl/>
        </w:rPr>
        <w:t>2017</w:t>
      </w:r>
      <w:r w:rsidRPr="00612275">
        <w:rPr>
          <w:rtl/>
        </w:rPr>
        <w:t>.</w:t>
      </w:r>
      <w:r>
        <w:rPr>
          <w:rtl/>
        </w:rPr>
        <w:t xml:space="preserve"> و</w:t>
      </w:r>
      <w:r w:rsidRPr="00B94647">
        <w:rPr>
          <w:rtl/>
        </w:rPr>
        <w:t xml:space="preserve">في العام الدراسي </w:t>
      </w:r>
      <w:r w:rsidRPr="005C19F0">
        <w:rPr>
          <w:szCs w:val="20"/>
          <w:rtl/>
        </w:rPr>
        <w:t>2016</w:t>
      </w:r>
      <w:r w:rsidRPr="00EF3655">
        <w:rPr>
          <w:rtl/>
        </w:rPr>
        <w:t>-</w:t>
      </w:r>
      <w:r w:rsidRPr="005C19F0">
        <w:rPr>
          <w:szCs w:val="20"/>
          <w:rtl/>
        </w:rPr>
        <w:t>2017</w:t>
      </w:r>
      <w:r>
        <w:rPr>
          <w:rtl/>
        </w:rPr>
        <w:t>، بلغ معدل تسرب طلاب التعليم</w:t>
      </w:r>
      <w:r w:rsidRPr="00B94647">
        <w:rPr>
          <w:rtl/>
        </w:rPr>
        <w:t xml:space="preserve"> الثانوي العام</w:t>
      </w:r>
      <w:r>
        <w:rPr>
          <w:rtl/>
        </w:rPr>
        <w:t xml:space="preserve"> </w:t>
      </w:r>
      <w:r w:rsidRPr="005C19F0">
        <w:rPr>
          <w:szCs w:val="20"/>
          <w:rtl/>
        </w:rPr>
        <w:t>3</w:t>
      </w:r>
      <w:r w:rsidR="00612275">
        <w:rPr>
          <w:rFonts w:ascii="Traditional Arabic"/>
          <w:szCs w:val="20"/>
          <w:rtl/>
        </w:rPr>
        <w:t>,</w:t>
      </w:r>
      <w:r w:rsidRPr="005C19F0">
        <w:rPr>
          <w:szCs w:val="20"/>
          <w:rtl/>
        </w:rPr>
        <w:t>1</w:t>
      </w:r>
      <w:r w:rsidRPr="00612275">
        <w:rPr>
          <w:rtl/>
        </w:rPr>
        <w:t xml:space="preserve"> </w:t>
      </w:r>
      <w:r>
        <w:rPr>
          <w:rtl/>
        </w:rPr>
        <w:t xml:space="preserve">في المائة، ومعدل تسرب طلاب التعليم الثانوي المهني </w:t>
      </w:r>
      <w:r w:rsidRPr="005C19F0">
        <w:rPr>
          <w:szCs w:val="20"/>
          <w:rtl/>
        </w:rPr>
        <w:t>7</w:t>
      </w:r>
      <w:r w:rsidR="00612275">
        <w:rPr>
          <w:rFonts w:ascii="Traditional Arabic"/>
          <w:szCs w:val="20"/>
          <w:rtl/>
        </w:rPr>
        <w:t>,</w:t>
      </w:r>
      <w:r w:rsidRPr="005C19F0">
        <w:rPr>
          <w:szCs w:val="20"/>
          <w:rtl/>
        </w:rPr>
        <w:t>4</w:t>
      </w:r>
      <w:r>
        <w:rPr>
          <w:rtl/>
        </w:rPr>
        <w:t xml:space="preserve"> في المائة، ومعدل تسرب طلاب جامعات العلوم التطبيقية </w:t>
      </w:r>
      <w:r w:rsidRPr="005C19F0">
        <w:rPr>
          <w:szCs w:val="20"/>
          <w:rtl/>
        </w:rPr>
        <w:t>7</w:t>
      </w:r>
      <w:r w:rsidR="00612275">
        <w:rPr>
          <w:rFonts w:ascii="Traditional Arabic"/>
          <w:szCs w:val="20"/>
          <w:rtl/>
        </w:rPr>
        <w:t>,</w:t>
      </w:r>
      <w:r w:rsidRPr="005C19F0">
        <w:rPr>
          <w:szCs w:val="20"/>
          <w:rtl/>
        </w:rPr>
        <w:t>3</w:t>
      </w:r>
      <w:r>
        <w:rPr>
          <w:rtl/>
        </w:rPr>
        <w:t xml:space="preserve"> في المائة، وطلاب الجامعات </w:t>
      </w:r>
      <w:r w:rsidRPr="005C19F0">
        <w:rPr>
          <w:szCs w:val="20"/>
          <w:rtl/>
        </w:rPr>
        <w:t>5</w:t>
      </w:r>
      <w:r w:rsidR="00612275">
        <w:rPr>
          <w:rFonts w:ascii="Traditional Arabic"/>
          <w:szCs w:val="20"/>
          <w:rtl/>
        </w:rPr>
        <w:t>,</w:t>
      </w:r>
      <w:r w:rsidRPr="005C19F0">
        <w:rPr>
          <w:szCs w:val="20"/>
          <w:rtl/>
        </w:rPr>
        <w:t>9</w:t>
      </w:r>
      <w:r>
        <w:rPr>
          <w:rtl/>
        </w:rPr>
        <w:t xml:space="preserve"> في المائة </w:t>
      </w:r>
      <w:r w:rsidRPr="00794E95">
        <w:rPr>
          <w:rtl/>
        </w:rPr>
        <w:t>(</w:t>
      </w:r>
      <w:r>
        <w:rPr>
          <w:rtl/>
        </w:rPr>
        <w:t>درجتا البكالوريوس والماجستير</w:t>
      </w:r>
      <w:r w:rsidRPr="00794E95">
        <w:rPr>
          <w:rtl/>
        </w:rPr>
        <w:t>)</w:t>
      </w:r>
      <w:r>
        <w:rPr>
          <w:rtl/>
        </w:rPr>
        <w:t>.</w:t>
      </w:r>
    </w:p>
    <w:p w14:paraId="1696577C" w14:textId="43ABFFA3" w:rsidR="00A0227D" w:rsidRPr="009B1F51" w:rsidRDefault="00A0227D" w:rsidP="001C3228">
      <w:pPr>
        <w:pStyle w:val="SingleTxtGA"/>
        <w:rPr>
          <w:szCs w:val="20"/>
          <w:lang w:val="ar-SA" w:eastAsia="zh-TW" w:bidi="en-GB"/>
        </w:rPr>
      </w:pPr>
      <w:r w:rsidRPr="005C19F0">
        <w:rPr>
          <w:szCs w:val="20"/>
          <w:rtl/>
        </w:rPr>
        <w:t>87</w:t>
      </w:r>
      <w:r w:rsidRPr="00EF3655">
        <w:rPr>
          <w:rtl/>
        </w:rPr>
        <w:t>-</w:t>
      </w:r>
      <w:r>
        <w:rPr>
          <w:rtl/>
        </w:rPr>
        <w:tab/>
        <w:t xml:space="preserve">واستناداً إلى إحصائيات عام </w:t>
      </w:r>
      <w:r w:rsidRPr="005C19F0">
        <w:rPr>
          <w:szCs w:val="20"/>
          <w:rtl/>
        </w:rPr>
        <w:t>2016</w:t>
      </w:r>
      <w:r>
        <w:rPr>
          <w:rtl/>
        </w:rPr>
        <w:t xml:space="preserve">، كان متوسط حجم مجموعة التدريس في السنوات </w:t>
      </w:r>
      <w:r w:rsidRPr="00183CC6">
        <w:rPr>
          <w:rtl/>
        </w:rPr>
        <w:t>من الأولى إلى السادسة</w:t>
      </w:r>
      <w:r>
        <w:rPr>
          <w:rtl/>
        </w:rPr>
        <w:t xml:space="preserve"> من التعليم الأساسي </w:t>
      </w:r>
      <w:r w:rsidRPr="005C19F0">
        <w:rPr>
          <w:szCs w:val="20"/>
          <w:rtl/>
        </w:rPr>
        <w:t>19</w:t>
      </w:r>
      <w:r w:rsidR="00612275">
        <w:rPr>
          <w:rFonts w:ascii="Traditional Arabic"/>
          <w:szCs w:val="20"/>
          <w:rtl/>
        </w:rPr>
        <w:t>,</w:t>
      </w:r>
      <w:r w:rsidRPr="005C19F0">
        <w:rPr>
          <w:szCs w:val="20"/>
          <w:rtl/>
        </w:rPr>
        <w:t>4</w:t>
      </w:r>
      <w:r>
        <w:rPr>
          <w:rtl/>
        </w:rPr>
        <w:t xml:space="preserve"> تلميذاً لكل مجموعة. ويشمل هذا الرقم فصول التعليم </w:t>
      </w:r>
      <w:r w:rsidRPr="008D2046">
        <w:rPr>
          <w:spacing w:val="-4"/>
          <w:rtl/>
        </w:rPr>
        <w:t xml:space="preserve">ما قبل الابتدائي والفصول المتعددة الصفوف. وباستبعاد هذه الفصول، يكون متوسط حجم المجموعة </w:t>
      </w:r>
      <w:r w:rsidRPr="008D2046">
        <w:rPr>
          <w:spacing w:val="-4"/>
          <w:szCs w:val="20"/>
          <w:rtl/>
        </w:rPr>
        <w:t>20</w:t>
      </w:r>
      <w:r w:rsidR="00612275" w:rsidRPr="008D2046">
        <w:rPr>
          <w:rFonts w:ascii="Traditional Arabic"/>
          <w:spacing w:val="-4"/>
          <w:szCs w:val="20"/>
          <w:rtl/>
        </w:rPr>
        <w:t>,</w:t>
      </w:r>
      <w:r w:rsidRPr="008D2046">
        <w:rPr>
          <w:spacing w:val="-4"/>
          <w:szCs w:val="20"/>
          <w:rtl/>
        </w:rPr>
        <w:t>1</w:t>
      </w:r>
      <w:r>
        <w:rPr>
          <w:rtl/>
        </w:rPr>
        <w:t xml:space="preserve"> تلميذاً. ويزداد متوسط حجم مجموعة التدريس باطراد من السنوات الدنيا إلى العليا، وتكون أصغر المجموعات حجماً في السنة الأولى </w:t>
      </w:r>
      <w:r w:rsidRPr="00794E95">
        <w:rPr>
          <w:rtl/>
        </w:rPr>
        <w:t>(</w:t>
      </w:r>
      <w:r w:rsidRPr="005C19F0">
        <w:rPr>
          <w:szCs w:val="20"/>
          <w:rtl/>
        </w:rPr>
        <w:t>19</w:t>
      </w:r>
      <w:r w:rsidR="00612275">
        <w:rPr>
          <w:rFonts w:ascii="Traditional Arabic"/>
          <w:szCs w:val="20"/>
          <w:rtl/>
        </w:rPr>
        <w:t>,</w:t>
      </w:r>
      <w:r w:rsidRPr="005C19F0">
        <w:rPr>
          <w:szCs w:val="20"/>
          <w:rtl/>
        </w:rPr>
        <w:t>0</w:t>
      </w:r>
      <w:r>
        <w:rPr>
          <w:rtl/>
        </w:rPr>
        <w:t xml:space="preserve"> تلميذاً لكل مجموعة</w:t>
      </w:r>
      <w:r w:rsidRPr="00794E95">
        <w:rPr>
          <w:rtl/>
        </w:rPr>
        <w:t>)</w:t>
      </w:r>
      <w:r>
        <w:rPr>
          <w:rtl/>
        </w:rPr>
        <w:t xml:space="preserve"> وأكبر المجموعات حجما</w:t>
      </w:r>
      <w:r w:rsidR="001C3228">
        <w:rPr>
          <w:rFonts w:hint="cs"/>
          <w:rtl/>
        </w:rPr>
        <w:t>ً</w:t>
      </w:r>
      <w:r>
        <w:rPr>
          <w:rtl/>
        </w:rPr>
        <w:t xml:space="preserve"> في السنة السادسة </w:t>
      </w:r>
      <w:r w:rsidRPr="00794E95">
        <w:rPr>
          <w:rtl/>
        </w:rPr>
        <w:t>(</w:t>
      </w:r>
      <w:r w:rsidRPr="005C19F0">
        <w:rPr>
          <w:szCs w:val="20"/>
          <w:rtl/>
        </w:rPr>
        <w:t>20</w:t>
      </w:r>
      <w:r w:rsidR="00612275">
        <w:rPr>
          <w:rFonts w:ascii="Traditional Arabic"/>
          <w:szCs w:val="20"/>
          <w:rtl/>
        </w:rPr>
        <w:t>,</w:t>
      </w:r>
      <w:r w:rsidRPr="005C19F0">
        <w:rPr>
          <w:szCs w:val="20"/>
          <w:rtl/>
        </w:rPr>
        <w:t>9</w:t>
      </w:r>
      <w:r>
        <w:rPr>
          <w:rtl/>
        </w:rPr>
        <w:t xml:space="preserve"> تلميذاً لكل مجموعة</w:t>
      </w:r>
      <w:r w:rsidRPr="00794E95">
        <w:rPr>
          <w:rtl/>
        </w:rPr>
        <w:t>)</w:t>
      </w:r>
      <w:r>
        <w:rPr>
          <w:rtl/>
        </w:rPr>
        <w:t>.</w:t>
      </w:r>
    </w:p>
    <w:p w14:paraId="20A6F402" w14:textId="173F482C" w:rsidR="00A0227D" w:rsidRPr="00A215B8" w:rsidRDefault="00A0227D" w:rsidP="001C3228">
      <w:pPr>
        <w:pStyle w:val="SingleTxtGA"/>
        <w:rPr>
          <w:spacing w:val="-2"/>
          <w:szCs w:val="20"/>
          <w:rtl/>
          <w:lang w:eastAsia="zh-TW"/>
        </w:rPr>
      </w:pPr>
      <w:r w:rsidRPr="00A215B8">
        <w:rPr>
          <w:spacing w:val="-2"/>
          <w:szCs w:val="20"/>
          <w:rtl/>
        </w:rPr>
        <w:t>88</w:t>
      </w:r>
      <w:r w:rsidRPr="00A215B8">
        <w:rPr>
          <w:spacing w:val="-2"/>
          <w:rtl/>
        </w:rPr>
        <w:t>-</w:t>
      </w:r>
      <w:r w:rsidRPr="00A215B8">
        <w:rPr>
          <w:spacing w:val="-2"/>
          <w:rtl/>
        </w:rPr>
        <w:tab/>
        <w:t xml:space="preserve">وظل متوسط حجم مجموعات التدريس دون تغيير إلى حد ما منذ عام </w:t>
      </w:r>
      <w:r w:rsidRPr="00A215B8">
        <w:rPr>
          <w:spacing w:val="-2"/>
          <w:szCs w:val="20"/>
          <w:rtl/>
        </w:rPr>
        <w:t>2010</w:t>
      </w:r>
      <w:r w:rsidRPr="00A215B8">
        <w:rPr>
          <w:spacing w:val="-2"/>
          <w:rtl/>
        </w:rPr>
        <w:t>، رغم أن أحجام المجموعات ازدادت في السنتين الأولى والثانية وفي التعليم قبل الابتدائي وتقلصت في السنوات من الثالثة إلى السادسة</w:t>
      </w:r>
      <w:r w:rsidRPr="00A215B8">
        <w:rPr>
          <w:rFonts w:ascii="Traditional Arabic"/>
          <w:spacing w:val="-2"/>
          <w:szCs w:val="20"/>
          <w:rtl/>
        </w:rPr>
        <w:t>.</w:t>
      </w:r>
      <w:r w:rsidRPr="00A215B8">
        <w:rPr>
          <w:spacing w:val="-2"/>
          <w:rtl/>
        </w:rPr>
        <w:t xml:space="preserve"> وبالمقارنة مع عام </w:t>
      </w:r>
      <w:r w:rsidRPr="00A215B8">
        <w:rPr>
          <w:spacing w:val="-2"/>
          <w:szCs w:val="20"/>
          <w:rtl/>
        </w:rPr>
        <w:t>2013</w:t>
      </w:r>
      <w:r w:rsidRPr="00A215B8">
        <w:rPr>
          <w:spacing w:val="-2"/>
          <w:rtl/>
        </w:rPr>
        <w:t>، زاد حجم مجموعة التدريس</w:t>
      </w:r>
      <w:r w:rsidR="00507B18" w:rsidRPr="00A215B8">
        <w:rPr>
          <w:spacing w:val="-2"/>
          <w:rtl/>
        </w:rPr>
        <w:t xml:space="preserve"> </w:t>
      </w:r>
      <w:r w:rsidRPr="00A215B8">
        <w:rPr>
          <w:spacing w:val="-2"/>
          <w:rtl/>
        </w:rPr>
        <w:t xml:space="preserve">في السنوات من الأولى إلى السادسة بمتوسط </w:t>
      </w:r>
      <w:r w:rsidRPr="00A215B8">
        <w:rPr>
          <w:spacing w:val="-2"/>
          <w:szCs w:val="20"/>
          <w:rtl/>
        </w:rPr>
        <w:t>0</w:t>
      </w:r>
      <w:r w:rsidR="00612275" w:rsidRPr="00A215B8">
        <w:rPr>
          <w:rFonts w:ascii="Traditional Arabic"/>
          <w:spacing w:val="-2"/>
          <w:szCs w:val="20"/>
          <w:rtl/>
        </w:rPr>
        <w:t>,</w:t>
      </w:r>
      <w:r w:rsidRPr="00A215B8">
        <w:rPr>
          <w:spacing w:val="-2"/>
          <w:szCs w:val="20"/>
          <w:rtl/>
        </w:rPr>
        <w:t>4</w:t>
      </w:r>
      <w:r w:rsidRPr="00A215B8">
        <w:rPr>
          <w:spacing w:val="-2"/>
          <w:rtl/>
        </w:rPr>
        <w:t xml:space="preserve"> تلميذاً ولكنه انخفض في السنوات من السابعة إلى التاسعة بمتوسط </w:t>
      </w:r>
      <w:r w:rsidRPr="00A215B8">
        <w:rPr>
          <w:spacing w:val="-2"/>
          <w:szCs w:val="20"/>
          <w:rtl/>
        </w:rPr>
        <w:t>0</w:t>
      </w:r>
      <w:r w:rsidR="00612275" w:rsidRPr="00A215B8">
        <w:rPr>
          <w:rFonts w:ascii="Traditional Arabic"/>
          <w:spacing w:val="-2"/>
          <w:szCs w:val="20"/>
          <w:rtl/>
        </w:rPr>
        <w:t>,</w:t>
      </w:r>
      <w:r w:rsidRPr="00A215B8">
        <w:rPr>
          <w:spacing w:val="-2"/>
          <w:szCs w:val="20"/>
          <w:rtl/>
        </w:rPr>
        <w:t>6</w:t>
      </w:r>
      <w:r w:rsidRPr="00A215B8">
        <w:rPr>
          <w:spacing w:val="-2"/>
          <w:rtl/>
        </w:rPr>
        <w:t xml:space="preserve"> تلميذاً.</w:t>
      </w:r>
    </w:p>
    <w:p w14:paraId="3FEBC0E6" w14:textId="77777777" w:rsidR="00A0227D" w:rsidRPr="00C726A7" w:rsidRDefault="00A0227D" w:rsidP="001C3228">
      <w:pPr>
        <w:pStyle w:val="SingleTxtGA"/>
        <w:rPr>
          <w:szCs w:val="20"/>
          <w:lang w:eastAsia="zh-TW" w:bidi="en-GB"/>
        </w:rPr>
      </w:pPr>
      <w:r w:rsidRPr="005C19F0">
        <w:rPr>
          <w:szCs w:val="20"/>
          <w:rtl/>
        </w:rPr>
        <w:t>89</w:t>
      </w:r>
      <w:r w:rsidRPr="00EF3655">
        <w:rPr>
          <w:rtl/>
        </w:rPr>
        <w:t>-</w:t>
      </w:r>
      <w:r>
        <w:rPr>
          <w:rtl/>
        </w:rPr>
        <w:tab/>
        <w:t xml:space="preserve">ووُضعت أحكام قانونية تتعلق بالتوظيف في مجال التعليم والرعاية في مرحلة الطفولة المبكرة تشترط أن تكون نسبة الموظفين إلى الأطفال دون سن الثالثة في الرعاية النهارية </w:t>
      </w:r>
      <w:r w:rsidRPr="005C19F0">
        <w:rPr>
          <w:szCs w:val="20"/>
          <w:rtl/>
        </w:rPr>
        <w:t>4</w:t>
      </w:r>
      <w:r w:rsidRPr="00BB79C1">
        <w:rPr>
          <w:rtl/>
        </w:rPr>
        <w:t>:</w:t>
      </w:r>
      <w:r w:rsidRPr="005C19F0">
        <w:rPr>
          <w:szCs w:val="20"/>
          <w:rtl/>
        </w:rPr>
        <w:t>1</w:t>
      </w:r>
      <w:r w:rsidRPr="00C777F6">
        <w:rPr>
          <w:rtl/>
        </w:rPr>
        <w:t>،</w:t>
      </w:r>
      <w:r>
        <w:rPr>
          <w:rFonts w:ascii="Traditional Arabic"/>
          <w:szCs w:val="20"/>
          <w:rtl/>
        </w:rPr>
        <w:t xml:space="preserve"> </w:t>
      </w:r>
      <w:r>
        <w:rPr>
          <w:rtl/>
        </w:rPr>
        <w:t xml:space="preserve">ونسبة الموظفين إلى الأطفال في سن الثالثة وما فوق </w:t>
      </w:r>
      <w:r w:rsidRPr="005C19F0">
        <w:rPr>
          <w:szCs w:val="20"/>
          <w:rtl/>
        </w:rPr>
        <w:t>8</w:t>
      </w:r>
      <w:r w:rsidRPr="00BB79C1">
        <w:rPr>
          <w:rtl/>
        </w:rPr>
        <w:t>:</w:t>
      </w:r>
      <w:r w:rsidRPr="005C19F0">
        <w:rPr>
          <w:szCs w:val="20"/>
          <w:rtl/>
        </w:rPr>
        <w:t>1</w:t>
      </w:r>
      <w:r>
        <w:rPr>
          <w:rtl/>
        </w:rPr>
        <w:t>. ولا يجوز أن يكون لدى الأسر التي تقدم الرعاية النهارية أكثر من أربعة أطفال في حالة الرعاية بدوام كامل، بالإضافة إلى طفل واحد إما في مرحلة ما قبل التعليم الابتدائي أو في السنوات الأولى من التعليم الإلزامي.</w:t>
      </w:r>
    </w:p>
    <w:p w14:paraId="52541F08" w14:textId="3378A1F2" w:rsidR="00A0227D" w:rsidRPr="009B1F51" w:rsidRDefault="00A0227D" w:rsidP="001C3228">
      <w:pPr>
        <w:pStyle w:val="SingleTxtGA"/>
        <w:rPr>
          <w:szCs w:val="20"/>
          <w:lang w:val="ar-SA" w:eastAsia="zh-TW" w:bidi="en-GB"/>
        </w:rPr>
      </w:pPr>
      <w:r w:rsidRPr="005C19F0">
        <w:rPr>
          <w:szCs w:val="20"/>
          <w:rtl/>
        </w:rPr>
        <w:t>90</w:t>
      </w:r>
      <w:r w:rsidRPr="00EF3655">
        <w:rPr>
          <w:rtl/>
        </w:rPr>
        <w:t>-</w:t>
      </w:r>
      <w:r>
        <w:rPr>
          <w:rtl/>
        </w:rPr>
        <w:tab/>
      </w:r>
      <w:dir w:val="rtl">
        <w:r>
          <w:rPr>
            <w:rtl/>
          </w:rPr>
          <w:t xml:space="preserve">ويقارب معدل الإلمام بالقراءة والكتابة في فنلندا نسبة </w:t>
        </w:r>
        <w:r w:rsidRPr="005C19F0">
          <w:rPr>
            <w:szCs w:val="20"/>
            <w:rtl/>
          </w:rPr>
          <w:t>100</w:t>
        </w:r>
        <w:r>
          <w:rPr>
            <w:rtl/>
          </w:rPr>
          <w:t xml:space="preserve"> في المائة.</w:t>
        </w:r>
        <w:r>
          <w:rPr>
            <w:rFonts w:cs="Times New Roman" w:hint="cs"/>
            <w:rtl/>
          </w:rPr>
          <w:t>‬</w:t>
        </w:r>
        <w:r>
          <w:t>‬</w:t>
        </w:r>
        <w:r>
          <w:t>‬</w:t>
        </w:r>
        <w:r>
          <w:t>‬</w:t>
        </w:r>
        <w:r>
          <w:t>‬</w:t>
        </w:r>
        <w:r>
          <w:t>‬</w:t>
        </w:r>
        <w:r>
          <w:t>‬</w:t>
        </w:r>
        <w:r>
          <w:t>‬</w:t>
        </w:r>
        <w:r w:rsidR="000A1C86">
          <w:t>‬</w:t>
        </w:r>
      </w:dir>
    </w:p>
    <w:p w14:paraId="003749D5" w14:textId="5248359B" w:rsidR="00A0227D" w:rsidRPr="001C3228" w:rsidRDefault="001C3228" w:rsidP="001C3228">
      <w:pPr>
        <w:pStyle w:val="H23GA"/>
        <w:rPr>
          <w:szCs w:val="20"/>
          <w:lang w:eastAsia="zh-TW" w:bidi="en-GB"/>
        </w:rPr>
      </w:pPr>
      <w:bookmarkStart w:id="24" w:name="_Toc32364287"/>
      <w:r>
        <w:rPr>
          <w:rtl/>
        </w:rPr>
        <w:tab/>
      </w:r>
      <w:r w:rsidR="00A0227D" w:rsidRPr="00794E95">
        <w:rPr>
          <w:rtl/>
        </w:rPr>
        <w:t>(</w:t>
      </w:r>
      <w:r w:rsidR="00A0227D">
        <w:rPr>
          <w:rtl/>
        </w:rPr>
        <w:t>ز</w:t>
      </w:r>
      <w:r w:rsidR="00A0227D" w:rsidRPr="00794E95">
        <w:rPr>
          <w:rtl/>
        </w:rPr>
        <w:t>)</w:t>
      </w:r>
      <w:r w:rsidR="00A0227D">
        <w:rPr>
          <w:rtl/>
        </w:rPr>
        <w:tab/>
        <w:t>العمالة</w:t>
      </w:r>
      <w:bookmarkEnd w:id="24"/>
    </w:p>
    <w:p w14:paraId="64180E46" w14:textId="54E2D71F" w:rsidR="00A0227D" w:rsidRPr="00C726A7" w:rsidRDefault="00A0227D" w:rsidP="001C3228">
      <w:pPr>
        <w:pStyle w:val="SingleTxtGA"/>
        <w:rPr>
          <w:szCs w:val="20"/>
          <w:lang w:eastAsia="zh-TW" w:bidi="en-GB"/>
        </w:rPr>
      </w:pPr>
      <w:r w:rsidRPr="005C19F0">
        <w:rPr>
          <w:szCs w:val="20"/>
          <w:rtl/>
        </w:rPr>
        <w:t>91</w:t>
      </w:r>
      <w:r w:rsidRPr="00EF3655">
        <w:rPr>
          <w:rtl/>
        </w:rPr>
        <w:t>-</w:t>
      </w:r>
      <w:r>
        <w:rPr>
          <w:rtl/>
        </w:rPr>
        <w:tab/>
        <w:t xml:space="preserve">يتواصل </w:t>
      </w:r>
      <w:r w:rsidRPr="00950E9D">
        <w:rPr>
          <w:rtl/>
        </w:rPr>
        <w:t>في الوقت الراهن</w:t>
      </w:r>
      <w:r w:rsidRPr="00950E9D">
        <w:rPr>
          <w:szCs w:val="20"/>
          <w:rtl/>
        </w:rPr>
        <w:t xml:space="preserve"> </w:t>
      </w:r>
      <w:r>
        <w:rPr>
          <w:rtl/>
        </w:rPr>
        <w:t xml:space="preserve">تزايد عدد سكان فنلندا الذين هم في سن العمل </w:t>
      </w:r>
      <w:r w:rsidRPr="00794E95">
        <w:rPr>
          <w:rtl/>
        </w:rPr>
        <w:t>(</w:t>
      </w:r>
      <w:r>
        <w:rPr>
          <w:rtl/>
        </w:rPr>
        <w:t xml:space="preserve">من عمر </w:t>
      </w:r>
      <w:r w:rsidRPr="005C19F0">
        <w:rPr>
          <w:szCs w:val="20"/>
          <w:rtl/>
        </w:rPr>
        <w:t>15</w:t>
      </w:r>
      <w:r>
        <w:rPr>
          <w:rtl/>
        </w:rPr>
        <w:t xml:space="preserve"> إلى</w:t>
      </w:r>
      <w:r w:rsidR="00C927BD">
        <w:rPr>
          <w:rFonts w:hint="cs"/>
          <w:rtl/>
        </w:rPr>
        <w:t> </w:t>
      </w:r>
      <w:r w:rsidRPr="005C19F0">
        <w:rPr>
          <w:szCs w:val="20"/>
          <w:rtl/>
        </w:rPr>
        <w:t>74</w:t>
      </w:r>
      <w:r>
        <w:rPr>
          <w:rtl/>
        </w:rPr>
        <w:t xml:space="preserve"> سنة</w:t>
      </w:r>
      <w:r w:rsidRPr="00794E95">
        <w:rPr>
          <w:rtl/>
        </w:rPr>
        <w:t>)</w:t>
      </w:r>
      <w:r>
        <w:rPr>
          <w:rtl/>
        </w:rPr>
        <w:t>، وإن كانت هيئة الإحصاء الفنلندية تتوقع أن يصير عددهم في انخفاض ابتداء من عام</w:t>
      </w:r>
      <w:r w:rsidR="00C927BD">
        <w:rPr>
          <w:rFonts w:hint="cs"/>
          <w:rtl/>
        </w:rPr>
        <w:t> </w:t>
      </w:r>
      <w:r w:rsidRPr="005C19F0">
        <w:rPr>
          <w:szCs w:val="20"/>
          <w:rtl/>
        </w:rPr>
        <w:t>2020</w:t>
      </w:r>
      <w:r w:rsidRPr="00C927BD">
        <w:rPr>
          <w:rtl/>
        </w:rPr>
        <w:t>.</w:t>
      </w:r>
      <w:r>
        <w:rPr>
          <w:rtl/>
        </w:rPr>
        <w:t xml:space="preserve"> وهذا يعني أن نسبة متزايدة من السكان الفنلنديين ستتألف في المستقبل من الشباب أو المسنين العاطلين عن العمل. ومن المتوقع أن تشهد نسبة مَن تزيد أعمارهم على </w:t>
      </w:r>
      <w:r w:rsidRPr="005C19F0">
        <w:rPr>
          <w:szCs w:val="20"/>
          <w:rtl/>
        </w:rPr>
        <w:t>74</w:t>
      </w:r>
      <w:r>
        <w:rPr>
          <w:rtl/>
        </w:rPr>
        <w:t xml:space="preserve"> سنة الزيادة الأكبر، بينما تقل نسبة من تتراوح أعمارهم </w:t>
      </w:r>
      <w:r>
        <w:rPr>
          <w:rtl/>
          <w:lang w:bidi="ar-DZ"/>
        </w:rPr>
        <w:t xml:space="preserve">ما </w:t>
      </w:r>
      <w:r>
        <w:rPr>
          <w:rtl/>
        </w:rPr>
        <w:t xml:space="preserve">بين </w:t>
      </w:r>
      <w:r w:rsidRPr="005C19F0">
        <w:rPr>
          <w:szCs w:val="20"/>
          <w:rtl/>
        </w:rPr>
        <w:t>15</w:t>
      </w:r>
      <w:r>
        <w:rPr>
          <w:rtl/>
        </w:rPr>
        <w:t xml:space="preserve"> و</w:t>
      </w:r>
      <w:r w:rsidRPr="005C19F0">
        <w:rPr>
          <w:szCs w:val="20"/>
          <w:rtl/>
        </w:rPr>
        <w:t>64</w:t>
      </w:r>
      <w:r>
        <w:rPr>
          <w:rtl/>
        </w:rPr>
        <w:t xml:space="preserve"> سنة.</w:t>
      </w:r>
    </w:p>
    <w:p w14:paraId="09E87F7B" w14:textId="1EAC186D" w:rsidR="00A0227D" w:rsidRPr="00C927BD" w:rsidRDefault="00A0227D" w:rsidP="00C927BD">
      <w:pPr>
        <w:pStyle w:val="SingleTxtGA"/>
        <w:rPr>
          <w:szCs w:val="20"/>
        </w:rPr>
      </w:pPr>
      <w:r w:rsidRPr="005C19F0">
        <w:rPr>
          <w:szCs w:val="20"/>
          <w:rtl/>
        </w:rPr>
        <w:t>92</w:t>
      </w:r>
      <w:r w:rsidRPr="00EF3655">
        <w:rPr>
          <w:rtl/>
        </w:rPr>
        <w:t>-</w:t>
      </w:r>
      <w:r>
        <w:rPr>
          <w:rtl/>
        </w:rPr>
        <w:tab/>
      </w:r>
      <w:r>
        <w:rPr>
          <w:rtl/>
          <w:lang w:val="fr-CH"/>
        </w:rPr>
        <w:t>و</w:t>
      </w:r>
      <w:r>
        <w:rPr>
          <w:rtl/>
        </w:rPr>
        <w:t xml:space="preserve">في آب/ أغسطس </w:t>
      </w:r>
      <w:r w:rsidRPr="005C19F0">
        <w:rPr>
          <w:szCs w:val="20"/>
          <w:rtl/>
        </w:rPr>
        <w:t>2019</w:t>
      </w:r>
      <w:r>
        <w:rPr>
          <w:rtl/>
        </w:rPr>
        <w:t xml:space="preserve">، كان عدد الأشخاص العاملين في فنلندا </w:t>
      </w:r>
      <w:r w:rsidR="00C927BD">
        <w:rPr>
          <w:rFonts w:hint="cs"/>
          <w:szCs w:val="20"/>
          <w:rtl/>
        </w:rPr>
        <w:t>000 598 2</w:t>
      </w:r>
      <w:r>
        <w:rPr>
          <w:rtl/>
        </w:rPr>
        <w:t xml:space="preserve"> شخصاً </w:t>
      </w:r>
      <w:r w:rsidRPr="00794E95">
        <w:rPr>
          <w:rtl/>
        </w:rPr>
        <w:t>(</w:t>
      </w:r>
      <w:r>
        <w:rPr>
          <w:rtl/>
          <w:lang w:val="fr-CH"/>
        </w:rPr>
        <w:t>ب</w:t>
      </w:r>
      <w:r>
        <w:rPr>
          <w:rtl/>
        </w:rPr>
        <w:t xml:space="preserve">هامش خطأ ± </w:t>
      </w:r>
      <w:r w:rsidR="00C927BD">
        <w:rPr>
          <w:rFonts w:hint="cs"/>
          <w:szCs w:val="20"/>
          <w:rtl/>
        </w:rPr>
        <w:t>000 34</w:t>
      </w:r>
      <w:r w:rsidRPr="00794E95">
        <w:rPr>
          <w:rtl/>
        </w:rPr>
        <w:t>)</w:t>
      </w:r>
      <w:r>
        <w:rPr>
          <w:rtl/>
        </w:rPr>
        <w:t xml:space="preserve">، وهو ما يزيد بمقدار </w:t>
      </w:r>
      <w:r w:rsidR="00C927BD">
        <w:rPr>
          <w:rFonts w:hint="cs"/>
          <w:szCs w:val="20"/>
          <w:rtl/>
        </w:rPr>
        <w:t>000 32</w:t>
      </w:r>
      <w:r>
        <w:rPr>
          <w:rtl/>
        </w:rPr>
        <w:t xml:space="preserve"> شخص عن العام السابق. وكان عدد الرجال العاملين أكبر بمقدار </w:t>
      </w:r>
      <w:r w:rsidR="00C927BD">
        <w:rPr>
          <w:rFonts w:hint="cs"/>
          <w:szCs w:val="20"/>
          <w:rtl/>
        </w:rPr>
        <w:t>000 5</w:t>
      </w:r>
      <w:r>
        <w:rPr>
          <w:rtl/>
        </w:rPr>
        <w:t xml:space="preserve"> وعدد النساء العاملات أكبر بمقدار </w:t>
      </w:r>
      <w:r w:rsidR="00C927BD">
        <w:rPr>
          <w:rFonts w:hint="cs"/>
          <w:szCs w:val="20"/>
          <w:rtl/>
        </w:rPr>
        <w:t>000 27</w:t>
      </w:r>
      <w:r>
        <w:rPr>
          <w:rtl/>
        </w:rPr>
        <w:t xml:space="preserve"> مقارنة بما كانا عليه في شهر آب/ أغسطس </w:t>
      </w:r>
      <w:r w:rsidRPr="005C19F0">
        <w:rPr>
          <w:szCs w:val="20"/>
          <w:rtl/>
        </w:rPr>
        <w:t>2018</w:t>
      </w:r>
      <w:r>
        <w:rPr>
          <w:rFonts w:ascii="Traditional Arabic"/>
          <w:szCs w:val="20"/>
          <w:rtl/>
        </w:rPr>
        <w:t>.</w:t>
      </w:r>
      <w:r>
        <w:rPr>
          <w:rtl/>
        </w:rPr>
        <w:t xml:space="preserve"> وتختلف اتجاهات العمالة من قطاع إلى آخر</w:t>
      </w:r>
      <w:r w:rsidRPr="00BB79C1">
        <w:rPr>
          <w:rtl/>
        </w:rPr>
        <w:t>:</w:t>
      </w:r>
      <w:r>
        <w:rPr>
          <w:rtl/>
        </w:rPr>
        <w:t xml:space="preserve"> فقد انخفض عدد العاملين في الإنتاج الأولي والصناعات التحويلية بينما حدثت زيادة في قطاع البناء والصناعات الخدمية.</w:t>
      </w:r>
    </w:p>
    <w:p w14:paraId="376F50B3" w14:textId="71612407" w:rsidR="00A0227D" w:rsidRPr="009B1F51" w:rsidRDefault="00A0227D" w:rsidP="001C3228">
      <w:pPr>
        <w:pStyle w:val="SingleTxtGA"/>
        <w:rPr>
          <w:szCs w:val="20"/>
          <w:lang w:val="ar-SA" w:eastAsia="zh-TW" w:bidi="en-GB"/>
        </w:rPr>
      </w:pPr>
      <w:r w:rsidRPr="005C19F0">
        <w:rPr>
          <w:szCs w:val="20"/>
          <w:rtl/>
        </w:rPr>
        <w:t>93</w:t>
      </w:r>
      <w:r w:rsidRPr="00EF3655">
        <w:rPr>
          <w:rtl/>
        </w:rPr>
        <w:t>-</w:t>
      </w:r>
      <w:r>
        <w:rPr>
          <w:rtl/>
        </w:rPr>
        <w:tab/>
        <w:t xml:space="preserve">وكان معدل العمالة، أي نسبة الأشخاص العاملين الذين تتراوح أعمارهم ما بين </w:t>
      </w:r>
      <w:r w:rsidRPr="005C19F0">
        <w:rPr>
          <w:szCs w:val="20"/>
          <w:rtl/>
        </w:rPr>
        <w:t>15</w:t>
      </w:r>
      <w:r>
        <w:rPr>
          <w:rtl/>
        </w:rPr>
        <w:t xml:space="preserve"> و</w:t>
      </w:r>
      <w:r w:rsidRPr="005C19F0">
        <w:rPr>
          <w:szCs w:val="20"/>
          <w:rtl/>
        </w:rPr>
        <w:t>64</w:t>
      </w:r>
      <w:r>
        <w:rPr>
          <w:rtl/>
        </w:rPr>
        <w:t xml:space="preserve"> عاماً </w:t>
      </w:r>
      <w:r w:rsidRPr="005C19F0">
        <w:rPr>
          <w:szCs w:val="20"/>
          <w:rtl/>
        </w:rPr>
        <w:t>73</w:t>
      </w:r>
      <w:r w:rsidR="00C927BD">
        <w:rPr>
          <w:rFonts w:ascii="Traditional Arabic"/>
          <w:szCs w:val="20"/>
          <w:rtl/>
        </w:rPr>
        <w:t>,</w:t>
      </w:r>
      <w:r w:rsidRPr="005C19F0">
        <w:rPr>
          <w:szCs w:val="20"/>
          <w:rtl/>
        </w:rPr>
        <w:t>5</w:t>
      </w:r>
      <w:r>
        <w:rPr>
          <w:rtl/>
        </w:rPr>
        <w:t xml:space="preserve"> في المائة في آب/أغسطس، مقارنة بـ </w:t>
      </w:r>
      <w:r w:rsidRPr="005C19F0">
        <w:rPr>
          <w:szCs w:val="20"/>
          <w:rtl/>
        </w:rPr>
        <w:t>72</w:t>
      </w:r>
      <w:r w:rsidR="00C927BD">
        <w:rPr>
          <w:rFonts w:ascii="Traditional Arabic"/>
          <w:szCs w:val="20"/>
          <w:rtl/>
        </w:rPr>
        <w:t>,</w:t>
      </w:r>
      <w:r w:rsidRPr="005C19F0">
        <w:rPr>
          <w:szCs w:val="20"/>
          <w:rtl/>
        </w:rPr>
        <w:t>6</w:t>
      </w:r>
      <w:r>
        <w:rPr>
          <w:rtl/>
        </w:rPr>
        <w:t xml:space="preserve"> في المائة في العام السابق. وانخفض معدل عمالة </w:t>
      </w:r>
      <w:r>
        <w:rPr>
          <w:rtl/>
        </w:rPr>
        <w:lastRenderedPageBreak/>
        <w:t xml:space="preserve">الرجال الذين تتراوح أعمارهم ما بين </w:t>
      </w:r>
      <w:r w:rsidRPr="005C19F0">
        <w:rPr>
          <w:szCs w:val="20"/>
          <w:rtl/>
        </w:rPr>
        <w:t>15</w:t>
      </w:r>
      <w:r>
        <w:rPr>
          <w:rtl/>
        </w:rPr>
        <w:t xml:space="preserve"> و</w:t>
      </w:r>
      <w:r w:rsidRPr="005C19F0">
        <w:rPr>
          <w:szCs w:val="20"/>
          <w:rtl/>
        </w:rPr>
        <w:t>64</w:t>
      </w:r>
      <w:r>
        <w:rPr>
          <w:rtl/>
        </w:rPr>
        <w:t xml:space="preserve"> سنة بنسبة </w:t>
      </w:r>
      <w:r w:rsidRPr="005C19F0">
        <w:rPr>
          <w:szCs w:val="20"/>
          <w:rtl/>
        </w:rPr>
        <w:t>0</w:t>
      </w:r>
      <w:r w:rsidR="00C927BD">
        <w:rPr>
          <w:rFonts w:ascii="Traditional Arabic"/>
          <w:szCs w:val="20"/>
          <w:rtl/>
        </w:rPr>
        <w:t>,</w:t>
      </w:r>
      <w:r w:rsidRPr="005C19F0">
        <w:rPr>
          <w:szCs w:val="20"/>
          <w:rtl/>
        </w:rPr>
        <w:t>2</w:t>
      </w:r>
      <w:r>
        <w:rPr>
          <w:rtl/>
        </w:rPr>
        <w:t xml:space="preserve"> نقطة مئوية عما كان عليه في العام السابق، ليصل إلى </w:t>
      </w:r>
      <w:r w:rsidRPr="005C19F0">
        <w:rPr>
          <w:szCs w:val="20"/>
          <w:rtl/>
        </w:rPr>
        <w:t>74</w:t>
      </w:r>
      <w:r w:rsidR="00C927BD">
        <w:rPr>
          <w:rFonts w:ascii="Traditional Arabic"/>
          <w:szCs w:val="20"/>
          <w:rtl/>
        </w:rPr>
        <w:t>,</w:t>
      </w:r>
      <w:r w:rsidRPr="005C19F0">
        <w:rPr>
          <w:szCs w:val="20"/>
          <w:rtl/>
        </w:rPr>
        <w:t>2</w:t>
      </w:r>
      <w:r>
        <w:rPr>
          <w:rtl/>
        </w:rPr>
        <w:t xml:space="preserve"> في المائة، في حين ارتفع معدل عمالة النساء اللاتي هن في نفس الفئة العمرية بنسبة نقطتين مئويتين ليصل إلى </w:t>
      </w:r>
      <w:r w:rsidRPr="005C19F0">
        <w:rPr>
          <w:szCs w:val="20"/>
          <w:rtl/>
        </w:rPr>
        <w:t>72</w:t>
      </w:r>
      <w:r w:rsidR="00C927BD">
        <w:rPr>
          <w:rFonts w:ascii="Traditional Arabic"/>
          <w:szCs w:val="20"/>
          <w:rtl/>
        </w:rPr>
        <w:t>,</w:t>
      </w:r>
      <w:r w:rsidRPr="005C19F0">
        <w:rPr>
          <w:szCs w:val="20"/>
          <w:rtl/>
        </w:rPr>
        <w:t>8</w:t>
      </w:r>
      <w:r>
        <w:rPr>
          <w:rtl/>
        </w:rPr>
        <w:t xml:space="preserve"> في المائة.</w:t>
      </w:r>
    </w:p>
    <w:p w14:paraId="4477B3A6" w14:textId="2EF4BF39" w:rsidR="00A0227D" w:rsidRPr="00115813" w:rsidRDefault="00A0227D" w:rsidP="001C3228">
      <w:pPr>
        <w:pStyle w:val="SingleTxtGA"/>
        <w:rPr>
          <w:spacing w:val="-4"/>
          <w:szCs w:val="20"/>
          <w:lang w:val="ar-SA" w:eastAsia="zh-TW" w:bidi="en-GB"/>
        </w:rPr>
      </w:pPr>
      <w:r w:rsidRPr="005C19F0">
        <w:rPr>
          <w:szCs w:val="20"/>
          <w:rtl/>
        </w:rPr>
        <w:t>94</w:t>
      </w:r>
      <w:r w:rsidRPr="00EF3655">
        <w:rPr>
          <w:rtl/>
        </w:rPr>
        <w:t>-</w:t>
      </w:r>
      <w:r>
        <w:rPr>
          <w:rtl/>
        </w:rPr>
        <w:tab/>
        <w:t xml:space="preserve">ووفقاً لمسح القوى العاملة </w:t>
      </w:r>
      <w:r>
        <w:rPr>
          <w:rtl/>
          <w:lang w:val="fr-CH"/>
        </w:rPr>
        <w:t>الذي أجرته هيئة إحصاءات فنلندا</w:t>
      </w:r>
      <w:r>
        <w:rPr>
          <w:rtl/>
        </w:rPr>
        <w:t xml:space="preserve">، كان </w:t>
      </w:r>
      <w:r w:rsidR="00820515">
        <w:rPr>
          <w:rFonts w:hint="cs"/>
          <w:szCs w:val="20"/>
          <w:rtl/>
        </w:rPr>
        <w:t>000 170</w:t>
      </w:r>
      <w:r>
        <w:rPr>
          <w:rtl/>
        </w:rPr>
        <w:t xml:space="preserve"> شخص عاطلين عن العمل في آب/أغسطس </w:t>
      </w:r>
      <w:r w:rsidRPr="005C19F0">
        <w:rPr>
          <w:szCs w:val="20"/>
          <w:rtl/>
        </w:rPr>
        <w:t>2019</w:t>
      </w:r>
      <w:r>
        <w:rPr>
          <w:rFonts w:ascii="Traditional Arabic"/>
          <w:szCs w:val="20"/>
          <w:rtl/>
        </w:rPr>
        <w:t xml:space="preserve"> </w:t>
      </w:r>
      <w:r w:rsidRPr="00794E95">
        <w:rPr>
          <w:rtl/>
        </w:rPr>
        <w:t>(</w:t>
      </w:r>
      <w:r>
        <w:rPr>
          <w:rtl/>
        </w:rPr>
        <w:t xml:space="preserve">بهامش خطأ ± </w:t>
      </w:r>
      <w:r w:rsidR="00820515">
        <w:rPr>
          <w:rFonts w:hint="cs"/>
          <w:szCs w:val="20"/>
          <w:rtl/>
        </w:rPr>
        <w:t>000 18</w:t>
      </w:r>
      <w:r w:rsidRPr="00794E95">
        <w:rPr>
          <w:rtl/>
        </w:rPr>
        <w:t>)</w:t>
      </w:r>
      <w:r>
        <w:rPr>
          <w:rtl/>
        </w:rPr>
        <w:t xml:space="preserve">، أي أقل بـ </w:t>
      </w:r>
      <w:r w:rsidR="00820515">
        <w:rPr>
          <w:rFonts w:hint="cs"/>
          <w:szCs w:val="20"/>
          <w:rtl/>
        </w:rPr>
        <w:t>000 17</w:t>
      </w:r>
      <w:r>
        <w:rPr>
          <w:rtl/>
        </w:rPr>
        <w:t xml:space="preserve"> شخص مقارنة بالعام السابق. وبلغ عدد العاطلين من الرجال </w:t>
      </w:r>
      <w:r w:rsidRPr="005C19F0">
        <w:rPr>
          <w:szCs w:val="20"/>
          <w:rtl/>
        </w:rPr>
        <w:t>000</w:t>
      </w:r>
      <w:r>
        <w:rPr>
          <w:rFonts w:ascii="Traditional Arabic"/>
          <w:szCs w:val="20"/>
          <w:rtl/>
        </w:rPr>
        <w:t xml:space="preserve"> </w:t>
      </w:r>
      <w:r w:rsidRPr="005C19F0">
        <w:rPr>
          <w:szCs w:val="20"/>
          <w:rtl/>
        </w:rPr>
        <w:t>94</w:t>
      </w:r>
      <w:r>
        <w:rPr>
          <w:rtl/>
        </w:rPr>
        <w:t xml:space="preserve"> رجل، وعدد العاطلات </w:t>
      </w:r>
      <w:r w:rsidRPr="005C19F0">
        <w:rPr>
          <w:szCs w:val="20"/>
          <w:rtl/>
        </w:rPr>
        <w:t>000</w:t>
      </w:r>
      <w:r>
        <w:rPr>
          <w:rFonts w:ascii="Traditional Arabic"/>
          <w:szCs w:val="20"/>
          <w:rtl/>
        </w:rPr>
        <w:t xml:space="preserve"> </w:t>
      </w:r>
      <w:r w:rsidRPr="005C19F0">
        <w:rPr>
          <w:szCs w:val="20"/>
          <w:rtl/>
        </w:rPr>
        <w:t>76</w:t>
      </w:r>
      <w:r>
        <w:rPr>
          <w:rtl/>
        </w:rPr>
        <w:t xml:space="preserve"> امرأة. </w:t>
      </w:r>
      <w:r w:rsidRPr="00115813">
        <w:rPr>
          <w:spacing w:val="-4"/>
          <w:rtl/>
        </w:rPr>
        <w:t>وقد انخفضت البطالة انخفاضا</w:t>
      </w:r>
      <w:r w:rsidR="00820515" w:rsidRPr="00115813">
        <w:rPr>
          <w:rFonts w:hint="cs"/>
          <w:spacing w:val="-4"/>
          <w:rtl/>
        </w:rPr>
        <w:t>ً</w:t>
      </w:r>
      <w:r w:rsidRPr="00115813">
        <w:rPr>
          <w:spacing w:val="-4"/>
          <w:rtl/>
        </w:rPr>
        <w:t xml:space="preserve"> حادا</w:t>
      </w:r>
      <w:r w:rsidR="00820515" w:rsidRPr="00115813">
        <w:rPr>
          <w:rFonts w:hint="cs"/>
          <w:spacing w:val="-4"/>
          <w:rtl/>
        </w:rPr>
        <w:t>ً</w:t>
      </w:r>
      <w:r w:rsidRPr="00115813">
        <w:rPr>
          <w:spacing w:val="-4"/>
          <w:rtl/>
        </w:rPr>
        <w:t xml:space="preserve"> في العامين الماضيين. وانخفض أيضاً عدد العاطلين عن العمل منذ مدة طويلة. ومع ذلك، يُعد معدل البطالة في فنلندا مرتفعاً إلى حد ما بالمقارنة مع البلدان الأوروبية الأخرى.</w:t>
      </w:r>
    </w:p>
    <w:p w14:paraId="3F33D23A" w14:textId="57F884CD" w:rsidR="00A0227D" w:rsidRPr="000A1C86" w:rsidRDefault="00A0227D" w:rsidP="001C3228">
      <w:pPr>
        <w:pStyle w:val="SingleTxtGA"/>
        <w:rPr>
          <w:szCs w:val="20"/>
          <w:lang w:eastAsia="zh-TW" w:bidi="en-GB"/>
        </w:rPr>
      </w:pPr>
      <w:r w:rsidRPr="005C19F0">
        <w:rPr>
          <w:szCs w:val="20"/>
          <w:rtl/>
        </w:rPr>
        <w:t>95</w:t>
      </w:r>
      <w:r w:rsidRPr="00EF3655">
        <w:rPr>
          <w:rtl/>
        </w:rPr>
        <w:t>-</w:t>
      </w:r>
      <w:r>
        <w:rPr>
          <w:rtl/>
        </w:rPr>
        <w:tab/>
        <w:t xml:space="preserve">وبلغ معدل البطالة في آب/أغسطس </w:t>
      </w:r>
      <w:r w:rsidRPr="005C19F0">
        <w:rPr>
          <w:szCs w:val="20"/>
          <w:rtl/>
        </w:rPr>
        <w:t>6</w:t>
      </w:r>
      <w:r w:rsidR="00115813">
        <w:rPr>
          <w:rFonts w:ascii="Traditional Arabic"/>
          <w:szCs w:val="20"/>
          <w:rtl/>
        </w:rPr>
        <w:t>,</w:t>
      </w:r>
      <w:r w:rsidRPr="005C19F0">
        <w:rPr>
          <w:szCs w:val="20"/>
          <w:rtl/>
        </w:rPr>
        <w:t>1</w:t>
      </w:r>
      <w:r>
        <w:rPr>
          <w:rtl/>
        </w:rPr>
        <w:t xml:space="preserve"> في المائة، أي أقل بنسبة </w:t>
      </w:r>
      <w:r w:rsidRPr="005C19F0">
        <w:rPr>
          <w:szCs w:val="20"/>
          <w:rtl/>
        </w:rPr>
        <w:t>0</w:t>
      </w:r>
      <w:r w:rsidR="00115813">
        <w:rPr>
          <w:rFonts w:ascii="Traditional Arabic"/>
          <w:szCs w:val="20"/>
          <w:rtl/>
        </w:rPr>
        <w:t>,</w:t>
      </w:r>
      <w:r w:rsidRPr="005C19F0">
        <w:rPr>
          <w:szCs w:val="20"/>
          <w:rtl/>
        </w:rPr>
        <w:t>6</w:t>
      </w:r>
      <w:r>
        <w:rPr>
          <w:rtl/>
        </w:rPr>
        <w:t xml:space="preserve"> نقطة مئوية مما كان عليه في العام السابق. </w:t>
      </w:r>
      <w:r>
        <w:rPr>
          <w:rtl/>
          <w:lang w:val="fr-CH"/>
        </w:rPr>
        <w:t>وبلغ</w:t>
      </w:r>
      <w:r>
        <w:rPr>
          <w:rtl/>
        </w:rPr>
        <w:t xml:space="preserve"> معدل البطالة بين الرجال نسبة </w:t>
      </w:r>
      <w:r w:rsidRPr="005C19F0">
        <w:rPr>
          <w:szCs w:val="20"/>
          <w:rtl/>
        </w:rPr>
        <w:t>6</w:t>
      </w:r>
      <w:r w:rsidR="00115813">
        <w:rPr>
          <w:rFonts w:ascii="Traditional Arabic"/>
          <w:szCs w:val="20"/>
          <w:rtl/>
        </w:rPr>
        <w:t>,</w:t>
      </w:r>
      <w:r w:rsidRPr="005C19F0">
        <w:rPr>
          <w:szCs w:val="20"/>
          <w:rtl/>
        </w:rPr>
        <w:t>5</w:t>
      </w:r>
      <w:r>
        <w:rPr>
          <w:rtl/>
        </w:rPr>
        <w:t xml:space="preserve"> في المائة أي أقل بنسبة </w:t>
      </w:r>
      <w:r w:rsidRPr="005C19F0">
        <w:rPr>
          <w:szCs w:val="20"/>
          <w:rtl/>
        </w:rPr>
        <w:t>0</w:t>
      </w:r>
      <w:r w:rsidR="00115813">
        <w:rPr>
          <w:rFonts w:ascii="Traditional Arabic"/>
          <w:szCs w:val="20"/>
          <w:rtl/>
        </w:rPr>
        <w:t>,</w:t>
      </w:r>
      <w:r w:rsidRPr="005C19F0">
        <w:rPr>
          <w:szCs w:val="20"/>
          <w:rtl/>
        </w:rPr>
        <w:t>2</w:t>
      </w:r>
      <w:r>
        <w:rPr>
          <w:rtl/>
        </w:rPr>
        <w:t xml:space="preserve"> نقطة مئوية مما كان عليه في العام السابق، بينما انخفض معدل البطالة بين النساء بنسبة </w:t>
      </w:r>
      <w:r w:rsidRPr="005C19F0">
        <w:rPr>
          <w:szCs w:val="20"/>
          <w:rtl/>
        </w:rPr>
        <w:t>1</w:t>
      </w:r>
      <w:r w:rsidR="00115813">
        <w:rPr>
          <w:rFonts w:ascii="Traditional Arabic"/>
          <w:szCs w:val="20"/>
          <w:rtl/>
        </w:rPr>
        <w:t>,</w:t>
      </w:r>
      <w:r w:rsidRPr="005C19F0">
        <w:rPr>
          <w:szCs w:val="20"/>
          <w:rtl/>
        </w:rPr>
        <w:t>6</w:t>
      </w:r>
      <w:r>
        <w:rPr>
          <w:rtl/>
        </w:rPr>
        <w:t xml:space="preserve"> نقطة مئوية ليصل إلى</w:t>
      </w:r>
      <w:r w:rsidR="00D5531A">
        <w:rPr>
          <w:rFonts w:hint="cs"/>
          <w:rtl/>
        </w:rPr>
        <w:t> </w:t>
      </w:r>
      <w:r w:rsidRPr="005C19F0">
        <w:rPr>
          <w:szCs w:val="20"/>
          <w:rtl/>
        </w:rPr>
        <w:t>5</w:t>
      </w:r>
      <w:r w:rsidR="00115813">
        <w:rPr>
          <w:rFonts w:ascii="Traditional Arabic"/>
          <w:szCs w:val="20"/>
          <w:rtl/>
        </w:rPr>
        <w:t>,</w:t>
      </w:r>
      <w:r w:rsidRPr="005C19F0">
        <w:rPr>
          <w:szCs w:val="20"/>
          <w:rtl/>
        </w:rPr>
        <w:t>7</w:t>
      </w:r>
      <w:r>
        <w:rPr>
          <w:rtl/>
        </w:rPr>
        <w:t xml:space="preserve"> في المائة.</w:t>
      </w:r>
    </w:p>
    <w:p w14:paraId="4214DCA1" w14:textId="24B4D705" w:rsidR="00A0227D" w:rsidRPr="00C726A7" w:rsidRDefault="00A0227D" w:rsidP="001C3228">
      <w:pPr>
        <w:pStyle w:val="SingleTxtGA"/>
        <w:rPr>
          <w:szCs w:val="20"/>
          <w:lang w:eastAsia="zh-TW" w:bidi="en-GB"/>
        </w:rPr>
      </w:pPr>
      <w:r w:rsidRPr="005C19F0">
        <w:rPr>
          <w:szCs w:val="20"/>
          <w:rtl/>
        </w:rPr>
        <w:t>96</w:t>
      </w:r>
      <w:r w:rsidRPr="00EF3655">
        <w:rPr>
          <w:rtl/>
        </w:rPr>
        <w:t>-</w:t>
      </w:r>
      <w:r>
        <w:rPr>
          <w:rtl/>
        </w:rPr>
        <w:tab/>
        <w:t xml:space="preserve">وبلغ عدد الشباب في فنلندا الذين تتراوح أعمارهم ما بين </w:t>
      </w:r>
      <w:r w:rsidRPr="005C19F0">
        <w:rPr>
          <w:szCs w:val="20"/>
          <w:rtl/>
        </w:rPr>
        <w:t>15</w:t>
      </w:r>
      <w:r>
        <w:rPr>
          <w:rtl/>
        </w:rPr>
        <w:t xml:space="preserve"> و</w:t>
      </w:r>
      <w:r w:rsidRPr="005C19F0">
        <w:rPr>
          <w:szCs w:val="20"/>
          <w:rtl/>
        </w:rPr>
        <w:t>24</w:t>
      </w:r>
      <w:r>
        <w:rPr>
          <w:rtl/>
        </w:rPr>
        <w:t xml:space="preserve"> سنة </w:t>
      </w:r>
      <w:r w:rsidR="00115813">
        <w:rPr>
          <w:rFonts w:hint="cs"/>
          <w:szCs w:val="20"/>
          <w:rtl/>
        </w:rPr>
        <w:t>000 612</w:t>
      </w:r>
      <w:r>
        <w:rPr>
          <w:rtl/>
        </w:rPr>
        <w:t xml:space="preserve"> في</w:t>
      </w:r>
      <w:r>
        <w:rPr>
          <w:rtl/>
          <w:lang w:val="fr-CH"/>
        </w:rPr>
        <w:t xml:space="preserve"> آب/</w:t>
      </w:r>
      <w:r>
        <w:rPr>
          <w:rtl/>
        </w:rPr>
        <w:t xml:space="preserve"> أغسطس. وكان عدد العاملين منهم </w:t>
      </w:r>
      <w:r w:rsidRPr="005C19F0">
        <w:rPr>
          <w:szCs w:val="20"/>
          <w:rtl/>
        </w:rPr>
        <w:t>000</w:t>
      </w:r>
      <w:r>
        <w:rPr>
          <w:rFonts w:ascii="Traditional Arabic"/>
          <w:szCs w:val="20"/>
          <w:rtl/>
        </w:rPr>
        <w:t xml:space="preserve"> </w:t>
      </w:r>
      <w:r w:rsidRPr="005C19F0">
        <w:rPr>
          <w:szCs w:val="20"/>
          <w:rtl/>
        </w:rPr>
        <w:t>275</w:t>
      </w:r>
      <w:r>
        <w:rPr>
          <w:rtl/>
        </w:rPr>
        <w:t xml:space="preserve"> شاب وعدد العاطلين منهم </w:t>
      </w:r>
      <w:r w:rsidRPr="005C19F0">
        <w:rPr>
          <w:szCs w:val="20"/>
          <w:rtl/>
        </w:rPr>
        <w:t>000</w:t>
      </w:r>
      <w:r>
        <w:rPr>
          <w:rFonts w:ascii="Traditional Arabic"/>
          <w:szCs w:val="20"/>
          <w:rtl/>
        </w:rPr>
        <w:t xml:space="preserve"> </w:t>
      </w:r>
      <w:r w:rsidRPr="005C19F0">
        <w:rPr>
          <w:szCs w:val="20"/>
          <w:rtl/>
        </w:rPr>
        <w:t>45</w:t>
      </w:r>
      <w:r>
        <w:rPr>
          <w:rFonts w:ascii="Traditional Arabic"/>
          <w:szCs w:val="20"/>
          <w:rtl/>
        </w:rPr>
        <w:t xml:space="preserve"> </w:t>
      </w:r>
      <w:r w:rsidRPr="008277A4">
        <w:rPr>
          <w:rtl/>
        </w:rPr>
        <w:t>شاب</w:t>
      </w:r>
      <w:r>
        <w:rPr>
          <w:rtl/>
        </w:rPr>
        <w:t xml:space="preserve">. وبذلك بلغ عدد الشباب من القوى العاملة، أي العاملين والعاطلين عن العمل، </w:t>
      </w:r>
      <w:r w:rsidRPr="005C19F0">
        <w:rPr>
          <w:szCs w:val="20"/>
          <w:rtl/>
        </w:rPr>
        <w:t>000</w:t>
      </w:r>
      <w:r>
        <w:rPr>
          <w:rFonts w:ascii="Traditional Arabic"/>
          <w:szCs w:val="20"/>
          <w:rtl/>
        </w:rPr>
        <w:t xml:space="preserve"> </w:t>
      </w:r>
      <w:r w:rsidRPr="005C19F0">
        <w:rPr>
          <w:szCs w:val="20"/>
          <w:rtl/>
        </w:rPr>
        <w:t>320</w:t>
      </w:r>
      <w:r>
        <w:rPr>
          <w:rFonts w:ascii="Traditional Arabic"/>
          <w:szCs w:val="20"/>
          <w:rtl/>
        </w:rPr>
        <w:t xml:space="preserve"> </w:t>
      </w:r>
      <w:r w:rsidRPr="008277A4">
        <w:rPr>
          <w:rtl/>
        </w:rPr>
        <w:t>شاب</w:t>
      </w:r>
      <w:r>
        <w:rPr>
          <w:rFonts w:ascii="Traditional Arabic"/>
          <w:szCs w:val="20"/>
          <w:rtl/>
        </w:rPr>
        <w:t>.</w:t>
      </w:r>
      <w:r>
        <w:rPr>
          <w:rtl/>
        </w:rPr>
        <w:t xml:space="preserve"> وبلغ معدل البطالة في صفوف بين الشباب الذين تتراوح أعمارهم ما بين </w:t>
      </w:r>
      <w:r w:rsidRPr="005C19F0">
        <w:rPr>
          <w:szCs w:val="20"/>
          <w:rtl/>
        </w:rPr>
        <w:t>15</w:t>
      </w:r>
      <w:r>
        <w:rPr>
          <w:rtl/>
        </w:rPr>
        <w:t xml:space="preserve"> و</w:t>
      </w:r>
      <w:r w:rsidRPr="005C19F0">
        <w:rPr>
          <w:szCs w:val="20"/>
          <w:rtl/>
        </w:rPr>
        <w:t>24</w:t>
      </w:r>
      <w:r>
        <w:rPr>
          <w:rtl/>
        </w:rPr>
        <w:t xml:space="preserve"> سنة، أي نسبة العاطلين عن العمل في القوة العاملة بأكملها، </w:t>
      </w:r>
      <w:r w:rsidRPr="005C19F0">
        <w:rPr>
          <w:szCs w:val="20"/>
          <w:rtl/>
        </w:rPr>
        <w:t>14</w:t>
      </w:r>
      <w:r>
        <w:rPr>
          <w:rFonts w:ascii="Traditional Arabic"/>
          <w:szCs w:val="20"/>
          <w:rtl/>
        </w:rPr>
        <w:t xml:space="preserve"> </w:t>
      </w:r>
      <w:r>
        <w:rPr>
          <w:rtl/>
        </w:rPr>
        <w:t xml:space="preserve">في المائة في آب/أغسطس، أي أعلى بنسبة </w:t>
      </w:r>
      <w:r w:rsidRPr="005C19F0">
        <w:rPr>
          <w:szCs w:val="20"/>
          <w:rtl/>
        </w:rPr>
        <w:t>0</w:t>
      </w:r>
      <w:r w:rsidR="00115813">
        <w:rPr>
          <w:rFonts w:ascii="Traditional Arabic"/>
          <w:szCs w:val="20"/>
          <w:rtl/>
        </w:rPr>
        <w:t>,</w:t>
      </w:r>
      <w:r w:rsidRPr="005C19F0">
        <w:rPr>
          <w:szCs w:val="20"/>
          <w:rtl/>
        </w:rPr>
        <w:t>4</w:t>
      </w:r>
      <w:r>
        <w:rPr>
          <w:rtl/>
        </w:rPr>
        <w:t xml:space="preserve"> نقطة مئوية مما كان عليه قبل عام. وبلغ الاتجاه في معدل البطالة بين الشباب </w:t>
      </w:r>
      <w:r w:rsidRPr="005C19F0">
        <w:rPr>
          <w:szCs w:val="20"/>
          <w:rtl/>
        </w:rPr>
        <w:t>17</w:t>
      </w:r>
      <w:r>
        <w:rPr>
          <w:rtl/>
        </w:rPr>
        <w:t xml:space="preserve"> في المائة. وبلغت نسبة الشباب العاطلين عن العمل الذين تتراوح أعمارهم بين </w:t>
      </w:r>
      <w:r w:rsidRPr="005C19F0">
        <w:rPr>
          <w:szCs w:val="20"/>
          <w:rtl/>
        </w:rPr>
        <w:t>15</w:t>
      </w:r>
      <w:r>
        <w:rPr>
          <w:rtl/>
        </w:rPr>
        <w:t xml:space="preserve"> و</w:t>
      </w:r>
      <w:r w:rsidRPr="005C19F0">
        <w:rPr>
          <w:szCs w:val="20"/>
          <w:rtl/>
        </w:rPr>
        <w:t>24</w:t>
      </w:r>
      <w:r>
        <w:rPr>
          <w:rtl/>
        </w:rPr>
        <w:t xml:space="preserve"> عاما</w:t>
      </w:r>
      <w:r w:rsidR="00C74C59">
        <w:rPr>
          <w:rFonts w:hint="cs"/>
          <w:rtl/>
        </w:rPr>
        <w:t>ً</w:t>
      </w:r>
      <w:r>
        <w:rPr>
          <w:rtl/>
        </w:rPr>
        <w:t xml:space="preserve"> </w:t>
      </w:r>
      <w:r w:rsidRPr="005C19F0">
        <w:rPr>
          <w:szCs w:val="20"/>
          <w:rtl/>
        </w:rPr>
        <w:t>7</w:t>
      </w:r>
      <w:r w:rsidR="00115813">
        <w:rPr>
          <w:rFonts w:ascii="Traditional Arabic"/>
          <w:szCs w:val="20"/>
          <w:rtl/>
        </w:rPr>
        <w:t>,</w:t>
      </w:r>
      <w:r w:rsidRPr="005C19F0">
        <w:rPr>
          <w:szCs w:val="20"/>
          <w:rtl/>
        </w:rPr>
        <w:t>3</w:t>
      </w:r>
      <w:r>
        <w:rPr>
          <w:rtl/>
        </w:rPr>
        <w:t xml:space="preserve"> في المائة من مجموع السكان الذين هم في هذه الفئة العمرية.</w:t>
      </w:r>
    </w:p>
    <w:p w14:paraId="3560D2FF" w14:textId="77777777" w:rsidR="00A0227D" w:rsidRPr="00C726A7" w:rsidRDefault="00A0227D" w:rsidP="001C3228">
      <w:pPr>
        <w:pStyle w:val="SingleTxtGA"/>
        <w:rPr>
          <w:szCs w:val="20"/>
          <w:lang w:eastAsia="zh-TW" w:bidi="en-GB"/>
        </w:rPr>
      </w:pPr>
      <w:r w:rsidRPr="005C19F0">
        <w:rPr>
          <w:szCs w:val="20"/>
          <w:rtl/>
        </w:rPr>
        <w:t>97</w:t>
      </w:r>
      <w:r w:rsidRPr="00EF3655">
        <w:rPr>
          <w:rtl/>
        </w:rPr>
        <w:t>-</w:t>
      </w:r>
      <w:r>
        <w:rPr>
          <w:rtl/>
        </w:rPr>
        <w:tab/>
        <w:t xml:space="preserve">والعمالة المؤقتة هي ما يفسر ارتفاع معدل العمالة الكلية </w:t>
      </w:r>
      <w:r>
        <w:rPr>
          <w:rtl/>
          <w:lang w:val="fr-CH"/>
        </w:rPr>
        <w:t>في</w:t>
      </w:r>
      <w:r>
        <w:rPr>
          <w:rtl/>
        </w:rPr>
        <w:t xml:space="preserve"> فنلندا بالمقارنة مع متوسط الاتحاد الأوروبي، أما العمالة لبعض الوقت فهي أقل شيوعاً في فنلندا بالمقارنة مع متوسط الاتحاد الأوروبي.</w:t>
      </w:r>
    </w:p>
    <w:p w14:paraId="5E8B578D" w14:textId="30E7A9DB" w:rsidR="00A0227D" w:rsidRPr="00F762F1" w:rsidRDefault="00A0227D" w:rsidP="001C3228">
      <w:pPr>
        <w:pStyle w:val="SingleTxtGA"/>
      </w:pPr>
      <w:r w:rsidRPr="005C19F0">
        <w:rPr>
          <w:szCs w:val="20"/>
          <w:rtl/>
        </w:rPr>
        <w:t>98</w:t>
      </w:r>
      <w:r w:rsidRPr="00EF3655">
        <w:rPr>
          <w:rtl/>
        </w:rPr>
        <w:t>-</w:t>
      </w:r>
      <w:r>
        <w:rPr>
          <w:rtl/>
        </w:rPr>
        <w:tab/>
        <w:t xml:space="preserve">ويشير مقياس الحياة العملية الذي تستخدمه وزارة الشؤون الاقتصادية والعمالة إلى أن نحو </w:t>
      </w:r>
      <w:r w:rsidRPr="005C19F0">
        <w:rPr>
          <w:szCs w:val="20"/>
          <w:rtl/>
        </w:rPr>
        <w:t>90</w:t>
      </w:r>
      <w:r>
        <w:rPr>
          <w:rtl/>
        </w:rPr>
        <w:t xml:space="preserve"> في المائة من الأُجَراء منتسبون إلى أحد صناديق البطالة. وقد زادت هذه النسبة في العقد الأول من القرن الحادي والعشرين</w:t>
      </w:r>
      <w:r w:rsidRPr="00115813">
        <w:rPr>
          <w:rtl/>
        </w:rPr>
        <w:t>.</w:t>
      </w:r>
      <w:r>
        <w:rPr>
          <w:rtl/>
        </w:rPr>
        <w:t xml:space="preserve"> غير أن الأمن المالي في حالة البطالة لا يُلتمس، أكثر فأكثر، إلا بالانتساب إلى أحد صناديق البطالة مع التخلي عن العضوية في نقابة عمالية. وقد ا</w:t>
      </w:r>
      <w:r>
        <w:rPr>
          <w:rtl/>
          <w:lang w:val="fr-CH"/>
        </w:rPr>
        <w:t xml:space="preserve">نخفض </w:t>
      </w:r>
      <w:r>
        <w:rPr>
          <w:rtl/>
        </w:rPr>
        <w:t>معدل تنقُّب الأجراء</w:t>
      </w:r>
      <w:r w:rsidR="00507B18">
        <w:rPr>
          <w:rtl/>
        </w:rPr>
        <w:t xml:space="preserve"> </w:t>
      </w:r>
      <w:r>
        <w:rPr>
          <w:rtl/>
        </w:rPr>
        <w:t xml:space="preserve">انخفاضاً معتدلاً في العقد الأول من القرن الحادي والعشرين. ومن بين الأجراء المجيبين على مقياس الحياة المهنية </w:t>
      </w:r>
      <w:r w:rsidRPr="00794E95">
        <w:rPr>
          <w:rtl/>
        </w:rPr>
        <w:t>(</w:t>
      </w:r>
      <w:r>
        <w:rPr>
          <w:rtl/>
        </w:rPr>
        <w:t xml:space="preserve">أولئك الذين يعملون </w:t>
      </w:r>
      <w:r w:rsidRPr="00F762F1">
        <w:rPr>
          <w:rtl/>
        </w:rPr>
        <w:t>عشر</w:t>
      </w:r>
      <w:r>
        <w:rPr>
          <w:rtl/>
        </w:rPr>
        <w:t xml:space="preserve"> ساعات على الأقل في الأسبوع</w:t>
      </w:r>
      <w:r w:rsidRPr="00794E95">
        <w:rPr>
          <w:rtl/>
        </w:rPr>
        <w:t>)</w:t>
      </w:r>
      <w:r>
        <w:rPr>
          <w:rtl/>
        </w:rPr>
        <w:t xml:space="preserve">، كانت نسبة </w:t>
      </w:r>
      <w:r w:rsidRPr="005C19F0">
        <w:rPr>
          <w:szCs w:val="20"/>
          <w:rtl/>
        </w:rPr>
        <w:t>73</w:t>
      </w:r>
      <w:r>
        <w:rPr>
          <w:rtl/>
        </w:rPr>
        <w:t xml:space="preserve"> في المائة منهم أعضاء في نقابة عمالية في عام </w:t>
      </w:r>
      <w:r w:rsidRPr="005C19F0">
        <w:rPr>
          <w:szCs w:val="20"/>
          <w:rtl/>
        </w:rPr>
        <w:t>2017</w:t>
      </w:r>
      <w:r w:rsidRPr="00B834E1">
        <w:rPr>
          <w:rtl/>
        </w:rPr>
        <w:t>.</w:t>
      </w:r>
      <w:r>
        <w:rPr>
          <w:rtl/>
        </w:rPr>
        <w:t xml:space="preserve"> ومع ذلك، تفيد التقارير التي طلبت وزارة الشؤون الاقتصادية والعمالة وضعها بانخفاض معدل التنقُّب في صفوف أولئك الممثَّلةُ مصالحهم</w:t>
      </w:r>
      <w:r w:rsidR="00507B18">
        <w:rPr>
          <w:rtl/>
        </w:rPr>
        <w:t xml:space="preserve"> </w:t>
      </w:r>
      <w:r>
        <w:rPr>
          <w:rtl/>
        </w:rPr>
        <w:t xml:space="preserve">من </w:t>
      </w:r>
      <w:r w:rsidRPr="005C19F0">
        <w:rPr>
          <w:szCs w:val="20"/>
          <w:rtl/>
        </w:rPr>
        <w:t>65</w:t>
      </w:r>
      <w:r>
        <w:rPr>
          <w:rtl/>
        </w:rPr>
        <w:t xml:space="preserve"> في المائة في عام </w:t>
      </w:r>
      <w:r w:rsidRPr="005C19F0">
        <w:rPr>
          <w:szCs w:val="20"/>
          <w:rtl/>
        </w:rPr>
        <w:t>2013</w:t>
      </w:r>
      <w:r>
        <w:rPr>
          <w:rtl/>
        </w:rPr>
        <w:t xml:space="preserve"> إلى </w:t>
      </w:r>
      <w:r w:rsidRPr="005C19F0">
        <w:rPr>
          <w:szCs w:val="20"/>
          <w:rtl/>
        </w:rPr>
        <w:t>59</w:t>
      </w:r>
      <w:r w:rsidRPr="00F762F1">
        <w:rPr>
          <w:rtl/>
        </w:rPr>
        <w:t xml:space="preserve"> في المائة </w:t>
      </w:r>
      <w:r>
        <w:rPr>
          <w:rtl/>
        </w:rPr>
        <w:t xml:space="preserve">في عام </w:t>
      </w:r>
      <w:r w:rsidRPr="005C19F0">
        <w:rPr>
          <w:szCs w:val="20"/>
          <w:rtl/>
        </w:rPr>
        <w:t>2017</w:t>
      </w:r>
      <w:r>
        <w:rPr>
          <w:rtl/>
        </w:rPr>
        <w:t>.</w:t>
      </w:r>
    </w:p>
    <w:p w14:paraId="22AAB10A" w14:textId="77777777" w:rsidR="00A0227D" w:rsidRPr="009B1F51" w:rsidRDefault="00A0227D" w:rsidP="001C3228">
      <w:pPr>
        <w:pStyle w:val="SingleTxtGA"/>
        <w:rPr>
          <w:szCs w:val="20"/>
          <w:lang w:val="ar-SA" w:eastAsia="zh-TW" w:bidi="en-GB"/>
        </w:rPr>
      </w:pPr>
      <w:r w:rsidRPr="005C19F0">
        <w:rPr>
          <w:szCs w:val="20"/>
          <w:rtl/>
        </w:rPr>
        <w:t>99</w:t>
      </w:r>
      <w:r w:rsidRPr="00EF3655">
        <w:rPr>
          <w:rtl/>
        </w:rPr>
        <w:t>-</w:t>
      </w:r>
      <w:r>
        <w:rPr>
          <w:rtl/>
        </w:rPr>
        <w:tab/>
        <w:t xml:space="preserve">ويقل متوسط دخل المرأة عن متوسط دخل الرجل بنسبة </w:t>
      </w:r>
      <w:r w:rsidRPr="005C19F0">
        <w:rPr>
          <w:szCs w:val="20"/>
          <w:rtl/>
        </w:rPr>
        <w:t>16</w:t>
      </w:r>
      <w:r>
        <w:rPr>
          <w:rtl/>
        </w:rPr>
        <w:t xml:space="preserve"> في المائة. ففي عام </w:t>
      </w:r>
      <w:r w:rsidRPr="005C19F0">
        <w:rPr>
          <w:szCs w:val="20"/>
          <w:rtl/>
        </w:rPr>
        <w:t>2018</w:t>
      </w:r>
      <w:r>
        <w:rPr>
          <w:rtl/>
        </w:rPr>
        <w:t xml:space="preserve">، كان دخل المرأة في سوق العمل بأكملها يساوي في المتوسط </w:t>
      </w:r>
      <w:r w:rsidRPr="005C19F0">
        <w:rPr>
          <w:szCs w:val="20"/>
          <w:rtl/>
        </w:rPr>
        <w:t>84</w:t>
      </w:r>
      <w:r>
        <w:rPr>
          <w:rtl/>
        </w:rPr>
        <w:t xml:space="preserve"> في المائة من دخل الرجل. وتختلف فجوة الدخل بين المرأة والرجل من قطاع إلى آخر</w:t>
      </w:r>
      <w:r w:rsidRPr="00BB79C1">
        <w:rPr>
          <w:rtl/>
        </w:rPr>
        <w:t>:</w:t>
      </w:r>
      <w:r>
        <w:rPr>
          <w:rtl/>
        </w:rPr>
        <w:t xml:space="preserve"> ففي وظائف الحكومة المركزية، يصل دخل المرأة في المتوسط إلى </w:t>
      </w:r>
      <w:r w:rsidRPr="005C19F0">
        <w:rPr>
          <w:szCs w:val="20"/>
          <w:rtl/>
        </w:rPr>
        <w:t>88</w:t>
      </w:r>
      <w:r>
        <w:rPr>
          <w:rtl/>
        </w:rPr>
        <w:t xml:space="preserve"> في المائة من دخل الرجل، بينما يصل إلى </w:t>
      </w:r>
      <w:r w:rsidRPr="005C19F0">
        <w:rPr>
          <w:szCs w:val="20"/>
          <w:rtl/>
        </w:rPr>
        <w:t>87</w:t>
      </w:r>
      <w:r>
        <w:rPr>
          <w:rtl/>
        </w:rPr>
        <w:t xml:space="preserve"> في المائة من دخل الرجل في قطاع الحكم المحلي وإلى </w:t>
      </w:r>
      <w:r w:rsidRPr="005C19F0">
        <w:rPr>
          <w:szCs w:val="20"/>
          <w:rtl/>
        </w:rPr>
        <w:t>86</w:t>
      </w:r>
      <w:r>
        <w:rPr>
          <w:rtl/>
        </w:rPr>
        <w:t xml:space="preserve"> في المائة في القطاع الخاص.</w:t>
      </w:r>
    </w:p>
    <w:p w14:paraId="095686EE" w14:textId="5770BB17" w:rsidR="00A0227D" w:rsidRPr="009B1F51" w:rsidRDefault="00A0227D" w:rsidP="001C3228">
      <w:pPr>
        <w:pStyle w:val="SingleTxtGA"/>
        <w:rPr>
          <w:szCs w:val="20"/>
          <w:lang w:val="ar-SA" w:eastAsia="zh-TW" w:bidi="en-GB"/>
        </w:rPr>
      </w:pPr>
      <w:r w:rsidRPr="005C19F0">
        <w:rPr>
          <w:szCs w:val="20"/>
          <w:rtl/>
        </w:rPr>
        <w:lastRenderedPageBreak/>
        <w:t>100</w:t>
      </w:r>
      <w:r w:rsidRPr="00EF3655">
        <w:rPr>
          <w:rtl/>
        </w:rPr>
        <w:t>-</w:t>
      </w:r>
      <w:r>
        <w:rPr>
          <w:rtl/>
        </w:rPr>
        <w:tab/>
        <w:t xml:space="preserve">واتسمت عملية سد فجوة الدخل بين المرأة والرجل بالبطء. وقد ضاقت الفجوة بسرعة نسبياً حتى أواخر ثمانينات القرن العشرين، ثم تباطأ معدل ضيقها منذ ذلك الحين. وبعد أواخر الثمانينات، ظلت فجوة الدخل ثابتة لبعض الوقت عند حوالي </w:t>
      </w:r>
      <w:r w:rsidRPr="005C19F0">
        <w:rPr>
          <w:szCs w:val="20"/>
          <w:rtl/>
        </w:rPr>
        <w:t>20</w:t>
      </w:r>
      <w:r w:rsidR="002B5B92">
        <w:rPr>
          <w:rFonts w:ascii="Traditional Arabic"/>
          <w:sz w:val="28"/>
          <w:rtl/>
        </w:rPr>
        <w:t xml:space="preserve"> في المائة</w:t>
      </w:r>
      <w:r w:rsidRPr="00B834E1">
        <w:rPr>
          <w:rtl/>
        </w:rPr>
        <w:t>.</w:t>
      </w:r>
      <w:r>
        <w:rPr>
          <w:rtl/>
        </w:rPr>
        <w:t xml:space="preserve"> ومنذ عام </w:t>
      </w:r>
      <w:r w:rsidRPr="005C19F0">
        <w:rPr>
          <w:szCs w:val="20"/>
          <w:rtl/>
        </w:rPr>
        <w:t>2006</w:t>
      </w:r>
      <w:r>
        <w:rPr>
          <w:rtl/>
        </w:rPr>
        <w:t>، عندما كانت برامج المساواة في الأجور سارية، ضاقت الفجوة بنحو أربع نقاط مئوية.</w:t>
      </w:r>
    </w:p>
    <w:p w14:paraId="57831813" w14:textId="051FA023" w:rsidR="00A0227D" w:rsidRPr="009B1F51" w:rsidRDefault="00A0227D" w:rsidP="001C3228">
      <w:pPr>
        <w:pStyle w:val="SingleTxtGA"/>
        <w:rPr>
          <w:szCs w:val="20"/>
          <w:lang w:val="ar-SA" w:eastAsia="zh-TW" w:bidi="en-GB"/>
        </w:rPr>
      </w:pPr>
      <w:r w:rsidRPr="005C19F0">
        <w:rPr>
          <w:szCs w:val="20"/>
          <w:rtl/>
        </w:rPr>
        <w:t>101</w:t>
      </w:r>
      <w:r w:rsidRPr="00EF3655">
        <w:rPr>
          <w:rtl/>
        </w:rPr>
        <w:t>-</w:t>
      </w:r>
      <w:r>
        <w:rPr>
          <w:rtl/>
        </w:rPr>
        <w:tab/>
        <w:t xml:space="preserve">وتعمل المرأة والرجل في قطاعات مختلفة وفي وظائف مختلفة. وتقل الأجور في القطاعات التي يغلب أن تعمل فيها النساء عن الأجور في القطاعات التي يغلب أن يعمل فيها الذكور. فكان أجر المرأة الأجيرة في قطاع الحكم المحلي وقطاع الخدمات الخاصة أدنى في المتوسط من أجر الرجل العامل في الصناعة التحويلية والحكومة المركزية. وتشكل النساء نحو </w:t>
      </w:r>
      <w:r w:rsidRPr="005C19F0">
        <w:rPr>
          <w:szCs w:val="20"/>
          <w:rtl/>
        </w:rPr>
        <w:t>80</w:t>
      </w:r>
      <w:r>
        <w:rPr>
          <w:rtl/>
        </w:rPr>
        <w:t xml:space="preserve"> في المائة من العاملين في قطاع الحكم المحلي، ويفسِّر تطور دخلهن إلى حد بعيد متوسط دخل المرأة في سوق العمل بأكمله. وقد كان تطور أجور الرجال أفضل من تطور أجور النساء، فيصل متوسط أجر الرجل إلى ذروته في سن أصغر بالمقارنة مع أجر المرأة. ويتباطأ تطور دخل المرأة</w:t>
      </w:r>
      <w:r>
        <w:rPr>
          <w:rtl/>
          <w:lang w:val="fr-CH"/>
        </w:rPr>
        <w:t xml:space="preserve"> نتيجة</w:t>
      </w:r>
      <w:r>
        <w:rPr>
          <w:rtl/>
        </w:rPr>
        <w:t xml:space="preserve">، مثلا، </w:t>
      </w:r>
      <w:r>
        <w:rPr>
          <w:rtl/>
          <w:lang w:val="fr-CH"/>
        </w:rPr>
        <w:t>ل</w:t>
      </w:r>
      <w:r>
        <w:rPr>
          <w:rtl/>
        </w:rPr>
        <w:t>لإجازات الأسرية الأطول من إجازات الرجل. وازدادت أيضاً العمالة المؤقتة وغير المتفرغة، ومعظم وظائف هذا النوع من العمالة تشغله لنساء. وتجدر الإشارة إلى أن التعليم لا يفسر ارتفاع دخل الرجل في فنلندا. فالمرأة أكثر تعليما</w:t>
      </w:r>
      <w:r w:rsidR="00D5531A">
        <w:rPr>
          <w:rFonts w:hint="cs"/>
          <w:rtl/>
        </w:rPr>
        <w:t>ً</w:t>
      </w:r>
      <w:r>
        <w:rPr>
          <w:rtl/>
        </w:rPr>
        <w:t xml:space="preserve"> من الرجل، ولكن متوسط دخل المرأة أقل من متوسط دخل الرجل بغض النظر عن مستوى التعليم. </w:t>
      </w:r>
    </w:p>
    <w:p w14:paraId="5B3F72E8" w14:textId="489371FC" w:rsidR="00A0227D" w:rsidRPr="009B1F51" w:rsidRDefault="001C3228" w:rsidP="001C3228">
      <w:pPr>
        <w:pStyle w:val="H1GA"/>
        <w:rPr>
          <w:szCs w:val="20"/>
          <w:lang w:val="ar-SA" w:eastAsia="zh-TW" w:bidi="en-GB"/>
        </w:rPr>
      </w:pPr>
      <w:bookmarkStart w:id="25" w:name="_Toc32364288"/>
      <w:r>
        <w:rPr>
          <w:rtl/>
        </w:rPr>
        <w:tab/>
      </w:r>
      <w:r w:rsidR="00A0227D">
        <w:rPr>
          <w:rtl/>
        </w:rPr>
        <w:t>باء</w:t>
      </w:r>
      <w:r w:rsidR="00A0227D" w:rsidRPr="00EF3655">
        <w:rPr>
          <w:rtl/>
        </w:rPr>
        <w:t>-</w:t>
      </w:r>
      <w:r w:rsidR="00A0227D">
        <w:rPr>
          <w:rtl/>
        </w:rPr>
        <w:tab/>
        <w:t>الهيكل الدستوري والسياسي والقانوني للدولة</w:t>
      </w:r>
      <w:bookmarkEnd w:id="25"/>
    </w:p>
    <w:p w14:paraId="2C281E9A" w14:textId="22D86257" w:rsidR="00A0227D" w:rsidRPr="001C3228" w:rsidRDefault="001C3228" w:rsidP="001C3228">
      <w:pPr>
        <w:pStyle w:val="H23GA"/>
        <w:rPr>
          <w:szCs w:val="20"/>
          <w:lang w:eastAsia="zh-TW" w:bidi="en-GB"/>
        </w:rPr>
      </w:pPr>
      <w:bookmarkStart w:id="26" w:name="_Toc32364289"/>
      <w:r>
        <w:rPr>
          <w:rtl/>
        </w:rPr>
        <w:tab/>
      </w:r>
      <w:r w:rsidR="00A0227D" w:rsidRPr="00794E95">
        <w:rPr>
          <w:rtl/>
        </w:rPr>
        <w:t>(</w:t>
      </w:r>
      <w:r w:rsidR="00A0227D">
        <w:rPr>
          <w:rtl/>
        </w:rPr>
        <w:t>أ</w:t>
      </w:r>
      <w:r w:rsidR="00A0227D" w:rsidRPr="00794E95">
        <w:rPr>
          <w:rtl/>
        </w:rPr>
        <w:t>)</w:t>
      </w:r>
      <w:r w:rsidR="00A0227D">
        <w:rPr>
          <w:rtl/>
        </w:rPr>
        <w:tab/>
        <w:t>الجمهورية الدستورية</w:t>
      </w:r>
      <w:bookmarkEnd w:id="26"/>
    </w:p>
    <w:p w14:paraId="1A2AB823" w14:textId="77777777" w:rsidR="00A0227D" w:rsidRPr="00C726A7" w:rsidRDefault="00A0227D" w:rsidP="001C3228">
      <w:pPr>
        <w:pStyle w:val="SingleTxtGA"/>
        <w:rPr>
          <w:szCs w:val="20"/>
          <w:lang w:eastAsia="zh-TW" w:bidi="en-GB"/>
        </w:rPr>
      </w:pPr>
      <w:r w:rsidRPr="005C19F0">
        <w:rPr>
          <w:szCs w:val="20"/>
          <w:rtl/>
        </w:rPr>
        <w:t>102</w:t>
      </w:r>
      <w:r w:rsidRPr="00EF3655">
        <w:rPr>
          <w:rtl/>
        </w:rPr>
        <w:t>-</w:t>
      </w:r>
      <w:r>
        <w:rPr>
          <w:rtl/>
        </w:rPr>
        <w:tab/>
        <w:t xml:space="preserve">فنلندا جمهورية دستورية ونظام الحكم فيها ديمقراطي تمثيلي. وكانت فنلندا جزءاً من مملكة السويد من أوائل القرن الرابع عشر حتى عام </w:t>
      </w:r>
      <w:r w:rsidRPr="005C19F0">
        <w:rPr>
          <w:szCs w:val="20"/>
          <w:rtl/>
        </w:rPr>
        <w:t>1809</w:t>
      </w:r>
      <w:r>
        <w:rPr>
          <w:rtl/>
        </w:rPr>
        <w:t xml:space="preserve">، عندما انضمت فنلندا إلى الإمبراطورية الروسية لتصبح دوقية فنلندا الكبرى بجمعيتها التشريعية التي تضم السلطات الأربع. وفي عام </w:t>
      </w:r>
      <w:r w:rsidRPr="005C19F0">
        <w:rPr>
          <w:szCs w:val="20"/>
          <w:rtl/>
        </w:rPr>
        <w:t>1906</w:t>
      </w:r>
      <w:r>
        <w:rPr>
          <w:rtl/>
        </w:rPr>
        <w:t xml:space="preserve">، أصبحت فنلندا أول بلد أوروبي يقر حق المرأة في الانتخاب، وأنشئ برلمان من غرفة واحدة. وأعلنت فنلندا استقلالها في عام </w:t>
      </w:r>
      <w:r w:rsidRPr="005C19F0">
        <w:rPr>
          <w:szCs w:val="20"/>
          <w:rtl/>
        </w:rPr>
        <w:t>1917</w:t>
      </w:r>
      <w:r>
        <w:rPr>
          <w:rtl/>
        </w:rPr>
        <w:t>.</w:t>
      </w:r>
    </w:p>
    <w:p w14:paraId="73E6E769" w14:textId="68E81692" w:rsidR="00A0227D" w:rsidRPr="009B1F51" w:rsidRDefault="00A0227D" w:rsidP="001C3228">
      <w:pPr>
        <w:pStyle w:val="SingleTxtGA"/>
        <w:rPr>
          <w:szCs w:val="20"/>
          <w:lang w:val="ar-SA" w:eastAsia="zh-TW" w:bidi="en-GB"/>
        </w:rPr>
      </w:pPr>
      <w:r w:rsidRPr="005C19F0">
        <w:rPr>
          <w:szCs w:val="20"/>
          <w:rtl/>
        </w:rPr>
        <w:t>103</w:t>
      </w:r>
      <w:r w:rsidRPr="00EF3655">
        <w:rPr>
          <w:rtl/>
        </w:rPr>
        <w:t>-</w:t>
      </w:r>
      <w:r>
        <w:rPr>
          <w:rtl/>
        </w:rPr>
        <w:tab/>
        <w:t xml:space="preserve">وانضمت فنلندا إلى الاتحاد الأوروبي في </w:t>
      </w:r>
      <w:r w:rsidRPr="005C19F0">
        <w:rPr>
          <w:szCs w:val="20"/>
          <w:rtl/>
        </w:rPr>
        <w:t>1</w:t>
      </w:r>
      <w:r>
        <w:rPr>
          <w:rtl/>
        </w:rPr>
        <w:t xml:space="preserve"> كانون الثاني/يناير </w:t>
      </w:r>
      <w:r w:rsidRPr="005C19F0">
        <w:rPr>
          <w:szCs w:val="20"/>
          <w:rtl/>
        </w:rPr>
        <w:t>1995</w:t>
      </w:r>
      <w:r w:rsidRPr="00B834E1">
        <w:rPr>
          <w:rtl/>
        </w:rPr>
        <w:t>.</w:t>
      </w:r>
      <w:r>
        <w:rPr>
          <w:rtl/>
        </w:rPr>
        <w:t xml:space="preserve"> وتتمثل القيم الأساسية للاتحاد الأوروبي في الديمقراطية وحقوق الإنسان وسيادة القانون، وهي المبادئ التي يقوم عليها أيضا</w:t>
      </w:r>
      <w:r w:rsidR="00D5531A">
        <w:rPr>
          <w:rFonts w:hint="cs"/>
          <w:rtl/>
        </w:rPr>
        <w:t>ً</w:t>
      </w:r>
      <w:r>
        <w:rPr>
          <w:rtl/>
        </w:rPr>
        <w:t xml:space="preserve"> المجتمع الفنلندي. وقد حولت الدول الأعضاء في الاتحاد الأوروبي الاختصاص من الهيئات الوطنية إلى هيئات الاتحاد الأوروبي، وتوائم هذه الدول سياساتها في مختلف مجالات التكامل الأوروبي، وكذلك </w:t>
      </w:r>
      <w:r>
        <w:rPr>
          <w:rtl/>
          <w:lang w:val="fr-CH"/>
        </w:rPr>
        <w:t>فيما يتصل ب</w:t>
      </w:r>
      <w:r>
        <w:rPr>
          <w:rtl/>
        </w:rPr>
        <w:t xml:space="preserve">بلدان ثالثة وبالمنظمات الدولية. </w:t>
      </w:r>
      <w:dir w:val="rtl">
        <w:r>
          <w:rPr>
            <w:rtl/>
          </w:rPr>
          <w:t xml:space="preserve">وأصبح </w:t>
        </w:r>
        <w:r w:rsidRPr="00EF2451">
          <w:rPr>
            <w:rtl/>
          </w:rPr>
          <w:t xml:space="preserve">ميثاق الحقوق الأساسية للاتحاد الأوربي </w:t>
        </w:r>
        <w:r>
          <w:rPr>
            <w:rtl/>
          </w:rPr>
          <w:t xml:space="preserve">ملزِماً قانوناً في كانون الأول/ديسمبر </w:t>
        </w:r>
        <w:r w:rsidRPr="005C19F0">
          <w:rPr>
            <w:szCs w:val="20"/>
            <w:rtl/>
          </w:rPr>
          <w:t>2009</w:t>
        </w:r>
        <w:r w:rsidRPr="00B834E1">
          <w:rPr>
            <w:rtl/>
          </w:rPr>
          <w:t xml:space="preserve">. </w:t>
        </w:r>
        <w:r>
          <w:rPr>
            <w:rtl/>
          </w:rPr>
          <w:t>وتتقيد فنلندا قانونيا</w:t>
        </w:r>
        <w:r w:rsidR="00C13097">
          <w:rPr>
            <w:rFonts w:hint="cs"/>
            <w:rtl/>
          </w:rPr>
          <w:t>ً</w:t>
        </w:r>
        <w:r>
          <w:rPr>
            <w:rtl/>
          </w:rPr>
          <w:t xml:space="preserve"> وسياسيا</w:t>
        </w:r>
        <w:r w:rsidR="00C13097">
          <w:rPr>
            <w:rFonts w:hint="cs"/>
            <w:rtl/>
          </w:rPr>
          <w:t>ً</w:t>
        </w:r>
        <w:r>
          <w:rPr>
            <w:rtl/>
          </w:rPr>
          <w:t xml:space="preserve"> بالتزاماتها ومسؤولياتها المتعلقة بالعضوية في الاتحاد الأوروبي على نحو ما تتطلبه معاهدات الاتحاد الأوروبي وميثاق الحقوق الأساسية، وتشريعات الاتحاد الأوروبي الثانوية، والسوابق القضائية لمحكمة العدل التابعة للاتحاد الأوروبي.</w:t>
        </w:r>
        <w:r>
          <w:t>‬</w:t>
        </w:r>
        <w:r>
          <w:t>‬</w:t>
        </w:r>
        <w:r>
          <w:t>‬</w:t>
        </w:r>
        <w:r>
          <w:t>‬</w:t>
        </w:r>
        <w:r>
          <w:t>‬</w:t>
        </w:r>
        <w:r>
          <w:t>‬</w:t>
        </w:r>
        <w:r>
          <w:t>‬</w:t>
        </w:r>
        <w:r w:rsidR="000A1C86">
          <w:t>‬</w:t>
        </w:r>
      </w:dir>
    </w:p>
    <w:p w14:paraId="7C489908" w14:textId="77777777" w:rsidR="00A0227D" w:rsidRPr="009B1F51" w:rsidRDefault="00A0227D" w:rsidP="001C3228">
      <w:pPr>
        <w:pStyle w:val="SingleTxtGA"/>
        <w:rPr>
          <w:szCs w:val="20"/>
          <w:lang w:val="ar-SA" w:eastAsia="zh-TW" w:bidi="en-GB"/>
        </w:rPr>
      </w:pPr>
      <w:r w:rsidRPr="005C19F0">
        <w:rPr>
          <w:szCs w:val="20"/>
          <w:rtl/>
        </w:rPr>
        <w:t>104</w:t>
      </w:r>
      <w:r w:rsidRPr="00EF3655">
        <w:rPr>
          <w:rtl/>
        </w:rPr>
        <w:t>-</w:t>
      </w:r>
      <w:r>
        <w:rPr>
          <w:rtl/>
        </w:rPr>
        <w:tab/>
        <w:t>ويقوم دستور فنلندا على سيادة القانون وفصل السلطات إلى الفروع التشريعية والتنفيذية والقضائية المستقلة.</w:t>
      </w:r>
    </w:p>
    <w:p w14:paraId="0823CBB5" w14:textId="77777777" w:rsidR="00A0227D" w:rsidRPr="009B1F51" w:rsidRDefault="00A0227D" w:rsidP="001C3228">
      <w:pPr>
        <w:pStyle w:val="SingleTxtGA"/>
        <w:rPr>
          <w:szCs w:val="20"/>
          <w:lang w:val="ar-SA" w:eastAsia="zh-TW" w:bidi="en-GB"/>
        </w:rPr>
      </w:pPr>
      <w:r w:rsidRPr="005C19F0">
        <w:rPr>
          <w:szCs w:val="20"/>
          <w:rtl/>
        </w:rPr>
        <w:t>105</w:t>
      </w:r>
      <w:r w:rsidRPr="00EF3655">
        <w:rPr>
          <w:rtl/>
        </w:rPr>
        <w:t>-</w:t>
      </w:r>
      <w:r>
        <w:rPr>
          <w:rtl/>
        </w:rPr>
        <w:tab/>
        <w:t>وبموجب دستور فنلندا، يمارس رئيس الجمهورية والحكومة صلاحيات الحكم. وينتخب البرلمان رئيس الوزراء ويعينه رئيس الجمهورية الذي يعين أيضاً الوزراء الآخرين بناء على اقتراح رئيس الوزراء. ويجب أن يكون الوزراء مواطنين فنلنديين مشهوداً لهم بالأمانة والكفاءة.</w:t>
      </w:r>
    </w:p>
    <w:p w14:paraId="604AA5B6" w14:textId="029F10CF" w:rsidR="00A0227D" w:rsidRPr="001C3228" w:rsidRDefault="001C3228" w:rsidP="001C3228">
      <w:pPr>
        <w:pStyle w:val="H23GA"/>
        <w:rPr>
          <w:szCs w:val="20"/>
          <w:lang w:eastAsia="zh-TW" w:bidi="en-GB"/>
        </w:rPr>
      </w:pPr>
      <w:bookmarkStart w:id="27" w:name="_Toc32364290"/>
      <w:r>
        <w:rPr>
          <w:rtl/>
        </w:rPr>
        <w:lastRenderedPageBreak/>
        <w:tab/>
      </w:r>
      <w:r w:rsidR="00A0227D" w:rsidRPr="00794E95">
        <w:rPr>
          <w:rtl/>
        </w:rPr>
        <w:t>(</w:t>
      </w:r>
      <w:r w:rsidR="00A0227D">
        <w:rPr>
          <w:rtl/>
        </w:rPr>
        <w:t>ب</w:t>
      </w:r>
      <w:r w:rsidR="00A0227D" w:rsidRPr="00794E95">
        <w:rPr>
          <w:rtl/>
        </w:rPr>
        <w:t>)</w:t>
      </w:r>
      <w:r w:rsidR="00A0227D">
        <w:rPr>
          <w:rtl/>
        </w:rPr>
        <w:tab/>
        <w:t>رئيس الجمهورية</w:t>
      </w:r>
      <w:bookmarkEnd w:id="27"/>
    </w:p>
    <w:p w14:paraId="2AC4117B" w14:textId="77777777" w:rsidR="00A0227D" w:rsidRPr="009B1F51" w:rsidRDefault="00A0227D" w:rsidP="001C3228">
      <w:pPr>
        <w:pStyle w:val="SingleTxtGA"/>
        <w:rPr>
          <w:szCs w:val="20"/>
          <w:lang w:val="ar-SA" w:eastAsia="zh-TW" w:bidi="en-GB"/>
        </w:rPr>
      </w:pPr>
      <w:r w:rsidRPr="005C19F0">
        <w:rPr>
          <w:szCs w:val="20"/>
          <w:rtl/>
        </w:rPr>
        <w:t>106</w:t>
      </w:r>
      <w:r w:rsidRPr="00EF3655">
        <w:rPr>
          <w:rtl/>
        </w:rPr>
        <w:t>-</w:t>
      </w:r>
      <w:r>
        <w:rPr>
          <w:rtl/>
        </w:rPr>
        <w:tab/>
        <w:t>يوجه رئيس الجمهورية سياسة فنلندا الخارجية بالتعاون مع الحكومة ويقرر علاقات فنلندا مع الدول الأجنبية والأنشطة في إطار المنظمات والمفاوضات الدولية. ورئيس الجمهورية هو القائد الأعلى لقوات الدفاع في فنلندا. ويحدد دستور فنلندا واجبات رئيس الجمهورية وصلاحياته.</w:t>
      </w:r>
    </w:p>
    <w:p w14:paraId="3EDF77C5" w14:textId="77777777" w:rsidR="00A0227D" w:rsidRPr="00C726A7" w:rsidRDefault="00A0227D" w:rsidP="001C3228">
      <w:pPr>
        <w:pStyle w:val="SingleTxtGA"/>
        <w:rPr>
          <w:szCs w:val="20"/>
          <w:lang w:eastAsia="zh-TW" w:bidi="en-GB"/>
        </w:rPr>
      </w:pPr>
      <w:r w:rsidRPr="005C19F0">
        <w:rPr>
          <w:szCs w:val="20"/>
          <w:rtl/>
        </w:rPr>
        <w:t>107</w:t>
      </w:r>
      <w:r w:rsidRPr="00EF3655">
        <w:rPr>
          <w:rtl/>
        </w:rPr>
        <w:t>-</w:t>
      </w:r>
      <w:r>
        <w:rPr>
          <w:rtl/>
        </w:rPr>
        <w:tab/>
        <w:t>وي</w:t>
      </w:r>
      <w:r>
        <w:rPr>
          <w:rtl/>
          <w:lang w:val="fr-CH"/>
        </w:rPr>
        <w:t>ُ</w:t>
      </w:r>
      <w:r>
        <w:rPr>
          <w:rtl/>
        </w:rPr>
        <w:t xml:space="preserve">نتخب رئيس الجمهورية بالاقتراع الشعبي المباشر. ويجب أن يكون الرئيس مواطنا فنلندياً مولوداً في البلد. ويُنتخب الرئيس لولاية مدتها ست سنوات، ولا يجوز انتخاب نفس الشخص رئيساً لأكثر من ولايتين متتاليتين. ويجوز تسمية المرشحين للرئاسة من قبل الأحزاب السياسية المسجلة التي حصلت على مقعد واحد على الأقل في البرلمان في آخر انتخابات برلمانية تم إجراؤها. كما يجوز أيضاً تسمية المرشحين من قبل جمعيات الدوائر الانتخابية التي ينشئها ما لا يقل عن </w:t>
      </w:r>
      <w:r w:rsidRPr="005C19F0">
        <w:rPr>
          <w:szCs w:val="20"/>
          <w:rtl/>
        </w:rPr>
        <w:t>000</w:t>
      </w:r>
      <w:r>
        <w:rPr>
          <w:rFonts w:ascii="Traditional Arabic"/>
          <w:szCs w:val="20"/>
          <w:rtl/>
        </w:rPr>
        <w:t xml:space="preserve"> </w:t>
      </w:r>
      <w:r w:rsidRPr="005C19F0">
        <w:rPr>
          <w:szCs w:val="20"/>
          <w:rtl/>
        </w:rPr>
        <w:t>20</w:t>
      </w:r>
      <w:r>
        <w:rPr>
          <w:rtl/>
        </w:rPr>
        <w:t xml:space="preserve"> شخص لهم حق التصويت. ويُنتخب المرشح الذي يحصل على أكثر من نصف الأصوات المدلى بها في الانتخابات الأولى رئيساً للدولة. </w:t>
      </w:r>
      <w:r>
        <w:rPr>
          <w:rtl/>
          <w:lang w:val="fr-CH"/>
        </w:rPr>
        <w:t>فإن</w:t>
      </w:r>
      <w:r>
        <w:rPr>
          <w:rtl/>
        </w:rPr>
        <w:t xml:space="preserve"> لم يحصل أي مرشح على هذه الأغلبية، تُجرى انتخابات ثانية في غضون أسبوعين بين المرشحيْن اللذيْن حصلا على أغلب الأصوات. وفي الانتخابات الثانية، يُنتخب المرشح الذي يحصل على أكبر عدد من الأصوات رئيساً. وفي حالة التعادل، تُحدد نتيجة الانتخابات عن طريق القرعة.</w:t>
      </w:r>
    </w:p>
    <w:p w14:paraId="1E02A379" w14:textId="66007B87" w:rsidR="00A0227D" w:rsidRPr="001C3228" w:rsidRDefault="001C3228" w:rsidP="001C3228">
      <w:pPr>
        <w:pStyle w:val="H23GA"/>
        <w:rPr>
          <w:szCs w:val="20"/>
          <w:lang w:eastAsia="zh-TW" w:bidi="en-GB"/>
        </w:rPr>
      </w:pPr>
      <w:bookmarkStart w:id="28" w:name="_Toc32364291"/>
      <w:r>
        <w:rPr>
          <w:rtl/>
        </w:rPr>
        <w:tab/>
      </w:r>
      <w:r w:rsidR="00A0227D" w:rsidRPr="00794E95">
        <w:rPr>
          <w:rtl/>
        </w:rPr>
        <w:t>(</w:t>
      </w:r>
      <w:r w:rsidR="00A0227D">
        <w:rPr>
          <w:rtl/>
        </w:rPr>
        <w:t>ج</w:t>
      </w:r>
      <w:r w:rsidR="00A0227D" w:rsidRPr="00794E95">
        <w:rPr>
          <w:rtl/>
        </w:rPr>
        <w:t>)</w:t>
      </w:r>
      <w:r w:rsidR="00A0227D">
        <w:rPr>
          <w:rtl/>
        </w:rPr>
        <w:tab/>
        <w:t>البرلمان</w:t>
      </w:r>
      <w:bookmarkEnd w:id="28"/>
    </w:p>
    <w:p w14:paraId="664629CD" w14:textId="77777777" w:rsidR="00A0227D" w:rsidRPr="009B1F51" w:rsidRDefault="00A0227D" w:rsidP="001C3228">
      <w:pPr>
        <w:pStyle w:val="SingleTxtGA"/>
        <w:rPr>
          <w:szCs w:val="20"/>
          <w:lang w:val="ar-SA" w:eastAsia="zh-TW" w:bidi="en-GB"/>
        </w:rPr>
      </w:pPr>
      <w:r w:rsidRPr="005C19F0">
        <w:rPr>
          <w:szCs w:val="20"/>
          <w:rtl/>
        </w:rPr>
        <w:t>108</w:t>
      </w:r>
      <w:r w:rsidRPr="00EF3655">
        <w:rPr>
          <w:rtl/>
        </w:rPr>
        <w:t>-</w:t>
      </w:r>
      <w:r>
        <w:rPr>
          <w:rtl/>
        </w:rPr>
        <w:tab/>
        <w:t xml:space="preserve">بموجب دستور فنلندا، تُسند </w:t>
      </w:r>
      <w:r>
        <w:rPr>
          <w:rtl/>
          <w:lang w:bidi="ar-DZ"/>
        </w:rPr>
        <w:t xml:space="preserve">صلاحيات </w:t>
      </w:r>
      <w:r>
        <w:rPr>
          <w:rtl/>
        </w:rPr>
        <w:t xml:space="preserve">الدولة في فنلندا إلى الشعب الذي يمثله البرلمان. ولدى فنلندا برلمان من غرفة واحدة يتألف من </w:t>
      </w:r>
      <w:r w:rsidRPr="005C19F0">
        <w:rPr>
          <w:szCs w:val="20"/>
          <w:rtl/>
        </w:rPr>
        <w:t>200</w:t>
      </w:r>
      <w:r>
        <w:rPr>
          <w:rtl/>
        </w:rPr>
        <w:t xml:space="preserve"> عضو. ويمارس البرلمان السلطة التشريعية ويبت في الشؤون المالية للدولة. ويجب أن تحصل الحكومة على ثقة البرلمان.</w:t>
      </w:r>
    </w:p>
    <w:p w14:paraId="2CBE9D4D" w14:textId="77777777" w:rsidR="00A0227D" w:rsidRPr="009B1F51" w:rsidRDefault="00A0227D" w:rsidP="001C3228">
      <w:pPr>
        <w:pStyle w:val="SingleTxtGA"/>
        <w:rPr>
          <w:szCs w:val="20"/>
          <w:lang w:val="ar-SA" w:eastAsia="zh-TW" w:bidi="en-GB"/>
        </w:rPr>
      </w:pPr>
      <w:r w:rsidRPr="005C19F0">
        <w:rPr>
          <w:szCs w:val="20"/>
          <w:rtl/>
        </w:rPr>
        <w:t>109</w:t>
      </w:r>
      <w:r w:rsidRPr="00EF3655">
        <w:rPr>
          <w:rtl/>
        </w:rPr>
        <w:t>-</w:t>
      </w:r>
      <w:r>
        <w:rPr>
          <w:rtl/>
        </w:rPr>
        <w:tab/>
        <w:t xml:space="preserve">وتتمثل أهم مهام البرلمان في سن التشريعات. ويمكن للبرلمان أن يسن التشريعات بناءً على اقتراح من الحكومة أو </w:t>
      </w:r>
      <w:r>
        <w:rPr>
          <w:rtl/>
          <w:lang w:val="fr-CH"/>
        </w:rPr>
        <w:t xml:space="preserve">طلب </w:t>
      </w:r>
      <w:r>
        <w:rPr>
          <w:rtl/>
        </w:rPr>
        <w:t>من أحد أعضائه أو بمبادرة من المواطنين.</w:t>
      </w:r>
    </w:p>
    <w:p w14:paraId="27A5682B" w14:textId="77777777" w:rsidR="00A0227D" w:rsidRPr="00B37BF0" w:rsidRDefault="00A0227D" w:rsidP="001C3228">
      <w:pPr>
        <w:pStyle w:val="SingleTxtGA"/>
        <w:rPr>
          <w:spacing w:val="-2"/>
          <w:szCs w:val="20"/>
          <w:lang w:eastAsia="zh-TW" w:bidi="en-GB"/>
        </w:rPr>
      </w:pPr>
      <w:r w:rsidRPr="00B37BF0">
        <w:rPr>
          <w:spacing w:val="-2"/>
          <w:szCs w:val="20"/>
          <w:rtl/>
        </w:rPr>
        <w:t>110</w:t>
      </w:r>
      <w:r w:rsidRPr="00B37BF0">
        <w:rPr>
          <w:spacing w:val="-2"/>
          <w:rtl/>
        </w:rPr>
        <w:t>-</w:t>
      </w:r>
      <w:r w:rsidRPr="00B37BF0">
        <w:rPr>
          <w:spacing w:val="-2"/>
          <w:rtl/>
        </w:rPr>
        <w:tab/>
        <w:t xml:space="preserve">وتُجرى الانتخابات البرلمانية كل أربع سنوات، ويُقسّم البلد إلى دوائر انتخابية. ويُشترط أن يكون أحد أعضاء البرلمان من جزر آلاند. ويتمتع المواطنون الفنلنديون الذين تبلغ أعمارهم </w:t>
      </w:r>
      <w:r w:rsidRPr="00B37BF0">
        <w:rPr>
          <w:spacing w:val="-2"/>
          <w:szCs w:val="20"/>
          <w:rtl/>
        </w:rPr>
        <w:t>18</w:t>
      </w:r>
      <w:r w:rsidRPr="00B37BF0">
        <w:rPr>
          <w:spacing w:val="-2"/>
          <w:rtl/>
        </w:rPr>
        <w:t xml:space="preserve"> سنة فأكثر بحق التصويت. ويقوم النظام الانتخابي لفنلندا على مبادئ </w:t>
      </w:r>
      <w:r w:rsidRPr="00B37BF0">
        <w:rPr>
          <w:spacing w:val="-2"/>
          <w:rtl/>
          <w:lang w:val="fr-CH"/>
        </w:rPr>
        <w:t>الاستقامة</w:t>
      </w:r>
      <w:r w:rsidRPr="00B37BF0">
        <w:rPr>
          <w:spacing w:val="-2"/>
          <w:rtl/>
        </w:rPr>
        <w:t xml:space="preserve"> والسرية والتناسب. ويجب أن يصوت جميع الناخبين شخصياً وأن يُدلى بالأصوات أمام السلطات الانتخابية. و</w:t>
      </w:r>
      <w:r w:rsidRPr="00B37BF0">
        <w:rPr>
          <w:spacing w:val="-2"/>
          <w:rtl/>
          <w:lang w:val="fr-CH"/>
        </w:rPr>
        <w:t xml:space="preserve">يجمع </w:t>
      </w:r>
      <w:r w:rsidRPr="00B37BF0">
        <w:rPr>
          <w:spacing w:val="-2"/>
          <w:rtl/>
        </w:rPr>
        <w:t>النظام الانتخابي الفنلندي بين التصويت للأفراد والتصويت للأحزاب، باستخدام نفس الرقم للتصويت لحزب ولمرشح.</w:t>
      </w:r>
    </w:p>
    <w:p w14:paraId="0F9A0141" w14:textId="77777777" w:rsidR="00A0227D" w:rsidRPr="00B37BF0" w:rsidRDefault="00A0227D" w:rsidP="001C3228">
      <w:pPr>
        <w:pStyle w:val="SingleTxtGA"/>
        <w:rPr>
          <w:spacing w:val="-2"/>
          <w:szCs w:val="20"/>
          <w:lang w:eastAsia="zh-TW" w:bidi="en-GB"/>
        </w:rPr>
      </w:pPr>
      <w:r w:rsidRPr="00B37BF0">
        <w:rPr>
          <w:spacing w:val="-2"/>
          <w:szCs w:val="20"/>
          <w:rtl/>
        </w:rPr>
        <w:t>111</w:t>
      </w:r>
      <w:r w:rsidRPr="00B37BF0">
        <w:rPr>
          <w:spacing w:val="-2"/>
          <w:rtl/>
        </w:rPr>
        <w:t>-</w:t>
      </w:r>
      <w:r w:rsidRPr="00B37BF0">
        <w:rPr>
          <w:spacing w:val="-2"/>
          <w:rtl/>
        </w:rPr>
        <w:tab/>
        <w:t xml:space="preserve">وأسفرت انتخابات عام </w:t>
      </w:r>
      <w:r w:rsidRPr="00B37BF0">
        <w:rPr>
          <w:spacing w:val="-2"/>
          <w:szCs w:val="20"/>
          <w:rtl/>
        </w:rPr>
        <w:t>2019</w:t>
      </w:r>
      <w:r w:rsidRPr="00B37BF0">
        <w:rPr>
          <w:spacing w:val="-2"/>
          <w:rtl/>
        </w:rPr>
        <w:t xml:space="preserve"> عن تمثيل ثمانية أحزاب سياسية وجمعية واحدة من جمعيات الدوائر انتخابية في البرلمان. وشُكلت الحكومة من خمسة من هذه الأحزاب. ولدى فنلندا أيضاً أحزاب سياسية أخرى أصغر غير ممثلة في البرلمان. ويجوز أيضاً تسمية مرشحين لمقاعد البرلمان من قبل جمعيات الدوائر الانتخابية التي ينشئها ما لا يقل عن </w:t>
      </w:r>
      <w:r w:rsidRPr="00B37BF0">
        <w:rPr>
          <w:spacing w:val="-2"/>
          <w:szCs w:val="20"/>
          <w:rtl/>
        </w:rPr>
        <w:t>100</w:t>
      </w:r>
      <w:r w:rsidRPr="00B37BF0">
        <w:rPr>
          <w:spacing w:val="-2"/>
          <w:rtl/>
        </w:rPr>
        <w:t xml:space="preserve"> شخص لهم حق التصويت في الدائرة الانتخابية المعنية. وشكلت النساء نسبة </w:t>
      </w:r>
      <w:r w:rsidRPr="00B37BF0">
        <w:rPr>
          <w:spacing w:val="-2"/>
          <w:szCs w:val="20"/>
          <w:rtl/>
        </w:rPr>
        <w:t>42</w:t>
      </w:r>
      <w:r w:rsidRPr="00B37BF0">
        <w:rPr>
          <w:spacing w:val="-2"/>
          <w:rtl/>
        </w:rPr>
        <w:t xml:space="preserve"> في المائة من المرشحين ونسبة </w:t>
      </w:r>
      <w:r w:rsidRPr="00B37BF0">
        <w:rPr>
          <w:spacing w:val="-2"/>
          <w:szCs w:val="20"/>
          <w:rtl/>
        </w:rPr>
        <w:t>47</w:t>
      </w:r>
      <w:r w:rsidRPr="00B37BF0">
        <w:rPr>
          <w:spacing w:val="-2"/>
          <w:rtl/>
        </w:rPr>
        <w:t xml:space="preserve"> في المائة من أعضاء البرلمان المنتخبين.</w:t>
      </w:r>
    </w:p>
    <w:p w14:paraId="222EE6F8" w14:textId="3F61A274" w:rsidR="00A0227D" w:rsidRPr="009B1F51" w:rsidRDefault="00A0227D" w:rsidP="001C3228">
      <w:pPr>
        <w:pStyle w:val="SingleTxtGA"/>
        <w:rPr>
          <w:szCs w:val="20"/>
          <w:lang w:val="ar-SA" w:eastAsia="zh-TW" w:bidi="en-GB"/>
        </w:rPr>
      </w:pPr>
      <w:r w:rsidRPr="005C19F0">
        <w:rPr>
          <w:szCs w:val="20"/>
          <w:rtl/>
        </w:rPr>
        <w:t>112</w:t>
      </w:r>
      <w:r w:rsidRPr="00EF3655">
        <w:rPr>
          <w:rtl/>
        </w:rPr>
        <w:t>-</w:t>
      </w:r>
      <w:r>
        <w:rPr>
          <w:rtl/>
        </w:rPr>
        <w:tab/>
        <w:t xml:space="preserve">وبلغت نسبة المشاركة في انتخابات عام </w:t>
      </w:r>
      <w:r w:rsidRPr="005C19F0">
        <w:rPr>
          <w:szCs w:val="20"/>
          <w:rtl/>
        </w:rPr>
        <w:t>2019</w:t>
      </w:r>
      <w:r>
        <w:rPr>
          <w:rtl/>
        </w:rPr>
        <w:t xml:space="preserve"> البرلمانية </w:t>
      </w:r>
      <w:r w:rsidRPr="005C19F0">
        <w:rPr>
          <w:szCs w:val="20"/>
          <w:rtl/>
        </w:rPr>
        <w:t>72</w:t>
      </w:r>
      <w:r w:rsidR="00B37BF0">
        <w:rPr>
          <w:rFonts w:ascii="Traditional Arabic"/>
          <w:szCs w:val="20"/>
          <w:rtl/>
        </w:rPr>
        <w:t>,</w:t>
      </w:r>
      <w:r w:rsidRPr="005C19F0">
        <w:rPr>
          <w:szCs w:val="20"/>
          <w:rtl/>
        </w:rPr>
        <w:t>1</w:t>
      </w:r>
      <w:r>
        <w:rPr>
          <w:rtl/>
        </w:rPr>
        <w:t xml:space="preserve"> في المائة. وفي عام </w:t>
      </w:r>
      <w:r w:rsidRPr="005C19F0">
        <w:rPr>
          <w:szCs w:val="20"/>
          <w:rtl/>
        </w:rPr>
        <w:t>2017</w:t>
      </w:r>
      <w:r>
        <w:rPr>
          <w:rtl/>
        </w:rPr>
        <w:t xml:space="preserve">، بلغت نسبة المشاركة في الانتخابات البلدية على مستوى البلد بأكمله </w:t>
      </w:r>
      <w:r w:rsidRPr="005C19F0">
        <w:rPr>
          <w:szCs w:val="20"/>
          <w:rtl/>
        </w:rPr>
        <w:t>58</w:t>
      </w:r>
      <w:r w:rsidR="00B37BF0">
        <w:rPr>
          <w:rFonts w:ascii="Traditional Arabic"/>
          <w:szCs w:val="20"/>
          <w:rtl/>
        </w:rPr>
        <w:t>,</w:t>
      </w:r>
      <w:r w:rsidRPr="005C19F0">
        <w:rPr>
          <w:szCs w:val="20"/>
          <w:rtl/>
        </w:rPr>
        <w:t>9</w:t>
      </w:r>
      <w:r>
        <w:rPr>
          <w:rtl/>
        </w:rPr>
        <w:t xml:space="preserve"> في المائة. ولا تزال نسبة المشاركة في الانتخابات العامة في فنلندا، منذ فترة طويلة، أقل من متوسط </w:t>
      </w:r>
      <w:r>
        <w:rPr>
          <w:rtl/>
          <w:lang w:val="fr-CH"/>
        </w:rPr>
        <w:t xml:space="preserve">نسبة المشاركة في بلدان </w:t>
      </w:r>
      <w:r>
        <w:rPr>
          <w:rtl/>
        </w:rPr>
        <w:t xml:space="preserve">منظمة التعاون والتنمية في الميدان الاقتصادي. ومن الواضح أن نسبة المشاركة في الانتخابات تعتمد على الوضع الاجتماعي </w:t>
      </w:r>
      <w:r w:rsidRPr="00EF3655">
        <w:rPr>
          <w:rtl/>
        </w:rPr>
        <w:t>-</w:t>
      </w:r>
      <w:r>
        <w:rPr>
          <w:rtl/>
        </w:rPr>
        <w:t xml:space="preserve"> الاقتصادي والسن، حيث يقل احتمال أن يصوّت الشباب والأشخاص ذوي </w:t>
      </w:r>
      <w:r>
        <w:rPr>
          <w:rtl/>
        </w:rPr>
        <w:lastRenderedPageBreak/>
        <w:t xml:space="preserve">الوضع الاجتماعي </w:t>
      </w:r>
      <w:r w:rsidRPr="00EF3655">
        <w:rPr>
          <w:rtl/>
        </w:rPr>
        <w:t>-</w:t>
      </w:r>
      <w:r>
        <w:rPr>
          <w:rtl/>
        </w:rPr>
        <w:t xml:space="preserve"> الاقتصادي الأدنى وأن يشاركوا في أنشطة الأحزاب السياسية. ومن الواضح أيضا</w:t>
      </w:r>
      <w:r w:rsidR="00B37BF0">
        <w:rPr>
          <w:rFonts w:hint="cs"/>
          <w:rtl/>
        </w:rPr>
        <w:t>ً</w:t>
      </w:r>
      <w:r>
        <w:rPr>
          <w:rtl/>
        </w:rPr>
        <w:t xml:space="preserve"> أن المهاجرين أقل تمثيلاً بين المرشحين والمسؤولين المنتخبين على السواء.</w:t>
      </w:r>
    </w:p>
    <w:p w14:paraId="7C5F6F16" w14:textId="17FB2884" w:rsidR="00A0227D" w:rsidRPr="001C3228" w:rsidRDefault="001C3228" w:rsidP="001C3228">
      <w:pPr>
        <w:pStyle w:val="H23GA"/>
        <w:rPr>
          <w:szCs w:val="20"/>
          <w:lang w:eastAsia="zh-TW" w:bidi="en-GB"/>
        </w:rPr>
      </w:pPr>
      <w:bookmarkStart w:id="29" w:name="_Toc32364292"/>
      <w:r>
        <w:rPr>
          <w:rtl/>
        </w:rPr>
        <w:tab/>
      </w:r>
      <w:r w:rsidR="00A0227D" w:rsidRPr="00794E95">
        <w:rPr>
          <w:rtl/>
        </w:rPr>
        <w:t>(</w:t>
      </w:r>
      <w:r w:rsidR="00A0227D">
        <w:rPr>
          <w:rtl/>
        </w:rPr>
        <w:t>د</w:t>
      </w:r>
      <w:r w:rsidR="00A0227D" w:rsidRPr="00794E95">
        <w:rPr>
          <w:rtl/>
        </w:rPr>
        <w:t>)</w:t>
      </w:r>
      <w:r w:rsidR="00A0227D">
        <w:rPr>
          <w:rtl/>
        </w:rPr>
        <w:tab/>
        <w:t>الحكومة</w:t>
      </w:r>
      <w:bookmarkEnd w:id="29"/>
    </w:p>
    <w:p w14:paraId="7435ABA1" w14:textId="42CD3167" w:rsidR="00A0227D" w:rsidRPr="009B1F51" w:rsidRDefault="00A0227D" w:rsidP="001C3228">
      <w:pPr>
        <w:pStyle w:val="SingleTxtGA"/>
        <w:rPr>
          <w:szCs w:val="20"/>
          <w:lang w:val="ar-SA" w:eastAsia="zh-TW" w:bidi="en-GB"/>
        </w:rPr>
      </w:pPr>
      <w:r w:rsidRPr="005C19F0">
        <w:rPr>
          <w:szCs w:val="20"/>
          <w:rtl/>
        </w:rPr>
        <w:t>113</w:t>
      </w:r>
      <w:r w:rsidRPr="00EF3655">
        <w:rPr>
          <w:rtl/>
        </w:rPr>
        <w:t>-</w:t>
      </w:r>
      <w:r>
        <w:rPr>
          <w:rtl/>
        </w:rPr>
        <w:tab/>
        <w:t>تتألف الحكومة حاليا</w:t>
      </w:r>
      <w:r w:rsidR="00625528">
        <w:rPr>
          <w:rFonts w:hint="cs"/>
          <w:rtl/>
        </w:rPr>
        <w:t>ً</w:t>
      </w:r>
      <w:r>
        <w:rPr>
          <w:rtl/>
        </w:rPr>
        <w:t xml:space="preserve"> من </w:t>
      </w:r>
      <w:r w:rsidRPr="005C19F0">
        <w:rPr>
          <w:szCs w:val="20"/>
          <w:rtl/>
        </w:rPr>
        <w:t>12</w:t>
      </w:r>
      <w:r>
        <w:rPr>
          <w:rtl/>
        </w:rPr>
        <w:t xml:space="preserve"> وزارة. وكل وزارة مسؤولة عن إعداد المسائل التي تدخل في نطاق اختصاص الحكومة في الفرع المعهود به إليها</w:t>
      </w:r>
      <w:r>
        <w:rPr>
          <w:rtl/>
          <w:lang w:val="fr-CH"/>
        </w:rPr>
        <w:t xml:space="preserve"> </w:t>
      </w:r>
      <w:r>
        <w:rPr>
          <w:rtl/>
        </w:rPr>
        <w:t xml:space="preserve">وعن أداء الحكومة مهامَّها على النحو الملائم. ويترأس الجلسات العامة التي تعقدها الحكومة رئيسُ الوزراء الذي يترأس </w:t>
      </w:r>
      <w:r w:rsidR="00C74C59">
        <w:rPr>
          <w:rtl/>
        </w:rPr>
        <w:t>أيضاً</w:t>
      </w:r>
      <w:r>
        <w:rPr>
          <w:rtl/>
        </w:rPr>
        <w:t xml:space="preserve"> اللجان الوزارية النظامية.</w:t>
      </w:r>
    </w:p>
    <w:p w14:paraId="4A063D71" w14:textId="7701A29B" w:rsidR="00A0227D" w:rsidRPr="009B1F51" w:rsidRDefault="00A0227D" w:rsidP="001C3228">
      <w:pPr>
        <w:pStyle w:val="SingleTxtGA"/>
        <w:rPr>
          <w:szCs w:val="20"/>
          <w:lang w:val="ar-SA" w:eastAsia="zh-TW" w:bidi="en-GB"/>
        </w:rPr>
      </w:pPr>
      <w:r w:rsidRPr="005C19F0">
        <w:rPr>
          <w:szCs w:val="20"/>
          <w:rtl/>
        </w:rPr>
        <w:t>114</w:t>
      </w:r>
      <w:r w:rsidRPr="00EF3655">
        <w:rPr>
          <w:rtl/>
        </w:rPr>
        <w:t>-</w:t>
      </w:r>
      <w:r>
        <w:rPr>
          <w:rtl/>
        </w:rPr>
        <w:tab/>
        <w:t xml:space="preserve">ومكتب رئيس الوزراء هو بمثابة وزارة يرأسها رئيس الوزراء. ومكتب رئيس الوزراء مسؤول عن مراقبة تنفيذ البرنامج السياسي للحكومة، ويساعد أيضاً رئيس الوزراء في الإدارة العامة لمهام الحكومة. ويمكِّن مكتب رئيس الوزراء رئيس الوزراء والحكومة من العمل بفعالية، بغض النظر عن الظروف. وتشمل مهام الوزارة تنسيق سياسة </w:t>
      </w:r>
      <w:r w:rsidRPr="005101D6">
        <w:rPr>
          <w:rtl/>
        </w:rPr>
        <w:t xml:space="preserve">الاتحاد الأوروبي </w:t>
      </w:r>
      <w:r>
        <w:rPr>
          <w:rtl/>
        </w:rPr>
        <w:t>المتعلقة بفنلندا وسياسة الملكية التي تنتهجها الدولة، فضلا</w:t>
      </w:r>
      <w:r w:rsidR="00340DBC">
        <w:rPr>
          <w:rFonts w:hint="cs"/>
          <w:rtl/>
        </w:rPr>
        <w:t>ً</w:t>
      </w:r>
      <w:r>
        <w:rPr>
          <w:rtl/>
        </w:rPr>
        <w:t xml:space="preserve"> عن توجيه الشركات المملوكة للدولة التابعة لمكتب رئيس الوزراء. والوزارة مسؤولة أيضا</w:t>
      </w:r>
      <w:r w:rsidR="00625528">
        <w:rPr>
          <w:rFonts w:hint="cs"/>
          <w:rtl/>
        </w:rPr>
        <w:t>ً</w:t>
      </w:r>
      <w:r>
        <w:rPr>
          <w:rtl/>
        </w:rPr>
        <w:t xml:space="preserve"> عن توفير خدمات الاتصالات الحكومية وتنسيق أنشطة الاتصالات داخل إدارة الدولة، كما أنها مسؤولة عن التوعية بأوضاع الحكومة، وعن التأهب والخدمات الأمنية إلى جانب تنسيق عمليات إدارة الحوادث وحالات الطوارئ. وفي الآونة الأخيرة، أُنيطت بمكتب رئيس الوزراء مسؤولية تنسيق أهداف البحوث القطاعية التي تجريها الدولة دعماً لاتخاذ القرارات.</w:t>
      </w:r>
    </w:p>
    <w:p w14:paraId="6C6FFEED" w14:textId="44C8048D" w:rsidR="00A0227D" w:rsidRPr="000A1C86" w:rsidRDefault="001C3228" w:rsidP="001C3228">
      <w:pPr>
        <w:pStyle w:val="H23GA"/>
        <w:rPr>
          <w:szCs w:val="20"/>
          <w:lang w:eastAsia="zh-TW" w:bidi="en-GB"/>
        </w:rPr>
      </w:pPr>
      <w:bookmarkStart w:id="30" w:name="_Toc32364293"/>
      <w:r w:rsidRPr="000A1C86">
        <w:rPr>
          <w:rtl/>
        </w:rPr>
        <w:tab/>
      </w:r>
      <w:r w:rsidR="00A0227D" w:rsidRPr="000A1C86">
        <w:rPr>
          <w:rtl/>
        </w:rPr>
        <w:t>(ه)</w:t>
      </w:r>
      <w:r w:rsidR="00A0227D" w:rsidRPr="000A1C86">
        <w:rPr>
          <w:rtl/>
        </w:rPr>
        <w:tab/>
        <w:t>الاستفتاء</w:t>
      </w:r>
      <w:bookmarkEnd w:id="30"/>
    </w:p>
    <w:p w14:paraId="1F93B300" w14:textId="72A983F7" w:rsidR="00A0227D" w:rsidRPr="009B1F51" w:rsidRDefault="00A0227D" w:rsidP="001C3228">
      <w:pPr>
        <w:pStyle w:val="SingleTxtGA"/>
        <w:rPr>
          <w:szCs w:val="20"/>
          <w:lang w:val="ar-SA" w:eastAsia="zh-TW" w:bidi="en-GB"/>
        </w:rPr>
      </w:pPr>
      <w:r w:rsidRPr="005C19F0">
        <w:rPr>
          <w:szCs w:val="20"/>
          <w:rtl/>
        </w:rPr>
        <w:t>115</w:t>
      </w:r>
      <w:r w:rsidRPr="00EF3655">
        <w:rPr>
          <w:rtl/>
        </w:rPr>
        <w:t>-</w:t>
      </w:r>
      <w:r>
        <w:rPr>
          <w:rtl/>
        </w:rPr>
        <w:tab/>
      </w:r>
      <w:r w:rsidRPr="00BE22CB">
        <w:rPr>
          <w:rtl/>
        </w:rPr>
        <w:t xml:space="preserve">بموجب المادة </w:t>
      </w:r>
      <w:r w:rsidRPr="005C19F0">
        <w:rPr>
          <w:szCs w:val="20"/>
          <w:rtl/>
        </w:rPr>
        <w:t>53</w:t>
      </w:r>
      <w:r w:rsidRPr="00BE22CB">
        <w:rPr>
          <w:rtl/>
        </w:rPr>
        <w:t xml:space="preserve"> من دستور فنلندا، ي</w:t>
      </w:r>
      <w:r>
        <w:rPr>
          <w:rtl/>
          <w:lang w:val="fr-CH"/>
        </w:rPr>
        <w:t>ُ</w:t>
      </w:r>
      <w:r w:rsidRPr="00BE22CB">
        <w:rPr>
          <w:rtl/>
        </w:rPr>
        <w:t xml:space="preserve">تخذ </w:t>
      </w:r>
      <w:r>
        <w:rPr>
          <w:rtl/>
        </w:rPr>
        <w:t>قرار تنظيم استفتاء استشاري بموجب قانون يتضمن أيضا</w:t>
      </w:r>
      <w:r w:rsidR="00816D36">
        <w:rPr>
          <w:rFonts w:hint="cs"/>
          <w:rtl/>
        </w:rPr>
        <w:t>ً</w:t>
      </w:r>
      <w:r>
        <w:rPr>
          <w:rtl/>
        </w:rPr>
        <w:t xml:space="preserve"> أحكاما</w:t>
      </w:r>
      <w:r w:rsidR="00816D36">
        <w:rPr>
          <w:rFonts w:hint="cs"/>
          <w:rtl/>
        </w:rPr>
        <w:t>ً</w:t>
      </w:r>
      <w:r>
        <w:rPr>
          <w:rtl/>
        </w:rPr>
        <w:t xml:space="preserve"> بشأن توقيت الاستفتاء والخيارات التي تُقدم إلى الناخبين. وقد أجرت فنلندا استفتاءين وطنيين، أحدهما في عام </w:t>
      </w:r>
      <w:r w:rsidRPr="005C19F0">
        <w:rPr>
          <w:szCs w:val="20"/>
          <w:rtl/>
        </w:rPr>
        <w:t>1931</w:t>
      </w:r>
      <w:r>
        <w:rPr>
          <w:rtl/>
        </w:rPr>
        <w:t xml:space="preserve"> بشأن إلغاء قانون الحظر، والثاني في عام </w:t>
      </w:r>
      <w:r w:rsidRPr="005C19F0">
        <w:rPr>
          <w:szCs w:val="20"/>
          <w:rtl/>
        </w:rPr>
        <w:t>1994</w:t>
      </w:r>
      <w:r>
        <w:rPr>
          <w:rtl/>
        </w:rPr>
        <w:t xml:space="preserve"> بشأن انضمام فنلندا إلى الاتحاد الأوروبي.</w:t>
      </w:r>
    </w:p>
    <w:p w14:paraId="0046C5DE" w14:textId="52F5B0A3" w:rsidR="00A0227D" w:rsidRPr="00415E3C" w:rsidRDefault="00816D36" w:rsidP="00816D36">
      <w:pPr>
        <w:pStyle w:val="H23GA"/>
        <w:rPr>
          <w:szCs w:val="20"/>
          <w:lang w:val="ar-SA" w:eastAsia="zh-TW" w:bidi="en-GB"/>
        </w:rPr>
      </w:pPr>
      <w:bookmarkStart w:id="31" w:name="_Toc32364294"/>
      <w:r>
        <w:rPr>
          <w:rtl/>
        </w:rPr>
        <w:tab/>
      </w:r>
      <w:r w:rsidR="00A0227D" w:rsidRPr="00794E95">
        <w:rPr>
          <w:rtl/>
        </w:rPr>
        <w:t>(</w:t>
      </w:r>
      <w:r w:rsidR="00A0227D" w:rsidRPr="00415E3C">
        <w:rPr>
          <w:rtl/>
        </w:rPr>
        <w:t>و</w:t>
      </w:r>
      <w:r w:rsidR="00A0227D" w:rsidRPr="00794E95">
        <w:rPr>
          <w:rtl/>
        </w:rPr>
        <w:t>)</w:t>
      </w:r>
      <w:r w:rsidR="00A0227D" w:rsidRPr="00415E3C">
        <w:rPr>
          <w:rtl/>
        </w:rPr>
        <w:tab/>
        <w:t>مبادرة المواطنين</w:t>
      </w:r>
      <w:bookmarkEnd w:id="31"/>
    </w:p>
    <w:p w14:paraId="36219856" w14:textId="283C1F7A" w:rsidR="00A0227D" w:rsidRPr="00C802B5" w:rsidRDefault="00A0227D" w:rsidP="00816D36">
      <w:pPr>
        <w:pStyle w:val="SingleTxtGA"/>
        <w:rPr>
          <w:spacing w:val="-2"/>
          <w:szCs w:val="20"/>
          <w:lang w:val="ar-SA" w:eastAsia="zh-TW" w:bidi="en-GB"/>
        </w:rPr>
      </w:pPr>
      <w:r w:rsidRPr="005C19F0">
        <w:rPr>
          <w:szCs w:val="20"/>
          <w:rtl/>
        </w:rPr>
        <w:t>116</w:t>
      </w:r>
      <w:r w:rsidRPr="00EF3655">
        <w:rPr>
          <w:rtl/>
        </w:rPr>
        <w:t>-</w:t>
      </w:r>
      <w:r>
        <w:rPr>
          <w:rtl/>
        </w:rPr>
        <w:tab/>
        <w:t xml:space="preserve">يجوز لأي مواطن فنلندي له حق التصويت أن يطرح مبادرة مواطنين. والشروط الرسمية لمبادرة المواطنين منصوص عليها في قانون مبادرات المواطنين </w:t>
      </w:r>
      <w:r w:rsidRPr="00794E95">
        <w:rPr>
          <w:rtl/>
        </w:rPr>
        <w:t>(</w:t>
      </w:r>
      <w:r w:rsidRPr="005C19F0">
        <w:rPr>
          <w:szCs w:val="20"/>
          <w:rtl/>
        </w:rPr>
        <w:t>12</w:t>
      </w:r>
      <w:r>
        <w:rPr>
          <w:rFonts w:ascii="Traditional Arabic"/>
          <w:szCs w:val="20"/>
          <w:rtl/>
        </w:rPr>
        <w:t>/</w:t>
      </w:r>
      <w:r w:rsidRPr="005C19F0">
        <w:rPr>
          <w:szCs w:val="20"/>
          <w:rtl/>
        </w:rPr>
        <w:t>2012</w:t>
      </w:r>
      <w:r w:rsidRPr="00794E95">
        <w:rPr>
          <w:rtl/>
        </w:rPr>
        <w:t>)</w:t>
      </w:r>
      <w:r>
        <w:rPr>
          <w:rtl/>
        </w:rPr>
        <w:t xml:space="preserve">. وقد تتألف المبادرة من مشروع قانون أو اقتراح للشروع في صياغة القانون. وقد تتعلق </w:t>
      </w:r>
      <w:r w:rsidR="00C74C59">
        <w:rPr>
          <w:rtl/>
        </w:rPr>
        <w:t>أيضاً</w:t>
      </w:r>
      <w:r>
        <w:rPr>
          <w:rtl/>
        </w:rPr>
        <w:t xml:space="preserve"> بتعديل أو إلغاء قانون قائم. وينظر البرلمان في مبادرة المواطنين إذا أيّدها ما لا يقل عن </w:t>
      </w:r>
      <w:r w:rsidRPr="005C19F0">
        <w:rPr>
          <w:szCs w:val="20"/>
          <w:rtl/>
        </w:rPr>
        <w:t>000</w:t>
      </w:r>
      <w:r>
        <w:rPr>
          <w:rFonts w:ascii="Traditional Arabic"/>
          <w:szCs w:val="20"/>
          <w:rtl/>
        </w:rPr>
        <w:t xml:space="preserve"> </w:t>
      </w:r>
      <w:r w:rsidRPr="005C19F0">
        <w:rPr>
          <w:szCs w:val="20"/>
          <w:rtl/>
        </w:rPr>
        <w:t>50</w:t>
      </w:r>
      <w:r>
        <w:rPr>
          <w:rtl/>
        </w:rPr>
        <w:t xml:space="preserve"> مواطن في غضون ستة أشهر. ويجوز للبرلمان أن يعتمد المبادرة أو يعدّلها أو يرفضها وفقا</w:t>
      </w:r>
      <w:r w:rsidR="00166C15">
        <w:rPr>
          <w:rFonts w:hint="cs"/>
          <w:rtl/>
        </w:rPr>
        <w:t>ً</w:t>
      </w:r>
      <w:r>
        <w:rPr>
          <w:rtl/>
        </w:rPr>
        <w:t xml:space="preserve"> لتقديره الخاص. ولا يمنع رفض البرلمان مبادرةً ما من طرح مبادرة جديدة بشأن الموضوع نفسه. ويمكن طرح مبادرات المواطنين ودعمها عن طريق خدمة الإنترنت المجانية</w:t>
      </w:r>
      <w:r w:rsidR="00507B18">
        <w:rPr>
          <w:rtl/>
        </w:rPr>
        <w:t xml:space="preserve"> </w:t>
      </w:r>
      <w:r w:rsidRPr="007D6ED5">
        <w:t>kansalaisaloite.fi</w:t>
      </w:r>
      <w:r w:rsidR="00C802B5">
        <w:rPr>
          <w:rFonts w:hint="cs"/>
          <w:rtl/>
        </w:rPr>
        <w:t xml:space="preserve"> </w:t>
      </w:r>
      <w:r>
        <w:rPr>
          <w:rtl/>
        </w:rPr>
        <w:t xml:space="preserve">التي توفرها وزارة العدل. والهدف من مبادرة المواطنين هو دعم وتعزيز </w:t>
      </w:r>
      <w:r w:rsidRPr="00C802B5">
        <w:rPr>
          <w:spacing w:val="-2"/>
          <w:rtl/>
        </w:rPr>
        <w:t>المشاركة المدنية وتعزيز المجتمع المدني فتتيح للفئات السكانية المشاركة الفعالة في تنمية المجتمع والتأثير فيها.</w:t>
      </w:r>
    </w:p>
    <w:p w14:paraId="41DDE80C" w14:textId="368637F4" w:rsidR="00A0227D" w:rsidRPr="009B1F51" w:rsidRDefault="00816D36" w:rsidP="00816D36">
      <w:pPr>
        <w:pStyle w:val="H23GA"/>
        <w:rPr>
          <w:szCs w:val="20"/>
          <w:lang w:val="ar-SA" w:eastAsia="zh-TW" w:bidi="en-GB"/>
        </w:rPr>
      </w:pPr>
      <w:bookmarkStart w:id="32" w:name="_Toc32364295"/>
      <w:r>
        <w:rPr>
          <w:rtl/>
        </w:rPr>
        <w:tab/>
      </w:r>
      <w:r w:rsidR="00A0227D" w:rsidRPr="00794E95">
        <w:rPr>
          <w:rtl/>
        </w:rPr>
        <w:t>(</w:t>
      </w:r>
      <w:r w:rsidR="00A0227D">
        <w:rPr>
          <w:rtl/>
        </w:rPr>
        <w:t>ز</w:t>
      </w:r>
      <w:r w:rsidR="00A0227D" w:rsidRPr="00794E95">
        <w:rPr>
          <w:rtl/>
        </w:rPr>
        <w:t>)</w:t>
      </w:r>
      <w:r w:rsidR="00A0227D">
        <w:rPr>
          <w:rtl/>
        </w:rPr>
        <w:tab/>
        <w:t xml:space="preserve">الوضع الخاص </w:t>
      </w:r>
      <w:bookmarkEnd w:id="32"/>
      <w:r w:rsidR="00A0227D">
        <w:rPr>
          <w:rtl/>
        </w:rPr>
        <w:t>ل</w:t>
      </w:r>
      <w:r w:rsidR="00A0227D" w:rsidRPr="002545D4">
        <w:rPr>
          <w:rtl/>
        </w:rPr>
        <w:t>جزر آلاند</w:t>
      </w:r>
    </w:p>
    <w:p w14:paraId="791BDD30" w14:textId="77777777" w:rsidR="00A0227D" w:rsidRPr="009B1F51" w:rsidRDefault="00A0227D" w:rsidP="00816D36">
      <w:pPr>
        <w:pStyle w:val="SingleTxtGA"/>
        <w:rPr>
          <w:szCs w:val="20"/>
          <w:lang w:val="ar-SA" w:eastAsia="zh-TW" w:bidi="en-GB"/>
        </w:rPr>
      </w:pPr>
      <w:r w:rsidRPr="005C19F0">
        <w:rPr>
          <w:szCs w:val="20"/>
          <w:rtl/>
        </w:rPr>
        <w:t>117</w:t>
      </w:r>
      <w:r w:rsidRPr="00EF3655">
        <w:rPr>
          <w:rtl/>
        </w:rPr>
        <w:t>-</w:t>
      </w:r>
      <w:r>
        <w:rPr>
          <w:rtl/>
        </w:rPr>
        <w:tab/>
        <w:t>جزر ألاند منطقة من فنلندا مستقلة ومنزوعة السلاح وناطقة باللغة السويدية.</w:t>
      </w:r>
    </w:p>
    <w:p w14:paraId="3D01698F" w14:textId="77777777" w:rsidR="00A0227D" w:rsidRPr="009C5894" w:rsidRDefault="00A0227D" w:rsidP="009C5894">
      <w:pPr>
        <w:pStyle w:val="SingleTxtGA"/>
        <w:rPr>
          <w:spacing w:val="-4"/>
          <w:szCs w:val="20"/>
          <w:lang w:val="ar-SA" w:eastAsia="zh-TW" w:bidi="en-GB"/>
        </w:rPr>
      </w:pPr>
      <w:r w:rsidRPr="009C5894">
        <w:rPr>
          <w:spacing w:val="-4"/>
          <w:szCs w:val="20"/>
          <w:rtl/>
        </w:rPr>
        <w:t>118</w:t>
      </w:r>
      <w:r w:rsidRPr="009C5894">
        <w:rPr>
          <w:spacing w:val="-4"/>
          <w:rtl/>
        </w:rPr>
        <w:t>-</w:t>
      </w:r>
      <w:r w:rsidRPr="009C5894">
        <w:rPr>
          <w:spacing w:val="-4"/>
          <w:rtl/>
        </w:rPr>
        <w:tab/>
        <w:t xml:space="preserve">وقد نُزع سلاح جزر أولاند في عام </w:t>
      </w:r>
      <w:r w:rsidRPr="009C5894">
        <w:rPr>
          <w:spacing w:val="-4"/>
          <w:szCs w:val="20"/>
          <w:rtl/>
        </w:rPr>
        <w:t>1856</w:t>
      </w:r>
      <w:r w:rsidRPr="009C5894">
        <w:rPr>
          <w:spacing w:val="-4"/>
          <w:rtl/>
        </w:rPr>
        <w:t xml:space="preserve"> وأصبحت محايدة في عام </w:t>
      </w:r>
      <w:r w:rsidRPr="009C5894">
        <w:rPr>
          <w:spacing w:val="-4"/>
          <w:szCs w:val="20"/>
          <w:rtl/>
        </w:rPr>
        <w:t>1921</w:t>
      </w:r>
      <w:r w:rsidRPr="009C5894">
        <w:rPr>
          <w:rFonts w:ascii="Traditional Arabic"/>
          <w:spacing w:val="-4"/>
          <w:szCs w:val="20"/>
          <w:rtl/>
        </w:rPr>
        <w:t>.</w:t>
      </w:r>
      <w:r w:rsidRPr="009C5894">
        <w:rPr>
          <w:spacing w:val="-4"/>
          <w:rtl/>
        </w:rPr>
        <w:t xml:space="preserve"> وبما أن مقاطعة آلاند منطقة مستقلة ذاتيا وخاضعة للحكم </w:t>
      </w:r>
      <w:r w:rsidRPr="009C5894">
        <w:rPr>
          <w:spacing w:val="-4"/>
          <w:rtl/>
          <w:lang w:val="fr-CH"/>
        </w:rPr>
        <w:t xml:space="preserve">السيادي </w:t>
      </w:r>
      <w:r w:rsidRPr="009C5894">
        <w:rPr>
          <w:spacing w:val="-4"/>
          <w:rtl/>
        </w:rPr>
        <w:t>الفنلندي، فإن فنلندا تضمن استمرار وضع جزر آلاند. ويستند وضع جزر آلاند المنزوعة السلاح والمحايدة إلى أحكام مكرسة في العديد من الصكوك الدولية.</w:t>
      </w:r>
    </w:p>
    <w:p w14:paraId="7A3B54CF" w14:textId="12DD0BCE" w:rsidR="00A0227D" w:rsidRPr="00C726A7" w:rsidRDefault="00A0227D" w:rsidP="00816D36">
      <w:pPr>
        <w:pStyle w:val="SingleTxtGA"/>
        <w:rPr>
          <w:szCs w:val="20"/>
          <w:lang w:eastAsia="zh-TW" w:bidi="en-GB"/>
        </w:rPr>
      </w:pPr>
      <w:r w:rsidRPr="005C19F0">
        <w:rPr>
          <w:szCs w:val="20"/>
          <w:rtl/>
        </w:rPr>
        <w:lastRenderedPageBreak/>
        <w:t>119</w:t>
      </w:r>
      <w:r w:rsidRPr="00EF3655">
        <w:rPr>
          <w:rtl/>
        </w:rPr>
        <w:t>-</w:t>
      </w:r>
      <w:r>
        <w:rPr>
          <w:rtl/>
        </w:rPr>
        <w:tab/>
        <w:t>وعندما أعلنت جمهورية فنلندا</w:t>
      </w:r>
      <w:r w:rsidRPr="004542C3">
        <w:rPr>
          <w:rtl/>
        </w:rPr>
        <w:t xml:space="preserve"> استقلالها في عام </w:t>
      </w:r>
      <w:r w:rsidRPr="005C19F0">
        <w:rPr>
          <w:szCs w:val="20"/>
          <w:rtl/>
        </w:rPr>
        <w:t>1917</w:t>
      </w:r>
      <w:r>
        <w:rPr>
          <w:rtl/>
        </w:rPr>
        <w:t xml:space="preserve">، معتدة في ذلك بحق الشعوب في تقرير مصيرها، اعتد سكان جزر آلاند بنفس المبدأ للمطالبة بإعادة انضمام جزر آلاند إلى بلدها الأصلي السابق، وهو السويد. غير أن فنلندا لم تكن مستعدة لقبول مطالب سكان آلاند الانضمام إلى السويد، وأبدت رغبتها بدلاً من ذلك في منح آلاند قدراً من الحكم الذاتي الداخلي. ونتيجة لذلك، سن برلمان فنلندا في عام </w:t>
      </w:r>
      <w:r w:rsidRPr="005C19F0">
        <w:rPr>
          <w:szCs w:val="20"/>
          <w:rtl/>
        </w:rPr>
        <w:t>1920</w:t>
      </w:r>
      <w:r>
        <w:rPr>
          <w:rtl/>
        </w:rPr>
        <w:t xml:space="preserve"> قانون </w:t>
      </w:r>
      <w:r>
        <w:rPr>
          <w:rtl/>
          <w:lang w:val="fr-CH"/>
        </w:rPr>
        <w:t>الحكم الذاتي</w:t>
      </w:r>
      <w:r>
        <w:rPr>
          <w:rtl/>
        </w:rPr>
        <w:t xml:space="preserve"> </w:t>
      </w:r>
      <w:r w:rsidRPr="00794E95">
        <w:rPr>
          <w:rtl/>
        </w:rPr>
        <w:t>(</w:t>
      </w:r>
      <w:r w:rsidRPr="005C19F0">
        <w:rPr>
          <w:szCs w:val="20"/>
        </w:rPr>
        <w:t>1144</w:t>
      </w:r>
      <w:r>
        <w:rPr>
          <w:rFonts w:ascii="Traditional Arabic"/>
          <w:szCs w:val="20"/>
          <w:rtl/>
        </w:rPr>
        <w:t>/</w:t>
      </w:r>
      <w:r w:rsidRPr="005C19F0">
        <w:rPr>
          <w:szCs w:val="20"/>
        </w:rPr>
        <w:t>1991</w:t>
      </w:r>
      <w:r w:rsidRPr="00794E95">
        <w:rPr>
          <w:rtl/>
        </w:rPr>
        <w:t>)</w:t>
      </w:r>
      <w:r>
        <w:rPr>
          <w:rtl/>
        </w:rPr>
        <w:t xml:space="preserve">. غير أن سكان آلاند لم يقبلوا بالقانون، وأُحيلت مسألة جزر آلاند، نظراً لطبيعتها الدولية، إلى عصبة الأمم المنشأة حديثاً لأجل حلها. وفي عام </w:t>
      </w:r>
      <w:r w:rsidRPr="005C19F0">
        <w:rPr>
          <w:szCs w:val="20"/>
          <w:rtl/>
        </w:rPr>
        <w:t>1921</w:t>
      </w:r>
      <w:r>
        <w:rPr>
          <w:rtl/>
        </w:rPr>
        <w:t>، اتخذ مجلس عصبة الأمم قراراً بشأن حل وسط يمنح فنلندا السيادة على جزر آلاند. غير أن القرار ألزم فنلندا بأن تتعهد لسكان جزر آلاند بالحفاظ على ثقافتهم الناطقة باللغة السويدية وعلى اللغة السويدية فضلا</w:t>
      </w:r>
      <w:r w:rsidR="00340DBC">
        <w:rPr>
          <w:rFonts w:hint="cs"/>
          <w:rtl/>
        </w:rPr>
        <w:t>ً</w:t>
      </w:r>
      <w:r>
        <w:rPr>
          <w:rtl/>
        </w:rPr>
        <w:t xml:space="preserve"> عن الأعراف المحلية والحكم الذاتي الواسع.</w:t>
      </w:r>
    </w:p>
    <w:p w14:paraId="51317C70" w14:textId="77777777" w:rsidR="00A0227D" w:rsidRPr="009B1F51" w:rsidRDefault="00A0227D" w:rsidP="00816D36">
      <w:pPr>
        <w:pStyle w:val="SingleTxtGA"/>
        <w:rPr>
          <w:szCs w:val="20"/>
          <w:lang w:val="ar-SA" w:eastAsia="zh-TW" w:bidi="en-GB"/>
        </w:rPr>
      </w:pPr>
      <w:r w:rsidRPr="005C19F0">
        <w:rPr>
          <w:szCs w:val="20"/>
          <w:rtl/>
        </w:rPr>
        <w:t>120</w:t>
      </w:r>
      <w:r w:rsidRPr="00EF3655">
        <w:rPr>
          <w:rtl/>
        </w:rPr>
        <w:t>-</w:t>
      </w:r>
      <w:r>
        <w:rPr>
          <w:rtl/>
        </w:rPr>
        <w:tab/>
        <w:t>ويخوّل الحكم الذاتي المضمون دولياً سكان آلاند الحق في سن التشريعات المتعلقة بالمسائل الداخلية في المقاطعة وممارسة الصلاحيات المتعلقة بالميزانية. والهيئة التشريعية لجزر آلاند هي برلمان آلاند، الذي يُنتخب أعضاؤه الثلاثون في انتخابات عامة. ويعين برلمان آلاند حكومة آلاند، وهي الهيئة التنفيذية للمقاطعة.</w:t>
      </w:r>
    </w:p>
    <w:p w14:paraId="727FBC9C" w14:textId="77777777" w:rsidR="00A0227D" w:rsidRPr="009B1F51" w:rsidRDefault="00A0227D" w:rsidP="00816D36">
      <w:pPr>
        <w:pStyle w:val="SingleTxtGA"/>
        <w:rPr>
          <w:szCs w:val="20"/>
          <w:lang w:val="ar-SA" w:eastAsia="zh-TW" w:bidi="en-GB"/>
        </w:rPr>
      </w:pPr>
      <w:r w:rsidRPr="005C19F0">
        <w:rPr>
          <w:szCs w:val="20"/>
          <w:rtl/>
        </w:rPr>
        <w:t>121</w:t>
      </w:r>
      <w:r w:rsidRPr="00EF3655">
        <w:rPr>
          <w:rtl/>
        </w:rPr>
        <w:t>-</w:t>
      </w:r>
      <w:r>
        <w:rPr>
          <w:rtl/>
        </w:rPr>
        <w:tab/>
        <w:t xml:space="preserve">ويُنظم الحكم الذاتي للمقاطعة قانونُ الحكم الذاتي لجزر آلاند، الذي لا يجوز أن يعدله برلمان فنلندا إلا بموافقة برلمان آلاند ووفقاً لإجراءات سن التشريعات الدستورية. وبعبارة أخرى، يجب أن يوافق الطرفان على أي تغيير في تقسيم السلطات بين المقاطعة والدولة. والقانون الحالي المتعلق بالحكم الذاتي لآلاند هو ثالث قانون يتم سنه، وقد بدأ تنفيذه في </w:t>
      </w:r>
      <w:r w:rsidRPr="005C19F0">
        <w:rPr>
          <w:szCs w:val="20"/>
          <w:rtl/>
        </w:rPr>
        <w:t>1</w:t>
      </w:r>
      <w:r>
        <w:rPr>
          <w:rtl/>
        </w:rPr>
        <w:t xml:space="preserve"> كانون الثاني/يناير </w:t>
      </w:r>
      <w:r w:rsidRPr="005C19F0">
        <w:rPr>
          <w:szCs w:val="20"/>
          <w:rtl/>
        </w:rPr>
        <w:t>1993</w:t>
      </w:r>
      <w:r>
        <w:rPr>
          <w:rtl/>
        </w:rPr>
        <w:t>.</w:t>
      </w:r>
    </w:p>
    <w:p w14:paraId="2973AA67" w14:textId="77777777" w:rsidR="00A0227D" w:rsidRPr="009B1F51" w:rsidRDefault="00A0227D" w:rsidP="00816D36">
      <w:pPr>
        <w:pStyle w:val="SingleTxtGA"/>
        <w:rPr>
          <w:szCs w:val="20"/>
          <w:lang w:val="ar-SA" w:eastAsia="zh-TW" w:bidi="en-GB"/>
        </w:rPr>
      </w:pPr>
      <w:r w:rsidRPr="005C19F0">
        <w:rPr>
          <w:szCs w:val="20"/>
          <w:rtl/>
        </w:rPr>
        <w:t>122</w:t>
      </w:r>
      <w:r w:rsidRPr="00EF3655">
        <w:rPr>
          <w:rtl/>
        </w:rPr>
        <w:t>-</w:t>
      </w:r>
      <w:r>
        <w:rPr>
          <w:rtl/>
        </w:rPr>
        <w:tab/>
      </w:r>
      <w:r w:rsidRPr="00C3021F">
        <w:rPr>
          <w:rtl/>
        </w:rPr>
        <w:t>ويعدِّد قانون الحكم الذاتي لآلاند القطاعات التي تتمتع فيها مقاطعة آلاند بسلطات تشريعية. وأهم هذه القطاعات</w:t>
      </w:r>
      <w:r w:rsidRPr="00E26530">
        <w:rPr>
          <w:color w:val="FF0000"/>
          <w:rtl/>
        </w:rPr>
        <w:t xml:space="preserve"> </w:t>
      </w:r>
      <w:r>
        <w:rPr>
          <w:rtl/>
        </w:rPr>
        <w:t>التعليم</w:t>
      </w:r>
      <w:r>
        <w:rPr>
          <w:rtl/>
          <w:lang w:val="fr-CH"/>
        </w:rPr>
        <w:t>،</w:t>
      </w:r>
      <w:r>
        <w:rPr>
          <w:rtl/>
        </w:rPr>
        <w:t xml:space="preserve"> والثقافة والحفاظ على آثار ما قبل التاريخ، والرعاية الصحية والرعاية الطبية، وإدماج المهاجرين، والمسائل البيئية، وتعزيز الحياة التجارية والاقتصادية، والنقل الداخلي، والإدارة البلدية، وخدمات الشرطة، وخدمات البريد، والإذاعة والتلفزيون. وفيما يتصل بمسائل التمييز، تتوزع السلطات التشريعية بين الدولة والمقاطعة.</w:t>
      </w:r>
    </w:p>
    <w:p w14:paraId="555D0377" w14:textId="5803981B" w:rsidR="00A0227D" w:rsidRPr="009B1F51" w:rsidRDefault="00A0227D" w:rsidP="00816D36">
      <w:pPr>
        <w:pStyle w:val="SingleTxtGA"/>
        <w:rPr>
          <w:szCs w:val="20"/>
          <w:lang w:val="ar-SA" w:eastAsia="zh-TW" w:bidi="en-GB"/>
        </w:rPr>
      </w:pPr>
      <w:r w:rsidRPr="005C19F0">
        <w:rPr>
          <w:szCs w:val="20"/>
          <w:rtl/>
        </w:rPr>
        <w:t>123</w:t>
      </w:r>
      <w:r w:rsidRPr="00EF3655">
        <w:rPr>
          <w:rtl/>
        </w:rPr>
        <w:t>-</w:t>
      </w:r>
      <w:r>
        <w:rPr>
          <w:rtl/>
        </w:rPr>
        <w:tab/>
        <w:t>وتُطبق تشريعات الدولة في جزر آلاند مثلما تُطبق في سائر مناطق فنلندا في القطاعات التي لا تتمتع المقاطعة بسلطة تشريعية فيها. وتشمل هذه القطاعات الخدمات الدبلوماسية، وحق الإقامة في البلد، وطائفة واسعة نسبيا</w:t>
      </w:r>
      <w:r w:rsidR="009C5894">
        <w:rPr>
          <w:rFonts w:hint="cs"/>
          <w:rtl/>
        </w:rPr>
        <w:t>ً</w:t>
      </w:r>
      <w:r>
        <w:rPr>
          <w:rtl/>
        </w:rPr>
        <w:t xml:space="preserve"> من القانون المدني والقانون الجنائي، والمحاكم، والجمارك، والضرائب الحكومية. وحتى يتسنى أيضاً تعزيز مصالح جزر آلاند في المسائل التي تفتقر فيها المقاطعة إلى السلطة التشريعية، تنتخب مقاطعة آلاند عضو البرلمان الذي يمثلها في برلمان فنلندا.</w:t>
      </w:r>
    </w:p>
    <w:p w14:paraId="6C5AC219" w14:textId="77777777" w:rsidR="00A0227D" w:rsidRPr="009C5894" w:rsidRDefault="00A0227D" w:rsidP="00816D36">
      <w:pPr>
        <w:pStyle w:val="SingleTxtGA"/>
        <w:rPr>
          <w:spacing w:val="-2"/>
          <w:szCs w:val="20"/>
          <w:lang w:eastAsia="zh-TW" w:bidi="en-GB"/>
        </w:rPr>
      </w:pPr>
      <w:r w:rsidRPr="009C5894">
        <w:rPr>
          <w:spacing w:val="-2"/>
          <w:szCs w:val="20"/>
          <w:rtl/>
        </w:rPr>
        <w:t>124</w:t>
      </w:r>
      <w:r w:rsidRPr="009C5894">
        <w:rPr>
          <w:spacing w:val="-2"/>
          <w:rtl/>
        </w:rPr>
        <w:t>-</w:t>
      </w:r>
      <w:r w:rsidRPr="009C5894">
        <w:rPr>
          <w:spacing w:val="-2"/>
          <w:rtl/>
        </w:rPr>
        <w:tab/>
        <w:t>وتقع مسائل السياسة الخارجية ضمن اختصاص الدولة، وبالتالي لا يحق لآلاند، مثلاً، أن توقع على معاهدات دولية. غير أن هذا لا يعني أن المقاطعة لا تمارس أي تأثير في الشؤون الدولية. فعندما تتضمن معاهدة دولية ما توقعها دولة فنلندا حكما يتعارض مع قانون الحكم الذاتي لآلاند أو يتعلق بمسألة تدخل في اختصاص المقاطعة، لا يمكن إنفاذ هذا الحكم في آلاند دون موافقة برلمان آلاند.</w:t>
      </w:r>
    </w:p>
    <w:p w14:paraId="70D51910" w14:textId="4B460390" w:rsidR="00A0227D" w:rsidRPr="009B1F51" w:rsidRDefault="00A0227D" w:rsidP="00816D36">
      <w:pPr>
        <w:pStyle w:val="SingleTxtGA"/>
        <w:rPr>
          <w:szCs w:val="20"/>
          <w:lang w:val="ar-SA" w:eastAsia="zh-TW" w:bidi="en-GB"/>
        </w:rPr>
      </w:pPr>
      <w:r w:rsidRPr="005C19F0">
        <w:rPr>
          <w:szCs w:val="20"/>
          <w:rtl/>
        </w:rPr>
        <w:t>125</w:t>
      </w:r>
      <w:r w:rsidRPr="00EF3655">
        <w:rPr>
          <w:rtl/>
        </w:rPr>
        <w:t>-</w:t>
      </w:r>
      <w:r>
        <w:rPr>
          <w:rtl/>
        </w:rPr>
        <w:tab/>
        <w:t>وبموجب قانون الحكم الذاتي لآلاند، تكون اللغة الرسمية للمقاطعة هي السويدية فقط. ولا</w:t>
      </w:r>
      <w:r w:rsidR="009C5894">
        <w:rPr>
          <w:rFonts w:hint="cs"/>
          <w:rtl/>
        </w:rPr>
        <w:t> </w:t>
      </w:r>
      <w:r>
        <w:rPr>
          <w:rtl/>
        </w:rPr>
        <w:t xml:space="preserve">يُطبق قانون فنلندا المتعلق باللغات </w:t>
      </w:r>
      <w:r w:rsidRPr="00794E95">
        <w:rPr>
          <w:rtl/>
        </w:rPr>
        <w:t>(</w:t>
      </w:r>
      <w:r w:rsidRPr="005C19F0">
        <w:rPr>
          <w:szCs w:val="20"/>
          <w:rtl/>
        </w:rPr>
        <w:t>432</w:t>
      </w:r>
      <w:r>
        <w:rPr>
          <w:rFonts w:ascii="Traditional Arabic"/>
          <w:szCs w:val="20"/>
          <w:rtl/>
        </w:rPr>
        <w:t>/</w:t>
      </w:r>
      <w:r w:rsidRPr="005C19F0">
        <w:rPr>
          <w:szCs w:val="20"/>
          <w:rtl/>
        </w:rPr>
        <w:t>2003</w:t>
      </w:r>
      <w:r w:rsidRPr="00794E95">
        <w:rPr>
          <w:rtl/>
        </w:rPr>
        <w:t>)</w:t>
      </w:r>
      <w:r>
        <w:rPr>
          <w:rtl/>
        </w:rPr>
        <w:t xml:space="preserve"> في آلاند. غير أن قانون الحكم الذاتي لآلاند ينص على حق المواطنين الفنلنديين في استخدام اللغة الفنلندية أمام المحاكم ومع المسؤولين الحكوميين الآخرين في آلاند في المسائل التي تعنيهم.</w:t>
      </w:r>
    </w:p>
    <w:p w14:paraId="3A2F6EE1" w14:textId="77777777" w:rsidR="00A0227D" w:rsidRPr="009B1F51" w:rsidRDefault="00A0227D" w:rsidP="00816D36">
      <w:pPr>
        <w:pStyle w:val="SingleTxtGA"/>
        <w:rPr>
          <w:szCs w:val="20"/>
          <w:lang w:val="ar-SA" w:eastAsia="zh-TW" w:bidi="en-GB"/>
        </w:rPr>
      </w:pPr>
      <w:r w:rsidRPr="005C19F0">
        <w:rPr>
          <w:szCs w:val="20"/>
          <w:rtl/>
        </w:rPr>
        <w:lastRenderedPageBreak/>
        <w:t>126</w:t>
      </w:r>
      <w:r w:rsidRPr="00EF3655">
        <w:rPr>
          <w:rtl/>
        </w:rPr>
        <w:t>-</w:t>
      </w:r>
      <w:r>
        <w:rPr>
          <w:rtl/>
        </w:rPr>
        <w:tab/>
        <w:t>ويمثل دولة فنلندا في آلاند حاكم يعينه رئيس الجمهورية بعد موافقة رئيس برلمان آلاند. ويتمثل أهم واجبات الحاكم في الحفاظ على علاقات طيبة بين المقاطعة والدولة عن طريق تعزيز الحوار الفعال والتفاعل البناء بين هيئات الحكم الذاتي المحلية وأعلى ممثلي الدولة مرتبة، بمختلف الوسائل.</w:t>
      </w:r>
    </w:p>
    <w:p w14:paraId="48BD6F27" w14:textId="77777777" w:rsidR="00A0227D" w:rsidRPr="009B1F51" w:rsidRDefault="00A0227D" w:rsidP="00816D36">
      <w:pPr>
        <w:pStyle w:val="SingleTxtGA"/>
        <w:rPr>
          <w:szCs w:val="20"/>
          <w:lang w:val="ar-SA" w:eastAsia="zh-TW" w:bidi="en-GB"/>
        </w:rPr>
      </w:pPr>
      <w:r w:rsidRPr="005C19F0">
        <w:rPr>
          <w:szCs w:val="20"/>
          <w:rtl/>
        </w:rPr>
        <w:t>127</w:t>
      </w:r>
      <w:r w:rsidRPr="00EF3655">
        <w:rPr>
          <w:rtl/>
        </w:rPr>
        <w:t>-</w:t>
      </w:r>
      <w:r>
        <w:rPr>
          <w:rtl/>
        </w:rPr>
        <w:tab/>
        <w:t xml:space="preserve">ومن عناصر ضمان الحفاظ على اللغة السويدية والعادات المحلية الممنوح لسكان آلاند بموجب قرار عصبة الأمم في عام </w:t>
      </w:r>
      <w:r w:rsidRPr="005C19F0">
        <w:rPr>
          <w:szCs w:val="20"/>
          <w:rtl/>
        </w:rPr>
        <w:t>1921</w:t>
      </w:r>
      <w:r>
        <w:rPr>
          <w:rtl/>
        </w:rPr>
        <w:t xml:space="preserve"> حقُّ الإقامة </w:t>
      </w:r>
      <w:r>
        <w:rPr>
          <w:rtl/>
          <w:lang w:val="fr-CH"/>
        </w:rPr>
        <w:t xml:space="preserve">المعتمد </w:t>
      </w:r>
      <w:r>
        <w:rPr>
          <w:rtl/>
        </w:rPr>
        <w:t>في آلاند. ويُمنح حق الإقامة عند الولادة لكل من كان أحد والديه على الأقل له حق الإقامة. ويمكن للأشخاص الذين انتقلوا إلى المقاطعة وأقاموا فيها خمس سنوات على الأقل والذين يتقنون اللغة السويدية بدرجة مناسبة أن يحصلوا على حق الإقامة بعد تقديم طلب. ولا يجوز منح هذا الحق إلا للمواطنين الفنلنديين. وحق الإقامة شرط للتمتع بالحق في التصويت والحق في الترشح في انتخابات برلمان آلاند، والحق في امتلاك وحيازة العقارات في المقاطعة، والحق في ممارسة مهنة فيها.</w:t>
      </w:r>
    </w:p>
    <w:p w14:paraId="265DF499" w14:textId="77777777" w:rsidR="00A0227D" w:rsidRPr="00C726A7" w:rsidRDefault="00A0227D" w:rsidP="00816D36">
      <w:pPr>
        <w:pStyle w:val="SingleTxtGA"/>
        <w:rPr>
          <w:szCs w:val="20"/>
          <w:lang w:eastAsia="zh-TW" w:bidi="en-GB"/>
        </w:rPr>
      </w:pPr>
      <w:r w:rsidRPr="005C19F0">
        <w:rPr>
          <w:szCs w:val="20"/>
          <w:rtl/>
        </w:rPr>
        <w:t>128</w:t>
      </w:r>
      <w:r w:rsidRPr="00EF3655">
        <w:rPr>
          <w:rtl/>
        </w:rPr>
        <w:t>-</w:t>
      </w:r>
      <w:r>
        <w:rPr>
          <w:rtl/>
        </w:rPr>
        <w:tab/>
      </w:r>
      <w:r>
        <w:rPr>
          <w:rtl/>
          <w:lang w:val="fr-CH"/>
        </w:rPr>
        <w:t>و</w:t>
      </w:r>
      <w:r>
        <w:rPr>
          <w:rtl/>
        </w:rPr>
        <w:t xml:space="preserve">أصبحت آلاند، </w:t>
      </w:r>
      <w:r w:rsidRPr="00E9389B">
        <w:rPr>
          <w:rtl/>
        </w:rPr>
        <w:t xml:space="preserve">مثل فنلندا، </w:t>
      </w:r>
      <w:r>
        <w:rPr>
          <w:rtl/>
        </w:rPr>
        <w:t xml:space="preserve">عضواً في الاتحاد الأوروبي منذ عام </w:t>
      </w:r>
      <w:r w:rsidRPr="005C19F0">
        <w:rPr>
          <w:szCs w:val="20"/>
          <w:rtl/>
        </w:rPr>
        <w:t>1995</w:t>
      </w:r>
      <w:r>
        <w:rPr>
          <w:rFonts w:ascii="Traditional Arabic"/>
          <w:szCs w:val="20"/>
          <w:rtl/>
        </w:rPr>
        <w:t>.</w:t>
      </w:r>
      <w:r>
        <w:rPr>
          <w:rtl/>
        </w:rPr>
        <w:t xml:space="preserve"> ومع ذلك، تعتبر آلاند "إقليماً ثالثاً" لا ينطبق عليه توجيه الاتحاد الأوروبي بشأن مواءمة جميع الضرائب غير المباشرة. وبالتالي فإن آلاند جزء من الاتحاد الجمركي للاتحاد الأوروبي ولكنها ليس جزءاً من الاتحاد الضريبي للاتحاد الأوروبي. وقد أمكن ذلك بفضل بروتوكول مرفق بالمعاهدة المتعلقة بانضمام فنلندا إلى الاتحاد الأوروبي، وهو جزء من القانون الأساسي للاتحاد الأوروبي. فيجوز لآلاند،</w:t>
      </w:r>
      <w:r w:rsidRPr="00CE123D">
        <w:rPr>
          <w:rtl/>
        </w:rPr>
        <w:t xml:space="preserve"> </w:t>
      </w:r>
      <w:r>
        <w:rPr>
          <w:rtl/>
        </w:rPr>
        <w:t>بموجب</w:t>
      </w:r>
      <w:r w:rsidRPr="00CE123D">
        <w:rPr>
          <w:rtl/>
        </w:rPr>
        <w:t xml:space="preserve"> </w:t>
      </w:r>
      <w:r>
        <w:rPr>
          <w:rtl/>
        </w:rPr>
        <w:t>ا</w:t>
      </w:r>
      <w:r w:rsidRPr="00CE123D">
        <w:rPr>
          <w:rtl/>
        </w:rPr>
        <w:t>لبروتوكول،</w:t>
      </w:r>
      <w:r>
        <w:rPr>
          <w:rtl/>
        </w:rPr>
        <w:t xml:space="preserve"> أن تقيد مثلاً،</w:t>
      </w:r>
      <w:r w:rsidRPr="00CE123D">
        <w:rPr>
          <w:rtl/>
        </w:rPr>
        <w:t xml:space="preserve"> </w:t>
      </w:r>
      <w:r>
        <w:rPr>
          <w:rtl/>
        </w:rPr>
        <w:t>على أساس غير تمييزي، الحق في حيازة العقارات في المقاطعة دون الحصول على حق الإقامة.</w:t>
      </w:r>
      <w:r>
        <w:rPr>
          <w:rtl/>
          <w:lang w:val="fr-CH"/>
        </w:rPr>
        <w:t xml:space="preserve"> ويجوز لآلاند أيضاً أن</w:t>
      </w:r>
      <w:r>
        <w:rPr>
          <w:rtl/>
        </w:rPr>
        <w:t xml:space="preserve"> تقيد الحق في إقامة تجارة في المقاطعة والحق في ممارسة مهنة من المهن دون الحصول على حق الإقامة. ويؤكد البروتوكول كذلك مركز آلاند بموجب القانون الدولي.</w:t>
      </w:r>
    </w:p>
    <w:p w14:paraId="7D7D6BB8" w14:textId="77777777" w:rsidR="00A0227D" w:rsidRPr="009B1F51" w:rsidRDefault="00A0227D" w:rsidP="00816D36">
      <w:pPr>
        <w:pStyle w:val="SingleTxtGA"/>
        <w:rPr>
          <w:szCs w:val="20"/>
          <w:lang w:val="ar-SA" w:eastAsia="zh-TW" w:bidi="en-GB"/>
        </w:rPr>
      </w:pPr>
      <w:r w:rsidRPr="005C19F0">
        <w:rPr>
          <w:szCs w:val="20"/>
          <w:rtl/>
        </w:rPr>
        <w:t>129</w:t>
      </w:r>
      <w:r w:rsidRPr="00EF3655">
        <w:rPr>
          <w:rtl/>
        </w:rPr>
        <w:t>-</w:t>
      </w:r>
      <w:r>
        <w:rPr>
          <w:rtl/>
        </w:rPr>
        <w:tab/>
        <w:t xml:space="preserve">وأصبحت آلاند عضواً في </w:t>
      </w:r>
      <w:r w:rsidRPr="003C6962">
        <w:rPr>
          <w:rtl/>
        </w:rPr>
        <w:t xml:space="preserve">مجلس بلدان الشمال الأوروبي </w:t>
      </w:r>
      <w:r>
        <w:rPr>
          <w:rtl/>
        </w:rPr>
        <w:t xml:space="preserve">في عام </w:t>
      </w:r>
      <w:r w:rsidRPr="005C19F0">
        <w:rPr>
          <w:szCs w:val="20"/>
          <w:rtl/>
        </w:rPr>
        <w:t>1970</w:t>
      </w:r>
      <w:r>
        <w:rPr>
          <w:rtl/>
        </w:rPr>
        <w:t>.</w:t>
      </w:r>
    </w:p>
    <w:p w14:paraId="4F9A5F63" w14:textId="6705A2E2" w:rsidR="00A0227D" w:rsidRPr="009B1F51" w:rsidRDefault="00A0227D" w:rsidP="00816D36">
      <w:pPr>
        <w:pStyle w:val="SingleTxtGA"/>
        <w:rPr>
          <w:szCs w:val="20"/>
          <w:lang w:val="ar-SA" w:eastAsia="zh-TW" w:bidi="en-GB"/>
        </w:rPr>
      </w:pPr>
      <w:r w:rsidRPr="005C19F0">
        <w:rPr>
          <w:szCs w:val="20"/>
          <w:rtl/>
        </w:rPr>
        <w:t>130</w:t>
      </w:r>
      <w:r w:rsidRPr="00EF3655">
        <w:rPr>
          <w:rtl/>
        </w:rPr>
        <w:t>-</w:t>
      </w:r>
      <w:r>
        <w:rPr>
          <w:rtl/>
        </w:rPr>
        <w:tab/>
        <w:t xml:space="preserve">وتتألف آلاند من نحو </w:t>
      </w:r>
      <w:r w:rsidR="00852FB1">
        <w:rPr>
          <w:rFonts w:hint="cs"/>
          <w:szCs w:val="20"/>
          <w:rtl/>
        </w:rPr>
        <w:t>757 6</w:t>
      </w:r>
      <w:r>
        <w:rPr>
          <w:rtl/>
        </w:rPr>
        <w:t xml:space="preserve"> جزيرة تبلغ مساحة الواحدة </w:t>
      </w:r>
      <w:r w:rsidRPr="005C19F0">
        <w:rPr>
          <w:szCs w:val="20"/>
          <w:rtl/>
        </w:rPr>
        <w:t>0</w:t>
      </w:r>
      <w:r w:rsidR="00752293">
        <w:rPr>
          <w:rFonts w:ascii="Traditional Arabic" w:hAnsi="Traditional Arabic"/>
          <w:szCs w:val="20"/>
          <w:rtl/>
        </w:rPr>
        <w:t>,</w:t>
      </w:r>
      <w:r w:rsidRPr="005C19F0">
        <w:rPr>
          <w:szCs w:val="20"/>
          <w:rtl/>
        </w:rPr>
        <w:t>25</w:t>
      </w:r>
      <w:r>
        <w:rPr>
          <w:rtl/>
        </w:rPr>
        <w:t xml:space="preserve"> هكتار أو أكثر. ونحو </w:t>
      </w:r>
      <w:r w:rsidRPr="005C19F0">
        <w:rPr>
          <w:szCs w:val="20"/>
          <w:rtl/>
        </w:rPr>
        <w:t>60</w:t>
      </w:r>
      <w:r>
        <w:rPr>
          <w:rtl/>
        </w:rPr>
        <w:t xml:space="preserve"> من هذه الجزر مأهولة. وأكبرها جزيرة فاستا آلاند</w:t>
      </w:r>
      <w:r>
        <w:rPr>
          <w:rFonts w:cs="Times New Roman"/>
          <w:szCs w:val="20"/>
          <w:rtl/>
        </w:rPr>
        <w:t xml:space="preserve"> </w:t>
      </w:r>
      <w:r w:rsidRPr="00794E95">
        <w:rPr>
          <w:rtl/>
        </w:rPr>
        <w:t>(</w:t>
      </w:r>
      <w:r>
        <w:rPr>
          <w:rtl/>
        </w:rPr>
        <w:t>الجزيرة الرئيسية</w:t>
      </w:r>
      <w:r w:rsidRPr="00794E95">
        <w:rPr>
          <w:rtl/>
        </w:rPr>
        <w:t>)</w:t>
      </w:r>
      <w:r>
        <w:rPr>
          <w:rtl/>
        </w:rPr>
        <w:t xml:space="preserve"> التي تبلغ مساحتها نحو </w:t>
      </w:r>
      <w:r w:rsidRPr="005C19F0">
        <w:rPr>
          <w:szCs w:val="20"/>
          <w:rtl/>
        </w:rPr>
        <w:t>70</w:t>
      </w:r>
      <w:r>
        <w:rPr>
          <w:rtl/>
        </w:rPr>
        <w:t xml:space="preserve"> في المائة من مساحة أرض المقاطعة بأكملها. ولا تتجاوز المسافات في الجزيرة الرئيسية </w:t>
      </w:r>
      <w:r w:rsidRPr="005C19F0">
        <w:rPr>
          <w:szCs w:val="20"/>
          <w:rtl/>
        </w:rPr>
        <w:t>50</w:t>
      </w:r>
      <w:r>
        <w:rPr>
          <w:rtl/>
        </w:rPr>
        <w:t xml:space="preserve"> كيلومتراً من الشمال إلى الجنوب و</w:t>
      </w:r>
      <w:r w:rsidRPr="005C19F0">
        <w:rPr>
          <w:szCs w:val="20"/>
          <w:rtl/>
        </w:rPr>
        <w:t>45</w:t>
      </w:r>
      <w:r>
        <w:rPr>
          <w:rtl/>
        </w:rPr>
        <w:t xml:space="preserve"> كيلومتراً من الشرق إلى الغرب </w:t>
      </w:r>
      <w:r w:rsidRPr="00794E95">
        <w:rPr>
          <w:rtl/>
        </w:rPr>
        <w:t>(</w:t>
      </w:r>
      <w:r>
        <w:rPr>
          <w:rtl/>
        </w:rPr>
        <w:t>انظر المرفق الأول، خريطة آلاند</w:t>
      </w:r>
      <w:r w:rsidRPr="00794E95">
        <w:rPr>
          <w:rtl/>
        </w:rPr>
        <w:t>)</w:t>
      </w:r>
      <w:r>
        <w:rPr>
          <w:rtl/>
        </w:rPr>
        <w:t>.</w:t>
      </w:r>
    </w:p>
    <w:p w14:paraId="704A4861" w14:textId="0EC0C7AB" w:rsidR="00A0227D" w:rsidRPr="009B1F51" w:rsidRDefault="00A0227D" w:rsidP="00816D36">
      <w:pPr>
        <w:pStyle w:val="SingleTxtGA"/>
        <w:rPr>
          <w:szCs w:val="20"/>
          <w:lang w:val="ar-SA" w:eastAsia="zh-TW" w:bidi="en-GB"/>
        </w:rPr>
      </w:pPr>
      <w:r w:rsidRPr="005C19F0">
        <w:rPr>
          <w:szCs w:val="20"/>
          <w:rtl/>
        </w:rPr>
        <w:t>131</w:t>
      </w:r>
      <w:r w:rsidRPr="00EF3655">
        <w:rPr>
          <w:rtl/>
        </w:rPr>
        <w:t>-</w:t>
      </w:r>
      <w:r>
        <w:rPr>
          <w:rtl/>
        </w:rPr>
        <w:tab/>
        <w:t xml:space="preserve">وتبلغ المساحة الكلية للمقاطعة </w:t>
      </w:r>
      <w:r w:rsidR="00166C15">
        <w:rPr>
          <w:rFonts w:hint="cs"/>
          <w:szCs w:val="20"/>
          <w:rtl/>
        </w:rPr>
        <w:t>324 13</w:t>
      </w:r>
      <w:r>
        <w:rPr>
          <w:rtl/>
        </w:rPr>
        <w:t xml:space="preserve"> </w:t>
      </w:r>
      <w:bookmarkStart w:id="33" w:name="_Hlk50013031"/>
      <w:r>
        <w:rPr>
          <w:rtl/>
        </w:rPr>
        <w:t>كيلومتراً مربعاً</w:t>
      </w:r>
      <w:bookmarkEnd w:id="33"/>
      <w:r>
        <w:rPr>
          <w:rtl/>
        </w:rPr>
        <w:t xml:space="preserve">، ومساحة المناطق المائية </w:t>
      </w:r>
      <w:r w:rsidR="00166C15">
        <w:rPr>
          <w:rFonts w:hint="cs"/>
          <w:szCs w:val="20"/>
          <w:rtl/>
        </w:rPr>
        <w:t>771 11</w:t>
      </w:r>
      <w:r>
        <w:rPr>
          <w:rtl/>
        </w:rPr>
        <w:t xml:space="preserve"> </w:t>
      </w:r>
      <w:r w:rsidRPr="00E5702E">
        <w:rPr>
          <w:rtl/>
        </w:rPr>
        <w:t>كيلومتراً مربعاً</w:t>
      </w:r>
      <w:r>
        <w:rPr>
          <w:rtl/>
        </w:rPr>
        <w:t xml:space="preserve"> ومساحة الأراضي اليابسة </w:t>
      </w:r>
      <w:r w:rsidR="00166C15">
        <w:rPr>
          <w:rFonts w:hint="cs"/>
          <w:szCs w:val="20"/>
          <w:rtl/>
        </w:rPr>
        <w:t>553 1</w:t>
      </w:r>
      <w:r>
        <w:rPr>
          <w:rtl/>
        </w:rPr>
        <w:t xml:space="preserve"> </w:t>
      </w:r>
      <w:r w:rsidRPr="00AB2F56">
        <w:rPr>
          <w:rtl/>
        </w:rPr>
        <w:t>كيلومتراً مربعاً</w:t>
      </w:r>
      <w:r>
        <w:rPr>
          <w:rtl/>
        </w:rPr>
        <w:t>.</w:t>
      </w:r>
    </w:p>
    <w:p w14:paraId="6CC7B542" w14:textId="77777777" w:rsidR="00A0227D" w:rsidRPr="00310395" w:rsidRDefault="00A0227D" w:rsidP="00816D36">
      <w:pPr>
        <w:pStyle w:val="SingleTxtGA"/>
      </w:pPr>
      <w:r w:rsidRPr="005C19F0">
        <w:rPr>
          <w:szCs w:val="20"/>
          <w:rtl/>
        </w:rPr>
        <w:t>132</w:t>
      </w:r>
      <w:r w:rsidRPr="00EF3655">
        <w:rPr>
          <w:rtl/>
        </w:rPr>
        <w:t>-</w:t>
      </w:r>
      <w:r>
        <w:rPr>
          <w:rtl/>
        </w:rPr>
        <w:tab/>
        <w:t xml:space="preserve">وتتألف الأراضي اليابسة من </w:t>
      </w:r>
      <w:r w:rsidRPr="005C19F0">
        <w:rPr>
          <w:szCs w:val="20"/>
        </w:rPr>
        <w:t>60</w:t>
      </w:r>
      <w:r w:rsidRPr="00310395">
        <w:rPr>
          <w:rtl/>
        </w:rPr>
        <w:t xml:space="preserve"> في المائة </w:t>
      </w:r>
      <w:r>
        <w:rPr>
          <w:rtl/>
        </w:rPr>
        <w:t>من الغابات، و</w:t>
      </w:r>
      <w:r w:rsidRPr="005C19F0">
        <w:rPr>
          <w:szCs w:val="20"/>
          <w:rtl/>
        </w:rPr>
        <w:t>9</w:t>
      </w:r>
      <w:r>
        <w:rPr>
          <w:rtl/>
        </w:rPr>
        <w:t xml:space="preserve"> في المائة من الأراضي المزروعة، و</w:t>
      </w:r>
      <w:r w:rsidRPr="005C19F0">
        <w:rPr>
          <w:szCs w:val="20"/>
        </w:rPr>
        <w:t>3</w:t>
      </w:r>
      <w:r>
        <w:rPr>
          <w:rtl/>
        </w:rPr>
        <w:t xml:space="preserve"> في المائة من المراعي و</w:t>
      </w:r>
      <w:r w:rsidRPr="005C19F0">
        <w:rPr>
          <w:szCs w:val="20"/>
        </w:rPr>
        <w:t>27</w:t>
      </w:r>
      <w:r>
        <w:rPr>
          <w:rtl/>
        </w:rPr>
        <w:t xml:space="preserve"> في المائة من أراض أخرى.</w:t>
      </w:r>
    </w:p>
    <w:p w14:paraId="4481A747" w14:textId="33B19A3A" w:rsidR="00A0227D" w:rsidRPr="00166C15" w:rsidRDefault="00A0227D" w:rsidP="00816D36">
      <w:pPr>
        <w:pStyle w:val="SingleTxtGA"/>
        <w:rPr>
          <w:szCs w:val="20"/>
          <w:lang w:eastAsia="zh-TW" w:bidi="en-GB"/>
        </w:rPr>
      </w:pPr>
      <w:r w:rsidRPr="005C19F0">
        <w:rPr>
          <w:szCs w:val="20"/>
          <w:rtl/>
        </w:rPr>
        <w:t>133</w:t>
      </w:r>
      <w:r w:rsidRPr="00EF3655">
        <w:rPr>
          <w:rtl/>
        </w:rPr>
        <w:t>-</w:t>
      </w:r>
      <w:r>
        <w:rPr>
          <w:rtl/>
        </w:rPr>
        <w:tab/>
        <w:t xml:space="preserve">وفي نهاية عام </w:t>
      </w:r>
      <w:r w:rsidRPr="005C19F0">
        <w:rPr>
          <w:szCs w:val="20"/>
          <w:rtl/>
        </w:rPr>
        <w:t>2018</w:t>
      </w:r>
      <w:r>
        <w:rPr>
          <w:rtl/>
        </w:rPr>
        <w:t xml:space="preserve">، كان عدد سكان آلاند </w:t>
      </w:r>
      <w:r w:rsidR="00166C15">
        <w:rPr>
          <w:rFonts w:hint="cs"/>
          <w:szCs w:val="20"/>
          <w:rtl/>
        </w:rPr>
        <w:t>789 29</w:t>
      </w:r>
      <w:r>
        <w:rPr>
          <w:rtl/>
        </w:rPr>
        <w:t xml:space="preserve"> نسمة، منهم </w:t>
      </w:r>
      <w:r w:rsidR="00166C15">
        <w:rPr>
          <w:rFonts w:hint="cs"/>
          <w:szCs w:val="20"/>
          <w:rtl/>
        </w:rPr>
        <w:t>919 14</w:t>
      </w:r>
      <w:r>
        <w:rPr>
          <w:rtl/>
        </w:rPr>
        <w:t xml:space="preserve"> امرأة و</w:t>
      </w:r>
      <w:r w:rsidR="00166C15">
        <w:rPr>
          <w:rFonts w:hint="cs"/>
          <w:szCs w:val="20"/>
          <w:rtl/>
        </w:rPr>
        <w:t>870 14</w:t>
      </w:r>
      <w:r>
        <w:rPr>
          <w:rtl/>
        </w:rPr>
        <w:t xml:space="preserve"> رجلاً. وكان عدد سكان ماريهامن، وهي المدينة الوحيدة في المقاطعة، </w:t>
      </w:r>
      <w:r w:rsidR="00852FB1">
        <w:rPr>
          <w:rFonts w:hint="cs"/>
          <w:szCs w:val="20"/>
          <w:rtl/>
        </w:rPr>
        <w:t>743 11</w:t>
      </w:r>
      <w:r>
        <w:rPr>
          <w:rtl/>
        </w:rPr>
        <w:t xml:space="preserve"> نسمة. وبلغ عدد سكان الأرياف </w:t>
      </w:r>
      <w:r w:rsidR="00166C15">
        <w:rPr>
          <w:rFonts w:hint="cs"/>
          <w:szCs w:val="20"/>
          <w:rtl/>
        </w:rPr>
        <w:t>973 15</w:t>
      </w:r>
      <w:r>
        <w:rPr>
          <w:rtl/>
        </w:rPr>
        <w:t xml:space="preserve"> نسمة وعدد سكان الأرخبيل </w:t>
      </w:r>
      <w:r w:rsidR="00166C15">
        <w:rPr>
          <w:rFonts w:hint="cs"/>
          <w:szCs w:val="20"/>
          <w:rtl/>
        </w:rPr>
        <w:t>073 2</w:t>
      </w:r>
      <w:r>
        <w:rPr>
          <w:rFonts w:ascii="Traditional Arabic"/>
          <w:szCs w:val="20"/>
          <w:rtl/>
        </w:rPr>
        <w:t xml:space="preserve"> </w:t>
      </w:r>
      <w:r w:rsidRPr="00166C15">
        <w:rPr>
          <w:rtl/>
        </w:rPr>
        <w:t xml:space="preserve">نسمة. </w:t>
      </w:r>
      <w:dir w:val="rtl">
        <w:r>
          <w:rPr>
            <w:rtl/>
          </w:rPr>
          <w:t xml:space="preserve">وبلغت الكثافة السكانية </w:t>
        </w:r>
        <w:r w:rsidRPr="005C19F0">
          <w:rPr>
            <w:szCs w:val="20"/>
            <w:rtl/>
          </w:rPr>
          <w:t>19</w:t>
        </w:r>
        <w:r>
          <w:rPr>
            <w:rtl/>
          </w:rPr>
          <w:t xml:space="preserve"> شخصاً في الكيلومتر المربع.</w:t>
        </w:r>
        <w:r>
          <w:rPr>
            <w:rFonts w:cs="Times New Roman" w:hint="cs"/>
            <w:rtl/>
          </w:rPr>
          <w:t>‬</w:t>
        </w:r>
        <w:r>
          <w:t>‬</w:t>
        </w:r>
        <w:r>
          <w:t>‬</w:t>
        </w:r>
        <w:r>
          <w:t>‬</w:t>
        </w:r>
        <w:r>
          <w:t>‬</w:t>
        </w:r>
        <w:r>
          <w:t>‬</w:t>
        </w:r>
        <w:r>
          <w:t>‬</w:t>
        </w:r>
        <w:r>
          <w:t>‬</w:t>
        </w:r>
        <w:r w:rsidR="000A1C86">
          <w:t>‬</w:t>
        </w:r>
      </w:dir>
    </w:p>
    <w:p w14:paraId="3CFB23D6" w14:textId="263CA767" w:rsidR="00A0227D" w:rsidRPr="00DE59B3" w:rsidRDefault="00A0227D" w:rsidP="00852FB1">
      <w:pPr>
        <w:pStyle w:val="SingleTxtGA"/>
        <w:spacing w:after="0"/>
        <w:rPr>
          <w:szCs w:val="20"/>
          <w:lang w:val="ar-SA" w:eastAsia="zh-TW" w:bidi="en-GB"/>
        </w:rPr>
      </w:pPr>
      <w:r>
        <w:rPr>
          <w:rtl/>
        </w:rPr>
        <w:t xml:space="preserve">الجدول </w:t>
      </w:r>
      <w:r w:rsidRPr="005C19F0">
        <w:rPr>
          <w:szCs w:val="20"/>
          <w:rtl/>
        </w:rPr>
        <w:t>7</w:t>
      </w:r>
    </w:p>
    <w:p w14:paraId="099AA8CE" w14:textId="77777777" w:rsidR="00A0227D" w:rsidRPr="00816D36" w:rsidRDefault="00A0227D" w:rsidP="00816D36">
      <w:pPr>
        <w:pStyle w:val="SingleTxtGA"/>
        <w:rPr>
          <w:b/>
          <w:bCs/>
          <w:szCs w:val="20"/>
          <w:lang w:val="ar-SA" w:eastAsia="zh-TW" w:bidi="en-GB"/>
        </w:rPr>
      </w:pPr>
      <w:r w:rsidRPr="00816D36">
        <w:rPr>
          <w:b/>
          <w:bCs/>
          <w:rtl/>
        </w:rPr>
        <w:t xml:space="preserve">عدد سكان آلاند بحسب العمر في عام </w:t>
      </w:r>
      <w:r w:rsidRPr="005C19F0">
        <w:rPr>
          <w:b/>
          <w:bCs/>
          <w:szCs w:val="20"/>
          <w:rtl/>
        </w:rPr>
        <w:t>2018</w:t>
      </w:r>
    </w:p>
    <w:tbl>
      <w:tblPr>
        <w:bidiVisual/>
        <w:tblW w:w="7194" w:type="dxa"/>
        <w:tblInd w:w="122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66"/>
        <w:gridCol w:w="2532"/>
        <w:gridCol w:w="2114"/>
        <w:gridCol w:w="882"/>
      </w:tblGrid>
      <w:tr w:rsidR="00A0227D" w:rsidRPr="00852FB1" w14:paraId="2057A1A6" w14:textId="77777777" w:rsidTr="000A1C86">
        <w:trPr>
          <w:tblHeader/>
        </w:trPr>
        <w:tc>
          <w:tcPr>
            <w:tcW w:w="1666" w:type="dxa"/>
            <w:tcBorders>
              <w:top w:val="single" w:sz="4" w:space="0" w:color="auto"/>
              <w:bottom w:val="single" w:sz="12" w:space="0" w:color="auto"/>
            </w:tcBorders>
            <w:shd w:val="clear" w:color="auto" w:fill="auto"/>
            <w:vAlign w:val="bottom"/>
          </w:tcPr>
          <w:p w14:paraId="0D4A9512"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i/>
                <w:sz w:val="26"/>
                <w:szCs w:val="26"/>
                <w:lang w:val="ar-SA" w:eastAsia="zh-TW" w:bidi="en-GB"/>
              </w:rPr>
            </w:pPr>
            <w:r w:rsidRPr="00852FB1">
              <w:rPr>
                <w:i/>
                <w:iCs/>
                <w:sz w:val="26"/>
                <w:szCs w:val="26"/>
                <w:rtl/>
              </w:rPr>
              <w:t>العمر</w:t>
            </w:r>
          </w:p>
        </w:tc>
        <w:tc>
          <w:tcPr>
            <w:tcW w:w="2532" w:type="dxa"/>
            <w:tcBorders>
              <w:top w:val="single" w:sz="4" w:space="0" w:color="auto"/>
              <w:bottom w:val="single" w:sz="12" w:space="0" w:color="auto"/>
            </w:tcBorders>
            <w:shd w:val="clear" w:color="auto" w:fill="auto"/>
            <w:vAlign w:val="bottom"/>
          </w:tcPr>
          <w:p w14:paraId="014589CB"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i/>
                <w:sz w:val="26"/>
                <w:szCs w:val="26"/>
                <w:lang w:val="ar-SA" w:eastAsia="zh-TW" w:bidi="en-GB"/>
              </w:rPr>
            </w:pPr>
            <w:r w:rsidRPr="00852FB1">
              <w:rPr>
                <w:i/>
                <w:iCs/>
                <w:sz w:val="26"/>
                <w:szCs w:val="26"/>
                <w:rtl/>
              </w:rPr>
              <w:t xml:space="preserve">من الولادة حتى </w:t>
            </w:r>
            <w:r w:rsidRPr="00852FB1">
              <w:rPr>
                <w:i/>
                <w:iCs/>
                <w:sz w:val="18"/>
                <w:szCs w:val="18"/>
                <w:rtl/>
              </w:rPr>
              <w:t>14</w:t>
            </w:r>
            <w:r w:rsidRPr="00852FB1">
              <w:rPr>
                <w:i/>
                <w:iCs/>
                <w:sz w:val="26"/>
                <w:szCs w:val="26"/>
                <w:rtl/>
              </w:rPr>
              <w:t xml:space="preserve"> سنة</w:t>
            </w:r>
          </w:p>
        </w:tc>
        <w:tc>
          <w:tcPr>
            <w:tcW w:w="2114" w:type="dxa"/>
            <w:tcBorders>
              <w:top w:val="single" w:sz="4" w:space="0" w:color="auto"/>
              <w:bottom w:val="single" w:sz="12" w:space="0" w:color="auto"/>
            </w:tcBorders>
            <w:shd w:val="clear" w:color="auto" w:fill="auto"/>
            <w:vAlign w:val="bottom"/>
          </w:tcPr>
          <w:p w14:paraId="63C3D157"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i/>
                <w:sz w:val="26"/>
                <w:szCs w:val="26"/>
                <w:lang w:val="ar-SA" w:eastAsia="zh-TW" w:bidi="en-GB"/>
              </w:rPr>
            </w:pPr>
            <w:r w:rsidRPr="00852FB1">
              <w:rPr>
                <w:i/>
                <w:iCs/>
                <w:sz w:val="26"/>
                <w:szCs w:val="26"/>
                <w:rtl/>
              </w:rPr>
              <w:t xml:space="preserve">من </w:t>
            </w:r>
            <w:r w:rsidRPr="00852FB1">
              <w:rPr>
                <w:i/>
                <w:iCs/>
                <w:sz w:val="18"/>
                <w:szCs w:val="18"/>
                <w:rtl/>
              </w:rPr>
              <w:t>15</w:t>
            </w:r>
            <w:r w:rsidRPr="00852FB1">
              <w:rPr>
                <w:i/>
                <w:iCs/>
                <w:sz w:val="26"/>
                <w:szCs w:val="26"/>
                <w:rtl/>
              </w:rPr>
              <w:t xml:space="preserve"> إلى </w:t>
            </w:r>
            <w:r w:rsidRPr="00852FB1">
              <w:rPr>
                <w:i/>
                <w:iCs/>
                <w:sz w:val="18"/>
                <w:szCs w:val="18"/>
                <w:rtl/>
              </w:rPr>
              <w:t>64</w:t>
            </w:r>
            <w:r w:rsidRPr="00852FB1">
              <w:rPr>
                <w:i/>
                <w:iCs/>
                <w:sz w:val="26"/>
                <w:szCs w:val="26"/>
                <w:rtl/>
              </w:rPr>
              <w:t xml:space="preserve"> سنة</w:t>
            </w:r>
          </w:p>
        </w:tc>
        <w:tc>
          <w:tcPr>
            <w:tcW w:w="882" w:type="dxa"/>
            <w:tcBorders>
              <w:top w:val="single" w:sz="4" w:space="0" w:color="auto"/>
              <w:bottom w:val="single" w:sz="12" w:space="0" w:color="auto"/>
            </w:tcBorders>
            <w:shd w:val="clear" w:color="auto" w:fill="auto"/>
            <w:vAlign w:val="bottom"/>
          </w:tcPr>
          <w:p w14:paraId="6A42D0F8" w14:textId="77777777" w:rsidR="00A0227D" w:rsidRPr="000A1C86" w:rsidRDefault="00A0227D" w:rsidP="00852FB1">
            <w:pPr>
              <w:overflowPunct w:val="0"/>
              <w:autoSpaceDE w:val="0"/>
              <w:autoSpaceDN w:val="0"/>
              <w:adjustRightInd w:val="0"/>
              <w:spacing w:before="20" w:after="20" w:line="300" w:lineRule="exact"/>
              <w:ind w:left="57" w:right="57"/>
              <w:textDirection w:val="tbRlV"/>
              <w:textAlignment w:val="baseline"/>
              <w:rPr>
                <w:i/>
                <w:sz w:val="26"/>
                <w:szCs w:val="26"/>
                <w:lang w:eastAsia="zh-TW" w:bidi="en-GB"/>
              </w:rPr>
            </w:pPr>
            <w:r w:rsidRPr="00852FB1">
              <w:rPr>
                <w:i/>
                <w:iCs/>
                <w:sz w:val="18"/>
                <w:szCs w:val="18"/>
                <w:rtl/>
              </w:rPr>
              <w:t>65</w:t>
            </w:r>
            <w:r w:rsidRPr="00852FB1">
              <w:rPr>
                <w:i/>
                <w:iCs/>
                <w:sz w:val="26"/>
                <w:szCs w:val="26"/>
                <w:rtl/>
              </w:rPr>
              <w:t xml:space="preserve"> فأكثر</w:t>
            </w:r>
          </w:p>
        </w:tc>
      </w:tr>
      <w:tr w:rsidR="00A0227D" w:rsidRPr="00852FB1" w14:paraId="1B9F4126" w14:textId="77777777" w:rsidTr="000A1C86">
        <w:tc>
          <w:tcPr>
            <w:tcW w:w="1666" w:type="dxa"/>
            <w:tcBorders>
              <w:top w:val="single" w:sz="12" w:space="0" w:color="auto"/>
            </w:tcBorders>
            <w:shd w:val="clear" w:color="auto" w:fill="auto"/>
          </w:tcPr>
          <w:p w14:paraId="5CE111D4" w14:textId="2DE04FCF" w:rsidR="00A0227D" w:rsidRPr="00852FB1" w:rsidRDefault="002B5B92" w:rsidP="00852FB1">
            <w:pPr>
              <w:overflowPunct w:val="0"/>
              <w:autoSpaceDE w:val="0"/>
              <w:autoSpaceDN w:val="0"/>
              <w:adjustRightInd w:val="0"/>
              <w:spacing w:before="20" w:after="20" w:line="300" w:lineRule="exact"/>
              <w:ind w:left="57" w:right="57"/>
              <w:textDirection w:val="tbRlV"/>
              <w:textAlignment w:val="baseline"/>
              <w:rPr>
                <w:bCs/>
                <w:sz w:val="26"/>
                <w:szCs w:val="26"/>
                <w:lang w:eastAsia="zh-TW" w:bidi="en-GB"/>
              </w:rPr>
            </w:pPr>
            <w:r w:rsidRPr="00852FB1">
              <w:rPr>
                <w:rFonts w:ascii="Traditional Arabic"/>
                <w:sz w:val="26"/>
                <w:szCs w:val="26"/>
                <w:rtl/>
              </w:rPr>
              <w:t>في المائة</w:t>
            </w:r>
          </w:p>
        </w:tc>
        <w:tc>
          <w:tcPr>
            <w:tcW w:w="2532" w:type="dxa"/>
            <w:tcBorders>
              <w:top w:val="single" w:sz="12" w:space="0" w:color="auto"/>
            </w:tcBorders>
            <w:shd w:val="clear" w:color="auto" w:fill="auto"/>
            <w:vAlign w:val="bottom"/>
          </w:tcPr>
          <w:p w14:paraId="4175D885"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sz w:val="18"/>
                <w:szCs w:val="18"/>
                <w:lang w:val="ar-SA" w:eastAsia="zh-TW" w:bidi="en-GB"/>
              </w:rPr>
            </w:pPr>
            <w:r w:rsidRPr="00852FB1">
              <w:rPr>
                <w:sz w:val="18"/>
                <w:szCs w:val="18"/>
                <w:rtl/>
              </w:rPr>
              <w:t>16</w:t>
            </w:r>
            <w:r w:rsidRPr="00852FB1">
              <w:rPr>
                <w:rFonts w:ascii="Traditional Arabic"/>
                <w:sz w:val="18"/>
                <w:szCs w:val="18"/>
                <w:rtl/>
              </w:rPr>
              <w:t>,</w:t>
            </w:r>
            <w:r w:rsidRPr="00852FB1">
              <w:rPr>
                <w:sz w:val="18"/>
                <w:szCs w:val="18"/>
                <w:rtl/>
              </w:rPr>
              <w:t>6</w:t>
            </w:r>
          </w:p>
        </w:tc>
        <w:tc>
          <w:tcPr>
            <w:tcW w:w="2114" w:type="dxa"/>
            <w:tcBorders>
              <w:top w:val="single" w:sz="12" w:space="0" w:color="auto"/>
            </w:tcBorders>
            <w:shd w:val="clear" w:color="auto" w:fill="auto"/>
            <w:vAlign w:val="bottom"/>
          </w:tcPr>
          <w:p w14:paraId="61002C5F"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sz w:val="18"/>
                <w:szCs w:val="18"/>
                <w:lang w:eastAsia="zh-TW" w:bidi="en-GB"/>
              </w:rPr>
            </w:pPr>
            <w:r w:rsidRPr="00852FB1">
              <w:rPr>
                <w:sz w:val="18"/>
                <w:szCs w:val="18"/>
                <w:rtl/>
              </w:rPr>
              <w:t>61</w:t>
            </w:r>
            <w:r w:rsidRPr="00852FB1">
              <w:rPr>
                <w:rFonts w:ascii="Traditional Arabic"/>
                <w:sz w:val="18"/>
                <w:szCs w:val="18"/>
                <w:rtl/>
              </w:rPr>
              <w:t>,</w:t>
            </w:r>
            <w:r w:rsidRPr="00852FB1">
              <w:rPr>
                <w:sz w:val="18"/>
                <w:szCs w:val="18"/>
                <w:rtl/>
              </w:rPr>
              <w:t>2</w:t>
            </w:r>
          </w:p>
        </w:tc>
        <w:tc>
          <w:tcPr>
            <w:tcW w:w="882" w:type="dxa"/>
            <w:tcBorders>
              <w:top w:val="single" w:sz="12" w:space="0" w:color="auto"/>
            </w:tcBorders>
            <w:shd w:val="clear" w:color="auto" w:fill="auto"/>
            <w:vAlign w:val="bottom"/>
          </w:tcPr>
          <w:p w14:paraId="5EB33258" w14:textId="77777777" w:rsidR="00A0227D" w:rsidRPr="00852FB1" w:rsidRDefault="00A0227D" w:rsidP="00852FB1">
            <w:pPr>
              <w:overflowPunct w:val="0"/>
              <w:autoSpaceDE w:val="0"/>
              <w:autoSpaceDN w:val="0"/>
              <w:adjustRightInd w:val="0"/>
              <w:spacing w:before="20" w:after="20" w:line="300" w:lineRule="exact"/>
              <w:ind w:left="57" w:right="57"/>
              <w:textDirection w:val="tbRlV"/>
              <w:textAlignment w:val="baseline"/>
              <w:rPr>
                <w:sz w:val="18"/>
                <w:szCs w:val="18"/>
                <w:lang w:val="ar-SA" w:eastAsia="zh-TW" w:bidi="en-GB"/>
              </w:rPr>
            </w:pPr>
            <w:r w:rsidRPr="00852FB1">
              <w:rPr>
                <w:sz w:val="18"/>
                <w:szCs w:val="18"/>
                <w:rtl/>
              </w:rPr>
              <w:t>22</w:t>
            </w:r>
            <w:r w:rsidRPr="00852FB1">
              <w:rPr>
                <w:rFonts w:ascii="Traditional Arabic"/>
                <w:sz w:val="18"/>
                <w:szCs w:val="18"/>
                <w:rtl/>
              </w:rPr>
              <w:t>,</w:t>
            </w:r>
            <w:r w:rsidRPr="00852FB1">
              <w:rPr>
                <w:sz w:val="18"/>
                <w:szCs w:val="18"/>
                <w:rtl/>
              </w:rPr>
              <w:t>2</w:t>
            </w:r>
          </w:p>
        </w:tc>
      </w:tr>
    </w:tbl>
    <w:p w14:paraId="479306DA" w14:textId="77777777" w:rsidR="00A0227D" w:rsidRPr="00890539" w:rsidRDefault="00A0227D" w:rsidP="00EC2C57">
      <w:pPr>
        <w:pStyle w:val="SingleTxtGA"/>
        <w:rPr>
          <w:sz w:val="26"/>
          <w:szCs w:val="26"/>
          <w:lang w:val="ar-SA" w:eastAsia="zh-TW" w:bidi="en-GB"/>
        </w:rPr>
      </w:pPr>
      <w:r w:rsidRPr="00890539">
        <w:rPr>
          <w:i/>
          <w:iCs/>
          <w:sz w:val="26"/>
          <w:szCs w:val="26"/>
          <w:rtl/>
        </w:rPr>
        <w:t>المصدر</w:t>
      </w:r>
      <w:r w:rsidRPr="00BB79C1">
        <w:rPr>
          <w:rtl/>
        </w:rPr>
        <w:t>:</w:t>
      </w:r>
      <w:r w:rsidRPr="00890539">
        <w:rPr>
          <w:sz w:val="26"/>
          <w:szCs w:val="26"/>
          <w:rtl/>
        </w:rPr>
        <w:t xml:space="preserve"> دائرة الإحصاءات والبحوث في آلاند.</w:t>
      </w:r>
    </w:p>
    <w:p w14:paraId="6E7AADF0" w14:textId="5E621B4D" w:rsidR="00A0227D" w:rsidRPr="009B1F51" w:rsidRDefault="00A0227D" w:rsidP="00EC2C57">
      <w:pPr>
        <w:pStyle w:val="SingleTxtGA"/>
        <w:rPr>
          <w:szCs w:val="20"/>
          <w:lang w:val="ar-SA" w:eastAsia="zh-TW" w:bidi="en-GB"/>
        </w:rPr>
      </w:pPr>
      <w:r w:rsidRPr="005C19F0">
        <w:rPr>
          <w:szCs w:val="20"/>
          <w:rtl/>
        </w:rPr>
        <w:lastRenderedPageBreak/>
        <w:t>134</w:t>
      </w:r>
      <w:r w:rsidRPr="00EF3655">
        <w:rPr>
          <w:rtl/>
        </w:rPr>
        <w:t>-</w:t>
      </w:r>
      <w:r>
        <w:rPr>
          <w:rtl/>
        </w:rPr>
        <w:tab/>
        <w:t xml:space="preserve">وتقل نسبة سكان آلاند الذين نشأوا خارج الإقليم عن </w:t>
      </w:r>
      <w:r w:rsidRPr="005C19F0">
        <w:rPr>
          <w:szCs w:val="20"/>
          <w:rtl/>
        </w:rPr>
        <w:t>37</w:t>
      </w:r>
      <w:r>
        <w:rPr>
          <w:rtl/>
        </w:rPr>
        <w:t xml:space="preserve"> في المائة. وانتقل نحو </w:t>
      </w:r>
      <w:r w:rsidRPr="005C19F0">
        <w:rPr>
          <w:szCs w:val="20"/>
          <w:rtl/>
        </w:rPr>
        <w:t>19</w:t>
      </w:r>
      <w:r>
        <w:rPr>
          <w:rtl/>
        </w:rPr>
        <w:t xml:space="preserve"> في المائة من سكان آلاند من فنلندا القارية ونحو </w:t>
      </w:r>
      <w:r w:rsidRPr="005C19F0">
        <w:rPr>
          <w:szCs w:val="20"/>
          <w:rtl/>
        </w:rPr>
        <w:t>9</w:t>
      </w:r>
      <w:r>
        <w:rPr>
          <w:rtl/>
        </w:rPr>
        <w:t xml:space="preserve"> في المائة منهم من السويد. وبناءً على ذلك، فإن المقاطعة هي موطن لأشخاص وُلدوا في </w:t>
      </w:r>
      <w:r w:rsidRPr="005C19F0">
        <w:rPr>
          <w:szCs w:val="20"/>
          <w:rtl/>
        </w:rPr>
        <w:t>105</w:t>
      </w:r>
      <w:r>
        <w:rPr>
          <w:rtl/>
        </w:rPr>
        <w:t xml:space="preserve"> بلدان مختلفة. وتمثل السويدية اللغة الأصلية لحوالي </w:t>
      </w:r>
      <w:r w:rsidRPr="005C19F0">
        <w:rPr>
          <w:szCs w:val="20"/>
          <w:rtl/>
        </w:rPr>
        <w:t>87</w:t>
      </w:r>
      <w:r w:rsidR="002B5B92">
        <w:rPr>
          <w:sz w:val="28"/>
          <w:rtl/>
        </w:rPr>
        <w:t xml:space="preserve"> في المائة</w:t>
      </w:r>
      <w:r>
        <w:rPr>
          <w:rtl/>
        </w:rPr>
        <w:t xml:space="preserve"> من سكان المقاطعة، في حين</w:t>
      </w:r>
      <w:r>
        <w:rPr>
          <w:rtl/>
          <w:lang w:val="fr-CH"/>
        </w:rPr>
        <w:t xml:space="preserve"> أن اللغة الفنلندية هي اللغة الأصلية لنسبة</w:t>
      </w:r>
      <w:r>
        <w:rPr>
          <w:rtl/>
        </w:rPr>
        <w:t xml:space="preserve"> </w:t>
      </w:r>
      <w:r w:rsidRPr="005C19F0">
        <w:rPr>
          <w:szCs w:val="20"/>
          <w:rtl/>
        </w:rPr>
        <w:t>5</w:t>
      </w:r>
      <w:r>
        <w:rPr>
          <w:rtl/>
        </w:rPr>
        <w:t xml:space="preserve"> في المائة من سكانها، وأن لغات أخرى تشكل اللغة الأصلية لنحو </w:t>
      </w:r>
      <w:r w:rsidRPr="005C19F0">
        <w:rPr>
          <w:szCs w:val="20"/>
          <w:rtl/>
        </w:rPr>
        <w:t>8</w:t>
      </w:r>
      <w:r>
        <w:rPr>
          <w:rtl/>
        </w:rPr>
        <w:t xml:space="preserve"> في المائة من سكانها.</w:t>
      </w:r>
    </w:p>
    <w:p w14:paraId="736FBABC" w14:textId="1FF902E5" w:rsidR="00A0227D" w:rsidRPr="00C726A7" w:rsidRDefault="00A0227D" w:rsidP="00816D36">
      <w:pPr>
        <w:pStyle w:val="SingleTxtGA"/>
        <w:rPr>
          <w:szCs w:val="20"/>
          <w:lang w:eastAsia="zh-TW" w:bidi="en-GB"/>
        </w:rPr>
      </w:pPr>
      <w:r w:rsidRPr="005C19F0">
        <w:rPr>
          <w:szCs w:val="20"/>
          <w:rtl/>
        </w:rPr>
        <w:t>135</w:t>
      </w:r>
      <w:r w:rsidRPr="00EF3655">
        <w:rPr>
          <w:rtl/>
        </w:rPr>
        <w:t>-</w:t>
      </w:r>
      <w:r>
        <w:rPr>
          <w:rtl/>
        </w:rPr>
        <w:tab/>
        <w:t xml:space="preserve">وفي عام </w:t>
      </w:r>
      <w:r w:rsidRPr="005C19F0">
        <w:rPr>
          <w:szCs w:val="20"/>
          <w:rtl/>
        </w:rPr>
        <w:t>2017</w:t>
      </w:r>
      <w:r>
        <w:rPr>
          <w:rtl/>
        </w:rPr>
        <w:t xml:space="preserve">، بلغ متوسط العمر المتوقع في آلاند </w:t>
      </w:r>
      <w:r w:rsidRPr="005C19F0">
        <w:rPr>
          <w:szCs w:val="20"/>
          <w:rtl/>
        </w:rPr>
        <w:t>83</w:t>
      </w:r>
      <w:r>
        <w:rPr>
          <w:rFonts w:ascii="Traditional Arabic"/>
          <w:szCs w:val="20"/>
          <w:rtl/>
        </w:rPr>
        <w:t>,</w:t>
      </w:r>
      <w:r w:rsidRPr="005C19F0">
        <w:rPr>
          <w:szCs w:val="20"/>
          <w:rtl/>
        </w:rPr>
        <w:t>5</w:t>
      </w:r>
      <w:r w:rsidRPr="00D150CB">
        <w:rPr>
          <w:rtl/>
        </w:rPr>
        <w:t xml:space="preserve"> </w:t>
      </w:r>
      <w:r>
        <w:rPr>
          <w:rtl/>
        </w:rPr>
        <w:t xml:space="preserve">عاماً. وبلغ هذا المتوسط </w:t>
      </w:r>
      <w:r w:rsidRPr="005C19F0">
        <w:rPr>
          <w:szCs w:val="20"/>
          <w:rtl/>
        </w:rPr>
        <w:t>85</w:t>
      </w:r>
      <w:r w:rsidR="00D150CB">
        <w:rPr>
          <w:rFonts w:ascii="Traditional Arabic"/>
          <w:szCs w:val="20"/>
          <w:rtl/>
        </w:rPr>
        <w:t>,</w:t>
      </w:r>
      <w:r w:rsidRPr="005C19F0">
        <w:rPr>
          <w:szCs w:val="20"/>
          <w:rtl/>
        </w:rPr>
        <w:t>9</w:t>
      </w:r>
      <w:r>
        <w:rPr>
          <w:rtl/>
        </w:rPr>
        <w:t xml:space="preserve"> عاماً للنساء و</w:t>
      </w:r>
      <w:r w:rsidRPr="005C19F0">
        <w:rPr>
          <w:szCs w:val="20"/>
          <w:rtl/>
        </w:rPr>
        <w:t>81</w:t>
      </w:r>
      <w:r w:rsidR="00D150CB">
        <w:rPr>
          <w:rFonts w:ascii="Traditional Arabic"/>
          <w:szCs w:val="20"/>
          <w:rtl/>
        </w:rPr>
        <w:t>,</w:t>
      </w:r>
      <w:r w:rsidRPr="005C19F0">
        <w:rPr>
          <w:szCs w:val="20"/>
          <w:rtl/>
        </w:rPr>
        <w:t>2</w:t>
      </w:r>
      <w:r>
        <w:rPr>
          <w:rtl/>
        </w:rPr>
        <w:t xml:space="preserve"> عاماً للرجال.</w:t>
      </w:r>
    </w:p>
    <w:p w14:paraId="205BA387" w14:textId="49916E06" w:rsidR="00A0227D" w:rsidRPr="00816D36" w:rsidRDefault="00A0227D" w:rsidP="00816D36">
      <w:pPr>
        <w:pStyle w:val="SingleTxtGA"/>
        <w:rPr>
          <w:szCs w:val="20"/>
          <w:lang w:eastAsia="zh-TW" w:bidi="en-GB"/>
        </w:rPr>
      </w:pPr>
      <w:r w:rsidRPr="005C19F0">
        <w:rPr>
          <w:szCs w:val="20"/>
          <w:rtl/>
        </w:rPr>
        <w:t>136</w:t>
      </w:r>
      <w:r w:rsidRPr="00EF3655">
        <w:rPr>
          <w:rtl/>
        </w:rPr>
        <w:t>-</w:t>
      </w:r>
      <w:r>
        <w:rPr>
          <w:rtl/>
        </w:rPr>
        <w:tab/>
        <w:t xml:space="preserve">وفي عام </w:t>
      </w:r>
      <w:r w:rsidRPr="005C19F0">
        <w:rPr>
          <w:szCs w:val="20"/>
          <w:rtl/>
        </w:rPr>
        <w:t>2018</w:t>
      </w:r>
      <w:r>
        <w:rPr>
          <w:rtl/>
        </w:rPr>
        <w:t xml:space="preserve">، كانت نسبة </w:t>
      </w:r>
      <w:r w:rsidRPr="005C19F0">
        <w:rPr>
          <w:szCs w:val="20"/>
          <w:rtl/>
        </w:rPr>
        <w:t>3</w:t>
      </w:r>
      <w:r w:rsidR="0099313E">
        <w:rPr>
          <w:rFonts w:ascii="Traditional Arabic" w:hAnsi="Traditional Arabic"/>
          <w:szCs w:val="20"/>
          <w:rtl/>
        </w:rPr>
        <w:t>,</w:t>
      </w:r>
      <w:r w:rsidRPr="005C19F0">
        <w:rPr>
          <w:szCs w:val="20"/>
          <w:rtl/>
        </w:rPr>
        <w:t>5</w:t>
      </w:r>
      <w:r>
        <w:rPr>
          <w:rtl/>
        </w:rPr>
        <w:t xml:space="preserve"> في المائة من سكان آلاند عاطلين عن العمل. وبلغ معدل العمالة الإجمالي </w:t>
      </w:r>
      <w:r w:rsidRPr="005C19F0">
        <w:rPr>
          <w:szCs w:val="20"/>
          <w:rtl/>
        </w:rPr>
        <w:t>80</w:t>
      </w:r>
      <w:r>
        <w:rPr>
          <w:rFonts w:ascii="Traditional Arabic"/>
          <w:szCs w:val="20"/>
          <w:rtl/>
        </w:rPr>
        <w:t>,</w:t>
      </w:r>
      <w:r w:rsidRPr="005C19F0">
        <w:rPr>
          <w:szCs w:val="20"/>
          <w:rtl/>
        </w:rPr>
        <w:t>2</w:t>
      </w:r>
      <w:r>
        <w:rPr>
          <w:rtl/>
        </w:rPr>
        <w:t xml:space="preserve"> في المائة في عام </w:t>
      </w:r>
      <w:r w:rsidRPr="005C19F0">
        <w:rPr>
          <w:szCs w:val="20"/>
          <w:rtl/>
        </w:rPr>
        <w:t>2017</w:t>
      </w:r>
      <w:r w:rsidRPr="0099313E">
        <w:rPr>
          <w:rtl/>
        </w:rPr>
        <w:t>.</w:t>
      </w:r>
      <w:r>
        <w:rPr>
          <w:rtl/>
        </w:rPr>
        <w:t xml:space="preserve"> وبلغ هذا المعدل </w:t>
      </w:r>
      <w:r w:rsidRPr="005C19F0">
        <w:rPr>
          <w:szCs w:val="20"/>
          <w:rtl/>
        </w:rPr>
        <w:t>80</w:t>
      </w:r>
      <w:r w:rsidR="00852FB1">
        <w:rPr>
          <w:rFonts w:ascii="Traditional Arabic"/>
          <w:szCs w:val="20"/>
          <w:rtl/>
        </w:rPr>
        <w:t>,</w:t>
      </w:r>
      <w:r w:rsidRPr="005C19F0">
        <w:rPr>
          <w:szCs w:val="20"/>
          <w:rtl/>
        </w:rPr>
        <w:t>9</w:t>
      </w:r>
      <w:r>
        <w:rPr>
          <w:rtl/>
        </w:rPr>
        <w:t xml:space="preserve"> في المائة للنساء و</w:t>
      </w:r>
      <w:r w:rsidRPr="005C19F0">
        <w:rPr>
          <w:szCs w:val="20"/>
          <w:rtl/>
        </w:rPr>
        <w:t>79</w:t>
      </w:r>
      <w:r w:rsidR="00852FB1">
        <w:rPr>
          <w:rFonts w:ascii="Traditional Arabic"/>
          <w:szCs w:val="20"/>
          <w:rtl/>
        </w:rPr>
        <w:t>,</w:t>
      </w:r>
      <w:r w:rsidRPr="005C19F0">
        <w:rPr>
          <w:szCs w:val="20"/>
          <w:rtl/>
        </w:rPr>
        <w:t>5</w:t>
      </w:r>
      <w:r>
        <w:rPr>
          <w:rtl/>
        </w:rPr>
        <w:t xml:space="preserve"> في المائة للرجال.</w:t>
      </w:r>
    </w:p>
    <w:p w14:paraId="769D34CD" w14:textId="2E5770C2" w:rsidR="00A0227D" w:rsidRPr="009B1F51" w:rsidRDefault="00A0227D" w:rsidP="00EC2C57">
      <w:pPr>
        <w:pStyle w:val="SingleTxtGA"/>
        <w:rPr>
          <w:szCs w:val="20"/>
          <w:lang w:val="ar-SA" w:eastAsia="zh-TW" w:bidi="en-GB"/>
        </w:rPr>
      </w:pPr>
      <w:r w:rsidRPr="005C19F0">
        <w:rPr>
          <w:szCs w:val="20"/>
          <w:rtl/>
        </w:rPr>
        <w:t>137</w:t>
      </w:r>
      <w:r w:rsidRPr="00EF3655">
        <w:rPr>
          <w:rtl/>
        </w:rPr>
        <w:t>-</w:t>
      </w:r>
      <w:r>
        <w:rPr>
          <w:rtl/>
        </w:rPr>
        <w:tab/>
        <w:t xml:space="preserve">وبلغ الناتج المحلي الإجمالي لآلاند بالأسعار الحالية نحو </w:t>
      </w:r>
      <w:r w:rsidRPr="005C19F0">
        <w:rPr>
          <w:szCs w:val="20"/>
          <w:rtl/>
        </w:rPr>
        <w:t>1</w:t>
      </w:r>
      <w:r w:rsidR="00C644F4">
        <w:rPr>
          <w:rFonts w:ascii="Traditional Arabic" w:hAnsi="Traditional Arabic"/>
          <w:szCs w:val="20"/>
          <w:rtl/>
        </w:rPr>
        <w:t>,</w:t>
      </w:r>
      <w:r w:rsidRPr="005C19F0">
        <w:rPr>
          <w:szCs w:val="20"/>
          <w:rtl/>
        </w:rPr>
        <w:t>3</w:t>
      </w:r>
      <w:r>
        <w:rPr>
          <w:rtl/>
        </w:rPr>
        <w:t xml:space="preserve"> مليار يورو في عام </w:t>
      </w:r>
      <w:r w:rsidRPr="005C19F0">
        <w:rPr>
          <w:szCs w:val="20"/>
          <w:rtl/>
        </w:rPr>
        <w:t>2016</w:t>
      </w:r>
      <w:r>
        <w:rPr>
          <w:rtl/>
        </w:rPr>
        <w:t xml:space="preserve">، أي نحو </w:t>
      </w:r>
      <w:r w:rsidR="00852FB1">
        <w:rPr>
          <w:rFonts w:hint="cs"/>
          <w:szCs w:val="20"/>
          <w:rtl/>
        </w:rPr>
        <w:t>800 43</w:t>
      </w:r>
      <w:r>
        <w:rPr>
          <w:rtl/>
        </w:rPr>
        <w:t xml:space="preserve"> يورو للفرد الواحد. وفي عام </w:t>
      </w:r>
      <w:r w:rsidRPr="005C19F0">
        <w:rPr>
          <w:szCs w:val="20"/>
          <w:rtl/>
        </w:rPr>
        <w:t>2016</w:t>
      </w:r>
      <w:r>
        <w:rPr>
          <w:rtl/>
        </w:rPr>
        <w:t xml:space="preserve">، كان قطاع الشحن </w:t>
      </w:r>
      <w:r>
        <w:rPr>
          <w:rtl/>
          <w:lang w:val="fr-CH"/>
        </w:rPr>
        <w:t>مصدرَ نحو</w:t>
      </w:r>
      <w:r>
        <w:rPr>
          <w:rtl/>
        </w:rPr>
        <w:t xml:space="preserve"> </w:t>
      </w:r>
      <w:r w:rsidRPr="005C19F0">
        <w:rPr>
          <w:szCs w:val="20"/>
          <w:rtl/>
        </w:rPr>
        <w:t>20</w:t>
      </w:r>
      <w:r>
        <w:rPr>
          <w:rtl/>
        </w:rPr>
        <w:t xml:space="preserve"> في المائة من الناتج المحلي الإجمالي لآلاند وكان يعمل به أكثر من </w:t>
      </w:r>
      <w:r w:rsidRPr="005C19F0">
        <w:rPr>
          <w:szCs w:val="20"/>
          <w:rtl/>
        </w:rPr>
        <w:t>6</w:t>
      </w:r>
      <w:r>
        <w:rPr>
          <w:rtl/>
        </w:rPr>
        <w:t xml:space="preserve"> في المائة من العمالة في آلاند، في حين شكلت جميع أنشطة السياحة نحو </w:t>
      </w:r>
      <w:r w:rsidRPr="005C19F0">
        <w:rPr>
          <w:szCs w:val="20"/>
          <w:rtl/>
        </w:rPr>
        <w:t>19</w:t>
      </w:r>
      <w:r w:rsidR="002B5B92">
        <w:rPr>
          <w:sz w:val="28"/>
          <w:rtl/>
        </w:rPr>
        <w:t xml:space="preserve"> في المائة</w:t>
      </w:r>
      <w:r>
        <w:rPr>
          <w:rtl/>
        </w:rPr>
        <w:t xml:space="preserve"> من الناتج المحلي الإجمالي في عام </w:t>
      </w:r>
      <w:r w:rsidRPr="005C19F0">
        <w:rPr>
          <w:szCs w:val="20"/>
          <w:rtl/>
        </w:rPr>
        <w:t>2016</w:t>
      </w:r>
      <w:r>
        <w:rPr>
          <w:rtl/>
        </w:rPr>
        <w:t>.</w:t>
      </w:r>
    </w:p>
    <w:p w14:paraId="07FF969C" w14:textId="12EBAA57" w:rsidR="00A0227D" w:rsidRPr="009B1F51" w:rsidRDefault="00EC2C57" w:rsidP="00EC2C57">
      <w:pPr>
        <w:pStyle w:val="H23GA"/>
        <w:rPr>
          <w:szCs w:val="20"/>
          <w:lang w:val="ar-SA" w:eastAsia="zh-TW" w:bidi="en-GB"/>
        </w:rPr>
      </w:pPr>
      <w:bookmarkStart w:id="34" w:name="_Toc32364296"/>
      <w:r>
        <w:rPr>
          <w:rtl/>
        </w:rPr>
        <w:tab/>
      </w:r>
      <w:r w:rsidR="00A0227D" w:rsidRPr="00794E95">
        <w:rPr>
          <w:rtl/>
        </w:rPr>
        <w:t>(</w:t>
      </w:r>
      <w:r w:rsidR="00A0227D">
        <w:rPr>
          <w:rtl/>
        </w:rPr>
        <w:t>ح</w:t>
      </w:r>
      <w:r w:rsidR="00A0227D" w:rsidRPr="00794E95">
        <w:rPr>
          <w:rtl/>
        </w:rPr>
        <w:t>)</w:t>
      </w:r>
      <w:r w:rsidR="00A0227D">
        <w:rPr>
          <w:rtl/>
        </w:rPr>
        <w:tab/>
        <w:t>الحكم الذاتي البلدي</w:t>
      </w:r>
      <w:bookmarkEnd w:id="34"/>
    </w:p>
    <w:p w14:paraId="73419524" w14:textId="77777777" w:rsidR="00A0227D" w:rsidRPr="009B1F51" w:rsidRDefault="00A0227D" w:rsidP="00EC2C57">
      <w:pPr>
        <w:pStyle w:val="SingleTxtGA"/>
        <w:rPr>
          <w:szCs w:val="20"/>
          <w:lang w:val="ar-SA" w:eastAsia="zh-TW" w:bidi="en-GB"/>
        </w:rPr>
      </w:pPr>
      <w:r w:rsidRPr="005C19F0">
        <w:rPr>
          <w:szCs w:val="20"/>
          <w:rtl/>
        </w:rPr>
        <w:t>138</w:t>
      </w:r>
      <w:r w:rsidRPr="00EF3655">
        <w:rPr>
          <w:rtl/>
        </w:rPr>
        <w:t>-</w:t>
      </w:r>
      <w:r>
        <w:rPr>
          <w:rtl/>
        </w:rPr>
        <w:tab/>
      </w:r>
      <w:r w:rsidRPr="003105DE">
        <w:rPr>
          <w:rtl/>
        </w:rPr>
        <w:t>تتمتع البلديات</w:t>
      </w:r>
      <w:r>
        <w:rPr>
          <w:rtl/>
        </w:rPr>
        <w:t xml:space="preserve">، وفقاً لدستور فنلندا، باستقلالية شديدة ناشئة عن الحكم الذاتي لسكان البلديات. واستقلالية البلديات الفنلندية واحدة من الأوسع نطاقاً في العالم. وقد أنفذت فنلندا الميثاق الأوروبي للحكم الذاتي المحلي الصادر عن مجلس أوروبا في عام </w:t>
      </w:r>
      <w:r w:rsidRPr="005C19F0">
        <w:rPr>
          <w:szCs w:val="20"/>
          <w:rtl/>
        </w:rPr>
        <w:t>1991</w:t>
      </w:r>
      <w:r w:rsidRPr="00340DBC">
        <w:rPr>
          <w:rtl/>
        </w:rPr>
        <w:t>.</w:t>
      </w:r>
      <w:r>
        <w:rPr>
          <w:rtl/>
        </w:rPr>
        <w:t xml:space="preserve"> ولهذا الميثاق مكانة قوية في فنلندا ويستند إليه لدعم الحكم المحلي. ويبلغ إجمالي عدد البلديات في فنلندا </w:t>
      </w:r>
      <w:r w:rsidRPr="005C19F0">
        <w:rPr>
          <w:szCs w:val="20"/>
          <w:rtl/>
        </w:rPr>
        <w:t>310</w:t>
      </w:r>
      <w:r>
        <w:rPr>
          <w:rtl/>
        </w:rPr>
        <w:t xml:space="preserve"> بلديات، منها </w:t>
      </w:r>
      <w:r w:rsidRPr="005C19F0">
        <w:rPr>
          <w:szCs w:val="20"/>
          <w:rtl/>
        </w:rPr>
        <w:t>107</w:t>
      </w:r>
      <w:r>
        <w:rPr>
          <w:rtl/>
        </w:rPr>
        <w:t xml:space="preserve"> بلديات تصنف نفسها مدناً و</w:t>
      </w:r>
      <w:r w:rsidRPr="005C19F0">
        <w:rPr>
          <w:szCs w:val="20"/>
          <w:rtl/>
        </w:rPr>
        <w:t>203</w:t>
      </w:r>
      <w:r>
        <w:rPr>
          <w:rtl/>
        </w:rPr>
        <w:t xml:space="preserve"> بلديات تصنف نفسها لديات. وينص أحد القوانين على الأساس العام للحكم المحلي وكذلك على الواجبات والالتزامات المسندة إلى البلديات. ويشمل الحكم الذاتي للبلديات القطاع العام، وحرية التنظيم، وعدم تدخل الحكومة المركزية في اتخاذ القرارات المتعلقة بالبلديات، ومبدأ الموارد المالية الكافية التي تضمن تنفيذ الواجبات القانونية للبلديات.</w:t>
      </w:r>
    </w:p>
    <w:p w14:paraId="3603884E" w14:textId="77777777" w:rsidR="00A0227D" w:rsidRPr="009B1F51" w:rsidRDefault="00A0227D" w:rsidP="00EC2C57">
      <w:pPr>
        <w:pStyle w:val="SingleTxtGA"/>
        <w:rPr>
          <w:szCs w:val="20"/>
          <w:lang w:val="ar-SA" w:eastAsia="zh-TW" w:bidi="en-GB"/>
        </w:rPr>
      </w:pPr>
      <w:r w:rsidRPr="005C19F0">
        <w:rPr>
          <w:szCs w:val="20"/>
          <w:rtl/>
        </w:rPr>
        <w:t>139</w:t>
      </w:r>
      <w:r w:rsidRPr="00EF3655">
        <w:rPr>
          <w:rtl/>
        </w:rPr>
        <w:t>-</w:t>
      </w:r>
      <w:r>
        <w:rPr>
          <w:rtl/>
        </w:rPr>
        <w:tab/>
        <w:t xml:space="preserve">ويمارس المجلس المحلي سلطة اتخاذ القرار في البلدية، ويقرر الأهداف الطويلة الأجل لأنشطة البلدية وشؤونها المالية في الاستراتيجية البلدية التي يعدها المجلس. ويُنتخب أعضاء المجلس المحلي ونوابهم في انتخابات بلدية تُنظم كل أربع سنوات. ويحق لسكان البلديات ولمستخدمي الخدمات البلدية المشاركة في أنشطة البلديات والتأثير فيها. وينبغي للمجلس المحلي إتاحة فرص متنوعة وفعالة للمشاركة. ويحق لسكان البلديات وللشركات والمؤسسات التي يوجد مقرها في البلدية أن تقدم مبادرات بشأن المسائل المتعلقة بأنشطة البلدية. وقد أدى إصلاح قانون الحكم المحلي في عام </w:t>
      </w:r>
      <w:r w:rsidRPr="005C19F0">
        <w:rPr>
          <w:szCs w:val="20"/>
          <w:rtl/>
        </w:rPr>
        <w:t>2015</w:t>
      </w:r>
      <w:r>
        <w:rPr>
          <w:rtl/>
        </w:rPr>
        <w:t xml:space="preserve"> إلى تحويل مجالس المسنين ومجالس الإعاقة ومجالس الشباب إلى هيئات إلزامية جديدة للمشاركة المدنية.</w:t>
      </w:r>
    </w:p>
    <w:p w14:paraId="4090E67D" w14:textId="77777777" w:rsidR="00A0227D" w:rsidRPr="00852FB1" w:rsidRDefault="00A0227D" w:rsidP="00EC2C57">
      <w:pPr>
        <w:pStyle w:val="SingleTxtGA"/>
        <w:rPr>
          <w:spacing w:val="-2"/>
          <w:szCs w:val="20"/>
          <w:lang w:val="ar-SA" w:eastAsia="zh-TW" w:bidi="en-GB"/>
        </w:rPr>
      </w:pPr>
      <w:r w:rsidRPr="00852FB1">
        <w:rPr>
          <w:spacing w:val="-2"/>
          <w:szCs w:val="20"/>
          <w:rtl/>
        </w:rPr>
        <w:t>140</w:t>
      </w:r>
      <w:r w:rsidRPr="00852FB1">
        <w:rPr>
          <w:spacing w:val="-2"/>
          <w:rtl/>
        </w:rPr>
        <w:t>-</w:t>
      </w:r>
      <w:r w:rsidRPr="00852FB1">
        <w:rPr>
          <w:spacing w:val="-2"/>
          <w:rtl/>
        </w:rPr>
        <w:tab/>
        <w:t>وفي العادة، تضطلع كل بلدية بمسؤولية تنظيم خدمات الرعاية الاجتماعية والصحية لسكانها. وتلتزم البلديات بتوفير التعليم الأساسي لجميع سكانها الذين هم في سن التعليم الإلزامي. وبالإضافة إلى ذلك، تضطلع البلديات بالمسؤولية عن الخدمات التعليمية والثقافية الواسعة النطاق، والخدمات الرياضية وخدمات التدريب الرياضي، والهياكل الأساسية للمناطق الخضراء والطرق، وخدمات الإطفاء والإنقاذ.</w:t>
      </w:r>
    </w:p>
    <w:p w14:paraId="11E70E33" w14:textId="21A45E62" w:rsidR="00A0227D" w:rsidRPr="009B1F51" w:rsidRDefault="00A0227D" w:rsidP="00EC2C57">
      <w:pPr>
        <w:pStyle w:val="SingleTxtGA"/>
        <w:rPr>
          <w:szCs w:val="20"/>
          <w:lang w:val="ar-SA" w:eastAsia="zh-TW" w:bidi="en-GB"/>
        </w:rPr>
      </w:pPr>
      <w:r w:rsidRPr="005C19F0">
        <w:rPr>
          <w:szCs w:val="20"/>
          <w:rtl/>
        </w:rPr>
        <w:t>141</w:t>
      </w:r>
      <w:r w:rsidRPr="00EF3655">
        <w:rPr>
          <w:rtl/>
        </w:rPr>
        <w:t>-</w:t>
      </w:r>
      <w:r>
        <w:rPr>
          <w:rtl/>
        </w:rPr>
        <w:tab/>
        <w:t>ويكفل دستور فنلندا للبلديات الحق في فرض الضرائب. وتأتي الإيرادات الضريبية من ضريبة الدخل، التي يجوز للبلديات أن تحدد نسبتها بحسب تقديرها، فضلا</w:t>
      </w:r>
      <w:r w:rsidR="00340DBC">
        <w:rPr>
          <w:rFonts w:hint="cs"/>
          <w:rtl/>
        </w:rPr>
        <w:t>ً</w:t>
      </w:r>
      <w:r>
        <w:rPr>
          <w:rtl/>
        </w:rPr>
        <w:t xml:space="preserve"> عن ضريبة الشركات والضريبة </w:t>
      </w:r>
      <w:r>
        <w:rPr>
          <w:rtl/>
        </w:rPr>
        <w:lastRenderedPageBreak/>
        <w:t xml:space="preserve">العقارية. وفي عام </w:t>
      </w:r>
      <w:r w:rsidRPr="005C19F0">
        <w:rPr>
          <w:szCs w:val="20"/>
          <w:rtl/>
        </w:rPr>
        <w:t>2018</w:t>
      </w:r>
      <w:r>
        <w:rPr>
          <w:rtl/>
        </w:rPr>
        <w:t xml:space="preserve">، شكلت الإيرادات الضريبية نحو </w:t>
      </w:r>
      <w:r w:rsidRPr="005C19F0">
        <w:rPr>
          <w:szCs w:val="20"/>
          <w:rtl/>
        </w:rPr>
        <w:t>58</w:t>
      </w:r>
      <w:r w:rsidR="002B5B92">
        <w:rPr>
          <w:sz w:val="28"/>
          <w:rtl/>
        </w:rPr>
        <w:t xml:space="preserve"> في المائة</w:t>
      </w:r>
      <w:r>
        <w:rPr>
          <w:rtl/>
        </w:rPr>
        <w:t xml:space="preserve"> من جميع الإيرادات. وتحصل البلديات على إيرادات تشغيلية من الأنشطة التي يمارسها الأشخاص فرديا وبالتعاون مع آخرين ومن خلال الشركات البلدية. وتتلقى البلديات أيضاً تحويلات من الحكومة المركزية إلى الحكومة المحلية، ومن عناصر هذه التحويلات خطةٌ للمساواة الغاية منها دعم تنظيم الخدمات في مناطق البلد التي قد يكون فيها الطلب على الخدمات أعلى من مناطق أخرى بسبب التركيبة الديمغرافية أو معدل انتشار الأمراض، مثلاً. وتشكل تحويلات الحكومة المركزية في المتوسط </w:t>
      </w:r>
      <w:r w:rsidRPr="005C19F0">
        <w:rPr>
          <w:szCs w:val="20"/>
          <w:rtl/>
        </w:rPr>
        <w:t>22</w:t>
      </w:r>
      <w:r>
        <w:rPr>
          <w:rtl/>
        </w:rPr>
        <w:t xml:space="preserve"> في المائة من قاعدة إيرادات البلديات. وبالإضافة إلى قاعدة إيرادات متينة، تتمتع البلديات بحرية الاقتراض من الأسواق المالية لتمويل استثماراتها، ويكون عليها أن توازن بين مواردها المالية على النحو المنصوص عليه في قانون الحكم المحلي </w:t>
      </w:r>
      <w:r w:rsidRPr="00794E95">
        <w:rPr>
          <w:rtl/>
        </w:rPr>
        <w:t>(</w:t>
      </w:r>
      <w:r w:rsidRPr="005C19F0">
        <w:rPr>
          <w:szCs w:val="20"/>
          <w:rtl/>
        </w:rPr>
        <w:t>410</w:t>
      </w:r>
      <w:r>
        <w:rPr>
          <w:rFonts w:ascii="Traditional Arabic"/>
          <w:szCs w:val="20"/>
          <w:rtl/>
        </w:rPr>
        <w:t>/</w:t>
      </w:r>
      <w:r w:rsidRPr="005C19F0">
        <w:rPr>
          <w:szCs w:val="20"/>
          <w:rtl/>
        </w:rPr>
        <w:t>2015</w:t>
      </w:r>
      <w:r w:rsidRPr="00794E95">
        <w:rPr>
          <w:rtl/>
        </w:rPr>
        <w:t>)</w:t>
      </w:r>
      <w:r>
        <w:rPr>
          <w:rtl/>
        </w:rPr>
        <w:t>.</w:t>
      </w:r>
    </w:p>
    <w:p w14:paraId="68186443" w14:textId="77777777" w:rsidR="00A0227D" w:rsidRPr="009B1F51" w:rsidRDefault="00A0227D" w:rsidP="00EC2C57">
      <w:pPr>
        <w:pStyle w:val="SingleTxtGA"/>
        <w:rPr>
          <w:szCs w:val="20"/>
          <w:lang w:val="ar-SA" w:eastAsia="zh-TW" w:bidi="en-GB"/>
        </w:rPr>
      </w:pPr>
      <w:r w:rsidRPr="005C19F0">
        <w:rPr>
          <w:szCs w:val="20"/>
          <w:rtl/>
        </w:rPr>
        <w:t>142</w:t>
      </w:r>
      <w:r w:rsidRPr="00EF3655">
        <w:rPr>
          <w:rtl/>
        </w:rPr>
        <w:t>-</w:t>
      </w:r>
      <w:r>
        <w:rPr>
          <w:rtl/>
        </w:rPr>
        <w:tab/>
        <w:t>وفي السنوات الأخيرة، ازدادت أهمية البلديات فيما يتعلق بتعزيز صحة السكان ورفاههم والحفظ على الحيوية الديمغرافية والاقتصادية والتنفيذية وتعزيزها.</w:t>
      </w:r>
    </w:p>
    <w:p w14:paraId="0ACB3EDA" w14:textId="51073BC4" w:rsidR="00A0227D" w:rsidRPr="00C726A7" w:rsidRDefault="00852FB1" w:rsidP="00852FB1">
      <w:pPr>
        <w:pStyle w:val="H23GA"/>
        <w:rPr>
          <w:szCs w:val="20"/>
          <w:lang w:eastAsia="zh-TW" w:bidi="en-GB"/>
        </w:rPr>
      </w:pPr>
      <w:bookmarkStart w:id="35" w:name="_Toc32364297"/>
      <w:r>
        <w:rPr>
          <w:rFonts w:ascii="Traditional Arabic"/>
          <w:szCs w:val="20"/>
          <w:rtl/>
        </w:rPr>
        <w:tab/>
      </w:r>
      <w:r w:rsidRPr="00852FB1">
        <w:rPr>
          <w:rFonts w:hint="cs"/>
          <w:rtl/>
        </w:rPr>
        <w:t>(ط)</w:t>
      </w:r>
      <w:r w:rsidR="00A0227D">
        <w:rPr>
          <w:rtl/>
        </w:rPr>
        <w:tab/>
        <w:t>موطن الصاميين</w:t>
      </w:r>
      <w:bookmarkEnd w:id="35"/>
    </w:p>
    <w:p w14:paraId="3236E2E0" w14:textId="77777777" w:rsidR="00A0227D" w:rsidRPr="00852FB1" w:rsidRDefault="00A0227D" w:rsidP="00EC2C57">
      <w:pPr>
        <w:pStyle w:val="SingleTxtGA"/>
        <w:rPr>
          <w:spacing w:val="-2"/>
          <w:szCs w:val="20"/>
          <w:lang w:val="ar-SA" w:eastAsia="zh-TW" w:bidi="en-GB"/>
        </w:rPr>
      </w:pPr>
      <w:r w:rsidRPr="00852FB1">
        <w:rPr>
          <w:spacing w:val="-2"/>
          <w:szCs w:val="20"/>
          <w:rtl/>
        </w:rPr>
        <w:t>143</w:t>
      </w:r>
      <w:r w:rsidRPr="00852FB1">
        <w:rPr>
          <w:spacing w:val="-2"/>
          <w:rtl/>
        </w:rPr>
        <w:t>-</w:t>
      </w:r>
      <w:r w:rsidRPr="00852FB1">
        <w:rPr>
          <w:spacing w:val="-2"/>
          <w:rtl/>
        </w:rPr>
        <w:tab/>
        <w:t xml:space="preserve">تحدد المادة </w:t>
      </w:r>
      <w:r w:rsidRPr="00852FB1">
        <w:rPr>
          <w:spacing w:val="-2"/>
          <w:szCs w:val="20"/>
          <w:rtl/>
        </w:rPr>
        <w:t>4</w:t>
      </w:r>
      <w:r w:rsidRPr="00852FB1">
        <w:rPr>
          <w:spacing w:val="-2"/>
          <w:rtl/>
        </w:rPr>
        <w:t xml:space="preserve"> من القانون المتعلق بالبرلمان الصامي المنطقة الأصلية للشعب الصامي، أي موطن الصاميين، التي تشمل مناطق بلديات إينونتيكيو، وإناري، وأوتسيوكي، فضلاً عن منطقة رابطة مالكي الرنة في لابلاند في سودانكيلا. وتكفل الفقرة </w:t>
      </w:r>
      <w:r w:rsidRPr="00852FB1">
        <w:rPr>
          <w:spacing w:val="-2"/>
          <w:szCs w:val="20"/>
          <w:rtl/>
        </w:rPr>
        <w:t>4</w:t>
      </w:r>
      <w:r w:rsidRPr="00852FB1">
        <w:rPr>
          <w:spacing w:val="-2"/>
          <w:rtl/>
        </w:rPr>
        <w:t xml:space="preserve"> من المادة </w:t>
      </w:r>
      <w:r w:rsidRPr="00852FB1">
        <w:rPr>
          <w:spacing w:val="-2"/>
          <w:szCs w:val="20"/>
          <w:rtl/>
        </w:rPr>
        <w:t>121</w:t>
      </w:r>
      <w:r w:rsidRPr="00852FB1">
        <w:rPr>
          <w:spacing w:val="-2"/>
          <w:rtl/>
        </w:rPr>
        <w:t xml:space="preserve"> من دستور فنلندا تمتع الصاميين في منطقتهم الأصلية بالحكم الذاتي في المسائل المتصلة باللغة والثقافة، على النحو المنصوص عليه في القانون.</w:t>
      </w:r>
    </w:p>
    <w:p w14:paraId="7EAA6F42" w14:textId="77777777" w:rsidR="00A0227D" w:rsidRPr="00CE48DA" w:rsidRDefault="00A0227D" w:rsidP="00EC2C57">
      <w:pPr>
        <w:pStyle w:val="SingleTxtGA"/>
      </w:pPr>
      <w:r w:rsidRPr="005C19F0">
        <w:rPr>
          <w:szCs w:val="20"/>
          <w:rtl/>
        </w:rPr>
        <w:t>144</w:t>
      </w:r>
      <w:r w:rsidRPr="00EF3655">
        <w:rPr>
          <w:rtl/>
        </w:rPr>
        <w:t>-</w:t>
      </w:r>
      <w:r>
        <w:rPr>
          <w:rtl/>
        </w:rPr>
        <w:tab/>
        <w:t xml:space="preserve">ويحدد قانون إسكولت بدقة منطقة الإسكولت، على النحو المبين بالتفصيل في المادة </w:t>
      </w:r>
      <w:r w:rsidRPr="005C19F0">
        <w:rPr>
          <w:szCs w:val="20"/>
          <w:rtl/>
        </w:rPr>
        <w:t>2</w:t>
      </w:r>
      <w:r>
        <w:rPr>
          <w:rtl/>
        </w:rPr>
        <w:t xml:space="preserve"> من القانون. وللصاميين الإسكولت حقوق معينة في منطقة إسكولت تتعلق بممارسة الحرف التقليدية والثقافة الصامية بالمعنى الأوسع.</w:t>
      </w:r>
    </w:p>
    <w:p w14:paraId="5C3C2E62" w14:textId="7F9B5B32" w:rsidR="00C815DB" w:rsidRPr="0068209D" w:rsidRDefault="00C815DB" w:rsidP="00C60B7B">
      <w:pPr>
        <w:pStyle w:val="H23GA"/>
        <w:rPr>
          <w:lang w:eastAsia="zh-TW" w:bidi="en-GB"/>
        </w:rPr>
      </w:pPr>
      <w:bookmarkStart w:id="36" w:name="_Toc32364298"/>
      <w:r>
        <w:rPr>
          <w:rtl/>
        </w:rPr>
        <w:tab/>
      </w:r>
      <w:r w:rsidRPr="00794E95">
        <w:rPr>
          <w:rtl/>
        </w:rPr>
        <w:t>(</w:t>
      </w:r>
      <w:r w:rsidRPr="0068209D">
        <w:rPr>
          <w:rtl/>
        </w:rPr>
        <w:t>ي</w:t>
      </w:r>
      <w:r w:rsidRPr="00794E95">
        <w:rPr>
          <w:rtl/>
        </w:rPr>
        <w:t>)</w:t>
      </w:r>
      <w:r w:rsidR="00C60B7B">
        <w:rPr>
          <w:rtl/>
        </w:rPr>
        <w:tab/>
      </w:r>
      <w:r w:rsidRPr="0068209D">
        <w:rPr>
          <w:rtl/>
        </w:rPr>
        <w:t>الهيئات والمجالس</w:t>
      </w:r>
      <w:bookmarkEnd w:id="36"/>
    </w:p>
    <w:p w14:paraId="0BCC4C8E" w14:textId="77777777" w:rsidR="00C815DB" w:rsidRPr="0068209D" w:rsidRDefault="00C815DB" w:rsidP="00C60B7B">
      <w:pPr>
        <w:pStyle w:val="H23GA"/>
        <w:rPr>
          <w:lang w:val="ar-SA" w:eastAsia="zh-TW" w:bidi="en-GB"/>
        </w:rPr>
      </w:pPr>
      <w:bookmarkStart w:id="37" w:name="_Toc32364299"/>
      <w:r w:rsidRPr="0068209D">
        <w:rPr>
          <w:rtl/>
        </w:rPr>
        <w:tab/>
      </w:r>
      <w:r w:rsidRPr="0068209D">
        <w:rPr>
          <w:rtl/>
        </w:rPr>
        <w:tab/>
        <w:t>الهيئة الاستشارية للعلاقات الإثنية</w:t>
      </w:r>
      <w:bookmarkEnd w:id="37"/>
    </w:p>
    <w:p w14:paraId="37A1AD17" w14:textId="77777777" w:rsidR="00C815DB" w:rsidRPr="00733D9A" w:rsidRDefault="00C815DB" w:rsidP="00C60B7B">
      <w:pPr>
        <w:pStyle w:val="SingleTxtGA"/>
        <w:rPr>
          <w:rFonts w:eastAsia="Calibri"/>
          <w:lang w:eastAsia="zh-TW" w:bidi="en-GB"/>
        </w:rPr>
      </w:pPr>
      <w:r w:rsidRPr="005C19F0">
        <w:rPr>
          <w:szCs w:val="20"/>
          <w:rtl/>
        </w:rPr>
        <w:t>145</w:t>
      </w:r>
      <w:r w:rsidRPr="00EF3655">
        <w:rPr>
          <w:rtl/>
        </w:rPr>
        <w:t>-</w:t>
      </w:r>
      <w:r w:rsidRPr="0068209D">
        <w:rPr>
          <w:rtl/>
        </w:rPr>
        <w:tab/>
        <w:t xml:space="preserve">ستعين الحكومة الهيئة الاستشارية للعلاقات الإثنية للفترة السابعة من </w:t>
      </w:r>
      <w:r w:rsidRPr="005C19F0">
        <w:rPr>
          <w:szCs w:val="20"/>
          <w:rtl/>
        </w:rPr>
        <w:t>2020</w:t>
      </w:r>
      <w:r w:rsidRPr="0068209D">
        <w:rPr>
          <w:rtl/>
        </w:rPr>
        <w:t xml:space="preserve"> إلى </w:t>
      </w:r>
      <w:r w:rsidRPr="005C19F0">
        <w:rPr>
          <w:szCs w:val="20"/>
          <w:rtl/>
        </w:rPr>
        <w:t>2024</w:t>
      </w:r>
      <w:r>
        <w:rPr>
          <w:rtl/>
        </w:rPr>
        <w:t>،</w:t>
      </w:r>
      <w:r w:rsidRPr="0068209D">
        <w:rPr>
          <w:rtl/>
        </w:rPr>
        <w:t xml:space="preserve"> ومدتها أربع سنوات</w:t>
      </w:r>
      <w:r>
        <w:rPr>
          <w:rtl/>
        </w:rPr>
        <w:t>،</w:t>
      </w:r>
      <w:r w:rsidRPr="0068209D">
        <w:rPr>
          <w:rtl/>
        </w:rPr>
        <w:t xml:space="preserve"> في ربيع هذا العام. وتعمل الهيئة برعاية وزارة العدل. وهي تُحاور المهاجرين والأقليات الإثنية والثقافية والدينية والسلطات العامة والأحزاب السياسية ومنظمات المجتمع المدني. ومن خلال التعاون والمناقشة، يتمثل الهدف في بناء الثقة والانفتاح في فنلندا. وتضم الهيئة خبراء في الهجرة </w:t>
      </w:r>
      <w:r>
        <w:rPr>
          <w:rtl/>
        </w:rPr>
        <w:t>على الصعيد الوطني والمحلي وعلى صعيد المناطق</w:t>
      </w:r>
      <w:r w:rsidRPr="0068209D">
        <w:rPr>
          <w:rtl/>
        </w:rPr>
        <w:t xml:space="preserve">، </w:t>
      </w:r>
      <w:r>
        <w:rPr>
          <w:rtl/>
        </w:rPr>
        <w:t>يتنوعون</w:t>
      </w:r>
      <w:r w:rsidRPr="0068209D">
        <w:rPr>
          <w:rtl/>
        </w:rPr>
        <w:t xml:space="preserve"> بين موظفين عموميين وممثلي</w:t>
      </w:r>
      <w:r>
        <w:rPr>
          <w:rtl/>
        </w:rPr>
        <w:t>ن عن</w:t>
      </w:r>
      <w:r w:rsidRPr="0068209D">
        <w:rPr>
          <w:rtl/>
        </w:rPr>
        <w:t xml:space="preserve"> المجتمع المدني. وتشكل شبكة</w:t>
      </w:r>
      <w:r>
        <w:rPr>
          <w:rtl/>
        </w:rPr>
        <w:t>ً</w:t>
      </w:r>
      <w:r w:rsidRPr="0068209D">
        <w:rPr>
          <w:rtl/>
        </w:rPr>
        <w:t xml:space="preserve"> من الخبراء في مجال الهجرة والاندماج والمساواة ت</w:t>
      </w:r>
      <w:r>
        <w:rPr>
          <w:rtl/>
        </w:rPr>
        <w:t>شج</w:t>
      </w:r>
      <w:r w:rsidRPr="0068209D">
        <w:rPr>
          <w:rtl/>
        </w:rPr>
        <w:t>ع الحوار بين مختلف فئات السكان. وإلى جانب الهيئة الاستشارية الوطنية، هناك سبع هيئات استشارية للعلاقات الإثنية</w:t>
      </w:r>
      <w:r>
        <w:rPr>
          <w:rtl/>
        </w:rPr>
        <w:t xml:space="preserve"> على مستوى المناطق</w:t>
      </w:r>
      <w:r w:rsidRPr="0068209D">
        <w:rPr>
          <w:rtl/>
        </w:rPr>
        <w:t>.</w:t>
      </w:r>
    </w:p>
    <w:p w14:paraId="507A2C76" w14:textId="77777777" w:rsidR="00C815DB" w:rsidRPr="0068209D" w:rsidRDefault="00C815DB" w:rsidP="00C60B7B">
      <w:pPr>
        <w:pStyle w:val="H23GA"/>
        <w:rPr>
          <w:lang w:eastAsia="zh-TW" w:bidi="en-GB"/>
        </w:rPr>
      </w:pPr>
      <w:bookmarkStart w:id="38" w:name="_Toc32364300"/>
      <w:r w:rsidRPr="0068209D">
        <w:rPr>
          <w:rtl/>
        </w:rPr>
        <w:tab/>
      </w:r>
      <w:r w:rsidRPr="0068209D">
        <w:rPr>
          <w:rtl/>
        </w:rPr>
        <w:tab/>
        <w:t>الهيئة الاستشارية لشؤون اللغات</w:t>
      </w:r>
      <w:bookmarkEnd w:id="38"/>
    </w:p>
    <w:p w14:paraId="7A08944A" w14:textId="2B191A86" w:rsidR="00C815DB" w:rsidRPr="0068209D" w:rsidRDefault="00C815DB" w:rsidP="00C60B7B">
      <w:pPr>
        <w:pStyle w:val="SingleTxtGA"/>
        <w:rPr>
          <w:lang w:eastAsia="zh-TW" w:bidi="en-GB"/>
        </w:rPr>
      </w:pPr>
      <w:r w:rsidRPr="005C19F0">
        <w:rPr>
          <w:szCs w:val="20"/>
          <w:rtl/>
        </w:rPr>
        <w:t>146</w:t>
      </w:r>
      <w:r w:rsidRPr="00EF3655">
        <w:rPr>
          <w:rtl/>
        </w:rPr>
        <w:t>-</w:t>
      </w:r>
      <w:r w:rsidRPr="0068209D">
        <w:rPr>
          <w:rtl/>
        </w:rPr>
        <w:tab/>
        <w:t>ينص المرسوم الحكومي المتعلق بتنفيذ قانون اللغة</w:t>
      </w:r>
      <w:r>
        <w:rPr>
          <w:rtl/>
        </w:rPr>
        <w:t xml:space="preserve"> </w:t>
      </w:r>
      <w:r w:rsidRPr="00794E95">
        <w:rPr>
          <w:rtl/>
        </w:rPr>
        <w:t>(</w:t>
      </w:r>
      <w:r w:rsidRPr="005C19F0">
        <w:rPr>
          <w:szCs w:val="20"/>
          <w:rtl/>
        </w:rPr>
        <w:t>433</w:t>
      </w:r>
      <w:r>
        <w:rPr>
          <w:rtl/>
        </w:rPr>
        <w:t>/</w:t>
      </w:r>
      <w:r w:rsidRPr="005C19F0">
        <w:rPr>
          <w:szCs w:val="20"/>
          <w:rtl/>
        </w:rPr>
        <w:t>2004</w:t>
      </w:r>
      <w:r w:rsidRPr="00794E95">
        <w:rPr>
          <w:rtl/>
        </w:rPr>
        <w:t>)</w:t>
      </w:r>
      <w:r>
        <w:rPr>
          <w:rtl/>
        </w:rPr>
        <w:t xml:space="preserve"> </w:t>
      </w:r>
      <w:r w:rsidRPr="0068209D">
        <w:rPr>
          <w:rtl/>
        </w:rPr>
        <w:t xml:space="preserve">على أحكام بشأن الهيئة الاستشارية لشؤون اللغات، وهي هيئة خبراء تعمل بالتعاون مع وزارة العدل وتمثل فئات مختلفة من المجتمع. وهي </w:t>
      </w:r>
      <w:r w:rsidR="00C74C59">
        <w:rPr>
          <w:rtl/>
        </w:rPr>
        <w:t>أيضاً</w:t>
      </w:r>
      <w:r w:rsidRPr="0068209D">
        <w:rPr>
          <w:rtl/>
        </w:rPr>
        <w:t xml:space="preserve"> هيئة مكلفة برصد تنفيذ قانون اللغة والتشريعات ذات الصلة وتطبيقه، و</w:t>
      </w:r>
      <w:r>
        <w:rPr>
          <w:rtl/>
        </w:rPr>
        <w:t>ب</w:t>
      </w:r>
      <w:r w:rsidRPr="0068209D">
        <w:rPr>
          <w:rtl/>
        </w:rPr>
        <w:t>تهيئة الظروف اللغوية. وتعي</w:t>
      </w:r>
      <w:r>
        <w:rPr>
          <w:rtl/>
        </w:rPr>
        <w:t>ّ</w:t>
      </w:r>
      <w:r w:rsidRPr="0068209D">
        <w:rPr>
          <w:rtl/>
        </w:rPr>
        <w:t>نها الحكومة لمدة أربع سنوات في المرة الواحدة. وتمتد الفترة الحالية لولاية الهيئة من</w:t>
      </w:r>
      <w:r w:rsidR="00C644F4">
        <w:rPr>
          <w:rFonts w:hint="cs"/>
          <w:rtl/>
        </w:rPr>
        <w:t> </w:t>
      </w:r>
      <w:r w:rsidRPr="005C19F0">
        <w:rPr>
          <w:szCs w:val="20"/>
          <w:rtl/>
        </w:rPr>
        <w:t>1</w:t>
      </w:r>
      <w:r w:rsidRPr="0068209D">
        <w:rPr>
          <w:rtl/>
        </w:rPr>
        <w:t xml:space="preserve"> </w:t>
      </w:r>
      <w:r>
        <w:rPr>
          <w:rtl/>
        </w:rPr>
        <w:t>نيسان/</w:t>
      </w:r>
      <w:r w:rsidRPr="0068209D">
        <w:rPr>
          <w:rtl/>
        </w:rPr>
        <w:t xml:space="preserve">أبريل </w:t>
      </w:r>
      <w:r w:rsidRPr="005C19F0">
        <w:rPr>
          <w:szCs w:val="20"/>
          <w:rtl/>
        </w:rPr>
        <w:t>2016</w:t>
      </w:r>
      <w:r w:rsidRPr="0068209D">
        <w:rPr>
          <w:rtl/>
        </w:rPr>
        <w:t xml:space="preserve"> إلى </w:t>
      </w:r>
      <w:r w:rsidRPr="005C19F0">
        <w:rPr>
          <w:szCs w:val="20"/>
          <w:rtl/>
        </w:rPr>
        <w:t>31</w:t>
      </w:r>
      <w:r w:rsidRPr="0068209D">
        <w:rPr>
          <w:rtl/>
        </w:rPr>
        <w:t xml:space="preserve"> </w:t>
      </w:r>
      <w:r>
        <w:rPr>
          <w:rtl/>
        </w:rPr>
        <w:t>آذار/</w:t>
      </w:r>
      <w:r w:rsidRPr="0068209D">
        <w:rPr>
          <w:rtl/>
        </w:rPr>
        <w:t xml:space="preserve">مارس </w:t>
      </w:r>
      <w:r w:rsidRPr="005C19F0">
        <w:rPr>
          <w:szCs w:val="20"/>
          <w:rtl/>
        </w:rPr>
        <w:t>2020</w:t>
      </w:r>
      <w:r w:rsidRPr="0068209D">
        <w:rPr>
          <w:rFonts w:ascii="Traditional Arabic"/>
          <w:rtl/>
        </w:rPr>
        <w:t>.</w:t>
      </w:r>
      <w:r w:rsidRPr="0068209D">
        <w:rPr>
          <w:rtl/>
        </w:rPr>
        <w:t xml:space="preserve"> </w:t>
      </w:r>
    </w:p>
    <w:p w14:paraId="362DCA87" w14:textId="77777777" w:rsidR="00C815DB" w:rsidRPr="00CE576D" w:rsidRDefault="00C815DB" w:rsidP="00C60B7B">
      <w:pPr>
        <w:pStyle w:val="SingleTxtGA"/>
        <w:rPr>
          <w:lang w:eastAsia="zh-TW" w:bidi="en-GB"/>
        </w:rPr>
      </w:pPr>
      <w:r w:rsidRPr="005C19F0">
        <w:rPr>
          <w:szCs w:val="20"/>
          <w:rtl/>
        </w:rPr>
        <w:lastRenderedPageBreak/>
        <w:t>147</w:t>
      </w:r>
      <w:r w:rsidRPr="00EF3655">
        <w:rPr>
          <w:rtl/>
        </w:rPr>
        <w:t>-</w:t>
      </w:r>
      <w:r w:rsidRPr="0068209D">
        <w:rPr>
          <w:rtl/>
        </w:rPr>
        <w:tab/>
        <w:t>وفيما يلي مهام الهيئة</w:t>
      </w:r>
      <w:r w:rsidRPr="00BB79C1">
        <w:rPr>
          <w:rtl/>
        </w:rPr>
        <w:t>:</w:t>
      </w:r>
    </w:p>
    <w:p w14:paraId="15BF6966" w14:textId="3F134CE9" w:rsidR="00C815DB" w:rsidRPr="0068209D" w:rsidRDefault="00C815DB" w:rsidP="00C60B7B">
      <w:pPr>
        <w:pStyle w:val="Bullet1GA"/>
        <w:bidi/>
        <w:rPr>
          <w:lang w:val="ar-SA" w:eastAsia="zh-TW" w:bidi="en-GB"/>
        </w:rPr>
      </w:pPr>
      <w:r w:rsidRPr="0068209D">
        <w:rPr>
          <w:rtl/>
        </w:rPr>
        <w:t>تنظيم مشاورات سنوية</w:t>
      </w:r>
      <w:r w:rsidR="00507B18">
        <w:rPr>
          <w:rtl/>
        </w:rPr>
        <w:t xml:space="preserve"> </w:t>
      </w:r>
      <w:r>
        <w:rPr>
          <w:rtl/>
          <w:lang w:val="fr-CH" w:bidi="ar-DZ"/>
        </w:rPr>
        <w:t xml:space="preserve">في شؤون </w:t>
      </w:r>
      <w:r w:rsidRPr="0068209D">
        <w:rPr>
          <w:rtl/>
        </w:rPr>
        <w:t>اللغات لتعزيز الحوار بين الحكومة والمجموعات اللغوية؛</w:t>
      </w:r>
    </w:p>
    <w:p w14:paraId="6B3B250D" w14:textId="77777777" w:rsidR="00C815DB" w:rsidRPr="0068209D" w:rsidRDefault="00C815DB" w:rsidP="00C60B7B">
      <w:pPr>
        <w:pStyle w:val="Bullet1GA"/>
        <w:bidi/>
        <w:rPr>
          <w:lang w:val="ar-SA" w:eastAsia="zh-TW" w:bidi="en-GB"/>
        </w:rPr>
      </w:pPr>
      <w:r w:rsidRPr="0068209D">
        <w:rPr>
          <w:rtl/>
        </w:rPr>
        <w:t>مساعدة وزارة العدل على إعداد تقرير الحكومة عن تطبيق التشريعات اللغوية التي تقدم إلى البرلمان؛</w:t>
      </w:r>
    </w:p>
    <w:p w14:paraId="57094A00" w14:textId="77777777" w:rsidR="00C815DB" w:rsidRPr="0068209D" w:rsidRDefault="00C815DB" w:rsidP="00C60B7B">
      <w:pPr>
        <w:pStyle w:val="Bullet1GA"/>
        <w:bidi/>
        <w:rPr>
          <w:lang w:val="ar-SA" w:eastAsia="zh-TW" w:bidi="en-GB"/>
        </w:rPr>
      </w:pPr>
      <w:r w:rsidRPr="0068209D">
        <w:rPr>
          <w:rtl/>
        </w:rPr>
        <w:t xml:space="preserve">رصد الإصلاحات التي تؤثر </w:t>
      </w:r>
      <w:r>
        <w:rPr>
          <w:rtl/>
        </w:rPr>
        <w:t>في</w:t>
      </w:r>
      <w:r w:rsidRPr="0068209D">
        <w:rPr>
          <w:rtl/>
        </w:rPr>
        <w:t xml:space="preserve"> الظروف اللغوية وإعمال الحقوق اللغوية.</w:t>
      </w:r>
    </w:p>
    <w:p w14:paraId="1A68B998" w14:textId="77777777" w:rsidR="00C815DB" w:rsidRPr="0068209D" w:rsidRDefault="00C815DB" w:rsidP="00C60B7B">
      <w:pPr>
        <w:pStyle w:val="H23GA"/>
        <w:rPr>
          <w:lang w:eastAsia="zh-TW" w:bidi="en-GB"/>
        </w:rPr>
      </w:pPr>
      <w:bookmarkStart w:id="39" w:name="_Toc32364301"/>
      <w:r w:rsidRPr="0068209D">
        <w:rPr>
          <w:rtl/>
        </w:rPr>
        <w:tab/>
      </w:r>
      <w:r w:rsidRPr="0068209D">
        <w:rPr>
          <w:rtl/>
        </w:rPr>
        <w:tab/>
        <w:t xml:space="preserve">هيئة </w:t>
      </w:r>
      <w:r>
        <w:rPr>
          <w:rtl/>
        </w:rPr>
        <w:t>المساواة و</w:t>
      </w:r>
      <w:r w:rsidRPr="0068209D">
        <w:rPr>
          <w:rtl/>
        </w:rPr>
        <w:t>عدم التمييز</w:t>
      </w:r>
      <w:bookmarkEnd w:id="39"/>
    </w:p>
    <w:p w14:paraId="3EA4BCA8" w14:textId="1A5ECD83" w:rsidR="00C815DB" w:rsidRPr="0068209D" w:rsidRDefault="00C815DB" w:rsidP="00C60B7B">
      <w:pPr>
        <w:pStyle w:val="SingleTxtGA"/>
        <w:rPr>
          <w:lang w:val="ar-SA" w:eastAsia="zh-TW" w:bidi="en-GB"/>
        </w:rPr>
      </w:pPr>
      <w:r w:rsidRPr="005C19F0">
        <w:rPr>
          <w:szCs w:val="20"/>
          <w:rtl/>
        </w:rPr>
        <w:t>148</w:t>
      </w:r>
      <w:r w:rsidRPr="00EF3655">
        <w:rPr>
          <w:rtl/>
        </w:rPr>
        <w:t>-</w:t>
      </w:r>
      <w:r w:rsidRPr="0068209D">
        <w:rPr>
          <w:rtl/>
        </w:rPr>
        <w:tab/>
        <w:t xml:space="preserve">هيئة </w:t>
      </w:r>
      <w:r>
        <w:rPr>
          <w:rtl/>
        </w:rPr>
        <w:t>المساواة و</w:t>
      </w:r>
      <w:r w:rsidRPr="0068209D">
        <w:rPr>
          <w:rtl/>
        </w:rPr>
        <w:t xml:space="preserve">عدم التمييز هيئة مستقلة </w:t>
      </w:r>
      <w:r>
        <w:rPr>
          <w:rtl/>
        </w:rPr>
        <w:t xml:space="preserve">وقائمة بذاتها </w:t>
      </w:r>
      <w:r w:rsidRPr="0068209D">
        <w:rPr>
          <w:rtl/>
        </w:rPr>
        <w:t>تتعاون مع مكتب أمين المظالم المعني بعدم التمييز</w:t>
      </w:r>
      <w:r>
        <w:rPr>
          <w:rtl/>
        </w:rPr>
        <w:t>،</w:t>
      </w:r>
      <w:r w:rsidRPr="0068209D">
        <w:rPr>
          <w:rtl/>
        </w:rPr>
        <w:t xml:space="preserve"> وتقدم الدعم لأمين المظالم الذي يرأس الهيئة </w:t>
      </w:r>
      <w:r w:rsidR="00C74C59">
        <w:rPr>
          <w:rtl/>
        </w:rPr>
        <w:t>أيضاً</w:t>
      </w:r>
      <w:r w:rsidRPr="0068209D">
        <w:rPr>
          <w:rtl/>
        </w:rPr>
        <w:t xml:space="preserve"> ويتولى تخطيط أنشطتها. وتعينها الحكومة لمدة ثلاث سنوات في المرة الواحدة. وبدأت أول هيئة ل</w:t>
      </w:r>
      <w:r>
        <w:rPr>
          <w:rtl/>
        </w:rPr>
        <w:t>لمساواة و</w:t>
      </w:r>
      <w:r w:rsidRPr="0068209D">
        <w:rPr>
          <w:rtl/>
        </w:rPr>
        <w:t xml:space="preserve">عدم التمييز أنشطتها في </w:t>
      </w:r>
      <w:r w:rsidRPr="005C19F0">
        <w:rPr>
          <w:szCs w:val="20"/>
          <w:rtl/>
        </w:rPr>
        <w:t>15</w:t>
      </w:r>
      <w:r w:rsidRPr="0068209D">
        <w:rPr>
          <w:rtl/>
        </w:rPr>
        <w:t xml:space="preserve"> تشرين الأول/أكتوبر </w:t>
      </w:r>
      <w:r w:rsidRPr="005C19F0">
        <w:rPr>
          <w:szCs w:val="20"/>
          <w:rtl/>
        </w:rPr>
        <w:t>2016</w:t>
      </w:r>
      <w:r w:rsidRPr="0068209D">
        <w:rPr>
          <w:rFonts w:ascii="Traditional Arabic"/>
          <w:rtl/>
        </w:rPr>
        <w:t>.</w:t>
      </w:r>
      <w:r w:rsidRPr="0068209D">
        <w:rPr>
          <w:rtl/>
        </w:rPr>
        <w:t xml:space="preserve"> و</w:t>
      </w:r>
      <w:r>
        <w:rPr>
          <w:rtl/>
        </w:rPr>
        <w:t xml:space="preserve">من بين </w:t>
      </w:r>
      <w:r w:rsidRPr="0068209D">
        <w:rPr>
          <w:rtl/>
        </w:rPr>
        <w:t>أعضاء الهيئة جهات فاعلة في المجتمع المدني وسلطات تؤدي دورا</w:t>
      </w:r>
      <w:r w:rsidR="00D150CB">
        <w:rPr>
          <w:rFonts w:hint="cs"/>
          <w:rtl/>
        </w:rPr>
        <w:t>ً</w:t>
      </w:r>
      <w:r w:rsidRPr="0068209D">
        <w:rPr>
          <w:rtl/>
        </w:rPr>
        <w:t xml:space="preserve"> محوريا في منع التمييز.</w:t>
      </w:r>
    </w:p>
    <w:p w14:paraId="50E65AF6" w14:textId="1C7DBFB9" w:rsidR="00C815DB" w:rsidRPr="0068209D" w:rsidRDefault="00C815DB" w:rsidP="00C60B7B">
      <w:pPr>
        <w:pStyle w:val="SingleTxtGA"/>
        <w:rPr>
          <w:lang w:val="ar-SA" w:eastAsia="zh-TW" w:bidi="en-GB"/>
        </w:rPr>
      </w:pPr>
      <w:r w:rsidRPr="005C19F0">
        <w:rPr>
          <w:szCs w:val="20"/>
          <w:rtl/>
        </w:rPr>
        <w:t>149</w:t>
      </w:r>
      <w:r w:rsidRPr="00EF3655">
        <w:rPr>
          <w:rtl/>
        </w:rPr>
        <w:t>-</w:t>
      </w:r>
      <w:r w:rsidRPr="0068209D">
        <w:rPr>
          <w:rtl/>
        </w:rPr>
        <w:tab/>
        <w:t xml:space="preserve">وتتمثل مهام الهيئة في تعزيز </w:t>
      </w:r>
      <w:r>
        <w:rPr>
          <w:rtl/>
        </w:rPr>
        <w:t>المساواة و</w:t>
      </w:r>
      <w:r w:rsidRPr="0068209D">
        <w:rPr>
          <w:rtl/>
        </w:rPr>
        <w:t>عدم التمييز عموما</w:t>
      </w:r>
      <w:r w:rsidR="00D150CB">
        <w:rPr>
          <w:rFonts w:hint="cs"/>
          <w:rtl/>
        </w:rPr>
        <w:t>ً</w:t>
      </w:r>
      <w:r w:rsidRPr="0068209D">
        <w:rPr>
          <w:rtl/>
        </w:rPr>
        <w:t>، والعمل قناةً للحوار وتبادل المعلومات بين الجهات الفاعلة والسلطات التي تؤدي دو</w:t>
      </w:r>
      <w:r w:rsidR="00D150CB">
        <w:rPr>
          <w:rtl/>
        </w:rPr>
        <w:t xml:space="preserve">راً </w:t>
      </w:r>
      <w:r w:rsidRPr="0068209D">
        <w:rPr>
          <w:rtl/>
        </w:rPr>
        <w:t>محوريا</w:t>
      </w:r>
      <w:r w:rsidR="00D150CB">
        <w:rPr>
          <w:rFonts w:hint="cs"/>
          <w:rtl/>
        </w:rPr>
        <w:t>ً</w:t>
      </w:r>
      <w:r w:rsidRPr="0068209D">
        <w:rPr>
          <w:rtl/>
        </w:rPr>
        <w:t xml:space="preserve"> في منع التمييز، والنظر</w:t>
      </w:r>
      <w:r>
        <w:rPr>
          <w:rtl/>
        </w:rPr>
        <w:t>ِ</w:t>
      </w:r>
      <w:r w:rsidRPr="0068209D">
        <w:rPr>
          <w:rtl/>
        </w:rPr>
        <w:t xml:space="preserve"> في المسائل المت</w:t>
      </w:r>
      <w:r>
        <w:rPr>
          <w:rtl/>
        </w:rPr>
        <w:t>صل</w:t>
      </w:r>
      <w:r w:rsidRPr="0068209D">
        <w:rPr>
          <w:rtl/>
        </w:rPr>
        <w:t>ة بعدم التمييز والمساواة. وتهدف أنشطة الهيئة إلى تعزيز قدرات أمين المظالم المعني بعدم التمييز من خلال تحسين تبادل المعلومات والنظر في قضايا الساعة الم</w:t>
      </w:r>
      <w:r>
        <w:rPr>
          <w:rtl/>
        </w:rPr>
        <w:t>رتبط</w:t>
      </w:r>
      <w:r w:rsidRPr="0068209D">
        <w:rPr>
          <w:rtl/>
        </w:rPr>
        <w:t>ة ب</w:t>
      </w:r>
      <w:r>
        <w:rPr>
          <w:rtl/>
        </w:rPr>
        <w:t>المساواة و</w:t>
      </w:r>
      <w:r w:rsidRPr="0068209D">
        <w:rPr>
          <w:rtl/>
        </w:rPr>
        <w:t>عدم التمييز. وتمكّن الهيئة الجهات الفاعلة في المجتمع المدني التي تؤدي دورا</w:t>
      </w:r>
      <w:r w:rsidR="00D150CB">
        <w:rPr>
          <w:rFonts w:hint="cs"/>
          <w:rtl/>
        </w:rPr>
        <w:t>ً</w:t>
      </w:r>
      <w:r w:rsidRPr="0068209D">
        <w:rPr>
          <w:rtl/>
        </w:rPr>
        <w:t xml:space="preserve"> محوريا</w:t>
      </w:r>
      <w:r w:rsidR="00D150CB">
        <w:rPr>
          <w:rFonts w:hint="cs"/>
          <w:rtl/>
        </w:rPr>
        <w:t>ً</w:t>
      </w:r>
      <w:r w:rsidRPr="0068209D">
        <w:rPr>
          <w:rtl/>
        </w:rPr>
        <w:t xml:space="preserve"> في منع التمييز من </w:t>
      </w:r>
      <w:r>
        <w:rPr>
          <w:rtl/>
        </w:rPr>
        <w:t>عرض</w:t>
      </w:r>
      <w:r w:rsidRPr="0068209D">
        <w:rPr>
          <w:rtl/>
        </w:rPr>
        <w:t xml:space="preserve"> ملاحظاتها واستنتاجاتها. وتشمل مسؤوليات الهيئة التمييز لأي سبب من أسباب التمييز المذكورة في قانون عدم التمييز </w:t>
      </w:r>
      <w:r w:rsidRPr="00794E95">
        <w:rPr>
          <w:rtl/>
        </w:rPr>
        <w:t>(</w:t>
      </w:r>
      <w:r w:rsidRPr="005C19F0">
        <w:rPr>
          <w:szCs w:val="20"/>
        </w:rPr>
        <w:t>2014</w:t>
      </w:r>
      <w:r w:rsidRPr="0068209D">
        <w:rPr>
          <w:rFonts w:ascii="Traditional Arabic"/>
        </w:rPr>
        <w:t>/</w:t>
      </w:r>
      <w:r w:rsidRPr="005C19F0">
        <w:rPr>
          <w:szCs w:val="20"/>
        </w:rPr>
        <w:t>1325</w:t>
      </w:r>
      <w:r w:rsidRPr="00794E95">
        <w:rPr>
          <w:rtl/>
        </w:rPr>
        <w:t>)</w:t>
      </w:r>
      <w:r w:rsidRPr="0068209D">
        <w:rPr>
          <w:rtl/>
        </w:rPr>
        <w:t>. ويقع التمييز على أساس الجنس والهوية الجنسانية ضمن اختصاص مجلس المساواة بين الجنسين.</w:t>
      </w:r>
    </w:p>
    <w:p w14:paraId="303C78B8" w14:textId="77777777" w:rsidR="00C815DB" w:rsidRPr="0068209D" w:rsidRDefault="00C815DB" w:rsidP="00C60B7B">
      <w:pPr>
        <w:pStyle w:val="H23GA"/>
        <w:rPr>
          <w:lang w:eastAsia="zh-TW" w:bidi="en-GB"/>
        </w:rPr>
      </w:pPr>
      <w:bookmarkStart w:id="40" w:name="_Toc32364302"/>
      <w:r w:rsidRPr="0068209D">
        <w:rPr>
          <w:rtl/>
        </w:rPr>
        <w:tab/>
      </w:r>
      <w:r w:rsidRPr="0068209D">
        <w:rPr>
          <w:rtl/>
        </w:rPr>
        <w:tab/>
        <w:t>مجلس المساواة بين الجنسين</w:t>
      </w:r>
      <w:bookmarkEnd w:id="40"/>
    </w:p>
    <w:p w14:paraId="1AEFED28" w14:textId="77777777" w:rsidR="00C815DB" w:rsidRPr="00C726A7" w:rsidRDefault="00C815DB" w:rsidP="00C60B7B">
      <w:pPr>
        <w:pStyle w:val="SingleTxtGA"/>
        <w:rPr>
          <w:lang w:eastAsia="zh-TW" w:bidi="en-GB"/>
        </w:rPr>
      </w:pPr>
      <w:r w:rsidRPr="005C19F0">
        <w:rPr>
          <w:szCs w:val="20"/>
          <w:rtl/>
        </w:rPr>
        <w:t>150</w:t>
      </w:r>
      <w:r w:rsidRPr="00EF3655">
        <w:rPr>
          <w:rtl/>
        </w:rPr>
        <w:t>-</w:t>
      </w:r>
      <w:r w:rsidRPr="0068209D">
        <w:rPr>
          <w:rtl/>
        </w:rPr>
        <w:tab/>
        <w:t>مجلس المساواة بين الجنسين لجنة برلمانية تعينها الحكومة لفترة ولاية البرلمان. وللمجلس صفة استشارية في الحكومة المركزية. وتعيّن الأحزاب السياسية الممثلة في البرلمان أعضاء المجلس، في حين تعيّن منظمات المجتمع المدني أعضاء المجلس الاستشاريين. ويتعاون المجلس مع وزارة الشؤون الاجتماعية والصحة، ويتكون فريق عمله من أمين</w:t>
      </w:r>
      <w:r w:rsidRPr="00794E95">
        <w:rPr>
          <w:rtl/>
        </w:rPr>
        <w:t>(</w:t>
      </w:r>
      <w:r>
        <w:rPr>
          <w:rtl/>
        </w:rPr>
        <w:t>ة</w:t>
      </w:r>
      <w:r w:rsidRPr="00794E95">
        <w:rPr>
          <w:rtl/>
        </w:rPr>
        <w:t>)</w:t>
      </w:r>
      <w:r w:rsidRPr="0068209D">
        <w:rPr>
          <w:rtl/>
        </w:rPr>
        <w:t xml:space="preserve"> عام</w:t>
      </w:r>
      <w:r w:rsidRPr="00794E95">
        <w:rPr>
          <w:rtl/>
        </w:rPr>
        <w:t>(</w:t>
      </w:r>
      <w:r>
        <w:rPr>
          <w:rtl/>
        </w:rPr>
        <w:t>ة</w:t>
      </w:r>
      <w:r w:rsidRPr="00794E95">
        <w:rPr>
          <w:rtl/>
        </w:rPr>
        <w:t>)</w:t>
      </w:r>
      <w:r w:rsidRPr="0068209D">
        <w:rPr>
          <w:rtl/>
        </w:rPr>
        <w:t xml:space="preserve"> وموظف</w:t>
      </w:r>
      <w:r w:rsidRPr="00794E95">
        <w:rPr>
          <w:rtl/>
        </w:rPr>
        <w:t>(</w:t>
      </w:r>
      <w:r>
        <w:rPr>
          <w:rtl/>
        </w:rPr>
        <w:t>ة</w:t>
      </w:r>
      <w:r w:rsidRPr="00794E95">
        <w:rPr>
          <w:rtl/>
        </w:rPr>
        <w:t>)</w:t>
      </w:r>
      <w:r w:rsidRPr="0068209D">
        <w:rPr>
          <w:rtl/>
        </w:rPr>
        <w:t xml:space="preserve"> تخطيط وأمين</w:t>
      </w:r>
      <w:r w:rsidRPr="00794E95">
        <w:rPr>
          <w:rtl/>
        </w:rPr>
        <w:t>(</w:t>
      </w:r>
      <w:r>
        <w:rPr>
          <w:rtl/>
        </w:rPr>
        <w:t>ة</w:t>
      </w:r>
      <w:r w:rsidRPr="00794E95">
        <w:rPr>
          <w:rtl/>
        </w:rPr>
        <w:t>)</w:t>
      </w:r>
      <w:r w:rsidRPr="0068209D">
        <w:rPr>
          <w:rtl/>
        </w:rPr>
        <w:t xml:space="preserve"> إدارة.</w:t>
      </w:r>
    </w:p>
    <w:p w14:paraId="0169E7DC" w14:textId="77777777" w:rsidR="00C815DB" w:rsidRPr="0068209D" w:rsidRDefault="00C815DB" w:rsidP="00C60B7B">
      <w:pPr>
        <w:pStyle w:val="SingleTxtGA"/>
        <w:rPr>
          <w:lang w:val="ar-SA" w:eastAsia="zh-TW" w:bidi="en-GB"/>
        </w:rPr>
      </w:pPr>
      <w:r w:rsidRPr="005C19F0">
        <w:rPr>
          <w:szCs w:val="20"/>
          <w:rtl/>
        </w:rPr>
        <w:t>151</w:t>
      </w:r>
      <w:r w:rsidRPr="00EF3655">
        <w:rPr>
          <w:rtl/>
        </w:rPr>
        <w:t>-</w:t>
      </w:r>
      <w:r w:rsidRPr="0068209D">
        <w:rPr>
          <w:rtl/>
        </w:rPr>
        <w:tab/>
        <w:t>ويصوغ المجلس مبادرات ومقترحات ويقدم بيانات لوضع تشريعات وتدابير أخرى تؤثر في المساواة بين الجنسين. ويتعاون مع السلطات ومنظمات المجتمع المدني وهيئات أخرى، ويشجع البحوث المتعلقة بالمساواة بين الجنسين واستخدام النتائج ذات الصلة، ويرصد التطورات في المسائل الم</w:t>
      </w:r>
      <w:r>
        <w:rPr>
          <w:rtl/>
        </w:rPr>
        <w:t>رتبط</w:t>
      </w:r>
      <w:r w:rsidRPr="0068209D">
        <w:rPr>
          <w:rtl/>
        </w:rPr>
        <w:t xml:space="preserve">ة بالمساواة بين الجنسين </w:t>
      </w:r>
      <w:r>
        <w:rPr>
          <w:rtl/>
        </w:rPr>
        <w:t xml:space="preserve">في </w:t>
      </w:r>
      <w:r w:rsidRPr="0068209D">
        <w:rPr>
          <w:rtl/>
        </w:rPr>
        <w:t>الساحة الدولية.</w:t>
      </w:r>
    </w:p>
    <w:p w14:paraId="56F08B9B" w14:textId="77777777" w:rsidR="00C815DB" w:rsidRPr="0068209D" w:rsidRDefault="00C815DB" w:rsidP="00C60B7B">
      <w:pPr>
        <w:pStyle w:val="H23GA"/>
        <w:rPr>
          <w:lang w:eastAsia="zh-TW" w:bidi="en-GB"/>
        </w:rPr>
      </w:pPr>
      <w:bookmarkStart w:id="41" w:name="_Toc32364303"/>
      <w:r w:rsidRPr="0068209D">
        <w:rPr>
          <w:rtl/>
        </w:rPr>
        <w:tab/>
      </w:r>
      <w:r w:rsidRPr="0068209D">
        <w:rPr>
          <w:rtl/>
        </w:rPr>
        <w:tab/>
        <w:t>المجلس الاستشاري الوطني لشؤون الروما</w:t>
      </w:r>
      <w:bookmarkEnd w:id="41"/>
    </w:p>
    <w:p w14:paraId="6528AB59" w14:textId="0C030BCE" w:rsidR="00C815DB" w:rsidRPr="0068209D" w:rsidRDefault="00C815DB" w:rsidP="00C60B7B">
      <w:pPr>
        <w:pStyle w:val="SingleTxtGA"/>
        <w:rPr>
          <w:rFonts w:eastAsia="Calibri"/>
          <w:lang w:eastAsia="zh-TW" w:bidi="en-GB"/>
        </w:rPr>
      </w:pPr>
      <w:r w:rsidRPr="005C19F0">
        <w:rPr>
          <w:szCs w:val="20"/>
          <w:rtl/>
        </w:rPr>
        <w:t>152</w:t>
      </w:r>
      <w:r w:rsidRPr="00EF3655">
        <w:rPr>
          <w:rtl/>
        </w:rPr>
        <w:t>-</w:t>
      </w:r>
      <w:r w:rsidRPr="0068209D">
        <w:rPr>
          <w:rtl/>
        </w:rPr>
        <w:tab/>
        <w:t xml:space="preserve">يتعاون المجلس الاستشاري الوطني لشؤون الروما مع وزارة الشؤون الاجتماعية والصحة. وتعين الحكومة المجلس، الذي أنشئ في عام </w:t>
      </w:r>
      <w:r w:rsidRPr="005C19F0">
        <w:rPr>
          <w:szCs w:val="20"/>
          <w:rtl/>
        </w:rPr>
        <w:t>1956</w:t>
      </w:r>
      <w:r w:rsidRPr="0068209D">
        <w:rPr>
          <w:rtl/>
        </w:rPr>
        <w:t>، لمدة ثلاث سنوات في المرة الواحدة. ويتألف المجلس من رئيس</w:t>
      </w:r>
      <w:r w:rsidRPr="00794E95">
        <w:rPr>
          <w:rtl/>
        </w:rPr>
        <w:t>(</w:t>
      </w:r>
      <w:r w:rsidRPr="0068209D">
        <w:rPr>
          <w:rtl/>
        </w:rPr>
        <w:t>ة</w:t>
      </w:r>
      <w:r w:rsidRPr="00794E95">
        <w:rPr>
          <w:rtl/>
        </w:rPr>
        <w:t>)</w:t>
      </w:r>
      <w:r w:rsidRPr="0068209D">
        <w:rPr>
          <w:rtl/>
        </w:rPr>
        <w:t xml:space="preserve"> ونائب</w:t>
      </w:r>
      <w:r w:rsidRPr="00794E95">
        <w:rPr>
          <w:rtl/>
        </w:rPr>
        <w:t>(</w:t>
      </w:r>
      <w:r w:rsidRPr="0068209D">
        <w:rPr>
          <w:rtl/>
        </w:rPr>
        <w:t>ة</w:t>
      </w:r>
      <w:r w:rsidRPr="00794E95">
        <w:rPr>
          <w:rtl/>
        </w:rPr>
        <w:t>)</w:t>
      </w:r>
      <w:r w:rsidRPr="0068209D">
        <w:rPr>
          <w:rtl/>
        </w:rPr>
        <w:t xml:space="preserve"> للرئيس</w:t>
      </w:r>
      <w:r w:rsidRPr="00794E95">
        <w:rPr>
          <w:rtl/>
        </w:rPr>
        <w:t>(</w:t>
      </w:r>
      <w:r w:rsidRPr="0068209D">
        <w:rPr>
          <w:rtl/>
        </w:rPr>
        <w:t>ة</w:t>
      </w:r>
      <w:r w:rsidRPr="00794E95">
        <w:rPr>
          <w:rtl/>
        </w:rPr>
        <w:t>)</w:t>
      </w:r>
      <w:r w:rsidRPr="0068209D">
        <w:rPr>
          <w:rtl/>
        </w:rPr>
        <w:t xml:space="preserve"> و</w:t>
      </w:r>
      <w:r w:rsidRPr="005C19F0">
        <w:rPr>
          <w:szCs w:val="20"/>
          <w:rtl/>
        </w:rPr>
        <w:t>16</w:t>
      </w:r>
      <w:r w:rsidRPr="0068209D">
        <w:rPr>
          <w:rtl/>
        </w:rPr>
        <w:t xml:space="preserve"> عضواً آخر</w:t>
      </w:r>
      <w:r>
        <w:rPr>
          <w:rtl/>
        </w:rPr>
        <w:t>ين على الأكثر</w:t>
      </w:r>
      <w:r w:rsidR="00507B18">
        <w:rPr>
          <w:rtl/>
        </w:rPr>
        <w:t xml:space="preserve">. </w:t>
      </w:r>
      <w:r w:rsidRPr="0068209D">
        <w:rPr>
          <w:rtl/>
        </w:rPr>
        <w:t xml:space="preserve">وبموجب الفقرة </w:t>
      </w:r>
      <w:r w:rsidRPr="005C19F0">
        <w:rPr>
          <w:szCs w:val="20"/>
          <w:rtl/>
        </w:rPr>
        <w:t>3</w:t>
      </w:r>
      <w:r w:rsidRPr="0068209D">
        <w:rPr>
          <w:rtl/>
        </w:rPr>
        <w:t xml:space="preserve"> من المادة </w:t>
      </w:r>
      <w:r w:rsidRPr="005C19F0">
        <w:rPr>
          <w:szCs w:val="20"/>
          <w:rtl/>
        </w:rPr>
        <w:t>3</w:t>
      </w:r>
      <w:r w:rsidRPr="0068209D">
        <w:rPr>
          <w:rtl/>
        </w:rPr>
        <w:t xml:space="preserve"> من المرسوم المتعلق بالمجلس الاستشاري الوطني لشؤون الروما والمجالس الاستشارية الإقليمية لشؤون الروما، </w:t>
      </w:r>
      <w:r w:rsidRPr="0068209D">
        <w:rPr>
          <w:rtl/>
        </w:rPr>
        <w:lastRenderedPageBreak/>
        <w:t>يمثل السكانَ الروما إما رئيس</w:t>
      </w:r>
      <w:r w:rsidRPr="00794E95">
        <w:rPr>
          <w:rtl/>
        </w:rPr>
        <w:t>(</w:t>
      </w:r>
      <w:r w:rsidRPr="0068209D">
        <w:rPr>
          <w:rtl/>
        </w:rPr>
        <w:t>ة</w:t>
      </w:r>
      <w:r w:rsidRPr="00794E95">
        <w:rPr>
          <w:rtl/>
        </w:rPr>
        <w:t>)</w:t>
      </w:r>
      <w:r w:rsidRPr="0068209D">
        <w:rPr>
          <w:rtl/>
        </w:rPr>
        <w:t xml:space="preserve"> المجلس أو نائبه</w:t>
      </w:r>
      <w:r w:rsidRPr="00794E95">
        <w:rPr>
          <w:rtl/>
        </w:rPr>
        <w:t>(</w:t>
      </w:r>
      <w:r w:rsidRPr="0068209D">
        <w:rPr>
          <w:rtl/>
        </w:rPr>
        <w:t>ـا</w:t>
      </w:r>
      <w:r w:rsidRPr="00794E95">
        <w:rPr>
          <w:rtl/>
        </w:rPr>
        <w:t>)</w:t>
      </w:r>
      <w:r w:rsidRPr="0068209D">
        <w:rPr>
          <w:rtl/>
        </w:rPr>
        <w:t>. ويمثل نصف أعضاء المجلس أيضاً السكان</w:t>
      </w:r>
      <w:r>
        <w:rPr>
          <w:rtl/>
        </w:rPr>
        <w:t>َ</w:t>
      </w:r>
      <w:r w:rsidRPr="0068209D">
        <w:rPr>
          <w:rtl/>
        </w:rPr>
        <w:t xml:space="preserve"> الروما، وترش</w:t>
      </w:r>
      <w:r>
        <w:rPr>
          <w:rtl/>
        </w:rPr>
        <w:t>ِّ</w:t>
      </w:r>
      <w:r w:rsidRPr="0068209D">
        <w:rPr>
          <w:rtl/>
        </w:rPr>
        <w:t>حهم أهم منظمات الروما في البلد والمجالس الاستشارية الإقليمية لشؤون الروما. أما أعضاء المجلس الآخرون فيمثلون على الأقل وزارة الشؤون الاجتماعية والصحة، ووزارة التعليم والثقافة، ووزارة الداخلية، ووزارة الاقتصاد والعمالة، ووزارة الخارجية، ووزارة البيئة. ويجوز أيضاً ترشيح عضو من قبل رابطة السلطات المحلية والإقليمية الفنلندية ووكالة التعليم الوطنية الفنلندية. ويرصد المجلس تطور المشاركة الاجتماعية والظروف المعيشية للروما من أجل تعزيز المساواة ويقدم بيانات إلى السلطات ب</w:t>
      </w:r>
      <w:r>
        <w:rPr>
          <w:rtl/>
        </w:rPr>
        <w:t xml:space="preserve">خصوص </w:t>
      </w:r>
      <w:r w:rsidRPr="0068209D">
        <w:rPr>
          <w:rtl/>
        </w:rPr>
        <w:t>شؤون الروما.</w:t>
      </w:r>
    </w:p>
    <w:p w14:paraId="64426C2B" w14:textId="77777777" w:rsidR="00C815DB" w:rsidRPr="0068209D" w:rsidRDefault="00C815DB" w:rsidP="00C60B7B">
      <w:pPr>
        <w:pStyle w:val="SingleTxtGA"/>
        <w:rPr>
          <w:rFonts w:eastAsia="Calibri"/>
          <w:lang w:val="ar-SA" w:eastAsia="zh-TW" w:bidi="en-GB"/>
        </w:rPr>
      </w:pPr>
      <w:r w:rsidRPr="005C19F0">
        <w:rPr>
          <w:szCs w:val="20"/>
          <w:rtl/>
        </w:rPr>
        <w:t>153</w:t>
      </w:r>
      <w:r w:rsidRPr="00EF3655">
        <w:rPr>
          <w:rtl/>
        </w:rPr>
        <w:t>-</w:t>
      </w:r>
      <w:r w:rsidRPr="0068209D">
        <w:rPr>
          <w:rtl/>
        </w:rPr>
        <w:tab/>
        <w:t>وفيما يلي مهام المجلس الاستشاري الوطني لشؤون الروما</w:t>
      </w:r>
      <w:r w:rsidRPr="00BB79C1">
        <w:rPr>
          <w:rtl/>
        </w:rPr>
        <w:t>:</w:t>
      </w:r>
    </w:p>
    <w:p w14:paraId="633C8A9B" w14:textId="77777777" w:rsidR="00C815DB" w:rsidRPr="0068209D" w:rsidRDefault="00C815DB" w:rsidP="00C60B7B">
      <w:pPr>
        <w:pStyle w:val="Bullet1GA"/>
        <w:bidi/>
        <w:rPr>
          <w:lang w:val="ar-SA" w:eastAsia="zh-TW" w:bidi="en-GB"/>
        </w:rPr>
      </w:pPr>
      <w:r w:rsidRPr="0068209D">
        <w:rPr>
          <w:rtl/>
        </w:rPr>
        <w:t>تحسين الوضع الاجتماعي والاقتصادي وتعزيز ثقافة السكان الروما وعمالتهم عن طريق اتخاذ المبادرات وتقديم المقترحات؛</w:t>
      </w:r>
    </w:p>
    <w:p w14:paraId="249E461C" w14:textId="77777777" w:rsidR="00C815DB" w:rsidRPr="0068209D" w:rsidRDefault="00C815DB" w:rsidP="00C60B7B">
      <w:pPr>
        <w:pStyle w:val="Bullet1GA"/>
        <w:bidi/>
        <w:rPr>
          <w:lang w:val="ar-SA" w:eastAsia="zh-TW" w:bidi="en-GB"/>
        </w:rPr>
      </w:pPr>
      <w:r w:rsidRPr="0068209D">
        <w:rPr>
          <w:rtl/>
        </w:rPr>
        <w:t>العمل على القضاء على التمييز؛</w:t>
      </w:r>
    </w:p>
    <w:p w14:paraId="66F465EE" w14:textId="77777777" w:rsidR="00C815DB" w:rsidRPr="0068209D" w:rsidRDefault="00C815DB" w:rsidP="00C60B7B">
      <w:pPr>
        <w:pStyle w:val="Bullet1GA"/>
        <w:bidi/>
        <w:rPr>
          <w:lang w:val="ar-SA" w:eastAsia="zh-TW" w:bidi="en-GB"/>
        </w:rPr>
      </w:pPr>
      <w:r w:rsidRPr="0068209D">
        <w:rPr>
          <w:rtl/>
        </w:rPr>
        <w:t>تعزيز لغة الروما وثقافتهم؛</w:t>
      </w:r>
    </w:p>
    <w:p w14:paraId="48F7396C" w14:textId="77777777" w:rsidR="00C815DB" w:rsidRPr="0068209D" w:rsidRDefault="00C815DB" w:rsidP="00C60B7B">
      <w:pPr>
        <w:pStyle w:val="Bullet1GA"/>
        <w:bidi/>
        <w:rPr>
          <w:lang w:val="ar-SA" w:eastAsia="zh-TW" w:bidi="en-GB"/>
        </w:rPr>
      </w:pPr>
      <w:r w:rsidRPr="0068209D">
        <w:rPr>
          <w:rtl/>
        </w:rPr>
        <w:t>دعم أنشطة المجالس الاستشارية الإقليمية لشؤون الروما؛</w:t>
      </w:r>
    </w:p>
    <w:p w14:paraId="4F62B588" w14:textId="77777777" w:rsidR="00C815DB" w:rsidRPr="0068209D" w:rsidRDefault="00C815DB" w:rsidP="00C60B7B">
      <w:pPr>
        <w:pStyle w:val="Bullet1GA"/>
        <w:bidi/>
        <w:rPr>
          <w:lang w:val="ar-SA" w:eastAsia="zh-TW" w:bidi="en-GB"/>
        </w:rPr>
      </w:pPr>
      <w:r w:rsidRPr="0068209D">
        <w:rPr>
          <w:rtl/>
        </w:rPr>
        <w:t>المشاركة في التعاون بين بلدان الشمال الأوروبي وغيره من أشكال التعاون الدولي من أجل تعزيز حقوق الروما وتحسين ظروفهم.</w:t>
      </w:r>
    </w:p>
    <w:p w14:paraId="18DAFF52" w14:textId="77777777" w:rsidR="00C815DB" w:rsidRPr="0068209D" w:rsidRDefault="00C815DB" w:rsidP="00C60B7B">
      <w:pPr>
        <w:pStyle w:val="H23GA"/>
        <w:rPr>
          <w:lang w:val="ar-SA" w:eastAsia="zh-TW" w:bidi="en-GB"/>
        </w:rPr>
      </w:pPr>
      <w:bookmarkStart w:id="42" w:name="_Toc32364304"/>
      <w:r w:rsidRPr="0068209D">
        <w:rPr>
          <w:rtl/>
        </w:rPr>
        <w:tab/>
      </w:r>
      <w:r w:rsidRPr="0068209D">
        <w:rPr>
          <w:rtl/>
        </w:rPr>
        <w:tab/>
        <w:t>المجلس الاستشاري لسياسات المجتمع المدني</w:t>
      </w:r>
      <w:bookmarkEnd w:id="42"/>
    </w:p>
    <w:p w14:paraId="2481A942" w14:textId="77777777" w:rsidR="00C815DB" w:rsidRPr="0068209D" w:rsidRDefault="00C815DB" w:rsidP="00C60B7B">
      <w:pPr>
        <w:pStyle w:val="SingleTxtGA"/>
        <w:rPr>
          <w:rFonts w:eastAsia="Calibri"/>
          <w:lang w:eastAsia="zh-TW" w:bidi="en-GB"/>
        </w:rPr>
      </w:pPr>
      <w:r w:rsidRPr="005C19F0">
        <w:rPr>
          <w:szCs w:val="20"/>
          <w:rtl/>
        </w:rPr>
        <w:t>154</w:t>
      </w:r>
      <w:r w:rsidRPr="00EF3655">
        <w:rPr>
          <w:rtl/>
        </w:rPr>
        <w:t>-</w:t>
      </w:r>
      <w:r w:rsidRPr="0068209D">
        <w:rPr>
          <w:rtl/>
        </w:rPr>
        <w:tab/>
        <w:t xml:space="preserve">في </w:t>
      </w:r>
      <w:r w:rsidRPr="005C19F0">
        <w:rPr>
          <w:szCs w:val="20"/>
          <w:rtl/>
        </w:rPr>
        <w:t>9</w:t>
      </w:r>
      <w:r w:rsidRPr="0068209D">
        <w:rPr>
          <w:rtl/>
        </w:rPr>
        <w:t xml:space="preserve"> شباط/فبراير </w:t>
      </w:r>
      <w:r w:rsidRPr="005C19F0">
        <w:rPr>
          <w:szCs w:val="20"/>
          <w:rtl/>
        </w:rPr>
        <w:t>2017</w:t>
      </w:r>
      <w:r w:rsidRPr="0068209D">
        <w:rPr>
          <w:rtl/>
        </w:rPr>
        <w:t xml:space="preserve">، عينت الحكومة مجلساً استشارياً جديداً </w:t>
      </w:r>
      <w:r>
        <w:rPr>
          <w:rtl/>
        </w:rPr>
        <w:t>يُعنى ب</w:t>
      </w:r>
      <w:r w:rsidRPr="0068209D">
        <w:rPr>
          <w:rtl/>
        </w:rPr>
        <w:t xml:space="preserve">سياسات المجتمع المدني للفترة </w:t>
      </w:r>
      <w:r w:rsidRPr="005C19F0">
        <w:rPr>
          <w:szCs w:val="20"/>
          <w:rtl/>
        </w:rPr>
        <w:t>2017</w:t>
      </w:r>
      <w:r w:rsidRPr="00EF3655">
        <w:rPr>
          <w:rtl/>
        </w:rPr>
        <w:t>-</w:t>
      </w:r>
      <w:r w:rsidRPr="005C19F0">
        <w:rPr>
          <w:szCs w:val="20"/>
          <w:rtl/>
        </w:rPr>
        <w:t>2021</w:t>
      </w:r>
      <w:r w:rsidRPr="0068209D">
        <w:rPr>
          <w:rFonts w:ascii="Traditional Arabic"/>
          <w:rtl/>
        </w:rPr>
        <w:t>.</w:t>
      </w:r>
      <w:r w:rsidRPr="0068209D">
        <w:rPr>
          <w:rtl/>
        </w:rPr>
        <w:t xml:space="preserve"> ويُعهد إلى المجلس بمهمة توثيق التعاون والتفاعل بين المجتمع المدني والسلطات العامة. وهذه هي فترة عمل المجلس الثالثة.</w:t>
      </w:r>
    </w:p>
    <w:p w14:paraId="1D4712DC" w14:textId="6BD47E90" w:rsidR="00C815DB" w:rsidRPr="0068209D" w:rsidRDefault="00C815DB" w:rsidP="00C60B7B">
      <w:pPr>
        <w:pStyle w:val="SingleTxtGA"/>
        <w:rPr>
          <w:lang w:eastAsia="zh-TW" w:bidi="en-GB"/>
        </w:rPr>
      </w:pPr>
      <w:r w:rsidRPr="005C19F0">
        <w:rPr>
          <w:szCs w:val="20"/>
          <w:rtl/>
        </w:rPr>
        <w:t>155</w:t>
      </w:r>
      <w:r w:rsidRPr="00EF3655">
        <w:rPr>
          <w:rtl/>
        </w:rPr>
        <w:t>-</w:t>
      </w:r>
      <w:r w:rsidRPr="0068209D">
        <w:rPr>
          <w:rtl/>
        </w:rPr>
        <w:tab/>
        <w:t>ويتألف المجلس من رئيس</w:t>
      </w:r>
      <w:r w:rsidRPr="00794E95">
        <w:rPr>
          <w:rtl/>
        </w:rPr>
        <w:t>(</w:t>
      </w:r>
      <w:r w:rsidRPr="0068209D">
        <w:rPr>
          <w:rtl/>
        </w:rPr>
        <w:t>ة</w:t>
      </w:r>
      <w:r w:rsidRPr="00794E95">
        <w:rPr>
          <w:rtl/>
        </w:rPr>
        <w:t>)</w:t>
      </w:r>
      <w:r w:rsidRPr="0068209D">
        <w:rPr>
          <w:rtl/>
        </w:rPr>
        <w:t xml:space="preserve"> ونائب</w:t>
      </w:r>
      <w:r w:rsidRPr="00794E95">
        <w:rPr>
          <w:rtl/>
        </w:rPr>
        <w:t>(</w:t>
      </w:r>
      <w:r w:rsidRPr="0068209D">
        <w:rPr>
          <w:rtl/>
        </w:rPr>
        <w:t>ة</w:t>
      </w:r>
      <w:r w:rsidRPr="00794E95">
        <w:rPr>
          <w:rtl/>
        </w:rPr>
        <w:t>)</w:t>
      </w:r>
      <w:r w:rsidRPr="0068209D">
        <w:rPr>
          <w:rtl/>
        </w:rPr>
        <w:t xml:space="preserve"> رئيس</w:t>
      </w:r>
      <w:r w:rsidRPr="00794E95">
        <w:rPr>
          <w:rtl/>
        </w:rPr>
        <w:t>(</w:t>
      </w:r>
      <w:r w:rsidRPr="0068209D">
        <w:rPr>
          <w:rtl/>
        </w:rPr>
        <w:t>ة</w:t>
      </w:r>
      <w:r w:rsidRPr="00794E95">
        <w:rPr>
          <w:rtl/>
        </w:rPr>
        <w:t>)</w:t>
      </w:r>
      <w:r w:rsidRPr="0068209D">
        <w:rPr>
          <w:rtl/>
        </w:rPr>
        <w:t xml:space="preserve"> وما لا يزيد عن </w:t>
      </w:r>
      <w:r w:rsidRPr="005C19F0">
        <w:rPr>
          <w:szCs w:val="20"/>
          <w:rtl/>
        </w:rPr>
        <w:t>19</w:t>
      </w:r>
      <w:r w:rsidRPr="0068209D">
        <w:rPr>
          <w:rtl/>
        </w:rPr>
        <w:t xml:space="preserve"> عضواً. ولكل عضو نائب</w:t>
      </w:r>
      <w:r w:rsidRPr="00794E95">
        <w:rPr>
          <w:rtl/>
        </w:rPr>
        <w:t>(</w:t>
      </w:r>
      <w:r w:rsidRPr="0068209D">
        <w:rPr>
          <w:rtl/>
        </w:rPr>
        <w:t>ة</w:t>
      </w:r>
      <w:r w:rsidRPr="00794E95">
        <w:rPr>
          <w:rtl/>
        </w:rPr>
        <w:t>)</w:t>
      </w:r>
      <w:r w:rsidRPr="0068209D">
        <w:rPr>
          <w:rtl/>
        </w:rPr>
        <w:t xml:space="preserve"> شخصي</w:t>
      </w:r>
      <w:r w:rsidRPr="00794E95">
        <w:rPr>
          <w:rtl/>
        </w:rPr>
        <w:t>(</w:t>
      </w:r>
      <w:r w:rsidRPr="0068209D">
        <w:rPr>
          <w:rtl/>
        </w:rPr>
        <w:t>ة</w:t>
      </w:r>
      <w:r w:rsidRPr="00794E95">
        <w:rPr>
          <w:rtl/>
        </w:rPr>
        <w:t>)</w:t>
      </w:r>
      <w:r w:rsidRPr="0068209D">
        <w:rPr>
          <w:rtl/>
        </w:rPr>
        <w:t>، باستثناء الرئيس</w:t>
      </w:r>
      <w:r w:rsidRPr="00794E95">
        <w:rPr>
          <w:rtl/>
        </w:rPr>
        <w:t>(</w:t>
      </w:r>
      <w:r w:rsidRPr="0068209D">
        <w:rPr>
          <w:rtl/>
        </w:rPr>
        <w:t>ة</w:t>
      </w:r>
      <w:r w:rsidRPr="00794E95">
        <w:rPr>
          <w:rtl/>
        </w:rPr>
        <w:t>)</w:t>
      </w:r>
      <w:r w:rsidRPr="0068209D">
        <w:rPr>
          <w:rtl/>
        </w:rPr>
        <w:t xml:space="preserve"> ونائب</w:t>
      </w:r>
      <w:r w:rsidRPr="00794E95">
        <w:rPr>
          <w:rtl/>
        </w:rPr>
        <w:t>(</w:t>
      </w:r>
      <w:r w:rsidRPr="0068209D">
        <w:rPr>
          <w:rtl/>
        </w:rPr>
        <w:t>ة</w:t>
      </w:r>
      <w:r w:rsidRPr="00794E95">
        <w:rPr>
          <w:rtl/>
        </w:rPr>
        <w:t>)</w:t>
      </w:r>
      <w:r w:rsidRPr="0068209D">
        <w:rPr>
          <w:rtl/>
        </w:rPr>
        <w:t xml:space="preserve"> الرئيس</w:t>
      </w:r>
      <w:r w:rsidRPr="00794E95">
        <w:rPr>
          <w:rtl/>
        </w:rPr>
        <w:t>(</w:t>
      </w:r>
      <w:r w:rsidRPr="0068209D">
        <w:rPr>
          <w:rtl/>
        </w:rPr>
        <w:t>ة</w:t>
      </w:r>
      <w:r w:rsidRPr="00794E95">
        <w:rPr>
          <w:rtl/>
        </w:rPr>
        <w:t>)</w:t>
      </w:r>
      <w:r w:rsidRPr="0068209D">
        <w:rPr>
          <w:rtl/>
        </w:rPr>
        <w:t>. ويضم المجلس ممثلين عن المجتمع المدني والأوساط البحثية والوزارات والبلديات. والوزارات الممثلة في المجلس هي وزارة الخارجية، ووزارة العدل، ووزارة التعليم والثقافة، ووزارة الداخلية، ووزارة الشؤون الاجتماعية والصحة، ووزارة الشؤون الاقتصادية والعمالة، ووزارة المالية، ووزارة البيئة. و</w:t>
      </w:r>
      <w:r>
        <w:rPr>
          <w:rtl/>
        </w:rPr>
        <w:t xml:space="preserve">يمثل </w:t>
      </w:r>
      <w:r w:rsidRPr="0068209D">
        <w:rPr>
          <w:rtl/>
        </w:rPr>
        <w:t>المجتمع</w:t>
      </w:r>
      <w:r>
        <w:rPr>
          <w:rtl/>
        </w:rPr>
        <w:t>َ</w:t>
      </w:r>
      <w:r w:rsidRPr="0068209D">
        <w:rPr>
          <w:rtl/>
        </w:rPr>
        <w:t xml:space="preserve"> المدني في المجلس أهم ما في البلد من منظمات الرياضة والتمارين الرياضية، ومنظمات </w:t>
      </w:r>
      <w:r>
        <w:rPr>
          <w:rtl/>
        </w:rPr>
        <w:t>الطفولة</w:t>
      </w:r>
      <w:r w:rsidRPr="0068209D">
        <w:rPr>
          <w:rtl/>
        </w:rPr>
        <w:t xml:space="preserve"> والشباب، والمنظمات التعليمية والثقافية، ومنظمات الصحة و</w:t>
      </w:r>
      <w:r>
        <w:rPr>
          <w:rtl/>
        </w:rPr>
        <w:t>الرفاه</w:t>
      </w:r>
      <w:r w:rsidRPr="0068209D">
        <w:rPr>
          <w:rtl/>
        </w:rPr>
        <w:t xml:space="preserve"> الاجتماعي، والمنظمات البيئية والمجتمعية، ومنظمات حقوق الإنسان والمساواة، ومنظمات الأقليات والمهاجرين، ومنظمات المقاولين، وكل منها يرشح عضواً واحداً. ويضم المجلس </w:t>
      </w:r>
      <w:r w:rsidR="00C74C59">
        <w:rPr>
          <w:rtl/>
        </w:rPr>
        <w:t>أيضاً</w:t>
      </w:r>
      <w:r w:rsidRPr="0068209D">
        <w:rPr>
          <w:rtl/>
        </w:rPr>
        <w:t xml:space="preserve"> ممثلاً لأنشطة المشاركة المدنية، والبحوث المتعلقة بالمجتمع المدني، والرابطة الفنلندية للسلطات المحلية والإقليمية.</w:t>
      </w:r>
    </w:p>
    <w:p w14:paraId="4AAB3925" w14:textId="77777777" w:rsidR="00C815DB" w:rsidRPr="0068209D" w:rsidRDefault="00C815DB" w:rsidP="00C60B7B">
      <w:pPr>
        <w:pStyle w:val="SingleTxtGA"/>
        <w:rPr>
          <w:rFonts w:eastAsia="Calibri"/>
          <w:lang w:val="ar-SA" w:eastAsia="zh-TW" w:bidi="en-GB"/>
        </w:rPr>
      </w:pPr>
      <w:r w:rsidRPr="005C19F0">
        <w:rPr>
          <w:szCs w:val="20"/>
          <w:rtl/>
        </w:rPr>
        <w:t>156</w:t>
      </w:r>
      <w:r w:rsidRPr="00EF3655">
        <w:rPr>
          <w:rtl/>
        </w:rPr>
        <w:t>-</w:t>
      </w:r>
      <w:r w:rsidRPr="0068209D">
        <w:rPr>
          <w:rtl/>
        </w:rPr>
        <w:tab/>
        <w:t>وفيما يلي مهام المجلس الاستشاري لسياسات المجتمع المدني</w:t>
      </w:r>
      <w:r w:rsidRPr="00BB79C1">
        <w:rPr>
          <w:rtl/>
        </w:rPr>
        <w:t>:</w:t>
      </w:r>
    </w:p>
    <w:p w14:paraId="25BC1543" w14:textId="77777777" w:rsidR="00C815DB" w:rsidRPr="0068209D" w:rsidRDefault="00C815DB" w:rsidP="00C60B7B">
      <w:pPr>
        <w:pStyle w:val="Bullet1GA"/>
        <w:bidi/>
        <w:rPr>
          <w:lang w:val="ar-SA" w:eastAsia="zh-TW" w:bidi="en-GB"/>
        </w:rPr>
      </w:pPr>
      <w:r w:rsidRPr="0068209D">
        <w:rPr>
          <w:rtl/>
        </w:rPr>
        <w:t>ت</w:t>
      </w:r>
      <w:r>
        <w:rPr>
          <w:rtl/>
        </w:rPr>
        <w:t>دعيم</w:t>
      </w:r>
      <w:r w:rsidRPr="0068209D">
        <w:rPr>
          <w:rtl/>
        </w:rPr>
        <w:t xml:space="preserve"> التعاون والتفاعل بين المجتمع المدني والسلطات؛</w:t>
      </w:r>
    </w:p>
    <w:p w14:paraId="3B88767E" w14:textId="77777777" w:rsidR="00C815DB" w:rsidRPr="0068209D" w:rsidRDefault="00C815DB" w:rsidP="00C60B7B">
      <w:pPr>
        <w:pStyle w:val="Bullet1GA"/>
        <w:bidi/>
        <w:rPr>
          <w:lang w:val="ar-SA" w:eastAsia="zh-TW" w:bidi="en-GB"/>
        </w:rPr>
      </w:pPr>
      <w:r w:rsidRPr="0068209D">
        <w:rPr>
          <w:rtl/>
        </w:rPr>
        <w:t xml:space="preserve">رصد التغيرات في بيئة </w:t>
      </w:r>
      <w:r>
        <w:rPr>
          <w:rtl/>
          <w:lang w:val="fr-CH" w:bidi="ar-DZ"/>
        </w:rPr>
        <w:t>عم</w:t>
      </w:r>
      <w:r w:rsidRPr="0068209D">
        <w:rPr>
          <w:rtl/>
        </w:rPr>
        <w:t xml:space="preserve">ل المجتمع المدني، وكذلك التطورات الدولية والتطورات التي تحدث في الاتحاد الأوروبي </w:t>
      </w:r>
      <w:r>
        <w:rPr>
          <w:rtl/>
        </w:rPr>
        <w:t>ذات الصلة</w:t>
      </w:r>
      <w:r w:rsidRPr="0068209D">
        <w:rPr>
          <w:rtl/>
        </w:rPr>
        <w:t>؛</w:t>
      </w:r>
    </w:p>
    <w:p w14:paraId="7D36A0BA" w14:textId="77777777" w:rsidR="00C815DB" w:rsidRPr="0068209D" w:rsidRDefault="00C815DB" w:rsidP="00C60B7B">
      <w:pPr>
        <w:pStyle w:val="Bullet1GA"/>
        <w:bidi/>
        <w:rPr>
          <w:lang w:val="ar-SA" w:eastAsia="zh-TW" w:bidi="en-GB"/>
        </w:rPr>
      </w:pPr>
      <w:r w:rsidRPr="0068209D">
        <w:rPr>
          <w:rtl/>
        </w:rPr>
        <w:lastRenderedPageBreak/>
        <w:t xml:space="preserve">إعداد المبادرات والمقترحات، وكذلك الإدلاء ببيانات لتطوير المجالات ذات الأهمية </w:t>
      </w:r>
      <w:r>
        <w:rPr>
          <w:rtl/>
        </w:rPr>
        <w:t xml:space="preserve">بالنسبة </w:t>
      </w:r>
      <w:r w:rsidRPr="0068209D">
        <w:rPr>
          <w:rtl/>
        </w:rPr>
        <w:t>لسياسات المجتمع المدني العامة؛</w:t>
      </w:r>
    </w:p>
    <w:p w14:paraId="33C1016C" w14:textId="77777777" w:rsidR="00C815DB" w:rsidRPr="0068209D" w:rsidRDefault="00C815DB" w:rsidP="00C60B7B">
      <w:pPr>
        <w:pStyle w:val="Bullet1GA"/>
        <w:bidi/>
        <w:rPr>
          <w:lang w:val="ar-SA" w:eastAsia="zh-TW" w:bidi="en-GB"/>
        </w:rPr>
      </w:pPr>
      <w:r w:rsidRPr="0068209D">
        <w:rPr>
          <w:rtl/>
        </w:rPr>
        <w:t>تقييم استراتيجيات منظمات المجتمع المدني وإجراءات التشاور المدني للوزارات؛</w:t>
      </w:r>
    </w:p>
    <w:p w14:paraId="0E605DD6" w14:textId="77777777" w:rsidR="00C815DB" w:rsidRPr="0068209D" w:rsidRDefault="00C815DB" w:rsidP="00C60B7B">
      <w:pPr>
        <w:pStyle w:val="Bullet1GA"/>
        <w:bidi/>
        <w:rPr>
          <w:lang w:val="ar-SA" w:eastAsia="zh-TW" w:bidi="en-GB"/>
        </w:rPr>
      </w:pPr>
      <w:r w:rsidRPr="0068209D">
        <w:rPr>
          <w:rtl/>
        </w:rPr>
        <w:t>تقييم اتساق القرارات التي تتخذها السلطة العامة بشأن منظمات المجتمع المدني وإمكانية التنبؤ بها، وإعداد مبادرات للارتقاء بها؛</w:t>
      </w:r>
    </w:p>
    <w:p w14:paraId="21FC86CD" w14:textId="77777777" w:rsidR="00C815DB" w:rsidRPr="0068209D" w:rsidRDefault="00C815DB" w:rsidP="00C60B7B">
      <w:pPr>
        <w:pStyle w:val="Bullet1GA"/>
        <w:bidi/>
        <w:rPr>
          <w:lang w:val="ar-SA" w:eastAsia="zh-TW" w:bidi="en-GB"/>
        </w:rPr>
      </w:pPr>
      <w:r>
        <w:rPr>
          <w:rtl/>
        </w:rPr>
        <w:t xml:space="preserve">البدء في </w:t>
      </w:r>
      <w:r w:rsidRPr="0068209D">
        <w:rPr>
          <w:rtl/>
        </w:rPr>
        <w:t>إعداد دراسات ومشاريع للبحث والتطوير وتعزيز أنشطة البحث والاستفادة من الدراسات المت</w:t>
      </w:r>
      <w:r>
        <w:rPr>
          <w:rtl/>
        </w:rPr>
        <w:t>صل</w:t>
      </w:r>
      <w:r w:rsidRPr="0068209D">
        <w:rPr>
          <w:rtl/>
        </w:rPr>
        <w:t>ة بالمجتمع المدني ونشر المعلومات عن نتائجها.</w:t>
      </w:r>
    </w:p>
    <w:p w14:paraId="6FCC38D1" w14:textId="77777777" w:rsidR="00C815DB" w:rsidRPr="0068209D" w:rsidRDefault="00C815DB" w:rsidP="00C60B7B">
      <w:pPr>
        <w:pStyle w:val="H23GA"/>
        <w:rPr>
          <w:lang w:eastAsia="zh-TW" w:bidi="en-GB"/>
        </w:rPr>
      </w:pPr>
      <w:bookmarkStart w:id="43" w:name="_Toc32364305"/>
      <w:r w:rsidRPr="0068209D">
        <w:rPr>
          <w:rtl/>
        </w:rPr>
        <w:tab/>
      </w:r>
      <w:r w:rsidRPr="0068209D">
        <w:rPr>
          <w:rtl/>
        </w:rPr>
        <w:tab/>
        <w:t>المجلس الاستشاري لحقوق الأشخاص ذوي الإعاقة</w:t>
      </w:r>
      <w:bookmarkEnd w:id="43"/>
    </w:p>
    <w:p w14:paraId="08AC9BAC" w14:textId="0B58AC49" w:rsidR="00C815DB" w:rsidRPr="0068209D" w:rsidRDefault="00C815DB" w:rsidP="00C60B7B">
      <w:pPr>
        <w:pStyle w:val="SingleTxtGA"/>
        <w:rPr>
          <w:lang w:val="ar-SA" w:eastAsia="zh-TW" w:bidi="en-GB"/>
        </w:rPr>
      </w:pPr>
      <w:r w:rsidRPr="005C19F0">
        <w:rPr>
          <w:szCs w:val="20"/>
          <w:rtl/>
        </w:rPr>
        <w:t>157</w:t>
      </w:r>
      <w:r w:rsidRPr="00EF3655">
        <w:rPr>
          <w:rtl/>
        </w:rPr>
        <w:t>-</w:t>
      </w:r>
      <w:r w:rsidRPr="0068209D">
        <w:rPr>
          <w:rtl/>
        </w:rPr>
        <w:tab/>
        <w:t xml:space="preserve">واجبات المجلس الاستشاري لحقوق الأشخاص ذوي الإعاقة ينص عليها مرسوم </w:t>
      </w:r>
      <w:r w:rsidRPr="00794E95">
        <w:rPr>
          <w:rtl/>
        </w:rPr>
        <w:t>(</w:t>
      </w:r>
      <w:r w:rsidRPr="0068209D">
        <w:rPr>
          <w:rtl/>
        </w:rPr>
        <w:t>المرسوم الحكومي</w:t>
      </w:r>
      <w:r>
        <w:rPr>
          <w:rtl/>
        </w:rPr>
        <w:t xml:space="preserve"> </w:t>
      </w:r>
      <w:r w:rsidRPr="005C19F0">
        <w:rPr>
          <w:szCs w:val="20"/>
          <w:rtl/>
        </w:rPr>
        <w:t>908</w:t>
      </w:r>
      <w:r>
        <w:rPr>
          <w:rtl/>
        </w:rPr>
        <w:t>/</w:t>
      </w:r>
      <w:r w:rsidRPr="005C19F0">
        <w:rPr>
          <w:szCs w:val="20"/>
          <w:rtl/>
        </w:rPr>
        <w:t>2016</w:t>
      </w:r>
      <w:r w:rsidRPr="0068209D">
        <w:rPr>
          <w:rtl/>
        </w:rPr>
        <w:t xml:space="preserve"> المتعلق بالمجلس الاستشاري لحقوق الأشخاص ذوي الإعاقة</w:t>
      </w:r>
      <w:r w:rsidRPr="00794E95">
        <w:rPr>
          <w:rtl/>
        </w:rPr>
        <w:t>)</w:t>
      </w:r>
      <w:r w:rsidRPr="0068209D">
        <w:rPr>
          <w:rtl/>
        </w:rPr>
        <w:t xml:space="preserve"> ي</w:t>
      </w:r>
      <w:r>
        <w:rPr>
          <w:rtl/>
        </w:rPr>
        <w:t>كلَّف المجلس</w:t>
      </w:r>
      <w:r w:rsidR="00507B18">
        <w:rPr>
          <w:rtl/>
        </w:rPr>
        <w:t xml:space="preserve"> </w:t>
      </w:r>
      <w:r w:rsidRPr="0068209D">
        <w:rPr>
          <w:rtl/>
        </w:rPr>
        <w:t xml:space="preserve">بمقتضاه </w:t>
      </w:r>
      <w:r>
        <w:rPr>
          <w:rtl/>
        </w:rPr>
        <w:t>بت</w:t>
      </w:r>
      <w:r w:rsidRPr="0068209D">
        <w:rPr>
          <w:rtl/>
        </w:rPr>
        <w:t>عز</w:t>
      </w:r>
      <w:r>
        <w:rPr>
          <w:rtl/>
        </w:rPr>
        <w:t>ي</w:t>
      </w:r>
      <w:r w:rsidRPr="0068209D">
        <w:rPr>
          <w:rtl/>
        </w:rPr>
        <w:t>ز و</w:t>
      </w:r>
      <w:r>
        <w:rPr>
          <w:rtl/>
        </w:rPr>
        <w:t>ت</w:t>
      </w:r>
      <w:r w:rsidRPr="0068209D">
        <w:rPr>
          <w:rtl/>
        </w:rPr>
        <w:t>نس</w:t>
      </w:r>
      <w:r>
        <w:rPr>
          <w:rtl/>
        </w:rPr>
        <w:t>ي</w:t>
      </w:r>
      <w:r w:rsidRPr="0068209D">
        <w:rPr>
          <w:rtl/>
        </w:rPr>
        <w:t>ق التنفيذ على الصعيد الوطني لاتفاقية الأمم المتحدة لحقوق الأشخاص ذوي الإعاقة ومراعاة حقوق الأشخاص ذوي الإعاقة في جميع جوانب العمل الحكومي، و</w:t>
      </w:r>
      <w:r>
        <w:rPr>
          <w:rtl/>
        </w:rPr>
        <w:t>بو</w:t>
      </w:r>
      <w:r w:rsidRPr="0068209D">
        <w:rPr>
          <w:rtl/>
        </w:rPr>
        <w:t>ضع برنامج عمل لفترة ولايته يحدد الأهداف الوطنية لتنفيذ الاتفاقية، والتدابير التي تعزز تنفيذها وتدابير المتابعة، و</w:t>
      </w:r>
      <w:r>
        <w:rPr>
          <w:rtl/>
        </w:rPr>
        <w:t>بت</w:t>
      </w:r>
      <w:r w:rsidRPr="0068209D">
        <w:rPr>
          <w:rtl/>
        </w:rPr>
        <w:t>عي</w:t>
      </w:r>
      <w:r>
        <w:rPr>
          <w:rtl/>
        </w:rPr>
        <w:t>ي</w:t>
      </w:r>
      <w:r w:rsidRPr="0068209D">
        <w:rPr>
          <w:rtl/>
        </w:rPr>
        <w:t>ن</w:t>
      </w:r>
      <w:r>
        <w:rPr>
          <w:rtl/>
        </w:rPr>
        <w:t xml:space="preserve"> ممثل</w:t>
      </w:r>
      <w:r w:rsidRPr="0068209D">
        <w:rPr>
          <w:rtl/>
        </w:rPr>
        <w:t xml:space="preserve">، من بين أعضاء المجلس، للأشخاص ذوي الإعاقة للمشاركة في أنشطة جهة الاتصال المشار إليها في المادة </w:t>
      </w:r>
      <w:r w:rsidRPr="005C19F0">
        <w:rPr>
          <w:szCs w:val="20"/>
          <w:rtl/>
        </w:rPr>
        <w:t>33</w:t>
      </w:r>
      <w:r w:rsidRPr="0068209D">
        <w:rPr>
          <w:rtl/>
        </w:rPr>
        <w:t xml:space="preserve"> من الاتفاقية. والمجلس هو الآلية الوطنية للتنسيق المنصوص عليها في المادة </w:t>
      </w:r>
      <w:r w:rsidRPr="005C19F0">
        <w:rPr>
          <w:szCs w:val="20"/>
          <w:rtl/>
        </w:rPr>
        <w:t>33</w:t>
      </w:r>
      <w:r w:rsidRPr="00794E95">
        <w:rPr>
          <w:rtl/>
        </w:rPr>
        <w:t>(</w:t>
      </w:r>
      <w:r w:rsidRPr="005C19F0">
        <w:rPr>
          <w:szCs w:val="20"/>
          <w:rtl/>
        </w:rPr>
        <w:t>1</w:t>
      </w:r>
      <w:r w:rsidRPr="00794E95">
        <w:rPr>
          <w:rtl/>
        </w:rPr>
        <w:t>)</w:t>
      </w:r>
      <w:r w:rsidRPr="0068209D">
        <w:rPr>
          <w:rtl/>
        </w:rPr>
        <w:t xml:space="preserve"> من اتفاقية الأمم المتحدة لحقوق الأشخاص ذوي الإعاقة.</w:t>
      </w:r>
    </w:p>
    <w:p w14:paraId="60DCBEC5" w14:textId="77777777" w:rsidR="00C815DB" w:rsidRPr="0068209D" w:rsidRDefault="00C815DB" w:rsidP="00C60B7B">
      <w:pPr>
        <w:pStyle w:val="SingleTxtGA"/>
        <w:rPr>
          <w:lang w:val="ar-SA" w:eastAsia="zh-TW" w:bidi="en-GB"/>
        </w:rPr>
      </w:pPr>
      <w:r w:rsidRPr="005C19F0">
        <w:rPr>
          <w:szCs w:val="20"/>
          <w:rtl/>
        </w:rPr>
        <w:t>158</w:t>
      </w:r>
      <w:r w:rsidRPr="00EF3655">
        <w:rPr>
          <w:rtl/>
        </w:rPr>
        <w:t>-</w:t>
      </w:r>
      <w:r w:rsidRPr="0068209D">
        <w:rPr>
          <w:rtl/>
        </w:rPr>
        <w:tab/>
        <w:t xml:space="preserve">ويتألف المجلس الاستشاري من وزارات وأشخاص ذوي إعاقة وجميع أقاربهم ومنظمات سوق </w:t>
      </w:r>
      <w:r>
        <w:rPr>
          <w:rtl/>
        </w:rPr>
        <w:t>ال</w:t>
      </w:r>
      <w:r w:rsidRPr="0068209D">
        <w:rPr>
          <w:rtl/>
        </w:rPr>
        <w:t xml:space="preserve">عمل وبلديات ومحافظات، ومن ممثلين عن الأوساط البحثية. ويتألف </w:t>
      </w:r>
      <w:r>
        <w:rPr>
          <w:rtl/>
        </w:rPr>
        <w:t xml:space="preserve">المجلس الاستشاري </w:t>
      </w:r>
      <w:r w:rsidRPr="0068209D">
        <w:rPr>
          <w:rtl/>
        </w:rPr>
        <w:t>من رئيس</w:t>
      </w:r>
      <w:r w:rsidRPr="00794E95">
        <w:rPr>
          <w:rtl/>
        </w:rPr>
        <w:t>(</w:t>
      </w:r>
      <w:r w:rsidRPr="0068209D">
        <w:rPr>
          <w:rtl/>
        </w:rPr>
        <w:t>ة</w:t>
      </w:r>
      <w:r w:rsidRPr="00794E95">
        <w:rPr>
          <w:rtl/>
        </w:rPr>
        <w:t>)</w:t>
      </w:r>
      <w:r w:rsidRPr="0068209D">
        <w:rPr>
          <w:rtl/>
        </w:rPr>
        <w:t xml:space="preserve"> ونائب</w:t>
      </w:r>
      <w:r w:rsidRPr="00794E95">
        <w:rPr>
          <w:rtl/>
        </w:rPr>
        <w:t>(</w:t>
      </w:r>
      <w:r w:rsidRPr="0068209D">
        <w:rPr>
          <w:rtl/>
        </w:rPr>
        <w:t>ة</w:t>
      </w:r>
      <w:r w:rsidRPr="00794E95">
        <w:rPr>
          <w:rtl/>
        </w:rPr>
        <w:t>)</w:t>
      </w:r>
      <w:r w:rsidRPr="0068209D">
        <w:rPr>
          <w:rtl/>
        </w:rPr>
        <w:t xml:space="preserve"> رئيس</w:t>
      </w:r>
      <w:r w:rsidRPr="00794E95">
        <w:rPr>
          <w:rtl/>
        </w:rPr>
        <w:t>(</w:t>
      </w:r>
      <w:r w:rsidRPr="0068209D">
        <w:rPr>
          <w:rtl/>
        </w:rPr>
        <w:t>ة</w:t>
      </w:r>
      <w:r w:rsidRPr="00794E95">
        <w:rPr>
          <w:rtl/>
        </w:rPr>
        <w:t>)</w:t>
      </w:r>
      <w:r w:rsidRPr="0068209D">
        <w:rPr>
          <w:rtl/>
        </w:rPr>
        <w:t xml:space="preserve"> و</w:t>
      </w:r>
      <w:r w:rsidRPr="005C19F0">
        <w:rPr>
          <w:szCs w:val="20"/>
          <w:rtl/>
        </w:rPr>
        <w:t>16</w:t>
      </w:r>
      <w:r w:rsidRPr="0068209D">
        <w:rPr>
          <w:rtl/>
        </w:rPr>
        <w:t xml:space="preserve"> عضواً. ولديه أمين</w:t>
      </w:r>
      <w:r w:rsidRPr="00794E95">
        <w:rPr>
          <w:rtl/>
        </w:rPr>
        <w:t>(</w:t>
      </w:r>
      <w:r w:rsidRPr="0068209D">
        <w:rPr>
          <w:rtl/>
        </w:rPr>
        <w:t>ة</w:t>
      </w:r>
      <w:r w:rsidRPr="00794E95">
        <w:rPr>
          <w:rtl/>
        </w:rPr>
        <w:t>)</w:t>
      </w:r>
      <w:r w:rsidRPr="0068209D">
        <w:rPr>
          <w:rtl/>
        </w:rPr>
        <w:t xml:space="preserve"> عام</w:t>
      </w:r>
      <w:r w:rsidRPr="00794E95">
        <w:rPr>
          <w:rtl/>
        </w:rPr>
        <w:t>(</w:t>
      </w:r>
      <w:r w:rsidRPr="0068209D">
        <w:rPr>
          <w:rtl/>
        </w:rPr>
        <w:t>ة</w:t>
      </w:r>
      <w:r w:rsidRPr="00794E95">
        <w:rPr>
          <w:rtl/>
        </w:rPr>
        <w:t>)</w:t>
      </w:r>
      <w:r w:rsidRPr="0068209D">
        <w:rPr>
          <w:rtl/>
        </w:rPr>
        <w:t xml:space="preserve"> ومنسق</w:t>
      </w:r>
      <w:r w:rsidRPr="00794E95">
        <w:rPr>
          <w:rtl/>
        </w:rPr>
        <w:t>(</w:t>
      </w:r>
      <w:r w:rsidRPr="0068209D">
        <w:rPr>
          <w:rtl/>
        </w:rPr>
        <w:t>ة</w:t>
      </w:r>
      <w:r w:rsidRPr="00794E95">
        <w:rPr>
          <w:rtl/>
        </w:rPr>
        <w:t>)</w:t>
      </w:r>
      <w:r w:rsidRPr="0068209D">
        <w:rPr>
          <w:rtl/>
        </w:rPr>
        <w:t xml:space="preserve">. وتحدد الحكومة </w:t>
      </w:r>
      <w:r>
        <w:rPr>
          <w:rtl/>
        </w:rPr>
        <w:t>مدة ولاية ا</w:t>
      </w:r>
      <w:r w:rsidRPr="0068209D">
        <w:rPr>
          <w:rtl/>
        </w:rPr>
        <w:t xml:space="preserve">لمجلس الاستشاري </w:t>
      </w:r>
      <w:r>
        <w:rPr>
          <w:rtl/>
        </w:rPr>
        <w:t>في</w:t>
      </w:r>
      <w:r w:rsidRPr="0068209D">
        <w:rPr>
          <w:rtl/>
        </w:rPr>
        <w:t xml:space="preserve"> سنة واحدة في المرة الواحدة. </w:t>
      </w:r>
    </w:p>
    <w:p w14:paraId="0F8F68A1" w14:textId="77777777" w:rsidR="00C815DB" w:rsidRPr="0068209D" w:rsidRDefault="00C815DB" w:rsidP="00C60B7B">
      <w:pPr>
        <w:pStyle w:val="H23GA"/>
        <w:rPr>
          <w:lang w:eastAsia="zh-TW" w:bidi="en-GB"/>
        </w:rPr>
      </w:pPr>
      <w:r w:rsidRPr="0068209D">
        <w:rPr>
          <w:rtl/>
        </w:rPr>
        <w:tab/>
      </w:r>
      <w:r w:rsidRPr="0068209D">
        <w:rPr>
          <w:rtl/>
        </w:rPr>
        <w:tab/>
        <w:t>لجنة مكافحة العنف ضد المرأة والعنف العائلي</w:t>
      </w:r>
    </w:p>
    <w:p w14:paraId="0BADB2E5" w14:textId="77777777" w:rsidR="00C815DB" w:rsidRPr="00C726A7" w:rsidRDefault="00C815DB" w:rsidP="00C60B7B">
      <w:pPr>
        <w:pStyle w:val="SingleTxtGA"/>
        <w:rPr>
          <w:lang w:eastAsia="zh-TW" w:bidi="en-GB"/>
        </w:rPr>
      </w:pPr>
      <w:r w:rsidRPr="005C19F0">
        <w:rPr>
          <w:szCs w:val="20"/>
          <w:rtl/>
        </w:rPr>
        <w:t>159</w:t>
      </w:r>
      <w:r w:rsidRPr="00EF3655">
        <w:rPr>
          <w:rtl/>
        </w:rPr>
        <w:t>-</w:t>
      </w:r>
      <w:r w:rsidRPr="0068209D">
        <w:rPr>
          <w:rtl/>
        </w:rPr>
        <w:tab/>
        <w:t xml:space="preserve">فيما يتعلق بهيئة التنسيق المشار إليها في اتفاقية مجلس أوروبا للوقاية من العنف ضد النساء والعنف المنزلي ومكافحتهما </w:t>
      </w:r>
      <w:r w:rsidRPr="00794E95">
        <w:rPr>
          <w:rtl/>
        </w:rPr>
        <w:t>(</w:t>
      </w:r>
      <w:r w:rsidRPr="0068209D">
        <w:rPr>
          <w:rtl/>
        </w:rPr>
        <w:t>اتفاقية اسطنبول</w:t>
      </w:r>
      <w:r w:rsidRPr="00794E95">
        <w:rPr>
          <w:rtl/>
        </w:rPr>
        <w:t>)</w:t>
      </w:r>
      <w:r w:rsidRPr="0068209D">
        <w:rPr>
          <w:rtl/>
        </w:rPr>
        <w:t xml:space="preserve">، يرجى الرجوع إلى الفقرة </w:t>
      </w:r>
      <w:r w:rsidRPr="005C19F0">
        <w:rPr>
          <w:szCs w:val="20"/>
          <w:rtl/>
        </w:rPr>
        <w:t>220</w:t>
      </w:r>
      <w:r w:rsidRPr="0068209D">
        <w:rPr>
          <w:rtl/>
        </w:rPr>
        <w:t xml:space="preserve"> المت</w:t>
      </w:r>
      <w:r>
        <w:rPr>
          <w:rtl/>
        </w:rPr>
        <w:t>صل</w:t>
      </w:r>
      <w:r w:rsidRPr="0068209D">
        <w:rPr>
          <w:rtl/>
        </w:rPr>
        <w:t>ة بلجنة مكافحة العنف ضد المرأة والعنف العائلي.</w:t>
      </w:r>
    </w:p>
    <w:p w14:paraId="21B4BCD5" w14:textId="3DC9B956" w:rsidR="00C815DB" w:rsidRPr="0068209D" w:rsidRDefault="00C815DB" w:rsidP="00C60B7B">
      <w:pPr>
        <w:pStyle w:val="H23GA"/>
        <w:rPr>
          <w:lang w:eastAsia="zh-TW" w:bidi="en-GB"/>
        </w:rPr>
      </w:pPr>
      <w:bookmarkStart w:id="44" w:name="_Toc32364306"/>
      <w:r>
        <w:rPr>
          <w:rtl/>
        </w:rPr>
        <w:tab/>
      </w:r>
      <w:r w:rsidRPr="00794E95">
        <w:rPr>
          <w:rtl/>
        </w:rPr>
        <w:t>(</w:t>
      </w:r>
      <w:r w:rsidRPr="0068209D">
        <w:rPr>
          <w:rtl/>
        </w:rPr>
        <w:t>ك</w:t>
      </w:r>
      <w:r w:rsidRPr="00794E95">
        <w:rPr>
          <w:rtl/>
        </w:rPr>
        <w:t>)</w:t>
      </w:r>
      <w:r w:rsidR="00C60B7B">
        <w:rPr>
          <w:rtl/>
        </w:rPr>
        <w:tab/>
      </w:r>
      <w:r w:rsidRPr="0068209D">
        <w:rPr>
          <w:rtl/>
        </w:rPr>
        <w:t>منظمات المجتمع المدني</w:t>
      </w:r>
      <w:bookmarkEnd w:id="44"/>
    </w:p>
    <w:p w14:paraId="2DBCEF5A" w14:textId="23F89D8D" w:rsidR="00C815DB" w:rsidRPr="00C726A7" w:rsidRDefault="00C815DB" w:rsidP="00C60B7B">
      <w:pPr>
        <w:pStyle w:val="SingleTxtGA"/>
        <w:rPr>
          <w:rFonts w:eastAsia="Calibri"/>
          <w:lang w:eastAsia="zh-TW" w:bidi="en-GB"/>
        </w:rPr>
      </w:pPr>
      <w:r w:rsidRPr="005C19F0">
        <w:rPr>
          <w:szCs w:val="20"/>
          <w:rtl/>
        </w:rPr>
        <w:t>160</w:t>
      </w:r>
      <w:r w:rsidRPr="00EF3655">
        <w:rPr>
          <w:rtl/>
        </w:rPr>
        <w:t>-</w:t>
      </w:r>
      <w:r w:rsidRPr="0068209D">
        <w:rPr>
          <w:rtl/>
        </w:rPr>
        <w:tab/>
        <w:t xml:space="preserve">يصون دستور فنلندا حرية تكوين الجمعيات. وينص قانون الجمعيات على الأحكام المتعلقة بممارسة حرية تكوين الجمعيات </w:t>
      </w:r>
      <w:r w:rsidRPr="00794E95">
        <w:rPr>
          <w:rtl/>
        </w:rPr>
        <w:t>(</w:t>
      </w:r>
      <w:r w:rsidRPr="005C19F0">
        <w:rPr>
          <w:szCs w:val="20"/>
        </w:rPr>
        <w:t>1989</w:t>
      </w:r>
      <w:r w:rsidRPr="0068209D">
        <w:rPr>
          <w:rFonts w:ascii="Traditional Arabic"/>
        </w:rPr>
        <w:t>/</w:t>
      </w:r>
      <w:r w:rsidRPr="005C19F0">
        <w:rPr>
          <w:szCs w:val="20"/>
        </w:rPr>
        <w:t>503</w:t>
      </w:r>
      <w:r w:rsidRPr="00794E95">
        <w:rPr>
          <w:rtl/>
        </w:rPr>
        <w:t>)</w:t>
      </w:r>
      <w:r w:rsidRPr="0068209D">
        <w:rPr>
          <w:rtl/>
        </w:rPr>
        <w:t xml:space="preserve">. ويمكن تأسيس جمعية لتحقيق غرض غير ربحي مشترك. ولا يجوز أن يكون الغرض من ذلك مخالفا للقانون أو للسلوك السليم. كما لا يجوز أن يكون الغرض من الجمعيات غير الربحية تحقيق الربح أو أي منفعة مالية مباشرة أخرى، ولا يجوز </w:t>
      </w:r>
      <w:r w:rsidR="00C74C59">
        <w:rPr>
          <w:rtl/>
        </w:rPr>
        <w:t>أيضاً</w:t>
      </w:r>
      <w:r w:rsidRPr="0068209D">
        <w:rPr>
          <w:rtl/>
        </w:rPr>
        <w:t xml:space="preserve"> أن تكون أنشطتها مالية في المقام الأول. وتشمل الجمعيات غير الربحية بالمعنى المقصود في قانون الجمعيات الأحزاب السياسية، ومنظمات سوق العمل، ونوادي ألعاب القوى ونوادي الترفيه، والمنظمات الاجتماعية والصحية والخيرية.</w:t>
      </w:r>
    </w:p>
    <w:p w14:paraId="44371D79" w14:textId="4DEA2528" w:rsidR="00C815DB" w:rsidRPr="005F4B18" w:rsidRDefault="00C815DB" w:rsidP="00C60B7B">
      <w:pPr>
        <w:pStyle w:val="SingleTxtGA"/>
        <w:rPr>
          <w:spacing w:val="-2"/>
          <w:lang w:val="ar-SA" w:eastAsia="zh-TW" w:bidi="en-GB"/>
        </w:rPr>
      </w:pPr>
      <w:r w:rsidRPr="005F4B18">
        <w:rPr>
          <w:spacing w:val="-2"/>
          <w:szCs w:val="20"/>
          <w:rtl/>
        </w:rPr>
        <w:t>161</w:t>
      </w:r>
      <w:r w:rsidRPr="005F4B18">
        <w:rPr>
          <w:spacing w:val="-2"/>
          <w:rtl/>
        </w:rPr>
        <w:t>-</w:t>
      </w:r>
      <w:r w:rsidRPr="005F4B18">
        <w:rPr>
          <w:spacing w:val="-2"/>
          <w:rtl/>
        </w:rPr>
        <w:tab/>
        <w:t xml:space="preserve">ويضم سجل الجمعيات الذي يتعهّده المكتب الفنلندي للبراءات والتسجيل نحو </w:t>
      </w:r>
      <w:r w:rsidRPr="005F4B18">
        <w:rPr>
          <w:spacing w:val="-2"/>
          <w:szCs w:val="20"/>
          <w:rtl/>
        </w:rPr>
        <w:t>000</w:t>
      </w:r>
      <w:r w:rsidRPr="005F4B18">
        <w:rPr>
          <w:rFonts w:ascii="Traditional Arabic"/>
          <w:spacing w:val="-2"/>
          <w:rtl/>
        </w:rPr>
        <w:t xml:space="preserve"> </w:t>
      </w:r>
      <w:r w:rsidRPr="005F4B18">
        <w:rPr>
          <w:spacing w:val="-2"/>
          <w:szCs w:val="20"/>
          <w:rtl/>
        </w:rPr>
        <w:t>106</w:t>
      </w:r>
      <w:r w:rsidRPr="005F4B18">
        <w:rPr>
          <w:spacing w:val="-2"/>
          <w:rtl/>
        </w:rPr>
        <w:t xml:space="preserve"> جمعية. ويجوز للجمعيات أن تسجل نفسها كما يجوز لها أن تعمل دون تسجيل. وعندما تُدرَج جمعية ما </w:t>
      </w:r>
      <w:r w:rsidRPr="005F4B18">
        <w:rPr>
          <w:spacing w:val="-2"/>
          <w:rtl/>
        </w:rPr>
        <w:lastRenderedPageBreak/>
        <w:t>في سجل الجمعيات، تصبح شخصا</w:t>
      </w:r>
      <w:r w:rsidR="005F4B18" w:rsidRPr="005F4B18">
        <w:rPr>
          <w:rFonts w:hint="cs"/>
          <w:spacing w:val="-2"/>
          <w:rtl/>
        </w:rPr>
        <w:t>ً</w:t>
      </w:r>
      <w:r w:rsidRPr="005F4B18">
        <w:rPr>
          <w:spacing w:val="-2"/>
          <w:rtl/>
        </w:rPr>
        <w:t xml:space="preserve"> اعتباريا</w:t>
      </w:r>
      <w:r w:rsidR="005F4B18" w:rsidRPr="005F4B18">
        <w:rPr>
          <w:rFonts w:hint="cs"/>
          <w:spacing w:val="-2"/>
          <w:rtl/>
        </w:rPr>
        <w:t>ً</w:t>
      </w:r>
      <w:r w:rsidRPr="005F4B18">
        <w:rPr>
          <w:spacing w:val="-2"/>
          <w:rtl/>
        </w:rPr>
        <w:t xml:space="preserve"> مستقلا</w:t>
      </w:r>
      <w:r w:rsidR="005F4B18" w:rsidRPr="005F4B18">
        <w:rPr>
          <w:rFonts w:hint="cs"/>
          <w:spacing w:val="-2"/>
          <w:rtl/>
        </w:rPr>
        <w:t>ً</w:t>
      </w:r>
      <w:r w:rsidRPr="005F4B18">
        <w:rPr>
          <w:spacing w:val="-2"/>
          <w:rtl/>
        </w:rPr>
        <w:t xml:space="preserve"> وتكتسب الأهلية القانونية. ومع أن التسجيل غير إلزامي، فإنه قد يكون شرطا</w:t>
      </w:r>
      <w:r w:rsidR="005F4B18" w:rsidRPr="005F4B18">
        <w:rPr>
          <w:rFonts w:hint="cs"/>
          <w:spacing w:val="-2"/>
          <w:rtl/>
        </w:rPr>
        <w:t>ً</w:t>
      </w:r>
      <w:r w:rsidRPr="005F4B18">
        <w:rPr>
          <w:spacing w:val="-2"/>
          <w:rtl/>
        </w:rPr>
        <w:t xml:space="preserve"> للحصول على التمويل العام، على سبيل المثال. وتشمل القطاعات التي تنتشر فيها الجمعيات في فنلندا الرياضة والتمارين الرياضية، والرفاه الاجتماعي والصحة، والتعليم والثقافة.</w:t>
      </w:r>
    </w:p>
    <w:p w14:paraId="11727344" w14:textId="4BBC155F" w:rsidR="00C815DB" w:rsidRPr="00C726A7" w:rsidRDefault="00C815DB" w:rsidP="00C60B7B">
      <w:pPr>
        <w:pStyle w:val="SingleTxtGA"/>
        <w:rPr>
          <w:rFonts w:eastAsia="Calibri"/>
          <w:lang w:eastAsia="zh-TW" w:bidi="en-GB"/>
        </w:rPr>
      </w:pPr>
      <w:r w:rsidRPr="005C19F0">
        <w:rPr>
          <w:szCs w:val="20"/>
          <w:rtl/>
        </w:rPr>
        <w:t>162</w:t>
      </w:r>
      <w:r w:rsidRPr="00EF3655">
        <w:rPr>
          <w:rtl/>
        </w:rPr>
        <w:t>-</w:t>
      </w:r>
      <w:r w:rsidRPr="0068209D">
        <w:rPr>
          <w:rtl/>
        </w:rPr>
        <w:tab/>
        <w:t>ويمكن تأسيس جمعية مسجلة من قبل ثلاثة أشخاص طبيعيين على الأقل يبلغون من العمر</w:t>
      </w:r>
      <w:r w:rsidR="00033439">
        <w:rPr>
          <w:rFonts w:hint="cs"/>
          <w:rtl/>
        </w:rPr>
        <w:t> </w:t>
      </w:r>
      <w:r w:rsidRPr="005C19F0">
        <w:rPr>
          <w:szCs w:val="20"/>
          <w:rtl/>
        </w:rPr>
        <w:t>15</w:t>
      </w:r>
      <w:r w:rsidRPr="0068209D">
        <w:rPr>
          <w:rtl/>
        </w:rPr>
        <w:t xml:space="preserve"> سنة أو أكثر و/أو شركات ذات أهلية قانونية. ويجب أن يكون للجمعية المسجلة ميثاق يتضمن قواعد الجمعية. ويجب أن يكون الموقعون على الميثاق أعضاء مصوّتين في الجمعية.</w:t>
      </w:r>
    </w:p>
    <w:p w14:paraId="6EBCB60A" w14:textId="77777777" w:rsidR="00C815DB" w:rsidRPr="0068209D" w:rsidRDefault="00C815DB" w:rsidP="00C60B7B">
      <w:pPr>
        <w:pStyle w:val="SingleTxtGA"/>
        <w:rPr>
          <w:lang w:val="ar-SA" w:eastAsia="zh-TW" w:bidi="en-GB"/>
        </w:rPr>
      </w:pPr>
      <w:r w:rsidRPr="005C19F0">
        <w:rPr>
          <w:szCs w:val="20"/>
          <w:rtl/>
        </w:rPr>
        <w:t>163</w:t>
      </w:r>
      <w:r w:rsidRPr="00EF3655">
        <w:rPr>
          <w:rtl/>
        </w:rPr>
        <w:t>-</w:t>
      </w:r>
      <w:r w:rsidRPr="0068209D">
        <w:rPr>
          <w:rtl/>
        </w:rPr>
        <w:tab/>
        <w:t xml:space="preserve">ويحظر قانون الجمعيات إنشاء جمعيات لأغراض عسكرية. وإضافة إلى ذلك، على أي جمعية يتعلق </w:t>
      </w:r>
      <w:r>
        <w:rPr>
          <w:rtl/>
        </w:rPr>
        <w:t>نشاط</w:t>
      </w:r>
      <w:r w:rsidRPr="0068209D">
        <w:rPr>
          <w:rtl/>
        </w:rPr>
        <w:t>ها باستخدام الأسلحة النارية أن تحصل على إذن.</w:t>
      </w:r>
    </w:p>
    <w:p w14:paraId="58A0A2A1" w14:textId="21F0BD1B" w:rsidR="00C815DB" w:rsidRPr="0068209D" w:rsidRDefault="00C815DB" w:rsidP="00C60B7B">
      <w:pPr>
        <w:pStyle w:val="SingleTxtGA"/>
        <w:rPr>
          <w:lang w:val="ar-SA" w:eastAsia="zh-TW" w:bidi="en-GB"/>
        </w:rPr>
      </w:pPr>
      <w:r w:rsidRPr="005C19F0">
        <w:rPr>
          <w:szCs w:val="20"/>
          <w:rtl/>
        </w:rPr>
        <w:t>164</w:t>
      </w:r>
      <w:r w:rsidRPr="00EF3655">
        <w:rPr>
          <w:rtl/>
        </w:rPr>
        <w:t>-</w:t>
      </w:r>
      <w:r w:rsidRPr="0068209D">
        <w:rPr>
          <w:rtl/>
        </w:rPr>
        <w:tab/>
        <w:t xml:space="preserve">وتنطبق حرية تكوين الجمعيات في فنلندا </w:t>
      </w:r>
      <w:r w:rsidR="00C74C59">
        <w:rPr>
          <w:rtl/>
        </w:rPr>
        <w:t>أيضاً</w:t>
      </w:r>
      <w:r w:rsidRPr="0068209D">
        <w:rPr>
          <w:rtl/>
        </w:rPr>
        <w:t xml:space="preserve"> على الأشخاص الطبيعيين والاعتباري</w:t>
      </w:r>
      <w:r>
        <w:rPr>
          <w:rtl/>
        </w:rPr>
        <w:t>ي</w:t>
      </w:r>
      <w:r w:rsidRPr="0068209D">
        <w:rPr>
          <w:rtl/>
        </w:rPr>
        <w:t>ن الأجانب. ويمكن للأجانب أن يؤسسوا جمعيات في فنلندا وأن ينضموا إليها وأن يعملوا أعضاء في اللجنة التنفيذية وأشخا</w:t>
      </w:r>
      <w:r w:rsidR="00853B96">
        <w:rPr>
          <w:rtl/>
        </w:rPr>
        <w:t xml:space="preserve">صاً </w:t>
      </w:r>
      <w:r w:rsidRPr="0068209D">
        <w:rPr>
          <w:rtl/>
        </w:rPr>
        <w:t xml:space="preserve">مأذونا لهم في التوقيع </w:t>
      </w:r>
      <w:r>
        <w:rPr>
          <w:rtl/>
        </w:rPr>
        <w:t>باسم</w:t>
      </w:r>
      <w:r w:rsidRPr="0068209D">
        <w:rPr>
          <w:rtl/>
        </w:rPr>
        <w:t xml:space="preserve"> هذه الجمعيات.</w:t>
      </w:r>
    </w:p>
    <w:p w14:paraId="258BE437" w14:textId="77777777" w:rsidR="00C815DB" w:rsidRPr="00C726A7" w:rsidRDefault="00C815DB" w:rsidP="00C60B7B">
      <w:pPr>
        <w:pStyle w:val="SingleTxtGA"/>
        <w:rPr>
          <w:lang w:eastAsia="zh-TW" w:bidi="en-GB"/>
        </w:rPr>
      </w:pPr>
      <w:r w:rsidRPr="005C19F0">
        <w:rPr>
          <w:szCs w:val="20"/>
          <w:rtl/>
        </w:rPr>
        <w:t>165</w:t>
      </w:r>
      <w:r w:rsidRPr="00EF3655">
        <w:rPr>
          <w:rtl/>
        </w:rPr>
        <w:t>-</w:t>
      </w:r>
      <w:r w:rsidRPr="0068209D">
        <w:rPr>
          <w:rtl/>
        </w:rPr>
        <w:tab/>
        <w:t>ويجب أن تكون رئيسة الجمعية أو رئيسها مقيماً بصفة اعتيادية في فنلندا ما لم يوافق المكتب الفنلندي للبراءات والتسجيل على عدم التقيد بهذا الشرط. وإضافة إلى ذلك، لا يجوز أن يكون أعضاء الجمعية التي يكون هدفها الأساس</w:t>
      </w:r>
      <w:r>
        <w:rPr>
          <w:rtl/>
        </w:rPr>
        <w:t>ُ</w:t>
      </w:r>
      <w:r w:rsidRPr="0068209D">
        <w:rPr>
          <w:rtl/>
        </w:rPr>
        <w:t xml:space="preserve"> </w:t>
      </w:r>
      <w:r>
        <w:rPr>
          <w:rtl/>
        </w:rPr>
        <w:t>التأثير في</w:t>
      </w:r>
      <w:r w:rsidRPr="0068209D">
        <w:rPr>
          <w:rtl/>
        </w:rPr>
        <w:t xml:space="preserve"> شؤون الدولة من غير المواطنين الفنلنديين والأجانب المقيمين في فنلندا، والجمعيات التي يكون أعضاؤها أو أعضاؤها المباشرون أو غير المباشرين مواطنين فنلنديين أو أجانب مقيمين في فنلندا. ويجب أن تمسك اللجنة التنفيذية للجمعية قائمة بأعضاء الجمعية يسج</w:t>
      </w:r>
      <w:r>
        <w:rPr>
          <w:rtl/>
        </w:rPr>
        <w:t>َّ</w:t>
      </w:r>
      <w:r w:rsidRPr="0068209D">
        <w:rPr>
          <w:rtl/>
        </w:rPr>
        <w:t>ل فيها اسم كل عضو ومحل إقامته.</w:t>
      </w:r>
    </w:p>
    <w:p w14:paraId="02BED0C6" w14:textId="77777777" w:rsidR="00C815DB" w:rsidRPr="00C726A7" w:rsidRDefault="00C815DB" w:rsidP="00C60B7B">
      <w:pPr>
        <w:pStyle w:val="SingleTxtGA"/>
        <w:rPr>
          <w:lang w:eastAsia="zh-TW" w:bidi="en-GB"/>
        </w:rPr>
      </w:pPr>
      <w:r w:rsidRPr="005C19F0">
        <w:rPr>
          <w:szCs w:val="20"/>
          <w:rtl/>
        </w:rPr>
        <w:t>166</w:t>
      </w:r>
      <w:r w:rsidRPr="00EF3655">
        <w:rPr>
          <w:rtl/>
        </w:rPr>
        <w:t>-</w:t>
      </w:r>
      <w:r w:rsidRPr="0068209D">
        <w:rPr>
          <w:rtl/>
        </w:rPr>
        <w:tab/>
        <w:t>ويجوز، بموجب دعوى يرفعها وكيل نيابة أو مجلس الشرطة الوطنية الفنلندي أو أحد أعضاء الجمعية، إعلان حلّ أي جمعية إن كانت الجمعية تخل بالقانون أو الممارسات الجيدة أو الغرض المحدد لها في قواعدها إخلالاً جسيماً. ويجوز لهيئة التسجيل أن تأمر بإلغاء تسجيل جمعية إن انقضت عشرون سنة على الأقل على تقديم آخر إشعار إلى سجل الجمعيات، ولا يوجد سبب آخر يدعو إلى افتراض أن أنشطة الجمعية ستستمر.</w:t>
      </w:r>
    </w:p>
    <w:p w14:paraId="6D5BF7A5" w14:textId="7AC9777C" w:rsidR="00C815DB" w:rsidRPr="0068209D" w:rsidRDefault="00C815DB" w:rsidP="00C60B7B">
      <w:pPr>
        <w:pStyle w:val="SingleTxtGA"/>
        <w:rPr>
          <w:lang w:val="ar-SA" w:eastAsia="zh-TW" w:bidi="en-GB"/>
        </w:rPr>
      </w:pPr>
      <w:r w:rsidRPr="005C19F0">
        <w:rPr>
          <w:szCs w:val="20"/>
          <w:rtl/>
        </w:rPr>
        <w:t>167</w:t>
      </w:r>
      <w:r w:rsidRPr="00EF3655">
        <w:rPr>
          <w:rtl/>
        </w:rPr>
        <w:t>-</w:t>
      </w:r>
      <w:r w:rsidRPr="0068209D">
        <w:rPr>
          <w:rtl/>
        </w:rPr>
        <w:tab/>
        <w:t xml:space="preserve">ويجوز منح جمعية غير ربحية صفة </w:t>
      </w:r>
      <w:r>
        <w:rPr>
          <w:rtl/>
        </w:rPr>
        <w:t>مؤسس</w:t>
      </w:r>
      <w:r w:rsidRPr="0068209D">
        <w:rPr>
          <w:rtl/>
        </w:rPr>
        <w:t>ة</w:t>
      </w:r>
      <w:r>
        <w:rPr>
          <w:rtl/>
        </w:rPr>
        <w:t>ِ</w:t>
      </w:r>
      <w:r w:rsidRPr="0068209D">
        <w:rPr>
          <w:rtl/>
        </w:rPr>
        <w:t xml:space="preserve"> </w:t>
      </w:r>
      <w:r>
        <w:rPr>
          <w:rtl/>
        </w:rPr>
        <w:t>م</w:t>
      </w:r>
      <w:r w:rsidRPr="0068209D">
        <w:rPr>
          <w:rtl/>
        </w:rPr>
        <w:t>نفع</w:t>
      </w:r>
      <w:r>
        <w:rPr>
          <w:rtl/>
        </w:rPr>
        <w:t>ة</w:t>
      </w:r>
      <w:r w:rsidRPr="0068209D">
        <w:rPr>
          <w:rtl/>
        </w:rPr>
        <w:t xml:space="preserve"> عام</w:t>
      </w:r>
      <w:r>
        <w:rPr>
          <w:rtl/>
        </w:rPr>
        <w:t>ة</w:t>
      </w:r>
      <w:r w:rsidRPr="0068209D">
        <w:rPr>
          <w:rtl/>
        </w:rPr>
        <w:t xml:space="preserve"> عندما تعمل كلياً </w:t>
      </w:r>
      <w:r>
        <w:rPr>
          <w:rtl/>
        </w:rPr>
        <w:t>و</w:t>
      </w:r>
      <w:r w:rsidRPr="0068209D">
        <w:rPr>
          <w:rtl/>
        </w:rPr>
        <w:t>من أجل ال</w:t>
      </w:r>
      <w:r>
        <w:rPr>
          <w:rtl/>
        </w:rPr>
        <w:t xml:space="preserve">صالح </w:t>
      </w:r>
      <w:r w:rsidRPr="0068209D">
        <w:rPr>
          <w:rtl/>
        </w:rPr>
        <w:t>العام</w:t>
      </w:r>
      <w:r>
        <w:rPr>
          <w:rtl/>
        </w:rPr>
        <w:t xml:space="preserve"> فقط</w:t>
      </w:r>
      <w:r w:rsidRPr="0068209D">
        <w:rPr>
          <w:rtl/>
        </w:rPr>
        <w:t xml:space="preserve"> بالمعنى المادي أو الروحي أو التعليمي أو الاجتماعي، ولا توجَّه أنشطتها إلى مجموعة </w:t>
      </w:r>
      <w:r>
        <w:rPr>
          <w:rtl/>
        </w:rPr>
        <w:t xml:space="preserve">دون غيرها </w:t>
      </w:r>
      <w:r w:rsidRPr="0068209D">
        <w:rPr>
          <w:rtl/>
        </w:rPr>
        <w:t xml:space="preserve">من الناس، ولا يجني </w:t>
      </w:r>
      <w:r w:rsidR="008E5032" w:rsidRPr="0068209D">
        <w:rPr>
          <w:rFonts w:hint="cs"/>
          <w:rtl/>
        </w:rPr>
        <w:t>المنخرطون</w:t>
      </w:r>
      <w:r w:rsidRPr="0068209D">
        <w:rPr>
          <w:rtl/>
        </w:rPr>
        <w:t xml:space="preserve"> </w:t>
      </w:r>
      <w:r>
        <w:rPr>
          <w:rtl/>
        </w:rPr>
        <w:t>فيها منفع</w:t>
      </w:r>
      <w:r w:rsidRPr="0068209D">
        <w:rPr>
          <w:rtl/>
        </w:rPr>
        <w:t xml:space="preserve">ة مالية من انخراطهم. وتُعفى الأنشطة التجارية التي تضطلع بها جمعية لها صفة المنفعة العامة من ضريبة الدخل فيما يتعلق بالعناصر المذكورة في المادة </w:t>
      </w:r>
      <w:r w:rsidRPr="005C19F0">
        <w:rPr>
          <w:szCs w:val="20"/>
          <w:rtl/>
        </w:rPr>
        <w:t>23</w:t>
      </w:r>
      <w:r w:rsidRPr="0068209D">
        <w:rPr>
          <w:rtl/>
        </w:rPr>
        <w:t xml:space="preserve"> من قانون ضريبة</w:t>
      </w:r>
      <w:r>
        <w:rPr>
          <w:rtl/>
        </w:rPr>
        <w:t xml:space="preserve"> الدخل </w:t>
      </w:r>
      <w:r w:rsidRPr="00794E95">
        <w:rPr>
          <w:rtl/>
        </w:rPr>
        <w:t>(</w:t>
      </w:r>
      <w:r w:rsidRPr="005C19F0">
        <w:rPr>
          <w:szCs w:val="20"/>
          <w:rtl/>
        </w:rPr>
        <w:t>1535</w:t>
      </w:r>
      <w:r>
        <w:rPr>
          <w:rtl/>
        </w:rPr>
        <w:t>/</w:t>
      </w:r>
      <w:r w:rsidRPr="005C19F0">
        <w:rPr>
          <w:szCs w:val="20"/>
          <w:rtl/>
        </w:rPr>
        <w:t>1992</w:t>
      </w:r>
      <w:r w:rsidRPr="00794E95">
        <w:rPr>
          <w:rtl/>
        </w:rPr>
        <w:t>)</w:t>
      </w:r>
      <w:r w:rsidRPr="0068209D">
        <w:rPr>
          <w:rtl/>
        </w:rPr>
        <w:t xml:space="preserve">. وإضافة إلى ذلك، </w:t>
      </w:r>
      <w:r>
        <w:rPr>
          <w:rtl/>
        </w:rPr>
        <w:t>قد تكو</w:t>
      </w:r>
      <w:r w:rsidRPr="0068209D">
        <w:rPr>
          <w:rtl/>
        </w:rPr>
        <w:t xml:space="preserve">ن </w:t>
      </w:r>
      <w:r>
        <w:rPr>
          <w:rtl/>
        </w:rPr>
        <w:t>ال</w:t>
      </w:r>
      <w:r w:rsidRPr="0068209D">
        <w:rPr>
          <w:rtl/>
        </w:rPr>
        <w:t xml:space="preserve">شركة ذات </w:t>
      </w:r>
      <w:r>
        <w:rPr>
          <w:rtl/>
        </w:rPr>
        <w:t>ال</w:t>
      </w:r>
      <w:r w:rsidRPr="0068209D">
        <w:rPr>
          <w:rtl/>
        </w:rPr>
        <w:t xml:space="preserve">منفعة </w:t>
      </w:r>
      <w:r>
        <w:rPr>
          <w:rtl/>
        </w:rPr>
        <w:t>ال</w:t>
      </w:r>
      <w:r w:rsidRPr="0068209D">
        <w:rPr>
          <w:rtl/>
        </w:rPr>
        <w:t>عامة</w:t>
      </w:r>
      <w:r>
        <w:rPr>
          <w:rtl/>
        </w:rPr>
        <w:t xml:space="preserve"> التي</w:t>
      </w:r>
      <w:r w:rsidRPr="0068209D">
        <w:rPr>
          <w:rtl/>
        </w:rPr>
        <w:t xml:space="preserve"> تضطلع بأنشطة واسعة و</w:t>
      </w:r>
      <w:r>
        <w:rPr>
          <w:rtl/>
        </w:rPr>
        <w:t>ثابت</w:t>
      </w:r>
      <w:r w:rsidRPr="0068209D">
        <w:rPr>
          <w:rtl/>
        </w:rPr>
        <w:t>ة ودائمة تعود بالفائدة على المجتمع عند تقييمها ككل، مؤهلة للحصول على إعفاءات ضريبية وامتيازات ضريبية على النحو المنصوص عليه في قانون الامتياز الضريبي لبعض ال</w:t>
      </w:r>
      <w:r>
        <w:rPr>
          <w:rtl/>
        </w:rPr>
        <w:t>مؤسس</w:t>
      </w:r>
      <w:r w:rsidRPr="0068209D">
        <w:rPr>
          <w:rtl/>
        </w:rPr>
        <w:t>ات غير</w:t>
      </w:r>
      <w:r>
        <w:rPr>
          <w:rtl/>
        </w:rPr>
        <w:t xml:space="preserve"> الربحية </w:t>
      </w:r>
      <w:r w:rsidRPr="00794E95">
        <w:rPr>
          <w:rtl/>
        </w:rPr>
        <w:t>(</w:t>
      </w:r>
      <w:r w:rsidRPr="005C19F0">
        <w:rPr>
          <w:szCs w:val="20"/>
          <w:rtl/>
        </w:rPr>
        <w:t>680</w:t>
      </w:r>
      <w:r>
        <w:rPr>
          <w:rtl/>
        </w:rPr>
        <w:t>/</w:t>
      </w:r>
      <w:r w:rsidRPr="005C19F0">
        <w:rPr>
          <w:szCs w:val="20"/>
          <w:rtl/>
        </w:rPr>
        <w:t>1976</w:t>
      </w:r>
      <w:r w:rsidRPr="00794E95">
        <w:rPr>
          <w:rtl/>
        </w:rPr>
        <w:t>)</w:t>
      </w:r>
      <w:r w:rsidRPr="0068209D">
        <w:rPr>
          <w:rtl/>
        </w:rPr>
        <w:t xml:space="preserve">. ويجوز أن تكون </w:t>
      </w:r>
      <w:r>
        <w:rPr>
          <w:rtl/>
        </w:rPr>
        <w:t>ال</w:t>
      </w:r>
      <w:r w:rsidRPr="0068209D">
        <w:rPr>
          <w:rtl/>
        </w:rPr>
        <w:t xml:space="preserve">جمعية غير </w:t>
      </w:r>
      <w:r>
        <w:rPr>
          <w:rtl/>
        </w:rPr>
        <w:t>ال</w:t>
      </w:r>
      <w:r w:rsidRPr="0068209D">
        <w:rPr>
          <w:rtl/>
        </w:rPr>
        <w:t xml:space="preserve">ربحية </w:t>
      </w:r>
      <w:r w:rsidR="00C74C59">
        <w:rPr>
          <w:rtl/>
        </w:rPr>
        <w:t>أيضاً</w:t>
      </w:r>
      <w:r w:rsidRPr="0068209D">
        <w:rPr>
          <w:rtl/>
        </w:rPr>
        <w:t xml:space="preserve"> مؤسسة منفعة عامة.</w:t>
      </w:r>
    </w:p>
    <w:p w14:paraId="7C386C3A" w14:textId="16D0BF67" w:rsidR="00C815DB" w:rsidRPr="00A459C1" w:rsidRDefault="00C815DB" w:rsidP="00F54BC0">
      <w:pPr>
        <w:pStyle w:val="H23GA"/>
        <w:rPr>
          <w:lang w:eastAsia="zh-TW" w:bidi="en-GB"/>
        </w:rPr>
      </w:pPr>
      <w:bookmarkStart w:id="45" w:name="_Toc32364307"/>
      <w:r>
        <w:rPr>
          <w:rtl/>
        </w:rPr>
        <w:tab/>
      </w:r>
      <w:r w:rsidRPr="00794E95">
        <w:rPr>
          <w:rtl/>
        </w:rPr>
        <w:t>(</w:t>
      </w:r>
      <w:r w:rsidRPr="0068209D">
        <w:rPr>
          <w:rtl/>
        </w:rPr>
        <w:t>ل</w:t>
      </w:r>
      <w:r w:rsidRPr="00794E95">
        <w:rPr>
          <w:rtl/>
        </w:rPr>
        <w:t>)</w:t>
      </w:r>
      <w:r w:rsidR="00F54BC0">
        <w:rPr>
          <w:rtl/>
        </w:rPr>
        <w:tab/>
      </w:r>
      <w:r>
        <w:rPr>
          <w:rtl/>
        </w:rPr>
        <w:t>علنية</w:t>
      </w:r>
      <w:r w:rsidRPr="0068209D">
        <w:rPr>
          <w:rtl/>
        </w:rPr>
        <w:t xml:space="preserve"> الأنشطة الحكومية</w:t>
      </w:r>
      <w:bookmarkEnd w:id="45"/>
    </w:p>
    <w:p w14:paraId="1B9CE495" w14:textId="207D9353" w:rsidR="00C815DB" w:rsidRPr="0068209D" w:rsidRDefault="00C815DB" w:rsidP="00F54BC0">
      <w:pPr>
        <w:pStyle w:val="SingleTxtGA"/>
        <w:rPr>
          <w:lang w:val="ar-SA" w:eastAsia="zh-TW" w:bidi="en-GB"/>
        </w:rPr>
      </w:pPr>
      <w:r w:rsidRPr="005C19F0">
        <w:rPr>
          <w:szCs w:val="20"/>
          <w:rtl/>
        </w:rPr>
        <w:t>168</w:t>
      </w:r>
      <w:r w:rsidRPr="00EF3655">
        <w:rPr>
          <w:rtl/>
        </w:rPr>
        <w:t>-</w:t>
      </w:r>
      <w:r w:rsidRPr="0068209D">
        <w:rPr>
          <w:rtl/>
        </w:rPr>
        <w:tab/>
        <w:t xml:space="preserve">ينظم قانون </w:t>
      </w:r>
      <w:r>
        <w:rPr>
          <w:rtl/>
        </w:rPr>
        <w:t>علنية</w:t>
      </w:r>
      <w:r w:rsidRPr="0068209D">
        <w:rPr>
          <w:rtl/>
        </w:rPr>
        <w:t xml:space="preserve"> الأنشطة</w:t>
      </w:r>
      <w:r>
        <w:rPr>
          <w:rtl/>
        </w:rPr>
        <w:t xml:space="preserve"> الحكومية </w:t>
      </w:r>
      <w:r w:rsidRPr="00794E95">
        <w:rPr>
          <w:rtl/>
        </w:rPr>
        <w:t>(</w:t>
      </w:r>
      <w:r w:rsidRPr="005C19F0">
        <w:rPr>
          <w:szCs w:val="20"/>
          <w:rtl/>
        </w:rPr>
        <w:t>621</w:t>
      </w:r>
      <w:r>
        <w:rPr>
          <w:rtl/>
        </w:rPr>
        <w:t>/</w:t>
      </w:r>
      <w:r w:rsidRPr="005C19F0">
        <w:rPr>
          <w:szCs w:val="20"/>
          <w:rtl/>
        </w:rPr>
        <w:t>1999</w:t>
      </w:r>
      <w:r w:rsidRPr="00794E95">
        <w:rPr>
          <w:rtl/>
        </w:rPr>
        <w:t>)</w:t>
      </w:r>
      <w:r w:rsidRPr="0068209D">
        <w:rPr>
          <w:rtl/>
        </w:rPr>
        <w:t xml:space="preserve"> إعلان الوثائق الرسمية ومجموعات البيانات و</w:t>
      </w:r>
      <w:r>
        <w:rPr>
          <w:rtl/>
        </w:rPr>
        <w:t>طابعها السري</w:t>
      </w:r>
      <w:r w:rsidRPr="0068209D">
        <w:rPr>
          <w:rtl/>
        </w:rPr>
        <w:t>، إضافة إلى الكشف عن الوثائق والإجراءات ذات الصلة. وبم</w:t>
      </w:r>
      <w:r>
        <w:rPr>
          <w:rtl/>
        </w:rPr>
        <w:t>قتضى</w:t>
      </w:r>
      <w:r w:rsidRPr="0068209D">
        <w:rPr>
          <w:rtl/>
        </w:rPr>
        <w:t xml:space="preserve"> هذا القانون، يحق لكل فرد الاطلاع على </w:t>
      </w:r>
      <w:r>
        <w:rPr>
          <w:rtl/>
        </w:rPr>
        <w:t>ال</w:t>
      </w:r>
      <w:r w:rsidRPr="0068209D">
        <w:rPr>
          <w:rtl/>
        </w:rPr>
        <w:t>وث</w:t>
      </w:r>
      <w:r>
        <w:rPr>
          <w:rtl/>
        </w:rPr>
        <w:t>ائق</w:t>
      </w:r>
      <w:r w:rsidRPr="0068209D">
        <w:rPr>
          <w:rtl/>
        </w:rPr>
        <w:t xml:space="preserve"> </w:t>
      </w:r>
      <w:r>
        <w:rPr>
          <w:rtl/>
        </w:rPr>
        <w:t>ال</w:t>
      </w:r>
      <w:r w:rsidRPr="0068209D">
        <w:rPr>
          <w:rtl/>
        </w:rPr>
        <w:t xml:space="preserve">رسمية </w:t>
      </w:r>
      <w:r>
        <w:rPr>
          <w:rtl/>
        </w:rPr>
        <w:t xml:space="preserve">التي أصبحت </w:t>
      </w:r>
      <w:r w:rsidRPr="0068209D">
        <w:rPr>
          <w:rtl/>
        </w:rPr>
        <w:t>في الملك العام. ويجب أن تكون الوثائق الرسمية في الملك العام ما لم ي</w:t>
      </w:r>
      <w:r>
        <w:rPr>
          <w:rtl/>
        </w:rPr>
        <w:t>ُ</w:t>
      </w:r>
      <w:r w:rsidRPr="0068209D">
        <w:rPr>
          <w:rtl/>
        </w:rPr>
        <w:t xml:space="preserve">نص على خلاف ذلك على وجه التحديد. ويقتضي القانون </w:t>
      </w:r>
      <w:r>
        <w:rPr>
          <w:rtl/>
        </w:rPr>
        <w:t>توخي العلنية</w:t>
      </w:r>
      <w:r w:rsidRPr="0068209D">
        <w:rPr>
          <w:rtl/>
        </w:rPr>
        <w:t xml:space="preserve"> في إعداد المسائل ويفرض على السلطات واجب تعزيز </w:t>
      </w:r>
      <w:r>
        <w:rPr>
          <w:rtl/>
        </w:rPr>
        <w:t>الطابع العلني</w:t>
      </w:r>
      <w:r w:rsidRPr="0068209D">
        <w:rPr>
          <w:rtl/>
        </w:rPr>
        <w:t xml:space="preserve"> </w:t>
      </w:r>
      <w:r>
        <w:rPr>
          <w:rtl/>
        </w:rPr>
        <w:t>ل</w:t>
      </w:r>
      <w:r w:rsidRPr="0068209D">
        <w:rPr>
          <w:rtl/>
        </w:rPr>
        <w:t xml:space="preserve">أنشطتها. ويتضمن القانون </w:t>
      </w:r>
      <w:r w:rsidR="00C74C59">
        <w:rPr>
          <w:rtl/>
        </w:rPr>
        <w:t>أيضاً</w:t>
      </w:r>
      <w:r w:rsidRPr="0068209D">
        <w:rPr>
          <w:rtl/>
        </w:rPr>
        <w:t xml:space="preserve"> أحكاما</w:t>
      </w:r>
      <w:r w:rsidR="00033439">
        <w:rPr>
          <w:rFonts w:hint="cs"/>
          <w:rtl/>
        </w:rPr>
        <w:t>ً</w:t>
      </w:r>
      <w:r w:rsidRPr="0068209D">
        <w:rPr>
          <w:rtl/>
        </w:rPr>
        <w:t xml:space="preserve"> </w:t>
      </w:r>
      <w:r w:rsidRPr="0068209D">
        <w:rPr>
          <w:rtl/>
        </w:rPr>
        <w:lastRenderedPageBreak/>
        <w:t>بشأن واجب أن تعزز السلطات ذلك الاطلاع. ويضاف إلى ذلك أن الأحكام الرئيس</w:t>
      </w:r>
      <w:r>
        <w:rPr>
          <w:rtl/>
        </w:rPr>
        <w:t>َ</w:t>
      </w:r>
      <w:r w:rsidRPr="0068209D">
        <w:rPr>
          <w:rtl/>
        </w:rPr>
        <w:t xml:space="preserve">ة المتعلقة بالسرية مكرسة في القانون. وتتضمن قوانين محددة </w:t>
      </w:r>
      <w:r w:rsidR="00C74C59">
        <w:rPr>
          <w:rtl/>
        </w:rPr>
        <w:t>أيضاً</w:t>
      </w:r>
      <w:r w:rsidRPr="0068209D">
        <w:rPr>
          <w:rtl/>
        </w:rPr>
        <w:t xml:space="preserve"> أحكاما بشأن السرية. وإضافة إلى ذلك، ينظم قانون </w:t>
      </w:r>
      <w:r>
        <w:rPr>
          <w:rtl/>
        </w:rPr>
        <w:t>علنية</w:t>
      </w:r>
      <w:r w:rsidRPr="0068209D">
        <w:rPr>
          <w:rtl/>
        </w:rPr>
        <w:t xml:space="preserve"> الأنشطة الحكومية واجب السلطات</w:t>
      </w:r>
      <w:r>
        <w:rPr>
          <w:rtl/>
        </w:rPr>
        <w:t xml:space="preserve"> </w:t>
      </w:r>
      <w:r w:rsidRPr="0068209D">
        <w:rPr>
          <w:rtl/>
        </w:rPr>
        <w:t xml:space="preserve">أن تدير المعلومات إدارة جيدة، </w:t>
      </w:r>
      <w:r>
        <w:rPr>
          <w:rtl/>
        </w:rPr>
        <w:t>ومن ضمنها متطلب</w:t>
      </w:r>
      <w:r w:rsidRPr="0068209D">
        <w:rPr>
          <w:rtl/>
        </w:rPr>
        <w:t xml:space="preserve">ات أمن البيانات. واعتباراً من بداية عام </w:t>
      </w:r>
      <w:r w:rsidRPr="005C19F0">
        <w:rPr>
          <w:szCs w:val="20"/>
          <w:rtl/>
        </w:rPr>
        <w:t>2020</w:t>
      </w:r>
      <w:r w:rsidRPr="0068209D">
        <w:rPr>
          <w:rtl/>
        </w:rPr>
        <w:t xml:space="preserve">، تخضع إدارة المعلومات وأمن المعلومات </w:t>
      </w:r>
      <w:r>
        <w:rPr>
          <w:rtl/>
        </w:rPr>
        <w:t>من قبل ا</w:t>
      </w:r>
      <w:r w:rsidRPr="0068209D">
        <w:rPr>
          <w:rtl/>
        </w:rPr>
        <w:t>لسلطات للقانون الجديد المتعلق بإدارة المعلومات في الإدارة</w:t>
      </w:r>
      <w:r>
        <w:rPr>
          <w:rtl/>
        </w:rPr>
        <w:t xml:space="preserve"> العامة </w:t>
      </w:r>
      <w:r w:rsidRPr="00794E95">
        <w:rPr>
          <w:rtl/>
        </w:rPr>
        <w:t>(</w:t>
      </w:r>
      <w:r w:rsidRPr="005C19F0">
        <w:rPr>
          <w:szCs w:val="20"/>
          <w:rtl/>
        </w:rPr>
        <w:t>906</w:t>
      </w:r>
      <w:r>
        <w:rPr>
          <w:rtl/>
        </w:rPr>
        <w:t>/</w:t>
      </w:r>
      <w:r w:rsidRPr="005C19F0">
        <w:rPr>
          <w:szCs w:val="20"/>
          <w:rtl/>
        </w:rPr>
        <w:t>2019</w:t>
      </w:r>
      <w:r w:rsidRPr="00794E95">
        <w:rPr>
          <w:rtl/>
        </w:rPr>
        <w:t>)</w:t>
      </w:r>
      <w:r w:rsidRPr="0068209D">
        <w:rPr>
          <w:rtl/>
        </w:rPr>
        <w:t>.</w:t>
      </w:r>
    </w:p>
    <w:p w14:paraId="6CF9F72D" w14:textId="4DAC8977" w:rsidR="00C815DB" w:rsidRPr="00033439" w:rsidRDefault="00C815DB" w:rsidP="00F54BC0">
      <w:pPr>
        <w:pStyle w:val="SingleTxtGA"/>
        <w:rPr>
          <w:spacing w:val="2"/>
          <w:lang w:eastAsia="zh-TW" w:bidi="en-GB"/>
        </w:rPr>
      </w:pPr>
      <w:r w:rsidRPr="00033439">
        <w:rPr>
          <w:spacing w:val="2"/>
          <w:szCs w:val="20"/>
          <w:rtl/>
        </w:rPr>
        <w:t>169</w:t>
      </w:r>
      <w:r w:rsidRPr="00033439">
        <w:rPr>
          <w:spacing w:val="2"/>
          <w:rtl/>
        </w:rPr>
        <w:t>-</w:t>
      </w:r>
      <w:r w:rsidRPr="00033439">
        <w:rPr>
          <w:spacing w:val="2"/>
          <w:rtl/>
        </w:rPr>
        <w:tab/>
        <w:t>وقد صدقت فنلندا على اتفاقية مجلس أوروبا بشأن الاطلاع على الوثائق الرسمية</w:t>
      </w:r>
      <w:r w:rsidR="00033439">
        <w:rPr>
          <w:rFonts w:hint="cs"/>
          <w:spacing w:val="2"/>
          <w:rtl/>
        </w:rPr>
        <w:t xml:space="preserve">    </w:t>
      </w:r>
      <w:r w:rsidRPr="00033439">
        <w:rPr>
          <w:spacing w:val="2"/>
          <w:rtl/>
        </w:rPr>
        <w:t xml:space="preserve"> (</w:t>
      </w:r>
      <w:r w:rsidRPr="00033439">
        <w:rPr>
          <w:rFonts w:cs="Times New Roman"/>
          <w:spacing w:val="2"/>
          <w:szCs w:val="20"/>
        </w:rPr>
        <w:t xml:space="preserve">CETS No. </w:t>
      </w:r>
      <w:r w:rsidRPr="00033439">
        <w:rPr>
          <w:spacing w:val="2"/>
          <w:szCs w:val="20"/>
        </w:rPr>
        <w:t>205</w:t>
      </w:r>
      <w:r w:rsidRPr="00033439">
        <w:rPr>
          <w:spacing w:val="2"/>
          <w:rtl/>
        </w:rPr>
        <w:t>).</w:t>
      </w:r>
    </w:p>
    <w:p w14:paraId="4C8C6B63" w14:textId="3A5F2DCB" w:rsidR="00C815DB" w:rsidRPr="00F54BC0" w:rsidRDefault="00C815DB" w:rsidP="00F54BC0">
      <w:pPr>
        <w:pStyle w:val="H23GA"/>
        <w:rPr>
          <w:rtl/>
          <w:lang w:eastAsia="zh-TW"/>
        </w:rPr>
      </w:pPr>
      <w:bookmarkStart w:id="46" w:name="_Toc32364308"/>
      <w:r>
        <w:rPr>
          <w:rtl/>
        </w:rPr>
        <w:tab/>
      </w:r>
      <w:r w:rsidRPr="00794E95">
        <w:rPr>
          <w:rtl/>
        </w:rPr>
        <w:t>(</w:t>
      </w:r>
      <w:r w:rsidRPr="0068209D">
        <w:rPr>
          <w:rtl/>
        </w:rPr>
        <w:t>م</w:t>
      </w:r>
      <w:r w:rsidRPr="00794E95">
        <w:rPr>
          <w:rtl/>
        </w:rPr>
        <w:t>)</w:t>
      </w:r>
      <w:r w:rsidRPr="0068209D">
        <w:rPr>
          <w:rtl/>
        </w:rPr>
        <w:tab/>
        <w:t>خدمات الديمقراطية</w:t>
      </w:r>
      <w:bookmarkEnd w:id="46"/>
    </w:p>
    <w:p w14:paraId="4200A07D" w14:textId="134A77A8" w:rsidR="00C815DB" w:rsidRPr="00712869" w:rsidRDefault="00C815DB" w:rsidP="00F54BC0">
      <w:pPr>
        <w:pStyle w:val="SingleTxtGA"/>
        <w:rPr>
          <w:lang w:eastAsia="zh-TW" w:bidi="en-GB"/>
        </w:rPr>
      </w:pPr>
      <w:r w:rsidRPr="005C19F0">
        <w:rPr>
          <w:szCs w:val="20"/>
          <w:rtl/>
        </w:rPr>
        <w:t>170</w:t>
      </w:r>
      <w:r w:rsidRPr="00EF3655">
        <w:rPr>
          <w:rtl/>
        </w:rPr>
        <w:t>-</w:t>
      </w:r>
      <w:r w:rsidRPr="0068209D">
        <w:rPr>
          <w:rtl/>
        </w:rPr>
        <w:tab/>
        <w:t>تتعهد وزارة العدل عددا من خدمات الديمقراطية على الإنترنت تتيح للمواطنين و</w:t>
      </w:r>
      <w:r>
        <w:rPr>
          <w:rtl/>
        </w:rPr>
        <w:t>ذوي</w:t>
      </w:r>
      <w:r w:rsidRPr="0068209D">
        <w:rPr>
          <w:rtl/>
        </w:rPr>
        <w:t xml:space="preserve"> المصلحة المشاركة في إعداد ال</w:t>
      </w:r>
      <w:r>
        <w:rPr>
          <w:rtl/>
        </w:rPr>
        <w:t xml:space="preserve">مسائل </w:t>
      </w:r>
      <w:r w:rsidRPr="0068209D">
        <w:rPr>
          <w:rtl/>
        </w:rPr>
        <w:t xml:space="preserve">والمساهمة في صنع القرارات. وتتيح هذه الخدمات للسلطات وصانعي القرارات الاطلاع على آراء المواطنين </w:t>
      </w:r>
      <w:r>
        <w:rPr>
          <w:rtl/>
        </w:rPr>
        <w:t>وذوي</w:t>
      </w:r>
      <w:r w:rsidRPr="0068209D">
        <w:rPr>
          <w:rtl/>
        </w:rPr>
        <w:t xml:space="preserve"> المصلحة </w:t>
      </w:r>
      <w:r>
        <w:rPr>
          <w:rtl/>
        </w:rPr>
        <w:t>في</w:t>
      </w:r>
      <w:r w:rsidRPr="0068209D">
        <w:rPr>
          <w:rtl/>
        </w:rPr>
        <w:t xml:space="preserve"> المسائل قيد الإعداد. وت</w:t>
      </w:r>
      <w:r>
        <w:rPr>
          <w:rtl/>
        </w:rPr>
        <w:t>وفَّر</w:t>
      </w:r>
      <w:r w:rsidRPr="0068209D">
        <w:rPr>
          <w:rtl/>
        </w:rPr>
        <w:t xml:space="preserve"> خدمات الديمقراطية على الموقع الشبكي الجامع </w:t>
      </w:r>
      <w:r w:rsidRPr="00033439">
        <w:rPr>
          <w:rFonts w:cs="Times New Roman"/>
          <w:szCs w:val="20"/>
          <w:rtl/>
        </w:rPr>
        <w:t>demokratia.fi</w:t>
      </w:r>
      <w:r w:rsidRPr="0068209D">
        <w:rPr>
          <w:rtl/>
        </w:rPr>
        <w:t xml:space="preserve">، الذي يتضمن </w:t>
      </w:r>
      <w:r w:rsidR="00C74C59">
        <w:rPr>
          <w:rtl/>
        </w:rPr>
        <w:t>أيضاً</w:t>
      </w:r>
      <w:r w:rsidRPr="0068209D">
        <w:rPr>
          <w:rtl/>
        </w:rPr>
        <w:t xml:space="preserve"> قدراً كبيراً من المعلومات الأساسية ومصادر المعرفة بشأن المشاركة المدنية والديمقراطية.</w:t>
      </w:r>
    </w:p>
    <w:p w14:paraId="2D19A7FD" w14:textId="53B324CA" w:rsidR="00C815DB" w:rsidRPr="0068209D" w:rsidRDefault="00C815DB" w:rsidP="00384243">
      <w:pPr>
        <w:pStyle w:val="SingleTxtGA"/>
        <w:rPr>
          <w:lang w:val="ar-SA" w:eastAsia="zh-TW" w:bidi="en-GB"/>
        </w:rPr>
      </w:pPr>
      <w:r w:rsidRPr="005C19F0">
        <w:rPr>
          <w:szCs w:val="20"/>
          <w:rtl/>
        </w:rPr>
        <w:t>171</w:t>
      </w:r>
      <w:r w:rsidRPr="00EF3655">
        <w:rPr>
          <w:rtl/>
        </w:rPr>
        <w:t>-</w:t>
      </w:r>
      <w:r w:rsidRPr="0068209D">
        <w:rPr>
          <w:rtl/>
        </w:rPr>
        <w:tab/>
      </w:r>
      <w:r>
        <w:rPr>
          <w:rtl/>
        </w:rPr>
        <w:t xml:space="preserve">أما </w:t>
      </w:r>
      <w:r w:rsidRPr="00033439">
        <w:rPr>
          <w:rFonts w:cs="Times New Roman"/>
          <w:szCs w:val="20"/>
          <w:rtl/>
        </w:rPr>
        <w:t>Otakantaa.fi</w:t>
      </w:r>
      <w:r w:rsidR="00033439">
        <w:rPr>
          <w:rFonts w:hint="cs"/>
          <w:rtl/>
        </w:rPr>
        <w:t xml:space="preserve"> </w:t>
      </w:r>
      <w:r>
        <w:rPr>
          <w:rtl/>
        </w:rPr>
        <w:t xml:space="preserve">فهي </w:t>
      </w:r>
      <w:r w:rsidRPr="0068209D">
        <w:rPr>
          <w:rtl/>
        </w:rPr>
        <w:t xml:space="preserve">خدمة إلكترونية تهدف إلى زيادة فعالية الحوار والانخراط بين عامة الناس ومنظمات المجتمع المدني والسلطات. وتيسر </w:t>
      </w:r>
      <w:r>
        <w:rPr>
          <w:rtl/>
        </w:rPr>
        <w:t xml:space="preserve">هذه الخدمة </w:t>
      </w:r>
      <w:r w:rsidRPr="0068209D">
        <w:rPr>
          <w:rtl/>
        </w:rPr>
        <w:t>المشاركة المدنية والوصول إلى المعلومات، مع زيادة شفافية صوغ القرارات وصنعها و</w:t>
      </w:r>
      <w:r>
        <w:rPr>
          <w:rtl/>
        </w:rPr>
        <w:t>تجويدها</w:t>
      </w:r>
      <w:r w:rsidRPr="0068209D">
        <w:rPr>
          <w:rtl/>
        </w:rPr>
        <w:t xml:space="preserve">. والخدمات الديمقراطية الأخرى المتاحة على الموقع الشبكي الجامع هي </w:t>
      </w:r>
      <w:r w:rsidRPr="00033439">
        <w:rPr>
          <w:rFonts w:cs="Times New Roman"/>
          <w:szCs w:val="20"/>
          <w:rtl/>
        </w:rPr>
        <w:t>kansalaisaloite.fi, kuntalaisaloite.fi, lausuntopalvelu.fi, nuortenideat.fi and demokratia.fi</w:t>
      </w:r>
      <w:r w:rsidRPr="0068209D">
        <w:rPr>
          <w:rtl/>
        </w:rPr>
        <w:t>.</w:t>
      </w:r>
      <w:r w:rsidR="00033439">
        <w:rPr>
          <w:rFonts w:hint="cs"/>
          <w:rtl/>
        </w:rPr>
        <w:t xml:space="preserve"> </w:t>
      </w:r>
    </w:p>
    <w:p w14:paraId="4C4E60D0" w14:textId="3AEA1AD2" w:rsidR="00C815DB" w:rsidRPr="00384243" w:rsidRDefault="00C815DB" w:rsidP="00384243">
      <w:pPr>
        <w:pStyle w:val="H23GA"/>
        <w:rPr>
          <w:rtl/>
          <w:lang w:eastAsia="zh-TW"/>
        </w:rPr>
      </w:pPr>
      <w:bookmarkStart w:id="47" w:name="_Toc32364309"/>
      <w:r>
        <w:rPr>
          <w:rtl/>
        </w:rPr>
        <w:tab/>
      </w:r>
      <w:r w:rsidRPr="00794E95">
        <w:rPr>
          <w:rtl/>
        </w:rPr>
        <w:t>(</w:t>
      </w:r>
      <w:r w:rsidRPr="0068209D">
        <w:rPr>
          <w:rtl/>
        </w:rPr>
        <w:t>ن</w:t>
      </w:r>
      <w:r w:rsidRPr="00794E95">
        <w:rPr>
          <w:rtl/>
        </w:rPr>
        <w:t>)</w:t>
      </w:r>
      <w:r w:rsidR="00384243">
        <w:rPr>
          <w:rtl/>
        </w:rPr>
        <w:tab/>
      </w:r>
      <w:r w:rsidRPr="0068209D">
        <w:rPr>
          <w:rtl/>
        </w:rPr>
        <w:t>الإعلام</w:t>
      </w:r>
      <w:bookmarkEnd w:id="47"/>
    </w:p>
    <w:p w14:paraId="75E4E579" w14:textId="77777777" w:rsidR="00C815DB" w:rsidRPr="00384243" w:rsidRDefault="00C815DB" w:rsidP="00384243">
      <w:pPr>
        <w:pStyle w:val="H23GA"/>
        <w:rPr>
          <w:rtl/>
          <w:lang w:eastAsia="zh-TW"/>
        </w:rPr>
      </w:pPr>
      <w:bookmarkStart w:id="48" w:name="_Toc32364310"/>
      <w:bookmarkStart w:id="49" w:name="_Toc500940866"/>
      <w:r w:rsidRPr="0068209D">
        <w:rPr>
          <w:rtl/>
        </w:rPr>
        <w:tab/>
      </w:r>
      <w:r w:rsidRPr="0068209D">
        <w:rPr>
          <w:rtl/>
        </w:rPr>
        <w:tab/>
        <w:t>حرية التعبير في الإعلام</w:t>
      </w:r>
      <w:bookmarkEnd w:id="48"/>
    </w:p>
    <w:p w14:paraId="694451F5" w14:textId="77777777" w:rsidR="00C815DB" w:rsidRPr="00C726A7" w:rsidRDefault="00C815DB" w:rsidP="00384243">
      <w:pPr>
        <w:pStyle w:val="SingleTxtGA"/>
        <w:rPr>
          <w:lang w:eastAsia="zh-TW" w:bidi="en-GB"/>
        </w:rPr>
      </w:pPr>
      <w:r w:rsidRPr="005C19F0">
        <w:rPr>
          <w:szCs w:val="20"/>
          <w:rtl/>
        </w:rPr>
        <w:t>172</w:t>
      </w:r>
      <w:r w:rsidRPr="00EF3655">
        <w:rPr>
          <w:rtl/>
        </w:rPr>
        <w:t>-</w:t>
      </w:r>
      <w:r w:rsidRPr="0068209D">
        <w:rPr>
          <w:rtl/>
        </w:rPr>
        <w:tab/>
        <w:t>يحق لكل فرد بموجب دستور فنلندا أن يفصح عن المعلومات والآراء وغيرها من الإفادات و</w:t>
      </w:r>
      <w:r>
        <w:rPr>
          <w:rtl/>
        </w:rPr>
        <w:t xml:space="preserve">أن </w:t>
      </w:r>
      <w:r w:rsidRPr="0068209D">
        <w:rPr>
          <w:rtl/>
        </w:rPr>
        <w:t>ينشرها ويتلقاها دون أن يمنعه أي شخص من ذلك مسبقاً. ولم يُفتأ يستفاض في هذا المبدأ الأساسي من خلال التشريعات، مثل القانون المتعلق بممارسة حرية التعبير في وسائط الإعلام</w:t>
      </w:r>
      <w:r>
        <w:rPr>
          <w:rtl/>
        </w:rPr>
        <w:t xml:space="preserve"> الجماهيري </w:t>
      </w:r>
      <w:r w:rsidRPr="00794E95">
        <w:rPr>
          <w:rtl/>
        </w:rPr>
        <w:t>(</w:t>
      </w:r>
      <w:r w:rsidRPr="005C19F0">
        <w:rPr>
          <w:szCs w:val="20"/>
          <w:rtl/>
        </w:rPr>
        <w:t>460</w:t>
      </w:r>
      <w:r>
        <w:rPr>
          <w:rtl/>
        </w:rPr>
        <w:t>/</w:t>
      </w:r>
      <w:r w:rsidRPr="005C19F0">
        <w:rPr>
          <w:szCs w:val="20"/>
          <w:rtl/>
        </w:rPr>
        <w:t>2003</w:t>
      </w:r>
      <w:r w:rsidRPr="00794E95">
        <w:rPr>
          <w:rtl/>
        </w:rPr>
        <w:t>)</w:t>
      </w:r>
      <w:r>
        <w:rPr>
          <w:rtl/>
        </w:rPr>
        <w:t>،</w:t>
      </w:r>
      <w:r w:rsidRPr="0068209D">
        <w:rPr>
          <w:rtl/>
        </w:rPr>
        <w:t xml:space="preserve"> إضافة إلى توصيات السياسة العامة ومبادئها التوجيهية.</w:t>
      </w:r>
    </w:p>
    <w:p w14:paraId="7D091FB5" w14:textId="7FFCBB5C" w:rsidR="00C815DB" w:rsidRPr="00C726A7" w:rsidRDefault="00C815DB" w:rsidP="00384243">
      <w:pPr>
        <w:pStyle w:val="SingleTxtGA"/>
        <w:rPr>
          <w:lang w:eastAsia="zh-TW" w:bidi="en-GB"/>
        </w:rPr>
      </w:pPr>
      <w:r w:rsidRPr="005C19F0">
        <w:rPr>
          <w:szCs w:val="20"/>
          <w:rtl/>
        </w:rPr>
        <w:t>173</w:t>
      </w:r>
      <w:r w:rsidRPr="00EF3655">
        <w:rPr>
          <w:rtl/>
        </w:rPr>
        <w:t>-</w:t>
      </w:r>
      <w:r w:rsidRPr="0068209D">
        <w:rPr>
          <w:rtl/>
        </w:rPr>
        <w:tab/>
        <w:t xml:space="preserve">وفنلندا واحدة من الدول الرائدة في العالم في مجال حرية التعبير. </w:t>
      </w:r>
      <w:r>
        <w:rPr>
          <w:rtl/>
        </w:rPr>
        <w:t xml:space="preserve">فهي </w:t>
      </w:r>
      <w:r w:rsidRPr="0068209D">
        <w:rPr>
          <w:rtl/>
        </w:rPr>
        <w:t>تحتل المرتبة الثانية في الترتيب العالمي لحرية الصحافة الذي وضعته منظمة مراسلون بلا حدود. و</w:t>
      </w:r>
      <w:r>
        <w:rPr>
          <w:rtl/>
        </w:rPr>
        <w:t xml:space="preserve">من </w:t>
      </w:r>
      <w:r w:rsidRPr="0068209D">
        <w:rPr>
          <w:rtl/>
        </w:rPr>
        <w:t xml:space="preserve">الأسباب وراء ذلك </w:t>
      </w:r>
      <w:r>
        <w:rPr>
          <w:rtl/>
        </w:rPr>
        <w:t xml:space="preserve">إتاحة </w:t>
      </w:r>
      <w:r w:rsidRPr="0068209D">
        <w:rPr>
          <w:rtl/>
        </w:rPr>
        <w:t>الوصول إلى الوثائق الرسمية، وحماية فائقة للمصادر، وهدف توفير الوصول السريع إلى الإنترنت لجميع المواطنين. ولا توجد رقابة مسبقة في فنلندا، بل إن التشريعات تصون حق كل شخص في تلقي الرسائل من أي شخص</w:t>
      </w:r>
      <w:r>
        <w:rPr>
          <w:rtl/>
        </w:rPr>
        <w:t xml:space="preserve"> </w:t>
      </w:r>
      <w:r w:rsidRPr="0068209D">
        <w:rPr>
          <w:rtl/>
        </w:rPr>
        <w:t xml:space="preserve">دون منع مسبق. غير أنه يمكن الطعن في ممارسة حرية التعبير بأثر رجعي عندما يتبين أن رسالة </w:t>
      </w:r>
      <w:r>
        <w:rPr>
          <w:rtl/>
          <w:lang w:bidi="ar-DZ"/>
        </w:rPr>
        <w:t>أُ</w:t>
      </w:r>
      <w:r w:rsidRPr="0068209D">
        <w:rPr>
          <w:rtl/>
        </w:rPr>
        <w:t>علن عنها تتعارض مع القانون.</w:t>
      </w:r>
    </w:p>
    <w:p w14:paraId="62125EAF" w14:textId="72247994" w:rsidR="00C815DB" w:rsidRPr="00033439" w:rsidRDefault="00C815DB" w:rsidP="00384243">
      <w:pPr>
        <w:pStyle w:val="SingleTxtGA"/>
        <w:rPr>
          <w:spacing w:val="-2"/>
          <w:lang w:val="ar-SA" w:eastAsia="zh-TW" w:bidi="en-GB"/>
        </w:rPr>
      </w:pPr>
      <w:r w:rsidRPr="00033439">
        <w:rPr>
          <w:spacing w:val="-2"/>
          <w:szCs w:val="20"/>
          <w:rtl/>
        </w:rPr>
        <w:t>174</w:t>
      </w:r>
      <w:r w:rsidRPr="00033439">
        <w:rPr>
          <w:spacing w:val="-2"/>
          <w:rtl/>
        </w:rPr>
        <w:t>-</w:t>
      </w:r>
      <w:r w:rsidRPr="00033439">
        <w:rPr>
          <w:spacing w:val="-2"/>
          <w:rtl/>
        </w:rPr>
        <w:tab/>
        <w:t xml:space="preserve">ومجلس الإعلام هو لجنة ذاتية التنظيم أنشأها ناشرون وصحفيون في مجال الاتصال الجماهيري بغرض تفسير الممارسات المهنية الجيدة والدفاع عن حرية الكلام والنشر. ويبحث المجلس الأساليب التي يحصل بها الصحفيون على معلوماتهم. ولا يمارس المجلس ولاية قانونية أو سلطة عامة. غير أن قراراته تُتابَع وتُرصد عن كثب. ويجوز لأي شخص يرى أن الصحافة أو الإذاعة أو التلفزيون انتهك الممارسات المهنية الجيدة أن يوجه انتباه المجلس إلى ذلك. ويمكن للمجلس </w:t>
      </w:r>
      <w:r w:rsidR="00C74C59">
        <w:rPr>
          <w:spacing w:val="-2"/>
          <w:rtl/>
        </w:rPr>
        <w:t>أيضاً</w:t>
      </w:r>
      <w:r w:rsidRPr="00033439">
        <w:rPr>
          <w:spacing w:val="-2"/>
          <w:rtl/>
        </w:rPr>
        <w:t xml:space="preserve"> أن ينظر في الشكاوى التي تتعلق بمواد على </w:t>
      </w:r>
      <w:r w:rsidRPr="00033439">
        <w:rPr>
          <w:spacing w:val="-2"/>
          <w:rtl/>
        </w:rPr>
        <w:lastRenderedPageBreak/>
        <w:t xml:space="preserve">الإنترنت إن اعتُبرت المواد منشورة في وسائط إعلام على الإنترنت. ووقّعت غالبية وسائط الإعلام الفنلندية الاتفاق الأساسي للمجلس، الذي يحق بموجبه للمجلس أن يتناول مباشرة أي شكاوى تهمها. وفي ظروف معينة تنطوي على مبادئ هامة، يمكن للمجلس </w:t>
      </w:r>
      <w:r w:rsidR="00C74C59">
        <w:rPr>
          <w:spacing w:val="-2"/>
          <w:rtl/>
        </w:rPr>
        <w:t>أيضاً</w:t>
      </w:r>
      <w:r w:rsidRPr="00033439">
        <w:rPr>
          <w:spacing w:val="-2"/>
          <w:rtl/>
        </w:rPr>
        <w:t xml:space="preserve"> أن يجري تحقيقا</w:t>
      </w:r>
      <w:r w:rsidR="00033439" w:rsidRPr="00033439">
        <w:rPr>
          <w:rFonts w:hint="cs"/>
          <w:spacing w:val="-2"/>
          <w:rtl/>
        </w:rPr>
        <w:t>ً</w:t>
      </w:r>
      <w:r w:rsidRPr="00033439">
        <w:rPr>
          <w:spacing w:val="-2"/>
          <w:rtl/>
        </w:rPr>
        <w:t xml:space="preserve"> مستقلا</w:t>
      </w:r>
      <w:r w:rsidR="00033439" w:rsidRPr="00033439">
        <w:rPr>
          <w:rFonts w:hint="cs"/>
          <w:spacing w:val="-2"/>
          <w:rtl/>
        </w:rPr>
        <w:t>ً</w:t>
      </w:r>
      <w:r w:rsidRPr="00033439">
        <w:rPr>
          <w:spacing w:val="-2"/>
          <w:rtl/>
        </w:rPr>
        <w:t>.</w:t>
      </w:r>
    </w:p>
    <w:p w14:paraId="75C74A32" w14:textId="1B30FCCA" w:rsidR="00C815DB" w:rsidRPr="00384243" w:rsidRDefault="00C815DB" w:rsidP="00384243">
      <w:pPr>
        <w:pStyle w:val="H23GA"/>
        <w:rPr>
          <w:rtl/>
          <w:lang w:eastAsia="zh-TW"/>
        </w:rPr>
      </w:pPr>
      <w:bookmarkStart w:id="50" w:name="_Toc32364311"/>
      <w:bookmarkEnd w:id="49"/>
      <w:r>
        <w:rPr>
          <w:rtl/>
        </w:rPr>
        <w:tab/>
      </w:r>
      <w:r w:rsidRPr="0068209D">
        <w:rPr>
          <w:rtl/>
        </w:rPr>
        <w:tab/>
      </w:r>
      <w:r w:rsidRPr="0068209D">
        <w:rPr>
          <w:rFonts w:cs="Times New Roman"/>
          <w:sz w:val="22"/>
          <w:szCs w:val="22"/>
        </w:rPr>
        <w:t>Yle</w:t>
      </w:r>
      <w:r w:rsidR="00033439" w:rsidRPr="00BB79C1">
        <w:rPr>
          <w:rFonts w:hint="cs"/>
          <w:rtl/>
        </w:rPr>
        <w:t>:</w:t>
      </w:r>
      <w:r w:rsidRPr="0068209D">
        <w:rPr>
          <w:rtl/>
        </w:rPr>
        <w:t xml:space="preserve"> هيئة الإذاعة الفنلندية</w:t>
      </w:r>
      <w:bookmarkEnd w:id="50"/>
    </w:p>
    <w:p w14:paraId="79764C35" w14:textId="39DFFDA7" w:rsidR="00C815DB" w:rsidRPr="0068209D" w:rsidRDefault="00C815DB" w:rsidP="00384243">
      <w:pPr>
        <w:pStyle w:val="SingleTxtGA"/>
        <w:rPr>
          <w:lang w:val="ar-SA" w:eastAsia="zh-TW" w:bidi="en-GB"/>
        </w:rPr>
      </w:pPr>
      <w:r w:rsidRPr="005C19F0">
        <w:rPr>
          <w:szCs w:val="20"/>
          <w:rtl/>
        </w:rPr>
        <w:t>175</w:t>
      </w:r>
      <w:r w:rsidRPr="00EF3655">
        <w:rPr>
          <w:rtl/>
        </w:rPr>
        <w:t>-</w:t>
      </w:r>
      <w:r w:rsidRPr="0068209D">
        <w:rPr>
          <w:rtl/>
        </w:rPr>
        <w:tab/>
        <w:t xml:space="preserve">تخضع أنشطة هيئة الإذاعة الفنلندية لقانون هيئة الإذاعة الفنلندية </w:t>
      </w:r>
      <w:r w:rsidRPr="00794E95">
        <w:rPr>
          <w:rtl/>
        </w:rPr>
        <w:t>(</w:t>
      </w:r>
      <w:r w:rsidRPr="005C19F0">
        <w:rPr>
          <w:szCs w:val="20"/>
        </w:rPr>
        <w:t>1993</w:t>
      </w:r>
      <w:r w:rsidRPr="0068209D">
        <w:rPr>
          <w:rFonts w:ascii="Traditional Arabic"/>
        </w:rPr>
        <w:t>/</w:t>
      </w:r>
      <w:r w:rsidRPr="005C19F0">
        <w:rPr>
          <w:szCs w:val="20"/>
        </w:rPr>
        <w:t>1380</w:t>
      </w:r>
      <w:r w:rsidRPr="00794E95">
        <w:rPr>
          <w:rtl/>
        </w:rPr>
        <w:t>)</w:t>
      </w:r>
      <w:r w:rsidRPr="0068209D">
        <w:rPr>
          <w:rtl/>
        </w:rPr>
        <w:t xml:space="preserve"> الذي يحدد المبادئ التوجيهية والواجبات الخاصة التي تؤديها الهيئة في الأنشطة البرنامجية لل</w:t>
      </w:r>
      <w:r>
        <w:rPr>
          <w:rtl/>
        </w:rPr>
        <w:t>خدم</w:t>
      </w:r>
      <w:r w:rsidRPr="0068209D">
        <w:rPr>
          <w:rtl/>
        </w:rPr>
        <w:t xml:space="preserve">ة العامة. </w:t>
      </w:r>
      <w:r>
        <w:rPr>
          <w:rtl/>
        </w:rPr>
        <w:t xml:space="preserve">ومن واجبات </w:t>
      </w:r>
      <w:r w:rsidRPr="0068209D">
        <w:rPr>
          <w:rtl/>
        </w:rPr>
        <w:t>الأنشطة البرنامجية لل</w:t>
      </w:r>
      <w:r>
        <w:rPr>
          <w:rtl/>
        </w:rPr>
        <w:t>خدم</w:t>
      </w:r>
      <w:r w:rsidRPr="0068209D">
        <w:rPr>
          <w:rtl/>
        </w:rPr>
        <w:t>ة العامة، أن تعام</w:t>
      </w:r>
      <w:r>
        <w:rPr>
          <w:rtl/>
        </w:rPr>
        <w:t>ِ</w:t>
      </w:r>
      <w:r w:rsidRPr="0068209D">
        <w:rPr>
          <w:rtl/>
        </w:rPr>
        <w:t>ل</w:t>
      </w:r>
      <w:r>
        <w:rPr>
          <w:rtl/>
        </w:rPr>
        <w:t>،</w:t>
      </w:r>
      <w:r w:rsidRPr="0068209D">
        <w:rPr>
          <w:rtl/>
        </w:rPr>
        <w:t xml:space="preserve"> في بثّها</w:t>
      </w:r>
      <w:r>
        <w:rPr>
          <w:rtl/>
        </w:rPr>
        <w:t>،</w:t>
      </w:r>
      <w:r w:rsidRPr="0068209D">
        <w:rPr>
          <w:rtl/>
        </w:rPr>
        <w:t xml:space="preserve"> المواطنين الناطقين باللغة الفنلندية وباللغة السويدية على قدم المساواة، و</w:t>
      </w:r>
      <w:r>
        <w:rPr>
          <w:rtl/>
        </w:rPr>
        <w:t xml:space="preserve">أن </w:t>
      </w:r>
      <w:r w:rsidRPr="0068209D">
        <w:rPr>
          <w:rtl/>
        </w:rPr>
        <w:t>تُنتج خدمات ب</w:t>
      </w:r>
      <w:r>
        <w:rPr>
          <w:rtl/>
        </w:rPr>
        <w:t xml:space="preserve">لغتي </w:t>
      </w:r>
      <w:r w:rsidRPr="0068209D">
        <w:rPr>
          <w:rtl/>
        </w:rPr>
        <w:t>الصامي، والروما، وبلغة الإشارة؛ وعند الاقتضاء، بلغات مجموعات لغوية أخرى في البلد، و</w:t>
      </w:r>
      <w:r>
        <w:rPr>
          <w:rtl/>
        </w:rPr>
        <w:t xml:space="preserve">أن </w:t>
      </w:r>
      <w:r w:rsidRPr="0068209D">
        <w:rPr>
          <w:rtl/>
        </w:rPr>
        <w:t>تدعم التسامح، والمساواة في المعاملة، والمساواة، والتنوع الثقافي، وتقدم برامج للأقليات والفئات الخاصة، و</w:t>
      </w:r>
      <w:r>
        <w:rPr>
          <w:rtl/>
        </w:rPr>
        <w:t xml:space="preserve">أن </w:t>
      </w:r>
      <w:r w:rsidRPr="0068209D">
        <w:rPr>
          <w:rtl/>
        </w:rPr>
        <w:t xml:space="preserve">تعزز التفاعل الثقافي، وتحافظ على الإنتاج المخصص للتوزيع الدولي. وتموَّل هيئة الإذاعة الفنلندية </w:t>
      </w:r>
      <w:r>
        <w:rPr>
          <w:rtl/>
        </w:rPr>
        <w:t>بواسطة</w:t>
      </w:r>
      <w:r w:rsidRPr="0068209D">
        <w:rPr>
          <w:rtl/>
        </w:rPr>
        <w:t xml:space="preserve"> ضريبة الهيئة التي يدفعها الأفراد والشركات. ففي عام </w:t>
      </w:r>
      <w:r w:rsidRPr="005C19F0">
        <w:rPr>
          <w:szCs w:val="20"/>
          <w:rtl/>
        </w:rPr>
        <w:t>2019</w:t>
      </w:r>
      <w:r w:rsidRPr="0068209D">
        <w:rPr>
          <w:rtl/>
        </w:rPr>
        <w:t>، وصل تمويلها إلى</w:t>
      </w:r>
      <w:r w:rsidR="00033439">
        <w:rPr>
          <w:rFonts w:hint="cs"/>
          <w:rtl/>
        </w:rPr>
        <w:t xml:space="preserve"> </w:t>
      </w:r>
      <w:r w:rsidR="00033439" w:rsidRPr="00033439">
        <w:rPr>
          <w:rFonts w:hint="cs"/>
          <w:sz w:val="12"/>
          <w:szCs w:val="20"/>
          <w:rtl/>
        </w:rPr>
        <w:t>000 134 519</w:t>
      </w:r>
      <w:r w:rsidR="00033439">
        <w:rPr>
          <w:rFonts w:hint="cs"/>
          <w:rtl/>
        </w:rPr>
        <w:t xml:space="preserve"> </w:t>
      </w:r>
      <w:r w:rsidRPr="0068209D">
        <w:rPr>
          <w:rtl/>
        </w:rPr>
        <w:t>يورو.</w:t>
      </w:r>
    </w:p>
    <w:p w14:paraId="4A568AC2" w14:textId="01D8FED8" w:rsidR="00C815DB" w:rsidRPr="00033439" w:rsidRDefault="00C815DB" w:rsidP="00384243">
      <w:pPr>
        <w:pStyle w:val="SingleTxtGA"/>
        <w:rPr>
          <w:spacing w:val="-2"/>
          <w:lang w:val="ar-SA" w:eastAsia="zh-TW" w:bidi="en-GB"/>
        </w:rPr>
      </w:pPr>
      <w:r w:rsidRPr="00033439">
        <w:rPr>
          <w:spacing w:val="-2"/>
          <w:szCs w:val="20"/>
          <w:rtl/>
        </w:rPr>
        <w:t>176</w:t>
      </w:r>
      <w:r w:rsidRPr="00033439">
        <w:rPr>
          <w:spacing w:val="-2"/>
          <w:rtl/>
        </w:rPr>
        <w:t>-</w:t>
      </w:r>
      <w:r w:rsidRPr="00033439">
        <w:rPr>
          <w:spacing w:val="-2"/>
          <w:rtl/>
        </w:rPr>
        <w:tab/>
        <w:t>ويُعهد بتوفير الخدمات باللغة السويدية إلى الكيان المسمى "</w:t>
      </w:r>
      <w:r w:rsidRPr="00033439">
        <w:rPr>
          <w:rFonts w:cs="Times New Roman"/>
          <w:spacing w:val="-2"/>
          <w:szCs w:val="20"/>
          <w:rtl/>
        </w:rPr>
        <w:t>Svenska Yle</w:t>
      </w:r>
      <w:r w:rsidR="00033439" w:rsidRPr="00033439">
        <w:rPr>
          <w:spacing w:val="-2"/>
          <w:rtl/>
        </w:rPr>
        <w:t>"</w:t>
      </w:r>
      <w:r w:rsidR="00033439" w:rsidRPr="00033439">
        <w:rPr>
          <w:rFonts w:hint="cs"/>
          <w:spacing w:val="-2"/>
          <w:rtl/>
        </w:rPr>
        <w:t>.</w:t>
      </w:r>
      <w:r w:rsidRPr="00033439">
        <w:rPr>
          <w:spacing w:val="-2"/>
          <w:rtl/>
        </w:rPr>
        <w:t xml:space="preserve"> و"</w:t>
      </w:r>
      <w:r w:rsidRPr="00033439">
        <w:rPr>
          <w:rFonts w:cs="Times New Roman"/>
          <w:spacing w:val="-2"/>
          <w:szCs w:val="20"/>
          <w:rtl/>
        </w:rPr>
        <w:t>Yle</w:t>
      </w:r>
      <w:r w:rsidR="00033439" w:rsidRPr="00033439">
        <w:rPr>
          <w:rFonts w:cs="Times New Roman" w:hint="cs"/>
          <w:spacing w:val="-2"/>
          <w:szCs w:val="20"/>
          <w:rtl/>
        </w:rPr>
        <w:t> </w:t>
      </w:r>
      <w:r w:rsidRPr="00033439">
        <w:rPr>
          <w:rFonts w:cs="Times New Roman"/>
          <w:spacing w:val="-2"/>
          <w:szCs w:val="20"/>
          <w:rtl/>
        </w:rPr>
        <w:t>Sápmi</w:t>
      </w:r>
      <w:r w:rsidR="00033439" w:rsidRPr="00033439">
        <w:rPr>
          <w:spacing w:val="-2"/>
          <w:rtl/>
        </w:rPr>
        <w:t>"</w:t>
      </w:r>
      <w:r w:rsidRPr="00033439">
        <w:rPr>
          <w:spacing w:val="-2"/>
          <w:rtl/>
        </w:rPr>
        <w:t xml:space="preserve"> هو المنتج الفنلندي الوحيد للأخبار والمحتوى الحالي، وبرامج الأطفال والشباب والبرامج التعبدية للصاميين بجميع اللغات الصامية الثلاث</w:t>
      </w:r>
      <w:r w:rsidRPr="00BB79C1">
        <w:rPr>
          <w:rtl/>
        </w:rPr>
        <w:t>:</w:t>
      </w:r>
      <w:r w:rsidRPr="00033439">
        <w:rPr>
          <w:spacing w:val="-2"/>
          <w:rtl/>
        </w:rPr>
        <w:t xml:space="preserve"> "الشمالية"، و"سكولت" (</w:t>
      </w:r>
      <w:r w:rsidRPr="00033439">
        <w:rPr>
          <w:rFonts w:cs="Times New Roman"/>
          <w:spacing w:val="-2"/>
          <w:szCs w:val="20"/>
        </w:rPr>
        <w:t>Skolt</w:t>
      </w:r>
      <w:r w:rsidRPr="00033439">
        <w:rPr>
          <w:spacing w:val="-2"/>
          <w:rtl/>
        </w:rPr>
        <w:t>)، و"إناري صامي" (</w:t>
      </w:r>
      <w:r w:rsidRPr="00033439">
        <w:rPr>
          <w:rFonts w:cs="Times New Roman"/>
          <w:spacing w:val="-2"/>
          <w:szCs w:val="20"/>
          <w:rtl/>
        </w:rPr>
        <w:t>Inari Sámi</w:t>
      </w:r>
      <w:r w:rsidRPr="00033439">
        <w:rPr>
          <w:spacing w:val="-2"/>
          <w:rtl/>
        </w:rPr>
        <w:t xml:space="preserve">). وتذيع هيئة الإذاعة الفنلندية </w:t>
      </w:r>
      <w:r w:rsidR="00C74C59">
        <w:rPr>
          <w:spacing w:val="-2"/>
          <w:rtl/>
        </w:rPr>
        <w:t>أيضاً</w:t>
      </w:r>
      <w:r w:rsidRPr="00033439">
        <w:rPr>
          <w:spacing w:val="-2"/>
          <w:rtl/>
        </w:rPr>
        <w:t xml:space="preserve"> أخبارا</w:t>
      </w:r>
      <w:r w:rsidR="00D150CB" w:rsidRPr="00033439">
        <w:rPr>
          <w:rFonts w:hint="cs"/>
          <w:spacing w:val="-2"/>
          <w:rtl/>
        </w:rPr>
        <w:t>ً</w:t>
      </w:r>
      <w:r w:rsidRPr="00033439">
        <w:rPr>
          <w:spacing w:val="-2"/>
          <w:rtl/>
        </w:rPr>
        <w:t xml:space="preserve"> بلغة الإشارة والروما والروسية والإنكليزية.</w:t>
      </w:r>
    </w:p>
    <w:p w14:paraId="751617E7" w14:textId="77777777" w:rsidR="00C815DB" w:rsidRPr="00384243" w:rsidRDefault="00C815DB" w:rsidP="00384243">
      <w:pPr>
        <w:pStyle w:val="H23GA"/>
        <w:rPr>
          <w:rtl/>
          <w:lang w:eastAsia="zh-TW"/>
        </w:rPr>
      </w:pPr>
      <w:bookmarkStart w:id="51" w:name="_Toc32364312"/>
      <w:r w:rsidRPr="0068209D">
        <w:rPr>
          <w:rtl/>
        </w:rPr>
        <w:tab/>
      </w:r>
      <w:r w:rsidRPr="0068209D">
        <w:rPr>
          <w:rtl/>
        </w:rPr>
        <w:tab/>
        <w:t>الإعانات ال</w:t>
      </w:r>
      <w:r>
        <w:rPr>
          <w:rtl/>
        </w:rPr>
        <w:t>مالية لل</w:t>
      </w:r>
      <w:r w:rsidRPr="0068209D">
        <w:rPr>
          <w:rtl/>
        </w:rPr>
        <w:t>صحف</w:t>
      </w:r>
      <w:bookmarkEnd w:id="51"/>
    </w:p>
    <w:p w14:paraId="6B9FFA8B" w14:textId="225D4529" w:rsidR="00C815DB" w:rsidRPr="00C726A7" w:rsidRDefault="00C815DB" w:rsidP="00384243">
      <w:pPr>
        <w:pStyle w:val="SingleTxtGA"/>
        <w:rPr>
          <w:lang w:eastAsia="zh-TW" w:bidi="en-GB"/>
        </w:rPr>
      </w:pPr>
      <w:r w:rsidRPr="005C19F0">
        <w:rPr>
          <w:szCs w:val="20"/>
          <w:rtl/>
        </w:rPr>
        <w:t>177</w:t>
      </w:r>
      <w:r w:rsidRPr="00EF3655">
        <w:rPr>
          <w:rtl/>
        </w:rPr>
        <w:t>-</w:t>
      </w:r>
      <w:r w:rsidRPr="0068209D">
        <w:rPr>
          <w:rtl/>
        </w:rPr>
        <w:tab/>
        <w:t>ينص المرسوم الحكومي المتعلق بمنح الإعانات</w:t>
      </w:r>
      <w:r>
        <w:rPr>
          <w:rtl/>
        </w:rPr>
        <w:t xml:space="preserve"> المالية للصحف </w:t>
      </w:r>
      <w:r w:rsidRPr="00794E95">
        <w:rPr>
          <w:rtl/>
        </w:rPr>
        <w:t>(</w:t>
      </w:r>
      <w:r w:rsidRPr="005C19F0">
        <w:rPr>
          <w:szCs w:val="20"/>
          <w:rtl/>
        </w:rPr>
        <w:t>389</w:t>
      </w:r>
      <w:r>
        <w:rPr>
          <w:rtl/>
        </w:rPr>
        <w:t>/</w:t>
      </w:r>
      <w:r w:rsidRPr="005C19F0">
        <w:rPr>
          <w:szCs w:val="20"/>
          <w:rtl/>
        </w:rPr>
        <w:t>2008</w:t>
      </w:r>
      <w:r w:rsidRPr="00794E95">
        <w:rPr>
          <w:rtl/>
        </w:rPr>
        <w:t>)</w:t>
      </w:r>
      <w:r w:rsidRPr="0068209D">
        <w:rPr>
          <w:rtl/>
        </w:rPr>
        <w:t xml:space="preserve"> على أحكام بشأن </w:t>
      </w:r>
      <w:r>
        <w:rPr>
          <w:rtl/>
        </w:rPr>
        <w:t xml:space="preserve">تلك </w:t>
      </w:r>
      <w:r w:rsidRPr="0068209D">
        <w:rPr>
          <w:rtl/>
        </w:rPr>
        <w:t xml:space="preserve">الإعانات </w:t>
      </w:r>
      <w:r>
        <w:rPr>
          <w:rtl/>
        </w:rPr>
        <w:t>ب</w:t>
      </w:r>
      <w:r w:rsidRPr="0068209D">
        <w:rPr>
          <w:rtl/>
        </w:rPr>
        <w:t>هدف تشجيع نشر الصحف والمجلات الإلكتروني</w:t>
      </w:r>
      <w:r>
        <w:rPr>
          <w:rtl/>
        </w:rPr>
        <w:t>ة</w:t>
      </w:r>
      <w:r w:rsidRPr="0068209D">
        <w:rPr>
          <w:rtl/>
        </w:rPr>
        <w:t xml:space="preserve"> باللغات السويدية والصامية والكرليانية ولغة الروما وكذلك بلغة الإشارة. و</w:t>
      </w:r>
      <w:r>
        <w:rPr>
          <w:rtl/>
        </w:rPr>
        <w:t>يجوز</w:t>
      </w:r>
      <w:r w:rsidRPr="0068209D">
        <w:rPr>
          <w:rtl/>
        </w:rPr>
        <w:t xml:space="preserve"> أيضاً منح مساعدة مالية ل</w:t>
      </w:r>
      <w:r>
        <w:rPr>
          <w:rtl/>
        </w:rPr>
        <w:t xml:space="preserve">أجل </w:t>
      </w:r>
      <w:r w:rsidRPr="0068209D">
        <w:rPr>
          <w:rtl/>
        </w:rPr>
        <w:t xml:space="preserve">إنتاج خدمات إخبارية باللغة السويدية ولإنتاج ونشر محتوى باللغة الصامية </w:t>
      </w:r>
      <w:r>
        <w:rPr>
          <w:rtl/>
        </w:rPr>
        <w:t>ل</w:t>
      </w:r>
      <w:r w:rsidRPr="0068209D">
        <w:rPr>
          <w:rtl/>
        </w:rPr>
        <w:t xml:space="preserve">صحيفة أو مجلة تصدر باللغة الفنلندية أو السويدية. ويرمي المرسوم من ثم إلى تعزيز حرية التعبير، إضافة إلى تنوع الاتصالات وتعدديتها. وبلغت الإعانات </w:t>
      </w:r>
      <w:r>
        <w:rPr>
          <w:rtl/>
        </w:rPr>
        <w:t xml:space="preserve">المالية </w:t>
      </w:r>
      <w:r w:rsidRPr="0068209D">
        <w:rPr>
          <w:rtl/>
        </w:rPr>
        <w:t xml:space="preserve">المقدمة إلى الصحف </w:t>
      </w:r>
      <w:r w:rsidR="00165BDD">
        <w:rPr>
          <w:rFonts w:hint="cs"/>
          <w:szCs w:val="20"/>
          <w:rtl/>
        </w:rPr>
        <w:t>000 500</w:t>
      </w:r>
      <w:r w:rsidRPr="0068209D">
        <w:rPr>
          <w:rtl/>
        </w:rPr>
        <w:t xml:space="preserve"> يورو في عام </w:t>
      </w:r>
      <w:r w:rsidRPr="005C19F0">
        <w:rPr>
          <w:szCs w:val="20"/>
          <w:rtl/>
        </w:rPr>
        <w:t>2019</w:t>
      </w:r>
      <w:r w:rsidRPr="0068209D">
        <w:rPr>
          <w:rtl/>
        </w:rPr>
        <w:t>.</w:t>
      </w:r>
    </w:p>
    <w:p w14:paraId="735B89A0" w14:textId="0988E200" w:rsidR="00C815DB" w:rsidRPr="00384243" w:rsidRDefault="00C815DB" w:rsidP="00384243">
      <w:pPr>
        <w:pStyle w:val="H23GA"/>
        <w:rPr>
          <w:rtl/>
          <w:lang w:eastAsia="zh-TW"/>
        </w:rPr>
      </w:pPr>
      <w:bookmarkStart w:id="52" w:name="_Toc32364313"/>
      <w:r>
        <w:rPr>
          <w:rtl/>
        </w:rPr>
        <w:tab/>
      </w:r>
      <w:r w:rsidRPr="00794E95">
        <w:rPr>
          <w:rtl/>
        </w:rPr>
        <w:t>(</w:t>
      </w:r>
      <w:r w:rsidRPr="0068209D">
        <w:rPr>
          <w:rtl/>
        </w:rPr>
        <w:t>س</w:t>
      </w:r>
      <w:r w:rsidRPr="00794E95">
        <w:rPr>
          <w:rtl/>
        </w:rPr>
        <w:t>)</w:t>
      </w:r>
      <w:r w:rsidR="00384243">
        <w:rPr>
          <w:rtl/>
        </w:rPr>
        <w:tab/>
      </w:r>
      <w:r w:rsidRPr="0068209D">
        <w:rPr>
          <w:rtl/>
        </w:rPr>
        <w:t>المحاكم</w:t>
      </w:r>
      <w:bookmarkEnd w:id="52"/>
    </w:p>
    <w:p w14:paraId="19BBA4F5" w14:textId="13F1F3A6" w:rsidR="00C815DB" w:rsidRPr="00DE7DDD" w:rsidRDefault="00C815DB" w:rsidP="00384243">
      <w:pPr>
        <w:pStyle w:val="SingleTxtGA"/>
        <w:rPr>
          <w:lang w:eastAsia="zh-TW" w:bidi="en-GB"/>
        </w:rPr>
      </w:pPr>
      <w:r w:rsidRPr="005C19F0">
        <w:rPr>
          <w:szCs w:val="20"/>
          <w:rtl/>
        </w:rPr>
        <w:t>178</w:t>
      </w:r>
      <w:r w:rsidRPr="00EF3655">
        <w:rPr>
          <w:rtl/>
        </w:rPr>
        <w:t>-</w:t>
      </w:r>
      <w:r w:rsidRPr="0068209D">
        <w:rPr>
          <w:rtl/>
        </w:rPr>
        <w:tab/>
        <w:t xml:space="preserve">بموجب الفقرة </w:t>
      </w:r>
      <w:r w:rsidRPr="005C19F0">
        <w:rPr>
          <w:szCs w:val="20"/>
          <w:rtl/>
        </w:rPr>
        <w:t>3</w:t>
      </w:r>
      <w:r w:rsidRPr="0068209D">
        <w:rPr>
          <w:rtl/>
        </w:rPr>
        <w:t xml:space="preserve"> من المادة </w:t>
      </w:r>
      <w:r w:rsidRPr="005C19F0">
        <w:rPr>
          <w:szCs w:val="20"/>
          <w:rtl/>
        </w:rPr>
        <w:t>3</w:t>
      </w:r>
      <w:r w:rsidRPr="0068209D">
        <w:rPr>
          <w:rtl/>
        </w:rPr>
        <w:t xml:space="preserve"> من دستور فنلندا، يمارس السلطاتِ القضائية </w:t>
      </w:r>
      <w:r>
        <w:rPr>
          <w:rtl/>
        </w:rPr>
        <w:t>محاكم عادية</w:t>
      </w:r>
      <w:r w:rsidRPr="0068209D">
        <w:rPr>
          <w:rtl/>
        </w:rPr>
        <w:t xml:space="preserve"> مستقلة، </w:t>
      </w:r>
      <w:r w:rsidR="00853B96">
        <w:rPr>
          <w:rtl/>
        </w:rPr>
        <w:t>علماً</w:t>
      </w:r>
      <w:r w:rsidRPr="0068209D">
        <w:rPr>
          <w:rtl/>
        </w:rPr>
        <w:t xml:space="preserve"> بأن المحكمة العليا والمحكمة الإدارية العليا هما أعلى الهيئات القضائية. ولا تُنشأ محاكم مؤقتة. وتنقسم منظومة المحاكم الفنلندية قسمين اثنين</w:t>
      </w:r>
      <w:r w:rsidRPr="00BB79C1">
        <w:rPr>
          <w:rtl/>
        </w:rPr>
        <w:t>:</w:t>
      </w:r>
      <w:r w:rsidRPr="0068209D">
        <w:rPr>
          <w:rtl/>
        </w:rPr>
        <w:t xml:space="preserve"> المحاكم العامة والمحاكم الإدارية. ويكمل هذين القسمين بعض المحاكم المتخصصة.</w:t>
      </w:r>
    </w:p>
    <w:p w14:paraId="4EB3F8C9" w14:textId="77777777" w:rsidR="00C815DB" w:rsidRPr="00384243" w:rsidRDefault="00C815DB" w:rsidP="00384243">
      <w:pPr>
        <w:pStyle w:val="H23GA"/>
        <w:rPr>
          <w:rtl/>
          <w:lang w:eastAsia="zh-TW"/>
        </w:rPr>
      </w:pPr>
      <w:bookmarkStart w:id="53" w:name="_Toc32364314"/>
      <w:r w:rsidRPr="0068209D">
        <w:rPr>
          <w:rtl/>
        </w:rPr>
        <w:tab/>
      </w:r>
      <w:r w:rsidRPr="0068209D">
        <w:rPr>
          <w:rtl/>
        </w:rPr>
        <w:tab/>
        <w:t>المحاكم المحلية ومحاكم الاستئناف والمحكمة العليا</w:t>
      </w:r>
      <w:bookmarkEnd w:id="53"/>
    </w:p>
    <w:p w14:paraId="695C102F" w14:textId="2BC0FD0C" w:rsidR="00C815DB" w:rsidRPr="00C726A7" w:rsidRDefault="00C815DB" w:rsidP="00384243">
      <w:pPr>
        <w:pStyle w:val="SingleTxtGA"/>
        <w:rPr>
          <w:lang w:eastAsia="zh-TW" w:bidi="en-GB"/>
        </w:rPr>
      </w:pPr>
      <w:r w:rsidRPr="005C19F0">
        <w:rPr>
          <w:szCs w:val="20"/>
          <w:rtl/>
        </w:rPr>
        <w:t>179</w:t>
      </w:r>
      <w:r w:rsidRPr="00EF3655">
        <w:rPr>
          <w:rtl/>
        </w:rPr>
        <w:t>-</w:t>
      </w:r>
      <w:r w:rsidRPr="0068209D">
        <w:rPr>
          <w:rtl/>
        </w:rPr>
        <w:tab/>
        <w:t>تنظر المحاكم المحلية الفنلندية في القضايا الجنائية والقضايا المدنية والمسائل الالتماسية. وتوجد</w:t>
      </w:r>
      <w:r w:rsidR="006B013E">
        <w:rPr>
          <w:rFonts w:hint="cs"/>
          <w:rtl/>
        </w:rPr>
        <w:t> </w:t>
      </w:r>
      <w:r w:rsidRPr="005C19F0">
        <w:rPr>
          <w:szCs w:val="20"/>
          <w:rtl/>
        </w:rPr>
        <w:t>20</w:t>
      </w:r>
      <w:r w:rsidRPr="0068209D">
        <w:rPr>
          <w:rtl/>
        </w:rPr>
        <w:t xml:space="preserve"> محكمة محلية في فنلندا. ويرأس المحكمة المحلية رئيس</w:t>
      </w:r>
      <w:r w:rsidRPr="00794E95">
        <w:rPr>
          <w:rtl/>
        </w:rPr>
        <w:t>(</w:t>
      </w:r>
      <w:r w:rsidRPr="0068209D">
        <w:rPr>
          <w:rtl/>
        </w:rPr>
        <w:t>ة</w:t>
      </w:r>
      <w:r w:rsidRPr="00794E95">
        <w:rPr>
          <w:rtl/>
        </w:rPr>
        <w:t>)</w:t>
      </w:r>
      <w:r w:rsidRPr="0068209D">
        <w:rPr>
          <w:rtl/>
        </w:rPr>
        <w:t xml:space="preserve"> قضاة؛ و</w:t>
      </w:r>
      <w:r>
        <w:rPr>
          <w:rtl/>
        </w:rPr>
        <w:t>ل</w:t>
      </w:r>
      <w:r w:rsidRPr="0068209D">
        <w:rPr>
          <w:rtl/>
        </w:rPr>
        <w:t>لقضاة الآخر</w:t>
      </w:r>
      <w:r>
        <w:rPr>
          <w:rtl/>
        </w:rPr>
        <w:t>ي</w:t>
      </w:r>
      <w:r w:rsidRPr="0068209D">
        <w:rPr>
          <w:rtl/>
        </w:rPr>
        <w:t>ن صفة قاض</w:t>
      </w:r>
      <w:r>
        <w:rPr>
          <w:rtl/>
        </w:rPr>
        <w:t>ٍ</w:t>
      </w:r>
      <w:r w:rsidRPr="00794E95">
        <w:rPr>
          <w:rtl/>
        </w:rPr>
        <w:t>(</w:t>
      </w:r>
      <w:r>
        <w:rPr>
          <w:rtl/>
        </w:rPr>
        <w:t>ة</w:t>
      </w:r>
      <w:r w:rsidRPr="00794E95">
        <w:rPr>
          <w:rtl/>
        </w:rPr>
        <w:t>)</w:t>
      </w:r>
      <w:r w:rsidRPr="0068209D">
        <w:rPr>
          <w:rtl/>
        </w:rPr>
        <w:t xml:space="preserve"> محلي</w:t>
      </w:r>
      <w:r w:rsidRPr="00794E95">
        <w:rPr>
          <w:rtl/>
        </w:rPr>
        <w:t>(</w:t>
      </w:r>
      <w:r>
        <w:rPr>
          <w:rtl/>
        </w:rPr>
        <w:t>ة</w:t>
      </w:r>
      <w:r w:rsidRPr="00794E95">
        <w:rPr>
          <w:rtl/>
        </w:rPr>
        <w:t>)</w:t>
      </w:r>
      <w:r w:rsidRPr="0068209D">
        <w:rPr>
          <w:rtl/>
        </w:rPr>
        <w:t xml:space="preserve">. وفي بعض الحالات، قد يكون للمحكمة المحلية أيضاً قضاة غير محترفين. ويُنظر </w:t>
      </w:r>
      <w:r>
        <w:rPr>
          <w:rtl/>
        </w:rPr>
        <w:t xml:space="preserve">في </w:t>
      </w:r>
      <w:r w:rsidRPr="0068209D">
        <w:rPr>
          <w:rtl/>
        </w:rPr>
        <w:t>القضايا و</w:t>
      </w:r>
      <w:r>
        <w:rPr>
          <w:rtl/>
        </w:rPr>
        <w:t xml:space="preserve">يُفصل </w:t>
      </w:r>
      <w:r w:rsidRPr="0068209D">
        <w:rPr>
          <w:rtl/>
        </w:rPr>
        <w:t xml:space="preserve">فيها إما في جلسة محكمة، يُستدعى إليها الطرفان، أو في إطار الإجراء الكتابي الذي يستند فيه القرار إلى وثائق فقط. </w:t>
      </w:r>
      <w:r>
        <w:rPr>
          <w:rtl/>
        </w:rPr>
        <w:t xml:space="preserve">أما </w:t>
      </w:r>
      <w:r w:rsidRPr="0068209D">
        <w:rPr>
          <w:rtl/>
        </w:rPr>
        <w:t xml:space="preserve">القضايا البسيطة، </w:t>
      </w:r>
      <w:r>
        <w:rPr>
          <w:rtl/>
        </w:rPr>
        <w:t>فيجوز</w:t>
      </w:r>
      <w:r w:rsidRPr="0068209D">
        <w:rPr>
          <w:rtl/>
        </w:rPr>
        <w:t xml:space="preserve"> </w:t>
      </w:r>
      <w:r>
        <w:rPr>
          <w:rtl/>
        </w:rPr>
        <w:t>ل</w:t>
      </w:r>
      <w:r w:rsidRPr="0068209D">
        <w:rPr>
          <w:rtl/>
        </w:rPr>
        <w:t>قاض</w:t>
      </w:r>
      <w:r w:rsidRPr="00794E95">
        <w:rPr>
          <w:rtl/>
        </w:rPr>
        <w:t>(</w:t>
      </w:r>
      <w:r>
        <w:rPr>
          <w:rtl/>
        </w:rPr>
        <w:t>ة</w:t>
      </w:r>
      <w:r w:rsidRPr="00794E95">
        <w:rPr>
          <w:rtl/>
        </w:rPr>
        <w:t>)</w:t>
      </w:r>
      <w:r w:rsidRPr="0068209D">
        <w:rPr>
          <w:rtl/>
        </w:rPr>
        <w:t xml:space="preserve"> محلي</w:t>
      </w:r>
      <w:r w:rsidRPr="00794E95">
        <w:rPr>
          <w:rtl/>
        </w:rPr>
        <w:t>(</w:t>
      </w:r>
      <w:r>
        <w:rPr>
          <w:rtl/>
        </w:rPr>
        <w:t>ة</w:t>
      </w:r>
      <w:r w:rsidRPr="00794E95">
        <w:rPr>
          <w:rtl/>
        </w:rPr>
        <w:t>)</w:t>
      </w:r>
      <w:r w:rsidRPr="0068209D">
        <w:rPr>
          <w:rtl/>
        </w:rPr>
        <w:t xml:space="preserve"> متدرب</w:t>
      </w:r>
      <w:r w:rsidRPr="00794E95">
        <w:rPr>
          <w:rtl/>
        </w:rPr>
        <w:t>(</w:t>
      </w:r>
      <w:r>
        <w:rPr>
          <w:rtl/>
        </w:rPr>
        <w:t>ة</w:t>
      </w:r>
      <w:r w:rsidRPr="00794E95">
        <w:rPr>
          <w:rtl/>
        </w:rPr>
        <w:t>)</w:t>
      </w:r>
      <w:r w:rsidRPr="0068209D">
        <w:rPr>
          <w:rtl/>
        </w:rPr>
        <w:t xml:space="preserve"> و</w:t>
      </w:r>
      <w:r>
        <w:rPr>
          <w:rtl/>
        </w:rPr>
        <w:t>ل</w:t>
      </w:r>
      <w:r w:rsidRPr="0068209D">
        <w:rPr>
          <w:rtl/>
        </w:rPr>
        <w:t>موظفي مكتب مدر</w:t>
      </w:r>
      <w:r>
        <w:rPr>
          <w:rtl/>
        </w:rPr>
        <w:t>َّ</w:t>
      </w:r>
      <w:r w:rsidRPr="0068209D">
        <w:rPr>
          <w:rtl/>
        </w:rPr>
        <w:t>بين</w:t>
      </w:r>
      <w:r>
        <w:rPr>
          <w:rtl/>
        </w:rPr>
        <w:t xml:space="preserve"> التقرير فيها</w:t>
      </w:r>
      <w:r w:rsidRPr="0068209D">
        <w:rPr>
          <w:rtl/>
        </w:rPr>
        <w:t>.</w:t>
      </w:r>
    </w:p>
    <w:p w14:paraId="0BE5BAC3" w14:textId="3E92C32A" w:rsidR="00C815DB" w:rsidRPr="00C726A7" w:rsidRDefault="00C815DB" w:rsidP="00384243">
      <w:pPr>
        <w:pStyle w:val="SingleTxtGA"/>
        <w:rPr>
          <w:lang w:eastAsia="zh-TW" w:bidi="en-GB"/>
        </w:rPr>
      </w:pPr>
      <w:r w:rsidRPr="005C19F0">
        <w:rPr>
          <w:szCs w:val="20"/>
          <w:rtl/>
        </w:rPr>
        <w:lastRenderedPageBreak/>
        <w:t>180</w:t>
      </w:r>
      <w:r w:rsidRPr="00EF3655">
        <w:rPr>
          <w:rtl/>
        </w:rPr>
        <w:t>-</w:t>
      </w:r>
      <w:r w:rsidRPr="0068209D">
        <w:rPr>
          <w:rtl/>
        </w:rPr>
        <w:tab/>
        <w:t xml:space="preserve">ويمكن أن تخضع للوساطة المسائل المدنية والالتماسية التي يمكن أن تنظر فيها المحكمة </w:t>
      </w:r>
      <w:r w:rsidR="00C74C59">
        <w:rPr>
          <w:rtl/>
        </w:rPr>
        <w:t>أيضاً</w:t>
      </w:r>
      <w:r w:rsidRPr="0068209D">
        <w:rPr>
          <w:rtl/>
        </w:rPr>
        <w:t>. وقد يتعلق النزاع</w:t>
      </w:r>
      <w:r>
        <w:rPr>
          <w:rtl/>
        </w:rPr>
        <w:t>،</w:t>
      </w:r>
      <w:r w:rsidRPr="0068209D">
        <w:rPr>
          <w:rtl/>
        </w:rPr>
        <w:t xml:space="preserve"> على سبيل المثال</w:t>
      </w:r>
      <w:r>
        <w:rPr>
          <w:rtl/>
        </w:rPr>
        <w:t>،</w:t>
      </w:r>
      <w:r w:rsidRPr="0068209D">
        <w:rPr>
          <w:rtl/>
        </w:rPr>
        <w:t xml:space="preserve"> باتفاق أو مسألة ترتبط بالميراث أو مطالبة بالتعويض عن أضرار. ويمكن </w:t>
      </w:r>
      <w:r w:rsidR="00C74C59">
        <w:rPr>
          <w:rtl/>
        </w:rPr>
        <w:t>أيضاً</w:t>
      </w:r>
      <w:r w:rsidRPr="0068209D">
        <w:rPr>
          <w:rtl/>
        </w:rPr>
        <w:t xml:space="preserve"> تسوية المنازعات المتعلقة بحضانة الأطفال وحقهم في تلقي الزيارات والإعالة عن طريق الوساطة. </w:t>
      </w:r>
    </w:p>
    <w:p w14:paraId="073A7C99" w14:textId="77777777" w:rsidR="00C815DB" w:rsidRPr="0068209D" w:rsidRDefault="00C815DB" w:rsidP="00384243">
      <w:pPr>
        <w:pStyle w:val="SingleTxtGA"/>
        <w:rPr>
          <w:i/>
          <w:lang w:val="ar-SA" w:eastAsia="zh-TW" w:bidi="en-GB"/>
        </w:rPr>
      </w:pPr>
      <w:r w:rsidRPr="005C19F0">
        <w:rPr>
          <w:szCs w:val="20"/>
          <w:rtl/>
        </w:rPr>
        <w:t>181</w:t>
      </w:r>
      <w:r w:rsidRPr="00EF3655">
        <w:rPr>
          <w:rtl/>
        </w:rPr>
        <w:t>-</w:t>
      </w:r>
      <w:r w:rsidRPr="0068209D">
        <w:rPr>
          <w:rtl/>
        </w:rPr>
        <w:tab/>
        <w:t>وثمة سبل بديلة أخرى لتسوية المنازعات في أنواع عديدة من القضايا. فعلى سبيل المثال، ي</w:t>
      </w:r>
      <w:r>
        <w:rPr>
          <w:rtl/>
        </w:rPr>
        <w:t>خوض</w:t>
      </w:r>
      <w:r w:rsidRPr="0068209D">
        <w:rPr>
          <w:rtl/>
        </w:rPr>
        <w:t xml:space="preserve"> مجلس الخدمات الاستشارية للمستهلكين ومجلس منازعات المستهلكين </w:t>
      </w:r>
      <w:r>
        <w:rPr>
          <w:rtl/>
        </w:rPr>
        <w:t xml:space="preserve">في </w:t>
      </w:r>
      <w:r w:rsidRPr="0068209D">
        <w:rPr>
          <w:rtl/>
        </w:rPr>
        <w:t>المنازعات المتعلقة بحماية المستهلك، وهناك إجراء منفصل للوساطة في المسائل الجنائية.</w:t>
      </w:r>
    </w:p>
    <w:p w14:paraId="69CA9E12" w14:textId="6F1010F1" w:rsidR="00C815DB" w:rsidRPr="0068209D" w:rsidRDefault="00C815DB" w:rsidP="006753A3">
      <w:pPr>
        <w:pStyle w:val="SingleTxtGA"/>
        <w:spacing w:after="0"/>
        <w:rPr>
          <w:lang w:eastAsia="zh-TW" w:bidi="en-GB"/>
        </w:rPr>
      </w:pPr>
      <w:r w:rsidRPr="0068209D">
        <w:rPr>
          <w:rtl/>
        </w:rPr>
        <w:t xml:space="preserve">الجدول </w:t>
      </w:r>
      <w:r w:rsidRPr="005C19F0">
        <w:rPr>
          <w:szCs w:val="20"/>
          <w:rtl/>
        </w:rPr>
        <w:t>8</w:t>
      </w:r>
    </w:p>
    <w:p w14:paraId="1D1F03FD" w14:textId="77777777" w:rsidR="00C815DB" w:rsidRPr="00384243" w:rsidRDefault="00C815DB" w:rsidP="00384243">
      <w:pPr>
        <w:pStyle w:val="SingleTxtGA"/>
        <w:rPr>
          <w:b/>
          <w:bCs/>
          <w:lang w:val="ar-SA" w:eastAsia="zh-TW" w:bidi="en-GB"/>
        </w:rPr>
      </w:pPr>
      <w:r w:rsidRPr="00384243">
        <w:rPr>
          <w:b/>
          <w:bCs/>
          <w:rtl/>
        </w:rPr>
        <w:t xml:space="preserve">القضايا التي نظرت فيها محاكم محلية، </w:t>
      </w:r>
      <w:r w:rsidRPr="005C19F0">
        <w:rPr>
          <w:b/>
          <w:bCs/>
          <w:szCs w:val="20"/>
          <w:rtl/>
        </w:rPr>
        <w:t>2006</w:t>
      </w:r>
      <w:r w:rsidRPr="00EF3655">
        <w:rPr>
          <w:rtl/>
        </w:rPr>
        <w:t>-</w:t>
      </w:r>
      <w:r w:rsidRPr="005C19F0">
        <w:rPr>
          <w:b/>
          <w:bCs/>
          <w:szCs w:val="20"/>
          <w:rtl/>
        </w:rPr>
        <w:t>2018</w:t>
      </w:r>
      <w:r w:rsidRPr="00384243">
        <w:rPr>
          <w:b/>
          <w:bCs/>
          <w:rtl/>
        </w:rPr>
        <w:t xml:space="preserve"> </w:t>
      </w:r>
    </w:p>
    <w:tbl>
      <w:tblPr>
        <w:bidiVisual/>
        <w:tblW w:w="7219" w:type="dxa"/>
        <w:tblInd w:w="12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1"/>
        <w:gridCol w:w="1879"/>
        <w:gridCol w:w="2381"/>
        <w:gridCol w:w="1274"/>
        <w:gridCol w:w="14"/>
      </w:tblGrid>
      <w:tr w:rsidR="00C815DB" w:rsidRPr="0068209D" w14:paraId="61CF16E5" w14:textId="77777777" w:rsidTr="000A1C86">
        <w:trPr>
          <w:tblHeader/>
        </w:trPr>
        <w:tc>
          <w:tcPr>
            <w:tcW w:w="1671" w:type="dxa"/>
            <w:tcBorders>
              <w:top w:val="single" w:sz="4" w:space="0" w:color="auto"/>
              <w:bottom w:val="single" w:sz="12" w:space="0" w:color="auto"/>
            </w:tcBorders>
            <w:shd w:val="clear" w:color="auto" w:fill="auto"/>
            <w:vAlign w:val="bottom"/>
            <w:hideMark/>
          </w:tcPr>
          <w:p w14:paraId="49E8C685" w14:textId="77777777" w:rsidR="00C815DB" w:rsidRPr="006753A3" w:rsidRDefault="00C815DB" w:rsidP="006753A3">
            <w:pPr>
              <w:spacing w:before="20" w:after="20" w:line="300" w:lineRule="exact"/>
              <w:ind w:left="57" w:right="57"/>
              <w:textDirection w:val="tbRlV"/>
              <w:rPr>
                <w:bCs/>
                <w:i/>
                <w:sz w:val="26"/>
                <w:szCs w:val="26"/>
                <w:lang w:val="ar-SA" w:eastAsia="zh-TW" w:bidi="en-GB"/>
              </w:rPr>
            </w:pPr>
            <w:r w:rsidRPr="006753A3">
              <w:rPr>
                <w:i/>
                <w:iCs/>
                <w:sz w:val="26"/>
                <w:szCs w:val="26"/>
                <w:rtl/>
              </w:rPr>
              <w:t>السنة/القضية</w:t>
            </w:r>
          </w:p>
        </w:tc>
        <w:tc>
          <w:tcPr>
            <w:tcW w:w="1879" w:type="dxa"/>
            <w:tcBorders>
              <w:top w:val="single" w:sz="4" w:space="0" w:color="auto"/>
              <w:bottom w:val="single" w:sz="12" w:space="0" w:color="auto"/>
            </w:tcBorders>
            <w:shd w:val="clear" w:color="auto" w:fill="auto"/>
            <w:vAlign w:val="bottom"/>
            <w:hideMark/>
          </w:tcPr>
          <w:p w14:paraId="0214AC58" w14:textId="77777777" w:rsidR="00C815DB" w:rsidRPr="006753A3" w:rsidRDefault="00C815DB" w:rsidP="006753A3">
            <w:pPr>
              <w:spacing w:before="20" w:after="20" w:line="300" w:lineRule="exact"/>
              <w:ind w:left="57" w:right="57"/>
              <w:textDirection w:val="tbRlV"/>
              <w:rPr>
                <w:bCs/>
                <w:i/>
                <w:sz w:val="26"/>
                <w:szCs w:val="26"/>
                <w:lang w:val="ar-SA" w:eastAsia="zh-TW" w:bidi="en-GB"/>
              </w:rPr>
            </w:pPr>
            <w:r w:rsidRPr="006753A3">
              <w:rPr>
                <w:i/>
                <w:iCs/>
                <w:sz w:val="26"/>
                <w:szCs w:val="26"/>
                <w:rtl/>
              </w:rPr>
              <w:t>القضايا الواردة</w:t>
            </w:r>
          </w:p>
        </w:tc>
        <w:tc>
          <w:tcPr>
            <w:tcW w:w="2381" w:type="dxa"/>
            <w:tcBorders>
              <w:top w:val="single" w:sz="4" w:space="0" w:color="auto"/>
              <w:bottom w:val="single" w:sz="12" w:space="0" w:color="auto"/>
            </w:tcBorders>
            <w:shd w:val="clear" w:color="auto" w:fill="auto"/>
            <w:vAlign w:val="bottom"/>
            <w:hideMark/>
          </w:tcPr>
          <w:p w14:paraId="6E245F24" w14:textId="77777777" w:rsidR="00C815DB" w:rsidRPr="006753A3" w:rsidRDefault="00C815DB" w:rsidP="006753A3">
            <w:pPr>
              <w:spacing w:before="20" w:after="20" w:line="300" w:lineRule="exact"/>
              <w:ind w:left="57" w:right="57"/>
              <w:textDirection w:val="tbRlV"/>
              <w:rPr>
                <w:bCs/>
                <w:i/>
                <w:sz w:val="26"/>
                <w:szCs w:val="26"/>
                <w:lang w:val="ar-SA" w:eastAsia="zh-TW" w:bidi="en-GB"/>
              </w:rPr>
            </w:pPr>
            <w:r w:rsidRPr="006753A3">
              <w:rPr>
                <w:i/>
                <w:iCs/>
                <w:sz w:val="26"/>
                <w:szCs w:val="26"/>
                <w:rtl/>
              </w:rPr>
              <w:t>القضايا التي فُصل فيها</w:t>
            </w:r>
          </w:p>
        </w:tc>
        <w:tc>
          <w:tcPr>
            <w:tcW w:w="1288" w:type="dxa"/>
            <w:gridSpan w:val="2"/>
            <w:tcBorders>
              <w:top w:val="single" w:sz="4" w:space="0" w:color="auto"/>
              <w:bottom w:val="single" w:sz="12" w:space="0" w:color="auto"/>
            </w:tcBorders>
            <w:shd w:val="clear" w:color="auto" w:fill="auto"/>
            <w:vAlign w:val="bottom"/>
            <w:hideMark/>
          </w:tcPr>
          <w:p w14:paraId="0462EA9C" w14:textId="77777777" w:rsidR="00C815DB" w:rsidRPr="006753A3" w:rsidRDefault="00C815DB" w:rsidP="006753A3">
            <w:pPr>
              <w:spacing w:before="20" w:after="20" w:line="300" w:lineRule="exact"/>
              <w:ind w:left="57" w:right="57"/>
              <w:textDirection w:val="tbRlV"/>
              <w:rPr>
                <w:bCs/>
                <w:i/>
                <w:sz w:val="26"/>
                <w:szCs w:val="26"/>
                <w:lang w:val="ar-SA" w:eastAsia="zh-TW" w:bidi="en-GB"/>
              </w:rPr>
            </w:pPr>
            <w:r w:rsidRPr="006753A3">
              <w:rPr>
                <w:i/>
                <w:iCs/>
                <w:sz w:val="26"/>
                <w:szCs w:val="26"/>
                <w:rtl/>
              </w:rPr>
              <w:t>القضايا قيد النظر</w:t>
            </w:r>
          </w:p>
        </w:tc>
      </w:tr>
      <w:tr w:rsidR="006753A3" w:rsidRPr="0068209D" w14:paraId="0629FB41" w14:textId="77777777" w:rsidTr="000A1C86">
        <w:trPr>
          <w:gridAfter w:val="1"/>
          <w:wAfter w:w="14" w:type="dxa"/>
        </w:trPr>
        <w:tc>
          <w:tcPr>
            <w:tcW w:w="1671" w:type="dxa"/>
            <w:tcBorders>
              <w:top w:val="single" w:sz="12" w:space="0" w:color="auto"/>
            </w:tcBorders>
            <w:shd w:val="clear" w:color="auto" w:fill="auto"/>
            <w:hideMark/>
          </w:tcPr>
          <w:p w14:paraId="60AE402E"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2006</w:t>
            </w:r>
          </w:p>
        </w:tc>
        <w:tc>
          <w:tcPr>
            <w:tcW w:w="1879" w:type="dxa"/>
            <w:tcBorders>
              <w:top w:val="single" w:sz="12" w:space="0" w:color="auto"/>
            </w:tcBorders>
            <w:shd w:val="clear" w:color="auto" w:fill="auto"/>
            <w:vAlign w:val="bottom"/>
          </w:tcPr>
          <w:p w14:paraId="17E1219F" w14:textId="486689BB" w:rsidR="006753A3" w:rsidRPr="006753A3" w:rsidRDefault="006753A3" w:rsidP="006753A3">
            <w:pPr>
              <w:spacing w:before="20" w:after="20" w:line="300" w:lineRule="exact"/>
              <w:ind w:left="57" w:right="57"/>
              <w:rPr>
                <w:sz w:val="18"/>
                <w:szCs w:val="18"/>
              </w:rPr>
            </w:pPr>
            <w:r w:rsidRPr="00225BB9">
              <w:rPr>
                <w:sz w:val="18"/>
                <w:szCs w:val="24"/>
              </w:rPr>
              <w:t>814 213</w:t>
            </w:r>
          </w:p>
        </w:tc>
        <w:tc>
          <w:tcPr>
            <w:tcW w:w="2381" w:type="dxa"/>
            <w:tcBorders>
              <w:top w:val="single" w:sz="12" w:space="0" w:color="auto"/>
            </w:tcBorders>
            <w:shd w:val="clear" w:color="auto" w:fill="auto"/>
            <w:vAlign w:val="bottom"/>
          </w:tcPr>
          <w:p w14:paraId="32D37C5F" w14:textId="20BEA4B3" w:rsidR="006753A3" w:rsidRPr="006753A3" w:rsidRDefault="006753A3" w:rsidP="006753A3">
            <w:pPr>
              <w:spacing w:before="20" w:after="20" w:line="300" w:lineRule="exact"/>
              <w:ind w:left="57" w:right="57"/>
              <w:rPr>
                <w:sz w:val="18"/>
                <w:szCs w:val="18"/>
              </w:rPr>
            </w:pPr>
            <w:r w:rsidRPr="00225BB9">
              <w:rPr>
                <w:sz w:val="18"/>
                <w:szCs w:val="24"/>
              </w:rPr>
              <w:t>805 982</w:t>
            </w:r>
          </w:p>
        </w:tc>
        <w:tc>
          <w:tcPr>
            <w:tcW w:w="1274" w:type="dxa"/>
            <w:tcBorders>
              <w:top w:val="single" w:sz="12" w:space="0" w:color="auto"/>
            </w:tcBorders>
            <w:shd w:val="clear" w:color="auto" w:fill="auto"/>
            <w:vAlign w:val="bottom"/>
          </w:tcPr>
          <w:p w14:paraId="76571769" w14:textId="4CC131BB" w:rsidR="006753A3" w:rsidRPr="006753A3" w:rsidRDefault="006753A3" w:rsidP="006753A3">
            <w:pPr>
              <w:spacing w:before="20" w:after="20" w:line="300" w:lineRule="exact"/>
              <w:ind w:left="57" w:right="57"/>
              <w:rPr>
                <w:sz w:val="18"/>
                <w:szCs w:val="18"/>
              </w:rPr>
            </w:pPr>
            <w:r w:rsidRPr="00225BB9">
              <w:rPr>
                <w:sz w:val="18"/>
                <w:szCs w:val="24"/>
              </w:rPr>
              <w:t>89 882</w:t>
            </w:r>
          </w:p>
        </w:tc>
      </w:tr>
      <w:tr w:rsidR="006753A3" w:rsidRPr="0068209D" w14:paraId="652AEC7B" w14:textId="77777777" w:rsidTr="000A1C86">
        <w:trPr>
          <w:gridAfter w:val="1"/>
          <w:wAfter w:w="14" w:type="dxa"/>
        </w:trPr>
        <w:tc>
          <w:tcPr>
            <w:tcW w:w="1671" w:type="dxa"/>
            <w:shd w:val="clear" w:color="auto" w:fill="auto"/>
            <w:hideMark/>
          </w:tcPr>
          <w:p w14:paraId="13989381"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2007</w:t>
            </w:r>
          </w:p>
        </w:tc>
        <w:tc>
          <w:tcPr>
            <w:tcW w:w="1879" w:type="dxa"/>
            <w:shd w:val="clear" w:color="auto" w:fill="auto"/>
            <w:vAlign w:val="bottom"/>
          </w:tcPr>
          <w:p w14:paraId="5F5F79C1" w14:textId="2A9DB072" w:rsidR="006753A3" w:rsidRPr="006753A3" w:rsidRDefault="006753A3" w:rsidP="006753A3">
            <w:pPr>
              <w:spacing w:before="20" w:after="20" w:line="300" w:lineRule="exact"/>
              <w:ind w:left="57" w:right="57"/>
              <w:rPr>
                <w:sz w:val="18"/>
                <w:szCs w:val="18"/>
              </w:rPr>
            </w:pPr>
            <w:r w:rsidRPr="00225BB9">
              <w:rPr>
                <w:sz w:val="18"/>
                <w:szCs w:val="24"/>
              </w:rPr>
              <w:t>687 442</w:t>
            </w:r>
          </w:p>
        </w:tc>
        <w:tc>
          <w:tcPr>
            <w:tcW w:w="2381" w:type="dxa"/>
            <w:shd w:val="clear" w:color="auto" w:fill="auto"/>
            <w:vAlign w:val="bottom"/>
          </w:tcPr>
          <w:p w14:paraId="6CCEBC4C" w14:textId="7E86D343" w:rsidR="006753A3" w:rsidRPr="006753A3" w:rsidRDefault="006753A3" w:rsidP="006753A3">
            <w:pPr>
              <w:spacing w:before="20" w:after="20" w:line="300" w:lineRule="exact"/>
              <w:ind w:left="57" w:right="57"/>
              <w:rPr>
                <w:sz w:val="18"/>
                <w:szCs w:val="18"/>
              </w:rPr>
            </w:pPr>
            <w:r w:rsidRPr="00225BB9">
              <w:rPr>
                <w:sz w:val="18"/>
                <w:szCs w:val="24"/>
              </w:rPr>
              <w:t>687 249</w:t>
            </w:r>
          </w:p>
        </w:tc>
        <w:tc>
          <w:tcPr>
            <w:tcW w:w="1274" w:type="dxa"/>
            <w:shd w:val="clear" w:color="auto" w:fill="auto"/>
            <w:vAlign w:val="bottom"/>
          </w:tcPr>
          <w:p w14:paraId="521AB1FC" w14:textId="1563A6FB" w:rsidR="006753A3" w:rsidRPr="006753A3" w:rsidRDefault="006753A3" w:rsidP="006753A3">
            <w:pPr>
              <w:spacing w:before="20" w:after="20" w:line="300" w:lineRule="exact"/>
              <w:ind w:left="57" w:right="57"/>
              <w:rPr>
                <w:sz w:val="18"/>
                <w:szCs w:val="18"/>
              </w:rPr>
            </w:pPr>
            <w:r w:rsidRPr="00225BB9">
              <w:rPr>
                <w:sz w:val="18"/>
                <w:szCs w:val="24"/>
              </w:rPr>
              <w:t>88 887</w:t>
            </w:r>
          </w:p>
        </w:tc>
      </w:tr>
      <w:tr w:rsidR="006753A3" w:rsidRPr="0068209D" w14:paraId="67B0F809" w14:textId="77777777" w:rsidTr="000A1C86">
        <w:trPr>
          <w:gridAfter w:val="1"/>
          <w:wAfter w:w="14" w:type="dxa"/>
        </w:trPr>
        <w:tc>
          <w:tcPr>
            <w:tcW w:w="1671" w:type="dxa"/>
            <w:shd w:val="clear" w:color="auto" w:fill="auto"/>
            <w:hideMark/>
          </w:tcPr>
          <w:p w14:paraId="3ABF2604"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2008</w:t>
            </w:r>
          </w:p>
        </w:tc>
        <w:tc>
          <w:tcPr>
            <w:tcW w:w="1879" w:type="dxa"/>
            <w:shd w:val="clear" w:color="auto" w:fill="auto"/>
            <w:vAlign w:val="bottom"/>
          </w:tcPr>
          <w:p w14:paraId="5222408B" w14:textId="2B09A58E" w:rsidR="006753A3" w:rsidRPr="006753A3" w:rsidRDefault="006753A3" w:rsidP="006753A3">
            <w:pPr>
              <w:spacing w:before="20" w:after="20" w:line="300" w:lineRule="exact"/>
              <w:ind w:left="57" w:right="57"/>
              <w:rPr>
                <w:sz w:val="18"/>
                <w:szCs w:val="18"/>
              </w:rPr>
            </w:pPr>
            <w:r w:rsidRPr="00225BB9">
              <w:rPr>
                <w:sz w:val="18"/>
                <w:szCs w:val="24"/>
              </w:rPr>
              <w:t>707 847</w:t>
            </w:r>
          </w:p>
        </w:tc>
        <w:tc>
          <w:tcPr>
            <w:tcW w:w="2381" w:type="dxa"/>
            <w:shd w:val="clear" w:color="auto" w:fill="auto"/>
            <w:vAlign w:val="bottom"/>
          </w:tcPr>
          <w:p w14:paraId="0712ED37" w14:textId="2C20FF2C" w:rsidR="006753A3" w:rsidRPr="006753A3" w:rsidRDefault="006753A3" w:rsidP="006753A3">
            <w:pPr>
              <w:spacing w:before="20" w:after="20" w:line="300" w:lineRule="exact"/>
              <w:ind w:left="57" w:right="57"/>
              <w:rPr>
                <w:sz w:val="18"/>
                <w:szCs w:val="18"/>
              </w:rPr>
            </w:pPr>
            <w:r w:rsidRPr="00225BB9">
              <w:rPr>
                <w:sz w:val="18"/>
                <w:szCs w:val="24"/>
              </w:rPr>
              <w:t>693 111</w:t>
            </w:r>
          </w:p>
        </w:tc>
        <w:tc>
          <w:tcPr>
            <w:tcW w:w="1274" w:type="dxa"/>
            <w:shd w:val="clear" w:color="auto" w:fill="auto"/>
            <w:vAlign w:val="bottom"/>
          </w:tcPr>
          <w:p w14:paraId="7C230CDA" w14:textId="08E9F283" w:rsidR="006753A3" w:rsidRPr="006753A3" w:rsidRDefault="006753A3" w:rsidP="006753A3">
            <w:pPr>
              <w:spacing w:before="20" w:after="20" w:line="300" w:lineRule="exact"/>
              <w:ind w:left="57" w:right="57"/>
              <w:rPr>
                <w:sz w:val="18"/>
                <w:szCs w:val="18"/>
              </w:rPr>
            </w:pPr>
            <w:r w:rsidRPr="00225BB9">
              <w:rPr>
                <w:sz w:val="18"/>
                <w:szCs w:val="24"/>
              </w:rPr>
              <w:t>101 941</w:t>
            </w:r>
          </w:p>
        </w:tc>
      </w:tr>
      <w:tr w:rsidR="006753A3" w:rsidRPr="0068209D" w14:paraId="5E60D15A" w14:textId="77777777" w:rsidTr="000A1C86">
        <w:trPr>
          <w:gridAfter w:val="1"/>
          <w:wAfter w:w="14" w:type="dxa"/>
        </w:trPr>
        <w:tc>
          <w:tcPr>
            <w:tcW w:w="1671" w:type="dxa"/>
            <w:shd w:val="clear" w:color="auto" w:fill="auto"/>
            <w:hideMark/>
          </w:tcPr>
          <w:p w14:paraId="0B286064"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2009</w:t>
            </w:r>
          </w:p>
        </w:tc>
        <w:tc>
          <w:tcPr>
            <w:tcW w:w="1879" w:type="dxa"/>
            <w:shd w:val="clear" w:color="auto" w:fill="auto"/>
            <w:vAlign w:val="bottom"/>
          </w:tcPr>
          <w:p w14:paraId="27069E1E" w14:textId="12092F8F" w:rsidR="006753A3" w:rsidRPr="006753A3" w:rsidRDefault="006753A3" w:rsidP="006753A3">
            <w:pPr>
              <w:spacing w:before="20" w:after="20" w:line="300" w:lineRule="exact"/>
              <w:ind w:left="57" w:right="57"/>
              <w:rPr>
                <w:sz w:val="18"/>
                <w:szCs w:val="18"/>
              </w:rPr>
            </w:pPr>
            <w:r w:rsidRPr="00225BB9">
              <w:rPr>
                <w:sz w:val="18"/>
                <w:szCs w:val="24"/>
              </w:rPr>
              <w:t>750 151</w:t>
            </w:r>
          </w:p>
        </w:tc>
        <w:tc>
          <w:tcPr>
            <w:tcW w:w="2381" w:type="dxa"/>
            <w:shd w:val="clear" w:color="auto" w:fill="auto"/>
            <w:vAlign w:val="bottom"/>
          </w:tcPr>
          <w:p w14:paraId="43ECAACE" w14:textId="05723B9F" w:rsidR="006753A3" w:rsidRPr="006753A3" w:rsidRDefault="006753A3" w:rsidP="006753A3">
            <w:pPr>
              <w:spacing w:before="20" w:after="20" w:line="300" w:lineRule="exact"/>
              <w:ind w:left="57" w:right="57"/>
              <w:rPr>
                <w:sz w:val="18"/>
                <w:szCs w:val="18"/>
              </w:rPr>
            </w:pPr>
            <w:r w:rsidRPr="00225BB9">
              <w:rPr>
                <w:sz w:val="18"/>
                <w:szCs w:val="24"/>
              </w:rPr>
              <w:t>731 658</w:t>
            </w:r>
          </w:p>
        </w:tc>
        <w:tc>
          <w:tcPr>
            <w:tcW w:w="1274" w:type="dxa"/>
            <w:shd w:val="clear" w:color="auto" w:fill="auto"/>
            <w:vAlign w:val="bottom"/>
          </w:tcPr>
          <w:p w14:paraId="69618CBB" w14:textId="0A65FEDC" w:rsidR="006753A3" w:rsidRPr="006753A3" w:rsidRDefault="006753A3" w:rsidP="006753A3">
            <w:pPr>
              <w:spacing w:before="20" w:after="20" w:line="300" w:lineRule="exact"/>
              <w:ind w:left="57" w:right="57"/>
              <w:rPr>
                <w:sz w:val="18"/>
                <w:szCs w:val="18"/>
              </w:rPr>
            </w:pPr>
            <w:r w:rsidRPr="00225BB9">
              <w:rPr>
                <w:sz w:val="18"/>
                <w:szCs w:val="24"/>
              </w:rPr>
              <w:t>118 765</w:t>
            </w:r>
          </w:p>
        </w:tc>
      </w:tr>
      <w:tr w:rsidR="006753A3" w:rsidRPr="0068209D" w14:paraId="206E785E" w14:textId="77777777" w:rsidTr="000A1C86">
        <w:trPr>
          <w:gridAfter w:val="1"/>
          <w:wAfter w:w="14" w:type="dxa"/>
        </w:trPr>
        <w:tc>
          <w:tcPr>
            <w:tcW w:w="1671" w:type="dxa"/>
            <w:shd w:val="clear" w:color="auto" w:fill="auto"/>
            <w:hideMark/>
          </w:tcPr>
          <w:p w14:paraId="434C475B"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2010</w:t>
            </w:r>
          </w:p>
        </w:tc>
        <w:tc>
          <w:tcPr>
            <w:tcW w:w="1879" w:type="dxa"/>
            <w:shd w:val="clear" w:color="auto" w:fill="auto"/>
            <w:vAlign w:val="bottom"/>
          </w:tcPr>
          <w:p w14:paraId="605A49D8" w14:textId="05EEE4F7" w:rsidR="006753A3" w:rsidRPr="006753A3" w:rsidRDefault="006753A3" w:rsidP="006753A3">
            <w:pPr>
              <w:spacing w:before="20" w:after="20" w:line="300" w:lineRule="exact"/>
              <w:ind w:left="57" w:right="57"/>
              <w:rPr>
                <w:sz w:val="18"/>
                <w:szCs w:val="18"/>
              </w:rPr>
            </w:pPr>
            <w:r w:rsidRPr="00225BB9">
              <w:rPr>
                <w:sz w:val="18"/>
                <w:szCs w:val="24"/>
              </w:rPr>
              <w:t>444 516</w:t>
            </w:r>
          </w:p>
        </w:tc>
        <w:tc>
          <w:tcPr>
            <w:tcW w:w="2381" w:type="dxa"/>
            <w:shd w:val="clear" w:color="auto" w:fill="auto"/>
            <w:vAlign w:val="bottom"/>
          </w:tcPr>
          <w:p w14:paraId="02CFD0DE" w14:textId="38D27D32" w:rsidR="006753A3" w:rsidRPr="006753A3" w:rsidRDefault="006753A3" w:rsidP="006753A3">
            <w:pPr>
              <w:spacing w:before="20" w:after="20" w:line="300" w:lineRule="exact"/>
              <w:ind w:left="57" w:right="57"/>
              <w:rPr>
                <w:sz w:val="18"/>
                <w:szCs w:val="18"/>
              </w:rPr>
            </w:pPr>
            <w:r w:rsidRPr="00225BB9">
              <w:rPr>
                <w:sz w:val="18"/>
                <w:szCs w:val="24"/>
              </w:rPr>
              <w:t>443 874</w:t>
            </w:r>
          </w:p>
        </w:tc>
        <w:tc>
          <w:tcPr>
            <w:tcW w:w="1274" w:type="dxa"/>
            <w:shd w:val="clear" w:color="auto" w:fill="auto"/>
            <w:vAlign w:val="bottom"/>
          </w:tcPr>
          <w:p w14:paraId="798C8F9D" w14:textId="7E19BA1B" w:rsidR="006753A3" w:rsidRPr="006753A3" w:rsidRDefault="006753A3" w:rsidP="006753A3">
            <w:pPr>
              <w:spacing w:before="20" w:after="20" w:line="300" w:lineRule="exact"/>
              <w:ind w:left="57" w:right="57"/>
              <w:rPr>
                <w:sz w:val="18"/>
                <w:szCs w:val="18"/>
              </w:rPr>
            </w:pPr>
            <w:r w:rsidRPr="00225BB9">
              <w:rPr>
                <w:sz w:val="18"/>
                <w:szCs w:val="24"/>
              </w:rPr>
              <w:t>106 436</w:t>
            </w:r>
          </w:p>
        </w:tc>
      </w:tr>
      <w:tr w:rsidR="006753A3" w:rsidRPr="0068209D" w14:paraId="7F676056" w14:textId="77777777" w:rsidTr="000A1C86">
        <w:trPr>
          <w:gridAfter w:val="1"/>
          <w:wAfter w:w="14" w:type="dxa"/>
        </w:trPr>
        <w:tc>
          <w:tcPr>
            <w:tcW w:w="1671" w:type="dxa"/>
            <w:shd w:val="clear" w:color="auto" w:fill="auto"/>
            <w:hideMark/>
          </w:tcPr>
          <w:p w14:paraId="490C8225"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2011</w:t>
            </w:r>
          </w:p>
        </w:tc>
        <w:tc>
          <w:tcPr>
            <w:tcW w:w="1879" w:type="dxa"/>
            <w:shd w:val="clear" w:color="auto" w:fill="auto"/>
            <w:vAlign w:val="bottom"/>
          </w:tcPr>
          <w:p w14:paraId="7FE990AA" w14:textId="3C05A0EF" w:rsidR="006753A3" w:rsidRPr="006753A3" w:rsidRDefault="006753A3" w:rsidP="006753A3">
            <w:pPr>
              <w:spacing w:before="20" w:after="20" w:line="300" w:lineRule="exact"/>
              <w:ind w:left="57" w:right="57"/>
              <w:rPr>
                <w:sz w:val="18"/>
                <w:szCs w:val="18"/>
              </w:rPr>
            </w:pPr>
            <w:r w:rsidRPr="00225BB9">
              <w:rPr>
                <w:sz w:val="18"/>
                <w:szCs w:val="24"/>
              </w:rPr>
              <w:t>483 836</w:t>
            </w:r>
          </w:p>
        </w:tc>
        <w:tc>
          <w:tcPr>
            <w:tcW w:w="2381" w:type="dxa"/>
            <w:shd w:val="clear" w:color="auto" w:fill="auto"/>
            <w:vAlign w:val="bottom"/>
          </w:tcPr>
          <w:p w14:paraId="3E5FD80C" w14:textId="3EFBC5DE" w:rsidR="006753A3" w:rsidRPr="006753A3" w:rsidRDefault="006753A3" w:rsidP="006753A3">
            <w:pPr>
              <w:spacing w:before="20" w:after="20" w:line="300" w:lineRule="exact"/>
              <w:ind w:left="57" w:right="57"/>
              <w:rPr>
                <w:sz w:val="18"/>
                <w:szCs w:val="18"/>
              </w:rPr>
            </w:pPr>
            <w:r w:rsidRPr="00225BB9">
              <w:rPr>
                <w:sz w:val="18"/>
                <w:szCs w:val="24"/>
              </w:rPr>
              <w:t>476 913</w:t>
            </w:r>
          </w:p>
        </w:tc>
        <w:tc>
          <w:tcPr>
            <w:tcW w:w="1274" w:type="dxa"/>
            <w:shd w:val="clear" w:color="auto" w:fill="auto"/>
            <w:vAlign w:val="bottom"/>
          </w:tcPr>
          <w:p w14:paraId="7DF01BCC" w14:textId="5BE2B5B5" w:rsidR="006753A3" w:rsidRPr="006753A3" w:rsidRDefault="006753A3" w:rsidP="006753A3">
            <w:pPr>
              <w:spacing w:before="20" w:after="20" w:line="300" w:lineRule="exact"/>
              <w:ind w:left="57" w:right="57"/>
              <w:rPr>
                <w:sz w:val="18"/>
                <w:szCs w:val="18"/>
              </w:rPr>
            </w:pPr>
            <w:r w:rsidRPr="00225BB9">
              <w:rPr>
                <w:sz w:val="18"/>
                <w:szCs w:val="24"/>
              </w:rPr>
              <w:t>111 871</w:t>
            </w:r>
          </w:p>
        </w:tc>
      </w:tr>
      <w:tr w:rsidR="006753A3" w:rsidRPr="0068209D" w14:paraId="1344653A" w14:textId="77777777" w:rsidTr="000A1C86">
        <w:trPr>
          <w:gridAfter w:val="1"/>
          <w:wAfter w:w="14" w:type="dxa"/>
        </w:trPr>
        <w:tc>
          <w:tcPr>
            <w:tcW w:w="1671" w:type="dxa"/>
            <w:shd w:val="clear" w:color="auto" w:fill="auto"/>
            <w:hideMark/>
          </w:tcPr>
          <w:p w14:paraId="3BE7AD91"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2012</w:t>
            </w:r>
          </w:p>
        </w:tc>
        <w:tc>
          <w:tcPr>
            <w:tcW w:w="1879" w:type="dxa"/>
            <w:shd w:val="clear" w:color="auto" w:fill="auto"/>
            <w:vAlign w:val="bottom"/>
          </w:tcPr>
          <w:p w14:paraId="41FA63ED" w14:textId="2361B55A" w:rsidR="006753A3" w:rsidRPr="006753A3" w:rsidRDefault="006753A3" w:rsidP="006753A3">
            <w:pPr>
              <w:spacing w:before="20" w:after="20" w:line="300" w:lineRule="exact"/>
              <w:ind w:left="57" w:right="57"/>
              <w:rPr>
                <w:sz w:val="18"/>
                <w:szCs w:val="18"/>
              </w:rPr>
            </w:pPr>
            <w:r w:rsidRPr="00225BB9">
              <w:rPr>
                <w:sz w:val="18"/>
                <w:szCs w:val="24"/>
              </w:rPr>
              <w:t>581 891</w:t>
            </w:r>
          </w:p>
        </w:tc>
        <w:tc>
          <w:tcPr>
            <w:tcW w:w="2381" w:type="dxa"/>
            <w:shd w:val="clear" w:color="auto" w:fill="auto"/>
            <w:vAlign w:val="bottom"/>
          </w:tcPr>
          <w:p w14:paraId="3DD8432E" w14:textId="7676F3F1" w:rsidR="006753A3" w:rsidRPr="006753A3" w:rsidRDefault="006753A3" w:rsidP="006753A3">
            <w:pPr>
              <w:spacing w:before="20" w:after="20" w:line="300" w:lineRule="exact"/>
              <w:ind w:left="57" w:right="57"/>
              <w:rPr>
                <w:sz w:val="18"/>
                <w:szCs w:val="18"/>
              </w:rPr>
            </w:pPr>
            <w:r w:rsidRPr="00225BB9">
              <w:rPr>
                <w:sz w:val="18"/>
                <w:szCs w:val="24"/>
              </w:rPr>
              <w:t>550 963</w:t>
            </w:r>
          </w:p>
        </w:tc>
        <w:tc>
          <w:tcPr>
            <w:tcW w:w="1274" w:type="dxa"/>
            <w:shd w:val="clear" w:color="auto" w:fill="auto"/>
            <w:vAlign w:val="bottom"/>
          </w:tcPr>
          <w:p w14:paraId="2C960B83" w14:textId="4C7951DF" w:rsidR="006753A3" w:rsidRPr="006753A3" w:rsidRDefault="006753A3" w:rsidP="006753A3">
            <w:pPr>
              <w:spacing w:before="20" w:after="20" w:line="300" w:lineRule="exact"/>
              <w:ind w:left="57" w:right="57"/>
              <w:rPr>
                <w:sz w:val="18"/>
                <w:szCs w:val="18"/>
              </w:rPr>
            </w:pPr>
            <w:r w:rsidRPr="00225BB9">
              <w:rPr>
                <w:sz w:val="18"/>
                <w:szCs w:val="24"/>
              </w:rPr>
              <w:t>141 719</w:t>
            </w:r>
          </w:p>
        </w:tc>
      </w:tr>
      <w:tr w:rsidR="006753A3" w:rsidRPr="0068209D" w14:paraId="19621E52" w14:textId="77777777" w:rsidTr="000A1C86">
        <w:trPr>
          <w:gridAfter w:val="1"/>
          <w:wAfter w:w="14" w:type="dxa"/>
        </w:trPr>
        <w:tc>
          <w:tcPr>
            <w:tcW w:w="1671" w:type="dxa"/>
            <w:shd w:val="clear" w:color="auto" w:fill="auto"/>
            <w:hideMark/>
          </w:tcPr>
          <w:p w14:paraId="41EC243B"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2013</w:t>
            </w:r>
          </w:p>
        </w:tc>
        <w:tc>
          <w:tcPr>
            <w:tcW w:w="1879" w:type="dxa"/>
            <w:shd w:val="clear" w:color="auto" w:fill="auto"/>
            <w:vAlign w:val="bottom"/>
          </w:tcPr>
          <w:p w14:paraId="1B36D430" w14:textId="6546B273" w:rsidR="006753A3" w:rsidRPr="006753A3" w:rsidRDefault="006753A3" w:rsidP="006753A3">
            <w:pPr>
              <w:spacing w:before="20" w:after="20" w:line="300" w:lineRule="exact"/>
              <w:ind w:left="57" w:right="57"/>
              <w:rPr>
                <w:sz w:val="18"/>
                <w:szCs w:val="18"/>
              </w:rPr>
            </w:pPr>
            <w:r w:rsidRPr="00225BB9">
              <w:rPr>
                <w:sz w:val="18"/>
                <w:szCs w:val="24"/>
              </w:rPr>
              <w:t>570 831</w:t>
            </w:r>
          </w:p>
        </w:tc>
        <w:tc>
          <w:tcPr>
            <w:tcW w:w="2381" w:type="dxa"/>
            <w:shd w:val="clear" w:color="auto" w:fill="auto"/>
            <w:vAlign w:val="bottom"/>
          </w:tcPr>
          <w:p w14:paraId="2176E65E" w14:textId="6438C8D5" w:rsidR="006753A3" w:rsidRPr="006753A3" w:rsidRDefault="006753A3" w:rsidP="006753A3">
            <w:pPr>
              <w:spacing w:before="20" w:after="20" w:line="300" w:lineRule="exact"/>
              <w:ind w:left="57" w:right="57"/>
              <w:rPr>
                <w:sz w:val="18"/>
                <w:szCs w:val="18"/>
              </w:rPr>
            </w:pPr>
            <w:r w:rsidRPr="00225BB9">
              <w:rPr>
                <w:sz w:val="18"/>
                <w:szCs w:val="24"/>
              </w:rPr>
              <w:t>570 725</w:t>
            </w:r>
          </w:p>
        </w:tc>
        <w:tc>
          <w:tcPr>
            <w:tcW w:w="1274" w:type="dxa"/>
            <w:shd w:val="clear" w:color="auto" w:fill="auto"/>
            <w:vAlign w:val="bottom"/>
          </w:tcPr>
          <w:p w14:paraId="69706F13" w14:textId="717D7229" w:rsidR="006753A3" w:rsidRPr="006753A3" w:rsidRDefault="006753A3" w:rsidP="006753A3">
            <w:pPr>
              <w:spacing w:before="20" w:after="20" w:line="300" w:lineRule="exact"/>
              <w:ind w:left="57" w:right="57"/>
              <w:rPr>
                <w:sz w:val="18"/>
                <w:szCs w:val="18"/>
              </w:rPr>
            </w:pPr>
            <w:r w:rsidRPr="00225BB9">
              <w:rPr>
                <w:sz w:val="18"/>
                <w:szCs w:val="24"/>
              </w:rPr>
              <w:t>139 764</w:t>
            </w:r>
          </w:p>
        </w:tc>
      </w:tr>
      <w:tr w:rsidR="006753A3" w:rsidRPr="0068209D" w14:paraId="417C8737" w14:textId="77777777" w:rsidTr="000A1C86">
        <w:trPr>
          <w:gridAfter w:val="1"/>
          <w:wAfter w:w="14" w:type="dxa"/>
        </w:trPr>
        <w:tc>
          <w:tcPr>
            <w:tcW w:w="1671" w:type="dxa"/>
            <w:shd w:val="clear" w:color="auto" w:fill="auto"/>
            <w:hideMark/>
          </w:tcPr>
          <w:p w14:paraId="6431F146"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2014</w:t>
            </w:r>
          </w:p>
        </w:tc>
        <w:tc>
          <w:tcPr>
            <w:tcW w:w="1879" w:type="dxa"/>
            <w:shd w:val="clear" w:color="auto" w:fill="auto"/>
            <w:vAlign w:val="bottom"/>
          </w:tcPr>
          <w:p w14:paraId="6B020130" w14:textId="7491867A" w:rsidR="006753A3" w:rsidRPr="006753A3" w:rsidRDefault="006753A3" w:rsidP="006753A3">
            <w:pPr>
              <w:spacing w:before="20" w:after="20" w:line="300" w:lineRule="exact"/>
              <w:ind w:left="57" w:right="57"/>
              <w:rPr>
                <w:sz w:val="18"/>
                <w:szCs w:val="18"/>
              </w:rPr>
            </w:pPr>
            <w:r w:rsidRPr="00225BB9">
              <w:rPr>
                <w:sz w:val="18"/>
                <w:szCs w:val="24"/>
              </w:rPr>
              <w:t>490 526</w:t>
            </w:r>
          </w:p>
        </w:tc>
        <w:tc>
          <w:tcPr>
            <w:tcW w:w="2381" w:type="dxa"/>
            <w:shd w:val="clear" w:color="auto" w:fill="auto"/>
            <w:vAlign w:val="bottom"/>
          </w:tcPr>
          <w:p w14:paraId="46F48AD2" w14:textId="0DE0F2A1" w:rsidR="006753A3" w:rsidRPr="006753A3" w:rsidRDefault="006753A3" w:rsidP="006753A3">
            <w:pPr>
              <w:spacing w:before="20" w:after="20" w:line="300" w:lineRule="exact"/>
              <w:ind w:left="57" w:right="57"/>
              <w:rPr>
                <w:sz w:val="18"/>
                <w:szCs w:val="18"/>
              </w:rPr>
            </w:pPr>
            <w:r w:rsidRPr="00225BB9">
              <w:rPr>
                <w:sz w:val="18"/>
                <w:szCs w:val="24"/>
              </w:rPr>
              <w:t>499 575</w:t>
            </w:r>
          </w:p>
        </w:tc>
        <w:tc>
          <w:tcPr>
            <w:tcW w:w="1274" w:type="dxa"/>
            <w:shd w:val="clear" w:color="auto" w:fill="auto"/>
            <w:vAlign w:val="bottom"/>
          </w:tcPr>
          <w:p w14:paraId="2E7E61D9" w14:textId="09C8CB28" w:rsidR="006753A3" w:rsidRPr="006753A3" w:rsidRDefault="006753A3" w:rsidP="006753A3">
            <w:pPr>
              <w:spacing w:before="20" w:after="20" w:line="300" w:lineRule="exact"/>
              <w:ind w:left="57" w:right="57"/>
              <w:rPr>
                <w:sz w:val="18"/>
                <w:szCs w:val="18"/>
              </w:rPr>
            </w:pPr>
            <w:r w:rsidRPr="00225BB9">
              <w:rPr>
                <w:sz w:val="18"/>
                <w:szCs w:val="24"/>
              </w:rPr>
              <w:t>128 838</w:t>
            </w:r>
          </w:p>
        </w:tc>
      </w:tr>
      <w:tr w:rsidR="006753A3" w:rsidRPr="0068209D" w14:paraId="45E509C8" w14:textId="77777777" w:rsidTr="000A1C86">
        <w:trPr>
          <w:gridAfter w:val="1"/>
          <w:wAfter w:w="14" w:type="dxa"/>
        </w:trPr>
        <w:tc>
          <w:tcPr>
            <w:tcW w:w="1671" w:type="dxa"/>
            <w:shd w:val="clear" w:color="auto" w:fill="auto"/>
            <w:hideMark/>
          </w:tcPr>
          <w:p w14:paraId="615C2A76"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2015</w:t>
            </w:r>
          </w:p>
        </w:tc>
        <w:tc>
          <w:tcPr>
            <w:tcW w:w="1879" w:type="dxa"/>
            <w:shd w:val="clear" w:color="auto" w:fill="auto"/>
            <w:vAlign w:val="bottom"/>
          </w:tcPr>
          <w:p w14:paraId="27D5D6C5" w14:textId="772667A3" w:rsidR="006753A3" w:rsidRPr="006753A3" w:rsidRDefault="006753A3" w:rsidP="006753A3">
            <w:pPr>
              <w:spacing w:before="20" w:after="20" w:line="300" w:lineRule="exact"/>
              <w:ind w:left="57" w:right="57"/>
              <w:rPr>
                <w:sz w:val="18"/>
                <w:szCs w:val="18"/>
              </w:rPr>
            </w:pPr>
            <w:r w:rsidRPr="00225BB9">
              <w:rPr>
                <w:sz w:val="18"/>
                <w:szCs w:val="24"/>
              </w:rPr>
              <w:t>492 393</w:t>
            </w:r>
          </w:p>
        </w:tc>
        <w:tc>
          <w:tcPr>
            <w:tcW w:w="2381" w:type="dxa"/>
            <w:shd w:val="clear" w:color="auto" w:fill="auto"/>
            <w:vAlign w:val="bottom"/>
          </w:tcPr>
          <w:p w14:paraId="519D1E9B" w14:textId="1762DB91" w:rsidR="006753A3" w:rsidRPr="006753A3" w:rsidRDefault="006753A3" w:rsidP="006753A3">
            <w:pPr>
              <w:spacing w:before="20" w:after="20" w:line="300" w:lineRule="exact"/>
              <w:ind w:left="57" w:right="57"/>
              <w:rPr>
                <w:sz w:val="18"/>
                <w:szCs w:val="18"/>
              </w:rPr>
            </w:pPr>
            <w:r w:rsidRPr="00225BB9">
              <w:rPr>
                <w:sz w:val="18"/>
                <w:szCs w:val="24"/>
              </w:rPr>
              <w:t>484 813</w:t>
            </w:r>
          </w:p>
        </w:tc>
        <w:tc>
          <w:tcPr>
            <w:tcW w:w="1274" w:type="dxa"/>
            <w:shd w:val="clear" w:color="auto" w:fill="auto"/>
            <w:vAlign w:val="bottom"/>
          </w:tcPr>
          <w:p w14:paraId="13ABEE63" w14:textId="468E0D30" w:rsidR="006753A3" w:rsidRPr="006753A3" w:rsidRDefault="006753A3" w:rsidP="006753A3">
            <w:pPr>
              <w:spacing w:before="20" w:after="20" w:line="300" w:lineRule="exact"/>
              <w:ind w:left="57" w:right="57"/>
              <w:rPr>
                <w:sz w:val="18"/>
                <w:szCs w:val="18"/>
              </w:rPr>
            </w:pPr>
            <w:r w:rsidRPr="00225BB9">
              <w:rPr>
                <w:sz w:val="18"/>
                <w:szCs w:val="24"/>
              </w:rPr>
              <w:t>133 784</w:t>
            </w:r>
          </w:p>
        </w:tc>
      </w:tr>
      <w:tr w:rsidR="006753A3" w:rsidRPr="0068209D" w14:paraId="0327E79A" w14:textId="77777777" w:rsidTr="000A1C86">
        <w:trPr>
          <w:gridAfter w:val="1"/>
          <w:wAfter w:w="14" w:type="dxa"/>
        </w:trPr>
        <w:tc>
          <w:tcPr>
            <w:tcW w:w="1671" w:type="dxa"/>
            <w:shd w:val="clear" w:color="auto" w:fill="auto"/>
            <w:hideMark/>
          </w:tcPr>
          <w:p w14:paraId="7EB511DF"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2016</w:t>
            </w:r>
          </w:p>
        </w:tc>
        <w:tc>
          <w:tcPr>
            <w:tcW w:w="1879" w:type="dxa"/>
            <w:shd w:val="clear" w:color="auto" w:fill="auto"/>
            <w:vAlign w:val="bottom"/>
          </w:tcPr>
          <w:p w14:paraId="037B9E83" w14:textId="529CB72A" w:rsidR="006753A3" w:rsidRPr="006753A3" w:rsidRDefault="006753A3" w:rsidP="006753A3">
            <w:pPr>
              <w:spacing w:before="20" w:after="20" w:line="300" w:lineRule="exact"/>
              <w:ind w:left="57" w:right="57"/>
              <w:rPr>
                <w:sz w:val="18"/>
                <w:szCs w:val="18"/>
              </w:rPr>
            </w:pPr>
            <w:r w:rsidRPr="00225BB9">
              <w:rPr>
                <w:sz w:val="18"/>
                <w:szCs w:val="24"/>
              </w:rPr>
              <w:t>488 033</w:t>
            </w:r>
          </w:p>
        </w:tc>
        <w:tc>
          <w:tcPr>
            <w:tcW w:w="2381" w:type="dxa"/>
            <w:shd w:val="clear" w:color="auto" w:fill="auto"/>
            <w:vAlign w:val="bottom"/>
          </w:tcPr>
          <w:p w14:paraId="387CBCDD" w14:textId="612BA018" w:rsidR="006753A3" w:rsidRPr="006753A3" w:rsidRDefault="006753A3" w:rsidP="006753A3">
            <w:pPr>
              <w:spacing w:before="20" w:after="20" w:line="300" w:lineRule="exact"/>
              <w:ind w:left="57" w:right="57"/>
              <w:rPr>
                <w:sz w:val="18"/>
                <w:szCs w:val="18"/>
              </w:rPr>
            </w:pPr>
            <w:r w:rsidRPr="00225BB9">
              <w:rPr>
                <w:sz w:val="18"/>
                <w:szCs w:val="24"/>
              </w:rPr>
              <w:t>485 730</w:t>
            </w:r>
          </w:p>
        </w:tc>
        <w:tc>
          <w:tcPr>
            <w:tcW w:w="1274" w:type="dxa"/>
            <w:shd w:val="clear" w:color="auto" w:fill="auto"/>
            <w:vAlign w:val="bottom"/>
          </w:tcPr>
          <w:p w14:paraId="246649BF" w14:textId="61A9B0C1" w:rsidR="006753A3" w:rsidRPr="006753A3" w:rsidRDefault="006753A3" w:rsidP="006753A3">
            <w:pPr>
              <w:spacing w:before="20" w:after="20" w:line="300" w:lineRule="exact"/>
              <w:ind w:left="57" w:right="57"/>
              <w:rPr>
                <w:sz w:val="18"/>
                <w:szCs w:val="18"/>
              </w:rPr>
            </w:pPr>
            <w:r w:rsidRPr="00225BB9">
              <w:rPr>
                <w:sz w:val="18"/>
                <w:szCs w:val="24"/>
              </w:rPr>
              <w:t>133 884</w:t>
            </w:r>
          </w:p>
        </w:tc>
      </w:tr>
      <w:tr w:rsidR="006753A3" w:rsidRPr="0068209D" w14:paraId="034EF765" w14:textId="77777777" w:rsidTr="000A1C86">
        <w:trPr>
          <w:gridAfter w:val="1"/>
          <w:wAfter w:w="14" w:type="dxa"/>
        </w:trPr>
        <w:tc>
          <w:tcPr>
            <w:tcW w:w="1671" w:type="dxa"/>
            <w:shd w:val="clear" w:color="auto" w:fill="auto"/>
            <w:hideMark/>
          </w:tcPr>
          <w:p w14:paraId="2CECAFCD"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2017</w:t>
            </w:r>
          </w:p>
        </w:tc>
        <w:tc>
          <w:tcPr>
            <w:tcW w:w="1879" w:type="dxa"/>
            <w:shd w:val="clear" w:color="auto" w:fill="auto"/>
            <w:vAlign w:val="bottom"/>
          </w:tcPr>
          <w:p w14:paraId="0F210F70" w14:textId="45EEB581" w:rsidR="006753A3" w:rsidRPr="006753A3" w:rsidRDefault="006753A3" w:rsidP="006753A3">
            <w:pPr>
              <w:spacing w:before="20" w:after="20" w:line="300" w:lineRule="exact"/>
              <w:ind w:left="57" w:right="57"/>
              <w:rPr>
                <w:sz w:val="18"/>
                <w:szCs w:val="18"/>
              </w:rPr>
            </w:pPr>
            <w:r w:rsidRPr="00225BB9">
              <w:rPr>
                <w:sz w:val="18"/>
                <w:szCs w:val="24"/>
              </w:rPr>
              <w:t>545 986</w:t>
            </w:r>
          </w:p>
        </w:tc>
        <w:tc>
          <w:tcPr>
            <w:tcW w:w="2381" w:type="dxa"/>
            <w:shd w:val="clear" w:color="auto" w:fill="auto"/>
            <w:vAlign w:val="bottom"/>
          </w:tcPr>
          <w:p w14:paraId="0259FC81" w14:textId="71B5E416" w:rsidR="006753A3" w:rsidRPr="006753A3" w:rsidRDefault="006753A3" w:rsidP="006753A3">
            <w:pPr>
              <w:spacing w:before="20" w:after="20" w:line="300" w:lineRule="exact"/>
              <w:ind w:left="57" w:right="57"/>
              <w:rPr>
                <w:sz w:val="18"/>
                <w:szCs w:val="18"/>
              </w:rPr>
            </w:pPr>
            <w:r w:rsidRPr="00225BB9">
              <w:rPr>
                <w:sz w:val="18"/>
                <w:szCs w:val="24"/>
              </w:rPr>
              <w:t>521 942</w:t>
            </w:r>
          </w:p>
        </w:tc>
        <w:tc>
          <w:tcPr>
            <w:tcW w:w="1274" w:type="dxa"/>
            <w:shd w:val="clear" w:color="auto" w:fill="auto"/>
            <w:vAlign w:val="bottom"/>
          </w:tcPr>
          <w:p w14:paraId="513898E9" w14:textId="69FC121B" w:rsidR="006753A3" w:rsidRPr="006753A3" w:rsidRDefault="006753A3" w:rsidP="006753A3">
            <w:pPr>
              <w:spacing w:before="20" w:after="20" w:line="300" w:lineRule="exact"/>
              <w:ind w:left="57" w:right="57"/>
              <w:rPr>
                <w:sz w:val="18"/>
                <w:szCs w:val="18"/>
              </w:rPr>
            </w:pPr>
            <w:r w:rsidRPr="00225BB9">
              <w:rPr>
                <w:sz w:val="18"/>
                <w:szCs w:val="24"/>
              </w:rPr>
              <w:t>156 013</w:t>
            </w:r>
          </w:p>
        </w:tc>
      </w:tr>
      <w:tr w:rsidR="006753A3" w:rsidRPr="0068209D" w14:paraId="6F8E5FB0" w14:textId="77777777" w:rsidTr="000A1C86">
        <w:trPr>
          <w:gridAfter w:val="1"/>
          <w:wAfter w:w="14" w:type="dxa"/>
        </w:trPr>
        <w:tc>
          <w:tcPr>
            <w:tcW w:w="1671" w:type="dxa"/>
            <w:shd w:val="clear" w:color="auto" w:fill="auto"/>
            <w:hideMark/>
          </w:tcPr>
          <w:p w14:paraId="07759285" w14:textId="77777777" w:rsidR="006753A3" w:rsidRPr="006753A3" w:rsidRDefault="006753A3" w:rsidP="006753A3">
            <w:pPr>
              <w:spacing w:before="20" w:after="20" w:line="300" w:lineRule="exact"/>
              <w:ind w:left="57" w:right="57"/>
              <w:textDirection w:val="tbRlV"/>
              <w:rPr>
                <w:sz w:val="18"/>
                <w:szCs w:val="18"/>
                <w:lang w:val="ar-SA" w:eastAsia="zh-TW" w:bidi="en-GB"/>
              </w:rPr>
            </w:pPr>
            <w:r w:rsidRPr="006753A3">
              <w:rPr>
                <w:sz w:val="18"/>
                <w:szCs w:val="18"/>
                <w:rtl/>
              </w:rPr>
              <w:t>2018</w:t>
            </w:r>
          </w:p>
        </w:tc>
        <w:tc>
          <w:tcPr>
            <w:tcW w:w="1879" w:type="dxa"/>
            <w:shd w:val="clear" w:color="auto" w:fill="auto"/>
            <w:vAlign w:val="bottom"/>
          </w:tcPr>
          <w:p w14:paraId="4482ADF8" w14:textId="064F883A" w:rsidR="006753A3" w:rsidRPr="006753A3" w:rsidRDefault="006753A3" w:rsidP="006753A3">
            <w:pPr>
              <w:spacing w:before="20" w:after="20" w:line="300" w:lineRule="exact"/>
              <w:ind w:left="57" w:right="57"/>
              <w:rPr>
                <w:sz w:val="18"/>
                <w:szCs w:val="18"/>
              </w:rPr>
            </w:pPr>
            <w:r w:rsidRPr="00225BB9">
              <w:rPr>
                <w:sz w:val="18"/>
                <w:szCs w:val="24"/>
              </w:rPr>
              <w:t>559 278</w:t>
            </w:r>
          </w:p>
        </w:tc>
        <w:tc>
          <w:tcPr>
            <w:tcW w:w="2381" w:type="dxa"/>
            <w:shd w:val="clear" w:color="auto" w:fill="auto"/>
            <w:vAlign w:val="bottom"/>
          </w:tcPr>
          <w:p w14:paraId="6458CFA9" w14:textId="3429DA8F" w:rsidR="006753A3" w:rsidRPr="006753A3" w:rsidRDefault="006753A3" w:rsidP="006753A3">
            <w:pPr>
              <w:spacing w:before="20" w:after="20" w:line="300" w:lineRule="exact"/>
              <w:ind w:left="57" w:right="57"/>
              <w:rPr>
                <w:sz w:val="18"/>
                <w:szCs w:val="18"/>
              </w:rPr>
            </w:pPr>
            <w:r w:rsidRPr="00225BB9">
              <w:rPr>
                <w:sz w:val="18"/>
                <w:szCs w:val="24"/>
              </w:rPr>
              <w:t>582 924</w:t>
            </w:r>
          </w:p>
        </w:tc>
        <w:tc>
          <w:tcPr>
            <w:tcW w:w="1274" w:type="dxa"/>
            <w:shd w:val="clear" w:color="auto" w:fill="auto"/>
            <w:vAlign w:val="bottom"/>
          </w:tcPr>
          <w:p w14:paraId="3E236960" w14:textId="44B27059" w:rsidR="006753A3" w:rsidRPr="006753A3" w:rsidRDefault="006753A3" w:rsidP="006753A3">
            <w:pPr>
              <w:spacing w:before="20" w:after="20" w:line="300" w:lineRule="exact"/>
              <w:ind w:left="57" w:right="57"/>
              <w:rPr>
                <w:sz w:val="18"/>
                <w:szCs w:val="18"/>
              </w:rPr>
            </w:pPr>
            <w:r w:rsidRPr="00225BB9">
              <w:rPr>
                <w:sz w:val="18"/>
                <w:szCs w:val="24"/>
              </w:rPr>
              <w:t>131 158</w:t>
            </w:r>
          </w:p>
        </w:tc>
      </w:tr>
    </w:tbl>
    <w:p w14:paraId="43F9DEA5" w14:textId="68DCB321" w:rsidR="00C815DB" w:rsidRPr="000A1C86" w:rsidRDefault="00C815DB" w:rsidP="000A1C86">
      <w:pPr>
        <w:pStyle w:val="SingleTxtG"/>
        <w:bidi/>
        <w:spacing w:after="240" w:line="300" w:lineRule="exact"/>
        <w:ind w:left="1871" w:right="1247" w:hanging="624"/>
        <w:jc w:val="lowKashida"/>
        <w:textDirection w:val="tbRlV"/>
        <w:rPr>
          <w:spacing w:val="-4"/>
          <w:sz w:val="30"/>
          <w:lang w:eastAsia="zh-TW" w:bidi="en-GB"/>
        </w:rPr>
      </w:pPr>
      <w:r w:rsidRPr="000A1C86">
        <w:rPr>
          <w:i/>
          <w:iCs/>
          <w:spacing w:val="-4"/>
          <w:sz w:val="26"/>
          <w:szCs w:val="26"/>
          <w:rtl/>
        </w:rPr>
        <w:t>المصدر</w:t>
      </w:r>
      <w:r w:rsidRPr="000A1C86">
        <w:rPr>
          <w:spacing w:val="-4"/>
        </w:rPr>
        <w:t>:</w:t>
      </w:r>
      <w:r w:rsidR="000A1C86" w:rsidRPr="000A1C86">
        <w:rPr>
          <w:spacing w:val="-4"/>
          <w:sz w:val="30"/>
        </w:rPr>
        <w:tab/>
      </w:r>
      <w:r w:rsidRPr="000A1C86">
        <w:rPr>
          <w:rFonts w:cs="Times New Roman"/>
          <w:spacing w:val="-4"/>
          <w:sz w:val="18"/>
          <w:szCs w:val="18"/>
        </w:rPr>
        <w:t xml:space="preserve">Ministry of Justice, publication Tuomioistuinten työtilastoja vuodelta </w:t>
      </w:r>
      <w:r w:rsidRPr="000A1C86">
        <w:rPr>
          <w:spacing w:val="-4"/>
          <w:sz w:val="18"/>
          <w:szCs w:val="18"/>
        </w:rPr>
        <w:t>2018</w:t>
      </w:r>
      <w:r w:rsidRPr="000A1C86">
        <w:rPr>
          <w:rFonts w:cs="Times New Roman"/>
          <w:spacing w:val="-4"/>
          <w:sz w:val="18"/>
          <w:szCs w:val="18"/>
        </w:rPr>
        <w:t xml:space="preserve">, Toiminta ja hallinto </w:t>
      </w:r>
      <w:r w:rsidRPr="000A1C86">
        <w:rPr>
          <w:spacing w:val="-4"/>
          <w:sz w:val="18"/>
          <w:szCs w:val="18"/>
        </w:rPr>
        <w:t>2019</w:t>
      </w:r>
      <w:r w:rsidRPr="000A1C86">
        <w:rPr>
          <w:spacing w:val="-4"/>
        </w:rPr>
        <w:t>:</w:t>
      </w:r>
      <w:r w:rsidRPr="000A1C86">
        <w:rPr>
          <w:spacing w:val="-4"/>
          <w:sz w:val="18"/>
          <w:szCs w:val="18"/>
        </w:rPr>
        <w:t>8</w:t>
      </w:r>
      <w:r w:rsidRPr="000A1C86">
        <w:rPr>
          <w:rFonts w:cs="Times New Roman"/>
          <w:spacing w:val="-4"/>
          <w:sz w:val="18"/>
          <w:szCs w:val="18"/>
        </w:rPr>
        <w:t xml:space="preserve"> [Court statistics for </w:t>
      </w:r>
      <w:r w:rsidRPr="000A1C86">
        <w:rPr>
          <w:spacing w:val="-4"/>
          <w:sz w:val="18"/>
          <w:szCs w:val="18"/>
        </w:rPr>
        <w:t>2018</w:t>
      </w:r>
      <w:r w:rsidRPr="000A1C86">
        <w:rPr>
          <w:rFonts w:cs="Times New Roman"/>
          <w:spacing w:val="-4"/>
          <w:sz w:val="18"/>
          <w:szCs w:val="18"/>
        </w:rPr>
        <w:t>, Operations and Administration;</w:t>
      </w:r>
      <w:r w:rsidRPr="000A1C86">
        <w:rPr>
          <w:spacing w:val="-4"/>
          <w:sz w:val="30"/>
          <w:rtl/>
        </w:rPr>
        <w:t xml:space="preserve"> </w:t>
      </w:r>
      <w:r w:rsidRPr="000A1C86">
        <w:rPr>
          <w:spacing w:val="-4"/>
          <w:sz w:val="26"/>
          <w:szCs w:val="26"/>
          <w:rtl/>
        </w:rPr>
        <w:t>تقرير متوفر باللغة الفنلندية فقط</w:t>
      </w:r>
      <w:r w:rsidRPr="000A1C86">
        <w:rPr>
          <w:rFonts w:ascii="Traditional Arabic"/>
          <w:spacing w:val="-4"/>
          <w:sz w:val="18"/>
          <w:szCs w:val="18"/>
          <w:rtl/>
        </w:rPr>
        <w:t>]</w:t>
      </w:r>
      <w:r w:rsidRPr="000A1C86">
        <w:rPr>
          <w:spacing w:val="-4"/>
          <w:sz w:val="26"/>
          <w:szCs w:val="26"/>
          <w:rtl/>
        </w:rPr>
        <w:t>.</w:t>
      </w:r>
    </w:p>
    <w:p w14:paraId="63DF3595" w14:textId="77777777" w:rsidR="00C815DB" w:rsidRPr="000A1C86" w:rsidRDefault="00C815DB" w:rsidP="00384243">
      <w:pPr>
        <w:pStyle w:val="SingleTxtGA"/>
        <w:rPr>
          <w:spacing w:val="-4"/>
          <w:lang w:eastAsia="zh-TW" w:bidi="en-GB"/>
        </w:rPr>
      </w:pPr>
      <w:r w:rsidRPr="005C19F0">
        <w:rPr>
          <w:szCs w:val="20"/>
          <w:rtl/>
        </w:rPr>
        <w:t>182</w:t>
      </w:r>
      <w:r w:rsidRPr="00EF3655">
        <w:rPr>
          <w:rtl/>
        </w:rPr>
        <w:t>-</w:t>
      </w:r>
      <w:r w:rsidRPr="0068209D">
        <w:rPr>
          <w:rtl/>
        </w:rPr>
        <w:tab/>
      </w:r>
      <w:r w:rsidRPr="000A1C86">
        <w:rPr>
          <w:spacing w:val="-4"/>
          <w:rtl/>
        </w:rPr>
        <w:t xml:space="preserve">ويجوز للطرف غير الراضي عن الحكم والقرار النهائي الصادر عن محكمة محلية أو حكم آخر صادر عن المحكمة المحلية في سياق قضية ما أن يلتمس تعديله بتقديم </w:t>
      </w:r>
      <w:r w:rsidRPr="000A1C86">
        <w:rPr>
          <w:spacing w:val="-4"/>
          <w:rtl/>
          <w:lang w:bidi="ar-DZ"/>
        </w:rPr>
        <w:t xml:space="preserve">طلب </w:t>
      </w:r>
      <w:r w:rsidRPr="000A1C86">
        <w:rPr>
          <w:spacing w:val="-4"/>
          <w:rtl/>
        </w:rPr>
        <w:t>استئناف إلى محكمة استئناف.</w:t>
      </w:r>
    </w:p>
    <w:p w14:paraId="05178693" w14:textId="3E3139B9" w:rsidR="00C815DB" w:rsidRPr="0068209D" w:rsidRDefault="00C815DB" w:rsidP="00384243">
      <w:pPr>
        <w:pStyle w:val="SingleTxtGA"/>
        <w:rPr>
          <w:lang w:eastAsia="zh-TW" w:bidi="en-GB"/>
        </w:rPr>
      </w:pPr>
      <w:r w:rsidRPr="005C19F0">
        <w:rPr>
          <w:szCs w:val="20"/>
          <w:rtl/>
        </w:rPr>
        <w:t>183</w:t>
      </w:r>
      <w:r w:rsidRPr="00EF3655">
        <w:rPr>
          <w:rtl/>
        </w:rPr>
        <w:t>-</w:t>
      </w:r>
      <w:r w:rsidRPr="0068209D">
        <w:rPr>
          <w:rtl/>
        </w:rPr>
        <w:tab/>
        <w:t>وهناك خمس محاكم استئناف في فنلندا</w:t>
      </w:r>
      <w:r w:rsidRPr="00BB79C1">
        <w:rPr>
          <w:rtl/>
        </w:rPr>
        <w:t>:</w:t>
      </w:r>
      <w:r w:rsidRPr="0068209D">
        <w:rPr>
          <w:rtl/>
        </w:rPr>
        <w:t xml:space="preserve"> فنلندا الشرقية </w:t>
      </w:r>
      <w:r w:rsidRPr="00794E95">
        <w:rPr>
          <w:rtl/>
        </w:rPr>
        <w:t>(</w:t>
      </w:r>
      <w:r w:rsidRPr="0068209D">
        <w:rPr>
          <w:rtl/>
        </w:rPr>
        <w:t>في كووبيو</w:t>
      </w:r>
      <w:r w:rsidRPr="00794E95">
        <w:rPr>
          <w:rtl/>
        </w:rPr>
        <w:t>)</w:t>
      </w:r>
      <w:r w:rsidRPr="0068209D">
        <w:rPr>
          <w:rtl/>
        </w:rPr>
        <w:t xml:space="preserve">، وهلسينكي، وروفانييمي، وتوركو، وفاسا. ومعظم القضايا التي تنظر فيها محاكم الاستئناف هي </w:t>
      </w:r>
      <w:r>
        <w:rPr>
          <w:rtl/>
        </w:rPr>
        <w:t>طلبات</w:t>
      </w:r>
      <w:r w:rsidRPr="0068209D">
        <w:rPr>
          <w:rtl/>
        </w:rPr>
        <w:t xml:space="preserve"> </w:t>
      </w:r>
      <w:r>
        <w:rPr>
          <w:rtl/>
        </w:rPr>
        <w:t>ل</w:t>
      </w:r>
      <w:r w:rsidRPr="0068209D">
        <w:rPr>
          <w:rtl/>
        </w:rPr>
        <w:t>استئناف قرارات</w:t>
      </w:r>
      <w:r>
        <w:rPr>
          <w:rtl/>
        </w:rPr>
        <w:t xml:space="preserve"> صادرة عن</w:t>
      </w:r>
      <w:r w:rsidRPr="0068209D">
        <w:rPr>
          <w:rtl/>
        </w:rPr>
        <w:t xml:space="preserve"> المحاكم المحلية. وإضافة إلى ذلك، تبت محاكم الاستئناف، بصفتها المحكمة الابتدائية، في قضايا تتعلق بالخيانة والخيانة العظمى وبعض جرائم المناصب العامة. وهي </w:t>
      </w:r>
      <w:r w:rsidR="00C74C59">
        <w:rPr>
          <w:rtl/>
        </w:rPr>
        <w:t>أيضاً</w:t>
      </w:r>
      <w:r w:rsidRPr="0068209D">
        <w:rPr>
          <w:rtl/>
        </w:rPr>
        <w:t xml:space="preserve"> مسؤولة عن الإشراف،</w:t>
      </w:r>
      <w:r>
        <w:rPr>
          <w:rtl/>
        </w:rPr>
        <w:t xml:space="preserve"> </w:t>
      </w:r>
      <w:r w:rsidRPr="0068209D">
        <w:rPr>
          <w:rtl/>
        </w:rPr>
        <w:t>عموما، على عمليات المحاكم المحلية في دوائرها القضائية.</w:t>
      </w:r>
    </w:p>
    <w:p w14:paraId="72926906" w14:textId="77777777" w:rsidR="00C815DB" w:rsidRPr="0068209D" w:rsidRDefault="00C815DB" w:rsidP="00384243">
      <w:pPr>
        <w:pStyle w:val="SingleTxtGA"/>
        <w:rPr>
          <w:lang w:val="ar-SA" w:eastAsia="zh-TW" w:bidi="en-GB"/>
        </w:rPr>
      </w:pPr>
      <w:r w:rsidRPr="005C19F0">
        <w:rPr>
          <w:szCs w:val="20"/>
          <w:rtl/>
        </w:rPr>
        <w:t>184</w:t>
      </w:r>
      <w:r w:rsidRPr="00EF3655">
        <w:rPr>
          <w:rtl/>
        </w:rPr>
        <w:t>-</w:t>
      </w:r>
      <w:r w:rsidRPr="0068209D">
        <w:rPr>
          <w:rtl/>
        </w:rPr>
        <w:tab/>
        <w:t xml:space="preserve">وفي عام </w:t>
      </w:r>
      <w:r w:rsidRPr="005C19F0">
        <w:rPr>
          <w:szCs w:val="20"/>
          <w:rtl/>
        </w:rPr>
        <w:t>2011</w:t>
      </w:r>
      <w:r w:rsidRPr="0068209D">
        <w:rPr>
          <w:rtl/>
        </w:rPr>
        <w:t xml:space="preserve">، استحدثت فنلندا نظام إذْن لمواصلة النظر كي يحل محل نظام فرز الاستئنافات السابق. وينص القانون على شروط الحصول على إذن لمواصلة النظر. والغرض من هذا النظام </w:t>
      </w:r>
      <w:r>
        <w:rPr>
          <w:rtl/>
        </w:rPr>
        <w:t>تسريع</w:t>
      </w:r>
      <w:r w:rsidRPr="0068209D">
        <w:rPr>
          <w:rtl/>
        </w:rPr>
        <w:t xml:space="preserve"> إجراءات المحكمة وت</w:t>
      </w:r>
      <w:r>
        <w:rPr>
          <w:rtl/>
        </w:rPr>
        <w:t xml:space="preserve">حقيق منفعة </w:t>
      </w:r>
      <w:r w:rsidRPr="0068209D">
        <w:rPr>
          <w:rtl/>
        </w:rPr>
        <w:t>اقتصادية</w:t>
      </w:r>
      <w:r>
        <w:rPr>
          <w:rtl/>
        </w:rPr>
        <w:t xml:space="preserve"> منها</w:t>
      </w:r>
      <w:r w:rsidRPr="0068209D">
        <w:rPr>
          <w:rtl/>
        </w:rPr>
        <w:t>. و</w:t>
      </w:r>
      <w:r>
        <w:rPr>
          <w:rtl/>
        </w:rPr>
        <w:t xml:space="preserve">مثلما </w:t>
      </w:r>
      <w:r w:rsidRPr="0068209D">
        <w:rPr>
          <w:rtl/>
        </w:rPr>
        <w:t>ي</w:t>
      </w:r>
      <w:r>
        <w:rPr>
          <w:rtl/>
        </w:rPr>
        <w:t>ت</w:t>
      </w:r>
      <w:r w:rsidRPr="0068209D">
        <w:rPr>
          <w:rtl/>
        </w:rPr>
        <w:t xml:space="preserve">بين </w:t>
      </w:r>
      <w:r>
        <w:rPr>
          <w:rtl/>
        </w:rPr>
        <w:t xml:space="preserve">من </w:t>
      </w:r>
      <w:r w:rsidRPr="0068209D">
        <w:rPr>
          <w:rtl/>
        </w:rPr>
        <w:t>الجدول أدناه</w:t>
      </w:r>
      <w:r>
        <w:rPr>
          <w:rtl/>
        </w:rPr>
        <w:t>،</w:t>
      </w:r>
      <w:r w:rsidRPr="0068209D">
        <w:rPr>
          <w:rtl/>
        </w:rPr>
        <w:t xml:space="preserve"> لا ينتقل سوى جزء من القضايا من محكمة محلية إلى محكمة استئناف</w:t>
      </w:r>
      <w:r w:rsidRPr="00BB79C1">
        <w:rPr>
          <w:rtl/>
        </w:rPr>
        <w:t>:</w:t>
      </w:r>
    </w:p>
    <w:p w14:paraId="75D41126" w14:textId="6C5C0F57" w:rsidR="00C815DB" w:rsidRPr="00C726A7" w:rsidRDefault="00C815DB" w:rsidP="00ED7AF6">
      <w:pPr>
        <w:pStyle w:val="SingleTxtGA"/>
        <w:keepNext/>
        <w:keepLines/>
        <w:spacing w:after="0"/>
        <w:rPr>
          <w:lang w:eastAsia="zh-TW" w:bidi="en-GB"/>
        </w:rPr>
      </w:pPr>
      <w:r w:rsidRPr="0068209D">
        <w:rPr>
          <w:rtl/>
        </w:rPr>
        <w:lastRenderedPageBreak/>
        <w:t xml:space="preserve">الجدول </w:t>
      </w:r>
      <w:r w:rsidRPr="006023BE">
        <w:rPr>
          <w:sz w:val="12"/>
          <w:szCs w:val="20"/>
          <w:rtl/>
        </w:rPr>
        <w:t>9</w:t>
      </w:r>
    </w:p>
    <w:p w14:paraId="63A2D650" w14:textId="77777777" w:rsidR="00C815DB" w:rsidRPr="006023BE" w:rsidRDefault="00C815DB" w:rsidP="006023BE">
      <w:pPr>
        <w:pStyle w:val="SingleTxtGA"/>
        <w:rPr>
          <w:b/>
          <w:bCs/>
          <w:lang w:val="ar-SA" w:eastAsia="zh-TW" w:bidi="en-GB"/>
        </w:rPr>
      </w:pPr>
      <w:r w:rsidRPr="006023BE">
        <w:rPr>
          <w:b/>
          <w:bCs/>
          <w:rtl/>
        </w:rPr>
        <w:t xml:space="preserve">القضايا التي نظرت فيها محاكم الاستئناف، </w:t>
      </w:r>
      <w:r w:rsidRPr="006023BE">
        <w:rPr>
          <w:b/>
          <w:bCs/>
          <w:sz w:val="12"/>
          <w:szCs w:val="20"/>
          <w:rtl/>
        </w:rPr>
        <w:t>2012</w:t>
      </w:r>
      <w:r w:rsidRPr="006023BE">
        <w:rPr>
          <w:b/>
          <w:bCs/>
          <w:rtl/>
        </w:rPr>
        <w:t>-</w:t>
      </w:r>
      <w:r w:rsidRPr="006023BE">
        <w:rPr>
          <w:b/>
          <w:bCs/>
          <w:sz w:val="12"/>
          <w:szCs w:val="20"/>
          <w:rtl/>
        </w:rPr>
        <w:t>2018</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4"/>
        <w:gridCol w:w="1903"/>
        <w:gridCol w:w="2358"/>
        <w:gridCol w:w="1415"/>
      </w:tblGrid>
      <w:tr w:rsidR="00C815DB" w:rsidRPr="0068209D" w14:paraId="611D3BDC" w14:textId="77777777" w:rsidTr="000A1C86">
        <w:trPr>
          <w:tblHeader/>
        </w:trPr>
        <w:tc>
          <w:tcPr>
            <w:tcW w:w="1694" w:type="dxa"/>
            <w:tcBorders>
              <w:top w:val="single" w:sz="4" w:space="0" w:color="auto"/>
              <w:bottom w:val="single" w:sz="12" w:space="0" w:color="auto"/>
            </w:tcBorders>
            <w:shd w:val="clear" w:color="auto" w:fill="auto"/>
            <w:vAlign w:val="bottom"/>
            <w:hideMark/>
          </w:tcPr>
          <w:p w14:paraId="7904B079" w14:textId="77777777" w:rsidR="00C815DB" w:rsidRPr="006023BE" w:rsidRDefault="00C815DB" w:rsidP="006023BE">
            <w:pPr>
              <w:spacing w:before="20" w:after="20" w:line="300" w:lineRule="exact"/>
              <w:ind w:left="57" w:right="57"/>
              <w:textDirection w:val="tbRlV"/>
              <w:rPr>
                <w:bCs/>
                <w:i/>
                <w:sz w:val="26"/>
                <w:szCs w:val="26"/>
                <w:lang w:val="ar-SA" w:eastAsia="zh-TW" w:bidi="en-GB"/>
              </w:rPr>
            </w:pPr>
            <w:r w:rsidRPr="006023BE">
              <w:rPr>
                <w:i/>
                <w:iCs/>
                <w:sz w:val="26"/>
                <w:szCs w:val="26"/>
                <w:rtl/>
              </w:rPr>
              <w:t>السنة/القضية</w:t>
            </w:r>
          </w:p>
        </w:tc>
        <w:tc>
          <w:tcPr>
            <w:tcW w:w="1903" w:type="dxa"/>
            <w:tcBorders>
              <w:top w:val="single" w:sz="4" w:space="0" w:color="auto"/>
              <w:bottom w:val="single" w:sz="12" w:space="0" w:color="auto"/>
            </w:tcBorders>
            <w:shd w:val="clear" w:color="auto" w:fill="auto"/>
            <w:vAlign w:val="bottom"/>
            <w:hideMark/>
          </w:tcPr>
          <w:p w14:paraId="43F303FF" w14:textId="77777777" w:rsidR="00C815DB" w:rsidRPr="006023BE" w:rsidRDefault="00C815DB" w:rsidP="006023BE">
            <w:pPr>
              <w:spacing w:before="20" w:after="20" w:line="300" w:lineRule="exact"/>
              <w:ind w:left="57" w:right="57"/>
              <w:textDirection w:val="tbRlV"/>
              <w:rPr>
                <w:bCs/>
                <w:i/>
                <w:sz w:val="26"/>
                <w:szCs w:val="26"/>
                <w:lang w:val="ar-SA" w:eastAsia="zh-TW" w:bidi="en-GB"/>
              </w:rPr>
            </w:pPr>
            <w:r w:rsidRPr="006023BE">
              <w:rPr>
                <w:i/>
                <w:iCs/>
                <w:sz w:val="26"/>
                <w:szCs w:val="26"/>
                <w:rtl/>
              </w:rPr>
              <w:t>القضايا الواردة</w:t>
            </w:r>
          </w:p>
        </w:tc>
        <w:tc>
          <w:tcPr>
            <w:tcW w:w="2358" w:type="dxa"/>
            <w:tcBorders>
              <w:top w:val="single" w:sz="4" w:space="0" w:color="auto"/>
              <w:bottom w:val="single" w:sz="12" w:space="0" w:color="auto"/>
            </w:tcBorders>
            <w:shd w:val="clear" w:color="auto" w:fill="auto"/>
            <w:vAlign w:val="bottom"/>
            <w:hideMark/>
          </w:tcPr>
          <w:p w14:paraId="5CED3928" w14:textId="77777777" w:rsidR="00C815DB" w:rsidRPr="006023BE" w:rsidRDefault="00C815DB" w:rsidP="006023BE">
            <w:pPr>
              <w:spacing w:before="20" w:after="20" w:line="300" w:lineRule="exact"/>
              <w:ind w:left="57" w:right="57"/>
              <w:textDirection w:val="tbRlV"/>
              <w:rPr>
                <w:bCs/>
                <w:i/>
                <w:sz w:val="26"/>
                <w:szCs w:val="26"/>
                <w:lang w:val="ar-SA" w:eastAsia="zh-TW" w:bidi="en-GB"/>
              </w:rPr>
            </w:pPr>
            <w:r w:rsidRPr="006023BE">
              <w:rPr>
                <w:i/>
                <w:iCs/>
                <w:sz w:val="26"/>
                <w:szCs w:val="26"/>
                <w:rtl/>
              </w:rPr>
              <w:t>القضايا التي فُصل فيها</w:t>
            </w:r>
          </w:p>
        </w:tc>
        <w:tc>
          <w:tcPr>
            <w:tcW w:w="1415" w:type="dxa"/>
            <w:tcBorders>
              <w:top w:val="single" w:sz="4" w:space="0" w:color="auto"/>
              <w:bottom w:val="single" w:sz="12" w:space="0" w:color="auto"/>
            </w:tcBorders>
            <w:shd w:val="clear" w:color="auto" w:fill="auto"/>
            <w:vAlign w:val="bottom"/>
            <w:hideMark/>
          </w:tcPr>
          <w:p w14:paraId="13B6A679" w14:textId="77777777" w:rsidR="00C815DB" w:rsidRPr="006023BE" w:rsidRDefault="00C815DB" w:rsidP="006023BE">
            <w:pPr>
              <w:spacing w:before="20" w:after="20" w:line="300" w:lineRule="exact"/>
              <w:ind w:left="57" w:right="57"/>
              <w:textDirection w:val="tbRlV"/>
              <w:rPr>
                <w:bCs/>
                <w:i/>
                <w:sz w:val="26"/>
                <w:szCs w:val="26"/>
                <w:lang w:val="ar-SA" w:eastAsia="zh-TW" w:bidi="en-GB"/>
              </w:rPr>
            </w:pPr>
            <w:r w:rsidRPr="006023BE">
              <w:rPr>
                <w:i/>
                <w:iCs/>
                <w:sz w:val="26"/>
                <w:szCs w:val="26"/>
                <w:rtl/>
              </w:rPr>
              <w:t>القضايا قيد النظر</w:t>
            </w:r>
          </w:p>
        </w:tc>
      </w:tr>
      <w:tr w:rsidR="006753A3" w:rsidRPr="0068209D" w14:paraId="22067A45" w14:textId="77777777" w:rsidTr="000A1C86">
        <w:tc>
          <w:tcPr>
            <w:tcW w:w="1694" w:type="dxa"/>
            <w:tcBorders>
              <w:top w:val="single" w:sz="12" w:space="0" w:color="auto"/>
            </w:tcBorders>
            <w:shd w:val="clear" w:color="auto" w:fill="auto"/>
            <w:hideMark/>
          </w:tcPr>
          <w:p w14:paraId="398E40D6"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2012</w:t>
            </w:r>
          </w:p>
        </w:tc>
        <w:tc>
          <w:tcPr>
            <w:tcW w:w="1903" w:type="dxa"/>
            <w:tcBorders>
              <w:top w:val="single" w:sz="12" w:space="0" w:color="auto"/>
            </w:tcBorders>
            <w:shd w:val="clear" w:color="auto" w:fill="auto"/>
            <w:vAlign w:val="bottom"/>
          </w:tcPr>
          <w:p w14:paraId="215A2A62" w14:textId="095201E2" w:rsidR="006753A3" w:rsidRPr="006023BE" w:rsidRDefault="006753A3" w:rsidP="006753A3">
            <w:pPr>
              <w:spacing w:before="20" w:after="20" w:line="300" w:lineRule="exact"/>
              <w:ind w:left="57" w:right="57"/>
              <w:rPr>
                <w:sz w:val="18"/>
                <w:szCs w:val="18"/>
              </w:rPr>
            </w:pPr>
            <w:r w:rsidRPr="00795501">
              <w:rPr>
                <w:sz w:val="18"/>
                <w:szCs w:val="24"/>
              </w:rPr>
              <w:t>9 777</w:t>
            </w:r>
          </w:p>
        </w:tc>
        <w:tc>
          <w:tcPr>
            <w:tcW w:w="2358" w:type="dxa"/>
            <w:tcBorders>
              <w:top w:val="single" w:sz="12" w:space="0" w:color="auto"/>
            </w:tcBorders>
            <w:shd w:val="clear" w:color="auto" w:fill="auto"/>
            <w:vAlign w:val="bottom"/>
          </w:tcPr>
          <w:p w14:paraId="1B18C6DF" w14:textId="2A1EF147" w:rsidR="006753A3" w:rsidRPr="006023BE" w:rsidRDefault="006753A3" w:rsidP="006753A3">
            <w:pPr>
              <w:spacing w:before="20" w:after="20" w:line="300" w:lineRule="exact"/>
              <w:ind w:left="57" w:right="57"/>
              <w:rPr>
                <w:sz w:val="18"/>
                <w:szCs w:val="18"/>
              </w:rPr>
            </w:pPr>
            <w:r w:rsidRPr="00795501">
              <w:rPr>
                <w:sz w:val="18"/>
                <w:szCs w:val="24"/>
              </w:rPr>
              <w:t>10 228</w:t>
            </w:r>
          </w:p>
        </w:tc>
        <w:tc>
          <w:tcPr>
            <w:tcW w:w="1415" w:type="dxa"/>
            <w:tcBorders>
              <w:top w:val="single" w:sz="12" w:space="0" w:color="auto"/>
            </w:tcBorders>
            <w:shd w:val="clear" w:color="auto" w:fill="auto"/>
            <w:vAlign w:val="bottom"/>
          </w:tcPr>
          <w:p w14:paraId="2092279D" w14:textId="001AF0C9" w:rsidR="006753A3" w:rsidRPr="006023BE" w:rsidRDefault="006753A3" w:rsidP="006753A3">
            <w:pPr>
              <w:spacing w:before="20" w:after="20" w:line="300" w:lineRule="exact"/>
              <w:ind w:left="57" w:right="57"/>
              <w:rPr>
                <w:sz w:val="18"/>
                <w:szCs w:val="18"/>
              </w:rPr>
            </w:pPr>
            <w:r w:rsidRPr="00795501">
              <w:rPr>
                <w:sz w:val="18"/>
                <w:szCs w:val="24"/>
              </w:rPr>
              <w:t>4 538</w:t>
            </w:r>
          </w:p>
        </w:tc>
      </w:tr>
      <w:tr w:rsidR="006753A3" w:rsidRPr="0068209D" w14:paraId="05115C27" w14:textId="77777777" w:rsidTr="000A1C86">
        <w:tc>
          <w:tcPr>
            <w:tcW w:w="1694" w:type="dxa"/>
            <w:shd w:val="clear" w:color="auto" w:fill="auto"/>
            <w:hideMark/>
          </w:tcPr>
          <w:p w14:paraId="6D8D6070"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2013</w:t>
            </w:r>
          </w:p>
        </w:tc>
        <w:tc>
          <w:tcPr>
            <w:tcW w:w="1903" w:type="dxa"/>
            <w:shd w:val="clear" w:color="auto" w:fill="auto"/>
            <w:vAlign w:val="bottom"/>
          </w:tcPr>
          <w:p w14:paraId="63B98B71" w14:textId="24940725" w:rsidR="006753A3" w:rsidRPr="006023BE" w:rsidRDefault="006753A3" w:rsidP="006753A3">
            <w:pPr>
              <w:spacing w:before="20" w:after="20" w:line="300" w:lineRule="exact"/>
              <w:ind w:left="57" w:right="57"/>
              <w:rPr>
                <w:sz w:val="18"/>
                <w:szCs w:val="18"/>
              </w:rPr>
            </w:pPr>
            <w:r w:rsidRPr="00795501">
              <w:rPr>
                <w:sz w:val="18"/>
                <w:szCs w:val="24"/>
              </w:rPr>
              <w:t>9 689</w:t>
            </w:r>
          </w:p>
        </w:tc>
        <w:tc>
          <w:tcPr>
            <w:tcW w:w="2358" w:type="dxa"/>
            <w:shd w:val="clear" w:color="auto" w:fill="auto"/>
            <w:vAlign w:val="bottom"/>
          </w:tcPr>
          <w:p w14:paraId="60275779" w14:textId="5DE2CBCA" w:rsidR="006753A3" w:rsidRPr="006023BE" w:rsidRDefault="006753A3" w:rsidP="006753A3">
            <w:pPr>
              <w:spacing w:before="20" w:after="20" w:line="300" w:lineRule="exact"/>
              <w:ind w:left="57" w:right="57"/>
              <w:rPr>
                <w:sz w:val="18"/>
                <w:szCs w:val="18"/>
              </w:rPr>
            </w:pPr>
            <w:r w:rsidRPr="00795501">
              <w:rPr>
                <w:sz w:val="18"/>
                <w:szCs w:val="24"/>
              </w:rPr>
              <w:t>9 675</w:t>
            </w:r>
          </w:p>
        </w:tc>
        <w:tc>
          <w:tcPr>
            <w:tcW w:w="1415" w:type="dxa"/>
            <w:shd w:val="clear" w:color="auto" w:fill="auto"/>
            <w:vAlign w:val="bottom"/>
          </w:tcPr>
          <w:p w14:paraId="6053AC99" w14:textId="60B0F932" w:rsidR="006753A3" w:rsidRPr="006023BE" w:rsidRDefault="006753A3" w:rsidP="006753A3">
            <w:pPr>
              <w:spacing w:before="20" w:after="20" w:line="300" w:lineRule="exact"/>
              <w:ind w:left="57" w:right="57"/>
              <w:rPr>
                <w:sz w:val="18"/>
                <w:szCs w:val="18"/>
              </w:rPr>
            </w:pPr>
            <w:r w:rsidRPr="00795501">
              <w:rPr>
                <w:sz w:val="18"/>
                <w:szCs w:val="24"/>
              </w:rPr>
              <w:t>4 552</w:t>
            </w:r>
          </w:p>
        </w:tc>
      </w:tr>
      <w:tr w:rsidR="006753A3" w:rsidRPr="0068209D" w14:paraId="4F14EF1D" w14:textId="77777777" w:rsidTr="000A1C86">
        <w:tc>
          <w:tcPr>
            <w:tcW w:w="1694" w:type="dxa"/>
            <w:shd w:val="clear" w:color="auto" w:fill="auto"/>
            <w:hideMark/>
          </w:tcPr>
          <w:p w14:paraId="0608ED3C"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2014</w:t>
            </w:r>
          </w:p>
        </w:tc>
        <w:tc>
          <w:tcPr>
            <w:tcW w:w="1903" w:type="dxa"/>
            <w:shd w:val="clear" w:color="auto" w:fill="auto"/>
            <w:vAlign w:val="bottom"/>
          </w:tcPr>
          <w:p w14:paraId="1F81B898" w14:textId="0054D3D3" w:rsidR="006753A3" w:rsidRPr="006023BE" w:rsidRDefault="006753A3" w:rsidP="006753A3">
            <w:pPr>
              <w:spacing w:before="20" w:after="20" w:line="300" w:lineRule="exact"/>
              <w:ind w:left="57" w:right="57"/>
              <w:rPr>
                <w:sz w:val="18"/>
                <w:szCs w:val="18"/>
              </w:rPr>
            </w:pPr>
            <w:r w:rsidRPr="00795501">
              <w:rPr>
                <w:sz w:val="18"/>
                <w:szCs w:val="24"/>
              </w:rPr>
              <w:t>10 176</w:t>
            </w:r>
          </w:p>
        </w:tc>
        <w:tc>
          <w:tcPr>
            <w:tcW w:w="2358" w:type="dxa"/>
            <w:shd w:val="clear" w:color="auto" w:fill="auto"/>
            <w:vAlign w:val="bottom"/>
          </w:tcPr>
          <w:p w14:paraId="4E934F9F" w14:textId="514F0544" w:rsidR="006753A3" w:rsidRPr="006023BE" w:rsidRDefault="006753A3" w:rsidP="006753A3">
            <w:pPr>
              <w:spacing w:before="20" w:after="20" w:line="300" w:lineRule="exact"/>
              <w:ind w:left="57" w:right="57"/>
              <w:rPr>
                <w:sz w:val="18"/>
                <w:szCs w:val="18"/>
              </w:rPr>
            </w:pPr>
            <w:r w:rsidRPr="00795501">
              <w:rPr>
                <w:sz w:val="18"/>
                <w:szCs w:val="24"/>
              </w:rPr>
              <w:t>9 942</w:t>
            </w:r>
          </w:p>
        </w:tc>
        <w:tc>
          <w:tcPr>
            <w:tcW w:w="1415" w:type="dxa"/>
            <w:shd w:val="clear" w:color="auto" w:fill="auto"/>
            <w:vAlign w:val="bottom"/>
          </w:tcPr>
          <w:p w14:paraId="04626DA4" w14:textId="5F89E3B6" w:rsidR="006753A3" w:rsidRPr="006023BE" w:rsidRDefault="006753A3" w:rsidP="006753A3">
            <w:pPr>
              <w:spacing w:before="20" w:after="20" w:line="300" w:lineRule="exact"/>
              <w:ind w:left="57" w:right="57"/>
              <w:rPr>
                <w:sz w:val="18"/>
                <w:szCs w:val="18"/>
              </w:rPr>
            </w:pPr>
            <w:r w:rsidRPr="00795501">
              <w:rPr>
                <w:sz w:val="18"/>
                <w:szCs w:val="24"/>
              </w:rPr>
              <w:t>4 792</w:t>
            </w:r>
          </w:p>
        </w:tc>
      </w:tr>
      <w:tr w:rsidR="006753A3" w:rsidRPr="0068209D" w14:paraId="749505F0" w14:textId="77777777" w:rsidTr="000A1C86">
        <w:tc>
          <w:tcPr>
            <w:tcW w:w="1694" w:type="dxa"/>
            <w:shd w:val="clear" w:color="auto" w:fill="auto"/>
            <w:hideMark/>
          </w:tcPr>
          <w:p w14:paraId="712610C3"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2015</w:t>
            </w:r>
          </w:p>
        </w:tc>
        <w:tc>
          <w:tcPr>
            <w:tcW w:w="1903" w:type="dxa"/>
            <w:shd w:val="clear" w:color="auto" w:fill="auto"/>
            <w:vAlign w:val="bottom"/>
          </w:tcPr>
          <w:p w14:paraId="5C5DF1E3" w14:textId="47F19575" w:rsidR="006753A3" w:rsidRPr="006023BE" w:rsidRDefault="006753A3" w:rsidP="006753A3">
            <w:pPr>
              <w:spacing w:before="20" w:after="20" w:line="300" w:lineRule="exact"/>
              <w:ind w:left="57" w:right="57"/>
              <w:rPr>
                <w:sz w:val="18"/>
                <w:szCs w:val="18"/>
              </w:rPr>
            </w:pPr>
            <w:r w:rsidRPr="00795501">
              <w:rPr>
                <w:sz w:val="18"/>
                <w:szCs w:val="24"/>
              </w:rPr>
              <w:t>9 810</w:t>
            </w:r>
          </w:p>
        </w:tc>
        <w:tc>
          <w:tcPr>
            <w:tcW w:w="2358" w:type="dxa"/>
            <w:shd w:val="clear" w:color="auto" w:fill="auto"/>
            <w:vAlign w:val="bottom"/>
          </w:tcPr>
          <w:p w14:paraId="1B1584C8" w14:textId="19FF8944" w:rsidR="006753A3" w:rsidRPr="006023BE" w:rsidRDefault="006753A3" w:rsidP="006753A3">
            <w:pPr>
              <w:spacing w:before="20" w:after="20" w:line="300" w:lineRule="exact"/>
              <w:ind w:left="57" w:right="57"/>
              <w:rPr>
                <w:sz w:val="18"/>
                <w:szCs w:val="18"/>
              </w:rPr>
            </w:pPr>
            <w:r w:rsidRPr="00795501">
              <w:rPr>
                <w:sz w:val="18"/>
                <w:szCs w:val="24"/>
              </w:rPr>
              <w:t>9 855</w:t>
            </w:r>
          </w:p>
        </w:tc>
        <w:tc>
          <w:tcPr>
            <w:tcW w:w="1415" w:type="dxa"/>
            <w:shd w:val="clear" w:color="auto" w:fill="auto"/>
            <w:vAlign w:val="bottom"/>
          </w:tcPr>
          <w:p w14:paraId="2393B50A" w14:textId="7B41AE6C" w:rsidR="006753A3" w:rsidRPr="006023BE" w:rsidRDefault="006753A3" w:rsidP="006753A3">
            <w:pPr>
              <w:spacing w:before="20" w:after="20" w:line="300" w:lineRule="exact"/>
              <w:ind w:left="57" w:right="57"/>
              <w:rPr>
                <w:sz w:val="18"/>
                <w:szCs w:val="18"/>
              </w:rPr>
            </w:pPr>
            <w:r w:rsidRPr="00795501">
              <w:rPr>
                <w:sz w:val="18"/>
                <w:szCs w:val="24"/>
              </w:rPr>
              <w:t>4 747</w:t>
            </w:r>
          </w:p>
        </w:tc>
      </w:tr>
      <w:tr w:rsidR="006753A3" w:rsidRPr="0068209D" w14:paraId="04A0B6AA" w14:textId="77777777" w:rsidTr="000A1C86">
        <w:tc>
          <w:tcPr>
            <w:tcW w:w="1694" w:type="dxa"/>
            <w:shd w:val="clear" w:color="auto" w:fill="auto"/>
            <w:hideMark/>
          </w:tcPr>
          <w:p w14:paraId="1411C911"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2016</w:t>
            </w:r>
          </w:p>
        </w:tc>
        <w:tc>
          <w:tcPr>
            <w:tcW w:w="1903" w:type="dxa"/>
            <w:shd w:val="clear" w:color="auto" w:fill="auto"/>
            <w:vAlign w:val="bottom"/>
          </w:tcPr>
          <w:p w14:paraId="095B54D7" w14:textId="21CD5255" w:rsidR="006753A3" w:rsidRPr="006023BE" w:rsidRDefault="006753A3" w:rsidP="006753A3">
            <w:pPr>
              <w:spacing w:before="20" w:after="20" w:line="300" w:lineRule="exact"/>
              <w:ind w:left="57" w:right="57"/>
              <w:rPr>
                <w:sz w:val="18"/>
                <w:szCs w:val="18"/>
              </w:rPr>
            </w:pPr>
            <w:r w:rsidRPr="00795501">
              <w:rPr>
                <w:sz w:val="18"/>
                <w:szCs w:val="24"/>
              </w:rPr>
              <w:t>8 593</w:t>
            </w:r>
          </w:p>
        </w:tc>
        <w:tc>
          <w:tcPr>
            <w:tcW w:w="2358" w:type="dxa"/>
            <w:shd w:val="clear" w:color="auto" w:fill="auto"/>
            <w:vAlign w:val="bottom"/>
          </w:tcPr>
          <w:p w14:paraId="0FD27069" w14:textId="5CDC4C56" w:rsidR="006753A3" w:rsidRPr="006023BE" w:rsidRDefault="006753A3" w:rsidP="006753A3">
            <w:pPr>
              <w:spacing w:before="20" w:after="20" w:line="300" w:lineRule="exact"/>
              <w:ind w:left="57" w:right="57"/>
              <w:rPr>
                <w:sz w:val="18"/>
                <w:szCs w:val="18"/>
              </w:rPr>
            </w:pPr>
            <w:r w:rsidRPr="00795501">
              <w:rPr>
                <w:sz w:val="18"/>
                <w:szCs w:val="24"/>
              </w:rPr>
              <w:t>9 552</w:t>
            </w:r>
          </w:p>
        </w:tc>
        <w:tc>
          <w:tcPr>
            <w:tcW w:w="1415" w:type="dxa"/>
            <w:shd w:val="clear" w:color="auto" w:fill="auto"/>
            <w:vAlign w:val="bottom"/>
          </w:tcPr>
          <w:p w14:paraId="172F1762" w14:textId="0A6967B2" w:rsidR="006753A3" w:rsidRPr="006023BE" w:rsidRDefault="006753A3" w:rsidP="006753A3">
            <w:pPr>
              <w:spacing w:before="20" w:after="20" w:line="300" w:lineRule="exact"/>
              <w:ind w:left="57" w:right="57"/>
              <w:rPr>
                <w:sz w:val="18"/>
                <w:szCs w:val="18"/>
              </w:rPr>
            </w:pPr>
            <w:r w:rsidRPr="00795501">
              <w:rPr>
                <w:sz w:val="18"/>
                <w:szCs w:val="24"/>
              </w:rPr>
              <w:t>3 787</w:t>
            </w:r>
          </w:p>
        </w:tc>
      </w:tr>
      <w:tr w:rsidR="006753A3" w:rsidRPr="0068209D" w14:paraId="77CEBDC8" w14:textId="77777777" w:rsidTr="000A1C86">
        <w:tc>
          <w:tcPr>
            <w:tcW w:w="1694" w:type="dxa"/>
            <w:shd w:val="clear" w:color="auto" w:fill="auto"/>
            <w:hideMark/>
          </w:tcPr>
          <w:p w14:paraId="248C43BE"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2017</w:t>
            </w:r>
          </w:p>
        </w:tc>
        <w:tc>
          <w:tcPr>
            <w:tcW w:w="1903" w:type="dxa"/>
            <w:shd w:val="clear" w:color="auto" w:fill="auto"/>
            <w:vAlign w:val="bottom"/>
          </w:tcPr>
          <w:p w14:paraId="340F9B67" w14:textId="08BBD316" w:rsidR="006753A3" w:rsidRPr="006023BE" w:rsidRDefault="006753A3" w:rsidP="006753A3">
            <w:pPr>
              <w:spacing w:before="20" w:after="20" w:line="300" w:lineRule="exact"/>
              <w:ind w:left="57" w:right="57"/>
              <w:rPr>
                <w:sz w:val="18"/>
                <w:szCs w:val="18"/>
              </w:rPr>
            </w:pPr>
            <w:r w:rsidRPr="00795501">
              <w:rPr>
                <w:sz w:val="18"/>
                <w:szCs w:val="24"/>
              </w:rPr>
              <w:t>8 263</w:t>
            </w:r>
          </w:p>
        </w:tc>
        <w:tc>
          <w:tcPr>
            <w:tcW w:w="2358" w:type="dxa"/>
            <w:shd w:val="clear" w:color="auto" w:fill="auto"/>
            <w:vAlign w:val="bottom"/>
          </w:tcPr>
          <w:p w14:paraId="55C98DEA" w14:textId="289DA80B" w:rsidR="006753A3" w:rsidRPr="006023BE" w:rsidRDefault="006753A3" w:rsidP="006753A3">
            <w:pPr>
              <w:spacing w:before="20" w:after="20" w:line="300" w:lineRule="exact"/>
              <w:ind w:left="57" w:right="57"/>
              <w:rPr>
                <w:sz w:val="18"/>
                <w:szCs w:val="18"/>
              </w:rPr>
            </w:pPr>
            <w:r w:rsidRPr="00795501">
              <w:rPr>
                <w:sz w:val="18"/>
                <w:szCs w:val="24"/>
              </w:rPr>
              <w:t>8 269</w:t>
            </w:r>
          </w:p>
        </w:tc>
        <w:tc>
          <w:tcPr>
            <w:tcW w:w="1415" w:type="dxa"/>
            <w:shd w:val="clear" w:color="auto" w:fill="auto"/>
            <w:vAlign w:val="bottom"/>
          </w:tcPr>
          <w:p w14:paraId="30563F7F" w14:textId="4344788D" w:rsidR="006753A3" w:rsidRPr="006023BE" w:rsidRDefault="006753A3" w:rsidP="006753A3">
            <w:pPr>
              <w:spacing w:before="20" w:after="20" w:line="300" w:lineRule="exact"/>
              <w:ind w:left="57" w:right="57"/>
              <w:rPr>
                <w:sz w:val="18"/>
                <w:szCs w:val="18"/>
              </w:rPr>
            </w:pPr>
            <w:r w:rsidRPr="00795501">
              <w:rPr>
                <w:sz w:val="18"/>
                <w:szCs w:val="24"/>
              </w:rPr>
              <w:t>3 780</w:t>
            </w:r>
          </w:p>
        </w:tc>
      </w:tr>
      <w:tr w:rsidR="006753A3" w:rsidRPr="0068209D" w14:paraId="5C9B71D6" w14:textId="77777777" w:rsidTr="000A1C86">
        <w:tc>
          <w:tcPr>
            <w:tcW w:w="1694" w:type="dxa"/>
            <w:shd w:val="clear" w:color="auto" w:fill="auto"/>
            <w:hideMark/>
          </w:tcPr>
          <w:p w14:paraId="515388E8" w14:textId="77777777" w:rsidR="006753A3" w:rsidRPr="006023BE" w:rsidRDefault="006753A3" w:rsidP="006753A3">
            <w:pPr>
              <w:spacing w:before="20" w:after="20" w:line="300" w:lineRule="exact"/>
              <w:ind w:left="57" w:right="57"/>
              <w:textDirection w:val="tbRlV"/>
              <w:rPr>
                <w:sz w:val="18"/>
                <w:szCs w:val="18"/>
                <w:lang w:val="ar-SA" w:eastAsia="zh-TW" w:bidi="en-GB"/>
              </w:rPr>
            </w:pPr>
            <w:r w:rsidRPr="006023BE">
              <w:rPr>
                <w:sz w:val="18"/>
                <w:szCs w:val="18"/>
                <w:rtl/>
              </w:rPr>
              <w:t>2018</w:t>
            </w:r>
          </w:p>
        </w:tc>
        <w:tc>
          <w:tcPr>
            <w:tcW w:w="1903" w:type="dxa"/>
            <w:shd w:val="clear" w:color="auto" w:fill="auto"/>
            <w:vAlign w:val="bottom"/>
          </w:tcPr>
          <w:p w14:paraId="0CB811D0" w14:textId="34D188CC" w:rsidR="006753A3" w:rsidRPr="006023BE" w:rsidRDefault="006753A3" w:rsidP="006753A3">
            <w:pPr>
              <w:spacing w:before="20" w:after="20" w:line="300" w:lineRule="exact"/>
              <w:ind w:left="57" w:right="57"/>
              <w:rPr>
                <w:sz w:val="18"/>
                <w:szCs w:val="18"/>
              </w:rPr>
            </w:pPr>
            <w:r w:rsidRPr="00795501">
              <w:rPr>
                <w:sz w:val="18"/>
                <w:szCs w:val="24"/>
              </w:rPr>
              <w:t>8 316</w:t>
            </w:r>
          </w:p>
        </w:tc>
        <w:tc>
          <w:tcPr>
            <w:tcW w:w="2358" w:type="dxa"/>
            <w:shd w:val="clear" w:color="auto" w:fill="auto"/>
            <w:vAlign w:val="bottom"/>
          </w:tcPr>
          <w:p w14:paraId="0C9010C3" w14:textId="6579D033" w:rsidR="006753A3" w:rsidRPr="006023BE" w:rsidRDefault="006753A3" w:rsidP="006753A3">
            <w:pPr>
              <w:spacing w:before="20" w:after="20" w:line="300" w:lineRule="exact"/>
              <w:ind w:left="57" w:right="57"/>
              <w:rPr>
                <w:sz w:val="18"/>
                <w:szCs w:val="18"/>
              </w:rPr>
            </w:pPr>
            <w:r w:rsidRPr="00795501">
              <w:rPr>
                <w:sz w:val="18"/>
                <w:szCs w:val="24"/>
              </w:rPr>
              <w:t>8 177</w:t>
            </w:r>
          </w:p>
        </w:tc>
        <w:tc>
          <w:tcPr>
            <w:tcW w:w="1415" w:type="dxa"/>
            <w:shd w:val="clear" w:color="auto" w:fill="auto"/>
            <w:vAlign w:val="bottom"/>
          </w:tcPr>
          <w:p w14:paraId="0DDFC529" w14:textId="0D35296B" w:rsidR="006753A3" w:rsidRPr="006023BE" w:rsidRDefault="006753A3" w:rsidP="006753A3">
            <w:pPr>
              <w:spacing w:before="20" w:after="20" w:line="300" w:lineRule="exact"/>
              <w:ind w:left="57" w:right="57"/>
              <w:rPr>
                <w:sz w:val="18"/>
                <w:szCs w:val="18"/>
              </w:rPr>
            </w:pPr>
            <w:r w:rsidRPr="00795501">
              <w:rPr>
                <w:sz w:val="18"/>
                <w:szCs w:val="24"/>
              </w:rPr>
              <w:t>3 922</w:t>
            </w:r>
          </w:p>
        </w:tc>
      </w:tr>
    </w:tbl>
    <w:p w14:paraId="526B0492" w14:textId="3894BB70" w:rsidR="00C815DB" w:rsidRPr="0068209D" w:rsidRDefault="00C815DB" w:rsidP="000A1C86">
      <w:pPr>
        <w:pStyle w:val="SingleTxtG"/>
        <w:bidi/>
        <w:spacing w:after="240" w:line="300" w:lineRule="exact"/>
        <w:ind w:left="1871" w:right="1247" w:hanging="645"/>
        <w:jc w:val="lowKashida"/>
        <w:rPr>
          <w:sz w:val="30"/>
          <w:lang w:eastAsia="zh-TW" w:bidi="en-GB"/>
        </w:rPr>
      </w:pPr>
      <w:r w:rsidRPr="00EC3425">
        <w:rPr>
          <w:i/>
          <w:iCs/>
          <w:sz w:val="28"/>
          <w:szCs w:val="26"/>
          <w:rtl/>
        </w:rPr>
        <w:t>المصدر</w:t>
      </w:r>
      <w:r w:rsidR="000A1C86">
        <w:rPr>
          <w:rFonts w:hint="cs"/>
          <w:rtl/>
        </w:rPr>
        <w:t>:</w:t>
      </w:r>
      <w:r w:rsidR="000A1C86">
        <w:rPr>
          <w:rtl/>
        </w:rPr>
        <w:tab/>
      </w:r>
      <w:r w:rsidRPr="00EC3425">
        <w:rPr>
          <w:sz w:val="18"/>
          <w:szCs w:val="18"/>
        </w:rPr>
        <w:t>Ministry of Justice, publication Tuomioistuinten työtilastoja vuodelta 2018, Toiminta ja hallinto 2019</w:t>
      </w:r>
      <w:r w:rsidRPr="00BB79C1">
        <w:t>:</w:t>
      </w:r>
      <w:r w:rsidRPr="00EC3425">
        <w:rPr>
          <w:sz w:val="18"/>
          <w:szCs w:val="18"/>
        </w:rPr>
        <w:t>8 [Court statistics for 2018, Operations and Administration;</w:t>
      </w:r>
      <w:r w:rsidRPr="0068209D">
        <w:rPr>
          <w:sz w:val="30"/>
          <w:rtl/>
        </w:rPr>
        <w:t xml:space="preserve"> </w:t>
      </w:r>
      <w:r w:rsidRPr="00EC3425">
        <w:rPr>
          <w:sz w:val="26"/>
          <w:szCs w:val="26"/>
          <w:rtl/>
        </w:rPr>
        <w:t>تقرير متوفر باللغة الفنلندية فقط</w:t>
      </w:r>
      <w:r w:rsidRPr="006753A3">
        <w:rPr>
          <w:rFonts w:ascii="Traditional Arabic"/>
          <w:sz w:val="18"/>
          <w:szCs w:val="18"/>
          <w:rtl/>
        </w:rPr>
        <w:t>]</w:t>
      </w:r>
      <w:r w:rsidRPr="0068209D">
        <w:rPr>
          <w:sz w:val="30"/>
          <w:rtl/>
        </w:rPr>
        <w:t>.</w:t>
      </w:r>
    </w:p>
    <w:p w14:paraId="6E9B291B" w14:textId="77777777" w:rsidR="00C815DB" w:rsidRPr="0068209D" w:rsidRDefault="00C815DB" w:rsidP="00384243">
      <w:pPr>
        <w:pStyle w:val="SingleTxtGA"/>
        <w:rPr>
          <w:lang w:eastAsia="zh-TW" w:bidi="en-GB"/>
        </w:rPr>
      </w:pPr>
      <w:r w:rsidRPr="005C19F0">
        <w:rPr>
          <w:szCs w:val="20"/>
          <w:rtl/>
        </w:rPr>
        <w:t>185</w:t>
      </w:r>
      <w:r w:rsidRPr="00EF3655">
        <w:rPr>
          <w:rtl/>
        </w:rPr>
        <w:t>-</w:t>
      </w:r>
      <w:r w:rsidRPr="0068209D">
        <w:rPr>
          <w:rtl/>
        </w:rPr>
        <w:tab/>
        <w:t>والمحكمة العليا هي الهيئة القضائية العليا في القضايا المدنية والجنائية، وتشرف على تطبيق القانون في قطاعها. وأهم وظيفة</w:t>
      </w:r>
      <w:r>
        <w:rPr>
          <w:rtl/>
        </w:rPr>
        <w:t xml:space="preserve"> تضطلع بها</w:t>
      </w:r>
      <w:r w:rsidRPr="0068209D">
        <w:rPr>
          <w:rtl/>
        </w:rPr>
        <w:t xml:space="preserve"> هي إنشاء سوابق قضائية في الحالات التي لا يوفر فيها القانون حلا واضحا. وتؤدي السوابق دور الموجّه القانوني لل</w:t>
      </w:r>
      <w:r>
        <w:rPr>
          <w:rtl/>
        </w:rPr>
        <w:t xml:space="preserve">فصل في قضايا مشابهة </w:t>
      </w:r>
      <w:r w:rsidRPr="0068209D">
        <w:rPr>
          <w:rtl/>
        </w:rPr>
        <w:t>في المستقبل، و</w:t>
      </w:r>
      <w:r>
        <w:rPr>
          <w:rtl/>
        </w:rPr>
        <w:t xml:space="preserve">يُتوخى منها </w:t>
      </w:r>
      <w:r w:rsidRPr="0068209D">
        <w:rPr>
          <w:rtl/>
        </w:rPr>
        <w:t xml:space="preserve">تحقيق الاتساق في تفسير المحاكم الأدنى درجة للقانون في جميع أنحاء البلد. </w:t>
      </w:r>
    </w:p>
    <w:p w14:paraId="5184E95E" w14:textId="77777777" w:rsidR="00C815DB" w:rsidRPr="0068209D" w:rsidRDefault="00C815DB" w:rsidP="00384243">
      <w:pPr>
        <w:pStyle w:val="SingleTxtGA"/>
        <w:rPr>
          <w:lang w:eastAsia="zh-TW" w:bidi="en-GB"/>
        </w:rPr>
      </w:pPr>
      <w:r w:rsidRPr="005C19F0">
        <w:rPr>
          <w:szCs w:val="20"/>
          <w:rtl/>
        </w:rPr>
        <w:t>186</w:t>
      </w:r>
      <w:r w:rsidRPr="00EF3655">
        <w:rPr>
          <w:rtl/>
        </w:rPr>
        <w:t>-</w:t>
      </w:r>
      <w:r w:rsidRPr="0068209D">
        <w:rPr>
          <w:rtl/>
        </w:rPr>
        <w:tab/>
        <w:t xml:space="preserve">ويجوز الطعن في قرارات محاكم الاستئناف ومحاكم الأراضي، </w:t>
      </w:r>
      <w:r>
        <w:rPr>
          <w:rtl/>
        </w:rPr>
        <w:t>كما في</w:t>
      </w:r>
      <w:r w:rsidRPr="0068209D">
        <w:rPr>
          <w:rtl/>
        </w:rPr>
        <w:t xml:space="preserve"> بعض قرارات محكمة التأمين و</w:t>
      </w:r>
      <w:r>
        <w:rPr>
          <w:rtl/>
        </w:rPr>
        <w:t>ال</w:t>
      </w:r>
      <w:r w:rsidRPr="0068209D">
        <w:rPr>
          <w:rtl/>
        </w:rPr>
        <w:t xml:space="preserve">محكمة </w:t>
      </w:r>
      <w:r>
        <w:rPr>
          <w:rtl/>
        </w:rPr>
        <w:t>التجارية</w:t>
      </w:r>
      <w:r w:rsidRPr="0068209D">
        <w:rPr>
          <w:rtl/>
        </w:rPr>
        <w:t>، أمام المحكمة العليا، شريطة أن تمنح المحكمة العليا الإذن بالاستئناف.</w:t>
      </w:r>
    </w:p>
    <w:p w14:paraId="72F99F06" w14:textId="77777777" w:rsidR="00C815DB" w:rsidRPr="00C726A7" w:rsidRDefault="00C815DB" w:rsidP="00384243">
      <w:pPr>
        <w:pStyle w:val="SingleTxtGA"/>
        <w:rPr>
          <w:lang w:eastAsia="zh-TW" w:bidi="en-GB"/>
        </w:rPr>
      </w:pPr>
      <w:r w:rsidRPr="005C19F0">
        <w:rPr>
          <w:szCs w:val="20"/>
          <w:rtl/>
        </w:rPr>
        <w:t>187</w:t>
      </w:r>
      <w:r w:rsidRPr="00EF3655">
        <w:rPr>
          <w:rtl/>
        </w:rPr>
        <w:t>-</w:t>
      </w:r>
      <w:r w:rsidRPr="0068209D">
        <w:rPr>
          <w:rtl/>
        </w:rPr>
        <w:tab/>
        <w:t xml:space="preserve">وفي القضايا التي توجد سوابق بشأنها، يجوز استئناف قرار المحكمة المحلية </w:t>
      </w:r>
      <w:r>
        <w:rPr>
          <w:rtl/>
        </w:rPr>
        <w:t xml:space="preserve">أمام </w:t>
      </w:r>
      <w:r w:rsidRPr="0068209D">
        <w:rPr>
          <w:rtl/>
        </w:rPr>
        <w:t xml:space="preserve">المحكمة العليا </w:t>
      </w:r>
      <w:r>
        <w:rPr>
          <w:rtl/>
        </w:rPr>
        <w:t>مباشرةً</w:t>
      </w:r>
      <w:r w:rsidRPr="0068209D">
        <w:rPr>
          <w:rtl/>
        </w:rPr>
        <w:t xml:space="preserve">. وحتى في </w:t>
      </w:r>
      <w:r>
        <w:rPr>
          <w:rtl/>
        </w:rPr>
        <w:t>تلك</w:t>
      </w:r>
      <w:r w:rsidRPr="0068209D">
        <w:rPr>
          <w:rtl/>
        </w:rPr>
        <w:t xml:space="preserve"> الحالة، يتعين على المحكمة العليا أولاً أن تمنح الإذن بالاستئناف. ويجوز عادة استئناف القرارات الصادرة عن محكمة الاستئناف بصف</w:t>
      </w:r>
      <w:r>
        <w:rPr>
          <w:rtl/>
        </w:rPr>
        <w:t>ت</w:t>
      </w:r>
      <w:r w:rsidRPr="0068209D">
        <w:rPr>
          <w:rtl/>
        </w:rPr>
        <w:t>ها المحكمة الابتدائية أمام المحكمة العليا دون طلب إذن بالاستئناف.</w:t>
      </w:r>
    </w:p>
    <w:p w14:paraId="6D56AE40" w14:textId="31A382AC" w:rsidR="00C815DB" w:rsidRPr="0068209D" w:rsidRDefault="00C815DB" w:rsidP="00384243">
      <w:pPr>
        <w:pStyle w:val="SingleTxtGA"/>
        <w:rPr>
          <w:lang w:eastAsia="zh-TW" w:bidi="en-GB"/>
        </w:rPr>
      </w:pPr>
      <w:r w:rsidRPr="005C19F0">
        <w:rPr>
          <w:szCs w:val="20"/>
          <w:rtl/>
        </w:rPr>
        <w:t>188</w:t>
      </w:r>
      <w:r w:rsidRPr="00EF3655">
        <w:rPr>
          <w:rtl/>
        </w:rPr>
        <w:t>-</w:t>
      </w:r>
      <w:r w:rsidRPr="0068209D">
        <w:rPr>
          <w:rtl/>
        </w:rPr>
        <w:tab/>
        <w:t xml:space="preserve">وتبت المحكمة العليا </w:t>
      </w:r>
      <w:r w:rsidR="00C74C59">
        <w:rPr>
          <w:rtl/>
        </w:rPr>
        <w:t>أيضاً</w:t>
      </w:r>
      <w:r w:rsidRPr="0068209D">
        <w:rPr>
          <w:rtl/>
        </w:rPr>
        <w:t xml:space="preserve"> في القضايا التي تتعلق باستئناف استثنائي. ويجوز للمحكمة العليا أن تلغي القرارات النهائية للمحاكم استناداً إلى الأس</w:t>
      </w:r>
      <w:r>
        <w:rPr>
          <w:rtl/>
        </w:rPr>
        <w:t xml:space="preserve">باب </w:t>
      </w:r>
      <w:r w:rsidRPr="0068209D">
        <w:rPr>
          <w:rtl/>
        </w:rPr>
        <w:t xml:space="preserve">المنصوص عليها في الفصل </w:t>
      </w:r>
      <w:r w:rsidRPr="005C19F0">
        <w:rPr>
          <w:szCs w:val="20"/>
          <w:rtl/>
        </w:rPr>
        <w:t>31</w:t>
      </w:r>
      <w:r w:rsidRPr="0068209D">
        <w:rPr>
          <w:rtl/>
        </w:rPr>
        <w:t xml:space="preserve"> من قانون الإجراءات القضائية. وفي بعض القضايا، يجوز للمحكمة أن تعيد حق الاستئناف بعد انقضاء فترة محددة من الزمن.</w:t>
      </w:r>
    </w:p>
    <w:p w14:paraId="3167BDDE" w14:textId="5D9C349B" w:rsidR="00C815DB" w:rsidRPr="0068209D" w:rsidRDefault="00C815DB" w:rsidP="00384243">
      <w:pPr>
        <w:pStyle w:val="SingleTxtGA"/>
        <w:rPr>
          <w:lang w:eastAsia="zh-TW" w:bidi="en-GB"/>
        </w:rPr>
      </w:pPr>
      <w:r w:rsidRPr="005C19F0">
        <w:rPr>
          <w:szCs w:val="20"/>
          <w:rtl/>
        </w:rPr>
        <w:t>189</w:t>
      </w:r>
      <w:r w:rsidRPr="00EF3655">
        <w:rPr>
          <w:rtl/>
        </w:rPr>
        <w:t>-</w:t>
      </w:r>
      <w:r w:rsidRPr="0068209D">
        <w:rPr>
          <w:rtl/>
        </w:rPr>
        <w:tab/>
        <w:t>وت</w:t>
      </w:r>
      <w:r>
        <w:rPr>
          <w:rtl/>
        </w:rPr>
        <w:t>سدي</w:t>
      </w:r>
      <w:r w:rsidRPr="0068209D">
        <w:rPr>
          <w:rtl/>
        </w:rPr>
        <w:t xml:space="preserve"> المحكمة العليا المشورة لرئيس</w:t>
      </w:r>
      <w:r w:rsidRPr="00794E95">
        <w:rPr>
          <w:rtl/>
        </w:rPr>
        <w:t>(</w:t>
      </w:r>
      <w:r w:rsidRPr="0068209D">
        <w:rPr>
          <w:rtl/>
        </w:rPr>
        <w:t>ة</w:t>
      </w:r>
      <w:r w:rsidRPr="00794E95">
        <w:rPr>
          <w:rtl/>
        </w:rPr>
        <w:t>)</w:t>
      </w:r>
      <w:r w:rsidRPr="0068209D">
        <w:rPr>
          <w:rtl/>
        </w:rPr>
        <w:t xml:space="preserve"> الجمهورية في القضايا المتعلقة بحق الرئيس</w:t>
      </w:r>
      <w:r w:rsidRPr="00794E95">
        <w:rPr>
          <w:rtl/>
        </w:rPr>
        <w:t>(</w:t>
      </w:r>
      <w:r w:rsidRPr="0068209D">
        <w:rPr>
          <w:rtl/>
        </w:rPr>
        <w:t>ة</w:t>
      </w:r>
      <w:r w:rsidRPr="00794E95">
        <w:rPr>
          <w:rtl/>
        </w:rPr>
        <w:t>)</w:t>
      </w:r>
      <w:r w:rsidRPr="0068209D">
        <w:rPr>
          <w:rtl/>
        </w:rPr>
        <w:t xml:space="preserve"> في منح العفو، و</w:t>
      </w:r>
      <w:r>
        <w:rPr>
          <w:rtl/>
        </w:rPr>
        <w:t>ل</w:t>
      </w:r>
      <w:r w:rsidRPr="0068209D">
        <w:rPr>
          <w:rtl/>
        </w:rPr>
        <w:t>وزارة العدل في قضايا تسليم مطلوبين. ويجوز لرئيس</w:t>
      </w:r>
      <w:r w:rsidRPr="00794E95">
        <w:rPr>
          <w:rtl/>
        </w:rPr>
        <w:t>(</w:t>
      </w:r>
      <w:r w:rsidRPr="0068209D">
        <w:rPr>
          <w:rtl/>
        </w:rPr>
        <w:t>ة</w:t>
      </w:r>
      <w:r w:rsidRPr="00794E95">
        <w:rPr>
          <w:rtl/>
        </w:rPr>
        <w:t>)</w:t>
      </w:r>
      <w:r w:rsidRPr="0068209D">
        <w:rPr>
          <w:rtl/>
        </w:rPr>
        <w:t xml:space="preserve"> الجمهورية أن يتشاور مع المحكمة عندما يتعلق الأمر بمشاريع القوانين التي يقرها البرلمان وقوانين المقاطعات التي يعتمدها برلمان "ألاند" قبل التصديق عليها. ويجوز للمحكمة العليا </w:t>
      </w:r>
      <w:r w:rsidR="00C74C59">
        <w:rPr>
          <w:rtl/>
        </w:rPr>
        <w:t>أيضاً</w:t>
      </w:r>
      <w:r w:rsidRPr="0068209D">
        <w:rPr>
          <w:rtl/>
        </w:rPr>
        <w:t xml:space="preserve"> أن تبا</w:t>
      </w:r>
      <w:r>
        <w:rPr>
          <w:rtl/>
        </w:rPr>
        <w:t>د</w:t>
      </w:r>
      <w:r w:rsidRPr="0068209D">
        <w:rPr>
          <w:rtl/>
        </w:rPr>
        <w:t xml:space="preserve">ر </w:t>
      </w:r>
      <w:r>
        <w:rPr>
          <w:rtl/>
        </w:rPr>
        <w:t>ب</w:t>
      </w:r>
      <w:r w:rsidRPr="0068209D">
        <w:rPr>
          <w:rtl/>
        </w:rPr>
        <w:t xml:space="preserve">الاتصال بالحكومة </w:t>
      </w:r>
      <w:r>
        <w:rPr>
          <w:rtl/>
        </w:rPr>
        <w:t xml:space="preserve">بغية </w:t>
      </w:r>
      <w:r w:rsidRPr="0068209D">
        <w:rPr>
          <w:rtl/>
        </w:rPr>
        <w:t>اقتراح سن قانون جديد أو تعديل قانون قائم. ويجوز للمحكمة العليا، إضافة إلى ذلك، أن تصدر آراء قانونية بشأن مشاريع القوانين.</w:t>
      </w:r>
    </w:p>
    <w:p w14:paraId="73EBC7C9" w14:textId="77777777" w:rsidR="00C815DB" w:rsidRPr="00C726A7" w:rsidRDefault="00C815DB" w:rsidP="00384243">
      <w:pPr>
        <w:pStyle w:val="SingleTxtGA"/>
        <w:rPr>
          <w:lang w:eastAsia="zh-TW" w:bidi="en-GB"/>
        </w:rPr>
      </w:pPr>
      <w:r w:rsidRPr="005C19F0">
        <w:rPr>
          <w:szCs w:val="20"/>
          <w:rtl/>
        </w:rPr>
        <w:t>190</w:t>
      </w:r>
      <w:r w:rsidRPr="00EF3655">
        <w:rPr>
          <w:rtl/>
        </w:rPr>
        <w:t>-</w:t>
      </w:r>
      <w:r w:rsidRPr="0068209D">
        <w:rPr>
          <w:rtl/>
        </w:rPr>
        <w:tab/>
        <w:t>وينص دستور فنلندا وقانون المحكمة</w:t>
      </w:r>
      <w:r>
        <w:rPr>
          <w:rtl/>
        </w:rPr>
        <w:t xml:space="preserve"> العليا </w:t>
      </w:r>
      <w:r w:rsidRPr="00794E95">
        <w:rPr>
          <w:rtl/>
        </w:rPr>
        <w:t>(</w:t>
      </w:r>
      <w:r w:rsidRPr="005C19F0">
        <w:rPr>
          <w:szCs w:val="20"/>
          <w:rtl/>
        </w:rPr>
        <w:t>665</w:t>
      </w:r>
      <w:r>
        <w:rPr>
          <w:rtl/>
        </w:rPr>
        <w:t>/</w:t>
      </w:r>
      <w:r w:rsidRPr="005C19F0">
        <w:rPr>
          <w:szCs w:val="20"/>
          <w:rtl/>
        </w:rPr>
        <w:t>2005</w:t>
      </w:r>
      <w:r w:rsidRPr="00794E95">
        <w:rPr>
          <w:rtl/>
        </w:rPr>
        <w:t>)</w:t>
      </w:r>
      <w:r w:rsidRPr="0068209D">
        <w:rPr>
          <w:rtl/>
        </w:rPr>
        <w:t xml:space="preserve"> وقانون الإجراءات </w:t>
      </w:r>
      <w:r>
        <w:rPr>
          <w:rtl/>
        </w:rPr>
        <w:t xml:space="preserve">القضائية </w:t>
      </w:r>
      <w:r w:rsidRPr="00794E95">
        <w:rPr>
          <w:rtl/>
        </w:rPr>
        <w:t>(</w:t>
      </w:r>
      <w:r w:rsidRPr="005C19F0">
        <w:rPr>
          <w:szCs w:val="20"/>
          <w:rtl/>
        </w:rPr>
        <w:t>4</w:t>
      </w:r>
      <w:r>
        <w:rPr>
          <w:rtl/>
        </w:rPr>
        <w:t>/</w:t>
      </w:r>
      <w:r w:rsidRPr="005C19F0">
        <w:rPr>
          <w:szCs w:val="20"/>
          <w:rtl/>
        </w:rPr>
        <w:t>1734</w:t>
      </w:r>
      <w:r w:rsidRPr="00794E95">
        <w:rPr>
          <w:rtl/>
        </w:rPr>
        <w:t>)</w:t>
      </w:r>
      <w:r>
        <w:rPr>
          <w:rtl/>
        </w:rPr>
        <w:t xml:space="preserve">، </w:t>
      </w:r>
      <w:r w:rsidRPr="0068209D">
        <w:rPr>
          <w:rtl/>
        </w:rPr>
        <w:t>على الأحكام الرئيسَة المتعلقة بواجبات المحكمة العليا</w:t>
      </w:r>
      <w:r>
        <w:rPr>
          <w:lang w:eastAsia="zh-TW" w:bidi="en-GB"/>
        </w:rPr>
        <w:t>.</w:t>
      </w:r>
    </w:p>
    <w:p w14:paraId="375C5791" w14:textId="6B47262E" w:rsidR="00C815DB" w:rsidRPr="0068209D" w:rsidRDefault="00C815DB" w:rsidP="005F09F1">
      <w:pPr>
        <w:pStyle w:val="SingleTxtGA"/>
        <w:keepNext/>
        <w:keepLines/>
        <w:spacing w:after="0"/>
        <w:rPr>
          <w:lang w:eastAsia="zh-TW" w:bidi="en-GB"/>
        </w:rPr>
      </w:pPr>
      <w:r w:rsidRPr="0068209D">
        <w:rPr>
          <w:rtl/>
        </w:rPr>
        <w:lastRenderedPageBreak/>
        <w:t xml:space="preserve">الجدول </w:t>
      </w:r>
      <w:r w:rsidRPr="005C19F0">
        <w:rPr>
          <w:szCs w:val="20"/>
          <w:rtl/>
        </w:rPr>
        <w:t>10</w:t>
      </w:r>
    </w:p>
    <w:p w14:paraId="6C981EBA" w14:textId="0A64456C" w:rsidR="00C815DB" w:rsidRPr="00384243" w:rsidRDefault="00C815DB" w:rsidP="00384243">
      <w:pPr>
        <w:pStyle w:val="SingleTxtGA"/>
        <w:rPr>
          <w:b/>
          <w:bCs/>
          <w:lang w:val="ar-SA" w:eastAsia="zh-TW" w:bidi="en-GB"/>
        </w:rPr>
      </w:pPr>
      <w:r w:rsidRPr="00384243">
        <w:rPr>
          <w:b/>
          <w:bCs/>
          <w:rtl/>
        </w:rPr>
        <w:t xml:space="preserve">القضايا الواردة والقضايا التي </w:t>
      </w:r>
      <w:r w:rsidRPr="00384243">
        <w:rPr>
          <w:b/>
          <w:bCs/>
          <w:rtl/>
          <w:lang w:val="fr-CH" w:bidi="ar-DZ"/>
        </w:rPr>
        <w:t>فُصل فيها</w:t>
      </w:r>
      <w:r w:rsidRPr="00384243">
        <w:rPr>
          <w:b/>
          <w:bCs/>
          <w:rtl/>
        </w:rPr>
        <w:t xml:space="preserve"> والقضايا قيد نظر المحكمة العليا، إضافة إلى الأُذون بالاستئناف الممنوحة والقرارات المنشورة والجلسات الشفوية في الفترة </w:t>
      </w:r>
      <w:r w:rsidRPr="005C19F0">
        <w:rPr>
          <w:b/>
          <w:bCs/>
          <w:szCs w:val="20"/>
          <w:rtl/>
        </w:rPr>
        <w:t>2007</w:t>
      </w:r>
      <w:r w:rsidRPr="00EF3655">
        <w:rPr>
          <w:rtl/>
        </w:rPr>
        <w:t>-</w:t>
      </w:r>
      <w:r w:rsidRPr="005C19F0">
        <w:rPr>
          <w:b/>
          <w:bCs/>
          <w:szCs w:val="20"/>
          <w:rtl/>
        </w:rPr>
        <w:t>2018</w:t>
      </w:r>
    </w:p>
    <w:tbl>
      <w:tblPr>
        <w:bidiVisual/>
        <w:tblW w:w="7262" w:type="dxa"/>
        <w:tblInd w:w="12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5"/>
        <w:gridCol w:w="813"/>
        <w:gridCol w:w="813"/>
        <w:gridCol w:w="814"/>
        <w:gridCol w:w="562"/>
        <w:gridCol w:w="562"/>
        <w:gridCol w:w="757"/>
        <w:gridCol w:w="701"/>
        <w:gridCol w:w="828"/>
        <w:gridCol w:w="707"/>
      </w:tblGrid>
      <w:tr w:rsidR="00C815DB" w:rsidRPr="00182A07" w14:paraId="54DE22C6" w14:textId="77777777" w:rsidTr="00977CE7">
        <w:trPr>
          <w:tblHeader/>
        </w:trPr>
        <w:tc>
          <w:tcPr>
            <w:tcW w:w="705" w:type="dxa"/>
            <w:vMerge w:val="restart"/>
            <w:tcBorders>
              <w:top w:val="single" w:sz="4" w:space="0" w:color="auto"/>
            </w:tcBorders>
            <w:shd w:val="clear" w:color="auto" w:fill="auto"/>
            <w:vAlign w:val="bottom"/>
          </w:tcPr>
          <w:p w14:paraId="22DFC999" w14:textId="77777777" w:rsidR="00C815DB" w:rsidRPr="00054B3B" w:rsidRDefault="00C815DB" w:rsidP="00054B3B">
            <w:pPr>
              <w:spacing w:before="40" w:after="40" w:line="300" w:lineRule="exact"/>
              <w:ind w:left="57" w:right="57"/>
              <w:textDirection w:val="tbRlV"/>
              <w:rPr>
                <w:bCs/>
                <w:i/>
                <w:sz w:val="26"/>
                <w:szCs w:val="26"/>
                <w:lang w:eastAsia="zh-TW" w:bidi="en-GB"/>
              </w:rPr>
            </w:pPr>
            <w:r w:rsidRPr="00054B3B">
              <w:rPr>
                <w:i/>
                <w:iCs/>
                <w:sz w:val="26"/>
                <w:szCs w:val="26"/>
                <w:rtl/>
              </w:rPr>
              <w:t>السنة</w:t>
            </w:r>
          </w:p>
        </w:tc>
        <w:tc>
          <w:tcPr>
            <w:tcW w:w="813" w:type="dxa"/>
            <w:vMerge w:val="restart"/>
            <w:tcBorders>
              <w:top w:val="single" w:sz="4" w:space="0" w:color="auto"/>
            </w:tcBorders>
            <w:shd w:val="clear" w:color="auto" w:fill="auto"/>
            <w:vAlign w:val="bottom"/>
          </w:tcPr>
          <w:p w14:paraId="7E45A827"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الواردة</w:t>
            </w:r>
          </w:p>
        </w:tc>
        <w:tc>
          <w:tcPr>
            <w:tcW w:w="813" w:type="dxa"/>
            <w:vMerge w:val="restart"/>
            <w:tcBorders>
              <w:top w:val="single" w:sz="4" w:space="0" w:color="auto"/>
            </w:tcBorders>
            <w:shd w:val="clear" w:color="auto" w:fill="auto"/>
            <w:vAlign w:val="bottom"/>
          </w:tcPr>
          <w:p w14:paraId="5150DB80"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التي فُصل فيها</w:t>
            </w:r>
          </w:p>
        </w:tc>
        <w:tc>
          <w:tcPr>
            <w:tcW w:w="814" w:type="dxa"/>
            <w:vMerge w:val="restart"/>
            <w:tcBorders>
              <w:top w:val="single" w:sz="4" w:space="0" w:color="auto"/>
            </w:tcBorders>
            <w:shd w:val="clear" w:color="auto" w:fill="auto"/>
            <w:vAlign w:val="bottom"/>
          </w:tcPr>
          <w:p w14:paraId="260196BE" w14:textId="77777777" w:rsidR="00C815DB" w:rsidRPr="00054B3B" w:rsidRDefault="00C815DB" w:rsidP="00054B3B">
            <w:pPr>
              <w:spacing w:before="40" w:after="40" w:line="300" w:lineRule="exact"/>
              <w:ind w:left="57" w:right="57"/>
              <w:textDirection w:val="tbRlV"/>
              <w:rPr>
                <w:bCs/>
                <w:i/>
                <w:sz w:val="26"/>
                <w:szCs w:val="26"/>
                <w:lang w:val="ar-SA" w:eastAsia="zh-TW"/>
              </w:rPr>
            </w:pPr>
            <w:r w:rsidRPr="00054B3B">
              <w:rPr>
                <w:b/>
                <w:i/>
                <w:sz w:val="26"/>
                <w:szCs w:val="26"/>
                <w:rtl/>
                <w:lang w:val="ar-SA" w:eastAsia="zh-TW"/>
              </w:rPr>
              <w:t>ق</w:t>
            </w:r>
            <w:r w:rsidRPr="00054B3B">
              <w:rPr>
                <w:rFonts w:hint="eastAsia"/>
                <w:b/>
                <w:i/>
                <w:sz w:val="26"/>
                <w:szCs w:val="26"/>
                <w:rtl/>
                <w:lang w:val="ar-SA" w:eastAsia="zh-TW"/>
              </w:rPr>
              <w:t>يد</w:t>
            </w:r>
            <w:r w:rsidRPr="00054B3B">
              <w:rPr>
                <w:b/>
                <w:i/>
                <w:sz w:val="26"/>
                <w:szCs w:val="26"/>
                <w:rtl/>
                <w:lang w:val="ar-SA" w:eastAsia="zh-TW"/>
              </w:rPr>
              <w:t xml:space="preserve"> </w:t>
            </w:r>
            <w:r w:rsidRPr="00054B3B">
              <w:rPr>
                <w:rFonts w:hint="eastAsia"/>
                <w:b/>
                <w:i/>
                <w:sz w:val="26"/>
                <w:szCs w:val="26"/>
                <w:rtl/>
                <w:lang w:val="ar-SA" w:eastAsia="zh-TW"/>
              </w:rPr>
              <w:t>النظر</w:t>
            </w:r>
          </w:p>
        </w:tc>
        <w:tc>
          <w:tcPr>
            <w:tcW w:w="2582" w:type="dxa"/>
            <w:gridSpan w:val="4"/>
            <w:tcBorders>
              <w:top w:val="single" w:sz="4" w:space="0" w:color="auto"/>
              <w:bottom w:val="single" w:sz="4" w:space="0" w:color="auto"/>
            </w:tcBorders>
            <w:shd w:val="clear" w:color="auto" w:fill="auto"/>
            <w:vAlign w:val="bottom"/>
            <w:hideMark/>
          </w:tcPr>
          <w:p w14:paraId="2600B750" w14:textId="77777777" w:rsidR="00C815DB" w:rsidRPr="00054B3B" w:rsidRDefault="00C815DB" w:rsidP="00AE61CF">
            <w:pPr>
              <w:spacing w:before="40" w:after="40" w:line="300" w:lineRule="exact"/>
              <w:ind w:left="57" w:right="57"/>
              <w:jc w:val="center"/>
              <w:textDirection w:val="tbRlV"/>
              <w:rPr>
                <w:bCs/>
                <w:i/>
                <w:sz w:val="26"/>
                <w:szCs w:val="26"/>
                <w:lang w:val="ar-SA" w:eastAsia="zh-TW" w:bidi="en-GB"/>
              </w:rPr>
            </w:pPr>
            <w:r w:rsidRPr="00054B3B">
              <w:rPr>
                <w:i/>
                <w:iCs/>
                <w:sz w:val="26"/>
                <w:szCs w:val="26"/>
                <w:rtl/>
              </w:rPr>
              <w:t>الأُذون بالاستئناف الممنوحة</w:t>
            </w:r>
          </w:p>
        </w:tc>
        <w:tc>
          <w:tcPr>
            <w:tcW w:w="828" w:type="dxa"/>
            <w:vMerge w:val="restart"/>
            <w:tcBorders>
              <w:top w:val="single" w:sz="4" w:space="0" w:color="auto"/>
            </w:tcBorders>
            <w:shd w:val="clear" w:color="auto" w:fill="auto"/>
            <w:vAlign w:val="bottom"/>
            <w:hideMark/>
          </w:tcPr>
          <w:p w14:paraId="04854C10" w14:textId="77777777" w:rsidR="00C815DB" w:rsidRPr="00182A07" w:rsidRDefault="00C815DB" w:rsidP="00054B3B">
            <w:pPr>
              <w:spacing w:before="40" w:after="40" w:line="300" w:lineRule="exact"/>
              <w:ind w:left="57" w:right="57"/>
              <w:textDirection w:val="tbRlV"/>
              <w:rPr>
                <w:bCs/>
                <w:i/>
                <w:sz w:val="26"/>
                <w:szCs w:val="26"/>
                <w:lang w:val="ar-SA" w:eastAsia="zh-TW" w:bidi="en-GB"/>
              </w:rPr>
            </w:pPr>
            <w:r w:rsidRPr="00182A07">
              <w:rPr>
                <w:i/>
                <w:iCs/>
                <w:sz w:val="26"/>
                <w:szCs w:val="26"/>
                <w:rtl/>
              </w:rPr>
              <w:t>القرارات المنشورة</w:t>
            </w:r>
          </w:p>
        </w:tc>
        <w:tc>
          <w:tcPr>
            <w:tcW w:w="707" w:type="dxa"/>
            <w:vMerge w:val="restart"/>
            <w:tcBorders>
              <w:top w:val="single" w:sz="4" w:space="0" w:color="auto"/>
            </w:tcBorders>
            <w:shd w:val="clear" w:color="auto" w:fill="auto"/>
            <w:vAlign w:val="bottom"/>
            <w:hideMark/>
          </w:tcPr>
          <w:p w14:paraId="08C3A6AE" w14:textId="77777777" w:rsidR="00C815DB" w:rsidRPr="00182A07" w:rsidRDefault="00C815DB" w:rsidP="00054B3B">
            <w:pPr>
              <w:spacing w:before="40" w:after="40" w:line="300" w:lineRule="exact"/>
              <w:ind w:left="57" w:right="57"/>
              <w:textDirection w:val="tbRlV"/>
              <w:rPr>
                <w:bCs/>
                <w:i/>
                <w:sz w:val="26"/>
                <w:szCs w:val="26"/>
                <w:lang w:val="ar-SA" w:eastAsia="zh-TW" w:bidi="en-GB"/>
              </w:rPr>
            </w:pPr>
            <w:r w:rsidRPr="00182A07">
              <w:rPr>
                <w:i/>
                <w:iCs/>
                <w:sz w:val="26"/>
                <w:szCs w:val="26"/>
                <w:rtl/>
              </w:rPr>
              <w:t>الجلسات الشفوية</w:t>
            </w:r>
          </w:p>
        </w:tc>
      </w:tr>
      <w:tr w:rsidR="00C815DB" w:rsidRPr="00182A07" w14:paraId="1B955038" w14:textId="77777777" w:rsidTr="00977CE7">
        <w:tc>
          <w:tcPr>
            <w:tcW w:w="705" w:type="dxa"/>
            <w:vMerge/>
            <w:tcBorders>
              <w:bottom w:val="single" w:sz="12" w:space="0" w:color="auto"/>
            </w:tcBorders>
            <w:shd w:val="clear" w:color="auto" w:fill="auto"/>
            <w:vAlign w:val="bottom"/>
          </w:tcPr>
          <w:p w14:paraId="68E8DD4B" w14:textId="77777777" w:rsidR="00C815DB" w:rsidRPr="00054B3B" w:rsidRDefault="00C815DB" w:rsidP="00054B3B">
            <w:pPr>
              <w:spacing w:before="40" w:after="40" w:line="300" w:lineRule="exact"/>
              <w:ind w:left="57" w:right="57"/>
              <w:rPr>
                <w:bCs/>
                <w:i/>
                <w:sz w:val="26"/>
                <w:szCs w:val="26"/>
              </w:rPr>
            </w:pPr>
          </w:p>
        </w:tc>
        <w:tc>
          <w:tcPr>
            <w:tcW w:w="813" w:type="dxa"/>
            <w:vMerge/>
            <w:tcBorders>
              <w:bottom w:val="single" w:sz="12" w:space="0" w:color="auto"/>
            </w:tcBorders>
            <w:shd w:val="clear" w:color="auto" w:fill="auto"/>
            <w:vAlign w:val="bottom"/>
          </w:tcPr>
          <w:p w14:paraId="487E7E81" w14:textId="77777777" w:rsidR="00C815DB" w:rsidRPr="00054B3B" w:rsidRDefault="00C815DB" w:rsidP="00054B3B">
            <w:pPr>
              <w:spacing w:before="40" w:after="40" w:line="300" w:lineRule="exact"/>
              <w:ind w:left="57" w:right="57"/>
              <w:rPr>
                <w:bCs/>
                <w:i/>
                <w:sz w:val="26"/>
                <w:szCs w:val="26"/>
              </w:rPr>
            </w:pPr>
          </w:p>
        </w:tc>
        <w:tc>
          <w:tcPr>
            <w:tcW w:w="813" w:type="dxa"/>
            <w:vMerge/>
            <w:tcBorders>
              <w:bottom w:val="single" w:sz="12" w:space="0" w:color="auto"/>
            </w:tcBorders>
            <w:shd w:val="clear" w:color="auto" w:fill="auto"/>
            <w:vAlign w:val="bottom"/>
          </w:tcPr>
          <w:p w14:paraId="37C80929" w14:textId="77777777" w:rsidR="00C815DB" w:rsidRPr="00054B3B" w:rsidRDefault="00C815DB" w:rsidP="00054B3B">
            <w:pPr>
              <w:spacing w:before="40" w:after="40" w:line="300" w:lineRule="exact"/>
              <w:ind w:left="57" w:right="57"/>
              <w:rPr>
                <w:bCs/>
                <w:i/>
                <w:sz w:val="26"/>
                <w:szCs w:val="26"/>
              </w:rPr>
            </w:pPr>
          </w:p>
        </w:tc>
        <w:tc>
          <w:tcPr>
            <w:tcW w:w="814" w:type="dxa"/>
            <w:vMerge/>
            <w:tcBorders>
              <w:bottom w:val="single" w:sz="12" w:space="0" w:color="auto"/>
            </w:tcBorders>
            <w:shd w:val="clear" w:color="auto" w:fill="auto"/>
            <w:vAlign w:val="bottom"/>
          </w:tcPr>
          <w:p w14:paraId="10142BC2" w14:textId="77777777" w:rsidR="00C815DB" w:rsidRPr="00054B3B" w:rsidRDefault="00C815DB" w:rsidP="00054B3B">
            <w:pPr>
              <w:spacing w:before="40" w:after="40" w:line="300" w:lineRule="exact"/>
              <w:ind w:left="57" w:right="57"/>
              <w:rPr>
                <w:bCs/>
                <w:i/>
                <w:sz w:val="26"/>
                <w:szCs w:val="26"/>
              </w:rPr>
            </w:pPr>
          </w:p>
        </w:tc>
        <w:tc>
          <w:tcPr>
            <w:tcW w:w="562" w:type="dxa"/>
            <w:tcBorders>
              <w:top w:val="single" w:sz="4" w:space="0" w:color="auto"/>
              <w:bottom w:val="single" w:sz="12" w:space="0" w:color="auto"/>
            </w:tcBorders>
            <w:shd w:val="clear" w:color="auto" w:fill="auto"/>
            <w:vAlign w:val="bottom"/>
            <w:hideMark/>
          </w:tcPr>
          <w:p w14:paraId="70DF7E5A"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مدني</w:t>
            </w:r>
          </w:p>
        </w:tc>
        <w:tc>
          <w:tcPr>
            <w:tcW w:w="562" w:type="dxa"/>
            <w:tcBorders>
              <w:top w:val="single" w:sz="4" w:space="0" w:color="auto"/>
              <w:bottom w:val="single" w:sz="12" w:space="0" w:color="auto"/>
            </w:tcBorders>
            <w:shd w:val="clear" w:color="auto" w:fill="auto"/>
            <w:vAlign w:val="bottom"/>
            <w:hideMark/>
          </w:tcPr>
          <w:p w14:paraId="48FF2A79"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أراضي</w:t>
            </w:r>
          </w:p>
        </w:tc>
        <w:tc>
          <w:tcPr>
            <w:tcW w:w="757" w:type="dxa"/>
            <w:tcBorders>
              <w:top w:val="single" w:sz="4" w:space="0" w:color="auto"/>
              <w:bottom w:val="single" w:sz="12" w:space="0" w:color="auto"/>
            </w:tcBorders>
            <w:shd w:val="clear" w:color="auto" w:fill="auto"/>
            <w:vAlign w:val="bottom"/>
            <w:hideMark/>
          </w:tcPr>
          <w:p w14:paraId="000D2D77"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تأمين</w:t>
            </w:r>
          </w:p>
        </w:tc>
        <w:tc>
          <w:tcPr>
            <w:tcW w:w="701" w:type="dxa"/>
            <w:tcBorders>
              <w:top w:val="nil"/>
              <w:bottom w:val="single" w:sz="12" w:space="0" w:color="auto"/>
            </w:tcBorders>
            <w:shd w:val="clear" w:color="auto" w:fill="auto"/>
            <w:vAlign w:val="bottom"/>
            <w:hideMark/>
          </w:tcPr>
          <w:p w14:paraId="1495E8FA" w14:textId="77777777" w:rsidR="00C815DB" w:rsidRPr="00054B3B" w:rsidRDefault="00C815DB" w:rsidP="00054B3B">
            <w:pPr>
              <w:spacing w:before="40" w:after="40" w:line="300" w:lineRule="exact"/>
              <w:ind w:left="57" w:right="57"/>
              <w:textDirection w:val="tbRlV"/>
              <w:rPr>
                <w:bCs/>
                <w:i/>
                <w:sz w:val="26"/>
                <w:szCs w:val="26"/>
                <w:lang w:val="ar-SA" w:eastAsia="zh-TW" w:bidi="en-GB"/>
              </w:rPr>
            </w:pPr>
            <w:r w:rsidRPr="00054B3B">
              <w:rPr>
                <w:i/>
                <w:iCs/>
                <w:sz w:val="26"/>
                <w:szCs w:val="26"/>
                <w:rtl/>
              </w:rPr>
              <w:t>جنائي</w:t>
            </w:r>
          </w:p>
        </w:tc>
        <w:tc>
          <w:tcPr>
            <w:tcW w:w="828" w:type="dxa"/>
            <w:vMerge/>
            <w:shd w:val="clear" w:color="auto" w:fill="auto"/>
            <w:vAlign w:val="bottom"/>
          </w:tcPr>
          <w:p w14:paraId="561781E2" w14:textId="77777777" w:rsidR="00C815DB" w:rsidRPr="00182A07" w:rsidRDefault="00C815DB" w:rsidP="00054B3B">
            <w:pPr>
              <w:spacing w:before="40" w:after="40" w:line="300" w:lineRule="exact"/>
              <w:ind w:left="57" w:right="57"/>
              <w:rPr>
                <w:bCs/>
                <w:i/>
                <w:sz w:val="26"/>
                <w:szCs w:val="26"/>
              </w:rPr>
            </w:pPr>
          </w:p>
        </w:tc>
        <w:tc>
          <w:tcPr>
            <w:tcW w:w="707" w:type="dxa"/>
            <w:vMerge/>
            <w:shd w:val="clear" w:color="auto" w:fill="auto"/>
            <w:vAlign w:val="bottom"/>
          </w:tcPr>
          <w:p w14:paraId="5EDE9209" w14:textId="77777777" w:rsidR="00C815DB" w:rsidRPr="00182A07" w:rsidRDefault="00C815DB" w:rsidP="00054B3B">
            <w:pPr>
              <w:spacing w:before="40" w:after="40" w:line="300" w:lineRule="exact"/>
              <w:ind w:left="57" w:right="57"/>
              <w:rPr>
                <w:bCs/>
                <w:i/>
                <w:sz w:val="26"/>
                <w:szCs w:val="26"/>
              </w:rPr>
            </w:pPr>
          </w:p>
        </w:tc>
      </w:tr>
      <w:tr w:rsidR="00977CE7" w:rsidRPr="00182A07" w14:paraId="58193C9C" w14:textId="77777777" w:rsidTr="00977CE7">
        <w:tc>
          <w:tcPr>
            <w:tcW w:w="705" w:type="dxa"/>
            <w:tcBorders>
              <w:top w:val="single" w:sz="12" w:space="0" w:color="auto"/>
            </w:tcBorders>
            <w:shd w:val="clear" w:color="auto" w:fill="auto"/>
            <w:hideMark/>
          </w:tcPr>
          <w:p w14:paraId="4A332BDE"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2007</w:t>
            </w:r>
          </w:p>
        </w:tc>
        <w:tc>
          <w:tcPr>
            <w:tcW w:w="813" w:type="dxa"/>
            <w:tcBorders>
              <w:top w:val="single" w:sz="12" w:space="0" w:color="auto"/>
            </w:tcBorders>
            <w:shd w:val="clear" w:color="auto" w:fill="auto"/>
            <w:vAlign w:val="bottom"/>
          </w:tcPr>
          <w:p w14:paraId="2826ADFB" w14:textId="51FAD84F"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923</w:t>
            </w:r>
          </w:p>
        </w:tc>
        <w:tc>
          <w:tcPr>
            <w:tcW w:w="813" w:type="dxa"/>
            <w:tcBorders>
              <w:top w:val="single" w:sz="12" w:space="0" w:color="auto"/>
            </w:tcBorders>
            <w:shd w:val="clear" w:color="auto" w:fill="auto"/>
            <w:vAlign w:val="bottom"/>
          </w:tcPr>
          <w:p w14:paraId="6EED30DA" w14:textId="1F49319B"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848</w:t>
            </w:r>
          </w:p>
        </w:tc>
        <w:tc>
          <w:tcPr>
            <w:tcW w:w="814" w:type="dxa"/>
            <w:tcBorders>
              <w:top w:val="single" w:sz="12" w:space="0" w:color="auto"/>
            </w:tcBorders>
            <w:shd w:val="clear" w:color="auto" w:fill="auto"/>
            <w:vAlign w:val="bottom"/>
          </w:tcPr>
          <w:p w14:paraId="1C77FDA7" w14:textId="5600D828"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075</w:t>
            </w:r>
          </w:p>
        </w:tc>
        <w:tc>
          <w:tcPr>
            <w:tcW w:w="562" w:type="dxa"/>
            <w:tcBorders>
              <w:top w:val="single" w:sz="12" w:space="0" w:color="auto"/>
            </w:tcBorders>
            <w:shd w:val="clear" w:color="auto" w:fill="auto"/>
            <w:vAlign w:val="bottom"/>
          </w:tcPr>
          <w:p w14:paraId="424ABD38" w14:textId="79714FFE" w:rsidR="00977CE7" w:rsidRPr="00977CE7" w:rsidRDefault="00977CE7" w:rsidP="00977CE7">
            <w:pPr>
              <w:spacing w:before="40" w:after="40" w:line="300" w:lineRule="exact"/>
              <w:ind w:left="57" w:right="57"/>
              <w:rPr>
                <w:sz w:val="18"/>
                <w:szCs w:val="18"/>
              </w:rPr>
            </w:pPr>
            <w:r w:rsidRPr="006C0D9C">
              <w:rPr>
                <w:sz w:val="18"/>
                <w:szCs w:val="24"/>
              </w:rPr>
              <w:t>74</w:t>
            </w:r>
          </w:p>
        </w:tc>
        <w:tc>
          <w:tcPr>
            <w:tcW w:w="562" w:type="dxa"/>
            <w:tcBorders>
              <w:top w:val="single" w:sz="12" w:space="0" w:color="auto"/>
            </w:tcBorders>
            <w:shd w:val="clear" w:color="auto" w:fill="auto"/>
            <w:vAlign w:val="bottom"/>
          </w:tcPr>
          <w:p w14:paraId="4849E71C" w14:textId="0B16BED5" w:rsidR="00977CE7" w:rsidRPr="00977CE7" w:rsidRDefault="00977CE7" w:rsidP="00977CE7">
            <w:pPr>
              <w:spacing w:before="40" w:after="40" w:line="300" w:lineRule="exact"/>
              <w:ind w:left="57" w:right="57"/>
              <w:rPr>
                <w:sz w:val="18"/>
                <w:szCs w:val="18"/>
              </w:rPr>
            </w:pPr>
            <w:r w:rsidRPr="006C0D9C">
              <w:rPr>
                <w:sz w:val="18"/>
                <w:szCs w:val="24"/>
              </w:rPr>
              <w:t>6</w:t>
            </w:r>
          </w:p>
        </w:tc>
        <w:tc>
          <w:tcPr>
            <w:tcW w:w="757" w:type="dxa"/>
            <w:tcBorders>
              <w:top w:val="single" w:sz="12" w:space="0" w:color="auto"/>
            </w:tcBorders>
            <w:shd w:val="clear" w:color="auto" w:fill="auto"/>
            <w:vAlign w:val="bottom"/>
          </w:tcPr>
          <w:p w14:paraId="5633E7E0" w14:textId="02A3B917" w:rsidR="00977CE7" w:rsidRPr="00977CE7" w:rsidRDefault="00977CE7" w:rsidP="00977CE7">
            <w:pPr>
              <w:spacing w:before="40" w:after="40" w:line="300" w:lineRule="exact"/>
              <w:ind w:left="57" w:right="57"/>
              <w:rPr>
                <w:sz w:val="18"/>
                <w:szCs w:val="18"/>
              </w:rPr>
            </w:pPr>
            <w:r w:rsidRPr="006C0D9C">
              <w:rPr>
                <w:sz w:val="18"/>
                <w:szCs w:val="24"/>
              </w:rPr>
              <w:t>11</w:t>
            </w:r>
          </w:p>
        </w:tc>
        <w:tc>
          <w:tcPr>
            <w:tcW w:w="701" w:type="dxa"/>
            <w:tcBorders>
              <w:top w:val="single" w:sz="12" w:space="0" w:color="auto"/>
            </w:tcBorders>
            <w:shd w:val="clear" w:color="auto" w:fill="auto"/>
            <w:vAlign w:val="bottom"/>
          </w:tcPr>
          <w:p w14:paraId="205359E3" w14:textId="5E005450" w:rsidR="00977CE7" w:rsidRPr="00977CE7" w:rsidRDefault="00977CE7" w:rsidP="00977CE7">
            <w:pPr>
              <w:spacing w:before="40" w:after="40" w:line="300" w:lineRule="exact"/>
              <w:ind w:left="57" w:right="57"/>
              <w:rPr>
                <w:sz w:val="18"/>
                <w:szCs w:val="18"/>
              </w:rPr>
            </w:pPr>
            <w:r w:rsidRPr="006C0D9C">
              <w:rPr>
                <w:sz w:val="18"/>
                <w:szCs w:val="24"/>
              </w:rPr>
              <w:t>66</w:t>
            </w:r>
          </w:p>
        </w:tc>
        <w:tc>
          <w:tcPr>
            <w:tcW w:w="828" w:type="dxa"/>
            <w:tcBorders>
              <w:top w:val="single" w:sz="12" w:space="0" w:color="auto"/>
            </w:tcBorders>
            <w:shd w:val="clear" w:color="auto" w:fill="auto"/>
            <w:vAlign w:val="bottom"/>
          </w:tcPr>
          <w:p w14:paraId="38AC2751" w14:textId="4DAF5A4E" w:rsidR="00977CE7" w:rsidRPr="00977CE7" w:rsidRDefault="00977CE7" w:rsidP="00977CE7">
            <w:pPr>
              <w:spacing w:before="40" w:after="40" w:line="300" w:lineRule="exact"/>
              <w:ind w:left="57" w:right="57"/>
              <w:rPr>
                <w:sz w:val="18"/>
                <w:szCs w:val="18"/>
              </w:rPr>
            </w:pPr>
            <w:r w:rsidRPr="006C0D9C">
              <w:rPr>
                <w:sz w:val="18"/>
                <w:szCs w:val="24"/>
              </w:rPr>
              <w:t>106</w:t>
            </w:r>
          </w:p>
        </w:tc>
        <w:tc>
          <w:tcPr>
            <w:tcW w:w="707" w:type="dxa"/>
            <w:tcBorders>
              <w:top w:val="single" w:sz="12" w:space="0" w:color="auto"/>
            </w:tcBorders>
            <w:shd w:val="clear" w:color="auto" w:fill="auto"/>
            <w:vAlign w:val="bottom"/>
          </w:tcPr>
          <w:p w14:paraId="3F6D1DB3" w14:textId="5B2839A0" w:rsidR="00977CE7" w:rsidRPr="00977CE7" w:rsidRDefault="00977CE7" w:rsidP="00977CE7">
            <w:pPr>
              <w:spacing w:before="40" w:after="40" w:line="300" w:lineRule="exact"/>
              <w:ind w:left="57" w:right="57"/>
              <w:rPr>
                <w:sz w:val="18"/>
                <w:szCs w:val="18"/>
              </w:rPr>
            </w:pPr>
            <w:r w:rsidRPr="006C0D9C">
              <w:rPr>
                <w:sz w:val="18"/>
                <w:szCs w:val="24"/>
              </w:rPr>
              <w:t>8</w:t>
            </w:r>
          </w:p>
        </w:tc>
      </w:tr>
      <w:tr w:rsidR="00977CE7" w:rsidRPr="00182A07" w14:paraId="0E6F54A7" w14:textId="77777777" w:rsidTr="00977CE7">
        <w:tc>
          <w:tcPr>
            <w:tcW w:w="705" w:type="dxa"/>
            <w:shd w:val="clear" w:color="auto" w:fill="auto"/>
            <w:hideMark/>
          </w:tcPr>
          <w:p w14:paraId="5B370BAE"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2008</w:t>
            </w:r>
          </w:p>
        </w:tc>
        <w:tc>
          <w:tcPr>
            <w:tcW w:w="813" w:type="dxa"/>
            <w:shd w:val="clear" w:color="auto" w:fill="auto"/>
            <w:vAlign w:val="bottom"/>
          </w:tcPr>
          <w:p w14:paraId="69C7F856" w14:textId="3137A06B"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922</w:t>
            </w:r>
          </w:p>
        </w:tc>
        <w:tc>
          <w:tcPr>
            <w:tcW w:w="813" w:type="dxa"/>
            <w:shd w:val="clear" w:color="auto" w:fill="auto"/>
            <w:vAlign w:val="bottom"/>
          </w:tcPr>
          <w:p w14:paraId="378EEB30" w14:textId="3E11F4EC"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876</w:t>
            </w:r>
          </w:p>
        </w:tc>
        <w:tc>
          <w:tcPr>
            <w:tcW w:w="814" w:type="dxa"/>
            <w:shd w:val="clear" w:color="auto" w:fill="auto"/>
            <w:vAlign w:val="bottom"/>
          </w:tcPr>
          <w:p w14:paraId="00E15227" w14:textId="51EDE996"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125</w:t>
            </w:r>
          </w:p>
        </w:tc>
        <w:tc>
          <w:tcPr>
            <w:tcW w:w="562" w:type="dxa"/>
            <w:shd w:val="clear" w:color="auto" w:fill="auto"/>
            <w:vAlign w:val="bottom"/>
          </w:tcPr>
          <w:p w14:paraId="5F19611B" w14:textId="2F26EFE4" w:rsidR="00977CE7" w:rsidRPr="00977CE7" w:rsidRDefault="00977CE7" w:rsidP="00977CE7">
            <w:pPr>
              <w:spacing w:before="40" w:after="40" w:line="300" w:lineRule="exact"/>
              <w:ind w:left="57" w:right="57"/>
              <w:rPr>
                <w:sz w:val="18"/>
                <w:szCs w:val="18"/>
              </w:rPr>
            </w:pPr>
            <w:r w:rsidRPr="006C0D9C">
              <w:rPr>
                <w:sz w:val="18"/>
                <w:szCs w:val="24"/>
              </w:rPr>
              <w:t>65</w:t>
            </w:r>
          </w:p>
        </w:tc>
        <w:tc>
          <w:tcPr>
            <w:tcW w:w="562" w:type="dxa"/>
            <w:shd w:val="clear" w:color="auto" w:fill="auto"/>
            <w:vAlign w:val="bottom"/>
          </w:tcPr>
          <w:p w14:paraId="6BAF38D3" w14:textId="03CDD3DA" w:rsidR="00977CE7" w:rsidRPr="00977CE7" w:rsidRDefault="00977CE7" w:rsidP="00977CE7">
            <w:pPr>
              <w:spacing w:before="40" w:after="40" w:line="300" w:lineRule="exact"/>
              <w:ind w:left="57" w:right="57"/>
              <w:rPr>
                <w:sz w:val="18"/>
                <w:szCs w:val="18"/>
              </w:rPr>
            </w:pPr>
            <w:r w:rsidRPr="006C0D9C">
              <w:rPr>
                <w:sz w:val="18"/>
                <w:szCs w:val="24"/>
              </w:rPr>
              <w:t>7</w:t>
            </w:r>
          </w:p>
        </w:tc>
        <w:tc>
          <w:tcPr>
            <w:tcW w:w="757" w:type="dxa"/>
            <w:shd w:val="clear" w:color="auto" w:fill="auto"/>
            <w:vAlign w:val="bottom"/>
          </w:tcPr>
          <w:p w14:paraId="3C23F129" w14:textId="0A44F364" w:rsidR="00977CE7" w:rsidRPr="00977CE7" w:rsidRDefault="00977CE7" w:rsidP="00977CE7">
            <w:pPr>
              <w:spacing w:before="40" w:after="40" w:line="300" w:lineRule="exact"/>
              <w:ind w:left="57" w:right="57"/>
              <w:rPr>
                <w:sz w:val="18"/>
                <w:szCs w:val="18"/>
              </w:rPr>
            </w:pPr>
            <w:r w:rsidRPr="006C0D9C">
              <w:rPr>
                <w:sz w:val="18"/>
                <w:szCs w:val="24"/>
              </w:rPr>
              <w:t>9</w:t>
            </w:r>
          </w:p>
        </w:tc>
        <w:tc>
          <w:tcPr>
            <w:tcW w:w="701" w:type="dxa"/>
            <w:shd w:val="clear" w:color="auto" w:fill="auto"/>
            <w:vAlign w:val="bottom"/>
          </w:tcPr>
          <w:p w14:paraId="49E78B22" w14:textId="123A08B7" w:rsidR="00977CE7" w:rsidRPr="00977CE7" w:rsidRDefault="00977CE7" w:rsidP="00977CE7">
            <w:pPr>
              <w:spacing w:before="40" w:after="40" w:line="300" w:lineRule="exact"/>
              <w:ind w:left="57" w:right="57"/>
              <w:rPr>
                <w:sz w:val="18"/>
                <w:szCs w:val="18"/>
              </w:rPr>
            </w:pPr>
            <w:r w:rsidRPr="006C0D9C">
              <w:rPr>
                <w:sz w:val="18"/>
                <w:szCs w:val="24"/>
              </w:rPr>
              <w:t>69</w:t>
            </w:r>
          </w:p>
        </w:tc>
        <w:tc>
          <w:tcPr>
            <w:tcW w:w="828" w:type="dxa"/>
            <w:shd w:val="clear" w:color="auto" w:fill="auto"/>
            <w:vAlign w:val="bottom"/>
          </w:tcPr>
          <w:p w14:paraId="52D17E01" w14:textId="576D0F99" w:rsidR="00977CE7" w:rsidRPr="00977CE7" w:rsidRDefault="00977CE7" w:rsidP="00977CE7">
            <w:pPr>
              <w:spacing w:before="40" w:after="40" w:line="300" w:lineRule="exact"/>
              <w:ind w:left="57" w:right="57"/>
              <w:rPr>
                <w:sz w:val="18"/>
                <w:szCs w:val="18"/>
              </w:rPr>
            </w:pPr>
            <w:r w:rsidRPr="006C0D9C">
              <w:rPr>
                <w:sz w:val="18"/>
                <w:szCs w:val="24"/>
              </w:rPr>
              <w:t>119</w:t>
            </w:r>
          </w:p>
        </w:tc>
        <w:tc>
          <w:tcPr>
            <w:tcW w:w="707" w:type="dxa"/>
            <w:shd w:val="clear" w:color="auto" w:fill="auto"/>
            <w:vAlign w:val="bottom"/>
          </w:tcPr>
          <w:p w14:paraId="49DBC05C" w14:textId="0DFC467D" w:rsidR="00977CE7" w:rsidRPr="00977CE7" w:rsidRDefault="00977CE7" w:rsidP="00977CE7">
            <w:pPr>
              <w:spacing w:before="40" w:after="40" w:line="300" w:lineRule="exact"/>
              <w:ind w:left="57" w:right="57"/>
              <w:rPr>
                <w:sz w:val="18"/>
                <w:szCs w:val="18"/>
              </w:rPr>
            </w:pPr>
            <w:r w:rsidRPr="006C0D9C">
              <w:rPr>
                <w:sz w:val="18"/>
                <w:szCs w:val="24"/>
              </w:rPr>
              <w:t>3</w:t>
            </w:r>
          </w:p>
        </w:tc>
      </w:tr>
      <w:tr w:rsidR="00977CE7" w:rsidRPr="00182A07" w14:paraId="25F48713" w14:textId="77777777" w:rsidTr="00977CE7">
        <w:tc>
          <w:tcPr>
            <w:tcW w:w="705" w:type="dxa"/>
            <w:shd w:val="clear" w:color="auto" w:fill="auto"/>
            <w:hideMark/>
          </w:tcPr>
          <w:p w14:paraId="600F4C3B"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2009</w:t>
            </w:r>
          </w:p>
        </w:tc>
        <w:tc>
          <w:tcPr>
            <w:tcW w:w="813" w:type="dxa"/>
            <w:shd w:val="clear" w:color="auto" w:fill="auto"/>
            <w:vAlign w:val="bottom"/>
          </w:tcPr>
          <w:p w14:paraId="45EC4ACD" w14:textId="2228DE16"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721</w:t>
            </w:r>
          </w:p>
        </w:tc>
        <w:tc>
          <w:tcPr>
            <w:tcW w:w="813" w:type="dxa"/>
            <w:shd w:val="clear" w:color="auto" w:fill="auto"/>
            <w:vAlign w:val="bottom"/>
          </w:tcPr>
          <w:p w14:paraId="14FE6C5F" w14:textId="14DCC012"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629</w:t>
            </w:r>
          </w:p>
        </w:tc>
        <w:tc>
          <w:tcPr>
            <w:tcW w:w="814" w:type="dxa"/>
            <w:shd w:val="clear" w:color="auto" w:fill="auto"/>
            <w:vAlign w:val="bottom"/>
          </w:tcPr>
          <w:p w14:paraId="7F904070" w14:textId="73C1305A"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220</w:t>
            </w:r>
          </w:p>
        </w:tc>
        <w:tc>
          <w:tcPr>
            <w:tcW w:w="562" w:type="dxa"/>
            <w:shd w:val="clear" w:color="auto" w:fill="auto"/>
            <w:vAlign w:val="bottom"/>
          </w:tcPr>
          <w:p w14:paraId="5C051746" w14:textId="5568E747" w:rsidR="00977CE7" w:rsidRPr="00977CE7" w:rsidRDefault="00977CE7" w:rsidP="00977CE7">
            <w:pPr>
              <w:spacing w:before="40" w:after="40" w:line="300" w:lineRule="exact"/>
              <w:ind w:left="57" w:right="57"/>
              <w:rPr>
                <w:sz w:val="18"/>
                <w:szCs w:val="18"/>
              </w:rPr>
            </w:pPr>
            <w:r w:rsidRPr="006C0D9C">
              <w:rPr>
                <w:sz w:val="18"/>
                <w:szCs w:val="24"/>
              </w:rPr>
              <w:t>80</w:t>
            </w:r>
          </w:p>
        </w:tc>
        <w:tc>
          <w:tcPr>
            <w:tcW w:w="562" w:type="dxa"/>
            <w:shd w:val="clear" w:color="auto" w:fill="auto"/>
            <w:vAlign w:val="bottom"/>
          </w:tcPr>
          <w:p w14:paraId="4A5ACBBE" w14:textId="347D6EED" w:rsidR="00977CE7" w:rsidRPr="00977CE7" w:rsidRDefault="00977CE7" w:rsidP="00977CE7">
            <w:pPr>
              <w:spacing w:before="40" w:after="40" w:line="300" w:lineRule="exact"/>
              <w:ind w:left="57" w:right="57"/>
              <w:rPr>
                <w:sz w:val="18"/>
                <w:szCs w:val="18"/>
              </w:rPr>
            </w:pPr>
            <w:r w:rsidRPr="006C0D9C">
              <w:rPr>
                <w:sz w:val="18"/>
                <w:szCs w:val="24"/>
              </w:rPr>
              <w:t>5</w:t>
            </w:r>
          </w:p>
        </w:tc>
        <w:tc>
          <w:tcPr>
            <w:tcW w:w="757" w:type="dxa"/>
            <w:shd w:val="clear" w:color="auto" w:fill="auto"/>
            <w:vAlign w:val="bottom"/>
          </w:tcPr>
          <w:p w14:paraId="184726C5" w14:textId="4B1555A9" w:rsidR="00977CE7" w:rsidRPr="00977CE7" w:rsidRDefault="00977CE7" w:rsidP="00977CE7">
            <w:pPr>
              <w:spacing w:before="40" w:after="40" w:line="300" w:lineRule="exact"/>
              <w:ind w:left="57" w:right="57"/>
              <w:rPr>
                <w:sz w:val="18"/>
                <w:szCs w:val="18"/>
              </w:rPr>
            </w:pPr>
            <w:r w:rsidRPr="006C0D9C">
              <w:rPr>
                <w:sz w:val="18"/>
                <w:szCs w:val="24"/>
              </w:rPr>
              <w:t>6</w:t>
            </w:r>
          </w:p>
        </w:tc>
        <w:tc>
          <w:tcPr>
            <w:tcW w:w="701" w:type="dxa"/>
            <w:shd w:val="clear" w:color="auto" w:fill="auto"/>
            <w:vAlign w:val="bottom"/>
          </w:tcPr>
          <w:p w14:paraId="7CA718DF" w14:textId="0C840CE3" w:rsidR="00977CE7" w:rsidRPr="00977CE7" w:rsidRDefault="00977CE7" w:rsidP="00977CE7">
            <w:pPr>
              <w:spacing w:before="40" w:after="40" w:line="300" w:lineRule="exact"/>
              <w:ind w:left="57" w:right="57"/>
              <w:rPr>
                <w:sz w:val="18"/>
                <w:szCs w:val="18"/>
              </w:rPr>
            </w:pPr>
            <w:r w:rsidRPr="006C0D9C">
              <w:rPr>
                <w:sz w:val="18"/>
                <w:szCs w:val="24"/>
              </w:rPr>
              <w:t>55</w:t>
            </w:r>
          </w:p>
        </w:tc>
        <w:tc>
          <w:tcPr>
            <w:tcW w:w="828" w:type="dxa"/>
            <w:shd w:val="clear" w:color="auto" w:fill="auto"/>
            <w:vAlign w:val="bottom"/>
          </w:tcPr>
          <w:p w14:paraId="317223E4" w14:textId="40EF27CC" w:rsidR="00977CE7" w:rsidRPr="00977CE7" w:rsidRDefault="00977CE7" w:rsidP="00977CE7">
            <w:pPr>
              <w:spacing w:before="40" w:after="40" w:line="300" w:lineRule="exact"/>
              <w:ind w:left="57" w:right="57"/>
              <w:rPr>
                <w:sz w:val="18"/>
                <w:szCs w:val="18"/>
              </w:rPr>
            </w:pPr>
            <w:r w:rsidRPr="006C0D9C">
              <w:rPr>
                <w:sz w:val="18"/>
                <w:szCs w:val="24"/>
              </w:rPr>
              <w:t>94</w:t>
            </w:r>
          </w:p>
        </w:tc>
        <w:tc>
          <w:tcPr>
            <w:tcW w:w="707" w:type="dxa"/>
            <w:shd w:val="clear" w:color="auto" w:fill="auto"/>
            <w:vAlign w:val="bottom"/>
          </w:tcPr>
          <w:p w14:paraId="02D7A57E" w14:textId="31D693F4" w:rsidR="00977CE7" w:rsidRPr="00977CE7" w:rsidRDefault="00977CE7" w:rsidP="00977CE7">
            <w:pPr>
              <w:spacing w:before="40" w:after="40" w:line="300" w:lineRule="exact"/>
              <w:ind w:left="57" w:right="57"/>
              <w:rPr>
                <w:sz w:val="18"/>
                <w:szCs w:val="18"/>
              </w:rPr>
            </w:pPr>
            <w:r w:rsidRPr="006C0D9C">
              <w:rPr>
                <w:sz w:val="18"/>
                <w:szCs w:val="24"/>
              </w:rPr>
              <w:t>6</w:t>
            </w:r>
          </w:p>
        </w:tc>
      </w:tr>
      <w:tr w:rsidR="00977CE7" w:rsidRPr="00182A07" w14:paraId="737B721A" w14:textId="77777777" w:rsidTr="00977CE7">
        <w:tc>
          <w:tcPr>
            <w:tcW w:w="705" w:type="dxa"/>
            <w:shd w:val="clear" w:color="auto" w:fill="auto"/>
            <w:hideMark/>
          </w:tcPr>
          <w:p w14:paraId="30EEB581"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2010</w:t>
            </w:r>
          </w:p>
        </w:tc>
        <w:tc>
          <w:tcPr>
            <w:tcW w:w="813" w:type="dxa"/>
            <w:shd w:val="clear" w:color="auto" w:fill="auto"/>
            <w:vAlign w:val="bottom"/>
          </w:tcPr>
          <w:p w14:paraId="50B5D8EC" w14:textId="0FF6BF20"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709</w:t>
            </w:r>
          </w:p>
        </w:tc>
        <w:tc>
          <w:tcPr>
            <w:tcW w:w="813" w:type="dxa"/>
            <w:shd w:val="clear" w:color="auto" w:fill="auto"/>
            <w:vAlign w:val="bottom"/>
          </w:tcPr>
          <w:p w14:paraId="6B4FC560" w14:textId="080EED0B"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499</w:t>
            </w:r>
          </w:p>
        </w:tc>
        <w:tc>
          <w:tcPr>
            <w:tcW w:w="814" w:type="dxa"/>
            <w:shd w:val="clear" w:color="auto" w:fill="auto"/>
            <w:vAlign w:val="bottom"/>
          </w:tcPr>
          <w:p w14:paraId="6E53E670" w14:textId="3FA87E3C"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431</w:t>
            </w:r>
          </w:p>
        </w:tc>
        <w:tc>
          <w:tcPr>
            <w:tcW w:w="562" w:type="dxa"/>
            <w:shd w:val="clear" w:color="auto" w:fill="auto"/>
            <w:vAlign w:val="bottom"/>
          </w:tcPr>
          <w:p w14:paraId="23BC4C8D" w14:textId="3DFFA953" w:rsidR="00977CE7" w:rsidRPr="00977CE7" w:rsidRDefault="00977CE7" w:rsidP="00977CE7">
            <w:pPr>
              <w:spacing w:before="40" w:after="40" w:line="300" w:lineRule="exact"/>
              <w:ind w:left="57" w:right="57"/>
              <w:rPr>
                <w:sz w:val="18"/>
                <w:szCs w:val="18"/>
              </w:rPr>
            </w:pPr>
            <w:r w:rsidRPr="006C0D9C">
              <w:rPr>
                <w:sz w:val="18"/>
                <w:szCs w:val="24"/>
              </w:rPr>
              <w:t>63</w:t>
            </w:r>
          </w:p>
        </w:tc>
        <w:tc>
          <w:tcPr>
            <w:tcW w:w="562" w:type="dxa"/>
            <w:shd w:val="clear" w:color="auto" w:fill="auto"/>
            <w:vAlign w:val="bottom"/>
          </w:tcPr>
          <w:p w14:paraId="09D18C6D" w14:textId="140FB3B7" w:rsidR="00977CE7" w:rsidRPr="00977CE7" w:rsidRDefault="00977CE7" w:rsidP="00977CE7">
            <w:pPr>
              <w:spacing w:before="40" w:after="40" w:line="300" w:lineRule="exact"/>
              <w:ind w:left="57" w:right="57"/>
              <w:rPr>
                <w:sz w:val="18"/>
                <w:szCs w:val="18"/>
              </w:rPr>
            </w:pPr>
            <w:r w:rsidRPr="006C0D9C">
              <w:rPr>
                <w:sz w:val="18"/>
                <w:szCs w:val="24"/>
              </w:rPr>
              <w:t>4</w:t>
            </w:r>
          </w:p>
        </w:tc>
        <w:tc>
          <w:tcPr>
            <w:tcW w:w="757" w:type="dxa"/>
            <w:shd w:val="clear" w:color="auto" w:fill="auto"/>
            <w:vAlign w:val="bottom"/>
          </w:tcPr>
          <w:p w14:paraId="4704E4D9" w14:textId="396E2FCC" w:rsidR="00977CE7" w:rsidRPr="00977CE7" w:rsidRDefault="00977CE7" w:rsidP="00977CE7">
            <w:pPr>
              <w:spacing w:before="40" w:after="40" w:line="300" w:lineRule="exact"/>
              <w:ind w:left="57" w:right="57"/>
              <w:rPr>
                <w:sz w:val="18"/>
                <w:szCs w:val="18"/>
              </w:rPr>
            </w:pPr>
            <w:r w:rsidRPr="006C0D9C">
              <w:rPr>
                <w:sz w:val="18"/>
                <w:szCs w:val="24"/>
              </w:rPr>
              <w:t>24</w:t>
            </w:r>
          </w:p>
        </w:tc>
        <w:tc>
          <w:tcPr>
            <w:tcW w:w="701" w:type="dxa"/>
            <w:shd w:val="clear" w:color="auto" w:fill="auto"/>
            <w:vAlign w:val="bottom"/>
          </w:tcPr>
          <w:p w14:paraId="21CC3BF7" w14:textId="532C876A" w:rsidR="00977CE7" w:rsidRPr="00977CE7" w:rsidRDefault="00977CE7" w:rsidP="00977CE7">
            <w:pPr>
              <w:spacing w:before="40" w:after="40" w:line="300" w:lineRule="exact"/>
              <w:ind w:left="57" w:right="57"/>
              <w:rPr>
                <w:sz w:val="18"/>
                <w:szCs w:val="18"/>
              </w:rPr>
            </w:pPr>
            <w:r w:rsidRPr="006C0D9C">
              <w:rPr>
                <w:sz w:val="18"/>
                <w:szCs w:val="24"/>
              </w:rPr>
              <w:t>71</w:t>
            </w:r>
          </w:p>
        </w:tc>
        <w:tc>
          <w:tcPr>
            <w:tcW w:w="828" w:type="dxa"/>
            <w:shd w:val="clear" w:color="auto" w:fill="auto"/>
            <w:vAlign w:val="bottom"/>
          </w:tcPr>
          <w:p w14:paraId="3325321F" w14:textId="6E53D355" w:rsidR="00977CE7" w:rsidRPr="00977CE7" w:rsidRDefault="00977CE7" w:rsidP="00977CE7">
            <w:pPr>
              <w:spacing w:before="40" w:after="40" w:line="300" w:lineRule="exact"/>
              <w:ind w:left="57" w:right="57"/>
              <w:rPr>
                <w:sz w:val="18"/>
                <w:szCs w:val="18"/>
              </w:rPr>
            </w:pPr>
            <w:r w:rsidRPr="006C0D9C">
              <w:rPr>
                <w:sz w:val="18"/>
                <w:szCs w:val="24"/>
              </w:rPr>
              <w:t>96</w:t>
            </w:r>
          </w:p>
        </w:tc>
        <w:tc>
          <w:tcPr>
            <w:tcW w:w="707" w:type="dxa"/>
            <w:shd w:val="clear" w:color="auto" w:fill="auto"/>
            <w:vAlign w:val="bottom"/>
          </w:tcPr>
          <w:p w14:paraId="35009C5D" w14:textId="20DF5E50" w:rsidR="00977CE7" w:rsidRPr="00977CE7" w:rsidRDefault="00977CE7" w:rsidP="00977CE7">
            <w:pPr>
              <w:spacing w:before="40" w:after="40" w:line="300" w:lineRule="exact"/>
              <w:ind w:left="57" w:right="57"/>
              <w:rPr>
                <w:sz w:val="18"/>
                <w:szCs w:val="18"/>
              </w:rPr>
            </w:pPr>
            <w:r w:rsidRPr="006C0D9C">
              <w:rPr>
                <w:sz w:val="18"/>
                <w:szCs w:val="24"/>
              </w:rPr>
              <w:t>13</w:t>
            </w:r>
          </w:p>
        </w:tc>
      </w:tr>
      <w:tr w:rsidR="00977CE7" w:rsidRPr="00182A07" w14:paraId="4321DDA7" w14:textId="77777777" w:rsidTr="00977CE7">
        <w:tc>
          <w:tcPr>
            <w:tcW w:w="705" w:type="dxa"/>
            <w:shd w:val="clear" w:color="auto" w:fill="auto"/>
            <w:hideMark/>
          </w:tcPr>
          <w:p w14:paraId="61D532E0"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2011</w:t>
            </w:r>
          </w:p>
        </w:tc>
        <w:tc>
          <w:tcPr>
            <w:tcW w:w="813" w:type="dxa"/>
            <w:shd w:val="clear" w:color="auto" w:fill="auto"/>
            <w:vAlign w:val="bottom"/>
          </w:tcPr>
          <w:p w14:paraId="4B0D96B6" w14:textId="3431F569"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709</w:t>
            </w:r>
          </w:p>
        </w:tc>
        <w:tc>
          <w:tcPr>
            <w:tcW w:w="813" w:type="dxa"/>
            <w:shd w:val="clear" w:color="auto" w:fill="auto"/>
            <w:vAlign w:val="bottom"/>
          </w:tcPr>
          <w:p w14:paraId="635BAE10" w14:textId="7BA08885"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854</w:t>
            </w:r>
          </w:p>
        </w:tc>
        <w:tc>
          <w:tcPr>
            <w:tcW w:w="814" w:type="dxa"/>
            <w:shd w:val="clear" w:color="auto" w:fill="auto"/>
            <w:vAlign w:val="bottom"/>
          </w:tcPr>
          <w:p w14:paraId="4F3195DF" w14:textId="58A24C2D"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289</w:t>
            </w:r>
          </w:p>
        </w:tc>
        <w:tc>
          <w:tcPr>
            <w:tcW w:w="562" w:type="dxa"/>
            <w:shd w:val="clear" w:color="auto" w:fill="auto"/>
            <w:vAlign w:val="bottom"/>
          </w:tcPr>
          <w:p w14:paraId="3C4F61BB" w14:textId="65514FE8" w:rsidR="00977CE7" w:rsidRPr="00977CE7" w:rsidRDefault="00977CE7" w:rsidP="00977CE7">
            <w:pPr>
              <w:spacing w:before="40" w:after="40" w:line="300" w:lineRule="exact"/>
              <w:ind w:left="57" w:right="57"/>
              <w:rPr>
                <w:sz w:val="18"/>
                <w:szCs w:val="18"/>
              </w:rPr>
            </w:pPr>
            <w:r w:rsidRPr="006C0D9C">
              <w:rPr>
                <w:sz w:val="18"/>
                <w:szCs w:val="24"/>
              </w:rPr>
              <w:t>77</w:t>
            </w:r>
          </w:p>
        </w:tc>
        <w:tc>
          <w:tcPr>
            <w:tcW w:w="562" w:type="dxa"/>
            <w:shd w:val="clear" w:color="auto" w:fill="auto"/>
            <w:vAlign w:val="bottom"/>
          </w:tcPr>
          <w:p w14:paraId="4C6514FB" w14:textId="7B737741" w:rsidR="00977CE7" w:rsidRPr="00977CE7" w:rsidRDefault="00977CE7" w:rsidP="00977CE7">
            <w:pPr>
              <w:spacing w:before="40" w:after="40" w:line="300" w:lineRule="exact"/>
              <w:ind w:left="57" w:right="57"/>
              <w:rPr>
                <w:sz w:val="18"/>
                <w:szCs w:val="18"/>
              </w:rPr>
            </w:pPr>
            <w:r w:rsidRPr="006C0D9C">
              <w:rPr>
                <w:sz w:val="18"/>
                <w:szCs w:val="24"/>
              </w:rPr>
              <w:t>6</w:t>
            </w:r>
          </w:p>
        </w:tc>
        <w:tc>
          <w:tcPr>
            <w:tcW w:w="757" w:type="dxa"/>
            <w:shd w:val="clear" w:color="auto" w:fill="auto"/>
            <w:vAlign w:val="bottom"/>
          </w:tcPr>
          <w:p w14:paraId="5CE2B70D" w14:textId="17B3021C" w:rsidR="00977CE7" w:rsidRPr="00977CE7" w:rsidRDefault="00977CE7" w:rsidP="00977CE7">
            <w:pPr>
              <w:spacing w:before="40" w:after="40" w:line="300" w:lineRule="exact"/>
              <w:ind w:left="57" w:right="57"/>
              <w:rPr>
                <w:sz w:val="18"/>
                <w:szCs w:val="18"/>
              </w:rPr>
            </w:pPr>
            <w:r w:rsidRPr="006C0D9C">
              <w:rPr>
                <w:sz w:val="18"/>
                <w:szCs w:val="24"/>
              </w:rPr>
              <w:t>8</w:t>
            </w:r>
          </w:p>
        </w:tc>
        <w:tc>
          <w:tcPr>
            <w:tcW w:w="701" w:type="dxa"/>
            <w:shd w:val="clear" w:color="auto" w:fill="auto"/>
            <w:vAlign w:val="bottom"/>
          </w:tcPr>
          <w:p w14:paraId="00954DB6" w14:textId="4964ABA3" w:rsidR="00977CE7" w:rsidRPr="00977CE7" w:rsidRDefault="00977CE7" w:rsidP="00977CE7">
            <w:pPr>
              <w:spacing w:before="40" w:after="40" w:line="300" w:lineRule="exact"/>
              <w:ind w:left="57" w:right="57"/>
              <w:rPr>
                <w:sz w:val="18"/>
                <w:szCs w:val="18"/>
              </w:rPr>
            </w:pPr>
            <w:r w:rsidRPr="006C0D9C">
              <w:rPr>
                <w:sz w:val="18"/>
                <w:szCs w:val="24"/>
              </w:rPr>
              <w:t>57</w:t>
            </w:r>
          </w:p>
        </w:tc>
        <w:tc>
          <w:tcPr>
            <w:tcW w:w="828" w:type="dxa"/>
            <w:shd w:val="clear" w:color="auto" w:fill="auto"/>
            <w:vAlign w:val="bottom"/>
          </w:tcPr>
          <w:p w14:paraId="7AD2E660" w14:textId="36196049" w:rsidR="00977CE7" w:rsidRPr="00977CE7" w:rsidRDefault="00977CE7" w:rsidP="00977CE7">
            <w:pPr>
              <w:spacing w:before="40" w:after="40" w:line="300" w:lineRule="exact"/>
              <w:ind w:left="57" w:right="57"/>
              <w:rPr>
                <w:sz w:val="18"/>
                <w:szCs w:val="18"/>
              </w:rPr>
            </w:pPr>
            <w:r w:rsidRPr="006C0D9C">
              <w:rPr>
                <w:sz w:val="18"/>
                <w:szCs w:val="24"/>
              </w:rPr>
              <w:t>111</w:t>
            </w:r>
          </w:p>
        </w:tc>
        <w:tc>
          <w:tcPr>
            <w:tcW w:w="707" w:type="dxa"/>
            <w:shd w:val="clear" w:color="auto" w:fill="auto"/>
            <w:vAlign w:val="bottom"/>
          </w:tcPr>
          <w:p w14:paraId="07DCF7FA" w14:textId="068FA2B8" w:rsidR="00977CE7" w:rsidRPr="00977CE7" w:rsidRDefault="00977CE7" w:rsidP="00977CE7">
            <w:pPr>
              <w:spacing w:before="40" w:after="40" w:line="300" w:lineRule="exact"/>
              <w:ind w:left="57" w:right="57"/>
              <w:rPr>
                <w:sz w:val="18"/>
                <w:szCs w:val="18"/>
              </w:rPr>
            </w:pPr>
            <w:r w:rsidRPr="006C0D9C">
              <w:rPr>
                <w:sz w:val="18"/>
                <w:szCs w:val="24"/>
              </w:rPr>
              <w:t>10</w:t>
            </w:r>
          </w:p>
        </w:tc>
      </w:tr>
      <w:tr w:rsidR="00977CE7" w:rsidRPr="00182A07" w14:paraId="4FA0F4F9" w14:textId="77777777" w:rsidTr="00977CE7">
        <w:tc>
          <w:tcPr>
            <w:tcW w:w="705" w:type="dxa"/>
            <w:shd w:val="clear" w:color="auto" w:fill="auto"/>
            <w:hideMark/>
          </w:tcPr>
          <w:p w14:paraId="0541337A"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2012</w:t>
            </w:r>
          </w:p>
        </w:tc>
        <w:tc>
          <w:tcPr>
            <w:tcW w:w="813" w:type="dxa"/>
            <w:shd w:val="clear" w:color="auto" w:fill="auto"/>
            <w:vAlign w:val="bottom"/>
          </w:tcPr>
          <w:p w14:paraId="316080B3" w14:textId="4F622A49"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664</w:t>
            </w:r>
          </w:p>
        </w:tc>
        <w:tc>
          <w:tcPr>
            <w:tcW w:w="813" w:type="dxa"/>
            <w:shd w:val="clear" w:color="auto" w:fill="auto"/>
            <w:vAlign w:val="bottom"/>
          </w:tcPr>
          <w:p w14:paraId="5E362167" w14:textId="03FD0A44"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640</w:t>
            </w:r>
          </w:p>
        </w:tc>
        <w:tc>
          <w:tcPr>
            <w:tcW w:w="814" w:type="dxa"/>
            <w:shd w:val="clear" w:color="auto" w:fill="auto"/>
            <w:vAlign w:val="bottom"/>
          </w:tcPr>
          <w:p w14:paraId="5DAC461B" w14:textId="1D7F7AB8"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318</w:t>
            </w:r>
          </w:p>
        </w:tc>
        <w:tc>
          <w:tcPr>
            <w:tcW w:w="562" w:type="dxa"/>
            <w:shd w:val="clear" w:color="auto" w:fill="auto"/>
            <w:vAlign w:val="bottom"/>
          </w:tcPr>
          <w:p w14:paraId="350A63E8" w14:textId="3E93982C" w:rsidR="00977CE7" w:rsidRPr="00977CE7" w:rsidRDefault="00977CE7" w:rsidP="00977CE7">
            <w:pPr>
              <w:spacing w:before="40" w:after="40" w:line="300" w:lineRule="exact"/>
              <w:ind w:left="57" w:right="57"/>
              <w:rPr>
                <w:sz w:val="18"/>
                <w:szCs w:val="18"/>
              </w:rPr>
            </w:pPr>
            <w:r w:rsidRPr="006C0D9C">
              <w:rPr>
                <w:sz w:val="18"/>
                <w:szCs w:val="24"/>
              </w:rPr>
              <w:t>48</w:t>
            </w:r>
          </w:p>
        </w:tc>
        <w:tc>
          <w:tcPr>
            <w:tcW w:w="562" w:type="dxa"/>
            <w:shd w:val="clear" w:color="auto" w:fill="auto"/>
            <w:vAlign w:val="bottom"/>
          </w:tcPr>
          <w:p w14:paraId="6AA79CE9" w14:textId="3F4193B8" w:rsidR="00977CE7" w:rsidRPr="00977CE7" w:rsidRDefault="00977CE7" w:rsidP="00977CE7">
            <w:pPr>
              <w:spacing w:before="40" w:after="40" w:line="300" w:lineRule="exact"/>
              <w:ind w:left="57" w:right="57"/>
              <w:rPr>
                <w:sz w:val="18"/>
                <w:szCs w:val="18"/>
              </w:rPr>
            </w:pPr>
            <w:r w:rsidRPr="006C0D9C">
              <w:rPr>
                <w:sz w:val="18"/>
                <w:szCs w:val="24"/>
              </w:rPr>
              <w:t>6</w:t>
            </w:r>
          </w:p>
        </w:tc>
        <w:tc>
          <w:tcPr>
            <w:tcW w:w="757" w:type="dxa"/>
            <w:shd w:val="clear" w:color="auto" w:fill="auto"/>
            <w:vAlign w:val="bottom"/>
          </w:tcPr>
          <w:p w14:paraId="3B3B8A7C" w14:textId="51CCDB79" w:rsidR="00977CE7" w:rsidRPr="00977CE7" w:rsidRDefault="00977CE7" w:rsidP="00977CE7">
            <w:pPr>
              <w:spacing w:before="40" w:after="40" w:line="300" w:lineRule="exact"/>
              <w:ind w:left="57" w:right="57"/>
              <w:rPr>
                <w:sz w:val="18"/>
                <w:szCs w:val="18"/>
              </w:rPr>
            </w:pPr>
            <w:r w:rsidRPr="006C0D9C">
              <w:rPr>
                <w:sz w:val="18"/>
                <w:szCs w:val="24"/>
              </w:rPr>
              <w:t>14</w:t>
            </w:r>
          </w:p>
        </w:tc>
        <w:tc>
          <w:tcPr>
            <w:tcW w:w="701" w:type="dxa"/>
            <w:shd w:val="clear" w:color="auto" w:fill="auto"/>
            <w:vAlign w:val="bottom"/>
          </w:tcPr>
          <w:p w14:paraId="763C89D7" w14:textId="3B0CA4CC" w:rsidR="00977CE7" w:rsidRPr="00977CE7" w:rsidRDefault="00977CE7" w:rsidP="00977CE7">
            <w:pPr>
              <w:spacing w:before="40" w:after="40" w:line="300" w:lineRule="exact"/>
              <w:ind w:left="57" w:right="57"/>
              <w:rPr>
                <w:sz w:val="18"/>
                <w:szCs w:val="18"/>
              </w:rPr>
            </w:pPr>
            <w:r w:rsidRPr="006C0D9C">
              <w:rPr>
                <w:sz w:val="18"/>
                <w:szCs w:val="24"/>
              </w:rPr>
              <w:t>73</w:t>
            </w:r>
          </w:p>
        </w:tc>
        <w:tc>
          <w:tcPr>
            <w:tcW w:w="828" w:type="dxa"/>
            <w:shd w:val="clear" w:color="auto" w:fill="auto"/>
            <w:vAlign w:val="bottom"/>
          </w:tcPr>
          <w:p w14:paraId="0B80F24C" w14:textId="6F1AF8E7" w:rsidR="00977CE7" w:rsidRPr="00977CE7" w:rsidRDefault="00977CE7" w:rsidP="00977CE7">
            <w:pPr>
              <w:spacing w:before="40" w:after="40" w:line="300" w:lineRule="exact"/>
              <w:ind w:left="57" w:right="57"/>
              <w:rPr>
                <w:sz w:val="18"/>
                <w:szCs w:val="18"/>
              </w:rPr>
            </w:pPr>
            <w:r w:rsidRPr="006C0D9C">
              <w:rPr>
                <w:sz w:val="18"/>
                <w:szCs w:val="24"/>
              </w:rPr>
              <w:t>109</w:t>
            </w:r>
          </w:p>
        </w:tc>
        <w:tc>
          <w:tcPr>
            <w:tcW w:w="707" w:type="dxa"/>
            <w:shd w:val="clear" w:color="auto" w:fill="auto"/>
            <w:vAlign w:val="bottom"/>
          </w:tcPr>
          <w:p w14:paraId="6CDC0461" w14:textId="78CBAB1A" w:rsidR="00977CE7" w:rsidRPr="00977CE7" w:rsidRDefault="00977CE7" w:rsidP="00977CE7">
            <w:pPr>
              <w:spacing w:before="40" w:after="40" w:line="300" w:lineRule="exact"/>
              <w:ind w:left="57" w:right="57"/>
              <w:rPr>
                <w:sz w:val="18"/>
                <w:szCs w:val="18"/>
              </w:rPr>
            </w:pPr>
            <w:r w:rsidRPr="006C0D9C">
              <w:rPr>
                <w:sz w:val="18"/>
                <w:szCs w:val="24"/>
              </w:rPr>
              <w:t>12</w:t>
            </w:r>
          </w:p>
        </w:tc>
      </w:tr>
      <w:tr w:rsidR="00977CE7" w:rsidRPr="00182A07" w14:paraId="1ABDD7E7" w14:textId="77777777" w:rsidTr="00977CE7">
        <w:tc>
          <w:tcPr>
            <w:tcW w:w="705" w:type="dxa"/>
            <w:shd w:val="clear" w:color="auto" w:fill="auto"/>
            <w:hideMark/>
          </w:tcPr>
          <w:p w14:paraId="6CE2D87C"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2013</w:t>
            </w:r>
          </w:p>
        </w:tc>
        <w:tc>
          <w:tcPr>
            <w:tcW w:w="813" w:type="dxa"/>
            <w:shd w:val="clear" w:color="auto" w:fill="auto"/>
            <w:vAlign w:val="bottom"/>
          </w:tcPr>
          <w:p w14:paraId="5597F9B1" w14:textId="387007F2"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553</w:t>
            </w:r>
          </w:p>
        </w:tc>
        <w:tc>
          <w:tcPr>
            <w:tcW w:w="813" w:type="dxa"/>
            <w:shd w:val="clear" w:color="auto" w:fill="auto"/>
            <w:vAlign w:val="bottom"/>
          </w:tcPr>
          <w:p w14:paraId="4252E3D3" w14:textId="3CEDA05D"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582</w:t>
            </w:r>
          </w:p>
        </w:tc>
        <w:tc>
          <w:tcPr>
            <w:tcW w:w="814" w:type="dxa"/>
            <w:shd w:val="clear" w:color="auto" w:fill="auto"/>
            <w:vAlign w:val="bottom"/>
          </w:tcPr>
          <w:p w14:paraId="00FAFE68" w14:textId="032DD446"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289</w:t>
            </w:r>
          </w:p>
        </w:tc>
        <w:tc>
          <w:tcPr>
            <w:tcW w:w="562" w:type="dxa"/>
            <w:shd w:val="clear" w:color="auto" w:fill="auto"/>
            <w:vAlign w:val="bottom"/>
          </w:tcPr>
          <w:p w14:paraId="37FE8CB6" w14:textId="103535A8" w:rsidR="00977CE7" w:rsidRPr="00977CE7" w:rsidRDefault="00977CE7" w:rsidP="00977CE7">
            <w:pPr>
              <w:spacing w:before="40" w:after="40" w:line="300" w:lineRule="exact"/>
              <w:ind w:left="57" w:right="57"/>
              <w:rPr>
                <w:sz w:val="18"/>
                <w:szCs w:val="18"/>
              </w:rPr>
            </w:pPr>
            <w:r w:rsidRPr="006C0D9C">
              <w:rPr>
                <w:sz w:val="18"/>
                <w:szCs w:val="24"/>
              </w:rPr>
              <w:t>46</w:t>
            </w:r>
          </w:p>
        </w:tc>
        <w:tc>
          <w:tcPr>
            <w:tcW w:w="562" w:type="dxa"/>
            <w:shd w:val="clear" w:color="auto" w:fill="auto"/>
            <w:vAlign w:val="bottom"/>
          </w:tcPr>
          <w:p w14:paraId="3B68ED0C" w14:textId="645838A9" w:rsidR="00977CE7" w:rsidRPr="00977CE7" w:rsidRDefault="00977CE7" w:rsidP="00977CE7">
            <w:pPr>
              <w:spacing w:before="40" w:after="40" w:line="300" w:lineRule="exact"/>
              <w:ind w:left="57" w:right="57"/>
              <w:rPr>
                <w:sz w:val="18"/>
                <w:szCs w:val="18"/>
              </w:rPr>
            </w:pPr>
            <w:r w:rsidRPr="006C0D9C">
              <w:rPr>
                <w:sz w:val="18"/>
                <w:szCs w:val="24"/>
              </w:rPr>
              <w:t>6</w:t>
            </w:r>
          </w:p>
        </w:tc>
        <w:tc>
          <w:tcPr>
            <w:tcW w:w="757" w:type="dxa"/>
            <w:shd w:val="clear" w:color="auto" w:fill="auto"/>
            <w:vAlign w:val="bottom"/>
          </w:tcPr>
          <w:p w14:paraId="435ABCE0" w14:textId="278298F1" w:rsidR="00977CE7" w:rsidRPr="00977CE7" w:rsidRDefault="00977CE7" w:rsidP="00977CE7">
            <w:pPr>
              <w:spacing w:before="40" w:after="40" w:line="300" w:lineRule="exact"/>
              <w:ind w:left="57" w:right="57"/>
              <w:rPr>
                <w:sz w:val="18"/>
                <w:szCs w:val="18"/>
              </w:rPr>
            </w:pPr>
            <w:r w:rsidRPr="006C0D9C">
              <w:rPr>
                <w:sz w:val="18"/>
                <w:szCs w:val="24"/>
              </w:rPr>
              <w:t>9</w:t>
            </w:r>
          </w:p>
        </w:tc>
        <w:tc>
          <w:tcPr>
            <w:tcW w:w="701" w:type="dxa"/>
            <w:shd w:val="clear" w:color="auto" w:fill="auto"/>
            <w:vAlign w:val="bottom"/>
          </w:tcPr>
          <w:p w14:paraId="0B0CBD36" w14:textId="58321E74" w:rsidR="00977CE7" w:rsidRPr="00977CE7" w:rsidRDefault="00977CE7" w:rsidP="00977CE7">
            <w:pPr>
              <w:spacing w:before="40" w:after="40" w:line="300" w:lineRule="exact"/>
              <w:ind w:left="57" w:right="57"/>
              <w:rPr>
                <w:sz w:val="18"/>
                <w:szCs w:val="18"/>
              </w:rPr>
            </w:pPr>
            <w:r w:rsidRPr="006C0D9C">
              <w:rPr>
                <w:sz w:val="18"/>
                <w:szCs w:val="24"/>
              </w:rPr>
              <w:t>73</w:t>
            </w:r>
          </w:p>
        </w:tc>
        <w:tc>
          <w:tcPr>
            <w:tcW w:w="828" w:type="dxa"/>
            <w:shd w:val="clear" w:color="auto" w:fill="auto"/>
            <w:vAlign w:val="bottom"/>
          </w:tcPr>
          <w:p w14:paraId="02C3804F" w14:textId="15C73E3B" w:rsidR="00977CE7" w:rsidRPr="00977CE7" w:rsidRDefault="00977CE7" w:rsidP="00977CE7">
            <w:pPr>
              <w:spacing w:before="40" w:after="40" w:line="300" w:lineRule="exact"/>
              <w:ind w:left="57" w:right="57"/>
              <w:rPr>
                <w:sz w:val="18"/>
                <w:szCs w:val="18"/>
              </w:rPr>
            </w:pPr>
            <w:r w:rsidRPr="006C0D9C">
              <w:rPr>
                <w:sz w:val="18"/>
                <w:szCs w:val="24"/>
              </w:rPr>
              <w:t>102</w:t>
            </w:r>
          </w:p>
        </w:tc>
        <w:tc>
          <w:tcPr>
            <w:tcW w:w="707" w:type="dxa"/>
            <w:shd w:val="clear" w:color="auto" w:fill="auto"/>
            <w:vAlign w:val="bottom"/>
          </w:tcPr>
          <w:p w14:paraId="211E1950" w14:textId="17AB1B1A" w:rsidR="00977CE7" w:rsidRPr="00977CE7" w:rsidRDefault="00977CE7" w:rsidP="00977CE7">
            <w:pPr>
              <w:spacing w:before="40" w:after="40" w:line="300" w:lineRule="exact"/>
              <w:ind w:left="57" w:right="57"/>
              <w:rPr>
                <w:sz w:val="18"/>
                <w:szCs w:val="18"/>
              </w:rPr>
            </w:pPr>
            <w:r w:rsidRPr="006C0D9C">
              <w:rPr>
                <w:sz w:val="18"/>
                <w:szCs w:val="24"/>
              </w:rPr>
              <w:t>13</w:t>
            </w:r>
          </w:p>
        </w:tc>
      </w:tr>
      <w:tr w:rsidR="00977CE7" w:rsidRPr="00182A07" w14:paraId="2B44F98D" w14:textId="77777777" w:rsidTr="00977CE7">
        <w:tc>
          <w:tcPr>
            <w:tcW w:w="705" w:type="dxa"/>
            <w:shd w:val="clear" w:color="auto" w:fill="auto"/>
            <w:hideMark/>
          </w:tcPr>
          <w:p w14:paraId="00106821"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2014</w:t>
            </w:r>
          </w:p>
        </w:tc>
        <w:tc>
          <w:tcPr>
            <w:tcW w:w="813" w:type="dxa"/>
            <w:shd w:val="clear" w:color="auto" w:fill="auto"/>
            <w:vAlign w:val="bottom"/>
          </w:tcPr>
          <w:p w14:paraId="107757BD" w14:textId="1A3B7ABB"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611</w:t>
            </w:r>
          </w:p>
        </w:tc>
        <w:tc>
          <w:tcPr>
            <w:tcW w:w="813" w:type="dxa"/>
            <w:shd w:val="clear" w:color="auto" w:fill="auto"/>
            <w:vAlign w:val="bottom"/>
          </w:tcPr>
          <w:p w14:paraId="4D6DA568" w14:textId="76E019F1"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617</w:t>
            </w:r>
          </w:p>
        </w:tc>
        <w:tc>
          <w:tcPr>
            <w:tcW w:w="814" w:type="dxa"/>
            <w:shd w:val="clear" w:color="auto" w:fill="auto"/>
            <w:vAlign w:val="bottom"/>
          </w:tcPr>
          <w:p w14:paraId="026F73AD" w14:textId="0E5033BB"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271</w:t>
            </w:r>
          </w:p>
        </w:tc>
        <w:tc>
          <w:tcPr>
            <w:tcW w:w="562" w:type="dxa"/>
            <w:shd w:val="clear" w:color="auto" w:fill="auto"/>
            <w:vAlign w:val="bottom"/>
          </w:tcPr>
          <w:p w14:paraId="08B55C8A" w14:textId="35DD461B" w:rsidR="00977CE7" w:rsidRPr="00977CE7" w:rsidRDefault="00977CE7" w:rsidP="00977CE7">
            <w:pPr>
              <w:spacing w:before="40" w:after="40" w:line="300" w:lineRule="exact"/>
              <w:ind w:left="57" w:right="57"/>
              <w:rPr>
                <w:sz w:val="18"/>
                <w:szCs w:val="18"/>
              </w:rPr>
            </w:pPr>
            <w:r w:rsidRPr="006C0D9C">
              <w:rPr>
                <w:sz w:val="18"/>
                <w:szCs w:val="24"/>
              </w:rPr>
              <w:t>56</w:t>
            </w:r>
          </w:p>
        </w:tc>
        <w:tc>
          <w:tcPr>
            <w:tcW w:w="562" w:type="dxa"/>
            <w:shd w:val="clear" w:color="auto" w:fill="auto"/>
            <w:vAlign w:val="bottom"/>
          </w:tcPr>
          <w:p w14:paraId="30ABBF73" w14:textId="04D743FE" w:rsidR="00977CE7" w:rsidRPr="00977CE7" w:rsidRDefault="00977CE7" w:rsidP="00977CE7">
            <w:pPr>
              <w:spacing w:before="40" w:after="40" w:line="300" w:lineRule="exact"/>
              <w:ind w:left="57" w:right="57"/>
              <w:rPr>
                <w:sz w:val="18"/>
                <w:szCs w:val="18"/>
              </w:rPr>
            </w:pPr>
            <w:r w:rsidRPr="006C0D9C">
              <w:rPr>
                <w:sz w:val="18"/>
                <w:szCs w:val="24"/>
              </w:rPr>
              <w:t>2</w:t>
            </w:r>
          </w:p>
        </w:tc>
        <w:tc>
          <w:tcPr>
            <w:tcW w:w="757" w:type="dxa"/>
            <w:shd w:val="clear" w:color="auto" w:fill="auto"/>
            <w:vAlign w:val="bottom"/>
          </w:tcPr>
          <w:p w14:paraId="47DC7AC8" w14:textId="51581401" w:rsidR="00977CE7" w:rsidRPr="00977CE7" w:rsidRDefault="00977CE7" w:rsidP="00977CE7">
            <w:pPr>
              <w:spacing w:before="40" w:after="40" w:line="300" w:lineRule="exact"/>
              <w:ind w:left="57" w:right="57"/>
              <w:rPr>
                <w:sz w:val="18"/>
                <w:szCs w:val="18"/>
              </w:rPr>
            </w:pPr>
            <w:r w:rsidRPr="006C0D9C">
              <w:rPr>
                <w:sz w:val="18"/>
                <w:szCs w:val="24"/>
              </w:rPr>
              <w:t>4</w:t>
            </w:r>
          </w:p>
        </w:tc>
        <w:tc>
          <w:tcPr>
            <w:tcW w:w="701" w:type="dxa"/>
            <w:shd w:val="clear" w:color="auto" w:fill="auto"/>
            <w:vAlign w:val="bottom"/>
          </w:tcPr>
          <w:p w14:paraId="705F1758" w14:textId="3B045510" w:rsidR="00977CE7" w:rsidRPr="00977CE7" w:rsidRDefault="00977CE7" w:rsidP="00977CE7">
            <w:pPr>
              <w:spacing w:before="40" w:after="40" w:line="300" w:lineRule="exact"/>
              <w:ind w:left="57" w:right="57"/>
              <w:rPr>
                <w:sz w:val="18"/>
                <w:szCs w:val="18"/>
              </w:rPr>
            </w:pPr>
            <w:r w:rsidRPr="006C0D9C">
              <w:rPr>
                <w:sz w:val="18"/>
                <w:szCs w:val="24"/>
              </w:rPr>
              <w:t>60</w:t>
            </w:r>
          </w:p>
        </w:tc>
        <w:tc>
          <w:tcPr>
            <w:tcW w:w="828" w:type="dxa"/>
            <w:shd w:val="clear" w:color="auto" w:fill="auto"/>
            <w:vAlign w:val="bottom"/>
          </w:tcPr>
          <w:p w14:paraId="0B0F7479" w14:textId="30401377" w:rsidR="00977CE7" w:rsidRPr="00977CE7" w:rsidRDefault="00977CE7" w:rsidP="00977CE7">
            <w:pPr>
              <w:spacing w:before="40" w:after="40" w:line="300" w:lineRule="exact"/>
              <w:ind w:left="57" w:right="57"/>
              <w:rPr>
                <w:sz w:val="18"/>
                <w:szCs w:val="18"/>
              </w:rPr>
            </w:pPr>
            <w:r w:rsidRPr="006C0D9C">
              <w:rPr>
                <w:sz w:val="18"/>
                <w:szCs w:val="24"/>
              </w:rPr>
              <w:t>104</w:t>
            </w:r>
          </w:p>
        </w:tc>
        <w:tc>
          <w:tcPr>
            <w:tcW w:w="707" w:type="dxa"/>
            <w:shd w:val="clear" w:color="auto" w:fill="auto"/>
            <w:vAlign w:val="bottom"/>
          </w:tcPr>
          <w:p w14:paraId="6AF3EFD7" w14:textId="25378F1A" w:rsidR="00977CE7" w:rsidRPr="00977CE7" w:rsidRDefault="00977CE7" w:rsidP="00977CE7">
            <w:pPr>
              <w:spacing w:before="40" w:after="40" w:line="300" w:lineRule="exact"/>
              <w:ind w:left="57" w:right="57"/>
              <w:rPr>
                <w:sz w:val="18"/>
                <w:szCs w:val="18"/>
              </w:rPr>
            </w:pPr>
            <w:r w:rsidRPr="006C0D9C">
              <w:rPr>
                <w:sz w:val="18"/>
                <w:szCs w:val="24"/>
              </w:rPr>
              <w:t>16</w:t>
            </w:r>
          </w:p>
        </w:tc>
      </w:tr>
      <w:tr w:rsidR="00977CE7" w:rsidRPr="00182A07" w14:paraId="2D62268E" w14:textId="77777777" w:rsidTr="00977CE7">
        <w:tc>
          <w:tcPr>
            <w:tcW w:w="705" w:type="dxa"/>
            <w:shd w:val="clear" w:color="auto" w:fill="auto"/>
            <w:hideMark/>
          </w:tcPr>
          <w:p w14:paraId="1026662D"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2015</w:t>
            </w:r>
          </w:p>
        </w:tc>
        <w:tc>
          <w:tcPr>
            <w:tcW w:w="813" w:type="dxa"/>
            <w:shd w:val="clear" w:color="auto" w:fill="auto"/>
            <w:vAlign w:val="bottom"/>
          </w:tcPr>
          <w:p w14:paraId="2C2A788F" w14:textId="5F79AE3D"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456</w:t>
            </w:r>
          </w:p>
        </w:tc>
        <w:tc>
          <w:tcPr>
            <w:tcW w:w="813" w:type="dxa"/>
            <w:shd w:val="clear" w:color="auto" w:fill="auto"/>
            <w:vAlign w:val="bottom"/>
          </w:tcPr>
          <w:p w14:paraId="745FBFDE" w14:textId="5A1E332C"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378</w:t>
            </w:r>
          </w:p>
        </w:tc>
        <w:tc>
          <w:tcPr>
            <w:tcW w:w="814" w:type="dxa"/>
            <w:shd w:val="clear" w:color="auto" w:fill="auto"/>
            <w:vAlign w:val="bottom"/>
          </w:tcPr>
          <w:p w14:paraId="18509126" w14:textId="539E1718"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364</w:t>
            </w:r>
          </w:p>
        </w:tc>
        <w:tc>
          <w:tcPr>
            <w:tcW w:w="562" w:type="dxa"/>
            <w:shd w:val="clear" w:color="auto" w:fill="auto"/>
            <w:vAlign w:val="bottom"/>
          </w:tcPr>
          <w:p w14:paraId="65DD2F0D" w14:textId="72E8D413" w:rsidR="00977CE7" w:rsidRPr="00977CE7" w:rsidRDefault="00977CE7" w:rsidP="00977CE7">
            <w:pPr>
              <w:spacing w:before="40" w:after="40" w:line="300" w:lineRule="exact"/>
              <w:ind w:left="57" w:right="57"/>
              <w:rPr>
                <w:sz w:val="18"/>
                <w:szCs w:val="18"/>
              </w:rPr>
            </w:pPr>
            <w:r w:rsidRPr="006C0D9C">
              <w:rPr>
                <w:sz w:val="18"/>
                <w:szCs w:val="24"/>
              </w:rPr>
              <w:t>54</w:t>
            </w:r>
          </w:p>
        </w:tc>
        <w:tc>
          <w:tcPr>
            <w:tcW w:w="562" w:type="dxa"/>
            <w:shd w:val="clear" w:color="auto" w:fill="auto"/>
            <w:vAlign w:val="bottom"/>
          </w:tcPr>
          <w:p w14:paraId="7162F42A" w14:textId="691CCD5E" w:rsidR="00977CE7" w:rsidRPr="00977CE7" w:rsidRDefault="00977CE7" w:rsidP="00977CE7">
            <w:pPr>
              <w:spacing w:before="40" w:after="40" w:line="300" w:lineRule="exact"/>
              <w:ind w:left="57" w:right="57"/>
              <w:rPr>
                <w:sz w:val="18"/>
                <w:szCs w:val="18"/>
              </w:rPr>
            </w:pPr>
            <w:r w:rsidRPr="006C0D9C">
              <w:rPr>
                <w:sz w:val="18"/>
                <w:szCs w:val="24"/>
              </w:rPr>
              <w:t>3</w:t>
            </w:r>
          </w:p>
        </w:tc>
        <w:tc>
          <w:tcPr>
            <w:tcW w:w="757" w:type="dxa"/>
            <w:shd w:val="clear" w:color="auto" w:fill="auto"/>
            <w:vAlign w:val="bottom"/>
          </w:tcPr>
          <w:p w14:paraId="7C3DE56B" w14:textId="10FF81B8" w:rsidR="00977CE7" w:rsidRPr="00977CE7" w:rsidRDefault="00977CE7" w:rsidP="00977CE7">
            <w:pPr>
              <w:spacing w:before="40" w:after="40" w:line="300" w:lineRule="exact"/>
              <w:ind w:left="57" w:right="57"/>
              <w:rPr>
                <w:sz w:val="18"/>
                <w:szCs w:val="18"/>
              </w:rPr>
            </w:pPr>
            <w:r w:rsidRPr="006C0D9C">
              <w:rPr>
                <w:sz w:val="18"/>
                <w:szCs w:val="24"/>
              </w:rPr>
              <w:t>4</w:t>
            </w:r>
          </w:p>
        </w:tc>
        <w:tc>
          <w:tcPr>
            <w:tcW w:w="701" w:type="dxa"/>
            <w:shd w:val="clear" w:color="auto" w:fill="auto"/>
            <w:vAlign w:val="bottom"/>
          </w:tcPr>
          <w:p w14:paraId="6D9724F1" w14:textId="352018E8" w:rsidR="00977CE7" w:rsidRPr="00977CE7" w:rsidRDefault="00977CE7" w:rsidP="00977CE7">
            <w:pPr>
              <w:spacing w:before="40" w:after="40" w:line="300" w:lineRule="exact"/>
              <w:ind w:left="57" w:right="57"/>
              <w:rPr>
                <w:sz w:val="18"/>
                <w:szCs w:val="18"/>
              </w:rPr>
            </w:pPr>
            <w:r w:rsidRPr="006C0D9C">
              <w:rPr>
                <w:sz w:val="18"/>
                <w:szCs w:val="24"/>
              </w:rPr>
              <w:t>40</w:t>
            </w:r>
          </w:p>
        </w:tc>
        <w:tc>
          <w:tcPr>
            <w:tcW w:w="828" w:type="dxa"/>
            <w:shd w:val="clear" w:color="auto" w:fill="auto"/>
            <w:vAlign w:val="bottom"/>
          </w:tcPr>
          <w:p w14:paraId="5A71211E" w14:textId="2B684470" w:rsidR="00977CE7" w:rsidRPr="00977CE7" w:rsidRDefault="00977CE7" w:rsidP="00977CE7">
            <w:pPr>
              <w:spacing w:before="40" w:after="40" w:line="300" w:lineRule="exact"/>
              <w:ind w:left="57" w:right="57"/>
              <w:rPr>
                <w:sz w:val="18"/>
                <w:szCs w:val="18"/>
              </w:rPr>
            </w:pPr>
            <w:r w:rsidRPr="006C0D9C">
              <w:rPr>
                <w:sz w:val="18"/>
                <w:szCs w:val="24"/>
              </w:rPr>
              <w:t>105</w:t>
            </w:r>
          </w:p>
        </w:tc>
        <w:tc>
          <w:tcPr>
            <w:tcW w:w="707" w:type="dxa"/>
            <w:shd w:val="clear" w:color="auto" w:fill="auto"/>
            <w:vAlign w:val="bottom"/>
          </w:tcPr>
          <w:p w14:paraId="41106792" w14:textId="5A165374" w:rsidR="00977CE7" w:rsidRPr="00977CE7" w:rsidRDefault="00977CE7" w:rsidP="00977CE7">
            <w:pPr>
              <w:spacing w:before="40" w:after="40" w:line="300" w:lineRule="exact"/>
              <w:ind w:left="57" w:right="57"/>
              <w:rPr>
                <w:sz w:val="18"/>
                <w:szCs w:val="18"/>
              </w:rPr>
            </w:pPr>
            <w:r w:rsidRPr="006C0D9C">
              <w:rPr>
                <w:sz w:val="18"/>
                <w:szCs w:val="24"/>
              </w:rPr>
              <w:t>7</w:t>
            </w:r>
          </w:p>
        </w:tc>
      </w:tr>
      <w:tr w:rsidR="00977CE7" w:rsidRPr="00182A07" w14:paraId="2EAE228A" w14:textId="77777777" w:rsidTr="00977CE7">
        <w:tc>
          <w:tcPr>
            <w:tcW w:w="705" w:type="dxa"/>
            <w:shd w:val="clear" w:color="auto" w:fill="auto"/>
            <w:hideMark/>
          </w:tcPr>
          <w:p w14:paraId="296DD93F"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2016</w:t>
            </w:r>
          </w:p>
        </w:tc>
        <w:tc>
          <w:tcPr>
            <w:tcW w:w="813" w:type="dxa"/>
            <w:shd w:val="clear" w:color="auto" w:fill="auto"/>
            <w:vAlign w:val="bottom"/>
          </w:tcPr>
          <w:p w14:paraId="7634208C" w14:textId="258C7005"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449</w:t>
            </w:r>
          </w:p>
        </w:tc>
        <w:tc>
          <w:tcPr>
            <w:tcW w:w="813" w:type="dxa"/>
            <w:shd w:val="clear" w:color="auto" w:fill="auto"/>
            <w:vAlign w:val="bottom"/>
          </w:tcPr>
          <w:p w14:paraId="48D192D2" w14:textId="17B2325B"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563</w:t>
            </w:r>
          </w:p>
        </w:tc>
        <w:tc>
          <w:tcPr>
            <w:tcW w:w="814" w:type="dxa"/>
            <w:shd w:val="clear" w:color="auto" w:fill="auto"/>
            <w:vAlign w:val="bottom"/>
          </w:tcPr>
          <w:p w14:paraId="2AFA54C9" w14:textId="2A428BED"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248</w:t>
            </w:r>
          </w:p>
        </w:tc>
        <w:tc>
          <w:tcPr>
            <w:tcW w:w="562" w:type="dxa"/>
            <w:shd w:val="clear" w:color="auto" w:fill="auto"/>
            <w:vAlign w:val="bottom"/>
          </w:tcPr>
          <w:p w14:paraId="60937C55" w14:textId="55FEC5C8" w:rsidR="00977CE7" w:rsidRPr="00977CE7" w:rsidRDefault="00977CE7" w:rsidP="00977CE7">
            <w:pPr>
              <w:spacing w:before="40" w:after="40" w:line="300" w:lineRule="exact"/>
              <w:ind w:left="57" w:right="57"/>
              <w:rPr>
                <w:sz w:val="18"/>
                <w:szCs w:val="18"/>
              </w:rPr>
            </w:pPr>
            <w:r w:rsidRPr="006C0D9C">
              <w:rPr>
                <w:sz w:val="18"/>
                <w:szCs w:val="24"/>
              </w:rPr>
              <w:t>75</w:t>
            </w:r>
          </w:p>
        </w:tc>
        <w:tc>
          <w:tcPr>
            <w:tcW w:w="562" w:type="dxa"/>
            <w:shd w:val="clear" w:color="auto" w:fill="auto"/>
            <w:vAlign w:val="bottom"/>
          </w:tcPr>
          <w:p w14:paraId="1515B680" w14:textId="29F67CD3" w:rsidR="00977CE7" w:rsidRPr="00977CE7" w:rsidRDefault="00977CE7" w:rsidP="00977CE7">
            <w:pPr>
              <w:spacing w:before="40" w:after="40" w:line="300" w:lineRule="exact"/>
              <w:ind w:left="57" w:right="57"/>
              <w:rPr>
                <w:sz w:val="18"/>
                <w:szCs w:val="18"/>
              </w:rPr>
            </w:pPr>
            <w:r w:rsidRPr="006C0D9C">
              <w:rPr>
                <w:sz w:val="18"/>
                <w:szCs w:val="24"/>
              </w:rPr>
              <w:t>1</w:t>
            </w:r>
          </w:p>
        </w:tc>
        <w:tc>
          <w:tcPr>
            <w:tcW w:w="757" w:type="dxa"/>
            <w:shd w:val="clear" w:color="auto" w:fill="auto"/>
            <w:vAlign w:val="bottom"/>
          </w:tcPr>
          <w:p w14:paraId="7D071C5F" w14:textId="701F6518" w:rsidR="00977CE7" w:rsidRPr="00977CE7" w:rsidRDefault="00977CE7" w:rsidP="00977CE7">
            <w:pPr>
              <w:spacing w:before="40" w:after="40" w:line="300" w:lineRule="exact"/>
              <w:ind w:left="57" w:right="57"/>
              <w:rPr>
                <w:sz w:val="18"/>
                <w:szCs w:val="18"/>
              </w:rPr>
            </w:pPr>
            <w:r w:rsidRPr="006C0D9C">
              <w:rPr>
                <w:sz w:val="18"/>
                <w:szCs w:val="24"/>
              </w:rPr>
              <w:t>3</w:t>
            </w:r>
          </w:p>
        </w:tc>
        <w:tc>
          <w:tcPr>
            <w:tcW w:w="701" w:type="dxa"/>
            <w:shd w:val="clear" w:color="auto" w:fill="auto"/>
            <w:vAlign w:val="bottom"/>
          </w:tcPr>
          <w:p w14:paraId="14D85A7B" w14:textId="7F763DA1" w:rsidR="00977CE7" w:rsidRPr="00977CE7" w:rsidRDefault="00977CE7" w:rsidP="00977CE7">
            <w:pPr>
              <w:spacing w:before="40" w:after="40" w:line="300" w:lineRule="exact"/>
              <w:ind w:left="57" w:right="57"/>
              <w:rPr>
                <w:sz w:val="18"/>
                <w:szCs w:val="18"/>
              </w:rPr>
            </w:pPr>
            <w:r w:rsidRPr="006C0D9C">
              <w:rPr>
                <w:sz w:val="18"/>
                <w:szCs w:val="24"/>
              </w:rPr>
              <w:t>60</w:t>
            </w:r>
          </w:p>
        </w:tc>
        <w:tc>
          <w:tcPr>
            <w:tcW w:w="828" w:type="dxa"/>
            <w:shd w:val="clear" w:color="auto" w:fill="auto"/>
            <w:vAlign w:val="bottom"/>
          </w:tcPr>
          <w:p w14:paraId="4B13DECC" w14:textId="762749B0" w:rsidR="00977CE7" w:rsidRPr="00977CE7" w:rsidRDefault="00977CE7" w:rsidP="00977CE7">
            <w:pPr>
              <w:spacing w:before="40" w:after="40" w:line="300" w:lineRule="exact"/>
              <w:ind w:left="57" w:right="57"/>
              <w:rPr>
                <w:sz w:val="18"/>
                <w:szCs w:val="18"/>
              </w:rPr>
            </w:pPr>
            <w:r w:rsidRPr="006C0D9C">
              <w:rPr>
                <w:sz w:val="18"/>
                <w:szCs w:val="24"/>
              </w:rPr>
              <w:t>100</w:t>
            </w:r>
          </w:p>
        </w:tc>
        <w:tc>
          <w:tcPr>
            <w:tcW w:w="707" w:type="dxa"/>
            <w:shd w:val="clear" w:color="auto" w:fill="auto"/>
            <w:vAlign w:val="bottom"/>
          </w:tcPr>
          <w:p w14:paraId="54572834" w14:textId="5C42DD0C" w:rsidR="00977CE7" w:rsidRPr="00977CE7" w:rsidRDefault="00977CE7" w:rsidP="00977CE7">
            <w:pPr>
              <w:spacing w:before="40" w:after="40" w:line="300" w:lineRule="exact"/>
              <w:ind w:left="57" w:right="57"/>
              <w:rPr>
                <w:sz w:val="18"/>
                <w:szCs w:val="18"/>
              </w:rPr>
            </w:pPr>
            <w:r w:rsidRPr="006C0D9C">
              <w:rPr>
                <w:sz w:val="18"/>
                <w:szCs w:val="24"/>
              </w:rPr>
              <w:t>14</w:t>
            </w:r>
          </w:p>
        </w:tc>
      </w:tr>
      <w:tr w:rsidR="00977CE7" w:rsidRPr="00182A07" w14:paraId="0F84080D" w14:textId="77777777" w:rsidTr="00977CE7">
        <w:tc>
          <w:tcPr>
            <w:tcW w:w="705" w:type="dxa"/>
            <w:shd w:val="clear" w:color="auto" w:fill="auto"/>
            <w:hideMark/>
          </w:tcPr>
          <w:p w14:paraId="696FE531"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2017</w:t>
            </w:r>
          </w:p>
        </w:tc>
        <w:tc>
          <w:tcPr>
            <w:tcW w:w="813" w:type="dxa"/>
            <w:shd w:val="clear" w:color="auto" w:fill="auto"/>
            <w:vAlign w:val="bottom"/>
          </w:tcPr>
          <w:p w14:paraId="04B87992" w14:textId="0C26F5CC"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303</w:t>
            </w:r>
          </w:p>
        </w:tc>
        <w:tc>
          <w:tcPr>
            <w:tcW w:w="813" w:type="dxa"/>
            <w:shd w:val="clear" w:color="auto" w:fill="auto"/>
            <w:vAlign w:val="bottom"/>
          </w:tcPr>
          <w:p w14:paraId="341C97AD" w14:textId="4DB03DD1"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428</w:t>
            </w:r>
          </w:p>
        </w:tc>
        <w:tc>
          <w:tcPr>
            <w:tcW w:w="814" w:type="dxa"/>
            <w:shd w:val="clear" w:color="auto" w:fill="auto"/>
            <w:vAlign w:val="bottom"/>
          </w:tcPr>
          <w:p w14:paraId="47F3A62F" w14:textId="7D40694B" w:rsidR="00977CE7" w:rsidRPr="00977CE7" w:rsidRDefault="00977CE7" w:rsidP="00977CE7">
            <w:pPr>
              <w:spacing w:before="40" w:after="40" w:line="300" w:lineRule="exact"/>
              <w:ind w:left="57" w:right="57"/>
              <w:rPr>
                <w:sz w:val="18"/>
                <w:szCs w:val="18"/>
              </w:rPr>
            </w:pPr>
            <w:r w:rsidRPr="006C0D9C">
              <w:rPr>
                <w:sz w:val="18"/>
                <w:szCs w:val="24"/>
              </w:rPr>
              <w:t>1</w:t>
            </w:r>
            <w:r>
              <w:rPr>
                <w:sz w:val="18"/>
                <w:szCs w:val="24"/>
              </w:rPr>
              <w:t xml:space="preserve"> </w:t>
            </w:r>
            <w:r w:rsidRPr="006C0D9C">
              <w:rPr>
                <w:sz w:val="18"/>
                <w:szCs w:val="24"/>
              </w:rPr>
              <w:t>124</w:t>
            </w:r>
          </w:p>
        </w:tc>
        <w:tc>
          <w:tcPr>
            <w:tcW w:w="562" w:type="dxa"/>
            <w:shd w:val="clear" w:color="auto" w:fill="auto"/>
            <w:vAlign w:val="bottom"/>
          </w:tcPr>
          <w:p w14:paraId="693B26D9" w14:textId="2B145171" w:rsidR="00977CE7" w:rsidRPr="00977CE7" w:rsidRDefault="00977CE7" w:rsidP="00977CE7">
            <w:pPr>
              <w:spacing w:before="40" w:after="40" w:line="300" w:lineRule="exact"/>
              <w:ind w:left="57" w:right="57"/>
              <w:rPr>
                <w:sz w:val="18"/>
                <w:szCs w:val="18"/>
              </w:rPr>
            </w:pPr>
            <w:r w:rsidRPr="006C0D9C">
              <w:rPr>
                <w:sz w:val="18"/>
                <w:szCs w:val="24"/>
              </w:rPr>
              <w:t>47</w:t>
            </w:r>
          </w:p>
        </w:tc>
        <w:tc>
          <w:tcPr>
            <w:tcW w:w="562" w:type="dxa"/>
            <w:shd w:val="clear" w:color="auto" w:fill="auto"/>
            <w:vAlign w:val="bottom"/>
          </w:tcPr>
          <w:p w14:paraId="1D4E4181" w14:textId="458524CE" w:rsidR="00977CE7" w:rsidRPr="00977CE7" w:rsidRDefault="00977CE7" w:rsidP="00977CE7">
            <w:pPr>
              <w:spacing w:before="40" w:after="40" w:line="300" w:lineRule="exact"/>
              <w:ind w:left="57" w:right="57"/>
              <w:rPr>
                <w:sz w:val="18"/>
                <w:szCs w:val="18"/>
              </w:rPr>
            </w:pPr>
            <w:r w:rsidRPr="006C0D9C">
              <w:rPr>
                <w:sz w:val="18"/>
                <w:szCs w:val="24"/>
              </w:rPr>
              <w:t>9</w:t>
            </w:r>
          </w:p>
        </w:tc>
        <w:tc>
          <w:tcPr>
            <w:tcW w:w="757" w:type="dxa"/>
            <w:shd w:val="clear" w:color="auto" w:fill="auto"/>
            <w:vAlign w:val="bottom"/>
          </w:tcPr>
          <w:p w14:paraId="5E33B034" w14:textId="1FE1DAFD" w:rsidR="00977CE7" w:rsidRPr="00977CE7" w:rsidRDefault="00977CE7" w:rsidP="00977CE7">
            <w:pPr>
              <w:spacing w:before="40" w:after="40" w:line="300" w:lineRule="exact"/>
              <w:ind w:left="57" w:right="57"/>
              <w:rPr>
                <w:sz w:val="18"/>
                <w:szCs w:val="18"/>
              </w:rPr>
            </w:pPr>
            <w:r w:rsidRPr="006C0D9C">
              <w:rPr>
                <w:sz w:val="18"/>
                <w:szCs w:val="24"/>
              </w:rPr>
              <w:t>4</w:t>
            </w:r>
          </w:p>
        </w:tc>
        <w:tc>
          <w:tcPr>
            <w:tcW w:w="701" w:type="dxa"/>
            <w:shd w:val="clear" w:color="auto" w:fill="auto"/>
            <w:vAlign w:val="bottom"/>
          </w:tcPr>
          <w:p w14:paraId="7FFB9985" w14:textId="369AE1D2" w:rsidR="00977CE7" w:rsidRPr="00977CE7" w:rsidRDefault="00977CE7" w:rsidP="00977CE7">
            <w:pPr>
              <w:spacing w:before="40" w:after="40" w:line="300" w:lineRule="exact"/>
              <w:ind w:left="57" w:right="57"/>
              <w:rPr>
                <w:sz w:val="18"/>
                <w:szCs w:val="18"/>
              </w:rPr>
            </w:pPr>
            <w:r w:rsidRPr="006C0D9C">
              <w:rPr>
                <w:sz w:val="18"/>
                <w:szCs w:val="24"/>
              </w:rPr>
              <w:t>77</w:t>
            </w:r>
          </w:p>
        </w:tc>
        <w:tc>
          <w:tcPr>
            <w:tcW w:w="828" w:type="dxa"/>
            <w:shd w:val="clear" w:color="auto" w:fill="auto"/>
            <w:vAlign w:val="bottom"/>
          </w:tcPr>
          <w:p w14:paraId="723D9353" w14:textId="6ED5FAD2" w:rsidR="00977CE7" w:rsidRPr="00977CE7" w:rsidRDefault="00977CE7" w:rsidP="00977CE7">
            <w:pPr>
              <w:spacing w:before="40" w:after="40" w:line="300" w:lineRule="exact"/>
              <w:ind w:left="57" w:right="57"/>
              <w:rPr>
                <w:sz w:val="18"/>
                <w:szCs w:val="18"/>
              </w:rPr>
            </w:pPr>
            <w:r w:rsidRPr="006C0D9C">
              <w:rPr>
                <w:sz w:val="18"/>
                <w:szCs w:val="24"/>
              </w:rPr>
              <w:t>98</w:t>
            </w:r>
          </w:p>
        </w:tc>
        <w:tc>
          <w:tcPr>
            <w:tcW w:w="707" w:type="dxa"/>
            <w:shd w:val="clear" w:color="auto" w:fill="auto"/>
            <w:vAlign w:val="bottom"/>
          </w:tcPr>
          <w:p w14:paraId="3F49DBDA" w14:textId="220439B6" w:rsidR="00977CE7" w:rsidRPr="00977CE7" w:rsidRDefault="00977CE7" w:rsidP="00977CE7">
            <w:pPr>
              <w:spacing w:before="40" w:after="40" w:line="300" w:lineRule="exact"/>
              <w:ind w:left="57" w:right="57"/>
              <w:rPr>
                <w:sz w:val="18"/>
                <w:szCs w:val="18"/>
              </w:rPr>
            </w:pPr>
            <w:r w:rsidRPr="006C0D9C">
              <w:rPr>
                <w:sz w:val="18"/>
                <w:szCs w:val="24"/>
              </w:rPr>
              <w:t>10</w:t>
            </w:r>
          </w:p>
        </w:tc>
      </w:tr>
      <w:tr w:rsidR="00977CE7" w:rsidRPr="00182A07" w14:paraId="31DE4AA7" w14:textId="77777777" w:rsidTr="00977CE7">
        <w:tc>
          <w:tcPr>
            <w:tcW w:w="705" w:type="dxa"/>
            <w:shd w:val="clear" w:color="auto" w:fill="auto"/>
            <w:hideMark/>
          </w:tcPr>
          <w:p w14:paraId="573583A2" w14:textId="77777777" w:rsidR="00977CE7" w:rsidRPr="00054B3B" w:rsidRDefault="00977CE7" w:rsidP="00977CE7">
            <w:pPr>
              <w:spacing w:before="40" w:after="40" w:line="300" w:lineRule="exact"/>
              <w:ind w:left="57" w:right="57"/>
              <w:textDirection w:val="tbRlV"/>
              <w:rPr>
                <w:sz w:val="18"/>
                <w:szCs w:val="18"/>
                <w:lang w:val="ar-SA" w:eastAsia="zh-TW" w:bidi="en-GB"/>
              </w:rPr>
            </w:pPr>
            <w:r w:rsidRPr="00054B3B">
              <w:rPr>
                <w:sz w:val="18"/>
                <w:szCs w:val="18"/>
                <w:rtl/>
              </w:rPr>
              <w:t>2018</w:t>
            </w:r>
          </w:p>
        </w:tc>
        <w:tc>
          <w:tcPr>
            <w:tcW w:w="813" w:type="dxa"/>
            <w:shd w:val="clear" w:color="auto" w:fill="auto"/>
            <w:vAlign w:val="bottom"/>
          </w:tcPr>
          <w:p w14:paraId="3B07BE6F" w14:textId="1726B27E"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055</w:t>
            </w:r>
          </w:p>
        </w:tc>
        <w:tc>
          <w:tcPr>
            <w:tcW w:w="813" w:type="dxa"/>
            <w:shd w:val="clear" w:color="auto" w:fill="auto"/>
            <w:vAlign w:val="bottom"/>
          </w:tcPr>
          <w:p w14:paraId="33218756" w14:textId="429A482A" w:rsidR="00977CE7" w:rsidRPr="00977CE7" w:rsidRDefault="00977CE7" w:rsidP="00977CE7">
            <w:pPr>
              <w:spacing w:before="40" w:after="40" w:line="300" w:lineRule="exact"/>
              <w:ind w:left="57" w:right="57"/>
              <w:rPr>
                <w:sz w:val="18"/>
                <w:szCs w:val="18"/>
              </w:rPr>
            </w:pPr>
            <w:r w:rsidRPr="006C0D9C">
              <w:rPr>
                <w:sz w:val="18"/>
                <w:szCs w:val="24"/>
              </w:rPr>
              <w:t>2</w:t>
            </w:r>
            <w:r>
              <w:rPr>
                <w:sz w:val="18"/>
                <w:szCs w:val="24"/>
              </w:rPr>
              <w:t xml:space="preserve"> </w:t>
            </w:r>
            <w:r w:rsidRPr="006C0D9C">
              <w:rPr>
                <w:sz w:val="18"/>
                <w:szCs w:val="24"/>
              </w:rPr>
              <w:t>395</w:t>
            </w:r>
          </w:p>
        </w:tc>
        <w:tc>
          <w:tcPr>
            <w:tcW w:w="814" w:type="dxa"/>
            <w:shd w:val="clear" w:color="auto" w:fill="auto"/>
            <w:vAlign w:val="bottom"/>
          </w:tcPr>
          <w:p w14:paraId="2851AE02" w14:textId="33CF5C88" w:rsidR="00977CE7" w:rsidRPr="00977CE7" w:rsidRDefault="00977CE7" w:rsidP="00977CE7">
            <w:pPr>
              <w:spacing w:before="40" w:after="40" w:line="300" w:lineRule="exact"/>
              <w:ind w:left="57" w:right="57"/>
              <w:rPr>
                <w:sz w:val="18"/>
                <w:szCs w:val="18"/>
              </w:rPr>
            </w:pPr>
            <w:r w:rsidRPr="006C0D9C">
              <w:rPr>
                <w:sz w:val="18"/>
                <w:szCs w:val="24"/>
              </w:rPr>
              <w:t>788</w:t>
            </w:r>
          </w:p>
        </w:tc>
        <w:tc>
          <w:tcPr>
            <w:tcW w:w="562" w:type="dxa"/>
            <w:shd w:val="clear" w:color="auto" w:fill="auto"/>
            <w:vAlign w:val="bottom"/>
          </w:tcPr>
          <w:p w14:paraId="608D4C4E" w14:textId="351DAF1D" w:rsidR="00977CE7" w:rsidRPr="00977CE7" w:rsidRDefault="00977CE7" w:rsidP="00977CE7">
            <w:pPr>
              <w:spacing w:before="40" w:after="40" w:line="300" w:lineRule="exact"/>
              <w:ind w:left="57" w:right="57"/>
              <w:rPr>
                <w:sz w:val="18"/>
                <w:szCs w:val="18"/>
              </w:rPr>
            </w:pPr>
            <w:r w:rsidRPr="006C0D9C">
              <w:rPr>
                <w:sz w:val="18"/>
                <w:szCs w:val="24"/>
              </w:rPr>
              <w:t>50</w:t>
            </w:r>
          </w:p>
        </w:tc>
        <w:tc>
          <w:tcPr>
            <w:tcW w:w="562" w:type="dxa"/>
            <w:shd w:val="clear" w:color="auto" w:fill="auto"/>
            <w:vAlign w:val="bottom"/>
          </w:tcPr>
          <w:p w14:paraId="27B5346A" w14:textId="4ED3BFFB" w:rsidR="00977CE7" w:rsidRPr="00977CE7" w:rsidRDefault="00977CE7" w:rsidP="00977CE7">
            <w:pPr>
              <w:spacing w:before="40" w:after="40" w:line="300" w:lineRule="exact"/>
              <w:ind w:left="57" w:right="57"/>
              <w:rPr>
                <w:sz w:val="18"/>
                <w:szCs w:val="18"/>
              </w:rPr>
            </w:pPr>
            <w:r w:rsidRPr="006C0D9C">
              <w:rPr>
                <w:sz w:val="18"/>
                <w:szCs w:val="24"/>
              </w:rPr>
              <w:t>2</w:t>
            </w:r>
          </w:p>
        </w:tc>
        <w:tc>
          <w:tcPr>
            <w:tcW w:w="757" w:type="dxa"/>
            <w:shd w:val="clear" w:color="auto" w:fill="auto"/>
            <w:vAlign w:val="bottom"/>
          </w:tcPr>
          <w:p w14:paraId="6DA88572" w14:textId="2C78CEDC" w:rsidR="00977CE7" w:rsidRPr="00977CE7" w:rsidRDefault="00977CE7" w:rsidP="00977CE7">
            <w:pPr>
              <w:spacing w:before="40" w:after="40" w:line="300" w:lineRule="exact"/>
              <w:ind w:left="57" w:right="57"/>
              <w:rPr>
                <w:sz w:val="18"/>
                <w:szCs w:val="18"/>
              </w:rPr>
            </w:pPr>
            <w:r w:rsidRPr="006C0D9C">
              <w:rPr>
                <w:sz w:val="18"/>
                <w:szCs w:val="24"/>
              </w:rPr>
              <w:t>5</w:t>
            </w:r>
          </w:p>
        </w:tc>
        <w:tc>
          <w:tcPr>
            <w:tcW w:w="701" w:type="dxa"/>
            <w:shd w:val="clear" w:color="auto" w:fill="auto"/>
            <w:vAlign w:val="bottom"/>
          </w:tcPr>
          <w:p w14:paraId="7514566E" w14:textId="31A49D1F" w:rsidR="00977CE7" w:rsidRPr="00977CE7" w:rsidRDefault="00977CE7" w:rsidP="00977CE7">
            <w:pPr>
              <w:spacing w:before="40" w:after="40" w:line="300" w:lineRule="exact"/>
              <w:ind w:left="57" w:right="57"/>
              <w:rPr>
                <w:sz w:val="18"/>
                <w:szCs w:val="18"/>
              </w:rPr>
            </w:pPr>
            <w:r w:rsidRPr="006C0D9C">
              <w:rPr>
                <w:sz w:val="18"/>
                <w:szCs w:val="24"/>
              </w:rPr>
              <w:t>59</w:t>
            </w:r>
          </w:p>
        </w:tc>
        <w:tc>
          <w:tcPr>
            <w:tcW w:w="828" w:type="dxa"/>
            <w:shd w:val="clear" w:color="auto" w:fill="auto"/>
            <w:vAlign w:val="bottom"/>
          </w:tcPr>
          <w:p w14:paraId="2844A915" w14:textId="132C87E1" w:rsidR="00977CE7" w:rsidRPr="00977CE7" w:rsidRDefault="00977CE7" w:rsidP="00977CE7">
            <w:pPr>
              <w:spacing w:before="40" w:after="40" w:line="300" w:lineRule="exact"/>
              <w:ind w:left="57" w:right="57"/>
              <w:rPr>
                <w:sz w:val="18"/>
                <w:szCs w:val="18"/>
              </w:rPr>
            </w:pPr>
            <w:r w:rsidRPr="006C0D9C">
              <w:rPr>
                <w:sz w:val="18"/>
                <w:szCs w:val="24"/>
              </w:rPr>
              <w:t>92</w:t>
            </w:r>
          </w:p>
        </w:tc>
        <w:tc>
          <w:tcPr>
            <w:tcW w:w="707" w:type="dxa"/>
            <w:shd w:val="clear" w:color="auto" w:fill="auto"/>
            <w:vAlign w:val="bottom"/>
          </w:tcPr>
          <w:p w14:paraId="6D174C7D" w14:textId="2E657F82" w:rsidR="00977CE7" w:rsidRPr="00977CE7" w:rsidRDefault="00977CE7" w:rsidP="00977CE7">
            <w:pPr>
              <w:spacing w:before="40" w:after="40" w:line="300" w:lineRule="exact"/>
              <w:ind w:left="57" w:right="57"/>
              <w:rPr>
                <w:sz w:val="18"/>
                <w:szCs w:val="18"/>
              </w:rPr>
            </w:pPr>
            <w:r w:rsidRPr="006C0D9C">
              <w:rPr>
                <w:sz w:val="18"/>
                <w:szCs w:val="24"/>
              </w:rPr>
              <w:t>12</w:t>
            </w:r>
          </w:p>
        </w:tc>
      </w:tr>
    </w:tbl>
    <w:p w14:paraId="37E2AA3B" w14:textId="15F07B49" w:rsidR="00C815DB" w:rsidRPr="00340DBC" w:rsidRDefault="00C815DB" w:rsidP="00384243">
      <w:pPr>
        <w:pStyle w:val="SingleTxtGA"/>
        <w:rPr>
          <w:sz w:val="26"/>
          <w:szCs w:val="26"/>
          <w:lang w:eastAsia="zh-TW" w:bidi="en-GB"/>
        </w:rPr>
      </w:pPr>
      <w:r w:rsidRPr="00AE61CF">
        <w:rPr>
          <w:i/>
          <w:iCs/>
          <w:sz w:val="26"/>
          <w:szCs w:val="26"/>
          <w:rtl/>
        </w:rPr>
        <w:t>المصدر</w:t>
      </w:r>
      <w:r w:rsidRPr="00BB79C1">
        <w:rPr>
          <w:rtl/>
        </w:rPr>
        <w:t>:</w:t>
      </w:r>
      <w:r w:rsidRPr="00340DBC">
        <w:rPr>
          <w:sz w:val="26"/>
          <w:szCs w:val="26"/>
          <w:rtl/>
        </w:rPr>
        <w:t xml:space="preserve"> المحكمة العليا، إحصاءات </w:t>
      </w:r>
      <w:r w:rsidRPr="00AE61CF">
        <w:rPr>
          <w:sz w:val="18"/>
          <w:szCs w:val="18"/>
          <w:rtl/>
        </w:rPr>
        <w:t>2009-2018</w:t>
      </w:r>
      <w:r w:rsidRPr="00AE61CF">
        <w:rPr>
          <w:rFonts w:ascii="Traditional Arabic"/>
          <w:sz w:val="18"/>
          <w:szCs w:val="18"/>
          <w:rtl/>
        </w:rPr>
        <w:t xml:space="preserve"> </w:t>
      </w:r>
      <w:r w:rsidRPr="00AE61CF">
        <w:rPr>
          <w:sz w:val="26"/>
          <w:szCs w:val="26"/>
          <w:rtl/>
        </w:rPr>
        <w:t xml:space="preserve">(نُشرت في </w:t>
      </w:r>
      <w:r w:rsidRPr="00AE61CF">
        <w:rPr>
          <w:sz w:val="18"/>
          <w:szCs w:val="18"/>
          <w:rtl/>
        </w:rPr>
        <w:t>30</w:t>
      </w:r>
      <w:r w:rsidRPr="00AE61CF">
        <w:rPr>
          <w:sz w:val="26"/>
          <w:szCs w:val="26"/>
          <w:rtl/>
        </w:rPr>
        <w:t xml:space="preserve"> نيسان/أبريل</w:t>
      </w:r>
      <w:r w:rsidRPr="00340DBC">
        <w:rPr>
          <w:sz w:val="26"/>
          <w:szCs w:val="26"/>
          <w:rtl/>
        </w:rPr>
        <w:t xml:space="preserve"> </w:t>
      </w:r>
      <w:r w:rsidRPr="00AE61CF">
        <w:rPr>
          <w:sz w:val="18"/>
          <w:szCs w:val="18"/>
          <w:rtl/>
        </w:rPr>
        <w:t>2019</w:t>
      </w:r>
      <w:r w:rsidRPr="00340DBC">
        <w:rPr>
          <w:sz w:val="26"/>
          <w:szCs w:val="26"/>
          <w:rtl/>
        </w:rPr>
        <w:t>).</w:t>
      </w:r>
      <w:r w:rsidR="00340DBC">
        <w:rPr>
          <w:sz w:val="26"/>
          <w:szCs w:val="26"/>
          <w:lang w:eastAsia="zh-TW" w:bidi="en-GB"/>
        </w:rPr>
        <w:t xml:space="preserve"> </w:t>
      </w:r>
    </w:p>
    <w:p w14:paraId="0DA970CE" w14:textId="77777777" w:rsidR="00C815DB" w:rsidRPr="007952D7" w:rsidRDefault="00C815DB" w:rsidP="00384243">
      <w:pPr>
        <w:pStyle w:val="H23GA"/>
        <w:rPr>
          <w:lang w:eastAsia="zh-TW" w:bidi="en-GB"/>
        </w:rPr>
      </w:pPr>
      <w:bookmarkStart w:id="54" w:name="_Toc32364315"/>
      <w:r w:rsidRPr="0068209D">
        <w:rPr>
          <w:rtl/>
        </w:rPr>
        <w:tab/>
      </w:r>
      <w:r w:rsidRPr="0068209D">
        <w:rPr>
          <w:rtl/>
        </w:rPr>
        <w:tab/>
        <w:t>المحاكم الإدارية والمحكمة الإدارية العليا</w:t>
      </w:r>
      <w:bookmarkEnd w:id="54"/>
    </w:p>
    <w:p w14:paraId="38593A5F" w14:textId="77777777" w:rsidR="00C815DB" w:rsidRPr="0068209D" w:rsidRDefault="00C815DB" w:rsidP="00384243">
      <w:pPr>
        <w:pStyle w:val="SingleTxtGA"/>
        <w:rPr>
          <w:lang w:val="ar-SA" w:eastAsia="zh-TW" w:bidi="en-GB"/>
        </w:rPr>
      </w:pPr>
      <w:r w:rsidRPr="005C19F0">
        <w:rPr>
          <w:szCs w:val="20"/>
          <w:rtl/>
        </w:rPr>
        <w:t>191</w:t>
      </w:r>
      <w:r w:rsidRPr="00EF3655">
        <w:rPr>
          <w:rtl/>
        </w:rPr>
        <w:t>-</w:t>
      </w:r>
      <w:r w:rsidRPr="0068209D">
        <w:rPr>
          <w:rtl/>
        </w:rPr>
        <w:tab/>
        <w:t>يوجد في فنلندا ست محاكم إدارية إقليمية</w:t>
      </w:r>
      <w:r w:rsidRPr="00BB79C1">
        <w:rPr>
          <w:rtl/>
        </w:rPr>
        <w:t>:</w:t>
      </w:r>
      <w:r w:rsidRPr="0068209D">
        <w:rPr>
          <w:rtl/>
        </w:rPr>
        <w:t xml:space="preserve"> المحاكم الإدارية في هلسينكي، وهامينلينا، وفنلندا الشرقية، وفنلندا الشمالية، وتوركو، وفاسا. ويضاف إلى ذلك أن لجزر ألاند المستقلة محكمة إدارية مستقلة تسمى المحكمة الإدارية لألاند.</w:t>
      </w:r>
    </w:p>
    <w:p w14:paraId="52211671" w14:textId="5C3A2444" w:rsidR="00C815DB" w:rsidRPr="007952D7" w:rsidRDefault="00C815DB" w:rsidP="00384243">
      <w:pPr>
        <w:pStyle w:val="SingleTxtGA"/>
        <w:rPr>
          <w:lang w:eastAsia="zh-TW" w:bidi="en-GB"/>
        </w:rPr>
      </w:pPr>
      <w:r w:rsidRPr="005C19F0">
        <w:rPr>
          <w:szCs w:val="20"/>
          <w:rtl/>
        </w:rPr>
        <w:t>192</w:t>
      </w:r>
      <w:r w:rsidRPr="00EF3655">
        <w:rPr>
          <w:rtl/>
        </w:rPr>
        <w:t>-</w:t>
      </w:r>
      <w:r w:rsidRPr="0068209D">
        <w:rPr>
          <w:rtl/>
        </w:rPr>
        <w:tab/>
        <w:t xml:space="preserve">وعند الاستئناف، تراجع المحكمة الإدارية مشروعية قرار السلطة محل الاستئناف. فإن لم يرض المستأنف عن قرار المحكمة الإدارية، أمكنه في معظم الحالات الاستئناف أمام المحكمة الإدارية العليا، أو </w:t>
      </w:r>
      <w:r w:rsidRPr="0057156B">
        <w:rPr>
          <w:spacing w:val="-2"/>
          <w:rtl/>
        </w:rPr>
        <w:t xml:space="preserve">على الأقل التقدم بطلب إلى المحكمة الإدارية العليا للحصول على إذن بالاستئناف. ويُقدَّم نحو </w:t>
      </w:r>
      <w:r w:rsidRPr="0057156B">
        <w:rPr>
          <w:spacing w:val="-2"/>
          <w:szCs w:val="20"/>
          <w:rtl/>
        </w:rPr>
        <w:t>000</w:t>
      </w:r>
      <w:r w:rsidRPr="0057156B">
        <w:rPr>
          <w:rFonts w:ascii="Traditional Arabic"/>
          <w:spacing w:val="-2"/>
          <w:rtl/>
        </w:rPr>
        <w:t xml:space="preserve"> </w:t>
      </w:r>
      <w:r w:rsidRPr="0057156B">
        <w:rPr>
          <w:spacing w:val="-2"/>
          <w:szCs w:val="20"/>
          <w:rtl/>
        </w:rPr>
        <w:t>20</w:t>
      </w:r>
      <w:r w:rsidRPr="0068209D">
        <w:rPr>
          <w:rtl/>
        </w:rPr>
        <w:t xml:space="preserve"> استئناف إلى المحاكم الإدارية سنوياً؛ ويبلغ مجموع موظفيها نحو </w:t>
      </w:r>
      <w:r w:rsidRPr="005C19F0">
        <w:rPr>
          <w:szCs w:val="20"/>
          <w:rtl/>
        </w:rPr>
        <w:t>440</w:t>
      </w:r>
      <w:r w:rsidRPr="0068209D">
        <w:rPr>
          <w:rtl/>
        </w:rPr>
        <w:t xml:space="preserve"> شخصا</w:t>
      </w:r>
      <w:r w:rsidR="0057156B">
        <w:rPr>
          <w:rFonts w:hint="cs"/>
          <w:rtl/>
        </w:rPr>
        <w:t>ً</w:t>
      </w:r>
      <w:r w:rsidRPr="0068209D">
        <w:rPr>
          <w:rtl/>
        </w:rPr>
        <w:t>.</w:t>
      </w:r>
    </w:p>
    <w:p w14:paraId="5A66D546" w14:textId="6D75AFEA" w:rsidR="00C815DB" w:rsidRPr="0068209D" w:rsidRDefault="00C815DB" w:rsidP="00384243">
      <w:pPr>
        <w:pStyle w:val="SingleTxtGA"/>
        <w:rPr>
          <w:lang w:eastAsia="zh-TW" w:bidi="en-GB"/>
        </w:rPr>
      </w:pPr>
      <w:r w:rsidRPr="005C19F0">
        <w:rPr>
          <w:szCs w:val="20"/>
          <w:rtl/>
        </w:rPr>
        <w:t>193</w:t>
      </w:r>
      <w:r w:rsidRPr="00EF3655">
        <w:rPr>
          <w:rtl/>
        </w:rPr>
        <w:t>-</w:t>
      </w:r>
      <w:r w:rsidRPr="0068209D">
        <w:rPr>
          <w:rtl/>
        </w:rPr>
        <w:tab/>
        <w:t>وتتعلق</w:t>
      </w:r>
      <w:r>
        <w:rPr>
          <w:rtl/>
        </w:rPr>
        <w:t xml:space="preserve"> نسبة</w:t>
      </w:r>
      <w:r w:rsidRPr="0068209D">
        <w:rPr>
          <w:rtl/>
        </w:rPr>
        <w:t xml:space="preserve"> </w:t>
      </w:r>
      <w:r w:rsidRPr="005C19F0">
        <w:rPr>
          <w:szCs w:val="20"/>
          <w:rtl/>
        </w:rPr>
        <w:t>90</w:t>
      </w:r>
      <w:r w:rsidR="002B5B92">
        <w:rPr>
          <w:rFonts w:ascii="Traditional Arabic"/>
          <w:sz w:val="28"/>
          <w:rtl/>
        </w:rPr>
        <w:t xml:space="preserve"> في المائة</w:t>
      </w:r>
      <w:r w:rsidRPr="0068209D">
        <w:rPr>
          <w:rtl/>
        </w:rPr>
        <w:t xml:space="preserve"> تقريباً من جميع الاستئنافات وطلبات الإذن بالاستئناف التي تتلقاها المحكمة الإدارية العليا بقرارات صادرة عن محكمة إدارية إقليمية. والمحكمة الإدارية العليا هي أيضا</w:t>
      </w:r>
      <w:r w:rsidR="0057156B">
        <w:rPr>
          <w:rFonts w:hint="cs"/>
          <w:rtl/>
        </w:rPr>
        <w:t>ً</w:t>
      </w:r>
      <w:r w:rsidRPr="0068209D">
        <w:rPr>
          <w:rtl/>
        </w:rPr>
        <w:t xml:space="preserve"> محكمة </w:t>
      </w:r>
      <w:r>
        <w:rPr>
          <w:rtl/>
        </w:rPr>
        <w:t>ال</w:t>
      </w:r>
      <w:r w:rsidRPr="0068209D">
        <w:rPr>
          <w:rtl/>
        </w:rPr>
        <w:t xml:space="preserve">استئناف </w:t>
      </w:r>
      <w:r>
        <w:rPr>
          <w:rtl/>
        </w:rPr>
        <w:t>فيما يتعلق ب</w:t>
      </w:r>
      <w:r w:rsidRPr="0068209D">
        <w:rPr>
          <w:rtl/>
        </w:rPr>
        <w:t xml:space="preserve">قرارات </w:t>
      </w:r>
      <w:r>
        <w:rPr>
          <w:rtl/>
        </w:rPr>
        <w:t>ال</w:t>
      </w:r>
      <w:r w:rsidRPr="0068209D">
        <w:rPr>
          <w:rtl/>
        </w:rPr>
        <w:t>محكمة ال</w:t>
      </w:r>
      <w:r>
        <w:rPr>
          <w:rtl/>
        </w:rPr>
        <w:t>تجارية</w:t>
      </w:r>
      <w:r w:rsidRPr="0068209D">
        <w:rPr>
          <w:rtl/>
        </w:rPr>
        <w:t xml:space="preserve"> في قضايا المنافسة والمشتريات الحكومية وفي القضايا المتصلة بتسجيل براء</w:t>
      </w:r>
      <w:r>
        <w:rPr>
          <w:rtl/>
        </w:rPr>
        <w:t>ات</w:t>
      </w:r>
      <w:r w:rsidRPr="0068209D">
        <w:rPr>
          <w:rtl/>
        </w:rPr>
        <w:t xml:space="preserve"> </w:t>
      </w:r>
      <w:r>
        <w:rPr>
          <w:rtl/>
        </w:rPr>
        <w:t>ال</w:t>
      </w:r>
      <w:r w:rsidRPr="0068209D">
        <w:rPr>
          <w:rtl/>
        </w:rPr>
        <w:t xml:space="preserve">اختراع أو </w:t>
      </w:r>
      <w:r>
        <w:rPr>
          <w:rtl/>
        </w:rPr>
        <w:t>ال</w:t>
      </w:r>
      <w:r w:rsidRPr="0068209D">
        <w:rPr>
          <w:rtl/>
        </w:rPr>
        <w:t>علام</w:t>
      </w:r>
      <w:r>
        <w:rPr>
          <w:rtl/>
        </w:rPr>
        <w:t>ات</w:t>
      </w:r>
      <w:r w:rsidRPr="0068209D">
        <w:rPr>
          <w:rtl/>
        </w:rPr>
        <w:t xml:space="preserve"> </w:t>
      </w:r>
      <w:r>
        <w:rPr>
          <w:rtl/>
        </w:rPr>
        <w:t>ال</w:t>
      </w:r>
      <w:r w:rsidRPr="0068209D">
        <w:rPr>
          <w:rtl/>
        </w:rPr>
        <w:t>تجارية. وأي استئنافات لقرارات الجلسة العامة للحكومة، على سبيل المثال قرارات مجلس الضرائب المركزي، يجب أن تقدم مباشرة إلى المحكمة الإدارية العليا، في حين أن استئناف القرارات الصادرة عن الوزارات يجب أن يقدم في الوقت الحاضر، ما عدا استثناءات قليلة، إلى المحكمة الإدارية الإقليمية بوصفها المحكمة الابتدائية.</w:t>
      </w:r>
    </w:p>
    <w:p w14:paraId="3610D1AC" w14:textId="77777777" w:rsidR="00C815DB" w:rsidRPr="0068209D" w:rsidRDefault="00C815DB" w:rsidP="00384243">
      <w:pPr>
        <w:pStyle w:val="SingleTxtGA"/>
        <w:rPr>
          <w:lang w:val="ar-SA" w:eastAsia="zh-TW" w:bidi="en-GB"/>
        </w:rPr>
      </w:pPr>
      <w:r w:rsidRPr="005C19F0">
        <w:rPr>
          <w:szCs w:val="20"/>
          <w:rtl/>
        </w:rPr>
        <w:t>194</w:t>
      </w:r>
      <w:r w:rsidRPr="00EF3655">
        <w:rPr>
          <w:rtl/>
        </w:rPr>
        <w:t>-</w:t>
      </w:r>
      <w:r w:rsidRPr="0068209D">
        <w:rPr>
          <w:rtl/>
        </w:rPr>
        <w:tab/>
        <w:t xml:space="preserve">وتتلقى المحكمة الإدارية العليا كل عام نحو </w:t>
      </w:r>
      <w:r w:rsidRPr="005C19F0">
        <w:rPr>
          <w:szCs w:val="20"/>
          <w:rtl/>
        </w:rPr>
        <w:t>000</w:t>
      </w:r>
      <w:r w:rsidRPr="0068209D">
        <w:rPr>
          <w:rFonts w:ascii="Traditional Arabic"/>
          <w:rtl/>
        </w:rPr>
        <w:t xml:space="preserve"> </w:t>
      </w:r>
      <w:r w:rsidRPr="005C19F0">
        <w:rPr>
          <w:szCs w:val="20"/>
          <w:rtl/>
        </w:rPr>
        <w:t>6</w:t>
      </w:r>
      <w:r w:rsidRPr="0068209D">
        <w:rPr>
          <w:rtl/>
        </w:rPr>
        <w:t xml:space="preserve"> قضية. وتنقسم القضايا المعروضة على المحكمة إلى تسع فئات رئيسَة مقسمة إلى </w:t>
      </w:r>
      <w:r w:rsidRPr="005C19F0">
        <w:rPr>
          <w:szCs w:val="20"/>
          <w:rtl/>
        </w:rPr>
        <w:t>35</w:t>
      </w:r>
      <w:r w:rsidRPr="0068209D">
        <w:rPr>
          <w:rtl/>
        </w:rPr>
        <w:t xml:space="preserve"> فئة أخرى من القضايا تشمل ما يزيد على </w:t>
      </w:r>
      <w:r w:rsidRPr="005C19F0">
        <w:rPr>
          <w:szCs w:val="20"/>
          <w:rtl/>
        </w:rPr>
        <w:t>280</w:t>
      </w:r>
      <w:r w:rsidRPr="0068209D">
        <w:rPr>
          <w:rtl/>
        </w:rPr>
        <w:t xml:space="preserve"> رمز قضايا في المجموع. وفي معظم الحالات، لا يجوز الاستئناف إلا عندما تمنح المحكمة الإدارية العليا الإذن </w:t>
      </w:r>
      <w:r w:rsidRPr="0068209D">
        <w:rPr>
          <w:rtl/>
        </w:rPr>
        <w:lastRenderedPageBreak/>
        <w:t>بالاستئناف. ويغطي اختصاص المحكمة الإدارية العليا مجموعة ضخمة من القضايا حتى مع إجراء مقارنة على الصعيد الدولي.</w:t>
      </w:r>
    </w:p>
    <w:p w14:paraId="3E4874E6" w14:textId="77777777" w:rsidR="00C815DB" w:rsidRPr="0068209D" w:rsidRDefault="00C815DB" w:rsidP="00384243">
      <w:pPr>
        <w:pStyle w:val="H23GA"/>
        <w:rPr>
          <w:lang w:eastAsia="zh-TW" w:bidi="en-GB"/>
        </w:rPr>
      </w:pPr>
      <w:bookmarkStart w:id="55" w:name="_Toc32364316"/>
      <w:r w:rsidRPr="0068209D">
        <w:rPr>
          <w:rtl/>
        </w:rPr>
        <w:tab/>
      </w:r>
      <w:r w:rsidRPr="0068209D">
        <w:rPr>
          <w:rtl/>
        </w:rPr>
        <w:tab/>
        <w:t>المحاكم المتخصصة</w:t>
      </w:r>
      <w:bookmarkEnd w:id="55"/>
    </w:p>
    <w:p w14:paraId="7CB964FB" w14:textId="59145594" w:rsidR="00C815DB" w:rsidRPr="0068209D" w:rsidRDefault="00C815DB" w:rsidP="00384243">
      <w:pPr>
        <w:pStyle w:val="SingleTxtGA"/>
        <w:rPr>
          <w:lang w:eastAsia="zh-TW" w:bidi="en-GB"/>
        </w:rPr>
      </w:pPr>
      <w:r w:rsidRPr="005C19F0">
        <w:rPr>
          <w:szCs w:val="20"/>
          <w:rtl/>
        </w:rPr>
        <w:t>195</w:t>
      </w:r>
      <w:r w:rsidRPr="00EF3655">
        <w:rPr>
          <w:rtl/>
        </w:rPr>
        <w:t>-</w:t>
      </w:r>
      <w:r w:rsidRPr="0068209D">
        <w:rPr>
          <w:rtl/>
        </w:rPr>
        <w:tab/>
        <w:t xml:space="preserve">المحاكم المتخصصة في فنلندا هي </w:t>
      </w:r>
      <w:r>
        <w:rPr>
          <w:rtl/>
        </w:rPr>
        <w:t>ال</w:t>
      </w:r>
      <w:r w:rsidRPr="0068209D">
        <w:rPr>
          <w:rtl/>
        </w:rPr>
        <w:t>محكمة ال</w:t>
      </w:r>
      <w:r>
        <w:rPr>
          <w:rtl/>
        </w:rPr>
        <w:t>تجارية</w:t>
      </w:r>
      <w:r w:rsidRPr="0068209D">
        <w:rPr>
          <w:rtl/>
        </w:rPr>
        <w:t xml:space="preserve">، ومحكمة العمل، ومحكمة التأمين، ومحكمة العزل العليا. وتنظر </w:t>
      </w:r>
      <w:r>
        <w:rPr>
          <w:rtl/>
        </w:rPr>
        <w:t>ال</w:t>
      </w:r>
      <w:r w:rsidRPr="0068209D">
        <w:rPr>
          <w:rtl/>
        </w:rPr>
        <w:t>محكمة ال</w:t>
      </w:r>
      <w:r>
        <w:rPr>
          <w:rtl/>
        </w:rPr>
        <w:t>تجارية</w:t>
      </w:r>
      <w:r w:rsidRPr="0068209D">
        <w:rPr>
          <w:rtl/>
        </w:rPr>
        <w:t xml:space="preserve"> في قضايا قانون ال</w:t>
      </w:r>
      <w:r>
        <w:rPr>
          <w:rtl/>
        </w:rPr>
        <w:t>تجارة</w:t>
      </w:r>
      <w:r w:rsidRPr="0068209D">
        <w:rPr>
          <w:rtl/>
        </w:rPr>
        <w:t xml:space="preserve"> وقانون المنافسة</w:t>
      </w:r>
      <w:r>
        <w:rPr>
          <w:rtl/>
        </w:rPr>
        <w:t>،</w:t>
      </w:r>
      <w:r w:rsidRPr="0068209D">
        <w:rPr>
          <w:rtl/>
        </w:rPr>
        <w:t xml:space="preserve"> ومحكمة العمل في النزاعات القانونية الناشئة عن الاتفاقات الجماعية أو اتفاقات الموظفين المدنيين الجماعية</w:t>
      </w:r>
      <w:r>
        <w:rPr>
          <w:rtl/>
        </w:rPr>
        <w:t>،</w:t>
      </w:r>
      <w:r w:rsidRPr="0068209D">
        <w:rPr>
          <w:rtl/>
        </w:rPr>
        <w:t xml:space="preserve"> ومحكمة التأمين في قضايا معينة تتعلق بالتأمين الاجتماعي</w:t>
      </w:r>
      <w:r>
        <w:rPr>
          <w:rtl/>
        </w:rPr>
        <w:t>،</w:t>
      </w:r>
      <w:r w:rsidRPr="0068209D">
        <w:rPr>
          <w:rtl/>
        </w:rPr>
        <w:t xml:space="preserve"> ومحكمة العزل العليا في تهمة التصرف غير المشروع في المنصب ال</w:t>
      </w:r>
      <w:r>
        <w:rPr>
          <w:rtl/>
        </w:rPr>
        <w:t xml:space="preserve">تي تكون </w:t>
      </w:r>
      <w:r w:rsidRPr="0068209D">
        <w:rPr>
          <w:rtl/>
        </w:rPr>
        <w:t>موجهة إلى عضو في الحكومة أو مستشار</w:t>
      </w:r>
      <w:r w:rsidRPr="00794E95">
        <w:rPr>
          <w:rtl/>
        </w:rPr>
        <w:t>(</w:t>
      </w:r>
      <w:r w:rsidRPr="0068209D">
        <w:rPr>
          <w:rtl/>
        </w:rPr>
        <w:t>ة</w:t>
      </w:r>
      <w:r w:rsidRPr="00794E95">
        <w:rPr>
          <w:rtl/>
        </w:rPr>
        <w:t>)</w:t>
      </w:r>
      <w:r w:rsidRPr="0068209D">
        <w:rPr>
          <w:rtl/>
        </w:rPr>
        <w:t xml:space="preserve"> عدل أو أمين</w:t>
      </w:r>
      <w:r w:rsidRPr="00794E95">
        <w:rPr>
          <w:rtl/>
        </w:rPr>
        <w:t>(</w:t>
      </w:r>
      <w:r w:rsidRPr="0068209D">
        <w:rPr>
          <w:rtl/>
        </w:rPr>
        <w:t>ة</w:t>
      </w:r>
      <w:r w:rsidRPr="00794E95">
        <w:rPr>
          <w:rtl/>
        </w:rPr>
        <w:t>)</w:t>
      </w:r>
      <w:r w:rsidRPr="0068209D">
        <w:rPr>
          <w:rtl/>
        </w:rPr>
        <w:t xml:space="preserve"> مظالم برلماني</w:t>
      </w:r>
      <w:r w:rsidRPr="00794E95">
        <w:rPr>
          <w:rtl/>
        </w:rPr>
        <w:t>(</w:t>
      </w:r>
      <w:r w:rsidRPr="0068209D">
        <w:rPr>
          <w:rtl/>
        </w:rPr>
        <w:t>ة</w:t>
      </w:r>
      <w:r w:rsidRPr="00794E95">
        <w:rPr>
          <w:rtl/>
        </w:rPr>
        <w:t>)</w:t>
      </w:r>
      <w:r w:rsidRPr="0068209D">
        <w:rPr>
          <w:rtl/>
        </w:rPr>
        <w:t xml:space="preserve"> أو أحد قضاة المحكمة العليا أو المحكمة الإدارية العليا. وتنظر هذه المحكمة </w:t>
      </w:r>
      <w:r w:rsidR="00C74C59">
        <w:rPr>
          <w:rtl/>
        </w:rPr>
        <w:t>أيضاً</w:t>
      </w:r>
      <w:r w:rsidRPr="0068209D">
        <w:rPr>
          <w:rtl/>
        </w:rPr>
        <w:t xml:space="preserve"> في التهم المتعلقة بالمسؤولية الجنائية لرئيس</w:t>
      </w:r>
      <w:r w:rsidRPr="00794E95">
        <w:rPr>
          <w:rtl/>
        </w:rPr>
        <w:t>(</w:t>
      </w:r>
      <w:r w:rsidRPr="0068209D">
        <w:rPr>
          <w:rtl/>
        </w:rPr>
        <w:t>ة</w:t>
      </w:r>
      <w:r w:rsidRPr="00794E95">
        <w:rPr>
          <w:rtl/>
        </w:rPr>
        <w:t>)</w:t>
      </w:r>
      <w:r w:rsidRPr="0068209D">
        <w:rPr>
          <w:rtl/>
        </w:rPr>
        <w:t xml:space="preserve"> الجمهورية. ولا يجوز استئناف قرار محكمة العزل العليا. وفي تاريخ فنلندا، لم</w:t>
      </w:r>
      <w:r w:rsidR="00C74C59">
        <w:rPr>
          <w:rFonts w:hint="cs"/>
          <w:rtl/>
        </w:rPr>
        <w:t> </w:t>
      </w:r>
      <w:r w:rsidRPr="0068209D">
        <w:rPr>
          <w:rtl/>
        </w:rPr>
        <w:t>تنعقد محكمة العزل العليا إلا في مناسبات قليلة، كان</w:t>
      </w:r>
      <w:r>
        <w:rPr>
          <w:rtl/>
        </w:rPr>
        <w:t>ت</w:t>
      </w:r>
      <w:r w:rsidRPr="0068209D">
        <w:rPr>
          <w:rtl/>
        </w:rPr>
        <w:t xml:space="preserve"> آخرها في عام </w:t>
      </w:r>
      <w:r w:rsidRPr="005C19F0">
        <w:rPr>
          <w:szCs w:val="20"/>
          <w:rtl/>
        </w:rPr>
        <w:t>1993</w:t>
      </w:r>
      <w:r w:rsidRPr="0068209D">
        <w:rPr>
          <w:rtl/>
        </w:rPr>
        <w:t>.</w:t>
      </w:r>
    </w:p>
    <w:p w14:paraId="6F63F1AF" w14:textId="77777777" w:rsidR="00C815DB" w:rsidRPr="0068209D" w:rsidRDefault="00C815DB" w:rsidP="00384243">
      <w:pPr>
        <w:pStyle w:val="H23GA"/>
        <w:rPr>
          <w:lang w:val="ar-SA" w:eastAsia="zh-TW" w:bidi="en-GB"/>
        </w:rPr>
      </w:pPr>
      <w:bookmarkStart w:id="56" w:name="_Toc32364317"/>
      <w:r w:rsidRPr="0068209D">
        <w:rPr>
          <w:rtl/>
        </w:rPr>
        <w:tab/>
      </w:r>
      <w:r w:rsidRPr="0068209D">
        <w:rPr>
          <w:rtl/>
        </w:rPr>
        <w:tab/>
        <w:t>نقابة المحامين</w:t>
      </w:r>
      <w:bookmarkEnd w:id="56"/>
    </w:p>
    <w:p w14:paraId="683BB431" w14:textId="77777777" w:rsidR="00C815DB" w:rsidRPr="0068209D" w:rsidRDefault="00C815DB" w:rsidP="00384243">
      <w:pPr>
        <w:pStyle w:val="SingleTxtGA"/>
        <w:rPr>
          <w:lang w:eastAsia="zh-TW" w:bidi="en-GB"/>
        </w:rPr>
      </w:pPr>
      <w:r w:rsidRPr="005C19F0">
        <w:rPr>
          <w:szCs w:val="20"/>
          <w:rtl/>
        </w:rPr>
        <w:t>196</w:t>
      </w:r>
      <w:r w:rsidRPr="00EF3655">
        <w:rPr>
          <w:rtl/>
        </w:rPr>
        <w:t>-</w:t>
      </w:r>
      <w:r w:rsidRPr="0068209D">
        <w:rPr>
          <w:rtl/>
        </w:rPr>
        <w:tab/>
        <w:t xml:space="preserve">يوجد في فنلندا نقابة </w:t>
      </w:r>
      <w:r>
        <w:rPr>
          <w:rtl/>
        </w:rPr>
        <w:t xml:space="preserve">محامين </w:t>
      </w:r>
      <w:r w:rsidRPr="0068209D">
        <w:rPr>
          <w:rtl/>
        </w:rPr>
        <w:t>مستقلة عن السلطة الحكومية تدير نفسها بنفسها. ويعترف قانون</w:t>
      </w:r>
      <w:r>
        <w:rPr>
          <w:rtl/>
        </w:rPr>
        <w:t xml:space="preserve"> المحاماة </w:t>
      </w:r>
      <w:r w:rsidRPr="00794E95">
        <w:rPr>
          <w:rtl/>
        </w:rPr>
        <w:t>(</w:t>
      </w:r>
      <w:r w:rsidRPr="005C19F0">
        <w:rPr>
          <w:szCs w:val="20"/>
          <w:rtl/>
        </w:rPr>
        <w:t>496</w:t>
      </w:r>
      <w:r>
        <w:rPr>
          <w:rtl/>
        </w:rPr>
        <w:t>/</w:t>
      </w:r>
      <w:r w:rsidRPr="005C19F0">
        <w:rPr>
          <w:szCs w:val="20"/>
          <w:rtl/>
        </w:rPr>
        <w:t>1958</w:t>
      </w:r>
      <w:r w:rsidRPr="00794E95">
        <w:rPr>
          <w:rtl/>
        </w:rPr>
        <w:t>)</w:t>
      </w:r>
      <w:r w:rsidRPr="0068209D">
        <w:rPr>
          <w:rtl/>
        </w:rPr>
        <w:t xml:space="preserve"> بنقابة المحامين الفنلندية وبمركزها؛ وهو ينص على أن نقابة المحامين مستقلة في تنظيم إدارتها الداخلية. واستناداً إلى المعايير الواردة في القانون، تقرر النقابة، باستقلالية، قبول العضوية فيها وإلغائها منها. وتشرف النقابة ومجلسها التأديبي على أنشطة المحامين، ويجوز لهما فرض عقوبة تأديبية</w:t>
      </w:r>
      <w:r>
        <w:rPr>
          <w:rtl/>
        </w:rPr>
        <w:t>،</w:t>
      </w:r>
      <w:r w:rsidRPr="0068209D">
        <w:rPr>
          <w:rtl/>
        </w:rPr>
        <w:t xml:space="preserve"> تتمثل في إلغاء العضوية أو الغرامة النقدية أو ال</w:t>
      </w:r>
      <w:r>
        <w:rPr>
          <w:rtl/>
        </w:rPr>
        <w:t xml:space="preserve">إنذار </w:t>
      </w:r>
      <w:r w:rsidRPr="0068209D">
        <w:rPr>
          <w:rtl/>
        </w:rPr>
        <w:t>أو التوبيخ</w:t>
      </w:r>
      <w:r>
        <w:rPr>
          <w:rtl/>
        </w:rPr>
        <w:t>،</w:t>
      </w:r>
      <w:r w:rsidRPr="0068209D">
        <w:rPr>
          <w:rtl/>
        </w:rPr>
        <w:t xml:space="preserve"> على أي عضو في النقابة </w:t>
      </w:r>
      <w:r>
        <w:rPr>
          <w:rtl/>
        </w:rPr>
        <w:t>ي</w:t>
      </w:r>
      <w:r w:rsidRPr="0068209D">
        <w:rPr>
          <w:rtl/>
        </w:rPr>
        <w:t>ثبت أنه انتهك القانون أو قواعد النقابة أو مدونة قواعد السلوك المهني. ويجوز استئناف قرارات نقابة المحامين والمجلس التأديبي في المسائل التأديبية و</w:t>
      </w:r>
      <w:r>
        <w:rPr>
          <w:rtl/>
        </w:rPr>
        <w:t>المتصلة ب</w:t>
      </w:r>
      <w:r w:rsidRPr="0068209D">
        <w:rPr>
          <w:rtl/>
        </w:rPr>
        <w:t>العضوية أمام محكمة استئناف هلسينكي.</w:t>
      </w:r>
    </w:p>
    <w:p w14:paraId="557CB21D" w14:textId="77777777" w:rsidR="00C815DB" w:rsidRPr="0068209D" w:rsidRDefault="00C815DB" w:rsidP="00384243">
      <w:pPr>
        <w:pStyle w:val="H23GA"/>
        <w:rPr>
          <w:lang w:val="ar-SA" w:eastAsia="zh-TW" w:bidi="en-GB"/>
        </w:rPr>
      </w:pPr>
      <w:bookmarkStart w:id="57" w:name="_Toc32364318"/>
      <w:r w:rsidRPr="0068209D">
        <w:rPr>
          <w:rtl/>
        </w:rPr>
        <w:tab/>
      </w:r>
      <w:r w:rsidRPr="0068209D">
        <w:rPr>
          <w:rtl/>
        </w:rPr>
        <w:tab/>
        <w:t>المعونة القضائية</w:t>
      </w:r>
      <w:bookmarkEnd w:id="57"/>
    </w:p>
    <w:p w14:paraId="2BC9D51C" w14:textId="77777777" w:rsidR="00C815DB" w:rsidRPr="0068209D" w:rsidRDefault="00C815DB" w:rsidP="00384243">
      <w:pPr>
        <w:pStyle w:val="SingleTxtGA"/>
        <w:rPr>
          <w:lang w:eastAsia="zh-TW" w:bidi="en-GB"/>
        </w:rPr>
      </w:pPr>
      <w:r w:rsidRPr="005C19F0">
        <w:rPr>
          <w:szCs w:val="20"/>
          <w:rtl/>
        </w:rPr>
        <w:t>197</w:t>
      </w:r>
      <w:r w:rsidRPr="00EF3655">
        <w:rPr>
          <w:rtl/>
        </w:rPr>
        <w:t>-</w:t>
      </w:r>
      <w:r w:rsidRPr="0068209D">
        <w:rPr>
          <w:rtl/>
        </w:rPr>
        <w:tab/>
        <w:t>تقدَّم المعونة القضائية في فنلندا على نفقة الدولة، كليا أو جزئيا، إلى الأشخاص الذين يحتاجون إلى مساعدة الخبراء في الشؤون القانونية والذين لا يستطيعون تحمل تكاليف الإجراءات بسبب أوضاعهم الاقتصادية. وينص قانون المعونة</w:t>
      </w:r>
      <w:r>
        <w:rPr>
          <w:rtl/>
        </w:rPr>
        <w:t xml:space="preserve"> القضائية </w:t>
      </w:r>
      <w:r w:rsidRPr="00794E95">
        <w:rPr>
          <w:rtl/>
        </w:rPr>
        <w:t>(</w:t>
      </w:r>
      <w:r w:rsidRPr="005C19F0">
        <w:rPr>
          <w:szCs w:val="20"/>
          <w:rtl/>
        </w:rPr>
        <w:t>257</w:t>
      </w:r>
      <w:r>
        <w:rPr>
          <w:rtl/>
        </w:rPr>
        <w:t>/</w:t>
      </w:r>
      <w:r w:rsidRPr="005C19F0">
        <w:rPr>
          <w:szCs w:val="20"/>
          <w:rtl/>
        </w:rPr>
        <w:t>2002</w:t>
      </w:r>
      <w:r w:rsidRPr="00794E95">
        <w:rPr>
          <w:rtl/>
        </w:rPr>
        <w:t>)</w:t>
      </w:r>
      <w:r w:rsidRPr="0068209D">
        <w:rPr>
          <w:rtl/>
        </w:rPr>
        <w:t xml:space="preserve"> على الأحكام المتعلقة بالمعونة القضائية. وتشمل هذه المعونة تقديم المشورة القانونية، والتدابير اللازمة والتمثيل أمام</w:t>
      </w:r>
      <w:r>
        <w:rPr>
          <w:rtl/>
        </w:rPr>
        <w:t xml:space="preserve"> المحاكم العادية </w:t>
      </w:r>
      <w:r w:rsidRPr="0068209D">
        <w:rPr>
          <w:rtl/>
        </w:rPr>
        <w:t>وهيئ</w:t>
      </w:r>
      <w:r>
        <w:rPr>
          <w:rtl/>
        </w:rPr>
        <w:t>ات</w:t>
      </w:r>
      <w:r w:rsidRPr="0068209D">
        <w:rPr>
          <w:rtl/>
        </w:rPr>
        <w:t xml:space="preserve"> أخرى، والتنازل عن بعض النفقات الم</w:t>
      </w:r>
      <w:r>
        <w:rPr>
          <w:rtl/>
        </w:rPr>
        <w:t>رتبط</w:t>
      </w:r>
      <w:r w:rsidRPr="0068209D">
        <w:rPr>
          <w:rtl/>
        </w:rPr>
        <w:t xml:space="preserve">ة بالنظر في المسألة. وتقدم المعونة القضائية إلى </w:t>
      </w:r>
      <w:r>
        <w:rPr>
          <w:rtl/>
        </w:rPr>
        <w:t>الأشخاص الذين</w:t>
      </w:r>
      <w:r w:rsidRPr="0068209D">
        <w:rPr>
          <w:rtl/>
        </w:rPr>
        <w:t xml:space="preserve"> لا تتجاوز إمكاناته</w:t>
      </w:r>
      <w:r>
        <w:rPr>
          <w:rtl/>
        </w:rPr>
        <w:t>م</w:t>
      </w:r>
      <w:r w:rsidRPr="0068209D">
        <w:rPr>
          <w:rtl/>
        </w:rPr>
        <w:t xml:space="preserve"> وأصوله</w:t>
      </w:r>
      <w:r>
        <w:rPr>
          <w:rtl/>
        </w:rPr>
        <w:t>م</w:t>
      </w:r>
      <w:r w:rsidRPr="0068209D">
        <w:rPr>
          <w:rtl/>
        </w:rPr>
        <w:t xml:space="preserve"> المتاحة المبلغ ال</w:t>
      </w:r>
      <w:r>
        <w:rPr>
          <w:rtl/>
        </w:rPr>
        <w:t xml:space="preserve">محدد في </w:t>
      </w:r>
      <w:r w:rsidRPr="0068209D">
        <w:rPr>
          <w:rtl/>
        </w:rPr>
        <w:t>مرسوم حكومي. ويصدر بمرسوم حكومي الأحكامُ المتعلقة بالإيرادات والنفقات التي ينبغي أخذها في الاعتبار، وأثر التزامات النفقة على حساب الإمكانات المتاحة، ومراعاة الأصول، وأساس تحديد الخصم المسموح به للمستفيد من المعونة القضائية.</w:t>
      </w:r>
    </w:p>
    <w:p w14:paraId="79014D17" w14:textId="0BAA50F0" w:rsidR="00C815DB" w:rsidRPr="0068209D" w:rsidRDefault="00C815DB" w:rsidP="00384243">
      <w:pPr>
        <w:pStyle w:val="SingleTxtGA"/>
        <w:rPr>
          <w:lang w:eastAsia="zh-TW" w:bidi="en-GB"/>
        </w:rPr>
      </w:pPr>
      <w:r w:rsidRPr="005C19F0">
        <w:rPr>
          <w:szCs w:val="20"/>
          <w:rtl/>
        </w:rPr>
        <w:t>198</w:t>
      </w:r>
      <w:r w:rsidRPr="00EF3655">
        <w:rPr>
          <w:rtl/>
        </w:rPr>
        <w:t>-</w:t>
      </w:r>
      <w:r w:rsidRPr="0068209D">
        <w:rPr>
          <w:rtl/>
        </w:rPr>
        <w:tab/>
        <w:t>وتنظم دوائر المعونة القضائية الحكومية والوصاية العامة خدمات المعونة القضائية التي تقدمها مكاتب المعونة القضائية في المقاطعات. ويقدم</w:t>
      </w:r>
      <w:r>
        <w:rPr>
          <w:rtl/>
        </w:rPr>
        <w:t xml:space="preserve"> هذه</w:t>
      </w:r>
      <w:r w:rsidRPr="0068209D">
        <w:rPr>
          <w:rtl/>
        </w:rPr>
        <w:t xml:space="preserve"> المعونة محامو المعونة القضائية العامة الذين تستخدمهم مكاتب المعونة القضائية. غير أنه يجوز، في المسائل التي ستنظر فيها محكمة عادية، تعيين محامٍ </w:t>
      </w:r>
      <w:r>
        <w:rPr>
          <w:rtl/>
        </w:rPr>
        <w:t xml:space="preserve">خاص </w:t>
      </w:r>
      <w:r w:rsidRPr="0068209D">
        <w:rPr>
          <w:rtl/>
        </w:rPr>
        <w:t xml:space="preserve">أيضاً يكون </w:t>
      </w:r>
      <w:r>
        <w:rPr>
          <w:rtl/>
        </w:rPr>
        <w:t xml:space="preserve">قد </w:t>
      </w:r>
      <w:r w:rsidRPr="0068209D">
        <w:rPr>
          <w:rtl/>
        </w:rPr>
        <w:t xml:space="preserve">وافق على </w:t>
      </w:r>
      <w:r>
        <w:rPr>
          <w:rtl/>
        </w:rPr>
        <w:t xml:space="preserve">أداء </w:t>
      </w:r>
      <w:r w:rsidRPr="0068209D">
        <w:rPr>
          <w:rtl/>
        </w:rPr>
        <w:t>هذه المهمة. ولا يجوز تعيين سوى محام أو محام مرخص له محامياً خ</w:t>
      </w:r>
      <w:r>
        <w:rPr>
          <w:rtl/>
        </w:rPr>
        <w:t>ا</w:t>
      </w:r>
      <w:r w:rsidRPr="0068209D">
        <w:rPr>
          <w:rtl/>
        </w:rPr>
        <w:t>صاً. وفي حالة تعيين الشخص الذي يتلقى المعونة القضائية شخصاً مؤهلاً بصفته محامياً له، يعي</w:t>
      </w:r>
      <w:r>
        <w:rPr>
          <w:rtl/>
        </w:rPr>
        <w:t>َّ</w:t>
      </w:r>
      <w:r w:rsidRPr="0068209D">
        <w:rPr>
          <w:rtl/>
        </w:rPr>
        <w:t xml:space="preserve">ن ذلك الشخص ما لم تكن هناك أسباب خاصة تدعو إلى خلاف ذلك. وفي بعض الحالات </w:t>
      </w:r>
      <w:r w:rsidRPr="0068209D">
        <w:rPr>
          <w:rtl/>
        </w:rPr>
        <w:lastRenderedPageBreak/>
        <w:t>المحددة، يجوز إحالة مقدم طلب المعونة القضائية إلى محام خ</w:t>
      </w:r>
      <w:r>
        <w:rPr>
          <w:rtl/>
        </w:rPr>
        <w:t>ا</w:t>
      </w:r>
      <w:r w:rsidRPr="0068209D">
        <w:rPr>
          <w:rtl/>
        </w:rPr>
        <w:t xml:space="preserve">ص </w:t>
      </w:r>
      <w:r w:rsidR="00C74C59">
        <w:rPr>
          <w:rtl/>
        </w:rPr>
        <w:t>أيضاً</w:t>
      </w:r>
      <w:r w:rsidRPr="0068209D">
        <w:rPr>
          <w:rtl/>
        </w:rPr>
        <w:t xml:space="preserve"> في ال</w:t>
      </w:r>
      <w:r>
        <w:rPr>
          <w:rtl/>
        </w:rPr>
        <w:t>قضايا</w:t>
      </w:r>
      <w:r w:rsidRPr="0068209D">
        <w:rPr>
          <w:rtl/>
        </w:rPr>
        <w:t xml:space="preserve"> التي لا تنظر فيها محكمة عادية. ويلتزم المحامون بمدونة قواعد السلوك المهني </w:t>
      </w:r>
      <w:r>
        <w:rPr>
          <w:rtl/>
        </w:rPr>
        <w:t>للمحامين</w:t>
      </w:r>
      <w:r w:rsidRPr="0068209D">
        <w:rPr>
          <w:rtl/>
        </w:rPr>
        <w:t xml:space="preserve"> في أداء واجباتهم.</w:t>
      </w:r>
    </w:p>
    <w:p w14:paraId="41F754DB" w14:textId="77777777" w:rsidR="00C815DB" w:rsidRPr="00D150CB" w:rsidRDefault="00C815DB" w:rsidP="00384243">
      <w:pPr>
        <w:pStyle w:val="SingleTxtGA"/>
        <w:rPr>
          <w:spacing w:val="-4"/>
          <w:lang w:eastAsia="zh-TW" w:bidi="en-GB"/>
        </w:rPr>
      </w:pPr>
      <w:r w:rsidRPr="005C19F0">
        <w:rPr>
          <w:szCs w:val="20"/>
          <w:rtl/>
        </w:rPr>
        <w:t>199</w:t>
      </w:r>
      <w:r w:rsidRPr="00EF3655">
        <w:rPr>
          <w:rtl/>
        </w:rPr>
        <w:t>-</w:t>
      </w:r>
      <w:r w:rsidRPr="0068209D">
        <w:rPr>
          <w:rtl/>
        </w:rPr>
        <w:tab/>
        <w:t xml:space="preserve">ولأن المعونة القضائية تُمنح على أساس </w:t>
      </w:r>
      <w:r>
        <w:rPr>
          <w:rtl/>
        </w:rPr>
        <w:t>ال</w:t>
      </w:r>
      <w:r w:rsidRPr="0068209D">
        <w:rPr>
          <w:rtl/>
        </w:rPr>
        <w:t>إمكانات</w:t>
      </w:r>
      <w:r>
        <w:rPr>
          <w:rtl/>
        </w:rPr>
        <w:t xml:space="preserve"> المتوفرة</w:t>
      </w:r>
      <w:r w:rsidRPr="0068209D">
        <w:rPr>
          <w:rtl/>
        </w:rPr>
        <w:t xml:space="preserve"> </w:t>
      </w:r>
      <w:r>
        <w:rPr>
          <w:rtl/>
        </w:rPr>
        <w:t xml:space="preserve">لدى </w:t>
      </w:r>
      <w:r w:rsidRPr="0068209D">
        <w:rPr>
          <w:rtl/>
        </w:rPr>
        <w:t xml:space="preserve">مقدم الطلب في الشهر </w:t>
      </w:r>
      <w:r w:rsidRPr="00794E95">
        <w:rPr>
          <w:rtl/>
        </w:rPr>
        <w:t>(</w:t>
      </w:r>
      <w:r w:rsidRPr="0068209D">
        <w:rPr>
          <w:rtl/>
        </w:rPr>
        <w:t>وليس على أساس الدخل</w:t>
      </w:r>
      <w:r w:rsidRPr="00794E95">
        <w:rPr>
          <w:rtl/>
        </w:rPr>
        <w:t>)</w:t>
      </w:r>
      <w:r w:rsidRPr="0068209D">
        <w:rPr>
          <w:rtl/>
        </w:rPr>
        <w:t>، فمن الصعب تقدير نسبة السكان الفنلنديين المؤهلين للحصول عل</w:t>
      </w:r>
      <w:r>
        <w:rPr>
          <w:rtl/>
        </w:rPr>
        <w:t>يها</w:t>
      </w:r>
      <w:r w:rsidRPr="0068209D">
        <w:rPr>
          <w:rtl/>
        </w:rPr>
        <w:t xml:space="preserve">. </w:t>
      </w:r>
      <w:r w:rsidRPr="00D150CB">
        <w:rPr>
          <w:spacing w:val="-4"/>
          <w:rtl/>
        </w:rPr>
        <w:t xml:space="preserve">وتؤدي ظروف حياة الشخص المعني دوراً كبيراً في تحديد ما إذا كان مؤهلاً للحصول عليها. ففي حوالي </w:t>
      </w:r>
      <w:r w:rsidRPr="00D150CB">
        <w:rPr>
          <w:spacing w:val="-4"/>
          <w:szCs w:val="20"/>
          <w:rtl/>
        </w:rPr>
        <w:t>75</w:t>
      </w:r>
      <w:r w:rsidRPr="00D150CB">
        <w:rPr>
          <w:spacing w:val="-4"/>
          <w:rtl/>
        </w:rPr>
        <w:t xml:space="preserve"> في المائة من القضايا التي تعالجها مكاتب المعونة القضائية، تقدم المعونة مجاناً دون الخصم المسموح به.</w:t>
      </w:r>
    </w:p>
    <w:p w14:paraId="487F25CE" w14:textId="2A36F0DA" w:rsidR="00C815DB" w:rsidRPr="0068209D" w:rsidRDefault="00C815DB" w:rsidP="009C28DA">
      <w:pPr>
        <w:pStyle w:val="SingleTxtGA"/>
        <w:rPr>
          <w:lang w:eastAsia="zh-TW" w:bidi="en-GB"/>
        </w:rPr>
      </w:pPr>
      <w:r w:rsidRPr="005C19F0">
        <w:rPr>
          <w:szCs w:val="20"/>
          <w:rtl/>
        </w:rPr>
        <w:t>200</w:t>
      </w:r>
      <w:r w:rsidRPr="00EF3655">
        <w:rPr>
          <w:rtl/>
        </w:rPr>
        <w:t>-</w:t>
      </w:r>
      <w:r w:rsidRPr="0068209D">
        <w:rPr>
          <w:rtl/>
        </w:rPr>
        <w:tab/>
        <w:t xml:space="preserve">وفي بعض الحالات، يحق للمشتبه به في جريمة الحصول على خدمات محام </w:t>
      </w:r>
      <w:r>
        <w:rPr>
          <w:rtl/>
        </w:rPr>
        <w:t xml:space="preserve">عام للدفاع عنه </w:t>
      </w:r>
      <w:r w:rsidRPr="0068209D">
        <w:rPr>
          <w:rtl/>
        </w:rPr>
        <w:t xml:space="preserve">على نفقة الدولة </w:t>
      </w:r>
      <w:r>
        <w:rPr>
          <w:rtl/>
        </w:rPr>
        <w:t xml:space="preserve">في مرحلة </w:t>
      </w:r>
      <w:r w:rsidRPr="0068209D">
        <w:rPr>
          <w:rtl/>
        </w:rPr>
        <w:t>التحقيق السابق للمحاكمة و</w:t>
      </w:r>
      <w:r>
        <w:rPr>
          <w:rtl/>
        </w:rPr>
        <w:t xml:space="preserve">في الدعوى أمام </w:t>
      </w:r>
      <w:r w:rsidRPr="0068209D">
        <w:rPr>
          <w:rtl/>
        </w:rPr>
        <w:t xml:space="preserve">المحكمة. ويوظَّف محام </w:t>
      </w:r>
      <w:r>
        <w:rPr>
          <w:rtl/>
        </w:rPr>
        <w:t>عام للدفاع</w:t>
      </w:r>
      <w:r w:rsidRPr="0068209D">
        <w:rPr>
          <w:rtl/>
        </w:rPr>
        <w:t xml:space="preserve"> بناء على طلب الأشخاص المشتبه في ارتكابهم جرائم </w:t>
      </w:r>
      <w:r>
        <w:rPr>
          <w:rtl/>
        </w:rPr>
        <w:t xml:space="preserve">في ظروف </w:t>
      </w:r>
      <w:r w:rsidRPr="0068209D">
        <w:rPr>
          <w:rtl/>
        </w:rPr>
        <w:t>مشد</w:t>
      </w:r>
      <w:r>
        <w:rPr>
          <w:rtl/>
        </w:rPr>
        <w:t>ِّ</w:t>
      </w:r>
      <w:r w:rsidRPr="0068209D">
        <w:rPr>
          <w:rtl/>
        </w:rPr>
        <w:t>دة و</w:t>
      </w:r>
      <w:r>
        <w:rPr>
          <w:rtl/>
        </w:rPr>
        <w:t xml:space="preserve">الأشخاص </w:t>
      </w:r>
      <w:r w:rsidRPr="0068209D">
        <w:rPr>
          <w:rtl/>
        </w:rPr>
        <w:t>المعتقلين أو المحتجزين لارتكابهم جريمة. وإضافة إلى ذلك، يجوز للمحكمة أن توظف بمبادرة منها محاميا</w:t>
      </w:r>
      <w:r w:rsidR="00C74C59">
        <w:rPr>
          <w:rFonts w:hint="cs"/>
          <w:rtl/>
        </w:rPr>
        <w:t>ً</w:t>
      </w:r>
      <w:r w:rsidRPr="0068209D">
        <w:rPr>
          <w:rtl/>
        </w:rPr>
        <w:t xml:space="preserve"> </w:t>
      </w:r>
      <w:r>
        <w:rPr>
          <w:rtl/>
        </w:rPr>
        <w:t>عاما</w:t>
      </w:r>
      <w:r w:rsidR="00C74C59">
        <w:rPr>
          <w:rFonts w:hint="cs"/>
          <w:rtl/>
        </w:rPr>
        <w:t>ً</w:t>
      </w:r>
      <w:r>
        <w:rPr>
          <w:rtl/>
        </w:rPr>
        <w:t xml:space="preserve"> للدفاع عن</w:t>
      </w:r>
      <w:r w:rsidRPr="0068209D">
        <w:rPr>
          <w:rtl/>
        </w:rPr>
        <w:t xml:space="preserve"> </w:t>
      </w:r>
      <w:r>
        <w:rPr>
          <w:rtl/>
        </w:rPr>
        <w:t>ا</w:t>
      </w:r>
      <w:r w:rsidRPr="0068209D">
        <w:rPr>
          <w:rtl/>
        </w:rPr>
        <w:t xml:space="preserve">لأشخاص الذين تقل أعمارهم عن </w:t>
      </w:r>
      <w:r w:rsidRPr="005C19F0">
        <w:rPr>
          <w:szCs w:val="20"/>
          <w:rtl/>
        </w:rPr>
        <w:t>18</w:t>
      </w:r>
      <w:r w:rsidRPr="0068209D">
        <w:rPr>
          <w:rtl/>
        </w:rPr>
        <w:t xml:space="preserve"> سنة أو الذين لا يستطيعون </w:t>
      </w:r>
      <w:r>
        <w:rPr>
          <w:rtl/>
        </w:rPr>
        <w:t xml:space="preserve">تولّي مهمة </w:t>
      </w:r>
      <w:r w:rsidRPr="0068209D">
        <w:rPr>
          <w:rtl/>
        </w:rPr>
        <w:t>الدفاع عن أنفسهم. وفي هذه الحالات، ي</w:t>
      </w:r>
      <w:r>
        <w:rPr>
          <w:rtl/>
        </w:rPr>
        <w:t xml:space="preserve">عيَّن </w:t>
      </w:r>
      <w:r w:rsidRPr="0068209D">
        <w:rPr>
          <w:rtl/>
        </w:rPr>
        <w:t xml:space="preserve">محامي </w:t>
      </w:r>
      <w:r>
        <w:rPr>
          <w:rtl/>
        </w:rPr>
        <w:t>الدفاع</w:t>
      </w:r>
      <w:r w:rsidRPr="0068209D">
        <w:rPr>
          <w:rtl/>
        </w:rPr>
        <w:t xml:space="preserve"> بغض النظر عن إمكانات الشخص المعني المالية وتدفع الدولة أتعاب المحامي. غير أن الشخص المدان بالجريمة ال</w:t>
      </w:r>
      <w:r>
        <w:rPr>
          <w:rtl/>
        </w:rPr>
        <w:t xml:space="preserve">تي كان </w:t>
      </w:r>
      <w:r w:rsidRPr="0068209D">
        <w:rPr>
          <w:rtl/>
        </w:rPr>
        <w:t>مشت</w:t>
      </w:r>
      <w:r>
        <w:rPr>
          <w:rtl/>
        </w:rPr>
        <w:t>َ</w:t>
      </w:r>
      <w:r w:rsidRPr="0068209D">
        <w:rPr>
          <w:rtl/>
        </w:rPr>
        <w:t>به</w:t>
      </w:r>
      <w:r>
        <w:rPr>
          <w:rtl/>
        </w:rPr>
        <w:t>ا</w:t>
      </w:r>
      <w:r w:rsidRPr="0068209D">
        <w:rPr>
          <w:rtl/>
        </w:rPr>
        <w:t xml:space="preserve"> في</w:t>
      </w:r>
      <w:r>
        <w:rPr>
          <w:rtl/>
        </w:rPr>
        <w:t xml:space="preserve"> ارتكاب</w:t>
      </w:r>
      <w:r w:rsidRPr="0068209D">
        <w:rPr>
          <w:rtl/>
        </w:rPr>
        <w:t xml:space="preserve">ها </w:t>
      </w:r>
      <w:r>
        <w:rPr>
          <w:rtl/>
        </w:rPr>
        <w:t>يُ</w:t>
      </w:r>
      <w:r w:rsidRPr="0068209D">
        <w:rPr>
          <w:rtl/>
        </w:rPr>
        <w:t>لز</w:t>
      </w:r>
      <w:r>
        <w:rPr>
          <w:rtl/>
        </w:rPr>
        <w:t>َ</w:t>
      </w:r>
      <w:r w:rsidRPr="0068209D">
        <w:rPr>
          <w:rtl/>
        </w:rPr>
        <w:t xml:space="preserve">م بتعويض الدولة عن أتعاب محامي </w:t>
      </w:r>
      <w:r>
        <w:rPr>
          <w:rtl/>
        </w:rPr>
        <w:t>الدفاع</w:t>
      </w:r>
      <w:r w:rsidRPr="0068209D">
        <w:rPr>
          <w:rtl/>
        </w:rPr>
        <w:t xml:space="preserve"> ما لم يكن الشخص مؤهلا للحصول على المعونة القضائية بسبب إمكاناته المالية. ويحدد مبلغ السداد وفقا</w:t>
      </w:r>
      <w:r w:rsidR="00166C15">
        <w:rPr>
          <w:rFonts w:hint="cs"/>
          <w:rtl/>
        </w:rPr>
        <w:t>ً</w:t>
      </w:r>
      <w:r w:rsidRPr="0068209D">
        <w:rPr>
          <w:rtl/>
        </w:rPr>
        <w:t xml:space="preserve"> للقواعد المتعلقة بالمعونة القضائية. ولا يُ</w:t>
      </w:r>
      <w:r>
        <w:rPr>
          <w:rtl/>
        </w:rPr>
        <w:t>عتبر أهلا للتعيين محاميي الدفاع</w:t>
      </w:r>
      <w:r w:rsidRPr="0068209D">
        <w:rPr>
          <w:rtl/>
        </w:rPr>
        <w:t xml:space="preserve"> سوى محامي</w:t>
      </w:r>
      <w:r>
        <w:rPr>
          <w:rtl/>
        </w:rPr>
        <w:t>ي</w:t>
      </w:r>
      <w:r w:rsidRPr="0068209D">
        <w:rPr>
          <w:rtl/>
        </w:rPr>
        <w:t xml:space="preserve"> المعونة القضائية وال</w:t>
      </w:r>
      <w:r>
        <w:rPr>
          <w:rtl/>
        </w:rPr>
        <w:t>محامين</w:t>
      </w:r>
      <w:r w:rsidRPr="0068209D">
        <w:rPr>
          <w:rtl/>
        </w:rPr>
        <w:t xml:space="preserve"> والمحامين المرخص لهم.</w:t>
      </w:r>
    </w:p>
    <w:p w14:paraId="50DA3E48" w14:textId="77777777" w:rsidR="00C815DB" w:rsidRPr="0068209D" w:rsidRDefault="00C815DB" w:rsidP="009C28DA">
      <w:pPr>
        <w:pStyle w:val="SingleTxtGA"/>
        <w:rPr>
          <w:lang w:eastAsia="zh-TW" w:bidi="en-GB"/>
        </w:rPr>
      </w:pPr>
      <w:r w:rsidRPr="005C19F0">
        <w:rPr>
          <w:szCs w:val="20"/>
          <w:rtl/>
        </w:rPr>
        <w:t>201</w:t>
      </w:r>
      <w:r w:rsidRPr="00EF3655">
        <w:rPr>
          <w:rtl/>
        </w:rPr>
        <w:t>-</w:t>
      </w:r>
      <w:r w:rsidRPr="0068209D">
        <w:rPr>
          <w:rtl/>
        </w:rPr>
        <w:tab/>
        <w:t>ويجوز للمحكمة أن تعين، لأغراض التحقيق السابق للمحاكمة و</w:t>
      </w:r>
      <w:r>
        <w:rPr>
          <w:rtl/>
        </w:rPr>
        <w:t xml:space="preserve">الدعوى أمام </w:t>
      </w:r>
      <w:r w:rsidRPr="0068209D">
        <w:rPr>
          <w:rtl/>
        </w:rPr>
        <w:t xml:space="preserve">المحكمة، محاميا أو </w:t>
      </w:r>
      <w:r>
        <w:rPr>
          <w:rtl/>
        </w:rPr>
        <w:t>سنَدَ</w:t>
      </w:r>
      <w:r w:rsidRPr="0068209D">
        <w:rPr>
          <w:rtl/>
        </w:rPr>
        <w:t xml:space="preserve"> ضحي</w:t>
      </w:r>
      <w:r>
        <w:rPr>
          <w:rtl/>
        </w:rPr>
        <w:t>ةِ</w:t>
      </w:r>
      <w:r w:rsidRPr="0068209D">
        <w:rPr>
          <w:rtl/>
        </w:rPr>
        <w:t xml:space="preserve"> عنف عائلي أو جريمة جنسية أو جريمة عنف أخرى. ويساعد المحامي الضحية في </w:t>
      </w:r>
      <w:r>
        <w:rPr>
          <w:rtl/>
        </w:rPr>
        <w:t>الدعوى أمام</w:t>
      </w:r>
      <w:r w:rsidRPr="0068209D">
        <w:rPr>
          <w:rtl/>
        </w:rPr>
        <w:t xml:space="preserve"> المحكمة بينما يقدم ال</w:t>
      </w:r>
      <w:r>
        <w:rPr>
          <w:rtl/>
        </w:rPr>
        <w:t>سن</w:t>
      </w:r>
      <w:r w:rsidRPr="0068209D">
        <w:rPr>
          <w:rtl/>
        </w:rPr>
        <w:t>د المساعدة النفسية. ويجوز تعيين المحامي أو ال</w:t>
      </w:r>
      <w:r>
        <w:rPr>
          <w:rtl/>
        </w:rPr>
        <w:t>سن</w:t>
      </w:r>
      <w:r w:rsidRPr="0068209D">
        <w:rPr>
          <w:rtl/>
        </w:rPr>
        <w:t xml:space="preserve">د بصرف النظر عن إمكانات الضحية، وتدفع الدولة أتعابه ومصاريفه. </w:t>
      </w:r>
    </w:p>
    <w:p w14:paraId="5F941FF4" w14:textId="643F6128" w:rsidR="00C815DB" w:rsidRPr="00A90D01" w:rsidRDefault="00C815DB" w:rsidP="002717F4">
      <w:pPr>
        <w:pStyle w:val="SingleTxtGA"/>
        <w:spacing w:after="0"/>
        <w:rPr>
          <w:lang w:eastAsia="zh-TW" w:bidi="en-GB"/>
        </w:rPr>
      </w:pPr>
      <w:r w:rsidRPr="0068209D">
        <w:rPr>
          <w:rtl/>
        </w:rPr>
        <w:t xml:space="preserve">الجدول </w:t>
      </w:r>
      <w:r w:rsidRPr="005C19F0">
        <w:rPr>
          <w:szCs w:val="20"/>
          <w:rtl/>
        </w:rPr>
        <w:t>11</w:t>
      </w:r>
    </w:p>
    <w:p w14:paraId="509ABEA3" w14:textId="77777777" w:rsidR="00C815DB" w:rsidRPr="009C28DA" w:rsidRDefault="00C815DB" w:rsidP="009C28DA">
      <w:pPr>
        <w:pStyle w:val="SingleTxtGA"/>
        <w:rPr>
          <w:b/>
          <w:bCs/>
          <w:lang w:eastAsia="zh-TW" w:bidi="en-GB"/>
        </w:rPr>
      </w:pPr>
      <w:r w:rsidRPr="009C28DA">
        <w:rPr>
          <w:b/>
          <w:bCs/>
          <w:rtl/>
        </w:rPr>
        <w:t xml:space="preserve">طالِبو المعونة القضائية العامة ومتلقّوها، </w:t>
      </w:r>
      <w:r w:rsidRPr="005C19F0">
        <w:rPr>
          <w:b/>
          <w:bCs/>
          <w:szCs w:val="20"/>
          <w:rtl/>
        </w:rPr>
        <w:t>2014</w:t>
      </w:r>
      <w:r w:rsidRPr="00EF3655">
        <w:rPr>
          <w:rtl/>
        </w:rPr>
        <w:t>-</w:t>
      </w:r>
      <w:r w:rsidRPr="005C19F0">
        <w:rPr>
          <w:b/>
          <w:bCs/>
          <w:szCs w:val="20"/>
          <w:rtl/>
        </w:rPr>
        <w:t>2018</w:t>
      </w:r>
    </w:p>
    <w:tbl>
      <w:tblPr>
        <w:bidiVisual/>
        <w:tblW w:w="7219" w:type="dxa"/>
        <w:tblInd w:w="12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01"/>
        <w:gridCol w:w="854"/>
        <w:gridCol w:w="798"/>
        <w:gridCol w:w="896"/>
        <w:gridCol w:w="840"/>
        <w:gridCol w:w="630"/>
      </w:tblGrid>
      <w:tr w:rsidR="00C815DB" w:rsidRPr="002717F4" w14:paraId="47AF0D09" w14:textId="77777777" w:rsidTr="001E1D28">
        <w:trPr>
          <w:tblHeader/>
        </w:trPr>
        <w:tc>
          <w:tcPr>
            <w:tcW w:w="3201" w:type="dxa"/>
            <w:tcBorders>
              <w:top w:val="single" w:sz="4" w:space="0" w:color="auto"/>
              <w:bottom w:val="single" w:sz="12" w:space="0" w:color="auto"/>
            </w:tcBorders>
            <w:shd w:val="clear" w:color="auto" w:fill="auto"/>
            <w:vAlign w:val="bottom"/>
            <w:hideMark/>
          </w:tcPr>
          <w:p w14:paraId="5B905BBD" w14:textId="77777777" w:rsidR="00C815DB" w:rsidRPr="002717F4" w:rsidRDefault="00C815DB" w:rsidP="002717F4">
            <w:pPr>
              <w:spacing w:before="20" w:after="20" w:line="300" w:lineRule="exact"/>
              <w:ind w:left="57" w:right="57"/>
              <w:textDirection w:val="tbRlV"/>
              <w:rPr>
                <w:bCs/>
                <w:i/>
                <w:sz w:val="24"/>
                <w:szCs w:val="24"/>
                <w:lang w:val="ar-SA" w:eastAsia="zh-TW" w:bidi="en-GB"/>
              </w:rPr>
            </w:pPr>
            <w:r w:rsidRPr="002717F4">
              <w:rPr>
                <w:i/>
                <w:iCs/>
                <w:sz w:val="24"/>
                <w:szCs w:val="24"/>
                <w:rtl/>
              </w:rPr>
              <w:t>السنة/الفئة</w:t>
            </w:r>
          </w:p>
        </w:tc>
        <w:tc>
          <w:tcPr>
            <w:tcW w:w="854" w:type="dxa"/>
            <w:tcBorders>
              <w:top w:val="single" w:sz="4" w:space="0" w:color="auto"/>
              <w:bottom w:val="single" w:sz="12" w:space="0" w:color="auto"/>
            </w:tcBorders>
            <w:shd w:val="clear" w:color="auto" w:fill="auto"/>
            <w:vAlign w:val="bottom"/>
            <w:hideMark/>
          </w:tcPr>
          <w:p w14:paraId="4C1C4A69" w14:textId="77777777" w:rsidR="00C815DB" w:rsidRPr="002717F4" w:rsidRDefault="00C815DB" w:rsidP="002717F4">
            <w:pPr>
              <w:spacing w:before="20" w:after="20" w:line="300" w:lineRule="exact"/>
              <w:ind w:left="57" w:right="57"/>
              <w:textDirection w:val="tbRlV"/>
              <w:rPr>
                <w:bCs/>
                <w:i/>
                <w:sz w:val="18"/>
                <w:szCs w:val="18"/>
                <w:lang w:val="ar-SA" w:eastAsia="zh-TW" w:bidi="en-GB"/>
              </w:rPr>
            </w:pPr>
            <w:r w:rsidRPr="002717F4">
              <w:rPr>
                <w:i/>
                <w:iCs/>
                <w:sz w:val="18"/>
                <w:szCs w:val="18"/>
                <w:rtl/>
              </w:rPr>
              <w:t>2014</w:t>
            </w:r>
          </w:p>
        </w:tc>
        <w:tc>
          <w:tcPr>
            <w:tcW w:w="798" w:type="dxa"/>
            <w:tcBorders>
              <w:top w:val="single" w:sz="4" w:space="0" w:color="auto"/>
              <w:bottom w:val="single" w:sz="12" w:space="0" w:color="auto"/>
            </w:tcBorders>
            <w:shd w:val="clear" w:color="auto" w:fill="auto"/>
            <w:vAlign w:val="bottom"/>
            <w:hideMark/>
          </w:tcPr>
          <w:p w14:paraId="745F756F" w14:textId="77777777" w:rsidR="00C815DB" w:rsidRPr="002717F4" w:rsidRDefault="00C815DB" w:rsidP="002717F4">
            <w:pPr>
              <w:spacing w:before="20" w:after="20" w:line="300" w:lineRule="exact"/>
              <w:ind w:left="57" w:right="57"/>
              <w:textDirection w:val="tbRlV"/>
              <w:rPr>
                <w:bCs/>
                <w:i/>
                <w:sz w:val="18"/>
                <w:szCs w:val="18"/>
                <w:lang w:val="ar-SA" w:eastAsia="zh-TW" w:bidi="en-GB"/>
              </w:rPr>
            </w:pPr>
            <w:r w:rsidRPr="002717F4">
              <w:rPr>
                <w:i/>
                <w:iCs/>
                <w:sz w:val="18"/>
                <w:szCs w:val="18"/>
                <w:rtl/>
              </w:rPr>
              <w:t>2015</w:t>
            </w:r>
          </w:p>
        </w:tc>
        <w:tc>
          <w:tcPr>
            <w:tcW w:w="896" w:type="dxa"/>
            <w:tcBorders>
              <w:top w:val="single" w:sz="4" w:space="0" w:color="auto"/>
              <w:bottom w:val="single" w:sz="12" w:space="0" w:color="auto"/>
            </w:tcBorders>
            <w:shd w:val="clear" w:color="auto" w:fill="auto"/>
            <w:vAlign w:val="bottom"/>
            <w:hideMark/>
          </w:tcPr>
          <w:p w14:paraId="0D29149F" w14:textId="77777777" w:rsidR="00C815DB" w:rsidRPr="002717F4" w:rsidRDefault="00C815DB" w:rsidP="002717F4">
            <w:pPr>
              <w:spacing w:before="20" w:after="20" w:line="300" w:lineRule="exact"/>
              <w:ind w:left="57" w:right="57"/>
              <w:textDirection w:val="tbRlV"/>
              <w:rPr>
                <w:bCs/>
                <w:i/>
                <w:sz w:val="18"/>
                <w:szCs w:val="18"/>
                <w:lang w:val="ar-SA" w:eastAsia="zh-TW" w:bidi="en-GB"/>
              </w:rPr>
            </w:pPr>
            <w:r w:rsidRPr="002717F4">
              <w:rPr>
                <w:i/>
                <w:iCs/>
                <w:sz w:val="18"/>
                <w:szCs w:val="18"/>
                <w:rtl/>
              </w:rPr>
              <w:t>2016</w:t>
            </w:r>
          </w:p>
        </w:tc>
        <w:tc>
          <w:tcPr>
            <w:tcW w:w="840" w:type="dxa"/>
            <w:tcBorders>
              <w:top w:val="single" w:sz="4" w:space="0" w:color="auto"/>
              <w:bottom w:val="single" w:sz="12" w:space="0" w:color="auto"/>
            </w:tcBorders>
            <w:shd w:val="clear" w:color="auto" w:fill="auto"/>
            <w:vAlign w:val="bottom"/>
            <w:hideMark/>
          </w:tcPr>
          <w:p w14:paraId="7C08BD73" w14:textId="77777777" w:rsidR="00C815DB" w:rsidRPr="002717F4" w:rsidRDefault="00C815DB" w:rsidP="002717F4">
            <w:pPr>
              <w:spacing w:before="20" w:after="20" w:line="300" w:lineRule="exact"/>
              <w:ind w:left="57" w:right="57"/>
              <w:textDirection w:val="tbRlV"/>
              <w:rPr>
                <w:bCs/>
                <w:i/>
                <w:sz w:val="18"/>
                <w:szCs w:val="18"/>
                <w:lang w:val="ar-SA" w:eastAsia="zh-TW" w:bidi="en-GB"/>
              </w:rPr>
            </w:pPr>
            <w:r w:rsidRPr="002717F4">
              <w:rPr>
                <w:i/>
                <w:iCs/>
                <w:sz w:val="18"/>
                <w:szCs w:val="18"/>
                <w:rtl/>
              </w:rPr>
              <w:t>2017</w:t>
            </w:r>
          </w:p>
        </w:tc>
        <w:tc>
          <w:tcPr>
            <w:tcW w:w="630" w:type="dxa"/>
            <w:tcBorders>
              <w:top w:val="single" w:sz="4" w:space="0" w:color="auto"/>
              <w:bottom w:val="single" w:sz="12" w:space="0" w:color="auto"/>
            </w:tcBorders>
            <w:shd w:val="clear" w:color="auto" w:fill="auto"/>
            <w:vAlign w:val="bottom"/>
            <w:hideMark/>
          </w:tcPr>
          <w:p w14:paraId="7658CCA0" w14:textId="77777777" w:rsidR="00C815DB" w:rsidRPr="002717F4" w:rsidRDefault="00C815DB" w:rsidP="002717F4">
            <w:pPr>
              <w:spacing w:before="20" w:after="20" w:line="300" w:lineRule="exact"/>
              <w:ind w:left="57" w:right="57"/>
              <w:textDirection w:val="tbRlV"/>
              <w:rPr>
                <w:bCs/>
                <w:i/>
                <w:sz w:val="18"/>
                <w:szCs w:val="18"/>
                <w:lang w:val="ar-SA" w:eastAsia="zh-TW" w:bidi="en-GB"/>
              </w:rPr>
            </w:pPr>
            <w:r w:rsidRPr="002717F4">
              <w:rPr>
                <w:i/>
                <w:iCs/>
                <w:sz w:val="18"/>
                <w:szCs w:val="18"/>
                <w:rtl/>
              </w:rPr>
              <w:t>2018</w:t>
            </w:r>
          </w:p>
        </w:tc>
      </w:tr>
      <w:tr w:rsidR="002717F4" w:rsidRPr="002717F4" w14:paraId="00ADEBFE" w14:textId="77777777" w:rsidTr="001E1D28">
        <w:tc>
          <w:tcPr>
            <w:tcW w:w="3201" w:type="dxa"/>
            <w:tcBorders>
              <w:top w:val="single" w:sz="12" w:space="0" w:color="auto"/>
              <w:bottom w:val="single" w:sz="12" w:space="0" w:color="auto"/>
            </w:tcBorders>
            <w:shd w:val="clear" w:color="auto" w:fill="auto"/>
            <w:hideMark/>
          </w:tcPr>
          <w:p w14:paraId="2193F64D" w14:textId="14BBB0FD" w:rsidR="002717F4" w:rsidRPr="002717F4" w:rsidRDefault="002717F4" w:rsidP="002717F4">
            <w:pPr>
              <w:spacing w:before="20" w:after="20" w:line="300" w:lineRule="exact"/>
              <w:ind w:left="57" w:right="57"/>
              <w:textDirection w:val="tbRlV"/>
              <w:rPr>
                <w:b/>
                <w:sz w:val="24"/>
                <w:szCs w:val="24"/>
                <w:lang w:eastAsia="zh-TW" w:bidi="en-GB"/>
              </w:rPr>
            </w:pPr>
            <w:r>
              <w:rPr>
                <w:rFonts w:hint="cs"/>
                <w:b/>
                <w:bCs/>
                <w:sz w:val="24"/>
                <w:szCs w:val="24"/>
                <w:rtl/>
              </w:rPr>
              <w:t xml:space="preserve">   </w:t>
            </w:r>
            <w:r w:rsidRPr="002717F4">
              <w:rPr>
                <w:b/>
                <w:bCs/>
                <w:sz w:val="24"/>
                <w:szCs w:val="24"/>
                <w:rtl/>
              </w:rPr>
              <w:t>المجموع</w:t>
            </w:r>
          </w:p>
        </w:tc>
        <w:tc>
          <w:tcPr>
            <w:tcW w:w="854" w:type="dxa"/>
            <w:tcBorders>
              <w:top w:val="single" w:sz="12" w:space="0" w:color="auto"/>
              <w:bottom w:val="single" w:sz="12" w:space="0" w:color="auto"/>
            </w:tcBorders>
            <w:shd w:val="clear" w:color="auto" w:fill="auto"/>
            <w:vAlign w:val="bottom"/>
          </w:tcPr>
          <w:p w14:paraId="445CAE41" w14:textId="6F649EA1" w:rsidR="002717F4" w:rsidRPr="002717F4" w:rsidRDefault="002717F4" w:rsidP="002717F4">
            <w:pPr>
              <w:spacing w:before="20" w:after="20" w:line="300" w:lineRule="exact"/>
              <w:ind w:left="57" w:right="57"/>
              <w:rPr>
                <w:b/>
                <w:sz w:val="18"/>
                <w:szCs w:val="18"/>
              </w:rPr>
            </w:pPr>
            <w:r w:rsidRPr="002C2721">
              <w:rPr>
                <w:b/>
                <w:sz w:val="18"/>
                <w:szCs w:val="24"/>
              </w:rPr>
              <w:t>70 569</w:t>
            </w:r>
          </w:p>
        </w:tc>
        <w:tc>
          <w:tcPr>
            <w:tcW w:w="798" w:type="dxa"/>
            <w:tcBorders>
              <w:top w:val="single" w:sz="12" w:space="0" w:color="auto"/>
              <w:bottom w:val="single" w:sz="12" w:space="0" w:color="auto"/>
            </w:tcBorders>
            <w:shd w:val="clear" w:color="auto" w:fill="auto"/>
            <w:vAlign w:val="bottom"/>
          </w:tcPr>
          <w:p w14:paraId="3295DBFD" w14:textId="022670F7" w:rsidR="002717F4" w:rsidRPr="002717F4" w:rsidRDefault="002717F4" w:rsidP="002717F4">
            <w:pPr>
              <w:spacing w:before="20" w:after="20" w:line="300" w:lineRule="exact"/>
              <w:ind w:left="57" w:right="57"/>
              <w:rPr>
                <w:b/>
                <w:sz w:val="18"/>
                <w:szCs w:val="18"/>
              </w:rPr>
            </w:pPr>
            <w:r w:rsidRPr="002C2721">
              <w:rPr>
                <w:b/>
                <w:sz w:val="18"/>
                <w:szCs w:val="24"/>
              </w:rPr>
              <w:t>76 837</w:t>
            </w:r>
          </w:p>
        </w:tc>
        <w:tc>
          <w:tcPr>
            <w:tcW w:w="896" w:type="dxa"/>
            <w:tcBorders>
              <w:top w:val="single" w:sz="12" w:space="0" w:color="auto"/>
              <w:bottom w:val="single" w:sz="12" w:space="0" w:color="auto"/>
            </w:tcBorders>
            <w:shd w:val="clear" w:color="auto" w:fill="auto"/>
            <w:vAlign w:val="bottom"/>
          </w:tcPr>
          <w:p w14:paraId="3A2553B9" w14:textId="17C86B8E" w:rsidR="002717F4" w:rsidRPr="002717F4" w:rsidRDefault="002717F4" w:rsidP="002717F4">
            <w:pPr>
              <w:spacing w:before="20" w:after="20" w:line="300" w:lineRule="exact"/>
              <w:ind w:left="57" w:right="57"/>
              <w:rPr>
                <w:b/>
                <w:sz w:val="18"/>
                <w:szCs w:val="18"/>
              </w:rPr>
            </w:pPr>
            <w:r w:rsidRPr="002C2721">
              <w:rPr>
                <w:b/>
                <w:sz w:val="18"/>
                <w:szCs w:val="24"/>
              </w:rPr>
              <w:t>80 338</w:t>
            </w:r>
          </w:p>
        </w:tc>
        <w:tc>
          <w:tcPr>
            <w:tcW w:w="840" w:type="dxa"/>
            <w:tcBorders>
              <w:top w:val="single" w:sz="12" w:space="0" w:color="auto"/>
              <w:bottom w:val="single" w:sz="12" w:space="0" w:color="auto"/>
            </w:tcBorders>
            <w:shd w:val="clear" w:color="auto" w:fill="auto"/>
            <w:vAlign w:val="bottom"/>
          </w:tcPr>
          <w:p w14:paraId="4509BFBE" w14:textId="7ED2E66C" w:rsidR="002717F4" w:rsidRPr="002717F4" w:rsidRDefault="002717F4" w:rsidP="002717F4">
            <w:pPr>
              <w:spacing w:before="20" w:after="20" w:line="300" w:lineRule="exact"/>
              <w:ind w:left="57" w:right="57"/>
              <w:rPr>
                <w:b/>
                <w:sz w:val="18"/>
                <w:szCs w:val="18"/>
              </w:rPr>
            </w:pPr>
            <w:r w:rsidRPr="002C2721">
              <w:rPr>
                <w:b/>
                <w:sz w:val="18"/>
                <w:szCs w:val="24"/>
              </w:rPr>
              <w:t>71 978</w:t>
            </w:r>
          </w:p>
        </w:tc>
        <w:tc>
          <w:tcPr>
            <w:tcW w:w="630" w:type="dxa"/>
            <w:tcBorders>
              <w:top w:val="single" w:sz="12" w:space="0" w:color="auto"/>
              <w:bottom w:val="single" w:sz="12" w:space="0" w:color="auto"/>
            </w:tcBorders>
            <w:shd w:val="clear" w:color="auto" w:fill="auto"/>
            <w:vAlign w:val="bottom"/>
          </w:tcPr>
          <w:p w14:paraId="220DA634" w14:textId="7BDECB25" w:rsidR="002717F4" w:rsidRPr="002717F4" w:rsidRDefault="002717F4" w:rsidP="002717F4">
            <w:pPr>
              <w:spacing w:before="20" w:after="20" w:line="300" w:lineRule="exact"/>
              <w:ind w:left="57" w:right="57"/>
              <w:rPr>
                <w:b/>
                <w:sz w:val="18"/>
                <w:szCs w:val="18"/>
              </w:rPr>
            </w:pPr>
            <w:r w:rsidRPr="002C2721">
              <w:rPr>
                <w:b/>
                <w:sz w:val="18"/>
                <w:szCs w:val="24"/>
              </w:rPr>
              <w:t>72 082</w:t>
            </w:r>
          </w:p>
        </w:tc>
      </w:tr>
      <w:tr w:rsidR="002717F4" w:rsidRPr="002717F4" w14:paraId="3AE4FBB5" w14:textId="77777777" w:rsidTr="001E1D28">
        <w:tc>
          <w:tcPr>
            <w:tcW w:w="3201" w:type="dxa"/>
            <w:tcBorders>
              <w:top w:val="single" w:sz="12" w:space="0" w:color="auto"/>
            </w:tcBorders>
            <w:shd w:val="clear" w:color="auto" w:fill="auto"/>
            <w:hideMark/>
          </w:tcPr>
          <w:p w14:paraId="2B430D3F" w14:textId="77777777" w:rsidR="002717F4" w:rsidRPr="002717F4" w:rsidRDefault="002717F4" w:rsidP="002717F4">
            <w:pPr>
              <w:spacing w:before="20" w:after="20" w:line="300" w:lineRule="exact"/>
              <w:ind w:left="57" w:right="57"/>
              <w:textDirection w:val="tbRlV"/>
              <w:rPr>
                <w:sz w:val="24"/>
                <w:szCs w:val="24"/>
                <w:lang w:eastAsia="zh-TW" w:bidi="en-GB"/>
              </w:rPr>
            </w:pPr>
            <w:r w:rsidRPr="002717F4">
              <w:rPr>
                <w:sz w:val="24"/>
                <w:szCs w:val="24"/>
                <w:rtl/>
              </w:rPr>
              <w:t>قرارات المعونة القضائية ومكاتب المعونة القضائية</w:t>
            </w:r>
          </w:p>
        </w:tc>
        <w:tc>
          <w:tcPr>
            <w:tcW w:w="854" w:type="dxa"/>
            <w:tcBorders>
              <w:top w:val="single" w:sz="12" w:space="0" w:color="auto"/>
            </w:tcBorders>
            <w:shd w:val="clear" w:color="auto" w:fill="auto"/>
            <w:vAlign w:val="bottom"/>
          </w:tcPr>
          <w:p w14:paraId="465FF68A" w14:textId="2D244BD8" w:rsidR="002717F4" w:rsidRPr="002717F4" w:rsidRDefault="002717F4" w:rsidP="002717F4">
            <w:pPr>
              <w:spacing w:before="20" w:after="20" w:line="300" w:lineRule="exact"/>
              <w:ind w:left="57" w:right="57"/>
              <w:rPr>
                <w:sz w:val="18"/>
                <w:szCs w:val="18"/>
              </w:rPr>
            </w:pPr>
            <w:r w:rsidRPr="002C2721">
              <w:rPr>
                <w:sz w:val="18"/>
                <w:szCs w:val="24"/>
              </w:rPr>
              <w:t>43</w:t>
            </w:r>
            <w:r>
              <w:rPr>
                <w:sz w:val="18"/>
                <w:szCs w:val="24"/>
              </w:rPr>
              <w:t xml:space="preserve"> </w:t>
            </w:r>
            <w:r w:rsidRPr="002C2721">
              <w:rPr>
                <w:sz w:val="18"/>
                <w:szCs w:val="24"/>
              </w:rPr>
              <w:t>575</w:t>
            </w:r>
          </w:p>
        </w:tc>
        <w:tc>
          <w:tcPr>
            <w:tcW w:w="798" w:type="dxa"/>
            <w:tcBorders>
              <w:top w:val="single" w:sz="12" w:space="0" w:color="auto"/>
            </w:tcBorders>
            <w:shd w:val="clear" w:color="auto" w:fill="auto"/>
            <w:vAlign w:val="bottom"/>
          </w:tcPr>
          <w:p w14:paraId="6A81EA81" w14:textId="647E6B9E" w:rsidR="002717F4" w:rsidRPr="002717F4" w:rsidRDefault="002717F4" w:rsidP="002717F4">
            <w:pPr>
              <w:spacing w:before="20" w:after="20" w:line="300" w:lineRule="exact"/>
              <w:ind w:left="57" w:right="57"/>
              <w:rPr>
                <w:sz w:val="18"/>
                <w:szCs w:val="18"/>
              </w:rPr>
            </w:pPr>
            <w:r w:rsidRPr="002C2721">
              <w:rPr>
                <w:sz w:val="18"/>
                <w:szCs w:val="24"/>
              </w:rPr>
              <w:t>45</w:t>
            </w:r>
            <w:r>
              <w:rPr>
                <w:sz w:val="18"/>
                <w:szCs w:val="24"/>
              </w:rPr>
              <w:t xml:space="preserve"> </w:t>
            </w:r>
            <w:r w:rsidRPr="002C2721">
              <w:rPr>
                <w:sz w:val="18"/>
                <w:szCs w:val="24"/>
              </w:rPr>
              <w:t>311</w:t>
            </w:r>
          </w:p>
        </w:tc>
        <w:tc>
          <w:tcPr>
            <w:tcW w:w="896" w:type="dxa"/>
            <w:tcBorders>
              <w:top w:val="single" w:sz="12" w:space="0" w:color="auto"/>
            </w:tcBorders>
            <w:shd w:val="clear" w:color="auto" w:fill="auto"/>
            <w:vAlign w:val="bottom"/>
          </w:tcPr>
          <w:p w14:paraId="150E3B45" w14:textId="60F3778B" w:rsidR="002717F4" w:rsidRPr="002717F4" w:rsidRDefault="002717F4" w:rsidP="002717F4">
            <w:pPr>
              <w:spacing w:before="20" w:after="20" w:line="300" w:lineRule="exact"/>
              <w:ind w:left="57" w:right="57"/>
              <w:rPr>
                <w:sz w:val="18"/>
                <w:szCs w:val="18"/>
              </w:rPr>
            </w:pPr>
            <w:r w:rsidRPr="002C2721">
              <w:rPr>
                <w:sz w:val="18"/>
                <w:szCs w:val="24"/>
              </w:rPr>
              <w:t>44</w:t>
            </w:r>
            <w:r>
              <w:rPr>
                <w:sz w:val="18"/>
                <w:szCs w:val="24"/>
              </w:rPr>
              <w:t xml:space="preserve"> </w:t>
            </w:r>
            <w:r w:rsidRPr="002C2721">
              <w:rPr>
                <w:sz w:val="18"/>
                <w:szCs w:val="24"/>
              </w:rPr>
              <w:t>926</w:t>
            </w:r>
          </w:p>
        </w:tc>
        <w:tc>
          <w:tcPr>
            <w:tcW w:w="840" w:type="dxa"/>
            <w:tcBorders>
              <w:top w:val="single" w:sz="12" w:space="0" w:color="auto"/>
            </w:tcBorders>
            <w:shd w:val="clear" w:color="auto" w:fill="auto"/>
            <w:vAlign w:val="bottom"/>
          </w:tcPr>
          <w:p w14:paraId="5E0488D3" w14:textId="773E05F4" w:rsidR="002717F4" w:rsidRPr="002717F4" w:rsidRDefault="002717F4" w:rsidP="002717F4">
            <w:pPr>
              <w:spacing w:before="20" w:after="20" w:line="300" w:lineRule="exact"/>
              <w:ind w:left="57" w:right="57"/>
              <w:rPr>
                <w:sz w:val="18"/>
                <w:szCs w:val="18"/>
              </w:rPr>
            </w:pPr>
            <w:r w:rsidRPr="002C2721">
              <w:rPr>
                <w:sz w:val="18"/>
                <w:szCs w:val="24"/>
              </w:rPr>
              <w:t>45</w:t>
            </w:r>
            <w:r>
              <w:rPr>
                <w:sz w:val="18"/>
                <w:szCs w:val="24"/>
              </w:rPr>
              <w:t xml:space="preserve"> </w:t>
            </w:r>
            <w:r w:rsidRPr="002C2721">
              <w:rPr>
                <w:sz w:val="18"/>
                <w:szCs w:val="24"/>
              </w:rPr>
              <w:t>949</w:t>
            </w:r>
          </w:p>
        </w:tc>
        <w:tc>
          <w:tcPr>
            <w:tcW w:w="630" w:type="dxa"/>
            <w:tcBorders>
              <w:top w:val="single" w:sz="12" w:space="0" w:color="auto"/>
            </w:tcBorders>
            <w:shd w:val="clear" w:color="auto" w:fill="auto"/>
            <w:vAlign w:val="bottom"/>
          </w:tcPr>
          <w:p w14:paraId="6F0200C8" w14:textId="21776884" w:rsidR="002717F4" w:rsidRPr="002717F4" w:rsidRDefault="002717F4" w:rsidP="002717F4">
            <w:pPr>
              <w:spacing w:before="20" w:after="20" w:line="300" w:lineRule="exact"/>
              <w:ind w:left="57" w:right="57"/>
              <w:rPr>
                <w:sz w:val="18"/>
                <w:szCs w:val="18"/>
              </w:rPr>
            </w:pPr>
            <w:r w:rsidRPr="002C2721">
              <w:rPr>
                <w:sz w:val="18"/>
                <w:szCs w:val="24"/>
              </w:rPr>
              <w:t>45</w:t>
            </w:r>
            <w:r>
              <w:rPr>
                <w:sz w:val="18"/>
                <w:szCs w:val="24"/>
              </w:rPr>
              <w:t xml:space="preserve"> </w:t>
            </w:r>
            <w:r w:rsidRPr="002C2721">
              <w:rPr>
                <w:sz w:val="18"/>
                <w:szCs w:val="24"/>
              </w:rPr>
              <w:t>784</w:t>
            </w:r>
          </w:p>
        </w:tc>
      </w:tr>
      <w:tr w:rsidR="002717F4" w:rsidRPr="002717F4" w14:paraId="243EF6A2" w14:textId="77777777" w:rsidTr="001E1D28">
        <w:tc>
          <w:tcPr>
            <w:tcW w:w="3201" w:type="dxa"/>
            <w:shd w:val="clear" w:color="auto" w:fill="auto"/>
            <w:hideMark/>
          </w:tcPr>
          <w:p w14:paraId="7D991CC0" w14:textId="77777777" w:rsidR="002717F4" w:rsidRPr="002717F4" w:rsidRDefault="002717F4" w:rsidP="002717F4">
            <w:pPr>
              <w:spacing w:before="20" w:after="20" w:line="300" w:lineRule="exact"/>
              <w:ind w:left="57" w:right="57"/>
              <w:textDirection w:val="tbRlV"/>
              <w:rPr>
                <w:sz w:val="24"/>
                <w:szCs w:val="24"/>
                <w:lang w:val="ar-SA" w:eastAsia="zh-TW" w:bidi="en-GB"/>
              </w:rPr>
            </w:pPr>
            <w:r w:rsidRPr="002717F4">
              <w:rPr>
                <w:sz w:val="24"/>
                <w:szCs w:val="24"/>
                <w:rtl/>
              </w:rPr>
              <w:t>قرارات المعونة القضائية، والمحامون الخواص</w:t>
            </w:r>
          </w:p>
        </w:tc>
        <w:tc>
          <w:tcPr>
            <w:tcW w:w="854" w:type="dxa"/>
            <w:shd w:val="clear" w:color="auto" w:fill="auto"/>
            <w:vAlign w:val="bottom"/>
          </w:tcPr>
          <w:p w14:paraId="75F0F552" w14:textId="7CF141A1" w:rsidR="002717F4" w:rsidRPr="002717F4" w:rsidRDefault="002717F4" w:rsidP="002717F4">
            <w:pPr>
              <w:spacing w:before="20" w:after="20" w:line="300" w:lineRule="exact"/>
              <w:ind w:left="57" w:right="57"/>
              <w:rPr>
                <w:sz w:val="18"/>
                <w:szCs w:val="18"/>
              </w:rPr>
            </w:pPr>
            <w:r w:rsidRPr="002C2721">
              <w:rPr>
                <w:sz w:val="18"/>
                <w:szCs w:val="24"/>
              </w:rPr>
              <w:t>23</w:t>
            </w:r>
            <w:r>
              <w:rPr>
                <w:sz w:val="18"/>
                <w:szCs w:val="24"/>
              </w:rPr>
              <w:t xml:space="preserve"> </w:t>
            </w:r>
            <w:r w:rsidRPr="002C2721">
              <w:rPr>
                <w:sz w:val="18"/>
                <w:szCs w:val="24"/>
              </w:rPr>
              <w:t>354</w:t>
            </w:r>
          </w:p>
        </w:tc>
        <w:tc>
          <w:tcPr>
            <w:tcW w:w="798" w:type="dxa"/>
            <w:shd w:val="clear" w:color="auto" w:fill="auto"/>
            <w:vAlign w:val="bottom"/>
          </w:tcPr>
          <w:p w14:paraId="3800497E" w14:textId="4E6FA7BC" w:rsidR="002717F4" w:rsidRPr="002717F4" w:rsidRDefault="002717F4" w:rsidP="002717F4">
            <w:pPr>
              <w:spacing w:before="20" w:after="20" w:line="300" w:lineRule="exact"/>
              <w:ind w:left="57" w:right="57"/>
              <w:rPr>
                <w:sz w:val="18"/>
                <w:szCs w:val="18"/>
              </w:rPr>
            </w:pPr>
            <w:r w:rsidRPr="002C2721">
              <w:rPr>
                <w:sz w:val="18"/>
                <w:szCs w:val="24"/>
              </w:rPr>
              <w:t>28</w:t>
            </w:r>
            <w:r>
              <w:rPr>
                <w:sz w:val="18"/>
                <w:szCs w:val="24"/>
              </w:rPr>
              <w:t xml:space="preserve"> </w:t>
            </w:r>
            <w:r w:rsidRPr="002C2721">
              <w:rPr>
                <w:sz w:val="18"/>
                <w:szCs w:val="24"/>
              </w:rPr>
              <w:t>009</w:t>
            </w:r>
          </w:p>
        </w:tc>
        <w:tc>
          <w:tcPr>
            <w:tcW w:w="896" w:type="dxa"/>
            <w:shd w:val="clear" w:color="auto" w:fill="auto"/>
            <w:vAlign w:val="bottom"/>
          </w:tcPr>
          <w:p w14:paraId="7E10469A" w14:textId="2C82C704" w:rsidR="002717F4" w:rsidRPr="002717F4" w:rsidRDefault="002717F4" w:rsidP="002717F4">
            <w:pPr>
              <w:spacing w:before="20" w:after="20" w:line="300" w:lineRule="exact"/>
              <w:ind w:left="57" w:right="57"/>
              <w:rPr>
                <w:sz w:val="18"/>
                <w:szCs w:val="18"/>
              </w:rPr>
            </w:pPr>
            <w:r w:rsidRPr="002C2721">
              <w:rPr>
                <w:sz w:val="18"/>
                <w:szCs w:val="24"/>
              </w:rPr>
              <w:t>31</w:t>
            </w:r>
            <w:r>
              <w:rPr>
                <w:sz w:val="18"/>
                <w:szCs w:val="24"/>
              </w:rPr>
              <w:t xml:space="preserve"> </w:t>
            </w:r>
            <w:r w:rsidRPr="002C2721">
              <w:rPr>
                <w:sz w:val="18"/>
                <w:szCs w:val="24"/>
              </w:rPr>
              <w:t>908</w:t>
            </w:r>
          </w:p>
        </w:tc>
        <w:tc>
          <w:tcPr>
            <w:tcW w:w="840" w:type="dxa"/>
            <w:shd w:val="clear" w:color="auto" w:fill="auto"/>
            <w:vAlign w:val="bottom"/>
          </w:tcPr>
          <w:p w14:paraId="51718E5C" w14:textId="3019B7A0" w:rsidR="002717F4" w:rsidRPr="002717F4" w:rsidRDefault="002717F4" w:rsidP="002717F4">
            <w:pPr>
              <w:spacing w:before="20" w:after="20" w:line="300" w:lineRule="exact"/>
              <w:ind w:left="57" w:right="57"/>
              <w:rPr>
                <w:sz w:val="18"/>
                <w:szCs w:val="18"/>
              </w:rPr>
            </w:pPr>
            <w:r w:rsidRPr="002C2721">
              <w:rPr>
                <w:sz w:val="18"/>
                <w:szCs w:val="24"/>
              </w:rPr>
              <w:t>22</w:t>
            </w:r>
            <w:r>
              <w:rPr>
                <w:sz w:val="18"/>
                <w:szCs w:val="24"/>
              </w:rPr>
              <w:t xml:space="preserve"> </w:t>
            </w:r>
            <w:r w:rsidRPr="002C2721">
              <w:rPr>
                <w:sz w:val="18"/>
                <w:szCs w:val="24"/>
              </w:rPr>
              <w:t>468</w:t>
            </w:r>
          </w:p>
        </w:tc>
        <w:tc>
          <w:tcPr>
            <w:tcW w:w="630" w:type="dxa"/>
            <w:shd w:val="clear" w:color="auto" w:fill="auto"/>
            <w:vAlign w:val="bottom"/>
          </w:tcPr>
          <w:p w14:paraId="0C6F488D" w14:textId="65A6406D" w:rsidR="002717F4" w:rsidRPr="002717F4" w:rsidRDefault="002717F4" w:rsidP="002717F4">
            <w:pPr>
              <w:spacing w:before="20" w:after="20" w:line="300" w:lineRule="exact"/>
              <w:ind w:left="57" w:right="57"/>
              <w:rPr>
                <w:sz w:val="18"/>
                <w:szCs w:val="18"/>
              </w:rPr>
            </w:pPr>
            <w:r w:rsidRPr="002C2721">
              <w:rPr>
                <w:sz w:val="18"/>
                <w:szCs w:val="24"/>
              </w:rPr>
              <w:t>22</w:t>
            </w:r>
            <w:r>
              <w:rPr>
                <w:sz w:val="18"/>
                <w:szCs w:val="24"/>
              </w:rPr>
              <w:t xml:space="preserve"> </w:t>
            </w:r>
            <w:r w:rsidRPr="002C2721">
              <w:rPr>
                <w:sz w:val="18"/>
                <w:szCs w:val="24"/>
              </w:rPr>
              <w:t>952</w:t>
            </w:r>
          </w:p>
        </w:tc>
      </w:tr>
      <w:tr w:rsidR="002717F4" w:rsidRPr="002717F4" w14:paraId="0AECBE99" w14:textId="77777777" w:rsidTr="001E1D28">
        <w:tc>
          <w:tcPr>
            <w:tcW w:w="3201" w:type="dxa"/>
            <w:shd w:val="clear" w:color="auto" w:fill="auto"/>
            <w:hideMark/>
          </w:tcPr>
          <w:p w14:paraId="1E885B2D" w14:textId="77777777" w:rsidR="002717F4" w:rsidRPr="002717F4" w:rsidRDefault="002717F4" w:rsidP="002717F4">
            <w:pPr>
              <w:spacing w:before="20" w:after="20" w:line="300" w:lineRule="exact"/>
              <w:ind w:left="57" w:right="57"/>
              <w:textDirection w:val="tbRlV"/>
              <w:rPr>
                <w:sz w:val="24"/>
                <w:szCs w:val="24"/>
                <w:lang w:val="ar-SA" w:eastAsia="zh-TW" w:bidi="en-GB"/>
              </w:rPr>
            </w:pPr>
            <w:r w:rsidRPr="002717F4">
              <w:rPr>
                <w:sz w:val="24"/>
                <w:szCs w:val="24"/>
                <w:rtl/>
              </w:rPr>
              <w:t>حالات رفض المعونة القضائية</w:t>
            </w:r>
          </w:p>
        </w:tc>
        <w:tc>
          <w:tcPr>
            <w:tcW w:w="854" w:type="dxa"/>
            <w:shd w:val="clear" w:color="auto" w:fill="auto"/>
            <w:vAlign w:val="bottom"/>
          </w:tcPr>
          <w:p w14:paraId="701E9B45" w14:textId="3602847E" w:rsidR="002717F4" w:rsidRPr="002717F4" w:rsidRDefault="002717F4" w:rsidP="002717F4">
            <w:pPr>
              <w:spacing w:before="20" w:after="20" w:line="300" w:lineRule="exact"/>
              <w:ind w:left="57" w:right="57"/>
              <w:rPr>
                <w:sz w:val="18"/>
                <w:szCs w:val="18"/>
              </w:rPr>
            </w:pPr>
            <w:r w:rsidRPr="002C2721">
              <w:rPr>
                <w:sz w:val="18"/>
                <w:szCs w:val="24"/>
              </w:rPr>
              <w:t>3</w:t>
            </w:r>
            <w:r>
              <w:rPr>
                <w:sz w:val="18"/>
                <w:szCs w:val="24"/>
              </w:rPr>
              <w:t xml:space="preserve"> </w:t>
            </w:r>
            <w:r w:rsidRPr="002C2721">
              <w:rPr>
                <w:sz w:val="18"/>
                <w:szCs w:val="24"/>
              </w:rPr>
              <w:t>640</w:t>
            </w:r>
          </w:p>
        </w:tc>
        <w:tc>
          <w:tcPr>
            <w:tcW w:w="798" w:type="dxa"/>
            <w:shd w:val="clear" w:color="auto" w:fill="auto"/>
            <w:vAlign w:val="bottom"/>
          </w:tcPr>
          <w:p w14:paraId="6137A2AC" w14:textId="19A1A905" w:rsidR="002717F4" w:rsidRPr="002717F4" w:rsidRDefault="002717F4" w:rsidP="002717F4">
            <w:pPr>
              <w:spacing w:before="20" w:after="20" w:line="300" w:lineRule="exact"/>
              <w:ind w:left="57" w:right="57"/>
              <w:rPr>
                <w:sz w:val="18"/>
                <w:szCs w:val="18"/>
              </w:rPr>
            </w:pPr>
            <w:r w:rsidRPr="002C2721">
              <w:rPr>
                <w:sz w:val="18"/>
                <w:szCs w:val="24"/>
              </w:rPr>
              <w:t>3</w:t>
            </w:r>
            <w:r>
              <w:rPr>
                <w:sz w:val="18"/>
                <w:szCs w:val="24"/>
              </w:rPr>
              <w:t xml:space="preserve"> </w:t>
            </w:r>
            <w:r w:rsidRPr="002C2721">
              <w:rPr>
                <w:sz w:val="18"/>
                <w:szCs w:val="24"/>
              </w:rPr>
              <w:t>517</w:t>
            </w:r>
          </w:p>
        </w:tc>
        <w:tc>
          <w:tcPr>
            <w:tcW w:w="896" w:type="dxa"/>
            <w:shd w:val="clear" w:color="auto" w:fill="auto"/>
            <w:vAlign w:val="bottom"/>
          </w:tcPr>
          <w:p w14:paraId="2E687D06" w14:textId="69DDF716" w:rsidR="002717F4" w:rsidRPr="002717F4" w:rsidRDefault="002717F4" w:rsidP="002717F4">
            <w:pPr>
              <w:spacing w:before="20" w:after="20" w:line="300" w:lineRule="exact"/>
              <w:ind w:left="57" w:right="57"/>
              <w:rPr>
                <w:sz w:val="18"/>
                <w:szCs w:val="18"/>
              </w:rPr>
            </w:pPr>
            <w:r w:rsidRPr="002C2721">
              <w:rPr>
                <w:sz w:val="18"/>
                <w:szCs w:val="24"/>
              </w:rPr>
              <w:t>3</w:t>
            </w:r>
            <w:r>
              <w:rPr>
                <w:sz w:val="18"/>
                <w:szCs w:val="24"/>
              </w:rPr>
              <w:t xml:space="preserve"> </w:t>
            </w:r>
            <w:r w:rsidRPr="002C2721">
              <w:rPr>
                <w:sz w:val="18"/>
                <w:szCs w:val="24"/>
              </w:rPr>
              <w:t>504</w:t>
            </w:r>
          </w:p>
        </w:tc>
        <w:tc>
          <w:tcPr>
            <w:tcW w:w="840" w:type="dxa"/>
            <w:shd w:val="clear" w:color="auto" w:fill="auto"/>
            <w:vAlign w:val="bottom"/>
          </w:tcPr>
          <w:p w14:paraId="79910F2A" w14:textId="035CF1C5" w:rsidR="002717F4" w:rsidRPr="002717F4" w:rsidRDefault="002717F4" w:rsidP="002717F4">
            <w:pPr>
              <w:spacing w:before="20" w:after="20" w:line="300" w:lineRule="exact"/>
              <w:ind w:left="57" w:right="57"/>
              <w:rPr>
                <w:sz w:val="18"/>
                <w:szCs w:val="18"/>
              </w:rPr>
            </w:pPr>
            <w:r w:rsidRPr="002C2721">
              <w:rPr>
                <w:sz w:val="18"/>
                <w:szCs w:val="24"/>
              </w:rPr>
              <w:t>3</w:t>
            </w:r>
            <w:r>
              <w:rPr>
                <w:sz w:val="18"/>
                <w:szCs w:val="24"/>
              </w:rPr>
              <w:t xml:space="preserve"> </w:t>
            </w:r>
            <w:r w:rsidRPr="002C2721">
              <w:rPr>
                <w:sz w:val="18"/>
                <w:szCs w:val="24"/>
              </w:rPr>
              <w:t>561</w:t>
            </w:r>
          </w:p>
        </w:tc>
        <w:tc>
          <w:tcPr>
            <w:tcW w:w="630" w:type="dxa"/>
            <w:shd w:val="clear" w:color="auto" w:fill="auto"/>
            <w:vAlign w:val="bottom"/>
          </w:tcPr>
          <w:p w14:paraId="4CFFC31B" w14:textId="1FB3BFD3" w:rsidR="002717F4" w:rsidRPr="002717F4" w:rsidRDefault="002717F4" w:rsidP="002717F4">
            <w:pPr>
              <w:spacing w:before="20" w:after="20" w:line="300" w:lineRule="exact"/>
              <w:ind w:left="57" w:right="57"/>
              <w:rPr>
                <w:sz w:val="18"/>
                <w:szCs w:val="18"/>
              </w:rPr>
            </w:pPr>
            <w:r w:rsidRPr="002C2721">
              <w:rPr>
                <w:sz w:val="18"/>
                <w:szCs w:val="24"/>
              </w:rPr>
              <w:t>3</w:t>
            </w:r>
            <w:r>
              <w:rPr>
                <w:sz w:val="18"/>
                <w:szCs w:val="24"/>
              </w:rPr>
              <w:t xml:space="preserve"> </w:t>
            </w:r>
            <w:r w:rsidRPr="002C2721">
              <w:rPr>
                <w:sz w:val="18"/>
                <w:szCs w:val="24"/>
              </w:rPr>
              <w:t>346</w:t>
            </w:r>
          </w:p>
        </w:tc>
      </w:tr>
    </w:tbl>
    <w:p w14:paraId="3758BA9D" w14:textId="77777777" w:rsidR="00C815DB" w:rsidRPr="0068209D" w:rsidRDefault="00C815DB" w:rsidP="009C28DA">
      <w:pPr>
        <w:pStyle w:val="SingleTxtGA"/>
        <w:rPr>
          <w:lang w:val="ar-SA" w:eastAsia="zh-TW" w:bidi="en-GB"/>
        </w:rPr>
      </w:pPr>
      <w:r w:rsidRPr="002717F4">
        <w:rPr>
          <w:i/>
          <w:iCs/>
          <w:sz w:val="26"/>
          <w:szCs w:val="26"/>
          <w:rtl/>
        </w:rPr>
        <w:t>المصدر</w:t>
      </w:r>
      <w:r w:rsidRPr="00BB79C1">
        <w:rPr>
          <w:rtl/>
        </w:rPr>
        <w:t>:</w:t>
      </w:r>
      <w:r w:rsidRPr="0068209D">
        <w:rPr>
          <w:rtl/>
        </w:rPr>
        <w:t xml:space="preserve"> </w:t>
      </w:r>
      <w:r w:rsidRPr="002717F4">
        <w:rPr>
          <w:sz w:val="26"/>
          <w:szCs w:val="26"/>
          <w:rtl/>
        </w:rPr>
        <w:t>وزارة العدل، المعونة القضائية</w:t>
      </w:r>
      <w:r w:rsidRPr="002717F4">
        <w:rPr>
          <w:sz w:val="18"/>
          <w:szCs w:val="26"/>
          <w:rtl/>
        </w:rPr>
        <w:t>،</w:t>
      </w:r>
      <w:r w:rsidRPr="0068209D">
        <w:rPr>
          <w:rtl/>
        </w:rPr>
        <w:t xml:space="preserve"> </w:t>
      </w:r>
      <w:r w:rsidRPr="002717F4">
        <w:rPr>
          <w:sz w:val="18"/>
          <w:szCs w:val="18"/>
          <w:rtl/>
        </w:rPr>
        <w:t>2019</w:t>
      </w:r>
      <w:r w:rsidRPr="0068209D">
        <w:rPr>
          <w:rtl/>
        </w:rPr>
        <w:t>.</w:t>
      </w:r>
    </w:p>
    <w:p w14:paraId="61FBFA5E" w14:textId="77777777" w:rsidR="00C815DB" w:rsidRPr="0068209D" w:rsidRDefault="00C815DB" w:rsidP="009C28DA">
      <w:pPr>
        <w:pStyle w:val="H23GA"/>
        <w:rPr>
          <w:lang w:val="ar-SA" w:eastAsia="zh-TW" w:bidi="en-GB"/>
        </w:rPr>
      </w:pPr>
      <w:bookmarkStart w:id="58" w:name="_Toc32364319"/>
      <w:r w:rsidRPr="0068209D">
        <w:rPr>
          <w:rtl/>
        </w:rPr>
        <w:tab/>
      </w:r>
      <w:r w:rsidRPr="0068209D">
        <w:rPr>
          <w:rtl/>
        </w:rPr>
        <w:tab/>
        <w:t xml:space="preserve">التعويض عن التأخير في </w:t>
      </w:r>
      <w:r>
        <w:rPr>
          <w:rtl/>
        </w:rPr>
        <w:t>الدعاوى</w:t>
      </w:r>
      <w:r w:rsidRPr="0068209D">
        <w:rPr>
          <w:rtl/>
        </w:rPr>
        <w:t xml:space="preserve"> القضائية</w:t>
      </w:r>
      <w:bookmarkEnd w:id="58"/>
    </w:p>
    <w:p w14:paraId="1AC0C01E" w14:textId="77777777" w:rsidR="00C815DB" w:rsidRPr="0068209D" w:rsidRDefault="00C815DB" w:rsidP="009C28DA">
      <w:pPr>
        <w:pStyle w:val="SingleTxtGA"/>
        <w:rPr>
          <w:lang w:val="ar-SA" w:eastAsia="zh-TW" w:bidi="en-GB"/>
        </w:rPr>
      </w:pPr>
      <w:r w:rsidRPr="005C19F0">
        <w:rPr>
          <w:szCs w:val="20"/>
          <w:rtl/>
        </w:rPr>
        <w:t>202</w:t>
      </w:r>
      <w:r w:rsidRPr="00EF3655">
        <w:rPr>
          <w:rtl/>
        </w:rPr>
        <w:t>-</w:t>
      </w:r>
      <w:r w:rsidRPr="0068209D">
        <w:rPr>
          <w:rtl/>
        </w:rPr>
        <w:tab/>
        <w:t xml:space="preserve">يجوز أن يكون لطرف من الأطراف الحق في الحصول على تعويض نقدي من أموال الدولة عن التأخيرات التي لا مبرر لها في </w:t>
      </w:r>
      <w:r>
        <w:rPr>
          <w:rtl/>
        </w:rPr>
        <w:t>الدعاوى</w:t>
      </w:r>
      <w:r w:rsidRPr="0068209D">
        <w:rPr>
          <w:rtl/>
        </w:rPr>
        <w:t xml:space="preserve"> القضائية. والهدف من ذلك هو التعويض عن القلق وعدم اليقين وغير</w:t>
      </w:r>
      <w:r>
        <w:rPr>
          <w:rtl/>
        </w:rPr>
        <w:t>هما</w:t>
      </w:r>
      <w:r w:rsidRPr="0068209D">
        <w:rPr>
          <w:rtl/>
        </w:rPr>
        <w:t xml:space="preserve"> من الأضرار المماثلة الناجمة عن التأخير.</w:t>
      </w:r>
    </w:p>
    <w:p w14:paraId="6F96FBD0" w14:textId="77777777" w:rsidR="00C815DB" w:rsidRPr="0068209D" w:rsidRDefault="00C815DB" w:rsidP="009C28DA">
      <w:pPr>
        <w:pStyle w:val="SingleTxtGA"/>
        <w:rPr>
          <w:lang w:eastAsia="zh-TW" w:bidi="en-GB"/>
        </w:rPr>
      </w:pPr>
      <w:r w:rsidRPr="005C19F0">
        <w:rPr>
          <w:szCs w:val="20"/>
          <w:rtl/>
        </w:rPr>
        <w:t>203</w:t>
      </w:r>
      <w:r w:rsidRPr="00EF3655">
        <w:rPr>
          <w:rtl/>
        </w:rPr>
        <w:t>-</w:t>
      </w:r>
      <w:r w:rsidRPr="0068209D">
        <w:rPr>
          <w:rtl/>
        </w:rPr>
        <w:tab/>
        <w:t>ويجوز دفع تعويض في المسائل المدنية والالتماسية والجنائية التي لا تزال معروضة على محكمة عادية عامة. و</w:t>
      </w:r>
      <w:r>
        <w:rPr>
          <w:rtl/>
        </w:rPr>
        <w:t>المحاكم العادية</w:t>
      </w:r>
      <w:r w:rsidRPr="0068209D">
        <w:rPr>
          <w:rtl/>
        </w:rPr>
        <w:t xml:space="preserve"> العامة هي المحاكم المحلية ومحاكم الاستئناف والمحكمة العليا. ويجب تقديم طلب التعويض إلى المحكمة التي تنظر في المسألة الرئيس</w:t>
      </w:r>
      <w:r>
        <w:rPr>
          <w:rtl/>
        </w:rPr>
        <w:t>َ</w:t>
      </w:r>
      <w:r w:rsidRPr="0068209D">
        <w:rPr>
          <w:rtl/>
        </w:rPr>
        <w:t>ة قبل انتها</w:t>
      </w:r>
      <w:r>
        <w:rPr>
          <w:rtl/>
        </w:rPr>
        <w:t>ئها من</w:t>
      </w:r>
      <w:r w:rsidRPr="0068209D">
        <w:rPr>
          <w:rtl/>
        </w:rPr>
        <w:t xml:space="preserve"> النظر في المسألة. ويحق لطرف</w:t>
      </w:r>
      <w:r>
        <w:rPr>
          <w:rtl/>
        </w:rPr>
        <w:t xml:space="preserve"> </w:t>
      </w:r>
      <w:r>
        <w:rPr>
          <w:rtl/>
        </w:rPr>
        <w:lastRenderedPageBreak/>
        <w:t>في دعوى ما</w:t>
      </w:r>
      <w:r w:rsidRPr="0068209D">
        <w:rPr>
          <w:rtl/>
        </w:rPr>
        <w:t xml:space="preserve"> الحصول على تعويض عن طول الإجراءات القضائية المفرط أيضاً في المحاكم الإدارية ومحكمة التأمين ومحاكم متخصصة أخرى والمحكمة الإدارية العليا ومجالس الاستئناف.</w:t>
      </w:r>
    </w:p>
    <w:p w14:paraId="0E474E41" w14:textId="2654854E" w:rsidR="00C815DB" w:rsidRPr="00C726A7" w:rsidRDefault="00C815DB" w:rsidP="009C28DA">
      <w:pPr>
        <w:pStyle w:val="SingleTxtGA"/>
        <w:rPr>
          <w:lang w:eastAsia="zh-TW"/>
        </w:rPr>
      </w:pPr>
      <w:r w:rsidRPr="005C19F0">
        <w:rPr>
          <w:szCs w:val="20"/>
          <w:rtl/>
        </w:rPr>
        <w:t>204</w:t>
      </w:r>
      <w:r w:rsidRPr="00EF3655">
        <w:rPr>
          <w:rtl/>
        </w:rPr>
        <w:t>-</w:t>
      </w:r>
      <w:r w:rsidRPr="0068209D">
        <w:rPr>
          <w:rtl/>
        </w:rPr>
        <w:tab/>
        <w:t>و</w:t>
      </w:r>
      <w:r>
        <w:rPr>
          <w:rtl/>
        </w:rPr>
        <w:t>ي</w:t>
      </w:r>
      <w:r w:rsidRPr="0068209D">
        <w:rPr>
          <w:rtl/>
        </w:rPr>
        <w:t>قي</w:t>
      </w:r>
      <w:r>
        <w:rPr>
          <w:rtl/>
        </w:rPr>
        <w:t>َّ</w:t>
      </w:r>
      <w:r w:rsidRPr="0068209D">
        <w:rPr>
          <w:rtl/>
        </w:rPr>
        <w:t>م ما إذا كان</w:t>
      </w:r>
      <w:r>
        <w:rPr>
          <w:rtl/>
        </w:rPr>
        <w:t xml:space="preserve"> تأخير قد شاب دعوى قضائية ما</w:t>
      </w:r>
      <w:r w:rsidRPr="0068209D">
        <w:rPr>
          <w:rtl/>
        </w:rPr>
        <w:t xml:space="preserve"> ب</w:t>
      </w:r>
      <w:r>
        <w:rPr>
          <w:rtl/>
        </w:rPr>
        <w:t xml:space="preserve">الاستناد إلى </w:t>
      </w:r>
      <w:r w:rsidRPr="0068209D">
        <w:rPr>
          <w:rtl/>
        </w:rPr>
        <w:t>طول ال</w:t>
      </w:r>
      <w:r>
        <w:rPr>
          <w:rtl/>
        </w:rPr>
        <w:t>مدة التي تستغرقها الدعوى</w:t>
      </w:r>
      <w:r w:rsidR="00507B18">
        <w:rPr>
          <w:rtl/>
        </w:rPr>
        <w:t xml:space="preserve"> </w:t>
      </w:r>
      <w:r w:rsidRPr="0068209D">
        <w:rPr>
          <w:rtl/>
        </w:rPr>
        <w:t xml:space="preserve">القضائية، وكذلك </w:t>
      </w:r>
      <w:r>
        <w:rPr>
          <w:rtl/>
        </w:rPr>
        <w:t xml:space="preserve">إلى </w:t>
      </w:r>
      <w:r w:rsidRPr="0068209D">
        <w:rPr>
          <w:rtl/>
        </w:rPr>
        <w:t>طبيعة المسألة ونطاقها، والإجراءات التي اتخذتها السلطات والمحاكم أثناء ال</w:t>
      </w:r>
      <w:r>
        <w:rPr>
          <w:rtl/>
        </w:rPr>
        <w:t>دعوى</w:t>
      </w:r>
      <w:r w:rsidRPr="0068209D">
        <w:rPr>
          <w:rtl/>
        </w:rPr>
        <w:t>، ومدى أهمية المسألة بالنسبة للطرف. ويؤخذ في الحسبان الاجتهاد القضائي للمحكمة الأوروبية لحقوق الإنسان.</w:t>
      </w:r>
    </w:p>
    <w:p w14:paraId="6091D879" w14:textId="30AABA2E" w:rsidR="00C815DB" w:rsidRPr="0068209D" w:rsidRDefault="00C815DB" w:rsidP="009C28DA">
      <w:pPr>
        <w:pStyle w:val="SingleTxtGA"/>
        <w:rPr>
          <w:lang w:eastAsia="zh-TW" w:bidi="en-GB"/>
        </w:rPr>
      </w:pPr>
      <w:r w:rsidRPr="002717F4">
        <w:rPr>
          <w:spacing w:val="-6"/>
          <w:szCs w:val="20"/>
          <w:rtl/>
        </w:rPr>
        <w:t>205</w:t>
      </w:r>
      <w:r w:rsidRPr="002717F4">
        <w:rPr>
          <w:spacing w:val="-6"/>
          <w:rtl/>
        </w:rPr>
        <w:t>-</w:t>
      </w:r>
      <w:r w:rsidRPr="002717F4">
        <w:rPr>
          <w:spacing w:val="-6"/>
          <w:rtl/>
        </w:rPr>
        <w:tab/>
        <w:t xml:space="preserve">وتبلغ قيمة التعويض </w:t>
      </w:r>
      <w:r w:rsidRPr="002717F4">
        <w:rPr>
          <w:spacing w:val="-6"/>
          <w:szCs w:val="20"/>
          <w:rtl/>
        </w:rPr>
        <w:t>500</w:t>
      </w:r>
      <w:r w:rsidRPr="002717F4">
        <w:rPr>
          <w:rFonts w:ascii="Traditional Arabic"/>
          <w:spacing w:val="-6"/>
          <w:rtl/>
        </w:rPr>
        <w:t xml:space="preserve"> </w:t>
      </w:r>
      <w:r w:rsidRPr="002717F4">
        <w:rPr>
          <w:spacing w:val="-6"/>
          <w:szCs w:val="20"/>
          <w:rtl/>
        </w:rPr>
        <w:t>1</w:t>
      </w:r>
      <w:r w:rsidRPr="002717F4">
        <w:rPr>
          <w:spacing w:val="-6"/>
          <w:rtl/>
        </w:rPr>
        <w:t xml:space="preserve"> يورو عن كل سنة تأخرت فيها الدعوى القضائية لسبب تتحمل محكمة </w:t>
      </w:r>
      <w:r w:rsidRPr="002717F4">
        <w:rPr>
          <w:rtl/>
        </w:rPr>
        <w:t xml:space="preserve">عادية أو سلطة ما المسؤولية عنه. ويمكن رفع المبلغ الإجمالي للتعويض إلى حد أقصى قدره </w:t>
      </w:r>
      <w:r w:rsidRPr="002717F4">
        <w:rPr>
          <w:szCs w:val="20"/>
          <w:rtl/>
        </w:rPr>
        <w:t>000</w:t>
      </w:r>
      <w:r w:rsidRPr="002717F4">
        <w:rPr>
          <w:rFonts w:ascii="Traditional Arabic"/>
          <w:rtl/>
        </w:rPr>
        <w:t xml:space="preserve"> </w:t>
      </w:r>
      <w:r w:rsidRPr="002717F4">
        <w:rPr>
          <w:szCs w:val="20"/>
          <w:rtl/>
        </w:rPr>
        <w:t>2</w:t>
      </w:r>
      <w:r w:rsidRPr="002717F4">
        <w:rPr>
          <w:rtl/>
        </w:rPr>
        <w:t xml:space="preserve"> يورو إن</w:t>
      </w:r>
      <w:r w:rsidRPr="0068209D">
        <w:rPr>
          <w:rtl/>
        </w:rPr>
        <w:t xml:space="preserve"> كانت المسألة الرئيسَة ذات أهمية خاصة بالنسبة للطرف. والحد الأقصى للتعويض هو </w:t>
      </w:r>
      <w:r w:rsidR="002717F4">
        <w:rPr>
          <w:rFonts w:hint="cs"/>
          <w:szCs w:val="20"/>
          <w:rtl/>
        </w:rPr>
        <w:t>000 10</w:t>
      </w:r>
      <w:r w:rsidRPr="0068209D">
        <w:rPr>
          <w:rtl/>
        </w:rPr>
        <w:t xml:space="preserve"> يورو ويمكن تجاوزه لأسباب خاصة. ولا يحق لطرف </w:t>
      </w:r>
      <w:r>
        <w:rPr>
          <w:rtl/>
        </w:rPr>
        <w:t xml:space="preserve">ما </w:t>
      </w:r>
      <w:r w:rsidRPr="0068209D">
        <w:rPr>
          <w:rtl/>
        </w:rPr>
        <w:t>الحصول على تعويض نقدي إن خُفضت العقوبة أو خُففت العقوبة الإدارية بسبب طول ال</w:t>
      </w:r>
      <w:r>
        <w:rPr>
          <w:rtl/>
        </w:rPr>
        <w:t>دعوى</w:t>
      </w:r>
      <w:r w:rsidRPr="0068209D">
        <w:rPr>
          <w:rtl/>
        </w:rPr>
        <w:t xml:space="preserve"> القضائية المفرط.</w:t>
      </w:r>
    </w:p>
    <w:p w14:paraId="562A7106" w14:textId="5BAEC2E4" w:rsidR="00C815DB" w:rsidRPr="0068209D" w:rsidRDefault="009C28DA" w:rsidP="009C28DA">
      <w:pPr>
        <w:pStyle w:val="H23GA"/>
        <w:rPr>
          <w:lang w:eastAsia="zh-TW" w:bidi="en-GB"/>
        </w:rPr>
      </w:pPr>
      <w:bookmarkStart w:id="59" w:name="_Toc32364320"/>
      <w:r>
        <w:rPr>
          <w:rtl/>
        </w:rPr>
        <w:tab/>
      </w:r>
      <w:r w:rsidR="00C815DB" w:rsidRPr="00794E95">
        <w:rPr>
          <w:rtl/>
        </w:rPr>
        <w:t>(</w:t>
      </w:r>
      <w:r w:rsidR="00C815DB" w:rsidRPr="0068209D">
        <w:rPr>
          <w:rtl/>
        </w:rPr>
        <w:t>ع</w:t>
      </w:r>
      <w:r w:rsidR="00C815DB" w:rsidRPr="00794E95">
        <w:rPr>
          <w:rtl/>
        </w:rPr>
        <w:t>)</w:t>
      </w:r>
      <w:r>
        <w:rPr>
          <w:rtl/>
        </w:rPr>
        <w:tab/>
      </w:r>
      <w:r w:rsidR="00C815DB" w:rsidRPr="0068209D">
        <w:rPr>
          <w:rtl/>
        </w:rPr>
        <w:t>هيئة الادعاء الوطنية</w:t>
      </w:r>
      <w:bookmarkEnd w:id="59"/>
    </w:p>
    <w:p w14:paraId="353ECF91" w14:textId="2D2457C4" w:rsidR="00C815DB" w:rsidRPr="000B43FD" w:rsidRDefault="00C815DB" w:rsidP="009C28DA">
      <w:pPr>
        <w:pStyle w:val="SingleTxtGA"/>
        <w:rPr>
          <w:lang w:eastAsia="zh-TW" w:bidi="en-GB"/>
        </w:rPr>
      </w:pPr>
      <w:r w:rsidRPr="005C19F0">
        <w:rPr>
          <w:szCs w:val="20"/>
          <w:rtl/>
        </w:rPr>
        <w:t>206</w:t>
      </w:r>
      <w:r w:rsidRPr="00EF3655">
        <w:rPr>
          <w:rtl/>
        </w:rPr>
        <w:t>-</w:t>
      </w:r>
      <w:r w:rsidRPr="0068209D">
        <w:rPr>
          <w:rtl/>
        </w:rPr>
        <w:tab/>
        <w:t xml:space="preserve">اعتباراً من </w:t>
      </w:r>
      <w:r w:rsidRPr="005C19F0">
        <w:rPr>
          <w:szCs w:val="20"/>
          <w:rtl/>
        </w:rPr>
        <w:t>1</w:t>
      </w:r>
      <w:r w:rsidRPr="0068209D">
        <w:rPr>
          <w:rtl/>
        </w:rPr>
        <w:t xml:space="preserve"> تشرين الأول/أكتوبر </w:t>
      </w:r>
      <w:r w:rsidRPr="005C19F0">
        <w:rPr>
          <w:szCs w:val="20"/>
          <w:rtl/>
        </w:rPr>
        <w:t>2019</w:t>
      </w:r>
      <w:r w:rsidRPr="0068209D">
        <w:rPr>
          <w:rtl/>
        </w:rPr>
        <w:t xml:space="preserve">، شرعت النيابة العامة الفنلندية في إعادة تنظيم أصبح </w:t>
      </w:r>
      <w:r>
        <w:rPr>
          <w:rtl/>
        </w:rPr>
        <w:t>أعضاء الادعاء</w:t>
      </w:r>
      <w:r w:rsidRPr="0068209D">
        <w:rPr>
          <w:rtl/>
        </w:rPr>
        <w:t xml:space="preserve"> بموجبها جزءا من هيئة الادعاء الوطنية، وهي هيئة مستقلة في القطاع الإداري لوزارة العدل. وتتألف الهيئة من مكتب المدعي العام، الذي يعمل بوصفه الوحدة الإدارية المركزية، وخمس دوائر ادعاء هي</w:t>
      </w:r>
      <w:r w:rsidRPr="00BB79C1">
        <w:rPr>
          <w:rtl/>
        </w:rPr>
        <w:t>:</w:t>
      </w:r>
      <w:r w:rsidRPr="0068209D">
        <w:rPr>
          <w:rtl/>
        </w:rPr>
        <w:t xml:space="preserve"> فنلندا الجنوبية، وفنلندا الغربية، وفنلندا الشرقية، وفنلندا الشمالية، وألاند. وتتولى دوائر الادعاء مسؤولية تنظيم أنشطة الادعاء التنفيذية، في حين أن مهام الوحدة الإدارية المركزية تشمل توجيه أعمال هيئة الادعاء وأنشطة </w:t>
      </w:r>
      <w:r>
        <w:rPr>
          <w:rtl/>
        </w:rPr>
        <w:t xml:space="preserve">الادعاء </w:t>
      </w:r>
      <w:r w:rsidRPr="0068209D">
        <w:rPr>
          <w:rtl/>
        </w:rPr>
        <w:t>وتطويرها والإشراف عليها. وتتعهد هيئة الادعاء الوطنية بـ</w:t>
      </w:r>
      <w:r w:rsidR="00853B96">
        <w:rPr>
          <w:rFonts w:hint="cs"/>
          <w:szCs w:val="20"/>
          <w:rtl/>
        </w:rPr>
        <w:t> </w:t>
      </w:r>
      <w:r w:rsidRPr="005C19F0">
        <w:rPr>
          <w:szCs w:val="20"/>
          <w:rtl/>
        </w:rPr>
        <w:t>34</w:t>
      </w:r>
      <w:r w:rsidRPr="0068209D">
        <w:rPr>
          <w:rtl/>
        </w:rPr>
        <w:t xml:space="preserve"> مكتباً في جميع أنحاء فنلندا، ولديها نحو </w:t>
      </w:r>
      <w:r w:rsidRPr="005C19F0">
        <w:rPr>
          <w:szCs w:val="20"/>
          <w:rtl/>
        </w:rPr>
        <w:t>550</w:t>
      </w:r>
      <w:r w:rsidRPr="0068209D">
        <w:rPr>
          <w:rtl/>
        </w:rPr>
        <w:t xml:space="preserve"> موظفاً، منهم </w:t>
      </w:r>
      <w:r w:rsidRPr="005C19F0">
        <w:rPr>
          <w:szCs w:val="20"/>
          <w:rtl/>
        </w:rPr>
        <w:t>400</w:t>
      </w:r>
      <w:r w:rsidRPr="0068209D">
        <w:rPr>
          <w:rtl/>
        </w:rPr>
        <w:t xml:space="preserve"> من المدعين العامين. أما الـ</w:t>
      </w:r>
      <w:r w:rsidR="002717F4">
        <w:rPr>
          <w:rFonts w:hint="cs"/>
          <w:rtl/>
        </w:rPr>
        <w:t> </w:t>
      </w:r>
      <w:r w:rsidRPr="005C19F0">
        <w:rPr>
          <w:szCs w:val="20"/>
          <w:rtl/>
        </w:rPr>
        <w:t>150</w:t>
      </w:r>
      <w:r w:rsidRPr="0068209D">
        <w:rPr>
          <w:rtl/>
        </w:rPr>
        <w:t xml:space="preserve"> الباقون أو نحو ذلك فيعملون في مهام دعم وخبرة شتى.</w:t>
      </w:r>
    </w:p>
    <w:p w14:paraId="45ADC617" w14:textId="7A75649F" w:rsidR="00C815DB" w:rsidRPr="002717F4" w:rsidRDefault="00C815DB" w:rsidP="009C28DA">
      <w:pPr>
        <w:pStyle w:val="SingleTxtGA"/>
        <w:rPr>
          <w:spacing w:val="-2"/>
          <w:lang w:val="ar-SA" w:eastAsia="zh-TW" w:bidi="en-GB"/>
        </w:rPr>
      </w:pPr>
      <w:r w:rsidRPr="002717F4">
        <w:rPr>
          <w:spacing w:val="-2"/>
          <w:szCs w:val="20"/>
          <w:rtl/>
        </w:rPr>
        <w:t>207</w:t>
      </w:r>
      <w:r w:rsidRPr="002717F4">
        <w:rPr>
          <w:spacing w:val="-2"/>
          <w:rtl/>
        </w:rPr>
        <w:t>-</w:t>
      </w:r>
      <w:r w:rsidRPr="002717F4">
        <w:rPr>
          <w:spacing w:val="-2"/>
          <w:rtl/>
        </w:rPr>
        <w:tab/>
        <w:t xml:space="preserve">ويتناول أعضاء الادعاء حوالي </w:t>
      </w:r>
      <w:r w:rsidR="000C722A">
        <w:rPr>
          <w:rFonts w:hint="cs"/>
          <w:spacing w:val="-2"/>
          <w:szCs w:val="20"/>
          <w:rtl/>
        </w:rPr>
        <w:t>000 80</w:t>
      </w:r>
      <w:r w:rsidRPr="002717F4">
        <w:rPr>
          <w:spacing w:val="-2"/>
          <w:rtl/>
        </w:rPr>
        <w:t xml:space="preserve"> قضية جنائية كل عام. وتتم المقاضاة على أغلبية هذه القضايا في دائرة الادعاء المعنية. ولا يُحقق مكتب المدعي العام سوى في بضع عشرات من القضايا الجنائية سنوياً، ومعظم هذه القضايا يدخل، بموجب القانون، ضمن اختصاص المدعي العام، مثل جرائم الإرهاب والجرائم المتعلقة بإساءة استخدام حرية التعبير. وفي كل عام، يعالج المدعون العامون في مكتب المدعي العام، إضافة إلى ذلك، عددا قليلا من القضايا الجنائية التي تعتبر ذات أهمية خاصة بالنسبة للمجتمع، وذلك مثلا بسبب شهرة الشخص المشتبه في ارتكابه الجريمة. وأثناء التحقيق السابق للمحاكمة، يعمل عضو الادعاء مع هيئة التحقيق السابق للمحاكمة لضمان التحقيق في الجريمة المشتبه فيها بما يكفي من الاستفاضة. واستناداً إلى الأدلة التي يُحصل عليها في التحقيق السابق للمحاكمة، ينظر عضو الادعاء في التهم ليقرر ما إذا كان يجب توجيه التهمة أو التنازل عن أي إجراء آخر.</w:t>
      </w:r>
    </w:p>
    <w:p w14:paraId="36954715" w14:textId="77777777" w:rsidR="00C815DB" w:rsidRPr="002717F4" w:rsidRDefault="00C815DB" w:rsidP="009C28DA">
      <w:pPr>
        <w:pStyle w:val="SingleTxtGA"/>
        <w:rPr>
          <w:spacing w:val="-2"/>
          <w:lang w:eastAsia="zh-TW"/>
        </w:rPr>
      </w:pPr>
      <w:r w:rsidRPr="002717F4">
        <w:rPr>
          <w:spacing w:val="-2"/>
          <w:szCs w:val="20"/>
          <w:rtl/>
        </w:rPr>
        <w:t>208</w:t>
      </w:r>
      <w:r w:rsidRPr="002717F4">
        <w:rPr>
          <w:spacing w:val="-2"/>
          <w:rtl/>
        </w:rPr>
        <w:t>-</w:t>
      </w:r>
      <w:r w:rsidRPr="002717F4">
        <w:rPr>
          <w:spacing w:val="-2"/>
          <w:rtl/>
        </w:rPr>
        <w:tab/>
        <w:t>وبمقتضى القانون المتعلق بهيئة الادعاء الوطنية (</w:t>
      </w:r>
      <w:r w:rsidRPr="002717F4">
        <w:rPr>
          <w:spacing w:val="-2"/>
          <w:szCs w:val="20"/>
          <w:rtl/>
        </w:rPr>
        <w:t>32</w:t>
      </w:r>
      <w:r w:rsidRPr="002717F4">
        <w:rPr>
          <w:spacing w:val="-2"/>
          <w:rtl/>
        </w:rPr>
        <w:t>/</w:t>
      </w:r>
      <w:r w:rsidRPr="002717F4">
        <w:rPr>
          <w:spacing w:val="-2"/>
          <w:szCs w:val="20"/>
          <w:rtl/>
        </w:rPr>
        <w:t>2019</w:t>
      </w:r>
      <w:r w:rsidRPr="002717F4">
        <w:rPr>
          <w:spacing w:val="-2"/>
          <w:rtl/>
        </w:rPr>
        <w:t>)، يكفل أعضاء الادعاء تحميل المسؤولية الجنائية في القضايا التي يعالجونها على قدم المساواة وبسرعة وبطريقة اقتصادية، حسب الاقتضاء، بغية توفير الحماية القانونية للأطراف المعنية وخدمة الصالح العام. ويجب أن يكون عضو الادعاء موضوعياً وأن يولي اعتباراً عادلاً ومتكافئاً لأدلة الإثبات كما لأدلة النفي في الجريمة المشتبه في ارتكابها.</w:t>
      </w:r>
    </w:p>
    <w:p w14:paraId="17D4CB98" w14:textId="668BE319" w:rsidR="00C815DB" w:rsidRPr="002717F4" w:rsidRDefault="00C815DB" w:rsidP="009C28DA">
      <w:pPr>
        <w:pStyle w:val="SingleTxtGA"/>
        <w:rPr>
          <w:spacing w:val="-2"/>
          <w:lang w:eastAsia="zh-TW" w:bidi="en-GB"/>
        </w:rPr>
      </w:pPr>
      <w:r w:rsidRPr="002717F4">
        <w:rPr>
          <w:spacing w:val="-2"/>
          <w:szCs w:val="20"/>
          <w:rtl/>
        </w:rPr>
        <w:t>209</w:t>
      </w:r>
      <w:r w:rsidRPr="002717F4">
        <w:rPr>
          <w:spacing w:val="-2"/>
          <w:rtl/>
        </w:rPr>
        <w:t>-</w:t>
      </w:r>
      <w:r w:rsidRPr="002717F4">
        <w:rPr>
          <w:spacing w:val="-2"/>
          <w:rtl/>
        </w:rPr>
        <w:tab/>
        <w:t xml:space="preserve">ويتخذ أعضاء الادعاء قراراتهم باستقلالية تامة. وفي أي قضية فردية، لا يحق ولا يجوز لهم تلقّي التوجيهات أو الأوامر من أي شخص. وعليه فإن عضو الادعاء غير ملزم بالأخذ بآراء الشرطة، مثلاً، فيما يتعلق بإدانة المشتبه فيهم. فالمدعي العام نفسه لا يتمتع بسلطة إملاء الكيفية التي يتناول بها عضو </w:t>
      </w:r>
      <w:r w:rsidRPr="002717F4">
        <w:rPr>
          <w:spacing w:val="-2"/>
          <w:rtl/>
        </w:rPr>
        <w:lastRenderedPageBreak/>
        <w:t>الادعاء قضية من القضايا. غير أن المدعي العام لديه سلطة تولّي أمر أي قضية شخصيا</w:t>
      </w:r>
      <w:r w:rsidR="002717F4" w:rsidRPr="002717F4">
        <w:rPr>
          <w:rFonts w:hint="cs"/>
          <w:spacing w:val="-2"/>
          <w:rtl/>
        </w:rPr>
        <w:t>ً</w:t>
      </w:r>
      <w:r w:rsidRPr="002717F4">
        <w:rPr>
          <w:spacing w:val="-2"/>
          <w:rtl/>
        </w:rPr>
        <w:t xml:space="preserve"> وإحالتها إلى عضو ادعاء آخر. وفي عام </w:t>
      </w:r>
      <w:r w:rsidRPr="002717F4">
        <w:rPr>
          <w:spacing w:val="-2"/>
          <w:szCs w:val="20"/>
          <w:rtl/>
        </w:rPr>
        <w:t>2018</w:t>
      </w:r>
      <w:r w:rsidRPr="002717F4">
        <w:rPr>
          <w:spacing w:val="-2"/>
          <w:rtl/>
        </w:rPr>
        <w:t xml:space="preserve">، كان في فنلندا حوالي </w:t>
      </w:r>
      <w:r w:rsidR="002717F4" w:rsidRPr="002717F4">
        <w:rPr>
          <w:rFonts w:hint="cs"/>
          <w:spacing w:val="-2"/>
          <w:szCs w:val="20"/>
          <w:rtl/>
        </w:rPr>
        <w:t>12</w:t>
      </w:r>
      <w:r w:rsidR="002717F4" w:rsidRPr="002717F4">
        <w:rPr>
          <w:rFonts w:ascii="Traditional Arabic" w:hAnsi="Traditional Arabic"/>
          <w:spacing w:val="-2"/>
          <w:lang w:eastAsia="zh-TW" w:bidi="en-GB"/>
        </w:rPr>
        <w:t>,</w:t>
      </w:r>
      <w:r w:rsidR="002717F4" w:rsidRPr="00883F2F">
        <w:rPr>
          <w:spacing w:val="-2"/>
          <w:sz w:val="12"/>
          <w:szCs w:val="20"/>
          <w:rtl/>
          <w:lang w:eastAsia="zh-TW" w:bidi="en-GB"/>
        </w:rPr>
        <w:t>7</w:t>
      </w:r>
      <w:r w:rsidRPr="002717F4">
        <w:rPr>
          <w:spacing w:val="-2"/>
          <w:rtl/>
        </w:rPr>
        <w:t xml:space="preserve"> عضو ادعاء لكل </w:t>
      </w:r>
      <w:r w:rsidR="002717F4" w:rsidRPr="002717F4">
        <w:rPr>
          <w:rFonts w:hint="cs"/>
          <w:spacing w:val="-2"/>
          <w:szCs w:val="20"/>
          <w:rtl/>
        </w:rPr>
        <w:t>000 100</w:t>
      </w:r>
      <w:r w:rsidRPr="002717F4">
        <w:rPr>
          <w:spacing w:val="-2"/>
          <w:rtl/>
        </w:rPr>
        <w:t xml:space="preserve"> نسمة.</w:t>
      </w:r>
    </w:p>
    <w:p w14:paraId="59934D53" w14:textId="4048F7A9" w:rsidR="00C815DB" w:rsidRPr="009C28DA" w:rsidRDefault="00C815DB" w:rsidP="009C28DA">
      <w:pPr>
        <w:pStyle w:val="H23GA"/>
        <w:rPr>
          <w:rtl/>
          <w:lang w:eastAsia="zh-TW"/>
        </w:rPr>
      </w:pPr>
      <w:bookmarkStart w:id="60" w:name="_Toc32364321"/>
      <w:r>
        <w:rPr>
          <w:rtl/>
        </w:rPr>
        <w:tab/>
      </w:r>
      <w:r w:rsidRPr="00794E95">
        <w:rPr>
          <w:rtl/>
        </w:rPr>
        <w:t>(</w:t>
      </w:r>
      <w:r w:rsidRPr="0068209D">
        <w:rPr>
          <w:rtl/>
        </w:rPr>
        <w:t>ف</w:t>
      </w:r>
      <w:r w:rsidRPr="00794E95">
        <w:rPr>
          <w:rtl/>
        </w:rPr>
        <w:t>)</w:t>
      </w:r>
      <w:r w:rsidR="009C28DA">
        <w:rPr>
          <w:rtl/>
        </w:rPr>
        <w:tab/>
      </w:r>
      <w:r w:rsidRPr="0068209D">
        <w:rPr>
          <w:rtl/>
        </w:rPr>
        <w:t>الشرطة</w:t>
      </w:r>
      <w:bookmarkEnd w:id="60"/>
    </w:p>
    <w:p w14:paraId="030A5175" w14:textId="4A26A573" w:rsidR="00C815DB" w:rsidRPr="0068209D" w:rsidRDefault="00C815DB" w:rsidP="009C28DA">
      <w:pPr>
        <w:pStyle w:val="SingleTxtGA"/>
        <w:rPr>
          <w:lang w:val="ar-SA" w:eastAsia="zh-TW" w:bidi="en-GB"/>
        </w:rPr>
      </w:pPr>
      <w:r w:rsidRPr="005C19F0">
        <w:rPr>
          <w:szCs w:val="20"/>
          <w:rtl/>
        </w:rPr>
        <w:t>210</w:t>
      </w:r>
      <w:r w:rsidRPr="00EF3655">
        <w:rPr>
          <w:rtl/>
        </w:rPr>
        <w:t>-</w:t>
      </w:r>
      <w:r w:rsidRPr="0068209D">
        <w:rPr>
          <w:rtl/>
        </w:rPr>
        <w:tab/>
        <w:t xml:space="preserve">لدى فنلندا منظمة شرطة متعددة المستويات. وتوجه الحكومة عمليات الشرطة </w:t>
      </w:r>
      <w:r>
        <w:rPr>
          <w:rtl/>
        </w:rPr>
        <w:t>بواسطة</w:t>
      </w:r>
      <w:r w:rsidRPr="0068209D">
        <w:rPr>
          <w:rtl/>
        </w:rPr>
        <w:t xml:space="preserve"> الأهداف الواردة في برنامج الحكومة و</w:t>
      </w:r>
      <w:r>
        <w:rPr>
          <w:rtl/>
        </w:rPr>
        <w:t xml:space="preserve">ما تعتمده من </w:t>
      </w:r>
      <w:r w:rsidRPr="0068209D">
        <w:rPr>
          <w:rtl/>
        </w:rPr>
        <w:t>قرارات. وتقع مسؤولية التوجيه والرصد على عاتق وزارة الداخلية. والشرطة منظمة على مستويين. ويدير مجلس الشرطة الوطنية الفنلندي، التابع لوزارة الداخلية، عمليات الشرطة ويوجهها. وت</w:t>
      </w:r>
      <w:r>
        <w:rPr>
          <w:rtl/>
        </w:rPr>
        <w:t xml:space="preserve">تبع </w:t>
      </w:r>
      <w:r w:rsidRPr="0068209D">
        <w:rPr>
          <w:rtl/>
        </w:rPr>
        <w:t>أقسام الشرطة والوحدت</w:t>
      </w:r>
      <w:r>
        <w:rPr>
          <w:rtl/>
        </w:rPr>
        <w:t>ا</w:t>
      </w:r>
      <w:r w:rsidRPr="0068209D">
        <w:rPr>
          <w:rtl/>
        </w:rPr>
        <w:t>ن الوطنيت</w:t>
      </w:r>
      <w:r>
        <w:rPr>
          <w:rtl/>
        </w:rPr>
        <w:t>ا</w:t>
      </w:r>
      <w:r w:rsidRPr="0068209D">
        <w:rPr>
          <w:rtl/>
        </w:rPr>
        <w:t>ن مجلس الشرطة الوطنية مباشرةً</w:t>
      </w:r>
      <w:r>
        <w:rPr>
          <w:rtl/>
        </w:rPr>
        <w:t xml:space="preserve"> من حيث التراتب الإداري</w:t>
      </w:r>
      <w:r w:rsidRPr="0068209D">
        <w:rPr>
          <w:rtl/>
        </w:rPr>
        <w:t>. ويتولى المجلس إدارة أداء وَحْدَتَي الشرطة. وينظم عملَ الشرطة قانون</w:t>
      </w:r>
      <w:r>
        <w:rPr>
          <w:rtl/>
        </w:rPr>
        <w:t xml:space="preserve"> الشرطة </w:t>
      </w:r>
      <w:r w:rsidRPr="00794E95">
        <w:rPr>
          <w:rtl/>
        </w:rPr>
        <w:t>(</w:t>
      </w:r>
      <w:r w:rsidRPr="005C19F0">
        <w:rPr>
          <w:szCs w:val="20"/>
          <w:rtl/>
        </w:rPr>
        <w:t>872</w:t>
      </w:r>
      <w:r>
        <w:rPr>
          <w:rtl/>
        </w:rPr>
        <w:t>/</w:t>
      </w:r>
      <w:r w:rsidRPr="005C19F0">
        <w:rPr>
          <w:szCs w:val="20"/>
          <w:rtl/>
        </w:rPr>
        <w:t>2011</w:t>
      </w:r>
      <w:r w:rsidRPr="00794E95">
        <w:rPr>
          <w:rtl/>
        </w:rPr>
        <w:t>)</w:t>
      </w:r>
      <w:r w:rsidRPr="0068209D">
        <w:rPr>
          <w:rtl/>
        </w:rPr>
        <w:t>، وكذلك التشريعات الأخرى المت</w:t>
      </w:r>
      <w:r>
        <w:rPr>
          <w:rtl/>
        </w:rPr>
        <w:t>صل</w:t>
      </w:r>
      <w:r w:rsidRPr="0068209D">
        <w:rPr>
          <w:rtl/>
        </w:rPr>
        <w:t>ة بأنشطة الشرطة، مثل قانون التحقيقات</w:t>
      </w:r>
      <w:r>
        <w:rPr>
          <w:rtl/>
        </w:rPr>
        <w:t xml:space="preserve"> الجنائية </w:t>
      </w:r>
      <w:r w:rsidRPr="00794E95">
        <w:rPr>
          <w:rtl/>
        </w:rPr>
        <w:t>(</w:t>
      </w:r>
      <w:r w:rsidRPr="005C19F0">
        <w:rPr>
          <w:szCs w:val="20"/>
          <w:rtl/>
        </w:rPr>
        <w:t>805</w:t>
      </w:r>
      <w:r>
        <w:rPr>
          <w:rtl/>
        </w:rPr>
        <w:t>/</w:t>
      </w:r>
      <w:r w:rsidRPr="005C19F0">
        <w:rPr>
          <w:szCs w:val="20"/>
          <w:rtl/>
        </w:rPr>
        <w:t>2011</w:t>
      </w:r>
      <w:r w:rsidRPr="00794E95">
        <w:rPr>
          <w:rtl/>
        </w:rPr>
        <w:t>)</w:t>
      </w:r>
      <w:r w:rsidRPr="0068209D">
        <w:rPr>
          <w:rtl/>
        </w:rPr>
        <w:t xml:space="preserve"> وقانون التدابير</w:t>
      </w:r>
      <w:r>
        <w:rPr>
          <w:rtl/>
        </w:rPr>
        <w:t xml:space="preserve"> القسرية </w:t>
      </w:r>
      <w:r w:rsidRPr="00794E95">
        <w:rPr>
          <w:rtl/>
        </w:rPr>
        <w:t>(</w:t>
      </w:r>
      <w:r w:rsidRPr="005C19F0">
        <w:rPr>
          <w:szCs w:val="20"/>
          <w:rtl/>
        </w:rPr>
        <w:t>806</w:t>
      </w:r>
      <w:r>
        <w:rPr>
          <w:rtl/>
        </w:rPr>
        <w:t>/</w:t>
      </w:r>
      <w:r w:rsidRPr="005C19F0">
        <w:rPr>
          <w:szCs w:val="20"/>
          <w:rtl/>
        </w:rPr>
        <w:t>2011</w:t>
      </w:r>
      <w:r w:rsidRPr="00794E95">
        <w:rPr>
          <w:rtl/>
        </w:rPr>
        <w:t>)</w:t>
      </w:r>
      <w:r w:rsidRPr="0068209D">
        <w:rPr>
          <w:rtl/>
        </w:rPr>
        <w:t xml:space="preserve">. وتنطبق مبادئ الحوكمة الرشيدة </w:t>
      </w:r>
      <w:r w:rsidR="00C74C59">
        <w:rPr>
          <w:rtl/>
        </w:rPr>
        <w:t>أيضاً</w:t>
      </w:r>
      <w:r w:rsidRPr="0068209D">
        <w:rPr>
          <w:rtl/>
        </w:rPr>
        <w:t xml:space="preserve"> على أنشطة الشرطة.</w:t>
      </w:r>
    </w:p>
    <w:p w14:paraId="3DE3A2FC" w14:textId="77777777" w:rsidR="00C815DB" w:rsidRPr="0068209D" w:rsidRDefault="00C815DB" w:rsidP="009C28DA">
      <w:pPr>
        <w:pStyle w:val="SingleTxtGA"/>
        <w:rPr>
          <w:lang w:val="ar-SA" w:eastAsia="zh-TW" w:bidi="en-GB"/>
        </w:rPr>
      </w:pPr>
      <w:r w:rsidRPr="005C19F0">
        <w:rPr>
          <w:szCs w:val="20"/>
          <w:rtl/>
        </w:rPr>
        <w:t>211</w:t>
      </w:r>
      <w:r w:rsidRPr="00EF3655">
        <w:rPr>
          <w:rtl/>
        </w:rPr>
        <w:t>-</w:t>
      </w:r>
      <w:r w:rsidRPr="0068209D">
        <w:rPr>
          <w:rtl/>
        </w:rPr>
        <w:tab/>
        <w:t xml:space="preserve">ووحدتا الشرطة الوطنية هما المكتب الوطني للتحقيقات وكلية الشرطة. فأما المكتب الوطني للتحقيقات فمتخصص في منع الجريمة الخطيرة والمنظمة. وأما كلية الشرطة فمسؤولة عن تجنيد أفراد الشرطة </w:t>
      </w:r>
      <w:r>
        <w:rPr>
          <w:rtl/>
        </w:rPr>
        <w:t>لأغراض ال</w:t>
      </w:r>
      <w:r w:rsidRPr="0068209D">
        <w:rPr>
          <w:rtl/>
        </w:rPr>
        <w:t>تدريب، واختيار الطلاب، وتنظيم الدراسات المتقدمة و</w:t>
      </w:r>
      <w:r>
        <w:rPr>
          <w:rtl/>
        </w:rPr>
        <w:t>ال</w:t>
      </w:r>
      <w:r w:rsidRPr="0068209D">
        <w:rPr>
          <w:rtl/>
        </w:rPr>
        <w:t xml:space="preserve">حصول على </w:t>
      </w:r>
      <w:r>
        <w:rPr>
          <w:rtl/>
        </w:rPr>
        <w:t>الدبلوم</w:t>
      </w:r>
      <w:r w:rsidRPr="0068209D">
        <w:rPr>
          <w:rtl/>
        </w:rPr>
        <w:t xml:space="preserve">، ومواصلة التدريب في معهد التدريب، والبحث والتطوير في مجال الشرطة. وتتكون الشرطة المحلية من </w:t>
      </w:r>
      <w:r w:rsidRPr="005C19F0">
        <w:rPr>
          <w:szCs w:val="20"/>
          <w:rtl/>
        </w:rPr>
        <w:t>11</w:t>
      </w:r>
      <w:r w:rsidRPr="0068209D">
        <w:rPr>
          <w:rtl/>
        </w:rPr>
        <w:t xml:space="preserve"> قسماً. وتقدم خدمات الشرطة المحلية في مراكز الشرطة الرئيسَة، ومراكز الشرطة، ونقاط خدمة الشرطة، ونقاط الخدمة المشتركة. وترتبط خدمات الترخيص التي تقدمها الشرطة بعمليات الشرطة الأساسية، والحفاظ على النظام العام والسلامة العامة، ومنع الجريمة، وتعزيز السلامة على الطرق. وتتألف قوات الشرطة في فنلندا من حوالي </w:t>
      </w:r>
      <w:r w:rsidRPr="005C19F0">
        <w:rPr>
          <w:szCs w:val="20"/>
          <w:rtl/>
        </w:rPr>
        <w:t>200</w:t>
      </w:r>
      <w:r w:rsidRPr="0068209D">
        <w:rPr>
          <w:rFonts w:ascii="Traditional Arabic"/>
          <w:rtl/>
        </w:rPr>
        <w:t xml:space="preserve"> </w:t>
      </w:r>
      <w:r w:rsidRPr="005C19F0">
        <w:rPr>
          <w:szCs w:val="20"/>
          <w:rtl/>
        </w:rPr>
        <w:t>7</w:t>
      </w:r>
      <w:r w:rsidRPr="0068209D">
        <w:rPr>
          <w:rtl/>
        </w:rPr>
        <w:t xml:space="preserve"> شرط</w:t>
      </w:r>
      <w:r>
        <w:rPr>
          <w:rtl/>
        </w:rPr>
        <w:t>ي</w:t>
      </w:r>
      <w:r w:rsidRPr="0068209D">
        <w:rPr>
          <w:rtl/>
        </w:rPr>
        <w:t>.</w:t>
      </w:r>
    </w:p>
    <w:p w14:paraId="6E1E0893" w14:textId="42D6F655" w:rsidR="00C815DB" w:rsidRPr="00580372" w:rsidRDefault="00C815DB" w:rsidP="00580372">
      <w:pPr>
        <w:pStyle w:val="SingleTxtGA"/>
        <w:spacing w:after="0"/>
        <w:rPr>
          <w:lang w:eastAsia="zh-TW" w:bidi="en-GB"/>
        </w:rPr>
      </w:pPr>
      <w:r w:rsidRPr="0068209D">
        <w:rPr>
          <w:rtl/>
        </w:rPr>
        <w:t xml:space="preserve">الجدول </w:t>
      </w:r>
      <w:r w:rsidRPr="005C19F0">
        <w:rPr>
          <w:szCs w:val="20"/>
          <w:rtl/>
        </w:rPr>
        <w:t>12</w:t>
      </w:r>
    </w:p>
    <w:p w14:paraId="113BEF88" w14:textId="77777777" w:rsidR="00C815DB" w:rsidRPr="009C28DA" w:rsidRDefault="00C815DB" w:rsidP="009C28DA">
      <w:pPr>
        <w:pStyle w:val="SingleTxtGA"/>
        <w:rPr>
          <w:b/>
          <w:bCs/>
          <w:lang w:val="ar-SA" w:eastAsia="zh-TW" w:bidi="en-GB"/>
        </w:rPr>
      </w:pPr>
      <w:r w:rsidRPr="009C28DA">
        <w:rPr>
          <w:b/>
          <w:bCs/>
          <w:rtl/>
        </w:rPr>
        <w:t xml:space="preserve">توزّع الشخص </w:t>
      </w:r>
      <w:r w:rsidRPr="00EF3655">
        <w:rPr>
          <w:rtl/>
        </w:rPr>
        <w:t>-</w:t>
      </w:r>
      <w:r w:rsidRPr="009C28DA">
        <w:rPr>
          <w:b/>
          <w:bCs/>
          <w:rtl/>
        </w:rPr>
        <w:t xml:space="preserve"> السنة في تنظيم الشرطة</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20"/>
        <w:gridCol w:w="820"/>
        <w:gridCol w:w="820"/>
        <w:gridCol w:w="820"/>
        <w:gridCol w:w="821"/>
        <w:gridCol w:w="1142"/>
      </w:tblGrid>
      <w:tr w:rsidR="00C815DB" w:rsidRPr="00701C0F" w14:paraId="6D2D8852" w14:textId="77777777" w:rsidTr="00BE4C80">
        <w:trPr>
          <w:tblHeader/>
        </w:trPr>
        <w:tc>
          <w:tcPr>
            <w:tcW w:w="2127" w:type="dxa"/>
            <w:tcBorders>
              <w:top w:val="single" w:sz="4" w:space="0" w:color="auto"/>
              <w:bottom w:val="single" w:sz="12" w:space="0" w:color="auto"/>
            </w:tcBorders>
            <w:shd w:val="clear" w:color="auto" w:fill="auto"/>
            <w:vAlign w:val="bottom"/>
            <w:hideMark/>
          </w:tcPr>
          <w:p w14:paraId="4360FF42" w14:textId="77777777" w:rsidR="00C815DB" w:rsidRPr="00701C0F" w:rsidRDefault="00C815DB" w:rsidP="002717F4">
            <w:pPr>
              <w:spacing w:before="20" w:after="20" w:line="300" w:lineRule="exact"/>
              <w:ind w:left="57" w:right="57"/>
              <w:textDirection w:val="tbRlV"/>
              <w:rPr>
                <w:bCs/>
                <w:i/>
                <w:sz w:val="26"/>
                <w:szCs w:val="26"/>
                <w:lang w:val="ar-SA" w:eastAsia="zh-TW" w:bidi="en-GB"/>
              </w:rPr>
            </w:pPr>
            <w:r w:rsidRPr="00701C0F">
              <w:rPr>
                <w:i/>
                <w:iCs/>
                <w:sz w:val="26"/>
                <w:szCs w:val="26"/>
                <w:rtl/>
              </w:rPr>
              <w:t>السنة/الفئة</w:t>
            </w:r>
          </w:p>
        </w:tc>
        <w:tc>
          <w:tcPr>
            <w:tcW w:w="820" w:type="dxa"/>
            <w:tcBorders>
              <w:top w:val="single" w:sz="4" w:space="0" w:color="auto"/>
              <w:bottom w:val="single" w:sz="12" w:space="0" w:color="auto"/>
            </w:tcBorders>
            <w:shd w:val="clear" w:color="auto" w:fill="auto"/>
            <w:vAlign w:val="bottom"/>
            <w:hideMark/>
          </w:tcPr>
          <w:p w14:paraId="7B2D726C" w14:textId="77777777" w:rsidR="00C815DB" w:rsidRPr="00701C0F" w:rsidRDefault="00C815DB" w:rsidP="002717F4">
            <w:pPr>
              <w:spacing w:before="20" w:after="20" w:line="300" w:lineRule="exact"/>
              <w:ind w:left="57" w:right="57"/>
              <w:textDirection w:val="tbRlV"/>
              <w:rPr>
                <w:bCs/>
                <w:i/>
                <w:sz w:val="18"/>
                <w:szCs w:val="18"/>
                <w:lang w:val="ar-SA" w:eastAsia="zh-TW" w:bidi="en-GB"/>
              </w:rPr>
            </w:pPr>
            <w:r w:rsidRPr="00701C0F">
              <w:rPr>
                <w:i/>
                <w:iCs/>
                <w:sz w:val="18"/>
                <w:szCs w:val="18"/>
                <w:rtl/>
              </w:rPr>
              <w:t>2014</w:t>
            </w:r>
          </w:p>
        </w:tc>
        <w:tc>
          <w:tcPr>
            <w:tcW w:w="820" w:type="dxa"/>
            <w:tcBorders>
              <w:top w:val="single" w:sz="4" w:space="0" w:color="auto"/>
              <w:bottom w:val="single" w:sz="12" w:space="0" w:color="auto"/>
            </w:tcBorders>
            <w:shd w:val="clear" w:color="auto" w:fill="auto"/>
            <w:vAlign w:val="bottom"/>
            <w:hideMark/>
          </w:tcPr>
          <w:p w14:paraId="198B8535" w14:textId="77777777" w:rsidR="00C815DB" w:rsidRPr="00701C0F" w:rsidRDefault="00C815DB" w:rsidP="002717F4">
            <w:pPr>
              <w:spacing w:before="20" w:after="20" w:line="300" w:lineRule="exact"/>
              <w:ind w:left="57" w:right="57"/>
              <w:textDirection w:val="tbRlV"/>
              <w:rPr>
                <w:bCs/>
                <w:i/>
                <w:sz w:val="18"/>
                <w:szCs w:val="18"/>
                <w:lang w:val="ar-SA" w:eastAsia="zh-TW" w:bidi="en-GB"/>
              </w:rPr>
            </w:pPr>
            <w:r w:rsidRPr="00701C0F">
              <w:rPr>
                <w:i/>
                <w:iCs/>
                <w:sz w:val="18"/>
                <w:szCs w:val="18"/>
                <w:rtl/>
              </w:rPr>
              <w:t>2015</w:t>
            </w:r>
          </w:p>
        </w:tc>
        <w:tc>
          <w:tcPr>
            <w:tcW w:w="820" w:type="dxa"/>
            <w:tcBorders>
              <w:top w:val="single" w:sz="4" w:space="0" w:color="auto"/>
              <w:bottom w:val="single" w:sz="12" w:space="0" w:color="auto"/>
            </w:tcBorders>
            <w:shd w:val="clear" w:color="auto" w:fill="auto"/>
            <w:vAlign w:val="bottom"/>
            <w:hideMark/>
          </w:tcPr>
          <w:p w14:paraId="1882125B" w14:textId="77777777" w:rsidR="00C815DB" w:rsidRPr="00701C0F" w:rsidRDefault="00C815DB" w:rsidP="002717F4">
            <w:pPr>
              <w:spacing w:before="20" w:after="20" w:line="300" w:lineRule="exact"/>
              <w:ind w:left="57" w:right="57"/>
              <w:textDirection w:val="tbRlV"/>
              <w:rPr>
                <w:bCs/>
                <w:i/>
                <w:sz w:val="18"/>
                <w:szCs w:val="18"/>
                <w:lang w:val="ar-SA" w:eastAsia="zh-TW" w:bidi="en-GB"/>
              </w:rPr>
            </w:pPr>
            <w:r w:rsidRPr="00701C0F">
              <w:rPr>
                <w:i/>
                <w:iCs/>
                <w:sz w:val="18"/>
                <w:szCs w:val="18"/>
                <w:rtl/>
              </w:rPr>
              <w:t>2016</w:t>
            </w:r>
          </w:p>
        </w:tc>
        <w:tc>
          <w:tcPr>
            <w:tcW w:w="820" w:type="dxa"/>
            <w:tcBorders>
              <w:top w:val="single" w:sz="4" w:space="0" w:color="auto"/>
              <w:bottom w:val="single" w:sz="12" w:space="0" w:color="auto"/>
            </w:tcBorders>
            <w:shd w:val="clear" w:color="auto" w:fill="auto"/>
            <w:vAlign w:val="bottom"/>
            <w:hideMark/>
          </w:tcPr>
          <w:p w14:paraId="5106E734" w14:textId="77777777" w:rsidR="00C815DB" w:rsidRPr="00701C0F" w:rsidRDefault="00C815DB" w:rsidP="002717F4">
            <w:pPr>
              <w:spacing w:before="20" w:after="20" w:line="300" w:lineRule="exact"/>
              <w:ind w:left="57" w:right="57"/>
              <w:textDirection w:val="tbRlV"/>
              <w:rPr>
                <w:bCs/>
                <w:i/>
                <w:sz w:val="18"/>
                <w:szCs w:val="18"/>
                <w:lang w:val="ar-SA" w:eastAsia="zh-TW" w:bidi="en-GB"/>
              </w:rPr>
            </w:pPr>
            <w:r w:rsidRPr="00701C0F">
              <w:rPr>
                <w:i/>
                <w:iCs/>
                <w:sz w:val="18"/>
                <w:szCs w:val="18"/>
                <w:rtl/>
              </w:rPr>
              <w:t>2017</w:t>
            </w:r>
          </w:p>
        </w:tc>
        <w:tc>
          <w:tcPr>
            <w:tcW w:w="821" w:type="dxa"/>
            <w:tcBorders>
              <w:top w:val="single" w:sz="4" w:space="0" w:color="auto"/>
              <w:bottom w:val="single" w:sz="12" w:space="0" w:color="auto"/>
            </w:tcBorders>
            <w:shd w:val="clear" w:color="auto" w:fill="auto"/>
            <w:vAlign w:val="bottom"/>
            <w:hideMark/>
          </w:tcPr>
          <w:p w14:paraId="10E08DEF" w14:textId="77777777" w:rsidR="00C815DB" w:rsidRPr="00701C0F" w:rsidRDefault="00C815DB" w:rsidP="002717F4">
            <w:pPr>
              <w:spacing w:before="20" w:after="20" w:line="300" w:lineRule="exact"/>
              <w:ind w:left="57" w:right="57"/>
              <w:textDirection w:val="tbRlV"/>
              <w:rPr>
                <w:bCs/>
                <w:i/>
                <w:sz w:val="18"/>
                <w:szCs w:val="18"/>
                <w:lang w:val="ar-SA" w:eastAsia="zh-TW" w:bidi="en-GB"/>
              </w:rPr>
            </w:pPr>
            <w:r w:rsidRPr="00701C0F">
              <w:rPr>
                <w:i/>
                <w:iCs/>
                <w:sz w:val="18"/>
                <w:szCs w:val="18"/>
                <w:rtl/>
              </w:rPr>
              <w:t>2018</w:t>
            </w:r>
          </w:p>
        </w:tc>
        <w:tc>
          <w:tcPr>
            <w:tcW w:w="1142" w:type="dxa"/>
            <w:tcBorders>
              <w:top w:val="single" w:sz="4" w:space="0" w:color="auto"/>
              <w:bottom w:val="single" w:sz="12" w:space="0" w:color="auto"/>
            </w:tcBorders>
            <w:shd w:val="clear" w:color="auto" w:fill="auto"/>
            <w:vAlign w:val="bottom"/>
            <w:hideMark/>
          </w:tcPr>
          <w:p w14:paraId="11B1CDB6" w14:textId="77777777" w:rsidR="00C815DB" w:rsidRPr="00701C0F" w:rsidRDefault="00C815DB" w:rsidP="002717F4">
            <w:pPr>
              <w:spacing w:before="20" w:after="20" w:line="300" w:lineRule="exact"/>
              <w:ind w:left="57" w:right="57"/>
              <w:textDirection w:val="tbRlV"/>
              <w:rPr>
                <w:bCs/>
                <w:i/>
                <w:sz w:val="26"/>
                <w:szCs w:val="26"/>
                <w:lang w:val="ar-SA" w:eastAsia="zh-TW" w:bidi="en-GB"/>
              </w:rPr>
            </w:pPr>
            <w:r w:rsidRPr="00701C0F">
              <w:rPr>
                <w:i/>
                <w:iCs/>
                <w:sz w:val="26"/>
                <w:szCs w:val="26"/>
                <w:rtl/>
              </w:rPr>
              <w:t>التغير مقارنة بالسنة السابقة</w:t>
            </w:r>
          </w:p>
        </w:tc>
      </w:tr>
      <w:tr w:rsidR="00C815DB" w:rsidRPr="00701C0F" w14:paraId="3232E9E9" w14:textId="77777777" w:rsidTr="00BE4C80">
        <w:trPr>
          <w:trHeight w:hRule="exact" w:val="113"/>
          <w:tblHeader/>
        </w:trPr>
        <w:tc>
          <w:tcPr>
            <w:tcW w:w="2127" w:type="dxa"/>
            <w:tcBorders>
              <w:top w:val="single" w:sz="12" w:space="0" w:color="auto"/>
              <w:bottom w:val="nil"/>
            </w:tcBorders>
            <w:shd w:val="clear" w:color="auto" w:fill="auto"/>
            <w:vAlign w:val="bottom"/>
          </w:tcPr>
          <w:p w14:paraId="06D39D64" w14:textId="77777777" w:rsidR="00C815DB" w:rsidRPr="00701C0F" w:rsidRDefault="00C815DB" w:rsidP="002717F4">
            <w:pPr>
              <w:spacing w:before="20" w:after="20" w:line="300" w:lineRule="exact"/>
              <w:ind w:left="57" w:right="57"/>
              <w:rPr>
                <w:bCs/>
                <w:i/>
                <w:sz w:val="26"/>
                <w:szCs w:val="26"/>
              </w:rPr>
            </w:pPr>
          </w:p>
        </w:tc>
        <w:tc>
          <w:tcPr>
            <w:tcW w:w="820" w:type="dxa"/>
            <w:tcBorders>
              <w:top w:val="single" w:sz="12" w:space="0" w:color="auto"/>
              <w:bottom w:val="nil"/>
            </w:tcBorders>
            <w:shd w:val="clear" w:color="auto" w:fill="auto"/>
            <w:vAlign w:val="bottom"/>
          </w:tcPr>
          <w:p w14:paraId="7F49B282" w14:textId="77777777" w:rsidR="00C815DB" w:rsidRPr="00701C0F" w:rsidRDefault="00C815DB" w:rsidP="002717F4">
            <w:pPr>
              <w:spacing w:before="20" w:after="20" w:line="300" w:lineRule="exact"/>
              <w:ind w:left="57" w:right="57"/>
              <w:rPr>
                <w:bCs/>
                <w:i/>
                <w:sz w:val="18"/>
                <w:szCs w:val="18"/>
              </w:rPr>
            </w:pPr>
          </w:p>
        </w:tc>
        <w:tc>
          <w:tcPr>
            <w:tcW w:w="820" w:type="dxa"/>
            <w:tcBorders>
              <w:top w:val="single" w:sz="12" w:space="0" w:color="auto"/>
              <w:bottom w:val="nil"/>
            </w:tcBorders>
            <w:shd w:val="clear" w:color="auto" w:fill="auto"/>
            <w:vAlign w:val="bottom"/>
          </w:tcPr>
          <w:p w14:paraId="4952135F" w14:textId="77777777" w:rsidR="00C815DB" w:rsidRPr="00701C0F" w:rsidRDefault="00C815DB" w:rsidP="002717F4">
            <w:pPr>
              <w:spacing w:before="20" w:after="20" w:line="300" w:lineRule="exact"/>
              <w:ind w:left="57" w:right="57"/>
              <w:rPr>
                <w:bCs/>
                <w:i/>
                <w:sz w:val="18"/>
                <w:szCs w:val="18"/>
              </w:rPr>
            </w:pPr>
          </w:p>
        </w:tc>
        <w:tc>
          <w:tcPr>
            <w:tcW w:w="820" w:type="dxa"/>
            <w:tcBorders>
              <w:top w:val="single" w:sz="12" w:space="0" w:color="auto"/>
              <w:bottom w:val="nil"/>
            </w:tcBorders>
            <w:shd w:val="clear" w:color="auto" w:fill="auto"/>
            <w:vAlign w:val="bottom"/>
          </w:tcPr>
          <w:p w14:paraId="6CBDFDF3" w14:textId="77777777" w:rsidR="00C815DB" w:rsidRPr="00701C0F" w:rsidRDefault="00C815DB" w:rsidP="002717F4">
            <w:pPr>
              <w:spacing w:before="20" w:after="20" w:line="300" w:lineRule="exact"/>
              <w:ind w:left="57" w:right="57"/>
              <w:rPr>
                <w:bCs/>
                <w:i/>
                <w:sz w:val="18"/>
                <w:szCs w:val="18"/>
              </w:rPr>
            </w:pPr>
          </w:p>
        </w:tc>
        <w:tc>
          <w:tcPr>
            <w:tcW w:w="820" w:type="dxa"/>
            <w:tcBorders>
              <w:top w:val="single" w:sz="12" w:space="0" w:color="auto"/>
              <w:bottom w:val="nil"/>
            </w:tcBorders>
            <w:shd w:val="clear" w:color="auto" w:fill="auto"/>
            <w:vAlign w:val="bottom"/>
          </w:tcPr>
          <w:p w14:paraId="4FC43655" w14:textId="77777777" w:rsidR="00C815DB" w:rsidRPr="00701C0F" w:rsidRDefault="00C815DB" w:rsidP="002717F4">
            <w:pPr>
              <w:spacing w:before="20" w:after="20" w:line="300" w:lineRule="exact"/>
              <w:ind w:left="57" w:right="57"/>
              <w:rPr>
                <w:bCs/>
                <w:i/>
                <w:sz w:val="18"/>
                <w:szCs w:val="18"/>
              </w:rPr>
            </w:pPr>
          </w:p>
        </w:tc>
        <w:tc>
          <w:tcPr>
            <w:tcW w:w="821" w:type="dxa"/>
            <w:tcBorders>
              <w:top w:val="single" w:sz="12" w:space="0" w:color="auto"/>
              <w:bottom w:val="nil"/>
            </w:tcBorders>
            <w:shd w:val="clear" w:color="auto" w:fill="auto"/>
            <w:vAlign w:val="bottom"/>
          </w:tcPr>
          <w:p w14:paraId="356539D0" w14:textId="77777777" w:rsidR="00C815DB" w:rsidRPr="00701C0F" w:rsidRDefault="00C815DB" w:rsidP="002717F4">
            <w:pPr>
              <w:spacing w:before="20" w:after="20" w:line="300" w:lineRule="exact"/>
              <w:ind w:left="57" w:right="57"/>
              <w:rPr>
                <w:bCs/>
                <w:i/>
                <w:sz w:val="18"/>
                <w:szCs w:val="18"/>
              </w:rPr>
            </w:pPr>
          </w:p>
        </w:tc>
        <w:tc>
          <w:tcPr>
            <w:tcW w:w="1142" w:type="dxa"/>
            <w:tcBorders>
              <w:top w:val="single" w:sz="12" w:space="0" w:color="auto"/>
              <w:bottom w:val="nil"/>
            </w:tcBorders>
            <w:shd w:val="clear" w:color="auto" w:fill="auto"/>
            <w:vAlign w:val="bottom"/>
          </w:tcPr>
          <w:p w14:paraId="0767BFBA" w14:textId="77777777" w:rsidR="00C815DB" w:rsidRPr="00701C0F" w:rsidRDefault="00C815DB" w:rsidP="002717F4">
            <w:pPr>
              <w:spacing w:before="20" w:after="20" w:line="300" w:lineRule="exact"/>
              <w:ind w:left="57" w:right="57"/>
              <w:rPr>
                <w:bCs/>
                <w:i/>
                <w:sz w:val="18"/>
                <w:szCs w:val="18"/>
              </w:rPr>
            </w:pPr>
          </w:p>
        </w:tc>
      </w:tr>
      <w:tr w:rsidR="00545B56" w:rsidRPr="00701C0F" w14:paraId="131436E0" w14:textId="77777777" w:rsidTr="00BE4C80">
        <w:tc>
          <w:tcPr>
            <w:tcW w:w="2127" w:type="dxa"/>
            <w:tcBorders>
              <w:top w:val="nil"/>
              <w:bottom w:val="nil"/>
            </w:tcBorders>
            <w:shd w:val="clear" w:color="auto" w:fill="auto"/>
            <w:hideMark/>
          </w:tcPr>
          <w:p w14:paraId="664450FB"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الرؤساء</w:t>
            </w:r>
          </w:p>
        </w:tc>
        <w:tc>
          <w:tcPr>
            <w:tcW w:w="820" w:type="dxa"/>
            <w:tcBorders>
              <w:top w:val="nil"/>
              <w:bottom w:val="nil"/>
            </w:tcBorders>
            <w:shd w:val="clear" w:color="auto" w:fill="auto"/>
            <w:vAlign w:val="bottom"/>
          </w:tcPr>
          <w:p w14:paraId="65E39602" w14:textId="2C655ED4" w:rsidR="00545B56" w:rsidRPr="00701C0F" w:rsidRDefault="00545B56" w:rsidP="002717F4">
            <w:pPr>
              <w:spacing w:before="20" w:after="20" w:line="300" w:lineRule="exact"/>
              <w:ind w:left="57" w:right="57"/>
              <w:rPr>
                <w:sz w:val="18"/>
                <w:szCs w:val="18"/>
              </w:rPr>
            </w:pPr>
            <w:r w:rsidRPr="002D3BB0">
              <w:rPr>
                <w:sz w:val="18"/>
                <w:szCs w:val="24"/>
              </w:rPr>
              <w:t>53</w:t>
            </w:r>
          </w:p>
        </w:tc>
        <w:tc>
          <w:tcPr>
            <w:tcW w:w="820" w:type="dxa"/>
            <w:tcBorders>
              <w:top w:val="nil"/>
              <w:bottom w:val="nil"/>
            </w:tcBorders>
            <w:shd w:val="clear" w:color="auto" w:fill="auto"/>
            <w:vAlign w:val="bottom"/>
          </w:tcPr>
          <w:p w14:paraId="66FEA8FC" w14:textId="47F3C60E" w:rsidR="00545B56" w:rsidRPr="00701C0F" w:rsidRDefault="00545B56" w:rsidP="002717F4">
            <w:pPr>
              <w:spacing w:before="20" w:after="20" w:line="300" w:lineRule="exact"/>
              <w:ind w:left="57" w:right="57"/>
              <w:rPr>
                <w:sz w:val="18"/>
                <w:szCs w:val="18"/>
              </w:rPr>
            </w:pPr>
            <w:r w:rsidRPr="002D3BB0">
              <w:rPr>
                <w:sz w:val="18"/>
                <w:szCs w:val="24"/>
              </w:rPr>
              <w:t>52</w:t>
            </w:r>
          </w:p>
        </w:tc>
        <w:tc>
          <w:tcPr>
            <w:tcW w:w="820" w:type="dxa"/>
            <w:tcBorders>
              <w:top w:val="nil"/>
              <w:bottom w:val="nil"/>
            </w:tcBorders>
            <w:shd w:val="clear" w:color="auto" w:fill="auto"/>
            <w:vAlign w:val="bottom"/>
          </w:tcPr>
          <w:p w14:paraId="52A5B8B7" w14:textId="6E01D529" w:rsidR="00545B56" w:rsidRPr="00701C0F" w:rsidRDefault="00545B56" w:rsidP="002717F4">
            <w:pPr>
              <w:spacing w:before="20" w:after="20" w:line="300" w:lineRule="exact"/>
              <w:ind w:left="57" w:right="57"/>
              <w:rPr>
                <w:sz w:val="18"/>
                <w:szCs w:val="18"/>
              </w:rPr>
            </w:pPr>
            <w:r w:rsidRPr="002D3BB0">
              <w:rPr>
                <w:sz w:val="18"/>
                <w:szCs w:val="24"/>
              </w:rPr>
              <w:t>47</w:t>
            </w:r>
          </w:p>
        </w:tc>
        <w:tc>
          <w:tcPr>
            <w:tcW w:w="820" w:type="dxa"/>
            <w:tcBorders>
              <w:top w:val="nil"/>
              <w:bottom w:val="nil"/>
            </w:tcBorders>
            <w:shd w:val="clear" w:color="auto" w:fill="auto"/>
            <w:vAlign w:val="bottom"/>
          </w:tcPr>
          <w:p w14:paraId="3AAC3745" w14:textId="575B6A13" w:rsidR="00545B56" w:rsidRPr="00701C0F" w:rsidRDefault="00545B56" w:rsidP="002717F4">
            <w:pPr>
              <w:spacing w:before="20" w:after="20" w:line="300" w:lineRule="exact"/>
              <w:ind w:left="57" w:right="57"/>
              <w:rPr>
                <w:sz w:val="18"/>
                <w:szCs w:val="18"/>
              </w:rPr>
            </w:pPr>
            <w:r w:rsidRPr="002D3BB0">
              <w:rPr>
                <w:sz w:val="18"/>
                <w:szCs w:val="24"/>
              </w:rPr>
              <w:t>44</w:t>
            </w:r>
          </w:p>
        </w:tc>
        <w:tc>
          <w:tcPr>
            <w:tcW w:w="821" w:type="dxa"/>
            <w:tcBorders>
              <w:top w:val="nil"/>
              <w:bottom w:val="nil"/>
            </w:tcBorders>
            <w:shd w:val="clear" w:color="auto" w:fill="auto"/>
            <w:vAlign w:val="bottom"/>
          </w:tcPr>
          <w:p w14:paraId="7BD13664" w14:textId="69012F32" w:rsidR="00545B56" w:rsidRPr="00701C0F" w:rsidRDefault="00545B56" w:rsidP="002717F4">
            <w:pPr>
              <w:spacing w:before="20" w:after="20" w:line="300" w:lineRule="exact"/>
              <w:ind w:left="57" w:right="57"/>
              <w:rPr>
                <w:sz w:val="18"/>
                <w:szCs w:val="18"/>
                <w:rtl/>
              </w:rPr>
            </w:pPr>
            <w:r w:rsidRPr="002D3BB0">
              <w:rPr>
                <w:sz w:val="18"/>
                <w:szCs w:val="24"/>
              </w:rPr>
              <w:t>43</w:t>
            </w:r>
          </w:p>
        </w:tc>
        <w:tc>
          <w:tcPr>
            <w:tcW w:w="1142" w:type="dxa"/>
            <w:tcBorders>
              <w:top w:val="nil"/>
              <w:bottom w:val="nil"/>
            </w:tcBorders>
            <w:shd w:val="clear" w:color="auto" w:fill="auto"/>
            <w:vAlign w:val="bottom"/>
          </w:tcPr>
          <w:p w14:paraId="2420A2D9" w14:textId="722C58B9" w:rsidR="00545B56" w:rsidRPr="00701C0F" w:rsidRDefault="00DB0107" w:rsidP="002717F4">
            <w:pPr>
              <w:spacing w:before="20" w:after="20" w:line="300" w:lineRule="exact"/>
              <w:ind w:left="57" w:right="57"/>
              <w:rPr>
                <w:sz w:val="18"/>
                <w:szCs w:val="18"/>
                <w:rtl/>
              </w:rPr>
            </w:pPr>
            <w:r w:rsidRPr="002D3BB0">
              <w:rPr>
                <w:sz w:val="18"/>
                <w:szCs w:val="24"/>
                <w:rtl/>
              </w:rPr>
              <w:t>-</w:t>
            </w:r>
            <w:r w:rsidR="00545B56" w:rsidRPr="002D3BB0">
              <w:rPr>
                <w:sz w:val="18"/>
                <w:szCs w:val="24"/>
              </w:rPr>
              <w:t>1</w:t>
            </w:r>
          </w:p>
        </w:tc>
      </w:tr>
      <w:tr w:rsidR="00545B56" w:rsidRPr="00701C0F" w14:paraId="3FF64DBA" w14:textId="77777777" w:rsidTr="00BE4C80">
        <w:tc>
          <w:tcPr>
            <w:tcW w:w="2127" w:type="dxa"/>
            <w:tcBorders>
              <w:top w:val="nil"/>
            </w:tcBorders>
            <w:shd w:val="clear" w:color="auto" w:fill="auto"/>
            <w:hideMark/>
          </w:tcPr>
          <w:p w14:paraId="0989F344"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القادة</w:t>
            </w:r>
          </w:p>
        </w:tc>
        <w:tc>
          <w:tcPr>
            <w:tcW w:w="820" w:type="dxa"/>
            <w:tcBorders>
              <w:top w:val="nil"/>
            </w:tcBorders>
            <w:shd w:val="clear" w:color="auto" w:fill="auto"/>
            <w:vAlign w:val="bottom"/>
          </w:tcPr>
          <w:p w14:paraId="0C461A8C" w14:textId="5B1EA025" w:rsidR="00545B56" w:rsidRPr="00701C0F" w:rsidRDefault="00545B56" w:rsidP="002717F4">
            <w:pPr>
              <w:spacing w:before="20" w:after="20" w:line="300" w:lineRule="exact"/>
              <w:ind w:left="57" w:right="57"/>
              <w:rPr>
                <w:sz w:val="18"/>
                <w:szCs w:val="18"/>
              </w:rPr>
            </w:pPr>
            <w:r w:rsidRPr="002D3BB0">
              <w:rPr>
                <w:sz w:val="18"/>
                <w:szCs w:val="24"/>
              </w:rPr>
              <w:t>712</w:t>
            </w:r>
          </w:p>
        </w:tc>
        <w:tc>
          <w:tcPr>
            <w:tcW w:w="820" w:type="dxa"/>
            <w:tcBorders>
              <w:top w:val="nil"/>
            </w:tcBorders>
            <w:shd w:val="clear" w:color="auto" w:fill="auto"/>
            <w:vAlign w:val="bottom"/>
          </w:tcPr>
          <w:p w14:paraId="78753217" w14:textId="40F28462" w:rsidR="00545B56" w:rsidRPr="00701C0F" w:rsidRDefault="00545B56" w:rsidP="002717F4">
            <w:pPr>
              <w:spacing w:before="20" w:after="20" w:line="300" w:lineRule="exact"/>
              <w:ind w:left="57" w:right="57"/>
              <w:rPr>
                <w:sz w:val="18"/>
                <w:szCs w:val="18"/>
              </w:rPr>
            </w:pPr>
            <w:r w:rsidRPr="002D3BB0">
              <w:rPr>
                <w:sz w:val="18"/>
                <w:szCs w:val="24"/>
              </w:rPr>
              <w:t>705</w:t>
            </w:r>
          </w:p>
        </w:tc>
        <w:tc>
          <w:tcPr>
            <w:tcW w:w="820" w:type="dxa"/>
            <w:tcBorders>
              <w:top w:val="nil"/>
            </w:tcBorders>
            <w:shd w:val="clear" w:color="auto" w:fill="auto"/>
            <w:vAlign w:val="bottom"/>
          </w:tcPr>
          <w:p w14:paraId="430F9644" w14:textId="32CD6E62" w:rsidR="00545B56" w:rsidRPr="00701C0F" w:rsidRDefault="00545B56" w:rsidP="002717F4">
            <w:pPr>
              <w:spacing w:before="20" w:after="20" w:line="300" w:lineRule="exact"/>
              <w:ind w:left="57" w:right="57"/>
              <w:rPr>
                <w:sz w:val="18"/>
                <w:szCs w:val="18"/>
              </w:rPr>
            </w:pPr>
            <w:r w:rsidRPr="002D3BB0">
              <w:rPr>
                <w:sz w:val="18"/>
                <w:szCs w:val="24"/>
              </w:rPr>
              <w:t>680</w:t>
            </w:r>
          </w:p>
        </w:tc>
        <w:tc>
          <w:tcPr>
            <w:tcW w:w="820" w:type="dxa"/>
            <w:tcBorders>
              <w:top w:val="nil"/>
            </w:tcBorders>
            <w:shd w:val="clear" w:color="auto" w:fill="auto"/>
            <w:vAlign w:val="bottom"/>
          </w:tcPr>
          <w:p w14:paraId="4804768F" w14:textId="0E1063B8" w:rsidR="00545B56" w:rsidRPr="00701C0F" w:rsidRDefault="00545B56" w:rsidP="002717F4">
            <w:pPr>
              <w:spacing w:before="20" w:after="20" w:line="300" w:lineRule="exact"/>
              <w:ind w:left="57" w:right="57"/>
              <w:rPr>
                <w:sz w:val="18"/>
                <w:szCs w:val="18"/>
              </w:rPr>
            </w:pPr>
            <w:r w:rsidRPr="002D3BB0">
              <w:rPr>
                <w:sz w:val="18"/>
                <w:szCs w:val="24"/>
              </w:rPr>
              <w:t>685</w:t>
            </w:r>
          </w:p>
        </w:tc>
        <w:tc>
          <w:tcPr>
            <w:tcW w:w="821" w:type="dxa"/>
            <w:tcBorders>
              <w:top w:val="nil"/>
            </w:tcBorders>
            <w:shd w:val="clear" w:color="auto" w:fill="auto"/>
            <w:vAlign w:val="bottom"/>
          </w:tcPr>
          <w:p w14:paraId="6E452D34" w14:textId="25CE5393" w:rsidR="00545B56" w:rsidRPr="00701C0F" w:rsidRDefault="00545B56" w:rsidP="002717F4">
            <w:pPr>
              <w:spacing w:before="20" w:after="20" w:line="300" w:lineRule="exact"/>
              <w:ind w:left="57" w:right="57"/>
              <w:rPr>
                <w:sz w:val="18"/>
                <w:szCs w:val="18"/>
              </w:rPr>
            </w:pPr>
            <w:r w:rsidRPr="002D3BB0">
              <w:rPr>
                <w:sz w:val="18"/>
                <w:szCs w:val="24"/>
              </w:rPr>
              <w:t>703</w:t>
            </w:r>
          </w:p>
        </w:tc>
        <w:tc>
          <w:tcPr>
            <w:tcW w:w="1142" w:type="dxa"/>
            <w:tcBorders>
              <w:top w:val="nil"/>
            </w:tcBorders>
            <w:shd w:val="clear" w:color="auto" w:fill="auto"/>
            <w:vAlign w:val="bottom"/>
          </w:tcPr>
          <w:p w14:paraId="6EE41B40" w14:textId="7768FE0C" w:rsidR="00545B56" w:rsidRPr="00701C0F" w:rsidRDefault="00545B56" w:rsidP="002717F4">
            <w:pPr>
              <w:spacing w:before="20" w:after="20" w:line="300" w:lineRule="exact"/>
              <w:ind w:left="57" w:right="57"/>
              <w:rPr>
                <w:sz w:val="18"/>
                <w:szCs w:val="18"/>
              </w:rPr>
            </w:pPr>
            <w:r w:rsidRPr="002D3BB0">
              <w:rPr>
                <w:sz w:val="18"/>
                <w:szCs w:val="24"/>
              </w:rPr>
              <w:t>18</w:t>
            </w:r>
          </w:p>
        </w:tc>
      </w:tr>
      <w:tr w:rsidR="00545B56" w:rsidRPr="00701C0F" w14:paraId="1C168705" w14:textId="77777777" w:rsidTr="00BE4C80">
        <w:tc>
          <w:tcPr>
            <w:tcW w:w="2127" w:type="dxa"/>
            <w:shd w:val="clear" w:color="auto" w:fill="auto"/>
            <w:hideMark/>
          </w:tcPr>
          <w:p w14:paraId="6710AC90"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المسؤولون الكبار</w:t>
            </w:r>
          </w:p>
        </w:tc>
        <w:tc>
          <w:tcPr>
            <w:tcW w:w="820" w:type="dxa"/>
            <w:shd w:val="clear" w:color="auto" w:fill="auto"/>
            <w:vAlign w:val="bottom"/>
          </w:tcPr>
          <w:p w14:paraId="05B901E8" w14:textId="11E715C9" w:rsidR="00545B56" w:rsidRPr="00701C0F" w:rsidRDefault="00545B56" w:rsidP="002717F4">
            <w:pPr>
              <w:spacing w:before="20" w:after="20" w:line="300" w:lineRule="exact"/>
              <w:ind w:left="57" w:right="57"/>
              <w:rPr>
                <w:sz w:val="18"/>
                <w:szCs w:val="18"/>
              </w:rPr>
            </w:pPr>
            <w:r w:rsidRPr="002D3BB0">
              <w:rPr>
                <w:sz w:val="18"/>
                <w:szCs w:val="24"/>
              </w:rPr>
              <w:t>1 891</w:t>
            </w:r>
          </w:p>
        </w:tc>
        <w:tc>
          <w:tcPr>
            <w:tcW w:w="820" w:type="dxa"/>
            <w:shd w:val="clear" w:color="auto" w:fill="auto"/>
            <w:vAlign w:val="bottom"/>
          </w:tcPr>
          <w:p w14:paraId="258AE2D8" w14:textId="693B8A92" w:rsidR="00545B56" w:rsidRPr="00701C0F" w:rsidRDefault="00545B56" w:rsidP="002717F4">
            <w:pPr>
              <w:spacing w:before="20" w:after="20" w:line="300" w:lineRule="exact"/>
              <w:ind w:left="57" w:right="57"/>
              <w:rPr>
                <w:sz w:val="18"/>
                <w:szCs w:val="18"/>
              </w:rPr>
            </w:pPr>
            <w:r w:rsidRPr="002D3BB0">
              <w:rPr>
                <w:sz w:val="18"/>
                <w:szCs w:val="24"/>
              </w:rPr>
              <w:t>1 816</w:t>
            </w:r>
          </w:p>
        </w:tc>
        <w:tc>
          <w:tcPr>
            <w:tcW w:w="820" w:type="dxa"/>
            <w:shd w:val="clear" w:color="auto" w:fill="auto"/>
            <w:vAlign w:val="bottom"/>
          </w:tcPr>
          <w:p w14:paraId="5C2D4FD5" w14:textId="2C3FF8FA" w:rsidR="00545B56" w:rsidRPr="00701C0F" w:rsidRDefault="00545B56" w:rsidP="002717F4">
            <w:pPr>
              <w:spacing w:before="20" w:after="20" w:line="300" w:lineRule="exact"/>
              <w:ind w:left="57" w:right="57"/>
              <w:rPr>
                <w:sz w:val="18"/>
                <w:szCs w:val="18"/>
              </w:rPr>
            </w:pPr>
            <w:r w:rsidRPr="002D3BB0">
              <w:rPr>
                <w:sz w:val="18"/>
                <w:szCs w:val="24"/>
              </w:rPr>
              <w:t>1 781</w:t>
            </w:r>
          </w:p>
        </w:tc>
        <w:tc>
          <w:tcPr>
            <w:tcW w:w="820" w:type="dxa"/>
            <w:shd w:val="clear" w:color="auto" w:fill="auto"/>
            <w:vAlign w:val="bottom"/>
          </w:tcPr>
          <w:p w14:paraId="515C96A3" w14:textId="2D3F64EA" w:rsidR="00545B56" w:rsidRPr="00701C0F" w:rsidRDefault="00545B56" w:rsidP="002717F4">
            <w:pPr>
              <w:spacing w:before="20" w:after="20" w:line="300" w:lineRule="exact"/>
              <w:ind w:left="57" w:right="57"/>
              <w:rPr>
                <w:sz w:val="18"/>
                <w:szCs w:val="18"/>
              </w:rPr>
            </w:pPr>
            <w:r w:rsidRPr="002D3BB0">
              <w:rPr>
                <w:sz w:val="18"/>
                <w:szCs w:val="24"/>
              </w:rPr>
              <w:t>1 732</w:t>
            </w:r>
          </w:p>
        </w:tc>
        <w:tc>
          <w:tcPr>
            <w:tcW w:w="821" w:type="dxa"/>
            <w:shd w:val="clear" w:color="auto" w:fill="auto"/>
            <w:vAlign w:val="bottom"/>
          </w:tcPr>
          <w:p w14:paraId="680BD982" w14:textId="740F3388" w:rsidR="00545B56" w:rsidRPr="00701C0F" w:rsidRDefault="00545B56" w:rsidP="002717F4">
            <w:pPr>
              <w:spacing w:before="20" w:after="20" w:line="300" w:lineRule="exact"/>
              <w:ind w:left="57" w:right="57"/>
              <w:rPr>
                <w:sz w:val="18"/>
                <w:szCs w:val="18"/>
              </w:rPr>
            </w:pPr>
            <w:r w:rsidRPr="002D3BB0">
              <w:rPr>
                <w:sz w:val="18"/>
                <w:szCs w:val="24"/>
              </w:rPr>
              <w:t>1 745</w:t>
            </w:r>
          </w:p>
        </w:tc>
        <w:tc>
          <w:tcPr>
            <w:tcW w:w="1142" w:type="dxa"/>
            <w:shd w:val="clear" w:color="auto" w:fill="auto"/>
            <w:vAlign w:val="bottom"/>
          </w:tcPr>
          <w:p w14:paraId="29A43874" w14:textId="0638D009" w:rsidR="00545B56" w:rsidRPr="00701C0F" w:rsidRDefault="00545B56" w:rsidP="002717F4">
            <w:pPr>
              <w:spacing w:before="20" w:after="20" w:line="300" w:lineRule="exact"/>
              <w:ind w:left="57" w:right="57"/>
              <w:rPr>
                <w:sz w:val="18"/>
                <w:szCs w:val="18"/>
              </w:rPr>
            </w:pPr>
            <w:r w:rsidRPr="002D3BB0">
              <w:rPr>
                <w:sz w:val="18"/>
                <w:szCs w:val="24"/>
              </w:rPr>
              <w:t>13</w:t>
            </w:r>
          </w:p>
        </w:tc>
      </w:tr>
      <w:tr w:rsidR="00545B56" w:rsidRPr="00701C0F" w14:paraId="05955256" w14:textId="77777777" w:rsidTr="00BE4C80">
        <w:tc>
          <w:tcPr>
            <w:tcW w:w="2127" w:type="dxa"/>
            <w:shd w:val="clear" w:color="auto" w:fill="auto"/>
            <w:hideMark/>
          </w:tcPr>
          <w:p w14:paraId="27468C3B"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أفراد الشرطة والرتب الأخرى</w:t>
            </w:r>
          </w:p>
        </w:tc>
        <w:tc>
          <w:tcPr>
            <w:tcW w:w="820" w:type="dxa"/>
            <w:shd w:val="clear" w:color="auto" w:fill="auto"/>
            <w:vAlign w:val="bottom"/>
          </w:tcPr>
          <w:p w14:paraId="587E7CDD" w14:textId="4C91A4D6" w:rsidR="00545B56" w:rsidRPr="00701C0F" w:rsidRDefault="00545B56" w:rsidP="002717F4">
            <w:pPr>
              <w:spacing w:before="20" w:after="20" w:line="300" w:lineRule="exact"/>
              <w:ind w:left="57" w:right="57"/>
              <w:rPr>
                <w:sz w:val="18"/>
                <w:szCs w:val="18"/>
              </w:rPr>
            </w:pPr>
            <w:r w:rsidRPr="002D3BB0">
              <w:rPr>
                <w:sz w:val="18"/>
                <w:szCs w:val="24"/>
              </w:rPr>
              <w:t>4 733</w:t>
            </w:r>
          </w:p>
        </w:tc>
        <w:tc>
          <w:tcPr>
            <w:tcW w:w="820" w:type="dxa"/>
            <w:shd w:val="clear" w:color="auto" w:fill="auto"/>
            <w:vAlign w:val="bottom"/>
          </w:tcPr>
          <w:p w14:paraId="0789046D" w14:textId="0A6D8F18" w:rsidR="00545B56" w:rsidRPr="00701C0F" w:rsidRDefault="00545B56" w:rsidP="002717F4">
            <w:pPr>
              <w:spacing w:before="20" w:after="20" w:line="300" w:lineRule="exact"/>
              <w:ind w:left="57" w:right="57"/>
              <w:rPr>
                <w:sz w:val="18"/>
                <w:szCs w:val="18"/>
              </w:rPr>
            </w:pPr>
            <w:r w:rsidRPr="002D3BB0">
              <w:rPr>
                <w:sz w:val="18"/>
                <w:szCs w:val="24"/>
              </w:rPr>
              <w:t>4 759</w:t>
            </w:r>
          </w:p>
        </w:tc>
        <w:tc>
          <w:tcPr>
            <w:tcW w:w="820" w:type="dxa"/>
            <w:shd w:val="clear" w:color="auto" w:fill="auto"/>
            <w:vAlign w:val="bottom"/>
          </w:tcPr>
          <w:p w14:paraId="2E7B90C8" w14:textId="28174E08" w:rsidR="00545B56" w:rsidRPr="00701C0F" w:rsidRDefault="00545B56" w:rsidP="002717F4">
            <w:pPr>
              <w:spacing w:before="20" w:after="20" w:line="300" w:lineRule="exact"/>
              <w:ind w:left="57" w:right="57"/>
              <w:rPr>
                <w:sz w:val="18"/>
                <w:szCs w:val="18"/>
              </w:rPr>
            </w:pPr>
            <w:r w:rsidRPr="002D3BB0">
              <w:rPr>
                <w:sz w:val="18"/>
                <w:szCs w:val="24"/>
              </w:rPr>
              <w:t>4 703</w:t>
            </w:r>
          </w:p>
        </w:tc>
        <w:tc>
          <w:tcPr>
            <w:tcW w:w="820" w:type="dxa"/>
            <w:shd w:val="clear" w:color="auto" w:fill="auto"/>
            <w:vAlign w:val="bottom"/>
          </w:tcPr>
          <w:p w14:paraId="556E118F" w14:textId="2119593B" w:rsidR="00545B56" w:rsidRPr="00701C0F" w:rsidRDefault="00545B56" w:rsidP="002717F4">
            <w:pPr>
              <w:spacing w:before="20" w:after="20" w:line="300" w:lineRule="exact"/>
              <w:ind w:left="57" w:right="57"/>
              <w:rPr>
                <w:sz w:val="18"/>
                <w:szCs w:val="18"/>
              </w:rPr>
            </w:pPr>
            <w:r w:rsidRPr="002D3BB0">
              <w:rPr>
                <w:sz w:val="18"/>
                <w:szCs w:val="24"/>
              </w:rPr>
              <w:t>4 687</w:t>
            </w:r>
          </w:p>
        </w:tc>
        <w:tc>
          <w:tcPr>
            <w:tcW w:w="821" w:type="dxa"/>
            <w:shd w:val="clear" w:color="auto" w:fill="auto"/>
            <w:vAlign w:val="bottom"/>
          </w:tcPr>
          <w:p w14:paraId="7AA49108" w14:textId="6480FB7B" w:rsidR="00545B56" w:rsidRPr="00701C0F" w:rsidRDefault="00545B56" w:rsidP="002717F4">
            <w:pPr>
              <w:spacing w:before="20" w:after="20" w:line="300" w:lineRule="exact"/>
              <w:ind w:left="57" w:right="57"/>
              <w:rPr>
                <w:sz w:val="18"/>
                <w:szCs w:val="18"/>
              </w:rPr>
            </w:pPr>
            <w:r w:rsidRPr="002D3BB0">
              <w:rPr>
                <w:sz w:val="18"/>
                <w:szCs w:val="24"/>
              </w:rPr>
              <w:t>4 709</w:t>
            </w:r>
          </w:p>
        </w:tc>
        <w:tc>
          <w:tcPr>
            <w:tcW w:w="1142" w:type="dxa"/>
            <w:shd w:val="clear" w:color="auto" w:fill="auto"/>
            <w:vAlign w:val="bottom"/>
          </w:tcPr>
          <w:p w14:paraId="165CEA4D" w14:textId="433C8FB9" w:rsidR="00545B56" w:rsidRPr="00701C0F" w:rsidRDefault="00545B56" w:rsidP="002717F4">
            <w:pPr>
              <w:spacing w:before="20" w:after="20" w:line="300" w:lineRule="exact"/>
              <w:ind w:left="57" w:right="57"/>
              <w:rPr>
                <w:sz w:val="18"/>
                <w:szCs w:val="18"/>
              </w:rPr>
            </w:pPr>
            <w:r w:rsidRPr="002D3BB0">
              <w:rPr>
                <w:sz w:val="18"/>
                <w:szCs w:val="24"/>
              </w:rPr>
              <w:t>22</w:t>
            </w:r>
          </w:p>
        </w:tc>
      </w:tr>
      <w:tr w:rsidR="00545B56" w:rsidRPr="00701C0F" w14:paraId="592A3901" w14:textId="77777777" w:rsidTr="00BE4C80">
        <w:tc>
          <w:tcPr>
            <w:tcW w:w="2127" w:type="dxa"/>
            <w:shd w:val="clear" w:color="auto" w:fill="auto"/>
            <w:hideMark/>
          </w:tcPr>
          <w:p w14:paraId="4C844FDC"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الطلبة</w:t>
            </w:r>
          </w:p>
        </w:tc>
        <w:tc>
          <w:tcPr>
            <w:tcW w:w="820" w:type="dxa"/>
            <w:shd w:val="clear" w:color="auto" w:fill="auto"/>
            <w:vAlign w:val="bottom"/>
          </w:tcPr>
          <w:p w14:paraId="0AF8819E" w14:textId="05629795" w:rsidR="00545B56" w:rsidRPr="00701C0F" w:rsidRDefault="00545B56" w:rsidP="002717F4">
            <w:pPr>
              <w:spacing w:before="20" w:after="20" w:line="300" w:lineRule="exact"/>
              <w:ind w:left="57" w:right="57"/>
              <w:rPr>
                <w:sz w:val="18"/>
                <w:szCs w:val="18"/>
              </w:rPr>
            </w:pPr>
            <w:r w:rsidRPr="002D3BB0">
              <w:rPr>
                <w:sz w:val="18"/>
                <w:szCs w:val="24"/>
              </w:rPr>
              <w:t>166</w:t>
            </w:r>
          </w:p>
        </w:tc>
        <w:tc>
          <w:tcPr>
            <w:tcW w:w="820" w:type="dxa"/>
            <w:shd w:val="clear" w:color="auto" w:fill="auto"/>
            <w:vAlign w:val="bottom"/>
          </w:tcPr>
          <w:p w14:paraId="7A9143F1" w14:textId="325DEDC5" w:rsidR="00545B56" w:rsidRPr="00701C0F" w:rsidRDefault="00545B56" w:rsidP="002717F4">
            <w:pPr>
              <w:spacing w:before="20" w:after="20" w:line="300" w:lineRule="exact"/>
              <w:ind w:left="57" w:right="57"/>
              <w:rPr>
                <w:sz w:val="18"/>
                <w:szCs w:val="18"/>
              </w:rPr>
            </w:pPr>
            <w:r w:rsidRPr="002D3BB0">
              <w:rPr>
                <w:sz w:val="18"/>
                <w:szCs w:val="24"/>
              </w:rPr>
              <w:t>157</w:t>
            </w:r>
          </w:p>
        </w:tc>
        <w:tc>
          <w:tcPr>
            <w:tcW w:w="820" w:type="dxa"/>
            <w:shd w:val="clear" w:color="auto" w:fill="auto"/>
            <w:vAlign w:val="bottom"/>
          </w:tcPr>
          <w:p w14:paraId="31E86193" w14:textId="587772B6" w:rsidR="00545B56" w:rsidRPr="00701C0F" w:rsidRDefault="00545B56" w:rsidP="002717F4">
            <w:pPr>
              <w:spacing w:before="20" w:after="20" w:line="300" w:lineRule="exact"/>
              <w:ind w:left="57" w:right="57"/>
              <w:rPr>
                <w:sz w:val="18"/>
                <w:szCs w:val="18"/>
              </w:rPr>
            </w:pPr>
            <w:r w:rsidRPr="002D3BB0">
              <w:rPr>
                <w:sz w:val="18"/>
                <w:szCs w:val="24"/>
              </w:rPr>
              <w:t>171</w:t>
            </w:r>
          </w:p>
        </w:tc>
        <w:tc>
          <w:tcPr>
            <w:tcW w:w="820" w:type="dxa"/>
            <w:shd w:val="clear" w:color="auto" w:fill="auto"/>
            <w:vAlign w:val="bottom"/>
          </w:tcPr>
          <w:p w14:paraId="3AF402F8" w14:textId="79788947" w:rsidR="00545B56" w:rsidRPr="00701C0F" w:rsidRDefault="00545B56" w:rsidP="002717F4">
            <w:pPr>
              <w:spacing w:before="20" w:after="20" w:line="300" w:lineRule="exact"/>
              <w:ind w:left="57" w:right="57"/>
              <w:rPr>
                <w:sz w:val="18"/>
                <w:szCs w:val="18"/>
              </w:rPr>
            </w:pPr>
            <w:r w:rsidRPr="002D3BB0">
              <w:rPr>
                <w:sz w:val="18"/>
                <w:szCs w:val="24"/>
              </w:rPr>
              <w:t>182</w:t>
            </w:r>
          </w:p>
        </w:tc>
        <w:tc>
          <w:tcPr>
            <w:tcW w:w="821" w:type="dxa"/>
            <w:shd w:val="clear" w:color="auto" w:fill="auto"/>
            <w:vAlign w:val="bottom"/>
          </w:tcPr>
          <w:p w14:paraId="3E22B145" w14:textId="20376ED8" w:rsidR="00545B56" w:rsidRPr="00701C0F" w:rsidRDefault="00545B56" w:rsidP="002717F4">
            <w:pPr>
              <w:spacing w:before="20" w:after="20" w:line="300" w:lineRule="exact"/>
              <w:ind w:left="57" w:right="57"/>
              <w:rPr>
                <w:sz w:val="18"/>
                <w:szCs w:val="18"/>
              </w:rPr>
            </w:pPr>
            <w:r w:rsidRPr="002D3BB0">
              <w:rPr>
                <w:sz w:val="18"/>
                <w:szCs w:val="24"/>
              </w:rPr>
              <w:t>263</w:t>
            </w:r>
          </w:p>
        </w:tc>
        <w:tc>
          <w:tcPr>
            <w:tcW w:w="1142" w:type="dxa"/>
            <w:shd w:val="clear" w:color="auto" w:fill="auto"/>
            <w:vAlign w:val="bottom"/>
          </w:tcPr>
          <w:p w14:paraId="53F7815A" w14:textId="09A4064D" w:rsidR="00545B56" w:rsidRPr="00701C0F" w:rsidRDefault="00545B56" w:rsidP="002717F4">
            <w:pPr>
              <w:spacing w:before="20" w:after="20" w:line="300" w:lineRule="exact"/>
              <w:ind w:left="57" w:right="57"/>
              <w:rPr>
                <w:sz w:val="18"/>
                <w:szCs w:val="18"/>
              </w:rPr>
            </w:pPr>
            <w:r w:rsidRPr="002D3BB0">
              <w:rPr>
                <w:sz w:val="18"/>
                <w:szCs w:val="24"/>
              </w:rPr>
              <w:t>81</w:t>
            </w:r>
          </w:p>
        </w:tc>
      </w:tr>
      <w:tr w:rsidR="00545B56" w:rsidRPr="00701C0F" w14:paraId="112F4CD4" w14:textId="77777777" w:rsidTr="00BE4C80">
        <w:tc>
          <w:tcPr>
            <w:tcW w:w="2127" w:type="dxa"/>
            <w:shd w:val="clear" w:color="auto" w:fill="auto"/>
            <w:hideMark/>
          </w:tcPr>
          <w:p w14:paraId="43D9B700" w14:textId="77777777" w:rsidR="00545B56" w:rsidRPr="00A87EA5" w:rsidRDefault="00545B56" w:rsidP="002717F4">
            <w:pPr>
              <w:spacing w:before="20" w:after="20" w:line="300" w:lineRule="exact"/>
              <w:ind w:left="57" w:right="57"/>
              <w:textDirection w:val="tbRlV"/>
              <w:rPr>
                <w:sz w:val="26"/>
                <w:szCs w:val="26"/>
                <w:lang w:eastAsia="zh-TW" w:bidi="en-GB"/>
              </w:rPr>
            </w:pPr>
            <w:r w:rsidRPr="00701C0F">
              <w:rPr>
                <w:sz w:val="26"/>
                <w:szCs w:val="26"/>
                <w:rtl/>
              </w:rPr>
              <w:t>الحراس</w:t>
            </w:r>
          </w:p>
        </w:tc>
        <w:tc>
          <w:tcPr>
            <w:tcW w:w="820" w:type="dxa"/>
            <w:shd w:val="clear" w:color="auto" w:fill="auto"/>
            <w:vAlign w:val="bottom"/>
          </w:tcPr>
          <w:p w14:paraId="124E5A76" w14:textId="7492636E" w:rsidR="00545B56" w:rsidRPr="00701C0F" w:rsidRDefault="00545B56" w:rsidP="002717F4">
            <w:pPr>
              <w:spacing w:before="20" w:after="20" w:line="300" w:lineRule="exact"/>
              <w:ind w:left="57" w:right="57"/>
              <w:rPr>
                <w:sz w:val="18"/>
                <w:szCs w:val="18"/>
              </w:rPr>
            </w:pPr>
            <w:r w:rsidRPr="002D3BB0">
              <w:rPr>
                <w:sz w:val="18"/>
                <w:szCs w:val="24"/>
              </w:rPr>
              <w:t>364</w:t>
            </w:r>
          </w:p>
        </w:tc>
        <w:tc>
          <w:tcPr>
            <w:tcW w:w="820" w:type="dxa"/>
            <w:shd w:val="clear" w:color="auto" w:fill="auto"/>
            <w:vAlign w:val="bottom"/>
          </w:tcPr>
          <w:p w14:paraId="62F12413" w14:textId="2EFD5A4A" w:rsidR="00545B56" w:rsidRPr="00701C0F" w:rsidRDefault="00545B56" w:rsidP="002717F4">
            <w:pPr>
              <w:spacing w:before="20" w:after="20" w:line="300" w:lineRule="exact"/>
              <w:ind w:left="57" w:right="57"/>
              <w:rPr>
                <w:sz w:val="18"/>
                <w:szCs w:val="18"/>
              </w:rPr>
            </w:pPr>
            <w:r w:rsidRPr="002D3BB0">
              <w:rPr>
                <w:sz w:val="18"/>
                <w:szCs w:val="24"/>
              </w:rPr>
              <w:t>365</w:t>
            </w:r>
          </w:p>
        </w:tc>
        <w:tc>
          <w:tcPr>
            <w:tcW w:w="820" w:type="dxa"/>
            <w:shd w:val="clear" w:color="auto" w:fill="auto"/>
            <w:vAlign w:val="bottom"/>
          </w:tcPr>
          <w:p w14:paraId="5801EA7B" w14:textId="487D8EF1" w:rsidR="00545B56" w:rsidRPr="00701C0F" w:rsidRDefault="00545B56" w:rsidP="002717F4">
            <w:pPr>
              <w:spacing w:before="20" w:after="20" w:line="300" w:lineRule="exact"/>
              <w:ind w:left="57" w:right="57"/>
              <w:rPr>
                <w:sz w:val="18"/>
                <w:szCs w:val="18"/>
              </w:rPr>
            </w:pPr>
            <w:r w:rsidRPr="002D3BB0">
              <w:rPr>
                <w:sz w:val="18"/>
                <w:szCs w:val="24"/>
              </w:rPr>
              <w:t>381</w:t>
            </w:r>
          </w:p>
        </w:tc>
        <w:tc>
          <w:tcPr>
            <w:tcW w:w="820" w:type="dxa"/>
            <w:shd w:val="clear" w:color="auto" w:fill="auto"/>
            <w:vAlign w:val="bottom"/>
          </w:tcPr>
          <w:p w14:paraId="5C8D5B01" w14:textId="13E18706" w:rsidR="00545B56" w:rsidRPr="00701C0F" w:rsidRDefault="00545B56" w:rsidP="002717F4">
            <w:pPr>
              <w:spacing w:before="20" w:after="20" w:line="300" w:lineRule="exact"/>
              <w:ind w:left="57" w:right="57"/>
              <w:rPr>
                <w:sz w:val="18"/>
                <w:szCs w:val="18"/>
              </w:rPr>
            </w:pPr>
            <w:r w:rsidRPr="002D3BB0">
              <w:rPr>
                <w:sz w:val="18"/>
                <w:szCs w:val="24"/>
              </w:rPr>
              <w:t>376</w:t>
            </w:r>
          </w:p>
        </w:tc>
        <w:tc>
          <w:tcPr>
            <w:tcW w:w="821" w:type="dxa"/>
            <w:shd w:val="clear" w:color="auto" w:fill="auto"/>
            <w:vAlign w:val="bottom"/>
          </w:tcPr>
          <w:p w14:paraId="35E92BE7" w14:textId="4E05B1FE" w:rsidR="00545B56" w:rsidRPr="00701C0F" w:rsidRDefault="00545B56" w:rsidP="002717F4">
            <w:pPr>
              <w:spacing w:before="20" w:after="20" w:line="300" w:lineRule="exact"/>
              <w:ind w:left="57" w:right="57"/>
              <w:rPr>
                <w:sz w:val="18"/>
                <w:szCs w:val="18"/>
                <w:rtl/>
              </w:rPr>
            </w:pPr>
            <w:r w:rsidRPr="002D3BB0">
              <w:rPr>
                <w:sz w:val="18"/>
                <w:szCs w:val="24"/>
              </w:rPr>
              <w:t>372</w:t>
            </w:r>
          </w:p>
        </w:tc>
        <w:tc>
          <w:tcPr>
            <w:tcW w:w="1142" w:type="dxa"/>
            <w:shd w:val="clear" w:color="auto" w:fill="auto"/>
            <w:vAlign w:val="bottom"/>
          </w:tcPr>
          <w:p w14:paraId="4D45FE08" w14:textId="7272B116" w:rsidR="00545B56" w:rsidRPr="00701C0F" w:rsidRDefault="00E223F3" w:rsidP="002717F4">
            <w:pPr>
              <w:spacing w:before="20" w:after="20" w:line="300" w:lineRule="exact"/>
              <w:ind w:left="57" w:right="57"/>
              <w:rPr>
                <w:sz w:val="18"/>
                <w:szCs w:val="18"/>
                <w:rtl/>
              </w:rPr>
            </w:pPr>
            <w:r w:rsidRPr="002D3BB0">
              <w:rPr>
                <w:sz w:val="18"/>
                <w:szCs w:val="24"/>
                <w:rtl/>
              </w:rPr>
              <w:t>-</w:t>
            </w:r>
            <w:r w:rsidR="00545B56" w:rsidRPr="002D3BB0">
              <w:rPr>
                <w:sz w:val="18"/>
                <w:szCs w:val="24"/>
              </w:rPr>
              <w:t>4</w:t>
            </w:r>
          </w:p>
        </w:tc>
      </w:tr>
      <w:tr w:rsidR="00545B56" w:rsidRPr="00701C0F" w14:paraId="0B60CC44" w14:textId="77777777" w:rsidTr="00BE4C80">
        <w:tc>
          <w:tcPr>
            <w:tcW w:w="2127" w:type="dxa"/>
            <w:shd w:val="clear" w:color="auto" w:fill="auto"/>
            <w:hideMark/>
          </w:tcPr>
          <w:p w14:paraId="5EA32546"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الكَتَبَة</w:t>
            </w:r>
          </w:p>
        </w:tc>
        <w:tc>
          <w:tcPr>
            <w:tcW w:w="820" w:type="dxa"/>
            <w:shd w:val="clear" w:color="auto" w:fill="auto"/>
            <w:vAlign w:val="bottom"/>
          </w:tcPr>
          <w:p w14:paraId="33D9DA7A" w14:textId="11207D52" w:rsidR="00545B56" w:rsidRPr="00701C0F" w:rsidRDefault="00545B56" w:rsidP="002717F4">
            <w:pPr>
              <w:spacing w:before="20" w:after="20" w:line="300" w:lineRule="exact"/>
              <w:ind w:left="57" w:right="57"/>
              <w:rPr>
                <w:sz w:val="18"/>
                <w:szCs w:val="18"/>
              </w:rPr>
            </w:pPr>
            <w:r w:rsidRPr="002D3BB0">
              <w:rPr>
                <w:sz w:val="18"/>
                <w:szCs w:val="24"/>
              </w:rPr>
              <w:t>1 308</w:t>
            </w:r>
          </w:p>
        </w:tc>
        <w:tc>
          <w:tcPr>
            <w:tcW w:w="820" w:type="dxa"/>
            <w:shd w:val="clear" w:color="auto" w:fill="auto"/>
            <w:vAlign w:val="bottom"/>
          </w:tcPr>
          <w:p w14:paraId="479F5150" w14:textId="267476FA" w:rsidR="00545B56" w:rsidRPr="00701C0F" w:rsidRDefault="00545B56" w:rsidP="002717F4">
            <w:pPr>
              <w:spacing w:before="20" w:after="20" w:line="300" w:lineRule="exact"/>
              <w:ind w:left="57" w:right="57"/>
              <w:rPr>
                <w:sz w:val="18"/>
                <w:szCs w:val="18"/>
              </w:rPr>
            </w:pPr>
            <w:r w:rsidRPr="002D3BB0">
              <w:rPr>
                <w:sz w:val="18"/>
                <w:szCs w:val="24"/>
              </w:rPr>
              <w:t>1 284</w:t>
            </w:r>
          </w:p>
        </w:tc>
        <w:tc>
          <w:tcPr>
            <w:tcW w:w="820" w:type="dxa"/>
            <w:shd w:val="clear" w:color="auto" w:fill="auto"/>
            <w:vAlign w:val="bottom"/>
          </w:tcPr>
          <w:p w14:paraId="45FF3F7B" w14:textId="5D051389" w:rsidR="00545B56" w:rsidRPr="00701C0F" w:rsidRDefault="00545B56" w:rsidP="002717F4">
            <w:pPr>
              <w:spacing w:before="20" w:after="20" w:line="300" w:lineRule="exact"/>
              <w:ind w:left="57" w:right="57"/>
              <w:rPr>
                <w:sz w:val="18"/>
                <w:szCs w:val="18"/>
              </w:rPr>
            </w:pPr>
            <w:r w:rsidRPr="002D3BB0">
              <w:rPr>
                <w:sz w:val="18"/>
                <w:szCs w:val="24"/>
              </w:rPr>
              <w:t>1 073</w:t>
            </w:r>
          </w:p>
        </w:tc>
        <w:tc>
          <w:tcPr>
            <w:tcW w:w="820" w:type="dxa"/>
            <w:shd w:val="clear" w:color="auto" w:fill="auto"/>
            <w:vAlign w:val="bottom"/>
          </w:tcPr>
          <w:p w14:paraId="6C332E38" w14:textId="26CB49E2" w:rsidR="00545B56" w:rsidRPr="00701C0F" w:rsidRDefault="00545B56" w:rsidP="002717F4">
            <w:pPr>
              <w:spacing w:before="20" w:after="20" w:line="300" w:lineRule="exact"/>
              <w:ind w:left="57" w:right="57"/>
              <w:rPr>
                <w:sz w:val="18"/>
                <w:szCs w:val="18"/>
              </w:rPr>
            </w:pPr>
            <w:r w:rsidRPr="002D3BB0">
              <w:rPr>
                <w:sz w:val="18"/>
                <w:szCs w:val="24"/>
              </w:rPr>
              <w:t>968</w:t>
            </w:r>
          </w:p>
        </w:tc>
        <w:tc>
          <w:tcPr>
            <w:tcW w:w="821" w:type="dxa"/>
            <w:shd w:val="clear" w:color="auto" w:fill="auto"/>
            <w:vAlign w:val="bottom"/>
          </w:tcPr>
          <w:p w14:paraId="028100B3" w14:textId="5FDE3825" w:rsidR="00545B56" w:rsidRPr="00701C0F" w:rsidRDefault="00545B56" w:rsidP="002717F4">
            <w:pPr>
              <w:spacing w:before="20" w:after="20" w:line="300" w:lineRule="exact"/>
              <w:ind w:left="57" w:right="57"/>
              <w:rPr>
                <w:sz w:val="18"/>
                <w:szCs w:val="18"/>
              </w:rPr>
            </w:pPr>
            <w:r w:rsidRPr="002D3BB0">
              <w:rPr>
                <w:sz w:val="18"/>
                <w:szCs w:val="24"/>
              </w:rPr>
              <w:t>952</w:t>
            </w:r>
          </w:p>
        </w:tc>
        <w:tc>
          <w:tcPr>
            <w:tcW w:w="1142" w:type="dxa"/>
            <w:shd w:val="clear" w:color="auto" w:fill="auto"/>
            <w:vAlign w:val="bottom"/>
          </w:tcPr>
          <w:p w14:paraId="2A048B4D" w14:textId="4D2F0CD7" w:rsidR="00545B56" w:rsidRPr="00701C0F" w:rsidRDefault="00E223F3" w:rsidP="002717F4">
            <w:pPr>
              <w:spacing w:before="20" w:after="20" w:line="300" w:lineRule="exact"/>
              <w:ind w:left="57" w:right="57"/>
              <w:rPr>
                <w:sz w:val="18"/>
                <w:szCs w:val="18"/>
                <w:rtl/>
              </w:rPr>
            </w:pPr>
            <w:r w:rsidRPr="002D3BB0">
              <w:rPr>
                <w:sz w:val="18"/>
                <w:szCs w:val="24"/>
                <w:rtl/>
              </w:rPr>
              <w:t>-</w:t>
            </w:r>
            <w:r w:rsidR="00545B56" w:rsidRPr="002D3BB0">
              <w:rPr>
                <w:sz w:val="18"/>
                <w:szCs w:val="24"/>
              </w:rPr>
              <w:t>16</w:t>
            </w:r>
          </w:p>
        </w:tc>
      </w:tr>
      <w:tr w:rsidR="00545B56" w:rsidRPr="00701C0F" w14:paraId="4B7CC638" w14:textId="77777777" w:rsidTr="00BE4C80">
        <w:tc>
          <w:tcPr>
            <w:tcW w:w="2127" w:type="dxa"/>
            <w:tcBorders>
              <w:bottom w:val="single" w:sz="4" w:space="0" w:color="auto"/>
            </w:tcBorders>
            <w:shd w:val="clear" w:color="auto" w:fill="auto"/>
            <w:hideMark/>
          </w:tcPr>
          <w:p w14:paraId="1B88F52B" w14:textId="77777777" w:rsidR="00545B56" w:rsidRPr="00701C0F" w:rsidRDefault="00545B56" w:rsidP="002717F4">
            <w:pPr>
              <w:spacing w:before="20" w:after="20" w:line="300" w:lineRule="exact"/>
              <w:ind w:left="57" w:right="57"/>
              <w:textDirection w:val="tbRlV"/>
              <w:rPr>
                <w:sz w:val="26"/>
                <w:szCs w:val="26"/>
                <w:lang w:val="ar-SA" w:eastAsia="zh-TW" w:bidi="en-GB"/>
              </w:rPr>
            </w:pPr>
            <w:r w:rsidRPr="00701C0F">
              <w:rPr>
                <w:sz w:val="26"/>
                <w:szCs w:val="26"/>
                <w:rtl/>
              </w:rPr>
              <w:t>الفئات الأخرى</w:t>
            </w:r>
          </w:p>
        </w:tc>
        <w:tc>
          <w:tcPr>
            <w:tcW w:w="820" w:type="dxa"/>
            <w:tcBorders>
              <w:bottom w:val="single" w:sz="4" w:space="0" w:color="auto"/>
            </w:tcBorders>
            <w:shd w:val="clear" w:color="auto" w:fill="auto"/>
            <w:vAlign w:val="bottom"/>
          </w:tcPr>
          <w:p w14:paraId="70322964" w14:textId="4984DA18" w:rsidR="00545B56" w:rsidRPr="00701C0F" w:rsidRDefault="00545B56" w:rsidP="002717F4">
            <w:pPr>
              <w:spacing w:before="20" w:after="20" w:line="300" w:lineRule="exact"/>
              <w:ind w:left="57" w:right="57"/>
              <w:rPr>
                <w:sz w:val="18"/>
                <w:szCs w:val="18"/>
              </w:rPr>
            </w:pPr>
            <w:r w:rsidRPr="002D3BB0">
              <w:rPr>
                <w:sz w:val="18"/>
                <w:szCs w:val="24"/>
              </w:rPr>
              <w:t>754</w:t>
            </w:r>
          </w:p>
        </w:tc>
        <w:tc>
          <w:tcPr>
            <w:tcW w:w="820" w:type="dxa"/>
            <w:tcBorders>
              <w:bottom w:val="single" w:sz="4" w:space="0" w:color="auto"/>
            </w:tcBorders>
            <w:shd w:val="clear" w:color="auto" w:fill="auto"/>
            <w:vAlign w:val="bottom"/>
          </w:tcPr>
          <w:p w14:paraId="4F6AD910" w14:textId="08AFA769" w:rsidR="00545B56" w:rsidRPr="00701C0F" w:rsidRDefault="00545B56" w:rsidP="002717F4">
            <w:pPr>
              <w:spacing w:before="20" w:after="20" w:line="300" w:lineRule="exact"/>
              <w:ind w:left="57" w:right="57"/>
              <w:rPr>
                <w:sz w:val="18"/>
                <w:szCs w:val="18"/>
              </w:rPr>
            </w:pPr>
            <w:r w:rsidRPr="002D3BB0">
              <w:rPr>
                <w:sz w:val="18"/>
                <w:szCs w:val="24"/>
              </w:rPr>
              <w:t>776</w:t>
            </w:r>
          </w:p>
        </w:tc>
        <w:tc>
          <w:tcPr>
            <w:tcW w:w="820" w:type="dxa"/>
            <w:tcBorders>
              <w:bottom w:val="single" w:sz="4" w:space="0" w:color="auto"/>
            </w:tcBorders>
            <w:shd w:val="clear" w:color="auto" w:fill="auto"/>
            <w:vAlign w:val="bottom"/>
          </w:tcPr>
          <w:p w14:paraId="51161ED7" w14:textId="55B60EB5" w:rsidR="00545B56" w:rsidRPr="00701C0F" w:rsidRDefault="00545B56" w:rsidP="002717F4">
            <w:pPr>
              <w:spacing w:before="20" w:after="20" w:line="300" w:lineRule="exact"/>
              <w:ind w:left="57" w:right="57"/>
              <w:rPr>
                <w:sz w:val="18"/>
                <w:szCs w:val="18"/>
              </w:rPr>
            </w:pPr>
            <w:r w:rsidRPr="002D3BB0">
              <w:rPr>
                <w:sz w:val="18"/>
                <w:szCs w:val="24"/>
              </w:rPr>
              <w:t>894</w:t>
            </w:r>
          </w:p>
        </w:tc>
        <w:tc>
          <w:tcPr>
            <w:tcW w:w="820" w:type="dxa"/>
            <w:tcBorders>
              <w:bottom w:val="single" w:sz="4" w:space="0" w:color="auto"/>
            </w:tcBorders>
            <w:shd w:val="clear" w:color="auto" w:fill="auto"/>
            <w:vAlign w:val="bottom"/>
          </w:tcPr>
          <w:p w14:paraId="58AA0AC0" w14:textId="445F0BFF" w:rsidR="00545B56" w:rsidRPr="00701C0F" w:rsidRDefault="00545B56" w:rsidP="002717F4">
            <w:pPr>
              <w:spacing w:before="20" w:after="20" w:line="300" w:lineRule="exact"/>
              <w:ind w:left="57" w:right="57"/>
              <w:rPr>
                <w:sz w:val="18"/>
                <w:szCs w:val="18"/>
              </w:rPr>
            </w:pPr>
            <w:r w:rsidRPr="002D3BB0">
              <w:rPr>
                <w:sz w:val="18"/>
                <w:szCs w:val="24"/>
              </w:rPr>
              <w:t>929</w:t>
            </w:r>
          </w:p>
        </w:tc>
        <w:tc>
          <w:tcPr>
            <w:tcW w:w="821" w:type="dxa"/>
            <w:tcBorders>
              <w:bottom w:val="single" w:sz="4" w:space="0" w:color="auto"/>
            </w:tcBorders>
            <w:shd w:val="clear" w:color="auto" w:fill="auto"/>
            <w:vAlign w:val="bottom"/>
          </w:tcPr>
          <w:p w14:paraId="0E6B5021" w14:textId="0D5C121A" w:rsidR="00545B56" w:rsidRPr="00701C0F" w:rsidRDefault="00545B56" w:rsidP="002717F4">
            <w:pPr>
              <w:spacing w:before="20" w:after="20" w:line="300" w:lineRule="exact"/>
              <w:ind w:left="57" w:right="57"/>
              <w:rPr>
                <w:sz w:val="18"/>
                <w:szCs w:val="18"/>
              </w:rPr>
            </w:pPr>
            <w:r w:rsidRPr="002D3BB0">
              <w:rPr>
                <w:sz w:val="18"/>
                <w:szCs w:val="24"/>
              </w:rPr>
              <w:t>989</w:t>
            </w:r>
          </w:p>
        </w:tc>
        <w:tc>
          <w:tcPr>
            <w:tcW w:w="1142" w:type="dxa"/>
            <w:tcBorders>
              <w:bottom w:val="single" w:sz="4" w:space="0" w:color="auto"/>
            </w:tcBorders>
            <w:shd w:val="clear" w:color="auto" w:fill="auto"/>
            <w:vAlign w:val="bottom"/>
          </w:tcPr>
          <w:p w14:paraId="45EDB670" w14:textId="202F2878" w:rsidR="00545B56" w:rsidRPr="00701C0F" w:rsidRDefault="00545B56" w:rsidP="002717F4">
            <w:pPr>
              <w:spacing w:before="20" w:after="20" w:line="300" w:lineRule="exact"/>
              <w:ind w:left="57" w:right="57"/>
              <w:rPr>
                <w:sz w:val="18"/>
                <w:szCs w:val="18"/>
              </w:rPr>
            </w:pPr>
            <w:r w:rsidRPr="002D3BB0">
              <w:rPr>
                <w:sz w:val="18"/>
                <w:szCs w:val="24"/>
              </w:rPr>
              <w:t>60</w:t>
            </w:r>
          </w:p>
        </w:tc>
      </w:tr>
      <w:tr w:rsidR="00545B56" w:rsidRPr="00701C0F" w14:paraId="2D77D9D5" w14:textId="77777777" w:rsidTr="00BE4C80">
        <w:tc>
          <w:tcPr>
            <w:tcW w:w="2127" w:type="dxa"/>
            <w:tcBorders>
              <w:top w:val="single" w:sz="4" w:space="0" w:color="auto"/>
            </w:tcBorders>
            <w:shd w:val="clear" w:color="auto" w:fill="auto"/>
            <w:hideMark/>
          </w:tcPr>
          <w:p w14:paraId="0CCD42E4" w14:textId="77777777" w:rsidR="00545B56" w:rsidRPr="00701C0F" w:rsidRDefault="00545B56" w:rsidP="002717F4">
            <w:pPr>
              <w:spacing w:before="20" w:after="20" w:line="300" w:lineRule="exact"/>
              <w:ind w:left="57" w:right="57"/>
              <w:textDirection w:val="tbRlV"/>
              <w:rPr>
                <w:b/>
                <w:sz w:val="26"/>
                <w:szCs w:val="26"/>
                <w:lang w:val="ar-SA" w:eastAsia="zh-TW" w:bidi="en-GB"/>
              </w:rPr>
            </w:pPr>
            <w:r w:rsidRPr="00701C0F">
              <w:rPr>
                <w:b/>
                <w:bCs/>
                <w:sz w:val="26"/>
                <w:szCs w:val="26"/>
                <w:rtl/>
              </w:rPr>
              <w:t>المجموع</w:t>
            </w:r>
          </w:p>
        </w:tc>
        <w:tc>
          <w:tcPr>
            <w:tcW w:w="820" w:type="dxa"/>
            <w:tcBorders>
              <w:top w:val="single" w:sz="4" w:space="0" w:color="auto"/>
            </w:tcBorders>
            <w:shd w:val="clear" w:color="auto" w:fill="auto"/>
            <w:vAlign w:val="bottom"/>
          </w:tcPr>
          <w:p w14:paraId="398BD190" w14:textId="4C303FD6" w:rsidR="00545B56" w:rsidRPr="00701C0F" w:rsidRDefault="00545B56" w:rsidP="002717F4">
            <w:pPr>
              <w:spacing w:before="20" w:after="20" w:line="300" w:lineRule="exact"/>
              <w:ind w:left="57" w:right="57"/>
              <w:rPr>
                <w:b/>
                <w:sz w:val="18"/>
                <w:szCs w:val="18"/>
              </w:rPr>
            </w:pPr>
            <w:r w:rsidRPr="00D309E0">
              <w:rPr>
                <w:b/>
                <w:sz w:val="18"/>
                <w:szCs w:val="24"/>
              </w:rPr>
              <w:t>9 981</w:t>
            </w:r>
          </w:p>
        </w:tc>
        <w:tc>
          <w:tcPr>
            <w:tcW w:w="820" w:type="dxa"/>
            <w:tcBorders>
              <w:top w:val="single" w:sz="4" w:space="0" w:color="auto"/>
            </w:tcBorders>
            <w:shd w:val="clear" w:color="auto" w:fill="auto"/>
            <w:vAlign w:val="bottom"/>
          </w:tcPr>
          <w:p w14:paraId="43F345A6" w14:textId="720DD014" w:rsidR="00545B56" w:rsidRPr="00701C0F" w:rsidRDefault="00545B56" w:rsidP="002717F4">
            <w:pPr>
              <w:spacing w:before="20" w:after="20" w:line="300" w:lineRule="exact"/>
              <w:ind w:left="57" w:right="57"/>
              <w:rPr>
                <w:b/>
                <w:sz w:val="18"/>
                <w:szCs w:val="18"/>
              </w:rPr>
            </w:pPr>
            <w:r w:rsidRPr="00D309E0">
              <w:rPr>
                <w:b/>
                <w:sz w:val="18"/>
                <w:szCs w:val="24"/>
              </w:rPr>
              <w:t>9 914</w:t>
            </w:r>
          </w:p>
        </w:tc>
        <w:tc>
          <w:tcPr>
            <w:tcW w:w="820" w:type="dxa"/>
            <w:tcBorders>
              <w:top w:val="single" w:sz="4" w:space="0" w:color="auto"/>
            </w:tcBorders>
            <w:shd w:val="clear" w:color="auto" w:fill="auto"/>
            <w:vAlign w:val="bottom"/>
          </w:tcPr>
          <w:p w14:paraId="66C3BDF4" w14:textId="16F47938" w:rsidR="00545B56" w:rsidRPr="00701C0F" w:rsidRDefault="00545B56" w:rsidP="002717F4">
            <w:pPr>
              <w:spacing w:before="20" w:after="20" w:line="300" w:lineRule="exact"/>
              <w:ind w:left="57" w:right="57"/>
              <w:rPr>
                <w:b/>
                <w:sz w:val="18"/>
                <w:szCs w:val="18"/>
              </w:rPr>
            </w:pPr>
            <w:r w:rsidRPr="00D309E0">
              <w:rPr>
                <w:b/>
                <w:sz w:val="18"/>
                <w:szCs w:val="24"/>
              </w:rPr>
              <w:t>9 729</w:t>
            </w:r>
          </w:p>
        </w:tc>
        <w:tc>
          <w:tcPr>
            <w:tcW w:w="820" w:type="dxa"/>
            <w:tcBorders>
              <w:top w:val="single" w:sz="4" w:space="0" w:color="auto"/>
            </w:tcBorders>
            <w:shd w:val="clear" w:color="auto" w:fill="auto"/>
            <w:vAlign w:val="bottom"/>
          </w:tcPr>
          <w:p w14:paraId="7E5B32DF" w14:textId="3BDB06D3" w:rsidR="00545B56" w:rsidRPr="00701C0F" w:rsidRDefault="00545B56" w:rsidP="002717F4">
            <w:pPr>
              <w:spacing w:before="20" w:after="20" w:line="300" w:lineRule="exact"/>
              <w:ind w:left="57" w:right="57"/>
              <w:rPr>
                <w:b/>
                <w:sz w:val="18"/>
                <w:szCs w:val="18"/>
              </w:rPr>
            </w:pPr>
            <w:r w:rsidRPr="00D309E0">
              <w:rPr>
                <w:b/>
                <w:sz w:val="18"/>
                <w:szCs w:val="24"/>
              </w:rPr>
              <w:t>9 602</w:t>
            </w:r>
          </w:p>
        </w:tc>
        <w:tc>
          <w:tcPr>
            <w:tcW w:w="821" w:type="dxa"/>
            <w:tcBorders>
              <w:top w:val="single" w:sz="4" w:space="0" w:color="auto"/>
            </w:tcBorders>
            <w:shd w:val="clear" w:color="auto" w:fill="auto"/>
            <w:vAlign w:val="bottom"/>
          </w:tcPr>
          <w:p w14:paraId="0BBB912C" w14:textId="5CA1B04E" w:rsidR="00545B56" w:rsidRPr="00701C0F" w:rsidRDefault="00545B56" w:rsidP="002717F4">
            <w:pPr>
              <w:spacing w:before="20" w:after="20" w:line="300" w:lineRule="exact"/>
              <w:ind w:left="57" w:right="57"/>
              <w:rPr>
                <w:b/>
                <w:sz w:val="18"/>
                <w:szCs w:val="18"/>
              </w:rPr>
            </w:pPr>
            <w:r w:rsidRPr="00D309E0">
              <w:rPr>
                <w:b/>
                <w:sz w:val="18"/>
                <w:szCs w:val="24"/>
              </w:rPr>
              <w:t>9 776</w:t>
            </w:r>
          </w:p>
        </w:tc>
        <w:tc>
          <w:tcPr>
            <w:tcW w:w="1142" w:type="dxa"/>
            <w:tcBorders>
              <w:top w:val="single" w:sz="4" w:space="0" w:color="auto"/>
            </w:tcBorders>
            <w:shd w:val="clear" w:color="auto" w:fill="auto"/>
            <w:vAlign w:val="bottom"/>
          </w:tcPr>
          <w:p w14:paraId="35BCF7B6" w14:textId="41F59081" w:rsidR="00545B56" w:rsidRPr="00701C0F" w:rsidRDefault="00545B56" w:rsidP="002717F4">
            <w:pPr>
              <w:spacing w:before="20" w:after="20" w:line="300" w:lineRule="exact"/>
              <w:ind w:left="57" w:right="57"/>
              <w:rPr>
                <w:b/>
                <w:sz w:val="18"/>
                <w:szCs w:val="18"/>
              </w:rPr>
            </w:pPr>
            <w:r w:rsidRPr="00D309E0">
              <w:rPr>
                <w:b/>
                <w:sz w:val="18"/>
                <w:szCs w:val="24"/>
              </w:rPr>
              <w:t>174</w:t>
            </w:r>
          </w:p>
        </w:tc>
      </w:tr>
    </w:tbl>
    <w:p w14:paraId="69EC9C9D" w14:textId="77777777" w:rsidR="00C815DB" w:rsidRPr="002717F4" w:rsidRDefault="00C815DB" w:rsidP="009C28DA">
      <w:pPr>
        <w:pStyle w:val="SingleTxtGA"/>
        <w:rPr>
          <w:lang w:eastAsia="zh-TW" w:bidi="en-GB"/>
        </w:rPr>
      </w:pPr>
      <w:r w:rsidRPr="002717F4">
        <w:rPr>
          <w:i/>
          <w:iCs/>
          <w:sz w:val="26"/>
          <w:szCs w:val="26"/>
          <w:rtl/>
        </w:rPr>
        <w:t>المصدر</w:t>
      </w:r>
      <w:r w:rsidRPr="00BB79C1">
        <w:rPr>
          <w:rtl/>
        </w:rPr>
        <w:t>:</w:t>
      </w:r>
      <w:r w:rsidRPr="002717F4">
        <w:rPr>
          <w:sz w:val="26"/>
          <w:szCs w:val="26"/>
          <w:rtl/>
        </w:rPr>
        <w:t xml:space="preserve"> التقارير السنوية للشرطة</w:t>
      </w:r>
      <w:r w:rsidRPr="0068209D">
        <w:rPr>
          <w:rtl/>
        </w:rPr>
        <w:t xml:space="preserve"> </w:t>
      </w:r>
      <w:r w:rsidRPr="002717F4">
        <w:rPr>
          <w:sz w:val="18"/>
          <w:szCs w:val="18"/>
          <w:rtl/>
        </w:rPr>
        <w:t>2016</w:t>
      </w:r>
      <w:r w:rsidRPr="00EF3655">
        <w:rPr>
          <w:rtl/>
        </w:rPr>
        <w:t>-</w:t>
      </w:r>
      <w:r w:rsidRPr="002717F4">
        <w:rPr>
          <w:sz w:val="18"/>
          <w:szCs w:val="18"/>
          <w:rtl/>
        </w:rPr>
        <w:t>2018</w:t>
      </w:r>
      <w:r w:rsidRPr="0068209D">
        <w:rPr>
          <w:rtl/>
        </w:rPr>
        <w:t>.</w:t>
      </w:r>
    </w:p>
    <w:p w14:paraId="43A5AA39" w14:textId="06EFDB05" w:rsidR="00C815DB" w:rsidRPr="0058093F" w:rsidRDefault="00C815DB" w:rsidP="002028DB">
      <w:pPr>
        <w:pStyle w:val="SingleTxtGA"/>
        <w:keepNext/>
        <w:keepLines/>
        <w:spacing w:after="0"/>
        <w:rPr>
          <w:rtl/>
          <w:lang w:eastAsia="zh-TW"/>
        </w:rPr>
      </w:pPr>
      <w:r w:rsidRPr="0068209D">
        <w:rPr>
          <w:rtl/>
        </w:rPr>
        <w:lastRenderedPageBreak/>
        <w:t xml:space="preserve">الجدول </w:t>
      </w:r>
      <w:r w:rsidRPr="005C19F0">
        <w:rPr>
          <w:szCs w:val="20"/>
          <w:rtl/>
        </w:rPr>
        <w:t>13</w:t>
      </w:r>
    </w:p>
    <w:p w14:paraId="458037DB" w14:textId="77777777" w:rsidR="00C815DB" w:rsidRPr="009C28DA" w:rsidRDefault="00C815DB" w:rsidP="002028DB">
      <w:pPr>
        <w:pStyle w:val="SingleTxtGA"/>
        <w:keepNext/>
        <w:keepLines/>
        <w:rPr>
          <w:b/>
          <w:bCs/>
          <w:lang w:val="ar-SA" w:eastAsia="zh-TW" w:bidi="en-GB"/>
        </w:rPr>
      </w:pPr>
      <w:r w:rsidRPr="009C28DA">
        <w:rPr>
          <w:b/>
          <w:bCs/>
          <w:rtl/>
        </w:rPr>
        <w:t xml:space="preserve">عدد ضباط الشرطة لكل </w:t>
      </w:r>
      <w:r w:rsidRPr="005C19F0">
        <w:rPr>
          <w:b/>
          <w:bCs/>
          <w:szCs w:val="20"/>
          <w:rtl/>
        </w:rPr>
        <w:t>000</w:t>
      </w:r>
      <w:r w:rsidRPr="009C28DA">
        <w:rPr>
          <w:rFonts w:ascii="Traditional Arabic"/>
          <w:b/>
          <w:bCs/>
          <w:rtl/>
        </w:rPr>
        <w:t xml:space="preserve"> </w:t>
      </w:r>
      <w:r w:rsidRPr="005C19F0">
        <w:rPr>
          <w:b/>
          <w:bCs/>
          <w:szCs w:val="20"/>
          <w:rtl/>
        </w:rPr>
        <w:t>100</w:t>
      </w:r>
      <w:r w:rsidRPr="009C28DA">
        <w:rPr>
          <w:b/>
          <w:bCs/>
          <w:rtl/>
        </w:rPr>
        <w:t xml:space="preserve"> شخص</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646"/>
        <w:gridCol w:w="647"/>
        <w:gridCol w:w="646"/>
        <w:gridCol w:w="647"/>
        <w:gridCol w:w="647"/>
        <w:gridCol w:w="1160"/>
      </w:tblGrid>
      <w:tr w:rsidR="00C815DB" w:rsidRPr="00C51DE4" w14:paraId="1AA87DC6" w14:textId="77777777" w:rsidTr="00BE4C80">
        <w:trPr>
          <w:tblHeader/>
        </w:trPr>
        <w:tc>
          <w:tcPr>
            <w:tcW w:w="2977" w:type="dxa"/>
            <w:tcBorders>
              <w:top w:val="single" w:sz="4" w:space="0" w:color="auto"/>
              <w:bottom w:val="single" w:sz="12" w:space="0" w:color="auto"/>
            </w:tcBorders>
            <w:shd w:val="clear" w:color="auto" w:fill="auto"/>
            <w:vAlign w:val="bottom"/>
            <w:hideMark/>
          </w:tcPr>
          <w:p w14:paraId="62EB9CA8" w14:textId="77777777" w:rsidR="00C815DB" w:rsidRPr="002717F4" w:rsidRDefault="00C815DB" w:rsidP="002028DB">
            <w:pPr>
              <w:keepNext/>
              <w:keepLines/>
              <w:spacing w:before="20" w:after="20" w:line="300" w:lineRule="exact"/>
              <w:ind w:left="57" w:right="57"/>
              <w:textDirection w:val="tbRlV"/>
              <w:rPr>
                <w:bCs/>
                <w:i/>
                <w:sz w:val="26"/>
                <w:szCs w:val="26"/>
                <w:lang w:eastAsia="zh-TW" w:bidi="en-GB"/>
              </w:rPr>
            </w:pPr>
            <w:r w:rsidRPr="002717F4">
              <w:rPr>
                <w:i/>
                <w:iCs/>
                <w:sz w:val="26"/>
                <w:szCs w:val="26"/>
                <w:rtl/>
              </w:rPr>
              <w:t>السنة</w:t>
            </w:r>
          </w:p>
        </w:tc>
        <w:tc>
          <w:tcPr>
            <w:tcW w:w="646" w:type="dxa"/>
            <w:tcBorders>
              <w:top w:val="single" w:sz="4" w:space="0" w:color="auto"/>
              <w:bottom w:val="single" w:sz="12" w:space="0" w:color="auto"/>
            </w:tcBorders>
            <w:shd w:val="clear" w:color="auto" w:fill="auto"/>
            <w:vAlign w:val="bottom"/>
            <w:hideMark/>
          </w:tcPr>
          <w:p w14:paraId="03E5B98B" w14:textId="77777777" w:rsidR="00C815DB" w:rsidRPr="002717F4" w:rsidRDefault="00C815DB" w:rsidP="002028DB">
            <w:pPr>
              <w:keepNext/>
              <w:keepLines/>
              <w:spacing w:before="20" w:after="20" w:line="300" w:lineRule="exact"/>
              <w:ind w:left="57" w:right="57"/>
              <w:textDirection w:val="tbRlV"/>
              <w:rPr>
                <w:bCs/>
                <w:i/>
                <w:sz w:val="18"/>
                <w:szCs w:val="18"/>
                <w:lang w:val="ar-SA" w:eastAsia="zh-TW" w:bidi="en-GB"/>
              </w:rPr>
            </w:pPr>
            <w:r w:rsidRPr="002717F4">
              <w:rPr>
                <w:i/>
                <w:iCs/>
                <w:sz w:val="18"/>
                <w:szCs w:val="18"/>
                <w:rtl/>
              </w:rPr>
              <w:t>2014</w:t>
            </w:r>
          </w:p>
        </w:tc>
        <w:tc>
          <w:tcPr>
            <w:tcW w:w="647" w:type="dxa"/>
            <w:tcBorders>
              <w:top w:val="single" w:sz="4" w:space="0" w:color="auto"/>
              <w:bottom w:val="single" w:sz="12" w:space="0" w:color="auto"/>
            </w:tcBorders>
            <w:shd w:val="clear" w:color="auto" w:fill="auto"/>
            <w:vAlign w:val="bottom"/>
            <w:hideMark/>
          </w:tcPr>
          <w:p w14:paraId="1F0BBB2D" w14:textId="77777777" w:rsidR="00C815DB" w:rsidRPr="002717F4" w:rsidRDefault="00C815DB" w:rsidP="002028DB">
            <w:pPr>
              <w:keepNext/>
              <w:keepLines/>
              <w:spacing w:before="20" w:after="20" w:line="300" w:lineRule="exact"/>
              <w:ind w:left="57" w:right="57"/>
              <w:textDirection w:val="tbRlV"/>
              <w:rPr>
                <w:bCs/>
                <w:i/>
                <w:sz w:val="18"/>
                <w:szCs w:val="18"/>
                <w:lang w:val="ar-SA" w:eastAsia="zh-TW" w:bidi="en-GB"/>
              </w:rPr>
            </w:pPr>
            <w:r w:rsidRPr="002717F4">
              <w:rPr>
                <w:i/>
                <w:iCs/>
                <w:sz w:val="18"/>
                <w:szCs w:val="18"/>
                <w:rtl/>
              </w:rPr>
              <w:t>2015</w:t>
            </w:r>
          </w:p>
        </w:tc>
        <w:tc>
          <w:tcPr>
            <w:tcW w:w="646" w:type="dxa"/>
            <w:tcBorders>
              <w:top w:val="single" w:sz="4" w:space="0" w:color="auto"/>
              <w:bottom w:val="single" w:sz="12" w:space="0" w:color="auto"/>
            </w:tcBorders>
            <w:shd w:val="clear" w:color="auto" w:fill="auto"/>
            <w:vAlign w:val="bottom"/>
            <w:hideMark/>
          </w:tcPr>
          <w:p w14:paraId="2018713C" w14:textId="77777777" w:rsidR="00C815DB" w:rsidRPr="002717F4" w:rsidRDefault="00C815DB" w:rsidP="002028DB">
            <w:pPr>
              <w:keepNext/>
              <w:keepLines/>
              <w:spacing w:before="20" w:after="20" w:line="300" w:lineRule="exact"/>
              <w:ind w:left="57" w:right="57"/>
              <w:textDirection w:val="tbRlV"/>
              <w:rPr>
                <w:bCs/>
                <w:i/>
                <w:sz w:val="18"/>
                <w:szCs w:val="18"/>
                <w:lang w:val="ar-SA" w:eastAsia="zh-TW" w:bidi="en-GB"/>
              </w:rPr>
            </w:pPr>
            <w:r w:rsidRPr="002717F4">
              <w:rPr>
                <w:i/>
                <w:iCs/>
                <w:sz w:val="18"/>
                <w:szCs w:val="18"/>
                <w:rtl/>
              </w:rPr>
              <w:t>2016</w:t>
            </w:r>
          </w:p>
        </w:tc>
        <w:tc>
          <w:tcPr>
            <w:tcW w:w="647" w:type="dxa"/>
            <w:tcBorders>
              <w:top w:val="single" w:sz="4" w:space="0" w:color="auto"/>
              <w:bottom w:val="single" w:sz="12" w:space="0" w:color="auto"/>
            </w:tcBorders>
            <w:shd w:val="clear" w:color="auto" w:fill="auto"/>
            <w:vAlign w:val="bottom"/>
            <w:hideMark/>
          </w:tcPr>
          <w:p w14:paraId="64BCD400" w14:textId="77777777" w:rsidR="00C815DB" w:rsidRPr="002717F4" w:rsidRDefault="00C815DB" w:rsidP="002028DB">
            <w:pPr>
              <w:keepNext/>
              <w:keepLines/>
              <w:spacing w:before="20" w:after="20" w:line="300" w:lineRule="exact"/>
              <w:ind w:left="57" w:right="57"/>
              <w:textDirection w:val="tbRlV"/>
              <w:rPr>
                <w:bCs/>
                <w:i/>
                <w:sz w:val="18"/>
                <w:szCs w:val="18"/>
                <w:lang w:val="ar-SA" w:eastAsia="zh-TW" w:bidi="en-GB"/>
              </w:rPr>
            </w:pPr>
            <w:r w:rsidRPr="002717F4">
              <w:rPr>
                <w:i/>
                <w:iCs/>
                <w:sz w:val="18"/>
                <w:szCs w:val="18"/>
                <w:rtl/>
              </w:rPr>
              <w:t>2017</w:t>
            </w:r>
          </w:p>
        </w:tc>
        <w:tc>
          <w:tcPr>
            <w:tcW w:w="647" w:type="dxa"/>
            <w:tcBorders>
              <w:top w:val="single" w:sz="4" w:space="0" w:color="auto"/>
              <w:bottom w:val="single" w:sz="12" w:space="0" w:color="auto"/>
            </w:tcBorders>
            <w:shd w:val="clear" w:color="auto" w:fill="auto"/>
            <w:vAlign w:val="bottom"/>
            <w:hideMark/>
          </w:tcPr>
          <w:p w14:paraId="3B1DEF99" w14:textId="77777777" w:rsidR="00C815DB" w:rsidRPr="002717F4" w:rsidRDefault="00C815DB" w:rsidP="002028DB">
            <w:pPr>
              <w:keepNext/>
              <w:keepLines/>
              <w:spacing w:before="20" w:after="20" w:line="300" w:lineRule="exact"/>
              <w:ind w:left="57" w:right="57"/>
              <w:textDirection w:val="tbRlV"/>
              <w:rPr>
                <w:bCs/>
                <w:i/>
                <w:sz w:val="18"/>
                <w:szCs w:val="18"/>
                <w:lang w:val="ar-SA" w:eastAsia="zh-TW" w:bidi="en-GB"/>
              </w:rPr>
            </w:pPr>
            <w:r w:rsidRPr="002717F4">
              <w:rPr>
                <w:i/>
                <w:iCs/>
                <w:sz w:val="18"/>
                <w:szCs w:val="18"/>
                <w:rtl/>
              </w:rPr>
              <w:t>2018</w:t>
            </w:r>
          </w:p>
        </w:tc>
        <w:tc>
          <w:tcPr>
            <w:tcW w:w="1160" w:type="dxa"/>
            <w:tcBorders>
              <w:top w:val="single" w:sz="4" w:space="0" w:color="auto"/>
              <w:bottom w:val="single" w:sz="12" w:space="0" w:color="auto"/>
            </w:tcBorders>
            <w:shd w:val="clear" w:color="auto" w:fill="auto"/>
            <w:vAlign w:val="bottom"/>
            <w:hideMark/>
          </w:tcPr>
          <w:p w14:paraId="067D9422" w14:textId="77777777" w:rsidR="00C815DB" w:rsidRPr="002717F4" w:rsidRDefault="00C815DB" w:rsidP="002028DB">
            <w:pPr>
              <w:keepNext/>
              <w:keepLines/>
              <w:spacing w:before="20" w:after="20" w:line="300" w:lineRule="exact"/>
              <w:ind w:left="57" w:right="57"/>
              <w:textDirection w:val="tbRlV"/>
              <w:rPr>
                <w:bCs/>
                <w:i/>
                <w:sz w:val="26"/>
                <w:szCs w:val="26"/>
                <w:lang w:val="ar-SA" w:eastAsia="zh-TW" w:bidi="en-GB"/>
              </w:rPr>
            </w:pPr>
            <w:r w:rsidRPr="002717F4">
              <w:rPr>
                <w:i/>
                <w:iCs/>
                <w:sz w:val="26"/>
                <w:szCs w:val="26"/>
                <w:rtl/>
              </w:rPr>
              <w:t>التغير مقارنة بالسنة السابقة</w:t>
            </w:r>
          </w:p>
        </w:tc>
      </w:tr>
      <w:tr w:rsidR="002717F4" w:rsidRPr="00C51DE4" w14:paraId="2F4063E2" w14:textId="77777777" w:rsidTr="00BE4C80">
        <w:tc>
          <w:tcPr>
            <w:tcW w:w="2977" w:type="dxa"/>
            <w:tcBorders>
              <w:top w:val="single" w:sz="12" w:space="0" w:color="auto"/>
            </w:tcBorders>
            <w:shd w:val="clear" w:color="auto" w:fill="auto"/>
            <w:hideMark/>
          </w:tcPr>
          <w:p w14:paraId="4CEDC8DB" w14:textId="77777777" w:rsidR="002717F4" w:rsidRPr="002717F4" w:rsidRDefault="002717F4" w:rsidP="002717F4">
            <w:pPr>
              <w:spacing w:before="20" w:after="20" w:line="300" w:lineRule="exact"/>
              <w:ind w:left="57" w:right="57"/>
              <w:textDirection w:val="tbRlV"/>
              <w:rPr>
                <w:sz w:val="18"/>
                <w:szCs w:val="18"/>
                <w:lang w:val="ar-SA" w:eastAsia="zh-TW" w:bidi="en-GB"/>
              </w:rPr>
            </w:pPr>
            <w:r w:rsidRPr="002717F4">
              <w:rPr>
                <w:sz w:val="26"/>
                <w:szCs w:val="26"/>
                <w:rtl/>
              </w:rPr>
              <w:t>عدد ضباط الشرطة لكل</w:t>
            </w:r>
            <w:r w:rsidRPr="002717F4">
              <w:rPr>
                <w:sz w:val="18"/>
                <w:szCs w:val="18"/>
                <w:rtl/>
              </w:rPr>
              <w:t xml:space="preserve"> 000</w:t>
            </w:r>
            <w:r w:rsidRPr="002717F4">
              <w:rPr>
                <w:rFonts w:ascii="Traditional Arabic"/>
                <w:sz w:val="18"/>
                <w:szCs w:val="18"/>
                <w:rtl/>
              </w:rPr>
              <w:t xml:space="preserve"> </w:t>
            </w:r>
            <w:r w:rsidRPr="002717F4">
              <w:rPr>
                <w:sz w:val="18"/>
                <w:szCs w:val="18"/>
                <w:rtl/>
              </w:rPr>
              <w:t xml:space="preserve">100 </w:t>
            </w:r>
            <w:r w:rsidRPr="002717F4">
              <w:rPr>
                <w:sz w:val="26"/>
                <w:szCs w:val="26"/>
                <w:rtl/>
              </w:rPr>
              <w:t>شخص</w:t>
            </w:r>
          </w:p>
        </w:tc>
        <w:tc>
          <w:tcPr>
            <w:tcW w:w="646" w:type="dxa"/>
            <w:tcBorders>
              <w:top w:val="single" w:sz="12" w:space="0" w:color="auto"/>
            </w:tcBorders>
            <w:shd w:val="clear" w:color="auto" w:fill="auto"/>
            <w:vAlign w:val="bottom"/>
          </w:tcPr>
          <w:p w14:paraId="593F4EAD" w14:textId="5B705902" w:rsidR="002717F4" w:rsidRPr="002717F4" w:rsidRDefault="002717F4" w:rsidP="002717F4">
            <w:pPr>
              <w:spacing w:before="20" w:after="20" w:line="300" w:lineRule="exact"/>
              <w:ind w:left="57" w:right="57"/>
              <w:rPr>
                <w:sz w:val="18"/>
                <w:szCs w:val="18"/>
              </w:rPr>
            </w:pPr>
            <w:r w:rsidRPr="00C73DEC">
              <w:rPr>
                <w:sz w:val="18"/>
                <w:szCs w:val="24"/>
              </w:rPr>
              <w:t>135</w:t>
            </w:r>
            <w:r>
              <w:rPr>
                <w:sz w:val="18"/>
                <w:szCs w:val="24"/>
              </w:rPr>
              <w:t>,</w:t>
            </w:r>
            <w:r w:rsidRPr="00C73DEC">
              <w:rPr>
                <w:sz w:val="18"/>
                <w:szCs w:val="24"/>
              </w:rPr>
              <w:t>6</w:t>
            </w:r>
          </w:p>
        </w:tc>
        <w:tc>
          <w:tcPr>
            <w:tcW w:w="647" w:type="dxa"/>
            <w:tcBorders>
              <w:top w:val="single" w:sz="12" w:space="0" w:color="auto"/>
            </w:tcBorders>
            <w:shd w:val="clear" w:color="auto" w:fill="auto"/>
            <w:vAlign w:val="bottom"/>
          </w:tcPr>
          <w:p w14:paraId="6CBA29DF" w14:textId="53E7C2B4" w:rsidR="002717F4" w:rsidRPr="002717F4" w:rsidRDefault="002717F4" w:rsidP="002717F4">
            <w:pPr>
              <w:spacing w:before="20" w:after="20" w:line="300" w:lineRule="exact"/>
              <w:ind w:left="57" w:right="57"/>
              <w:rPr>
                <w:sz w:val="18"/>
                <w:szCs w:val="18"/>
              </w:rPr>
            </w:pPr>
            <w:r w:rsidRPr="00C73DEC">
              <w:rPr>
                <w:sz w:val="18"/>
                <w:szCs w:val="24"/>
              </w:rPr>
              <w:t>134</w:t>
            </w:r>
            <w:r>
              <w:rPr>
                <w:sz w:val="18"/>
                <w:szCs w:val="24"/>
              </w:rPr>
              <w:t>,</w:t>
            </w:r>
            <w:r w:rsidRPr="00C73DEC">
              <w:rPr>
                <w:sz w:val="18"/>
                <w:szCs w:val="24"/>
              </w:rPr>
              <w:t>1</w:t>
            </w:r>
          </w:p>
        </w:tc>
        <w:tc>
          <w:tcPr>
            <w:tcW w:w="646" w:type="dxa"/>
            <w:tcBorders>
              <w:top w:val="single" w:sz="12" w:space="0" w:color="auto"/>
            </w:tcBorders>
            <w:shd w:val="clear" w:color="auto" w:fill="auto"/>
            <w:vAlign w:val="bottom"/>
          </w:tcPr>
          <w:p w14:paraId="3CE546D9" w14:textId="50F35B96" w:rsidR="002717F4" w:rsidRPr="002717F4" w:rsidRDefault="002717F4" w:rsidP="002717F4">
            <w:pPr>
              <w:spacing w:before="20" w:after="20" w:line="300" w:lineRule="exact"/>
              <w:ind w:left="57" w:right="57"/>
              <w:rPr>
                <w:sz w:val="18"/>
                <w:szCs w:val="18"/>
              </w:rPr>
            </w:pPr>
            <w:r w:rsidRPr="00C73DEC">
              <w:rPr>
                <w:sz w:val="18"/>
                <w:szCs w:val="24"/>
              </w:rPr>
              <w:t>131</w:t>
            </w:r>
            <w:r>
              <w:rPr>
                <w:sz w:val="18"/>
                <w:szCs w:val="24"/>
              </w:rPr>
              <w:t>,</w:t>
            </w:r>
            <w:r w:rsidRPr="00C73DEC">
              <w:rPr>
                <w:sz w:val="18"/>
                <w:szCs w:val="24"/>
              </w:rPr>
              <w:t>2</w:t>
            </w:r>
          </w:p>
        </w:tc>
        <w:tc>
          <w:tcPr>
            <w:tcW w:w="647" w:type="dxa"/>
            <w:tcBorders>
              <w:top w:val="single" w:sz="12" w:space="0" w:color="auto"/>
            </w:tcBorders>
            <w:shd w:val="clear" w:color="auto" w:fill="auto"/>
            <w:vAlign w:val="bottom"/>
          </w:tcPr>
          <w:p w14:paraId="42DBCFF8" w14:textId="0AED6802" w:rsidR="002717F4" w:rsidRPr="002717F4" w:rsidRDefault="002717F4" w:rsidP="002717F4">
            <w:pPr>
              <w:spacing w:before="20" w:after="20" w:line="300" w:lineRule="exact"/>
              <w:ind w:left="57" w:right="57"/>
              <w:rPr>
                <w:sz w:val="18"/>
                <w:szCs w:val="18"/>
              </w:rPr>
            </w:pPr>
            <w:r w:rsidRPr="00C73DEC">
              <w:rPr>
                <w:sz w:val="18"/>
                <w:szCs w:val="24"/>
              </w:rPr>
              <w:t>129</w:t>
            </w:r>
            <w:r>
              <w:rPr>
                <w:sz w:val="18"/>
                <w:szCs w:val="24"/>
              </w:rPr>
              <w:t>,</w:t>
            </w:r>
            <w:r w:rsidRPr="00C73DEC">
              <w:rPr>
                <w:sz w:val="18"/>
                <w:szCs w:val="24"/>
              </w:rPr>
              <w:t>7</w:t>
            </w:r>
          </w:p>
        </w:tc>
        <w:tc>
          <w:tcPr>
            <w:tcW w:w="647" w:type="dxa"/>
            <w:tcBorders>
              <w:top w:val="single" w:sz="12" w:space="0" w:color="auto"/>
            </w:tcBorders>
            <w:shd w:val="clear" w:color="auto" w:fill="auto"/>
            <w:vAlign w:val="bottom"/>
          </w:tcPr>
          <w:p w14:paraId="05C62E78" w14:textId="1EA878B9" w:rsidR="002717F4" w:rsidRPr="002717F4" w:rsidRDefault="002717F4" w:rsidP="002717F4">
            <w:pPr>
              <w:spacing w:before="20" w:after="20" w:line="300" w:lineRule="exact"/>
              <w:ind w:left="57" w:right="57"/>
              <w:rPr>
                <w:sz w:val="18"/>
                <w:szCs w:val="18"/>
              </w:rPr>
            </w:pPr>
            <w:r w:rsidRPr="00C73DEC">
              <w:rPr>
                <w:sz w:val="18"/>
                <w:szCs w:val="24"/>
              </w:rPr>
              <w:t>130</w:t>
            </w:r>
            <w:r>
              <w:rPr>
                <w:sz w:val="18"/>
                <w:szCs w:val="24"/>
              </w:rPr>
              <w:t>,</w:t>
            </w:r>
            <w:r w:rsidRPr="00C73DEC">
              <w:rPr>
                <w:sz w:val="18"/>
                <w:szCs w:val="24"/>
              </w:rPr>
              <w:t>5</w:t>
            </w:r>
          </w:p>
        </w:tc>
        <w:tc>
          <w:tcPr>
            <w:tcW w:w="1160" w:type="dxa"/>
            <w:tcBorders>
              <w:top w:val="single" w:sz="12" w:space="0" w:color="auto"/>
            </w:tcBorders>
            <w:shd w:val="clear" w:color="auto" w:fill="auto"/>
            <w:vAlign w:val="bottom"/>
          </w:tcPr>
          <w:p w14:paraId="1EF16F1D" w14:textId="4F11753E" w:rsidR="002717F4" w:rsidRPr="002717F4" w:rsidRDefault="002717F4" w:rsidP="002717F4">
            <w:pPr>
              <w:spacing w:before="20" w:after="20" w:line="300" w:lineRule="exact"/>
              <w:ind w:left="57" w:right="57"/>
              <w:rPr>
                <w:sz w:val="18"/>
                <w:szCs w:val="18"/>
              </w:rPr>
            </w:pPr>
            <w:r w:rsidRPr="00C73DEC">
              <w:rPr>
                <w:sz w:val="18"/>
                <w:szCs w:val="24"/>
              </w:rPr>
              <w:t>1</w:t>
            </w:r>
          </w:p>
        </w:tc>
      </w:tr>
    </w:tbl>
    <w:p w14:paraId="54449F5B" w14:textId="77777777" w:rsidR="00C815DB" w:rsidRPr="002717F4" w:rsidRDefault="00C815DB" w:rsidP="009C28DA">
      <w:pPr>
        <w:pStyle w:val="SingleTxtGA"/>
        <w:rPr>
          <w:sz w:val="30"/>
          <w:lang w:eastAsia="zh-TW" w:bidi="en-GB"/>
        </w:rPr>
      </w:pPr>
      <w:r w:rsidRPr="002717F4">
        <w:rPr>
          <w:i/>
          <w:iCs/>
          <w:sz w:val="26"/>
          <w:szCs w:val="26"/>
          <w:rtl/>
        </w:rPr>
        <w:t>المصدر</w:t>
      </w:r>
      <w:r w:rsidRPr="00BB79C1">
        <w:t>:</w:t>
      </w:r>
      <w:r w:rsidRPr="0068209D">
        <w:rPr>
          <w:sz w:val="30"/>
          <w:rtl/>
        </w:rPr>
        <w:t xml:space="preserve"> </w:t>
      </w:r>
      <w:r w:rsidRPr="002717F4">
        <w:rPr>
          <w:sz w:val="18"/>
          <w:szCs w:val="18"/>
        </w:rPr>
        <w:t>PolStat database</w:t>
      </w:r>
      <w:r w:rsidRPr="0068209D">
        <w:rPr>
          <w:sz w:val="30"/>
          <w:rtl/>
        </w:rPr>
        <w:t>.</w:t>
      </w:r>
    </w:p>
    <w:p w14:paraId="67A2401F" w14:textId="77777777" w:rsidR="00C815DB" w:rsidRPr="002717F4" w:rsidRDefault="00C815DB" w:rsidP="009C28DA">
      <w:pPr>
        <w:pStyle w:val="SingleTxtGA"/>
        <w:rPr>
          <w:lang w:val="ar-SA" w:eastAsia="zh-TW" w:bidi="en-GB"/>
        </w:rPr>
      </w:pPr>
      <w:r w:rsidRPr="002717F4">
        <w:rPr>
          <w:spacing w:val="-4"/>
          <w:szCs w:val="20"/>
          <w:rtl/>
        </w:rPr>
        <w:t>212</w:t>
      </w:r>
      <w:r w:rsidRPr="002717F4">
        <w:rPr>
          <w:spacing w:val="-4"/>
          <w:rtl/>
        </w:rPr>
        <w:t>-</w:t>
      </w:r>
      <w:r w:rsidRPr="002717F4">
        <w:rPr>
          <w:spacing w:val="-4"/>
          <w:rtl/>
        </w:rPr>
        <w:tab/>
        <w:t xml:space="preserve">ويخصص اعتمادات الميزانية الفرعُ الإداري؛ وإضافة إلى البرلمان ورئيس الجمهورية ومكتب رئيس الوزراء، توجه الاعتمادات أيضاً إلى مختلف الوزارات. ويبين الجدول أدناه الأموال المخصصة لبعض الجهات الفاعلة المحورية بالنسبة لإقامة العدل من الاعتمادات المرصودة في ميزانية </w:t>
      </w:r>
      <w:r w:rsidRPr="002717F4">
        <w:rPr>
          <w:spacing w:val="-4"/>
          <w:szCs w:val="20"/>
          <w:rtl/>
        </w:rPr>
        <w:t>2010</w:t>
      </w:r>
      <w:r w:rsidRPr="002717F4">
        <w:rPr>
          <w:spacing w:val="-4"/>
          <w:rtl/>
        </w:rPr>
        <w:t>-</w:t>
      </w:r>
      <w:r w:rsidRPr="002717F4">
        <w:rPr>
          <w:spacing w:val="-4"/>
          <w:szCs w:val="20"/>
          <w:rtl/>
        </w:rPr>
        <w:t>2017</w:t>
      </w:r>
      <w:r w:rsidRPr="002717F4">
        <w:rPr>
          <w:rFonts w:ascii="Traditional Arabic"/>
          <w:spacing w:val="-4"/>
          <w:rtl/>
        </w:rPr>
        <w:t>.</w:t>
      </w:r>
      <w:r w:rsidRPr="002717F4">
        <w:rPr>
          <w:spacing w:val="-4"/>
          <w:rtl/>
        </w:rPr>
        <w:t xml:space="preserve"> وتتبع دائرة الشرطة </w:t>
      </w:r>
      <w:r w:rsidRPr="002717F4">
        <w:rPr>
          <w:rtl/>
        </w:rPr>
        <w:t>القطاع الإداري في وزارة الداخلية وتتبع الجهات الفاعلة الأخرى القطاع الإداري في وزارة العدل.</w:t>
      </w:r>
    </w:p>
    <w:p w14:paraId="5682CBD6" w14:textId="7AF71C48" w:rsidR="00C815DB" w:rsidRPr="00945FC5" w:rsidRDefault="00C815DB" w:rsidP="007C53F8">
      <w:pPr>
        <w:pStyle w:val="SingleTxtGA"/>
        <w:spacing w:after="0"/>
        <w:rPr>
          <w:lang w:eastAsia="zh-TW" w:bidi="en-GB"/>
        </w:rPr>
      </w:pPr>
      <w:r w:rsidRPr="0068209D">
        <w:rPr>
          <w:rtl/>
        </w:rPr>
        <w:t xml:space="preserve">الجدول </w:t>
      </w:r>
      <w:r w:rsidRPr="005C19F0">
        <w:rPr>
          <w:szCs w:val="20"/>
          <w:rtl/>
        </w:rPr>
        <w:t>14</w:t>
      </w:r>
    </w:p>
    <w:p w14:paraId="72D2C421" w14:textId="77777777" w:rsidR="00C815DB" w:rsidRPr="00CA001D" w:rsidRDefault="00C815DB" w:rsidP="00CA001D">
      <w:pPr>
        <w:pStyle w:val="SingleTxtGA"/>
        <w:rPr>
          <w:b/>
          <w:bCs/>
          <w:lang w:val="ar-SA" w:eastAsia="zh-TW" w:bidi="en-GB"/>
        </w:rPr>
      </w:pPr>
      <w:r w:rsidRPr="00CA001D">
        <w:rPr>
          <w:b/>
          <w:bCs/>
          <w:rtl/>
        </w:rPr>
        <w:t xml:space="preserve">اعتمادات الميزانية لإقامة العدل، باليورو، </w:t>
      </w:r>
      <w:r w:rsidRPr="005C19F0">
        <w:rPr>
          <w:b/>
          <w:bCs/>
          <w:szCs w:val="20"/>
          <w:rtl/>
        </w:rPr>
        <w:t>2011</w:t>
      </w:r>
      <w:r w:rsidRPr="00EF3655">
        <w:rPr>
          <w:rtl/>
        </w:rPr>
        <w:t>-</w:t>
      </w:r>
      <w:r w:rsidRPr="005C19F0">
        <w:rPr>
          <w:b/>
          <w:bCs/>
          <w:szCs w:val="20"/>
          <w:rtl/>
        </w:rPr>
        <w:t>2019</w:t>
      </w:r>
    </w:p>
    <w:tbl>
      <w:tblPr>
        <w:bidiVisual/>
        <w:tblW w:w="7268" w:type="dxa"/>
        <w:tblInd w:w="1240"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549"/>
        <w:gridCol w:w="1302"/>
        <w:gridCol w:w="1231"/>
        <w:gridCol w:w="1078"/>
        <w:gridCol w:w="1176"/>
        <w:gridCol w:w="1932"/>
      </w:tblGrid>
      <w:tr w:rsidR="00C815DB" w:rsidRPr="0068209D" w14:paraId="33A3C050" w14:textId="77777777" w:rsidTr="00A87EA5">
        <w:trPr>
          <w:tblHeader/>
        </w:trPr>
        <w:tc>
          <w:tcPr>
            <w:tcW w:w="549" w:type="dxa"/>
            <w:tcBorders>
              <w:top w:val="single" w:sz="4" w:space="0" w:color="auto"/>
              <w:bottom w:val="single" w:sz="12" w:space="0" w:color="auto"/>
            </w:tcBorders>
            <w:shd w:val="clear" w:color="auto" w:fill="auto"/>
            <w:vAlign w:val="bottom"/>
            <w:hideMark/>
          </w:tcPr>
          <w:p w14:paraId="1ABB1BB4" w14:textId="77777777" w:rsidR="00C815DB" w:rsidRPr="00F93D35" w:rsidRDefault="00C815DB" w:rsidP="007C53F8">
            <w:pPr>
              <w:spacing w:before="20" w:after="40" w:line="300" w:lineRule="exact"/>
              <w:ind w:left="2"/>
              <w:textDirection w:val="tbRlV"/>
              <w:rPr>
                <w:bCs/>
                <w:i/>
                <w:sz w:val="24"/>
                <w:szCs w:val="24"/>
                <w:lang w:eastAsia="zh-TW" w:bidi="en-GB"/>
              </w:rPr>
            </w:pPr>
            <w:r w:rsidRPr="00F93D35">
              <w:rPr>
                <w:i/>
                <w:iCs/>
                <w:sz w:val="24"/>
                <w:szCs w:val="24"/>
                <w:rtl/>
              </w:rPr>
              <w:t>السنة/ الإدارة</w:t>
            </w:r>
          </w:p>
        </w:tc>
        <w:tc>
          <w:tcPr>
            <w:tcW w:w="1302" w:type="dxa"/>
            <w:tcBorders>
              <w:top w:val="single" w:sz="4" w:space="0" w:color="auto"/>
              <w:bottom w:val="single" w:sz="12" w:space="0" w:color="auto"/>
            </w:tcBorders>
            <w:shd w:val="clear" w:color="auto" w:fill="auto"/>
            <w:vAlign w:val="bottom"/>
            <w:hideMark/>
          </w:tcPr>
          <w:p w14:paraId="172289A8" w14:textId="3D269674" w:rsidR="00C815DB" w:rsidRPr="009B4934" w:rsidRDefault="00C815DB" w:rsidP="007C53F8">
            <w:pPr>
              <w:spacing w:before="20" w:after="40" w:line="300" w:lineRule="exact"/>
              <w:ind w:left="2"/>
              <w:textDirection w:val="tbRlV"/>
              <w:rPr>
                <w:bCs/>
                <w:i/>
                <w:sz w:val="24"/>
                <w:szCs w:val="24"/>
                <w:lang w:eastAsia="zh-TW" w:bidi="en-GB"/>
              </w:rPr>
            </w:pPr>
            <w:r w:rsidRPr="00F93D35">
              <w:rPr>
                <w:i/>
                <w:iCs/>
                <w:sz w:val="24"/>
                <w:szCs w:val="24"/>
                <w:rtl/>
              </w:rPr>
              <w:t>الشرط</w:t>
            </w:r>
            <w:r w:rsidR="009B4934">
              <w:rPr>
                <w:rFonts w:hint="cs"/>
                <w:i/>
                <w:iCs/>
                <w:sz w:val="24"/>
                <w:szCs w:val="24"/>
                <w:rtl/>
              </w:rPr>
              <w:t>ة</w:t>
            </w:r>
          </w:p>
        </w:tc>
        <w:tc>
          <w:tcPr>
            <w:tcW w:w="1231" w:type="dxa"/>
            <w:tcBorders>
              <w:top w:val="single" w:sz="4" w:space="0" w:color="auto"/>
              <w:bottom w:val="single" w:sz="12" w:space="0" w:color="auto"/>
            </w:tcBorders>
            <w:shd w:val="clear" w:color="auto" w:fill="auto"/>
            <w:vAlign w:val="bottom"/>
            <w:hideMark/>
          </w:tcPr>
          <w:p w14:paraId="2307AD87" w14:textId="77777777" w:rsidR="00C815DB" w:rsidRPr="007C53F8" w:rsidRDefault="00C815DB" w:rsidP="007C53F8">
            <w:pPr>
              <w:spacing w:before="20" w:after="40" w:line="300" w:lineRule="exact"/>
              <w:ind w:left="2"/>
              <w:textDirection w:val="tbRlV"/>
              <w:rPr>
                <w:bCs/>
                <w:i/>
                <w:sz w:val="24"/>
                <w:szCs w:val="24"/>
                <w:lang w:eastAsia="zh-TW" w:bidi="en-GB"/>
              </w:rPr>
            </w:pPr>
            <w:r w:rsidRPr="00F93D35">
              <w:rPr>
                <w:i/>
                <w:iCs/>
                <w:sz w:val="24"/>
                <w:szCs w:val="24"/>
                <w:rtl/>
              </w:rPr>
              <w:t>المحاكم والمعونة القضائية</w:t>
            </w:r>
          </w:p>
        </w:tc>
        <w:tc>
          <w:tcPr>
            <w:tcW w:w="1078" w:type="dxa"/>
            <w:tcBorders>
              <w:top w:val="single" w:sz="4" w:space="0" w:color="auto"/>
              <w:bottom w:val="single" w:sz="12" w:space="0" w:color="auto"/>
            </w:tcBorders>
            <w:shd w:val="clear" w:color="auto" w:fill="auto"/>
            <w:vAlign w:val="bottom"/>
            <w:hideMark/>
          </w:tcPr>
          <w:p w14:paraId="7898D00F" w14:textId="77777777" w:rsidR="00C815DB" w:rsidRPr="00F93D35" w:rsidRDefault="00C815DB" w:rsidP="007C53F8">
            <w:pPr>
              <w:spacing w:before="20" w:after="40" w:line="300" w:lineRule="exact"/>
              <w:ind w:left="2"/>
              <w:textDirection w:val="tbRlV"/>
              <w:rPr>
                <w:bCs/>
                <w:i/>
                <w:sz w:val="24"/>
                <w:szCs w:val="24"/>
                <w:lang w:eastAsia="zh-TW" w:bidi="en-GB"/>
              </w:rPr>
            </w:pPr>
            <w:r w:rsidRPr="00F93D35">
              <w:rPr>
                <w:i/>
                <w:iCs/>
                <w:sz w:val="24"/>
                <w:szCs w:val="24"/>
                <w:rtl/>
              </w:rPr>
              <w:t>أعضاء الادعاء</w:t>
            </w:r>
          </w:p>
        </w:tc>
        <w:tc>
          <w:tcPr>
            <w:tcW w:w="1176" w:type="dxa"/>
            <w:tcBorders>
              <w:top w:val="single" w:sz="4" w:space="0" w:color="auto"/>
              <w:bottom w:val="single" w:sz="12" w:space="0" w:color="auto"/>
            </w:tcBorders>
            <w:shd w:val="clear" w:color="auto" w:fill="auto"/>
            <w:vAlign w:val="bottom"/>
            <w:hideMark/>
          </w:tcPr>
          <w:p w14:paraId="1972BC3F" w14:textId="77777777" w:rsidR="00C815DB" w:rsidRPr="00F93D35" w:rsidRDefault="00C815DB" w:rsidP="007C53F8">
            <w:pPr>
              <w:spacing w:before="20" w:after="40" w:line="300" w:lineRule="exact"/>
              <w:ind w:left="2"/>
              <w:textDirection w:val="tbRlV"/>
              <w:rPr>
                <w:bCs/>
                <w:i/>
                <w:sz w:val="24"/>
                <w:szCs w:val="24"/>
                <w:lang w:val="ar-SA" w:eastAsia="zh-TW" w:bidi="en-GB"/>
              </w:rPr>
            </w:pPr>
            <w:r w:rsidRPr="00F93D35">
              <w:rPr>
                <w:i/>
                <w:iCs/>
                <w:sz w:val="24"/>
                <w:szCs w:val="24"/>
                <w:rtl/>
              </w:rPr>
              <w:t>تنفيذ الأحكام القضائية</w:t>
            </w:r>
          </w:p>
        </w:tc>
        <w:tc>
          <w:tcPr>
            <w:tcW w:w="1932" w:type="dxa"/>
            <w:tcBorders>
              <w:top w:val="single" w:sz="4" w:space="0" w:color="auto"/>
              <w:bottom w:val="single" w:sz="12" w:space="0" w:color="auto"/>
            </w:tcBorders>
            <w:shd w:val="clear" w:color="auto" w:fill="auto"/>
            <w:vAlign w:val="bottom"/>
            <w:hideMark/>
          </w:tcPr>
          <w:p w14:paraId="61AC8CD5" w14:textId="77777777" w:rsidR="00C815DB" w:rsidRPr="00F93D35" w:rsidRDefault="00C815DB" w:rsidP="007C53F8">
            <w:pPr>
              <w:spacing w:before="20" w:after="40" w:line="300" w:lineRule="exact"/>
              <w:ind w:left="2"/>
              <w:textDirection w:val="tbRlV"/>
              <w:rPr>
                <w:bCs/>
                <w:i/>
                <w:sz w:val="24"/>
                <w:szCs w:val="24"/>
                <w:lang w:val="ar-SA" w:eastAsia="zh-TW" w:bidi="en-GB"/>
              </w:rPr>
            </w:pPr>
            <w:r w:rsidRPr="00F93D35">
              <w:rPr>
                <w:i/>
                <w:iCs/>
                <w:sz w:val="24"/>
                <w:szCs w:val="24"/>
                <w:rtl/>
              </w:rPr>
              <w:t>التخلف عن السداد، وإنفاذ المدفوعات وإدارة الإفلاس</w:t>
            </w:r>
          </w:p>
        </w:tc>
      </w:tr>
      <w:tr w:rsidR="00580372" w:rsidRPr="0068209D" w14:paraId="57860216" w14:textId="77777777" w:rsidTr="00A87EA5">
        <w:tc>
          <w:tcPr>
            <w:tcW w:w="549" w:type="dxa"/>
            <w:tcBorders>
              <w:top w:val="single" w:sz="12" w:space="0" w:color="auto"/>
            </w:tcBorders>
            <w:shd w:val="clear" w:color="auto" w:fill="auto"/>
            <w:hideMark/>
          </w:tcPr>
          <w:p w14:paraId="2C159D59"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2011</w:t>
            </w:r>
          </w:p>
        </w:tc>
        <w:tc>
          <w:tcPr>
            <w:tcW w:w="1302" w:type="dxa"/>
            <w:tcBorders>
              <w:top w:val="single" w:sz="12" w:space="0" w:color="auto"/>
            </w:tcBorders>
            <w:shd w:val="clear" w:color="auto" w:fill="auto"/>
            <w:vAlign w:val="bottom"/>
          </w:tcPr>
          <w:p w14:paraId="54422278" w14:textId="5742674E" w:rsidR="00580372" w:rsidRPr="00F93D35" w:rsidRDefault="00580372" w:rsidP="00580372">
            <w:pPr>
              <w:spacing w:before="20" w:after="40" w:line="300" w:lineRule="exact"/>
              <w:ind w:left="2"/>
              <w:rPr>
                <w:sz w:val="18"/>
                <w:szCs w:val="18"/>
              </w:rPr>
            </w:pPr>
            <w:r w:rsidRPr="00E15ABC">
              <w:rPr>
                <w:sz w:val="18"/>
                <w:szCs w:val="24"/>
              </w:rPr>
              <w:t>689 108 000</w:t>
            </w:r>
          </w:p>
        </w:tc>
        <w:tc>
          <w:tcPr>
            <w:tcW w:w="1231" w:type="dxa"/>
            <w:tcBorders>
              <w:top w:val="single" w:sz="12" w:space="0" w:color="auto"/>
            </w:tcBorders>
            <w:shd w:val="clear" w:color="auto" w:fill="auto"/>
            <w:vAlign w:val="bottom"/>
          </w:tcPr>
          <w:p w14:paraId="083125D8" w14:textId="2981FF25" w:rsidR="00580372" w:rsidRPr="00F93D35" w:rsidRDefault="00580372" w:rsidP="00580372">
            <w:pPr>
              <w:spacing w:before="20" w:after="40" w:line="300" w:lineRule="exact"/>
              <w:ind w:left="2"/>
              <w:rPr>
                <w:sz w:val="18"/>
                <w:szCs w:val="18"/>
              </w:rPr>
            </w:pPr>
            <w:r w:rsidRPr="00E15ABC">
              <w:rPr>
                <w:sz w:val="18"/>
                <w:szCs w:val="24"/>
              </w:rPr>
              <w:t>334 596 000</w:t>
            </w:r>
          </w:p>
        </w:tc>
        <w:tc>
          <w:tcPr>
            <w:tcW w:w="1078" w:type="dxa"/>
            <w:tcBorders>
              <w:top w:val="single" w:sz="12" w:space="0" w:color="auto"/>
            </w:tcBorders>
            <w:shd w:val="clear" w:color="auto" w:fill="auto"/>
            <w:vAlign w:val="bottom"/>
          </w:tcPr>
          <w:p w14:paraId="6085978C" w14:textId="7B25F6D2" w:rsidR="00580372" w:rsidRPr="00F93D35" w:rsidRDefault="00580372" w:rsidP="00580372">
            <w:pPr>
              <w:spacing w:before="20" w:after="40" w:line="300" w:lineRule="exact"/>
              <w:ind w:left="2"/>
              <w:rPr>
                <w:sz w:val="18"/>
                <w:szCs w:val="18"/>
              </w:rPr>
            </w:pPr>
            <w:r w:rsidRPr="00E15ABC">
              <w:rPr>
                <w:sz w:val="18"/>
                <w:szCs w:val="24"/>
              </w:rPr>
              <w:t>43 875 000</w:t>
            </w:r>
          </w:p>
        </w:tc>
        <w:tc>
          <w:tcPr>
            <w:tcW w:w="1176" w:type="dxa"/>
            <w:tcBorders>
              <w:top w:val="single" w:sz="12" w:space="0" w:color="auto"/>
            </w:tcBorders>
            <w:shd w:val="clear" w:color="auto" w:fill="auto"/>
            <w:vAlign w:val="bottom"/>
          </w:tcPr>
          <w:p w14:paraId="0013CC07" w14:textId="7A7AC1F5" w:rsidR="00580372" w:rsidRPr="00F93D35" w:rsidRDefault="00580372" w:rsidP="00580372">
            <w:pPr>
              <w:spacing w:before="20" w:after="40" w:line="300" w:lineRule="exact"/>
              <w:ind w:left="2"/>
              <w:rPr>
                <w:sz w:val="18"/>
                <w:szCs w:val="18"/>
              </w:rPr>
            </w:pPr>
            <w:r w:rsidRPr="00E15ABC">
              <w:rPr>
                <w:sz w:val="18"/>
                <w:szCs w:val="24"/>
              </w:rPr>
              <w:t>225 524 000</w:t>
            </w:r>
          </w:p>
        </w:tc>
        <w:tc>
          <w:tcPr>
            <w:tcW w:w="1932" w:type="dxa"/>
            <w:tcBorders>
              <w:top w:val="single" w:sz="12" w:space="0" w:color="auto"/>
            </w:tcBorders>
            <w:shd w:val="clear" w:color="auto" w:fill="auto"/>
            <w:vAlign w:val="bottom"/>
          </w:tcPr>
          <w:p w14:paraId="1286C6D1" w14:textId="526FD4F4" w:rsidR="00580372" w:rsidRPr="00F93D35" w:rsidRDefault="00580372" w:rsidP="00580372">
            <w:pPr>
              <w:spacing w:before="20" w:after="40" w:line="300" w:lineRule="exact"/>
              <w:ind w:left="2"/>
              <w:rPr>
                <w:sz w:val="18"/>
                <w:szCs w:val="18"/>
              </w:rPr>
            </w:pPr>
            <w:r w:rsidRPr="00E15ABC">
              <w:rPr>
                <w:sz w:val="18"/>
                <w:szCs w:val="24"/>
              </w:rPr>
              <w:t>98 806 000</w:t>
            </w:r>
          </w:p>
        </w:tc>
      </w:tr>
      <w:tr w:rsidR="00580372" w:rsidRPr="0068209D" w14:paraId="5942DE68" w14:textId="77777777" w:rsidTr="00A87EA5">
        <w:tc>
          <w:tcPr>
            <w:tcW w:w="549" w:type="dxa"/>
            <w:shd w:val="clear" w:color="auto" w:fill="auto"/>
            <w:hideMark/>
          </w:tcPr>
          <w:p w14:paraId="4B0AFC66"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2012</w:t>
            </w:r>
          </w:p>
        </w:tc>
        <w:tc>
          <w:tcPr>
            <w:tcW w:w="1302" w:type="dxa"/>
            <w:shd w:val="clear" w:color="auto" w:fill="auto"/>
            <w:vAlign w:val="bottom"/>
          </w:tcPr>
          <w:p w14:paraId="7F81A6B9" w14:textId="274985B6" w:rsidR="00580372" w:rsidRPr="00F93D35" w:rsidRDefault="00580372" w:rsidP="00580372">
            <w:pPr>
              <w:spacing w:before="20" w:after="40" w:line="300" w:lineRule="exact"/>
              <w:ind w:left="2"/>
              <w:rPr>
                <w:sz w:val="18"/>
                <w:szCs w:val="18"/>
              </w:rPr>
            </w:pPr>
            <w:r w:rsidRPr="00E15ABC">
              <w:rPr>
                <w:sz w:val="18"/>
                <w:szCs w:val="24"/>
              </w:rPr>
              <w:t>703 465 000</w:t>
            </w:r>
          </w:p>
        </w:tc>
        <w:tc>
          <w:tcPr>
            <w:tcW w:w="1231" w:type="dxa"/>
            <w:shd w:val="clear" w:color="auto" w:fill="auto"/>
            <w:vAlign w:val="bottom"/>
          </w:tcPr>
          <w:p w14:paraId="2BE606F6" w14:textId="4A9B4E44" w:rsidR="00580372" w:rsidRPr="00F93D35" w:rsidRDefault="00580372" w:rsidP="00580372">
            <w:pPr>
              <w:spacing w:before="20" w:after="40" w:line="300" w:lineRule="exact"/>
              <w:ind w:left="2"/>
              <w:rPr>
                <w:sz w:val="18"/>
                <w:szCs w:val="18"/>
              </w:rPr>
            </w:pPr>
            <w:r w:rsidRPr="00E15ABC">
              <w:rPr>
                <w:sz w:val="18"/>
                <w:szCs w:val="24"/>
              </w:rPr>
              <w:t>340 629 000</w:t>
            </w:r>
          </w:p>
        </w:tc>
        <w:tc>
          <w:tcPr>
            <w:tcW w:w="1078" w:type="dxa"/>
            <w:shd w:val="clear" w:color="auto" w:fill="auto"/>
            <w:vAlign w:val="bottom"/>
          </w:tcPr>
          <w:p w14:paraId="32A5D9AB" w14:textId="4316548E" w:rsidR="00580372" w:rsidRPr="00F93D35" w:rsidRDefault="00580372" w:rsidP="00580372">
            <w:pPr>
              <w:spacing w:before="20" w:after="40" w:line="300" w:lineRule="exact"/>
              <w:ind w:left="2"/>
              <w:rPr>
                <w:sz w:val="18"/>
                <w:szCs w:val="18"/>
              </w:rPr>
            </w:pPr>
            <w:r w:rsidRPr="00E15ABC">
              <w:rPr>
                <w:sz w:val="18"/>
                <w:szCs w:val="24"/>
              </w:rPr>
              <w:t>44 571 000</w:t>
            </w:r>
          </w:p>
        </w:tc>
        <w:tc>
          <w:tcPr>
            <w:tcW w:w="1176" w:type="dxa"/>
            <w:shd w:val="clear" w:color="auto" w:fill="auto"/>
            <w:vAlign w:val="bottom"/>
          </w:tcPr>
          <w:p w14:paraId="1F9C47D8" w14:textId="4AB69ADC" w:rsidR="00580372" w:rsidRPr="00F93D35" w:rsidRDefault="00580372" w:rsidP="00580372">
            <w:pPr>
              <w:spacing w:before="20" w:after="40" w:line="300" w:lineRule="exact"/>
              <w:ind w:left="2"/>
              <w:rPr>
                <w:sz w:val="18"/>
                <w:szCs w:val="18"/>
              </w:rPr>
            </w:pPr>
            <w:r w:rsidRPr="00E15ABC">
              <w:rPr>
                <w:sz w:val="18"/>
                <w:szCs w:val="24"/>
              </w:rPr>
              <w:t>227 205 000</w:t>
            </w:r>
          </w:p>
        </w:tc>
        <w:tc>
          <w:tcPr>
            <w:tcW w:w="1932" w:type="dxa"/>
            <w:shd w:val="clear" w:color="auto" w:fill="auto"/>
            <w:vAlign w:val="bottom"/>
          </w:tcPr>
          <w:p w14:paraId="497CF153" w14:textId="5A5FCA81" w:rsidR="00580372" w:rsidRPr="00F93D35" w:rsidRDefault="00580372" w:rsidP="00580372">
            <w:pPr>
              <w:spacing w:before="20" w:after="40" w:line="300" w:lineRule="exact"/>
              <w:ind w:left="2"/>
              <w:rPr>
                <w:sz w:val="18"/>
                <w:szCs w:val="18"/>
              </w:rPr>
            </w:pPr>
            <w:r w:rsidRPr="00E15ABC">
              <w:rPr>
                <w:sz w:val="18"/>
                <w:szCs w:val="24"/>
              </w:rPr>
              <w:t>100 197 000</w:t>
            </w:r>
          </w:p>
        </w:tc>
      </w:tr>
      <w:tr w:rsidR="00580372" w:rsidRPr="0068209D" w14:paraId="00D411A2" w14:textId="77777777" w:rsidTr="00A87EA5">
        <w:tc>
          <w:tcPr>
            <w:tcW w:w="549" w:type="dxa"/>
            <w:shd w:val="clear" w:color="auto" w:fill="auto"/>
            <w:hideMark/>
          </w:tcPr>
          <w:p w14:paraId="755B3324"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2013</w:t>
            </w:r>
          </w:p>
        </w:tc>
        <w:tc>
          <w:tcPr>
            <w:tcW w:w="1302" w:type="dxa"/>
            <w:shd w:val="clear" w:color="auto" w:fill="auto"/>
            <w:vAlign w:val="bottom"/>
          </w:tcPr>
          <w:p w14:paraId="46C5D37B" w14:textId="27E895E0" w:rsidR="00580372" w:rsidRPr="00F93D35" w:rsidRDefault="00580372" w:rsidP="00580372">
            <w:pPr>
              <w:spacing w:before="20" w:after="40" w:line="300" w:lineRule="exact"/>
              <w:ind w:left="2"/>
              <w:rPr>
                <w:sz w:val="18"/>
                <w:szCs w:val="18"/>
              </w:rPr>
            </w:pPr>
            <w:r w:rsidRPr="00E15ABC">
              <w:rPr>
                <w:sz w:val="18"/>
                <w:szCs w:val="24"/>
              </w:rPr>
              <w:t>727 077 000</w:t>
            </w:r>
          </w:p>
        </w:tc>
        <w:tc>
          <w:tcPr>
            <w:tcW w:w="1231" w:type="dxa"/>
            <w:shd w:val="clear" w:color="auto" w:fill="auto"/>
            <w:vAlign w:val="bottom"/>
          </w:tcPr>
          <w:p w14:paraId="2E4EE2A3" w14:textId="20CA7224" w:rsidR="00580372" w:rsidRPr="00F93D35" w:rsidRDefault="00580372" w:rsidP="00580372">
            <w:pPr>
              <w:spacing w:before="20" w:after="40" w:line="300" w:lineRule="exact"/>
              <w:ind w:left="2"/>
              <w:rPr>
                <w:sz w:val="18"/>
                <w:szCs w:val="18"/>
              </w:rPr>
            </w:pPr>
            <w:r w:rsidRPr="00E15ABC">
              <w:rPr>
                <w:sz w:val="18"/>
                <w:szCs w:val="24"/>
              </w:rPr>
              <w:t>359 745 000</w:t>
            </w:r>
          </w:p>
        </w:tc>
        <w:tc>
          <w:tcPr>
            <w:tcW w:w="1078" w:type="dxa"/>
            <w:shd w:val="clear" w:color="auto" w:fill="auto"/>
            <w:vAlign w:val="bottom"/>
          </w:tcPr>
          <w:p w14:paraId="23594F99" w14:textId="118998A9" w:rsidR="00580372" w:rsidRPr="00F93D35" w:rsidRDefault="00580372" w:rsidP="00580372">
            <w:pPr>
              <w:spacing w:before="20" w:after="40" w:line="300" w:lineRule="exact"/>
              <w:ind w:left="2"/>
              <w:rPr>
                <w:sz w:val="18"/>
                <w:szCs w:val="18"/>
              </w:rPr>
            </w:pPr>
            <w:r w:rsidRPr="00E15ABC">
              <w:rPr>
                <w:sz w:val="18"/>
                <w:szCs w:val="24"/>
              </w:rPr>
              <w:t>45 947 000</w:t>
            </w:r>
          </w:p>
        </w:tc>
        <w:tc>
          <w:tcPr>
            <w:tcW w:w="1176" w:type="dxa"/>
            <w:shd w:val="clear" w:color="auto" w:fill="auto"/>
            <w:vAlign w:val="bottom"/>
          </w:tcPr>
          <w:p w14:paraId="344F65E4" w14:textId="66B24D1B" w:rsidR="00580372" w:rsidRPr="00F93D35" w:rsidRDefault="00580372" w:rsidP="00580372">
            <w:pPr>
              <w:spacing w:before="20" w:after="40" w:line="300" w:lineRule="exact"/>
              <w:ind w:left="2"/>
              <w:rPr>
                <w:sz w:val="18"/>
                <w:szCs w:val="18"/>
              </w:rPr>
            </w:pPr>
            <w:r w:rsidRPr="00E15ABC">
              <w:rPr>
                <w:sz w:val="18"/>
                <w:szCs w:val="24"/>
              </w:rPr>
              <w:t>231 853 000</w:t>
            </w:r>
          </w:p>
        </w:tc>
        <w:tc>
          <w:tcPr>
            <w:tcW w:w="1932" w:type="dxa"/>
            <w:shd w:val="clear" w:color="auto" w:fill="auto"/>
            <w:vAlign w:val="bottom"/>
          </w:tcPr>
          <w:p w14:paraId="6504B657" w14:textId="6144EA1C" w:rsidR="00580372" w:rsidRPr="00F93D35" w:rsidRDefault="00580372" w:rsidP="00580372">
            <w:pPr>
              <w:spacing w:before="20" w:after="40" w:line="300" w:lineRule="exact"/>
              <w:ind w:left="2"/>
              <w:rPr>
                <w:sz w:val="18"/>
                <w:szCs w:val="18"/>
              </w:rPr>
            </w:pPr>
            <w:r w:rsidRPr="00E15ABC">
              <w:rPr>
                <w:sz w:val="18"/>
                <w:szCs w:val="24"/>
              </w:rPr>
              <w:t>106 487 000</w:t>
            </w:r>
          </w:p>
        </w:tc>
      </w:tr>
      <w:tr w:rsidR="00580372" w:rsidRPr="0068209D" w14:paraId="1E21189B" w14:textId="77777777" w:rsidTr="00A87EA5">
        <w:tc>
          <w:tcPr>
            <w:tcW w:w="549" w:type="dxa"/>
            <w:shd w:val="clear" w:color="auto" w:fill="auto"/>
            <w:hideMark/>
          </w:tcPr>
          <w:p w14:paraId="62B52826"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2014</w:t>
            </w:r>
          </w:p>
        </w:tc>
        <w:tc>
          <w:tcPr>
            <w:tcW w:w="1302" w:type="dxa"/>
            <w:shd w:val="clear" w:color="auto" w:fill="auto"/>
            <w:vAlign w:val="bottom"/>
          </w:tcPr>
          <w:p w14:paraId="5AD231C4" w14:textId="2BD62431" w:rsidR="00580372" w:rsidRPr="00F93D35" w:rsidRDefault="00580372" w:rsidP="00580372">
            <w:pPr>
              <w:spacing w:before="20" w:after="40" w:line="300" w:lineRule="exact"/>
              <w:ind w:left="2"/>
              <w:rPr>
                <w:sz w:val="18"/>
                <w:szCs w:val="18"/>
              </w:rPr>
            </w:pPr>
            <w:r w:rsidRPr="00E15ABC">
              <w:rPr>
                <w:sz w:val="18"/>
                <w:szCs w:val="24"/>
              </w:rPr>
              <w:t>737 045 000</w:t>
            </w:r>
          </w:p>
        </w:tc>
        <w:tc>
          <w:tcPr>
            <w:tcW w:w="1231" w:type="dxa"/>
            <w:shd w:val="clear" w:color="auto" w:fill="auto"/>
            <w:vAlign w:val="bottom"/>
          </w:tcPr>
          <w:p w14:paraId="4CCC0A16" w14:textId="5137347B" w:rsidR="00580372" w:rsidRPr="00F93D35" w:rsidRDefault="00580372" w:rsidP="00580372">
            <w:pPr>
              <w:spacing w:before="20" w:after="40" w:line="300" w:lineRule="exact"/>
              <w:ind w:left="2"/>
              <w:rPr>
                <w:sz w:val="18"/>
                <w:szCs w:val="18"/>
              </w:rPr>
            </w:pPr>
            <w:r w:rsidRPr="00E15ABC">
              <w:rPr>
                <w:sz w:val="18"/>
                <w:szCs w:val="24"/>
              </w:rPr>
              <w:t>364 636 000</w:t>
            </w:r>
          </w:p>
        </w:tc>
        <w:tc>
          <w:tcPr>
            <w:tcW w:w="1078" w:type="dxa"/>
            <w:shd w:val="clear" w:color="auto" w:fill="auto"/>
            <w:vAlign w:val="bottom"/>
          </w:tcPr>
          <w:p w14:paraId="4AABDEAF" w14:textId="4DE533DD" w:rsidR="00580372" w:rsidRPr="00F93D35" w:rsidRDefault="00580372" w:rsidP="00580372">
            <w:pPr>
              <w:spacing w:before="20" w:after="40" w:line="300" w:lineRule="exact"/>
              <w:ind w:left="2"/>
              <w:rPr>
                <w:sz w:val="18"/>
                <w:szCs w:val="18"/>
              </w:rPr>
            </w:pPr>
            <w:r w:rsidRPr="00E15ABC">
              <w:rPr>
                <w:sz w:val="18"/>
                <w:szCs w:val="24"/>
              </w:rPr>
              <w:t>45 806 000</w:t>
            </w:r>
          </w:p>
        </w:tc>
        <w:tc>
          <w:tcPr>
            <w:tcW w:w="1176" w:type="dxa"/>
            <w:shd w:val="clear" w:color="auto" w:fill="auto"/>
            <w:vAlign w:val="bottom"/>
          </w:tcPr>
          <w:p w14:paraId="3E8AC09B" w14:textId="6D0395AD" w:rsidR="00580372" w:rsidRPr="00F93D35" w:rsidRDefault="00580372" w:rsidP="00580372">
            <w:pPr>
              <w:spacing w:before="20" w:after="40" w:line="300" w:lineRule="exact"/>
              <w:ind w:left="2"/>
              <w:rPr>
                <w:sz w:val="18"/>
                <w:szCs w:val="18"/>
              </w:rPr>
            </w:pPr>
            <w:r w:rsidRPr="00E15ABC">
              <w:rPr>
                <w:sz w:val="18"/>
                <w:szCs w:val="24"/>
              </w:rPr>
              <w:t>233 962 000</w:t>
            </w:r>
          </w:p>
        </w:tc>
        <w:tc>
          <w:tcPr>
            <w:tcW w:w="1932" w:type="dxa"/>
            <w:shd w:val="clear" w:color="auto" w:fill="auto"/>
            <w:vAlign w:val="bottom"/>
          </w:tcPr>
          <w:p w14:paraId="6C0BDCC3" w14:textId="3D91F95F" w:rsidR="00580372" w:rsidRPr="00F93D35" w:rsidRDefault="00580372" w:rsidP="00580372">
            <w:pPr>
              <w:spacing w:before="20" w:after="40" w:line="300" w:lineRule="exact"/>
              <w:ind w:left="2"/>
              <w:rPr>
                <w:sz w:val="18"/>
                <w:szCs w:val="18"/>
              </w:rPr>
            </w:pPr>
            <w:r w:rsidRPr="00E15ABC">
              <w:rPr>
                <w:sz w:val="18"/>
                <w:szCs w:val="24"/>
              </w:rPr>
              <w:t>105 062 000</w:t>
            </w:r>
          </w:p>
        </w:tc>
      </w:tr>
      <w:tr w:rsidR="00580372" w:rsidRPr="0068209D" w14:paraId="24841B1A" w14:textId="77777777" w:rsidTr="00A87EA5">
        <w:tc>
          <w:tcPr>
            <w:tcW w:w="549" w:type="dxa"/>
            <w:shd w:val="clear" w:color="auto" w:fill="auto"/>
            <w:hideMark/>
          </w:tcPr>
          <w:p w14:paraId="76B9BE35"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2015</w:t>
            </w:r>
          </w:p>
        </w:tc>
        <w:tc>
          <w:tcPr>
            <w:tcW w:w="1302" w:type="dxa"/>
            <w:shd w:val="clear" w:color="auto" w:fill="auto"/>
            <w:vAlign w:val="bottom"/>
          </w:tcPr>
          <w:p w14:paraId="4EC2F788" w14:textId="24187E2A" w:rsidR="00580372" w:rsidRPr="00F93D35" w:rsidRDefault="00580372" w:rsidP="00580372">
            <w:pPr>
              <w:spacing w:before="20" w:after="40" w:line="300" w:lineRule="exact"/>
              <w:ind w:left="2"/>
              <w:rPr>
                <w:sz w:val="18"/>
                <w:szCs w:val="18"/>
              </w:rPr>
            </w:pPr>
            <w:r w:rsidRPr="00E15ABC">
              <w:rPr>
                <w:sz w:val="18"/>
                <w:szCs w:val="24"/>
              </w:rPr>
              <w:t>738 832 000</w:t>
            </w:r>
          </w:p>
        </w:tc>
        <w:tc>
          <w:tcPr>
            <w:tcW w:w="1231" w:type="dxa"/>
            <w:shd w:val="clear" w:color="auto" w:fill="auto"/>
            <w:vAlign w:val="bottom"/>
          </w:tcPr>
          <w:p w14:paraId="289EF50C" w14:textId="5AACE421" w:rsidR="00580372" w:rsidRPr="00F93D35" w:rsidRDefault="00580372" w:rsidP="00580372">
            <w:pPr>
              <w:spacing w:before="20" w:after="40" w:line="300" w:lineRule="exact"/>
              <w:ind w:left="2"/>
              <w:rPr>
                <w:sz w:val="18"/>
                <w:szCs w:val="18"/>
              </w:rPr>
            </w:pPr>
            <w:r w:rsidRPr="00E15ABC">
              <w:rPr>
                <w:sz w:val="18"/>
                <w:szCs w:val="24"/>
              </w:rPr>
              <w:t>370 905 000</w:t>
            </w:r>
          </w:p>
        </w:tc>
        <w:tc>
          <w:tcPr>
            <w:tcW w:w="1078" w:type="dxa"/>
            <w:shd w:val="clear" w:color="auto" w:fill="auto"/>
            <w:vAlign w:val="bottom"/>
          </w:tcPr>
          <w:p w14:paraId="752BA2A0" w14:textId="35B89BC8" w:rsidR="00580372" w:rsidRPr="00F93D35" w:rsidRDefault="00580372" w:rsidP="00580372">
            <w:pPr>
              <w:spacing w:before="20" w:after="40" w:line="300" w:lineRule="exact"/>
              <w:ind w:left="2"/>
              <w:rPr>
                <w:sz w:val="18"/>
                <w:szCs w:val="18"/>
              </w:rPr>
            </w:pPr>
            <w:r w:rsidRPr="00E15ABC">
              <w:rPr>
                <w:sz w:val="18"/>
                <w:szCs w:val="24"/>
              </w:rPr>
              <w:t>46 050 000</w:t>
            </w:r>
          </w:p>
        </w:tc>
        <w:tc>
          <w:tcPr>
            <w:tcW w:w="1176" w:type="dxa"/>
            <w:shd w:val="clear" w:color="auto" w:fill="auto"/>
            <w:vAlign w:val="bottom"/>
          </w:tcPr>
          <w:p w14:paraId="260AC917" w14:textId="063D20AD" w:rsidR="00580372" w:rsidRPr="00F93D35" w:rsidRDefault="00580372" w:rsidP="00580372">
            <w:pPr>
              <w:spacing w:before="20" w:after="40" w:line="300" w:lineRule="exact"/>
              <w:ind w:left="2"/>
              <w:rPr>
                <w:sz w:val="18"/>
                <w:szCs w:val="18"/>
              </w:rPr>
            </w:pPr>
            <w:r w:rsidRPr="00E15ABC">
              <w:rPr>
                <w:sz w:val="18"/>
                <w:szCs w:val="24"/>
              </w:rPr>
              <w:t>234 342 000</w:t>
            </w:r>
          </w:p>
        </w:tc>
        <w:tc>
          <w:tcPr>
            <w:tcW w:w="1932" w:type="dxa"/>
            <w:shd w:val="clear" w:color="auto" w:fill="auto"/>
            <w:vAlign w:val="bottom"/>
          </w:tcPr>
          <w:p w14:paraId="06D13FAA" w14:textId="721B383A" w:rsidR="00580372" w:rsidRPr="00F93D35" w:rsidRDefault="00580372" w:rsidP="00580372">
            <w:pPr>
              <w:spacing w:before="20" w:after="40" w:line="300" w:lineRule="exact"/>
              <w:ind w:left="2"/>
              <w:rPr>
                <w:sz w:val="18"/>
                <w:szCs w:val="18"/>
              </w:rPr>
            </w:pPr>
            <w:r w:rsidRPr="00E15ABC">
              <w:rPr>
                <w:sz w:val="18"/>
                <w:szCs w:val="24"/>
              </w:rPr>
              <w:t>102 634 000</w:t>
            </w:r>
          </w:p>
        </w:tc>
      </w:tr>
      <w:tr w:rsidR="00580372" w:rsidRPr="0068209D" w14:paraId="64EAA6EA" w14:textId="77777777" w:rsidTr="00A87EA5">
        <w:tc>
          <w:tcPr>
            <w:tcW w:w="549" w:type="dxa"/>
            <w:shd w:val="clear" w:color="auto" w:fill="auto"/>
            <w:hideMark/>
          </w:tcPr>
          <w:p w14:paraId="7B106CB7"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2016</w:t>
            </w:r>
          </w:p>
        </w:tc>
        <w:tc>
          <w:tcPr>
            <w:tcW w:w="1302" w:type="dxa"/>
            <w:shd w:val="clear" w:color="auto" w:fill="auto"/>
            <w:vAlign w:val="bottom"/>
          </w:tcPr>
          <w:p w14:paraId="40279221" w14:textId="19490FCB" w:rsidR="00580372" w:rsidRPr="00F93D35" w:rsidRDefault="00580372" w:rsidP="00580372">
            <w:pPr>
              <w:spacing w:before="20" w:after="40" w:line="300" w:lineRule="exact"/>
              <w:ind w:left="2"/>
              <w:rPr>
                <w:sz w:val="18"/>
                <w:szCs w:val="18"/>
              </w:rPr>
            </w:pPr>
            <w:r w:rsidRPr="00E15ABC">
              <w:rPr>
                <w:sz w:val="18"/>
                <w:szCs w:val="24"/>
              </w:rPr>
              <w:t>750 316 000</w:t>
            </w:r>
          </w:p>
        </w:tc>
        <w:tc>
          <w:tcPr>
            <w:tcW w:w="1231" w:type="dxa"/>
            <w:shd w:val="clear" w:color="auto" w:fill="auto"/>
            <w:vAlign w:val="bottom"/>
          </w:tcPr>
          <w:p w14:paraId="491DDA53" w14:textId="22EFA901" w:rsidR="00580372" w:rsidRPr="00F93D35" w:rsidRDefault="00580372" w:rsidP="00580372">
            <w:pPr>
              <w:spacing w:before="20" w:after="40" w:line="300" w:lineRule="exact"/>
              <w:ind w:left="2"/>
              <w:rPr>
                <w:sz w:val="18"/>
                <w:szCs w:val="18"/>
              </w:rPr>
            </w:pPr>
            <w:r w:rsidRPr="00E15ABC">
              <w:rPr>
                <w:sz w:val="18"/>
                <w:szCs w:val="24"/>
              </w:rPr>
              <w:t>405 091 000</w:t>
            </w:r>
          </w:p>
        </w:tc>
        <w:tc>
          <w:tcPr>
            <w:tcW w:w="1078" w:type="dxa"/>
            <w:shd w:val="clear" w:color="auto" w:fill="auto"/>
            <w:vAlign w:val="bottom"/>
          </w:tcPr>
          <w:p w14:paraId="194D6FEE" w14:textId="5F333F10" w:rsidR="00580372" w:rsidRPr="00F93D35" w:rsidRDefault="00580372" w:rsidP="00580372">
            <w:pPr>
              <w:spacing w:before="20" w:after="40" w:line="300" w:lineRule="exact"/>
              <w:ind w:left="2"/>
              <w:rPr>
                <w:sz w:val="18"/>
                <w:szCs w:val="18"/>
              </w:rPr>
            </w:pPr>
            <w:r w:rsidRPr="00E15ABC">
              <w:rPr>
                <w:sz w:val="18"/>
                <w:szCs w:val="24"/>
              </w:rPr>
              <w:t>46 992 000</w:t>
            </w:r>
          </w:p>
        </w:tc>
        <w:tc>
          <w:tcPr>
            <w:tcW w:w="1176" w:type="dxa"/>
            <w:shd w:val="clear" w:color="auto" w:fill="auto"/>
            <w:vAlign w:val="bottom"/>
          </w:tcPr>
          <w:p w14:paraId="4ACBC5C4" w14:textId="4C072F64" w:rsidR="00580372" w:rsidRPr="00F93D35" w:rsidRDefault="00580372" w:rsidP="00580372">
            <w:pPr>
              <w:spacing w:before="20" w:after="40" w:line="300" w:lineRule="exact"/>
              <w:ind w:left="2"/>
              <w:rPr>
                <w:sz w:val="18"/>
                <w:szCs w:val="18"/>
              </w:rPr>
            </w:pPr>
            <w:r w:rsidRPr="00E15ABC">
              <w:rPr>
                <w:sz w:val="18"/>
                <w:szCs w:val="24"/>
              </w:rPr>
              <w:t>216 826 000</w:t>
            </w:r>
          </w:p>
        </w:tc>
        <w:tc>
          <w:tcPr>
            <w:tcW w:w="1932" w:type="dxa"/>
            <w:shd w:val="clear" w:color="auto" w:fill="auto"/>
            <w:vAlign w:val="bottom"/>
          </w:tcPr>
          <w:p w14:paraId="066ED4E9" w14:textId="4AB1DC5B" w:rsidR="00580372" w:rsidRPr="00F93D35" w:rsidRDefault="00580372" w:rsidP="00580372">
            <w:pPr>
              <w:spacing w:before="20" w:after="40" w:line="300" w:lineRule="exact"/>
              <w:ind w:left="2"/>
              <w:rPr>
                <w:sz w:val="18"/>
                <w:szCs w:val="18"/>
              </w:rPr>
            </w:pPr>
            <w:r w:rsidRPr="00E15ABC">
              <w:rPr>
                <w:sz w:val="18"/>
                <w:szCs w:val="24"/>
              </w:rPr>
              <w:t>104 238 000</w:t>
            </w:r>
          </w:p>
        </w:tc>
      </w:tr>
      <w:tr w:rsidR="00580372" w:rsidRPr="0068209D" w14:paraId="53A24607" w14:textId="77777777" w:rsidTr="00A87EA5">
        <w:tc>
          <w:tcPr>
            <w:tcW w:w="549" w:type="dxa"/>
            <w:shd w:val="clear" w:color="auto" w:fill="auto"/>
            <w:hideMark/>
          </w:tcPr>
          <w:p w14:paraId="191248A9"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2017</w:t>
            </w:r>
          </w:p>
        </w:tc>
        <w:tc>
          <w:tcPr>
            <w:tcW w:w="1302" w:type="dxa"/>
            <w:shd w:val="clear" w:color="auto" w:fill="auto"/>
            <w:vAlign w:val="bottom"/>
          </w:tcPr>
          <w:p w14:paraId="6D7A3337" w14:textId="245F5E69" w:rsidR="00580372" w:rsidRPr="00F93D35" w:rsidRDefault="00580372" w:rsidP="00580372">
            <w:pPr>
              <w:spacing w:before="20" w:after="40" w:line="300" w:lineRule="exact"/>
              <w:ind w:left="2"/>
              <w:rPr>
                <w:sz w:val="18"/>
                <w:szCs w:val="18"/>
              </w:rPr>
            </w:pPr>
            <w:r w:rsidRPr="00E15ABC">
              <w:rPr>
                <w:sz w:val="18"/>
                <w:szCs w:val="24"/>
              </w:rPr>
              <w:t>735 235 000</w:t>
            </w:r>
          </w:p>
        </w:tc>
        <w:tc>
          <w:tcPr>
            <w:tcW w:w="1231" w:type="dxa"/>
            <w:shd w:val="clear" w:color="auto" w:fill="auto"/>
            <w:vAlign w:val="bottom"/>
          </w:tcPr>
          <w:p w14:paraId="040BAB30" w14:textId="79B5A354" w:rsidR="00580372" w:rsidRPr="00F93D35" w:rsidRDefault="00580372" w:rsidP="00580372">
            <w:pPr>
              <w:spacing w:before="20" w:after="40" w:line="300" w:lineRule="exact"/>
              <w:ind w:left="2"/>
              <w:rPr>
                <w:sz w:val="18"/>
                <w:szCs w:val="18"/>
              </w:rPr>
            </w:pPr>
            <w:r w:rsidRPr="00E15ABC">
              <w:rPr>
                <w:sz w:val="18"/>
                <w:szCs w:val="24"/>
              </w:rPr>
              <w:t>416 803 000</w:t>
            </w:r>
          </w:p>
        </w:tc>
        <w:tc>
          <w:tcPr>
            <w:tcW w:w="1078" w:type="dxa"/>
            <w:shd w:val="clear" w:color="auto" w:fill="auto"/>
            <w:vAlign w:val="bottom"/>
          </w:tcPr>
          <w:p w14:paraId="4EB2FA9F" w14:textId="4847CEC4" w:rsidR="00580372" w:rsidRPr="00F93D35" w:rsidRDefault="00580372" w:rsidP="00580372">
            <w:pPr>
              <w:spacing w:before="20" w:after="40" w:line="300" w:lineRule="exact"/>
              <w:ind w:left="2"/>
              <w:rPr>
                <w:sz w:val="18"/>
                <w:szCs w:val="18"/>
              </w:rPr>
            </w:pPr>
            <w:r w:rsidRPr="00E15ABC">
              <w:rPr>
                <w:sz w:val="18"/>
                <w:szCs w:val="24"/>
              </w:rPr>
              <w:t>44 758 000</w:t>
            </w:r>
          </w:p>
        </w:tc>
        <w:tc>
          <w:tcPr>
            <w:tcW w:w="1176" w:type="dxa"/>
            <w:shd w:val="clear" w:color="auto" w:fill="auto"/>
            <w:vAlign w:val="bottom"/>
          </w:tcPr>
          <w:p w14:paraId="434589B7" w14:textId="05D41BC9" w:rsidR="00580372" w:rsidRPr="00F93D35" w:rsidRDefault="00580372" w:rsidP="00580372">
            <w:pPr>
              <w:spacing w:before="20" w:after="40" w:line="300" w:lineRule="exact"/>
              <w:ind w:left="2"/>
              <w:rPr>
                <w:sz w:val="18"/>
                <w:szCs w:val="18"/>
              </w:rPr>
            </w:pPr>
            <w:r w:rsidRPr="00E15ABC">
              <w:rPr>
                <w:sz w:val="18"/>
                <w:szCs w:val="24"/>
              </w:rPr>
              <w:t>215 729 000</w:t>
            </w:r>
          </w:p>
        </w:tc>
        <w:tc>
          <w:tcPr>
            <w:tcW w:w="1932" w:type="dxa"/>
            <w:shd w:val="clear" w:color="auto" w:fill="auto"/>
            <w:vAlign w:val="bottom"/>
          </w:tcPr>
          <w:p w14:paraId="5DC11728" w14:textId="353A94AF" w:rsidR="00580372" w:rsidRPr="00F93D35" w:rsidRDefault="00580372" w:rsidP="00580372">
            <w:pPr>
              <w:spacing w:before="20" w:after="40" w:line="300" w:lineRule="exact"/>
              <w:ind w:left="2"/>
              <w:rPr>
                <w:sz w:val="18"/>
                <w:szCs w:val="18"/>
              </w:rPr>
            </w:pPr>
            <w:r w:rsidRPr="00E15ABC">
              <w:rPr>
                <w:sz w:val="18"/>
                <w:szCs w:val="24"/>
              </w:rPr>
              <w:t>103 383 000</w:t>
            </w:r>
          </w:p>
        </w:tc>
      </w:tr>
      <w:tr w:rsidR="00580372" w:rsidRPr="0068209D" w14:paraId="2CD7E70E" w14:textId="77777777" w:rsidTr="00A87EA5">
        <w:tc>
          <w:tcPr>
            <w:tcW w:w="549" w:type="dxa"/>
            <w:shd w:val="clear" w:color="auto" w:fill="auto"/>
            <w:hideMark/>
          </w:tcPr>
          <w:p w14:paraId="136554FC"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 xml:space="preserve">2018 </w:t>
            </w:r>
          </w:p>
        </w:tc>
        <w:tc>
          <w:tcPr>
            <w:tcW w:w="1302" w:type="dxa"/>
            <w:shd w:val="clear" w:color="auto" w:fill="auto"/>
            <w:vAlign w:val="bottom"/>
          </w:tcPr>
          <w:p w14:paraId="317A043D" w14:textId="2366CCED" w:rsidR="00580372" w:rsidRPr="00F93D35" w:rsidRDefault="00580372" w:rsidP="00580372">
            <w:pPr>
              <w:spacing w:before="20" w:after="40" w:line="300" w:lineRule="exact"/>
              <w:ind w:left="2"/>
              <w:rPr>
                <w:sz w:val="18"/>
                <w:szCs w:val="18"/>
              </w:rPr>
            </w:pPr>
            <w:r w:rsidRPr="00E15ABC">
              <w:rPr>
                <w:sz w:val="18"/>
                <w:szCs w:val="24"/>
              </w:rPr>
              <w:t>760 991 000</w:t>
            </w:r>
          </w:p>
        </w:tc>
        <w:tc>
          <w:tcPr>
            <w:tcW w:w="1231" w:type="dxa"/>
            <w:shd w:val="clear" w:color="auto" w:fill="auto"/>
            <w:vAlign w:val="bottom"/>
          </w:tcPr>
          <w:p w14:paraId="310176F2" w14:textId="39D06149" w:rsidR="00580372" w:rsidRPr="00F93D35" w:rsidRDefault="00580372" w:rsidP="00580372">
            <w:pPr>
              <w:spacing w:before="20" w:after="40" w:line="300" w:lineRule="exact"/>
              <w:ind w:left="2"/>
              <w:rPr>
                <w:sz w:val="18"/>
                <w:szCs w:val="18"/>
              </w:rPr>
            </w:pPr>
            <w:r w:rsidRPr="00E15ABC">
              <w:rPr>
                <w:sz w:val="18"/>
                <w:szCs w:val="24"/>
              </w:rPr>
              <w:t>413 409 000</w:t>
            </w:r>
          </w:p>
        </w:tc>
        <w:tc>
          <w:tcPr>
            <w:tcW w:w="1078" w:type="dxa"/>
            <w:shd w:val="clear" w:color="auto" w:fill="auto"/>
            <w:vAlign w:val="bottom"/>
          </w:tcPr>
          <w:p w14:paraId="203CF323" w14:textId="0A310869" w:rsidR="00580372" w:rsidRPr="00F93D35" w:rsidRDefault="00580372" w:rsidP="00580372">
            <w:pPr>
              <w:spacing w:before="20" w:after="40" w:line="300" w:lineRule="exact"/>
              <w:ind w:left="2"/>
              <w:rPr>
                <w:sz w:val="18"/>
                <w:szCs w:val="18"/>
              </w:rPr>
            </w:pPr>
            <w:r w:rsidRPr="00E15ABC">
              <w:rPr>
                <w:sz w:val="18"/>
                <w:szCs w:val="24"/>
              </w:rPr>
              <w:t>44 205 000</w:t>
            </w:r>
          </w:p>
        </w:tc>
        <w:tc>
          <w:tcPr>
            <w:tcW w:w="1176" w:type="dxa"/>
            <w:shd w:val="clear" w:color="auto" w:fill="auto"/>
            <w:vAlign w:val="bottom"/>
          </w:tcPr>
          <w:p w14:paraId="5D485BA8" w14:textId="161C6449" w:rsidR="00580372" w:rsidRPr="00F93D35" w:rsidRDefault="00580372" w:rsidP="00580372">
            <w:pPr>
              <w:spacing w:before="20" w:after="40" w:line="300" w:lineRule="exact"/>
              <w:ind w:left="2"/>
              <w:rPr>
                <w:sz w:val="18"/>
                <w:szCs w:val="18"/>
              </w:rPr>
            </w:pPr>
            <w:r w:rsidRPr="00E15ABC">
              <w:rPr>
                <w:sz w:val="18"/>
                <w:szCs w:val="24"/>
              </w:rPr>
              <w:t>214 709 000</w:t>
            </w:r>
          </w:p>
        </w:tc>
        <w:tc>
          <w:tcPr>
            <w:tcW w:w="1932" w:type="dxa"/>
            <w:shd w:val="clear" w:color="auto" w:fill="auto"/>
            <w:vAlign w:val="bottom"/>
          </w:tcPr>
          <w:p w14:paraId="3BF122FC" w14:textId="5A400A94" w:rsidR="00580372" w:rsidRPr="00F93D35" w:rsidRDefault="00580372" w:rsidP="00580372">
            <w:pPr>
              <w:spacing w:before="20" w:after="40" w:line="300" w:lineRule="exact"/>
              <w:ind w:left="2"/>
              <w:rPr>
                <w:sz w:val="18"/>
                <w:szCs w:val="18"/>
              </w:rPr>
            </w:pPr>
            <w:r w:rsidRPr="00E15ABC">
              <w:rPr>
                <w:sz w:val="18"/>
                <w:szCs w:val="24"/>
              </w:rPr>
              <w:t>100 522 000</w:t>
            </w:r>
          </w:p>
        </w:tc>
      </w:tr>
      <w:tr w:rsidR="00580372" w:rsidRPr="0068209D" w14:paraId="54C69BA9" w14:textId="77777777" w:rsidTr="00A87EA5">
        <w:tc>
          <w:tcPr>
            <w:tcW w:w="549" w:type="dxa"/>
            <w:shd w:val="clear" w:color="auto" w:fill="auto"/>
            <w:hideMark/>
          </w:tcPr>
          <w:p w14:paraId="71C7BED4" w14:textId="77777777" w:rsidR="00580372" w:rsidRPr="00F93D35" w:rsidRDefault="00580372" w:rsidP="00580372">
            <w:pPr>
              <w:spacing w:before="20" w:after="40" w:line="300" w:lineRule="exact"/>
              <w:ind w:left="2"/>
              <w:textDirection w:val="tbRlV"/>
              <w:rPr>
                <w:sz w:val="18"/>
                <w:szCs w:val="18"/>
                <w:lang w:val="ar-SA" w:eastAsia="zh-TW" w:bidi="en-GB"/>
              </w:rPr>
            </w:pPr>
            <w:r w:rsidRPr="00F93D35">
              <w:rPr>
                <w:sz w:val="18"/>
                <w:szCs w:val="18"/>
                <w:rtl/>
              </w:rPr>
              <w:t xml:space="preserve">2019 </w:t>
            </w:r>
          </w:p>
        </w:tc>
        <w:tc>
          <w:tcPr>
            <w:tcW w:w="1302" w:type="dxa"/>
            <w:shd w:val="clear" w:color="auto" w:fill="auto"/>
            <w:vAlign w:val="bottom"/>
          </w:tcPr>
          <w:p w14:paraId="16F0B471" w14:textId="65E2A33C" w:rsidR="00580372" w:rsidRPr="00F93D35" w:rsidRDefault="00580372" w:rsidP="00580372">
            <w:pPr>
              <w:spacing w:before="20" w:after="40" w:line="300" w:lineRule="exact"/>
              <w:ind w:left="2"/>
              <w:rPr>
                <w:sz w:val="18"/>
                <w:szCs w:val="18"/>
              </w:rPr>
            </w:pPr>
            <w:r w:rsidRPr="00E15ABC">
              <w:rPr>
                <w:sz w:val="18"/>
                <w:szCs w:val="24"/>
              </w:rPr>
              <w:t>797 965 000</w:t>
            </w:r>
          </w:p>
        </w:tc>
        <w:tc>
          <w:tcPr>
            <w:tcW w:w="1231" w:type="dxa"/>
            <w:shd w:val="clear" w:color="auto" w:fill="auto"/>
            <w:vAlign w:val="bottom"/>
          </w:tcPr>
          <w:p w14:paraId="2B471C68" w14:textId="429D1BF9" w:rsidR="00580372" w:rsidRPr="00F93D35" w:rsidRDefault="00580372" w:rsidP="00580372">
            <w:pPr>
              <w:spacing w:before="20" w:after="40" w:line="300" w:lineRule="exact"/>
              <w:ind w:left="2"/>
              <w:rPr>
                <w:sz w:val="18"/>
                <w:szCs w:val="18"/>
              </w:rPr>
            </w:pPr>
            <w:r w:rsidRPr="00E15ABC">
              <w:rPr>
                <w:sz w:val="18"/>
                <w:szCs w:val="24"/>
              </w:rPr>
              <w:t>419 249 000</w:t>
            </w:r>
          </w:p>
        </w:tc>
        <w:tc>
          <w:tcPr>
            <w:tcW w:w="1078" w:type="dxa"/>
            <w:shd w:val="clear" w:color="auto" w:fill="auto"/>
            <w:vAlign w:val="bottom"/>
          </w:tcPr>
          <w:p w14:paraId="621994F3" w14:textId="2046FDDE" w:rsidR="00580372" w:rsidRPr="00F93D35" w:rsidRDefault="00580372" w:rsidP="00580372">
            <w:pPr>
              <w:spacing w:before="20" w:after="40" w:line="300" w:lineRule="exact"/>
              <w:ind w:left="2"/>
              <w:rPr>
                <w:sz w:val="18"/>
                <w:szCs w:val="18"/>
              </w:rPr>
            </w:pPr>
            <w:r w:rsidRPr="00E15ABC">
              <w:rPr>
                <w:sz w:val="18"/>
                <w:szCs w:val="24"/>
              </w:rPr>
              <w:t>45 761 000</w:t>
            </w:r>
          </w:p>
        </w:tc>
        <w:tc>
          <w:tcPr>
            <w:tcW w:w="1176" w:type="dxa"/>
            <w:shd w:val="clear" w:color="auto" w:fill="auto"/>
            <w:vAlign w:val="bottom"/>
          </w:tcPr>
          <w:p w14:paraId="0A741FF2" w14:textId="5E860264" w:rsidR="00580372" w:rsidRPr="00F93D35" w:rsidRDefault="00580372" w:rsidP="00580372">
            <w:pPr>
              <w:spacing w:before="20" w:after="40" w:line="300" w:lineRule="exact"/>
              <w:ind w:left="2"/>
              <w:rPr>
                <w:sz w:val="18"/>
                <w:szCs w:val="18"/>
              </w:rPr>
            </w:pPr>
            <w:r w:rsidRPr="00E15ABC">
              <w:rPr>
                <w:sz w:val="18"/>
                <w:szCs w:val="24"/>
              </w:rPr>
              <w:t>221 199 000</w:t>
            </w:r>
          </w:p>
        </w:tc>
        <w:tc>
          <w:tcPr>
            <w:tcW w:w="1932" w:type="dxa"/>
            <w:shd w:val="clear" w:color="auto" w:fill="auto"/>
            <w:vAlign w:val="bottom"/>
          </w:tcPr>
          <w:p w14:paraId="23FA4F72" w14:textId="5616A0E0" w:rsidR="00580372" w:rsidRPr="00F93D35" w:rsidRDefault="00580372" w:rsidP="00580372">
            <w:pPr>
              <w:spacing w:before="20" w:after="40" w:line="300" w:lineRule="exact"/>
              <w:ind w:left="2"/>
              <w:rPr>
                <w:sz w:val="18"/>
                <w:szCs w:val="18"/>
              </w:rPr>
            </w:pPr>
            <w:r w:rsidRPr="00E15ABC">
              <w:rPr>
                <w:sz w:val="18"/>
                <w:szCs w:val="24"/>
              </w:rPr>
              <w:t>101 690 000</w:t>
            </w:r>
          </w:p>
        </w:tc>
      </w:tr>
    </w:tbl>
    <w:p w14:paraId="624E74AA" w14:textId="77777777" w:rsidR="00C815DB" w:rsidRPr="00CA001D" w:rsidRDefault="00C815DB" w:rsidP="00F93D35">
      <w:pPr>
        <w:pStyle w:val="SingleTxtGA"/>
        <w:rPr>
          <w:sz w:val="30"/>
          <w:lang w:eastAsia="zh-TW" w:bidi="en-GB"/>
        </w:rPr>
      </w:pPr>
      <w:r w:rsidRPr="00A87EA5">
        <w:rPr>
          <w:i/>
          <w:iCs/>
          <w:sz w:val="26"/>
          <w:szCs w:val="26"/>
          <w:rtl/>
        </w:rPr>
        <w:t>المصدر</w:t>
      </w:r>
      <w:r w:rsidRPr="00BB79C1">
        <w:t>:</w:t>
      </w:r>
      <w:r w:rsidRPr="0068209D">
        <w:rPr>
          <w:sz w:val="30"/>
          <w:rtl/>
        </w:rPr>
        <w:t xml:space="preserve"> </w:t>
      </w:r>
      <w:r w:rsidRPr="00A87EA5">
        <w:rPr>
          <w:sz w:val="18"/>
          <w:szCs w:val="18"/>
        </w:rPr>
        <w:t>Finland’s Budget proposals 2011–2019</w:t>
      </w:r>
      <w:r w:rsidRPr="0068209D">
        <w:rPr>
          <w:sz w:val="30"/>
          <w:rtl/>
        </w:rPr>
        <w:t>.</w:t>
      </w:r>
    </w:p>
    <w:p w14:paraId="76DE8887" w14:textId="158C9D3F" w:rsidR="00C815DB" w:rsidRPr="00945FC5" w:rsidRDefault="00C815DB" w:rsidP="00BE4C80">
      <w:pPr>
        <w:pStyle w:val="H23GA"/>
        <w:rPr>
          <w:lang w:eastAsia="zh-TW" w:bidi="en-GB"/>
        </w:rPr>
      </w:pPr>
      <w:bookmarkStart w:id="61" w:name="_Toc32364322"/>
      <w:r>
        <w:rPr>
          <w:rtl/>
        </w:rPr>
        <w:tab/>
      </w:r>
      <w:r w:rsidRPr="00794E95">
        <w:rPr>
          <w:rtl/>
        </w:rPr>
        <w:t>(</w:t>
      </w:r>
      <w:r w:rsidRPr="00945FC5">
        <w:rPr>
          <w:rtl/>
        </w:rPr>
        <w:t>ص</w:t>
      </w:r>
      <w:r w:rsidRPr="00794E95">
        <w:rPr>
          <w:rtl/>
        </w:rPr>
        <w:t>)</w:t>
      </w:r>
      <w:r w:rsidR="00BE4C80">
        <w:rPr>
          <w:rtl/>
        </w:rPr>
        <w:tab/>
      </w:r>
      <w:r w:rsidRPr="00945FC5">
        <w:rPr>
          <w:rtl/>
        </w:rPr>
        <w:t>الجريمة</w:t>
      </w:r>
      <w:bookmarkEnd w:id="61"/>
    </w:p>
    <w:p w14:paraId="52289D07" w14:textId="77777777" w:rsidR="00C815DB" w:rsidRPr="00BE4C80" w:rsidRDefault="00C815DB" w:rsidP="00BE4C80">
      <w:pPr>
        <w:pStyle w:val="H23GA"/>
        <w:rPr>
          <w:rtl/>
          <w:lang w:eastAsia="zh-TW"/>
        </w:rPr>
      </w:pPr>
      <w:bookmarkStart w:id="62" w:name="_Toc32364323"/>
      <w:r w:rsidRPr="0068209D">
        <w:rPr>
          <w:rtl/>
        </w:rPr>
        <w:tab/>
      </w:r>
      <w:r w:rsidRPr="0068209D">
        <w:rPr>
          <w:rtl/>
        </w:rPr>
        <w:tab/>
        <w:t>الاتجاهات في أنواع الجريمة</w:t>
      </w:r>
      <w:bookmarkEnd w:id="62"/>
    </w:p>
    <w:p w14:paraId="7B1CE44A" w14:textId="77777777" w:rsidR="00C815DB" w:rsidRPr="00C726A7" w:rsidRDefault="00C815DB" w:rsidP="00BE4C80">
      <w:pPr>
        <w:pStyle w:val="SingleTxtGA"/>
        <w:rPr>
          <w:lang w:eastAsia="zh-TW" w:bidi="en-GB"/>
        </w:rPr>
      </w:pPr>
      <w:r w:rsidRPr="005C19F0">
        <w:rPr>
          <w:szCs w:val="20"/>
          <w:rtl/>
        </w:rPr>
        <w:t>213</w:t>
      </w:r>
      <w:r w:rsidRPr="00EF3655">
        <w:rPr>
          <w:rtl/>
        </w:rPr>
        <w:t>-</w:t>
      </w:r>
      <w:r w:rsidRPr="0068209D">
        <w:rPr>
          <w:rtl/>
        </w:rPr>
        <w:tab/>
        <w:t>سُنّ قانون العقوبات</w:t>
      </w:r>
      <w:r>
        <w:rPr>
          <w:rtl/>
        </w:rPr>
        <w:t xml:space="preserve"> الفنل</w:t>
      </w:r>
      <w:r>
        <w:rPr>
          <w:rtl/>
          <w:lang w:bidi="ar-DZ"/>
        </w:rPr>
        <w:t>ن</w:t>
      </w:r>
      <w:r>
        <w:rPr>
          <w:rtl/>
        </w:rPr>
        <w:t xml:space="preserve">دي </w:t>
      </w:r>
      <w:r w:rsidRPr="00794E95">
        <w:rPr>
          <w:rtl/>
        </w:rPr>
        <w:t>(</w:t>
      </w:r>
      <w:r w:rsidRPr="005C19F0">
        <w:rPr>
          <w:szCs w:val="20"/>
          <w:rtl/>
        </w:rPr>
        <w:t>39</w:t>
      </w:r>
      <w:r>
        <w:rPr>
          <w:rtl/>
        </w:rPr>
        <w:t>/</w:t>
      </w:r>
      <w:r w:rsidRPr="005C19F0">
        <w:rPr>
          <w:szCs w:val="20"/>
          <w:rtl/>
        </w:rPr>
        <w:t>1889</w:t>
      </w:r>
      <w:r w:rsidRPr="00794E95">
        <w:rPr>
          <w:rtl/>
        </w:rPr>
        <w:t>)</w:t>
      </w:r>
      <w:r w:rsidRPr="0068209D">
        <w:rPr>
          <w:rtl/>
        </w:rPr>
        <w:t xml:space="preserve"> لأول مرة في عام </w:t>
      </w:r>
      <w:r w:rsidRPr="005C19F0">
        <w:rPr>
          <w:szCs w:val="20"/>
          <w:rtl/>
        </w:rPr>
        <w:t>1889</w:t>
      </w:r>
      <w:r w:rsidRPr="0068209D">
        <w:rPr>
          <w:rFonts w:ascii="Traditional Arabic"/>
          <w:rtl/>
        </w:rPr>
        <w:t>.</w:t>
      </w:r>
      <w:r w:rsidRPr="0068209D">
        <w:rPr>
          <w:rtl/>
        </w:rPr>
        <w:t xml:space="preserve"> ورغم أن أشكال الجريمة تتطور مع مرور الزمن، فإن الحجم الإجمالي للجريمة بالنسبة للسكان ظل على ما هو عليه إلى حد ما.</w:t>
      </w:r>
    </w:p>
    <w:p w14:paraId="1E6EE76B" w14:textId="77777777" w:rsidR="00C815DB" w:rsidRPr="00BE4C80" w:rsidRDefault="00C815DB" w:rsidP="00BE4C80">
      <w:pPr>
        <w:pStyle w:val="H23GA"/>
        <w:rPr>
          <w:rtl/>
          <w:lang w:eastAsia="zh-TW"/>
        </w:rPr>
      </w:pPr>
      <w:bookmarkStart w:id="63" w:name="_Toc32364324"/>
      <w:r w:rsidRPr="0068209D">
        <w:rPr>
          <w:rtl/>
        </w:rPr>
        <w:tab/>
      </w:r>
      <w:r w:rsidRPr="0068209D">
        <w:rPr>
          <w:rtl/>
        </w:rPr>
        <w:tab/>
        <w:t>التدابير القسرية</w:t>
      </w:r>
      <w:bookmarkEnd w:id="63"/>
    </w:p>
    <w:p w14:paraId="1FB0A327" w14:textId="7BB16627" w:rsidR="00C815DB" w:rsidRPr="0068209D" w:rsidRDefault="00C815DB" w:rsidP="00BE4C80">
      <w:pPr>
        <w:pStyle w:val="SingleTxtGA"/>
        <w:rPr>
          <w:lang w:val="ar-SA" w:eastAsia="zh-TW" w:bidi="en-GB"/>
        </w:rPr>
      </w:pPr>
      <w:r w:rsidRPr="005C19F0">
        <w:rPr>
          <w:szCs w:val="20"/>
          <w:rtl/>
        </w:rPr>
        <w:t>214</w:t>
      </w:r>
      <w:r w:rsidRPr="00EF3655">
        <w:rPr>
          <w:rtl/>
        </w:rPr>
        <w:t>-</w:t>
      </w:r>
      <w:r w:rsidRPr="0068209D">
        <w:rPr>
          <w:rtl/>
        </w:rPr>
        <w:tab/>
        <w:t>في فنلندا، يجب أن تستند أي تدابير قسرية تتخ</w:t>
      </w:r>
      <w:r>
        <w:rPr>
          <w:rtl/>
        </w:rPr>
        <w:t>ذ</w:t>
      </w:r>
      <w:r w:rsidRPr="0068209D">
        <w:rPr>
          <w:rtl/>
        </w:rPr>
        <w:t>ها الشرطة والجمارك وحرس الحدود إلى القوانين دائماً. و</w:t>
      </w:r>
      <w:r>
        <w:rPr>
          <w:rtl/>
        </w:rPr>
        <w:t>المقصود ب</w:t>
      </w:r>
      <w:r w:rsidRPr="0068209D">
        <w:rPr>
          <w:rtl/>
        </w:rPr>
        <w:t xml:space="preserve">التدابير القسرية </w:t>
      </w:r>
      <w:r>
        <w:rPr>
          <w:rtl/>
        </w:rPr>
        <w:t>أمور منها</w:t>
      </w:r>
      <w:r w:rsidRPr="0068209D">
        <w:rPr>
          <w:rtl/>
        </w:rPr>
        <w:t xml:space="preserve"> التوقيف والاعتقال وفرض حظر السفر</w:t>
      </w:r>
      <w:r>
        <w:rPr>
          <w:rtl/>
        </w:rPr>
        <w:t>،</w:t>
      </w:r>
      <w:r w:rsidRPr="0068209D">
        <w:rPr>
          <w:rtl/>
        </w:rPr>
        <w:t xml:space="preserve"> على سبيل المثال. ولا يجوز ولا يجب </w:t>
      </w:r>
      <w:r>
        <w:rPr>
          <w:rtl/>
        </w:rPr>
        <w:t>اتخاذ</w:t>
      </w:r>
      <w:r w:rsidRPr="0068209D">
        <w:rPr>
          <w:rtl/>
        </w:rPr>
        <w:t xml:space="preserve"> التدابير القسرية إلا عندما تكون متناسبة مع الأهداف الم</w:t>
      </w:r>
      <w:r>
        <w:rPr>
          <w:rtl/>
        </w:rPr>
        <w:t xml:space="preserve">توخاة منها </w:t>
      </w:r>
      <w:r w:rsidRPr="0068209D">
        <w:rPr>
          <w:rtl/>
        </w:rPr>
        <w:t xml:space="preserve">ولا يتوفر </w:t>
      </w:r>
      <w:r>
        <w:rPr>
          <w:rtl/>
        </w:rPr>
        <w:t xml:space="preserve">أي </w:t>
      </w:r>
      <w:r w:rsidRPr="0068209D">
        <w:rPr>
          <w:rtl/>
        </w:rPr>
        <w:t xml:space="preserve">خيار </w:t>
      </w:r>
      <w:r>
        <w:rPr>
          <w:rtl/>
        </w:rPr>
        <w:t xml:space="preserve">آخر </w:t>
      </w:r>
      <w:r w:rsidRPr="0068209D">
        <w:rPr>
          <w:rtl/>
        </w:rPr>
        <w:t xml:space="preserve">أقل </w:t>
      </w:r>
      <w:r>
        <w:rPr>
          <w:rtl/>
        </w:rPr>
        <w:t>اقتحاما</w:t>
      </w:r>
      <w:r w:rsidRPr="0068209D">
        <w:rPr>
          <w:rtl/>
        </w:rPr>
        <w:t xml:space="preserve">ً. ويجب، لدى </w:t>
      </w:r>
      <w:r>
        <w:rPr>
          <w:rtl/>
        </w:rPr>
        <w:t>تنفيذ</w:t>
      </w:r>
      <w:r w:rsidRPr="0068209D">
        <w:rPr>
          <w:rtl/>
        </w:rPr>
        <w:t xml:space="preserve"> التدابير القسرية، تجن</w:t>
      </w:r>
      <w:r>
        <w:rPr>
          <w:rtl/>
        </w:rPr>
        <w:t>ُّ</w:t>
      </w:r>
      <w:r w:rsidRPr="0068209D">
        <w:rPr>
          <w:rtl/>
        </w:rPr>
        <w:t xml:space="preserve">ب </w:t>
      </w:r>
      <w:r w:rsidR="009322C4">
        <w:rPr>
          <w:rFonts w:hint="cs"/>
          <w:rtl/>
        </w:rPr>
        <w:t>إثارة</w:t>
      </w:r>
      <w:r>
        <w:rPr>
          <w:rtl/>
        </w:rPr>
        <w:t xml:space="preserve"> الانتباه بلا موجبٍ</w:t>
      </w:r>
      <w:r w:rsidRPr="0068209D">
        <w:rPr>
          <w:rtl/>
        </w:rPr>
        <w:t xml:space="preserve">، </w:t>
      </w:r>
      <w:r>
        <w:rPr>
          <w:rtl/>
        </w:rPr>
        <w:t xml:space="preserve">كما </w:t>
      </w:r>
      <w:r w:rsidRPr="0068209D">
        <w:rPr>
          <w:rtl/>
        </w:rPr>
        <w:t>يجب أن يكون السلوك مت</w:t>
      </w:r>
      <w:r>
        <w:rPr>
          <w:rtl/>
        </w:rPr>
        <w:t>كتم</w:t>
      </w:r>
      <w:r w:rsidRPr="0068209D">
        <w:rPr>
          <w:rtl/>
        </w:rPr>
        <w:t>ا</w:t>
      </w:r>
      <w:r w:rsidR="00B9525B">
        <w:rPr>
          <w:rFonts w:hint="cs"/>
          <w:rtl/>
        </w:rPr>
        <w:t>ً</w:t>
      </w:r>
      <w:r w:rsidRPr="0068209D">
        <w:rPr>
          <w:rtl/>
        </w:rPr>
        <w:t xml:space="preserve"> في جوانب أخرى. وي</w:t>
      </w:r>
      <w:r>
        <w:rPr>
          <w:rtl/>
        </w:rPr>
        <w:t xml:space="preserve">بين </w:t>
      </w:r>
      <w:r w:rsidRPr="0068209D">
        <w:rPr>
          <w:rtl/>
        </w:rPr>
        <w:t xml:space="preserve">الجدول أدناه </w:t>
      </w:r>
      <w:r>
        <w:rPr>
          <w:rtl/>
        </w:rPr>
        <w:t>مدى تنفيذ</w:t>
      </w:r>
      <w:r w:rsidRPr="0068209D">
        <w:rPr>
          <w:rtl/>
        </w:rPr>
        <w:t xml:space="preserve"> التدابير القسرية في فنلندا في الفترة </w:t>
      </w:r>
      <w:r w:rsidRPr="005C19F0">
        <w:rPr>
          <w:szCs w:val="20"/>
          <w:rtl/>
        </w:rPr>
        <w:t>2013</w:t>
      </w:r>
      <w:r w:rsidRPr="00EF3655">
        <w:rPr>
          <w:rtl/>
        </w:rPr>
        <w:t>-</w:t>
      </w:r>
      <w:r w:rsidRPr="005C19F0">
        <w:rPr>
          <w:szCs w:val="20"/>
          <w:rtl/>
        </w:rPr>
        <w:t>2018</w:t>
      </w:r>
      <w:r w:rsidRPr="0068209D">
        <w:rPr>
          <w:rtl/>
        </w:rPr>
        <w:t>.</w:t>
      </w:r>
    </w:p>
    <w:p w14:paraId="566FDA3F" w14:textId="271BC1F4" w:rsidR="00C815DB" w:rsidRPr="004D16CE" w:rsidRDefault="00C815DB" w:rsidP="00F93D35">
      <w:pPr>
        <w:pStyle w:val="SingleTxtGA"/>
        <w:spacing w:after="0"/>
        <w:rPr>
          <w:lang w:eastAsia="zh-TW" w:bidi="en-GB"/>
        </w:rPr>
      </w:pPr>
      <w:r w:rsidRPr="0068209D">
        <w:rPr>
          <w:rtl/>
        </w:rPr>
        <w:lastRenderedPageBreak/>
        <w:t xml:space="preserve">الجدول </w:t>
      </w:r>
      <w:r w:rsidRPr="00F93D35">
        <w:rPr>
          <w:szCs w:val="20"/>
          <w:rtl/>
        </w:rPr>
        <w:t>15</w:t>
      </w:r>
      <w:r w:rsidRPr="0068209D">
        <w:rPr>
          <w:rtl/>
        </w:rPr>
        <w:t xml:space="preserve"> </w:t>
      </w:r>
    </w:p>
    <w:p w14:paraId="1C147CE1" w14:textId="77777777" w:rsidR="00C815DB" w:rsidRPr="00F93D35" w:rsidRDefault="00C815DB" w:rsidP="00F93D35">
      <w:pPr>
        <w:pStyle w:val="SingleTxtGA"/>
        <w:rPr>
          <w:b/>
          <w:bCs/>
          <w:lang w:val="ar-SA" w:eastAsia="zh-TW" w:bidi="en-GB"/>
        </w:rPr>
      </w:pPr>
      <w:r w:rsidRPr="00F93D35">
        <w:rPr>
          <w:b/>
          <w:bCs/>
          <w:rtl/>
        </w:rPr>
        <w:t xml:space="preserve">استخدام التدابير القسرية </w:t>
      </w:r>
      <w:r w:rsidRPr="00F93D35">
        <w:rPr>
          <w:b/>
          <w:bCs/>
          <w:szCs w:val="20"/>
          <w:rtl/>
        </w:rPr>
        <w:t>2013</w:t>
      </w:r>
      <w:r w:rsidRPr="00F93D35">
        <w:rPr>
          <w:b/>
          <w:bCs/>
          <w:rtl/>
        </w:rPr>
        <w:t>-</w:t>
      </w:r>
      <w:r w:rsidRPr="00F93D35">
        <w:rPr>
          <w:b/>
          <w:bCs/>
          <w:szCs w:val="20"/>
          <w:rtl/>
        </w:rPr>
        <w:t>2018</w:t>
      </w:r>
    </w:p>
    <w:tbl>
      <w:tblPr>
        <w:bidiVisual/>
        <w:tblW w:w="7210" w:type="dxa"/>
        <w:tblInd w:w="121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708"/>
        <w:gridCol w:w="71"/>
        <w:gridCol w:w="629"/>
        <w:gridCol w:w="700"/>
        <w:gridCol w:w="791"/>
        <w:gridCol w:w="777"/>
        <w:gridCol w:w="840"/>
      </w:tblGrid>
      <w:tr w:rsidR="00C815DB" w:rsidRPr="0068209D" w14:paraId="76DA4132" w14:textId="77777777" w:rsidTr="00F93D35">
        <w:trPr>
          <w:tblHeader/>
        </w:trPr>
        <w:tc>
          <w:tcPr>
            <w:tcW w:w="2694" w:type="dxa"/>
            <w:tcBorders>
              <w:top w:val="single" w:sz="4" w:space="0" w:color="auto"/>
              <w:bottom w:val="single" w:sz="12" w:space="0" w:color="auto"/>
            </w:tcBorders>
            <w:shd w:val="clear" w:color="auto" w:fill="auto"/>
            <w:vAlign w:val="bottom"/>
            <w:hideMark/>
          </w:tcPr>
          <w:p w14:paraId="59077CFB" w14:textId="77777777" w:rsidR="00C815DB" w:rsidRPr="00F93D35" w:rsidRDefault="00C815DB" w:rsidP="00F93D35">
            <w:pPr>
              <w:spacing w:before="20" w:after="20" w:line="300" w:lineRule="exact"/>
              <w:ind w:left="57" w:right="57"/>
              <w:textDirection w:val="tbRlV"/>
              <w:rPr>
                <w:bCs/>
                <w:i/>
                <w:sz w:val="26"/>
                <w:szCs w:val="26"/>
                <w:lang w:val="ar-SA" w:eastAsia="zh-TW" w:bidi="en-GB"/>
              </w:rPr>
            </w:pPr>
            <w:r w:rsidRPr="00F93D35">
              <w:rPr>
                <w:i/>
                <w:iCs/>
                <w:sz w:val="26"/>
                <w:szCs w:val="26"/>
                <w:rtl/>
              </w:rPr>
              <w:t>الفئة/السنة</w:t>
            </w:r>
          </w:p>
        </w:tc>
        <w:tc>
          <w:tcPr>
            <w:tcW w:w="779" w:type="dxa"/>
            <w:gridSpan w:val="2"/>
            <w:tcBorders>
              <w:top w:val="single" w:sz="4" w:space="0" w:color="auto"/>
              <w:bottom w:val="single" w:sz="12" w:space="0" w:color="auto"/>
            </w:tcBorders>
            <w:shd w:val="clear" w:color="auto" w:fill="auto"/>
            <w:vAlign w:val="bottom"/>
            <w:hideMark/>
          </w:tcPr>
          <w:p w14:paraId="0F52A0B3"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2013</w:t>
            </w:r>
          </w:p>
        </w:tc>
        <w:tc>
          <w:tcPr>
            <w:tcW w:w="629" w:type="dxa"/>
            <w:tcBorders>
              <w:top w:val="single" w:sz="4" w:space="0" w:color="auto"/>
              <w:bottom w:val="single" w:sz="12" w:space="0" w:color="auto"/>
            </w:tcBorders>
            <w:shd w:val="clear" w:color="auto" w:fill="auto"/>
            <w:vAlign w:val="bottom"/>
            <w:hideMark/>
          </w:tcPr>
          <w:p w14:paraId="6FEB9BA3"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2014</w:t>
            </w:r>
          </w:p>
        </w:tc>
        <w:tc>
          <w:tcPr>
            <w:tcW w:w="700" w:type="dxa"/>
            <w:tcBorders>
              <w:top w:val="single" w:sz="4" w:space="0" w:color="auto"/>
              <w:bottom w:val="single" w:sz="12" w:space="0" w:color="auto"/>
            </w:tcBorders>
            <w:shd w:val="clear" w:color="auto" w:fill="auto"/>
            <w:vAlign w:val="bottom"/>
            <w:hideMark/>
          </w:tcPr>
          <w:p w14:paraId="3CBEA74A"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2015</w:t>
            </w:r>
          </w:p>
        </w:tc>
        <w:tc>
          <w:tcPr>
            <w:tcW w:w="791" w:type="dxa"/>
            <w:tcBorders>
              <w:top w:val="single" w:sz="4" w:space="0" w:color="auto"/>
              <w:bottom w:val="single" w:sz="12" w:space="0" w:color="auto"/>
            </w:tcBorders>
            <w:shd w:val="clear" w:color="auto" w:fill="auto"/>
            <w:vAlign w:val="bottom"/>
            <w:hideMark/>
          </w:tcPr>
          <w:p w14:paraId="79248B16"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2016</w:t>
            </w:r>
          </w:p>
        </w:tc>
        <w:tc>
          <w:tcPr>
            <w:tcW w:w="777" w:type="dxa"/>
            <w:tcBorders>
              <w:top w:val="single" w:sz="4" w:space="0" w:color="auto"/>
              <w:bottom w:val="single" w:sz="12" w:space="0" w:color="auto"/>
            </w:tcBorders>
            <w:shd w:val="clear" w:color="auto" w:fill="auto"/>
            <w:vAlign w:val="bottom"/>
            <w:hideMark/>
          </w:tcPr>
          <w:p w14:paraId="09F8B698"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2017</w:t>
            </w:r>
          </w:p>
        </w:tc>
        <w:tc>
          <w:tcPr>
            <w:tcW w:w="840" w:type="dxa"/>
            <w:tcBorders>
              <w:top w:val="single" w:sz="4" w:space="0" w:color="auto"/>
              <w:bottom w:val="single" w:sz="12" w:space="0" w:color="auto"/>
            </w:tcBorders>
            <w:shd w:val="clear" w:color="auto" w:fill="auto"/>
            <w:vAlign w:val="bottom"/>
            <w:hideMark/>
          </w:tcPr>
          <w:p w14:paraId="25819267" w14:textId="77777777" w:rsidR="00C815DB" w:rsidRPr="00F93D35" w:rsidRDefault="00C815DB" w:rsidP="00F93D35">
            <w:pPr>
              <w:spacing w:before="20" w:after="20" w:line="300" w:lineRule="exact"/>
              <w:ind w:left="57" w:right="57"/>
              <w:textDirection w:val="tbRlV"/>
              <w:rPr>
                <w:bCs/>
                <w:i/>
                <w:sz w:val="18"/>
                <w:szCs w:val="18"/>
                <w:lang w:val="ar-SA" w:eastAsia="zh-TW" w:bidi="en-GB"/>
              </w:rPr>
            </w:pPr>
            <w:r w:rsidRPr="00F93D35">
              <w:rPr>
                <w:i/>
                <w:iCs/>
                <w:sz w:val="18"/>
                <w:szCs w:val="18"/>
                <w:rtl/>
              </w:rPr>
              <w:t>2018</w:t>
            </w:r>
          </w:p>
        </w:tc>
      </w:tr>
      <w:tr w:rsidR="00F93D35" w:rsidRPr="0068209D" w14:paraId="5F2E1BAE" w14:textId="77777777" w:rsidTr="00F93D35">
        <w:tc>
          <w:tcPr>
            <w:tcW w:w="2694" w:type="dxa"/>
            <w:tcBorders>
              <w:top w:val="single" w:sz="12" w:space="0" w:color="auto"/>
            </w:tcBorders>
            <w:shd w:val="clear" w:color="auto" w:fill="auto"/>
            <w:hideMark/>
          </w:tcPr>
          <w:p w14:paraId="2E041BD1" w14:textId="77777777" w:rsidR="00F93D35" w:rsidRPr="00F93D35" w:rsidRDefault="00F93D35" w:rsidP="00F93D35">
            <w:pPr>
              <w:spacing w:before="20" w:after="20" w:line="300" w:lineRule="exact"/>
              <w:ind w:left="57" w:right="57"/>
              <w:textDirection w:val="tbRlV"/>
              <w:rPr>
                <w:sz w:val="26"/>
                <w:szCs w:val="26"/>
                <w:lang w:val="ar-SA" w:eastAsia="zh-TW" w:bidi="en-GB"/>
              </w:rPr>
            </w:pPr>
            <w:r w:rsidRPr="00F93D35">
              <w:rPr>
                <w:sz w:val="26"/>
                <w:szCs w:val="26"/>
                <w:rtl/>
              </w:rPr>
              <w:t>المسائل القسرية</w:t>
            </w:r>
          </w:p>
        </w:tc>
        <w:tc>
          <w:tcPr>
            <w:tcW w:w="708" w:type="dxa"/>
            <w:tcBorders>
              <w:top w:val="single" w:sz="12" w:space="0" w:color="auto"/>
            </w:tcBorders>
            <w:shd w:val="clear" w:color="auto" w:fill="auto"/>
            <w:vAlign w:val="bottom"/>
          </w:tcPr>
          <w:p w14:paraId="6EABF61E" w14:textId="2350B29C" w:rsidR="00F93D35" w:rsidRPr="00F93D35" w:rsidRDefault="00F93D35" w:rsidP="00F93D35">
            <w:pPr>
              <w:spacing w:before="20" w:after="20" w:line="300" w:lineRule="exact"/>
              <w:ind w:left="57" w:right="57"/>
              <w:rPr>
                <w:sz w:val="18"/>
                <w:szCs w:val="18"/>
              </w:rPr>
            </w:pPr>
            <w:r w:rsidRPr="00F74F09">
              <w:rPr>
                <w:sz w:val="18"/>
                <w:szCs w:val="24"/>
              </w:rPr>
              <w:t>210 302</w:t>
            </w:r>
          </w:p>
        </w:tc>
        <w:tc>
          <w:tcPr>
            <w:tcW w:w="700" w:type="dxa"/>
            <w:gridSpan w:val="2"/>
            <w:tcBorders>
              <w:top w:val="single" w:sz="12" w:space="0" w:color="auto"/>
            </w:tcBorders>
            <w:shd w:val="clear" w:color="auto" w:fill="auto"/>
            <w:vAlign w:val="bottom"/>
          </w:tcPr>
          <w:p w14:paraId="560DCAE4" w14:textId="69E0C21E" w:rsidR="00F93D35" w:rsidRPr="00F93D35" w:rsidRDefault="00F93D35" w:rsidP="00F93D35">
            <w:pPr>
              <w:spacing w:before="20" w:after="20" w:line="300" w:lineRule="exact"/>
              <w:ind w:left="57" w:right="57"/>
              <w:rPr>
                <w:sz w:val="18"/>
                <w:szCs w:val="18"/>
              </w:rPr>
            </w:pPr>
            <w:r w:rsidRPr="00F74F09">
              <w:rPr>
                <w:sz w:val="18"/>
                <w:szCs w:val="24"/>
              </w:rPr>
              <w:t>196 748</w:t>
            </w:r>
          </w:p>
        </w:tc>
        <w:tc>
          <w:tcPr>
            <w:tcW w:w="700" w:type="dxa"/>
            <w:tcBorders>
              <w:top w:val="single" w:sz="12" w:space="0" w:color="auto"/>
            </w:tcBorders>
            <w:shd w:val="clear" w:color="auto" w:fill="auto"/>
            <w:vAlign w:val="bottom"/>
          </w:tcPr>
          <w:p w14:paraId="6A2D7F8B" w14:textId="6E83E29F" w:rsidR="00F93D35" w:rsidRPr="00F93D35" w:rsidRDefault="00F93D35" w:rsidP="00F93D35">
            <w:pPr>
              <w:spacing w:before="20" w:after="20" w:line="300" w:lineRule="exact"/>
              <w:ind w:left="57" w:right="57"/>
              <w:rPr>
                <w:sz w:val="18"/>
                <w:szCs w:val="18"/>
              </w:rPr>
            </w:pPr>
            <w:r w:rsidRPr="00F74F09">
              <w:rPr>
                <w:sz w:val="18"/>
                <w:szCs w:val="24"/>
              </w:rPr>
              <w:t>197 191</w:t>
            </w:r>
          </w:p>
        </w:tc>
        <w:tc>
          <w:tcPr>
            <w:tcW w:w="791" w:type="dxa"/>
            <w:tcBorders>
              <w:top w:val="single" w:sz="12" w:space="0" w:color="auto"/>
            </w:tcBorders>
            <w:shd w:val="clear" w:color="auto" w:fill="auto"/>
            <w:vAlign w:val="bottom"/>
          </w:tcPr>
          <w:p w14:paraId="6E82D4DB" w14:textId="5499D2EA" w:rsidR="00F93D35" w:rsidRPr="00F93D35" w:rsidRDefault="00F93D35" w:rsidP="00F93D35">
            <w:pPr>
              <w:spacing w:before="20" w:after="20" w:line="300" w:lineRule="exact"/>
              <w:ind w:left="57" w:right="57"/>
              <w:rPr>
                <w:sz w:val="18"/>
                <w:szCs w:val="18"/>
              </w:rPr>
            </w:pPr>
            <w:r w:rsidRPr="00F74F09">
              <w:rPr>
                <w:sz w:val="18"/>
                <w:szCs w:val="24"/>
              </w:rPr>
              <w:t>197 451</w:t>
            </w:r>
          </w:p>
        </w:tc>
        <w:tc>
          <w:tcPr>
            <w:tcW w:w="777" w:type="dxa"/>
            <w:tcBorders>
              <w:top w:val="single" w:sz="12" w:space="0" w:color="auto"/>
            </w:tcBorders>
            <w:shd w:val="clear" w:color="auto" w:fill="auto"/>
            <w:vAlign w:val="bottom"/>
          </w:tcPr>
          <w:p w14:paraId="2C2CBBD6" w14:textId="2C3D3D3E"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195 777</w:t>
            </w:r>
          </w:p>
        </w:tc>
        <w:tc>
          <w:tcPr>
            <w:tcW w:w="840" w:type="dxa"/>
            <w:tcBorders>
              <w:top w:val="single" w:sz="12" w:space="0" w:color="auto"/>
            </w:tcBorders>
            <w:shd w:val="clear" w:color="auto" w:fill="auto"/>
            <w:vAlign w:val="bottom"/>
          </w:tcPr>
          <w:p w14:paraId="4B2ED855" w14:textId="44632C05"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195 137</w:t>
            </w:r>
          </w:p>
        </w:tc>
      </w:tr>
      <w:tr w:rsidR="00F93D35" w:rsidRPr="0068209D" w14:paraId="033250EA" w14:textId="77777777" w:rsidTr="00F93D35">
        <w:tc>
          <w:tcPr>
            <w:tcW w:w="2694" w:type="dxa"/>
            <w:shd w:val="clear" w:color="auto" w:fill="auto"/>
            <w:hideMark/>
          </w:tcPr>
          <w:p w14:paraId="06E8C425" w14:textId="77777777" w:rsidR="00F93D35" w:rsidRPr="00F93D35" w:rsidRDefault="00F93D35" w:rsidP="00F93D35">
            <w:pPr>
              <w:spacing w:before="20" w:after="20" w:line="300" w:lineRule="exact"/>
              <w:ind w:left="57" w:right="57"/>
              <w:textDirection w:val="tbRlV"/>
              <w:rPr>
                <w:sz w:val="26"/>
                <w:szCs w:val="26"/>
                <w:lang w:val="ar-SA" w:eastAsia="zh-TW" w:bidi="en-GB"/>
              </w:rPr>
            </w:pPr>
            <w:r w:rsidRPr="00F93D35">
              <w:rPr>
                <w:sz w:val="26"/>
                <w:szCs w:val="26"/>
                <w:rtl/>
              </w:rPr>
              <w:t>المسائل الجنائية</w:t>
            </w:r>
          </w:p>
        </w:tc>
        <w:tc>
          <w:tcPr>
            <w:tcW w:w="708" w:type="dxa"/>
            <w:shd w:val="clear" w:color="auto" w:fill="auto"/>
            <w:vAlign w:val="bottom"/>
          </w:tcPr>
          <w:p w14:paraId="2AB9826E" w14:textId="2B9C9402" w:rsidR="00F93D35" w:rsidRPr="00F93D35" w:rsidRDefault="00F93D35" w:rsidP="00F93D35">
            <w:pPr>
              <w:spacing w:before="20" w:after="20" w:line="300" w:lineRule="exact"/>
              <w:ind w:left="57" w:right="57"/>
              <w:rPr>
                <w:sz w:val="18"/>
                <w:szCs w:val="18"/>
              </w:rPr>
            </w:pPr>
            <w:r w:rsidRPr="00F74F09">
              <w:rPr>
                <w:sz w:val="18"/>
                <w:szCs w:val="24"/>
              </w:rPr>
              <w:t>132 457</w:t>
            </w:r>
          </w:p>
        </w:tc>
        <w:tc>
          <w:tcPr>
            <w:tcW w:w="700" w:type="dxa"/>
            <w:gridSpan w:val="2"/>
            <w:shd w:val="clear" w:color="auto" w:fill="auto"/>
            <w:vAlign w:val="bottom"/>
          </w:tcPr>
          <w:p w14:paraId="29CD7846" w14:textId="30E6E28D" w:rsidR="00F93D35" w:rsidRPr="00F93D35" w:rsidRDefault="00F93D35" w:rsidP="00F93D35">
            <w:pPr>
              <w:spacing w:before="20" w:after="20" w:line="300" w:lineRule="exact"/>
              <w:ind w:left="57" w:right="57"/>
              <w:rPr>
                <w:sz w:val="18"/>
                <w:szCs w:val="18"/>
              </w:rPr>
            </w:pPr>
            <w:r w:rsidRPr="00F74F09">
              <w:rPr>
                <w:sz w:val="18"/>
                <w:szCs w:val="24"/>
              </w:rPr>
              <w:t>126 437</w:t>
            </w:r>
          </w:p>
        </w:tc>
        <w:tc>
          <w:tcPr>
            <w:tcW w:w="700" w:type="dxa"/>
            <w:shd w:val="clear" w:color="auto" w:fill="auto"/>
            <w:vAlign w:val="bottom"/>
          </w:tcPr>
          <w:p w14:paraId="4A8BE5C1" w14:textId="248DFC30" w:rsidR="00F93D35" w:rsidRPr="00F93D35" w:rsidRDefault="00F93D35" w:rsidP="00F93D35">
            <w:pPr>
              <w:spacing w:before="20" w:after="20" w:line="300" w:lineRule="exact"/>
              <w:ind w:left="57" w:right="57"/>
              <w:rPr>
                <w:sz w:val="18"/>
                <w:szCs w:val="18"/>
              </w:rPr>
            </w:pPr>
            <w:r w:rsidRPr="00F74F09">
              <w:rPr>
                <w:sz w:val="18"/>
                <w:szCs w:val="24"/>
              </w:rPr>
              <w:t>128 136</w:t>
            </w:r>
          </w:p>
        </w:tc>
        <w:tc>
          <w:tcPr>
            <w:tcW w:w="791" w:type="dxa"/>
            <w:shd w:val="clear" w:color="auto" w:fill="auto"/>
            <w:vAlign w:val="bottom"/>
          </w:tcPr>
          <w:p w14:paraId="73F9EC29" w14:textId="7610836B" w:rsidR="00F93D35" w:rsidRPr="00F93D35" w:rsidRDefault="00F93D35" w:rsidP="00F93D35">
            <w:pPr>
              <w:spacing w:before="20" w:after="20" w:line="300" w:lineRule="exact"/>
              <w:ind w:left="57" w:right="57"/>
              <w:rPr>
                <w:sz w:val="18"/>
                <w:szCs w:val="18"/>
              </w:rPr>
            </w:pPr>
            <w:r w:rsidRPr="00F74F09">
              <w:rPr>
                <w:sz w:val="18"/>
                <w:szCs w:val="24"/>
              </w:rPr>
              <w:t>131 591</w:t>
            </w:r>
          </w:p>
        </w:tc>
        <w:tc>
          <w:tcPr>
            <w:tcW w:w="777" w:type="dxa"/>
            <w:shd w:val="clear" w:color="auto" w:fill="auto"/>
            <w:vAlign w:val="bottom"/>
          </w:tcPr>
          <w:p w14:paraId="55E5D2EF" w14:textId="728E92BC"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131 467</w:t>
            </w:r>
          </w:p>
        </w:tc>
        <w:tc>
          <w:tcPr>
            <w:tcW w:w="840" w:type="dxa"/>
            <w:shd w:val="clear" w:color="auto" w:fill="auto"/>
            <w:vAlign w:val="bottom"/>
          </w:tcPr>
          <w:p w14:paraId="6CDA0658" w14:textId="62A021AB"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134 743</w:t>
            </w:r>
          </w:p>
        </w:tc>
      </w:tr>
      <w:tr w:rsidR="00F93D35" w:rsidRPr="0068209D" w14:paraId="3EB73854" w14:textId="77777777" w:rsidTr="00F93D35">
        <w:tc>
          <w:tcPr>
            <w:tcW w:w="2694" w:type="dxa"/>
            <w:shd w:val="clear" w:color="auto" w:fill="auto"/>
            <w:hideMark/>
          </w:tcPr>
          <w:p w14:paraId="3C56C6B3" w14:textId="77777777" w:rsidR="00F93D35" w:rsidRPr="00F93D35" w:rsidRDefault="00F93D35" w:rsidP="00F93D35">
            <w:pPr>
              <w:spacing w:before="20" w:after="20" w:line="300" w:lineRule="exact"/>
              <w:ind w:left="57" w:right="57"/>
              <w:textDirection w:val="tbRlV"/>
              <w:rPr>
                <w:sz w:val="26"/>
                <w:szCs w:val="26"/>
                <w:lang w:val="ar-SA" w:eastAsia="zh-TW" w:bidi="en-GB"/>
              </w:rPr>
            </w:pPr>
            <w:r w:rsidRPr="00F93D35">
              <w:rPr>
                <w:sz w:val="26"/>
                <w:szCs w:val="26"/>
                <w:rtl/>
              </w:rPr>
              <w:t>الجرائم التي ينطبق عليها قانون العقوبات</w:t>
            </w:r>
          </w:p>
        </w:tc>
        <w:tc>
          <w:tcPr>
            <w:tcW w:w="708" w:type="dxa"/>
            <w:shd w:val="clear" w:color="auto" w:fill="auto"/>
            <w:vAlign w:val="bottom"/>
          </w:tcPr>
          <w:p w14:paraId="68118284" w14:textId="34388233" w:rsidR="00F93D35" w:rsidRPr="00F93D35" w:rsidRDefault="00F93D35" w:rsidP="00F93D35">
            <w:pPr>
              <w:spacing w:before="20" w:after="20" w:line="300" w:lineRule="exact"/>
              <w:ind w:left="57" w:right="57"/>
              <w:rPr>
                <w:sz w:val="18"/>
                <w:szCs w:val="18"/>
              </w:rPr>
            </w:pPr>
            <w:r w:rsidRPr="00F74F09">
              <w:rPr>
                <w:sz w:val="18"/>
                <w:szCs w:val="24"/>
              </w:rPr>
              <w:t>128 755</w:t>
            </w:r>
          </w:p>
        </w:tc>
        <w:tc>
          <w:tcPr>
            <w:tcW w:w="700" w:type="dxa"/>
            <w:gridSpan w:val="2"/>
            <w:shd w:val="clear" w:color="auto" w:fill="auto"/>
            <w:vAlign w:val="bottom"/>
          </w:tcPr>
          <w:p w14:paraId="02C8E95C" w14:textId="76E7B9A3" w:rsidR="00F93D35" w:rsidRPr="00F93D35" w:rsidRDefault="00F93D35" w:rsidP="00F93D35">
            <w:pPr>
              <w:spacing w:before="20" w:after="20" w:line="300" w:lineRule="exact"/>
              <w:ind w:left="57" w:right="57"/>
              <w:rPr>
                <w:sz w:val="18"/>
                <w:szCs w:val="18"/>
              </w:rPr>
            </w:pPr>
            <w:r w:rsidRPr="00F74F09">
              <w:rPr>
                <w:sz w:val="18"/>
                <w:szCs w:val="24"/>
              </w:rPr>
              <w:t>123 145</w:t>
            </w:r>
          </w:p>
        </w:tc>
        <w:tc>
          <w:tcPr>
            <w:tcW w:w="700" w:type="dxa"/>
            <w:shd w:val="clear" w:color="auto" w:fill="auto"/>
            <w:vAlign w:val="bottom"/>
          </w:tcPr>
          <w:p w14:paraId="70AD1502" w14:textId="32C99D9F" w:rsidR="00F93D35" w:rsidRPr="00F93D35" w:rsidRDefault="00F93D35" w:rsidP="00F93D35">
            <w:pPr>
              <w:spacing w:before="20" w:after="20" w:line="300" w:lineRule="exact"/>
              <w:ind w:left="57" w:right="57"/>
              <w:rPr>
                <w:sz w:val="18"/>
                <w:szCs w:val="18"/>
              </w:rPr>
            </w:pPr>
            <w:r w:rsidRPr="00F74F09">
              <w:rPr>
                <w:sz w:val="18"/>
                <w:szCs w:val="24"/>
              </w:rPr>
              <w:t>125 743</w:t>
            </w:r>
          </w:p>
        </w:tc>
        <w:tc>
          <w:tcPr>
            <w:tcW w:w="791" w:type="dxa"/>
            <w:shd w:val="clear" w:color="auto" w:fill="auto"/>
            <w:vAlign w:val="bottom"/>
          </w:tcPr>
          <w:p w14:paraId="3B0BDC79" w14:textId="7BB0BCE4" w:rsidR="00F93D35" w:rsidRPr="00F93D35" w:rsidRDefault="00F93D35" w:rsidP="00F93D35">
            <w:pPr>
              <w:spacing w:before="20" w:after="20" w:line="300" w:lineRule="exact"/>
              <w:ind w:left="57" w:right="57"/>
              <w:rPr>
                <w:sz w:val="18"/>
                <w:szCs w:val="18"/>
              </w:rPr>
            </w:pPr>
            <w:r w:rsidRPr="00F74F09">
              <w:rPr>
                <w:sz w:val="18"/>
                <w:szCs w:val="24"/>
              </w:rPr>
              <w:t>129 757</w:t>
            </w:r>
          </w:p>
        </w:tc>
        <w:tc>
          <w:tcPr>
            <w:tcW w:w="777" w:type="dxa"/>
            <w:shd w:val="clear" w:color="auto" w:fill="auto"/>
            <w:vAlign w:val="bottom"/>
          </w:tcPr>
          <w:p w14:paraId="5115EA58" w14:textId="464B78C1"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130 859</w:t>
            </w:r>
          </w:p>
        </w:tc>
        <w:tc>
          <w:tcPr>
            <w:tcW w:w="840" w:type="dxa"/>
            <w:shd w:val="clear" w:color="auto" w:fill="auto"/>
            <w:vAlign w:val="bottom"/>
          </w:tcPr>
          <w:p w14:paraId="50CC0A62" w14:textId="58645CC1" w:rsidR="00F93D35" w:rsidRPr="00F93D35" w:rsidRDefault="00F93D35" w:rsidP="00F93D35">
            <w:pPr>
              <w:spacing w:before="20" w:after="20" w:line="300" w:lineRule="exact"/>
              <w:ind w:left="57" w:right="57"/>
              <w:rPr>
                <w:sz w:val="18"/>
                <w:szCs w:val="18"/>
                <w:lang w:eastAsia="fi-FI"/>
              </w:rPr>
            </w:pPr>
            <w:r w:rsidRPr="00F74F09">
              <w:rPr>
                <w:sz w:val="18"/>
                <w:szCs w:val="24"/>
                <w:lang w:eastAsia="fi-FI"/>
              </w:rPr>
              <w:t>134 232</w:t>
            </w:r>
          </w:p>
        </w:tc>
      </w:tr>
    </w:tbl>
    <w:p w14:paraId="15F8C97B" w14:textId="5F1C584F" w:rsidR="00C815DB" w:rsidRPr="00BE4C80" w:rsidRDefault="00C815DB" w:rsidP="00F93D35">
      <w:pPr>
        <w:pStyle w:val="SingleTxtGA"/>
        <w:rPr>
          <w:sz w:val="30"/>
          <w:lang w:eastAsia="zh-TW" w:bidi="en-GB"/>
        </w:rPr>
      </w:pPr>
      <w:r w:rsidRPr="002717F4">
        <w:rPr>
          <w:i/>
          <w:iCs/>
          <w:sz w:val="26"/>
          <w:szCs w:val="26"/>
          <w:rtl/>
        </w:rPr>
        <w:t>المصدر</w:t>
      </w:r>
      <w:r w:rsidRPr="00BB79C1">
        <w:t>:</w:t>
      </w:r>
      <w:r w:rsidRPr="0068209D">
        <w:rPr>
          <w:sz w:val="30"/>
          <w:rtl/>
        </w:rPr>
        <w:t xml:space="preserve"> </w:t>
      </w:r>
      <w:r w:rsidRPr="002717F4">
        <w:rPr>
          <w:sz w:val="18"/>
          <w:szCs w:val="18"/>
        </w:rPr>
        <w:t>Statistics Finland, Statistics on offences and coercive measures</w:t>
      </w:r>
      <w:r w:rsidRPr="0068209D">
        <w:rPr>
          <w:sz w:val="30"/>
          <w:rtl/>
        </w:rPr>
        <w:t>.</w:t>
      </w:r>
    </w:p>
    <w:p w14:paraId="04563ACB" w14:textId="77777777" w:rsidR="00C815DB" w:rsidRPr="004D16CE" w:rsidRDefault="00C815DB" w:rsidP="00BE4C80">
      <w:pPr>
        <w:pStyle w:val="H23GA"/>
        <w:rPr>
          <w:lang w:eastAsia="zh-TW" w:bidi="en-GB"/>
        </w:rPr>
      </w:pPr>
      <w:bookmarkStart w:id="64" w:name="_Toc32364325"/>
      <w:r w:rsidRPr="0068209D">
        <w:rPr>
          <w:rtl/>
        </w:rPr>
        <w:tab/>
      </w:r>
      <w:r w:rsidRPr="0068209D">
        <w:rPr>
          <w:rtl/>
        </w:rPr>
        <w:tab/>
        <w:t>جرائم القتل</w:t>
      </w:r>
      <w:bookmarkEnd w:id="64"/>
    </w:p>
    <w:p w14:paraId="7B1A3FAE" w14:textId="0617070B" w:rsidR="00C815DB" w:rsidRPr="0068209D" w:rsidRDefault="00C815DB" w:rsidP="00BE4C80">
      <w:pPr>
        <w:pStyle w:val="SingleTxtGA"/>
        <w:rPr>
          <w:lang w:val="ar-SA" w:eastAsia="zh-TW" w:bidi="en-GB"/>
        </w:rPr>
      </w:pPr>
      <w:r w:rsidRPr="005C19F0">
        <w:rPr>
          <w:szCs w:val="20"/>
          <w:rtl/>
        </w:rPr>
        <w:t>215</w:t>
      </w:r>
      <w:r w:rsidRPr="00EF3655">
        <w:rPr>
          <w:rtl/>
        </w:rPr>
        <w:t>-</w:t>
      </w:r>
      <w:r w:rsidRPr="0068209D">
        <w:rPr>
          <w:rtl/>
        </w:rPr>
        <w:tab/>
        <w:t>جرائم القتل في فنلندا آخذة في الانخفاض منذ منتصف التسعينات. و</w:t>
      </w:r>
      <w:r>
        <w:rPr>
          <w:rtl/>
        </w:rPr>
        <w:t xml:space="preserve">قد </w:t>
      </w:r>
      <w:r w:rsidRPr="0068209D">
        <w:rPr>
          <w:rtl/>
        </w:rPr>
        <w:t xml:space="preserve">شوهد أكبر تغير في عدد أعمال العنف التي </w:t>
      </w:r>
      <w:r>
        <w:rPr>
          <w:rtl/>
        </w:rPr>
        <w:t>ي</w:t>
      </w:r>
      <w:r w:rsidRPr="0068209D">
        <w:rPr>
          <w:rtl/>
        </w:rPr>
        <w:t xml:space="preserve">تسبب فيها </w:t>
      </w:r>
      <w:r>
        <w:rPr>
          <w:rtl/>
        </w:rPr>
        <w:t xml:space="preserve">تعاطي المشروبات </w:t>
      </w:r>
      <w:r w:rsidRPr="0068209D">
        <w:rPr>
          <w:rtl/>
        </w:rPr>
        <w:t>الكحول</w:t>
      </w:r>
      <w:r>
        <w:rPr>
          <w:rtl/>
        </w:rPr>
        <w:t>ية</w:t>
      </w:r>
      <w:r w:rsidRPr="0068209D">
        <w:rPr>
          <w:rtl/>
        </w:rPr>
        <w:t xml:space="preserve"> والتي يرتكبها الرجال. وغالبية حالات القتل </w:t>
      </w:r>
      <w:r>
        <w:rPr>
          <w:rtl/>
        </w:rPr>
        <w:t>الخطأ</w:t>
      </w:r>
      <w:r w:rsidRPr="0068209D">
        <w:rPr>
          <w:rtl/>
        </w:rPr>
        <w:t xml:space="preserve"> والقتل العمد وال</w:t>
      </w:r>
      <w:r>
        <w:rPr>
          <w:rtl/>
        </w:rPr>
        <w:t>ت</w:t>
      </w:r>
      <w:r w:rsidRPr="0068209D">
        <w:rPr>
          <w:rtl/>
        </w:rPr>
        <w:t>قت</w:t>
      </w:r>
      <w:r>
        <w:rPr>
          <w:rtl/>
        </w:rPr>
        <w:t>ي</w:t>
      </w:r>
      <w:r w:rsidRPr="0068209D">
        <w:rPr>
          <w:rtl/>
        </w:rPr>
        <w:t xml:space="preserve">ل في فنلندا تحدث في مساكن خاصة. وشكلت النساء </w:t>
      </w:r>
      <w:r w:rsidRPr="005C19F0">
        <w:rPr>
          <w:szCs w:val="20"/>
          <w:rtl/>
        </w:rPr>
        <w:t>30</w:t>
      </w:r>
      <w:r w:rsidR="002B5B92">
        <w:rPr>
          <w:rFonts w:ascii="Traditional Arabic"/>
          <w:sz w:val="28"/>
          <w:rtl/>
        </w:rPr>
        <w:t xml:space="preserve"> في المائة</w:t>
      </w:r>
      <w:r w:rsidRPr="0068209D">
        <w:rPr>
          <w:rtl/>
        </w:rPr>
        <w:t xml:space="preserve"> من ضحايا جرائم القتل في ال</w:t>
      </w:r>
      <w:r>
        <w:rPr>
          <w:rtl/>
        </w:rPr>
        <w:t xml:space="preserve">فترة </w:t>
      </w:r>
      <w:r w:rsidRPr="005C19F0">
        <w:rPr>
          <w:szCs w:val="20"/>
          <w:rtl/>
        </w:rPr>
        <w:t>2010</w:t>
      </w:r>
      <w:r w:rsidRPr="00EF3655">
        <w:rPr>
          <w:rtl/>
        </w:rPr>
        <w:t>-</w:t>
      </w:r>
      <w:r w:rsidRPr="005C19F0">
        <w:rPr>
          <w:szCs w:val="20"/>
          <w:rtl/>
        </w:rPr>
        <w:t>2018</w:t>
      </w:r>
      <w:r w:rsidRPr="0068209D">
        <w:rPr>
          <w:rFonts w:ascii="Traditional Arabic"/>
          <w:rtl/>
        </w:rPr>
        <w:t>.</w:t>
      </w:r>
      <w:r w:rsidRPr="0068209D">
        <w:rPr>
          <w:rtl/>
        </w:rPr>
        <w:t xml:space="preserve"> و</w:t>
      </w:r>
      <w:r>
        <w:rPr>
          <w:rtl/>
        </w:rPr>
        <w:t>من خصائص جريمة</w:t>
      </w:r>
      <w:r w:rsidRPr="0068209D">
        <w:rPr>
          <w:rtl/>
        </w:rPr>
        <w:t xml:space="preserve"> القتل في فنلندا أنه</w:t>
      </w:r>
      <w:r>
        <w:rPr>
          <w:rtl/>
        </w:rPr>
        <w:t>ا</w:t>
      </w:r>
      <w:r w:rsidRPr="0068209D">
        <w:rPr>
          <w:rtl/>
        </w:rPr>
        <w:t xml:space="preserve"> جريمة يرتكبها </w:t>
      </w:r>
      <w:r>
        <w:rPr>
          <w:rtl/>
        </w:rPr>
        <w:t xml:space="preserve">ويذهب ضحيتها </w:t>
      </w:r>
      <w:r w:rsidRPr="0068209D">
        <w:rPr>
          <w:rtl/>
        </w:rPr>
        <w:t>رجال ونساء غير متعلمين تعليما جيدا ومهمشون اجتماعيا</w:t>
      </w:r>
      <w:r w:rsidR="002B5B92">
        <w:rPr>
          <w:rFonts w:hint="cs"/>
          <w:rtl/>
        </w:rPr>
        <w:t>ً</w:t>
      </w:r>
      <w:r w:rsidRPr="0068209D">
        <w:rPr>
          <w:rtl/>
        </w:rPr>
        <w:t xml:space="preserve"> ومدمنون على الكحول إدمانا</w:t>
      </w:r>
      <w:r w:rsidR="002B5B92">
        <w:rPr>
          <w:rFonts w:hint="cs"/>
          <w:rtl/>
        </w:rPr>
        <w:t>ً</w:t>
      </w:r>
      <w:r w:rsidRPr="0068209D">
        <w:rPr>
          <w:rtl/>
        </w:rPr>
        <w:t xml:space="preserve"> شديدا</w:t>
      </w:r>
      <w:r w:rsidR="002B5B92">
        <w:rPr>
          <w:rFonts w:hint="cs"/>
          <w:rtl/>
        </w:rPr>
        <w:t>ً</w:t>
      </w:r>
      <w:r w:rsidRPr="0068209D">
        <w:rPr>
          <w:rtl/>
        </w:rPr>
        <w:t xml:space="preserve">. وظلت الأوضاع كما هي على مدى العقود الماضية. وترتبط </w:t>
      </w:r>
      <w:r>
        <w:rPr>
          <w:rtl/>
        </w:rPr>
        <w:t xml:space="preserve">هذه </w:t>
      </w:r>
      <w:r w:rsidRPr="0068209D">
        <w:rPr>
          <w:rtl/>
        </w:rPr>
        <w:t xml:space="preserve">الجرائم </w:t>
      </w:r>
      <w:r>
        <w:rPr>
          <w:rtl/>
        </w:rPr>
        <w:t>ب</w:t>
      </w:r>
      <w:r w:rsidRPr="0068209D">
        <w:rPr>
          <w:rtl/>
        </w:rPr>
        <w:t>استهلاك الكحول</w:t>
      </w:r>
      <w:r>
        <w:rPr>
          <w:rtl/>
        </w:rPr>
        <w:t xml:space="preserve"> </w:t>
      </w:r>
      <w:r w:rsidRPr="0068209D">
        <w:rPr>
          <w:rtl/>
        </w:rPr>
        <w:t xml:space="preserve">ارتباطاً لا يتجزأ. وبلغ معدل جرائم القتل لكل </w:t>
      </w:r>
      <w:r w:rsidRPr="005C19F0">
        <w:rPr>
          <w:szCs w:val="20"/>
          <w:rtl/>
        </w:rPr>
        <w:t>000</w:t>
      </w:r>
      <w:r w:rsidRPr="0068209D">
        <w:rPr>
          <w:rFonts w:ascii="Traditional Arabic"/>
          <w:rtl/>
        </w:rPr>
        <w:t xml:space="preserve"> </w:t>
      </w:r>
      <w:r w:rsidRPr="005C19F0">
        <w:rPr>
          <w:szCs w:val="20"/>
          <w:rtl/>
        </w:rPr>
        <w:t>100</w:t>
      </w:r>
      <w:r w:rsidRPr="0068209D">
        <w:rPr>
          <w:rtl/>
        </w:rPr>
        <w:t xml:space="preserve"> نسمة </w:t>
      </w:r>
      <w:r w:rsidRPr="005C19F0">
        <w:rPr>
          <w:szCs w:val="20"/>
          <w:rtl/>
        </w:rPr>
        <w:t>1</w:t>
      </w:r>
      <w:r w:rsidR="00B9525B">
        <w:rPr>
          <w:rFonts w:ascii="Traditional Arabic"/>
          <w:szCs w:val="20"/>
          <w:rtl/>
        </w:rPr>
        <w:t>,</w:t>
      </w:r>
      <w:r w:rsidRPr="005C19F0">
        <w:rPr>
          <w:szCs w:val="20"/>
          <w:rtl/>
        </w:rPr>
        <w:t>7</w:t>
      </w:r>
      <w:r w:rsidRPr="0068209D">
        <w:rPr>
          <w:rFonts w:ascii="Traditional Arabic"/>
          <w:rtl/>
        </w:rPr>
        <w:t>.</w:t>
      </w:r>
      <w:r w:rsidRPr="0068209D">
        <w:rPr>
          <w:rtl/>
        </w:rPr>
        <w:t xml:space="preserve"> ويشير الجدول أدناه إلى عدد جرائم القتل </w:t>
      </w:r>
      <w:r w:rsidRPr="00794E95">
        <w:rPr>
          <w:rtl/>
        </w:rPr>
        <w:t>(</w:t>
      </w:r>
      <w:r w:rsidRPr="0068209D">
        <w:rPr>
          <w:rtl/>
        </w:rPr>
        <w:t xml:space="preserve">القتل </w:t>
      </w:r>
      <w:r>
        <w:rPr>
          <w:rtl/>
        </w:rPr>
        <w:t>الخطأ</w:t>
      </w:r>
      <w:r w:rsidRPr="0068209D">
        <w:rPr>
          <w:rtl/>
        </w:rPr>
        <w:t xml:space="preserve"> والقتل العمد وال</w:t>
      </w:r>
      <w:r>
        <w:rPr>
          <w:rtl/>
        </w:rPr>
        <w:t>ت</w:t>
      </w:r>
      <w:r w:rsidRPr="0068209D">
        <w:rPr>
          <w:rtl/>
        </w:rPr>
        <w:t>قت</w:t>
      </w:r>
      <w:r>
        <w:rPr>
          <w:rtl/>
        </w:rPr>
        <w:t>ي</w:t>
      </w:r>
      <w:r w:rsidRPr="0068209D">
        <w:rPr>
          <w:rtl/>
        </w:rPr>
        <w:t>ل</w:t>
      </w:r>
      <w:r w:rsidRPr="00794E95">
        <w:rPr>
          <w:rtl/>
        </w:rPr>
        <w:t>)</w:t>
      </w:r>
      <w:r w:rsidRPr="0068209D">
        <w:rPr>
          <w:rtl/>
        </w:rPr>
        <w:t xml:space="preserve"> في الفترة </w:t>
      </w:r>
      <w:r w:rsidRPr="005C19F0">
        <w:rPr>
          <w:szCs w:val="20"/>
          <w:rtl/>
        </w:rPr>
        <w:t>2008</w:t>
      </w:r>
      <w:r w:rsidRPr="00EF3655">
        <w:rPr>
          <w:rtl/>
        </w:rPr>
        <w:t>-</w:t>
      </w:r>
      <w:r w:rsidRPr="005C19F0">
        <w:rPr>
          <w:szCs w:val="20"/>
          <w:rtl/>
        </w:rPr>
        <w:t>2018</w:t>
      </w:r>
      <w:r w:rsidRPr="0068209D">
        <w:rPr>
          <w:rtl/>
        </w:rPr>
        <w:t>.</w:t>
      </w:r>
    </w:p>
    <w:p w14:paraId="3909F06B" w14:textId="7961A59B" w:rsidR="00C815DB" w:rsidRPr="009F74F3" w:rsidRDefault="00C815DB" w:rsidP="007D17AE">
      <w:pPr>
        <w:pStyle w:val="SingleTxtGA"/>
        <w:spacing w:after="0"/>
        <w:rPr>
          <w:lang w:eastAsia="zh-TW" w:bidi="en-GB"/>
        </w:rPr>
      </w:pPr>
      <w:r w:rsidRPr="0068209D">
        <w:rPr>
          <w:rtl/>
        </w:rPr>
        <w:t xml:space="preserve">الجدول </w:t>
      </w:r>
      <w:r w:rsidRPr="005C19F0">
        <w:rPr>
          <w:szCs w:val="20"/>
          <w:rtl/>
        </w:rPr>
        <w:t>16</w:t>
      </w:r>
    </w:p>
    <w:p w14:paraId="4D591C9A" w14:textId="77777777" w:rsidR="00C815DB" w:rsidRPr="00BE4C80" w:rsidRDefault="00C815DB" w:rsidP="00BE4C80">
      <w:pPr>
        <w:pStyle w:val="SingleTxtGA"/>
        <w:rPr>
          <w:b/>
          <w:bCs/>
          <w:lang w:eastAsia="zh-TW" w:bidi="en-GB"/>
        </w:rPr>
      </w:pPr>
      <w:r w:rsidRPr="00BE4C80">
        <w:rPr>
          <w:b/>
          <w:bCs/>
          <w:rtl/>
        </w:rPr>
        <w:t xml:space="preserve">عدد جرائم القتل </w:t>
      </w:r>
      <w:r w:rsidRPr="005C19F0">
        <w:rPr>
          <w:b/>
          <w:bCs/>
          <w:szCs w:val="20"/>
          <w:rtl/>
        </w:rPr>
        <w:t>2008</w:t>
      </w:r>
      <w:r w:rsidRPr="00EF3655">
        <w:rPr>
          <w:rtl/>
        </w:rPr>
        <w:t>-</w:t>
      </w:r>
      <w:r w:rsidRPr="005C19F0">
        <w:rPr>
          <w:b/>
          <w:bCs/>
          <w:szCs w:val="20"/>
          <w:rtl/>
        </w:rPr>
        <w:t>2018</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528"/>
        <w:gridCol w:w="528"/>
        <w:gridCol w:w="528"/>
        <w:gridCol w:w="528"/>
        <w:gridCol w:w="528"/>
        <w:gridCol w:w="529"/>
        <w:gridCol w:w="528"/>
        <w:gridCol w:w="528"/>
        <w:gridCol w:w="528"/>
        <w:gridCol w:w="528"/>
        <w:gridCol w:w="529"/>
      </w:tblGrid>
      <w:tr w:rsidR="00C815DB" w:rsidRPr="004D16CE" w14:paraId="054A5D90" w14:textId="77777777" w:rsidTr="00BE4C80">
        <w:trPr>
          <w:tblHeader/>
        </w:trPr>
        <w:tc>
          <w:tcPr>
            <w:tcW w:w="1560" w:type="dxa"/>
            <w:tcBorders>
              <w:top w:val="single" w:sz="4" w:space="0" w:color="auto"/>
              <w:bottom w:val="single" w:sz="12" w:space="0" w:color="auto"/>
            </w:tcBorders>
            <w:shd w:val="clear" w:color="auto" w:fill="auto"/>
            <w:vAlign w:val="bottom"/>
            <w:hideMark/>
          </w:tcPr>
          <w:p w14:paraId="6EAB10B7" w14:textId="77777777" w:rsidR="00C815DB" w:rsidRPr="00E06CE4" w:rsidRDefault="00C815DB" w:rsidP="007D17AE">
            <w:pPr>
              <w:spacing w:line="300" w:lineRule="exact"/>
              <w:ind w:left="57" w:right="57"/>
              <w:textDirection w:val="tbRlV"/>
              <w:rPr>
                <w:bCs/>
                <w:i/>
                <w:sz w:val="24"/>
                <w:szCs w:val="24"/>
                <w:lang w:val="ar-SA" w:eastAsia="zh-TW" w:bidi="en-GB"/>
              </w:rPr>
            </w:pPr>
            <w:r w:rsidRPr="00E06CE4">
              <w:rPr>
                <w:i/>
                <w:iCs/>
                <w:sz w:val="24"/>
                <w:szCs w:val="24"/>
                <w:rtl/>
              </w:rPr>
              <w:t>الفئة/السنة</w:t>
            </w:r>
          </w:p>
        </w:tc>
        <w:tc>
          <w:tcPr>
            <w:tcW w:w="528" w:type="dxa"/>
            <w:tcBorders>
              <w:top w:val="single" w:sz="4" w:space="0" w:color="auto"/>
              <w:bottom w:val="single" w:sz="12" w:space="0" w:color="auto"/>
            </w:tcBorders>
            <w:shd w:val="clear" w:color="auto" w:fill="auto"/>
            <w:vAlign w:val="bottom"/>
            <w:hideMark/>
          </w:tcPr>
          <w:p w14:paraId="33AD3557"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2008</w:t>
            </w:r>
          </w:p>
        </w:tc>
        <w:tc>
          <w:tcPr>
            <w:tcW w:w="528" w:type="dxa"/>
            <w:tcBorders>
              <w:top w:val="single" w:sz="4" w:space="0" w:color="auto"/>
              <w:bottom w:val="single" w:sz="12" w:space="0" w:color="auto"/>
            </w:tcBorders>
            <w:shd w:val="clear" w:color="auto" w:fill="auto"/>
            <w:vAlign w:val="bottom"/>
            <w:hideMark/>
          </w:tcPr>
          <w:p w14:paraId="16E423FF"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2009</w:t>
            </w:r>
          </w:p>
        </w:tc>
        <w:tc>
          <w:tcPr>
            <w:tcW w:w="528" w:type="dxa"/>
            <w:tcBorders>
              <w:top w:val="single" w:sz="4" w:space="0" w:color="auto"/>
              <w:bottom w:val="single" w:sz="12" w:space="0" w:color="auto"/>
            </w:tcBorders>
            <w:shd w:val="clear" w:color="auto" w:fill="auto"/>
            <w:vAlign w:val="bottom"/>
            <w:hideMark/>
          </w:tcPr>
          <w:p w14:paraId="4945BBDD"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2010</w:t>
            </w:r>
          </w:p>
        </w:tc>
        <w:tc>
          <w:tcPr>
            <w:tcW w:w="528" w:type="dxa"/>
            <w:tcBorders>
              <w:top w:val="single" w:sz="4" w:space="0" w:color="auto"/>
              <w:bottom w:val="single" w:sz="12" w:space="0" w:color="auto"/>
            </w:tcBorders>
            <w:shd w:val="clear" w:color="auto" w:fill="auto"/>
            <w:vAlign w:val="bottom"/>
            <w:hideMark/>
          </w:tcPr>
          <w:p w14:paraId="1344D90A"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2011</w:t>
            </w:r>
          </w:p>
        </w:tc>
        <w:tc>
          <w:tcPr>
            <w:tcW w:w="528" w:type="dxa"/>
            <w:tcBorders>
              <w:top w:val="single" w:sz="4" w:space="0" w:color="auto"/>
              <w:bottom w:val="single" w:sz="12" w:space="0" w:color="auto"/>
            </w:tcBorders>
            <w:shd w:val="clear" w:color="auto" w:fill="auto"/>
            <w:vAlign w:val="bottom"/>
            <w:hideMark/>
          </w:tcPr>
          <w:p w14:paraId="5347209C"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2012</w:t>
            </w:r>
          </w:p>
        </w:tc>
        <w:tc>
          <w:tcPr>
            <w:tcW w:w="529" w:type="dxa"/>
            <w:tcBorders>
              <w:top w:val="single" w:sz="4" w:space="0" w:color="auto"/>
              <w:bottom w:val="single" w:sz="12" w:space="0" w:color="auto"/>
            </w:tcBorders>
            <w:shd w:val="clear" w:color="auto" w:fill="auto"/>
            <w:vAlign w:val="bottom"/>
            <w:hideMark/>
          </w:tcPr>
          <w:p w14:paraId="6ABAE18D"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2013</w:t>
            </w:r>
          </w:p>
        </w:tc>
        <w:tc>
          <w:tcPr>
            <w:tcW w:w="528" w:type="dxa"/>
            <w:tcBorders>
              <w:top w:val="single" w:sz="4" w:space="0" w:color="auto"/>
              <w:bottom w:val="single" w:sz="12" w:space="0" w:color="auto"/>
            </w:tcBorders>
            <w:shd w:val="clear" w:color="auto" w:fill="auto"/>
            <w:vAlign w:val="bottom"/>
            <w:hideMark/>
          </w:tcPr>
          <w:p w14:paraId="1E6BD91C"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2014</w:t>
            </w:r>
          </w:p>
        </w:tc>
        <w:tc>
          <w:tcPr>
            <w:tcW w:w="528" w:type="dxa"/>
            <w:tcBorders>
              <w:top w:val="single" w:sz="4" w:space="0" w:color="auto"/>
              <w:bottom w:val="single" w:sz="12" w:space="0" w:color="auto"/>
            </w:tcBorders>
            <w:shd w:val="clear" w:color="auto" w:fill="auto"/>
            <w:vAlign w:val="bottom"/>
            <w:hideMark/>
          </w:tcPr>
          <w:p w14:paraId="2A74B674"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2015</w:t>
            </w:r>
          </w:p>
        </w:tc>
        <w:tc>
          <w:tcPr>
            <w:tcW w:w="528" w:type="dxa"/>
            <w:tcBorders>
              <w:top w:val="single" w:sz="4" w:space="0" w:color="auto"/>
              <w:bottom w:val="single" w:sz="12" w:space="0" w:color="auto"/>
            </w:tcBorders>
            <w:shd w:val="clear" w:color="auto" w:fill="auto"/>
            <w:vAlign w:val="bottom"/>
            <w:hideMark/>
          </w:tcPr>
          <w:p w14:paraId="5A884B38"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2016</w:t>
            </w:r>
          </w:p>
        </w:tc>
        <w:tc>
          <w:tcPr>
            <w:tcW w:w="528" w:type="dxa"/>
            <w:tcBorders>
              <w:top w:val="single" w:sz="4" w:space="0" w:color="auto"/>
              <w:bottom w:val="single" w:sz="12" w:space="0" w:color="auto"/>
            </w:tcBorders>
            <w:shd w:val="clear" w:color="auto" w:fill="auto"/>
            <w:vAlign w:val="bottom"/>
            <w:hideMark/>
          </w:tcPr>
          <w:p w14:paraId="39BA7D55"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2017</w:t>
            </w:r>
          </w:p>
        </w:tc>
        <w:tc>
          <w:tcPr>
            <w:tcW w:w="529" w:type="dxa"/>
            <w:tcBorders>
              <w:top w:val="single" w:sz="4" w:space="0" w:color="auto"/>
              <w:bottom w:val="single" w:sz="12" w:space="0" w:color="auto"/>
            </w:tcBorders>
            <w:shd w:val="clear" w:color="auto" w:fill="auto"/>
            <w:vAlign w:val="bottom"/>
            <w:hideMark/>
          </w:tcPr>
          <w:p w14:paraId="4267057D" w14:textId="77777777" w:rsidR="00C815DB" w:rsidRPr="00E06CE4" w:rsidRDefault="00C815DB" w:rsidP="007D17AE">
            <w:pPr>
              <w:spacing w:line="300" w:lineRule="exact"/>
              <w:ind w:left="57" w:right="57"/>
              <w:textDirection w:val="tbRlV"/>
              <w:rPr>
                <w:bCs/>
                <w:i/>
                <w:sz w:val="18"/>
                <w:szCs w:val="18"/>
                <w:lang w:val="ar-SA" w:eastAsia="zh-TW" w:bidi="en-GB"/>
              </w:rPr>
            </w:pPr>
            <w:r w:rsidRPr="00E06CE4">
              <w:rPr>
                <w:i/>
                <w:iCs/>
                <w:sz w:val="18"/>
                <w:szCs w:val="18"/>
                <w:rtl/>
              </w:rPr>
              <w:t>2018</w:t>
            </w:r>
          </w:p>
        </w:tc>
      </w:tr>
      <w:tr w:rsidR="00A029DA" w:rsidRPr="004D16CE" w14:paraId="34405892" w14:textId="77777777" w:rsidTr="00BE4C80">
        <w:tc>
          <w:tcPr>
            <w:tcW w:w="1560" w:type="dxa"/>
            <w:tcBorders>
              <w:top w:val="single" w:sz="12" w:space="0" w:color="auto"/>
            </w:tcBorders>
            <w:shd w:val="clear" w:color="auto" w:fill="auto"/>
            <w:hideMark/>
          </w:tcPr>
          <w:p w14:paraId="10F405ED" w14:textId="77777777" w:rsidR="00A029DA" w:rsidRPr="00E06CE4" w:rsidRDefault="00A029DA" w:rsidP="00A029DA">
            <w:pPr>
              <w:spacing w:line="300" w:lineRule="exact"/>
              <w:ind w:left="57" w:right="57"/>
              <w:textDirection w:val="tbRlV"/>
              <w:rPr>
                <w:sz w:val="24"/>
                <w:szCs w:val="24"/>
                <w:lang w:eastAsia="zh-TW" w:bidi="en-GB"/>
              </w:rPr>
            </w:pPr>
            <w:r w:rsidRPr="00E06CE4">
              <w:rPr>
                <w:sz w:val="24"/>
                <w:szCs w:val="24"/>
                <w:rtl/>
              </w:rPr>
              <w:t>محاولات قتل</w:t>
            </w:r>
            <w:r w:rsidRPr="00E06CE4">
              <w:rPr>
                <w:sz w:val="24"/>
                <w:szCs w:val="24"/>
                <w:lang w:eastAsia="zh-TW" w:bidi="en-GB"/>
              </w:rPr>
              <w:t xml:space="preserve"> </w:t>
            </w:r>
          </w:p>
        </w:tc>
        <w:tc>
          <w:tcPr>
            <w:tcW w:w="528" w:type="dxa"/>
            <w:tcBorders>
              <w:top w:val="single" w:sz="12" w:space="0" w:color="auto"/>
            </w:tcBorders>
            <w:shd w:val="clear" w:color="auto" w:fill="auto"/>
            <w:vAlign w:val="bottom"/>
          </w:tcPr>
          <w:p w14:paraId="7C9419CE" w14:textId="3D1C41A5" w:rsidR="00A029DA" w:rsidRPr="00E06CE4" w:rsidRDefault="00A029DA" w:rsidP="00A029DA">
            <w:pPr>
              <w:spacing w:line="300" w:lineRule="exact"/>
              <w:ind w:left="57" w:right="57"/>
              <w:rPr>
                <w:sz w:val="18"/>
                <w:szCs w:val="18"/>
              </w:rPr>
            </w:pPr>
            <w:r w:rsidRPr="00D901BE">
              <w:rPr>
                <w:sz w:val="18"/>
                <w:szCs w:val="24"/>
              </w:rPr>
              <w:t>363</w:t>
            </w:r>
          </w:p>
        </w:tc>
        <w:tc>
          <w:tcPr>
            <w:tcW w:w="528" w:type="dxa"/>
            <w:tcBorders>
              <w:top w:val="single" w:sz="12" w:space="0" w:color="auto"/>
            </w:tcBorders>
            <w:shd w:val="clear" w:color="auto" w:fill="auto"/>
            <w:vAlign w:val="bottom"/>
          </w:tcPr>
          <w:p w14:paraId="58AEE354" w14:textId="000F3C53" w:rsidR="00A029DA" w:rsidRPr="00E06CE4" w:rsidRDefault="00A029DA" w:rsidP="00A029DA">
            <w:pPr>
              <w:spacing w:line="300" w:lineRule="exact"/>
              <w:ind w:left="57" w:right="57"/>
              <w:rPr>
                <w:sz w:val="18"/>
                <w:szCs w:val="18"/>
              </w:rPr>
            </w:pPr>
            <w:r w:rsidRPr="00D901BE">
              <w:rPr>
                <w:sz w:val="18"/>
                <w:szCs w:val="24"/>
              </w:rPr>
              <w:t>366</w:t>
            </w:r>
          </w:p>
        </w:tc>
        <w:tc>
          <w:tcPr>
            <w:tcW w:w="528" w:type="dxa"/>
            <w:tcBorders>
              <w:top w:val="single" w:sz="12" w:space="0" w:color="auto"/>
            </w:tcBorders>
            <w:shd w:val="clear" w:color="auto" w:fill="auto"/>
            <w:vAlign w:val="bottom"/>
          </w:tcPr>
          <w:p w14:paraId="4853F225" w14:textId="6389E669" w:rsidR="00A029DA" w:rsidRPr="00E06CE4" w:rsidRDefault="00A029DA" w:rsidP="00A029DA">
            <w:pPr>
              <w:spacing w:line="300" w:lineRule="exact"/>
              <w:ind w:left="57" w:right="57"/>
              <w:rPr>
                <w:sz w:val="18"/>
                <w:szCs w:val="18"/>
              </w:rPr>
            </w:pPr>
            <w:r w:rsidRPr="00D901BE">
              <w:rPr>
                <w:sz w:val="18"/>
                <w:szCs w:val="24"/>
              </w:rPr>
              <w:t>308</w:t>
            </w:r>
          </w:p>
        </w:tc>
        <w:tc>
          <w:tcPr>
            <w:tcW w:w="528" w:type="dxa"/>
            <w:tcBorders>
              <w:top w:val="single" w:sz="12" w:space="0" w:color="auto"/>
            </w:tcBorders>
            <w:shd w:val="clear" w:color="auto" w:fill="auto"/>
            <w:vAlign w:val="bottom"/>
          </w:tcPr>
          <w:p w14:paraId="577D4D1B" w14:textId="3C593512" w:rsidR="00A029DA" w:rsidRPr="00E06CE4" w:rsidRDefault="00A029DA" w:rsidP="00A029DA">
            <w:pPr>
              <w:spacing w:line="300" w:lineRule="exact"/>
              <w:ind w:left="57" w:right="57"/>
              <w:rPr>
                <w:sz w:val="18"/>
                <w:szCs w:val="18"/>
              </w:rPr>
            </w:pPr>
            <w:r w:rsidRPr="00D901BE">
              <w:rPr>
                <w:sz w:val="18"/>
                <w:szCs w:val="24"/>
              </w:rPr>
              <w:t>306</w:t>
            </w:r>
          </w:p>
        </w:tc>
        <w:tc>
          <w:tcPr>
            <w:tcW w:w="528" w:type="dxa"/>
            <w:tcBorders>
              <w:top w:val="single" w:sz="12" w:space="0" w:color="auto"/>
            </w:tcBorders>
            <w:shd w:val="clear" w:color="auto" w:fill="auto"/>
            <w:vAlign w:val="bottom"/>
          </w:tcPr>
          <w:p w14:paraId="7D03F293" w14:textId="4555BC5F" w:rsidR="00A029DA" w:rsidRPr="00E06CE4" w:rsidRDefault="00A029DA" w:rsidP="00A029DA">
            <w:pPr>
              <w:spacing w:line="300" w:lineRule="exact"/>
              <w:ind w:left="57" w:right="57"/>
              <w:rPr>
                <w:sz w:val="18"/>
                <w:szCs w:val="18"/>
              </w:rPr>
            </w:pPr>
            <w:r w:rsidRPr="00D901BE">
              <w:rPr>
                <w:sz w:val="18"/>
                <w:szCs w:val="24"/>
              </w:rPr>
              <w:t>350</w:t>
            </w:r>
          </w:p>
        </w:tc>
        <w:tc>
          <w:tcPr>
            <w:tcW w:w="529" w:type="dxa"/>
            <w:tcBorders>
              <w:top w:val="single" w:sz="12" w:space="0" w:color="auto"/>
            </w:tcBorders>
            <w:shd w:val="clear" w:color="auto" w:fill="auto"/>
            <w:vAlign w:val="bottom"/>
          </w:tcPr>
          <w:p w14:paraId="1B7DF594" w14:textId="05285145" w:rsidR="00A029DA" w:rsidRPr="00E06CE4" w:rsidRDefault="00A029DA" w:rsidP="00A029DA">
            <w:pPr>
              <w:spacing w:line="300" w:lineRule="exact"/>
              <w:ind w:left="57" w:right="57"/>
              <w:rPr>
                <w:sz w:val="18"/>
                <w:szCs w:val="18"/>
              </w:rPr>
            </w:pPr>
            <w:r w:rsidRPr="00D901BE">
              <w:rPr>
                <w:sz w:val="18"/>
                <w:szCs w:val="24"/>
              </w:rPr>
              <w:t>264</w:t>
            </w:r>
          </w:p>
        </w:tc>
        <w:tc>
          <w:tcPr>
            <w:tcW w:w="528" w:type="dxa"/>
            <w:tcBorders>
              <w:top w:val="single" w:sz="12" w:space="0" w:color="auto"/>
            </w:tcBorders>
            <w:shd w:val="clear" w:color="auto" w:fill="auto"/>
            <w:vAlign w:val="bottom"/>
          </w:tcPr>
          <w:p w14:paraId="4A42F220" w14:textId="76C285DA" w:rsidR="00A029DA" w:rsidRPr="00E06CE4" w:rsidRDefault="00A029DA" w:rsidP="00A029DA">
            <w:pPr>
              <w:spacing w:line="300" w:lineRule="exact"/>
              <w:ind w:left="57" w:right="57"/>
              <w:rPr>
                <w:sz w:val="18"/>
                <w:szCs w:val="18"/>
              </w:rPr>
            </w:pPr>
            <w:r w:rsidRPr="00D901BE">
              <w:rPr>
                <w:sz w:val="18"/>
                <w:szCs w:val="24"/>
              </w:rPr>
              <w:t>327</w:t>
            </w:r>
          </w:p>
        </w:tc>
        <w:tc>
          <w:tcPr>
            <w:tcW w:w="528" w:type="dxa"/>
            <w:tcBorders>
              <w:top w:val="single" w:sz="12" w:space="0" w:color="auto"/>
            </w:tcBorders>
            <w:shd w:val="clear" w:color="auto" w:fill="auto"/>
            <w:vAlign w:val="bottom"/>
          </w:tcPr>
          <w:p w14:paraId="054F9AC8" w14:textId="1F95E878" w:rsidR="00A029DA" w:rsidRPr="00E06CE4" w:rsidRDefault="00A029DA" w:rsidP="00A029DA">
            <w:pPr>
              <w:spacing w:line="300" w:lineRule="exact"/>
              <w:ind w:left="57" w:right="57"/>
              <w:rPr>
                <w:sz w:val="18"/>
                <w:szCs w:val="18"/>
              </w:rPr>
            </w:pPr>
            <w:r w:rsidRPr="00D901BE">
              <w:rPr>
                <w:sz w:val="18"/>
                <w:szCs w:val="24"/>
              </w:rPr>
              <w:t>299</w:t>
            </w:r>
          </w:p>
        </w:tc>
        <w:tc>
          <w:tcPr>
            <w:tcW w:w="528" w:type="dxa"/>
            <w:tcBorders>
              <w:top w:val="single" w:sz="12" w:space="0" w:color="auto"/>
            </w:tcBorders>
            <w:shd w:val="clear" w:color="auto" w:fill="auto"/>
            <w:vAlign w:val="bottom"/>
          </w:tcPr>
          <w:p w14:paraId="59F1A65F" w14:textId="55040934" w:rsidR="00A029DA" w:rsidRPr="00E06CE4" w:rsidRDefault="00A029DA" w:rsidP="00A029DA">
            <w:pPr>
              <w:spacing w:line="300" w:lineRule="exact"/>
              <w:ind w:left="57" w:right="57"/>
              <w:rPr>
                <w:sz w:val="18"/>
                <w:szCs w:val="18"/>
              </w:rPr>
            </w:pPr>
            <w:r w:rsidRPr="00D901BE">
              <w:rPr>
                <w:sz w:val="18"/>
                <w:szCs w:val="24"/>
              </w:rPr>
              <w:t>311</w:t>
            </w:r>
          </w:p>
        </w:tc>
        <w:tc>
          <w:tcPr>
            <w:tcW w:w="528" w:type="dxa"/>
            <w:tcBorders>
              <w:top w:val="single" w:sz="12" w:space="0" w:color="auto"/>
            </w:tcBorders>
            <w:shd w:val="clear" w:color="auto" w:fill="auto"/>
            <w:vAlign w:val="bottom"/>
          </w:tcPr>
          <w:p w14:paraId="268881CD" w14:textId="16E1DFEB" w:rsidR="00A029DA" w:rsidRPr="00E06CE4" w:rsidRDefault="00A029DA" w:rsidP="00A029DA">
            <w:pPr>
              <w:spacing w:line="300" w:lineRule="exact"/>
              <w:ind w:left="57" w:right="57"/>
              <w:rPr>
                <w:sz w:val="18"/>
                <w:szCs w:val="18"/>
              </w:rPr>
            </w:pPr>
            <w:r w:rsidRPr="00D901BE">
              <w:rPr>
                <w:sz w:val="18"/>
                <w:szCs w:val="24"/>
              </w:rPr>
              <w:t>348</w:t>
            </w:r>
          </w:p>
        </w:tc>
        <w:tc>
          <w:tcPr>
            <w:tcW w:w="529" w:type="dxa"/>
            <w:tcBorders>
              <w:top w:val="single" w:sz="12" w:space="0" w:color="auto"/>
            </w:tcBorders>
            <w:shd w:val="clear" w:color="auto" w:fill="auto"/>
            <w:vAlign w:val="bottom"/>
          </w:tcPr>
          <w:p w14:paraId="5DE84F8A" w14:textId="7257ED8B" w:rsidR="00A029DA" w:rsidRPr="00E06CE4" w:rsidRDefault="00A029DA" w:rsidP="00A029DA">
            <w:pPr>
              <w:spacing w:line="300" w:lineRule="exact"/>
              <w:ind w:left="57" w:right="57"/>
              <w:rPr>
                <w:sz w:val="18"/>
                <w:szCs w:val="18"/>
              </w:rPr>
            </w:pPr>
            <w:r w:rsidRPr="00D901BE">
              <w:rPr>
                <w:sz w:val="18"/>
                <w:szCs w:val="24"/>
              </w:rPr>
              <w:t>355</w:t>
            </w:r>
          </w:p>
        </w:tc>
      </w:tr>
      <w:tr w:rsidR="00A029DA" w:rsidRPr="004D16CE" w14:paraId="458AEA9C" w14:textId="77777777" w:rsidTr="00BE4C80">
        <w:tc>
          <w:tcPr>
            <w:tcW w:w="1560" w:type="dxa"/>
            <w:tcBorders>
              <w:bottom w:val="single" w:sz="4" w:space="0" w:color="auto"/>
            </w:tcBorders>
            <w:shd w:val="clear" w:color="auto" w:fill="auto"/>
            <w:hideMark/>
          </w:tcPr>
          <w:p w14:paraId="2392A10C" w14:textId="77777777" w:rsidR="00A029DA" w:rsidRPr="00E06CE4" w:rsidRDefault="00A029DA" w:rsidP="00A029DA">
            <w:pPr>
              <w:spacing w:line="300" w:lineRule="exact"/>
              <w:ind w:left="57" w:right="57"/>
              <w:textDirection w:val="tbRlV"/>
              <w:rPr>
                <w:sz w:val="24"/>
                <w:szCs w:val="24"/>
                <w:lang w:val="ar-SA" w:eastAsia="zh-TW" w:bidi="en-GB"/>
              </w:rPr>
            </w:pPr>
            <w:r w:rsidRPr="00E06CE4">
              <w:rPr>
                <w:sz w:val="24"/>
                <w:szCs w:val="24"/>
                <w:rtl/>
              </w:rPr>
              <w:t>أفعالٌ نُفّذت</w:t>
            </w:r>
          </w:p>
        </w:tc>
        <w:tc>
          <w:tcPr>
            <w:tcW w:w="528" w:type="dxa"/>
            <w:tcBorders>
              <w:bottom w:val="single" w:sz="4" w:space="0" w:color="auto"/>
            </w:tcBorders>
            <w:shd w:val="clear" w:color="auto" w:fill="auto"/>
            <w:vAlign w:val="bottom"/>
          </w:tcPr>
          <w:p w14:paraId="4B391230" w14:textId="3240F006" w:rsidR="00A029DA" w:rsidRPr="00E06CE4" w:rsidRDefault="00A029DA" w:rsidP="00A029DA">
            <w:pPr>
              <w:spacing w:line="300" w:lineRule="exact"/>
              <w:ind w:left="57" w:right="57"/>
              <w:rPr>
                <w:sz w:val="18"/>
                <w:szCs w:val="18"/>
              </w:rPr>
            </w:pPr>
            <w:r w:rsidRPr="00D901BE">
              <w:rPr>
                <w:sz w:val="18"/>
                <w:szCs w:val="24"/>
              </w:rPr>
              <w:t>132</w:t>
            </w:r>
          </w:p>
        </w:tc>
        <w:tc>
          <w:tcPr>
            <w:tcW w:w="528" w:type="dxa"/>
            <w:tcBorders>
              <w:bottom w:val="single" w:sz="4" w:space="0" w:color="auto"/>
            </w:tcBorders>
            <w:shd w:val="clear" w:color="auto" w:fill="auto"/>
            <w:vAlign w:val="bottom"/>
          </w:tcPr>
          <w:p w14:paraId="677BAA8E" w14:textId="0044D9D8" w:rsidR="00A029DA" w:rsidRPr="00E06CE4" w:rsidRDefault="00A029DA" w:rsidP="00A029DA">
            <w:pPr>
              <w:spacing w:line="300" w:lineRule="exact"/>
              <w:ind w:left="57" w:right="57"/>
              <w:rPr>
                <w:sz w:val="18"/>
                <w:szCs w:val="18"/>
              </w:rPr>
            </w:pPr>
            <w:r w:rsidRPr="00D901BE">
              <w:rPr>
                <w:sz w:val="18"/>
                <w:szCs w:val="24"/>
              </w:rPr>
              <w:t>114</w:t>
            </w:r>
          </w:p>
        </w:tc>
        <w:tc>
          <w:tcPr>
            <w:tcW w:w="528" w:type="dxa"/>
            <w:tcBorders>
              <w:bottom w:val="single" w:sz="4" w:space="0" w:color="auto"/>
            </w:tcBorders>
            <w:shd w:val="clear" w:color="auto" w:fill="auto"/>
            <w:vAlign w:val="bottom"/>
          </w:tcPr>
          <w:p w14:paraId="0E4AF1BD" w14:textId="6C65E7C4" w:rsidR="00A029DA" w:rsidRPr="00E06CE4" w:rsidRDefault="00A029DA" w:rsidP="00A029DA">
            <w:pPr>
              <w:spacing w:line="300" w:lineRule="exact"/>
              <w:ind w:left="57" w:right="57"/>
              <w:rPr>
                <w:sz w:val="18"/>
                <w:szCs w:val="18"/>
              </w:rPr>
            </w:pPr>
            <w:r w:rsidRPr="00D901BE">
              <w:rPr>
                <w:sz w:val="18"/>
                <w:szCs w:val="24"/>
              </w:rPr>
              <w:t>110</w:t>
            </w:r>
          </w:p>
        </w:tc>
        <w:tc>
          <w:tcPr>
            <w:tcW w:w="528" w:type="dxa"/>
            <w:tcBorders>
              <w:bottom w:val="single" w:sz="4" w:space="0" w:color="auto"/>
            </w:tcBorders>
            <w:shd w:val="clear" w:color="auto" w:fill="auto"/>
            <w:vAlign w:val="bottom"/>
          </w:tcPr>
          <w:p w14:paraId="6C28A591" w14:textId="1C79422B" w:rsidR="00A029DA" w:rsidRPr="00E06CE4" w:rsidRDefault="00A029DA" w:rsidP="00A029DA">
            <w:pPr>
              <w:spacing w:line="300" w:lineRule="exact"/>
              <w:ind w:left="57" w:right="57"/>
              <w:rPr>
                <w:sz w:val="18"/>
                <w:szCs w:val="18"/>
              </w:rPr>
            </w:pPr>
            <w:r w:rsidRPr="00D901BE">
              <w:rPr>
                <w:sz w:val="18"/>
                <w:szCs w:val="24"/>
              </w:rPr>
              <w:t>114</w:t>
            </w:r>
          </w:p>
        </w:tc>
        <w:tc>
          <w:tcPr>
            <w:tcW w:w="528" w:type="dxa"/>
            <w:tcBorders>
              <w:bottom w:val="single" w:sz="4" w:space="0" w:color="auto"/>
            </w:tcBorders>
            <w:shd w:val="clear" w:color="auto" w:fill="auto"/>
            <w:vAlign w:val="bottom"/>
          </w:tcPr>
          <w:p w14:paraId="6E649792" w14:textId="72EC2623" w:rsidR="00A029DA" w:rsidRPr="00E06CE4" w:rsidRDefault="00A029DA" w:rsidP="00A029DA">
            <w:pPr>
              <w:spacing w:line="300" w:lineRule="exact"/>
              <w:ind w:left="57" w:right="57"/>
              <w:rPr>
                <w:sz w:val="18"/>
                <w:szCs w:val="18"/>
              </w:rPr>
            </w:pPr>
            <w:r w:rsidRPr="00D901BE">
              <w:rPr>
                <w:sz w:val="18"/>
                <w:szCs w:val="24"/>
              </w:rPr>
              <w:t>89</w:t>
            </w:r>
          </w:p>
        </w:tc>
        <w:tc>
          <w:tcPr>
            <w:tcW w:w="529" w:type="dxa"/>
            <w:tcBorders>
              <w:bottom w:val="single" w:sz="4" w:space="0" w:color="auto"/>
            </w:tcBorders>
            <w:shd w:val="clear" w:color="auto" w:fill="auto"/>
            <w:vAlign w:val="bottom"/>
          </w:tcPr>
          <w:p w14:paraId="2417AB76" w14:textId="68800798" w:rsidR="00A029DA" w:rsidRPr="00E06CE4" w:rsidRDefault="00A029DA" w:rsidP="00A029DA">
            <w:pPr>
              <w:spacing w:line="300" w:lineRule="exact"/>
              <w:ind w:left="57" w:right="57"/>
              <w:rPr>
                <w:sz w:val="18"/>
                <w:szCs w:val="18"/>
              </w:rPr>
            </w:pPr>
            <w:r w:rsidRPr="00D901BE">
              <w:rPr>
                <w:sz w:val="18"/>
                <w:szCs w:val="24"/>
              </w:rPr>
              <w:t>95</w:t>
            </w:r>
          </w:p>
        </w:tc>
        <w:tc>
          <w:tcPr>
            <w:tcW w:w="528" w:type="dxa"/>
            <w:tcBorders>
              <w:bottom w:val="single" w:sz="4" w:space="0" w:color="auto"/>
            </w:tcBorders>
            <w:shd w:val="clear" w:color="auto" w:fill="auto"/>
            <w:vAlign w:val="bottom"/>
          </w:tcPr>
          <w:p w14:paraId="3B19853D" w14:textId="12B04E3A" w:rsidR="00A029DA" w:rsidRPr="00E06CE4" w:rsidRDefault="00A029DA" w:rsidP="00A029DA">
            <w:pPr>
              <w:spacing w:line="300" w:lineRule="exact"/>
              <w:ind w:left="57" w:right="57"/>
              <w:rPr>
                <w:sz w:val="18"/>
                <w:szCs w:val="18"/>
              </w:rPr>
            </w:pPr>
            <w:r w:rsidRPr="00D901BE">
              <w:rPr>
                <w:sz w:val="18"/>
                <w:szCs w:val="24"/>
              </w:rPr>
              <w:t>101</w:t>
            </w:r>
          </w:p>
        </w:tc>
        <w:tc>
          <w:tcPr>
            <w:tcW w:w="528" w:type="dxa"/>
            <w:tcBorders>
              <w:bottom w:val="single" w:sz="4" w:space="0" w:color="auto"/>
            </w:tcBorders>
            <w:shd w:val="clear" w:color="auto" w:fill="auto"/>
            <w:vAlign w:val="bottom"/>
          </w:tcPr>
          <w:p w14:paraId="5D1957EA" w14:textId="10B5D227" w:rsidR="00A029DA" w:rsidRPr="00E06CE4" w:rsidRDefault="00A029DA" w:rsidP="00A029DA">
            <w:pPr>
              <w:spacing w:line="300" w:lineRule="exact"/>
              <w:ind w:left="57" w:right="57"/>
              <w:rPr>
                <w:sz w:val="18"/>
                <w:szCs w:val="18"/>
              </w:rPr>
            </w:pPr>
            <w:r w:rsidRPr="00D901BE">
              <w:rPr>
                <w:sz w:val="18"/>
                <w:szCs w:val="24"/>
              </w:rPr>
              <w:t>96</w:t>
            </w:r>
          </w:p>
        </w:tc>
        <w:tc>
          <w:tcPr>
            <w:tcW w:w="528" w:type="dxa"/>
            <w:tcBorders>
              <w:bottom w:val="single" w:sz="4" w:space="0" w:color="auto"/>
            </w:tcBorders>
            <w:shd w:val="clear" w:color="auto" w:fill="auto"/>
            <w:vAlign w:val="bottom"/>
          </w:tcPr>
          <w:p w14:paraId="304E9549" w14:textId="2A4BD5CC" w:rsidR="00A029DA" w:rsidRPr="00E06CE4" w:rsidRDefault="00A029DA" w:rsidP="00A029DA">
            <w:pPr>
              <w:spacing w:line="300" w:lineRule="exact"/>
              <w:ind w:left="57" w:right="57"/>
              <w:rPr>
                <w:sz w:val="18"/>
                <w:szCs w:val="18"/>
              </w:rPr>
            </w:pPr>
            <w:r w:rsidRPr="00D901BE">
              <w:rPr>
                <w:sz w:val="18"/>
                <w:szCs w:val="24"/>
              </w:rPr>
              <w:t>78</w:t>
            </w:r>
          </w:p>
        </w:tc>
        <w:tc>
          <w:tcPr>
            <w:tcW w:w="528" w:type="dxa"/>
            <w:tcBorders>
              <w:bottom w:val="single" w:sz="4" w:space="0" w:color="auto"/>
            </w:tcBorders>
            <w:shd w:val="clear" w:color="auto" w:fill="auto"/>
            <w:vAlign w:val="bottom"/>
          </w:tcPr>
          <w:p w14:paraId="51C1CCDD" w14:textId="3A55AC5B" w:rsidR="00A029DA" w:rsidRPr="00E06CE4" w:rsidRDefault="00A029DA" w:rsidP="00A029DA">
            <w:pPr>
              <w:spacing w:line="300" w:lineRule="exact"/>
              <w:ind w:left="57" w:right="57"/>
              <w:rPr>
                <w:sz w:val="18"/>
                <w:szCs w:val="18"/>
              </w:rPr>
            </w:pPr>
            <w:r w:rsidRPr="00D901BE">
              <w:rPr>
                <w:sz w:val="18"/>
                <w:szCs w:val="24"/>
              </w:rPr>
              <w:t>73</w:t>
            </w:r>
          </w:p>
        </w:tc>
        <w:tc>
          <w:tcPr>
            <w:tcW w:w="529" w:type="dxa"/>
            <w:tcBorders>
              <w:bottom w:val="single" w:sz="4" w:space="0" w:color="auto"/>
            </w:tcBorders>
            <w:shd w:val="clear" w:color="auto" w:fill="auto"/>
            <w:vAlign w:val="bottom"/>
          </w:tcPr>
          <w:p w14:paraId="12DD0EBC" w14:textId="03C1F036" w:rsidR="00A029DA" w:rsidRPr="00E06CE4" w:rsidRDefault="00A029DA" w:rsidP="00A029DA">
            <w:pPr>
              <w:spacing w:line="300" w:lineRule="exact"/>
              <w:ind w:left="57" w:right="57"/>
              <w:rPr>
                <w:sz w:val="18"/>
                <w:szCs w:val="18"/>
              </w:rPr>
            </w:pPr>
            <w:r w:rsidRPr="00D901BE">
              <w:rPr>
                <w:sz w:val="18"/>
                <w:szCs w:val="24"/>
              </w:rPr>
              <w:t>85</w:t>
            </w:r>
          </w:p>
        </w:tc>
      </w:tr>
      <w:tr w:rsidR="00A029DA" w:rsidRPr="004D16CE" w14:paraId="1F7621C8" w14:textId="77777777" w:rsidTr="00BE4C80">
        <w:tc>
          <w:tcPr>
            <w:tcW w:w="1560" w:type="dxa"/>
            <w:tcBorders>
              <w:top w:val="single" w:sz="4" w:space="0" w:color="auto"/>
            </w:tcBorders>
            <w:shd w:val="clear" w:color="auto" w:fill="auto"/>
            <w:hideMark/>
          </w:tcPr>
          <w:p w14:paraId="7D5731DE" w14:textId="68551D4B" w:rsidR="00A029DA" w:rsidRPr="00E06CE4" w:rsidRDefault="00A029DA" w:rsidP="00A029DA">
            <w:pPr>
              <w:spacing w:line="300" w:lineRule="exact"/>
              <w:ind w:left="57" w:right="57"/>
              <w:textDirection w:val="tbRlV"/>
              <w:rPr>
                <w:b/>
                <w:sz w:val="24"/>
                <w:szCs w:val="24"/>
                <w:lang w:val="ar-SA" w:eastAsia="zh-TW" w:bidi="en-GB"/>
              </w:rPr>
            </w:pPr>
            <w:r>
              <w:rPr>
                <w:rFonts w:hint="cs"/>
                <w:b/>
                <w:bCs/>
                <w:sz w:val="24"/>
                <w:szCs w:val="24"/>
                <w:rtl/>
              </w:rPr>
              <w:t xml:space="preserve">   </w:t>
            </w:r>
            <w:r w:rsidRPr="00E06CE4">
              <w:rPr>
                <w:b/>
                <w:bCs/>
                <w:sz w:val="24"/>
                <w:szCs w:val="24"/>
                <w:rtl/>
              </w:rPr>
              <w:t>المجموع</w:t>
            </w:r>
          </w:p>
        </w:tc>
        <w:tc>
          <w:tcPr>
            <w:tcW w:w="528" w:type="dxa"/>
            <w:tcBorders>
              <w:top w:val="single" w:sz="4" w:space="0" w:color="auto"/>
            </w:tcBorders>
            <w:shd w:val="clear" w:color="auto" w:fill="auto"/>
            <w:vAlign w:val="bottom"/>
          </w:tcPr>
          <w:p w14:paraId="152111A1" w14:textId="4228F03B" w:rsidR="00A029DA" w:rsidRPr="00E06CE4" w:rsidRDefault="00A029DA" w:rsidP="00A029DA">
            <w:pPr>
              <w:spacing w:line="300" w:lineRule="exact"/>
              <w:ind w:left="57" w:right="57"/>
              <w:rPr>
                <w:b/>
                <w:sz w:val="18"/>
                <w:szCs w:val="18"/>
              </w:rPr>
            </w:pPr>
            <w:r w:rsidRPr="00D01A05">
              <w:rPr>
                <w:b/>
                <w:sz w:val="18"/>
                <w:szCs w:val="24"/>
              </w:rPr>
              <w:t>495</w:t>
            </w:r>
          </w:p>
        </w:tc>
        <w:tc>
          <w:tcPr>
            <w:tcW w:w="528" w:type="dxa"/>
            <w:tcBorders>
              <w:top w:val="single" w:sz="4" w:space="0" w:color="auto"/>
            </w:tcBorders>
            <w:shd w:val="clear" w:color="auto" w:fill="auto"/>
            <w:vAlign w:val="bottom"/>
          </w:tcPr>
          <w:p w14:paraId="30AE0A42" w14:textId="3794CC25" w:rsidR="00A029DA" w:rsidRPr="00E06CE4" w:rsidRDefault="00A029DA" w:rsidP="00A029DA">
            <w:pPr>
              <w:spacing w:line="300" w:lineRule="exact"/>
              <w:ind w:left="57" w:right="57"/>
              <w:rPr>
                <w:b/>
                <w:sz w:val="18"/>
                <w:szCs w:val="18"/>
              </w:rPr>
            </w:pPr>
            <w:r w:rsidRPr="00D01A05">
              <w:rPr>
                <w:b/>
                <w:sz w:val="18"/>
                <w:szCs w:val="24"/>
              </w:rPr>
              <w:t>480</w:t>
            </w:r>
          </w:p>
        </w:tc>
        <w:tc>
          <w:tcPr>
            <w:tcW w:w="528" w:type="dxa"/>
            <w:tcBorders>
              <w:top w:val="single" w:sz="4" w:space="0" w:color="auto"/>
            </w:tcBorders>
            <w:shd w:val="clear" w:color="auto" w:fill="auto"/>
            <w:vAlign w:val="bottom"/>
          </w:tcPr>
          <w:p w14:paraId="1FCC455E" w14:textId="62687092" w:rsidR="00A029DA" w:rsidRPr="00E06CE4" w:rsidRDefault="00A029DA" w:rsidP="00A029DA">
            <w:pPr>
              <w:spacing w:line="300" w:lineRule="exact"/>
              <w:ind w:left="57" w:right="57"/>
              <w:rPr>
                <w:b/>
                <w:sz w:val="18"/>
                <w:szCs w:val="18"/>
              </w:rPr>
            </w:pPr>
            <w:r w:rsidRPr="00D01A05">
              <w:rPr>
                <w:b/>
                <w:sz w:val="18"/>
                <w:szCs w:val="24"/>
              </w:rPr>
              <w:t>418</w:t>
            </w:r>
          </w:p>
        </w:tc>
        <w:tc>
          <w:tcPr>
            <w:tcW w:w="528" w:type="dxa"/>
            <w:tcBorders>
              <w:top w:val="single" w:sz="4" w:space="0" w:color="auto"/>
            </w:tcBorders>
            <w:shd w:val="clear" w:color="auto" w:fill="auto"/>
            <w:vAlign w:val="bottom"/>
          </w:tcPr>
          <w:p w14:paraId="7A8DF43F" w14:textId="5BB375AB" w:rsidR="00A029DA" w:rsidRPr="00E06CE4" w:rsidRDefault="00A029DA" w:rsidP="00A029DA">
            <w:pPr>
              <w:spacing w:line="300" w:lineRule="exact"/>
              <w:ind w:left="57" w:right="57"/>
              <w:rPr>
                <w:b/>
                <w:sz w:val="18"/>
                <w:szCs w:val="18"/>
              </w:rPr>
            </w:pPr>
            <w:r w:rsidRPr="00D01A05">
              <w:rPr>
                <w:b/>
                <w:sz w:val="18"/>
                <w:szCs w:val="24"/>
              </w:rPr>
              <w:t>420</w:t>
            </w:r>
          </w:p>
        </w:tc>
        <w:tc>
          <w:tcPr>
            <w:tcW w:w="528" w:type="dxa"/>
            <w:tcBorders>
              <w:top w:val="single" w:sz="4" w:space="0" w:color="auto"/>
            </w:tcBorders>
            <w:shd w:val="clear" w:color="auto" w:fill="auto"/>
            <w:vAlign w:val="bottom"/>
          </w:tcPr>
          <w:p w14:paraId="32E01192" w14:textId="0EB5F8CA" w:rsidR="00A029DA" w:rsidRPr="00E06CE4" w:rsidRDefault="00A029DA" w:rsidP="00A029DA">
            <w:pPr>
              <w:spacing w:line="300" w:lineRule="exact"/>
              <w:ind w:left="57" w:right="57"/>
              <w:rPr>
                <w:b/>
                <w:sz w:val="18"/>
                <w:szCs w:val="18"/>
              </w:rPr>
            </w:pPr>
            <w:r w:rsidRPr="00D01A05">
              <w:rPr>
                <w:b/>
                <w:sz w:val="18"/>
                <w:szCs w:val="24"/>
              </w:rPr>
              <w:t>439</w:t>
            </w:r>
          </w:p>
        </w:tc>
        <w:tc>
          <w:tcPr>
            <w:tcW w:w="529" w:type="dxa"/>
            <w:tcBorders>
              <w:top w:val="single" w:sz="4" w:space="0" w:color="auto"/>
            </w:tcBorders>
            <w:shd w:val="clear" w:color="auto" w:fill="auto"/>
            <w:vAlign w:val="bottom"/>
          </w:tcPr>
          <w:p w14:paraId="590ECB1B" w14:textId="761624C9" w:rsidR="00A029DA" w:rsidRPr="00E06CE4" w:rsidRDefault="00A029DA" w:rsidP="00A029DA">
            <w:pPr>
              <w:spacing w:line="300" w:lineRule="exact"/>
              <w:ind w:left="57" w:right="57"/>
              <w:rPr>
                <w:b/>
                <w:sz w:val="18"/>
                <w:szCs w:val="18"/>
              </w:rPr>
            </w:pPr>
            <w:r w:rsidRPr="00D01A05">
              <w:rPr>
                <w:b/>
                <w:sz w:val="18"/>
                <w:szCs w:val="24"/>
              </w:rPr>
              <w:t>359</w:t>
            </w:r>
          </w:p>
        </w:tc>
        <w:tc>
          <w:tcPr>
            <w:tcW w:w="528" w:type="dxa"/>
            <w:tcBorders>
              <w:top w:val="single" w:sz="4" w:space="0" w:color="auto"/>
            </w:tcBorders>
            <w:shd w:val="clear" w:color="auto" w:fill="auto"/>
            <w:vAlign w:val="bottom"/>
          </w:tcPr>
          <w:p w14:paraId="2792A613" w14:textId="4A8E3731" w:rsidR="00A029DA" w:rsidRPr="00E06CE4" w:rsidRDefault="00A029DA" w:rsidP="00A029DA">
            <w:pPr>
              <w:spacing w:line="300" w:lineRule="exact"/>
              <w:ind w:left="57" w:right="57"/>
              <w:rPr>
                <w:b/>
                <w:sz w:val="18"/>
                <w:szCs w:val="18"/>
              </w:rPr>
            </w:pPr>
            <w:r w:rsidRPr="00D01A05">
              <w:rPr>
                <w:b/>
                <w:sz w:val="18"/>
                <w:szCs w:val="24"/>
              </w:rPr>
              <w:t>428</w:t>
            </w:r>
          </w:p>
        </w:tc>
        <w:tc>
          <w:tcPr>
            <w:tcW w:w="528" w:type="dxa"/>
            <w:tcBorders>
              <w:top w:val="single" w:sz="4" w:space="0" w:color="auto"/>
            </w:tcBorders>
            <w:shd w:val="clear" w:color="auto" w:fill="auto"/>
            <w:vAlign w:val="bottom"/>
          </w:tcPr>
          <w:p w14:paraId="3FF9E385" w14:textId="4CE83C86" w:rsidR="00A029DA" w:rsidRPr="00E06CE4" w:rsidRDefault="00A029DA" w:rsidP="00A029DA">
            <w:pPr>
              <w:spacing w:line="300" w:lineRule="exact"/>
              <w:ind w:left="57" w:right="57"/>
              <w:rPr>
                <w:b/>
                <w:sz w:val="18"/>
                <w:szCs w:val="18"/>
              </w:rPr>
            </w:pPr>
            <w:r w:rsidRPr="00D01A05">
              <w:rPr>
                <w:b/>
                <w:sz w:val="18"/>
                <w:szCs w:val="24"/>
              </w:rPr>
              <w:t>395</w:t>
            </w:r>
          </w:p>
        </w:tc>
        <w:tc>
          <w:tcPr>
            <w:tcW w:w="528" w:type="dxa"/>
            <w:tcBorders>
              <w:top w:val="single" w:sz="4" w:space="0" w:color="auto"/>
            </w:tcBorders>
            <w:shd w:val="clear" w:color="auto" w:fill="auto"/>
            <w:vAlign w:val="bottom"/>
          </w:tcPr>
          <w:p w14:paraId="709A3D21" w14:textId="0466C5D6" w:rsidR="00A029DA" w:rsidRPr="00E06CE4" w:rsidRDefault="00A029DA" w:rsidP="00A029DA">
            <w:pPr>
              <w:spacing w:line="300" w:lineRule="exact"/>
              <w:ind w:left="57" w:right="57"/>
              <w:rPr>
                <w:b/>
                <w:sz w:val="18"/>
                <w:szCs w:val="18"/>
              </w:rPr>
            </w:pPr>
            <w:r w:rsidRPr="00D01A05">
              <w:rPr>
                <w:b/>
                <w:sz w:val="18"/>
                <w:szCs w:val="24"/>
              </w:rPr>
              <w:t>389</w:t>
            </w:r>
          </w:p>
        </w:tc>
        <w:tc>
          <w:tcPr>
            <w:tcW w:w="528" w:type="dxa"/>
            <w:tcBorders>
              <w:top w:val="single" w:sz="4" w:space="0" w:color="auto"/>
            </w:tcBorders>
            <w:shd w:val="clear" w:color="auto" w:fill="auto"/>
            <w:vAlign w:val="bottom"/>
          </w:tcPr>
          <w:p w14:paraId="682816B1" w14:textId="75C05E75" w:rsidR="00A029DA" w:rsidRPr="00E06CE4" w:rsidRDefault="00A029DA" w:rsidP="00A029DA">
            <w:pPr>
              <w:spacing w:line="300" w:lineRule="exact"/>
              <w:ind w:left="57" w:right="57"/>
              <w:rPr>
                <w:b/>
                <w:sz w:val="18"/>
                <w:szCs w:val="18"/>
              </w:rPr>
            </w:pPr>
            <w:r w:rsidRPr="00D01A05">
              <w:rPr>
                <w:b/>
                <w:sz w:val="18"/>
                <w:szCs w:val="24"/>
              </w:rPr>
              <w:t>421</w:t>
            </w:r>
          </w:p>
        </w:tc>
        <w:tc>
          <w:tcPr>
            <w:tcW w:w="529" w:type="dxa"/>
            <w:tcBorders>
              <w:top w:val="single" w:sz="4" w:space="0" w:color="auto"/>
            </w:tcBorders>
            <w:shd w:val="clear" w:color="auto" w:fill="auto"/>
            <w:vAlign w:val="bottom"/>
          </w:tcPr>
          <w:p w14:paraId="64FB804E" w14:textId="6FF4A5CA" w:rsidR="00A029DA" w:rsidRPr="00E06CE4" w:rsidRDefault="00A029DA" w:rsidP="00A029DA">
            <w:pPr>
              <w:spacing w:line="300" w:lineRule="exact"/>
              <w:ind w:left="57" w:right="57"/>
              <w:rPr>
                <w:b/>
                <w:sz w:val="18"/>
                <w:szCs w:val="18"/>
              </w:rPr>
            </w:pPr>
            <w:r w:rsidRPr="00D01A05">
              <w:rPr>
                <w:b/>
                <w:sz w:val="18"/>
                <w:szCs w:val="24"/>
              </w:rPr>
              <w:t>440</w:t>
            </w:r>
          </w:p>
        </w:tc>
      </w:tr>
    </w:tbl>
    <w:p w14:paraId="11FAA949" w14:textId="77777777" w:rsidR="00C815DB" w:rsidRPr="0068209D" w:rsidRDefault="00C815DB" w:rsidP="00BE4C80">
      <w:pPr>
        <w:pStyle w:val="SingleTxtGA"/>
        <w:rPr>
          <w:sz w:val="30"/>
          <w:lang w:val="ar-SA" w:eastAsia="zh-TW" w:bidi="en-GB"/>
        </w:rPr>
      </w:pPr>
      <w:r w:rsidRPr="007D17AE">
        <w:rPr>
          <w:i/>
          <w:iCs/>
          <w:sz w:val="26"/>
          <w:szCs w:val="26"/>
          <w:rtl/>
        </w:rPr>
        <w:t>المصدر</w:t>
      </w:r>
      <w:r w:rsidRPr="00BB79C1">
        <w:t>:</w:t>
      </w:r>
      <w:r w:rsidRPr="0068209D">
        <w:rPr>
          <w:sz w:val="30"/>
          <w:rtl/>
        </w:rPr>
        <w:t xml:space="preserve"> </w:t>
      </w:r>
      <w:r w:rsidRPr="00E06CE4">
        <w:rPr>
          <w:sz w:val="18"/>
          <w:szCs w:val="18"/>
        </w:rPr>
        <w:t>Statistics Finland, Statistics on offences and coercive measures</w:t>
      </w:r>
      <w:r w:rsidRPr="0068209D">
        <w:rPr>
          <w:sz w:val="30"/>
          <w:rtl/>
        </w:rPr>
        <w:t>.</w:t>
      </w:r>
    </w:p>
    <w:p w14:paraId="583D0EC3" w14:textId="77777777" w:rsidR="00C815DB" w:rsidRPr="00C726A7" w:rsidRDefault="00C815DB" w:rsidP="00BE4C80">
      <w:pPr>
        <w:pStyle w:val="H23GA"/>
        <w:rPr>
          <w:lang w:eastAsia="zh-TW" w:bidi="en-GB"/>
        </w:rPr>
      </w:pPr>
      <w:bookmarkStart w:id="65" w:name="_Toc32364326"/>
      <w:r w:rsidRPr="0068209D">
        <w:rPr>
          <w:rtl/>
        </w:rPr>
        <w:tab/>
      </w:r>
      <w:r w:rsidRPr="0068209D">
        <w:rPr>
          <w:rtl/>
        </w:rPr>
        <w:tab/>
        <w:t>العنف ضد المرأة</w:t>
      </w:r>
      <w:bookmarkEnd w:id="65"/>
    </w:p>
    <w:p w14:paraId="396C465A" w14:textId="1B40273A" w:rsidR="00C815DB" w:rsidRPr="009F74F3" w:rsidRDefault="00C815DB" w:rsidP="00BE4C80">
      <w:pPr>
        <w:pStyle w:val="SingleTxtGA"/>
        <w:rPr>
          <w:lang w:eastAsia="zh-TW" w:bidi="en-GB"/>
        </w:rPr>
      </w:pPr>
      <w:r w:rsidRPr="005C19F0">
        <w:rPr>
          <w:szCs w:val="20"/>
          <w:rtl/>
        </w:rPr>
        <w:t>216</w:t>
      </w:r>
      <w:r w:rsidRPr="00EF3655">
        <w:rPr>
          <w:rtl/>
        </w:rPr>
        <w:t>-</w:t>
      </w:r>
      <w:r w:rsidRPr="0068209D">
        <w:rPr>
          <w:rtl/>
        </w:rPr>
        <w:tab/>
        <w:t xml:space="preserve">في عام </w:t>
      </w:r>
      <w:r w:rsidRPr="005C19F0">
        <w:rPr>
          <w:szCs w:val="20"/>
          <w:rtl/>
        </w:rPr>
        <w:t>2018</w:t>
      </w:r>
      <w:r w:rsidRPr="0068209D">
        <w:rPr>
          <w:rtl/>
        </w:rPr>
        <w:t xml:space="preserve">، وقعت </w:t>
      </w:r>
      <w:r w:rsidR="007D17AE">
        <w:rPr>
          <w:rFonts w:hint="cs"/>
          <w:szCs w:val="20"/>
          <w:rtl/>
        </w:rPr>
        <w:t>900 9</w:t>
      </w:r>
      <w:r w:rsidRPr="0068209D">
        <w:rPr>
          <w:rtl/>
        </w:rPr>
        <w:t xml:space="preserve"> امرأة ضحية للعنف العائلي/العنف في العلاقات الحميمة سجلتها الشرطة، وهو ما يزيد عن العام السابق بنسبة </w:t>
      </w:r>
      <w:r w:rsidRPr="005C19F0">
        <w:rPr>
          <w:szCs w:val="20"/>
          <w:rtl/>
        </w:rPr>
        <w:t>1</w:t>
      </w:r>
      <w:r w:rsidR="0053023E">
        <w:rPr>
          <w:rFonts w:ascii="Traditional Arabic" w:hAnsi="Traditional Arabic"/>
          <w:rtl/>
        </w:rPr>
        <w:t>,</w:t>
      </w:r>
      <w:r w:rsidRPr="005C19F0">
        <w:rPr>
          <w:szCs w:val="20"/>
          <w:rtl/>
        </w:rPr>
        <w:t>4</w:t>
      </w:r>
      <w:r w:rsidRPr="0068209D">
        <w:rPr>
          <w:rtl/>
        </w:rPr>
        <w:t xml:space="preserve"> في المائة. وبلغت نسبة النساء بين ضحايا العنف العائلي وعنف العشير من البالغين </w:t>
      </w:r>
      <w:r w:rsidRPr="005C19F0">
        <w:rPr>
          <w:szCs w:val="20"/>
          <w:rtl/>
        </w:rPr>
        <w:t>76</w:t>
      </w:r>
      <w:r w:rsidR="0053023E">
        <w:rPr>
          <w:rFonts w:ascii="Traditional Arabic" w:hAnsi="Traditional Arabic"/>
          <w:rtl/>
        </w:rPr>
        <w:t>,</w:t>
      </w:r>
      <w:r w:rsidRPr="005C19F0">
        <w:rPr>
          <w:szCs w:val="20"/>
          <w:rtl/>
        </w:rPr>
        <w:t>5</w:t>
      </w:r>
      <w:r w:rsidRPr="0068209D">
        <w:rPr>
          <w:rtl/>
        </w:rPr>
        <w:t xml:space="preserve"> في المائة. وفي الجملة، كان </w:t>
      </w:r>
      <w:r w:rsidRPr="005C19F0">
        <w:rPr>
          <w:szCs w:val="20"/>
          <w:rtl/>
        </w:rPr>
        <w:t>77</w:t>
      </w:r>
      <w:r w:rsidR="0053023E">
        <w:rPr>
          <w:rFonts w:ascii="Traditional Arabic" w:hAnsi="Traditional Arabic"/>
          <w:rtl/>
        </w:rPr>
        <w:t>,</w:t>
      </w:r>
      <w:r w:rsidRPr="005C19F0">
        <w:rPr>
          <w:szCs w:val="20"/>
          <w:rtl/>
        </w:rPr>
        <w:t>6</w:t>
      </w:r>
      <w:r w:rsidRPr="0068209D">
        <w:rPr>
          <w:rtl/>
        </w:rPr>
        <w:t xml:space="preserve"> في المائة من المشتبه فيهم رجال. وبلغت نسبة العنف بين المتزوجين أو المتعاشرين </w:t>
      </w:r>
      <w:r w:rsidRPr="005C19F0">
        <w:rPr>
          <w:szCs w:val="20"/>
          <w:rtl/>
        </w:rPr>
        <w:t>37</w:t>
      </w:r>
      <w:r w:rsidR="0053023E">
        <w:rPr>
          <w:rFonts w:ascii="Traditional Arabic" w:hAnsi="Traditional Arabic"/>
          <w:rtl/>
        </w:rPr>
        <w:t>,</w:t>
      </w:r>
      <w:r w:rsidRPr="005C19F0">
        <w:rPr>
          <w:szCs w:val="20"/>
          <w:rtl/>
        </w:rPr>
        <w:t>5</w:t>
      </w:r>
      <w:r w:rsidRPr="0068209D">
        <w:rPr>
          <w:rtl/>
        </w:rPr>
        <w:t xml:space="preserve"> في المائة من العنف العائلي والعنف في العلاقات الحميمة. وفي حالات العنف بين المتزوجين أو المتعاشرين أو الأزواج السابقين، كانت الضحية أنثى في أكثر من </w:t>
      </w:r>
      <w:r w:rsidRPr="005C19F0">
        <w:rPr>
          <w:szCs w:val="20"/>
          <w:rtl/>
        </w:rPr>
        <w:t>80</w:t>
      </w:r>
      <w:r w:rsidRPr="0068209D">
        <w:rPr>
          <w:rtl/>
        </w:rPr>
        <w:t xml:space="preserve"> في المائة من الحالات.</w:t>
      </w:r>
    </w:p>
    <w:p w14:paraId="09D3B9AC" w14:textId="4425D11A" w:rsidR="00C815DB" w:rsidRPr="00231442" w:rsidRDefault="00C815DB" w:rsidP="00BE4C80">
      <w:pPr>
        <w:pStyle w:val="SingleTxtGA"/>
        <w:rPr>
          <w:lang w:eastAsia="zh-TW" w:bidi="en-GB"/>
        </w:rPr>
      </w:pPr>
      <w:r w:rsidRPr="005C19F0">
        <w:rPr>
          <w:szCs w:val="20"/>
          <w:rtl/>
        </w:rPr>
        <w:t>217</w:t>
      </w:r>
      <w:r w:rsidRPr="00EF3655">
        <w:rPr>
          <w:rtl/>
        </w:rPr>
        <w:t>-</w:t>
      </w:r>
      <w:r w:rsidRPr="0068209D">
        <w:rPr>
          <w:rtl/>
        </w:rPr>
        <w:tab/>
        <w:t xml:space="preserve">وفي الفترة </w:t>
      </w:r>
      <w:r w:rsidRPr="005C19F0">
        <w:rPr>
          <w:szCs w:val="20"/>
          <w:rtl/>
        </w:rPr>
        <w:t>2009</w:t>
      </w:r>
      <w:r w:rsidRPr="00EF3655">
        <w:rPr>
          <w:rtl/>
        </w:rPr>
        <w:t>-</w:t>
      </w:r>
      <w:r w:rsidRPr="005C19F0">
        <w:rPr>
          <w:szCs w:val="20"/>
          <w:rtl/>
        </w:rPr>
        <w:t>2018</w:t>
      </w:r>
      <w:r w:rsidRPr="0068209D">
        <w:rPr>
          <w:rtl/>
        </w:rPr>
        <w:t xml:space="preserve">، من بين </w:t>
      </w:r>
      <w:r w:rsidR="00811A93">
        <w:rPr>
          <w:rFonts w:hint="cs"/>
          <w:szCs w:val="20"/>
          <w:rtl/>
        </w:rPr>
        <w:t>000 60</w:t>
      </w:r>
      <w:r w:rsidRPr="0068209D">
        <w:rPr>
          <w:rtl/>
        </w:rPr>
        <w:t xml:space="preserve"> ضحية للعنف العائلي والعنف في العلاقات الحميمة، </w:t>
      </w:r>
      <w:r>
        <w:rPr>
          <w:rtl/>
        </w:rPr>
        <w:t>وُج</w:t>
      </w:r>
      <w:r w:rsidRPr="0068209D">
        <w:rPr>
          <w:rtl/>
        </w:rPr>
        <w:t>د</w:t>
      </w:r>
      <w:r>
        <w:rPr>
          <w:rtl/>
        </w:rPr>
        <w:t xml:space="preserve"> أن</w:t>
      </w:r>
      <w:r w:rsidRPr="0068209D">
        <w:rPr>
          <w:rtl/>
        </w:rPr>
        <w:t xml:space="preserve"> </w:t>
      </w:r>
      <w:r w:rsidR="00811A93">
        <w:rPr>
          <w:rFonts w:hint="cs"/>
          <w:szCs w:val="20"/>
          <w:rtl/>
        </w:rPr>
        <w:t>200 8</w:t>
      </w:r>
      <w:r w:rsidRPr="0068209D">
        <w:rPr>
          <w:rtl/>
        </w:rPr>
        <w:t xml:space="preserve"> شخص </w:t>
      </w:r>
      <w:r>
        <w:rPr>
          <w:rtl/>
        </w:rPr>
        <w:t xml:space="preserve">وقعوا </w:t>
      </w:r>
      <w:r w:rsidRPr="0068209D">
        <w:rPr>
          <w:rtl/>
        </w:rPr>
        <w:t xml:space="preserve">ضحايا </w:t>
      </w:r>
      <w:r>
        <w:rPr>
          <w:rtl/>
        </w:rPr>
        <w:t xml:space="preserve">العنف </w:t>
      </w:r>
      <w:r w:rsidRPr="0068209D">
        <w:rPr>
          <w:rtl/>
        </w:rPr>
        <w:t>مرتين على الأقل خلال سنوات مختلفة و</w:t>
      </w:r>
      <w:r>
        <w:rPr>
          <w:rtl/>
        </w:rPr>
        <w:t>أن</w:t>
      </w:r>
      <w:r w:rsidR="00811A93">
        <w:rPr>
          <w:rFonts w:hint="cs"/>
          <w:rtl/>
        </w:rPr>
        <w:t> </w:t>
      </w:r>
      <w:r w:rsidR="00811A93">
        <w:rPr>
          <w:rFonts w:hint="cs"/>
          <w:szCs w:val="20"/>
          <w:rtl/>
        </w:rPr>
        <w:t>000 2</w:t>
      </w:r>
      <w:r w:rsidRPr="0068209D">
        <w:rPr>
          <w:rtl/>
        </w:rPr>
        <w:t xml:space="preserve"> شخص </w:t>
      </w:r>
      <w:r>
        <w:rPr>
          <w:rtl/>
        </w:rPr>
        <w:t xml:space="preserve">وقعوا </w:t>
      </w:r>
      <w:r w:rsidRPr="0068209D">
        <w:rPr>
          <w:rtl/>
        </w:rPr>
        <w:t>ضحايا</w:t>
      </w:r>
      <w:r>
        <w:rPr>
          <w:rtl/>
        </w:rPr>
        <w:t xml:space="preserve"> العنف</w:t>
      </w:r>
      <w:r w:rsidRPr="0068209D">
        <w:rPr>
          <w:rtl/>
        </w:rPr>
        <w:t xml:space="preserve"> في ثلاث سنوات مختلفة على الأقل. ومن بين الضحايا المتكررين الذين تُعُرّف عليهم خلال سنتين مختلفتين على الأقل، كانت نسبة الإناث </w:t>
      </w:r>
      <w:r w:rsidRPr="005C19F0">
        <w:rPr>
          <w:szCs w:val="20"/>
          <w:rtl/>
        </w:rPr>
        <w:t>83</w:t>
      </w:r>
      <w:r w:rsidRPr="0068209D">
        <w:rPr>
          <w:rtl/>
        </w:rPr>
        <w:t xml:space="preserve"> في المائة. ومن بين الضحايا المتكررين الذين تُعُرّف عليهم ثلاث مرات </w:t>
      </w:r>
      <w:r w:rsidRPr="00794E95">
        <w:rPr>
          <w:rtl/>
        </w:rPr>
        <w:t>(</w:t>
      </w:r>
      <w:r w:rsidRPr="0068209D">
        <w:rPr>
          <w:rtl/>
        </w:rPr>
        <w:t>أو أكثر</w:t>
      </w:r>
      <w:r w:rsidRPr="00794E95">
        <w:rPr>
          <w:rtl/>
        </w:rPr>
        <w:t>)</w:t>
      </w:r>
      <w:r w:rsidRPr="0068209D">
        <w:rPr>
          <w:rtl/>
        </w:rPr>
        <w:t xml:space="preserve"> على الأقل خلال سنوات مختلفة، كانت نسبة الإناث </w:t>
      </w:r>
      <w:r w:rsidRPr="005C19F0">
        <w:rPr>
          <w:szCs w:val="20"/>
          <w:rtl/>
        </w:rPr>
        <w:t>89</w:t>
      </w:r>
      <w:r w:rsidRPr="0068209D">
        <w:rPr>
          <w:rtl/>
        </w:rPr>
        <w:t xml:space="preserve"> في المائة.</w:t>
      </w:r>
    </w:p>
    <w:p w14:paraId="1A86C032" w14:textId="77777777" w:rsidR="00C815DB" w:rsidRPr="00231442" w:rsidRDefault="00C815DB" w:rsidP="00BE4C80">
      <w:pPr>
        <w:pStyle w:val="SingleTxtGA"/>
        <w:rPr>
          <w:lang w:eastAsia="zh-TW" w:bidi="en-GB"/>
        </w:rPr>
      </w:pPr>
      <w:r w:rsidRPr="005C19F0">
        <w:rPr>
          <w:szCs w:val="20"/>
          <w:rtl/>
        </w:rPr>
        <w:lastRenderedPageBreak/>
        <w:t>218</w:t>
      </w:r>
      <w:r w:rsidRPr="00EF3655">
        <w:rPr>
          <w:rtl/>
        </w:rPr>
        <w:t>-</w:t>
      </w:r>
      <w:r w:rsidRPr="0068209D">
        <w:rPr>
          <w:rtl/>
        </w:rPr>
        <w:tab/>
      </w:r>
      <w:r>
        <w:rPr>
          <w:rtl/>
        </w:rPr>
        <w:t xml:space="preserve">وعلاوة على ذلك، </w:t>
      </w:r>
      <w:r w:rsidRPr="0068209D">
        <w:rPr>
          <w:rtl/>
        </w:rPr>
        <w:t xml:space="preserve">ورغم انخفاض أعداد أنواع جرائم القتل الأخرى باطراد على مدى العقود الماضية، فإن معدل قتل الإناث لا يزال مرتفعا. وفي عام </w:t>
      </w:r>
      <w:r w:rsidRPr="005C19F0">
        <w:rPr>
          <w:szCs w:val="20"/>
          <w:rtl/>
        </w:rPr>
        <w:t>2018</w:t>
      </w:r>
      <w:r w:rsidRPr="0068209D">
        <w:rPr>
          <w:rtl/>
        </w:rPr>
        <w:t xml:space="preserve">، قُتلت </w:t>
      </w:r>
      <w:r w:rsidRPr="005C19F0">
        <w:rPr>
          <w:szCs w:val="20"/>
          <w:rtl/>
        </w:rPr>
        <w:t>16</w:t>
      </w:r>
      <w:r w:rsidRPr="0068209D">
        <w:rPr>
          <w:rtl/>
        </w:rPr>
        <w:t xml:space="preserve"> امرأة على يد شركائهن الحاليين/السابقين. وهكذا فإن معدل قتل الإناث هو من أعلى المعدلات في أوروبا، </w:t>
      </w:r>
      <w:r>
        <w:rPr>
          <w:rtl/>
        </w:rPr>
        <w:t>مقارنةً</w:t>
      </w:r>
      <w:r w:rsidRPr="0068209D">
        <w:rPr>
          <w:rtl/>
        </w:rPr>
        <w:t xml:space="preserve"> </w:t>
      </w:r>
      <w:r>
        <w:rPr>
          <w:rtl/>
        </w:rPr>
        <w:t>ب</w:t>
      </w:r>
      <w:r w:rsidRPr="0068209D">
        <w:rPr>
          <w:rtl/>
        </w:rPr>
        <w:t>عدد السكان.</w:t>
      </w:r>
    </w:p>
    <w:p w14:paraId="3E88074B" w14:textId="7FFE5391" w:rsidR="00C815DB" w:rsidRPr="00C726A7" w:rsidRDefault="00C815DB" w:rsidP="00BE4C80">
      <w:pPr>
        <w:pStyle w:val="SingleTxtGA"/>
        <w:rPr>
          <w:lang w:eastAsia="zh-TW" w:bidi="en-GB"/>
        </w:rPr>
      </w:pPr>
      <w:r w:rsidRPr="005C19F0">
        <w:rPr>
          <w:szCs w:val="20"/>
          <w:rtl/>
        </w:rPr>
        <w:t>219</w:t>
      </w:r>
      <w:r w:rsidRPr="00EF3655">
        <w:rPr>
          <w:rtl/>
        </w:rPr>
        <w:t>-</w:t>
      </w:r>
      <w:r w:rsidRPr="0068209D">
        <w:rPr>
          <w:rtl/>
        </w:rPr>
        <w:tab/>
        <w:t>وجاء في دراسة استقصائية عن العنف ضد المرأة على مستوى الاتحاد الأوروبي</w:t>
      </w:r>
      <w:r>
        <w:rPr>
          <w:rtl/>
        </w:rPr>
        <w:t>،</w:t>
      </w:r>
      <w:r w:rsidRPr="0068209D">
        <w:rPr>
          <w:rtl/>
        </w:rPr>
        <w:t xml:space="preserve"> أجرتها وكالة الاتحاد الأوروبي للحقوق الأساسية في عام </w:t>
      </w:r>
      <w:r w:rsidRPr="005C19F0">
        <w:rPr>
          <w:szCs w:val="20"/>
          <w:rtl/>
        </w:rPr>
        <w:t>2015</w:t>
      </w:r>
      <w:r w:rsidRPr="0068209D">
        <w:rPr>
          <w:rtl/>
        </w:rPr>
        <w:t xml:space="preserve">، أن النساء اللواتي تتجاوز أعمارهن </w:t>
      </w:r>
      <w:r w:rsidRPr="005C19F0">
        <w:rPr>
          <w:szCs w:val="20"/>
          <w:rtl/>
        </w:rPr>
        <w:t>15</w:t>
      </w:r>
      <w:r w:rsidRPr="0068209D">
        <w:rPr>
          <w:rtl/>
        </w:rPr>
        <w:t xml:space="preserve"> </w:t>
      </w:r>
      <w:r w:rsidR="00C74C59">
        <w:rPr>
          <w:rtl/>
        </w:rPr>
        <w:t>عاماً</w:t>
      </w:r>
      <w:r w:rsidRPr="0068209D">
        <w:rPr>
          <w:rtl/>
        </w:rPr>
        <w:t xml:space="preserve"> تعرضن لعنف العشير</w:t>
      </w:r>
      <w:r>
        <w:rPr>
          <w:rtl/>
        </w:rPr>
        <w:t xml:space="preserve"> </w:t>
      </w:r>
      <w:r w:rsidRPr="0068209D">
        <w:rPr>
          <w:rtl/>
        </w:rPr>
        <w:t>في فنلندا،</w:t>
      </w:r>
      <w:r w:rsidR="00507B18">
        <w:rPr>
          <w:rtl/>
        </w:rPr>
        <w:t xml:space="preserve"> </w:t>
      </w:r>
      <w:r>
        <w:rPr>
          <w:rtl/>
        </w:rPr>
        <w:t xml:space="preserve">التي احتلت </w:t>
      </w:r>
      <w:r w:rsidRPr="0068209D">
        <w:rPr>
          <w:rtl/>
        </w:rPr>
        <w:t>بذلك المرتبة الثانية في بلدان الاتحاد الأوروبي. ومن بين النساء اللائي يعشن</w:t>
      </w:r>
      <w:r w:rsidR="00507B18">
        <w:rPr>
          <w:rtl/>
        </w:rPr>
        <w:t xml:space="preserve"> </w:t>
      </w:r>
      <w:r>
        <w:rPr>
          <w:rtl/>
        </w:rPr>
        <w:t>علاقة عاطفية</w:t>
      </w:r>
      <w:r w:rsidRPr="0068209D">
        <w:rPr>
          <w:rtl/>
        </w:rPr>
        <w:t>، تعر</w:t>
      </w:r>
      <w:r>
        <w:rPr>
          <w:rtl/>
        </w:rPr>
        <w:t>ّ</w:t>
      </w:r>
      <w:r w:rsidRPr="0068209D">
        <w:rPr>
          <w:rtl/>
        </w:rPr>
        <w:t xml:space="preserve">ض ما يقرب من ثلثهن للعنف </w:t>
      </w:r>
      <w:r>
        <w:rPr>
          <w:rtl/>
        </w:rPr>
        <w:t>على يد</w:t>
      </w:r>
      <w:r w:rsidRPr="0068209D">
        <w:rPr>
          <w:rtl/>
        </w:rPr>
        <w:t xml:space="preserve"> شركائهن الحاليين أو السابقين. وتتعرض المرأة للعنف في أغلب الأحيان في العلاقات المنزلية أو </w:t>
      </w:r>
      <w:r>
        <w:rPr>
          <w:rtl/>
        </w:rPr>
        <w:t>أثناء أداء</w:t>
      </w:r>
      <w:r w:rsidRPr="0068209D">
        <w:rPr>
          <w:rtl/>
        </w:rPr>
        <w:t xml:space="preserve"> المهام المهنية.</w:t>
      </w:r>
    </w:p>
    <w:p w14:paraId="038CACE1" w14:textId="6647CEB8" w:rsidR="00C815DB" w:rsidRPr="0068209D" w:rsidRDefault="00C815DB" w:rsidP="00BE4C80">
      <w:pPr>
        <w:pStyle w:val="SingleTxtGA"/>
        <w:rPr>
          <w:lang w:val="ar-SA" w:eastAsia="zh-TW" w:bidi="en-GB"/>
        </w:rPr>
      </w:pPr>
      <w:r w:rsidRPr="005C19F0">
        <w:rPr>
          <w:szCs w:val="20"/>
          <w:rtl/>
        </w:rPr>
        <w:t>220</w:t>
      </w:r>
      <w:r w:rsidRPr="00EF3655">
        <w:rPr>
          <w:rtl/>
        </w:rPr>
        <w:t>-</w:t>
      </w:r>
      <w:r w:rsidRPr="0068209D">
        <w:rPr>
          <w:rtl/>
        </w:rPr>
        <w:tab/>
        <w:t>وأصبحت فنل</w:t>
      </w:r>
      <w:r>
        <w:rPr>
          <w:rtl/>
        </w:rPr>
        <w:t>ن</w:t>
      </w:r>
      <w:r w:rsidRPr="0068209D">
        <w:rPr>
          <w:rtl/>
        </w:rPr>
        <w:t>دا طرفا</w:t>
      </w:r>
      <w:r w:rsidR="00853B96">
        <w:rPr>
          <w:rFonts w:hint="cs"/>
          <w:rtl/>
        </w:rPr>
        <w:t>ً</w:t>
      </w:r>
      <w:r w:rsidRPr="0068209D">
        <w:rPr>
          <w:rtl/>
        </w:rPr>
        <w:t xml:space="preserve"> في اتفاقية مجلس أوروبا للوقاية من العنف ضد النساء والعنف المنزلي ومكافحتهما في آب/أغسطس </w:t>
      </w:r>
      <w:r w:rsidRPr="005C19F0">
        <w:rPr>
          <w:szCs w:val="20"/>
          <w:rtl/>
        </w:rPr>
        <w:t>2015</w:t>
      </w:r>
      <w:r w:rsidRPr="0068209D">
        <w:rPr>
          <w:rFonts w:ascii="Traditional Arabic"/>
          <w:rtl/>
        </w:rPr>
        <w:t>.</w:t>
      </w:r>
      <w:r w:rsidRPr="0068209D">
        <w:rPr>
          <w:rtl/>
        </w:rPr>
        <w:t xml:space="preserve"> وأنشئت هيئة تنسيق مشار إليها في الاتفاقية، وهي لجنة مكافحة العنف ضد المرأة والعنف العائلي، بموجب مرسوم</w:t>
      </w:r>
      <w:r>
        <w:rPr>
          <w:rtl/>
        </w:rPr>
        <w:t xml:space="preserve"> حكومي </w:t>
      </w:r>
      <w:r w:rsidRPr="00794E95">
        <w:rPr>
          <w:rtl/>
        </w:rPr>
        <w:t>(</w:t>
      </w:r>
      <w:r w:rsidRPr="005C19F0">
        <w:rPr>
          <w:szCs w:val="20"/>
          <w:rtl/>
        </w:rPr>
        <w:t>1008</w:t>
      </w:r>
      <w:r>
        <w:rPr>
          <w:rtl/>
        </w:rPr>
        <w:t>/</w:t>
      </w:r>
      <w:r w:rsidRPr="005C19F0">
        <w:rPr>
          <w:szCs w:val="20"/>
          <w:rtl/>
        </w:rPr>
        <w:t>2016</w:t>
      </w:r>
      <w:r w:rsidRPr="00794E95">
        <w:rPr>
          <w:rtl/>
        </w:rPr>
        <w:t>)</w:t>
      </w:r>
      <w:r w:rsidRPr="0068209D">
        <w:rPr>
          <w:rtl/>
        </w:rPr>
        <w:t>. ويعيَّن أعضاء اللجنة لمدة أربع سنوات. وتتألف هيئة التنسيق من ممثلين عن وزارات شتى، منها وزارة الخارجية، ووزارة العدل، ووزارة الداخلية، ووزارة الشؤون الاجتماعية والصحة، ووزارة العمل والاقتصاد، ووزارة التعليم والثقافة، ووزارة المالية، إضافة إلى ممثلين عن بعض الوكالات الحكومية و</w:t>
      </w:r>
      <w:r>
        <w:rPr>
          <w:rtl/>
        </w:rPr>
        <w:t>وكالات الدولة</w:t>
      </w:r>
      <w:r w:rsidRPr="0068209D">
        <w:rPr>
          <w:rtl/>
        </w:rPr>
        <w:t xml:space="preserve">. وينص المرسوم على مهام اللجنة. وتشمل، في جملة أمور، صياغة خطة عمل وطنية لتنفيذ الاتفاقية. واعتُمدت خطة العمل الأولى التي تغطي السنوات من </w:t>
      </w:r>
      <w:r w:rsidRPr="005C19F0">
        <w:rPr>
          <w:szCs w:val="20"/>
          <w:rtl/>
        </w:rPr>
        <w:t>2018</w:t>
      </w:r>
      <w:r w:rsidRPr="0068209D">
        <w:rPr>
          <w:rtl/>
        </w:rPr>
        <w:t xml:space="preserve"> إلى </w:t>
      </w:r>
      <w:r w:rsidRPr="005C19F0">
        <w:rPr>
          <w:szCs w:val="20"/>
          <w:rtl/>
        </w:rPr>
        <w:t>2021</w:t>
      </w:r>
      <w:r w:rsidRPr="0068209D">
        <w:rPr>
          <w:rtl/>
        </w:rPr>
        <w:t xml:space="preserve"> في عام </w:t>
      </w:r>
      <w:r w:rsidRPr="005C19F0">
        <w:rPr>
          <w:szCs w:val="20"/>
          <w:rtl/>
        </w:rPr>
        <w:t>2017</w:t>
      </w:r>
      <w:r w:rsidRPr="0068209D">
        <w:rPr>
          <w:rtl/>
        </w:rPr>
        <w:t>.</w:t>
      </w:r>
    </w:p>
    <w:p w14:paraId="46D0E50A" w14:textId="77777777" w:rsidR="00C815DB" w:rsidRPr="00C726A7" w:rsidRDefault="00C815DB" w:rsidP="00BE4C80">
      <w:pPr>
        <w:pStyle w:val="H23GA"/>
        <w:rPr>
          <w:lang w:eastAsia="zh-TW" w:bidi="en-GB"/>
        </w:rPr>
      </w:pPr>
      <w:bookmarkStart w:id="66" w:name="_Toc32364327"/>
      <w:r w:rsidRPr="0068209D">
        <w:rPr>
          <w:rtl/>
        </w:rPr>
        <w:tab/>
      </w:r>
      <w:r w:rsidRPr="0068209D">
        <w:rPr>
          <w:rtl/>
        </w:rPr>
        <w:tab/>
        <w:t>الجرائم الجنسية</w:t>
      </w:r>
      <w:bookmarkEnd w:id="66"/>
    </w:p>
    <w:p w14:paraId="56EF9E67" w14:textId="45534459" w:rsidR="00C815DB" w:rsidRPr="00C37A00" w:rsidRDefault="00C815DB" w:rsidP="00BE4C80">
      <w:pPr>
        <w:pStyle w:val="SingleTxtGA"/>
        <w:rPr>
          <w:lang w:eastAsia="zh-TW" w:bidi="en-GB"/>
        </w:rPr>
      </w:pPr>
      <w:r w:rsidRPr="005C19F0">
        <w:rPr>
          <w:szCs w:val="20"/>
          <w:rtl/>
        </w:rPr>
        <w:t>221</w:t>
      </w:r>
      <w:r w:rsidRPr="00EF3655">
        <w:rPr>
          <w:rtl/>
        </w:rPr>
        <w:t>-</w:t>
      </w:r>
      <w:r w:rsidRPr="0068209D">
        <w:rPr>
          <w:rtl/>
        </w:rPr>
        <w:tab/>
        <w:t>تغيرت التشريعات الفنلندية المتعلقة بالجرائم الجنسية تغيرا</w:t>
      </w:r>
      <w:r w:rsidR="00D150CB">
        <w:rPr>
          <w:rFonts w:hint="cs"/>
          <w:rtl/>
        </w:rPr>
        <w:t>ً</w:t>
      </w:r>
      <w:r w:rsidRPr="0068209D">
        <w:rPr>
          <w:rtl/>
        </w:rPr>
        <w:t xml:space="preserve"> كبيرا</w:t>
      </w:r>
      <w:r w:rsidR="00D150CB">
        <w:rPr>
          <w:rFonts w:hint="cs"/>
          <w:rtl/>
        </w:rPr>
        <w:t>ً</w:t>
      </w:r>
      <w:r w:rsidRPr="0068209D">
        <w:rPr>
          <w:rtl/>
        </w:rPr>
        <w:t xml:space="preserve"> خلال العقود القليلة الماضية. فقد جرّم تعديل</w:t>
      </w:r>
      <w:r>
        <w:rPr>
          <w:rtl/>
        </w:rPr>
        <w:t>ٌ</w:t>
      </w:r>
      <w:r w:rsidRPr="0068209D">
        <w:rPr>
          <w:rtl/>
        </w:rPr>
        <w:t xml:space="preserve"> سُنّ في عام </w:t>
      </w:r>
      <w:r w:rsidRPr="005C19F0">
        <w:rPr>
          <w:szCs w:val="20"/>
          <w:rtl/>
        </w:rPr>
        <w:t>1994</w:t>
      </w:r>
      <w:r w:rsidRPr="0068209D">
        <w:rPr>
          <w:rtl/>
        </w:rPr>
        <w:t xml:space="preserve"> الاغتصاب الزوجي. وأُلغي شرط "الخطر الوشيك" من </w:t>
      </w:r>
      <w:r>
        <w:rPr>
          <w:rtl/>
        </w:rPr>
        <w:t>عناصر</w:t>
      </w:r>
      <w:r w:rsidRPr="0068209D">
        <w:rPr>
          <w:rtl/>
        </w:rPr>
        <w:t xml:space="preserve"> جريمة الاغتصاب في عام </w:t>
      </w:r>
      <w:r w:rsidRPr="005C19F0">
        <w:rPr>
          <w:szCs w:val="20"/>
          <w:rtl/>
        </w:rPr>
        <w:t>1999</w:t>
      </w:r>
      <w:r w:rsidRPr="0068209D">
        <w:rPr>
          <w:rtl/>
        </w:rPr>
        <w:t>؛ وفي</w:t>
      </w:r>
      <w:r>
        <w:rPr>
          <w:rtl/>
        </w:rPr>
        <w:t xml:space="preserve"> الوقت الحاضر</w:t>
      </w:r>
      <w:r w:rsidRPr="0068209D">
        <w:rPr>
          <w:rtl/>
        </w:rPr>
        <w:t xml:space="preserve">، لا يُقيَّم </w:t>
      </w:r>
      <w:r>
        <w:rPr>
          <w:rtl/>
        </w:rPr>
        <w:t xml:space="preserve">في </w:t>
      </w:r>
      <w:r w:rsidRPr="0068209D">
        <w:rPr>
          <w:rtl/>
        </w:rPr>
        <w:t xml:space="preserve">حالات الاغتصاب سوى مدى كفاية العنف المستخدم لكسر إرادة الضحية. وفي عام </w:t>
      </w:r>
      <w:r w:rsidRPr="005C19F0">
        <w:rPr>
          <w:szCs w:val="20"/>
          <w:rtl/>
        </w:rPr>
        <w:t>2011</w:t>
      </w:r>
      <w:r w:rsidRPr="0068209D">
        <w:rPr>
          <w:rtl/>
        </w:rPr>
        <w:t xml:space="preserve">، عُدِّلت الفقرة </w:t>
      </w:r>
      <w:r w:rsidRPr="005C19F0">
        <w:rPr>
          <w:szCs w:val="20"/>
          <w:rtl/>
        </w:rPr>
        <w:t>2</w:t>
      </w:r>
      <w:r w:rsidRPr="0068209D">
        <w:rPr>
          <w:rtl/>
        </w:rPr>
        <w:t xml:space="preserve"> من المادة المتعلقة بالاغتصاب في قانون العقوبات للارتقاء بمستوى الحماية الموفّرة للضحايا العزَّل. واعتُمد تعريف جديد للاغتصاب في عام </w:t>
      </w:r>
      <w:r w:rsidRPr="005C19F0">
        <w:rPr>
          <w:szCs w:val="20"/>
          <w:rtl/>
        </w:rPr>
        <w:t>2014</w:t>
      </w:r>
      <w:r w:rsidRPr="0068209D">
        <w:rPr>
          <w:rtl/>
        </w:rPr>
        <w:t>، عندما أُلغي الشكل البسيط من جريمة الاغتصاب من القانون وأصبح كل إكراه</w:t>
      </w:r>
      <w:r>
        <w:rPr>
          <w:rtl/>
        </w:rPr>
        <w:t>ِ</w:t>
      </w:r>
      <w:r w:rsidRPr="0068209D">
        <w:rPr>
          <w:rtl/>
        </w:rPr>
        <w:t xml:space="preserve"> آخر على الجماع جريمة يعاقب عليها </w:t>
      </w:r>
      <w:r>
        <w:rPr>
          <w:rtl/>
        </w:rPr>
        <w:t xml:space="preserve">باعتبارها </w:t>
      </w:r>
      <w:r w:rsidRPr="0068209D">
        <w:rPr>
          <w:rtl/>
        </w:rPr>
        <w:t>اغتصاب</w:t>
      </w:r>
      <w:r>
        <w:rPr>
          <w:rtl/>
        </w:rPr>
        <w:t>ا</w:t>
      </w:r>
      <w:r w:rsidR="00BB24A3">
        <w:rPr>
          <w:rFonts w:hint="cs"/>
          <w:rtl/>
        </w:rPr>
        <w:t>ً</w:t>
      </w:r>
      <w:r w:rsidRPr="0068209D">
        <w:rPr>
          <w:rtl/>
        </w:rPr>
        <w:t xml:space="preserve">. غير أن المادة صيغت </w:t>
      </w:r>
      <w:r>
        <w:rPr>
          <w:rtl/>
        </w:rPr>
        <w:t>صياغة</w:t>
      </w:r>
      <w:r w:rsidRPr="0068209D">
        <w:rPr>
          <w:rtl/>
        </w:rPr>
        <w:t xml:space="preserve"> تسمح بفرض عقوبة أكثر تساهلا على الجاني عند وجود ظروف مخففة. وج</w:t>
      </w:r>
      <w:r>
        <w:rPr>
          <w:rtl/>
        </w:rPr>
        <w:t>ُ</w:t>
      </w:r>
      <w:r w:rsidRPr="0068209D">
        <w:rPr>
          <w:rtl/>
        </w:rPr>
        <w:t xml:space="preserve">رّم التحرش الجنسي </w:t>
      </w:r>
      <w:r w:rsidR="00C74C59">
        <w:rPr>
          <w:rtl/>
        </w:rPr>
        <w:t>أيضاً</w:t>
      </w:r>
      <w:r w:rsidRPr="0068209D">
        <w:rPr>
          <w:rtl/>
        </w:rPr>
        <w:t xml:space="preserve"> في عام </w:t>
      </w:r>
      <w:r w:rsidRPr="005C19F0">
        <w:rPr>
          <w:szCs w:val="20"/>
          <w:rtl/>
        </w:rPr>
        <w:t>2014</w:t>
      </w:r>
      <w:r w:rsidRPr="0068209D">
        <w:rPr>
          <w:rFonts w:ascii="Traditional Arabic"/>
          <w:rtl/>
        </w:rPr>
        <w:t>.</w:t>
      </w:r>
      <w:r w:rsidRPr="0068209D">
        <w:rPr>
          <w:rtl/>
        </w:rPr>
        <w:t xml:space="preserve"> ورفع تعديل</w:t>
      </w:r>
      <w:r>
        <w:rPr>
          <w:rtl/>
        </w:rPr>
        <w:t>ٌ</w:t>
      </w:r>
      <w:r w:rsidRPr="0068209D">
        <w:rPr>
          <w:rtl/>
        </w:rPr>
        <w:t xml:space="preserve"> سُنّ في عام </w:t>
      </w:r>
      <w:r w:rsidRPr="005C19F0">
        <w:rPr>
          <w:szCs w:val="20"/>
          <w:rtl/>
        </w:rPr>
        <w:t>2019</w:t>
      </w:r>
      <w:r w:rsidRPr="0068209D">
        <w:rPr>
          <w:rtl/>
        </w:rPr>
        <w:t xml:space="preserve"> العقوبة القصوى التي يمكن فرضها على جرائم انتهاك حُرمة الأطفال الجنسية وانتهاك حُرمة الأطفال الجنسية المشد</w:t>
      </w:r>
      <w:r>
        <w:rPr>
          <w:rtl/>
        </w:rPr>
        <w:t>َّ</w:t>
      </w:r>
      <w:r w:rsidRPr="0068209D">
        <w:rPr>
          <w:rtl/>
        </w:rPr>
        <w:t>د. وأضيف</w:t>
      </w:r>
      <w:r>
        <w:rPr>
          <w:rtl/>
        </w:rPr>
        <w:t>ت</w:t>
      </w:r>
      <w:r w:rsidRPr="0068209D">
        <w:rPr>
          <w:rtl/>
        </w:rPr>
        <w:t xml:space="preserve"> إلى القانون الجريمة</w:t>
      </w:r>
      <w:r>
        <w:rPr>
          <w:rtl/>
        </w:rPr>
        <w:t>ُ</w:t>
      </w:r>
      <w:r w:rsidRPr="0068209D">
        <w:rPr>
          <w:rtl/>
        </w:rPr>
        <w:t xml:space="preserve"> الجديدة المتمثلة في "اغتصاب الطفل المشدد" لتشمل الأفعال التي كان يُعاق</w:t>
      </w:r>
      <w:r>
        <w:rPr>
          <w:rtl/>
        </w:rPr>
        <w:t>َ</w:t>
      </w:r>
      <w:r w:rsidRPr="0068209D">
        <w:rPr>
          <w:rtl/>
        </w:rPr>
        <w:t>ب عليها سابقاً بوصفها اغتصاباً مشدداً وانتهاكاً جنسياً مشدداً لحرمة طفل.</w:t>
      </w:r>
    </w:p>
    <w:p w14:paraId="419CB33A" w14:textId="77777777" w:rsidR="00C815DB" w:rsidRPr="009F74F3" w:rsidRDefault="00C815DB" w:rsidP="00BE4C80">
      <w:pPr>
        <w:pStyle w:val="SingleTxtGA"/>
        <w:rPr>
          <w:lang w:eastAsia="zh-TW" w:bidi="en-GB"/>
        </w:rPr>
      </w:pPr>
      <w:r w:rsidRPr="005C19F0">
        <w:rPr>
          <w:szCs w:val="20"/>
          <w:rtl/>
        </w:rPr>
        <w:t>222</w:t>
      </w:r>
      <w:r w:rsidRPr="00EF3655">
        <w:rPr>
          <w:rtl/>
        </w:rPr>
        <w:t>-</w:t>
      </w:r>
      <w:r w:rsidRPr="0068209D">
        <w:rPr>
          <w:rtl/>
        </w:rPr>
        <w:tab/>
        <w:t xml:space="preserve">وفي ربيع عام </w:t>
      </w:r>
      <w:r w:rsidRPr="005C19F0">
        <w:rPr>
          <w:szCs w:val="20"/>
          <w:rtl/>
        </w:rPr>
        <w:t>2019</w:t>
      </w:r>
      <w:r w:rsidRPr="0068209D">
        <w:rPr>
          <w:rtl/>
        </w:rPr>
        <w:t>، عي</w:t>
      </w:r>
      <w:r>
        <w:rPr>
          <w:rtl/>
        </w:rPr>
        <w:t>ّ</w:t>
      </w:r>
      <w:r w:rsidRPr="0068209D">
        <w:rPr>
          <w:rtl/>
        </w:rPr>
        <w:t>نت وزارة العدل فريقاً عاملاً ل</w:t>
      </w:r>
      <w:r>
        <w:rPr>
          <w:rtl/>
        </w:rPr>
        <w:t xml:space="preserve">كي يعدّ </w:t>
      </w:r>
      <w:r w:rsidRPr="0068209D">
        <w:rPr>
          <w:rtl/>
        </w:rPr>
        <w:t xml:space="preserve">إصلاح أحكام قانون العقوبات بشأن الجرائم الجنسية. ويهدف الإصلاح إلى مواءمة التشريعات وتحديثها. والجوانب قيد النظر هي تعزيز </w:t>
      </w:r>
      <w:r>
        <w:rPr>
          <w:rtl/>
        </w:rPr>
        <w:t>مكانة</w:t>
      </w:r>
      <w:r w:rsidRPr="0068209D">
        <w:rPr>
          <w:rtl/>
        </w:rPr>
        <w:t xml:space="preserve"> الرضا </w:t>
      </w:r>
      <w:r>
        <w:rPr>
          <w:rtl/>
        </w:rPr>
        <w:t>ب</w:t>
      </w:r>
      <w:r w:rsidRPr="0068209D">
        <w:rPr>
          <w:rtl/>
        </w:rPr>
        <w:t>ي</w:t>
      </w:r>
      <w:r>
        <w:rPr>
          <w:rtl/>
        </w:rPr>
        <w:t>ن</w:t>
      </w:r>
      <w:r w:rsidRPr="0068209D">
        <w:rPr>
          <w:rtl/>
        </w:rPr>
        <w:t xml:space="preserve"> </w:t>
      </w:r>
      <w:r>
        <w:rPr>
          <w:rtl/>
        </w:rPr>
        <w:t>عناصر</w:t>
      </w:r>
      <w:r w:rsidRPr="0068209D">
        <w:rPr>
          <w:rtl/>
        </w:rPr>
        <w:t xml:space="preserve"> جريمة الاغتصاب، وجعل الجماع مع الأطفال وال</w:t>
      </w:r>
      <w:r>
        <w:rPr>
          <w:rtl/>
        </w:rPr>
        <w:t xml:space="preserve">يافعين </w:t>
      </w:r>
      <w:r w:rsidRPr="0068209D">
        <w:rPr>
          <w:rtl/>
        </w:rPr>
        <w:t xml:space="preserve">جريمة يعاقب عليها بوصفها اغتصابا. وسيقيِّم الفريق العامل أيضاً الحاجة إلى أي إصلاح إضافي للأحكام المتعلقة بالجرائم الجنسية. ومن المقرر أن يكتمل تقرير الفريق العامل في ربيع عام </w:t>
      </w:r>
      <w:r w:rsidRPr="005C19F0">
        <w:rPr>
          <w:szCs w:val="20"/>
          <w:rtl/>
        </w:rPr>
        <w:t>2020</w:t>
      </w:r>
      <w:r w:rsidRPr="0068209D">
        <w:rPr>
          <w:rtl/>
        </w:rPr>
        <w:t>.</w:t>
      </w:r>
    </w:p>
    <w:p w14:paraId="3394A1CC" w14:textId="54B7E04A" w:rsidR="00C815DB" w:rsidRPr="00187106" w:rsidRDefault="00C815DB" w:rsidP="00BE4C80">
      <w:pPr>
        <w:pStyle w:val="SingleTxtGA"/>
        <w:rPr>
          <w:lang w:eastAsia="zh-TW" w:bidi="en-GB"/>
        </w:rPr>
      </w:pPr>
      <w:r w:rsidRPr="005C19F0">
        <w:rPr>
          <w:szCs w:val="20"/>
          <w:rtl/>
        </w:rPr>
        <w:t>223</w:t>
      </w:r>
      <w:r w:rsidRPr="00EF3655">
        <w:rPr>
          <w:rtl/>
        </w:rPr>
        <w:t>-</w:t>
      </w:r>
      <w:r w:rsidRPr="0068209D">
        <w:rPr>
          <w:rtl/>
        </w:rPr>
        <w:tab/>
        <w:t xml:space="preserve">وفي حين أن معظم الجرائم الجنسية لا </w:t>
      </w:r>
      <w:r>
        <w:rPr>
          <w:rtl/>
        </w:rPr>
        <w:t>ي</w:t>
      </w:r>
      <w:r w:rsidRPr="0068209D">
        <w:rPr>
          <w:rtl/>
        </w:rPr>
        <w:t xml:space="preserve">ُبلَّغ قط إلى الشرطة، فإن عدد حالات الاغتصاب المشتبه فيها التي أُبلغت بها الشرطة قد زاد في العقد الأول من الألفية الجديدة. ففي عام </w:t>
      </w:r>
      <w:r w:rsidRPr="005C19F0">
        <w:rPr>
          <w:szCs w:val="20"/>
          <w:rtl/>
        </w:rPr>
        <w:t>2017</w:t>
      </w:r>
      <w:r w:rsidRPr="0068209D">
        <w:rPr>
          <w:rtl/>
        </w:rPr>
        <w:t xml:space="preserve">، </w:t>
      </w:r>
      <w:r w:rsidRPr="0068209D">
        <w:rPr>
          <w:rtl/>
        </w:rPr>
        <w:lastRenderedPageBreak/>
        <w:t xml:space="preserve">سجلت الشرطة </w:t>
      </w:r>
      <w:r w:rsidR="00BB24A3">
        <w:rPr>
          <w:rFonts w:hint="cs"/>
          <w:szCs w:val="20"/>
          <w:rtl/>
        </w:rPr>
        <w:t>245 1</w:t>
      </w:r>
      <w:r w:rsidRPr="0068209D">
        <w:rPr>
          <w:rtl/>
        </w:rPr>
        <w:t xml:space="preserve"> بلاغ اغتصاب، أي زيادة بنحو </w:t>
      </w:r>
      <w:r w:rsidRPr="005C19F0">
        <w:rPr>
          <w:szCs w:val="20"/>
          <w:rtl/>
        </w:rPr>
        <w:t>25</w:t>
      </w:r>
      <w:r w:rsidR="002B5B92">
        <w:rPr>
          <w:rFonts w:ascii="Traditional Arabic"/>
          <w:sz w:val="28"/>
          <w:rtl/>
        </w:rPr>
        <w:t xml:space="preserve"> في المائة</w:t>
      </w:r>
      <w:r w:rsidRPr="0068209D">
        <w:rPr>
          <w:rtl/>
        </w:rPr>
        <w:t xml:space="preserve"> على مدى عقد من الزمن. وفي قضايا الاغتصاب التي يحاكَم بشأنها، يعرف المجرم والضحية أحدهما الآخر</w:t>
      </w:r>
      <w:r>
        <w:rPr>
          <w:rtl/>
        </w:rPr>
        <w:t xml:space="preserve"> في العادة</w:t>
      </w:r>
      <w:r w:rsidRPr="0068209D">
        <w:rPr>
          <w:rtl/>
        </w:rPr>
        <w:t>. وس</w:t>
      </w:r>
      <w:r>
        <w:rPr>
          <w:rtl/>
        </w:rPr>
        <w:t>ُ</w:t>
      </w:r>
      <w:r w:rsidRPr="0068209D">
        <w:rPr>
          <w:rtl/>
        </w:rPr>
        <w:t>دس</w:t>
      </w:r>
      <w:r w:rsidR="00507B18">
        <w:rPr>
          <w:rtl/>
        </w:rPr>
        <w:t xml:space="preserve"> </w:t>
      </w:r>
      <w:r>
        <w:rPr>
          <w:rtl/>
        </w:rPr>
        <w:t>الحالات التي تمت الملاحقة بِشأنها فقط ت</w:t>
      </w:r>
      <w:r w:rsidRPr="0068209D">
        <w:rPr>
          <w:rtl/>
        </w:rPr>
        <w:t>تعلق بمجرم مجهول، في حين كان الجاني والضحية متزوجين أو في علاقة أخرى في ثلث الحالات. وفي جميع حالات الاغتصاب تقري</w:t>
      </w:r>
      <w:r w:rsidR="00853B96">
        <w:rPr>
          <w:rtl/>
        </w:rPr>
        <w:t xml:space="preserve">باً </w:t>
      </w:r>
      <w:r w:rsidRPr="0068209D">
        <w:rPr>
          <w:rtl/>
        </w:rPr>
        <w:t xml:space="preserve">التي أُبلغت بها الشرطة، كان الضحايا من النساء والجناة من الرجال. وفي عام </w:t>
      </w:r>
      <w:r w:rsidRPr="005C19F0">
        <w:rPr>
          <w:szCs w:val="20"/>
          <w:rtl/>
        </w:rPr>
        <w:t>2017</w:t>
      </w:r>
      <w:r w:rsidRPr="0068209D">
        <w:rPr>
          <w:rtl/>
        </w:rPr>
        <w:t xml:space="preserve">، كان حوالي نصف الضحايا دون سن العشرين. وكان </w:t>
      </w:r>
      <w:r>
        <w:rPr>
          <w:rtl/>
        </w:rPr>
        <w:t>نحو</w:t>
      </w:r>
      <w:r w:rsidRPr="0068209D">
        <w:rPr>
          <w:rtl/>
        </w:rPr>
        <w:t xml:space="preserve"> ثلث</w:t>
      </w:r>
      <w:r>
        <w:rPr>
          <w:rtl/>
        </w:rPr>
        <w:t xml:space="preserve"> عدد</w:t>
      </w:r>
      <w:r w:rsidRPr="0068209D">
        <w:rPr>
          <w:rtl/>
        </w:rPr>
        <w:t xml:space="preserve"> الجناة </w:t>
      </w:r>
      <w:r>
        <w:rPr>
          <w:rtl/>
        </w:rPr>
        <w:t>وأ</w:t>
      </w:r>
      <w:r w:rsidRPr="0068209D">
        <w:rPr>
          <w:rtl/>
        </w:rPr>
        <w:t>قل بقليل من نصف</w:t>
      </w:r>
      <w:r>
        <w:rPr>
          <w:rtl/>
        </w:rPr>
        <w:t xml:space="preserve"> عدد</w:t>
      </w:r>
      <w:r w:rsidRPr="0068209D">
        <w:rPr>
          <w:rtl/>
        </w:rPr>
        <w:t xml:space="preserve"> الضحايا في حالة سكر وقت ارتكاب الجريمة. وت</w:t>
      </w:r>
      <w:r>
        <w:rPr>
          <w:rtl/>
        </w:rPr>
        <w:t xml:space="preserve">ذهب </w:t>
      </w:r>
      <w:r w:rsidRPr="0068209D">
        <w:rPr>
          <w:rtl/>
        </w:rPr>
        <w:t xml:space="preserve">التقديرات إلى أن </w:t>
      </w:r>
      <w:r>
        <w:rPr>
          <w:rtl/>
        </w:rPr>
        <w:t>زهاء</w:t>
      </w:r>
      <w:r w:rsidRPr="0068209D">
        <w:rPr>
          <w:rtl/>
        </w:rPr>
        <w:t xml:space="preserve"> ربع </w:t>
      </w:r>
      <w:r>
        <w:rPr>
          <w:rtl/>
        </w:rPr>
        <w:t xml:space="preserve">عدد </w:t>
      </w:r>
      <w:r w:rsidRPr="0068209D">
        <w:rPr>
          <w:rtl/>
        </w:rPr>
        <w:t xml:space="preserve">الجناة كانوا من المواطنين الأجانب. ولا يمثل المشتبه فيهم في جرائم الاغتصاب مختلف فئات السكان عشوائياً، بل يأتون في المتوسط من فئات ذات وضع اجتماعي أدنى. وفي عام </w:t>
      </w:r>
      <w:r w:rsidRPr="005C19F0">
        <w:rPr>
          <w:szCs w:val="20"/>
          <w:rtl/>
        </w:rPr>
        <w:t>2018</w:t>
      </w:r>
      <w:r w:rsidRPr="0068209D">
        <w:rPr>
          <w:rtl/>
        </w:rPr>
        <w:t xml:space="preserve">، بلغ عدد حالات الاغتصاب التي أُبلغت بها الشرطة </w:t>
      </w:r>
      <w:r w:rsidR="004D1D02">
        <w:rPr>
          <w:rFonts w:hint="cs"/>
          <w:szCs w:val="20"/>
          <w:rtl/>
        </w:rPr>
        <w:t>393 1</w:t>
      </w:r>
      <w:r w:rsidRPr="0068209D">
        <w:rPr>
          <w:rtl/>
        </w:rPr>
        <w:t xml:space="preserve"> حالة.</w:t>
      </w:r>
    </w:p>
    <w:p w14:paraId="680FCDE6" w14:textId="7C28682F" w:rsidR="00C815DB" w:rsidRPr="0068209D" w:rsidRDefault="00C815DB" w:rsidP="00BE4C80">
      <w:pPr>
        <w:pStyle w:val="SingleTxtGA"/>
        <w:rPr>
          <w:lang w:val="ar-SA" w:eastAsia="zh-TW" w:bidi="en-GB"/>
        </w:rPr>
      </w:pPr>
      <w:r w:rsidRPr="005C19F0">
        <w:rPr>
          <w:szCs w:val="20"/>
          <w:rtl/>
        </w:rPr>
        <w:t>224</w:t>
      </w:r>
      <w:r w:rsidRPr="00EF3655">
        <w:rPr>
          <w:rtl/>
        </w:rPr>
        <w:t>-</w:t>
      </w:r>
      <w:r w:rsidRPr="0068209D">
        <w:rPr>
          <w:rtl/>
        </w:rPr>
        <w:tab/>
        <w:t xml:space="preserve">وزاد عدد حالات انتهاك حُرمة الأطفال الجنسية المبلغ عنها إلى الشرطة زيادة كبيرة في العقد الماضي. ولوحظ ارتفاع </w:t>
      </w:r>
      <w:r>
        <w:rPr>
          <w:rtl/>
        </w:rPr>
        <w:t>شديد</w:t>
      </w:r>
      <w:r w:rsidRPr="0068209D">
        <w:rPr>
          <w:rtl/>
        </w:rPr>
        <w:t xml:space="preserve"> في عدد هذه الجرائم في الفترة </w:t>
      </w:r>
      <w:r w:rsidRPr="005C19F0">
        <w:rPr>
          <w:szCs w:val="20"/>
          <w:rtl/>
        </w:rPr>
        <w:t>2011</w:t>
      </w:r>
      <w:r w:rsidRPr="00EF3655">
        <w:rPr>
          <w:rtl/>
        </w:rPr>
        <w:t>-</w:t>
      </w:r>
      <w:r w:rsidRPr="005C19F0">
        <w:rPr>
          <w:szCs w:val="20"/>
          <w:rtl/>
        </w:rPr>
        <w:t>2013</w:t>
      </w:r>
      <w:r w:rsidRPr="0068209D">
        <w:rPr>
          <w:rFonts w:ascii="Traditional Arabic"/>
          <w:rtl/>
        </w:rPr>
        <w:t>.</w:t>
      </w:r>
      <w:r w:rsidRPr="0068209D">
        <w:rPr>
          <w:rtl/>
        </w:rPr>
        <w:t xml:space="preserve"> و</w:t>
      </w:r>
      <w:r>
        <w:rPr>
          <w:rtl/>
        </w:rPr>
        <w:t xml:space="preserve">يكمن </w:t>
      </w:r>
      <w:r w:rsidRPr="0068209D">
        <w:rPr>
          <w:rtl/>
        </w:rPr>
        <w:t>سبب هذا ال</w:t>
      </w:r>
      <w:r>
        <w:rPr>
          <w:rtl/>
        </w:rPr>
        <w:t>مستجَد</w:t>
      </w:r>
      <w:r w:rsidRPr="0068209D">
        <w:rPr>
          <w:rtl/>
        </w:rPr>
        <w:t xml:space="preserve">، </w:t>
      </w:r>
      <w:r>
        <w:rPr>
          <w:rtl/>
        </w:rPr>
        <w:t>في بعضه</w:t>
      </w:r>
      <w:r w:rsidRPr="0068209D">
        <w:rPr>
          <w:rtl/>
        </w:rPr>
        <w:t xml:space="preserve"> على الأقل، </w:t>
      </w:r>
      <w:r>
        <w:rPr>
          <w:rtl/>
        </w:rPr>
        <w:t xml:space="preserve">في </w:t>
      </w:r>
      <w:r w:rsidRPr="0068209D">
        <w:rPr>
          <w:rtl/>
        </w:rPr>
        <w:t>الانتهاكات داخل الأسرة أو غيرها من الانتهاكات المتكررة التي</w:t>
      </w:r>
      <w:r>
        <w:rPr>
          <w:rtl/>
        </w:rPr>
        <w:t xml:space="preserve"> تكون قد</w:t>
      </w:r>
      <w:r w:rsidRPr="0068209D">
        <w:rPr>
          <w:rtl/>
        </w:rPr>
        <w:t xml:space="preserve"> ارت</w:t>
      </w:r>
      <w:r>
        <w:rPr>
          <w:rtl/>
        </w:rPr>
        <w:t>ُ</w:t>
      </w:r>
      <w:r w:rsidRPr="0068209D">
        <w:rPr>
          <w:rtl/>
        </w:rPr>
        <w:t>كبت قبل سنوات ولم يبل</w:t>
      </w:r>
      <w:r>
        <w:rPr>
          <w:rtl/>
        </w:rPr>
        <w:t>َّ</w:t>
      </w:r>
      <w:r w:rsidRPr="0068209D">
        <w:rPr>
          <w:rtl/>
        </w:rPr>
        <w:t xml:space="preserve">غ عنها إلا الآن. وانخفض عدد حالات انتهاك حُرمة الأطفال الجنسية إلى حد ما بضع سنوات منذ عام </w:t>
      </w:r>
      <w:r w:rsidRPr="005C19F0">
        <w:rPr>
          <w:szCs w:val="20"/>
          <w:rtl/>
        </w:rPr>
        <w:t>2013</w:t>
      </w:r>
      <w:r w:rsidRPr="0068209D">
        <w:rPr>
          <w:rtl/>
        </w:rPr>
        <w:t xml:space="preserve"> </w:t>
      </w:r>
      <w:r>
        <w:rPr>
          <w:rtl/>
        </w:rPr>
        <w:t xml:space="preserve">ثم عاد </w:t>
      </w:r>
      <w:r w:rsidRPr="0068209D">
        <w:rPr>
          <w:rtl/>
        </w:rPr>
        <w:t xml:space="preserve">ليرتفع مرة أخرى في عام </w:t>
      </w:r>
      <w:r w:rsidRPr="005C19F0">
        <w:rPr>
          <w:szCs w:val="20"/>
          <w:rtl/>
        </w:rPr>
        <w:t>2018</w:t>
      </w:r>
      <w:r w:rsidRPr="0068209D">
        <w:rPr>
          <w:rFonts w:ascii="Traditional Arabic"/>
          <w:rtl/>
        </w:rPr>
        <w:t>.</w:t>
      </w:r>
      <w:r w:rsidRPr="0068209D">
        <w:rPr>
          <w:rtl/>
        </w:rPr>
        <w:t xml:space="preserve"> غير أن الإحصاءات المتعلقة بهذه الجريمة لا تشير بالضرورة إلى ارتفاع حالات الجريمة باعتبارها ظاهرة، بل تشير أكثر إلى الرقابة المكثفة التي ت</w:t>
      </w:r>
      <w:r>
        <w:rPr>
          <w:rtl/>
        </w:rPr>
        <w:t>مارس</w:t>
      </w:r>
      <w:r w:rsidRPr="0068209D">
        <w:rPr>
          <w:rtl/>
        </w:rPr>
        <w:t xml:space="preserve">ها السلطات وإلى زيادة خطر الكشف عنها، </w:t>
      </w:r>
      <w:r>
        <w:rPr>
          <w:rtl/>
        </w:rPr>
        <w:t xml:space="preserve">وهو </w:t>
      </w:r>
      <w:r w:rsidRPr="0068209D">
        <w:rPr>
          <w:rtl/>
        </w:rPr>
        <w:t xml:space="preserve">ما تشير </w:t>
      </w:r>
      <w:r>
        <w:rPr>
          <w:rtl/>
        </w:rPr>
        <w:t xml:space="preserve">إليه </w:t>
      </w:r>
      <w:r w:rsidR="00C74C59">
        <w:rPr>
          <w:rtl/>
        </w:rPr>
        <w:t>أيضاً</w:t>
      </w:r>
      <w:r w:rsidRPr="0068209D">
        <w:rPr>
          <w:rtl/>
        </w:rPr>
        <w:t xml:space="preserve"> الدراسات المتعلقة بالضحايا. وتؤثر الجرائم المتكررة على إحصاءات الجريمة تأثيرا</w:t>
      </w:r>
      <w:r w:rsidR="00D150CB">
        <w:rPr>
          <w:rFonts w:hint="cs"/>
          <w:rtl/>
        </w:rPr>
        <w:t>ً</w:t>
      </w:r>
      <w:r w:rsidRPr="0068209D">
        <w:rPr>
          <w:rtl/>
        </w:rPr>
        <w:t xml:space="preserve"> كبيرا</w:t>
      </w:r>
      <w:r w:rsidR="00D150CB">
        <w:rPr>
          <w:rFonts w:hint="cs"/>
          <w:rtl/>
        </w:rPr>
        <w:t>ً</w:t>
      </w:r>
      <w:r w:rsidRPr="0068209D">
        <w:rPr>
          <w:rtl/>
        </w:rPr>
        <w:t xml:space="preserve">. وتدرك فنلندا </w:t>
      </w:r>
      <w:r>
        <w:rPr>
          <w:rtl/>
        </w:rPr>
        <w:t xml:space="preserve">تزايد </w:t>
      </w:r>
      <w:r w:rsidRPr="0068209D">
        <w:rPr>
          <w:rtl/>
        </w:rPr>
        <w:t>الفرص التي تتيحها شبكة الإنترنت</w:t>
      </w:r>
      <w:r>
        <w:rPr>
          <w:rtl/>
        </w:rPr>
        <w:t xml:space="preserve"> بشكل كبير</w:t>
      </w:r>
      <w:r w:rsidRPr="0068209D">
        <w:rPr>
          <w:rtl/>
        </w:rPr>
        <w:t xml:space="preserve"> لانتهاك حُرمة الأطفال وال</w:t>
      </w:r>
      <w:r>
        <w:rPr>
          <w:rtl/>
        </w:rPr>
        <w:t>يافعين</w:t>
      </w:r>
      <w:r w:rsidRPr="0068209D">
        <w:rPr>
          <w:rtl/>
        </w:rPr>
        <w:t xml:space="preserve"> الجنسية، ويساورها القلق بوجه خاص إزاء ظاهرة الاستدراج.</w:t>
      </w:r>
    </w:p>
    <w:p w14:paraId="415AD2A3" w14:textId="77777777" w:rsidR="00C815DB" w:rsidRPr="00187106" w:rsidRDefault="00C815DB" w:rsidP="00BE4C80">
      <w:pPr>
        <w:pStyle w:val="H23GA"/>
        <w:rPr>
          <w:lang w:eastAsia="zh-TW" w:bidi="en-GB"/>
        </w:rPr>
      </w:pPr>
      <w:bookmarkStart w:id="67" w:name="_Toc32364328"/>
      <w:r w:rsidRPr="0068209D">
        <w:rPr>
          <w:rtl/>
        </w:rPr>
        <w:tab/>
      </w:r>
      <w:r w:rsidRPr="0068209D">
        <w:rPr>
          <w:rtl/>
        </w:rPr>
        <w:tab/>
        <w:t>الجرائم بدافع الكراهية</w:t>
      </w:r>
      <w:bookmarkEnd w:id="67"/>
    </w:p>
    <w:p w14:paraId="544F8823" w14:textId="77777777" w:rsidR="00C815DB" w:rsidRPr="00187106" w:rsidRDefault="00C815DB" w:rsidP="00BE4C80">
      <w:pPr>
        <w:pStyle w:val="SingleTxtGA"/>
        <w:rPr>
          <w:lang w:eastAsia="zh-TW" w:bidi="en-GB"/>
        </w:rPr>
      </w:pPr>
      <w:r w:rsidRPr="005C19F0">
        <w:rPr>
          <w:szCs w:val="20"/>
          <w:rtl/>
        </w:rPr>
        <w:t>225</w:t>
      </w:r>
      <w:r w:rsidRPr="00EF3655">
        <w:rPr>
          <w:rtl/>
        </w:rPr>
        <w:t>-</w:t>
      </w:r>
      <w:r w:rsidRPr="0068209D">
        <w:rPr>
          <w:rtl/>
        </w:rPr>
        <w:tab/>
        <w:t xml:space="preserve">ترصد فنلندا الجرائم بدافع الكراهية التي أُبلغت بها الشرطة منذ أكثر من </w:t>
      </w:r>
      <w:r w:rsidRPr="005C19F0">
        <w:rPr>
          <w:szCs w:val="20"/>
          <w:rtl/>
        </w:rPr>
        <w:t>20</w:t>
      </w:r>
      <w:r w:rsidRPr="0068209D">
        <w:rPr>
          <w:rtl/>
        </w:rPr>
        <w:t xml:space="preserve"> عاماً. وتُجمع الإحصاءات المتعلقة ب</w:t>
      </w:r>
      <w:r>
        <w:rPr>
          <w:rtl/>
        </w:rPr>
        <w:t xml:space="preserve">هذه </w:t>
      </w:r>
      <w:r w:rsidRPr="0068209D">
        <w:rPr>
          <w:rtl/>
        </w:rPr>
        <w:t>الجرائم على أساس التقارير الوطنية عن الجرائم التي تُبلّغ إلى الشرطة.</w:t>
      </w:r>
    </w:p>
    <w:p w14:paraId="0A268727" w14:textId="743AAFC3" w:rsidR="00C815DB" w:rsidRPr="0068209D" w:rsidRDefault="00C815DB" w:rsidP="00BE4C80">
      <w:pPr>
        <w:pStyle w:val="SingleTxtGA"/>
        <w:rPr>
          <w:lang w:val="ar-SA" w:eastAsia="zh-TW" w:bidi="en-GB"/>
        </w:rPr>
      </w:pPr>
      <w:r w:rsidRPr="005C19F0">
        <w:rPr>
          <w:szCs w:val="20"/>
          <w:rtl/>
        </w:rPr>
        <w:t>226</w:t>
      </w:r>
      <w:r w:rsidRPr="00EF3655">
        <w:rPr>
          <w:rtl/>
        </w:rPr>
        <w:t>-</w:t>
      </w:r>
      <w:r w:rsidRPr="0068209D">
        <w:rPr>
          <w:rtl/>
        </w:rPr>
        <w:tab/>
        <w:t xml:space="preserve">وفي السنوات الأخيرة، كثفت الشرطة أنشطتها لكشف الجرائم بدافع الكراهية ومنعها. ووفقاً للمبادئ التوجيهية </w:t>
      </w:r>
      <w:r>
        <w:rPr>
          <w:rtl/>
        </w:rPr>
        <w:t>ا</w:t>
      </w:r>
      <w:r w:rsidRPr="0068209D">
        <w:rPr>
          <w:rtl/>
        </w:rPr>
        <w:t>ل</w:t>
      </w:r>
      <w:r>
        <w:rPr>
          <w:rtl/>
        </w:rPr>
        <w:t xml:space="preserve">تي وضعها </w:t>
      </w:r>
      <w:r w:rsidRPr="0068209D">
        <w:rPr>
          <w:rtl/>
        </w:rPr>
        <w:t>مجلس الشرطة الوطنية الفنلندي، ينبغي للشرطة، عند تلقيها تقريرا</w:t>
      </w:r>
      <w:r w:rsidR="00D150CB">
        <w:rPr>
          <w:rFonts w:hint="cs"/>
          <w:rtl/>
        </w:rPr>
        <w:t>ً</w:t>
      </w:r>
      <w:r w:rsidRPr="0068209D">
        <w:rPr>
          <w:rtl/>
        </w:rPr>
        <w:t xml:space="preserve"> عن جريمة ما، أن تستخدم تصنيف الجرائم بدافع الكراهية كلما وُجد سبب يدعو إلى الاشتباه في أن القضية تنطوي على جوانب من</w:t>
      </w:r>
      <w:r>
        <w:rPr>
          <w:rtl/>
        </w:rPr>
        <w:t xml:space="preserve"> هذه</w:t>
      </w:r>
      <w:r w:rsidRPr="0068209D">
        <w:rPr>
          <w:rtl/>
        </w:rPr>
        <w:t xml:space="preserve"> الجر</w:t>
      </w:r>
      <w:r>
        <w:rPr>
          <w:rtl/>
        </w:rPr>
        <w:t>ائم</w:t>
      </w:r>
      <w:r w:rsidRPr="0068209D">
        <w:rPr>
          <w:rtl/>
        </w:rPr>
        <w:t xml:space="preserve">. وفي عام </w:t>
      </w:r>
      <w:r w:rsidRPr="005C19F0">
        <w:rPr>
          <w:szCs w:val="20"/>
          <w:rtl/>
        </w:rPr>
        <w:t>2017</w:t>
      </w:r>
      <w:r w:rsidRPr="0068209D">
        <w:rPr>
          <w:rtl/>
        </w:rPr>
        <w:t xml:space="preserve">، استخدمت الشرطة التصنيف في </w:t>
      </w:r>
      <w:r w:rsidRPr="005C19F0">
        <w:rPr>
          <w:szCs w:val="20"/>
          <w:rtl/>
        </w:rPr>
        <w:t>39</w:t>
      </w:r>
      <w:r w:rsidR="002B5B92">
        <w:rPr>
          <w:sz w:val="28"/>
          <w:rtl/>
        </w:rPr>
        <w:t xml:space="preserve"> في</w:t>
      </w:r>
      <w:r w:rsidR="00E3220A">
        <w:rPr>
          <w:rFonts w:hint="cs"/>
          <w:sz w:val="28"/>
          <w:rtl/>
        </w:rPr>
        <w:t> </w:t>
      </w:r>
      <w:r w:rsidR="002B5B92">
        <w:rPr>
          <w:sz w:val="28"/>
          <w:rtl/>
        </w:rPr>
        <w:t>المائة</w:t>
      </w:r>
      <w:r w:rsidRPr="0068209D">
        <w:rPr>
          <w:rtl/>
        </w:rPr>
        <w:t xml:space="preserve"> من جميع الجرائم بدافع الكراهية التي أُبلغت بها الشرطة، في حين بلغت النسبة </w:t>
      </w:r>
      <w:r w:rsidRPr="005C19F0">
        <w:rPr>
          <w:szCs w:val="20"/>
          <w:rtl/>
        </w:rPr>
        <w:t>23</w:t>
      </w:r>
      <w:r w:rsidR="002B5B92">
        <w:rPr>
          <w:sz w:val="28"/>
          <w:rtl/>
        </w:rPr>
        <w:t xml:space="preserve"> في المائة</w:t>
      </w:r>
      <w:r w:rsidRPr="0068209D">
        <w:rPr>
          <w:rtl/>
        </w:rPr>
        <w:t xml:space="preserve"> في عام </w:t>
      </w:r>
      <w:r w:rsidRPr="005C19F0">
        <w:rPr>
          <w:szCs w:val="20"/>
          <w:rtl/>
        </w:rPr>
        <w:t>2016</w:t>
      </w:r>
      <w:r w:rsidRPr="0068209D">
        <w:rPr>
          <w:rFonts w:ascii="Traditional Arabic"/>
          <w:rtl/>
        </w:rPr>
        <w:t>.</w:t>
      </w:r>
      <w:r w:rsidRPr="0068209D">
        <w:rPr>
          <w:rtl/>
        </w:rPr>
        <w:t xml:space="preserve"> ومن الأسباب الرئيسَة للزيادة في معدل التصنيف الارتقاء بالتدريب الخاص المقدم إلى الشرطة بشأن الجرائم بدافع الكراهية.</w:t>
      </w:r>
    </w:p>
    <w:p w14:paraId="031B8DE2" w14:textId="12949566" w:rsidR="00C815DB" w:rsidRPr="00187106" w:rsidRDefault="00C815DB" w:rsidP="00BE4C80">
      <w:pPr>
        <w:pStyle w:val="SingleTxtGA"/>
        <w:rPr>
          <w:lang w:eastAsia="zh-TW" w:bidi="en-GB"/>
        </w:rPr>
      </w:pPr>
      <w:r w:rsidRPr="005C19F0">
        <w:rPr>
          <w:szCs w:val="20"/>
          <w:rtl/>
        </w:rPr>
        <w:t>227</w:t>
      </w:r>
      <w:r w:rsidRPr="00EF3655">
        <w:rPr>
          <w:rtl/>
        </w:rPr>
        <w:t>-</w:t>
      </w:r>
      <w:r w:rsidRPr="0068209D">
        <w:rPr>
          <w:rtl/>
        </w:rPr>
        <w:tab/>
        <w:t>وأنشئ فريق وطني للتحقيق في خطاب الكراهية في إدارة شرطة هلسنكي في بداية عام</w:t>
      </w:r>
      <w:r w:rsidR="004D1D02">
        <w:rPr>
          <w:rFonts w:hint="cs"/>
          <w:rtl/>
        </w:rPr>
        <w:t> </w:t>
      </w:r>
      <w:r w:rsidRPr="005C19F0">
        <w:rPr>
          <w:szCs w:val="20"/>
          <w:rtl/>
        </w:rPr>
        <w:t>2017</w:t>
      </w:r>
      <w:r w:rsidRPr="0068209D">
        <w:rPr>
          <w:rtl/>
        </w:rPr>
        <w:t>، وك</w:t>
      </w:r>
      <w:r>
        <w:rPr>
          <w:rtl/>
        </w:rPr>
        <w:t>ُ</w:t>
      </w:r>
      <w:r w:rsidRPr="0068209D">
        <w:rPr>
          <w:rtl/>
        </w:rPr>
        <w:t xml:space="preserve">لف بالتحقيق في خطاب الكراهية على الإنترنت الذي يعاقب عليه القانون. فالزيادة في عدد الجرائم بدافع الكراهية </w:t>
      </w:r>
      <w:r>
        <w:rPr>
          <w:rtl/>
        </w:rPr>
        <w:t xml:space="preserve">المبلغ عنها </w:t>
      </w:r>
      <w:r w:rsidRPr="0068209D">
        <w:rPr>
          <w:rtl/>
        </w:rPr>
        <w:t xml:space="preserve">في عام </w:t>
      </w:r>
      <w:r w:rsidRPr="005C19F0">
        <w:rPr>
          <w:szCs w:val="20"/>
          <w:rtl/>
        </w:rPr>
        <w:t>2017</w:t>
      </w:r>
      <w:r w:rsidRPr="0068209D">
        <w:rPr>
          <w:rtl/>
        </w:rPr>
        <w:t xml:space="preserve"> تفسر إلى حد </w:t>
      </w:r>
      <w:r>
        <w:rPr>
          <w:rtl/>
        </w:rPr>
        <w:t>بعيد</w:t>
      </w:r>
      <w:r w:rsidRPr="0068209D">
        <w:rPr>
          <w:rtl/>
        </w:rPr>
        <w:t xml:space="preserve"> التقارير التي قدمها هذا الفريق والتي كانت فيها الجرائم المعنية هي إثارة الفتنة الإثنية أو التشهير أو التهديد.</w:t>
      </w:r>
    </w:p>
    <w:p w14:paraId="531EB8BE" w14:textId="77777777" w:rsidR="00C815DB" w:rsidRPr="00C726A7" w:rsidRDefault="00C815DB" w:rsidP="00BE4C80">
      <w:pPr>
        <w:pStyle w:val="H23GA"/>
        <w:rPr>
          <w:rtl/>
          <w:lang w:eastAsia="zh-TW"/>
        </w:rPr>
      </w:pPr>
      <w:bookmarkStart w:id="68" w:name="_Toc32364329"/>
      <w:r w:rsidRPr="0068209D">
        <w:rPr>
          <w:rtl/>
        </w:rPr>
        <w:lastRenderedPageBreak/>
        <w:tab/>
      </w:r>
      <w:r w:rsidRPr="0068209D">
        <w:rPr>
          <w:rtl/>
        </w:rPr>
        <w:tab/>
        <w:t>أحكام السجن</w:t>
      </w:r>
      <w:bookmarkEnd w:id="68"/>
    </w:p>
    <w:p w14:paraId="5CA24038" w14:textId="59F2B4B9" w:rsidR="00C815DB" w:rsidRDefault="00C815DB" w:rsidP="00BE4C80">
      <w:pPr>
        <w:pStyle w:val="SingleTxtGA"/>
        <w:rPr>
          <w:lang w:eastAsia="zh-TW" w:bidi="en-GB"/>
        </w:rPr>
      </w:pPr>
      <w:r w:rsidRPr="005C19F0">
        <w:rPr>
          <w:szCs w:val="20"/>
          <w:rtl/>
        </w:rPr>
        <w:t>228</w:t>
      </w:r>
      <w:r w:rsidRPr="00EF3655">
        <w:rPr>
          <w:rtl/>
        </w:rPr>
        <w:t>-</w:t>
      </w:r>
      <w:r w:rsidRPr="0068209D">
        <w:rPr>
          <w:rtl/>
        </w:rPr>
        <w:tab/>
        <w:t xml:space="preserve">بلغ </w:t>
      </w:r>
      <w:r w:rsidR="00AA5E7D">
        <w:rPr>
          <w:rFonts w:hint="cs"/>
          <w:szCs w:val="20"/>
          <w:rtl/>
        </w:rPr>
        <w:t>008 20</w:t>
      </w:r>
      <w:r w:rsidRPr="0068209D">
        <w:rPr>
          <w:rtl/>
        </w:rPr>
        <w:t xml:space="preserve"> عدد</w:t>
      </w:r>
      <w:r>
        <w:rPr>
          <w:rtl/>
        </w:rPr>
        <w:t>ُ</w:t>
      </w:r>
      <w:r w:rsidRPr="0068209D">
        <w:rPr>
          <w:rtl/>
        </w:rPr>
        <w:t xml:space="preserve"> </w:t>
      </w:r>
      <w:r>
        <w:rPr>
          <w:rtl/>
        </w:rPr>
        <w:t>ال</w:t>
      </w:r>
      <w:r w:rsidRPr="0068209D">
        <w:rPr>
          <w:rtl/>
        </w:rPr>
        <w:t xml:space="preserve">أحكام </w:t>
      </w:r>
      <w:r>
        <w:rPr>
          <w:rtl/>
        </w:rPr>
        <w:t>ب</w:t>
      </w:r>
      <w:r w:rsidRPr="0068209D">
        <w:rPr>
          <w:rtl/>
        </w:rPr>
        <w:t xml:space="preserve">السجن الصادرة في عام </w:t>
      </w:r>
      <w:r w:rsidRPr="005C19F0">
        <w:rPr>
          <w:szCs w:val="20"/>
          <w:rtl/>
        </w:rPr>
        <w:t>2018</w:t>
      </w:r>
      <w:r w:rsidRPr="0068209D">
        <w:rPr>
          <w:rtl/>
        </w:rPr>
        <w:t xml:space="preserve">، أي </w:t>
      </w:r>
      <w:r>
        <w:rPr>
          <w:rtl/>
        </w:rPr>
        <w:t>ب</w:t>
      </w:r>
      <w:r w:rsidRPr="0068209D">
        <w:rPr>
          <w:rtl/>
        </w:rPr>
        <w:t xml:space="preserve">زيادة قدرها </w:t>
      </w:r>
      <w:r w:rsidRPr="005C19F0">
        <w:rPr>
          <w:szCs w:val="20"/>
          <w:rtl/>
        </w:rPr>
        <w:t>4</w:t>
      </w:r>
      <w:r w:rsidR="00A05A2B">
        <w:rPr>
          <w:rFonts w:ascii="Traditional Arabic" w:hAnsi="Traditional Arabic"/>
          <w:rtl/>
        </w:rPr>
        <w:t>,</w:t>
      </w:r>
      <w:r w:rsidRPr="005C19F0">
        <w:rPr>
          <w:szCs w:val="20"/>
          <w:rtl/>
        </w:rPr>
        <w:t>4</w:t>
      </w:r>
      <w:r w:rsidR="002B5B92">
        <w:rPr>
          <w:rFonts w:ascii="Traditional Arabic"/>
          <w:sz w:val="28"/>
          <w:rtl/>
        </w:rPr>
        <w:t xml:space="preserve"> في المائة</w:t>
      </w:r>
      <w:r w:rsidRPr="0068209D">
        <w:rPr>
          <w:rtl/>
        </w:rPr>
        <w:t xml:space="preserve"> مقارنة بالعام الماضي. وتوقف في عام </w:t>
      </w:r>
      <w:r w:rsidRPr="005C19F0">
        <w:rPr>
          <w:szCs w:val="20"/>
          <w:rtl/>
        </w:rPr>
        <w:t>2018</w:t>
      </w:r>
      <w:r w:rsidRPr="0068209D">
        <w:rPr>
          <w:rtl/>
        </w:rPr>
        <w:t xml:space="preserve"> انخفاض عدد </w:t>
      </w:r>
      <w:r>
        <w:rPr>
          <w:rtl/>
        </w:rPr>
        <w:t>ال</w:t>
      </w:r>
      <w:r w:rsidRPr="0068209D">
        <w:rPr>
          <w:rtl/>
        </w:rPr>
        <w:t xml:space="preserve">أحكام </w:t>
      </w:r>
      <w:r>
        <w:rPr>
          <w:rtl/>
        </w:rPr>
        <w:t>ب</w:t>
      </w:r>
      <w:r w:rsidRPr="0068209D">
        <w:rPr>
          <w:rtl/>
        </w:rPr>
        <w:t xml:space="preserve">السجن منذ عام </w:t>
      </w:r>
      <w:r w:rsidRPr="005C19F0">
        <w:rPr>
          <w:szCs w:val="20"/>
          <w:rtl/>
        </w:rPr>
        <w:t>2004</w:t>
      </w:r>
      <w:r w:rsidRPr="0068209D">
        <w:rPr>
          <w:rFonts w:ascii="Traditional Arabic"/>
          <w:rtl/>
        </w:rPr>
        <w:t>.</w:t>
      </w:r>
      <w:r w:rsidRPr="0068209D">
        <w:rPr>
          <w:rtl/>
        </w:rPr>
        <w:t xml:space="preserve"> وبلغت </w:t>
      </w:r>
      <w:r>
        <w:rPr>
          <w:rtl/>
        </w:rPr>
        <w:t xml:space="preserve">نسبة </w:t>
      </w:r>
      <w:r w:rsidRPr="0068209D">
        <w:rPr>
          <w:rtl/>
        </w:rPr>
        <w:t xml:space="preserve">عقوبات الحبس </w:t>
      </w:r>
      <w:r w:rsidRPr="005C19F0">
        <w:rPr>
          <w:szCs w:val="20"/>
          <w:rtl/>
        </w:rPr>
        <w:t>28</w:t>
      </w:r>
      <w:r w:rsidRPr="0068209D">
        <w:rPr>
          <w:rtl/>
        </w:rPr>
        <w:t xml:space="preserve"> في المائة من </w:t>
      </w:r>
      <w:r>
        <w:rPr>
          <w:rtl/>
        </w:rPr>
        <w:t>ال</w:t>
      </w:r>
      <w:r w:rsidRPr="0068209D">
        <w:rPr>
          <w:rtl/>
        </w:rPr>
        <w:t xml:space="preserve">أحكام </w:t>
      </w:r>
      <w:r>
        <w:rPr>
          <w:rtl/>
        </w:rPr>
        <w:t>ب</w:t>
      </w:r>
      <w:r w:rsidRPr="0068209D">
        <w:rPr>
          <w:rtl/>
        </w:rPr>
        <w:t xml:space="preserve">السجن، والعقوبات </w:t>
      </w:r>
      <w:r>
        <w:rPr>
          <w:rtl/>
        </w:rPr>
        <w:t>مع وقف</w:t>
      </w:r>
      <w:r w:rsidRPr="0068209D">
        <w:rPr>
          <w:rtl/>
        </w:rPr>
        <w:t xml:space="preserve"> التنفيذ </w:t>
      </w:r>
      <w:r w:rsidRPr="005C19F0">
        <w:rPr>
          <w:szCs w:val="20"/>
          <w:rtl/>
        </w:rPr>
        <w:t>64</w:t>
      </w:r>
      <w:r w:rsidRPr="0068209D">
        <w:rPr>
          <w:rtl/>
        </w:rPr>
        <w:t xml:space="preserve"> في المائة.</w:t>
      </w:r>
    </w:p>
    <w:p w14:paraId="5786841A" w14:textId="1E35AA2F" w:rsidR="00C815DB" w:rsidRPr="00CE1368" w:rsidRDefault="00C815DB" w:rsidP="00AA5E7D">
      <w:pPr>
        <w:pStyle w:val="SingleTxtGA"/>
        <w:spacing w:after="0"/>
        <w:rPr>
          <w:lang w:eastAsia="zh-TW" w:bidi="en-GB"/>
        </w:rPr>
      </w:pPr>
      <w:r w:rsidRPr="0068209D">
        <w:rPr>
          <w:rtl/>
        </w:rPr>
        <w:t xml:space="preserve">الجدول </w:t>
      </w:r>
      <w:r w:rsidRPr="005C19F0">
        <w:rPr>
          <w:szCs w:val="20"/>
          <w:rtl/>
        </w:rPr>
        <w:t>17</w:t>
      </w:r>
    </w:p>
    <w:p w14:paraId="5E86B887" w14:textId="77777777" w:rsidR="00C815DB" w:rsidRPr="00BE4C80" w:rsidRDefault="00C815DB" w:rsidP="00BE4C80">
      <w:pPr>
        <w:pStyle w:val="SingleTxtGA"/>
        <w:rPr>
          <w:b/>
          <w:bCs/>
          <w:lang w:val="ar-SA" w:eastAsia="zh-TW" w:bidi="en-GB"/>
        </w:rPr>
      </w:pPr>
      <w:r w:rsidRPr="00BE4C80">
        <w:rPr>
          <w:b/>
          <w:bCs/>
          <w:rtl/>
        </w:rPr>
        <w:t>متوسط مدة الحبس الاحتياطي وعقوبة الحبس</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2"/>
        <w:gridCol w:w="2995"/>
        <w:gridCol w:w="2363"/>
      </w:tblGrid>
      <w:tr w:rsidR="00C815DB" w:rsidRPr="0068209D" w14:paraId="340CCFFF" w14:textId="77777777" w:rsidTr="000A1C86">
        <w:trPr>
          <w:tblHeader/>
        </w:trPr>
        <w:tc>
          <w:tcPr>
            <w:tcW w:w="2012" w:type="dxa"/>
            <w:tcBorders>
              <w:top w:val="single" w:sz="4" w:space="0" w:color="auto"/>
              <w:bottom w:val="single" w:sz="12" w:space="0" w:color="auto"/>
            </w:tcBorders>
            <w:shd w:val="clear" w:color="auto" w:fill="auto"/>
            <w:vAlign w:val="bottom"/>
          </w:tcPr>
          <w:p w14:paraId="71620023" w14:textId="77777777" w:rsidR="00C815DB" w:rsidRPr="00A05A2B" w:rsidRDefault="00C815DB" w:rsidP="00AA5E7D">
            <w:pPr>
              <w:spacing w:before="20" w:after="20" w:line="300" w:lineRule="exact"/>
              <w:ind w:left="57" w:right="57"/>
              <w:textDirection w:val="tbRlV"/>
              <w:rPr>
                <w:bCs/>
                <w:i/>
                <w:iCs/>
                <w:sz w:val="24"/>
                <w:szCs w:val="24"/>
                <w:lang w:eastAsia="zh-TW" w:bidi="en-GB"/>
              </w:rPr>
            </w:pPr>
            <w:r w:rsidRPr="00A05A2B">
              <w:rPr>
                <w:i/>
                <w:iCs/>
                <w:sz w:val="24"/>
                <w:szCs w:val="24"/>
                <w:rtl/>
              </w:rPr>
              <w:t>السنة</w:t>
            </w:r>
          </w:p>
        </w:tc>
        <w:tc>
          <w:tcPr>
            <w:tcW w:w="2995" w:type="dxa"/>
            <w:tcBorders>
              <w:top w:val="single" w:sz="4" w:space="0" w:color="auto"/>
              <w:bottom w:val="single" w:sz="12" w:space="0" w:color="auto"/>
            </w:tcBorders>
            <w:shd w:val="clear" w:color="auto" w:fill="auto"/>
            <w:vAlign w:val="bottom"/>
          </w:tcPr>
          <w:p w14:paraId="57AC2A89" w14:textId="77777777" w:rsidR="00C815DB" w:rsidRPr="00A05A2B" w:rsidRDefault="00C815DB" w:rsidP="00AA5E7D">
            <w:pPr>
              <w:spacing w:before="20" w:after="20" w:line="300" w:lineRule="exact"/>
              <w:ind w:left="57" w:right="57"/>
              <w:textDirection w:val="tbRlV"/>
              <w:rPr>
                <w:bCs/>
                <w:i/>
                <w:iCs/>
                <w:sz w:val="24"/>
                <w:szCs w:val="24"/>
                <w:lang w:eastAsia="zh-TW" w:bidi="en-GB"/>
              </w:rPr>
            </w:pPr>
            <w:r w:rsidRPr="00A05A2B">
              <w:rPr>
                <w:i/>
                <w:iCs/>
                <w:sz w:val="24"/>
                <w:szCs w:val="24"/>
                <w:rtl/>
              </w:rPr>
              <w:t>متوسط مدة الحبس الاحتياطي (أشهر)</w:t>
            </w:r>
          </w:p>
        </w:tc>
        <w:tc>
          <w:tcPr>
            <w:tcW w:w="2363" w:type="dxa"/>
            <w:tcBorders>
              <w:top w:val="single" w:sz="4" w:space="0" w:color="auto"/>
              <w:bottom w:val="single" w:sz="12" w:space="0" w:color="auto"/>
            </w:tcBorders>
            <w:shd w:val="clear" w:color="auto" w:fill="auto"/>
            <w:vAlign w:val="bottom"/>
          </w:tcPr>
          <w:p w14:paraId="02E8B24C" w14:textId="77777777" w:rsidR="00C815DB" w:rsidRPr="00A05A2B" w:rsidRDefault="00C815DB" w:rsidP="00AA5E7D">
            <w:pPr>
              <w:spacing w:before="20" w:after="20" w:line="300" w:lineRule="exact"/>
              <w:ind w:left="57" w:right="57"/>
              <w:textDirection w:val="tbRlV"/>
              <w:rPr>
                <w:bCs/>
                <w:i/>
                <w:iCs/>
                <w:sz w:val="24"/>
                <w:szCs w:val="24"/>
                <w:lang w:val="ar-SA" w:eastAsia="zh-TW" w:bidi="en-GB"/>
              </w:rPr>
            </w:pPr>
            <w:r w:rsidRPr="00A05A2B">
              <w:rPr>
                <w:i/>
                <w:iCs/>
                <w:sz w:val="24"/>
                <w:szCs w:val="24"/>
                <w:rtl/>
              </w:rPr>
              <w:t>متوسط مدة عقوبة الحبس التي يقضيها السجناء المفرج عنهم (أشهر)</w:t>
            </w:r>
          </w:p>
        </w:tc>
      </w:tr>
      <w:tr w:rsidR="00AA5E7D" w:rsidRPr="0068209D" w14:paraId="63A63285" w14:textId="77777777" w:rsidTr="000A1C86">
        <w:tc>
          <w:tcPr>
            <w:tcW w:w="2012" w:type="dxa"/>
            <w:tcBorders>
              <w:top w:val="single" w:sz="12" w:space="0" w:color="auto"/>
            </w:tcBorders>
            <w:shd w:val="clear" w:color="auto" w:fill="auto"/>
          </w:tcPr>
          <w:p w14:paraId="6A9440EE"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2009</w:t>
            </w:r>
          </w:p>
        </w:tc>
        <w:tc>
          <w:tcPr>
            <w:tcW w:w="2995" w:type="dxa"/>
            <w:tcBorders>
              <w:top w:val="single" w:sz="12" w:space="0" w:color="auto"/>
            </w:tcBorders>
            <w:shd w:val="clear" w:color="auto" w:fill="auto"/>
            <w:vAlign w:val="bottom"/>
          </w:tcPr>
          <w:p w14:paraId="548BCC64" w14:textId="03E6DE5C"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5</w:t>
            </w:r>
          </w:p>
        </w:tc>
        <w:tc>
          <w:tcPr>
            <w:tcW w:w="2363" w:type="dxa"/>
            <w:tcBorders>
              <w:top w:val="single" w:sz="12" w:space="0" w:color="auto"/>
            </w:tcBorders>
            <w:shd w:val="clear" w:color="auto" w:fill="auto"/>
            <w:vAlign w:val="bottom"/>
          </w:tcPr>
          <w:p w14:paraId="122D01AE" w14:textId="009929FF" w:rsidR="00AA5E7D" w:rsidRPr="00AA5E7D" w:rsidRDefault="00AA5E7D" w:rsidP="00AA5E7D">
            <w:pPr>
              <w:spacing w:before="20" w:after="20" w:line="300" w:lineRule="exact"/>
              <w:ind w:left="57" w:right="57"/>
              <w:rPr>
                <w:sz w:val="18"/>
                <w:szCs w:val="18"/>
              </w:rPr>
            </w:pPr>
            <w:r w:rsidRPr="000C56CE">
              <w:rPr>
                <w:sz w:val="18"/>
                <w:szCs w:val="24"/>
              </w:rPr>
              <w:t>8</w:t>
            </w:r>
            <w:r w:rsidR="00A05A2B">
              <w:rPr>
                <w:sz w:val="18"/>
                <w:szCs w:val="24"/>
              </w:rPr>
              <w:t>,</w:t>
            </w:r>
            <w:r w:rsidRPr="000C56CE">
              <w:rPr>
                <w:sz w:val="18"/>
                <w:szCs w:val="24"/>
              </w:rPr>
              <w:t>7</w:t>
            </w:r>
          </w:p>
        </w:tc>
      </w:tr>
      <w:tr w:rsidR="00AA5E7D" w:rsidRPr="0068209D" w14:paraId="41BCB451" w14:textId="77777777" w:rsidTr="000A1C86">
        <w:tc>
          <w:tcPr>
            <w:tcW w:w="2012" w:type="dxa"/>
            <w:shd w:val="clear" w:color="auto" w:fill="auto"/>
          </w:tcPr>
          <w:p w14:paraId="79ED0F00"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2010</w:t>
            </w:r>
          </w:p>
        </w:tc>
        <w:tc>
          <w:tcPr>
            <w:tcW w:w="2995" w:type="dxa"/>
            <w:shd w:val="clear" w:color="auto" w:fill="auto"/>
            <w:vAlign w:val="bottom"/>
          </w:tcPr>
          <w:p w14:paraId="1665686A" w14:textId="7C368FE5"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6</w:t>
            </w:r>
          </w:p>
        </w:tc>
        <w:tc>
          <w:tcPr>
            <w:tcW w:w="2363" w:type="dxa"/>
            <w:shd w:val="clear" w:color="auto" w:fill="auto"/>
            <w:vAlign w:val="bottom"/>
          </w:tcPr>
          <w:p w14:paraId="4B637643" w14:textId="668DDFF5" w:rsidR="00AA5E7D" w:rsidRPr="00AA5E7D" w:rsidRDefault="00AA5E7D" w:rsidP="00AA5E7D">
            <w:pPr>
              <w:spacing w:before="20" w:after="20" w:line="300" w:lineRule="exact"/>
              <w:ind w:left="57" w:right="57"/>
              <w:rPr>
                <w:sz w:val="18"/>
                <w:szCs w:val="18"/>
              </w:rPr>
            </w:pPr>
            <w:r w:rsidRPr="000C56CE">
              <w:rPr>
                <w:sz w:val="18"/>
                <w:szCs w:val="24"/>
              </w:rPr>
              <w:t>8</w:t>
            </w:r>
            <w:r w:rsidR="00A05A2B">
              <w:rPr>
                <w:sz w:val="18"/>
                <w:szCs w:val="24"/>
              </w:rPr>
              <w:t>,</w:t>
            </w:r>
            <w:r w:rsidRPr="000C56CE">
              <w:rPr>
                <w:sz w:val="18"/>
                <w:szCs w:val="24"/>
              </w:rPr>
              <w:t>7</w:t>
            </w:r>
          </w:p>
        </w:tc>
      </w:tr>
      <w:tr w:rsidR="00AA5E7D" w:rsidRPr="0068209D" w14:paraId="2013B4FE" w14:textId="77777777" w:rsidTr="000A1C86">
        <w:tc>
          <w:tcPr>
            <w:tcW w:w="2012" w:type="dxa"/>
            <w:shd w:val="clear" w:color="auto" w:fill="auto"/>
          </w:tcPr>
          <w:p w14:paraId="7F5E684E"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2011</w:t>
            </w:r>
          </w:p>
        </w:tc>
        <w:tc>
          <w:tcPr>
            <w:tcW w:w="2995" w:type="dxa"/>
            <w:shd w:val="clear" w:color="auto" w:fill="auto"/>
            <w:vAlign w:val="bottom"/>
          </w:tcPr>
          <w:p w14:paraId="63D47337" w14:textId="1D5F3961"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5</w:t>
            </w:r>
          </w:p>
        </w:tc>
        <w:tc>
          <w:tcPr>
            <w:tcW w:w="2363" w:type="dxa"/>
            <w:shd w:val="clear" w:color="auto" w:fill="auto"/>
            <w:vAlign w:val="bottom"/>
          </w:tcPr>
          <w:p w14:paraId="685500FC" w14:textId="2A5731E4" w:rsidR="00AA5E7D" w:rsidRPr="00AA5E7D" w:rsidRDefault="00AA5E7D" w:rsidP="00AA5E7D">
            <w:pPr>
              <w:spacing w:before="20" w:after="20" w:line="300" w:lineRule="exact"/>
              <w:ind w:left="57" w:right="57"/>
              <w:rPr>
                <w:sz w:val="18"/>
                <w:szCs w:val="18"/>
              </w:rPr>
            </w:pPr>
            <w:r w:rsidRPr="000C56CE">
              <w:rPr>
                <w:sz w:val="18"/>
                <w:szCs w:val="24"/>
              </w:rPr>
              <w:t>9</w:t>
            </w:r>
            <w:r w:rsidR="00A05A2B">
              <w:rPr>
                <w:sz w:val="18"/>
                <w:szCs w:val="24"/>
              </w:rPr>
              <w:t>,</w:t>
            </w:r>
            <w:r w:rsidRPr="000C56CE">
              <w:rPr>
                <w:sz w:val="18"/>
                <w:szCs w:val="24"/>
              </w:rPr>
              <w:t>0</w:t>
            </w:r>
          </w:p>
        </w:tc>
      </w:tr>
      <w:tr w:rsidR="00AA5E7D" w:rsidRPr="0068209D" w14:paraId="0273A2C2" w14:textId="77777777" w:rsidTr="000A1C86">
        <w:tc>
          <w:tcPr>
            <w:tcW w:w="2012" w:type="dxa"/>
            <w:shd w:val="clear" w:color="auto" w:fill="auto"/>
          </w:tcPr>
          <w:p w14:paraId="2F1327E7" w14:textId="77777777" w:rsidR="00AA5E7D" w:rsidRPr="00AA5E7D" w:rsidRDefault="00AA5E7D" w:rsidP="00AA5E7D">
            <w:pPr>
              <w:spacing w:before="20" w:after="20" w:line="300" w:lineRule="exact"/>
              <w:ind w:left="57" w:right="57"/>
              <w:textDirection w:val="tbRlV"/>
              <w:rPr>
                <w:sz w:val="18"/>
                <w:szCs w:val="18"/>
                <w:lang w:val="ar-SA" w:eastAsia="zh-TW" w:bidi="en-GB"/>
              </w:rPr>
            </w:pPr>
            <w:bookmarkStart w:id="69" w:name="_Hlk14164412"/>
            <w:r w:rsidRPr="00AA5E7D">
              <w:rPr>
                <w:sz w:val="18"/>
                <w:szCs w:val="18"/>
                <w:rtl/>
              </w:rPr>
              <w:t>2012</w:t>
            </w:r>
          </w:p>
        </w:tc>
        <w:tc>
          <w:tcPr>
            <w:tcW w:w="2995" w:type="dxa"/>
            <w:shd w:val="clear" w:color="auto" w:fill="auto"/>
            <w:vAlign w:val="bottom"/>
          </w:tcPr>
          <w:p w14:paraId="0CEE822B" w14:textId="5C650341"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4</w:t>
            </w:r>
          </w:p>
        </w:tc>
        <w:tc>
          <w:tcPr>
            <w:tcW w:w="2363" w:type="dxa"/>
            <w:shd w:val="clear" w:color="auto" w:fill="auto"/>
            <w:vAlign w:val="bottom"/>
          </w:tcPr>
          <w:p w14:paraId="35045668" w14:textId="187B40E2" w:rsidR="00AA5E7D" w:rsidRPr="00AA5E7D" w:rsidRDefault="00AA5E7D" w:rsidP="00AA5E7D">
            <w:pPr>
              <w:spacing w:before="20" w:after="20" w:line="300" w:lineRule="exact"/>
              <w:ind w:left="57" w:right="57"/>
              <w:rPr>
                <w:sz w:val="18"/>
                <w:szCs w:val="18"/>
              </w:rPr>
            </w:pPr>
            <w:r w:rsidRPr="000C56CE">
              <w:rPr>
                <w:sz w:val="18"/>
                <w:szCs w:val="24"/>
              </w:rPr>
              <w:t>9</w:t>
            </w:r>
            <w:r w:rsidR="00A05A2B">
              <w:rPr>
                <w:sz w:val="18"/>
                <w:szCs w:val="24"/>
              </w:rPr>
              <w:t>,</w:t>
            </w:r>
            <w:r w:rsidRPr="000C56CE">
              <w:rPr>
                <w:sz w:val="18"/>
                <w:szCs w:val="24"/>
              </w:rPr>
              <w:t>3</w:t>
            </w:r>
          </w:p>
        </w:tc>
      </w:tr>
      <w:tr w:rsidR="00AA5E7D" w:rsidRPr="0068209D" w14:paraId="5958824C" w14:textId="77777777" w:rsidTr="000A1C86">
        <w:tc>
          <w:tcPr>
            <w:tcW w:w="2012" w:type="dxa"/>
            <w:shd w:val="clear" w:color="auto" w:fill="auto"/>
          </w:tcPr>
          <w:p w14:paraId="2937B130" w14:textId="77777777" w:rsidR="00AA5E7D" w:rsidRPr="00AA5E7D" w:rsidRDefault="00AA5E7D" w:rsidP="00AA5E7D">
            <w:pPr>
              <w:spacing w:before="20" w:after="20" w:line="300" w:lineRule="exact"/>
              <w:ind w:left="57" w:right="57"/>
              <w:textDirection w:val="tbRlV"/>
              <w:rPr>
                <w:sz w:val="18"/>
                <w:szCs w:val="18"/>
                <w:lang w:val="ar-SA" w:eastAsia="zh-TW" w:bidi="en-GB"/>
              </w:rPr>
            </w:pPr>
            <w:bookmarkStart w:id="70" w:name="_Hlk14164145"/>
            <w:bookmarkEnd w:id="69"/>
            <w:r w:rsidRPr="00AA5E7D">
              <w:rPr>
                <w:sz w:val="18"/>
                <w:szCs w:val="18"/>
                <w:rtl/>
              </w:rPr>
              <w:t>2013</w:t>
            </w:r>
          </w:p>
        </w:tc>
        <w:tc>
          <w:tcPr>
            <w:tcW w:w="2995" w:type="dxa"/>
            <w:shd w:val="clear" w:color="auto" w:fill="auto"/>
            <w:vAlign w:val="bottom"/>
          </w:tcPr>
          <w:p w14:paraId="58954792" w14:textId="7F6500FB"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5</w:t>
            </w:r>
          </w:p>
        </w:tc>
        <w:tc>
          <w:tcPr>
            <w:tcW w:w="2363" w:type="dxa"/>
            <w:shd w:val="clear" w:color="auto" w:fill="auto"/>
            <w:vAlign w:val="bottom"/>
          </w:tcPr>
          <w:p w14:paraId="71E7814E" w14:textId="5B444FA1" w:rsidR="00AA5E7D" w:rsidRPr="00AA5E7D" w:rsidRDefault="00AA5E7D" w:rsidP="00AA5E7D">
            <w:pPr>
              <w:spacing w:before="20" w:after="20" w:line="300" w:lineRule="exact"/>
              <w:ind w:left="57" w:right="57"/>
              <w:rPr>
                <w:sz w:val="18"/>
                <w:szCs w:val="18"/>
              </w:rPr>
            </w:pPr>
            <w:r w:rsidRPr="000C56CE">
              <w:rPr>
                <w:sz w:val="18"/>
                <w:szCs w:val="24"/>
              </w:rPr>
              <w:t>10</w:t>
            </w:r>
            <w:r w:rsidR="00A05A2B">
              <w:rPr>
                <w:sz w:val="18"/>
                <w:szCs w:val="24"/>
              </w:rPr>
              <w:t>,</w:t>
            </w:r>
            <w:r w:rsidRPr="000C56CE">
              <w:rPr>
                <w:sz w:val="18"/>
                <w:szCs w:val="24"/>
              </w:rPr>
              <w:t>0</w:t>
            </w:r>
          </w:p>
        </w:tc>
      </w:tr>
      <w:bookmarkEnd w:id="70"/>
      <w:tr w:rsidR="00AA5E7D" w:rsidRPr="0068209D" w14:paraId="39E08137" w14:textId="77777777" w:rsidTr="000A1C86">
        <w:tc>
          <w:tcPr>
            <w:tcW w:w="2012" w:type="dxa"/>
            <w:shd w:val="clear" w:color="auto" w:fill="auto"/>
          </w:tcPr>
          <w:p w14:paraId="338B8C48"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2014</w:t>
            </w:r>
          </w:p>
        </w:tc>
        <w:tc>
          <w:tcPr>
            <w:tcW w:w="2995" w:type="dxa"/>
            <w:shd w:val="clear" w:color="auto" w:fill="auto"/>
            <w:vAlign w:val="bottom"/>
          </w:tcPr>
          <w:p w14:paraId="0B916480" w14:textId="651237D0"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8</w:t>
            </w:r>
          </w:p>
        </w:tc>
        <w:tc>
          <w:tcPr>
            <w:tcW w:w="2363" w:type="dxa"/>
            <w:shd w:val="clear" w:color="auto" w:fill="auto"/>
            <w:vAlign w:val="bottom"/>
          </w:tcPr>
          <w:p w14:paraId="63C93AC5" w14:textId="77B75A71" w:rsidR="00AA5E7D" w:rsidRPr="00AA5E7D" w:rsidRDefault="00AA5E7D" w:rsidP="00AA5E7D">
            <w:pPr>
              <w:spacing w:before="20" w:after="20" w:line="300" w:lineRule="exact"/>
              <w:ind w:left="57" w:right="57"/>
              <w:rPr>
                <w:sz w:val="18"/>
                <w:szCs w:val="18"/>
              </w:rPr>
            </w:pPr>
            <w:r w:rsidRPr="000C56CE">
              <w:rPr>
                <w:sz w:val="18"/>
                <w:szCs w:val="24"/>
              </w:rPr>
              <w:t>10</w:t>
            </w:r>
            <w:r w:rsidR="00A05A2B">
              <w:rPr>
                <w:sz w:val="18"/>
                <w:szCs w:val="24"/>
              </w:rPr>
              <w:t>,</w:t>
            </w:r>
            <w:r w:rsidRPr="000C56CE">
              <w:rPr>
                <w:sz w:val="18"/>
                <w:szCs w:val="24"/>
              </w:rPr>
              <w:t>5</w:t>
            </w:r>
          </w:p>
        </w:tc>
      </w:tr>
      <w:tr w:rsidR="00AA5E7D" w:rsidRPr="0068209D" w14:paraId="45C33F76" w14:textId="77777777" w:rsidTr="000A1C86">
        <w:tc>
          <w:tcPr>
            <w:tcW w:w="2012" w:type="dxa"/>
            <w:shd w:val="clear" w:color="auto" w:fill="auto"/>
          </w:tcPr>
          <w:p w14:paraId="74C9F92A"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2015</w:t>
            </w:r>
          </w:p>
        </w:tc>
        <w:tc>
          <w:tcPr>
            <w:tcW w:w="2995" w:type="dxa"/>
            <w:shd w:val="clear" w:color="auto" w:fill="auto"/>
            <w:vAlign w:val="bottom"/>
          </w:tcPr>
          <w:p w14:paraId="0368A677" w14:textId="0EDACED3"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6</w:t>
            </w:r>
          </w:p>
        </w:tc>
        <w:tc>
          <w:tcPr>
            <w:tcW w:w="2363" w:type="dxa"/>
            <w:shd w:val="clear" w:color="auto" w:fill="auto"/>
            <w:vAlign w:val="bottom"/>
          </w:tcPr>
          <w:p w14:paraId="60C6CD6A" w14:textId="6E8BC49B" w:rsidR="00AA5E7D" w:rsidRPr="00AA5E7D" w:rsidRDefault="00AA5E7D" w:rsidP="00AA5E7D">
            <w:pPr>
              <w:spacing w:before="20" w:after="20" w:line="300" w:lineRule="exact"/>
              <w:ind w:left="57" w:right="57"/>
              <w:rPr>
                <w:sz w:val="18"/>
                <w:szCs w:val="18"/>
              </w:rPr>
            </w:pPr>
            <w:r w:rsidRPr="000C56CE">
              <w:rPr>
                <w:sz w:val="18"/>
                <w:szCs w:val="24"/>
              </w:rPr>
              <w:t>10</w:t>
            </w:r>
            <w:r w:rsidR="00A05A2B">
              <w:rPr>
                <w:sz w:val="18"/>
                <w:szCs w:val="24"/>
              </w:rPr>
              <w:t>,</w:t>
            </w:r>
            <w:r w:rsidRPr="000C56CE">
              <w:rPr>
                <w:sz w:val="18"/>
                <w:szCs w:val="24"/>
              </w:rPr>
              <w:t>6</w:t>
            </w:r>
          </w:p>
        </w:tc>
      </w:tr>
      <w:tr w:rsidR="00AA5E7D" w:rsidRPr="0068209D" w14:paraId="4D9B3E3F" w14:textId="77777777" w:rsidTr="000A1C86">
        <w:tc>
          <w:tcPr>
            <w:tcW w:w="2012" w:type="dxa"/>
            <w:shd w:val="clear" w:color="auto" w:fill="auto"/>
          </w:tcPr>
          <w:p w14:paraId="6E66778B"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2016</w:t>
            </w:r>
          </w:p>
        </w:tc>
        <w:tc>
          <w:tcPr>
            <w:tcW w:w="2995" w:type="dxa"/>
            <w:shd w:val="clear" w:color="auto" w:fill="auto"/>
            <w:vAlign w:val="bottom"/>
          </w:tcPr>
          <w:p w14:paraId="6C04FBFD" w14:textId="0EA08B97"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6</w:t>
            </w:r>
          </w:p>
        </w:tc>
        <w:tc>
          <w:tcPr>
            <w:tcW w:w="2363" w:type="dxa"/>
            <w:shd w:val="clear" w:color="auto" w:fill="auto"/>
            <w:vAlign w:val="bottom"/>
          </w:tcPr>
          <w:p w14:paraId="164419B7" w14:textId="7EEF361C" w:rsidR="00AA5E7D" w:rsidRPr="00AA5E7D" w:rsidRDefault="00AA5E7D" w:rsidP="00AA5E7D">
            <w:pPr>
              <w:spacing w:before="20" w:after="20" w:line="300" w:lineRule="exact"/>
              <w:ind w:left="57" w:right="57"/>
              <w:rPr>
                <w:sz w:val="18"/>
                <w:szCs w:val="18"/>
              </w:rPr>
            </w:pPr>
            <w:r w:rsidRPr="000C56CE">
              <w:rPr>
                <w:sz w:val="18"/>
                <w:szCs w:val="24"/>
              </w:rPr>
              <w:t>11</w:t>
            </w:r>
            <w:r w:rsidR="00A05A2B">
              <w:rPr>
                <w:sz w:val="18"/>
                <w:szCs w:val="24"/>
              </w:rPr>
              <w:t>,</w:t>
            </w:r>
            <w:r w:rsidRPr="000C56CE">
              <w:rPr>
                <w:sz w:val="18"/>
                <w:szCs w:val="24"/>
              </w:rPr>
              <w:t>1</w:t>
            </w:r>
          </w:p>
        </w:tc>
      </w:tr>
      <w:tr w:rsidR="00AA5E7D" w:rsidRPr="0068209D" w14:paraId="35616F79" w14:textId="77777777" w:rsidTr="000A1C86">
        <w:tc>
          <w:tcPr>
            <w:tcW w:w="2012" w:type="dxa"/>
            <w:shd w:val="clear" w:color="auto" w:fill="auto"/>
          </w:tcPr>
          <w:p w14:paraId="57AFDCA3" w14:textId="77777777" w:rsidR="00AA5E7D" w:rsidRPr="00AA5E7D" w:rsidRDefault="00AA5E7D" w:rsidP="00AA5E7D">
            <w:pPr>
              <w:spacing w:before="20" w:after="20" w:line="300" w:lineRule="exact"/>
              <w:ind w:left="57" w:right="57"/>
              <w:textDirection w:val="tbRlV"/>
              <w:rPr>
                <w:sz w:val="18"/>
                <w:szCs w:val="18"/>
                <w:lang w:val="ar-SA" w:eastAsia="zh-TW" w:bidi="en-GB"/>
              </w:rPr>
            </w:pPr>
            <w:r w:rsidRPr="00AA5E7D">
              <w:rPr>
                <w:sz w:val="18"/>
                <w:szCs w:val="18"/>
                <w:rtl/>
              </w:rPr>
              <w:t>2017</w:t>
            </w:r>
          </w:p>
        </w:tc>
        <w:tc>
          <w:tcPr>
            <w:tcW w:w="2995" w:type="dxa"/>
            <w:shd w:val="clear" w:color="auto" w:fill="auto"/>
            <w:vAlign w:val="bottom"/>
          </w:tcPr>
          <w:p w14:paraId="10B04CAF" w14:textId="4424868F"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7</w:t>
            </w:r>
          </w:p>
        </w:tc>
        <w:tc>
          <w:tcPr>
            <w:tcW w:w="2363" w:type="dxa"/>
            <w:shd w:val="clear" w:color="auto" w:fill="auto"/>
            <w:vAlign w:val="bottom"/>
          </w:tcPr>
          <w:p w14:paraId="567A8587" w14:textId="74DC483A" w:rsidR="00AA5E7D" w:rsidRPr="00AA5E7D" w:rsidRDefault="00AA5E7D" w:rsidP="00AA5E7D">
            <w:pPr>
              <w:spacing w:before="20" w:after="20" w:line="300" w:lineRule="exact"/>
              <w:ind w:left="57" w:right="57"/>
              <w:rPr>
                <w:sz w:val="18"/>
                <w:szCs w:val="18"/>
              </w:rPr>
            </w:pPr>
            <w:r w:rsidRPr="000C56CE">
              <w:rPr>
                <w:sz w:val="18"/>
                <w:szCs w:val="24"/>
              </w:rPr>
              <w:t>11</w:t>
            </w:r>
            <w:r w:rsidR="00A05A2B">
              <w:rPr>
                <w:sz w:val="18"/>
                <w:szCs w:val="24"/>
              </w:rPr>
              <w:t>,</w:t>
            </w:r>
            <w:r w:rsidRPr="000C56CE">
              <w:rPr>
                <w:sz w:val="18"/>
                <w:szCs w:val="24"/>
              </w:rPr>
              <w:t>3</w:t>
            </w:r>
          </w:p>
        </w:tc>
      </w:tr>
      <w:tr w:rsidR="00AA5E7D" w:rsidRPr="0068209D" w14:paraId="1284F950" w14:textId="77777777" w:rsidTr="000A1C86">
        <w:tc>
          <w:tcPr>
            <w:tcW w:w="2012" w:type="dxa"/>
            <w:shd w:val="clear" w:color="auto" w:fill="auto"/>
          </w:tcPr>
          <w:p w14:paraId="75FE5037" w14:textId="77777777" w:rsidR="00AA5E7D" w:rsidRPr="00AA5E7D" w:rsidRDefault="00AA5E7D" w:rsidP="00AA5E7D">
            <w:pPr>
              <w:spacing w:before="20" w:after="20" w:line="300" w:lineRule="exact"/>
              <w:ind w:left="57" w:right="57"/>
              <w:textDirection w:val="tbRlV"/>
              <w:rPr>
                <w:sz w:val="18"/>
                <w:szCs w:val="18"/>
                <w:lang w:eastAsia="zh-TW" w:bidi="en-GB"/>
              </w:rPr>
            </w:pPr>
            <w:r w:rsidRPr="00AA5E7D">
              <w:rPr>
                <w:sz w:val="18"/>
                <w:szCs w:val="18"/>
                <w:rtl/>
              </w:rPr>
              <w:t>2018</w:t>
            </w:r>
          </w:p>
        </w:tc>
        <w:tc>
          <w:tcPr>
            <w:tcW w:w="2995" w:type="dxa"/>
            <w:shd w:val="clear" w:color="auto" w:fill="auto"/>
            <w:vAlign w:val="bottom"/>
          </w:tcPr>
          <w:p w14:paraId="38585753" w14:textId="048098D4" w:rsidR="00AA5E7D" w:rsidRPr="00AA5E7D" w:rsidRDefault="00AA5E7D" w:rsidP="00AA5E7D">
            <w:pPr>
              <w:spacing w:before="20" w:after="20" w:line="300" w:lineRule="exact"/>
              <w:ind w:left="57" w:right="57"/>
              <w:rPr>
                <w:sz w:val="18"/>
                <w:szCs w:val="18"/>
              </w:rPr>
            </w:pPr>
            <w:r w:rsidRPr="000C56CE">
              <w:rPr>
                <w:sz w:val="18"/>
                <w:szCs w:val="24"/>
              </w:rPr>
              <w:t>3</w:t>
            </w:r>
            <w:r w:rsidR="00A05A2B">
              <w:rPr>
                <w:sz w:val="18"/>
                <w:szCs w:val="24"/>
              </w:rPr>
              <w:t>,</w:t>
            </w:r>
            <w:r w:rsidRPr="000C56CE">
              <w:rPr>
                <w:sz w:val="18"/>
                <w:szCs w:val="24"/>
              </w:rPr>
              <w:t>5</w:t>
            </w:r>
          </w:p>
        </w:tc>
        <w:tc>
          <w:tcPr>
            <w:tcW w:w="2363" w:type="dxa"/>
            <w:shd w:val="clear" w:color="auto" w:fill="auto"/>
            <w:vAlign w:val="bottom"/>
          </w:tcPr>
          <w:p w14:paraId="301AE30B" w14:textId="2AB62108" w:rsidR="00AA5E7D" w:rsidRPr="00AA5E7D" w:rsidRDefault="00AA5E7D" w:rsidP="00AA5E7D">
            <w:pPr>
              <w:spacing w:before="20" w:after="20" w:line="300" w:lineRule="exact"/>
              <w:ind w:left="57" w:right="57"/>
              <w:rPr>
                <w:sz w:val="18"/>
                <w:szCs w:val="18"/>
              </w:rPr>
            </w:pPr>
            <w:r w:rsidRPr="000C56CE">
              <w:rPr>
                <w:sz w:val="18"/>
                <w:szCs w:val="24"/>
              </w:rPr>
              <w:t>11</w:t>
            </w:r>
            <w:r w:rsidR="00A05A2B">
              <w:rPr>
                <w:sz w:val="18"/>
                <w:szCs w:val="24"/>
              </w:rPr>
              <w:t>,</w:t>
            </w:r>
            <w:r w:rsidRPr="000C56CE">
              <w:rPr>
                <w:sz w:val="18"/>
                <w:szCs w:val="24"/>
              </w:rPr>
              <w:t>0</w:t>
            </w:r>
          </w:p>
        </w:tc>
      </w:tr>
    </w:tbl>
    <w:p w14:paraId="125D1D26" w14:textId="77777777" w:rsidR="00C815DB" w:rsidRPr="0068209D" w:rsidRDefault="00C815DB" w:rsidP="00BE4C80">
      <w:pPr>
        <w:pStyle w:val="SingleTxtGA"/>
        <w:rPr>
          <w:sz w:val="30"/>
          <w:lang w:val="ar-SA" w:eastAsia="zh-TW" w:bidi="en-GB"/>
        </w:rPr>
      </w:pPr>
      <w:r w:rsidRPr="00AA5E7D">
        <w:rPr>
          <w:i/>
          <w:iCs/>
          <w:sz w:val="26"/>
          <w:szCs w:val="26"/>
          <w:rtl/>
        </w:rPr>
        <w:t>المصدر</w:t>
      </w:r>
      <w:r w:rsidRPr="00BB79C1">
        <w:t>:</w:t>
      </w:r>
      <w:r w:rsidRPr="0068209D">
        <w:rPr>
          <w:sz w:val="30"/>
          <w:rtl/>
        </w:rPr>
        <w:t xml:space="preserve"> </w:t>
      </w:r>
      <w:r w:rsidRPr="00E3220A">
        <w:rPr>
          <w:sz w:val="18"/>
          <w:szCs w:val="18"/>
        </w:rPr>
        <w:t>Criminal Sanctions Agency</w:t>
      </w:r>
      <w:r w:rsidRPr="0068209D">
        <w:rPr>
          <w:sz w:val="30"/>
          <w:rtl/>
        </w:rPr>
        <w:t>.</w:t>
      </w:r>
    </w:p>
    <w:p w14:paraId="1933FF4B" w14:textId="77777777" w:rsidR="00C815DB" w:rsidRPr="0068209D" w:rsidRDefault="00C815DB" w:rsidP="00BE4C80">
      <w:pPr>
        <w:pStyle w:val="SingleTxtGA"/>
        <w:rPr>
          <w:lang w:val="ar-SA" w:eastAsia="zh-TW" w:bidi="en-GB"/>
        </w:rPr>
      </w:pPr>
      <w:r w:rsidRPr="005C19F0">
        <w:rPr>
          <w:szCs w:val="20"/>
          <w:rtl/>
        </w:rPr>
        <w:t>229</w:t>
      </w:r>
      <w:r w:rsidRPr="00EF3655">
        <w:rPr>
          <w:rtl/>
        </w:rPr>
        <w:t>-</w:t>
      </w:r>
      <w:r w:rsidRPr="0068209D">
        <w:rPr>
          <w:rtl/>
        </w:rPr>
        <w:tab/>
        <w:t>وانخفض عدد السجناء في فنلندا بأكثر من الثلث منذ سبعينات</w:t>
      </w:r>
      <w:r>
        <w:rPr>
          <w:rtl/>
        </w:rPr>
        <w:t xml:space="preserve"> القرن الماضي</w:t>
      </w:r>
      <w:r w:rsidRPr="0068209D">
        <w:rPr>
          <w:rtl/>
        </w:rPr>
        <w:t>. وخلال الفترة نفسها، عُزز نظام الجزاءات الجنائية بأشكال جديدة من الجزاءات، مثل عقوبة الرصد.</w:t>
      </w:r>
    </w:p>
    <w:p w14:paraId="10949A3C" w14:textId="146204ED" w:rsidR="00C815DB" w:rsidRPr="00187106" w:rsidRDefault="00C815DB" w:rsidP="00AA5E7D">
      <w:pPr>
        <w:pStyle w:val="SingleTxtGA"/>
        <w:spacing w:after="0"/>
        <w:rPr>
          <w:lang w:eastAsia="zh-TW" w:bidi="en-GB"/>
        </w:rPr>
      </w:pPr>
      <w:r w:rsidRPr="0068209D">
        <w:rPr>
          <w:rtl/>
        </w:rPr>
        <w:t xml:space="preserve">الجدول </w:t>
      </w:r>
      <w:r w:rsidRPr="005C19F0">
        <w:rPr>
          <w:szCs w:val="20"/>
          <w:rtl/>
        </w:rPr>
        <w:t>18</w:t>
      </w:r>
    </w:p>
    <w:p w14:paraId="2FED9710" w14:textId="77777777" w:rsidR="00C815DB" w:rsidRPr="00BE4C80" w:rsidRDefault="00C815DB" w:rsidP="00BE4C80">
      <w:pPr>
        <w:pStyle w:val="SingleTxtGA"/>
        <w:rPr>
          <w:b/>
          <w:bCs/>
          <w:lang w:val="ar-SA" w:eastAsia="zh-TW" w:bidi="en-GB"/>
        </w:rPr>
      </w:pPr>
      <w:r w:rsidRPr="00BE4C80">
        <w:rPr>
          <w:b/>
          <w:bCs/>
          <w:rtl/>
        </w:rPr>
        <w:t>متوسط عدد السجناء يومياً</w:t>
      </w:r>
    </w:p>
    <w:tbl>
      <w:tblPr>
        <w:bidiVisual/>
        <w:tblW w:w="7235" w:type="dxa"/>
        <w:tblInd w:w="122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9"/>
        <w:gridCol w:w="622"/>
        <w:gridCol w:w="567"/>
        <w:gridCol w:w="1134"/>
        <w:gridCol w:w="1175"/>
        <w:gridCol w:w="644"/>
        <w:gridCol w:w="896"/>
        <w:gridCol w:w="1638"/>
      </w:tblGrid>
      <w:tr w:rsidR="00C815DB" w:rsidRPr="007A4887" w14:paraId="66BAEB0F" w14:textId="77777777" w:rsidTr="002953FF">
        <w:trPr>
          <w:tblHeader/>
        </w:trPr>
        <w:tc>
          <w:tcPr>
            <w:tcW w:w="559" w:type="dxa"/>
            <w:vMerge w:val="restart"/>
            <w:tcBorders>
              <w:top w:val="single" w:sz="4" w:space="0" w:color="auto"/>
            </w:tcBorders>
            <w:shd w:val="clear" w:color="auto" w:fill="auto"/>
            <w:vAlign w:val="bottom"/>
          </w:tcPr>
          <w:p w14:paraId="48C8FB2E"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السنة</w:t>
            </w:r>
          </w:p>
        </w:tc>
        <w:tc>
          <w:tcPr>
            <w:tcW w:w="4142" w:type="dxa"/>
            <w:gridSpan w:val="5"/>
            <w:tcBorders>
              <w:top w:val="single" w:sz="4" w:space="0" w:color="auto"/>
              <w:bottom w:val="single" w:sz="4" w:space="0" w:color="auto"/>
            </w:tcBorders>
            <w:shd w:val="clear" w:color="auto" w:fill="auto"/>
            <w:vAlign w:val="bottom"/>
          </w:tcPr>
          <w:p w14:paraId="615900A8" w14:textId="77777777" w:rsidR="00C815DB" w:rsidRPr="002953FF" w:rsidRDefault="00C815DB" w:rsidP="002953FF">
            <w:pPr>
              <w:spacing w:before="20" w:after="20" w:line="300" w:lineRule="exact"/>
              <w:ind w:left="57" w:right="57"/>
              <w:jc w:val="center"/>
              <w:textDirection w:val="tbRlV"/>
              <w:rPr>
                <w:bCs/>
                <w:i/>
                <w:sz w:val="24"/>
                <w:szCs w:val="24"/>
                <w:lang w:val="ar-SA" w:eastAsia="zh-TW" w:bidi="en-GB"/>
              </w:rPr>
            </w:pPr>
            <w:r w:rsidRPr="002953FF">
              <w:rPr>
                <w:i/>
                <w:iCs/>
                <w:sz w:val="24"/>
                <w:szCs w:val="24"/>
                <w:rtl/>
              </w:rPr>
              <w:t>متوسط عدد السجناء يومياً</w:t>
            </w:r>
          </w:p>
        </w:tc>
        <w:tc>
          <w:tcPr>
            <w:tcW w:w="896" w:type="dxa"/>
            <w:vMerge w:val="restart"/>
            <w:tcBorders>
              <w:top w:val="single" w:sz="4" w:space="0" w:color="auto"/>
              <w:bottom w:val="single" w:sz="12" w:space="0" w:color="auto"/>
            </w:tcBorders>
            <w:shd w:val="clear" w:color="auto" w:fill="auto"/>
            <w:vAlign w:val="bottom"/>
          </w:tcPr>
          <w:p w14:paraId="2E7B0AEB" w14:textId="77777777" w:rsidR="00C815DB" w:rsidRPr="002953FF" w:rsidRDefault="000A1C86" w:rsidP="002953FF">
            <w:pPr>
              <w:spacing w:before="20" w:after="20" w:line="300" w:lineRule="exact"/>
              <w:ind w:left="57" w:right="57"/>
              <w:textDirection w:val="tbRlV"/>
              <w:rPr>
                <w:bCs/>
                <w:i/>
                <w:sz w:val="24"/>
                <w:szCs w:val="24"/>
                <w:lang w:val="ar-SA" w:eastAsia="zh-TW" w:bidi="en-GB"/>
              </w:rPr>
            </w:pPr>
            <w:dir w:val="rtl">
              <w:r w:rsidR="00C815DB" w:rsidRPr="002953FF">
                <w:rPr>
                  <w:i/>
                  <w:iCs/>
                  <w:sz w:val="24"/>
                  <w:szCs w:val="24"/>
                  <w:rtl/>
                </w:rPr>
                <w:t>السجناء المفرج عنهم</w:t>
              </w:r>
              <w:r w:rsidR="00C815DB" w:rsidRPr="002953FF">
                <w:rPr>
                  <w:sz w:val="24"/>
                  <w:szCs w:val="24"/>
                </w:rPr>
                <w:t>‬</w:t>
              </w:r>
              <w:r w:rsidR="00C815DB" w:rsidRPr="002953FF">
                <w:rPr>
                  <w:sz w:val="24"/>
                  <w:szCs w:val="24"/>
                </w:rPr>
                <w:t>‬</w:t>
              </w:r>
              <w:r w:rsidR="00C815DB" w:rsidRPr="002953FF">
                <w:rPr>
                  <w:sz w:val="24"/>
                  <w:szCs w:val="24"/>
                </w:rPr>
                <w:t>‬</w:t>
              </w:r>
              <w:r w:rsidR="00C815DB" w:rsidRPr="002953FF">
                <w:rPr>
                  <w:sz w:val="24"/>
                  <w:szCs w:val="24"/>
                </w:rPr>
                <w:t>‬</w:t>
              </w:r>
              <w:r>
                <w:t>‬</w:t>
              </w:r>
            </w:dir>
          </w:p>
        </w:tc>
        <w:tc>
          <w:tcPr>
            <w:tcW w:w="1638" w:type="dxa"/>
            <w:vMerge w:val="restart"/>
            <w:tcBorders>
              <w:top w:val="single" w:sz="4" w:space="0" w:color="auto"/>
              <w:bottom w:val="single" w:sz="12" w:space="0" w:color="auto"/>
            </w:tcBorders>
            <w:shd w:val="clear" w:color="auto" w:fill="auto"/>
            <w:vAlign w:val="bottom"/>
          </w:tcPr>
          <w:p w14:paraId="415EA3B3"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 xml:space="preserve">الأماكن المتاحة في السجون </w:t>
            </w:r>
            <w:r w:rsidRPr="002953FF">
              <w:rPr>
                <w:sz w:val="24"/>
                <w:szCs w:val="24"/>
                <w:rtl/>
              </w:rPr>
              <w:t>(</w:t>
            </w:r>
            <w:r w:rsidRPr="002953FF">
              <w:rPr>
                <w:i/>
                <w:iCs/>
                <w:sz w:val="24"/>
                <w:szCs w:val="24"/>
                <w:rtl/>
              </w:rPr>
              <w:t>جميع السجون</w:t>
            </w:r>
            <w:r w:rsidRPr="002953FF">
              <w:rPr>
                <w:sz w:val="24"/>
                <w:szCs w:val="24"/>
                <w:rtl/>
              </w:rPr>
              <w:t xml:space="preserve">) </w:t>
            </w:r>
          </w:p>
        </w:tc>
      </w:tr>
      <w:tr w:rsidR="00C815DB" w:rsidRPr="007A4887" w14:paraId="602215B6" w14:textId="77777777" w:rsidTr="002953FF">
        <w:trPr>
          <w:tblHeader/>
        </w:trPr>
        <w:tc>
          <w:tcPr>
            <w:tcW w:w="559" w:type="dxa"/>
            <w:vMerge/>
            <w:tcBorders>
              <w:bottom w:val="single" w:sz="12" w:space="0" w:color="auto"/>
            </w:tcBorders>
            <w:shd w:val="clear" w:color="auto" w:fill="auto"/>
          </w:tcPr>
          <w:p w14:paraId="2BD880E8" w14:textId="77777777" w:rsidR="00C815DB" w:rsidRPr="007A4887" w:rsidRDefault="00C815DB" w:rsidP="002953FF">
            <w:pPr>
              <w:spacing w:before="20" w:after="20" w:line="300" w:lineRule="exact"/>
              <w:ind w:left="57" w:right="57"/>
              <w:rPr>
                <w:bCs/>
                <w:i/>
                <w:sz w:val="24"/>
                <w:szCs w:val="24"/>
              </w:rPr>
            </w:pPr>
          </w:p>
        </w:tc>
        <w:tc>
          <w:tcPr>
            <w:tcW w:w="622" w:type="dxa"/>
            <w:tcBorders>
              <w:top w:val="single" w:sz="4" w:space="0" w:color="auto"/>
              <w:bottom w:val="single" w:sz="12" w:space="0" w:color="auto"/>
            </w:tcBorders>
            <w:shd w:val="clear" w:color="auto" w:fill="auto"/>
            <w:vAlign w:val="bottom"/>
          </w:tcPr>
          <w:p w14:paraId="2BD611AF"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المجموع</w:t>
            </w:r>
          </w:p>
        </w:tc>
        <w:tc>
          <w:tcPr>
            <w:tcW w:w="567" w:type="dxa"/>
            <w:tcBorders>
              <w:top w:val="single" w:sz="4" w:space="0" w:color="auto"/>
              <w:bottom w:val="single" w:sz="12" w:space="0" w:color="auto"/>
            </w:tcBorders>
            <w:shd w:val="clear" w:color="auto" w:fill="auto"/>
            <w:vAlign w:val="bottom"/>
          </w:tcPr>
          <w:p w14:paraId="4E713267"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النساء</w:t>
            </w:r>
          </w:p>
        </w:tc>
        <w:tc>
          <w:tcPr>
            <w:tcW w:w="1134" w:type="dxa"/>
            <w:tcBorders>
              <w:top w:val="single" w:sz="4" w:space="0" w:color="auto"/>
              <w:bottom w:val="single" w:sz="12" w:space="0" w:color="auto"/>
            </w:tcBorders>
            <w:shd w:val="clear" w:color="auto" w:fill="auto"/>
            <w:vAlign w:val="bottom"/>
          </w:tcPr>
          <w:p w14:paraId="67A76C5D"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السجناء الذين لم يدفعوا غرامات</w:t>
            </w:r>
          </w:p>
        </w:tc>
        <w:tc>
          <w:tcPr>
            <w:tcW w:w="1175" w:type="dxa"/>
            <w:tcBorders>
              <w:top w:val="single" w:sz="4" w:space="0" w:color="auto"/>
              <w:bottom w:val="single" w:sz="12" w:space="0" w:color="auto"/>
            </w:tcBorders>
            <w:shd w:val="clear" w:color="auto" w:fill="auto"/>
            <w:vAlign w:val="bottom"/>
          </w:tcPr>
          <w:p w14:paraId="1CF5088D"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السجناء رهن الحبس الاحتياطي</w:t>
            </w:r>
          </w:p>
        </w:tc>
        <w:tc>
          <w:tcPr>
            <w:tcW w:w="644" w:type="dxa"/>
            <w:tcBorders>
              <w:top w:val="single" w:sz="4" w:space="0" w:color="auto"/>
              <w:bottom w:val="single" w:sz="12" w:space="0" w:color="auto"/>
            </w:tcBorders>
            <w:shd w:val="clear" w:color="auto" w:fill="auto"/>
            <w:vAlign w:val="bottom"/>
          </w:tcPr>
          <w:p w14:paraId="7F55B7C0" w14:textId="77777777" w:rsidR="00C815DB" w:rsidRPr="002953FF" w:rsidRDefault="00C815DB" w:rsidP="002953FF">
            <w:pPr>
              <w:spacing w:before="20" w:after="20" w:line="300" w:lineRule="exact"/>
              <w:ind w:left="57" w:right="57"/>
              <w:textDirection w:val="tbRlV"/>
              <w:rPr>
                <w:bCs/>
                <w:i/>
                <w:sz w:val="24"/>
                <w:szCs w:val="24"/>
                <w:lang w:val="ar-SA" w:eastAsia="zh-TW" w:bidi="en-GB"/>
              </w:rPr>
            </w:pPr>
            <w:r w:rsidRPr="002953FF">
              <w:rPr>
                <w:i/>
                <w:iCs/>
                <w:sz w:val="24"/>
                <w:szCs w:val="24"/>
                <w:rtl/>
              </w:rPr>
              <w:t>السجناء الأجانب</w:t>
            </w:r>
          </w:p>
        </w:tc>
        <w:tc>
          <w:tcPr>
            <w:tcW w:w="896" w:type="dxa"/>
            <w:vMerge/>
            <w:tcBorders>
              <w:top w:val="single" w:sz="12" w:space="0" w:color="auto"/>
              <w:bottom w:val="single" w:sz="12" w:space="0" w:color="auto"/>
            </w:tcBorders>
            <w:shd w:val="clear" w:color="auto" w:fill="auto"/>
            <w:vAlign w:val="bottom"/>
          </w:tcPr>
          <w:p w14:paraId="1677393D" w14:textId="77777777" w:rsidR="00C815DB" w:rsidRPr="002953FF" w:rsidRDefault="00C815DB" w:rsidP="002953FF">
            <w:pPr>
              <w:spacing w:before="20" w:after="20" w:line="300" w:lineRule="exact"/>
              <w:ind w:left="57" w:right="57"/>
              <w:rPr>
                <w:bCs/>
                <w:i/>
                <w:sz w:val="24"/>
                <w:szCs w:val="24"/>
              </w:rPr>
            </w:pPr>
          </w:p>
        </w:tc>
        <w:tc>
          <w:tcPr>
            <w:tcW w:w="1638" w:type="dxa"/>
            <w:vMerge/>
            <w:tcBorders>
              <w:top w:val="single" w:sz="12" w:space="0" w:color="auto"/>
              <w:bottom w:val="single" w:sz="12" w:space="0" w:color="auto"/>
            </w:tcBorders>
            <w:shd w:val="clear" w:color="auto" w:fill="auto"/>
            <w:vAlign w:val="bottom"/>
          </w:tcPr>
          <w:p w14:paraId="76DB8FA1" w14:textId="77777777" w:rsidR="00C815DB" w:rsidRPr="002953FF" w:rsidRDefault="00C815DB" w:rsidP="002953FF">
            <w:pPr>
              <w:spacing w:before="20" w:after="20" w:line="300" w:lineRule="exact"/>
              <w:ind w:left="57" w:right="57"/>
              <w:rPr>
                <w:bCs/>
                <w:i/>
                <w:sz w:val="24"/>
                <w:szCs w:val="24"/>
              </w:rPr>
            </w:pPr>
          </w:p>
        </w:tc>
      </w:tr>
      <w:tr w:rsidR="00E31679" w:rsidRPr="007A4887" w14:paraId="5D02B6BC" w14:textId="77777777" w:rsidTr="002953FF">
        <w:tc>
          <w:tcPr>
            <w:tcW w:w="559" w:type="dxa"/>
            <w:tcBorders>
              <w:top w:val="single" w:sz="12" w:space="0" w:color="auto"/>
            </w:tcBorders>
            <w:shd w:val="clear" w:color="auto" w:fill="auto"/>
          </w:tcPr>
          <w:p w14:paraId="16A7DBA2"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2009</w:t>
            </w:r>
          </w:p>
        </w:tc>
        <w:tc>
          <w:tcPr>
            <w:tcW w:w="622" w:type="dxa"/>
            <w:tcBorders>
              <w:top w:val="single" w:sz="12" w:space="0" w:color="auto"/>
            </w:tcBorders>
            <w:shd w:val="clear" w:color="auto" w:fill="auto"/>
            <w:vAlign w:val="bottom"/>
          </w:tcPr>
          <w:p w14:paraId="40A19AA3" w14:textId="4376070E" w:rsidR="00E31679" w:rsidRPr="00E31679" w:rsidRDefault="00E31679" w:rsidP="002953FF">
            <w:pPr>
              <w:spacing w:before="20" w:after="20" w:line="300" w:lineRule="exact"/>
              <w:ind w:left="57" w:right="57"/>
              <w:rPr>
                <w:sz w:val="18"/>
                <w:szCs w:val="18"/>
              </w:rPr>
            </w:pPr>
            <w:r w:rsidRPr="00E31679">
              <w:rPr>
                <w:sz w:val="18"/>
                <w:szCs w:val="18"/>
              </w:rPr>
              <w:t>3 492</w:t>
            </w:r>
          </w:p>
        </w:tc>
        <w:tc>
          <w:tcPr>
            <w:tcW w:w="567" w:type="dxa"/>
            <w:tcBorders>
              <w:top w:val="single" w:sz="12" w:space="0" w:color="auto"/>
            </w:tcBorders>
            <w:shd w:val="clear" w:color="auto" w:fill="auto"/>
            <w:vAlign w:val="bottom"/>
          </w:tcPr>
          <w:p w14:paraId="12B62F51" w14:textId="21F98D5D" w:rsidR="00E31679" w:rsidRPr="00E31679" w:rsidRDefault="00E31679" w:rsidP="002953FF">
            <w:pPr>
              <w:spacing w:before="20" w:after="20" w:line="300" w:lineRule="exact"/>
              <w:ind w:left="57" w:right="57"/>
              <w:rPr>
                <w:sz w:val="18"/>
                <w:szCs w:val="18"/>
              </w:rPr>
            </w:pPr>
            <w:r w:rsidRPr="00E31679">
              <w:rPr>
                <w:sz w:val="18"/>
                <w:szCs w:val="18"/>
              </w:rPr>
              <w:t>246</w:t>
            </w:r>
          </w:p>
        </w:tc>
        <w:tc>
          <w:tcPr>
            <w:tcW w:w="1134" w:type="dxa"/>
            <w:tcBorders>
              <w:top w:val="single" w:sz="12" w:space="0" w:color="auto"/>
            </w:tcBorders>
            <w:shd w:val="clear" w:color="auto" w:fill="auto"/>
            <w:vAlign w:val="bottom"/>
          </w:tcPr>
          <w:p w14:paraId="7241F091" w14:textId="7DB0E420" w:rsidR="00E31679" w:rsidRPr="00E31679" w:rsidRDefault="00E31679" w:rsidP="002953FF">
            <w:pPr>
              <w:spacing w:before="20" w:after="20" w:line="300" w:lineRule="exact"/>
              <w:ind w:left="57" w:right="57"/>
              <w:rPr>
                <w:sz w:val="18"/>
                <w:szCs w:val="18"/>
              </w:rPr>
            </w:pPr>
            <w:r w:rsidRPr="00E31679">
              <w:rPr>
                <w:sz w:val="18"/>
                <w:szCs w:val="18"/>
              </w:rPr>
              <w:t>83</w:t>
            </w:r>
          </w:p>
        </w:tc>
        <w:tc>
          <w:tcPr>
            <w:tcW w:w="1175" w:type="dxa"/>
            <w:tcBorders>
              <w:top w:val="single" w:sz="12" w:space="0" w:color="auto"/>
            </w:tcBorders>
            <w:shd w:val="clear" w:color="auto" w:fill="auto"/>
            <w:vAlign w:val="bottom"/>
          </w:tcPr>
          <w:p w14:paraId="66B6E914" w14:textId="062C9A70" w:rsidR="00E31679" w:rsidRPr="00E31679" w:rsidRDefault="00E31679" w:rsidP="002953FF">
            <w:pPr>
              <w:spacing w:before="20" w:after="20" w:line="300" w:lineRule="exact"/>
              <w:ind w:left="57" w:right="57"/>
              <w:rPr>
                <w:sz w:val="18"/>
                <w:szCs w:val="18"/>
              </w:rPr>
            </w:pPr>
            <w:r w:rsidRPr="00E31679">
              <w:rPr>
                <w:sz w:val="18"/>
                <w:szCs w:val="18"/>
              </w:rPr>
              <w:t>569</w:t>
            </w:r>
          </w:p>
        </w:tc>
        <w:tc>
          <w:tcPr>
            <w:tcW w:w="644" w:type="dxa"/>
            <w:tcBorders>
              <w:top w:val="single" w:sz="12" w:space="0" w:color="auto"/>
            </w:tcBorders>
            <w:shd w:val="clear" w:color="auto" w:fill="auto"/>
            <w:vAlign w:val="bottom"/>
          </w:tcPr>
          <w:p w14:paraId="12188E98" w14:textId="782D6312" w:rsidR="00E31679" w:rsidRPr="00E31679" w:rsidRDefault="00E31679" w:rsidP="002953FF">
            <w:pPr>
              <w:spacing w:before="20" w:after="20" w:line="300" w:lineRule="exact"/>
              <w:ind w:left="57" w:right="57"/>
              <w:rPr>
                <w:sz w:val="18"/>
                <w:szCs w:val="18"/>
              </w:rPr>
            </w:pPr>
            <w:r w:rsidRPr="00E31679">
              <w:rPr>
                <w:sz w:val="18"/>
                <w:szCs w:val="18"/>
              </w:rPr>
              <w:t>370</w:t>
            </w:r>
          </w:p>
        </w:tc>
        <w:tc>
          <w:tcPr>
            <w:tcW w:w="896" w:type="dxa"/>
            <w:tcBorders>
              <w:top w:val="single" w:sz="12" w:space="0" w:color="auto"/>
            </w:tcBorders>
            <w:shd w:val="clear" w:color="auto" w:fill="auto"/>
            <w:vAlign w:val="bottom"/>
          </w:tcPr>
          <w:p w14:paraId="53230707" w14:textId="003EA613" w:rsidR="00E31679" w:rsidRPr="00E31679" w:rsidRDefault="00E31679" w:rsidP="002953FF">
            <w:pPr>
              <w:spacing w:before="20" w:after="20" w:line="300" w:lineRule="exact"/>
              <w:ind w:left="57" w:right="57"/>
              <w:rPr>
                <w:sz w:val="18"/>
                <w:szCs w:val="18"/>
              </w:rPr>
            </w:pPr>
            <w:r w:rsidRPr="00E31679">
              <w:rPr>
                <w:sz w:val="18"/>
                <w:szCs w:val="18"/>
              </w:rPr>
              <w:t>7 246</w:t>
            </w:r>
          </w:p>
        </w:tc>
        <w:tc>
          <w:tcPr>
            <w:tcW w:w="1638" w:type="dxa"/>
            <w:tcBorders>
              <w:top w:val="single" w:sz="12" w:space="0" w:color="auto"/>
            </w:tcBorders>
            <w:shd w:val="clear" w:color="auto" w:fill="auto"/>
            <w:vAlign w:val="bottom"/>
          </w:tcPr>
          <w:p w14:paraId="01D17F06" w14:textId="7E75D62E" w:rsidR="00E31679" w:rsidRPr="00E31679" w:rsidRDefault="00E31679" w:rsidP="002953FF">
            <w:pPr>
              <w:spacing w:before="20" w:after="20" w:line="300" w:lineRule="exact"/>
              <w:ind w:left="57" w:right="57"/>
              <w:rPr>
                <w:sz w:val="18"/>
                <w:szCs w:val="18"/>
              </w:rPr>
            </w:pPr>
            <w:r w:rsidRPr="00E31679">
              <w:rPr>
                <w:sz w:val="18"/>
                <w:szCs w:val="18"/>
              </w:rPr>
              <w:t>3 298</w:t>
            </w:r>
          </w:p>
        </w:tc>
      </w:tr>
      <w:tr w:rsidR="00E31679" w:rsidRPr="007A4887" w14:paraId="1AEEE270" w14:textId="77777777" w:rsidTr="002953FF">
        <w:tc>
          <w:tcPr>
            <w:tcW w:w="559" w:type="dxa"/>
            <w:shd w:val="clear" w:color="auto" w:fill="auto"/>
          </w:tcPr>
          <w:p w14:paraId="4C2934EC"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2010</w:t>
            </w:r>
          </w:p>
        </w:tc>
        <w:tc>
          <w:tcPr>
            <w:tcW w:w="622" w:type="dxa"/>
            <w:shd w:val="clear" w:color="auto" w:fill="auto"/>
            <w:vAlign w:val="bottom"/>
          </w:tcPr>
          <w:p w14:paraId="63E01E6B" w14:textId="09A69428" w:rsidR="00E31679" w:rsidRPr="00E31679" w:rsidRDefault="00E31679" w:rsidP="002953FF">
            <w:pPr>
              <w:spacing w:before="20" w:after="20" w:line="300" w:lineRule="exact"/>
              <w:ind w:left="57" w:right="57"/>
              <w:rPr>
                <w:sz w:val="18"/>
                <w:szCs w:val="18"/>
              </w:rPr>
            </w:pPr>
            <w:r w:rsidRPr="00E31679">
              <w:rPr>
                <w:sz w:val="18"/>
                <w:szCs w:val="18"/>
              </w:rPr>
              <w:t>3 291</w:t>
            </w:r>
          </w:p>
        </w:tc>
        <w:tc>
          <w:tcPr>
            <w:tcW w:w="567" w:type="dxa"/>
            <w:shd w:val="clear" w:color="auto" w:fill="auto"/>
            <w:vAlign w:val="bottom"/>
          </w:tcPr>
          <w:p w14:paraId="27FBE329" w14:textId="568E848B" w:rsidR="00E31679" w:rsidRPr="00E31679" w:rsidRDefault="00E31679" w:rsidP="002953FF">
            <w:pPr>
              <w:spacing w:before="20" w:after="20" w:line="300" w:lineRule="exact"/>
              <w:ind w:left="57" w:right="57"/>
              <w:rPr>
                <w:sz w:val="18"/>
                <w:szCs w:val="18"/>
              </w:rPr>
            </w:pPr>
            <w:r w:rsidRPr="00E31679">
              <w:rPr>
                <w:sz w:val="18"/>
                <w:szCs w:val="18"/>
              </w:rPr>
              <w:t>246</w:t>
            </w:r>
          </w:p>
        </w:tc>
        <w:tc>
          <w:tcPr>
            <w:tcW w:w="1134" w:type="dxa"/>
            <w:shd w:val="clear" w:color="auto" w:fill="auto"/>
            <w:vAlign w:val="bottom"/>
          </w:tcPr>
          <w:p w14:paraId="05467224" w14:textId="347FA34F" w:rsidR="00E31679" w:rsidRPr="00E31679" w:rsidRDefault="00E31679" w:rsidP="002953FF">
            <w:pPr>
              <w:spacing w:before="20" w:after="20" w:line="300" w:lineRule="exact"/>
              <w:ind w:left="57" w:right="57"/>
              <w:rPr>
                <w:sz w:val="18"/>
                <w:szCs w:val="18"/>
              </w:rPr>
            </w:pPr>
            <w:r w:rsidRPr="00E31679">
              <w:rPr>
                <w:sz w:val="18"/>
                <w:szCs w:val="18"/>
              </w:rPr>
              <w:t>57</w:t>
            </w:r>
          </w:p>
        </w:tc>
        <w:tc>
          <w:tcPr>
            <w:tcW w:w="1175" w:type="dxa"/>
            <w:shd w:val="clear" w:color="auto" w:fill="auto"/>
            <w:vAlign w:val="bottom"/>
          </w:tcPr>
          <w:p w14:paraId="7A95852C" w14:textId="1FA8ED3C" w:rsidR="00E31679" w:rsidRPr="00E31679" w:rsidRDefault="00E31679" w:rsidP="002953FF">
            <w:pPr>
              <w:spacing w:before="20" w:after="20" w:line="300" w:lineRule="exact"/>
              <w:ind w:left="57" w:right="57"/>
              <w:rPr>
                <w:sz w:val="18"/>
                <w:szCs w:val="18"/>
              </w:rPr>
            </w:pPr>
            <w:r w:rsidRPr="00E31679">
              <w:rPr>
                <w:sz w:val="18"/>
                <w:szCs w:val="18"/>
              </w:rPr>
              <w:t>599</w:t>
            </w:r>
          </w:p>
        </w:tc>
        <w:tc>
          <w:tcPr>
            <w:tcW w:w="644" w:type="dxa"/>
            <w:shd w:val="clear" w:color="auto" w:fill="auto"/>
            <w:vAlign w:val="bottom"/>
          </w:tcPr>
          <w:p w14:paraId="5522EEBB" w14:textId="2EA1E0FA" w:rsidR="00E31679" w:rsidRPr="00E31679" w:rsidRDefault="00E31679" w:rsidP="002953FF">
            <w:pPr>
              <w:spacing w:before="20" w:after="20" w:line="300" w:lineRule="exact"/>
              <w:ind w:left="57" w:right="57"/>
              <w:rPr>
                <w:sz w:val="18"/>
                <w:szCs w:val="18"/>
              </w:rPr>
            </w:pPr>
            <w:r w:rsidRPr="00E31679">
              <w:rPr>
                <w:sz w:val="18"/>
                <w:szCs w:val="18"/>
              </w:rPr>
              <w:t>394</w:t>
            </w:r>
          </w:p>
        </w:tc>
        <w:tc>
          <w:tcPr>
            <w:tcW w:w="896" w:type="dxa"/>
            <w:shd w:val="clear" w:color="auto" w:fill="auto"/>
            <w:vAlign w:val="bottom"/>
          </w:tcPr>
          <w:p w14:paraId="382D5E9D" w14:textId="1340A9EB" w:rsidR="00E31679" w:rsidRPr="00E31679" w:rsidRDefault="00E31679" w:rsidP="002953FF">
            <w:pPr>
              <w:spacing w:before="20" w:after="20" w:line="300" w:lineRule="exact"/>
              <w:ind w:left="57" w:right="57"/>
              <w:rPr>
                <w:sz w:val="18"/>
                <w:szCs w:val="18"/>
              </w:rPr>
            </w:pPr>
            <w:r w:rsidRPr="00E31679">
              <w:rPr>
                <w:sz w:val="18"/>
                <w:szCs w:val="18"/>
              </w:rPr>
              <w:t>6 506</w:t>
            </w:r>
          </w:p>
        </w:tc>
        <w:tc>
          <w:tcPr>
            <w:tcW w:w="1638" w:type="dxa"/>
            <w:shd w:val="clear" w:color="auto" w:fill="auto"/>
            <w:vAlign w:val="bottom"/>
          </w:tcPr>
          <w:p w14:paraId="3F938F57" w14:textId="32C360B5" w:rsidR="00E31679" w:rsidRPr="00E31679" w:rsidRDefault="00E31679" w:rsidP="002953FF">
            <w:pPr>
              <w:spacing w:before="20" w:after="20" w:line="300" w:lineRule="exact"/>
              <w:ind w:left="57" w:right="57"/>
              <w:rPr>
                <w:sz w:val="18"/>
                <w:szCs w:val="18"/>
              </w:rPr>
            </w:pPr>
            <w:r w:rsidRPr="00E31679">
              <w:rPr>
                <w:sz w:val="18"/>
                <w:szCs w:val="18"/>
              </w:rPr>
              <w:t>3 113</w:t>
            </w:r>
          </w:p>
        </w:tc>
      </w:tr>
      <w:tr w:rsidR="00E31679" w:rsidRPr="007A4887" w14:paraId="7BD68667" w14:textId="77777777" w:rsidTr="002953FF">
        <w:tc>
          <w:tcPr>
            <w:tcW w:w="559" w:type="dxa"/>
            <w:shd w:val="clear" w:color="auto" w:fill="auto"/>
          </w:tcPr>
          <w:p w14:paraId="59719064"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2011</w:t>
            </w:r>
          </w:p>
        </w:tc>
        <w:tc>
          <w:tcPr>
            <w:tcW w:w="622" w:type="dxa"/>
            <w:shd w:val="clear" w:color="auto" w:fill="auto"/>
            <w:vAlign w:val="bottom"/>
          </w:tcPr>
          <w:p w14:paraId="74BD44E3" w14:textId="0C61CC69" w:rsidR="00E31679" w:rsidRPr="00E31679" w:rsidRDefault="00E31679" w:rsidP="002953FF">
            <w:pPr>
              <w:spacing w:before="20" w:after="20" w:line="300" w:lineRule="exact"/>
              <w:ind w:left="57" w:right="57"/>
              <w:rPr>
                <w:sz w:val="18"/>
                <w:szCs w:val="18"/>
              </w:rPr>
            </w:pPr>
            <w:r w:rsidRPr="00E31679">
              <w:rPr>
                <w:sz w:val="18"/>
                <w:szCs w:val="18"/>
              </w:rPr>
              <w:t>3 262</w:t>
            </w:r>
          </w:p>
        </w:tc>
        <w:tc>
          <w:tcPr>
            <w:tcW w:w="567" w:type="dxa"/>
            <w:shd w:val="clear" w:color="auto" w:fill="auto"/>
            <w:vAlign w:val="bottom"/>
          </w:tcPr>
          <w:p w14:paraId="1C089C46" w14:textId="1EEB84A7" w:rsidR="00E31679" w:rsidRPr="00E31679" w:rsidRDefault="00E31679" w:rsidP="002953FF">
            <w:pPr>
              <w:spacing w:before="20" w:after="20" w:line="300" w:lineRule="exact"/>
              <w:ind w:left="57" w:right="57"/>
              <w:rPr>
                <w:sz w:val="18"/>
                <w:szCs w:val="18"/>
              </w:rPr>
            </w:pPr>
            <w:r w:rsidRPr="00E31679">
              <w:rPr>
                <w:sz w:val="18"/>
                <w:szCs w:val="18"/>
              </w:rPr>
              <w:t>234</w:t>
            </w:r>
          </w:p>
        </w:tc>
        <w:tc>
          <w:tcPr>
            <w:tcW w:w="1134" w:type="dxa"/>
            <w:shd w:val="clear" w:color="auto" w:fill="auto"/>
            <w:vAlign w:val="bottom"/>
          </w:tcPr>
          <w:p w14:paraId="115FDAD0" w14:textId="4C4CD076" w:rsidR="00E31679" w:rsidRPr="00E31679" w:rsidRDefault="00E31679" w:rsidP="002953FF">
            <w:pPr>
              <w:spacing w:before="20" w:after="20" w:line="300" w:lineRule="exact"/>
              <w:ind w:left="57" w:right="57"/>
              <w:rPr>
                <w:sz w:val="18"/>
                <w:szCs w:val="18"/>
              </w:rPr>
            </w:pPr>
            <w:r w:rsidRPr="00E31679">
              <w:rPr>
                <w:sz w:val="18"/>
                <w:szCs w:val="18"/>
              </w:rPr>
              <w:t>53</w:t>
            </w:r>
          </w:p>
        </w:tc>
        <w:tc>
          <w:tcPr>
            <w:tcW w:w="1175" w:type="dxa"/>
            <w:shd w:val="clear" w:color="auto" w:fill="auto"/>
            <w:vAlign w:val="bottom"/>
          </w:tcPr>
          <w:p w14:paraId="255A0593" w14:textId="39E617E2" w:rsidR="00E31679" w:rsidRPr="00E31679" w:rsidRDefault="00E31679" w:rsidP="002953FF">
            <w:pPr>
              <w:spacing w:before="20" w:after="20" w:line="300" w:lineRule="exact"/>
              <w:ind w:left="57" w:right="57"/>
              <w:rPr>
                <w:sz w:val="18"/>
                <w:szCs w:val="18"/>
              </w:rPr>
            </w:pPr>
            <w:r w:rsidRPr="00E31679">
              <w:rPr>
                <w:sz w:val="18"/>
                <w:szCs w:val="18"/>
              </w:rPr>
              <w:t>598</w:t>
            </w:r>
          </w:p>
        </w:tc>
        <w:tc>
          <w:tcPr>
            <w:tcW w:w="644" w:type="dxa"/>
            <w:shd w:val="clear" w:color="auto" w:fill="auto"/>
            <w:vAlign w:val="bottom"/>
          </w:tcPr>
          <w:p w14:paraId="0994B218" w14:textId="4B2F0AD9" w:rsidR="00E31679" w:rsidRPr="00E31679" w:rsidRDefault="00E31679" w:rsidP="002953FF">
            <w:pPr>
              <w:spacing w:before="20" w:after="20" w:line="300" w:lineRule="exact"/>
              <w:ind w:left="57" w:right="57"/>
              <w:rPr>
                <w:sz w:val="18"/>
                <w:szCs w:val="18"/>
              </w:rPr>
            </w:pPr>
            <w:r w:rsidRPr="00E31679">
              <w:rPr>
                <w:sz w:val="18"/>
                <w:szCs w:val="18"/>
              </w:rPr>
              <w:t>444</w:t>
            </w:r>
          </w:p>
        </w:tc>
        <w:tc>
          <w:tcPr>
            <w:tcW w:w="896" w:type="dxa"/>
            <w:shd w:val="clear" w:color="auto" w:fill="auto"/>
            <w:vAlign w:val="bottom"/>
          </w:tcPr>
          <w:p w14:paraId="28810675" w14:textId="66C00730" w:rsidR="00E31679" w:rsidRPr="00E31679" w:rsidRDefault="00E31679" w:rsidP="002953FF">
            <w:pPr>
              <w:spacing w:before="20" w:after="20" w:line="300" w:lineRule="exact"/>
              <w:ind w:left="57" w:right="57"/>
              <w:rPr>
                <w:sz w:val="18"/>
                <w:szCs w:val="18"/>
              </w:rPr>
            </w:pPr>
            <w:r w:rsidRPr="00E31679">
              <w:rPr>
                <w:sz w:val="18"/>
                <w:szCs w:val="18"/>
              </w:rPr>
              <w:t>6 358</w:t>
            </w:r>
          </w:p>
        </w:tc>
        <w:tc>
          <w:tcPr>
            <w:tcW w:w="1638" w:type="dxa"/>
            <w:shd w:val="clear" w:color="auto" w:fill="auto"/>
            <w:vAlign w:val="bottom"/>
          </w:tcPr>
          <w:p w14:paraId="78E171C5" w14:textId="6FE0ACE7" w:rsidR="00E31679" w:rsidRPr="00E31679" w:rsidRDefault="00E31679" w:rsidP="002953FF">
            <w:pPr>
              <w:spacing w:before="20" w:after="20" w:line="300" w:lineRule="exact"/>
              <w:ind w:left="57" w:right="57"/>
              <w:rPr>
                <w:sz w:val="18"/>
                <w:szCs w:val="18"/>
              </w:rPr>
            </w:pPr>
            <w:r w:rsidRPr="00E31679">
              <w:rPr>
                <w:sz w:val="18"/>
                <w:szCs w:val="18"/>
              </w:rPr>
              <w:t>3 092</w:t>
            </w:r>
          </w:p>
        </w:tc>
      </w:tr>
      <w:tr w:rsidR="00E31679" w:rsidRPr="007A4887" w14:paraId="29BFB54D" w14:textId="77777777" w:rsidTr="002953FF">
        <w:tc>
          <w:tcPr>
            <w:tcW w:w="559" w:type="dxa"/>
            <w:shd w:val="clear" w:color="auto" w:fill="auto"/>
          </w:tcPr>
          <w:p w14:paraId="6FEF16B9"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2012</w:t>
            </w:r>
          </w:p>
        </w:tc>
        <w:tc>
          <w:tcPr>
            <w:tcW w:w="622" w:type="dxa"/>
            <w:shd w:val="clear" w:color="auto" w:fill="auto"/>
            <w:vAlign w:val="bottom"/>
          </w:tcPr>
          <w:p w14:paraId="4247BA68" w14:textId="19560C69" w:rsidR="00E31679" w:rsidRPr="00E31679" w:rsidRDefault="00E31679" w:rsidP="002953FF">
            <w:pPr>
              <w:spacing w:before="20" w:after="20" w:line="300" w:lineRule="exact"/>
              <w:ind w:left="57" w:right="57"/>
              <w:rPr>
                <w:sz w:val="18"/>
                <w:szCs w:val="18"/>
              </w:rPr>
            </w:pPr>
            <w:r w:rsidRPr="00E31679">
              <w:rPr>
                <w:sz w:val="18"/>
                <w:szCs w:val="18"/>
              </w:rPr>
              <w:t>3 236</w:t>
            </w:r>
          </w:p>
        </w:tc>
        <w:tc>
          <w:tcPr>
            <w:tcW w:w="567" w:type="dxa"/>
            <w:shd w:val="clear" w:color="auto" w:fill="auto"/>
            <w:vAlign w:val="bottom"/>
          </w:tcPr>
          <w:p w14:paraId="54C703B8" w14:textId="1526E09A" w:rsidR="00E31679" w:rsidRPr="00E31679" w:rsidRDefault="00E31679" w:rsidP="002953FF">
            <w:pPr>
              <w:spacing w:before="20" w:after="20" w:line="300" w:lineRule="exact"/>
              <w:ind w:left="57" w:right="57"/>
              <w:rPr>
                <w:sz w:val="18"/>
                <w:szCs w:val="18"/>
              </w:rPr>
            </w:pPr>
            <w:r w:rsidRPr="00E31679">
              <w:rPr>
                <w:sz w:val="18"/>
                <w:szCs w:val="18"/>
              </w:rPr>
              <w:t>224</w:t>
            </w:r>
          </w:p>
        </w:tc>
        <w:tc>
          <w:tcPr>
            <w:tcW w:w="1134" w:type="dxa"/>
            <w:shd w:val="clear" w:color="auto" w:fill="auto"/>
            <w:vAlign w:val="bottom"/>
          </w:tcPr>
          <w:p w14:paraId="71E67ECF" w14:textId="0F83403A" w:rsidR="00E31679" w:rsidRPr="00E31679" w:rsidRDefault="00E31679" w:rsidP="002953FF">
            <w:pPr>
              <w:spacing w:before="20" w:after="20" w:line="300" w:lineRule="exact"/>
              <w:ind w:left="57" w:right="57"/>
              <w:rPr>
                <w:sz w:val="18"/>
                <w:szCs w:val="18"/>
              </w:rPr>
            </w:pPr>
            <w:r w:rsidRPr="00E31679">
              <w:rPr>
                <w:sz w:val="18"/>
                <w:szCs w:val="18"/>
              </w:rPr>
              <w:t>49</w:t>
            </w:r>
          </w:p>
        </w:tc>
        <w:tc>
          <w:tcPr>
            <w:tcW w:w="1175" w:type="dxa"/>
            <w:shd w:val="clear" w:color="auto" w:fill="auto"/>
            <w:vAlign w:val="bottom"/>
          </w:tcPr>
          <w:p w14:paraId="329BCAA7" w14:textId="3943A11A" w:rsidR="00E31679" w:rsidRPr="00E31679" w:rsidRDefault="00E31679" w:rsidP="002953FF">
            <w:pPr>
              <w:spacing w:before="20" w:after="20" w:line="300" w:lineRule="exact"/>
              <w:ind w:left="57" w:right="57"/>
              <w:rPr>
                <w:sz w:val="18"/>
                <w:szCs w:val="18"/>
              </w:rPr>
            </w:pPr>
            <w:r w:rsidRPr="00E31679">
              <w:rPr>
                <w:sz w:val="18"/>
                <w:szCs w:val="18"/>
              </w:rPr>
              <w:t>626</w:t>
            </w:r>
          </w:p>
        </w:tc>
        <w:tc>
          <w:tcPr>
            <w:tcW w:w="644" w:type="dxa"/>
            <w:shd w:val="clear" w:color="auto" w:fill="auto"/>
            <w:vAlign w:val="bottom"/>
          </w:tcPr>
          <w:p w14:paraId="1DBA4176" w14:textId="7288267A" w:rsidR="00E31679" w:rsidRPr="00E31679" w:rsidRDefault="00E31679" w:rsidP="002953FF">
            <w:pPr>
              <w:spacing w:before="20" w:after="20" w:line="300" w:lineRule="exact"/>
              <w:ind w:left="57" w:right="57"/>
              <w:rPr>
                <w:sz w:val="18"/>
                <w:szCs w:val="18"/>
              </w:rPr>
            </w:pPr>
            <w:r w:rsidRPr="00E31679">
              <w:rPr>
                <w:sz w:val="18"/>
                <w:szCs w:val="18"/>
              </w:rPr>
              <w:t>470</w:t>
            </w:r>
          </w:p>
        </w:tc>
        <w:tc>
          <w:tcPr>
            <w:tcW w:w="896" w:type="dxa"/>
            <w:shd w:val="clear" w:color="auto" w:fill="auto"/>
            <w:vAlign w:val="bottom"/>
          </w:tcPr>
          <w:p w14:paraId="0D6E08B6" w14:textId="6C3913D3" w:rsidR="00E31679" w:rsidRPr="00E31679" w:rsidRDefault="00E31679" w:rsidP="002953FF">
            <w:pPr>
              <w:spacing w:before="20" w:after="20" w:line="300" w:lineRule="exact"/>
              <w:ind w:left="57" w:right="57"/>
              <w:rPr>
                <w:sz w:val="18"/>
                <w:szCs w:val="18"/>
              </w:rPr>
            </w:pPr>
            <w:r w:rsidRPr="00E31679">
              <w:rPr>
                <w:sz w:val="18"/>
                <w:szCs w:val="18"/>
              </w:rPr>
              <w:t>6 073</w:t>
            </w:r>
          </w:p>
        </w:tc>
        <w:tc>
          <w:tcPr>
            <w:tcW w:w="1638" w:type="dxa"/>
            <w:shd w:val="clear" w:color="auto" w:fill="auto"/>
            <w:vAlign w:val="bottom"/>
          </w:tcPr>
          <w:p w14:paraId="5150F479" w14:textId="64BA6915" w:rsidR="00E31679" w:rsidRPr="00E31679" w:rsidRDefault="00E31679" w:rsidP="002953FF">
            <w:pPr>
              <w:spacing w:before="20" w:after="20" w:line="300" w:lineRule="exact"/>
              <w:ind w:left="57" w:right="57"/>
              <w:rPr>
                <w:sz w:val="18"/>
                <w:szCs w:val="18"/>
              </w:rPr>
            </w:pPr>
            <w:r w:rsidRPr="00E31679">
              <w:rPr>
                <w:sz w:val="18"/>
                <w:szCs w:val="18"/>
              </w:rPr>
              <w:t>3 089</w:t>
            </w:r>
          </w:p>
        </w:tc>
      </w:tr>
      <w:tr w:rsidR="00E31679" w:rsidRPr="007A4887" w14:paraId="7624FAA2" w14:textId="77777777" w:rsidTr="002953FF">
        <w:tc>
          <w:tcPr>
            <w:tcW w:w="559" w:type="dxa"/>
            <w:shd w:val="clear" w:color="auto" w:fill="auto"/>
          </w:tcPr>
          <w:p w14:paraId="3A9B21AA"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2013</w:t>
            </w:r>
          </w:p>
        </w:tc>
        <w:tc>
          <w:tcPr>
            <w:tcW w:w="622" w:type="dxa"/>
            <w:shd w:val="clear" w:color="auto" w:fill="auto"/>
            <w:vAlign w:val="bottom"/>
          </w:tcPr>
          <w:p w14:paraId="6C6756AA" w14:textId="5E5E25F7" w:rsidR="00E31679" w:rsidRPr="00E31679" w:rsidRDefault="00E31679" w:rsidP="002953FF">
            <w:pPr>
              <w:spacing w:before="20" w:after="20" w:line="300" w:lineRule="exact"/>
              <w:ind w:left="57" w:right="57"/>
              <w:rPr>
                <w:sz w:val="18"/>
                <w:szCs w:val="18"/>
              </w:rPr>
            </w:pPr>
            <w:r w:rsidRPr="00E31679">
              <w:rPr>
                <w:sz w:val="18"/>
                <w:szCs w:val="18"/>
              </w:rPr>
              <w:t>3 175</w:t>
            </w:r>
          </w:p>
        </w:tc>
        <w:tc>
          <w:tcPr>
            <w:tcW w:w="567" w:type="dxa"/>
            <w:shd w:val="clear" w:color="auto" w:fill="auto"/>
            <w:vAlign w:val="bottom"/>
          </w:tcPr>
          <w:p w14:paraId="5374A4C7" w14:textId="5CE35EAD" w:rsidR="00E31679" w:rsidRPr="00E31679" w:rsidRDefault="00E31679" w:rsidP="002953FF">
            <w:pPr>
              <w:spacing w:before="20" w:after="20" w:line="300" w:lineRule="exact"/>
              <w:ind w:left="57" w:right="57"/>
              <w:rPr>
                <w:sz w:val="18"/>
                <w:szCs w:val="18"/>
              </w:rPr>
            </w:pPr>
            <w:r w:rsidRPr="00E31679">
              <w:rPr>
                <w:sz w:val="18"/>
                <w:szCs w:val="18"/>
              </w:rPr>
              <w:t>242</w:t>
            </w:r>
          </w:p>
        </w:tc>
        <w:tc>
          <w:tcPr>
            <w:tcW w:w="1134" w:type="dxa"/>
            <w:shd w:val="clear" w:color="auto" w:fill="auto"/>
            <w:vAlign w:val="bottom"/>
          </w:tcPr>
          <w:p w14:paraId="3CE24B39" w14:textId="19B40CE9" w:rsidR="00E31679" w:rsidRPr="00E31679" w:rsidRDefault="00E31679" w:rsidP="002953FF">
            <w:pPr>
              <w:spacing w:before="20" w:after="20" w:line="300" w:lineRule="exact"/>
              <w:ind w:left="57" w:right="57"/>
              <w:rPr>
                <w:sz w:val="18"/>
                <w:szCs w:val="18"/>
              </w:rPr>
            </w:pPr>
            <w:r w:rsidRPr="00E31679">
              <w:rPr>
                <w:sz w:val="18"/>
                <w:szCs w:val="18"/>
              </w:rPr>
              <w:t>48</w:t>
            </w:r>
          </w:p>
        </w:tc>
        <w:tc>
          <w:tcPr>
            <w:tcW w:w="1175" w:type="dxa"/>
            <w:shd w:val="clear" w:color="auto" w:fill="auto"/>
            <w:vAlign w:val="bottom"/>
          </w:tcPr>
          <w:p w14:paraId="506C96E2" w14:textId="2B5FF600" w:rsidR="00E31679" w:rsidRPr="00E31679" w:rsidRDefault="00E31679" w:rsidP="002953FF">
            <w:pPr>
              <w:spacing w:before="20" w:after="20" w:line="300" w:lineRule="exact"/>
              <w:ind w:left="57" w:right="57"/>
              <w:rPr>
                <w:sz w:val="18"/>
                <w:szCs w:val="18"/>
              </w:rPr>
            </w:pPr>
            <w:r w:rsidRPr="00E31679">
              <w:rPr>
                <w:sz w:val="18"/>
                <w:szCs w:val="18"/>
              </w:rPr>
              <w:t>578</w:t>
            </w:r>
          </w:p>
        </w:tc>
        <w:tc>
          <w:tcPr>
            <w:tcW w:w="644" w:type="dxa"/>
            <w:shd w:val="clear" w:color="auto" w:fill="auto"/>
            <w:vAlign w:val="bottom"/>
          </w:tcPr>
          <w:p w14:paraId="70E53962" w14:textId="1B6D300D" w:rsidR="00E31679" w:rsidRPr="00E31679" w:rsidRDefault="00E31679" w:rsidP="002953FF">
            <w:pPr>
              <w:spacing w:before="20" w:after="20" w:line="300" w:lineRule="exact"/>
              <w:ind w:left="57" w:right="57"/>
              <w:rPr>
                <w:sz w:val="18"/>
                <w:szCs w:val="18"/>
              </w:rPr>
            </w:pPr>
            <w:r w:rsidRPr="00E31679">
              <w:rPr>
                <w:sz w:val="18"/>
                <w:szCs w:val="18"/>
              </w:rPr>
              <w:t>464</w:t>
            </w:r>
          </w:p>
        </w:tc>
        <w:tc>
          <w:tcPr>
            <w:tcW w:w="896" w:type="dxa"/>
            <w:shd w:val="clear" w:color="auto" w:fill="auto"/>
            <w:vAlign w:val="bottom"/>
          </w:tcPr>
          <w:p w14:paraId="24D76A47" w14:textId="46D9123A" w:rsidR="00E31679" w:rsidRPr="00E31679" w:rsidRDefault="00E31679" w:rsidP="002953FF">
            <w:pPr>
              <w:spacing w:before="20" w:after="20" w:line="300" w:lineRule="exact"/>
              <w:ind w:left="57" w:right="57"/>
              <w:rPr>
                <w:sz w:val="18"/>
                <w:szCs w:val="18"/>
              </w:rPr>
            </w:pPr>
            <w:r w:rsidRPr="00E31679">
              <w:rPr>
                <w:sz w:val="18"/>
                <w:szCs w:val="18"/>
              </w:rPr>
              <w:t>5 851</w:t>
            </w:r>
          </w:p>
        </w:tc>
        <w:tc>
          <w:tcPr>
            <w:tcW w:w="1638" w:type="dxa"/>
            <w:shd w:val="clear" w:color="auto" w:fill="auto"/>
            <w:vAlign w:val="bottom"/>
          </w:tcPr>
          <w:p w14:paraId="7714DB10" w14:textId="109D1B0F" w:rsidR="00E31679" w:rsidRPr="00E31679" w:rsidRDefault="00E31679" w:rsidP="002953FF">
            <w:pPr>
              <w:spacing w:before="20" w:after="20" w:line="300" w:lineRule="exact"/>
              <w:ind w:left="57" w:right="57"/>
              <w:rPr>
                <w:sz w:val="18"/>
                <w:szCs w:val="18"/>
              </w:rPr>
            </w:pPr>
            <w:r w:rsidRPr="00E31679">
              <w:rPr>
                <w:sz w:val="18"/>
                <w:szCs w:val="18"/>
              </w:rPr>
              <w:t>3 089</w:t>
            </w:r>
          </w:p>
        </w:tc>
      </w:tr>
      <w:tr w:rsidR="00E31679" w:rsidRPr="007A4887" w14:paraId="019F8F2D" w14:textId="77777777" w:rsidTr="002953FF">
        <w:tc>
          <w:tcPr>
            <w:tcW w:w="559" w:type="dxa"/>
            <w:shd w:val="clear" w:color="auto" w:fill="auto"/>
          </w:tcPr>
          <w:p w14:paraId="03B00294"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2014</w:t>
            </w:r>
          </w:p>
        </w:tc>
        <w:tc>
          <w:tcPr>
            <w:tcW w:w="622" w:type="dxa"/>
            <w:shd w:val="clear" w:color="auto" w:fill="auto"/>
            <w:vAlign w:val="bottom"/>
          </w:tcPr>
          <w:p w14:paraId="125FA6A2" w14:textId="7623B5B5" w:rsidR="00E31679" w:rsidRPr="00E31679" w:rsidRDefault="00E31679" w:rsidP="002953FF">
            <w:pPr>
              <w:spacing w:before="20" w:after="20" w:line="300" w:lineRule="exact"/>
              <w:ind w:left="57" w:right="57"/>
              <w:rPr>
                <w:sz w:val="18"/>
                <w:szCs w:val="18"/>
              </w:rPr>
            </w:pPr>
            <w:r w:rsidRPr="00E31679">
              <w:rPr>
                <w:sz w:val="18"/>
                <w:szCs w:val="18"/>
              </w:rPr>
              <w:t>3 097</w:t>
            </w:r>
          </w:p>
        </w:tc>
        <w:tc>
          <w:tcPr>
            <w:tcW w:w="567" w:type="dxa"/>
            <w:shd w:val="clear" w:color="auto" w:fill="auto"/>
            <w:vAlign w:val="bottom"/>
          </w:tcPr>
          <w:p w14:paraId="7A885789" w14:textId="52FEE7D9" w:rsidR="00E31679" w:rsidRPr="00E31679" w:rsidRDefault="00E31679" w:rsidP="002953FF">
            <w:pPr>
              <w:spacing w:before="20" w:after="20" w:line="300" w:lineRule="exact"/>
              <w:ind w:left="57" w:right="57"/>
              <w:rPr>
                <w:sz w:val="18"/>
                <w:szCs w:val="18"/>
              </w:rPr>
            </w:pPr>
            <w:r w:rsidRPr="00E31679">
              <w:rPr>
                <w:sz w:val="18"/>
                <w:szCs w:val="18"/>
              </w:rPr>
              <w:t>239</w:t>
            </w:r>
          </w:p>
        </w:tc>
        <w:tc>
          <w:tcPr>
            <w:tcW w:w="1134" w:type="dxa"/>
            <w:shd w:val="clear" w:color="auto" w:fill="auto"/>
            <w:vAlign w:val="bottom"/>
          </w:tcPr>
          <w:p w14:paraId="5B9315EF" w14:textId="18115CDB" w:rsidR="00E31679" w:rsidRPr="00E31679" w:rsidRDefault="00E31679" w:rsidP="002953FF">
            <w:pPr>
              <w:spacing w:before="20" w:after="20" w:line="300" w:lineRule="exact"/>
              <w:ind w:left="57" w:right="57"/>
              <w:rPr>
                <w:sz w:val="18"/>
                <w:szCs w:val="18"/>
              </w:rPr>
            </w:pPr>
            <w:r w:rsidRPr="00E31679">
              <w:rPr>
                <w:sz w:val="18"/>
                <w:szCs w:val="18"/>
              </w:rPr>
              <w:t>52</w:t>
            </w:r>
          </w:p>
        </w:tc>
        <w:tc>
          <w:tcPr>
            <w:tcW w:w="1175" w:type="dxa"/>
            <w:shd w:val="clear" w:color="auto" w:fill="auto"/>
            <w:vAlign w:val="bottom"/>
          </w:tcPr>
          <w:p w14:paraId="34BD52B5" w14:textId="6D23FC0C" w:rsidR="00E31679" w:rsidRPr="00E31679" w:rsidRDefault="00E31679" w:rsidP="002953FF">
            <w:pPr>
              <w:spacing w:before="20" w:after="20" w:line="300" w:lineRule="exact"/>
              <w:ind w:left="57" w:right="57"/>
              <w:rPr>
                <w:sz w:val="18"/>
                <w:szCs w:val="18"/>
              </w:rPr>
            </w:pPr>
            <w:r w:rsidRPr="00E31679">
              <w:rPr>
                <w:sz w:val="18"/>
                <w:szCs w:val="18"/>
              </w:rPr>
              <w:t>619</w:t>
            </w:r>
          </w:p>
        </w:tc>
        <w:tc>
          <w:tcPr>
            <w:tcW w:w="644" w:type="dxa"/>
            <w:shd w:val="clear" w:color="auto" w:fill="auto"/>
            <w:vAlign w:val="bottom"/>
          </w:tcPr>
          <w:p w14:paraId="5E1ABE46" w14:textId="188944EF" w:rsidR="00E31679" w:rsidRPr="00E31679" w:rsidRDefault="00E31679" w:rsidP="002953FF">
            <w:pPr>
              <w:spacing w:before="20" w:after="20" w:line="300" w:lineRule="exact"/>
              <w:ind w:left="57" w:right="57"/>
              <w:rPr>
                <w:sz w:val="18"/>
                <w:szCs w:val="18"/>
              </w:rPr>
            </w:pPr>
            <w:r w:rsidRPr="00E31679">
              <w:rPr>
                <w:sz w:val="18"/>
                <w:szCs w:val="18"/>
              </w:rPr>
              <w:t>483</w:t>
            </w:r>
          </w:p>
        </w:tc>
        <w:tc>
          <w:tcPr>
            <w:tcW w:w="896" w:type="dxa"/>
            <w:shd w:val="clear" w:color="auto" w:fill="auto"/>
            <w:vAlign w:val="bottom"/>
          </w:tcPr>
          <w:p w14:paraId="43025913" w14:textId="65263FF1" w:rsidR="00E31679" w:rsidRPr="00E31679" w:rsidRDefault="00E31679" w:rsidP="002953FF">
            <w:pPr>
              <w:spacing w:before="20" w:after="20" w:line="300" w:lineRule="exact"/>
              <w:ind w:left="57" w:right="57"/>
              <w:rPr>
                <w:sz w:val="18"/>
                <w:szCs w:val="18"/>
              </w:rPr>
            </w:pPr>
            <w:r w:rsidRPr="00E31679">
              <w:rPr>
                <w:sz w:val="18"/>
                <w:szCs w:val="18"/>
              </w:rPr>
              <w:t>5 700</w:t>
            </w:r>
          </w:p>
        </w:tc>
        <w:tc>
          <w:tcPr>
            <w:tcW w:w="1638" w:type="dxa"/>
            <w:shd w:val="clear" w:color="auto" w:fill="auto"/>
            <w:vAlign w:val="bottom"/>
          </w:tcPr>
          <w:p w14:paraId="4C1FF8FB" w14:textId="076FE675" w:rsidR="00E31679" w:rsidRPr="00E31679" w:rsidRDefault="00E31679" w:rsidP="002953FF">
            <w:pPr>
              <w:spacing w:before="20" w:after="20" w:line="300" w:lineRule="exact"/>
              <w:ind w:left="57" w:right="57"/>
              <w:rPr>
                <w:sz w:val="18"/>
                <w:szCs w:val="18"/>
              </w:rPr>
            </w:pPr>
            <w:r w:rsidRPr="00E31679">
              <w:rPr>
                <w:sz w:val="18"/>
                <w:szCs w:val="18"/>
              </w:rPr>
              <w:t>3 083</w:t>
            </w:r>
          </w:p>
        </w:tc>
      </w:tr>
      <w:tr w:rsidR="00E31679" w:rsidRPr="007A4887" w14:paraId="4CD60B0F" w14:textId="77777777" w:rsidTr="002953FF">
        <w:tc>
          <w:tcPr>
            <w:tcW w:w="559" w:type="dxa"/>
            <w:shd w:val="clear" w:color="auto" w:fill="auto"/>
          </w:tcPr>
          <w:p w14:paraId="61446A97"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2015</w:t>
            </w:r>
          </w:p>
        </w:tc>
        <w:tc>
          <w:tcPr>
            <w:tcW w:w="622" w:type="dxa"/>
            <w:shd w:val="clear" w:color="auto" w:fill="auto"/>
            <w:vAlign w:val="bottom"/>
          </w:tcPr>
          <w:p w14:paraId="18BA1A5F" w14:textId="6AE8CB2D" w:rsidR="00E31679" w:rsidRPr="00E31679" w:rsidRDefault="00E31679" w:rsidP="002953FF">
            <w:pPr>
              <w:spacing w:before="20" w:after="20" w:line="300" w:lineRule="exact"/>
              <w:ind w:left="57" w:right="57"/>
              <w:rPr>
                <w:sz w:val="18"/>
                <w:szCs w:val="18"/>
              </w:rPr>
            </w:pPr>
            <w:r w:rsidRPr="00E31679">
              <w:rPr>
                <w:sz w:val="18"/>
                <w:szCs w:val="18"/>
              </w:rPr>
              <w:t>3 086</w:t>
            </w:r>
          </w:p>
        </w:tc>
        <w:tc>
          <w:tcPr>
            <w:tcW w:w="567" w:type="dxa"/>
            <w:shd w:val="clear" w:color="auto" w:fill="auto"/>
            <w:vAlign w:val="bottom"/>
          </w:tcPr>
          <w:p w14:paraId="36926296" w14:textId="7FC771C8" w:rsidR="00E31679" w:rsidRPr="00E31679" w:rsidRDefault="00E31679" w:rsidP="002953FF">
            <w:pPr>
              <w:spacing w:before="20" w:after="20" w:line="300" w:lineRule="exact"/>
              <w:ind w:left="57" w:right="57"/>
              <w:rPr>
                <w:sz w:val="18"/>
                <w:szCs w:val="18"/>
              </w:rPr>
            </w:pPr>
            <w:r w:rsidRPr="00E31679">
              <w:rPr>
                <w:sz w:val="18"/>
                <w:szCs w:val="18"/>
              </w:rPr>
              <w:t>231</w:t>
            </w:r>
          </w:p>
        </w:tc>
        <w:tc>
          <w:tcPr>
            <w:tcW w:w="1134" w:type="dxa"/>
            <w:shd w:val="clear" w:color="auto" w:fill="auto"/>
            <w:vAlign w:val="bottom"/>
          </w:tcPr>
          <w:p w14:paraId="28DCF78D" w14:textId="2165105A" w:rsidR="00E31679" w:rsidRPr="00E31679" w:rsidRDefault="00E31679" w:rsidP="002953FF">
            <w:pPr>
              <w:spacing w:before="20" w:after="20" w:line="300" w:lineRule="exact"/>
              <w:ind w:left="57" w:right="57"/>
              <w:rPr>
                <w:sz w:val="18"/>
                <w:szCs w:val="18"/>
              </w:rPr>
            </w:pPr>
            <w:r w:rsidRPr="00E31679">
              <w:rPr>
                <w:sz w:val="18"/>
                <w:szCs w:val="18"/>
              </w:rPr>
              <w:t>52</w:t>
            </w:r>
          </w:p>
        </w:tc>
        <w:tc>
          <w:tcPr>
            <w:tcW w:w="1175" w:type="dxa"/>
            <w:shd w:val="clear" w:color="auto" w:fill="auto"/>
            <w:vAlign w:val="bottom"/>
          </w:tcPr>
          <w:p w14:paraId="401194A5" w14:textId="3D310890" w:rsidR="00E31679" w:rsidRPr="00E31679" w:rsidRDefault="00E31679" w:rsidP="002953FF">
            <w:pPr>
              <w:spacing w:before="20" w:after="20" w:line="300" w:lineRule="exact"/>
              <w:ind w:left="57" w:right="57"/>
              <w:rPr>
                <w:sz w:val="18"/>
                <w:szCs w:val="18"/>
              </w:rPr>
            </w:pPr>
            <w:r w:rsidRPr="00E31679">
              <w:rPr>
                <w:sz w:val="18"/>
                <w:szCs w:val="18"/>
              </w:rPr>
              <w:t>597</w:t>
            </w:r>
          </w:p>
        </w:tc>
        <w:tc>
          <w:tcPr>
            <w:tcW w:w="644" w:type="dxa"/>
            <w:shd w:val="clear" w:color="auto" w:fill="auto"/>
            <w:vAlign w:val="bottom"/>
          </w:tcPr>
          <w:p w14:paraId="7D804F29" w14:textId="1D225B2D" w:rsidR="00E31679" w:rsidRPr="00E31679" w:rsidRDefault="00E31679" w:rsidP="002953FF">
            <w:pPr>
              <w:spacing w:before="20" w:after="20" w:line="300" w:lineRule="exact"/>
              <w:ind w:left="57" w:right="57"/>
              <w:rPr>
                <w:sz w:val="18"/>
                <w:szCs w:val="18"/>
              </w:rPr>
            </w:pPr>
            <w:r w:rsidRPr="00E31679">
              <w:rPr>
                <w:sz w:val="18"/>
                <w:szCs w:val="18"/>
              </w:rPr>
              <w:t>477</w:t>
            </w:r>
          </w:p>
        </w:tc>
        <w:tc>
          <w:tcPr>
            <w:tcW w:w="896" w:type="dxa"/>
            <w:shd w:val="clear" w:color="auto" w:fill="auto"/>
            <w:vAlign w:val="bottom"/>
          </w:tcPr>
          <w:p w14:paraId="3E69D433" w14:textId="4A107F2D" w:rsidR="00E31679" w:rsidRPr="00E31679" w:rsidRDefault="00E31679" w:rsidP="002953FF">
            <w:pPr>
              <w:spacing w:before="20" w:after="20" w:line="300" w:lineRule="exact"/>
              <w:ind w:left="57" w:right="57"/>
              <w:rPr>
                <w:sz w:val="18"/>
                <w:szCs w:val="18"/>
              </w:rPr>
            </w:pPr>
            <w:r w:rsidRPr="00E31679">
              <w:rPr>
                <w:sz w:val="18"/>
                <w:szCs w:val="18"/>
              </w:rPr>
              <w:t>5 573</w:t>
            </w:r>
          </w:p>
        </w:tc>
        <w:tc>
          <w:tcPr>
            <w:tcW w:w="1638" w:type="dxa"/>
            <w:shd w:val="clear" w:color="auto" w:fill="auto"/>
            <w:vAlign w:val="bottom"/>
          </w:tcPr>
          <w:p w14:paraId="7CFE8F8D" w14:textId="75EBB32B" w:rsidR="00E31679" w:rsidRPr="00E31679" w:rsidRDefault="00E31679" w:rsidP="002953FF">
            <w:pPr>
              <w:spacing w:before="20" w:after="20" w:line="300" w:lineRule="exact"/>
              <w:ind w:left="57" w:right="57"/>
              <w:rPr>
                <w:sz w:val="18"/>
                <w:szCs w:val="18"/>
              </w:rPr>
            </w:pPr>
            <w:r w:rsidRPr="00E31679">
              <w:rPr>
                <w:sz w:val="18"/>
                <w:szCs w:val="18"/>
              </w:rPr>
              <w:t>3 007</w:t>
            </w:r>
          </w:p>
        </w:tc>
      </w:tr>
      <w:tr w:rsidR="00E31679" w:rsidRPr="007A4887" w14:paraId="5129CDD9" w14:textId="77777777" w:rsidTr="002953FF">
        <w:tc>
          <w:tcPr>
            <w:tcW w:w="559" w:type="dxa"/>
            <w:shd w:val="clear" w:color="auto" w:fill="auto"/>
          </w:tcPr>
          <w:p w14:paraId="4A731B96"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2016</w:t>
            </w:r>
          </w:p>
        </w:tc>
        <w:tc>
          <w:tcPr>
            <w:tcW w:w="622" w:type="dxa"/>
            <w:shd w:val="clear" w:color="auto" w:fill="auto"/>
            <w:vAlign w:val="bottom"/>
          </w:tcPr>
          <w:p w14:paraId="3CF61ADD" w14:textId="6E455FF2" w:rsidR="00E31679" w:rsidRPr="00E31679" w:rsidRDefault="00E31679" w:rsidP="002953FF">
            <w:pPr>
              <w:spacing w:before="20" w:after="20" w:line="300" w:lineRule="exact"/>
              <w:ind w:left="57" w:right="57"/>
              <w:rPr>
                <w:sz w:val="18"/>
                <w:szCs w:val="18"/>
              </w:rPr>
            </w:pPr>
            <w:r w:rsidRPr="00E31679">
              <w:rPr>
                <w:sz w:val="18"/>
                <w:szCs w:val="18"/>
              </w:rPr>
              <w:t>3 120</w:t>
            </w:r>
          </w:p>
        </w:tc>
        <w:tc>
          <w:tcPr>
            <w:tcW w:w="567" w:type="dxa"/>
            <w:shd w:val="clear" w:color="auto" w:fill="auto"/>
            <w:vAlign w:val="bottom"/>
          </w:tcPr>
          <w:p w14:paraId="4871742A" w14:textId="767EB355" w:rsidR="00E31679" w:rsidRPr="00E31679" w:rsidRDefault="00E31679" w:rsidP="002953FF">
            <w:pPr>
              <w:spacing w:before="20" w:after="20" w:line="300" w:lineRule="exact"/>
              <w:ind w:left="57" w:right="57"/>
              <w:rPr>
                <w:sz w:val="18"/>
                <w:szCs w:val="18"/>
              </w:rPr>
            </w:pPr>
            <w:r w:rsidRPr="00E31679">
              <w:rPr>
                <w:sz w:val="18"/>
                <w:szCs w:val="18"/>
              </w:rPr>
              <w:t>229</w:t>
            </w:r>
          </w:p>
        </w:tc>
        <w:tc>
          <w:tcPr>
            <w:tcW w:w="1134" w:type="dxa"/>
            <w:shd w:val="clear" w:color="auto" w:fill="auto"/>
            <w:vAlign w:val="bottom"/>
          </w:tcPr>
          <w:p w14:paraId="43824DF8" w14:textId="75B2BDC9" w:rsidR="00E31679" w:rsidRPr="00E31679" w:rsidRDefault="00E31679" w:rsidP="002953FF">
            <w:pPr>
              <w:spacing w:before="20" w:after="20" w:line="300" w:lineRule="exact"/>
              <w:ind w:left="57" w:right="57"/>
              <w:rPr>
                <w:sz w:val="18"/>
                <w:szCs w:val="18"/>
              </w:rPr>
            </w:pPr>
            <w:r w:rsidRPr="00E31679">
              <w:rPr>
                <w:sz w:val="18"/>
                <w:szCs w:val="18"/>
              </w:rPr>
              <w:t>57</w:t>
            </w:r>
          </w:p>
        </w:tc>
        <w:tc>
          <w:tcPr>
            <w:tcW w:w="1175" w:type="dxa"/>
            <w:shd w:val="clear" w:color="auto" w:fill="auto"/>
            <w:vAlign w:val="bottom"/>
          </w:tcPr>
          <w:p w14:paraId="78F5ED58" w14:textId="6527B63D" w:rsidR="00E31679" w:rsidRPr="00E31679" w:rsidRDefault="00E31679" w:rsidP="002953FF">
            <w:pPr>
              <w:spacing w:before="20" w:after="20" w:line="300" w:lineRule="exact"/>
              <w:ind w:left="57" w:right="57"/>
              <w:rPr>
                <w:sz w:val="18"/>
                <w:szCs w:val="18"/>
              </w:rPr>
            </w:pPr>
            <w:r w:rsidRPr="00E31679">
              <w:rPr>
                <w:sz w:val="18"/>
                <w:szCs w:val="18"/>
              </w:rPr>
              <w:t>585</w:t>
            </w:r>
          </w:p>
        </w:tc>
        <w:tc>
          <w:tcPr>
            <w:tcW w:w="644" w:type="dxa"/>
            <w:shd w:val="clear" w:color="auto" w:fill="auto"/>
            <w:vAlign w:val="bottom"/>
          </w:tcPr>
          <w:p w14:paraId="0D9F4966" w14:textId="3F87237E" w:rsidR="00E31679" w:rsidRPr="00E31679" w:rsidRDefault="00E31679" w:rsidP="002953FF">
            <w:pPr>
              <w:spacing w:before="20" w:after="20" w:line="300" w:lineRule="exact"/>
              <w:ind w:left="57" w:right="57"/>
              <w:rPr>
                <w:sz w:val="18"/>
                <w:szCs w:val="18"/>
              </w:rPr>
            </w:pPr>
            <w:r w:rsidRPr="00E31679">
              <w:rPr>
                <w:sz w:val="18"/>
                <w:szCs w:val="18"/>
              </w:rPr>
              <w:t>537</w:t>
            </w:r>
          </w:p>
        </w:tc>
        <w:tc>
          <w:tcPr>
            <w:tcW w:w="896" w:type="dxa"/>
            <w:shd w:val="clear" w:color="auto" w:fill="auto"/>
            <w:vAlign w:val="bottom"/>
          </w:tcPr>
          <w:p w14:paraId="32CF8E6B" w14:textId="3E6970BD" w:rsidR="00E31679" w:rsidRPr="00E31679" w:rsidRDefault="00E31679" w:rsidP="002953FF">
            <w:pPr>
              <w:spacing w:before="20" w:after="20" w:line="300" w:lineRule="exact"/>
              <w:ind w:left="57" w:right="57"/>
              <w:rPr>
                <w:sz w:val="18"/>
                <w:szCs w:val="18"/>
              </w:rPr>
            </w:pPr>
            <w:r w:rsidRPr="00E31679">
              <w:rPr>
                <w:sz w:val="18"/>
                <w:szCs w:val="18"/>
              </w:rPr>
              <w:t>5 531</w:t>
            </w:r>
          </w:p>
        </w:tc>
        <w:tc>
          <w:tcPr>
            <w:tcW w:w="1638" w:type="dxa"/>
            <w:shd w:val="clear" w:color="auto" w:fill="auto"/>
            <w:vAlign w:val="bottom"/>
          </w:tcPr>
          <w:p w14:paraId="5F9779D5" w14:textId="6E16E5F0" w:rsidR="00E31679" w:rsidRPr="00E31679" w:rsidRDefault="00E31679" w:rsidP="002953FF">
            <w:pPr>
              <w:spacing w:before="20" w:after="20" w:line="300" w:lineRule="exact"/>
              <w:ind w:left="57" w:right="57"/>
              <w:rPr>
                <w:sz w:val="18"/>
                <w:szCs w:val="18"/>
              </w:rPr>
            </w:pPr>
            <w:r w:rsidRPr="00E31679">
              <w:rPr>
                <w:sz w:val="18"/>
                <w:szCs w:val="18"/>
              </w:rPr>
              <w:t>2 959</w:t>
            </w:r>
          </w:p>
        </w:tc>
      </w:tr>
      <w:tr w:rsidR="00E31679" w:rsidRPr="007A4887" w14:paraId="5FEEF4D3" w14:textId="77777777" w:rsidTr="002953FF">
        <w:tc>
          <w:tcPr>
            <w:tcW w:w="559" w:type="dxa"/>
            <w:shd w:val="clear" w:color="auto" w:fill="auto"/>
          </w:tcPr>
          <w:p w14:paraId="4BCAE622"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2017</w:t>
            </w:r>
          </w:p>
        </w:tc>
        <w:tc>
          <w:tcPr>
            <w:tcW w:w="622" w:type="dxa"/>
            <w:shd w:val="clear" w:color="auto" w:fill="auto"/>
            <w:vAlign w:val="bottom"/>
          </w:tcPr>
          <w:p w14:paraId="41EB7A32" w14:textId="7F801BE0" w:rsidR="00E31679" w:rsidRPr="00E31679" w:rsidRDefault="00E31679" w:rsidP="002953FF">
            <w:pPr>
              <w:spacing w:before="20" w:after="20" w:line="300" w:lineRule="exact"/>
              <w:ind w:left="57" w:right="57"/>
              <w:rPr>
                <w:sz w:val="18"/>
                <w:szCs w:val="18"/>
              </w:rPr>
            </w:pPr>
            <w:r w:rsidRPr="00E31679">
              <w:rPr>
                <w:sz w:val="18"/>
                <w:szCs w:val="18"/>
              </w:rPr>
              <w:t>3 035</w:t>
            </w:r>
          </w:p>
        </w:tc>
        <w:tc>
          <w:tcPr>
            <w:tcW w:w="567" w:type="dxa"/>
            <w:shd w:val="clear" w:color="auto" w:fill="auto"/>
            <w:vAlign w:val="bottom"/>
          </w:tcPr>
          <w:p w14:paraId="01BBB3D3" w14:textId="70BA4B98" w:rsidR="00E31679" w:rsidRPr="00E31679" w:rsidRDefault="00E31679" w:rsidP="002953FF">
            <w:pPr>
              <w:spacing w:before="20" w:after="20" w:line="300" w:lineRule="exact"/>
              <w:ind w:left="57" w:right="57"/>
              <w:rPr>
                <w:sz w:val="18"/>
                <w:szCs w:val="18"/>
              </w:rPr>
            </w:pPr>
            <w:r w:rsidRPr="00E31679">
              <w:rPr>
                <w:sz w:val="18"/>
                <w:szCs w:val="18"/>
              </w:rPr>
              <w:t>230</w:t>
            </w:r>
          </w:p>
        </w:tc>
        <w:tc>
          <w:tcPr>
            <w:tcW w:w="1134" w:type="dxa"/>
            <w:shd w:val="clear" w:color="auto" w:fill="auto"/>
            <w:vAlign w:val="bottom"/>
          </w:tcPr>
          <w:p w14:paraId="18EE4919" w14:textId="35F303B9" w:rsidR="00E31679" w:rsidRPr="00E31679" w:rsidRDefault="00E31679" w:rsidP="002953FF">
            <w:pPr>
              <w:spacing w:before="20" w:after="20" w:line="300" w:lineRule="exact"/>
              <w:ind w:left="57" w:right="57"/>
              <w:rPr>
                <w:sz w:val="18"/>
                <w:szCs w:val="18"/>
              </w:rPr>
            </w:pPr>
            <w:r w:rsidRPr="00E31679">
              <w:rPr>
                <w:sz w:val="18"/>
                <w:szCs w:val="18"/>
              </w:rPr>
              <w:t>55</w:t>
            </w:r>
          </w:p>
        </w:tc>
        <w:tc>
          <w:tcPr>
            <w:tcW w:w="1175" w:type="dxa"/>
            <w:shd w:val="clear" w:color="auto" w:fill="auto"/>
            <w:vAlign w:val="bottom"/>
          </w:tcPr>
          <w:p w14:paraId="0876F458" w14:textId="46E2B3A3" w:rsidR="00E31679" w:rsidRPr="00E31679" w:rsidRDefault="00E31679" w:rsidP="002953FF">
            <w:pPr>
              <w:spacing w:before="20" w:after="20" w:line="300" w:lineRule="exact"/>
              <w:ind w:left="57" w:right="57"/>
              <w:rPr>
                <w:sz w:val="18"/>
                <w:szCs w:val="18"/>
              </w:rPr>
            </w:pPr>
            <w:r w:rsidRPr="00E31679">
              <w:rPr>
                <w:sz w:val="18"/>
                <w:szCs w:val="18"/>
              </w:rPr>
              <w:t>597</w:t>
            </w:r>
          </w:p>
        </w:tc>
        <w:tc>
          <w:tcPr>
            <w:tcW w:w="644" w:type="dxa"/>
            <w:shd w:val="clear" w:color="auto" w:fill="auto"/>
            <w:vAlign w:val="bottom"/>
          </w:tcPr>
          <w:p w14:paraId="5688772F" w14:textId="02124F7B" w:rsidR="00E31679" w:rsidRPr="00E31679" w:rsidRDefault="00E31679" w:rsidP="002953FF">
            <w:pPr>
              <w:spacing w:before="20" w:after="20" w:line="300" w:lineRule="exact"/>
              <w:ind w:left="57" w:right="57"/>
              <w:rPr>
                <w:sz w:val="18"/>
                <w:szCs w:val="18"/>
              </w:rPr>
            </w:pPr>
            <w:r w:rsidRPr="00E31679">
              <w:rPr>
                <w:sz w:val="18"/>
                <w:szCs w:val="18"/>
              </w:rPr>
              <w:t>540</w:t>
            </w:r>
          </w:p>
        </w:tc>
        <w:tc>
          <w:tcPr>
            <w:tcW w:w="896" w:type="dxa"/>
            <w:shd w:val="clear" w:color="auto" w:fill="auto"/>
            <w:vAlign w:val="bottom"/>
          </w:tcPr>
          <w:p w14:paraId="4C512E26" w14:textId="137FDE4E" w:rsidR="00E31679" w:rsidRPr="00E31679" w:rsidRDefault="00E31679" w:rsidP="002953FF">
            <w:pPr>
              <w:spacing w:before="20" w:after="20" w:line="300" w:lineRule="exact"/>
              <w:ind w:left="57" w:right="57"/>
              <w:rPr>
                <w:sz w:val="18"/>
                <w:szCs w:val="18"/>
              </w:rPr>
            </w:pPr>
            <w:r w:rsidRPr="00E31679">
              <w:rPr>
                <w:sz w:val="18"/>
                <w:szCs w:val="18"/>
              </w:rPr>
              <w:t>5 576</w:t>
            </w:r>
          </w:p>
        </w:tc>
        <w:tc>
          <w:tcPr>
            <w:tcW w:w="1638" w:type="dxa"/>
            <w:shd w:val="clear" w:color="auto" w:fill="auto"/>
            <w:vAlign w:val="bottom"/>
          </w:tcPr>
          <w:p w14:paraId="61644D1B" w14:textId="2B8007CB" w:rsidR="00E31679" w:rsidRPr="00E31679" w:rsidRDefault="00E31679" w:rsidP="002953FF">
            <w:pPr>
              <w:spacing w:before="20" w:after="20" w:line="300" w:lineRule="exact"/>
              <w:ind w:left="57" w:right="57"/>
              <w:rPr>
                <w:sz w:val="18"/>
                <w:szCs w:val="18"/>
              </w:rPr>
            </w:pPr>
            <w:r w:rsidRPr="00E31679">
              <w:rPr>
                <w:sz w:val="18"/>
                <w:szCs w:val="18"/>
              </w:rPr>
              <w:t>2 922</w:t>
            </w:r>
          </w:p>
        </w:tc>
      </w:tr>
      <w:tr w:rsidR="00E31679" w:rsidRPr="007A4887" w14:paraId="521B18CF" w14:textId="77777777" w:rsidTr="002953FF">
        <w:tc>
          <w:tcPr>
            <w:tcW w:w="559" w:type="dxa"/>
            <w:shd w:val="clear" w:color="auto" w:fill="auto"/>
          </w:tcPr>
          <w:p w14:paraId="6D3331B2" w14:textId="77777777" w:rsidR="00E31679" w:rsidRPr="00E31679" w:rsidRDefault="00E31679" w:rsidP="002953FF">
            <w:pPr>
              <w:spacing w:before="20" w:after="20" w:line="300" w:lineRule="exact"/>
              <w:ind w:left="57" w:right="57"/>
              <w:textDirection w:val="tbRlV"/>
              <w:rPr>
                <w:sz w:val="18"/>
                <w:szCs w:val="18"/>
                <w:lang w:val="ar-SA" w:eastAsia="zh-TW" w:bidi="en-GB"/>
              </w:rPr>
            </w:pPr>
            <w:r w:rsidRPr="00E31679">
              <w:rPr>
                <w:sz w:val="18"/>
                <w:szCs w:val="18"/>
                <w:rtl/>
              </w:rPr>
              <w:t>2018</w:t>
            </w:r>
          </w:p>
        </w:tc>
        <w:tc>
          <w:tcPr>
            <w:tcW w:w="622" w:type="dxa"/>
            <w:shd w:val="clear" w:color="auto" w:fill="auto"/>
            <w:vAlign w:val="bottom"/>
          </w:tcPr>
          <w:p w14:paraId="60065AD8" w14:textId="69B7BCBA" w:rsidR="00E31679" w:rsidRPr="00E31679" w:rsidRDefault="00E31679" w:rsidP="002953FF">
            <w:pPr>
              <w:spacing w:before="20" w:after="20" w:line="300" w:lineRule="exact"/>
              <w:ind w:left="57" w:right="57"/>
              <w:rPr>
                <w:sz w:val="18"/>
                <w:szCs w:val="18"/>
              </w:rPr>
            </w:pPr>
            <w:r w:rsidRPr="00E31679">
              <w:rPr>
                <w:sz w:val="18"/>
                <w:szCs w:val="18"/>
              </w:rPr>
              <w:t>2 910</w:t>
            </w:r>
          </w:p>
        </w:tc>
        <w:tc>
          <w:tcPr>
            <w:tcW w:w="567" w:type="dxa"/>
            <w:shd w:val="clear" w:color="auto" w:fill="auto"/>
            <w:vAlign w:val="bottom"/>
          </w:tcPr>
          <w:p w14:paraId="6ED800EF" w14:textId="48D01E6F" w:rsidR="00E31679" w:rsidRPr="00E31679" w:rsidRDefault="00E31679" w:rsidP="002953FF">
            <w:pPr>
              <w:spacing w:before="20" w:after="20" w:line="300" w:lineRule="exact"/>
              <w:ind w:left="57" w:right="57"/>
              <w:rPr>
                <w:sz w:val="18"/>
                <w:szCs w:val="18"/>
              </w:rPr>
            </w:pPr>
            <w:r w:rsidRPr="00E31679">
              <w:rPr>
                <w:sz w:val="18"/>
                <w:szCs w:val="18"/>
              </w:rPr>
              <w:t>218</w:t>
            </w:r>
          </w:p>
        </w:tc>
        <w:tc>
          <w:tcPr>
            <w:tcW w:w="1134" w:type="dxa"/>
            <w:shd w:val="clear" w:color="auto" w:fill="auto"/>
            <w:vAlign w:val="bottom"/>
          </w:tcPr>
          <w:p w14:paraId="6FA8C350" w14:textId="732C739E" w:rsidR="00E31679" w:rsidRPr="00E31679" w:rsidRDefault="00E31679" w:rsidP="002953FF">
            <w:pPr>
              <w:spacing w:before="20" w:after="20" w:line="300" w:lineRule="exact"/>
              <w:ind w:left="57" w:right="57"/>
              <w:rPr>
                <w:sz w:val="18"/>
                <w:szCs w:val="18"/>
              </w:rPr>
            </w:pPr>
            <w:r w:rsidRPr="00E31679">
              <w:rPr>
                <w:sz w:val="18"/>
                <w:szCs w:val="18"/>
              </w:rPr>
              <w:t>59</w:t>
            </w:r>
          </w:p>
        </w:tc>
        <w:tc>
          <w:tcPr>
            <w:tcW w:w="1175" w:type="dxa"/>
            <w:shd w:val="clear" w:color="auto" w:fill="auto"/>
            <w:vAlign w:val="bottom"/>
          </w:tcPr>
          <w:p w14:paraId="3859C2E2" w14:textId="0B5C78CD" w:rsidR="00E31679" w:rsidRPr="00E31679" w:rsidRDefault="00E31679" w:rsidP="002953FF">
            <w:pPr>
              <w:spacing w:before="20" w:after="20" w:line="300" w:lineRule="exact"/>
              <w:ind w:left="57" w:right="57"/>
              <w:rPr>
                <w:sz w:val="18"/>
                <w:szCs w:val="18"/>
              </w:rPr>
            </w:pPr>
            <w:r w:rsidRPr="00E31679">
              <w:rPr>
                <w:sz w:val="18"/>
                <w:szCs w:val="18"/>
              </w:rPr>
              <w:t>547</w:t>
            </w:r>
          </w:p>
        </w:tc>
        <w:tc>
          <w:tcPr>
            <w:tcW w:w="644" w:type="dxa"/>
            <w:shd w:val="clear" w:color="auto" w:fill="auto"/>
            <w:vAlign w:val="bottom"/>
          </w:tcPr>
          <w:p w14:paraId="66962474" w14:textId="75930272" w:rsidR="00E31679" w:rsidRPr="00E31679" w:rsidRDefault="00E31679" w:rsidP="002953FF">
            <w:pPr>
              <w:spacing w:before="20" w:after="20" w:line="300" w:lineRule="exact"/>
              <w:ind w:left="57" w:right="57"/>
              <w:rPr>
                <w:sz w:val="18"/>
                <w:szCs w:val="18"/>
              </w:rPr>
            </w:pPr>
            <w:r w:rsidRPr="00E31679">
              <w:rPr>
                <w:sz w:val="18"/>
                <w:szCs w:val="18"/>
              </w:rPr>
              <w:t>482</w:t>
            </w:r>
          </w:p>
        </w:tc>
        <w:tc>
          <w:tcPr>
            <w:tcW w:w="896" w:type="dxa"/>
            <w:shd w:val="clear" w:color="auto" w:fill="auto"/>
            <w:vAlign w:val="bottom"/>
          </w:tcPr>
          <w:p w14:paraId="29015381" w14:textId="23D1D58A" w:rsidR="00E31679" w:rsidRPr="00E31679" w:rsidRDefault="00E31679" w:rsidP="002953FF">
            <w:pPr>
              <w:spacing w:before="20" w:after="20" w:line="300" w:lineRule="exact"/>
              <w:ind w:left="57" w:right="57"/>
              <w:rPr>
                <w:sz w:val="18"/>
                <w:szCs w:val="18"/>
              </w:rPr>
            </w:pPr>
            <w:r w:rsidRPr="00E31679">
              <w:rPr>
                <w:sz w:val="18"/>
                <w:szCs w:val="18"/>
              </w:rPr>
              <w:t>5 531</w:t>
            </w:r>
          </w:p>
        </w:tc>
        <w:tc>
          <w:tcPr>
            <w:tcW w:w="1638" w:type="dxa"/>
            <w:shd w:val="clear" w:color="auto" w:fill="auto"/>
            <w:vAlign w:val="bottom"/>
          </w:tcPr>
          <w:p w14:paraId="32ED3BC7" w14:textId="43F9C801" w:rsidR="00E31679" w:rsidRPr="00E31679" w:rsidRDefault="00E31679" w:rsidP="002953FF">
            <w:pPr>
              <w:spacing w:before="20" w:after="20" w:line="300" w:lineRule="exact"/>
              <w:ind w:left="57" w:right="57"/>
              <w:rPr>
                <w:sz w:val="18"/>
                <w:szCs w:val="18"/>
              </w:rPr>
            </w:pPr>
            <w:r w:rsidRPr="00E31679">
              <w:rPr>
                <w:sz w:val="18"/>
                <w:szCs w:val="18"/>
              </w:rPr>
              <w:t>2 975</w:t>
            </w:r>
          </w:p>
        </w:tc>
      </w:tr>
    </w:tbl>
    <w:p w14:paraId="74939D08" w14:textId="77777777" w:rsidR="00C815DB" w:rsidRPr="0068209D" w:rsidRDefault="00C815DB" w:rsidP="00BE4C80">
      <w:pPr>
        <w:pStyle w:val="SingleTxtGA"/>
        <w:rPr>
          <w:sz w:val="30"/>
          <w:lang w:val="ar-SA" w:eastAsia="zh-TW" w:bidi="en-GB"/>
        </w:rPr>
      </w:pPr>
      <w:r w:rsidRPr="0068209D">
        <w:rPr>
          <w:i/>
          <w:iCs/>
          <w:sz w:val="30"/>
          <w:rtl/>
        </w:rPr>
        <w:t>المصدر</w:t>
      </w:r>
      <w:r w:rsidRPr="00BB79C1">
        <w:t>:</w:t>
      </w:r>
      <w:r w:rsidRPr="0068209D">
        <w:rPr>
          <w:sz w:val="30"/>
          <w:rtl/>
        </w:rPr>
        <w:t xml:space="preserve"> </w:t>
      </w:r>
      <w:r w:rsidRPr="00E3220A">
        <w:rPr>
          <w:sz w:val="18"/>
          <w:szCs w:val="18"/>
        </w:rPr>
        <w:t>Statistical Yearbook 2018 of the Criminal Sanctions Agency</w:t>
      </w:r>
      <w:r w:rsidRPr="0068209D">
        <w:rPr>
          <w:sz w:val="30"/>
          <w:rtl/>
        </w:rPr>
        <w:t>.</w:t>
      </w:r>
    </w:p>
    <w:p w14:paraId="5DFC21F5" w14:textId="77777777" w:rsidR="00C815DB" w:rsidRPr="0068209D" w:rsidRDefault="00C815DB" w:rsidP="00BE4C80">
      <w:pPr>
        <w:pStyle w:val="SingleTxtGA"/>
        <w:rPr>
          <w:lang w:val="ar-SA" w:eastAsia="zh-TW" w:bidi="en-GB"/>
        </w:rPr>
      </w:pPr>
      <w:r w:rsidRPr="005C19F0">
        <w:rPr>
          <w:szCs w:val="20"/>
          <w:rtl/>
        </w:rPr>
        <w:lastRenderedPageBreak/>
        <w:t>230</w:t>
      </w:r>
      <w:r w:rsidRPr="00EF3655">
        <w:rPr>
          <w:rtl/>
        </w:rPr>
        <w:t>-</w:t>
      </w:r>
      <w:r w:rsidRPr="0068209D">
        <w:rPr>
          <w:rtl/>
        </w:rPr>
        <w:tab/>
        <w:t>والوفيات في السجون غير شائعة إلى حد ما في فنلندا، وقد ظل عددها ثابتاً جداً في السنوات القليلة المنصرمة.</w:t>
      </w:r>
    </w:p>
    <w:p w14:paraId="682BCEC2" w14:textId="3F440849" w:rsidR="00C815DB" w:rsidRDefault="00C815DB" w:rsidP="00E31679">
      <w:pPr>
        <w:pStyle w:val="SingleTxtGA"/>
        <w:spacing w:after="0"/>
        <w:rPr>
          <w:rtl/>
        </w:rPr>
      </w:pPr>
      <w:r w:rsidRPr="0068209D">
        <w:rPr>
          <w:rtl/>
        </w:rPr>
        <w:t xml:space="preserve">الجدول </w:t>
      </w:r>
      <w:r w:rsidRPr="005C19F0">
        <w:rPr>
          <w:szCs w:val="20"/>
          <w:rtl/>
        </w:rPr>
        <w:t>19</w:t>
      </w:r>
    </w:p>
    <w:p w14:paraId="73A7C529" w14:textId="77777777" w:rsidR="00C815DB" w:rsidRPr="00BE4C80" w:rsidRDefault="00C815DB" w:rsidP="00BE4C80">
      <w:pPr>
        <w:pStyle w:val="SingleTxtGA"/>
        <w:rPr>
          <w:b/>
          <w:bCs/>
          <w:lang w:val="ar-SA" w:eastAsia="zh-TW" w:bidi="en-GB"/>
        </w:rPr>
      </w:pPr>
      <w:r w:rsidRPr="00BE4C80">
        <w:rPr>
          <w:b/>
          <w:bCs/>
          <w:rtl/>
        </w:rPr>
        <w:t>الوفيات في السجون</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726"/>
        <w:gridCol w:w="726"/>
        <w:gridCol w:w="726"/>
        <w:gridCol w:w="727"/>
        <w:gridCol w:w="726"/>
        <w:gridCol w:w="726"/>
        <w:gridCol w:w="726"/>
        <w:gridCol w:w="727"/>
      </w:tblGrid>
      <w:tr w:rsidR="00C815DB" w:rsidRPr="0068209D" w14:paraId="18C5979B" w14:textId="77777777" w:rsidTr="00BE4C80">
        <w:trPr>
          <w:tblHeader/>
        </w:trPr>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643AA30" w14:textId="77777777" w:rsidR="00C815DB" w:rsidRPr="00E31679" w:rsidRDefault="00C815DB" w:rsidP="00E31679">
            <w:pPr>
              <w:spacing w:before="20" w:after="20" w:line="300" w:lineRule="exact"/>
              <w:ind w:left="57" w:right="57"/>
              <w:textDirection w:val="tbRlV"/>
              <w:rPr>
                <w:bCs/>
                <w:i/>
                <w:sz w:val="26"/>
                <w:szCs w:val="26"/>
                <w:lang w:val="ar-SA" w:eastAsia="zh-TW" w:bidi="en-GB"/>
              </w:rPr>
            </w:pPr>
            <w:r w:rsidRPr="00E31679">
              <w:rPr>
                <w:i/>
                <w:iCs/>
                <w:sz w:val="26"/>
                <w:szCs w:val="26"/>
                <w:rtl/>
              </w:rPr>
              <w:t>سبب الوفاة/السنة</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CE4A350"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2011</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A5A36E4"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2012</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1F88200"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2013</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5A0042F"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2014</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6CD2BCE"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2015</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8166888"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2016</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EB51C6C"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2017</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5102E1B" w14:textId="77777777" w:rsidR="00C815DB" w:rsidRPr="00E31679" w:rsidRDefault="00C815DB" w:rsidP="00E31679">
            <w:pPr>
              <w:spacing w:before="20" w:after="20" w:line="300" w:lineRule="exact"/>
              <w:ind w:left="57" w:right="57"/>
              <w:textDirection w:val="tbRlV"/>
              <w:rPr>
                <w:bCs/>
                <w:i/>
                <w:sz w:val="18"/>
                <w:szCs w:val="18"/>
                <w:lang w:val="ar-SA" w:eastAsia="zh-TW" w:bidi="en-GB"/>
              </w:rPr>
            </w:pPr>
            <w:r w:rsidRPr="00E31679">
              <w:rPr>
                <w:i/>
                <w:iCs/>
                <w:sz w:val="18"/>
                <w:szCs w:val="18"/>
                <w:rtl/>
              </w:rPr>
              <w:t>2018</w:t>
            </w:r>
          </w:p>
        </w:tc>
      </w:tr>
      <w:tr w:rsidR="00E31679" w:rsidRPr="0068209D" w14:paraId="333F5A42" w14:textId="77777777" w:rsidTr="00BE4C80">
        <w:tc>
          <w:tcPr>
            <w:tcW w:w="1560" w:type="dxa"/>
            <w:tcBorders>
              <w:top w:val="single" w:sz="12" w:space="0" w:color="auto"/>
            </w:tcBorders>
            <w:shd w:val="clear" w:color="auto" w:fill="auto"/>
            <w:tcMar>
              <w:top w:w="0" w:type="dxa"/>
              <w:left w:w="0" w:type="dxa"/>
              <w:bottom w:w="0" w:type="dxa"/>
              <w:right w:w="0" w:type="dxa"/>
            </w:tcMar>
            <w:hideMark/>
          </w:tcPr>
          <w:p w14:paraId="6F55C7F5" w14:textId="77777777" w:rsidR="00E31679" w:rsidRPr="00E31679" w:rsidRDefault="00E31679" w:rsidP="00E31679">
            <w:pPr>
              <w:spacing w:before="20" w:after="20" w:line="300" w:lineRule="exact"/>
              <w:ind w:left="57" w:right="57"/>
              <w:textDirection w:val="tbRlV"/>
              <w:rPr>
                <w:sz w:val="26"/>
                <w:szCs w:val="26"/>
                <w:lang w:val="ar-SA" w:eastAsia="zh-TW" w:bidi="en-GB"/>
              </w:rPr>
            </w:pPr>
            <w:r w:rsidRPr="00E31679">
              <w:rPr>
                <w:sz w:val="26"/>
                <w:szCs w:val="26"/>
                <w:rtl/>
              </w:rPr>
              <w:t>الانتحار</w:t>
            </w:r>
          </w:p>
        </w:tc>
        <w:tc>
          <w:tcPr>
            <w:tcW w:w="726" w:type="dxa"/>
            <w:tcBorders>
              <w:top w:val="single" w:sz="12" w:space="0" w:color="auto"/>
            </w:tcBorders>
            <w:shd w:val="clear" w:color="auto" w:fill="auto"/>
            <w:tcMar>
              <w:top w:w="0" w:type="dxa"/>
              <w:left w:w="0" w:type="dxa"/>
              <w:bottom w:w="0" w:type="dxa"/>
              <w:right w:w="0" w:type="dxa"/>
            </w:tcMar>
            <w:vAlign w:val="bottom"/>
          </w:tcPr>
          <w:p w14:paraId="48E4FA1D" w14:textId="4D1E6544" w:rsidR="00E31679" w:rsidRPr="00E31679" w:rsidRDefault="00E31679" w:rsidP="00E31679">
            <w:pPr>
              <w:spacing w:before="20" w:after="20" w:line="300" w:lineRule="exact"/>
              <w:ind w:left="57" w:right="57"/>
              <w:rPr>
                <w:sz w:val="18"/>
                <w:szCs w:val="18"/>
              </w:rPr>
            </w:pPr>
            <w:r w:rsidRPr="00EA676C">
              <w:rPr>
                <w:sz w:val="18"/>
                <w:szCs w:val="24"/>
              </w:rPr>
              <w:t>7</w:t>
            </w:r>
          </w:p>
        </w:tc>
        <w:tc>
          <w:tcPr>
            <w:tcW w:w="726" w:type="dxa"/>
            <w:tcBorders>
              <w:top w:val="single" w:sz="12" w:space="0" w:color="auto"/>
            </w:tcBorders>
            <w:shd w:val="clear" w:color="auto" w:fill="auto"/>
            <w:tcMar>
              <w:top w:w="0" w:type="dxa"/>
              <w:left w:w="0" w:type="dxa"/>
              <w:bottom w:w="0" w:type="dxa"/>
              <w:right w:w="0" w:type="dxa"/>
            </w:tcMar>
            <w:vAlign w:val="bottom"/>
          </w:tcPr>
          <w:p w14:paraId="135C0AF9" w14:textId="221FBD0B"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tcPr>
          <w:p w14:paraId="4D1D9D2A" w14:textId="36A41295" w:rsidR="00E31679" w:rsidRPr="00E31679" w:rsidRDefault="00E31679" w:rsidP="00E31679">
            <w:pPr>
              <w:spacing w:before="20" w:after="20" w:line="300" w:lineRule="exact"/>
              <w:ind w:left="57" w:right="57"/>
              <w:rPr>
                <w:sz w:val="18"/>
                <w:szCs w:val="18"/>
              </w:rPr>
            </w:pPr>
            <w:r w:rsidRPr="00EA676C">
              <w:rPr>
                <w:sz w:val="18"/>
                <w:szCs w:val="24"/>
              </w:rPr>
              <w:t>2</w:t>
            </w:r>
          </w:p>
        </w:tc>
        <w:tc>
          <w:tcPr>
            <w:tcW w:w="727" w:type="dxa"/>
            <w:tcBorders>
              <w:top w:val="single" w:sz="12" w:space="0" w:color="auto"/>
            </w:tcBorders>
            <w:shd w:val="clear" w:color="auto" w:fill="auto"/>
            <w:tcMar>
              <w:top w:w="0" w:type="dxa"/>
              <w:left w:w="0" w:type="dxa"/>
              <w:bottom w:w="0" w:type="dxa"/>
              <w:right w:w="0" w:type="dxa"/>
            </w:tcMar>
            <w:vAlign w:val="bottom"/>
          </w:tcPr>
          <w:p w14:paraId="042342A2" w14:textId="4F69B1D3"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tcPr>
          <w:p w14:paraId="57BFE351" w14:textId="24D7C15F"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tcPr>
          <w:p w14:paraId="7780898B" w14:textId="04222B90"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tcPr>
          <w:p w14:paraId="192981A6" w14:textId="2DEDE2D2" w:rsidR="00E31679" w:rsidRPr="00E31679" w:rsidRDefault="00E31679" w:rsidP="00E31679">
            <w:pPr>
              <w:spacing w:before="20" w:after="20" w:line="300" w:lineRule="exact"/>
              <w:ind w:left="57" w:right="57"/>
              <w:rPr>
                <w:sz w:val="18"/>
                <w:szCs w:val="18"/>
              </w:rPr>
            </w:pPr>
            <w:r w:rsidRPr="00EA676C">
              <w:rPr>
                <w:sz w:val="18"/>
                <w:szCs w:val="24"/>
              </w:rPr>
              <w:t>2</w:t>
            </w:r>
          </w:p>
        </w:tc>
        <w:tc>
          <w:tcPr>
            <w:tcW w:w="727" w:type="dxa"/>
            <w:tcBorders>
              <w:top w:val="single" w:sz="12" w:space="0" w:color="auto"/>
            </w:tcBorders>
            <w:shd w:val="clear" w:color="auto" w:fill="auto"/>
            <w:tcMar>
              <w:top w:w="0" w:type="dxa"/>
              <w:left w:w="0" w:type="dxa"/>
              <w:bottom w:w="0" w:type="dxa"/>
              <w:right w:w="0" w:type="dxa"/>
            </w:tcMar>
            <w:vAlign w:val="bottom"/>
          </w:tcPr>
          <w:p w14:paraId="685F835C" w14:textId="1A234BE9" w:rsidR="00E31679" w:rsidRPr="00E31679" w:rsidRDefault="00E31679" w:rsidP="00E31679">
            <w:pPr>
              <w:spacing w:before="20" w:after="20" w:line="300" w:lineRule="exact"/>
              <w:ind w:left="57" w:right="57"/>
              <w:rPr>
                <w:sz w:val="18"/>
                <w:szCs w:val="18"/>
              </w:rPr>
            </w:pPr>
            <w:r w:rsidRPr="00EA676C">
              <w:rPr>
                <w:sz w:val="18"/>
                <w:szCs w:val="24"/>
              </w:rPr>
              <w:t>2</w:t>
            </w:r>
          </w:p>
        </w:tc>
      </w:tr>
      <w:tr w:rsidR="00E31679" w:rsidRPr="0068209D" w14:paraId="4061FF18" w14:textId="77777777" w:rsidTr="00BE4C80">
        <w:tc>
          <w:tcPr>
            <w:tcW w:w="1560" w:type="dxa"/>
            <w:shd w:val="clear" w:color="auto" w:fill="auto"/>
            <w:tcMar>
              <w:top w:w="0" w:type="dxa"/>
              <w:left w:w="0" w:type="dxa"/>
              <w:bottom w:w="0" w:type="dxa"/>
              <w:right w:w="0" w:type="dxa"/>
            </w:tcMar>
            <w:hideMark/>
          </w:tcPr>
          <w:p w14:paraId="207656CB" w14:textId="77777777" w:rsidR="00E31679" w:rsidRPr="00E31679" w:rsidRDefault="00E31679" w:rsidP="00E31679">
            <w:pPr>
              <w:spacing w:before="20" w:after="20" w:line="300" w:lineRule="exact"/>
              <w:ind w:left="57" w:right="57"/>
              <w:textDirection w:val="tbRlV"/>
              <w:rPr>
                <w:sz w:val="26"/>
                <w:szCs w:val="26"/>
                <w:lang w:val="ar-SA" w:eastAsia="zh-TW" w:bidi="en-GB"/>
              </w:rPr>
            </w:pPr>
            <w:r w:rsidRPr="00E31679">
              <w:rPr>
                <w:sz w:val="26"/>
                <w:szCs w:val="26"/>
                <w:rtl/>
              </w:rPr>
              <w:t>أسباب أخرى</w:t>
            </w:r>
          </w:p>
        </w:tc>
        <w:tc>
          <w:tcPr>
            <w:tcW w:w="726" w:type="dxa"/>
            <w:shd w:val="clear" w:color="auto" w:fill="auto"/>
            <w:tcMar>
              <w:top w:w="0" w:type="dxa"/>
              <w:left w:w="0" w:type="dxa"/>
              <w:bottom w:w="0" w:type="dxa"/>
              <w:right w:w="0" w:type="dxa"/>
            </w:tcMar>
            <w:vAlign w:val="bottom"/>
          </w:tcPr>
          <w:p w14:paraId="76EC61CA" w14:textId="5723F745"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shd w:val="clear" w:color="auto" w:fill="auto"/>
            <w:tcMar>
              <w:top w:w="0" w:type="dxa"/>
              <w:left w:w="0" w:type="dxa"/>
              <w:bottom w:w="0" w:type="dxa"/>
              <w:right w:w="0" w:type="dxa"/>
            </w:tcMar>
            <w:vAlign w:val="bottom"/>
          </w:tcPr>
          <w:p w14:paraId="65707D7D" w14:textId="19D1F2CD" w:rsidR="00E31679" w:rsidRPr="00E31679" w:rsidRDefault="00E31679" w:rsidP="00E31679">
            <w:pPr>
              <w:spacing w:before="20" w:after="20" w:line="300" w:lineRule="exact"/>
              <w:ind w:left="57" w:right="57"/>
              <w:rPr>
                <w:sz w:val="18"/>
                <w:szCs w:val="18"/>
              </w:rPr>
            </w:pPr>
            <w:r w:rsidRPr="00EA676C">
              <w:rPr>
                <w:sz w:val="18"/>
                <w:szCs w:val="24"/>
              </w:rPr>
              <w:t>3</w:t>
            </w:r>
          </w:p>
        </w:tc>
        <w:tc>
          <w:tcPr>
            <w:tcW w:w="726" w:type="dxa"/>
            <w:shd w:val="clear" w:color="auto" w:fill="auto"/>
            <w:tcMar>
              <w:top w:w="0" w:type="dxa"/>
              <w:left w:w="0" w:type="dxa"/>
              <w:bottom w:w="0" w:type="dxa"/>
              <w:right w:w="0" w:type="dxa"/>
            </w:tcMar>
            <w:vAlign w:val="bottom"/>
          </w:tcPr>
          <w:p w14:paraId="278B0F09" w14:textId="265C690F" w:rsidR="00E31679" w:rsidRPr="00E31679" w:rsidRDefault="00E31679" w:rsidP="00E31679">
            <w:pPr>
              <w:spacing w:before="20" w:after="20" w:line="300" w:lineRule="exact"/>
              <w:ind w:left="57" w:right="57"/>
              <w:rPr>
                <w:sz w:val="18"/>
                <w:szCs w:val="18"/>
                <w:rtl/>
              </w:rPr>
            </w:pPr>
            <w:r w:rsidRPr="00EA676C">
              <w:rPr>
                <w:sz w:val="18"/>
                <w:szCs w:val="24"/>
              </w:rPr>
              <w:t>3</w:t>
            </w:r>
          </w:p>
        </w:tc>
        <w:tc>
          <w:tcPr>
            <w:tcW w:w="727" w:type="dxa"/>
            <w:shd w:val="clear" w:color="auto" w:fill="auto"/>
            <w:tcMar>
              <w:top w:w="0" w:type="dxa"/>
              <w:left w:w="0" w:type="dxa"/>
              <w:bottom w:w="0" w:type="dxa"/>
              <w:right w:w="0" w:type="dxa"/>
            </w:tcMar>
            <w:vAlign w:val="bottom"/>
          </w:tcPr>
          <w:p w14:paraId="1CCC91F5" w14:textId="42371BF9" w:rsidR="00E31679" w:rsidRPr="00E31679" w:rsidRDefault="00E31679" w:rsidP="00E31679">
            <w:pPr>
              <w:spacing w:before="20" w:after="20" w:line="300" w:lineRule="exact"/>
              <w:ind w:left="57" w:right="57"/>
              <w:rPr>
                <w:sz w:val="18"/>
                <w:szCs w:val="18"/>
              </w:rPr>
            </w:pPr>
            <w:r w:rsidRPr="00EA676C">
              <w:rPr>
                <w:sz w:val="18"/>
                <w:szCs w:val="24"/>
              </w:rPr>
              <w:t>7</w:t>
            </w:r>
          </w:p>
        </w:tc>
        <w:tc>
          <w:tcPr>
            <w:tcW w:w="726" w:type="dxa"/>
            <w:shd w:val="clear" w:color="auto" w:fill="auto"/>
            <w:tcMar>
              <w:top w:w="0" w:type="dxa"/>
              <w:left w:w="0" w:type="dxa"/>
              <w:bottom w:w="0" w:type="dxa"/>
              <w:right w:w="0" w:type="dxa"/>
            </w:tcMar>
            <w:vAlign w:val="bottom"/>
          </w:tcPr>
          <w:p w14:paraId="6F0814A1" w14:textId="5738E9C9" w:rsidR="00E31679" w:rsidRPr="00E31679" w:rsidRDefault="00E31679" w:rsidP="00E31679">
            <w:pPr>
              <w:spacing w:before="20" w:after="20" w:line="300" w:lineRule="exact"/>
              <w:ind w:left="57" w:right="57"/>
              <w:rPr>
                <w:sz w:val="18"/>
                <w:szCs w:val="18"/>
              </w:rPr>
            </w:pPr>
            <w:r w:rsidRPr="00EA676C">
              <w:rPr>
                <w:sz w:val="18"/>
                <w:szCs w:val="24"/>
              </w:rPr>
              <w:t>1</w:t>
            </w:r>
          </w:p>
        </w:tc>
        <w:tc>
          <w:tcPr>
            <w:tcW w:w="726" w:type="dxa"/>
            <w:shd w:val="clear" w:color="auto" w:fill="auto"/>
            <w:tcMar>
              <w:top w:w="0" w:type="dxa"/>
              <w:left w:w="0" w:type="dxa"/>
              <w:bottom w:w="0" w:type="dxa"/>
              <w:right w:w="0" w:type="dxa"/>
            </w:tcMar>
            <w:vAlign w:val="bottom"/>
          </w:tcPr>
          <w:p w14:paraId="240C6046" w14:textId="3D6DA50D" w:rsidR="00E31679" w:rsidRPr="00E31679" w:rsidRDefault="00E31679" w:rsidP="00E31679">
            <w:pPr>
              <w:spacing w:before="20" w:after="20" w:line="300" w:lineRule="exact"/>
              <w:ind w:left="57" w:right="57"/>
              <w:rPr>
                <w:sz w:val="18"/>
                <w:szCs w:val="18"/>
              </w:rPr>
            </w:pPr>
            <w:r w:rsidRPr="00EA676C">
              <w:rPr>
                <w:sz w:val="18"/>
                <w:szCs w:val="24"/>
              </w:rPr>
              <w:t>2</w:t>
            </w:r>
          </w:p>
        </w:tc>
        <w:tc>
          <w:tcPr>
            <w:tcW w:w="726" w:type="dxa"/>
            <w:shd w:val="clear" w:color="auto" w:fill="auto"/>
            <w:tcMar>
              <w:top w:w="0" w:type="dxa"/>
              <w:left w:w="0" w:type="dxa"/>
              <w:bottom w:w="0" w:type="dxa"/>
              <w:right w:w="0" w:type="dxa"/>
            </w:tcMar>
            <w:vAlign w:val="bottom"/>
          </w:tcPr>
          <w:p w14:paraId="09D6139B" w14:textId="3261C62E" w:rsidR="00E31679" w:rsidRPr="00E31679" w:rsidRDefault="00E31679" w:rsidP="00E31679">
            <w:pPr>
              <w:spacing w:before="20" w:after="20" w:line="300" w:lineRule="exact"/>
              <w:ind w:left="57" w:right="57"/>
              <w:rPr>
                <w:sz w:val="18"/>
                <w:szCs w:val="18"/>
              </w:rPr>
            </w:pPr>
            <w:r w:rsidRPr="00EA676C">
              <w:rPr>
                <w:sz w:val="18"/>
                <w:szCs w:val="24"/>
              </w:rPr>
              <w:t>0</w:t>
            </w:r>
          </w:p>
        </w:tc>
        <w:tc>
          <w:tcPr>
            <w:tcW w:w="727" w:type="dxa"/>
            <w:shd w:val="clear" w:color="auto" w:fill="auto"/>
            <w:tcMar>
              <w:top w:w="0" w:type="dxa"/>
              <w:left w:w="0" w:type="dxa"/>
              <w:bottom w:w="0" w:type="dxa"/>
              <w:right w:w="0" w:type="dxa"/>
            </w:tcMar>
            <w:vAlign w:val="bottom"/>
          </w:tcPr>
          <w:p w14:paraId="74BAE14B" w14:textId="6BFCA01C" w:rsidR="00E31679" w:rsidRPr="00E31679" w:rsidRDefault="00E31679" w:rsidP="00E31679">
            <w:pPr>
              <w:spacing w:before="20" w:after="20" w:line="300" w:lineRule="exact"/>
              <w:ind w:left="57" w:right="57"/>
              <w:rPr>
                <w:sz w:val="18"/>
                <w:szCs w:val="18"/>
              </w:rPr>
            </w:pPr>
            <w:r w:rsidRPr="00EA676C">
              <w:rPr>
                <w:sz w:val="18"/>
                <w:szCs w:val="24"/>
              </w:rPr>
              <w:t>1</w:t>
            </w:r>
          </w:p>
        </w:tc>
      </w:tr>
    </w:tbl>
    <w:p w14:paraId="0A841782" w14:textId="77777777" w:rsidR="00C815DB" w:rsidRPr="00BE4C80" w:rsidRDefault="00C815DB" w:rsidP="00727023">
      <w:pPr>
        <w:pStyle w:val="SingleTxtGA"/>
        <w:rPr>
          <w:sz w:val="30"/>
          <w:lang w:eastAsia="zh-TW" w:bidi="en-GB"/>
        </w:rPr>
      </w:pPr>
      <w:r w:rsidRPr="00727023">
        <w:rPr>
          <w:i/>
          <w:iCs/>
          <w:sz w:val="30"/>
          <w:rtl/>
        </w:rPr>
        <w:t>المصدر</w:t>
      </w:r>
      <w:r w:rsidRPr="00BB79C1">
        <w:t>:</w:t>
      </w:r>
      <w:r w:rsidRPr="0068209D">
        <w:rPr>
          <w:sz w:val="30"/>
          <w:rtl/>
        </w:rPr>
        <w:t xml:space="preserve"> </w:t>
      </w:r>
      <w:r w:rsidRPr="004957A5">
        <w:rPr>
          <w:sz w:val="18"/>
          <w:szCs w:val="18"/>
        </w:rPr>
        <w:t>Criminal Sanctions Agency</w:t>
      </w:r>
      <w:r w:rsidRPr="0068209D">
        <w:rPr>
          <w:sz w:val="30"/>
          <w:rtl/>
        </w:rPr>
        <w:t>.</w:t>
      </w:r>
    </w:p>
    <w:p w14:paraId="08869D43" w14:textId="77777777" w:rsidR="00C815DB" w:rsidRPr="0068209D" w:rsidRDefault="00C815DB" w:rsidP="00BE4C80">
      <w:pPr>
        <w:pStyle w:val="H23GA"/>
        <w:rPr>
          <w:lang w:val="ar-SA" w:eastAsia="zh-TW" w:bidi="en-GB"/>
        </w:rPr>
      </w:pPr>
      <w:bookmarkStart w:id="71" w:name="_Toc32364330"/>
      <w:r w:rsidRPr="0068209D">
        <w:rPr>
          <w:rtl/>
        </w:rPr>
        <w:tab/>
      </w:r>
      <w:r w:rsidRPr="0068209D">
        <w:rPr>
          <w:rtl/>
        </w:rPr>
        <w:tab/>
        <w:t>عقوبة الإعدام</w:t>
      </w:r>
      <w:bookmarkEnd w:id="71"/>
    </w:p>
    <w:p w14:paraId="2F4BCE4F" w14:textId="77777777" w:rsidR="00C815DB" w:rsidRPr="0068209D" w:rsidRDefault="00C815DB" w:rsidP="00BE4C80">
      <w:pPr>
        <w:pStyle w:val="SingleTxtGA"/>
        <w:rPr>
          <w:lang w:val="ar-SA" w:eastAsia="zh-TW" w:bidi="en-GB"/>
        </w:rPr>
      </w:pPr>
      <w:r w:rsidRPr="005C19F0">
        <w:rPr>
          <w:szCs w:val="20"/>
          <w:rtl/>
        </w:rPr>
        <w:t>231</w:t>
      </w:r>
      <w:r w:rsidRPr="00EF3655">
        <w:rPr>
          <w:rtl/>
        </w:rPr>
        <w:t>-</w:t>
      </w:r>
      <w:r w:rsidRPr="0068209D">
        <w:rPr>
          <w:rtl/>
        </w:rPr>
        <w:tab/>
        <w:t xml:space="preserve">ألغت فنلندا عقوبة الإعدام في عام </w:t>
      </w:r>
      <w:r w:rsidRPr="005C19F0">
        <w:rPr>
          <w:szCs w:val="20"/>
          <w:rtl/>
        </w:rPr>
        <w:t>1972</w:t>
      </w:r>
      <w:r w:rsidRPr="0068209D">
        <w:rPr>
          <w:rFonts w:ascii="Traditional Arabic"/>
          <w:rtl/>
        </w:rPr>
        <w:t>.</w:t>
      </w:r>
      <w:r w:rsidRPr="0068209D">
        <w:rPr>
          <w:rtl/>
        </w:rPr>
        <w:t xml:space="preserve"> وفي زمن السلم، نُفذت عقوبة الإعدام آخر مرة في فنلندا في القرن التاسع عشر.</w:t>
      </w:r>
    </w:p>
    <w:p w14:paraId="0A3684AB" w14:textId="77777777" w:rsidR="00C815DB" w:rsidRPr="00954D96" w:rsidRDefault="00C815DB" w:rsidP="00BE4C80">
      <w:pPr>
        <w:pStyle w:val="H23GA"/>
        <w:rPr>
          <w:lang w:eastAsia="zh-TW" w:bidi="en-GB"/>
        </w:rPr>
      </w:pPr>
      <w:bookmarkStart w:id="72" w:name="_Toc32364331"/>
      <w:r w:rsidRPr="0068209D">
        <w:rPr>
          <w:rtl/>
        </w:rPr>
        <w:tab/>
      </w:r>
      <w:r w:rsidRPr="0068209D">
        <w:rPr>
          <w:rtl/>
        </w:rPr>
        <w:tab/>
        <w:t>صفة ضحية جريمة</w:t>
      </w:r>
      <w:bookmarkEnd w:id="72"/>
    </w:p>
    <w:p w14:paraId="688C5109" w14:textId="77777777" w:rsidR="00C815DB" w:rsidRPr="00C726A7" w:rsidRDefault="00C815DB" w:rsidP="00BE4C80">
      <w:pPr>
        <w:pStyle w:val="SingleTxtGA"/>
        <w:rPr>
          <w:lang w:eastAsia="zh-TW" w:bidi="en-GB"/>
        </w:rPr>
      </w:pPr>
      <w:r w:rsidRPr="005C19F0">
        <w:rPr>
          <w:szCs w:val="20"/>
          <w:rtl/>
        </w:rPr>
        <w:t>232</w:t>
      </w:r>
      <w:r w:rsidRPr="00EF3655">
        <w:rPr>
          <w:rtl/>
        </w:rPr>
        <w:t>-</w:t>
      </w:r>
      <w:r w:rsidRPr="0068209D">
        <w:rPr>
          <w:rtl/>
        </w:rPr>
        <w:tab/>
        <w:t>يحق لضحايا الجر</w:t>
      </w:r>
      <w:r>
        <w:rPr>
          <w:rtl/>
        </w:rPr>
        <w:t>ائم</w:t>
      </w:r>
      <w:r w:rsidRPr="0068209D">
        <w:rPr>
          <w:rtl/>
        </w:rPr>
        <w:t xml:space="preserve"> الحصول على تعويض عن الأضرار التي تلحق</w:t>
      </w:r>
      <w:r>
        <w:rPr>
          <w:rtl/>
        </w:rPr>
        <w:t>هم</w:t>
      </w:r>
      <w:r w:rsidRPr="0068209D">
        <w:rPr>
          <w:rtl/>
        </w:rPr>
        <w:t xml:space="preserve"> من جرا</w:t>
      </w:r>
      <w:r>
        <w:rPr>
          <w:rtl/>
        </w:rPr>
        <w:t>ئها</w:t>
      </w:r>
      <w:r w:rsidRPr="0068209D">
        <w:rPr>
          <w:rtl/>
        </w:rPr>
        <w:t xml:space="preserve">. وقد يشمل هذا الضرر </w:t>
      </w:r>
      <w:r>
        <w:rPr>
          <w:rtl/>
        </w:rPr>
        <w:t xml:space="preserve">الإصابة </w:t>
      </w:r>
      <w:r w:rsidRPr="0068209D">
        <w:rPr>
          <w:rtl/>
        </w:rPr>
        <w:t>الشخصي</w:t>
      </w:r>
      <w:r>
        <w:rPr>
          <w:rtl/>
        </w:rPr>
        <w:t>ة</w:t>
      </w:r>
      <w:r w:rsidRPr="0068209D">
        <w:rPr>
          <w:rtl/>
        </w:rPr>
        <w:t xml:space="preserve"> أو الضرر المادي أو الخسارة المالية البحتة. ويجوز </w:t>
      </w:r>
      <w:r>
        <w:rPr>
          <w:rtl/>
        </w:rPr>
        <w:t>الأمر ب</w:t>
      </w:r>
      <w:r w:rsidRPr="0068209D">
        <w:rPr>
          <w:rtl/>
        </w:rPr>
        <w:t xml:space="preserve">دفع التعويض </w:t>
      </w:r>
      <w:r>
        <w:rPr>
          <w:rtl/>
        </w:rPr>
        <w:t xml:space="preserve">المستحق </w:t>
      </w:r>
      <w:r w:rsidRPr="0068209D">
        <w:rPr>
          <w:rtl/>
        </w:rPr>
        <w:t xml:space="preserve">فيما </w:t>
      </w:r>
      <w:r>
        <w:rPr>
          <w:rtl/>
        </w:rPr>
        <w:t>يخص</w:t>
      </w:r>
      <w:r w:rsidRPr="0068209D">
        <w:rPr>
          <w:rtl/>
        </w:rPr>
        <w:t xml:space="preserve"> الدعاوى الج</w:t>
      </w:r>
      <w:r>
        <w:rPr>
          <w:rtl/>
        </w:rPr>
        <w:t>ن</w:t>
      </w:r>
      <w:r w:rsidRPr="0068209D">
        <w:rPr>
          <w:rtl/>
        </w:rPr>
        <w:t xml:space="preserve">ائية عندما </w:t>
      </w:r>
      <w:r>
        <w:rPr>
          <w:rtl/>
        </w:rPr>
        <w:t>يتم توحيد الدعويين</w:t>
      </w:r>
      <w:r w:rsidRPr="0068209D">
        <w:rPr>
          <w:rtl/>
        </w:rPr>
        <w:t>. وينظم قانون المسؤولية عن</w:t>
      </w:r>
      <w:r>
        <w:rPr>
          <w:rtl/>
        </w:rPr>
        <w:t xml:space="preserve"> الضرر </w:t>
      </w:r>
      <w:r w:rsidRPr="00794E95">
        <w:rPr>
          <w:rtl/>
        </w:rPr>
        <w:t>(</w:t>
      </w:r>
      <w:r w:rsidRPr="005C19F0">
        <w:rPr>
          <w:szCs w:val="20"/>
          <w:rtl/>
        </w:rPr>
        <w:t>412</w:t>
      </w:r>
      <w:r>
        <w:rPr>
          <w:rtl/>
        </w:rPr>
        <w:t>/</w:t>
      </w:r>
      <w:r w:rsidRPr="005C19F0">
        <w:rPr>
          <w:szCs w:val="20"/>
          <w:rtl/>
        </w:rPr>
        <w:t>1974</w:t>
      </w:r>
      <w:r w:rsidRPr="00794E95">
        <w:rPr>
          <w:rtl/>
        </w:rPr>
        <w:t>)</w:t>
      </w:r>
      <w:r w:rsidRPr="0068209D">
        <w:rPr>
          <w:rtl/>
        </w:rPr>
        <w:t xml:space="preserve"> أوامر دفع التعويض عن الضرر، </w:t>
      </w:r>
      <w:r>
        <w:rPr>
          <w:rtl/>
        </w:rPr>
        <w:t>فيؤ</w:t>
      </w:r>
      <w:r w:rsidRPr="0068209D">
        <w:rPr>
          <w:rtl/>
        </w:rPr>
        <w:t>م</w:t>
      </w:r>
      <w:r>
        <w:rPr>
          <w:rtl/>
        </w:rPr>
        <w:t>َ</w:t>
      </w:r>
      <w:r w:rsidRPr="0068209D">
        <w:rPr>
          <w:rtl/>
        </w:rPr>
        <w:t xml:space="preserve">ر الطرف الذي </w:t>
      </w:r>
      <w:r>
        <w:rPr>
          <w:rtl/>
        </w:rPr>
        <w:t>ي</w:t>
      </w:r>
      <w:r w:rsidRPr="0068209D">
        <w:rPr>
          <w:rtl/>
        </w:rPr>
        <w:t xml:space="preserve">تسبب في الضرر بدفع التعويض. وقد تكون الأضرار التي تلحق بشخص طبيعي أو ميراث قابلة للتعويض ثانوياً من الدولة بموجب قانون التعويض عن الأضرار </w:t>
      </w:r>
      <w:r>
        <w:rPr>
          <w:rtl/>
        </w:rPr>
        <w:t xml:space="preserve">الجنائية </w:t>
      </w:r>
      <w:r w:rsidRPr="00794E95">
        <w:rPr>
          <w:rtl/>
        </w:rPr>
        <w:t>(</w:t>
      </w:r>
      <w:r w:rsidRPr="005C19F0">
        <w:rPr>
          <w:szCs w:val="20"/>
          <w:rtl/>
        </w:rPr>
        <w:t>1204</w:t>
      </w:r>
      <w:r>
        <w:rPr>
          <w:rtl/>
        </w:rPr>
        <w:t>/</w:t>
      </w:r>
      <w:r w:rsidRPr="005C19F0">
        <w:rPr>
          <w:szCs w:val="20"/>
          <w:rtl/>
        </w:rPr>
        <w:t>2005</w:t>
      </w:r>
      <w:r w:rsidRPr="00794E95">
        <w:rPr>
          <w:rtl/>
        </w:rPr>
        <w:t>)</w:t>
      </w:r>
      <w:r w:rsidRPr="0068209D">
        <w:rPr>
          <w:rtl/>
        </w:rPr>
        <w:t>. وفي هذه الحالة، يُخصم من التعويض التعويض</w:t>
      </w:r>
      <w:r>
        <w:rPr>
          <w:rtl/>
        </w:rPr>
        <w:t>ُ</w:t>
      </w:r>
      <w:r w:rsidRPr="0068209D">
        <w:rPr>
          <w:rtl/>
        </w:rPr>
        <w:t xml:space="preserve"> المدفوع بالفعل للطرف الذي لحقه الضرر. ولا </w:t>
      </w:r>
      <w:r>
        <w:rPr>
          <w:rtl/>
        </w:rPr>
        <w:t xml:space="preserve">يُستحق دفع </w:t>
      </w:r>
      <w:r w:rsidRPr="0068209D">
        <w:rPr>
          <w:rtl/>
        </w:rPr>
        <w:t>أي فوائد على التعويض المدفوع بمقتضى قانون التعويض عن الأضرار الجنائية. ولا تجمع فنلندا إحصاءات عن مبلغ التعويض عن الأضرار التي يدفعها من يتسببون في الضرر.</w:t>
      </w:r>
    </w:p>
    <w:p w14:paraId="6A0DB9F5" w14:textId="3ADA4E19" w:rsidR="00C815DB" w:rsidRPr="0068209D" w:rsidRDefault="00C815DB" w:rsidP="00C815DB">
      <w:pPr>
        <w:pStyle w:val="SingleTxtGA"/>
        <w:rPr>
          <w:lang w:val="ar-SA" w:eastAsia="zh-TW" w:bidi="en-GB"/>
        </w:rPr>
      </w:pPr>
      <w:r w:rsidRPr="005C19F0">
        <w:rPr>
          <w:szCs w:val="20"/>
          <w:rtl/>
        </w:rPr>
        <w:t>233</w:t>
      </w:r>
      <w:r w:rsidRPr="00EF3655">
        <w:rPr>
          <w:rtl/>
        </w:rPr>
        <w:t>-</w:t>
      </w:r>
      <w:r w:rsidRPr="0068209D">
        <w:rPr>
          <w:rtl/>
        </w:rPr>
        <w:tab/>
      </w:r>
      <w:r>
        <w:rPr>
          <w:rtl/>
        </w:rPr>
        <w:t xml:space="preserve">مركز </w:t>
      </w:r>
      <w:r w:rsidRPr="0068209D">
        <w:rPr>
          <w:rtl/>
        </w:rPr>
        <w:t xml:space="preserve">ضحية </w:t>
      </w:r>
      <w:r>
        <w:rPr>
          <w:rtl/>
        </w:rPr>
        <w:t>ال</w:t>
      </w:r>
      <w:r w:rsidRPr="0068209D">
        <w:rPr>
          <w:rtl/>
        </w:rPr>
        <w:t>جريمة، أي الطرف المتضرر، في الدعاوى الج</w:t>
      </w:r>
      <w:r>
        <w:rPr>
          <w:rtl/>
        </w:rPr>
        <w:t>ن</w:t>
      </w:r>
      <w:r w:rsidRPr="0068209D">
        <w:rPr>
          <w:rtl/>
        </w:rPr>
        <w:t>ائية قوي في فنلندا مقارنةً بغيرها من دول</w:t>
      </w:r>
      <w:r>
        <w:rPr>
          <w:rtl/>
        </w:rPr>
        <w:t xml:space="preserve"> العالم</w:t>
      </w:r>
      <w:r w:rsidRPr="0068209D">
        <w:rPr>
          <w:rtl/>
        </w:rPr>
        <w:t>. ويجوز مطالبة</w:t>
      </w:r>
      <w:r>
        <w:rPr>
          <w:rtl/>
        </w:rPr>
        <w:t xml:space="preserve"> الجاني</w:t>
      </w:r>
      <w:r w:rsidRPr="0068209D">
        <w:rPr>
          <w:rtl/>
        </w:rPr>
        <w:t>، في المقام الأول، بالتعويض الذي يُدفع للضحية عن جريم</w:t>
      </w:r>
      <w:r>
        <w:rPr>
          <w:rtl/>
        </w:rPr>
        <w:t>ته في حقها</w:t>
      </w:r>
      <w:r w:rsidRPr="0068209D">
        <w:rPr>
          <w:rtl/>
        </w:rPr>
        <w:t xml:space="preserve">، </w:t>
      </w:r>
      <w:r>
        <w:rPr>
          <w:rtl/>
        </w:rPr>
        <w:t>كما يجوز مطالبة</w:t>
      </w:r>
      <w:r w:rsidRPr="0068209D">
        <w:rPr>
          <w:rtl/>
        </w:rPr>
        <w:t xml:space="preserve"> خز</w:t>
      </w:r>
      <w:r>
        <w:rPr>
          <w:rtl/>
        </w:rPr>
        <w:t>ي</w:t>
      </w:r>
      <w:r w:rsidRPr="0068209D">
        <w:rPr>
          <w:rtl/>
        </w:rPr>
        <w:t xml:space="preserve">نة الدولة أو شركة تأمين أو مؤسسة الضمان الاجتماعي الفنلندية </w:t>
      </w:r>
      <w:r w:rsidRPr="00794E95">
        <w:rPr>
          <w:rtl/>
        </w:rPr>
        <w:t>(</w:t>
      </w:r>
      <w:r w:rsidRPr="00954D96">
        <w:rPr>
          <w:rFonts w:cs="Times New Roman"/>
          <w:sz w:val="22"/>
          <w:szCs w:val="22"/>
        </w:rPr>
        <w:t>Kela</w:t>
      </w:r>
      <w:r w:rsidRPr="00794E95">
        <w:rPr>
          <w:rtl/>
        </w:rPr>
        <w:t>)</w:t>
      </w:r>
      <w:r>
        <w:rPr>
          <w:rtl/>
        </w:rPr>
        <w:t xml:space="preserve"> بدفعه</w:t>
      </w:r>
      <w:r w:rsidRPr="0068209D">
        <w:rPr>
          <w:rtl/>
        </w:rPr>
        <w:t xml:space="preserve">. والتعويض المدفوع على أساس قانون التعويض عن الأضرار الجنائية مرتفع إلى حد ما </w:t>
      </w:r>
      <w:r>
        <w:rPr>
          <w:rtl/>
        </w:rPr>
        <w:t>مقارنة بما هو عليه في باقي</w:t>
      </w:r>
      <w:r w:rsidRPr="0068209D">
        <w:rPr>
          <w:rtl/>
        </w:rPr>
        <w:t xml:space="preserve"> دول</w:t>
      </w:r>
      <w:r>
        <w:rPr>
          <w:rtl/>
        </w:rPr>
        <w:t xml:space="preserve"> العالم</w:t>
      </w:r>
      <w:r w:rsidRPr="0068209D">
        <w:rPr>
          <w:rtl/>
        </w:rPr>
        <w:t>. ويقدَّم إلى ضحايا الجر</w:t>
      </w:r>
      <w:r>
        <w:rPr>
          <w:rtl/>
        </w:rPr>
        <w:t>ائم</w:t>
      </w:r>
      <w:r w:rsidRPr="0068209D">
        <w:rPr>
          <w:rtl/>
        </w:rPr>
        <w:t xml:space="preserve"> </w:t>
      </w:r>
      <w:r w:rsidR="00C74C59">
        <w:rPr>
          <w:rtl/>
        </w:rPr>
        <w:t>أيضاً</w:t>
      </w:r>
      <w:r w:rsidRPr="0068209D">
        <w:rPr>
          <w:rtl/>
        </w:rPr>
        <w:t xml:space="preserve"> كثير من الخدمات الاستشارية وخدمات التوجيه والدعم التي تتحسن باستمرار. و</w:t>
      </w:r>
      <w:r>
        <w:rPr>
          <w:rtl/>
        </w:rPr>
        <w:t>يُ</w:t>
      </w:r>
      <w:r w:rsidRPr="0068209D">
        <w:rPr>
          <w:rtl/>
        </w:rPr>
        <w:t>سعى</w:t>
      </w:r>
      <w:r>
        <w:rPr>
          <w:rtl/>
        </w:rPr>
        <w:t xml:space="preserve"> في</w:t>
      </w:r>
      <w:r w:rsidRPr="0068209D">
        <w:rPr>
          <w:rtl/>
        </w:rPr>
        <w:t xml:space="preserve"> صياغة التشريعات الجنائية </w:t>
      </w:r>
      <w:r w:rsidR="00C74C59">
        <w:rPr>
          <w:rtl/>
        </w:rPr>
        <w:t>أيضاً</w:t>
      </w:r>
      <w:r w:rsidRPr="0068209D">
        <w:rPr>
          <w:rtl/>
        </w:rPr>
        <w:t>، أكثر فأكثر، إلى أخذ صفة ضح</w:t>
      </w:r>
      <w:r>
        <w:rPr>
          <w:rtl/>
        </w:rPr>
        <w:t>ية الجريمة بعين الاعتبار</w:t>
      </w:r>
      <w:r w:rsidRPr="0068209D">
        <w:rPr>
          <w:rtl/>
        </w:rPr>
        <w:t>.</w:t>
      </w:r>
    </w:p>
    <w:p w14:paraId="2BA3D73A" w14:textId="16212C5D" w:rsidR="00C815DB" w:rsidRPr="000D27FD" w:rsidRDefault="00C815DB" w:rsidP="00C815DB">
      <w:pPr>
        <w:pStyle w:val="H23GA"/>
        <w:rPr>
          <w:lang w:eastAsia="zh-TW" w:bidi="en-GB"/>
        </w:rPr>
      </w:pPr>
      <w:bookmarkStart w:id="73" w:name="_Toc32364332"/>
      <w:r>
        <w:rPr>
          <w:rtl/>
        </w:rPr>
        <w:tab/>
      </w:r>
      <w:r w:rsidRPr="00794E95">
        <w:rPr>
          <w:rtl/>
        </w:rPr>
        <w:t>(</w:t>
      </w:r>
      <w:r w:rsidRPr="000D27FD">
        <w:rPr>
          <w:rtl/>
        </w:rPr>
        <w:t>ق</w:t>
      </w:r>
      <w:r w:rsidRPr="00794E95">
        <w:rPr>
          <w:rtl/>
        </w:rPr>
        <w:t>)</w:t>
      </w:r>
      <w:r>
        <w:rPr>
          <w:rtl/>
        </w:rPr>
        <w:tab/>
      </w:r>
      <w:r w:rsidRPr="000D27FD">
        <w:rPr>
          <w:rtl/>
        </w:rPr>
        <w:t>التجنيد العام</w:t>
      </w:r>
      <w:bookmarkEnd w:id="73"/>
    </w:p>
    <w:p w14:paraId="4784A323" w14:textId="77777777" w:rsidR="00C815DB" w:rsidRPr="00C726A7" w:rsidRDefault="00C815DB" w:rsidP="00C815DB">
      <w:pPr>
        <w:pStyle w:val="SingleTxtGA"/>
        <w:rPr>
          <w:lang w:eastAsia="zh-TW" w:bidi="en-GB"/>
        </w:rPr>
      </w:pPr>
      <w:r w:rsidRPr="005C19F0">
        <w:rPr>
          <w:szCs w:val="20"/>
          <w:rtl/>
        </w:rPr>
        <w:t>234</w:t>
      </w:r>
      <w:r w:rsidRPr="00EF3655">
        <w:rPr>
          <w:rtl/>
        </w:rPr>
        <w:t>-</w:t>
      </w:r>
      <w:r w:rsidRPr="0068209D">
        <w:rPr>
          <w:rtl/>
        </w:rPr>
        <w:tab/>
        <w:t>يضمن التجنيد العام أمن فنلندا العسكري. ولما لم تكن فنلندا عضوا في أي تحالف عسكري، فإنها مستعدة للدفاع عن أراضيها معتمدةً على مواردها الذاتية. ويولّد التجنيد العام موارد كافية للجيش والبحرية والقوات الجوية للعمل بفعالية في أوقات الحرب والأزمات.</w:t>
      </w:r>
    </w:p>
    <w:p w14:paraId="4673521A" w14:textId="77777777" w:rsidR="00C815DB" w:rsidRPr="00C726A7" w:rsidRDefault="00C815DB" w:rsidP="00C815DB">
      <w:pPr>
        <w:pStyle w:val="SingleTxtGA"/>
        <w:rPr>
          <w:lang w:eastAsia="zh-TW" w:bidi="en-GB"/>
        </w:rPr>
      </w:pPr>
      <w:r w:rsidRPr="005C19F0">
        <w:rPr>
          <w:szCs w:val="20"/>
          <w:rtl/>
        </w:rPr>
        <w:t>235</w:t>
      </w:r>
      <w:r w:rsidRPr="00EF3655">
        <w:rPr>
          <w:rtl/>
        </w:rPr>
        <w:t>-</w:t>
      </w:r>
      <w:r w:rsidRPr="0068209D">
        <w:rPr>
          <w:rtl/>
        </w:rPr>
        <w:tab/>
        <w:t xml:space="preserve">وجميع الرجال الفنلنديين الذين تتراوح أعمارهم </w:t>
      </w:r>
      <w:r>
        <w:rPr>
          <w:rtl/>
        </w:rPr>
        <w:t xml:space="preserve">ما </w:t>
      </w:r>
      <w:r w:rsidRPr="0068209D">
        <w:rPr>
          <w:rtl/>
        </w:rPr>
        <w:t xml:space="preserve">بين </w:t>
      </w:r>
      <w:r w:rsidRPr="005C19F0">
        <w:rPr>
          <w:szCs w:val="20"/>
          <w:rtl/>
        </w:rPr>
        <w:t>18</w:t>
      </w:r>
      <w:r w:rsidRPr="0068209D">
        <w:rPr>
          <w:rtl/>
        </w:rPr>
        <w:t xml:space="preserve"> و</w:t>
      </w:r>
      <w:r w:rsidRPr="005C19F0">
        <w:rPr>
          <w:szCs w:val="20"/>
          <w:rtl/>
        </w:rPr>
        <w:t>60</w:t>
      </w:r>
      <w:r w:rsidRPr="0068209D">
        <w:rPr>
          <w:rtl/>
        </w:rPr>
        <w:t xml:space="preserve"> سنة ملزمون بالخدمة العسكرية. ويجوز للنساء التقدم بطلب للخدمة العسكرية الطوعية. ويجب على جميع الرجال إما أن يؤدوا الخدمة العسكرية أو الخدمة غير العسكرية. وعلى كل رجل </w:t>
      </w:r>
      <w:r>
        <w:rPr>
          <w:rtl/>
        </w:rPr>
        <w:t>الحضور عند استدعائه للتعبئة العامة</w:t>
      </w:r>
      <w:r w:rsidRPr="0068209D">
        <w:rPr>
          <w:rtl/>
        </w:rPr>
        <w:t xml:space="preserve"> </w:t>
      </w:r>
      <w:r w:rsidRPr="0068209D">
        <w:rPr>
          <w:rtl/>
        </w:rPr>
        <w:lastRenderedPageBreak/>
        <w:t xml:space="preserve">في السنة التي يبلغ فيها </w:t>
      </w:r>
      <w:r w:rsidRPr="005C19F0">
        <w:rPr>
          <w:szCs w:val="20"/>
          <w:rtl/>
        </w:rPr>
        <w:t>18</w:t>
      </w:r>
      <w:r w:rsidRPr="0068209D">
        <w:rPr>
          <w:rtl/>
        </w:rPr>
        <w:t xml:space="preserve"> عاماً. ويحدَّد المكان والزمان، اللذان يتعيّن فيهما على المجندين أداء الخدمة، أثناء </w:t>
      </w:r>
      <w:r>
        <w:rPr>
          <w:rtl/>
        </w:rPr>
        <w:t>التعبئة العامة</w:t>
      </w:r>
      <w:r w:rsidRPr="0068209D">
        <w:rPr>
          <w:rtl/>
        </w:rPr>
        <w:t xml:space="preserve">، </w:t>
      </w:r>
      <w:r>
        <w:rPr>
          <w:rtl/>
        </w:rPr>
        <w:t>كما تحدَّد</w:t>
      </w:r>
      <w:r w:rsidRPr="0068209D">
        <w:rPr>
          <w:rtl/>
        </w:rPr>
        <w:t xml:space="preserve"> </w:t>
      </w:r>
      <w:r>
        <w:rPr>
          <w:rtl/>
        </w:rPr>
        <w:t xml:space="preserve">لياقتهم </w:t>
      </w:r>
      <w:r w:rsidRPr="0068209D">
        <w:rPr>
          <w:rtl/>
        </w:rPr>
        <w:t xml:space="preserve">للخدمة. فإن لم يكن المجند </w:t>
      </w:r>
      <w:r>
        <w:rPr>
          <w:rtl/>
        </w:rPr>
        <w:t>لائق</w:t>
      </w:r>
      <w:r w:rsidRPr="0068209D">
        <w:rPr>
          <w:rtl/>
        </w:rPr>
        <w:t>اً للخدمة، أُعفي من الخدمة العسكرية في وقت السلم. وقد يخدم المجند في وقت لاحق إن كان لديه سبب وجيه يبرر تأجيل خدمته. ويجوز للنساء أن يتقدمن بطلب للخدمة العسكرية الطوعية بإرسال طلب إلى أحد المكاتب الإقليمية لقوات الدفاع.</w:t>
      </w:r>
    </w:p>
    <w:p w14:paraId="512187DC" w14:textId="7567C08E" w:rsidR="00C815DB" w:rsidRPr="00043A56" w:rsidRDefault="00C815DB" w:rsidP="00C815DB">
      <w:pPr>
        <w:pStyle w:val="SingleTxtGA"/>
        <w:rPr>
          <w:lang w:eastAsia="zh-TW" w:bidi="en-GB"/>
        </w:rPr>
      </w:pPr>
      <w:r w:rsidRPr="005C19F0">
        <w:rPr>
          <w:szCs w:val="20"/>
          <w:rtl/>
        </w:rPr>
        <w:t>236</w:t>
      </w:r>
      <w:r w:rsidRPr="00EF3655">
        <w:rPr>
          <w:rtl/>
        </w:rPr>
        <w:t>-</w:t>
      </w:r>
      <w:r w:rsidRPr="0068209D">
        <w:rPr>
          <w:rtl/>
        </w:rPr>
        <w:tab/>
        <w:t xml:space="preserve">وتستمر الخدمة العسكرية </w:t>
      </w:r>
      <w:r w:rsidRPr="005C19F0">
        <w:rPr>
          <w:szCs w:val="20"/>
          <w:rtl/>
        </w:rPr>
        <w:t>165</w:t>
      </w:r>
      <w:r w:rsidRPr="0068209D">
        <w:rPr>
          <w:rtl/>
        </w:rPr>
        <w:t xml:space="preserve"> أو </w:t>
      </w:r>
      <w:r w:rsidRPr="005C19F0">
        <w:rPr>
          <w:szCs w:val="20"/>
          <w:rtl/>
        </w:rPr>
        <w:t>255</w:t>
      </w:r>
      <w:r w:rsidRPr="0068209D">
        <w:rPr>
          <w:rtl/>
        </w:rPr>
        <w:t xml:space="preserve"> أو </w:t>
      </w:r>
      <w:r w:rsidRPr="005C19F0">
        <w:rPr>
          <w:szCs w:val="20"/>
          <w:rtl/>
        </w:rPr>
        <w:t>347</w:t>
      </w:r>
      <w:r w:rsidRPr="0068209D">
        <w:rPr>
          <w:rtl/>
        </w:rPr>
        <w:t xml:space="preserve"> يوما</w:t>
      </w:r>
      <w:r w:rsidR="009550FD">
        <w:rPr>
          <w:rFonts w:hint="cs"/>
          <w:rtl/>
        </w:rPr>
        <w:t>ً</w:t>
      </w:r>
      <w:r w:rsidRPr="0068209D">
        <w:rPr>
          <w:rtl/>
        </w:rPr>
        <w:t>. وتستمر الخدمة غير العسكرية حاليا</w:t>
      </w:r>
      <w:r w:rsidR="009550FD">
        <w:rPr>
          <w:rFonts w:hint="cs"/>
          <w:rtl/>
        </w:rPr>
        <w:t>ً</w:t>
      </w:r>
      <w:r w:rsidR="001959FA">
        <w:rPr>
          <w:rFonts w:hint="cs"/>
          <w:rtl/>
        </w:rPr>
        <w:t> </w:t>
      </w:r>
      <w:r w:rsidRPr="005C19F0">
        <w:rPr>
          <w:szCs w:val="20"/>
          <w:rtl/>
        </w:rPr>
        <w:t>347</w:t>
      </w:r>
      <w:r w:rsidRPr="0068209D">
        <w:rPr>
          <w:rtl/>
        </w:rPr>
        <w:t xml:space="preserve"> يوما</w:t>
      </w:r>
      <w:r w:rsidR="009550FD">
        <w:rPr>
          <w:rFonts w:hint="cs"/>
          <w:rtl/>
        </w:rPr>
        <w:t>ً</w:t>
      </w:r>
      <w:r w:rsidRPr="0068209D">
        <w:rPr>
          <w:rtl/>
        </w:rPr>
        <w:t xml:space="preserve">. وبعد أن يكمل المجندون خدمتهم العسكرية، يصبحون </w:t>
      </w:r>
      <w:r>
        <w:rPr>
          <w:rtl/>
        </w:rPr>
        <w:t>جنو</w:t>
      </w:r>
      <w:r w:rsidRPr="0068209D">
        <w:rPr>
          <w:rtl/>
        </w:rPr>
        <w:t xml:space="preserve">د احتياط. </w:t>
      </w:r>
      <w:r>
        <w:rPr>
          <w:rtl/>
        </w:rPr>
        <w:t>ويمكن أمر جنود الاحتياط بالحضور ل</w:t>
      </w:r>
      <w:r w:rsidRPr="0068209D">
        <w:rPr>
          <w:rtl/>
        </w:rPr>
        <w:t>إعادة تدريبهم، و</w:t>
      </w:r>
      <w:r>
        <w:rPr>
          <w:rtl/>
        </w:rPr>
        <w:t>ب</w:t>
      </w:r>
      <w:r w:rsidRPr="0068209D">
        <w:rPr>
          <w:rtl/>
        </w:rPr>
        <w:t>الدفاع عن فنلندا بال</w:t>
      </w:r>
      <w:r>
        <w:rPr>
          <w:rtl/>
        </w:rPr>
        <w:t>سلاح،</w:t>
      </w:r>
      <w:r w:rsidRPr="0068209D">
        <w:rPr>
          <w:rtl/>
        </w:rPr>
        <w:t xml:space="preserve"> عند الاقتضاء.</w:t>
      </w:r>
    </w:p>
    <w:p w14:paraId="0E65E9A7" w14:textId="2D5C7E99" w:rsidR="00C815DB" w:rsidRPr="004813DA" w:rsidRDefault="00C815DB" w:rsidP="00C815DB">
      <w:pPr>
        <w:pStyle w:val="HChGA"/>
        <w:rPr>
          <w:lang w:val="ar-SA" w:eastAsia="zh-TW" w:bidi="en-GB"/>
        </w:rPr>
      </w:pPr>
      <w:bookmarkStart w:id="74" w:name="_Toc32364333"/>
      <w:r w:rsidRPr="004813DA">
        <w:rPr>
          <w:rtl/>
        </w:rPr>
        <w:tab/>
        <w:t>ثانيا</w:t>
      </w:r>
      <w:r>
        <w:rPr>
          <w:rFonts w:hint="cs"/>
          <w:rtl/>
        </w:rPr>
        <w:t>ً</w:t>
      </w:r>
      <w:r w:rsidRPr="00EF3655">
        <w:rPr>
          <w:rtl/>
        </w:rPr>
        <w:t>-</w:t>
      </w:r>
      <w:r>
        <w:rPr>
          <w:rtl/>
        </w:rPr>
        <w:tab/>
      </w:r>
      <w:r w:rsidRPr="004813DA">
        <w:rPr>
          <w:rtl/>
        </w:rPr>
        <w:t>الإطار العام لحماية حقوق الإنسان وتعزيزها</w:t>
      </w:r>
      <w:bookmarkEnd w:id="74"/>
    </w:p>
    <w:p w14:paraId="76C16044" w14:textId="76E6D8DC" w:rsidR="00C815DB" w:rsidRPr="004813DA" w:rsidRDefault="00C815DB" w:rsidP="00C815DB">
      <w:pPr>
        <w:pStyle w:val="H1GA"/>
        <w:rPr>
          <w:lang w:val="ar-SA" w:eastAsia="zh-TW" w:bidi="en-GB"/>
        </w:rPr>
      </w:pPr>
      <w:bookmarkStart w:id="75" w:name="_Toc32364334"/>
      <w:r w:rsidRPr="004813DA">
        <w:rPr>
          <w:rtl/>
        </w:rPr>
        <w:tab/>
        <w:t>جيم</w:t>
      </w:r>
      <w:r w:rsidRPr="00EF3655">
        <w:rPr>
          <w:rtl/>
        </w:rPr>
        <w:t>-</w:t>
      </w:r>
      <w:r>
        <w:rPr>
          <w:rtl/>
        </w:rPr>
        <w:tab/>
      </w:r>
      <w:r w:rsidRPr="004813DA">
        <w:rPr>
          <w:rtl/>
        </w:rPr>
        <w:t>قبول المعايير الدولية لحقوق الإنسان</w:t>
      </w:r>
      <w:bookmarkEnd w:id="75"/>
    </w:p>
    <w:p w14:paraId="7396FE2C" w14:textId="77777777" w:rsidR="00C815DB" w:rsidRPr="0068209D" w:rsidRDefault="00C815DB" w:rsidP="00C815DB">
      <w:pPr>
        <w:pStyle w:val="SingleTxtGA"/>
        <w:rPr>
          <w:lang w:val="ar-SA" w:eastAsia="zh-TW" w:bidi="en-GB"/>
        </w:rPr>
      </w:pPr>
      <w:r w:rsidRPr="005C19F0">
        <w:rPr>
          <w:szCs w:val="20"/>
          <w:rtl/>
        </w:rPr>
        <w:t>237</w:t>
      </w:r>
      <w:r w:rsidRPr="00EF3655">
        <w:rPr>
          <w:rtl/>
        </w:rPr>
        <w:t>-</w:t>
      </w:r>
      <w:r w:rsidRPr="0068209D">
        <w:rPr>
          <w:rtl/>
        </w:rPr>
        <w:tab/>
        <w:t>يرجى الاطلاع على المرفق الثالث.</w:t>
      </w:r>
    </w:p>
    <w:p w14:paraId="02A1C65D" w14:textId="19523BA9" w:rsidR="00C815DB" w:rsidRPr="00C815DB" w:rsidRDefault="00C815DB" w:rsidP="00C815DB">
      <w:pPr>
        <w:pStyle w:val="H1GA"/>
        <w:rPr>
          <w:rtl/>
          <w:lang w:eastAsia="zh-TW"/>
        </w:rPr>
      </w:pPr>
      <w:bookmarkStart w:id="76" w:name="_Toc32364335"/>
      <w:r w:rsidRPr="002B71DD">
        <w:rPr>
          <w:rtl/>
        </w:rPr>
        <w:tab/>
        <w:t>دال</w:t>
      </w:r>
      <w:r w:rsidRPr="00EF3655">
        <w:rPr>
          <w:rtl/>
        </w:rPr>
        <w:t>-</w:t>
      </w:r>
      <w:r>
        <w:rPr>
          <w:rtl/>
        </w:rPr>
        <w:tab/>
      </w:r>
      <w:r w:rsidRPr="002B71DD">
        <w:rPr>
          <w:rtl/>
        </w:rPr>
        <w:t>الإطار القانوني لحماية حقوق الإنسان</w:t>
      </w:r>
      <w:bookmarkEnd w:id="76"/>
    </w:p>
    <w:p w14:paraId="13439250" w14:textId="02C793C5" w:rsidR="00C815DB" w:rsidRPr="0068209D" w:rsidRDefault="00C815DB" w:rsidP="009550FD">
      <w:pPr>
        <w:pStyle w:val="H23GA"/>
        <w:rPr>
          <w:lang w:val="ar-SA" w:eastAsia="zh-TW" w:bidi="en-GB"/>
        </w:rPr>
      </w:pPr>
      <w:bookmarkStart w:id="77" w:name="_Toc32364336"/>
      <w:r>
        <w:rPr>
          <w:rtl/>
        </w:rPr>
        <w:tab/>
      </w:r>
      <w:r w:rsidRPr="00794E95">
        <w:rPr>
          <w:rtl/>
        </w:rPr>
        <w:t>(</w:t>
      </w:r>
      <w:r w:rsidRPr="00587589">
        <w:rPr>
          <w:rtl/>
        </w:rPr>
        <w:t>أ</w:t>
      </w:r>
      <w:r w:rsidRPr="00794E95">
        <w:rPr>
          <w:rtl/>
        </w:rPr>
        <w:t>)</w:t>
      </w:r>
      <w:r w:rsidRPr="00587589">
        <w:rPr>
          <w:rtl/>
        </w:rPr>
        <w:tab/>
        <w:t>الحقوق الأساسية</w:t>
      </w:r>
      <w:r w:rsidRPr="0068209D">
        <w:rPr>
          <w:rtl/>
        </w:rPr>
        <w:t xml:space="preserve"> وحقوق الإنسان التي تكفلها التشريعات الوطنية</w:t>
      </w:r>
      <w:bookmarkEnd w:id="77"/>
    </w:p>
    <w:p w14:paraId="2250C735" w14:textId="09B43563" w:rsidR="00C815DB" w:rsidRPr="0068209D" w:rsidRDefault="00C815DB" w:rsidP="00C815DB">
      <w:pPr>
        <w:pStyle w:val="SingleTxtGA"/>
        <w:rPr>
          <w:lang w:val="ar-SA" w:eastAsia="zh-TW" w:bidi="en-GB"/>
        </w:rPr>
      </w:pPr>
      <w:r w:rsidRPr="005C19F0">
        <w:rPr>
          <w:szCs w:val="20"/>
          <w:rtl/>
        </w:rPr>
        <w:t>238</w:t>
      </w:r>
      <w:r w:rsidRPr="00EF3655">
        <w:rPr>
          <w:rtl/>
        </w:rPr>
        <w:t>-</w:t>
      </w:r>
      <w:r w:rsidRPr="0068209D">
        <w:rPr>
          <w:rtl/>
        </w:rPr>
        <w:tab/>
        <w:t xml:space="preserve">تكفل الفقرة </w:t>
      </w:r>
      <w:r w:rsidRPr="005C19F0">
        <w:rPr>
          <w:szCs w:val="20"/>
          <w:rtl/>
        </w:rPr>
        <w:t>2</w:t>
      </w:r>
      <w:r w:rsidRPr="0068209D">
        <w:rPr>
          <w:rtl/>
        </w:rPr>
        <w:t xml:space="preserve"> من المادة </w:t>
      </w:r>
      <w:r w:rsidRPr="005C19F0">
        <w:rPr>
          <w:szCs w:val="20"/>
          <w:rtl/>
        </w:rPr>
        <w:t>1</w:t>
      </w:r>
      <w:r w:rsidRPr="0068209D">
        <w:rPr>
          <w:rtl/>
        </w:rPr>
        <w:t xml:space="preserve"> من دستور فنلندا حرمة الكرامة الإنسانية. وبموجب نفس التشريع، يكفل دستور فنلندا أيضاً حرية الفرد وحقوقه الشخصية ويعزز العدالة في المجتمع. وتشارك فنلندا، بمقتضى الفقرة </w:t>
      </w:r>
      <w:r w:rsidRPr="005C19F0">
        <w:rPr>
          <w:szCs w:val="20"/>
          <w:rtl/>
        </w:rPr>
        <w:t>3</w:t>
      </w:r>
      <w:r w:rsidRPr="0068209D">
        <w:rPr>
          <w:rtl/>
        </w:rPr>
        <w:t xml:space="preserve"> من المادة </w:t>
      </w:r>
      <w:r w:rsidRPr="005C19F0">
        <w:rPr>
          <w:szCs w:val="20"/>
          <w:rtl/>
        </w:rPr>
        <w:t>1</w:t>
      </w:r>
      <w:r w:rsidRPr="0068209D">
        <w:rPr>
          <w:rtl/>
        </w:rPr>
        <w:t xml:space="preserve"> من الدستور، في التعاون الدولي من أجل حماية السلام وحقوق الإنسان وتنمية المجتمع. و</w:t>
      </w:r>
      <w:r>
        <w:rPr>
          <w:rtl/>
        </w:rPr>
        <w:t>لا تحدد</w:t>
      </w:r>
      <w:r w:rsidRPr="0068209D">
        <w:rPr>
          <w:rtl/>
        </w:rPr>
        <w:t xml:space="preserve"> هذه الفقرة </w:t>
      </w:r>
      <w:r>
        <w:rPr>
          <w:rtl/>
        </w:rPr>
        <w:t>جميع أشكال التعاون</w:t>
      </w:r>
      <w:r w:rsidRPr="0068209D">
        <w:rPr>
          <w:rtl/>
        </w:rPr>
        <w:t xml:space="preserve">، بل تجيز لفنلندا، بدلا من ذلك، المشاركة </w:t>
      </w:r>
      <w:r w:rsidR="00C74C59">
        <w:rPr>
          <w:rtl/>
        </w:rPr>
        <w:t>أيضاً</w:t>
      </w:r>
      <w:r w:rsidRPr="0068209D">
        <w:rPr>
          <w:rtl/>
        </w:rPr>
        <w:t xml:space="preserve"> في أشكال أخرى من التعاون الدولي. وتشير الفقرة </w:t>
      </w:r>
      <w:r w:rsidRPr="005C19F0">
        <w:rPr>
          <w:szCs w:val="20"/>
          <w:rtl/>
        </w:rPr>
        <w:t>3</w:t>
      </w:r>
      <w:r w:rsidRPr="0068209D">
        <w:rPr>
          <w:rtl/>
        </w:rPr>
        <w:t xml:space="preserve"> </w:t>
      </w:r>
      <w:r w:rsidR="00C74C59">
        <w:rPr>
          <w:rtl/>
        </w:rPr>
        <w:t>أيضاً</w:t>
      </w:r>
      <w:r w:rsidRPr="0068209D">
        <w:rPr>
          <w:rtl/>
        </w:rPr>
        <w:t xml:space="preserve"> إلى عضوية فنلندا في الاتحاد الأوروبي. وتؤكد الفقرة </w:t>
      </w:r>
      <w:r w:rsidRPr="005C19F0">
        <w:rPr>
          <w:szCs w:val="20"/>
          <w:rtl/>
        </w:rPr>
        <w:t>3</w:t>
      </w:r>
      <w:r w:rsidRPr="0068209D">
        <w:rPr>
          <w:rtl/>
        </w:rPr>
        <w:t xml:space="preserve"> من المادة </w:t>
      </w:r>
      <w:r w:rsidRPr="005C19F0">
        <w:rPr>
          <w:szCs w:val="20"/>
          <w:rtl/>
        </w:rPr>
        <w:t>2</w:t>
      </w:r>
      <w:r w:rsidRPr="0068209D">
        <w:rPr>
          <w:rtl/>
        </w:rPr>
        <w:t xml:space="preserve"> من الدستور سيادة القانون في فنلندا، وتنص على </w:t>
      </w:r>
      <w:r>
        <w:rPr>
          <w:rtl/>
        </w:rPr>
        <w:t>وجوب استناد</w:t>
      </w:r>
      <w:r w:rsidRPr="0068209D">
        <w:rPr>
          <w:rtl/>
        </w:rPr>
        <w:t xml:space="preserve"> ممارسة السلطات العامة إلى قانون وعلى وجوب التقيّد بالقانون في جميع الأنشطة العامة تقيّدا صارما. وفي فنلندا، ينصب التركيز </w:t>
      </w:r>
      <w:r>
        <w:rPr>
          <w:rtl/>
        </w:rPr>
        <w:t>في</w:t>
      </w:r>
      <w:r w:rsidRPr="0068209D">
        <w:rPr>
          <w:rtl/>
        </w:rPr>
        <w:t xml:space="preserve"> سيادة القانون على أولوية التشريعات، التي تنطبق صراحة على التشريعات المكتوبة. وإضافة إلى ذلك، تفرض المادة </w:t>
      </w:r>
      <w:r w:rsidRPr="005C19F0">
        <w:rPr>
          <w:szCs w:val="20"/>
          <w:rtl/>
        </w:rPr>
        <w:t>22</w:t>
      </w:r>
      <w:r w:rsidRPr="0068209D">
        <w:rPr>
          <w:rtl/>
        </w:rPr>
        <w:t xml:space="preserve"> من دستور فنلندا على السلطات العامة واجباً محدداً هو احترام الحقوق والحريات الأساسية وحقوق الإنسان. وإلى جانب الحكومة، ينطبق الواجب المذكور أيضاً على صياغة القوانين وإقامة العدل. وعملاً بهذا التشريع، تمتنع السلطات العامة عن انتهاك الحقوق الأساسية وحقوق الإنسان، و</w:t>
      </w:r>
      <w:r>
        <w:rPr>
          <w:rtl/>
        </w:rPr>
        <w:t>هي ملزمة إلزاماً</w:t>
      </w:r>
      <w:r w:rsidRPr="0068209D">
        <w:rPr>
          <w:rtl/>
        </w:rPr>
        <w:t xml:space="preserve"> بتعزيز إعمال هذه الحقوق.</w:t>
      </w:r>
    </w:p>
    <w:p w14:paraId="0FF6F2F4" w14:textId="472A5BCC" w:rsidR="00C815DB" w:rsidRPr="00C726A7" w:rsidRDefault="00C815DB" w:rsidP="00C815DB">
      <w:pPr>
        <w:pStyle w:val="SingleTxtGA"/>
        <w:rPr>
          <w:lang w:eastAsia="zh-TW" w:bidi="en-GB"/>
        </w:rPr>
      </w:pPr>
      <w:r w:rsidRPr="005C19F0">
        <w:rPr>
          <w:szCs w:val="20"/>
          <w:rtl/>
        </w:rPr>
        <w:t>239</w:t>
      </w:r>
      <w:r w:rsidRPr="00EF3655">
        <w:rPr>
          <w:rtl/>
        </w:rPr>
        <w:t>-</w:t>
      </w:r>
      <w:r w:rsidRPr="0068209D">
        <w:rPr>
          <w:rtl/>
        </w:rPr>
        <w:tab/>
        <w:t xml:space="preserve">وتمتثل فنلندا المبادئ العامة لحماية الحقوق الأساسية وحقوق الإنسان </w:t>
      </w:r>
      <w:r w:rsidRPr="00EF3655">
        <w:rPr>
          <w:rtl/>
        </w:rPr>
        <w:t>-</w:t>
      </w:r>
      <w:r w:rsidR="000A1C86">
        <w:rPr>
          <w:rFonts w:hint="cs"/>
          <w:rtl/>
        </w:rPr>
        <w:t xml:space="preserve"> </w:t>
      </w:r>
      <w:r w:rsidRPr="0068209D">
        <w:rPr>
          <w:rtl/>
        </w:rPr>
        <w:t>عالميتها وعدم قابليتها للتجزئة وترابطها</w:t>
      </w:r>
      <w:r w:rsidR="000A1C86">
        <w:rPr>
          <w:rFonts w:hint="cs"/>
          <w:rtl/>
        </w:rPr>
        <w:t xml:space="preserve"> </w:t>
      </w:r>
      <w:r w:rsidRPr="00EF3655">
        <w:rPr>
          <w:rtl/>
        </w:rPr>
        <w:t>-</w:t>
      </w:r>
      <w:r w:rsidRPr="0068209D">
        <w:rPr>
          <w:rtl/>
        </w:rPr>
        <w:t xml:space="preserve"> وتطب</w:t>
      </w:r>
      <w:r>
        <w:rPr>
          <w:rtl/>
        </w:rPr>
        <w:t>َّ</w:t>
      </w:r>
      <w:r w:rsidRPr="0068209D">
        <w:rPr>
          <w:rtl/>
        </w:rPr>
        <w:t>ق</w:t>
      </w:r>
      <w:r>
        <w:rPr>
          <w:rtl/>
        </w:rPr>
        <w:t xml:space="preserve"> </w:t>
      </w:r>
      <w:r w:rsidRPr="0068209D">
        <w:rPr>
          <w:rtl/>
        </w:rPr>
        <w:t>ه</w:t>
      </w:r>
      <w:r>
        <w:rPr>
          <w:rtl/>
        </w:rPr>
        <w:t>ذه المبادئ</w:t>
      </w:r>
      <w:r w:rsidRPr="0068209D">
        <w:rPr>
          <w:rtl/>
        </w:rPr>
        <w:t xml:space="preserve"> دون تمييز. فالدستور يوفر ضمانة للحقوق الأساسية وحقوق الإنسان</w:t>
      </w:r>
      <w:r>
        <w:rPr>
          <w:rtl/>
        </w:rPr>
        <w:t xml:space="preserve"> تشمل الجميع</w:t>
      </w:r>
      <w:r w:rsidRPr="0068209D">
        <w:rPr>
          <w:rtl/>
        </w:rPr>
        <w:t>، إذ إنها مكفولة لكل فرد</w:t>
      </w:r>
      <w:r>
        <w:rPr>
          <w:rtl/>
        </w:rPr>
        <w:t xml:space="preserve"> يوجد في الأراضي الخاضعة</w:t>
      </w:r>
      <w:r w:rsidR="00507B18">
        <w:rPr>
          <w:rtl/>
        </w:rPr>
        <w:t xml:space="preserve"> </w:t>
      </w:r>
      <w:r>
        <w:rPr>
          <w:rtl/>
        </w:rPr>
        <w:t>ل</w:t>
      </w:r>
      <w:r w:rsidRPr="0068209D">
        <w:rPr>
          <w:rtl/>
        </w:rPr>
        <w:t>ولاية فنلندا.</w:t>
      </w:r>
    </w:p>
    <w:p w14:paraId="0FD3450C" w14:textId="77777777" w:rsidR="00C815DB" w:rsidRPr="00C726A7" w:rsidRDefault="00C815DB" w:rsidP="00C815DB">
      <w:pPr>
        <w:pStyle w:val="SingleTxtGA"/>
        <w:rPr>
          <w:lang w:eastAsia="zh-TW" w:bidi="en-GB"/>
        </w:rPr>
      </w:pPr>
      <w:r w:rsidRPr="005C19F0">
        <w:rPr>
          <w:szCs w:val="20"/>
          <w:rtl/>
        </w:rPr>
        <w:t>240</w:t>
      </w:r>
      <w:r w:rsidRPr="00EF3655">
        <w:rPr>
          <w:rtl/>
        </w:rPr>
        <w:t>-</w:t>
      </w:r>
      <w:r w:rsidRPr="0068209D">
        <w:rPr>
          <w:rtl/>
        </w:rPr>
        <w:tab/>
        <w:t xml:space="preserve">وكثيراً ما يُتناول إعمال حقوق الإنسان والحقوق الأساسية بوصفه كياناً واحداً على الصعيد الوطني، وكثيراً ما تُساوى الحماية القانونية لحقوق الإنسان على الصعيد الوطني بالحماية القانونية للحقوق الأساسية. ويرجع ذلك إلى التقارب الموضوعي بين أحكام الحقوق الأساسية وأحكام حقوق الإنسان المكرسة في الصكوك الدولية لحقوق الإنسان في إطار إصلاح الحقوق الأساسية الذي نفذ في عام </w:t>
      </w:r>
      <w:r w:rsidRPr="005C19F0">
        <w:rPr>
          <w:szCs w:val="20"/>
          <w:rtl/>
        </w:rPr>
        <w:t>1995</w:t>
      </w:r>
      <w:r w:rsidRPr="0068209D">
        <w:rPr>
          <w:rFonts w:ascii="Traditional Arabic"/>
          <w:rtl/>
        </w:rPr>
        <w:t>.</w:t>
      </w:r>
      <w:r w:rsidRPr="0068209D">
        <w:rPr>
          <w:rtl/>
        </w:rPr>
        <w:t xml:space="preserve"> ويضاف إلى ذلك أن أحكام حقوق الإنسان في فنلندا تؤثر تأثيراً تفسيرياً على تفسير أحكام الحقوق الأساسية.</w:t>
      </w:r>
    </w:p>
    <w:p w14:paraId="370C9EFF" w14:textId="77777777" w:rsidR="00C815DB" w:rsidRPr="00C726A7" w:rsidRDefault="00C815DB" w:rsidP="00C815DB">
      <w:pPr>
        <w:pStyle w:val="SingleTxtGA"/>
        <w:rPr>
          <w:lang w:eastAsia="zh-TW" w:bidi="en-GB"/>
        </w:rPr>
      </w:pPr>
      <w:r w:rsidRPr="005C19F0">
        <w:rPr>
          <w:szCs w:val="20"/>
          <w:rtl/>
        </w:rPr>
        <w:lastRenderedPageBreak/>
        <w:t>241</w:t>
      </w:r>
      <w:r w:rsidRPr="00EF3655">
        <w:rPr>
          <w:rtl/>
        </w:rPr>
        <w:t>-</w:t>
      </w:r>
      <w:r w:rsidRPr="0068209D">
        <w:rPr>
          <w:rtl/>
        </w:rPr>
        <w:tab/>
        <w:t>وفيما يلي الحقوق المدنية والسياسية، وكذلك الحقوق الاقتصادية والاجتماعية والثقافية</w:t>
      </w:r>
      <w:r>
        <w:rPr>
          <w:rtl/>
        </w:rPr>
        <w:t>،</w:t>
      </w:r>
      <w:r w:rsidRPr="0068209D">
        <w:rPr>
          <w:rtl/>
        </w:rPr>
        <w:t xml:space="preserve"> الواردة في دستور فنلندا</w:t>
      </w:r>
      <w:r w:rsidRPr="00BB79C1">
        <w:rPr>
          <w:rtl/>
        </w:rPr>
        <w:t>:</w:t>
      </w:r>
    </w:p>
    <w:p w14:paraId="7A3C7AF8"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w:t>
      </w:r>
      <w:r w:rsidRPr="00BB79C1">
        <w:rPr>
          <w:i/>
          <w:iCs/>
          <w:rtl/>
        </w:rPr>
        <w:t xml:space="preserve">، الفقرة </w:t>
      </w:r>
      <w:r w:rsidRPr="00BB79C1">
        <w:rPr>
          <w:i/>
          <w:iCs/>
          <w:szCs w:val="20"/>
          <w:rtl/>
        </w:rPr>
        <w:t>2</w:t>
      </w:r>
      <w:r w:rsidRPr="00BB79C1">
        <w:rPr>
          <w:i/>
          <w:iCs/>
          <w:rtl/>
        </w:rPr>
        <w:t xml:space="preserve">، والمادة </w:t>
      </w:r>
      <w:r w:rsidRPr="00BB79C1">
        <w:rPr>
          <w:i/>
          <w:iCs/>
          <w:szCs w:val="20"/>
          <w:rtl/>
        </w:rPr>
        <w:t>7</w:t>
      </w:r>
      <w:r w:rsidRPr="00BB79C1">
        <w:rPr>
          <w:i/>
          <w:iCs/>
        </w:rPr>
        <w:t>:</w:t>
      </w:r>
      <w:r w:rsidRPr="00BB79C1">
        <w:rPr>
          <w:i/>
          <w:iCs/>
          <w:rtl/>
        </w:rPr>
        <w:t xml:space="preserve"> حق الفرد في تقرير مصيره</w:t>
      </w:r>
    </w:p>
    <w:p w14:paraId="7D46703B" w14:textId="77777777"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6</w:t>
      </w:r>
      <w:r w:rsidRPr="00BB79C1">
        <w:rPr>
          <w:i/>
          <w:iCs/>
        </w:rPr>
        <w:t>:</w:t>
      </w:r>
      <w:r w:rsidRPr="00BB79C1">
        <w:rPr>
          <w:i/>
          <w:iCs/>
          <w:rtl/>
        </w:rPr>
        <w:t xml:space="preserve"> المساواة؛ وعدم التمييز؛ والمساواة بين الأطفال في المعاملة؛ والنوع الاجتماعي </w:t>
      </w:r>
    </w:p>
    <w:p w14:paraId="124C7641" w14:textId="0B3487C1" w:rsidR="00C815DB" w:rsidRPr="00FF0846" w:rsidRDefault="00C815DB" w:rsidP="00C815DB">
      <w:pPr>
        <w:pStyle w:val="SingleTxtGA"/>
        <w:ind w:left="1928"/>
        <w:rPr>
          <w:i/>
          <w:iCs/>
          <w:lang w:eastAsia="zh-TW" w:bidi="en-GB"/>
        </w:rPr>
      </w:pPr>
      <w:r w:rsidRPr="00BB79C1">
        <w:rPr>
          <w:i/>
          <w:iCs/>
          <w:rtl/>
        </w:rPr>
        <w:t xml:space="preserve">المادة </w:t>
      </w:r>
      <w:r w:rsidRPr="00BB79C1">
        <w:rPr>
          <w:i/>
          <w:iCs/>
          <w:szCs w:val="20"/>
          <w:rtl/>
        </w:rPr>
        <w:t>7</w:t>
      </w:r>
      <w:r w:rsidRPr="00BB79C1">
        <w:rPr>
          <w:i/>
          <w:iCs/>
        </w:rPr>
        <w:t>:</w:t>
      </w:r>
      <w:r w:rsidRPr="00BB79C1">
        <w:rPr>
          <w:i/>
          <w:iCs/>
          <w:rtl/>
        </w:rPr>
        <w:t xml:space="preserve"> الحق في الحياة والحرية الشخصية والسلامة والأمن؛ وحظر عقوبة الإعدام والتعذيب والمعاملة بطريقة تنتهك كرامة الإنسان؛ وحظر سلب الحرية تعسّفاً</w:t>
      </w:r>
    </w:p>
    <w:p w14:paraId="1A6167F8"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8</w:t>
      </w:r>
      <w:r w:rsidRPr="00BB79C1">
        <w:rPr>
          <w:i/>
          <w:iCs/>
        </w:rPr>
        <w:t>:</w:t>
      </w:r>
      <w:r w:rsidRPr="00BB79C1">
        <w:rPr>
          <w:i/>
          <w:iCs/>
          <w:rtl/>
        </w:rPr>
        <w:t xml:space="preserve"> مبدأ الشرعية في المسائل الجنائية (لا جريمة ولا عقوبة إلا بنص)</w:t>
      </w:r>
    </w:p>
    <w:p w14:paraId="25DE4C18" w14:textId="77777777"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9</w:t>
      </w:r>
      <w:r w:rsidRPr="00BB79C1">
        <w:rPr>
          <w:i/>
          <w:iCs/>
        </w:rPr>
        <w:t>:</w:t>
      </w:r>
      <w:r w:rsidRPr="00BB79C1">
        <w:rPr>
          <w:i/>
          <w:iCs/>
          <w:rtl/>
        </w:rPr>
        <w:t xml:space="preserve"> حرية التنقل وحرية اختيار مكان الإقامة؛ وحرية مغادرة البلد؛ وحظر منع المواطنين من دخول البلد وحظر تسليمهم؛ وحق محدود في تسليم مواطن أجنبي وحظر تسليمه إلى بلد قد يتعرض فيه لخطر المعاملة بطريقة تنتهك كرامة الإنسان</w:t>
      </w:r>
    </w:p>
    <w:p w14:paraId="5C19F4A2" w14:textId="3ECE25D4"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10</w:t>
      </w:r>
      <w:r w:rsidRPr="00BB79C1">
        <w:rPr>
          <w:i/>
          <w:iCs/>
        </w:rPr>
        <w:t>:</w:t>
      </w:r>
      <w:r w:rsidRPr="00BB79C1">
        <w:rPr>
          <w:i/>
          <w:iCs/>
          <w:rtl/>
        </w:rPr>
        <w:t xml:space="preserve"> حماية الحياة الخاصة، والشرف، وحُرمة البيت؛ وحماية سرية المراسلات والاتصالات الهاتفية وغيرها من الاتصالات الخصوصية؛ وحماية الحياة الأسرية هي </w:t>
      </w:r>
      <w:r w:rsidR="00C74C59">
        <w:rPr>
          <w:i/>
          <w:iCs/>
          <w:rtl/>
        </w:rPr>
        <w:t>أيضاً</w:t>
      </w:r>
      <w:r w:rsidRPr="00BB79C1">
        <w:rPr>
          <w:i/>
          <w:iCs/>
          <w:rtl/>
        </w:rPr>
        <w:t xml:space="preserve"> مدرجة</w:t>
      </w:r>
    </w:p>
    <w:p w14:paraId="6ACAC25E"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11</w:t>
      </w:r>
      <w:r w:rsidRPr="00BB79C1">
        <w:rPr>
          <w:i/>
          <w:iCs/>
        </w:rPr>
        <w:t>:</w:t>
      </w:r>
      <w:r w:rsidRPr="00BB79C1">
        <w:rPr>
          <w:i/>
          <w:iCs/>
          <w:rtl/>
        </w:rPr>
        <w:t xml:space="preserve"> حرية الدين والوجدان</w:t>
      </w:r>
    </w:p>
    <w:p w14:paraId="7F8F6FFA"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12</w:t>
      </w:r>
      <w:r w:rsidRPr="00BB79C1">
        <w:rPr>
          <w:i/>
          <w:iCs/>
        </w:rPr>
        <w:t>:</w:t>
      </w:r>
      <w:r w:rsidRPr="00BB79C1">
        <w:rPr>
          <w:i/>
          <w:iCs/>
          <w:rtl/>
        </w:rPr>
        <w:t xml:space="preserve"> حرية التعبير وإعلان الوثائق والتسجيلات الرسمية</w:t>
      </w:r>
    </w:p>
    <w:p w14:paraId="3CC7D650"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13</w:t>
      </w:r>
      <w:r w:rsidRPr="00BB79C1">
        <w:rPr>
          <w:i/>
          <w:iCs/>
        </w:rPr>
        <w:t>:</w:t>
      </w:r>
      <w:r w:rsidRPr="00BB79C1">
        <w:rPr>
          <w:i/>
          <w:iCs/>
          <w:rtl/>
        </w:rPr>
        <w:t xml:space="preserve"> حرية التجمع وتكوين الجمعيات؛ والحق في عقد الاجتماعات وتنظيم المظاهرات؛ وحرية تكوين النقابات</w:t>
      </w:r>
    </w:p>
    <w:p w14:paraId="597584B7"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14</w:t>
      </w:r>
      <w:r w:rsidRPr="00BB79C1">
        <w:rPr>
          <w:i/>
          <w:iCs/>
        </w:rPr>
        <w:t>:</w:t>
      </w:r>
      <w:r w:rsidRPr="00BB79C1">
        <w:rPr>
          <w:i/>
          <w:iCs/>
          <w:rtl/>
        </w:rPr>
        <w:t xml:space="preserve"> الحقوق الانتخابية وحقوق المشاركة؛ وحق المواطنين في سن الرشد القانوني في التصويت والترشح للانتخابات والمشاركة في النشاط المجتمعي</w:t>
      </w:r>
    </w:p>
    <w:p w14:paraId="0C714F87" w14:textId="77777777"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15</w:t>
      </w:r>
      <w:r w:rsidRPr="00BB79C1">
        <w:rPr>
          <w:i/>
          <w:iCs/>
        </w:rPr>
        <w:t>:</w:t>
      </w:r>
      <w:r w:rsidRPr="00BB79C1">
        <w:rPr>
          <w:i/>
          <w:iCs/>
          <w:rtl/>
        </w:rPr>
        <w:t xml:space="preserve"> حماية الممتلكات</w:t>
      </w:r>
    </w:p>
    <w:p w14:paraId="7204A8DC" w14:textId="77777777"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16</w:t>
      </w:r>
      <w:r w:rsidRPr="00BB79C1">
        <w:rPr>
          <w:i/>
          <w:iCs/>
        </w:rPr>
        <w:t>:</w:t>
      </w:r>
      <w:r w:rsidRPr="00BB79C1">
        <w:rPr>
          <w:i/>
          <w:iCs/>
          <w:rtl/>
        </w:rPr>
        <w:t xml:space="preserve"> الحقوق التعليمية؛ والحق في التعليم والثقافة؛ وحرية العلم والفنون والتعليم العالي</w:t>
      </w:r>
    </w:p>
    <w:p w14:paraId="37CEF051"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17</w:t>
      </w:r>
      <w:r w:rsidRPr="00BB79C1">
        <w:rPr>
          <w:i/>
          <w:iCs/>
        </w:rPr>
        <w:t>:</w:t>
      </w:r>
      <w:r w:rsidRPr="00BB79C1">
        <w:rPr>
          <w:i/>
          <w:iCs/>
          <w:rtl/>
        </w:rPr>
        <w:t xml:space="preserve"> الحقوق اللغوية؛ والحق في استعمال اللغة الفنلندية أو السويدية أمام المحاكم العادية وغيرها من السلطات؛ وحق شعب الصامي وجماعة الروما وغيرهما من الجماعات في الحفاظ على لغتهم وثقافتهم وفي تطويرهما، وحقوق الأشخاص الذين يستعملون لغة الإشارة</w:t>
      </w:r>
    </w:p>
    <w:p w14:paraId="18E61896" w14:textId="77777777" w:rsidR="00C815DB" w:rsidRPr="00BB79C1" w:rsidRDefault="00C815DB" w:rsidP="00C815DB">
      <w:pPr>
        <w:pStyle w:val="SingleTxtGA"/>
        <w:ind w:left="1928"/>
        <w:rPr>
          <w:i/>
          <w:iCs/>
          <w:lang w:eastAsia="zh-TW" w:bidi="ar-DZ"/>
        </w:rPr>
      </w:pPr>
      <w:r w:rsidRPr="00BB79C1">
        <w:rPr>
          <w:i/>
          <w:iCs/>
          <w:rtl/>
        </w:rPr>
        <w:t xml:space="preserve">المادة </w:t>
      </w:r>
      <w:r w:rsidRPr="00BB79C1">
        <w:rPr>
          <w:i/>
          <w:iCs/>
          <w:szCs w:val="20"/>
          <w:rtl/>
        </w:rPr>
        <w:t>18</w:t>
      </w:r>
      <w:r w:rsidRPr="00BB79C1">
        <w:rPr>
          <w:i/>
          <w:iCs/>
        </w:rPr>
        <w:t>:</w:t>
      </w:r>
      <w:r w:rsidRPr="00BB79C1">
        <w:rPr>
          <w:i/>
          <w:iCs/>
          <w:rtl/>
        </w:rPr>
        <w:t xml:space="preserve"> الحق في العمل وحرية مزاولة النشاط التجاري؛ وحماية القوة العاملة؛ والحماية من الفصل غير القانوني من العمل</w:t>
      </w:r>
    </w:p>
    <w:p w14:paraId="4E49FF11" w14:textId="27BC4838" w:rsidR="00C815DB" w:rsidRPr="00BB79C1" w:rsidRDefault="00C815DB" w:rsidP="00C815DB">
      <w:pPr>
        <w:pStyle w:val="SingleTxtGA"/>
        <w:ind w:left="1928"/>
        <w:rPr>
          <w:i/>
          <w:iCs/>
          <w:lang w:eastAsia="zh-TW" w:bidi="en-GB"/>
        </w:rPr>
      </w:pPr>
      <w:r w:rsidRPr="00BB79C1">
        <w:rPr>
          <w:i/>
          <w:iCs/>
          <w:rtl/>
        </w:rPr>
        <w:t xml:space="preserve">المادة </w:t>
      </w:r>
      <w:r w:rsidR="00FF0846" w:rsidRPr="00FF0846">
        <w:rPr>
          <w:rFonts w:hint="cs"/>
          <w:i/>
          <w:iCs/>
          <w:szCs w:val="20"/>
          <w:rtl/>
        </w:rPr>
        <w:t>19</w:t>
      </w:r>
      <w:r w:rsidR="00FF0846">
        <w:rPr>
          <w:rFonts w:hint="cs"/>
          <w:i/>
          <w:iCs/>
          <w:rtl/>
        </w:rPr>
        <w:t>:</w:t>
      </w:r>
      <w:r w:rsidRPr="00BB79C1">
        <w:rPr>
          <w:i/>
          <w:iCs/>
          <w:rtl/>
        </w:rPr>
        <w:t xml:space="preserve"> الحقوق الاجتماعية؛ والحق في العيش والرعاية الضروريين لحياة كريمة؛ والحق في الكفاف عند وجود مخاطر اجتماعية أساسية؛ والحق في الخدمات الصحية والاجتماعية الكافية، وتعزيز صحة السكان، ودعم مُعيلي الأطفال ً، وواجب السلطات العامة القاضي أن تعزّز حق كل فرد في السكن وإتاحة الفرصة له لترتيب مسكنه الخاص</w:t>
      </w:r>
    </w:p>
    <w:p w14:paraId="07CB2172" w14:textId="77777777" w:rsidR="00C815DB" w:rsidRPr="00BB79C1" w:rsidRDefault="00C815DB" w:rsidP="00C815DB">
      <w:pPr>
        <w:pStyle w:val="SingleTxtGA"/>
        <w:ind w:left="1928"/>
        <w:rPr>
          <w:i/>
          <w:iCs/>
          <w:lang w:val="ar-SA" w:eastAsia="zh-TW" w:bidi="en-GB"/>
        </w:rPr>
      </w:pPr>
      <w:r w:rsidRPr="00BB79C1">
        <w:rPr>
          <w:i/>
          <w:iCs/>
          <w:rtl/>
        </w:rPr>
        <w:t xml:space="preserve">المادة </w:t>
      </w:r>
      <w:r w:rsidRPr="00BB79C1">
        <w:rPr>
          <w:i/>
          <w:iCs/>
          <w:szCs w:val="20"/>
          <w:rtl/>
        </w:rPr>
        <w:t>20</w:t>
      </w:r>
      <w:r w:rsidRPr="00BB79C1">
        <w:rPr>
          <w:i/>
          <w:iCs/>
        </w:rPr>
        <w:t>:</w:t>
      </w:r>
      <w:r w:rsidRPr="00BB79C1">
        <w:rPr>
          <w:i/>
          <w:iCs/>
          <w:rtl/>
        </w:rPr>
        <w:t xml:space="preserve"> مسؤولية كل شخص عن الطبيعة وتنوعها البيولوجي والبيئة والتراث الوطني</w:t>
      </w:r>
    </w:p>
    <w:p w14:paraId="16CEC5F8" w14:textId="131AFE8A" w:rsidR="00C815DB" w:rsidRPr="00BB79C1" w:rsidRDefault="00C815DB" w:rsidP="00C815DB">
      <w:pPr>
        <w:pStyle w:val="SingleTxtGA"/>
        <w:ind w:left="1928"/>
        <w:rPr>
          <w:i/>
          <w:iCs/>
          <w:lang w:eastAsia="zh-TW" w:bidi="en-GB"/>
        </w:rPr>
      </w:pPr>
      <w:r w:rsidRPr="00BB79C1">
        <w:rPr>
          <w:i/>
          <w:iCs/>
          <w:rtl/>
        </w:rPr>
        <w:t xml:space="preserve">المادة </w:t>
      </w:r>
      <w:r w:rsidRPr="00BB79C1">
        <w:rPr>
          <w:i/>
          <w:iCs/>
          <w:szCs w:val="20"/>
          <w:rtl/>
        </w:rPr>
        <w:t>21</w:t>
      </w:r>
      <w:r w:rsidRPr="00BB79C1">
        <w:rPr>
          <w:i/>
          <w:iCs/>
        </w:rPr>
        <w:t>:</w:t>
      </w:r>
      <w:r w:rsidRPr="00BB79C1">
        <w:rPr>
          <w:i/>
          <w:iCs/>
          <w:rtl/>
        </w:rPr>
        <w:t xml:space="preserve"> الحماية بموجب القانون؛ والحق في أن تنظر محكمة عادية أو سلطة أخرى في القضايا نظرا</w:t>
      </w:r>
      <w:r w:rsidR="00D150CB" w:rsidRPr="00BB79C1">
        <w:rPr>
          <w:rFonts w:hint="cs"/>
          <w:i/>
          <w:iCs/>
          <w:rtl/>
        </w:rPr>
        <w:t>ً</w:t>
      </w:r>
      <w:r w:rsidRPr="00BB79C1">
        <w:rPr>
          <w:i/>
          <w:iCs/>
          <w:rtl/>
        </w:rPr>
        <w:t xml:space="preserve"> مناسبا</w:t>
      </w:r>
      <w:r w:rsidR="00D150CB" w:rsidRPr="00BB79C1">
        <w:rPr>
          <w:rFonts w:hint="cs"/>
          <w:i/>
          <w:iCs/>
          <w:rtl/>
        </w:rPr>
        <w:t>ً</w:t>
      </w:r>
      <w:r w:rsidRPr="00BB79C1">
        <w:rPr>
          <w:i/>
          <w:iCs/>
          <w:rtl/>
        </w:rPr>
        <w:t>؛ والحق في محاكمة عادلة وفي الحوكمة الرشيدة</w:t>
      </w:r>
    </w:p>
    <w:p w14:paraId="158D6D60" w14:textId="77777777" w:rsidR="00C815DB" w:rsidRPr="007A037D" w:rsidRDefault="00C815DB" w:rsidP="00C815DB">
      <w:pPr>
        <w:pStyle w:val="SingleTxtGA"/>
        <w:rPr>
          <w:lang w:eastAsia="zh-TW" w:bidi="en-GB"/>
        </w:rPr>
      </w:pPr>
      <w:r w:rsidRPr="005C19F0">
        <w:rPr>
          <w:szCs w:val="20"/>
          <w:rtl/>
        </w:rPr>
        <w:lastRenderedPageBreak/>
        <w:t>242</w:t>
      </w:r>
      <w:r w:rsidRPr="00EF3655">
        <w:rPr>
          <w:rtl/>
        </w:rPr>
        <w:t>-</w:t>
      </w:r>
      <w:r w:rsidRPr="0068209D">
        <w:rPr>
          <w:rtl/>
        </w:rPr>
        <w:tab/>
        <w:t xml:space="preserve">ويؤكد النظام الفنلندي لحماية الحقوق الأساسية على الحماية الرسمية أو الحماية المتصلة بالإجراءات </w:t>
      </w:r>
      <w:r>
        <w:rPr>
          <w:rtl/>
        </w:rPr>
        <w:t>المرعية</w:t>
      </w:r>
      <w:r w:rsidRPr="0068209D">
        <w:rPr>
          <w:rtl/>
        </w:rPr>
        <w:t xml:space="preserve">. ولا يجوز تعديل الحقوق الأساسية أو الاستثناء منها إلا في إطار إجراءات سن التشريعات الدستورية المنصوص عليها في المادة </w:t>
      </w:r>
      <w:r w:rsidRPr="005C19F0">
        <w:rPr>
          <w:szCs w:val="20"/>
          <w:rtl/>
        </w:rPr>
        <w:t>73</w:t>
      </w:r>
      <w:r w:rsidRPr="0068209D">
        <w:rPr>
          <w:rtl/>
        </w:rPr>
        <w:t xml:space="preserve"> من دستور فنلندا. ويقضي الإجراء المذكور بأن يبقى الاقتراح التشريعي معلقاً في القراءة الثانية بأغلبية الأصوات المدلى بها حتى الدورة البرلمانية الأولى التي تلي الانتخابات البرلمانية</w:t>
      </w:r>
      <w:r>
        <w:rPr>
          <w:rtl/>
        </w:rPr>
        <w:t>،</w:t>
      </w:r>
      <w:r w:rsidRPr="0068209D">
        <w:rPr>
          <w:rtl/>
        </w:rPr>
        <w:t xml:space="preserve"> ثم ي</w:t>
      </w:r>
      <w:r>
        <w:rPr>
          <w:rtl/>
        </w:rPr>
        <w:t>ُ</w:t>
      </w:r>
      <w:r w:rsidRPr="0068209D">
        <w:rPr>
          <w:rtl/>
        </w:rPr>
        <w:t>عتمد المقترح بعد أن تصدر اللجنة تقاريرها، دون إجراء تغييرات جوهرية في قراءة مفتوحة في جلسة عامة، وذلك بقرار يؤيده ثلثا الأصوات على الأقل.</w:t>
      </w:r>
    </w:p>
    <w:p w14:paraId="6DA9AAC7" w14:textId="77777777" w:rsidR="00C815DB" w:rsidRPr="00FA7074" w:rsidRDefault="00C815DB" w:rsidP="00C815DB">
      <w:pPr>
        <w:pStyle w:val="SingleTxtGA"/>
        <w:rPr>
          <w:lang w:eastAsia="zh-TW" w:bidi="en-GB"/>
        </w:rPr>
      </w:pPr>
      <w:r w:rsidRPr="005C19F0">
        <w:rPr>
          <w:szCs w:val="20"/>
          <w:rtl/>
        </w:rPr>
        <w:t>243</w:t>
      </w:r>
      <w:r w:rsidRPr="00EF3655">
        <w:rPr>
          <w:rtl/>
        </w:rPr>
        <w:t>-</w:t>
      </w:r>
      <w:r w:rsidRPr="0068209D">
        <w:rPr>
          <w:rtl/>
        </w:rPr>
        <w:tab/>
        <w:t>وإضافة إلى الحماية الرسمية، أصبحت شروط التقييد العامة والخاصة التي تفرضها لجنة القانون الدستوري شروطاً ثابتة للحد من الحقوق الأساسية. والشروط العامة هي</w:t>
      </w:r>
      <w:r w:rsidRPr="00BB79C1">
        <w:rPr>
          <w:rtl/>
        </w:rPr>
        <w:t>:</w:t>
      </w:r>
      <w:r w:rsidRPr="0068209D">
        <w:rPr>
          <w:rtl/>
        </w:rPr>
        <w:t xml:space="preserve"> سن التشريعات بموجب قانون؛ </w:t>
      </w:r>
      <w:r>
        <w:rPr>
          <w:rtl/>
        </w:rPr>
        <w:t>و</w:t>
      </w:r>
      <w:r w:rsidRPr="0068209D">
        <w:rPr>
          <w:rtl/>
        </w:rPr>
        <w:t>تحديد وخصوصية كافيان؛ والمقبولية ووجود حاجة مجتمعية ملحة؛ وعدم قابلية الحق الأساسي الجوهري للتجزئة؛ والضرورة والتناسب مع الأهداف المنشودة؛ والحماية القانونية الكافية؛ وتوافق التقييد مع الالتزامات الدولية</w:t>
      </w:r>
      <w:r>
        <w:rPr>
          <w:rtl/>
        </w:rPr>
        <w:t>.</w:t>
      </w:r>
      <w:r w:rsidRPr="0068209D">
        <w:rPr>
          <w:rtl/>
        </w:rPr>
        <w:t xml:space="preserve"> و</w:t>
      </w:r>
      <w:r>
        <w:rPr>
          <w:rtl/>
        </w:rPr>
        <w:t>ت</w:t>
      </w:r>
      <w:r w:rsidRPr="0068209D">
        <w:rPr>
          <w:rtl/>
        </w:rPr>
        <w:t>تطابق القيود مع شروط تقييد حقوق الإنسان المنصوص عليها في الاتفاقية الأوروبية لحقوق الإنسان والاجتهاد القضائي للمحكمة الأوروبية لحقوق الإنسان، وتفس</w:t>
      </w:r>
      <w:r>
        <w:rPr>
          <w:rtl/>
        </w:rPr>
        <w:t>َّ</w:t>
      </w:r>
      <w:r w:rsidRPr="0068209D">
        <w:rPr>
          <w:rtl/>
        </w:rPr>
        <w:t>ر على أنها تتفق مع هذه الشروط قدر الإمكان.</w:t>
      </w:r>
    </w:p>
    <w:p w14:paraId="21098942" w14:textId="77777777" w:rsidR="00C815DB" w:rsidRPr="00FE0725" w:rsidRDefault="00C815DB" w:rsidP="00C815DB">
      <w:pPr>
        <w:pStyle w:val="SingleTxtGA"/>
        <w:rPr>
          <w:lang w:eastAsia="zh-TW" w:bidi="en-GB"/>
        </w:rPr>
      </w:pPr>
      <w:r w:rsidRPr="005C19F0">
        <w:rPr>
          <w:szCs w:val="20"/>
          <w:rtl/>
        </w:rPr>
        <w:t>244</w:t>
      </w:r>
      <w:r w:rsidRPr="00EF3655">
        <w:rPr>
          <w:rtl/>
        </w:rPr>
        <w:t>-</w:t>
      </w:r>
      <w:r w:rsidRPr="0068209D">
        <w:rPr>
          <w:rtl/>
        </w:rPr>
        <w:tab/>
        <w:t xml:space="preserve">ويتضمن دستور فنلندا حكماً يتعلق بالاستثناءات المؤقتة من الحقوق والحريات الأساسية التي تتوافق مع التزامات فنلندا الدولية في مجال حقوق الإنسان في ظروف استثنائية. </w:t>
      </w:r>
      <w:r>
        <w:rPr>
          <w:rtl/>
        </w:rPr>
        <w:t>و</w:t>
      </w:r>
      <w:r w:rsidRPr="0068209D">
        <w:rPr>
          <w:rtl/>
        </w:rPr>
        <w:t>هذه الاستثناءات المؤقتة من الحقوق الأساسية التي ت</w:t>
      </w:r>
      <w:r>
        <w:rPr>
          <w:rtl/>
        </w:rPr>
        <w:t>ُ</w:t>
      </w:r>
      <w:r w:rsidRPr="0068209D">
        <w:rPr>
          <w:rtl/>
        </w:rPr>
        <w:t>عتبر ضرورية في حالة وقوع هجوم مسلح على فنلندا أو</w:t>
      </w:r>
      <w:r>
        <w:rPr>
          <w:rtl/>
        </w:rPr>
        <w:t xml:space="preserve"> عند</w:t>
      </w:r>
      <w:r w:rsidRPr="0068209D">
        <w:rPr>
          <w:rtl/>
        </w:rPr>
        <w:t xml:space="preserve"> حدوث حالات طوارئ أخرى، على النحو المنصوص عليه في </w:t>
      </w:r>
      <w:r>
        <w:rPr>
          <w:rtl/>
        </w:rPr>
        <w:t>ال</w:t>
      </w:r>
      <w:r w:rsidRPr="0068209D">
        <w:rPr>
          <w:rtl/>
        </w:rPr>
        <w:t xml:space="preserve">قانون، الأمر الذي يشكل تهديداً خطيراً للأمة، يجوز أن ينص عليها قانون أو مرسوم حكومي </w:t>
      </w:r>
      <w:r>
        <w:rPr>
          <w:rtl/>
        </w:rPr>
        <w:t>ي</w:t>
      </w:r>
      <w:r w:rsidRPr="0068209D">
        <w:rPr>
          <w:rtl/>
        </w:rPr>
        <w:t xml:space="preserve">صدر </w:t>
      </w:r>
      <w:r>
        <w:rPr>
          <w:rtl/>
        </w:rPr>
        <w:t xml:space="preserve">بناءً </w:t>
      </w:r>
      <w:r w:rsidRPr="0068209D">
        <w:rPr>
          <w:rtl/>
        </w:rPr>
        <w:t>على إذن وارد في قانون لسبب خاص ورهناً بنطاق تطبيق محدد بدقة.</w:t>
      </w:r>
    </w:p>
    <w:p w14:paraId="05E37149" w14:textId="2A34DD49" w:rsidR="00C815DB" w:rsidRPr="000D6552" w:rsidRDefault="00C815DB" w:rsidP="00C815DB">
      <w:pPr>
        <w:pStyle w:val="H23GA"/>
        <w:rPr>
          <w:lang w:val="ar-SA" w:eastAsia="zh-TW" w:bidi="en-GB"/>
        </w:rPr>
      </w:pPr>
      <w:bookmarkStart w:id="78" w:name="_Toc32364337"/>
      <w:r>
        <w:rPr>
          <w:rtl/>
        </w:rPr>
        <w:tab/>
      </w:r>
      <w:r w:rsidRPr="00794E95">
        <w:rPr>
          <w:rtl/>
        </w:rPr>
        <w:t>(</w:t>
      </w:r>
      <w:r w:rsidRPr="000D6552">
        <w:rPr>
          <w:rtl/>
        </w:rPr>
        <w:t>ب</w:t>
      </w:r>
      <w:r w:rsidRPr="00794E95">
        <w:rPr>
          <w:rtl/>
        </w:rPr>
        <w:t>)</w:t>
      </w:r>
      <w:r>
        <w:rPr>
          <w:rtl/>
        </w:rPr>
        <w:tab/>
      </w:r>
      <w:r w:rsidRPr="000D6552">
        <w:rPr>
          <w:rtl/>
        </w:rPr>
        <w:t>صكوك حقوق الإنسان في التشريعات الوطنية</w:t>
      </w:r>
      <w:bookmarkEnd w:id="78"/>
    </w:p>
    <w:p w14:paraId="017DBBDD" w14:textId="3384F2F1" w:rsidR="00C815DB" w:rsidRPr="00C726A7" w:rsidRDefault="00C815DB" w:rsidP="00C815DB">
      <w:pPr>
        <w:pStyle w:val="SingleTxtGA"/>
        <w:rPr>
          <w:lang w:eastAsia="zh-TW" w:bidi="en-GB"/>
        </w:rPr>
      </w:pPr>
      <w:r w:rsidRPr="005C19F0">
        <w:rPr>
          <w:szCs w:val="20"/>
          <w:rtl/>
        </w:rPr>
        <w:t>245</w:t>
      </w:r>
      <w:r w:rsidRPr="00EF3655">
        <w:rPr>
          <w:rtl/>
        </w:rPr>
        <w:t>-</w:t>
      </w:r>
      <w:r w:rsidRPr="0068209D">
        <w:rPr>
          <w:rtl/>
        </w:rPr>
        <w:tab/>
        <w:t xml:space="preserve">يلزم قبول البرلمان المعاهدات والالتزامات الدولية الأخرى التي تتضمن أحكاما ذات طابع تشريعي أو ذات أهمية أخرى أو تتطلب موافقة البرلمان بموجب دستور فنلندا. ويلزم قبول البرلمان </w:t>
      </w:r>
      <w:r w:rsidR="00C74C59">
        <w:rPr>
          <w:rtl/>
        </w:rPr>
        <w:t>أيضاً</w:t>
      </w:r>
      <w:r w:rsidRPr="0068209D">
        <w:rPr>
          <w:rtl/>
        </w:rPr>
        <w:t xml:space="preserve"> إبطال</w:t>
      </w:r>
      <w:r>
        <w:rPr>
          <w:rtl/>
        </w:rPr>
        <w:t>َ</w:t>
      </w:r>
      <w:r w:rsidRPr="0068209D">
        <w:rPr>
          <w:rtl/>
        </w:rPr>
        <w:t xml:space="preserve"> هذه الالتزامات. ولذلك يخضع التزام فنلندا بالصكوك الدولية لحقوق الإنسان دائماً لموافقة البرلمان. وفيما يتعلق بالصكوك الدولية لحقوق الإنسان، تطبق فنلندا نموذجاً مزدوجاً تُنقل بمقتضاه الالتزامات المستمدة من الصكوك الدولية بطريقة منفصلة </w:t>
      </w:r>
      <w:r>
        <w:rPr>
          <w:rtl/>
        </w:rPr>
        <w:t>إلى</w:t>
      </w:r>
      <w:r w:rsidRPr="0068209D">
        <w:rPr>
          <w:rtl/>
        </w:rPr>
        <w:t xml:space="preserve"> القانون الوطني. وفي معظم الحالات، تنفذ الصكوك الدولية بإدراجها في القانون الوطني من خلال حكم شامل موجز ينص على أن الصك نافذ على الصعيد الوطني.</w:t>
      </w:r>
    </w:p>
    <w:p w14:paraId="4F9CC58E" w14:textId="7B7E925C" w:rsidR="00C815DB" w:rsidRPr="0068209D" w:rsidRDefault="00C815DB" w:rsidP="009550FD">
      <w:pPr>
        <w:pStyle w:val="SingleTxtGA"/>
        <w:rPr>
          <w:lang w:val="ar-SA" w:eastAsia="zh-TW" w:bidi="en-GB"/>
        </w:rPr>
      </w:pPr>
      <w:r w:rsidRPr="005C19F0">
        <w:rPr>
          <w:szCs w:val="20"/>
          <w:rtl/>
        </w:rPr>
        <w:t>246</w:t>
      </w:r>
      <w:r w:rsidRPr="00EF3655">
        <w:rPr>
          <w:rtl/>
        </w:rPr>
        <w:t>-</w:t>
      </w:r>
      <w:r w:rsidRPr="0068209D">
        <w:rPr>
          <w:rtl/>
        </w:rPr>
        <w:tab/>
        <w:t xml:space="preserve">وتُحدَّد الحاجة إلى تعديل التشريعات الوطنية كي تتسق مع التزامات جديدة في مجال حقوق الإنسان قبل التصديق على </w:t>
      </w:r>
      <w:r>
        <w:rPr>
          <w:rtl/>
        </w:rPr>
        <w:t xml:space="preserve">أي </w:t>
      </w:r>
      <w:r w:rsidRPr="0068209D">
        <w:rPr>
          <w:rtl/>
        </w:rPr>
        <w:t>صك من صكوك حقوق الإنسان. ثم إن مجرد سن قانون شامل يجعل الصك جزءا</w:t>
      </w:r>
      <w:r w:rsidR="009550FD">
        <w:rPr>
          <w:rFonts w:hint="cs"/>
          <w:rtl/>
        </w:rPr>
        <w:t>ً</w:t>
      </w:r>
      <w:r w:rsidRPr="0068209D">
        <w:rPr>
          <w:rtl/>
        </w:rPr>
        <w:t xml:space="preserve"> من القانون الوطني قد لا يكفي، بل قد يستلزم التصديق عليه تعديل قوانين قائمة أو سن قوانين جديدة.</w:t>
      </w:r>
    </w:p>
    <w:p w14:paraId="4C53C23C" w14:textId="77777777" w:rsidR="00C815DB" w:rsidRPr="00C726A7" w:rsidRDefault="00C815DB" w:rsidP="009550FD">
      <w:pPr>
        <w:pStyle w:val="SingleTxtGA"/>
        <w:rPr>
          <w:lang w:eastAsia="zh-TW" w:bidi="en-GB"/>
        </w:rPr>
      </w:pPr>
      <w:r w:rsidRPr="005C19F0">
        <w:rPr>
          <w:szCs w:val="20"/>
          <w:rtl/>
        </w:rPr>
        <w:t>247</w:t>
      </w:r>
      <w:r w:rsidRPr="00EF3655">
        <w:rPr>
          <w:rtl/>
        </w:rPr>
        <w:t>-</w:t>
      </w:r>
      <w:r w:rsidRPr="0068209D">
        <w:rPr>
          <w:rtl/>
        </w:rPr>
        <w:tab/>
        <w:t xml:space="preserve">وبموجب المادة </w:t>
      </w:r>
      <w:r w:rsidRPr="005C19F0">
        <w:rPr>
          <w:szCs w:val="20"/>
          <w:rtl/>
        </w:rPr>
        <w:t>80</w:t>
      </w:r>
      <w:r w:rsidRPr="0068209D">
        <w:rPr>
          <w:rtl/>
        </w:rPr>
        <w:t xml:space="preserve"> من دستور فنلندا، تخضع المبادئ التي تحكم حقوق الأفراد والتزاماتهم للقوانين؛ ومن ثم فإن جميع صكوك حقوق الإنسان تدخل حيز النفاذ أيضاً على مستوى قانون ما. وفي التسلسل الهرمي للمعايير، تتمتع صكوك حقوق الإنسان الملزمة لفنلندا ب</w:t>
      </w:r>
      <w:r>
        <w:rPr>
          <w:rtl/>
          <w:lang w:bidi="ar-DZ"/>
        </w:rPr>
        <w:t xml:space="preserve">مركز </w:t>
      </w:r>
      <w:r w:rsidRPr="0068209D">
        <w:rPr>
          <w:rtl/>
        </w:rPr>
        <w:t>دستوري.</w:t>
      </w:r>
    </w:p>
    <w:p w14:paraId="444F6172" w14:textId="77777777" w:rsidR="00C815DB" w:rsidRPr="009550FD" w:rsidRDefault="00C815DB" w:rsidP="00C815DB">
      <w:pPr>
        <w:pStyle w:val="SingleTxtGA"/>
        <w:rPr>
          <w:spacing w:val="-4"/>
          <w:lang w:val="ar-SA" w:eastAsia="zh-TW" w:bidi="en-GB"/>
        </w:rPr>
      </w:pPr>
      <w:r w:rsidRPr="005C19F0">
        <w:rPr>
          <w:szCs w:val="20"/>
          <w:rtl/>
        </w:rPr>
        <w:t>248</w:t>
      </w:r>
      <w:r w:rsidRPr="00EF3655">
        <w:rPr>
          <w:rtl/>
        </w:rPr>
        <w:t>-</w:t>
      </w:r>
      <w:r w:rsidRPr="0068209D">
        <w:rPr>
          <w:rtl/>
        </w:rPr>
        <w:tab/>
        <w:t>وتشكل حقوق الإنسان المكفولة بالصكوك الدولية المعيار الأدنى لحقوق ال</w:t>
      </w:r>
      <w:r>
        <w:rPr>
          <w:rtl/>
        </w:rPr>
        <w:t xml:space="preserve">فرد، </w:t>
      </w:r>
      <w:r w:rsidRPr="0068209D">
        <w:rPr>
          <w:rtl/>
        </w:rPr>
        <w:t xml:space="preserve">الذي لا يجوز </w:t>
      </w:r>
      <w:r>
        <w:rPr>
          <w:rtl/>
        </w:rPr>
        <w:t>انتقاصه</w:t>
      </w:r>
      <w:r w:rsidRPr="0068209D">
        <w:rPr>
          <w:rtl/>
        </w:rPr>
        <w:t xml:space="preserve"> عند صياغة التشريعات، وكذلك الشأن بالنسبة إلى الحكومة أو إقامة العدل، لكن يُباح </w:t>
      </w:r>
      <w:r w:rsidRPr="0068209D">
        <w:rPr>
          <w:rtl/>
        </w:rPr>
        <w:lastRenderedPageBreak/>
        <w:t xml:space="preserve">تجاوزه. وفي الممارسة العملية، </w:t>
      </w:r>
      <w:r>
        <w:rPr>
          <w:rtl/>
        </w:rPr>
        <w:t>تتجلى</w:t>
      </w:r>
      <w:r w:rsidRPr="0068209D">
        <w:rPr>
          <w:rtl/>
        </w:rPr>
        <w:t xml:space="preserve"> الحقوق الأساسية وحقوق الإنسان </w:t>
      </w:r>
      <w:r>
        <w:rPr>
          <w:rtl/>
        </w:rPr>
        <w:t>في الواقع ال</w:t>
      </w:r>
      <w:r w:rsidRPr="0068209D">
        <w:rPr>
          <w:rtl/>
        </w:rPr>
        <w:t xml:space="preserve">ملموس في القواعد </w:t>
      </w:r>
      <w:r w:rsidRPr="009550FD">
        <w:rPr>
          <w:spacing w:val="-4"/>
          <w:rtl/>
        </w:rPr>
        <w:t>المدرجة في القانون وكذلك في الاجتهادات القضائية وغيرها من الأنشطة التي تضطلع بها السلطات العامة.</w:t>
      </w:r>
    </w:p>
    <w:p w14:paraId="345A309A" w14:textId="0E8B46F5" w:rsidR="00C815DB" w:rsidRPr="00C815DB" w:rsidRDefault="00C815DB" w:rsidP="00C815DB">
      <w:pPr>
        <w:pStyle w:val="H23GA"/>
        <w:rPr>
          <w:lang w:eastAsia="zh-TW" w:bidi="en-GB"/>
        </w:rPr>
      </w:pPr>
      <w:bookmarkStart w:id="79" w:name="_Toc32364338"/>
      <w:r>
        <w:rPr>
          <w:rtl/>
        </w:rPr>
        <w:tab/>
      </w:r>
      <w:r w:rsidRPr="00794E95">
        <w:rPr>
          <w:rtl/>
        </w:rPr>
        <w:t>(</w:t>
      </w:r>
      <w:r w:rsidRPr="00921747">
        <w:rPr>
          <w:rtl/>
        </w:rPr>
        <w:t>ج</w:t>
      </w:r>
      <w:r w:rsidRPr="00794E95">
        <w:rPr>
          <w:rtl/>
        </w:rPr>
        <w:t>)</w:t>
      </w:r>
      <w:r>
        <w:rPr>
          <w:rtl/>
        </w:rPr>
        <w:tab/>
        <w:t xml:space="preserve">مراقبة </w:t>
      </w:r>
      <w:r w:rsidRPr="00921747">
        <w:rPr>
          <w:rtl/>
        </w:rPr>
        <w:t>الشرعية</w:t>
      </w:r>
      <w:bookmarkEnd w:id="79"/>
    </w:p>
    <w:p w14:paraId="030743CA" w14:textId="77777777" w:rsidR="00C815DB" w:rsidRPr="0068209D" w:rsidRDefault="00C815DB" w:rsidP="00C815DB">
      <w:pPr>
        <w:pStyle w:val="H23GA"/>
        <w:rPr>
          <w:lang w:val="ar-SA" w:eastAsia="zh-TW" w:bidi="en-GB"/>
        </w:rPr>
      </w:pPr>
      <w:bookmarkStart w:id="80" w:name="_Toc32364339"/>
      <w:r w:rsidRPr="0068209D">
        <w:rPr>
          <w:rtl/>
        </w:rPr>
        <w:tab/>
      </w:r>
      <w:r w:rsidRPr="0068209D">
        <w:rPr>
          <w:rtl/>
        </w:rPr>
        <w:tab/>
        <w:t>لجنة القانون الدستوري البرلمانية</w:t>
      </w:r>
      <w:bookmarkEnd w:id="80"/>
    </w:p>
    <w:p w14:paraId="48C04691" w14:textId="77777777" w:rsidR="00C815DB" w:rsidRPr="0068209D" w:rsidRDefault="00C815DB" w:rsidP="00C815DB">
      <w:pPr>
        <w:pStyle w:val="SingleTxtGA"/>
        <w:rPr>
          <w:lang w:val="ar-SA" w:eastAsia="zh-TW" w:bidi="en-GB"/>
        </w:rPr>
      </w:pPr>
      <w:r w:rsidRPr="005C19F0">
        <w:rPr>
          <w:szCs w:val="20"/>
          <w:rtl/>
        </w:rPr>
        <w:t>249</w:t>
      </w:r>
      <w:r w:rsidRPr="00EF3655">
        <w:rPr>
          <w:rtl/>
        </w:rPr>
        <w:t>-</w:t>
      </w:r>
      <w:r w:rsidRPr="0068209D">
        <w:rPr>
          <w:rtl/>
        </w:rPr>
        <w:tab/>
        <w:t>الإشراف على دستورية التشريعات المقترحة هو أساساً إشراف مسبق تتولاه لجنة القانون الدستوري</w:t>
      </w:r>
      <w:r>
        <w:rPr>
          <w:rtl/>
        </w:rPr>
        <w:t xml:space="preserve"> في</w:t>
      </w:r>
      <w:r w:rsidRPr="0068209D">
        <w:rPr>
          <w:rtl/>
        </w:rPr>
        <w:t xml:space="preserve"> البرلمان. فبموجب المادة </w:t>
      </w:r>
      <w:r w:rsidRPr="005C19F0">
        <w:rPr>
          <w:szCs w:val="20"/>
          <w:rtl/>
        </w:rPr>
        <w:t>74</w:t>
      </w:r>
      <w:r w:rsidRPr="0068209D">
        <w:rPr>
          <w:rtl/>
        </w:rPr>
        <w:t xml:space="preserve"> من دستور فنلندا، تصدر لجنة القانون الدستوري بيانات </w:t>
      </w:r>
      <w:r>
        <w:rPr>
          <w:rtl/>
        </w:rPr>
        <w:t>تتناول فيها</w:t>
      </w:r>
      <w:r w:rsidRPr="0068209D">
        <w:rPr>
          <w:rtl/>
        </w:rPr>
        <w:t xml:space="preserve"> دستورية المقترحات التشريعية والمسائل الأخرى المعروضة عل</w:t>
      </w:r>
      <w:r>
        <w:rPr>
          <w:rtl/>
        </w:rPr>
        <w:t xml:space="preserve">ى </w:t>
      </w:r>
      <w:r w:rsidRPr="0068209D">
        <w:rPr>
          <w:rtl/>
        </w:rPr>
        <w:t>نظرها، وكذلك علاقت</w:t>
      </w:r>
      <w:r>
        <w:rPr>
          <w:rtl/>
        </w:rPr>
        <w:t>َ</w:t>
      </w:r>
      <w:r w:rsidRPr="0068209D">
        <w:rPr>
          <w:rtl/>
        </w:rPr>
        <w:t>ها بالمعاهدات الدولية لحقوق الإنسان. وتتكون لجنة القانون الدستوري من أعضاء</w:t>
      </w:r>
      <w:r>
        <w:rPr>
          <w:rtl/>
        </w:rPr>
        <w:t xml:space="preserve"> في</w:t>
      </w:r>
      <w:r w:rsidRPr="0068209D">
        <w:rPr>
          <w:rtl/>
        </w:rPr>
        <w:t xml:space="preserve"> البرلمان.</w:t>
      </w:r>
    </w:p>
    <w:p w14:paraId="13600CA3" w14:textId="77777777" w:rsidR="00C815DB" w:rsidRPr="00C815DB" w:rsidRDefault="00C815DB" w:rsidP="00C815DB">
      <w:pPr>
        <w:pStyle w:val="H23GA"/>
        <w:rPr>
          <w:rtl/>
          <w:lang w:eastAsia="zh-TW"/>
        </w:rPr>
      </w:pPr>
      <w:bookmarkStart w:id="81" w:name="_Toc32364340"/>
      <w:r w:rsidRPr="0068209D">
        <w:rPr>
          <w:rtl/>
        </w:rPr>
        <w:tab/>
      </w:r>
      <w:r w:rsidRPr="0068209D">
        <w:rPr>
          <w:rtl/>
        </w:rPr>
        <w:tab/>
        <w:t>المحاكم</w:t>
      </w:r>
      <w:bookmarkEnd w:id="81"/>
    </w:p>
    <w:p w14:paraId="66D1792B" w14:textId="77777777" w:rsidR="00C815DB" w:rsidRPr="0068209D" w:rsidRDefault="00C815DB" w:rsidP="00C815DB">
      <w:pPr>
        <w:pStyle w:val="SingleTxtGA"/>
        <w:rPr>
          <w:lang w:val="ar-SA" w:eastAsia="zh-TW" w:bidi="en-GB"/>
        </w:rPr>
      </w:pPr>
      <w:r w:rsidRPr="005C19F0">
        <w:rPr>
          <w:szCs w:val="20"/>
          <w:rtl/>
        </w:rPr>
        <w:t>250</w:t>
      </w:r>
      <w:r w:rsidRPr="00EF3655">
        <w:rPr>
          <w:rtl/>
        </w:rPr>
        <w:t>-</w:t>
      </w:r>
      <w:r w:rsidRPr="0068209D">
        <w:rPr>
          <w:rtl/>
        </w:rPr>
        <w:tab/>
        <w:t>يستند الإشراف اللاحق على ا</w:t>
      </w:r>
      <w:r>
        <w:rPr>
          <w:rtl/>
        </w:rPr>
        <w:t>لا</w:t>
      </w:r>
      <w:r w:rsidRPr="0068209D">
        <w:rPr>
          <w:rtl/>
        </w:rPr>
        <w:t xml:space="preserve">متثال </w:t>
      </w:r>
      <w:r>
        <w:rPr>
          <w:rtl/>
        </w:rPr>
        <w:t>ل</w:t>
      </w:r>
      <w:r w:rsidRPr="0068209D">
        <w:rPr>
          <w:rtl/>
        </w:rPr>
        <w:t>لحقوق الأساسية وحقوق الإنسان إلى التفسير الدستوري للقانون من طرف المحاكم في مجال إقامة العدل وإلى واجبها القاضي بعدم تطبيق أحكام غير دستورية. وبم</w:t>
      </w:r>
      <w:r>
        <w:rPr>
          <w:rtl/>
        </w:rPr>
        <w:t>قتضى</w:t>
      </w:r>
      <w:r w:rsidRPr="0068209D">
        <w:rPr>
          <w:rtl/>
        </w:rPr>
        <w:t xml:space="preserve"> المادة </w:t>
      </w:r>
      <w:r w:rsidRPr="005C19F0">
        <w:rPr>
          <w:szCs w:val="20"/>
          <w:rtl/>
        </w:rPr>
        <w:t>106</w:t>
      </w:r>
      <w:r w:rsidRPr="0068209D">
        <w:rPr>
          <w:rtl/>
        </w:rPr>
        <w:t xml:space="preserve"> من دستور فنلندا، عندما ي</w:t>
      </w:r>
      <w:r>
        <w:rPr>
          <w:rtl/>
        </w:rPr>
        <w:t>تعارض</w:t>
      </w:r>
      <w:r w:rsidRPr="0068209D">
        <w:rPr>
          <w:rtl/>
        </w:rPr>
        <w:t xml:space="preserve"> تطبيق قانون من القوانين في </w:t>
      </w:r>
      <w:r>
        <w:rPr>
          <w:rtl/>
        </w:rPr>
        <w:t>قضي</w:t>
      </w:r>
      <w:r w:rsidRPr="0068209D">
        <w:rPr>
          <w:rtl/>
        </w:rPr>
        <w:t xml:space="preserve">ة ما </w:t>
      </w:r>
      <w:r>
        <w:rPr>
          <w:rtl/>
        </w:rPr>
        <w:t xml:space="preserve">توجد قيد </w:t>
      </w:r>
      <w:r w:rsidRPr="0068209D">
        <w:rPr>
          <w:rtl/>
        </w:rPr>
        <w:t xml:space="preserve">نظر </w:t>
      </w:r>
      <w:r>
        <w:rPr>
          <w:rtl/>
        </w:rPr>
        <w:t>محكمة عادية</w:t>
      </w:r>
      <w:r w:rsidRPr="0068209D">
        <w:rPr>
          <w:rtl/>
        </w:rPr>
        <w:t xml:space="preserve">، تعارضاً واضحاً مع الدستور، تعطي </w:t>
      </w:r>
      <w:r>
        <w:rPr>
          <w:rtl/>
        </w:rPr>
        <w:t>المحكمة العادية</w:t>
      </w:r>
      <w:r w:rsidRPr="0068209D">
        <w:rPr>
          <w:rtl/>
        </w:rPr>
        <w:t xml:space="preserve"> الأولوية للحكم الوارد في الدستور. وبموجب المادة </w:t>
      </w:r>
      <w:r w:rsidRPr="005C19F0">
        <w:rPr>
          <w:szCs w:val="20"/>
          <w:rtl/>
        </w:rPr>
        <w:t>107</w:t>
      </w:r>
      <w:r w:rsidRPr="0068209D">
        <w:rPr>
          <w:rtl/>
        </w:rPr>
        <w:t xml:space="preserve"> من الدستور، عندما يتعارض حكم وارد في مرسوم أو </w:t>
      </w:r>
      <w:r>
        <w:rPr>
          <w:rtl/>
        </w:rPr>
        <w:t>تشريع</w:t>
      </w:r>
      <w:r w:rsidRPr="0068209D">
        <w:rPr>
          <w:rtl/>
        </w:rPr>
        <w:t xml:space="preserve"> آخر أدنى </w:t>
      </w:r>
      <w:r>
        <w:rPr>
          <w:rtl/>
        </w:rPr>
        <w:t xml:space="preserve">درجةً </w:t>
      </w:r>
      <w:r w:rsidRPr="0068209D">
        <w:rPr>
          <w:rtl/>
        </w:rPr>
        <w:t>من قانون</w:t>
      </w:r>
      <w:r>
        <w:rPr>
          <w:rtl/>
        </w:rPr>
        <w:t>،</w:t>
      </w:r>
      <w:r w:rsidRPr="0068209D">
        <w:rPr>
          <w:rtl/>
        </w:rPr>
        <w:t xml:space="preserve"> مع الدستور أو </w:t>
      </w:r>
      <w:r>
        <w:rPr>
          <w:rtl/>
        </w:rPr>
        <w:t xml:space="preserve">مع </w:t>
      </w:r>
      <w:r w:rsidRPr="0068209D">
        <w:rPr>
          <w:rtl/>
        </w:rPr>
        <w:t xml:space="preserve">قانون آخر، لا يجوز أن تطبقه </w:t>
      </w:r>
      <w:r>
        <w:rPr>
          <w:rtl/>
        </w:rPr>
        <w:t>محكمة عادية</w:t>
      </w:r>
      <w:r w:rsidRPr="0068209D">
        <w:rPr>
          <w:rtl/>
        </w:rPr>
        <w:t xml:space="preserve"> أو أي سلطة عامة أخرى. وتنطبق المادة </w:t>
      </w:r>
      <w:r w:rsidRPr="005C19F0">
        <w:rPr>
          <w:szCs w:val="20"/>
          <w:rtl/>
        </w:rPr>
        <w:t>107</w:t>
      </w:r>
      <w:r w:rsidRPr="0068209D">
        <w:rPr>
          <w:rtl/>
        </w:rPr>
        <w:t xml:space="preserve"> من الدستور على جميع السلطات ولا يلزم أن يكون التعارض واضحاً. و</w:t>
      </w:r>
      <w:r>
        <w:rPr>
          <w:rtl/>
        </w:rPr>
        <w:t>بفضل الإشراف المسبق الذي تمارسه</w:t>
      </w:r>
      <w:r w:rsidRPr="0068209D">
        <w:rPr>
          <w:rtl/>
        </w:rPr>
        <w:t xml:space="preserve"> لجنة القانون الدستوريً، نادراً ما تحتاج فنلندا إلى الاعتماد على الإشراف اللاحق.</w:t>
      </w:r>
    </w:p>
    <w:p w14:paraId="0D224A0E" w14:textId="77777777" w:rsidR="00C815DB" w:rsidRPr="00C815DB" w:rsidRDefault="00C815DB" w:rsidP="00C815DB">
      <w:pPr>
        <w:pStyle w:val="H23GA"/>
        <w:rPr>
          <w:rtl/>
          <w:lang w:eastAsia="zh-TW"/>
        </w:rPr>
      </w:pPr>
      <w:bookmarkStart w:id="82" w:name="_Toc32364341"/>
      <w:r w:rsidRPr="0068209D">
        <w:rPr>
          <w:rtl/>
        </w:rPr>
        <w:tab/>
      </w:r>
      <w:r w:rsidRPr="0068209D">
        <w:rPr>
          <w:rtl/>
        </w:rPr>
        <w:tab/>
        <w:t>أمين المظالم البرلماني</w:t>
      </w:r>
      <w:r w:rsidRPr="0068209D">
        <w:rPr>
          <w:rFonts w:cs="Times New Roman" w:hint="cs"/>
          <w:rtl/>
        </w:rPr>
        <w:t>‬</w:t>
      </w:r>
      <w:bookmarkEnd w:id="82"/>
    </w:p>
    <w:p w14:paraId="777FAFFB" w14:textId="4F3E50F6" w:rsidR="00C815DB" w:rsidRPr="00322E61" w:rsidRDefault="00C815DB" w:rsidP="00C815DB">
      <w:pPr>
        <w:pStyle w:val="SingleTxtGA"/>
        <w:rPr>
          <w:lang w:eastAsia="zh-TW" w:bidi="en-GB"/>
        </w:rPr>
      </w:pPr>
      <w:r w:rsidRPr="005C19F0">
        <w:rPr>
          <w:szCs w:val="20"/>
          <w:rtl/>
        </w:rPr>
        <w:t>251</w:t>
      </w:r>
      <w:r w:rsidRPr="00EF3655">
        <w:rPr>
          <w:rtl/>
        </w:rPr>
        <w:t>-</w:t>
      </w:r>
      <w:r w:rsidRPr="0068209D">
        <w:rPr>
          <w:rtl/>
        </w:rPr>
        <w:tab/>
        <w:t>يمارس أمين المظالم البرلماني، الذي ينتخبه البرلمان لمدة أربع سنوات، ال</w:t>
      </w:r>
      <w:r>
        <w:rPr>
          <w:rtl/>
        </w:rPr>
        <w:t>م</w:t>
      </w:r>
      <w:r w:rsidRPr="0068209D">
        <w:rPr>
          <w:rtl/>
        </w:rPr>
        <w:t>ر</w:t>
      </w:r>
      <w:r>
        <w:rPr>
          <w:rtl/>
        </w:rPr>
        <w:t>ا</w:t>
      </w:r>
      <w:r w:rsidRPr="0068209D">
        <w:rPr>
          <w:rtl/>
        </w:rPr>
        <w:t>قبة لضمان امتثال المحاكم والسلطات الأخرى، إضافة إلى الموظفين العموميين وموظفي الهيئات العامة وغيرهم ممن يؤدون واجبا</w:t>
      </w:r>
      <w:r w:rsidR="00C74C59">
        <w:rPr>
          <w:rFonts w:hint="cs"/>
          <w:rtl/>
        </w:rPr>
        <w:t>ً</w:t>
      </w:r>
      <w:r w:rsidRPr="0068209D">
        <w:rPr>
          <w:rtl/>
        </w:rPr>
        <w:t xml:space="preserve"> عاما</w:t>
      </w:r>
      <w:r w:rsidR="00C74C59">
        <w:rPr>
          <w:rFonts w:hint="cs"/>
          <w:rtl/>
        </w:rPr>
        <w:t>ً</w:t>
      </w:r>
      <w:r w:rsidRPr="0068209D">
        <w:rPr>
          <w:rtl/>
        </w:rPr>
        <w:t xml:space="preserve">، </w:t>
      </w:r>
      <w:r>
        <w:rPr>
          <w:rtl/>
        </w:rPr>
        <w:t>ال</w:t>
      </w:r>
      <w:r w:rsidRPr="0068209D">
        <w:rPr>
          <w:rtl/>
        </w:rPr>
        <w:t>قانون</w:t>
      </w:r>
      <w:r>
        <w:rPr>
          <w:rtl/>
        </w:rPr>
        <w:t>َ</w:t>
      </w:r>
      <w:r w:rsidRPr="0068209D">
        <w:rPr>
          <w:rtl/>
        </w:rPr>
        <w:t xml:space="preserve"> و</w:t>
      </w:r>
      <w:r>
        <w:rPr>
          <w:rtl/>
        </w:rPr>
        <w:t xml:space="preserve">أداء </w:t>
      </w:r>
      <w:r w:rsidRPr="0068209D">
        <w:rPr>
          <w:rtl/>
        </w:rPr>
        <w:t>واجباتهم. وي</w:t>
      </w:r>
      <w:r>
        <w:rPr>
          <w:rtl/>
        </w:rPr>
        <w:t xml:space="preserve">راقب </w:t>
      </w:r>
      <w:r w:rsidRPr="0068209D">
        <w:rPr>
          <w:rtl/>
        </w:rPr>
        <w:t>أمين المظالم شرعية الإجراءات التي تتخذها السلطات، وذلك أساساً من خلال التحقيق في الشكاوى ال</w:t>
      </w:r>
      <w:r>
        <w:rPr>
          <w:rtl/>
        </w:rPr>
        <w:t>تي ترده</w:t>
      </w:r>
      <w:r w:rsidRPr="0068209D">
        <w:rPr>
          <w:rtl/>
        </w:rPr>
        <w:t>. ويحكم واجبات أمين المظالم دستورُ فنلندا وقانون أمين المظالم</w:t>
      </w:r>
      <w:r>
        <w:rPr>
          <w:rtl/>
        </w:rPr>
        <w:t xml:space="preserve"> البرلماني </w:t>
      </w:r>
      <w:r w:rsidRPr="00794E95">
        <w:rPr>
          <w:rtl/>
        </w:rPr>
        <w:t>(</w:t>
      </w:r>
      <w:r w:rsidRPr="005C19F0">
        <w:rPr>
          <w:szCs w:val="20"/>
          <w:rtl/>
        </w:rPr>
        <w:t>197</w:t>
      </w:r>
      <w:r>
        <w:rPr>
          <w:rtl/>
        </w:rPr>
        <w:t>/</w:t>
      </w:r>
      <w:r w:rsidRPr="005C19F0">
        <w:rPr>
          <w:szCs w:val="20"/>
          <w:rtl/>
        </w:rPr>
        <w:t>2002</w:t>
      </w:r>
      <w:r w:rsidRPr="00794E95">
        <w:rPr>
          <w:rtl/>
        </w:rPr>
        <w:t>)</w:t>
      </w:r>
      <w:r w:rsidRPr="0068209D">
        <w:rPr>
          <w:rtl/>
        </w:rPr>
        <w:t>. وتنطبق الأحكام المتعلقة ب</w:t>
      </w:r>
      <w:r>
        <w:rPr>
          <w:rtl/>
        </w:rPr>
        <w:t xml:space="preserve">أمين المظالم </w:t>
      </w:r>
      <w:r w:rsidRPr="0068209D">
        <w:rPr>
          <w:rtl/>
        </w:rPr>
        <w:t>البرلماني أيضاً، حسب الاقتضاء، على نائب</w:t>
      </w:r>
      <w:r w:rsidRPr="00794E95">
        <w:rPr>
          <w:rtl/>
        </w:rPr>
        <w:t>(</w:t>
      </w:r>
      <w:r w:rsidRPr="0068209D">
        <w:rPr>
          <w:rtl/>
        </w:rPr>
        <w:t>ة</w:t>
      </w:r>
      <w:r w:rsidRPr="00794E95">
        <w:rPr>
          <w:rtl/>
        </w:rPr>
        <w:t>)</w:t>
      </w:r>
      <w:r w:rsidRPr="0068209D">
        <w:rPr>
          <w:rtl/>
        </w:rPr>
        <w:t xml:space="preserve"> أمين المظالم. وأنشئت مؤسسة أمين المظالم البرلماني في فنلندا عام </w:t>
      </w:r>
      <w:r w:rsidRPr="005C19F0">
        <w:rPr>
          <w:szCs w:val="20"/>
          <w:rtl/>
        </w:rPr>
        <w:t>1920</w:t>
      </w:r>
      <w:r w:rsidRPr="0068209D">
        <w:rPr>
          <w:rtl/>
        </w:rPr>
        <w:t>، وهي بذلك ثاني أقدم مؤسسة من نوعها في العالم.</w:t>
      </w:r>
    </w:p>
    <w:p w14:paraId="788F3986" w14:textId="1746357C" w:rsidR="00C815DB" w:rsidRPr="00322E61" w:rsidRDefault="00C815DB" w:rsidP="00C815DB">
      <w:pPr>
        <w:pStyle w:val="SingleTxtGA"/>
        <w:rPr>
          <w:lang w:eastAsia="zh-TW" w:bidi="en-GB"/>
        </w:rPr>
      </w:pPr>
      <w:r w:rsidRPr="005C19F0">
        <w:rPr>
          <w:szCs w:val="20"/>
          <w:rtl/>
        </w:rPr>
        <w:t>252</w:t>
      </w:r>
      <w:r w:rsidRPr="00EF3655">
        <w:rPr>
          <w:rtl/>
        </w:rPr>
        <w:t>-</w:t>
      </w:r>
      <w:r w:rsidRPr="0068209D">
        <w:rPr>
          <w:rtl/>
        </w:rPr>
        <w:tab/>
        <w:t>ويجوز لأمين المظالم، بمبادرة منه، أن ينظر في قضايا قيد البحث. ويجري أمين المظالم أيضا</w:t>
      </w:r>
      <w:r w:rsidR="009550FD">
        <w:rPr>
          <w:rFonts w:hint="cs"/>
          <w:rtl/>
        </w:rPr>
        <w:t>ً</w:t>
      </w:r>
      <w:r w:rsidRPr="0068209D">
        <w:rPr>
          <w:rtl/>
        </w:rPr>
        <w:t xml:space="preserve"> تحقيقات في </w:t>
      </w:r>
      <w:r>
        <w:rPr>
          <w:rtl/>
        </w:rPr>
        <w:t xml:space="preserve">الموقع بالحضور إلى </w:t>
      </w:r>
      <w:r w:rsidRPr="0068209D">
        <w:rPr>
          <w:rtl/>
        </w:rPr>
        <w:t>المكاتب والمؤسسات العامة. ومن واجبه الخاص إجراء زيارات تفتيش منتظمة إلى السجون وغيرها من المؤسسات، مثل مستشفيات الأمراض النفسية، حيث يمكن احتجاز الأشخاص رغماً عنهم. ومن الأماكن الأخرى التي تشملها الزيارات وحدات قوات الدفاع وحرس الحدود.</w:t>
      </w:r>
    </w:p>
    <w:p w14:paraId="299EC7F0" w14:textId="780269BC" w:rsidR="00C815DB" w:rsidRPr="00322E61" w:rsidRDefault="00C815DB" w:rsidP="00C815DB">
      <w:pPr>
        <w:pStyle w:val="SingleTxtGA"/>
        <w:rPr>
          <w:lang w:eastAsia="zh-TW" w:bidi="en-GB"/>
        </w:rPr>
      </w:pPr>
      <w:r w:rsidRPr="005C19F0">
        <w:rPr>
          <w:szCs w:val="20"/>
          <w:rtl/>
        </w:rPr>
        <w:t>253</w:t>
      </w:r>
      <w:r w:rsidRPr="00EF3655">
        <w:rPr>
          <w:rtl/>
        </w:rPr>
        <w:t>-</w:t>
      </w:r>
      <w:r w:rsidRPr="0068209D">
        <w:rPr>
          <w:rtl/>
        </w:rPr>
        <w:tab/>
        <w:t xml:space="preserve">ويركز أمين المظالم في عمله على تعزيز الحقوق الأساسية وحقوق الإنسان. وإضافة إلى ذلك، </w:t>
      </w:r>
      <w:r>
        <w:rPr>
          <w:rtl/>
        </w:rPr>
        <w:t xml:space="preserve">يشدد أمين المظالم، </w:t>
      </w:r>
      <w:r w:rsidRPr="0068209D">
        <w:rPr>
          <w:rtl/>
        </w:rPr>
        <w:t xml:space="preserve">عندما يقدم عروضاً أو يصدر بيانات أو يكتب مقالات، على أهمية هذه الحقوق في أداء المهام العامة وصياغة التشريعات. وإلى جانب الخدمات الاستشارية وخدمة العملاء، يؤدي </w:t>
      </w:r>
      <w:r w:rsidRPr="0068209D">
        <w:rPr>
          <w:rtl/>
        </w:rPr>
        <w:lastRenderedPageBreak/>
        <w:t>أمين المظالم دورا</w:t>
      </w:r>
      <w:r w:rsidR="00AC24AB">
        <w:rPr>
          <w:rFonts w:hint="cs"/>
          <w:rtl/>
        </w:rPr>
        <w:t>ً</w:t>
      </w:r>
      <w:r w:rsidRPr="0068209D">
        <w:rPr>
          <w:rtl/>
        </w:rPr>
        <w:t xml:space="preserve"> فاعلا</w:t>
      </w:r>
      <w:r w:rsidR="00AC24AB">
        <w:rPr>
          <w:rFonts w:hint="cs"/>
          <w:rtl/>
        </w:rPr>
        <w:t>ً</w:t>
      </w:r>
      <w:r w:rsidRPr="0068209D">
        <w:rPr>
          <w:rtl/>
        </w:rPr>
        <w:t xml:space="preserve"> في إمداد الجمهور بمعلومات عن أنشطته. وأمين المظالم البرلماني، إلى جانب مركز حقوق الإنسان و</w:t>
      </w:r>
      <w:r>
        <w:rPr>
          <w:rtl/>
        </w:rPr>
        <w:t>مف</w:t>
      </w:r>
      <w:r w:rsidRPr="0068209D">
        <w:rPr>
          <w:rtl/>
        </w:rPr>
        <w:t>و</w:t>
      </w:r>
      <w:r>
        <w:rPr>
          <w:rtl/>
        </w:rPr>
        <w:t>ضيت</w:t>
      </w:r>
      <w:r w:rsidRPr="0068209D">
        <w:rPr>
          <w:rtl/>
        </w:rPr>
        <w:t>ه، جزء من المؤسسة الوطنية الفنلندية لحقوق الإنسان.</w:t>
      </w:r>
    </w:p>
    <w:p w14:paraId="4B68F836" w14:textId="67AA15DC" w:rsidR="00C815DB" w:rsidRPr="0068209D" w:rsidRDefault="00C815DB" w:rsidP="00275513">
      <w:pPr>
        <w:pStyle w:val="SingleTxtGA"/>
        <w:rPr>
          <w:lang w:val="ar-SA" w:eastAsia="zh-TW" w:bidi="en-GB"/>
        </w:rPr>
      </w:pPr>
      <w:r w:rsidRPr="005C19F0">
        <w:rPr>
          <w:szCs w:val="20"/>
          <w:rtl/>
        </w:rPr>
        <w:t>254</w:t>
      </w:r>
      <w:r w:rsidRPr="00EF3655">
        <w:rPr>
          <w:rtl/>
        </w:rPr>
        <w:t>-</w:t>
      </w:r>
      <w:r w:rsidRPr="0068209D">
        <w:rPr>
          <w:rtl/>
        </w:rPr>
        <w:tab/>
        <w:t xml:space="preserve">وفي عام </w:t>
      </w:r>
      <w:r w:rsidRPr="005C19F0">
        <w:rPr>
          <w:szCs w:val="20"/>
          <w:rtl/>
        </w:rPr>
        <w:t>2014</w:t>
      </w:r>
      <w:r w:rsidRPr="0068209D">
        <w:rPr>
          <w:rtl/>
        </w:rPr>
        <w:t xml:space="preserve">، أصبح أمين المظالم البرلماني الآلية الوقائية الوطنية بموجب البروتوكول الاختياري لاتفاقية الأمم المتحدة لمناهضة التعذيب. ويوسع هذا المنصب </w:t>
      </w:r>
      <w:r>
        <w:rPr>
          <w:rtl/>
        </w:rPr>
        <w:t xml:space="preserve">نطاقَ </w:t>
      </w:r>
      <w:r w:rsidRPr="0068209D">
        <w:rPr>
          <w:rtl/>
        </w:rPr>
        <w:t>اختصاص أمين المظالم ليشمل تفتيش جميع الأماكن الخاصة التي ي</w:t>
      </w:r>
      <w:r>
        <w:rPr>
          <w:rtl/>
        </w:rPr>
        <w:t xml:space="preserve">ُسلب أو قد يُسلب </w:t>
      </w:r>
      <w:r w:rsidRPr="0068209D">
        <w:rPr>
          <w:rtl/>
        </w:rPr>
        <w:t>فيها</w:t>
      </w:r>
      <w:r>
        <w:rPr>
          <w:rtl/>
        </w:rPr>
        <w:t xml:space="preserve"> الناس حرّيتَهم</w:t>
      </w:r>
      <w:r w:rsidR="00507B18">
        <w:rPr>
          <w:rtl/>
        </w:rPr>
        <w:t xml:space="preserve">. </w:t>
      </w:r>
      <w:r>
        <w:rPr>
          <w:rtl/>
        </w:rPr>
        <w:t>ومن بينها</w:t>
      </w:r>
      <w:r w:rsidRPr="0068209D">
        <w:rPr>
          <w:rtl/>
        </w:rPr>
        <w:t>، على سبيل المثال، مرافق الاحتجاز على متن السفن أو الطائرات أو عندما يتعلق الأمر ببعض المناسبات العامة. و</w:t>
      </w:r>
      <w:r>
        <w:rPr>
          <w:rtl/>
        </w:rPr>
        <w:t xml:space="preserve">قد أصبح بإمكان </w:t>
      </w:r>
      <w:r w:rsidRPr="0068209D">
        <w:rPr>
          <w:rtl/>
        </w:rPr>
        <w:t>أمين المظالم، عند أدائه مهامه بصفته الآلية الوقائية الوطنية، أن يعتمد على مساعدة الخبراء، و</w:t>
      </w:r>
      <w:r w:rsidR="00C74C59">
        <w:rPr>
          <w:rtl/>
        </w:rPr>
        <w:t>أيضاً</w:t>
      </w:r>
      <w:r w:rsidRPr="0068209D">
        <w:rPr>
          <w:rtl/>
        </w:rPr>
        <w:t xml:space="preserve"> الخبراء الذين اكتسبوا مهاراتهم من التجربة. وإضافة إلى ذلك، يقع على عاتق أمين المظالم واجب قانوني هو تعزيز تنفيذ اتفاقية حقوق الأشخاص ذوي الإعاقة وحمايته ورصده، إلى جانب مركز حقوق الإنسان و</w:t>
      </w:r>
      <w:r>
        <w:rPr>
          <w:rtl/>
        </w:rPr>
        <w:t>مفوضيت</w:t>
      </w:r>
      <w:r w:rsidRPr="0068209D">
        <w:rPr>
          <w:rtl/>
        </w:rPr>
        <w:t>ه. وأُسند رصد حقوق الطفل إلى أحد نواب أمين المظالم.</w:t>
      </w:r>
    </w:p>
    <w:p w14:paraId="15070809" w14:textId="77777777" w:rsidR="00C815DB" w:rsidRPr="0068209D" w:rsidRDefault="00C815DB" w:rsidP="00275513">
      <w:pPr>
        <w:pStyle w:val="SingleTxtGA"/>
        <w:rPr>
          <w:lang w:val="ar-SA" w:eastAsia="zh-TW" w:bidi="en-GB"/>
        </w:rPr>
      </w:pPr>
      <w:r w:rsidRPr="005C19F0">
        <w:rPr>
          <w:szCs w:val="20"/>
          <w:rtl/>
        </w:rPr>
        <w:t>255</w:t>
      </w:r>
      <w:r w:rsidRPr="00EF3655">
        <w:rPr>
          <w:rtl/>
        </w:rPr>
        <w:t>-</w:t>
      </w:r>
      <w:r w:rsidRPr="0068209D">
        <w:rPr>
          <w:rtl/>
        </w:rPr>
        <w:tab/>
        <w:t>ويقدم أمين المظالم البرلماني تقريراً سنوياً إلى البرلمان</w:t>
      </w:r>
      <w:r>
        <w:rPr>
          <w:rtl/>
        </w:rPr>
        <w:t xml:space="preserve"> يحدّث فيه</w:t>
      </w:r>
      <w:r w:rsidRPr="0068209D">
        <w:rPr>
          <w:rtl/>
        </w:rPr>
        <w:t xml:space="preserve"> عن حالة إقامة العدل، والإدارة العامة، وأداء المهام العامة، وكذلك عن أوجه القصور في التشريعات.</w:t>
      </w:r>
    </w:p>
    <w:p w14:paraId="5FDD0DA5" w14:textId="763D8F23" w:rsidR="008835DA" w:rsidRPr="00544AC3" w:rsidRDefault="00275513" w:rsidP="00275513">
      <w:pPr>
        <w:pStyle w:val="H23GA"/>
        <w:rPr>
          <w:szCs w:val="20"/>
          <w:lang w:val="ar-SA" w:eastAsia="zh-TW" w:bidi="en-GB"/>
        </w:rPr>
      </w:pPr>
      <w:r>
        <w:rPr>
          <w:rtl/>
        </w:rPr>
        <w:tab/>
      </w:r>
      <w:r>
        <w:rPr>
          <w:rtl/>
        </w:rPr>
        <w:tab/>
      </w:r>
      <w:r w:rsidR="008835DA">
        <w:rPr>
          <w:rtl/>
        </w:rPr>
        <w:t>مستشار العدل في الحكومة</w:t>
      </w:r>
    </w:p>
    <w:p w14:paraId="3E615E3D" w14:textId="3CCD66AE" w:rsidR="008835DA" w:rsidRPr="00C726A7" w:rsidRDefault="008835DA" w:rsidP="00275513">
      <w:pPr>
        <w:pStyle w:val="SingleTxtGA"/>
        <w:rPr>
          <w:szCs w:val="20"/>
          <w:lang w:eastAsia="zh-TW" w:bidi="en-GB"/>
        </w:rPr>
      </w:pPr>
      <w:r w:rsidRPr="005C19F0">
        <w:rPr>
          <w:szCs w:val="20"/>
          <w:rtl/>
        </w:rPr>
        <w:t>256</w:t>
      </w:r>
      <w:r w:rsidRPr="00EF3655">
        <w:rPr>
          <w:rtl/>
        </w:rPr>
        <w:t>-</w:t>
      </w:r>
      <w:r>
        <w:rPr>
          <w:rtl/>
        </w:rPr>
        <w:tab/>
        <w:t>يعدّ مستشار العدل في الحكومة ثاني كبار مراقِبي الشرعية إلى جانب أمين المظالم البرلماني، ويتمثل واجبه في مراقبة شرعية الإجراءات الرسمية التي تتخذها الحكومة والوزارات ورئيس الجمهورية. ويحضر مستشار العدل جميع الجلسات العامة التي تعقدها الحكومة فضلاً عن الجلسات الرئاسية، التي يتخذ فيها رئيس الجمهورية قرارات بشأن المقترحات التي تقدّمها الحكومة، والمناقشات الحكومية. ومن الناحية العملية، تُفعَّل مراقبة الشرعية عن طريق مراجعة جداول أعمال العرض التي تقدَّم</w:t>
      </w:r>
      <w:r w:rsidR="00507B18">
        <w:rPr>
          <w:rtl/>
        </w:rPr>
        <w:t xml:space="preserve"> </w:t>
      </w:r>
      <w:r>
        <w:rPr>
          <w:rtl/>
        </w:rPr>
        <w:t>سلفاً إلى مستشار العدل. ويتمثل الواجب الرئيسي لمستشار العدل في تعزيز تطبيق القانون على النحو المنصوص عليه في دستور فنلندا.</w:t>
      </w:r>
    </w:p>
    <w:p w14:paraId="38692832" w14:textId="3AC5F577" w:rsidR="008835DA" w:rsidRPr="00C726A7" w:rsidRDefault="008835DA" w:rsidP="00275513">
      <w:pPr>
        <w:pStyle w:val="SingleTxtGA"/>
        <w:rPr>
          <w:szCs w:val="20"/>
          <w:lang w:eastAsia="zh-TW" w:bidi="ar-DZ"/>
        </w:rPr>
      </w:pPr>
      <w:r w:rsidRPr="005C19F0">
        <w:rPr>
          <w:szCs w:val="20"/>
          <w:rtl/>
        </w:rPr>
        <w:t>257</w:t>
      </w:r>
      <w:r w:rsidRPr="00EF3655">
        <w:rPr>
          <w:rtl/>
        </w:rPr>
        <w:t>-</w:t>
      </w:r>
      <w:r>
        <w:rPr>
          <w:rtl/>
        </w:rPr>
        <w:tab/>
        <w:t xml:space="preserve">وفي عام </w:t>
      </w:r>
      <w:r w:rsidRPr="005C19F0">
        <w:rPr>
          <w:szCs w:val="20"/>
          <w:rtl/>
        </w:rPr>
        <w:t>2018</w:t>
      </w:r>
      <w:r>
        <w:rPr>
          <w:rtl/>
        </w:rPr>
        <w:t>، استحدث مستشار العدل علاوة على ذلك إجراء جديداً لمراقبة</w:t>
      </w:r>
      <w:r w:rsidR="00507B18">
        <w:rPr>
          <w:rtl/>
        </w:rPr>
        <w:t xml:space="preserve"> </w:t>
      </w:r>
      <w:r>
        <w:rPr>
          <w:rtl/>
        </w:rPr>
        <w:t>صياغة التشريعات والاقتراحات التشريعية مراقبة مسبقة، وللاستعراض الأولي لمشاريع اقتراحات الحكومة الهامة بالنسبة للحقوق الأساسية وحقوق الإنسان ولتطبيق سيادة القانون. ومن عناصر الاستعراض الأولي التحقّقُ من إعمال الحقوق الأساسية وحقوق الإنسان على النحو الذي تقتضيه الصكوك الدولية الملزِمة لفنلندا. وفي الاستعراض الأولي يولى اهتمام أيضاً لتوخي هامش الحرية الوطنية على نحو ملائم في تنفيذ الاتفاقيات الدولية.</w:t>
      </w:r>
    </w:p>
    <w:p w14:paraId="3537DE6E" w14:textId="4C55EBDC" w:rsidR="008835DA" w:rsidRPr="00C726A7" w:rsidRDefault="008835DA" w:rsidP="00275513">
      <w:pPr>
        <w:pStyle w:val="SingleTxtGA"/>
        <w:rPr>
          <w:szCs w:val="20"/>
          <w:lang w:eastAsia="zh-TW" w:bidi="en-GB"/>
        </w:rPr>
      </w:pPr>
      <w:r w:rsidRPr="005C19F0">
        <w:rPr>
          <w:szCs w:val="20"/>
          <w:rtl/>
        </w:rPr>
        <w:t>258</w:t>
      </w:r>
      <w:r w:rsidRPr="00EF3655">
        <w:rPr>
          <w:rtl/>
        </w:rPr>
        <w:t>-</w:t>
      </w:r>
      <w:r>
        <w:rPr>
          <w:rtl/>
        </w:rPr>
        <w:tab/>
        <w:t>ويجب على مستشار العدل تزويد الرئيس والحكومة والوزارات بمعلومات وبيانات عن المسائل القانونية كلما طُلب منه ذلك. وتصدر البيانات عموماً كتابةً، لكنّها تُقدّم أيضاً شفاهياً في بعض الحالات.</w:t>
      </w:r>
    </w:p>
    <w:p w14:paraId="3B5CFAC0" w14:textId="77777777" w:rsidR="008835DA" w:rsidRPr="00C726A7" w:rsidRDefault="008835DA" w:rsidP="00275513">
      <w:pPr>
        <w:pStyle w:val="SingleTxtGA"/>
        <w:rPr>
          <w:szCs w:val="20"/>
          <w:lang w:eastAsia="zh-TW" w:bidi="en-GB"/>
        </w:rPr>
      </w:pPr>
      <w:r w:rsidRPr="005C19F0">
        <w:rPr>
          <w:szCs w:val="20"/>
          <w:rtl/>
        </w:rPr>
        <w:t>259</w:t>
      </w:r>
      <w:r w:rsidRPr="00EF3655">
        <w:rPr>
          <w:rtl/>
        </w:rPr>
        <w:t>-</w:t>
      </w:r>
      <w:r>
        <w:rPr>
          <w:rtl/>
        </w:rPr>
        <w:tab/>
        <w:t>ويسعى مستشار العدل إلى ضمان امتثال المحاكم القانونية، وغيرها من السلطات والأشخاص أو الهيئات المكلّفة بأداء مهام عامة، للقانون ووفائها بالالتزامات الموكلة إليها. ويخوّل مستشار العدل إجراء عمليات تفتيش ل</w:t>
      </w:r>
      <w:r>
        <w:rPr>
          <w:rtl/>
          <w:lang w:bidi="ar-DZ"/>
        </w:rPr>
        <w:t>تلك ا</w:t>
      </w:r>
      <w:r>
        <w:rPr>
          <w:rtl/>
        </w:rPr>
        <w:t>لسلطات والمؤسسات والمكاتب وغيرها من الوحدات التي تقع ضمن نطاق سلطته الرقابية.</w:t>
      </w:r>
    </w:p>
    <w:p w14:paraId="790C7AF4" w14:textId="17CE479D" w:rsidR="008835DA" w:rsidRPr="00C726A7" w:rsidRDefault="008835DA" w:rsidP="00275513">
      <w:pPr>
        <w:pStyle w:val="SingleTxtGA"/>
        <w:rPr>
          <w:szCs w:val="20"/>
          <w:lang w:eastAsia="zh-TW" w:bidi="en-GB"/>
        </w:rPr>
      </w:pPr>
      <w:r w:rsidRPr="005C19F0">
        <w:rPr>
          <w:szCs w:val="20"/>
          <w:rtl/>
        </w:rPr>
        <w:t>260</w:t>
      </w:r>
      <w:r w:rsidRPr="00EF3655">
        <w:rPr>
          <w:rtl/>
        </w:rPr>
        <w:t>-</w:t>
      </w:r>
      <w:r>
        <w:rPr>
          <w:rtl/>
        </w:rPr>
        <w:tab/>
        <w:t>وانطلاقاً من منظور المصلحة العامة، يراقب مستشار العدل أعمال المحامين لضمان امتثالهم للقانون الخاص بالمحامين ومدونة قواعد السلوك المهني للمحامين. ويمتلك مستشار العدل حق</w:t>
      </w:r>
      <w:r w:rsidR="00507B18">
        <w:rPr>
          <w:rtl/>
        </w:rPr>
        <w:t xml:space="preserve"> </w:t>
      </w:r>
      <w:r>
        <w:rPr>
          <w:rtl/>
        </w:rPr>
        <w:t xml:space="preserve">الاستئناف في القضايا المتعلقة بعقوبات تأديبية مفروضة على المحامين ومحاميي المساعدة القانونية العامة </w:t>
      </w:r>
      <w:r>
        <w:rPr>
          <w:rtl/>
        </w:rPr>
        <w:lastRenderedPageBreak/>
        <w:t>والمحامين المرخص لهم. ويولي مستشار العدل خلال أداء مهام المراقبة اهتماماً خاصاً إلى أمور منها إعمال الحق في محاكمة عادلة فضلاً عن إعمال الحقوق الأساسية وحقوق الإنسان أيضاً في جوانب أخرى في القضايا المتعلقة بمحامين ومحاميي المساعدة القانونية العامة والمحامين المرخص لهم.</w:t>
      </w:r>
    </w:p>
    <w:p w14:paraId="6ED5CF5C" w14:textId="77777777" w:rsidR="008835DA" w:rsidRPr="00544AC3" w:rsidRDefault="008835DA" w:rsidP="00275513">
      <w:pPr>
        <w:pStyle w:val="SingleTxtGA"/>
        <w:rPr>
          <w:szCs w:val="20"/>
          <w:lang w:val="ar-SA" w:eastAsia="zh-TW" w:bidi="en-GB"/>
        </w:rPr>
      </w:pPr>
      <w:r w:rsidRPr="005C19F0">
        <w:rPr>
          <w:szCs w:val="20"/>
          <w:rtl/>
        </w:rPr>
        <w:t>261</w:t>
      </w:r>
      <w:r w:rsidRPr="00EF3655">
        <w:rPr>
          <w:rtl/>
        </w:rPr>
        <w:t>-</w:t>
      </w:r>
      <w:r>
        <w:rPr>
          <w:rtl/>
        </w:rPr>
        <w:tab/>
        <w:t xml:space="preserve">ويراقب مستشار العدل أيضاً إعمال الحقوق الأساسية وحقوق الإنسان في أداء جميع واجبات المستشار. وينطوي هذا الواجب على معالجة الشكاوى والملاحظات التي تخلص إليها عمليات التفتيش وغيرها، فضلاً عن المراقبة المسبقة للتشريعات والإشراف على أسمى الوظائف الحكومية وعلى المحامين، في جملة أمور أخرى. ويجوز لمستشار العدل أيضاً النظر في مسألة ما بمبادرة منه. وبالإضافة إلى النظر في القضايا الفردية، يولي مستشار العدل اهتماماً خاصاً أيضاً للإشراف على تحقُّق الشروط الأساسية الهيكلية لإعمال الحقوق الأساسية وحقوق الإنسان. </w:t>
      </w:r>
    </w:p>
    <w:p w14:paraId="1B80EBD8" w14:textId="77777777" w:rsidR="008835DA" w:rsidRPr="00544AC3" w:rsidRDefault="008835DA" w:rsidP="00275513">
      <w:pPr>
        <w:pStyle w:val="SingleTxtGA"/>
        <w:rPr>
          <w:szCs w:val="20"/>
          <w:lang w:val="ar-SA" w:eastAsia="zh-TW" w:bidi="en-GB"/>
        </w:rPr>
      </w:pPr>
      <w:r w:rsidRPr="005C19F0">
        <w:rPr>
          <w:szCs w:val="20"/>
          <w:rtl/>
        </w:rPr>
        <w:t>262</w:t>
      </w:r>
      <w:r w:rsidRPr="00EF3655">
        <w:rPr>
          <w:rtl/>
        </w:rPr>
        <w:t>-</w:t>
      </w:r>
      <w:r>
        <w:rPr>
          <w:rtl/>
        </w:rPr>
        <w:tab/>
        <w:t>ويُعيّن رئيس الجمهورية مستشار العدل ونائب مستشار العدل كما يعيّن النائب البديل لمستشار العدل. ويتولى نائب مستشار العدل ونائبه البديل تسوية المسائل التي تُعرض عليهما، بصورة مستقلة. ويُطلب من مستشار العدل بوجه خاص حل المسائل المتعلقة بمراقبة الحكومة، فضلاً عن المسائل المبدئية أو ذات العواقب البعيدة المدى.</w:t>
      </w:r>
    </w:p>
    <w:p w14:paraId="3BE474D7" w14:textId="77777777" w:rsidR="008835DA" w:rsidRPr="00803E0D" w:rsidRDefault="008835DA" w:rsidP="00275513">
      <w:pPr>
        <w:pStyle w:val="SingleTxtGA"/>
        <w:rPr>
          <w:szCs w:val="20"/>
          <w:lang w:val="ar-SA" w:eastAsia="zh-TW" w:bidi="en-GB"/>
        </w:rPr>
      </w:pPr>
      <w:r w:rsidRPr="005C19F0">
        <w:rPr>
          <w:szCs w:val="20"/>
          <w:rtl/>
        </w:rPr>
        <w:t>263</w:t>
      </w:r>
      <w:r w:rsidRPr="00EF3655">
        <w:rPr>
          <w:rtl/>
        </w:rPr>
        <w:t>-</w:t>
      </w:r>
      <w:r>
        <w:rPr>
          <w:rtl/>
        </w:rPr>
        <w:tab/>
        <w:t>ويقدّم مستشار العدل تقريراً سنوياً للبرلمان والحكومة عن أنشطته وملاحظاته فيما يتعلق بكيفية التقيّد بالقانون.</w:t>
      </w:r>
    </w:p>
    <w:p w14:paraId="46633EDC" w14:textId="1EE79F7A" w:rsidR="008835DA" w:rsidRPr="00544AC3" w:rsidRDefault="00275513" w:rsidP="00275513">
      <w:pPr>
        <w:pStyle w:val="H23GA"/>
        <w:rPr>
          <w:szCs w:val="20"/>
          <w:lang w:val="ar-SA" w:eastAsia="zh-TW" w:bidi="en-GB"/>
        </w:rPr>
      </w:pPr>
      <w:bookmarkStart w:id="83" w:name="_Toc32364343"/>
      <w:r>
        <w:rPr>
          <w:rtl/>
        </w:rPr>
        <w:tab/>
      </w:r>
      <w:r w:rsidR="008835DA" w:rsidRPr="00794E95">
        <w:rPr>
          <w:rtl/>
        </w:rPr>
        <w:t>(</w:t>
      </w:r>
      <w:r w:rsidR="008835DA">
        <w:rPr>
          <w:rtl/>
        </w:rPr>
        <w:t>د</w:t>
      </w:r>
      <w:r w:rsidR="008835DA" w:rsidRPr="00794E95">
        <w:rPr>
          <w:rtl/>
        </w:rPr>
        <w:t>)</w:t>
      </w:r>
      <w:r w:rsidR="008835DA">
        <w:rPr>
          <w:rtl/>
        </w:rPr>
        <w:tab/>
        <w:t>حقوق الإنسان في المحاكم الفنلندية</w:t>
      </w:r>
      <w:bookmarkEnd w:id="83"/>
    </w:p>
    <w:p w14:paraId="686F6732" w14:textId="35024595" w:rsidR="008835DA" w:rsidRPr="00544AC3" w:rsidRDefault="008835DA" w:rsidP="00275513">
      <w:pPr>
        <w:pStyle w:val="SingleTxtGA"/>
        <w:rPr>
          <w:szCs w:val="20"/>
          <w:lang w:val="ar-SA" w:eastAsia="zh-TW" w:bidi="en-GB"/>
        </w:rPr>
      </w:pPr>
      <w:r w:rsidRPr="005C19F0">
        <w:rPr>
          <w:szCs w:val="20"/>
          <w:rtl/>
        </w:rPr>
        <w:t>264</w:t>
      </w:r>
      <w:r w:rsidRPr="00EF3655">
        <w:rPr>
          <w:rtl/>
        </w:rPr>
        <w:t>-</w:t>
      </w:r>
      <w:r>
        <w:rPr>
          <w:rtl/>
        </w:rPr>
        <w:tab/>
        <w:t xml:space="preserve">أصبحت الإشارة إلى الحقوق الأساسية وحقوق الإنسان أكثر شيوعاً بكثير في السوابق القضائية، ولا سيما منذ انضمام فنلندا إلى الاتفاقية الأوروبية لحقوق الإنسان في عام </w:t>
      </w:r>
      <w:r w:rsidRPr="005C19F0">
        <w:rPr>
          <w:szCs w:val="20"/>
          <w:rtl/>
        </w:rPr>
        <w:t>1990</w:t>
      </w:r>
      <w:r>
        <w:rPr>
          <w:rtl/>
        </w:rPr>
        <w:t xml:space="preserve">، والإصلاح المتعلق بالحقوق الأساسية في عام </w:t>
      </w:r>
      <w:r w:rsidRPr="005C19F0">
        <w:rPr>
          <w:szCs w:val="20"/>
          <w:rtl/>
        </w:rPr>
        <w:t>1995</w:t>
      </w:r>
      <w:r>
        <w:rPr>
          <w:rtl/>
        </w:rPr>
        <w:t xml:space="preserve">، وبدء نفاذ دستور فنلندا الجديد في </w:t>
      </w:r>
      <w:r w:rsidRPr="005C19F0">
        <w:rPr>
          <w:szCs w:val="20"/>
          <w:rtl/>
        </w:rPr>
        <w:t>1</w:t>
      </w:r>
      <w:r>
        <w:rPr>
          <w:rtl/>
        </w:rPr>
        <w:t xml:space="preserve"> آذار/</w:t>
      </w:r>
      <w:r w:rsidR="007B75C2">
        <w:rPr>
          <w:rFonts w:hint="cs"/>
          <w:rtl/>
        </w:rPr>
        <w:t xml:space="preserve"> </w:t>
      </w:r>
      <w:r>
        <w:rPr>
          <w:rtl/>
        </w:rPr>
        <w:t>مارس</w:t>
      </w:r>
      <w:r w:rsidR="007B75C2">
        <w:rPr>
          <w:rFonts w:hint="cs"/>
          <w:rtl/>
        </w:rPr>
        <w:t> </w:t>
      </w:r>
      <w:r w:rsidRPr="005C19F0">
        <w:rPr>
          <w:szCs w:val="20"/>
          <w:rtl/>
        </w:rPr>
        <w:t>2000</w:t>
      </w:r>
      <w:r w:rsidRPr="007B75C2">
        <w:rPr>
          <w:rtl/>
        </w:rPr>
        <w:t>.</w:t>
      </w:r>
      <w:r>
        <w:rPr>
          <w:rtl/>
        </w:rPr>
        <w:t xml:space="preserve"> وشهد انضمام فنلندا إلى الاتحاد الأوروبي في عام </w:t>
      </w:r>
      <w:r w:rsidRPr="005C19F0">
        <w:rPr>
          <w:szCs w:val="20"/>
          <w:rtl/>
        </w:rPr>
        <w:t>1995</w:t>
      </w:r>
      <w:r>
        <w:rPr>
          <w:rtl/>
        </w:rPr>
        <w:t xml:space="preserve"> أيضاً زيادة في الوزن المُعطى للحقوق الأساسية وحقوق الإنسان. لكن الرائد الأصلي في هذا الصدد كان المحكمة الإدارية العليا، التي تُعدّ إشارتها إلى العهد الدولي للحقوق المدنية والسياسية في عام </w:t>
      </w:r>
      <w:r w:rsidRPr="005C19F0">
        <w:rPr>
          <w:szCs w:val="20"/>
          <w:rtl/>
        </w:rPr>
        <w:t>1988</w:t>
      </w:r>
      <w:r>
        <w:rPr>
          <w:rtl/>
        </w:rPr>
        <w:t xml:space="preserve"> الأولى من نوعها في تاريخ القانون الفنلندي. وفي نفس العام، أصدرت المحكمة الإدارية العليا أول حكم على الإطلاق تشير فيه محكمة فنلندية من أعلى درجة إلى الاتفاقية الخاصة بوضع اللاجئين.</w:t>
      </w:r>
    </w:p>
    <w:p w14:paraId="14D6CAE0" w14:textId="77777777" w:rsidR="008835DA" w:rsidRPr="00544AC3" w:rsidRDefault="008835DA" w:rsidP="00275513">
      <w:pPr>
        <w:pStyle w:val="SingleTxtGA"/>
        <w:rPr>
          <w:szCs w:val="20"/>
          <w:lang w:val="ar-SA" w:eastAsia="zh-TW" w:bidi="en-GB"/>
        </w:rPr>
      </w:pPr>
      <w:r w:rsidRPr="005C19F0">
        <w:rPr>
          <w:szCs w:val="20"/>
          <w:rtl/>
        </w:rPr>
        <w:t>265</w:t>
      </w:r>
      <w:r w:rsidRPr="00EF3655">
        <w:rPr>
          <w:rtl/>
        </w:rPr>
        <w:t>-</w:t>
      </w:r>
      <w:r>
        <w:rPr>
          <w:rtl/>
        </w:rPr>
        <w:tab/>
        <w:t>وتُعالَج انتهاكات الالتزامات المتعلقة بحقوق الإنسان على مستوى قانون من القوانين عندما ينص مثلاً على طلب استئناف استثنائي. أي أنه إذا وجدت هيئة قضائية أو إشرافية، مخولة صلاحية الإشراف على الالتزامات الدولية المتعلقة بحقوق الإنسان، خطأ قضائياً عند النظر في إحدى القضايا، يجوز لضحيةِ الانتهاك أن تقدّم شكوى بشأن خطأ المحكمة. ويمكن اليوم العثور أيضاً على إشارة مباشرة إلى اتفاقيات حقوق الإنسان والملاحظات الختامية الصادرة عن اللجان في تعليل قرارات المحاكم الأدنى درجة.</w:t>
      </w:r>
    </w:p>
    <w:p w14:paraId="0F31A176" w14:textId="0AF97419" w:rsidR="008835DA" w:rsidRPr="00544AC3" w:rsidRDefault="00275513" w:rsidP="00275513">
      <w:pPr>
        <w:pStyle w:val="H23GA"/>
        <w:rPr>
          <w:szCs w:val="20"/>
          <w:lang w:val="ar-SA" w:eastAsia="zh-TW" w:bidi="en-GB"/>
        </w:rPr>
      </w:pPr>
      <w:bookmarkStart w:id="84" w:name="_Toc32364344"/>
      <w:r>
        <w:rPr>
          <w:rtl/>
        </w:rPr>
        <w:tab/>
      </w:r>
      <w:r w:rsidR="008835DA" w:rsidRPr="00794E95">
        <w:rPr>
          <w:rtl/>
        </w:rPr>
        <w:t>(</w:t>
      </w:r>
      <w:r w:rsidR="008835DA">
        <w:rPr>
          <w:rtl/>
        </w:rPr>
        <w:t>ه</w:t>
      </w:r>
      <w:r w:rsidR="008835DA" w:rsidRPr="00794E95">
        <w:rPr>
          <w:rtl/>
        </w:rPr>
        <w:t>)</w:t>
      </w:r>
      <w:r w:rsidR="008835DA">
        <w:rPr>
          <w:rtl/>
        </w:rPr>
        <w:tab/>
        <w:t>انتهاكات حقوق الإنسان وسُبل الانتصاف القانونية</w:t>
      </w:r>
      <w:bookmarkEnd w:id="84"/>
    </w:p>
    <w:p w14:paraId="7E0BD42D" w14:textId="77777777" w:rsidR="008835DA" w:rsidRPr="00544AC3" w:rsidRDefault="008835DA" w:rsidP="00275513">
      <w:pPr>
        <w:pStyle w:val="SingleTxtGA"/>
        <w:rPr>
          <w:szCs w:val="20"/>
          <w:lang w:val="ar-SA" w:eastAsia="zh-TW" w:bidi="en-GB"/>
        </w:rPr>
      </w:pPr>
      <w:r w:rsidRPr="005C19F0">
        <w:rPr>
          <w:szCs w:val="20"/>
          <w:rtl/>
        </w:rPr>
        <w:t>266</w:t>
      </w:r>
      <w:r w:rsidRPr="00EF3655">
        <w:rPr>
          <w:rtl/>
        </w:rPr>
        <w:t>-</w:t>
      </w:r>
      <w:r>
        <w:rPr>
          <w:rtl/>
        </w:rPr>
        <w:tab/>
        <w:t xml:space="preserve">يجوز لأي شخص يعتبر أن حقوق الإنسان الخاصة به قد انتُهكت أن يلجأ إلى محكمة قانونية. وعملياً، يجوز لشخص ما أن يحتج بحقوق الإنسان الخاصة به في القضايا المدنية، بين شخصين، وفي القضايا الجنائية أمام محكمة قانونية عامة، وكذلك في القضايا الإدارية أمام محكمة إدارية. فإذا تبيّن أن القرار الصادر عن سلطة ما أو، في بعض الحالات، أحد الأفعال الصادرة عن </w:t>
      </w:r>
      <w:r>
        <w:rPr>
          <w:rtl/>
        </w:rPr>
        <w:lastRenderedPageBreak/>
        <w:t>طرف خاص، يتعارض مع أحكام حقوق الإنسان، يُلغى القرار أو الفعل. ويمكن الاحتجاج بحقوق الإنسان أمام جميع المحاكم الفنلندية وشتّى أنواع المحاكم وصولاً إلى المحاكم العليا.</w:t>
      </w:r>
    </w:p>
    <w:p w14:paraId="26D7B7E9" w14:textId="030AF9B5" w:rsidR="008835DA" w:rsidRPr="00544AC3" w:rsidRDefault="008835DA" w:rsidP="00275513">
      <w:pPr>
        <w:pStyle w:val="SingleTxtGA"/>
        <w:rPr>
          <w:szCs w:val="20"/>
          <w:lang w:val="ar-SA" w:eastAsia="zh-TW" w:bidi="en-GB"/>
        </w:rPr>
      </w:pPr>
      <w:r w:rsidRPr="005C19F0">
        <w:rPr>
          <w:szCs w:val="20"/>
          <w:rtl/>
        </w:rPr>
        <w:t>267</w:t>
      </w:r>
      <w:r w:rsidRPr="00EF3655">
        <w:rPr>
          <w:rtl/>
        </w:rPr>
        <w:t>-</w:t>
      </w:r>
      <w:r>
        <w:rPr>
          <w:rtl/>
        </w:rPr>
        <w:tab/>
        <w:t>وعندما يتسبّب انتهاك حقوق الإنسان في ضررٍ ما، يحق لضحية الانتهاك الحصول على تعويض عن الضرر وفقاً لقانون المسؤولية عن الضرر. ولكن، كي تنشأ المسؤولية عن التعويض، يُشترط عادةً أن يكون الضرر قابلا للإثبات وأن يكون ناتجاً عن خطأ أو تقصير بدر من الطرف المُتسبّب في الضرر، وأن يكون الطرف الذي تسبب في الضرر قد تصرف بإهمال. أشكال الضرر القابل للتعويض المنصوص عليها في قانون المسؤولية عن الضرر محدودة. وبصورة تكميليّة، يمكن تحديد المسؤولية عن التعويض عن طريق تفسير قانون المسؤولية عن الضرر بالاقتران مع قاعدة من قواعد اتفاقية حقوق الإنسان،</w:t>
      </w:r>
      <w:r w:rsidR="00507B18">
        <w:rPr>
          <w:rtl/>
        </w:rPr>
        <w:t xml:space="preserve"> </w:t>
      </w:r>
      <w:r>
        <w:rPr>
          <w:rtl/>
        </w:rPr>
        <w:t xml:space="preserve">كالمادة </w:t>
      </w:r>
      <w:r w:rsidRPr="005C19F0">
        <w:rPr>
          <w:szCs w:val="20"/>
          <w:rtl/>
        </w:rPr>
        <w:t>13</w:t>
      </w:r>
      <w:r>
        <w:rPr>
          <w:rtl/>
        </w:rPr>
        <w:t xml:space="preserve"> من الاتفاقية الأوروبية لحقوق الإنسان مثلاً، عندما يتبين أنّ إجراءً ما قد انتهك حقوق الإنسان دون أن يتيح تشريع وطني</w:t>
      </w:r>
      <w:r w:rsidR="00507B18">
        <w:rPr>
          <w:rtl/>
        </w:rPr>
        <w:t xml:space="preserve"> </w:t>
      </w:r>
      <w:r>
        <w:rPr>
          <w:rtl/>
        </w:rPr>
        <w:t>فرصة بحكم الواقع للتعويض المناسب عن الانتهاك.</w:t>
      </w:r>
    </w:p>
    <w:p w14:paraId="3CB73F56" w14:textId="77777777" w:rsidR="008835DA" w:rsidRPr="00C726A7" w:rsidRDefault="008835DA" w:rsidP="00275513">
      <w:pPr>
        <w:pStyle w:val="SingleTxtGA"/>
        <w:rPr>
          <w:szCs w:val="20"/>
          <w:lang w:eastAsia="zh-TW" w:bidi="en-GB"/>
        </w:rPr>
      </w:pPr>
      <w:r w:rsidRPr="005C19F0">
        <w:rPr>
          <w:szCs w:val="20"/>
          <w:rtl/>
        </w:rPr>
        <w:t>268</w:t>
      </w:r>
      <w:r w:rsidRPr="00EF3655">
        <w:rPr>
          <w:rtl/>
        </w:rPr>
        <w:t>-</w:t>
      </w:r>
      <w:r>
        <w:rPr>
          <w:rtl/>
        </w:rPr>
        <w:tab/>
        <w:t>وفي فنلندا، يُؤمر بدفع تعويض عن الضرر على أساس مبدأ الرد، أي أن التعويض يعوّض عن الخسارة الكاملة التي لحقت بالطرف الذي تكبّد الضرر. ومن جهة أخرى، لا يجوز أن يكون التعويض في فنلندا مفرطاً بحيث يستثري الطرف الذي لحق به الضرر دون وجه حق بعد حصوله على التعويض. ولا تُستخدم التعويضات العقابية في فنلندا. ولما كانت حقوق الإنسان في فنلندا مكرَّسةً في القانون، فإن الضرر الذي يسببه انتهاك حقوق الإنسان يكون دائماً غير قانوني، وهو ما يسمح بالتعويض الكامل عن الضرر الشخصي وتلف الممتلكات والخسارة ذات الطابع المالي البحت. وقد يتبيّن أيضاً أنّ إحدى الهيئات العامة هي المسؤولة عن دفع التعويض، غير أن متطلبات أكثر تشدّداً تسري على ممارسة السلطة العامة مقارنة بتلك التي تخضع لها ممارسة السلطة الخاصة.</w:t>
      </w:r>
    </w:p>
    <w:p w14:paraId="5D0589FA" w14:textId="5FA8DC1A" w:rsidR="008835DA" w:rsidRPr="00544AC3" w:rsidRDefault="008835DA" w:rsidP="00275513">
      <w:pPr>
        <w:pStyle w:val="SingleTxtGA"/>
        <w:rPr>
          <w:szCs w:val="20"/>
          <w:lang w:val="ar-SA" w:eastAsia="zh-TW" w:bidi="en-GB"/>
        </w:rPr>
      </w:pPr>
      <w:r w:rsidRPr="005C19F0">
        <w:rPr>
          <w:szCs w:val="20"/>
          <w:rtl/>
        </w:rPr>
        <w:t>269</w:t>
      </w:r>
      <w:r w:rsidRPr="00EF3655">
        <w:rPr>
          <w:rtl/>
        </w:rPr>
        <w:t>-</w:t>
      </w:r>
      <w:r>
        <w:rPr>
          <w:rtl/>
        </w:rPr>
        <w:tab/>
        <w:t xml:space="preserve">وإذا نتج انتهاك حقوق الإنسان عن جريمة، يجوز لضحية الانتهاك، أي الطرف المتضرّر من الجريمة، إبلاغ الشرطة عن الجريمة للتحقيق فيها. وبعد التحقيق السابق للمحاكمة والنظر في التهم، تنظر المحكمة المحليّة المختصة عادةً في القضية الجنائية. ويركّز نظام الجزاءات الفنلندي، من حيث المبدأ، على الجاني، لا على الضحية. ونظراً لإنفاذ توجيه الاتحاد الأوروبي بشأن حقوق الضحايا في فنلندا </w:t>
      </w:r>
      <w:r w:rsidRPr="00794E95">
        <w:rPr>
          <w:rtl/>
        </w:rPr>
        <w:t>(</w:t>
      </w:r>
      <w:r>
        <w:rPr>
          <w:rtl/>
        </w:rPr>
        <w:t xml:space="preserve">التوجيه </w:t>
      </w:r>
      <w:r w:rsidRPr="005C19F0">
        <w:rPr>
          <w:szCs w:val="20"/>
        </w:rPr>
        <w:t>29</w:t>
      </w:r>
      <w:r>
        <w:rPr>
          <w:rFonts w:ascii="Traditional Arabic"/>
          <w:szCs w:val="20"/>
        </w:rPr>
        <w:t>/</w:t>
      </w:r>
      <w:r w:rsidRPr="005C19F0">
        <w:rPr>
          <w:szCs w:val="20"/>
        </w:rPr>
        <w:t>2012</w:t>
      </w:r>
      <w:r>
        <w:rPr>
          <w:rtl/>
        </w:rPr>
        <w:t xml:space="preserve"> الصادر عن البرلمان الأوروبي والمجلس في </w:t>
      </w:r>
      <w:r w:rsidRPr="005C19F0">
        <w:rPr>
          <w:szCs w:val="20"/>
          <w:rtl/>
        </w:rPr>
        <w:t>25</w:t>
      </w:r>
      <w:r>
        <w:rPr>
          <w:rtl/>
        </w:rPr>
        <w:t xml:space="preserve"> تشرين الأول/أكتوبر </w:t>
      </w:r>
      <w:r w:rsidRPr="005C19F0">
        <w:rPr>
          <w:szCs w:val="20"/>
          <w:rtl/>
        </w:rPr>
        <w:t>2012</w:t>
      </w:r>
      <w:r>
        <w:rPr>
          <w:rtl/>
        </w:rPr>
        <w:t>، الذي يحدّد المعايير الدنيا بشأن حقوق ضحايا الجريمة ودعمهم وحمايتهم</w:t>
      </w:r>
      <w:r w:rsidRPr="00794E95">
        <w:rPr>
          <w:rtl/>
        </w:rPr>
        <w:t>)</w:t>
      </w:r>
      <w:r>
        <w:rPr>
          <w:rtl/>
        </w:rPr>
        <w:t xml:space="preserve">، فإن الحقوق المشروعة لضحايا الجريمة في الإجراءات الجنائية مكفولة في فنلندا، وقد فرضت فنلندا علاوةً على ذلك رسوماً إضافية خاصة بالضحايا لتمويل خدمات دعم ضحايا الجريمة، مثل منظمة دعم الضحايا في فنلندا. ومن الممكن </w:t>
      </w:r>
      <w:r w:rsidR="00C74C59">
        <w:rPr>
          <w:rtl/>
        </w:rPr>
        <w:t>أيضاً</w:t>
      </w:r>
      <w:r>
        <w:rPr>
          <w:rtl/>
        </w:rPr>
        <w:t xml:space="preserve"> التوسُّل بالوساطة في القضايا الجنائية بمساعدة وسيط محايد لإتاحة معالجة الضرر العقلي والمادي الذي ألحقته الجريمة بالضحية، والاتفاق على تدابير لردّ الضرر بمبادرة من الطرفين.</w:t>
      </w:r>
    </w:p>
    <w:p w14:paraId="388B1D74" w14:textId="77777777" w:rsidR="008835DA" w:rsidRPr="00544AC3" w:rsidRDefault="008835DA" w:rsidP="00275513">
      <w:pPr>
        <w:pStyle w:val="SingleTxtGA"/>
        <w:rPr>
          <w:szCs w:val="20"/>
          <w:lang w:val="ar-SA" w:eastAsia="zh-TW" w:bidi="en-GB"/>
        </w:rPr>
      </w:pPr>
      <w:r w:rsidRPr="005C19F0">
        <w:rPr>
          <w:szCs w:val="20"/>
          <w:rtl/>
        </w:rPr>
        <w:t>270</w:t>
      </w:r>
      <w:r w:rsidRPr="00EF3655">
        <w:rPr>
          <w:rtl/>
        </w:rPr>
        <w:t>-</w:t>
      </w:r>
      <w:r>
        <w:rPr>
          <w:rtl/>
        </w:rPr>
        <w:tab/>
        <w:t>وفي الأنشطة الحكومية كافة، يكون المبدأ الأساسي هو تفسير القانون والفعل على نحو يؤيد الحقوق الأساسية وحقوق الإنسان. وتقتضي سيادة القانون من كل هيئة عامة أن تمتثل للقانون في جميع أنشطتها. ولما كانت الحقوق الأساسية وحقوق الإنسان قد ترسخت في القانون، فإن أي إجراء ينتهكها، مثل قرار إداري، يُعتبر غير قانوني عادةً. ويجوز السعي إلى تعديل قرار إداري غير قانوني إما عن طريق رفع دعوى لمراجعة القرار أو عن طريق الطعن أمام محكمة إدارية. وتُبطل المحكمة الإدارية والمحكمة الإدارية العليا القرارات الإدارية غير القانونية.</w:t>
      </w:r>
    </w:p>
    <w:p w14:paraId="4BF5B89E" w14:textId="77777777" w:rsidR="008835DA" w:rsidRPr="00544AC3" w:rsidRDefault="008835DA" w:rsidP="00275513">
      <w:pPr>
        <w:pStyle w:val="SingleTxtGA"/>
        <w:rPr>
          <w:szCs w:val="20"/>
          <w:lang w:val="ar-SA" w:eastAsia="zh-TW" w:bidi="en-GB"/>
        </w:rPr>
      </w:pPr>
      <w:r w:rsidRPr="005C19F0">
        <w:rPr>
          <w:szCs w:val="20"/>
          <w:rtl/>
        </w:rPr>
        <w:t>271</w:t>
      </w:r>
      <w:r w:rsidRPr="00EF3655">
        <w:rPr>
          <w:rtl/>
        </w:rPr>
        <w:t>-</w:t>
      </w:r>
      <w:r>
        <w:rPr>
          <w:rtl/>
        </w:rPr>
        <w:tab/>
        <w:t>ويجوز لأي شخص أن يقدّم شكوى إدارية تتعلق بالسلوك غير المشروع لسلطة ما، أو شخص يعمل لدى سلطة أو كيان آخر يؤدي واجباً إدارياً عاماً، أو بعدم الوفاء بالتزام ما. وتُقدَّم الشكوى إلى السلطة التي تشرف على الأنشطة موضوع الشكوى. وفي نهاية المطاف، يمكن دائماً تقديم شكوى إلى أحد كبار المشرفين على الشرعية.</w:t>
      </w:r>
    </w:p>
    <w:p w14:paraId="2CB85832" w14:textId="0273AD3B" w:rsidR="008835DA" w:rsidRPr="00544AC3" w:rsidRDefault="00275513" w:rsidP="00275513">
      <w:pPr>
        <w:pStyle w:val="H23GA"/>
        <w:rPr>
          <w:szCs w:val="20"/>
          <w:lang w:val="ar-SA" w:eastAsia="zh-TW" w:bidi="en-GB"/>
        </w:rPr>
      </w:pPr>
      <w:bookmarkStart w:id="85" w:name="_Toc32364345"/>
      <w:r>
        <w:rPr>
          <w:rtl/>
        </w:rPr>
        <w:lastRenderedPageBreak/>
        <w:tab/>
      </w:r>
      <w:r w:rsidR="008835DA" w:rsidRPr="00794E95">
        <w:rPr>
          <w:rtl/>
        </w:rPr>
        <w:t>(</w:t>
      </w:r>
      <w:r w:rsidR="008835DA">
        <w:rPr>
          <w:rtl/>
        </w:rPr>
        <w:t>و</w:t>
      </w:r>
      <w:r w:rsidR="008835DA" w:rsidRPr="00794E95">
        <w:rPr>
          <w:rtl/>
        </w:rPr>
        <w:t>)</w:t>
      </w:r>
      <w:r w:rsidR="008835DA">
        <w:rPr>
          <w:rtl/>
        </w:rPr>
        <w:tab/>
        <w:t>رصد إعمال حقوق الإنسان</w:t>
      </w:r>
      <w:bookmarkEnd w:id="85"/>
    </w:p>
    <w:p w14:paraId="371C44FD" w14:textId="77777777" w:rsidR="008835DA" w:rsidRPr="00C726A7" w:rsidRDefault="008835DA" w:rsidP="00275513">
      <w:pPr>
        <w:pStyle w:val="H23GA"/>
        <w:rPr>
          <w:szCs w:val="20"/>
          <w:lang w:eastAsia="zh-TW" w:bidi="en-GB"/>
        </w:rPr>
      </w:pPr>
      <w:bookmarkStart w:id="86" w:name="_Toc32364346"/>
      <w:r>
        <w:rPr>
          <w:rtl/>
        </w:rPr>
        <w:tab/>
      </w:r>
      <w:r>
        <w:rPr>
          <w:rtl/>
        </w:rPr>
        <w:tab/>
        <w:t>كبار المشرفين على الشرعية</w:t>
      </w:r>
      <w:bookmarkEnd w:id="86"/>
    </w:p>
    <w:p w14:paraId="528F7B0C" w14:textId="77777777" w:rsidR="008835DA" w:rsidRPr="00C726A7" w:rsidRDefault="008835DA" w:rsidP="00275513">
      <w:pPr>
        <w:pStyle w:val="SingleTxtGA"/>
        <w:rPr>
          <w:szCs w:val="20"/>
          <w:lang w:eastAsia="zh-TW" w:bidi="en-GB"/>
        </w:rPr>
      </w:pPr>
      <w:r w:rsidRPr="005C19F0">
        <w:rPr>
          <w:szCs w:val="20"/>
          <w:rtl/>
        </w:rPr>
        <w:t>272</w:t>
      </w:r>
      <w:r w:rsidRPr="00EF3655">
        <w:rPr>
          <w:rtl/>
        </w:rPr>
        <w:t>-</w:t>
      </w:r>
      <w:r>
        <w:rPr>
          <w:rtl/>
        </w:rPr>
        <w:tab/>
        <w:t xml:space="preserve">يوجد في فنلندا مراقبان للشرعية، وهما أمين المظالم البرلماني ووزير العدل في الحكومة </w:t>
      </w:r>
      <w:r w:rsidRPr="00794E95">
        <w:rPr>
          <w:rtl/>
        </w:rPr>
        <w:t>(</w:t>
      </w:r>
      <w:r>
        <w:rPr>
          <w:rtl/>
        </w:rPr>
        <w:t xml:space="preserve">انظر الفقرات </w:t>
      </w:r>
      <w:r w:rsidRPr="005C19F0">
        <w:rPr>
          <w:szCs w:val="20"/>
          <w:rtl/>
        </w:rPr>
        <w:t>250</w:t>
      </w:r>
      <w:r w:rsidRPr="00EF3655">
        <w:rPr>
          <w:rtl/>
        </w:rPr>
        <w:t>-</w:t>
      </w:r>
      <w:r w:rsidRPr="005C19F0">
        <w:rPr>
          <w:szCs w:val="20"/>
          <w:rtl/>
        </w:rPr>
        <w:t>262</w:t>
      </w:r>
      <w:r w:rsidRPr="00794E95">
        <w:rPr>
          <w:rtl/>
        </w:rPr>
        <w:t>)</w:t>
      </w:r>
      <w:r>
        <w:rPr>
          <w:rtl/>
        </w:rPr>
        <w:t xml:space="preserve">. وبموجب المادتين </w:t>
      </w:r>
      <w:r w:rsidRPr="005C19F0">
        <w:rPr>
          <w:szCs w:val="20"/>
          <w:rtl/>
        </w:rPr>
        <w:t>108</w:t>
      </w:r>
      <w:r>
        <w:rPr>
          <w:rtl/>
        </w:rPr>
        <w:t xml:space="preserve"> و</w:t>
      </w:r>
      <w:r w:rsidRPr="005C19F0">
        <w:rPr>
          <w:szCs w:val="20"/>
          <w:rtl/>
        </w:rPr>
        <w:t>109</w:t>
      </w:r>
      <w:r>
        <w:rPr>
          <w:rtl/>
        </w:rPr>
        <w:t xml:space="preserve"> من دستور فنلندا، يقوم المراقبان في أداء واجباتهما برصد إعمال الحقوق الأساسية وحقوق الإنسان. ويقدّمان أيضاً تقارير سنوية عن أنشطتهما، وملاحظاتهما على الامتثال للقانون، وحالة إقامة العدل، وأوجه القصور التي لوحظت في التشريعات.</w:t>
      </w:r>
    </w:p>
    <w:p w14:paraId="65704CBB" w14:textId="77777777" w:rsidR="008835DA" w:rsidRPr="00544AC3" w:rsidRDefault="008835DA" w:rsidP="00275513">
      <w:pPr>
        <w:pStyle w:val="H23GA"/>
        <w:rPr>
          <w:szCs w:val="20"/>
          <w:lang w:val="ar-SA" w:eastAsia="zh-TW" w:bidi="en-GB"/>
        </w:rPr>
      </w:pPr>
      <w:bookmarkStart w:id="87" w:name="_Toc32364347"/>
      <w:r>
        <w:rPr>
          <w:rtl/>
        </w:rPr>
        <w:tab/>
      </w:r>
      <w:r>
        <w:rPr>
          <w:rtl/>
        </w:rPr>
        <w:tab/>
        <w:t>أمين المظالم المعني بعدم التمييز</w:t>
      </w:r>
      <w:bookmarkEnd w:id="87"/>
    </w:p>
    <w:p w14:paraId="203C85D1" w14:textId="776159D3" w:rsidR="008835DA" w:rsidRPr="00544AC3" w:rsidRDefault="008835DA" w:rsidP="00275513">
      <w:pPr>
        <w:pStyle w:val="SingleTxtGA"/>
        <w:rPr>
          <w:szCs w:val="20"/>
          <w:lang w:val="ar-SA" w:eastAsia="zh-TW" w:bidi="en-GB"/>
        </w:rPr>
      </w:pPr>
      <w:r w:rsidRPr="005C19F0">
        <w:rPr>
          <w:szCs w:val="20"/>
          <w:rtl/>
        </w:rPr>
        <w:t>273</w:t>
      </w:r>
      <w:r w:rsidRPr="00EF3655">
        <w:rPr>
          <w:rtl/>
        </w:rPr>
        <w:t>-</w:t>
      </w:r>
      <w:r>
        <w:rPr>
          <w:rtl/>
        </w:rPr>
        <w:tab/>
        <w:t>تُعيّن الحكومة أمين المظالم المعني بعدم التمييز لفترة لا تتجاوز خمس سنوات. ويمثّل أمين المظالم سلطة مستقلة وقائمة بذاتها. ويُعفى الشخص المعيّن في منصب أمين المظالم من أي منصب آخر طوال فترة تعيينه. والمؤهلات المطلوبة من أمين المظالم هي حيازة درجة الماجستير، والمعرفة الجيدة بالحقوق الأساسية وحقوق الإنسان، وباختصاصات المنصب، والتمتع بمهارات قيادية وإدارية مثبتة.</w:t>
      </w:r>
    </w:p>
    <w:p w14:paraId="4CE65B45" w14:textId="2582DA6C" w:rsidR="008835DA" w:rsidRPr="00C726A7" w:rsidRDefault="008835DA" w:rsidP="00275513">
      <w:pPr>
        <w:pStyle w:val="SingleTxtGA"/>
        <w:rPr>
          <w:szCs w:val="20"/>
          <w:lang w:eastAsia="zh-TW" w:bidi="en-GB"/>
        </w:rPr>
      </w:pPr>
      <w:r w:rsidRPr="005C19F0">
        <w:rPr>
          <w:szCs w:val="20"/>
          <w:rtl/>
        </w:rPr>
        <w:t>274</w:t>
      </w:r>
      <w:r w:rsidRPr="00EF3655">
        <w:rPr>
          <w:rtl/>
        </w:rPr>
        <w:t>-</w:t>
      </w:r>
      <w:r>
        <w:rPr>
          <w:rtl/>
        </w:rPr>
        <w:tab/>
        <w:t>وتتمثل مهمة أمين المظالم المعني بعدم التمييز في رصد الامتثال لقانون عدم التمييز على النحو المنصوص عليه في القانون المذكور، وبصفة عامة، في تعزيز المساواة ودرء التمييز. ويعمل أمين المظالم أيضاً كمقرر وطني معني بالاتجار بالبشر. ويساعد أمين المظالم الأشخاص الذين يتعرضون للتمييز في التحقيق في شكاوى التمييز التي يتقدمون بها، ويقدم المساعدة في تخطيط التدابير الرامية إلى تعزيز المساواة، ويصدر توصيات عامة لمنع التمييز وتعزيز المساواة، ويتخذ تدابير من أجل التوصل إلى تسوية</w:t>
      </w:r>
      <w:r w:rsidR="00507B18">
        <w:rPr>
          <w:rtl/>
        </w:rPr>
        <w:t xml:space="preserve"> </w:t>
      </w:r>
      <w:r>
        <w:rPr>
          <w:rtl/>
        </w:rPr>
        <w:t>القضايا ذات الصلة بالامتثال لقانون عدم التمييز. وإلى جانب تعزيز المساواة والتصدي للتمييز، يشمل اختصاص أمين المظالم أيضاً رصد إعمال حقوق المواطنين الأجانب، وواجبات المقرر الوطني المعني بالاتجار بالبشر، ورصد إبعاد المواطنين الأجانب عن البلد. وفي أداء هذه الواجبات، يصدر أمين المظالم تقارير ويقدم مبادرات ويدلي ببيانات، ويعزز نشر المعلومات والتثقيف والتدريب، ويشارك في التعاون الأوروبي والدولي.</w:t>
      </w:r>
    </w:p>
    <w:p w14:paraId="3C4856AF" w14:textId="77777777" w:rsidR="008835DA" w:rsidRPr="00544AC3" w:rsidRDefault="008835DA" w:rsidP="00275513">
      <w:pPr>
        <w:pStyle w:val="SingleTxtGA"/>
        <w:rPr>
          <w:szCs w:val="20"/>
          <w:lang w:val="ar-SA" w:eastAsia="zh-TW" w:bidi="en-GB"/>
        </w:rPr>
      </w:pPr>
      <w:r w:rsidRPr="005C19F0">
        <w:rPr>
          <w:szCs w:val="20"/>
          <w:rtl/>
        </w:rPr>
        <w:t>275</w:t>
      </w:r>
      <w:r w:rsidRPr="00EF3655">
        <w:rPr>
          <w:rtl/>
        </w:rPr>
        <w:t>-</w:t>
      </w:r>
      <w:r>
        <w:rPr>
          <w:rtl/>
        </w:rPr>
        <w:tab/>
        <w:t>وعلاوة على ذلك، ثمّة حقوق معيّنة مُنح أمين المظالم المعني بعدم التمييز إياها كي يتسنى له أداء واجبات أمين المظالم على نحو فعال، مثل الحق في الحصول على المعلومات اللازمة لأداء واجبات الرصد التي يضطلع بها أمين المظالم في قانون عدم التمييز وقانون الأجانب من أي سلطة أو أي كيان آخر يؤدي واجباً إدارياً عاماً، على الرغم من أحكام السرية ودون أي مقابل. ويحق لأمين المظالم أيضاً أن يحصل من أي سلطة أو كيان آخر يضطلع بواجب إداري عام، مثلاً من إحدى المدارس، ومن موظفيها، على أي وقائع ذات صلة بأداء مهام أمين المظالم. وبالإضافة إلى ذلك، يجوز لأمين المظالم أن يجري عمليات تفتيش في مقر أي سلطة أو جهة أو مؤسسة تعليمية أو مقدِّم سلع أو خدمات عندما يكون هذا التفتيش ضرورياً في المسائل التي تدخل في اختصاص أمين المظالم المتمثّل في رصد الامتثال لقانون عدم التمييز. ويُخوَّل أمين المظالم سلطة فرض غرامة مشروطة لإنفاذ الامتثال للالتزام بإتاحة الحصول على المعلومات. وعند الاستماع إلى قضية تتعلق بتطبيق قانون عدم التمييز، تحتفظ المحكمة القانونية لأمين المظالم المعني بعدم التمييز بفرصة الاستماع إليه ما دامت القضية تدخل ضمن اختصاص أمين المظالم.</w:t>
      </w:r>
    </w:p>
    <w:p w14:paraId="3E3251A3" w14:textId="77777777" w:rsidR="008835DA" w:rsidRPr="00544AC3" w:rsidRDefault="008835DA" w:rsidP="00275513">
      <w:pPr>
        <w:pStyle w:val="SingleTxtGA"/>
        <w:rPr>
          <w:szCs w:val="20"/>
          <w:lang w:val="ar-SA" w:eastAsia="zh-TW" w:bidi="en-GB"/>
        </w:rPr>
      </w:pPr>
      <w:r w:rsidRPr="005C19F0">
        <w:rPr>
          <w:szCs w:val="20"/>
          <w:rtl/>
        </w:rPr>
        <w:t>276</w:t>
      </w:r>
      <w:r w:rsidRPr="00EF3655">
        <w:rPr>
          <w:rtl/>
        </w:rPr>
        <w:t>-</w:t>
      </w:r>
      <w:r>
        <w:rPr>
          <w:rtl/>
        </w:rPr>
        <w:tab/>
        <w:t>ويوافي أمين المظالم المعني بعدم التمييز الحكومة بتقرير سنوي عن أنشطته، ويقدّم بالإضافة إلى ذلك تقريراً للبرلمان كلَّ أربع سنوات بشأن تحقيق المساواة .</w:t>
      </w:r>
    </w:p>
    <w:p w14:paraId="2B72C0CB" w14:textId="77777777" w:rsidR="008835DA" w:rsidRPr="00544AC3" w:rsidRDefault="008835DA" w:rsidP="00275513">
      <w:pPr>
        <w:pStyle w:val="H23GA"/>
        <w:rPr>
          <w:szCs w:val="20"/>
          <w:lang w:val="ar-SA" w:eastAsia="zh-TW" w:bidi="en-GB"/>
        </w:rPr>
      </w:pPr>
      <w:bookmarkStart w:id="88" w:name="_Toc32364348"/>
      <w:r>
        <w:rPr>
          <w:rtl/>
        </w:rPr>
        <w:lastRenderedPageBreak/>
        <w:tab/>
      </w:r>
      <w:r>
        <w:rPr>
          <w:rtl/>
        </w:rPr>
        <w:tab/>
        <w:t>أمين المظالم المعني بالمساواة</w:t>
      </w:r>
      <w:bookmarkEnd w:id="88"/>
    </w:p>
    <w:p w14:paraId="6C5AF8C5" w14:textId="6010C96F" w:rsidR="008835DA" w:rsidRPr="00544AC3" w:rsidRDefault="008835DA" w:rsidP="00275513">
      <w:pPr>
        <w:pStyle w:val="SingleTxtGA"/>
        <w:rPr>
          <w:szCs w:val="20"/>
          <w:lang w:val="ar-SA" w:eastAsia="zh-TW" w:bidi="en-GB"/>
        </w:rPr>
      </w:pPr>
      <w:r w:rsidRPr="005C19F0">
        <w:rPr>
          <w:szCs w:val="20"/>
          <w:rtl/>
        </w:rPr>
        <w:t>277</w:t>
      </w:r>
      <w:r w:rsidRPr="00EF3655">
        <w:rPr>
          <w:rtl/>
        </w:rPr>
        <w:t>-</w:t>
      </w:r>
      <w:r>
        <w:rPr>
          <w:rtl/>
        </w:rPr>
        <w:tab/>
        <w:t xml:space="preserve">تتمثل أهداف قانون المساواة بين المرأة والرجل، أي قانون المساواة </w:t>
      </w:r>
      <w:r w:rsidRPr="00794E95">
        <w:rPr>
          <w:rtl/>
        </w:rPr>
        <w:t>(</w:t>
      </w:r>
      <w:r w:rsidRPr="005C19F0">
        <w:rPr>
          <w:szCs w:val="20"/>
        </w:rPr>
        <w:t>1986</w:t>
      </w:r>
      <w:r>
        <w:rPr>
          <w:rFonts w:ascii="Traditional Arabic"/>
          <w:szCs w:val="20"/>
        </w:rPr>
        <w:t>/</w:t>
      </w:r>
      <w:r w:rsidRPr="005C19F0">
        <w:rPr>
          <w:szCs w:val="20"/>
        </w:rPr>
        <w:t>609</w:t>
      </w:r>
      <w:r w:rsidRPr="00794E95">
        <w:rPr>
          <w:rtl/>
        </w:rPr>
        <w:t>)</w:t>
      </w:r>
      <w:r>
        <w:rPr>
          <w:rtl/>
        </w:rPr>
        <w:t>، في منع التمييز القائم على أساس نوع الجنس، وتعزيز المساواة بين المرأة والرجل، وبالتالي تحسين وضع المرأة، ولا</w:t>
      </w:r>
      <w:r w:rsidR="007B75C2">
        <w:rPr>
          <w:rFonts w:hint="cs"/>
          <w:rtl/>
        </w:rPr>
        <w:t> </w:t>
      </w:r>
      <w:r>
        <w:rPr>
          <w:rtl/>
        </w:rPr>
        <w:t>سيما في الحياة العملية. وعلاوةً على ذلك، يتمثل الهدف من القانون في منع التمييز القائم على أساس الهوية الجنسانية أو التعبير الجنساني. ويندرج رصد الامتثال لقانون المساواة في عِداد المهام المناطة بأمين المظالم المعني بالمساواة الذي تعيّنه الحكومة لفترة لا تتجاوز خمس سنوات. ويمثّل أمين المظالم المعني بالمساواة سلطة مستقلة قائمة بذاتها وخاضعة للفرع الإداري لوزارة العدل.</w:t>
      </w:r>
    </w:p>
    <w:p w14:paraId="79069347" w14:textId="77777777" w:rsidR="008835DA" w:rsidRPr="00544AC3" w:rsidRDefault="008835DA" w:rsidP="00275513">
      <w:pPr>
        <w:pStyle w:val="SingleTxtGA"/>
        <w:rPr>
          <w:szCs w:val="20"/>
          <w:lang w:val="ar-SA" w:eastAsia="zh-TW" w:bidi="en-GB"/>
        </w:rPr>
      </w:pPr>
      <w:r w:rsidRPr="005C19F0">
        <w:rPr>
          <w:szCs w:val="20"/>
          <w:rtl/>
        </w:rPr>
        <w:t>278</w:t>
      </w:r>
      <w:r w:rsidRPr="00EF3655">
        <w:rPr>
          <w:rtl/>
        </w:rPr>
        <w:t>-</w:t>
      </w:r>
      <w:r>
        <w:rPr>
          <w:rtl/>
        </w:rPr>
        <w:tab/>
        <w:t>ويرصد أمين المظالم الامتثال لأشكال الحظر المنصوص عليها في قانون المساواة لأجل مناهضة التمييز، والالتزامات التي ينص عليها ذلك القانون بتعزيز المساواة فيما يتعلق بالتمييز القائم على أساس نوع الجنس أو الهوية الجنسانية أو التعبير الجنساني. وبالإضافة إلى ذلك، يضطلع أمين المظالم، عن طريق المبادرات وإسداء المشورة وتقديم التوجيه، بتعزيز تحقيق أهداف قانون المساواة وتوفير المعلومات عن التشريعات المتعلقة بالمساواة وتطبيقها عملياً. وعند ملاحظة عدم الامتثال للالتزامات المنصوص عليها في قانون المساواة أو أي خرق لأحكام القانون، يسدي أمين المظالم المشورة ويقدّم التوجيه للحيلولة دون استمرار السلوك غير القانوني أو تكراره. وبالإضافة إلى ذلك، يجوز لأمين المظالم أن يتخذ تدابير للتوصل إلى تسوية في القضايا التي تنطوي على تمييز بالمعنى المقصود في قانون المساواة. وفي قضايا التمييز، يبدي أمين المظالم رأياً بشأن تفسير قانون المساواة. وتُعطى الآراء التي يصدرها أمين المظالم على سبيل التوصية.</w:t>
      </w:r>
    </w:p>
    <w:p w14:paraId="0C4CF26C" w14:textId="2DF13087" w:rsidR="008835DA" w:rsidRPr="00544AC3" w:rsidRDefault="008835DA" w:rsidP="00275513">
      <w:pPr>
        <w:pStyle w:val="SingleTxtGA"/>
        <w:rPr>
          <w:szCs w:val="20"/>
          <w:lang w:val="ar-SA" w:eastAsia="zh-TW" w:bidi="en-GB"/>
        </w:rPr>
      </w:pPr>
      <w:r w:rsidRPr="005C19F0">
        <w:rPr>
          <w:szCs w:val="20"/>
          <w:rtl/>
        </w:rPr>
        <w:t>279</w:t>
      </w:r>
      <w:r w:rsidRPr="00EF3655">
        <w:rPr>
          <w:rtl/>
        </w:rPr>
        <w:t>-</w:t>
      </w:r>
      <w:r>
        <w:rPr>
          <w:rtl/>
        </w:rPr>
        <w:tab/>
        <w:t>يحقّ لأمين المظالم المعني بالمساواة أي يحصل من السلطات مجاناً على المعلومات اللازمة لرصد الامتثال لقانون المساواة، بالرغم من الأحكام المنصوص عليها بشأن سريّة المسائل أو الوثائق. ويحق لأمين المظالم أيضاً تلقي المعلومات اللازمة لرصد الامتثال لقانون المساواة من جميع الأطراف المعنية، مثل رب العمل، في غضون فترة معقولة يحددها أمين المظالم، وكذلك الحق في طلب تقديم أي وثيقة في حوزته، ما لم يكن الشخص متمتعا</w:t>
      </w:r>
      <w:r w:rsidR="00245ABC">
        <w:rPr>
          <w:rFonts w:hint="cs"/>
          <w:rtl/>
        </w:rPr>
        <w:t>ً</w:t>
      </w:r>
      <w:r>
        <w:rPr>
          <w:rtl/>
        </w:rPr>
        <w:t xml:space="preserve"> بالحق في رفض الإدلاء بالشهادة أو تقديم الوثيقة أو متحمِّلا</w:t>
      </w:r>
      <w:r w:rsidR="001D4BDB">
        <w:rPr>
          <w:rFonts w:hint="cs"/>
          <w:rtl/>
        </w:rPr>
        <w:t>ً</w:t>
      </w:r>
      <w:r>
        <w:rPr>
          <w:rtl/>
        </w:rPr>
        <w:t xml:space="preserve"> مسؤولية ذلك الرفض بموجب القانون. وعلاوة على ذلك، يحق لأمين المظالم أن يجري عمليات تفتيش في أيّ</w:t>
      </w:r>
      <w:r w:rsidR="00507B18">
        <w:rPr>
          <w:rtl/>
        </w:rPr>
        <w:t xml:space="preserve"> </w:t>
      </w:r>
      <w:r>
        <w:rPr>
          <w:rtl/>
        </w:rPr>
        <w:t>مكان عمل، أو مؤسسة تعليمية، أو منظمة تمثل مصالح سوق العمل، أو مرافق الأعمال التجارية لمقدّم السلع والخدمات، إذا كان هناك سبب يدعو إلى الاشتباه في اتخاذ إجراءات تتعارض مع قانون المساواة أو في عدم الامتثال للالتزامات المتعلقة بالمساواة المنصوص عليها في القانون. ويحق لأمين المظالم، من أجل أداء هذه الواجبات، تلقّي مساعدة تنفيذية من سلطات أخرى في إنجاز عمليات التفتيش. ويمكن لأمين المظالم أن يسدي المشورة، على سبيل المثال، في إعداد خطة للمساواة.</w:t>
      </w:r>
    </w:p>
    <w:p w14:paraId="7EFCD4CD" w14:textId="77777777" w:rsidR="008835DA" w:rsidRPr="00544AC3" w:rsidRDefault="008835DA" w:rsidP="00275513">
      <w:pPr>
        <w:pStyle w:val="SingleTxtGA"/>
        <w:rPr>
          <w:szCs w:val="20"/>
          <w:lang w:val="ar-SA" w:eastAsia="zh-TW" w:bidi="en-GB"/>
        </w:rPr>
      </w:pPr>
      <w:r w:rsidRPr="005C19F0">
        <w:rPr>
          <w:szCs w:val="20"/>
          <w:rtl/>
        </w:rPr>
        <w:t>280</w:t>
      </w:r>
      <w:r w:rsidRPr="00EF3655">
        <w:rPr>
          <w:rtl/>
        </w:rPr>
        <w:t>-</w:t>
      </w:r>
      <w:r>
        <w:rPr>
          <w:rtl/>
        </w:rPr>
        <w:tab/>
        <w:t>ويقدم أمين المظالم المعني بالمساواة إلى الحكومة تقريراً سنوياً عن الأنشطة، بالإضافة إلى تقديم تقرير عن تحقيق المساواة إلى البرلمان كل أربع سنوات.</w:t>
      </w:r>
    </w:p>
    <w:p w14:paraId="447CA5D2" w14:textId="77777777" w:rsidR="008835DA" w:rsidRPr="00544AC3" w:rsidRDefault="008835DA" w:rsidP="00275513">
      <w:pPr>
        <w:pStyle w:val="H23GA"/>
        <w:rPr>
          <w:szCs w:val="20"/>
          <w:lang w:val="ar-SA" w:eastAsia="zh-TW"/>
        </w:rPr>
      </w:pPr>
      <w:bookmarkStart w:id="89" w:name="_Toc32364349"/>
      <w:r>
        <w:rPr>
          <w:rtl/>
        </w:rPr>
        <w:tab/>
      </w:r>
      <w:r>
        <w:rPr>
          <w:rtl/>
        </w:rPr>
        <w:tab/>
        <w:t xml:space="preserve">أمين مظالم الطفل </w:t>
      </w:r>
      <w:bookmarkEnd w:id="89"/>
    </w:p>
    <w:p w14:paraId="7CF2521C" w14:textId="77777777" w:rsidR="008835DA" w:rsidRPr="00C726A7" w:rsidRDefault="008835DA" w:rsidP="004C053D">
      <w:pPr>
        <w:pStyle w:val="SingleTxtGA"/>
        <w:rPr>
          <w:szCs w:val="20"/>
          <w:lang w:eastAsia="zh-TW" w:bidi="en-GB"/>
        </w:rPr>
      </w:pPr>
      <w:r w:rsidRPr="005C19F0">
        <w:rPr>
          <w:szCs w:val="20"/>
          <w:rtl/>
        </w:rPr>
        <w:t>281</w:t>
      </w:r>
      <w:r w:rsidRPr="00EF3655">
        <w:rPr>
          <w:rtl/>
        </w:rPr>
        <w:t>-</w:t>
      </w:r>
      <w:r>
        <w:rPr>
          <w:rtl/>
        </w:rPr>
        <w:tab/>
        <w:t xml:space="preserve">أمين مظالم الطفل هو سلطة حكومية مركزية مستقلة ومحايدة تستند ولايتها إلى قانون أمين مظالم الطفل </w:t>
      </w:r>
      <w:r w:rsidRPr="00794E95">
        <w:rPr>
          <w:rtl/>
        </w:rPr>
        <w:t>(</w:t>
      </w:r>
      <w:r w:rsidRPr="005C19F0">
        <w:rPr>
          <w:szCs w:val="20"/>
        </w:rPr>
        <w:t>2004</w:t>
      </w:r>
      <w:r>
        <w:rPr>
          <w:rFonts w:ascii="Traditional Arabic"/>
          <w:szCs w:val="20"/>
        </w:rPr>
        <w:t>/</w:t>
      </w:r>
      <w:r w:rsidRPr="005C19F0">
        <w:rPr>
          <w:szCs w:val="20"/>
        </w:rPr>
        <w:t>1221</w:t>
      </w:r>
      <w:r w:rsidRPr="00794E95">
        <w:rPr>
          <w:rtl/>
        </w:rPr>
        <w:t>)</w:t>
      </w:r>
      <w:r>
        <w:rPr>
          <w:rtl/>
        </w:rPr>
        <w:t>. ويوكل هذا القانون إلى أمين المظالم واجب حماية مصالح الطفل وحقوقه في المجتمع. ولا يملك أمين المظالم السلطة على شؤون فرادى الأطفال أو الأسر، ولا يمكنه إلغاء قرارات سلطات أخرى. ويعمل أمين المظالم بتعاون وثيق مع السلطات العامة الأخرى والحكومات المحلية والمجالس الإقليمية والباحثين والمنظمات غير الحكومية والجماعات الدينية والشركات وغيرها من الأطراف التي لها دور في تنفيذ السياسات المتعلقة بالطفل، وثلّة من الخبراء في مجال حقوق الطفل.</w:t>
      </w:r>
    </w:p>
    <w:p w14:paraId="774500CB" w14:textId="3F92DD39" w:rsidR="008835DA" w:rsidRPr="00544AC3" w:rsidRDefault="008835DA" w:rsidP="004C053D">
      <w:pPr>
        <w:pStyle w:val="SingleTxtGA"/>
        <w:rPr>
          <w:szCs w:val="20"/>
          <w:lang w:val="ar-SA" w:eastAsia="zh-TW" w:bidi="en-GB"/>
        </w:rPr>
      </w:pPr>
      <w:r w:rsidRPr="005C19F0">
        <w:rPr>
          <w:szCs w:val="20"/>
          <w:rtl/>
        </w:rPr>
        <w:lastRenderedPageBreak/>
        <w:t>282</w:t>
      </w:r>
      <w:r w:rsidRPr="00EF3655">
        <w:rPr>
          <w:rtl/>
        </w:rPr>
        <w:t>-</w:t>
      </w:r>
      <w:r>
        <w:rPr>
          <w:rtl/>
        </w:rPr>
        <w:tab/>
        <w:t xml:space="preserve">ويمثّل أمين مظالم الطفل، </w:t>
      </w:r>
      <w:r w:rsidR="00853B96">
        <w:rPr>
          <w:rFonts w:hint="cs"/>
          <w:rtl/>
        </w:rPr>
        <w:t>ج</w:t>
      </w:r>
      <w:r>
        <w:rPr>
          <w:rtl/>
        </w:rPr>
        <w:t>نباً إلى جنب مع أمين المظالم البرلماني، الهيئة الوطنية المشرفة على حقوق الطفل التي تشترط لجنة الأمم المتحدة لحقوق الطفل إنشاءها. وبموجب القانون، يضطلع أمين مظالم الطفل</w:t>
      </w:r>
      <w:r w:rsidR="00507B18">
        <w:rPr>
          <w:rtl/>
        </w:rPr>
        <w:t xml:space="preserve"> </w:t>
      </w:r>
      <w:r>
        <w:rPr>
          <w:rtl/>
        </w:rPr>
        <w:t xml:space="preserve">بمهام </w:t>
      </w:r>
      <w:r w:rsidRPr="00C726A7">
        <w:rPr>
          <w:rFonts w:ascii="Traditional Arabic" w:hint="eastAsia"/>
          <w:sz w:val="30"/>
          <w:rtl/>
        </w:rPr>
        <w:t>من</w:t>
      </w:r>
      <w:r w:rsidRPr="00C726A7">
        <w:rPr>
          <w:rFonts w:ascii="Traditional Arabic"/>
          <w:sz w:val="30"/>
          <w:rtl/>
        </w:rPr>
        <w:t xml:space="preserve"> </w:t>
      </w:r>
      <w:r w:rsidRPr="00C726A7">
        <w:rPr>
          <w:rFonts w:ascii="Traditional Arabic" w:hint="eastAsia"/>
          <w:sz w:val="30"/>
          <w:rtl/>
        </w:rPr>
        <w:t>بينها</w:t>
      </w:r>
      <w:r w:rsidRPr="00BB79C1">
        <w:t>:</w:t>
      </w:r>
      <w:r>
        <w:rPr>
          <w:rtl/>
        </w:rPr>
        <w:t xml:space="preserve"> </w:t>
      </w:r>
    </w:p>
    <w:p w14:paraId="2D3C5911" w14:textId="77777777" w:rsidR="008835DA" w:rsidRPr="00544AC3" w:rsidRDefault="008835DA" w:rsidP="004C053D">
      <w:pPr>
        <w:pStyle w:val="Bullet1GA"/>
        <w:bidi/>
        <w:rPr>
          <w:szCs w:val="20"/>
          <w:lang w:val="ar-SA" w:eastAsia="zh-TW" w:bidi="en-GB"/>
        </w:rPr>
      </w:pPr>
      <w:r>
        <w:rPr>
          <w:rtl/>
        </w:rPr>
        <w:t>ضمان رفاه الأطفال والشباب وحماية حقوقهم؛</w:t>
      </w:r>
    </w:p>
    <w:p w14:paraId="7F31BB9C" w14:textId="77777777" w:rsidR="008835DA" w:rsidRPr="00544AC3" w:rsidRDefault="008835DA" w:rsidP="004C053D">
      <w:pPr>
        <w:pStyle w:val="Bullet1GA"/>
        <w:bidi/>
        <w:rPr>
          <w:szCs w:val="20"/>
          <w:lang w:val="ar-SA" w:eastAsia="zh-TW" w:bidi="en-GB"/>
        </w:rPr>
      </w:pPr>
      <w:r>
        <w:rPr>
          <w:rtl/>
        </w:rPr>
        <w:t>وتعزيز مصالح الطفل؛</w:t>
      </w:r>
    </w:p>
    <w:p w14:paraId="31F75917" w14:textId="77777777" w:rsidR="008835DA" w:rsidRPr="00544AC3" w:rsidRDefault="008835DA" w:rsidP="004C053D">
      <w:pPr>
        <w:pStyle w:val="Bullet1GA"/>
        <w:bidi/>
        <w:rPr>
          <w:szCs w:val="20"/>
          <w:lang w:val="ar-SA" w:eastAsia="zh-TW" w:bidi="en-GB"/>
        </w:rPr>
      </w:pPr>
      <w:r>
        <w:rPr>
          <w:rtl/>
        </w:rPr>
        <w:t>وإجراء مشاورات مع الأطفال والشباب وإيصال آرائهم إلى صناع القرار؛</w:t>
      </w:r>
    </w:p>
    <w:p w14:paraId="7921A649" w14:textId="77777777" w:rsidR="008835DA" w:rsidRPr="00544AC3" w:rsidRDefault="008835DA" w:rsidP="004C053D">
      <w:pPr>
        <w:pStyle w:val="Bullet1GA"/>
        <w:bidi/>
        <w:rPr>
          <w:szCs w:val="20"/>
          <w:lang w:val="ar-SA" w:eastAsia="zh-TW" w:bidi="en-GB"/>
        </w:rPr>
      </w:pPr>
      <w:r>
        <w:rPr>
          <w:rtl/>
        </w:rPr>
        <w:t>وتعميم المعلومات المتعلّقة بحقوق الطفل على السلطات والمنظمات الحكومية التي تتعامل مع الأطفال وكذلك على عموم الجمهور؛</w:t>
      </w:r>
    </w:p>
    <w:p w14:paraId="1AF5440B" w14:textId="77777777" w:rsidR="008835DA" w:rsidRPr="00544AC3" w:rsidRDefault="008835DA" w:rsidP="004C053D">
      <w:pPr>
        <w:pStyle w:val="Bullet1GA"/>
        <w:bidi/>
        <w:rPr>
          <w:szCs w:val="20"/>
          <w:lang w:val="ar-SA" w:eastAsia="zh-TW" w:bidi="en-GB"/>
        </w:rPr>
      </w:pPr>
      <w:r>
        <w:rPr>
          <w:rtl/>
        </w:rPr>
        <w:t>وتشجيع التعاون بين الأطراف التي لها دور في تنفيذ السياسات المتعلقة بالأطفال؛</w:t>
      </w:r>
    </w:p>
    <w:p w14:paraId="4E4027D9" w14:textId="77777777" w:rsidR="008835DA" w:rsidRPr="00544AC3" w:rsidRDefault="008835DA" w:rsidP="004C053D">
      <w:pPr>
        <w:pStyle w:val="Bullet1GA"/>
        <w:bidi/>
        <w:rPr>
          <w:szCs w:val="20"/>
          <w:lang w:val="ar-SA" w:eastAsia="zh-TW" w:bidi="en-GB"/>
        </w:rPr>
      </w:pPr>
      <w:r>
        <w:rPr>
          <w:rtl/>
        </w:rPr>
        <w:t>وزيادة الامتثال لاتفاقية الأمم المتحدة لحقوق الطفل.</w:t>
      </w:r>
    </w:p>
    <w:p w14:paraId="0E457F1C" w14:textId="4EDB0321" w:rsidR="008835DA" w:rsidRPr="00544AC3" w:rsidRDefault="008835DA" w:rsidP="004C053D">
      <w:pPr>
        <w:pStyle w:val="SingleTxtGA"/>
        <w:rPr>
          <w:szCs w:val="20"/>
          <w:lang w:val="ar-SA" w:eastAsia="zh-TW" w:bidi="en-GB"/>
        </w:rPr>
      </w:pPr>
      <w:r w:rsidRPr="005C19F0">
        <w:rPr>
          <w:szCs w:val="20"/>
          <w:rtl/>
        </w:rPr>
        <w:t>283</w:t>
      </w:r>
      <w:r w:rsidRPr="00EF3655">
        <w:rPr>
          <w:rtl/>
        </w:rPr>
        <w:t>-</w:t>
      </w:r>
      <w:r>
        <w:rPr>
          <w:rtl/>
        </w:rPr>
        <w:tab/>
        <w:t>ويوافي أمين مظالم الطفل</w:t>
      </w:r>
      <w:r w:rsidR="00507B18">
        <w:rPr>
          <w:rtl/>
        </w:rPr>
        <w:t xml:space="preserve"> </w:t>
      </w:r>
      <w:r>
        <w:rPr>
          <w:rtl/>
        </w:rPr>
        <w:t xml:space="preserve">الحكومة الفنلندية بتقرير واحد كل سنة، ويوافي برلمان فنلندا بتقرير واحد كل أربع سنوات. ويقدّم أمينُ المظالم أيضاً تقريره الخاص للجنة الأمم المتحدة لحقوق الطفل بشأن رفاه الأطفال والشباب ووضعهم في إطار استعراض التقرير الدوري للحكومة. ويتضمن التقرير السنوي لأمين المظالم عرضاً عاماً للعمل الذي يكون أمين المظالم قد اضطلع به خلال السنة، ولحالة حقوق الطفل، والتقدُّم المحرز في مجال رفاه الأطفال، وأي مسائل تشريعية لُفت انتباه أمين المظالم إليها. </w:t>
      </w:r>
    </w:p>
    <w:p w14:paraId="1B2A0F65" w14:textId="77777777" w:rsidR="008835DA" w:rsidRPr="00544AC3" w:rsidRDefault="008835DA" w:rsidP="004C053D">
      <w:pPr>
        <w:pStyle w:val="H23GA"/>
        <w:rPr>
          <w:szCs w:val="20"/>
          <w:lang w:val="ar-SA" w:eastAsia="zh-TW" w:bidi="en-GB"/>
        </w:rPr>
      </w:pPr>
      <w:bookmarkStart w:id="90" w:name="_Toc32364350"/>
      <w:r>
        <w:rPr>
          <w:rtl/>
        </w:rPr>
        <w:tab/>
      </w:r>
      <w:r>
        <w:rPr>
          <w:rtl/>
        </w:rPr>
        <w:tab/>
        <w:t>أمين المظالم المعني بحماية البيانات</w:t>
      </w:r>
      <w:bookmarkEnd w:id="90"/>
    </w:p>
    <w:p w14:paraId="379D4E57" w14:textId="1269012C" w:rsidR="008835DA" w:rsidRPr="00544AC3" w:rsidRDefault="008835DA" w:rsidP="004C053D">
      <w:pPr>
        <w:pStyle w:val="SingleTxtGA"/>
        <w:rPr>
          <w:szCs w:val="20"/>
          <w:lang w:val="ar-SA" w:eastAsia="zh-TW" w:bidi="en-GB"/>
        </w:rPr>
      </w:pPr>
      <w:r w:rsidRPr="005C19F0">
        <w:rPr>
          <w:szCs w:val="20"/>
          <w:rtl/>
        </w:rPr>
        <w:t>284</w:t>
      </w:r>
      <w:r w:rsidRPr="00EF3655">
        <w:rPr>
          <w:rtl/>
        </w:rPr>
        <w:t>-</w:t>
      </w:r>
      <w:r>
        <w:rPr>
          <w:rtl/>
        </w:rPr>
        <w:tab/>
        <w:t>يمثل مكتب أمين المظالم المعني بحماية البيانات سلطة مستقلّة وقائمة بذاتها. وتعيّن</w:t>
      </w:r>
      <w:r w:rsidR="00507B18">
        <w:rPr>
          <w:rtl/>
        </w:rPr>
        <w:t xml:space="preserve"> </w:t>
      </w:r>
      <w:r>
        <w:rPr>
          <w:rtl/>
        </w:rPr>
        <w:t>الحكومة أمين المظالم المعني بحماية البيانات والنائب عنه لفترة خمس سنوات في كل مرة.</w:t>
      </w:r>
    </w:p>
    <w:p w14:paraId="28D31F5F" w14:textId="77777777" w:rsidR="008835DA" w:rsidRPr="00544AC3" w:rsidRDefault="008835DA" w:rsidP="004C053D">
      <w:pPr>
        <w:pStyle w:val="SingleTxtGA"/>
        <w:rPr>
          <w:szCs w:val="20"/>
          <w:lang w:val="ar-SA" w:eastAsia="zh-TW" w:bidi="en-GB"/>
        </w:rPr>
      </w:pPr>
      <w:r w:rsidRPr="005C19F0">
        <w:rPr>
          <w:szCs w:val="20"/>
          <w:rtl/>
        </w:rPr>
        <w:t>285</w:t>
      </w:r>
      <w:r w:rsidRPr="00EF3655">
        <w:rPr>
          <w:rtl/>
        </w:rPr>
        <w:t>-</w:t>
      </w:r>
      <w:r>
        <w:rPr>
          <w:rtl/>
        </w:rPr>
        <w:tab/>
        <w:t xml:space="preserve">ويضطلع مكتب أمين المظالم المعني بحماية البيانات بمهام </w:t>
      </w:r>
      <w:r w:rsidRPr="0069190F">
        <w:rPr>
          <w:rFonts w:hint="eastAsia"/>
          <w:rtl/>
        </w:rPr>
        <w:t>من</w:t>
      </w:r>
      <w:r w:rsidRPr="0069190F">
        <w:rPr>
          <w:rtl/>
        </w:rPr>
        <w:t xml:space="preserve"> </w:t>
      </w:r>
      <w:r w:rsidRPr="003141AB">
        <w:rPr>
          <w:rFonts w:hint="eastAsia"/>
          <w:rtl/>
        </w:rPr>
        <w:t>بينها</w:t>
      </w:r>
      <w:r w:rsidRPr="00BB79C1">
        <w:rPr>
          <w:rtl/>
        </w:rPr>
        <w:t>:</w:t>
      </w:r>
    </w:p>
    <w:p w14:paraId="46674917" w14:textId="77777777" w:rsidR="008835DA" w:rsidRPr="00544AC3" w:rsidRDefault="008835DA" w:rsidP="004C053D">
      <w:pPr>
        <w:pStyle w:val="Bullet1GA"/>
        <w:bidi/>
        <w:rPr>
          <w:szCs w:val="20"/>
          <w:lang w:val="ar-SA" w:eastAsia="zh-TW" w:bidi="en-GB"/>
        </w:rPr>
      </w:pPr>
      <w:r>
        <w:rPr>
          <w:rtl/>
        </w:rPr>
        <w:t>الإشراف على الامتثال لتشريعات حماية البيانات والقوانين الأخرى المتعلقة بمعالجة البيانات الشخصية؛</w:t>
      </w:r>
    </w:p>
    <w:p w14:paraId="036BDF6F" w14:textId="77777777" w:rsidR="008835DA" w:rsidRPr="00544AC3" w:rsidRDefault="008835DA" w:rsidP="004C053D">
      <w:pPr>
        <w:pStyle w:val="Bullet1GA"/>
        <w:bidi/>
        <w:rPr>
          <w:szCs w:val="20"/>
          <w:lang w:val="ar-SA" w:eastAsia="zh-TW" w:bidi="en-GB"/>
        </w:rPr>
      </w:pPr>
      <w:r>
        <w:rPr>
          <w:rtl/>
        </w:rPr>
        <w:t>وإذكاء الوعي بشأن المخاطر والقواعد والضمانات والالتزامات والحقوق المتعلقة بمعالجة البيانات الشخصية؛</w:t>
      </w:r>
    </w:p>
    <w:p w14:paraId="5C676443" w14:textId="77777777" w:rsidR="008835DA" w:rsidRPr="00544AC3" w:rsidRDefault="008835DA" w:rsidP="004C053D">
      <w:pPr>
        <w:pStyle w:val="Bullet1GA"/>
        <w:bidi/>
        <w:rPr>
          <w:szCs w:val="20"/>
          <w:lang w:val="ar-SA" w:eastAsia="zh-TW" w:bidi="en-GB"/>
        </w:rPr>
      </w:pPr>
      <w:r>
        <w:rPr>
          <w:rtl/>
        </w:rPr>
        <w:t>وإجراء التحقيقات وعمليات التفتيش؛</w:t>
      </w:r>
    </w:p>
    <w:p w14:paraId="057E4E5D" w14:textId="77777777" w:rsidR="008835DA" w:rsidRPr="00544AC3" w:rsidRDefault="008835DA" w:rsidP="004C053D">
      <w:pPr>
        <w:pStyle w:val="Bullet1GA"/>
        <w:bidi/>
        <w:rPr>
          <w:szCs w:val="20"/>
          <w:lang w:val="ar-SA" w:eastAsia="zh-TW" w:bidi="en-GB"/>
        </w:rPr>
      </w:pPr>
      <w:r>
        <w:rPr>
          <w:rtl/>
        </w:rPr>
        <w:t>وفرض عقوبات إدارية على انتهاكات اللائحة التنظيمية العامة لحماية البيانات؛</w:t>
      </w:r>
    </w:p>
    <w:p w14:paraId="5990E81A" w14:textId="77777777" w:rsidR="008835DA" w:rsidRPr="00544AC3" w:rsidRDefault="008835DA" w:rsidP="004C053D">
      <w:pPr>
        <w:pStyle w:val="Bullet1GA"/>
        <w:bidi/>
        <w:rPr>
          <w:szCs w:val="20"/>
          <w:lang w:val="ar-SA" w:eastAsia="zh-TW" w:bidi="en-GB"/>
        </w:rPr>
      </w:pPr>
      <w:r>
        <w:rPr>
          <w:rtl/>
        </w:rPr>
        <w:t>والإدلاء ببيانات عن التغييرات التشريعية والإدارية التي تمس حماية حقوق وحريات الأفراد فيما يتعلق بمعالجة البيانات الشخصية؛</w:t>
      </w:r>
    </w:p>
    <w:p w14:paraId="27250EA1" w14:textId="77777777" w:rsidR="008835DA" w:rsidRPr="00544AC3" w:rsidRDefault="008835DA" w:rsidP="004C053D">
      <w:pPr>
        <w:pStyle w:val="Bullet1GA"/>
        <w:bidi/>
        <w:rPr>
          <w:szCs w:val="20"/>
          <w:lang w:val="ar-SA" w:eastAsia="zh-TW" w:bidi="en-GB"/>
        </w:rPr>
      </w:pPr>
      <w:r>
        <w:rPr>
          <w:rtl/>
        </w:rPr>
        <w:t>والإدلاء ببيانات عن الجرائم التي تنطوي على معالجة البيانات الشخصية؛</w:t>
      </w:r>
    </w:p>
    <w:p w14:paraId="53AF0084" w14:textId="77777777" w:rsidR="008835DA" w:rsidRPr="00544AC3" w:rsidRDefault="008835DA" w:rsidP="004C053D">
      <w:pPr>
        <w:pStyle w:val="Bullet1GA"/>
        <w:bidi/>
        <w:rPr>
          <w:szCs w:val="20"/>
          <w:lang w:val="ar-SA" w:eastAsia="zh-TW" w:bidi="en-GB"/>
        </w:rPr>
      </w:pPr>
      <w:r>
        <w:rPr>
          <w:rtl/>
        </w:rPr>
        <w:t>والإشراف على معالجة المعلومات المتعلقة بحالة الائتمان وتقييمات الجدارة الائتمانية للشركات؛</w:t>
      </w:r>
    </w:p>
    <w:p w14:paraId="7BB3B379" w14:textId="77777777" w:rsidR="008835DA" w:rsidRPr="00544AC3" w:rsidRDefault="008835DA" w:rsidP="0081550F">
      <w:pPr>
        <w:pStyle w:val="Bullet1GA"/>
        <w:bidi/>
        <w:rPr>
          <w:szCs w:val="20"/>
          <w:lang w:val="ar-SA" w:eastAsia="zh-TW" w:bidi="en-GB"/>
        </w:rPr>
      </w:pPr>
      <w:r>
        <w:rPr>
          <w:rtl/>
        </w:rPr>
        <w:t>ودراسة طلبات إصدار الأوامر فيما يتعلق بحقوق الأشخاص المعنيّين بالبيانات والإخطارات المتعلقة بالانتهاكات الأخرى المتعلقة بمعالجة البيانات الشخصية؛</w:t>
      </w:r>
    </w:p>
    <w:p w14:paraId="37F91BE6" w14:textId="77777777" w:rsidR="008835DA" w:rsidRPr="00544AC3" w:rsidRDefault="008835DA" w:rsidP="0081550F">
      <w:pPr>
        <w:pStyle w:val="Bullet1GA"/>
        <w:bidi/>
        <w:rPr>
          <w:szCs w:val="20"/>
          <w:lang w:val="ar-SA" w:eastAsia="zh-TW" w:bidi="en-GB"/>
        </w:rPr>
      </w:pPr>
      <w:r>
        <w:rPr>
          <w:rtl/>
        </w:rPr>
        <w:lastRenderedPageBreak/>
        <w:t>واستلام إعلانات من موظفي حماية البيانات؛</w:t>
      </w:r>
    </w:p>
    <w:p w14:paraId="6AB0129B" w14:textId="77777777" w:rsidR="008835DA" w:rsidRPr="00544AC3" w:rsidRDefault="008835DA" w:rsidP="0081550F">
      <w:pPr>
        <w:pStyle w:val="Bullet1GA"/>
        <w:bidi/>
        <w:rPr>
          <w:szCs w:val="20"/>
          <w:lang w:val="ar-SA" w:eastAsia="zh-TW" w:bidi="en-GB"/>
        </w:rPr>
      </w:pPr>
      <w:r>
        <w:rPr>
          <w:rtl/>
        </w:rPr>
        <w:t>واستلام تقارير عن انتهاكات البيانات الشخصية؛</w:t>
      </w:r>
    </w:p>
    <w:p w14:paraId="7FC6AC28" w14:textId="77777777" w:rsidR="008835DA" w:rsidRPr="00544AC3" w:rsidRDefault="008835DA" w:rsidP="0081550F">
      <w:pPr>
        <w:pStyle w:val="Bullet1GA"/>
        <w:bidi/>
        <w:rPr>
          <w:szCs w:val="20"/>
          <w:lang w:val="ar-SA" w:eastAsia="zh-TW" w:bidi="en-GB"/>
        </w:rPr>
      </w:pPr>
      <w:r>
        <w:rPr>
          <w:rtl/>
        </w:rPr>
        <w:t>وإعداد قائمة بالظروف التي تتطلب إجراء تقييم الأثَر على حماية البيانات؛</w:t>
      </w:r>
    </w:p>
    <w:p w14:paraId="03C7714C" w14:textId="77777777" w:rsidR="008835DA" w:rsidRPr="00544AC3" w:rsidRDefault="008835DA" w:rsidP="0081550F">
      <w:pPr>
        <w:pStyle w:val="Bullet1GA"/>
        <w:bidi/>
        <w:rPr>
          <w:szCs w:val="20"/>
          <w:lang w:val="ar-SA" w:eastAsia="zh-TW" w:bidi="en-GB"/>
        </w:rPr>
      </w:pPr>
      <w:r>
        <w:rPr>
          <w:rtl/>
        </w:rPr>
        <w:t>وتقييم المشاورات المسبقة بشأن معالجة البيانات الشديدة الخطورة؛</w:t>
      </w:r>
    </w:p>
    <w:p w14:paraId="15522057" w14:textId="77777777" w:rsidR="008835DA" w:rsidRPr="00544AC3" w:rsidRDefault="008835DA" w:rsidP="0081550F">
      <w:pPr>
        <w:pStyle w:val="Bullet1GA"/>
        <w:bidi/>
        <w:rPr>
          <w:szCs w:val="20"/>
          <w:lang w:val="ar-SA" w:eastAsia="zh-TW" w:bidi="en-GB"/>
        </w:rPr>
      </w:pPr>
      <w:r>
        <w:rPr>
          <w:rtl/>
        </w:rPr>
        <w:t xml:space="preserve">واعتماد مدونة قواعد </w:t>
      </w:r>
      <w:r>
        <w:rPr>
          <w:rtl/>
          <w:lang w:val="fr-CH" w:bidi="ar-DZ"/>
        </w:rPr>
        <w:t>ال</w:t>
      </w:r>
      <w:r>
        <w:rPr>
          <w:rtl/>
        </w:rPr>
        <w:t>ممارسات وشروط معيارية؛</w:t>
      </w:r>
    </w:p>
    <w:p w14:paraId="0AAF7822" w14:textId="77777777" w:rsidR="008835DA" w:rsidRPr="00544AC3" w:rsidRDefault="008835DA" w:rsidP="0081550F">
      <w:pPr>
        <w:pStyle w:val="Bullet1GA"/>
        <w:bidi/>
        <w:rPr>
          <w:szCs w:val="20"/>
          <w:lang w:val="ar-SA" w:eastAsia="zh-TW" w:bidi="en-GB"/>
        </w:rPr>
      </w:pPr>
      <w:r>
        <w:rPr>
          <w:rtl/>
        </w:rPr>
        <w:t>وتشجيع اعتماد الشهادات واعتماد هيئات التصديق وإلغاء الشهادات الصادرة؛</w:t>
      </w:r>
    </w:p>
    <w:p w14:paraId="08A0719E" w14:textId="77777777" w:rsidR="008835DA" w:rsidRPr="00544AC3" w:rsidRDefault="008835DA" w:rsidP="0081550F">
      <w:pPr>
        <w:pStyle w:val="Bullet1GA"/>
        <w:bidi/>
        <w:rPr>
          <w:szCs w:val="20"/>
          <w:lang w:val="ar-SA" w:eastAsia="zh-TW" w:bidi="en-GB"/>
        </w:rPr>
      </w:pPr>
      <w:r>
        <w:rPr>
          <w:rtl/>
        </w:rPr>
        <w:t>والتعاون مع سلطات حماية البيانات الأخرى في الاتحاد الأوروبي ضمن نطاق مبدأ المركز الجامع وإحالة مسائل إلى المجلس الأوروبي لحماية البيانات عندما تقتضي الحاجة.</w:t>
      </w:r>
    </w:p>
    <w:p w14:paraId="0E3375E5" w14:textId="77777777" w:rsidR="008835DA" w:rsidRPr="00544AC3" w:rsidRDefault="008835DA" w:rsidP="00E51080">
      <w:pPr>
        <w:pStyle w:val="H23GA"/>
        <w:rPr>
          <w:szCs w:val="20"/>
          <w:lang w:val="ar-SA" w:eastAsia="zh-TW" w:bidi="en-GB"/>
        </w:rPr>
      </w:pPr>
      <w:bookmarkStart w:id="91" w:name="_Toc32364351"/>
      <w:r>
        <w:rPr>
          <w:rtl/>
        </w:rPr>
        <w:tab/>
      </w:r>
      <w:r>
        <w:rPr>
          <w:rtl/>
        </w:rPr>
        <w:tab/>
        <w:t>أمين مظالم الاستخبارات</w:t>
      </w:r>
      <w:bookmarkEnd w:id="91"/>
    </w:p>
    <w:p w14:paraId="673E8E35" w14:textId="77777777" w:rsidR="008835DA" w:rsidRPr="00C726A7" w:rsidRDefault="008835DA" w:rsidP="00E51080">
      <w:pPr>
        <w:pStyle w:val="SingleTxtGA"/>
        <w:rPr>
          <w:szCs w:val="20"/>
          <w:lang w:eastAsia="zh-TW" w:bidi="en-GB"/>
        </w:rPr>
      </w:pPr>
      <w:r w:rsidRPr="005C19F0">
        <w:rPr>
          <w:szCs w:val="20"/>
          <w:rtl/>
        </w:rPr>
        <w:t>286</w:t>
      </w:r>
      <w:r w:rsidRPr="00EF3655">
        <w:rPr>
          <w:rtl/>
        </w:rPr>
        <w:t>-</w:t>
      </w:r>
      <w:r>
        <w:rPr>
          <w:rtl/>
        </w:rPr>
        <w:tab/>
        <w:t xml:space="preserve">بعدما اعتمد البرلمان القانون الجديد بشأن الرقابة على جمع المعلومات الاستخباراتية </w:t>
      </w:r>
      <w:r w:rsidRPr="00794E95">
        <w:rPr>
          <w:rtl/>
        </w:rPr>
        <w:t>(</w:t>
      </w:r>
      <w:r w:rsidRPr="005C19F0">
        <w:rPr>
          <w:szCs w:val="20"/>
        </w:rPr>
        <w:t>2019</w:t>
      </w:r>
      <w:r>
        <w:rPr>
          <w:rFonts w:ascii="Traditional Arabic"/>
          <w:szCs w:val="20"/>
        </w:rPr>
        <w:t>/</w:t>
      </w:r>
      <w:r w:rsidRPr="005C19F0">
        <w:rPr>
          <w:szCs w:val="20"/>
        </w:rPr>
        <w:t>121</w:t>
      </w:r>
      <w:r w:rsidRPr="00794E95">
        <w:rPr>
          <w:rtl/>
        </w:rPr>
        <w:t>)</w:t>
      </w:r>
      <w:r>
        <w:rPr>
          <w:rtl/>
        </w:rPr>
        <w:t>، أنشِئ منصب أمين مظالم الاستخبارات في إطار صلته بمكتب أمين المظالم المعني بحماية البيانات، لأجل مراقبة شرعية الأنشطة الاستخباراتية. وأمين المظالم سلطة مستقلة قائمة بذاتها وتعيّنه الحكومة لولاية مدتها خمس سنوات في كل مرة. وقبل أن تعينه الحكومة، تتيح للجنة البرلمانية المعنية بالرقابة على الاستخبارات فرصة إبداء رأيها في تعيينه.</w:t>
      </w:r>
    </w:p>
    <w:p w14:paraId="65E2740C" w14:textId="3B2B35E4" w:rsidR="008835DA" w:rsidRPr="009113EE" w:rsidRDefault="008835DA" w:rsidP="00E51080">
      <w:pPr>
        <w:pStyle w:val="SingleTxtGA"/>
        <w:rPr>
          <w:spacing w:val="-2"/>
          <w:szCs w:val="20"/>
          <w:lang w:eastAsia="zh-TW" w:bidi="en-GB"/>
        </w:rPr>
      </w:pPr>
      <w:r w:rsidRPr="009113EE">
        <w:rPr>
          <w:spacing w:val="-2"/>
          <w:szCs w:val="20"/>
          <w:rtl/>
        </w:rPr>
        <w:t>287</w:t>
      </w:r>
      <w:r w:rsidRPr="009113EE">
        <w:rPr>
          <w:spacing w:val="-2"/>
          <w:rtl/>
        </w:rPr>
        <w:t>-</w:t>
      </w:r>
      <w:r w:rsidRPr="009113EE">
        <w:rPr>
          <w:spacing w:val="-2"/>
          <w:rtl/>
        </w:rPr>
        <w:tab/>
        <w:t>ويضطلع أمين مظالم الاستخبارات، بصفته مراقبا</w:t>
      </w:r>
      <w:r w:rsidR="009113EE" w:rsidRPr="009113EE">
        <w:rPr>
          <w:rFonts w:hint="cs"/>
          <w:spacing w:val="-2"/>
          <w:rtl/>
        </w:rPr>
        <w:t>ً</w:t>
      </w:r>
      <w:r w:rsidRPr="009113EE">
        <w:rPr>
          <w:spacing w:val="-2"/>
          <w:rtl/>
        </w:rPr>
        <w:t xml:space="preserve"> لشرعية الأنشطة الاستخباراتية، بالمهام التالية:</w:t>
      </w:r>
    </w:p>
    <w:p w14:paraId="3B8AE6AC" w14:textId="77777777" w:rsidR="008835DA" w:rsidRPr="00544AC3" w:rsidRDefault="008835DA" w:rsidP="00E51080">
      <w:pPr>
        <w:pStyle w:val="Bullet1GA"/>
        <w:bidi/>
        <w:rPr>
          <w:szCs w:val="20"/>
          <w:lang w:val="ar-SA" w:eastAsia="zh-TW" w:bidi="en-GB"/>
        </w:rPr>
      </w:pPr>
      <w:r>
        <w:rPr>
          <w:rtl/>
        </w:rPr>
        <w:t>الإشراف على شرعية استخدام أساليب جمع المعلومات الاستخباراتية والمعلومات الاستخباراتية، فضلاً عن أنشطة الاستخبارات الأخرى؛</w:t>
      </w:r>
    </w:p>
    <w:p w14:paraId="5AC0270E" w14:textId="77777777" w:rsidR="008835DA" w:rsidRPr="00544AC3" w:rsidRDefault="008835DA" w:rsidP="00E51080">
      <w:pPr>
        <w:pStyle w:val="Bullet1GA"/>
        <w:bidi/>
        <w:rPr>
          <w:szCs w:val="20"/>
          <w:lang w:val="ar-SA" w:eastAsia="zh-TW" w:bidi="en-GB"/>
        </w:rPr>
      </w:pPr>
      <w:r>
        <w:rPr>
          <w:rtl/>
        </w:rPr>
        <w:t>والإشراف على إعمال الحقوق الأساسية وحقوق الإنسان في أنشطة الاستخبارات؛</w:t>
      </w:r>
    </w:p>
    <w:p w14:paraId="18A7245F" w14:textId="77777777" w:rsidR="008835DA" w:rsidRPr="00544AC3" w:rsidRDefault="008835DA" w:rsidP="00E51080">
      <w:pPr>
        <w:pStyle w:val="Bullet1GA"/>
        <w:bidi/>
        <w:rPr>
          <w:szCs w:val="20"/>
          <w:lang w:val="ar-SA" w:eastAsia="zh-TW" w:bidi="en-GB"/>
        </w:rPr>
      </w:pPr>
      <w:r>
        <w:rPr>
          <w:rtl/>
        </w:rPr>
        <w:t>وتعزيز تحقيق الحماية القانونية وأفضل الممارسات ذات الصلة في أنشطة الاستخبارات؛</w:t>
      </w:r>
    </w:p>
    <w:p w14:paraId="5F2B13A5" w14:textId="77777777" w:rsidR="008835DA" w:rsidRPr="00544AC3" w:rsidRDefault="008835DA" w:rsidP="00E51080">
      <w:pPr>
        <w:pStyle w:val="Bullet1GA"/>
        <w:bidi/>
        <w:rPr>
          <w:szCs w:val="20"/>
          <w:lang w:val="ar-SA" w:eastAsia="zh-TW" w:bidi="en-GB"/>
        </w:rPr>
      </w:pPr>
      <w:r>
        <w:rPr>
          <w:rtl/>
        </w:rPr>
        <w:t>ورصد وتقييم مدى الأداء الوظيفي للتشريعات في نطاق اختصاص أمين المظالم وتقديم مقترحات التطوير التي يراها أمين المظالم ضرورية.</w:t>
      </w:r>
    </w:p>
    <w:p w14:paraId="129D978E" w14:textId="77777777" w:rsidR="008835DA" w:rsidRPr="00544AC3" w:rsidRDefault="008835DA" w:rsidP="00E51080">
      <w:pPr>
        <w:pStyle w:val="SingleTxtGA"/>
        <w:rPr>
          <w:szCs w:val="20"/>
          <w:lang w:val="ar-SA" w:eastAsia="zh-TW" w:bidi="en-GB"/>
        </w:rPr>
      </w:pPr>
      <w:r w:rsidRPr="005C19F0">
        <w:rPr>
          <w:szCs w:val="20"/>
          <w:rtl/>
        </w:rPr>
        <w:t>288</w:t>
      </w:r>
      <w:r w:rsidRPr="00EF3655">
        <w:rPr>
          <w:rtl/>
        </w:rPr>
        <w:t>-</w:t>
      </w:r>
      <w:r>
        <w:rPr>
          <w:rtl/>
        </w:rPr>
        <w:tab/>
        <w:t>ويجب أن يُبلَّغ أمين مظالم الاستخبارات، دون تأخير، بجميع الشكاوى المقدمة إلى المحاكم فيما يتعلق بأساليب جمع المعلومات الاستخباراتية، فضلاً عن التراخيص التي تُصدرها المحاكم بشأن أساليب جمع المعلومات الاستخباراتية، والقرارات التي تتخذها سلطات الاستخبارات. ويحق لأمين المظالم الحصول من السلطات وغيرها من الكيانات المناط بها أداء مهام إدارية عامة على المعلومات والتقارير اللازمة لأداء واجباته الرقابية. ويجوز لأمين المظالم أيضاً إجراء عمليات تفتيش في مقرات السلطات العامة والأطراف الأخرى التي تضطلع بمهام الإدارة العامة بغرض مراقبة شرعية أنشطة الاستخبارات في المسائل التي تندرج في عداد اختصاصات أمين المظالم. وفي سياق عمليات التفتيش هذه، يحق لأمين المظالم الوصول إلى جميع الأماكن ونظم المعلومات اللازمة لإجراء المراقبة. ويحق لأمين المظالم الحضور إلى المحكمة والإدلاء بشهادته عند النظر في الإذن باستخدام أحد أساليب جمع المعلومات الاستخباراتية، كما يحق له الطعن في قرار المحكمة.</w:t>
      </w:r>
    </w:p>
    <w:p w14:paraId="42CBEAAB" w14:textId="05D67B09" w:rsidR="008835DA" w:rsidRPr="00C726A7" w:rsidRDefault="008835DA" w:rsidP="001D4BDB">
      <w:pPr>
        <w:pStyle w:val="SingleTxtGA"/>
        <w:rPr>
          <w:szCs w:val="20"/>
          <w:lang w:eastAsia="zh-TW" w:bidi="en-GB"/>
        </w:rPr>
      </w:pPr>
      <w:r w:rsidRPr="005C19F0">
        <w:rPr>
          <w:szCs w:val="20"/>
          <w:rtl/>
        </w:rPr>
        <w:lastRenderedPageBreak/>
        <w:t>289</w:t>
      </w:r>
      <w:r w:rsidRPr="00EF3655">
        <w:rPr>
          <w:rtl/>
        </w:rPr>
        <w:t>-</w:t>
      </w:r>
      <w:r>
        <w:rPr>
          <w:rtl/>
        </w:rPr>
        <w:tab/>
        <w:t>ويجوز لأي شخص يعتقد أن حقوقه قد انتُهكت في إطار أنشطة استخباراتية أو أن إجراءات أخرى غير قانونية قد اتُّخذت، أن يقدّم شكوى إلى أمين مظالم الاستخبارات في مسألة تقع ضمن اختصاصه. ويتخذ أمين المظالم</w:t>
      </w:r>
      <w:r w:rsidRPr="003F2B4F">
        <w:rPr>
          <w:rFonts w:hint="eastAsia"/>
          <w:rtl/>
        </w:rPr>
        <w:t>،</w:t>
      </w:r>
      <w:r w:rsidRPr="003F2B4F">
        <w:rPr>
          <w:rtl/>
        </w:rPr>
        <w:t xml:space="preserve"> بناء على شكوى </w:t>
      </w:r>
      <w:r w:rsidRPr="00B01044">
        <w:rPr>
          <w:rFonts w:hint="eastAsia"/>
          <w:rtl/>
        </w:rPr>
        <w:t>ت</w:t>
      </w:r>
      <w:r w:rsidRPr="00C726A7">
        <w:rPr>
          <w:rFonts w:hint="eastAsia"/>
          <w:rtl/>
        </w:rPr>
        <w:t>ُ</w:t>
      </w:r>
      <w:r w:rsidRPr="003F2B4F">
        <w:rPr>
          <w:rFonts w:hint="eastAsia"/>
          <w:rtl/>
        </w:rPr>
        <w:t>قدَّم</w:t>
      </w:r>
      <w:r w:rsidRPr="003F2B4F">
        <w:rPr>
          <w:rtl/>
        </w:rPr>
        <w:t xml:space="preserve"> </w:t>
      </w:r>
      <w:r w:rsidRPr="00B01044">
        <w:rPr>
          <w:rFonts w:hint="eastAsia"/>
          <w:rtl/>
        </w:rPr>
        <w:t>إليه،</w:t>
      </w:r>
      <w:r>
        <w:rPr>
          <w:rtl/>
        </w:rPr>
        <w:t xml:space="preserve"> التدابير التي يراها</w:t>
      </w:r>
      <w:r w:rsidR="00507B18">
        <w:rPr>
          <w:rtl/>
        </w:rPr>
        <w:t xml:space="preserve"> </w:t>
      </w:r>
      <w:r>
        <w:rPr>
          <w:rtl/>
        </w:rPr>
        <w:t>ضرورية فيما يتعلق بشرعية أنشطة الاستخبارات، أو إعمال الحقوق الأساسية وحقوق الإنسان، أو توفير الحماية القانونية. ويُحصَل على تقرير يعتبره أمين المظالم ضرورياً في القضية.</w:t>
      </w:r>
    </w:p>
    <w:p w14:paraId="23F671EC" w14:textId="77777777" w:rsidR="008835DA" w:rsidRPr="00544AC3" w:rsidRDefault="008835DA" w:rsidP="001D4BDB">
      <w:pPr>
        <w:pStyle w:val="SingleTxtGA"/>
        <w:rPr>
          <w:szCs w:val="20"/>
          <w:lang w:val="ar-SA" w:eastAsia="zh-TW" w:bidi="en-GB"/>
        </w:rPr>
      </w:pPr>
      <w:r w:rsidRPr="005C19F0">
        <w:rPr>
          <w:szCs w:val="20"/>
          <w:rtl/>
        </w:rPr>
        <w:t>290</w:t>
      </w:r>
      <w:r w:rsidRPr="00EF3655">
        <w:rPr>
          <w:rtl/>
        </w:rPr>
        <w:t>-</w:t>
      </w:r>
      <w:r>
        <w:rPr>
          <w:rtl/>
        </w:rPr>
        <w:tab/>
        <w:t>ويمكن لأي شخص جُمعت عنه معلومات استخبارية أو يَشتبه في جمع معلومات استخبارية عنه أن يلتمس من أمين المظالم التحقيق في شرعية الأساليب المستخدمة لجمع المعلومات الاستخباراتية. ويجوز لأمين المظالم أن يأمر بتعليق أو إيقاف الأسلوب المتّبع في جمع المعلومات الاستخبارية إذا اعتبر أمين المظالم أن السلطة قد تصرفت بصورة غير قانونية في إطار أنشطتها الاستخباراتية.</w:t>
      </w:r>
    </w:p>
    <w:p w14:paraId="407D2F5E" w14:textId="77777777" w:rsidR="008835DA" w:rsidRPr="00544AC3" w:rsidRDefault="008835DA" w:rsidP="008649CB">
      <w:pPr>
        <w:pStyle w:val="SingleTxtGA"/>
        <w:rPr>
          <w:szCs w:val="20"/>
          <w:lang w:val="ar-SA" w:eastAsia="zh-TW" w:bidi="en-GB"/>
        </w:rPr>
      </w:pPr>
      <w:r w:rsidRPr="005C19F0">
        <w:rPr>
          <w:szCs w:val="20"/>
          <w:rtl/>
        </w:rPr>
        <w:t>291</w:t>
      </w:r>
      <w:r w:rsidRPr="00EF3655">
        <w:rPr>
          <w:rtl/>
        </w:rPr>
        <w:t>-</w:t>
      </w:r>
      <w:r>
        <w:rPr>
          <w:rtl/>
        </w:rPr>
        <w:tab/>
        <w:t>ويوافي أمين مظالم الاستخبارات كلاً من البرلمان وأمين المظالم البرلماني والحكومة بتقريرٍ سنوي عن الأنشطة المناطة به، ويُحيل أي نتائج هامة تسفر عنها المراقبة إلى اللجنة البرلمانية للمراقبة.</w:t>
      </w:r>
    </w:p>
    <w:p w14:paraId="1D8F11AD" w14:textId="34112080" w:rsidR="008835DA" w:rsidRPr="00544AC3" w:rsidRDefault="008649CB" w:rsidP="008649CB">
      <w:pPr>
        <w:pStyle w:val="H23GA"/>
        <w:rPr>
          <w:szCs w:val="20"/>
          <w:lang w:val="ar-SA" w:eastAsia="zh-TW" w:bidi="en-GB"/>
        </w:rPr>
      </w:pPr>
      <w:bookmarkStart w:id="92" w:name="_Toc32364352"/>
      <w:r>
        <w:rPr>
          <w:rtl/>
        </w:rPr>
        <w:tab/>
      </w:r>
      <w:r w:rsidR="008835DA" w:rsidRPr="00794E95">
        <w:rPr>
          <w:rtl/>
        </w:rPr>
        <w:t>(</w:t>
      </w:r>
      <w:r w:rsidR="008835DA">
        <w:rPr>
          <w:rtl/>
        </w:rPr>
        <w:t>ز</w:t>
      </w:r>
      <w:r w:rsidR="008835DA" w:rsidRPr="00794E95">
        <w:rPr>
          <w:rtl/>
        </w:rPr>
        <w:t>)</w:t>
      </w:r>
      <w:r w:rsidR="008835DA">
        <w:rPr>
          <w:rtl/>
        </w:rPr>
        <w:tab/>
        <w:t>الآليات الإقليمية لحقوق الإنسان</w:t>
      </w:r>
      <w:bookmarkEnd w:id="92"/>
    </w:p>
    <w:p w14:paraId="14A5DC3D" w14:textId="77777777" w:rsidR="008835DA" w:rsidRPr="00544AC3" w:rsidRDefault="008835DA" w:rsidP="008649CB">
      <w:pPr>
        <w:pStyle w:val="H23GA"/>
        <w:rPr>
          <w:szCs w:val="20"/>
          <w:lang w:val="ar-SA" w:eastAsia="zh-TW" w:bidi="en-GB"/>
        </w:rPr>
      </w:pPr>
      <w:bookmarkStart w:id="93" w:name="_Toc32364353"/>
      <w:r>
        <w:rPr>
          <w:rtl/>
        </w:rPr>
        <w:tab/>
      </w:r>
      <w:r>
        <w:rPr>
          <w:rtl/>
        </w:rPr>
        <w:tab/>
        <w:t>مجلس أوروبا والمحكمة الأوروبية لحقوق الإنسان</w:t>
      </w:r>
      <w:bookmarkEnd w:id="93"/>
    </w:p>
    <w:p w14:paraId="39FEC117" w14:textId="43AC0AAE" w:rsidR="008835DA" w:rsidRPr="00C726A7" w:rsidRDefault="008835DA" w:rsidP="008649CB">
      <w:pPr>
        <w:pStyle w:val="SingleTxtGA"/>
        <w:rPr>
          <w:szCs w:val="20"/>
          <w:lang w:eastAsia="zh-TW"/>
        </w:rPr>
      </w:pPr>
      <w:r w:rsidRPr="005C19F0">
        <w:rPr>
          <w:szCs w:val="20"/>
          <w:rtl/>
        </w:rPr>
        <w:t>292</w:t>
      </w:r>
      <w:r w:rsidRPr="00EF3655">
        <w:rPr>
          <w:rtl/>
        </w:rPr>
        <w:t>-</w:t>
      </w:r>
      <w:r>
        <w:rPr>
          <w:rtl/>
        </w:rPr>
        <w:tab/>
        <w:t xml:space="preserve">انضمت فنلندا إلى مجلس أوروبا في عام </w:t>
      </w:r>
      <w:r w:rsidRPr="005C19F0">
        <w:rPr>
          <w:szCs w:val="20"/>
          <w:rtl/>
        </w:rPr>
        <w:t>1989</w:t>
      </w:r>
      <w:r>
        <w:rPr>
          <w:rFonts w:ascii="Traditional Arabic"/>
          <w:szCs w:val="20"/>
          <w:rtl/>
        </w:rPr>
        <w:t>.</w:t>
      </w:r>
      <w:r>
        <w:rPr>
          <w:rtl/>
        </w:rPr>
        <w:t xml:space="preserve"> وصدّقت فنلندا على الاتفاقية الأوروبية لحقوق الإنسان في عام </w:t>
      </w:r>
      <w:r w:rsidRPr="005C19F0">
        <w:rPr>
          <w:szCs w:val="20"/>
          <w:rtl/>
        </w:rPr>
        <w:t>1990</w:t>
      </w:r>
      <w:r>
        <w:rPr>
          <w:rtl/>
        </w:rPr>
        <w:t>، وقبلت في نفس الوقت اختصاص المحكمة الأوروبية لحقوق الإنسان. ونظراً إلى النموذج المزدوج المذكور آنفاً، فإن التصديق على الاتفاقية الأوروبية لحقوق الإنسان تطلب من فنلندا تسنّ جملة من التعديلات التشريعية، وبالتالي فإن مجرد الإنفاذ الشامل لم يكن ممكناً</w:t>
      </w:r>
      <w:r w:rsidR="00507B18">
        <w:rPr>
          <w:rtl/>
        </w:rPr>
        <w:t xml:space="preserve">. </w:t>
      </w:r>
      <w:r>
        <w:rPr>
          <w:rtl/>
        </w:rPr>
        <w:t>وفي سياق التصديق، اعترفت فنلندا باختصاص اللجنة المعنية بحقوق الإنسان في ذلك الوقت بالنظر في البلاغات الواردة من الأفراد، وكذلك باختصاص المحكمة الأوروبية لحقوق الإنسان. ووقع الإنفاذ بسنّ قانون اعتُمد في عملية وضع الدستور، أي بأغلبية ثلثي أعضاء البرلمان. ولكن قبول اختصاص المحكمة الأوروبية لحقوق الإنسان لم يتطلب تعديل دستور فنلندا.</w:t>
      </w:r>
    </w:p>
    <w:p w14:paraId="7D425A48" w14:textId="77777777" w:rsidR="008835DA" w:rsidRPr="00544AC3" w:rsidRDefault="008835DA" w:rsidP="008649CB">
      <w:pPr>
        <w:pStyle w:val="SingleTxtGA"/>
        <w:rPr>
          <w:szCs w:val="20"/>
          <w:lang w:val="ar-SA" w:eastAsia="zh-TW" w:bidi="en-GB"/>
        </w:rPr>
      </w:pPr>
      <w:r w:rsidRPr="005C19F0">
        <w:rPr>
          <w:szCs w:val="20"/>
          <w:rtl/>
        </w:rPr>
        <w:t>293</w:t>
      </w:r>
      <w:r w:rsidRPr="00EF3655">
        <w:rPr>
          <w:rtl/>
        </w:rPr>
        <w:t>-</w:t>
      </w:r>
      <w:r>
        <w:rPr>
          <w:rtl/>
        </w:rPr>
        <w:tab/>
        <w:t xml:space="preserve">وطُلب أيضاً من برلمان آلاند الموافقة على القانون من أجل إتمام التصديق عليه. والنسختان الأصليتان من الاتفاقية الأوروبية لحقوق الإنسان في فنلندا هما النسختان الإنجليزية والفرنسية. وترد الإشارة الأولى إلى الاتفاقية الأوروبية لحقوق الإنسان في السوابق القضائية في حكم أصدرته محكمة الاستئناف في </w:t>
      </w:r>
      <w:r w:rsidRPr="005C19F0">
        <w:rPr>
          <w:szCs w:val="20"/>
          <w:rtl/>
        </w:rPr>
        <w:t>12</w:t>
      </w:r>
      <w:r>
        <w:rPr>
          <w:rtl/>
        </w:rPr>
        <w:t xml:space="preserve"> أيلول/سبتمبر </w:t>
      </w:r>
      <w:r w:rsidRPr="005C19F0">
        <w:rPr>
          <w:szCs w:val="20"/>
          <w:rtl/>
        </w:rPr>
        <w:t>1990</w:t>
      </w:r>
      <w:r>
        <w:rPr>
          <w:rFonts w:ascii="Traditional Arabic"/>
          <w:szCs w:val="20"/>
          <w:rtl/>
        </w:rPr>
        <w:t xml:space="preserve"> </w:t>
      </w:r>
      <w:r w:rsidRPr="00794E95">
        <w:rPr>
          <w:rtl/>
        </w:rPr>
        <w:t>(</w:t>
      </w:r>
      <w:r>
        <w:rPr>
          <w:rtl/>
        </w:rPr>
        <w:t xml:space="preserve">المادة </w:t>
      </w:r>
      <w:r w:rsidRPr="005C19F0">
        <w:rPr>
          <w:szCs w:val="20"/>
          <w:rtl/>
        </w:rPr>
        <w:t>6</w:t>
      </w:r>
      <w:r>
        <w:rPr>
          <w:rtl/>
        </w:rPr>
        <w:t xml:space="preserve"> من الاتفاقية الأوروبية لحقوق الإنسان</w:t>
      </w:r>
      <w:r w:rsidRPr="00794E95">
        <w:rPr>
          <w:rtl/>
        </w:rPr>
        <w:t>)</w:t>
      </w:r>
      <w:r>
        <w:rPr>
          <w:rtl/>
        </w:rPr>
        <w:t>. وبدأت المحكمة العليا تعتد في أحكامها أيضاً بالاتفاقية الأوروبية لحقوق الإنسان وبالأحكام الصادرة عن المحكمة الأوروبية لحقوق الإنسان باعتبارها أحد عناصر تفسير القانون تفسيراً يراعي حقوق الإنسان.</w:t>
      </w:r>
    </w:p>
    <w:p w14:paraId="758E6E92" w14:textId="77777777" w:rsidR="008835DA" w:rsidRPr="00C726A7" w:rsidRDefault="008835DA" w:rsidP="008649CB">
      <w:pPr>
        <w:pStyle w:val="SingleTxtGA"/>
        <w:rPr>
          <w:szCs w:val="20"/>
          <w:lang w:eastAsia="zh-TW" w:bidi="en-GB"/>
        </w:rPr>
      </w:pPr>
      <w:r w:rsidRPr="005C19F0">
        <w:rPr>
          <w:szCs w:val="20"/>
          <w:rtl/>
        </w:rPr>
        <w:t>294</w:t>
      </w:r>
      <w:r w:rsidRPr="00EF3655">
        <w:rPr>
          <w:rtl/>
        </w:rPr>
        <w:t>-</w:t>
      </w:r>
      <w:r>
        <w:rPr>
          <w:rtl/>
        </w:rPr>
        <w:tab/>
        <w:t xml:space="preserve">ويبلغ مجموع عدد الأحكام الصادرة عن المحكمة الأوروبية لحقوق الإنسان في قضايا تتعلق بفنلندا </w:t>
      </w:r>
      <w:r w:rsidRPr="005C19F0">
        <w:rPr>
          <w:szCs w:val="20"/>
          <w:rtl/>
        </w:rPr>
        <w:t>190</w:t>
      </w:r>
      <w:r>
        <w:rPr>
          <w:rtl/>
        </w:rPr>
        <w:t xml:space="preserve"> حكماً، من بينها </w:t>
      </w:r>
      <w:r w:rsidRPr="005C19F0">
        <w:rPr>
          <w:szCs w:val="20"/>
          <w:rtl/>
        </w:rPr>
        <w:t>141</w:t>
      </w:r>
      <w:r>
        <w:rPr>
          <w:rtl/>
        </w:rPr>
        <w:t xml:space="preserve"> حكماً كان لغير صالح الدولة. وفي فنلندا، أثّرت اجتهادات المحكمة الأوروبية لحقوق الإنسان في عدد من المضامير، من بينها تفسير الحقوق المتعلقة بحرية التعبير وحماية الخصوصية فضلاً عن تحقيق التوازن بين هذه الحقوق. وأفضى العديد من الأحكام التي خلصت إلى وجود خرق لشرط المهلة الزمنية المعقولة إلى اعتماد تشريع يُتعلق بالتعويض عن الإجراءات القانونية التي تستغرق زمنا أطول مما ينبغي، بينما اعتمدت المحكمة العليا الفنلندية في القضايا التي تنطوي على تطبيق مبدأ عدم جواز المحاكمة على نفس الجرم مرتين في المجال الضريبي، نهجاً أشد صرامة في بعض الجوانب مقارنة بالمحكمة الأوروبية لحقوق الإنسان.</w:t>
      </w:r>
    </w:p>
    <w:p w14:paraId="7434BEF6" w14:textId="77777777" w:rsidR="008835DA" w:rsidRPr="00544AC3" w:rsidRDefault="008835DA" w:rsidP="008649CB">
      <w:pPr>
        <w:pStyle w:val="SingleTxtGA"/>
        <w:rPr>
          <w:szCs w:val="20"/>
          <w:lang w:val="ar-SA" w:eastAsia="zh-TW" w:bidi="en-GB"/>
        </w:rPr>
      </w:pPr>
      <w:r w:rsidRPr="005C19F0">
        <w:rPr>
          <w:szCs w:val="20"/>
          <w:rtl/>
        </w:rPr>
        <w:lastRenderedPageBreak/>
        <w:t>295</w:t>
      </w:r>
      <w:r w:rsidRPr="00EF3655">
        <w:rPr>
          <w:rtl/>
        </w:rPr>
        <w:t>-</w:t>
      </w:r>
      <w:r>
        <w:rPr>
          <w:rtl/>
        </w:rPr>
        <w:tab/>
        <w:t xml:space="preserve">وفي فنلندا، يضطلع برصد تنفيذ الأحكام الصادرة عن المحكمة الأوروبية لحقوق الإنسان وتنسيقها وكيلُ الحكومة لدى المحكمة الأوروبية لحقوق الإنسان، الذي يرأس وحدة محاكم واتفاقيات حقوق الإنسان لدى وزارة الشؤون الخارجية. وتقيّم الوزارات القطاعية، بالتعاون مع وكيل الحكومة، تدابير تنفيذ الأحكام </w:t>
      </w:r>
      <w:r w:rsidRPr="00794E95">
        <w:rPr>
          <w:rtl/>
        </w:rPr>
        <w:t>(</w:t>
      </w:r>
      <w:r>
        <w:rPr>
          <w:rtl/>
        </w:rPr>
        <w:t>باستثناء دفع التعويضات وتوزيع الأحكام</w:t>
      </w:r>
      <w:r w:rsidRPr="00794E95">
        <w:rPr>
          <w:rtl/>
        </w:rPr>
        <w:t>)</w:t>
      </w:r>
      <w:r>
        <w:rPr>
          <w:rtl/>
        </w:rPr>
        <w:t>، كما يضطلع وكيل الحكومة بإعداد جميع خطط وتقارير العمل.</w:t>
      </w:r>
    </w:p>
    <w:p w14:paraId="268EE12C" w14:textId="77777777" w:rsidR="008835DA" w:rsidRPr="00544AC3" w:rsidRDefault="008835DA" w:rsidP="008649CB">
      <w:pPr>
        <w:pStyle w:val="SingleTxtGA"/>
        <w:rPr>
          <w:szCs w:val="20"/>
          <w:lang w:val="ar-SA" w:eastAsia="zh-TW" w:bidi="en-GB"/>
        </w:rPr>
      </w:pPr>
      <w:r w:rsidRPr="005C19F0">
        <w:rPr>
          <w:szCs w:val="20"/>
          <w:rtl/>
        </w:rPr>
        <w:t>296</w:t>
      </w:r>
      <w:r w:rsidRPr="00EF3655">
        <w:rPr>
          <w:rtl/>
        </w:rPr>
        <w:t>-</w:t>
      </w:r>
      <w:r>
        <w:rPr>
          <w:rtl/>
        </w:rPr>
        <w:tab/>
        <w:t xml:space="preserve">وحتى الآن، تلقّت لجنة وزراء مجلس أوروبا ما مجموعه </w:t>
      </w:r>
      <w:r w:rsidRPr="005C19F0">
        <w:rPr>
          <w:szCs w:val="20"/>
          <w:rtl/>
        </w:rPr>
        <w:t>173</w:t>
      </w:r>
      <w:r>
        <w:rPr>
          <w:rtl/>
        </w:rPr>
        <w:t xml:space="preserve"> قضيّة كانت فنلندا طرفاً فيها، للإشراف على تنفيذها. ومن بين هذه القضايا، أغلقت </w:t>
      </w:r>
      <w:r w:rsidRPr="005C19F0">
        <w:rPr>
          <w:szCs w:val="20"/>
          <w:rtl/>
        </w:rPr>
        <w:t>144</w:t>
      </w:r>
      <w:r>
        <w:rPr>
          <w:rtl/>
        </w:rPr>
        <w:t xml:space="preserve"> قضية مع التوصل إلى تسوية نهائية في حين لا تزال </w:t>
      </w:r>
      <w:r w:rsidRPr="005C19F0">
        <w:rPr>
          <w:szCs w:val="20"/>
          <w:rtl/>
        </w:rPr>
        <w:t>29</w:t>
      </w:r>
      <w:r>
        <w:rPr>
          <w:rtl/>
        </w:rPr>
        <w:t xml:space="preserve"> قضية معلّقة. وفي هذه القضايا، اتُّخذت تدابير تنفيذ وطنية ولكن لم تستكمل بعد التقارير عمّا اتُّخذ من إجراءات.</w:t>
      </w:r>
    </w:p>
    <w:p w14:paraId="52612DEC" w14:textId="77777777" w:rsidR="008835DA" w:rsidRPr="008572F4" w:rsidRDefault="008835DA" w:rsidP="008649CB">
      <w:pPr>
        <w:pStyle w:val="H23GA"/>
        <w:rPr>
          <w:szCs w:val="20"/>
          <w:lang w:eastAsia="zh-TW" w:bidi="en-GB"/>
        </w:rPr>
      </w:pPr>
      <w:bookmarkStart w:id="94" w:name="_Toc32364354"/>
      <w:r>
        <w:rPr>
          <w:rtl/>
        </w:rPr>
        <w:tab/>
      </w:r>
      <w:r>
        <w:rPr>
          <w:rtl/>
        </w:rPr>
        <w:tab/>
        <w:t>الاتحاد الأوروبي</w:t>
      </w:r>
      <w:bookmarkEnd w:id="94"/>
    </w:p>
    <w:p w14:paraId="752BA7E0" w14:textId="07F1941D" w:rsidR="008835DA" w:rsidRPr="00544AC3" w:rsidRDefault="008835DA" w:rsidP="008572F4">
      <w:pPr>
        <w:pStyle w:val="SingleTxtGA"/>
        <w:rPr>
          <w:szCs w:val="20"/>
          <w:lang w:val="ar-SA" w:eastAsia="zh-TW" w:bidi="en-GB"/>
        </w:rPr>
      </w:pPr>
      <w:r w:rsidRPr="005C19F0">
        <w:rPr>
          <w:szCs w:val="20"/>
          <w:rtl/>
        </w:rPr>
        <w:t>297</w:t>
      </w:r>
      <w:r w:rsidRPr="00EF3655">
        <w:rPr>
          <w:rtl/>
        </w:rPr>
        <w:t>-</w:t>
      </w:r>
      <w:r>
        <w:rPr>
          <w:rtl/>
        </w:rPr>
        <w:tab/>
        <w:t>إلى جانب دساتير الدول الأعضاء في الاتحاد الأوروبي، يُعزّز ميثاقُ الاتحاد الأوروبي للحقوق الأساسية بدوره حقوقَ الإنسان والحقوق الأساسية. وعلاوة على ذلك، وُضعت لوائح لتعزيز الحقوق الأساسية داخل الاتحاد الأوروبي. وفي حين أن الميثاق يضطلع بدور تكميلي إلى جانب النظم الوطنية، فإنّه لا يحل محلها. وتضطلع المحاكم الوطنيّة بالبت في القضايا المتعلقة بانتهاكات حقوق الأفراد</w:t>
      </w:r>
      <w:r w:rsidR="007321F6">
        <w:rPr>
          <w:rFonts w:hint="cs"/>
          <w:rtl/>
        </w:rPr>
        <w:t> </w:t>
      </w:r>
      <w:r>
        <w:rPr>
          <w:rtl/>
        </w:rPr>
        <w:t>الأساسية. ويجوز للمفوضية الأوروبية، في حالات خاصة لا تمتثل فيها دولة عضو لقانون الاتحاد</w:t>
      </w:r>
      <w:r w:rsidR="007321F6">
        <w:rPr>
          <w:rFonts w:hint="cs"/>
          <w:rtl/>
        </w:rPr>
        <w:t> </w:t>
      </w:r>
      <w:r>
        <w:rPr>
          <w:rtl/>
        </w:rPr>
        <w:t>الأوروبي وتنتهك حقوق الفرد، رفع دعوى على الدولة العضو أمام محكمة العدل التابعة للاتحاد</w:t>
      </w:r>
      <w:r w:rsidR="007321F6">
        <w:rPr>
          <w:rFonts w:hint="cs"/>
          <w:rtl/>
        </w:rPr>
        <w:t> </w:t>
      </w:r>
      <w:r>
        <w:rPr>
          <w:rtl/>
        </w:rPr>
        <w:t>الأوروبي.</w:t>
      </w:r>
    </w:p>
    <w:p w14:paraId="26D420DB" w14:textId="03E90EB4" w:rsidR="008835DA" w:rsidRPr="008572F4" w:rsidRDefault="008572F4" w:rsidP="008572F4">
      <w:pPr>
        <w:pStyle w:val="H23GA"/>
        <w:rPr>
          <w:szCs w:val="20"/>
          <w:lang w:eastAsia="zh-TW" w:bidi="en-GB"/>
        </w:rPr>
      </w:pPr>
      <w:bookmarkStart w:id="95" w:name="_Toc32364355"/>
      <w:r>
        <w:rPr>
          <w:rtl/>
        </w:rPr>
        <w:tab/>
      </w:r>
      <w:r w:rsidR="008835DA">
        <w:rPr>
          <w:rtl/>
        </w:rPr>
        <w:t>هاء</w:t>
      </w:r>
      <w:r w:rsidR="008835DA" w:rsidRPr="00EF3655">
        <w:rPr>
          <w:rtl/>
        </w:rPr>
        <w:t>-</w:t>
      </w:r>
      <w:r w:rsidR="008835DA">
        <w:rPr>
          <w:rtl/>
        </w:rPr>
        <w:tab/>
        <w:t>إطار تعزيز حقوق الإنسان</w:t>
      </w:r>
      <w:bookmarkEnd w:id="95"/>
    </w:p>
    <w:p w14:paraId="32FD3B5D" w14:textId="1EE5B130" w:rsidR="008835DA" w:rsidRPr="00544AC3" w:rsidRDefault="008572F4" w:rsidP="008572F4">
      <w:pPr>
        <w:pStyle w:val="H23GA"/>
        <w:rPr>
          <w:szCs w:val="20"/>
          <w:lang w:val="ar-SA" w:eastAsia="zh-TW" w:bidi="en-GB"/>
        </w:rPr>
      </w:pPr>
      <w:bookmarkStart w:id="96" w:name="_Toc32364356"/>
      <w:r>
        <w:rPr>
          <w:rtl/>
        </w:rPr>
        <w:tab/>
      </w:r>
      <w:r w:rsidR="008835DA" w:rsidRPr="00794E95">
        <w:rPr>
          <w:rtl/>
        </w:rPr>
        <w:t>(</w:t>
      </w:r>
      <w:r w:rsidR="008835DA">
        <w:rPr>
          <w:rtl/>
        </w:rPr>
        <w:t>أ</w:t>
      </w:r>
      <w:r w:rsidR="008835DA" w:rsidRPr="00794E95">
        <w:rPr>
          <w:rtl/>
        </w:rPr>
        <w:t>)</w:t>
      </w:r>
      <w:r w:rsidR="008835DA">
        <w:rPr>
          <w:rtl/>
        </w:rPr>
        <w:tab/>
        <w:t>برلمان فنلندا</w:t>
      </w:r>
      <w:bookmarkEnd w:id="96"/>
    </w:p>
    <w:p w14:paraId="37DB3567" w14:textId="0937D9EF" w:rsidR="008835DA" w:rsidRPr="00C726A7" w:rsidRDefault="008835DA" w:rsidP="008572F4">
      <w:pPr>
        <w:pStyle w:val="SingleTxtGA"/>
        <w:rPr>
          <w:szCs w:val="20"/>
          <w:lang w:eastAsia="zh-TW" w:bidi="en-GB"/>
        </w:rPr>
      </w:pPr>
      <w:r w:rsidRPr="005C19F0">
        <w:rPr>
          <w:szCs w:val="20"/>
          <w:rtl/>
        </w:rPr>
        <w:t>298</w:t>
      </w:r>
      <w:r w:rsidRPr="00EF3655">
        <w:rPr>
          <w:rtl/>
        </w:rPr>
        <w:t>-</w:t>
      </w:r>
      <w:r>
        <w:rPr>
          <w:rtl/>
        </w:rPr>
        <w:tab/>
        <w:t>تتلخص الفرضية الأساسية في تساوي جميع حقوق الإنسان والحقوق المدنية والسياسية</w:t>
      </w:r>
      <w:r w:rsidR="00507B18">
        <w:rPr>
          <w:rtl/>
        </w:rPr>
        <w:t xml:space="preserve">، </w:t>
      </w:r>
      <w:r>
        <w:rPr>
          <w:rtl/>
        </w:rPr>
        <w:t xml:space="preserve">فضلاً عن الحقوق الاقتصادية والاجتماعية والثقافية إلى جانب جميع حقوق الإنسان الأخرى، من حيث القيمة. وجميع حقوق الإنسان متساوية في الأهمية ومترابطة. والالتزامات في ميدان حقوق الإنسان ملزمة للجهات التي تمارس سلطة عامة على جميع الأصعدة، أي على الصعيد الوطني والإقليمي والمحلي. وبموجب المادة </w:t>
      </w:r>
      <w:r w:rsidRPr="005C19F0">
        <w:rPr>
          <w:szCs w:val="20"/>
          <w:rtl/>
        </w:rPr>
        <w:t>124</w:t>
      </w:r>
      <w:r>
        <w:rPr>
          <w:rtl/>
        </w:rPr>
        <w:t xml:space="preserve"> من دستور فنلندا، لا يجوز تفويض مهمة إدارية عامة إلى جهات أخرى غير السلطات العامة، إلا بموجب قانون أو بمقتضى قانون، إذا لزم ذلك لأداء المهمة على النحو المناسب، وإذا لم تكن الحقوق والحريات الأساسية وسبل الانتصاف القانونية وغيرها من متطلبات الحكم الرشيد معرضة للخطر. وفي هذه الحالة، يراعي الطرف الذي فُوّضت إليه المهمة أيضاً، في أنشطته، احترام الحقوق الأساسية وحقوق الإنسان والامتثال إلى التزامات فنلندا الدولية.</w:t>
      </w:r>
    </w:p>
    <w:p w14:paraId="6F9C895B" w14:textId="3A43E8E9" w:rsidR="008835DA" w:rsidRPr="00544AC3" w:rsidRDefault="008835DA" w:rsidP="008572F4">
      <w:pPr>
        <w:pStyle w:val="SingleTxtGA"/>
        <w:rPr>
          <w:szCs w:val="20"/>
          <w:lang w:val="ar-SA" w:eastAsia="zh-TW" w:bidi="en-GB"/>
        </w:rPr>
      </w:pPr>
      <w:r w:rsidRPr="005C19F0">
        <w:rPr>
          <w:szCs w:val="20"/>
          <w:rtl/>
        </w:rPr>
        <w:t>299</w:t>
      </w:r>
      <w:r w:rsidRPr="00EF3655">
        <w:rPr>
          <w:rtl/>
        </w:rPr>
        <w:t>-</w:t>
      </w:r>
      <w:r>
        <w:rPr>
          <w:rtl/>
        </w:rPr>
        <w:tab/>
        <w:t xml:space="preserve">وعملاً بالمادة </w:t>
      </w:r>
      <w:r w:rsidRPr="005C19F0">
        <w:rPr>
          <w:szCs w:val="20"/>
          <w:rtl/>
        </w:rPr>
        <w:t>3</w:t>
      </w:r>
      <w:r>
        <w:rPr>
          <w:rtl/>
        </w:rPr>
        <w:t xml:space="preserve"> من دستور فنلندا، يمارس البرلمان السلطة التشريعية في فنلندا، ويضطلع أيضاً بالبتّ في شؤون الدولة المالية. ويتعيّن على البرلمان الامتثال للقانون في ممارسته السلطةَ التشريعية. وفي جملة أمور أخرى، يتعيّن على البرلمان، أثناء صياغة التشريعات، أن يحرص على عدم تناقض القوانين مع الدستور، وبالتالي عدم تعارضها مع الحقوق الأساسية وحقوق الإنسان. ويولى الاهتمام إلى الحقوق الأساسية وحقوق الإنسان في صياغة التشريعات خلال عمليات من قبيل</w:t>
      </w:r>
      <w:r w:rsidR="00507B18">
        <w:rPr>
          <w:rtl/>
        </w:rPr>
        <w:t xml:space="preserve"> </w:t>
      </w:r>
      <w:r>
        <w:rPr>
          <w:rtl/>
        </w:rPr>
        <w:t>جمع البيانات وأثناء نظر الحكومة فيها، وتنجَز هاتان العمليتان قبل اعتماد أي قانون ودخوله حيز النفاذ.</w:t>
      </w:r>
    </w:p>
    <w:p w14:paraId="634E5933" w14:textId="77777777" w:rsidR="008835DA" w:rsidRPr="00C726A7" w:rsidRDefault="008835DA" w:rsidP="008572F4">
      <w:pPr>
        <w:pStyle w:val="SingleTxtGA"/>
        <w:rPr>
          <w:szCs w:val="30"/>
          <w:lang w:val="en-GB"/>
        </w:rPr>
      </w:pPr>
      <w:r w:rsidRPr="005C19F0">
        <w:rPr>
          <w:szCs w:val="20"/>
          <w:rtl/>
        </w:rPr>
        <w:lastRenderedPageBreak/>
        <w:t>300</w:t>
      </w:r>
      <w:r w:rsidRPr="00EF3655">
        <w:rPr>
          <w:rtl/>
        </w:rPr>
        <w:t>-</w:t>
      </w:r>
      <w:r>
        <w:rPr>
          <w:rtl/>
        </w:rPr>
        <w:tab/>
        <w:t xml:space="preserve">وتخوّل المادة </w:t>
      </w:r>
      <w:r w:rsidRPr="005C19F0">
        <w:rPr>
          <w:szCs w:val="20"/>
          <w:rtl/>
        </w:rPr>
        <w:t>35</w:t>
      </w:r>
      <w:r>
        <w:rPr>
          <w:rtl/>
        </w:rPr>
        <w:t xml:space="preserve"> من دستور فنلندا البرلمان، لكل فترة انتخابية، تعيين اللجنة الكبرى، ولجنة القانون الدستوري، ولجنة الشؤون الخارجية، ولجنة المالية، ولجنة مراجعة الحسابات، وغيرها من اللجان الدائمة المنصوص عليها في النظام الداخلي للبرلمان. وتتمثل المهمة الرئيسية للجنة القانون الدستوري في إصدار بيانات بشأن مشاريع القوانين التي تُحال إليها للنظر فيها، وكذلك بشأن دستورية المسائل الأخرى، ومدى تأثيرها على الصكوك الدولية لحقوق الإنسان. وتصوغ لجنة القانون الدستوري الدستور والتشريعات ذات الصلة الوثيقة به، مثل التشريع المتعلق بالاستقلال الذاتي لإقليم آلاند، والانتخاب، والجنسية، واللغة، والأحزاب السياسية. ولجنة القانون الدستوري هي لجنة برلمانية خاصة ودائمة.</w:t>
      </w:r>
    </w:p>
    <w:p w14:paraId="4FC0DE28" w14:textId="77777777" w:rsidR="008835DA" w:rsidRPr="00544AC3" w:rsidRDefault="008835DA" w:rsidP="008572F4">
      <w:pPr>
        <w:pStyle w:val="SingleTxtGA"/>
        <w:rPr>
          <w:szCs w:val="20"/>
          <w:lang w:val="ar-SA" w:eastAsia="zh-TW" w:bidi="en-GB"/>
        </w:rPr>
      </w:pPr>
      <w:r w:rsidRPr="005C19F0">
        <w:rPr>
          <w:szCs w:val="20"/>
          <w:rtl/>
        </w:rPr>
        <w:t>301</w:t>
      </w:r>
      <w:r w:rsidRPr="00EF3655">
        <w:rPr>
          <w:rtl/>
        </w:rPr>
        <w:t>-</w:t>
      </w:r>
      <w:r>
        <w:rPr>
          <w:rtl/>
        </w:rPr>
        <w:tab/>
        <w:t xml:space="preserve">وتتألف لجنة القانون الدستوري من </w:t>
      </w:r>
      <w:r w:rsidRPr="005C19F0">
        <w:rPr>
          <w:szCs w:val="20"/>
          <w:rtl/>
        </w:rPr>
        <w:t>17</w:t>
      </w:r>
      <w:r>
        <w:rPr>
          <w:rtl/>
        </w:rPr>
        <w:t xml:space="preserve"> عضواً على الأقل يُعيّنون من بين أعضاء البرلمان. واللجنة مسؤولة عن صياغة التشريعات في المسائل المتعلّقة بسن أو تعديل الدستور أو التشريعات ذات الصلة الوثيقة به. وتتناول تقارير اللجنة عادة الجوانب المتعلقة بالملاءَمة ويمكن أيضاً أن تقدم تفسيراً لدستور فنلندا. وتُقدّم اللجنة، بناء على طلب لجنة أخرى أو جلسة عامة للبرلمان، آراء تقيّم فيها دستورية مشاريع التشريعات المطروحة وعلاقتها بالاتفاقيات الدولية لحقوق الإنسان. ويُطلب من اللجنة عادةً إبداء رأيها بشأن مشاريع التشريعات التي تفتقر إلى علاقة جليّة مع الدستور أو التي لم يسبق للجنة أن أبدت رأيها في الموضوع الذي تتناوله.</w:t>
      </w:r>
    </w:p>
    <w:p w14:paraId="35177C33" w14:textId="77777777" w:rsidR="008835DA" w:rsidRPr="00544AC3" w:rsidRDefault="008835DA" w:rsidP="008572F4">
      <w:pPr>
        <w:pStyle w:val="SingleTxtGA"/>
        <w:rPr>
          <w:szCs w:val="20"/>
          <w:lang w:val="ar-SA" w:eastAsia="zh-TW" w:bidi="en-GB"/>
        </w:rPr>
      </w:pPr>
      <w:r w:rsidRPr="005C19F0">
        <w:rPr>
          <w:szCs w:val="20"/>
          <w:rtl/>
        </w:rPr>
        <w:t>302</w:t>
      </w:r>
      <w:r w:rsidRPr="00EF3655">
        <w:rPr>
          <w:rtl/>
        </w:rPr>
        <w:t>-</w:t>
      </w:r>
      <w:r>
        <w:rPr>
          <w:rtl/>
        </w:rPr>
        <w:tab/>
        <w:t>وفي ظل تحمّل لجنة القانون الدستوري مسؤولية امتثال التشريعات للدستور، جرت العادة على أن تجري اللجنة مشاورات، عند إعداد رأي ما، على سبيل المثال، مع خبراء في القانون الدستوري، وكذلك في فروع القانون الأخرى، من وقت لآخر، وفقاً للممارسة المتبعة واستناداً إلى النظام الداخلي للبرلمان. وأجرت اللجنة مشاورات مستفيضة مع باحثين وأساتذة قانون. وبات مبدأ التشاور مع الخبراء الذي تتبعه لجنة القانون الدستوري ممارسة راسخة وشائعة وواسعة النطاق من حيث الأشخاص المشاركين فيها بحيث يمكن اعتبارها بحكم الواقع أهم أدوات اللجنة في الإشراف المسبق على امتثال التشريعات للدستور. وتجري عملية التشاور نفسها في كثير من الحالات كتابةً، أي أنه يُطلب من الخبراء تقديم رأيهم كتابةً في المسألة قيد البحث.</w:t>
      </w:r>
    </w:p>
    <w:p w14:paraId="610477EF" w14:textId="4BEDFBFE" w:rsidR="008835DA" w:rsidRPr="008572F4" w:rsidRDefault="008572F4" w:rsidP="008572F4">
      <w:pPr>
        <w:pStyle w:val="H23GA"/>
        <w:rPr>
          <w:szCs w:val="20"/>
          <w:lang w:eastAsia="zh-TW" w:bidi="en-GB"/>
        </w:rPr>
      </w:pPr>
      <w:bookmarkStart w:id="97" w:name="_Toc32364357"/>
      <w:r>
        <w:rPr>
          <w:rtl/>
        </w:rPr>
        <w:tab/>
      </w:r>
      <w:r w:rsidR="008835DA" w:rsidRPr="00794E95">
        <w:rPr>
          <w:rtl/>
        </w:rPr>
        <w:t>(</w:t>
      </w:r>
      <w:r w:rsidR="008835DA">
        <w:rPr>
          <w:rtl/>
        </w:rPr>
        <w:t>ب</w:t>
      </w:r>
      <w:r w:rsidR="008835DA" w:rsidRPr="00794E95">
        <w:rPr>
          <w:rtl/>
        </w:rPr>
        <w:t>)</w:t>
      </w:r>
      <w:r w:rsidR="008835DA">
        <w:rPr>
          <w:rtl/>
        </w:rPr>
        <w:tab/>
        <w:t>الحكومة المحلية</w:t>
      </w:r>
      <w:bookmarkEnd w:id="97"/>
    </w:p>
    <w:p w14:paraId="0379E9A3" w14:textId="77777777" w:rsidR="008835DA" w:rsidRPr="00544AC3" w:rsidRDefault="008835DA" w:rsidP="008572F4">
      <w:pPr>
        <w:pStyle w:val="SingleTxtGA"/>
        <w:rPr>
          <w:szCs w:val="20"/>
          <w:lang w:val="ar-SA" w:eastAsia="zh-TW" w:bidi="en-GB"/>
        </w:rPr>
      </w:pPr>
      <w:r w:rsidRPr="005C19F0">
        <w:rPr>
          <w:szCs w:val="20"/>
          <w:rtl/>
        </w:rPr>
        <w:t>303</w:t>
      </w:r>
      <w:r w:rsidRPr="00EF3655">
        <w:rPr>
          <w:rtl/>
        </w:rPr>
        <w:t>-</w:t>
      </w:r>
      <w:r>
        <w:rPr>
          <w:rtl/>
        </w:rPr>
        <w:tab/>
        <w:t xml:space="preserve">يجب تعزيز حقوق الإنسان أيضاً على مستوى الحكومات المحلية. ويستند هذا الالتزام إلى المادة </w:t>
      </w:r>
      <w:r w:rsidRPr="005C19F0">
        <w:rPr>
          <w:szCs w:val="20"/>
          <w:rtl/>
        </w:rPr>
        <w:t>22</w:t>
      </w:r>
      <w:r>
        <w:rPr>
          <w:rtl/>
        </w:rPr>
        <w:t xml:space="preserve"> من دستور فنلندا، التي يشير فيها مصطلح "السلطات العامة" إلى كلٍّ من الحكومة المركزية والحكومة المحلية. فواجب السلطات العامة المتمثّل في ضمان الحقوق والحريات الأساسية وحقوق الإنسان امتداد لنظام حقوق الإنسان المتضمن لجزاءات، كما يتضح من حقيقة أن هذه الأحكام تساوي بين الحقوق الأساسية وحقوق الإنسان. ومع ذلك، لا توجد جزاءات فيما يتعلق بواجب الحكومة المحلية أن تضمن الحقوق الأساسية وحقوق الإنسان. إلا أنّ المصالح القانونية التي تتحقق من الحقوق الأساسية وحقوق الإنسان متقاربة جداً لدرجة أن الإجراءات التي تتخذها السلطات العامة في كثير من الحالات تحقق كلا الهدفين.</w:t>
      </w:r>
    </w:p>
    <w:p w14:paraId="7704D593" w14:textId="2C4E1E52" w:rsidR="008835DA" w:rsidRPr="00544AC3" w:rsidRDefault="008572F4" w:rsidP="008572F4">
      <w:pPr>
        <w:pStyle w:val="H23GA"/>
        <w:rPr>
          <w:szCs w:val="20"/>
          <w:lang w:val="ar-SA" w:eastAsia="zh-TW" w:bidi="en-GB"/>
        </w:rPr>
      </w:pPr>
      <w:bookmarkStart w:id="98" w:name="_Toc32364358"/>
      <w:r>
        <w:rPr>
          <w:rtl/>
        </w:rPr>
        <w:tab/>
      </w:r>
      <w:r w:rsidR="008835DA" w:rsidRPr="00794E95">
        <w:rPr>
          <w:rtl/>
        </w:rPr>
        <w:t>(</w:t>
      </w:r>
      <w:r w:rsidR="008835DA">
        <w:rPr>
          <w:rtl/>
        </w:rPr>
        <w:t>ج</w:t>
      </w:r>
      <w:r w:rsidR="008835DA" w:rsidRPr="00794E95">
        <w:rPr>
          <w:rtl/>
        </w:rPr>
        <w:t>)</w:t>
      </w:r>
      <w:r w:rsidR="008835DA">
        <w:rPr>
          <w:rtl/>
        </w:rPr>
        <w:tab/>
        <w:t>المؤسسة الوطنية لحقوق الإنسان</w:t>
      </w:r>
      <w:bookmarkEnd w:id="98"/>
    </w:p>
    <w:p w14:paraId="0F824D8F" w14:textId="0AC932A1" w:rsidR="008835DA" w:rsidRPr="00823ED2" w:rsidRDefault="008835DA" w:rsidP="008572F4">
      <w:pPr>
        <w:pStyle w:val="SingleTxtGA"/>
        <w:rPr>
          <w:szCs w:val="20"/>
          <w:lang w:eastAsia="zh-TW" w:bidi="en-GB"/>
        </w:rPr>
      </w:pPr>
      <w:r w:rsidRPr="005C19F0">
        <w:rPr>
          <w:szCs w:val="20"/>
          <w:rtl/>
        </w:rPr>
        <w:t>304</w:t>
      </w:r>
      <w:r w:rsidRPr="00EF3655">
        <w:rPr>
          <w:rtl/>
        </w:rPr>
        <w:t>-</w:t>
      </w:r>
      <w:r>
        <w:rPr>
          <w:rtl/>
        </w:rPr>
        <w:tab/>
        <w:t xml:space="preserve">تتألف المؤسسة الوطنية لحقوق الإنسان في فنلندا من مركز حقوق الإنسان </w:t>
      </w:r>
      <w:r w:rsidRPr="00F401EC">
        <w:rPr>
          <w:rFonts w:hint="eastAsia"/>
          <w:rtl/>
        </w:rPr>
        <w:t>و</w:t>
      </w:r>
      <w:r w:rsidRPr="00C726A7">
        <w:rPr>
          <w:rFonts w:hint="eastAsia"/>
          <w:rtl/>
        </w:rPr>
        <w:t>مفوضيته</w:t>
      </w:r>
      <w:r w:rsidR="00507B18">
        <w:rPr>
          <w:rtl/>
        </w:rPr>
        <w:t xml:space="preserve"> </w:t>
      </w:r>
      <w:r>
        <w:rPr>
          <w:rtl/>
        </w:rPr>
        <w:t xml:space="preserve">إلى جانب أمين المظالم البرلماني. واعتُمدت المؤسسة الوطنية لحقوق الإنسان في فنلندا في الفئة "ألف" في عامي </w:t>
      </w:r>
      <w:r w:rsidRPr="005C19F0">
        <w:rPr>
          <w:szCs w:val="20"/>
          <w:rtl/>
        </w:rPr>
        <w:t>2014</w:t>
      </w:r>
      <w:r>
        <w:rPr>
          <w:rtl/>
        </w:rPr>
        <w:t xml:space="preserve"> و</w:t>
      </w:r>
      <w:r w:rsidRPr="005C19F0">
        <w:rPr>
          <w:szCs w:val="20"/>
          <w:rtl/>
        </w:rPr>
        <w:t>2019</w:t>
      </w:r>
      <w:r w:rsidRPr="00823ED2">
        <w:rPr>
          <w:rtl/>
        </w:rPr>
        <w:t xml:space="preserve">. </w:t>
      </w:r>
    </w:p>
    <w:p w14:paraId="14E622D2" w14:textId="77777777" w:rsidR="008835DA" w:rsidRPr="00544AC3" w:rsidRDefault="008835DA" w:rsidP="008572F4">
      <w:pPr>
        <w:pStyle w:val="SingleTxtGA"/>
        <w:rPr>
          <w:szCs w:val="20"/>
          <w:lang w:val="ar-SA" w:eastAsia="zh-TW" w:bidi="en-GB"/>
        </w:rPr>
      </w:pPr>
      <w:r w:rsidRPr="005C19F0">
        <w:rPr>
          <w:szCs w:val="20"/>
          <w:rtl/>
        </w:rPr>
        <w:lastRenderedPageBreak/>
        <w:t>305</w:t>
      </w:r>
      <w:r w:rsidRPr="00EF3655">
        <w:rPr>
          <w:rtl/>
        </w:rPr>
        <w:t>-</w:t>
      </w:r>
      <w:r>
        <w:rPr>
          <w:rtl/>
        </w:rPr>
        <w:tab/>
        <w:t xml:space="preserve">وتضطلع المؤسسة الوطنية لحقوق الإنسان ككل بتعزيز وحماية ورصد تنفيذ اتفاقية الأمم المتحدة لحقوق الأشخاص ذوي الإعاقة بناء على أحد القوانين تماشياً مع المادة </w:t>
      </w:r>
      <w:r w:rsidRPr="005C19F0">
        <w:rPr>
          <w:szCs w:val="20"/>
          <w:rtl/>
        </w:rPr>
        <w:t>33</w:t>
      </w:r>
      <w:r w:rsidRPr="00794E95">
        <w:rPr>
          <w:rtl/>
        </w:rPr>
        <w:t>(</w:t>
      </w:r>
      <w:r w:rsidRPr="005C19F0">
        <w:rPr>
          <w:szCs w:val="20"/>
          <w:rtl/>
        </w:rPr>
        <w:t>2</w:t>
      </w:r>
      <w:r w:rsidRPr="00794E95">
        <w:rPr>
          <w:rtl/>
        </w:rPr>
        <w:t>)</w:t>
      </w:r>
      <w:r>
        <w:rPr>
          <w:rtl/>
        </w:rPr>
        <w:t xml:space="preserve"> من الاتفاقية. </w:t>
      </w:r>
    </w:p>
    <w:p w14:paraId="5BD28AC9" w14:textId="77777777" w:rsidR="008835DA" w:rsidRPr="00544AC3" w:rsidRDefault="008835DA" w:rsidP="008572F4">
      <w:pPr>
        <w:pStyle w:val="SingleTxtGA"/>
        <w:rPr>
          <w:szCs w:val="20"/>
          <w:lang w:val="ar-SA" w:eastAsia="zh-TW" w:bidi="en-GB"/>
        </w:rPr>
      </w:pPr>
      <w:r w:rsidRPr="005C19F0">
        <w:rPr>
          <w:szCs w:val="20"/>
          <w:rtl/>
        </w:rPr>
        <w:t>306</w:t>
      </w:r>
      <w:r w:rsidRPr="00EF3655">
        <w:rPr>
          <w:rtl/>
        </w:rPr>
        <w:t>-</w:t>
      </w:r>
      <w:r>
        <w:rPr>
          <w:rtl/>
        </w:rPr>
        <w:tab/>
        <w:t>وتولي أنشطة المؤسسات الوطنية لحقوق الإنسان تركيزاً إضافياً إلى تعزيز حقوق كبار السن من أجل توطيد المنظور التشريعي في الأنشطة وصنع القرارات فيما يتعلق بكبار السن، وكذلك على نطاق أوسع فيما يتعلق بالمواقف السلوكية.</w:t>
      </w:r>
    </w:p>
    <w:p w14:paraId="37231936" w14:textId="77777777" w:rsidR="008835DA" w:rsidRPr="00544AC3" w:rsidRDefault="008835DA" w:rsidP="008572F4">
      <w:pPr>
        <w:pStyle w:val="H23GA"/>
        <w:rPr>
          <w:szCs w:val="20"/>
          <w:shd w:val="clear" w:color="auto" w:fill="FFFFFF"/>
          <w:lang w:val="ar-SA" w:eastAsia="zh-TW" w:bidi="en-GB"/>
        </w:rPr>
      </w:pPr>
      <w:bookmarkStart w:id="99" w:name="_Toc32364359"/>
      <w:r>
        <w:rPr>
          <w:rtl/>
        </w:rPr>
        <w:tab/>
      </w:r>
      <w:r>
        <w:rPr>
          <w:rtl/>
        </w:rPr>
        <w:tab/>
        <w:t>مركز حقوق الإنسان</w:t>
      </w:r>
      <w:bookmarkEnd w:id="99"/>
    </w:p>
    <w:p w14:paraId="588AFE70" w14:textId="59330A46" w:rsidR="008835DA" w:rsidRPr="00C726A7" w:rsidRDefault="008835DA" w:rsidP="008572F4">
      <w:pPr>
        <w:pStyle w:val="SingleTxtGA"/>
        <w:rPr>
          <w:szCs w:val="20"/>
          <w:shd w:val="clear" w:color="auto" w:fill="FFFFFF"/>
          <w:lang w:eastAsia="zh-TW" w:bidi="en-GB"/>
        </w:rPr>
      </w:pPr>
      <w:r w:rsidRPr="005C19F0">
        <w:rPr>
          <w:szCs w:val="20"/>
          <w:rtl/>
        </w:rPr>
        <w:t>307</w:t>
      </w:r>
      <w:r w:rsidRPr="00EF3655">
        <w:rPr>
          <w:rtl/>
        </w:rPr>
        <w:t>-</w:t>
      </w:r>
      <w:r>
        <w:rPr>
          <w:rtl/>
        </w:rPr>
        <w:tab/>
        <w:t xml:space="preserve">استهل مركز حقوق الإنسان مهامه في آذار/مارس </w:t>
      </w:r>
      <w:r w:rsidRPr="005C19F0">
        <w:rPr>
          <w:szCs w:val="20"/>
          <w:rtl/>
        </w:rPr>
        <w:t>2012</w:t>
      </w:r>
      <w:r w:rsidRPr="0077153D">
        <w:rPr>
          <w:rtl/>
        </w:rPr>
        <w:t>.</w:t>
      </w:r>
      <w:r>
        <w:rPr>
          <w:rtl/>
        </w:rPr>
        <w:t xml:space="preserve"> وقد حدّد المهام المناطة به القانونُ المتعلّق بأمين المظالم البرلماني</w:t>
      </w:r>
      <w:r w:rsidR="00507B18">
        <w:rPr>
          <w:rtl/>
        </w:rPr>
        <w:t xml:space="preserve">. </w:t>
      </w:r>
      <w:r>
        <w:rPr>
          <w:rtl/>
        </w:rPr>
        <w:t>ويعدّ مركز حقوق الإنسان مؤسسة خبراء مستقلةً وقائمة بذاتها، مكلفة بمهمة تعزيز إعمال الحقوق الأساسية وحقوق الإنسان وتوطيد التعاون وتبادل المعلومات بين مختلف الجهات الفاعلة. وتجمع بينه وبين مكتب أمين المظالم البرلماني روابط إدارية.</w:t>
      </w:r>
    </w:p>
    <w:p w14:paraId="674FF603" w14:textId="77777777" w:rsidR="008835DA" w:rsidRPr="00544AC3" w:rsidRDefault="008835DA" w:rsidP="008572F4">
      <w:pPr>
        <w:pStyle w:val="SingleTxtGA"/>
        <w:rPr>
          <w:szCs w:val="20"/>
          <w:shd w:val="clear" w:color="auto" w:fill="FFFFFF"/>
          <w:lang w:val="ar-SA" w:eastAsia="zh-TW" w:bidi="en-GB"/>
        </w:rPr>
      </w:pPr>
      <w:r w:rsidRPr="005C19F0">
        <w:rPr>
          <w:szCs w:val="20"/>
          <w:rtl/>
        </w:rPr>
        <w:t>308</w:t>
      </w:r>
      <w:r w:rsidRPr="00EF3655">
        <w:rPr>
          <w:rtl/>
        </w:rPr>
        <w:t>-</w:t>
      </w:r>
      <w:r>
        <w:rPr>
          <w:rtl/>
        </w:rPr>
        <w:tab/>
        <w:t>ويضطلع مركز حقوق الإنسان بالمهام القانونية التالية</w:t>
      </w:r>
      <w:r w:rsidRPr="00BB79C1">
        <w:rPr>
          <w:rtl/>
        </w:rPr>
        <w:t>:</w:t>
      </w:r>
    </w:p>
    <w:p w14:paraId="019DBD71" w14:textId="77777777" w:rsidR="008835DA" w:rsidRPr="00544AC3" w:rsidRDefault="008835DA" w:rsidP="008572F4">
      <w:pPr>
        <w:pStyle w:val="Bullet1GA"/>
        <w:bidi/>
        <w:rPr>
          <w:szCs w:val="20"/>
          <w:lang w:val="ar-SA" w:eastAsia="zh-TW" w:bidi="en-GB"/>
        </w:rPr>
      </w:pPr>
      <w:r>
        <w:rPr>
          <w:rtl/>
        </w:rPr>
        <w:t>تعزيز توفير المعلومات والتدريب والتثقيف والبحث في مجال الحقوق الأساسية وحقوق الإنسان؛</w:t>
      </w:r>
    </w:p>
    <w:p w14:paraId="1B793E31" w14:textId="77777777" w:rsidR="008835DA" w:rsidRPr="00544AC3" w:rsidRDefault="008835DA" w:rsidP="008572F4">
      <w:pPr>
        <w:pStyle w:val="Bullet1GA"/>
        <w:bidi/>
        <w:rPr>
          <w:szCs w:val="20"/>
          <w:lang w:val="ar-SA" w:eastAsia="zh-TW" w:bidi="en-GB"/>
        </w:rPr>
      </w:pPr>
      <w:r>
        <w:rPr>
          <w:rtl/>
        </w:rPr>
        <w:t>وإعداد تقارير عن إعمال الحقوق الأساسية وحقوق الإنسان؛</w:t>
      </w:r>
    </w:p>
    <w:p w14:paraId="1553A2BD" w14:textId="77777777" w:rsidR="008835DA" w:rsidRPr="00544AC3" w:rsidRDefault="008835DA" w:rsidP="008572F4">
      <w:pPr>
        <w:pStyle w:val="Bullet1GA"/>
        <w:bidi/>
        <w:rPr>
          <w:szCs w:val="20"/>
          <w:lang w:val="ar-SA" w:eastAsia="zh-TW" w:bidi="en-GB"/>
        </w:rPr>
      </w:pPr>
      <w:r>
        <w:rPr>
          <w:rtl/>
        </w:rPr>
        <w:t>واتخاذ مبادرات وتقديم بيانات لتعزيز الحقوق الأساسية وحقوق الإنسان وإعمالها؛</w:t>
      </w:r>
    </w:p>
    <w:p w14:paraId="4496EFD5" w14:textId="77777777" w:rsidR="008835DA" w:rsidRPr="00544AC3" w:rsidRDefault="008835DA" w:rsidP="008572F4">
      <w:pPr>
        <w:pStyle w:val="Bullet1GA"/>
        <w:bidi/>
        <w:rPr>
          <w:szCs w:val="20"/>
          <w:lang w:val="ar-SA" w:eastAsia="zh-TW" w:bidi="en-GB"/>
        </w:rPr>
      </w:pPr>
      <w:r>
        <w:rPr>
          <w:rtl/>
        </w:rPr>
        <w:t>والمشاركة في التعاون الأوروبي والدولي على تعزيز الحقوق الأساسية وحقوق الإنسان وحمايتها؛</w:t>
      </w:r>
    </w:p>
    <w:p w14:paraId="6D7BA54A" w14:textId="77777777" w:rsidR="008835DA" w:rsidRPr="00544AC3" w:rsidRDefault="008835DA" w:rsidP="008572F4">
      <w:pPr>
        <w:pStyle w:val="Bullet1GA"/>
        <w:bidi/>
        <w:rPr>
          <w:szCs w:val="20"/>
          <w:lang w:val="ar-SA" w:eastAsia="zh-TW" w:bidi="en-GB"/>
        </w:rPr>
      </w:pPr>
      <w:r>
        <w:rPr>
          <w:rtl/>
        </w:rPr>
        <w:t>والاضطلاع بغيرها من المهام المماثلة ذات الصلة بتعزيز الحقوق الأساسية وحقوق الإنسان وإعمالها؛</w:t>
      </w:r>
    </w:p>
    <w:p w14:paraId="3B810769" w14:textId="77777777" w:rsidR="008835DA" w:rsidRPr="00544AC3" w:rsidRDefault="008835DA" w:rsidP="008572F4">
      <w:pPr>
        <w:pStyle w:val="Bullet1GA"/>
        <w:bidi/>
        <w:rPr>
          <w:szCs w:val="20"/>
          <w:lang w:val="ar-SA" w:eastAsia="zh-TW" w:bidi="en-GB"/>
        </w:rPr>
      </w:pPr>
      <w:r>
        <w:rPr>
          <w:rtl/>
        </w:rPr>
        <w:t>وتعزيز وحماية ورصد تنفيذ اتفاقية الأمم المتحدة لحقوق الأشخاص ذوي الإعاقة.</w:t>
      </w:r>
    </w:p>
    <w:p w14:paraId="600626FA" w14:textId="77777777" w:rsidR="008835DA" w:rsidRPr="00544AC3" w:rsidRDefault="008835DA" w:rsidP="008572F4">
      <w:pPr>
        <w:pStyle w:val="SingleTxtGA"/>
        <w:rPr>
          <w:rFonts w:eastAsia="Calibri"/>
          <w:szCs w:val="20"/>
          <w:lang w:val="ar-SA" w:eastAsia="zh-TW" w:bidi="en-GB"/>
        </w:rPr>
      </w:pPr>
      <w:r w:rsidRPr="005C19F0">
        <w:rPr>
          <w:szCs w:val="20"/>
          <w:rtl/>
        </w:rPr>
        <w:t>309</w:t>
      </w:r>
      <w:r w:rsidRPr="00EF3655">
        <w:rPr>
          <w:rtl/>
        </w:rPr>
        <w:t>-</w:t>
      </w:r>
      <w:r>
        <w:rPr>
          <w:rtl/>
        </w:rPr>
        <w:tab/>
        <w:t>ولا ينظر المركز في الشكاوى أو الحالات الفردية الأخرى.</w:t>
      </w:r>
    </w:p>
    <w:p w14:paraId="67122ADF" w14:textId="77777777" w:rsidR="008835DA" w:rsidRPr="00544AC3" w:rsidRDefault="008835DA" w:rsidP="008572F4">
      <w:pPr>
        <w:pStyle w:val="SingleTxtGA"/>
        <w:rPr>
          <w:szCs w:val="20"/>
          <w:lang w:val="ar-SA" w:eastAsia="zh-TW" w:bidi="en-GB"/>
        </w:rPr>
      </w:pPr>
      <w:r w:rsidRPr="005C19F0">
        <w:rPr>
          <w:szCs w:val="20"/>
          <w:rtl/>
        </w:rPr>
        <w:t>310</w:t>
      </w:r>
      <w:r w:rsidRPr="00EF3655">
        <w:rPr>
          <w:rtl/>
        </w:rPr>
        <w:t>-</w:t>
      </w:r>
      <w:r>
        <w:rPr>
          <w:rtl/>
        </w:rPr>
        <w:tab/>
        <w:t>ويرصد المركز الامتثال للصكوك الدولية لحقوق الإنسان في فنلندا، وتنفيذ الملاحظات الختامية التي تعتمدها هيئات رصد المعاهدات الدولية المتعلقة بفنلندا، وتنفيذ الأحكام وغيرها من قرارات المحكمة الأوروبية لحقوق الإنسان وهيئات المعاهدات الدولية الأخرى.</w:t>
      </w:r>
    </w:p>
    <w:p w14:paraId="3F0395FD" w14:textId="77777777" w:rsidR="008835DA" w:rsidRPr="00C726A7" w:rsidRDefault="008835DA" w:rsidP="008572F4">
      <w:pPr>
        <w:pStyle w:val="SingleTxtGA"/>
        <w:rPr>
          <w:szCs w:val="20"/>
          <w:lang w:eastAsia="zh-TW" w:bidi="en-GB"/>
        </w:rPr>
      </w:pPr>
      <w:r w:rsidRPr="005C19F0">
        <w:rPr>
          <w:szCs w:val="20"/>
          <w:rtl/>
        </w:rPr>
        <w:t>311</w:t>
      </w:r>
      <w:r w:rsidRPr="00EF3655">
        <w:rPr>
          <w:rtl/>
        </w:rPr>
        <w:t>-</w:t>
      </w:r>
      <w:r>
        <w:rPr>
          <w:rtl/>
        </w:rPr>
        <w:tab/>
        <w:t>ويشارك المركز في تعاون دولي واسع النطاق داخل الشبكة الأوروبية للمؤسسات الوطنية لحقوق الإنسان والتحالف العالمي للمؤسسات الوطنية لحقوق الإنسان، فضلاً عن أفرقة العمل المواضيعية التابعة لها.</w:t>
      </w:r>
    </w:p>
    <w:p w14:paraId="079DD0BF" w14:textId="77777777" w:rsidR="008835DA" w:rsidRPr="00544AC3" w:rsidRDefault="008835DA" w:rsidP="008572F4">
      <w:pPr>
        <w:pStyle w:val="H23GA"/>
        <w:rPr>
          <w:szCs w:val="20"/>
          <w:lang w:val="ar-SA" w:eastAsia="zh-TW" w:bidi="en-GB"/>
        </w:rPr>
      </w:pPr>
      <w:bookmarkStart w:id="100" w:name="_Toc32364360"/>
      <w:r>
        <w:rPr>
          <w:rtl/>
        </w:rPr>
        <w:tab/>
      </w:r>
      <w:r>
        <w:rPr>
          <w:rtl/>
        </w:rPr>
        <w:tab/>
      </w:r>
      <w:r w:rsidRPr="008572F4">
        <w:rPr>
          <w:rFonts w:hint="eastAsia"/>
          <w:rtl/>
        </w:rPr>
        <w:t>م</w:t>
      </w:r>
      <w:r w:rsidRPr="008572F4">
        <w:rPr>
          <w:rtl/>
        </w:rPr>
        <w:t>فوض</w:t>
      </w:r>
      <w:r w:rsidRPr="008572F4">
        <w:rPr>
          <w:rFonts w:hint="eastAsia"/>
          <w:rtl/>
        </w:rPr>
        <w:t>ية</w:t>
      </w:r>
      <w:r>
        <w:rPr>
          <w:rtl/>
        </w:rPr>
        <w:t xml:space="preserve"> حقوق الإنسان</w:t>
      </w:r>
      <w:bookmarkEnd w:id="100"/>
    </w:p>
    <w:p w14:paraId="4C5DEDF4" w14:textId="77777777" w:rsidR="008835DA" w:rsidRPr="00544AC3" w:rsidRDefault="008835DA" w:rsidP="008572F4">
      <w:pPr>
        <w:pStyle w:val="SingleTxtGA"/>
        <w:rPr>
          <w:szCs w:val="20"/>
          <w:lang w:val="ar-SA" w:eastAsia="zh-TW" w:bidi="en-GB"/>
        </w:rPr>
      </w:pPr>
      <w:r w:rsidRPr="005C19F0">
        <w:rPr>
          <w:szCs w:val="20"/>
          <w:rtl/>
        </w:rPr>
        <w:t>312</w:t>
      </w:r>
      <w:r w:rsidRPr="00EF3655">
        <w:rPr>
          <w:rtl/>
        </w:rPr>
        <w:t>-</w:t>
      </w:r>
      <w:r>
        <w:rPr>
          <w:rtl/>
        </w:rPr>
        <w:tab/>
        <w:t xml:space="preserve">لدى مركز حقوق الإنسان </w:t>
      </w:r>
      <w:r w:rsidRPr="003F25C1">
        <w:rPr>
          <w:rFonts w:hint="eastAsia"/>
          <w:rtl/>
        </w:rPr>
        <w:t>م</w:t>
      </w:r>
      <w:r w:rsidRPr="00C726A7">
        <w:rPr>
          <w:rFonts w:hint="eastAsia"/>
          <w:rtl/>
        </w:rPr>
        <w:t>فوض</w:t>
      </w:r>
      <w:r w:rsidRPr="003F25C1">
        <w:rPr>
          <w:rFonts w:hint="eastAsia"/>
          <w:rtl/>
        </w:rPr>
        <w:t>ية</w:t>
      </w:r>
      <w:r w:rsidRPr="003F25C1">
        <w:rPr>
          <w:rtl/>
        </w:rPr>
        <w:t xml:space="preserve"> لحقوق الإنسان تضم </w:t>
      </w:r>
      <w:r w:rsidRPr="005C19F0">
        <w:rPr>
          <w:szCs w:val="20"/>
          <w:rtl/>
        </w:rPr>
        <w:t>20</w:t>
      </w:r>
      <w:r w:rsidRPr="003F25C1">
        <w:rPr>
          <w:rtl/>
        </w:rPr>
        <w:t xml:space="preserve"> إلى </w:t>
      </w:r>
      <w:r w:rsidRPr="005C19F0">
        <w:rPr>
          <w:szCs w:val="20"/>
          <w:rtl/>
        </w:rPr>
        <w:t>40</w:t>
      </w:r>
      <w:r w:rsidRPr="003F25C1">
        <w:rPr>
          <w:rtl/>
        </w:rPr>
        <w:t xml:space="preserve"> عضواً يمثّلون بشكل عام الجهات الفاعلة الفنلندية في مجال حقوق الإنسان. وت</w:t>
      </w:r>
      <w:r w:rsidRPr="003F25C1">
        <w:rPr>
          <w:rFonts w:hint="eastAsia"/>
          <w:rtl/>
        </w:rPr>
        <w:t>ركيبة</w:t>
      </w:r>
      <w:r w:rsidRPr="003F25C1">
        <w:rPr>
          <w:rtl/>
        </w:rPr>
        <w:t xml:space="preserve"> </w:t>
      </w:r>
      <w:r w:rsidRPr="003F25C1">
        <w:rPr>
          <w:rFonts w:hint="eastAsia"/>
          <w:rtl/>
        </w:rPr>
        <w:t>الم</w:t>
      </w:r>
      <w:r w:rsidRPr="00C726A7">
        <w:rPr>
          <w:rFonts w:hint="eastAsia"/>
          <w:rtl/>
        </w:rPr>
        <w:t>فوض</w:t>
      </w:r>
      <w:r w:rsidRPr="003F25C1">
        <w:rPr>
          <w:rFonts w:hint="eastAsia"/>
          <w:rtl/>
        </w:rPr>
        <w:t>ية</w:t>
      </w:r>
      <w:r>
        <w:rPr>
          <w:rtl/>
        </w:rPr>
        <w:t xml:space="preserve"> متنوعة من حيث الخبرة، والتمثيل، وتتسم عملية اختيار الأعضاء بالشفافية. وتعمل المفوضية كهيئة تعاونية في مجال الحقوق الأساسية وحقوق الإنسان وتساعد على زيادة تدفق المعلومات بين مختلف الجهات الفاعلة. وهي تعالج أيضاً قضايا حقوق الإنسان ذات الأهمية البالغة والبعيدة الأثر. وتطرح المفوضية بانتظام مبادرات وآراء </w:t>
      </w:r>
      <w:r>
        <w:rPr>
          <w:rtl/>
        </w:rPr>
        <w:lastRenderedPageBreak/>
        <w:t>بشأن قضايا الساعة في ميدان الحقوق الأساسية وحقوق الإنسان، وتسعى جاهدة إلى الدفاع عنها على صعيد السياسات الداخلية لحقوق الإنسان. ويعيّن أمين المظالم البرلماني أعضاء المفوضية لمدة أربع سنوات كل مرة بعد استشارة مدير مركز حقوق الإنسان الذي يتبوأ أيضاً منصب رئيس المفوضية. وتختار المفوضية نائب رئيسها. وتجتمع المفوضية مرتين إلى أربع مرات في السنة.</w:t>
      </w:r>
    </w:p>
    <w:p w14:paraId="4A7E76D1" w14:textId="77777777" w:rsidR="008835DA" w:rsidRPr="00544AC3" w:rsidRDefault="008835DA" w:rsidP="008835DA">
      <w:pPr>
        <w:pStyle w:val="SingleTxtGA"/>
        <w:rPr>
          <w:szCs w:val="20"/>
          <w:lang w:val="ar-SA" w:eastAsia="zh-TW" w:bidi="en-GB"/>
        </w:rPr>
      </w:pPr>
      <w:r w:rsidRPr="005C19F0">
        <w:rPr>
          <w:szCs w:val="20"/>
          <w:rtl/>
        </w:rPr>
        <w:t>313</w:t>
      </w:r>
      <w:r w:rsidRPr="00EF3655">
        <w:rPr>
          <w:rtl/>
        </w:rPr>
        <w:t>-</w:t>
      </w:r>
      <w:r>
        <w:rPr>
          <w:rtl/>
        </w:rPr>
        <w:tab/>
        <w:t xml:space="preserve">وتتولّى لجنة عمل مؤلفة من </w:t>
      </w:r>
      <w:r w:rsidRPr="005C19F0">
        <w:rPr>
          <w:szCs w:val="20"/>
          <w:rtl/>
        </w:rPr>
        <w:t>6</w:t>
      </w:r>
      <w:r>
        <w:rPr>
          <w:rtl/>
        </w:rPr>
        <w:t xml:space="preserve"> إلى </w:t>
      </w:r>
      <w:r w:rsidRPr="005C19F0">
        <w:rPr>
          <w:szCs w:val="20"/>
          <w:rtl/>
        </w:rPr>
        <w:t>8</w:t>
      </w:r>
      <w:r>
        <w:rPr>
          <w:rtl/>
        </w:rPr>
        <w:t xml:space="preserve"> أعضاء في المفوضية إعداد اجتماعات وأعمال مفوضية حقوق الإنسان، بالتعاون مع مركز حقوق الإنسان. وتُخوّل المفوضية أيضاً صلاحية إنشاء شُعب تعيّن أعضاءها من بين عدد أعضاء المفوضية. ويمكن تعيين شُعب لغرض الاضطلاع بمهام بعينها والنظر فيها. ولدى المفوضية لجنة دائمة، هي اللجنة المعنية بحقوق ذوي الإعاقة، تشارك في أداء المهام المحددة في المادة </w:t>
      </w:r>
      <w:r w:rsidRPr="005C19F0">
        <w:rPr>
          <w:szCs w:val="20"/>
          <w:rtl/>
        </w:rPr>
        <w:t>33</w:t>
      </w:r>
      <w:r w:rsidRPr="00794E95">
        <w:rPr>
          <w:rtl/>
        </w:rPr>
        <w:t>(</w:t>
      </w:r>
      <w:r w:rsidRPr="005C19F0">
        <w:rPr>
          <w:szCs w:val="20"/>
          <w:rtl/>
        </w:rPr>
        <w:t>2</w:t>
      </w:r>
      <w:r w:rsidRPr="00794E95">
        <w:rPr>
          <w:rtl/>
        </w:rPr>
        <w:t>)</w:t>
      </w:r>
      <w:r>
        <w:rPr>
          <w:rtl/>
        </w:rPr>
        <w:t xml:space="preserve"> من اتفاقية الأمم المتحدة لحقوق الأشخاص ذوي الإعاقة على النحو المنصوص عليه في النظام الداخلي للمفوضية. ويجوز للمفوضية أيضاً إنشاء شُعب مؤقتة، حسب الاقتضاء.</w:t>
      </w:r>
    </w:p>
    <w:p w14:paraId="70A10D35" w14:textId="71685E32" w:rsidR="008835DA" w:rsidRPr="00544AC3" w:rsidRDefault="008835DA" w:rsidP="008835DA">
      <w:pPr>
        <w:pStyle w:val="H23GA"/>
        <w:rPr>
          <w:szCs w:val="20"/>
          <w:lang w:val="ar-SA" w:eastAsia="zh-TW" w:bidi="en-GB"/>
        </w:rPr>
      </w:pPr>
      <w:bookmarkStart w:id="101" w:name="_Toc32364361"/>
      <w:r>
        <w:rPr>
          <w:rtl/>
        </w:rPr>
        <w:tab/>
      </w:r>
      <w:r w:rsidRPr="00794E95">
        <w:rPr>
          <w:rtl/>
        </w:rPr>
        <w:t>(</w:t>
      </w:r>
      <w:r>
        <w:rPr>
          <w:rtl/>
        </w:rPr>
        <w:t>د</w:t>
      </w:r>
      <w:r w:rsidRPr="00794E95">
        <w:rPr>
          <w:rtl/>
        </w:rPr>
        <w:t>)</w:t>
      </w:r>
      <w:r>
        <w:rPr>
          <w:rtl/>
        </w:rPr>
        <w:tab/>
        <w:t>الشبكة الحكومية لجهات الاتصال المعنيّة بالحقوق الأساسيّة وحقوق الإنسان</w:t>
      </w:r>
      <w:bookmarkEnd w:id="101"/>
    </w:p>
    <w:p w14:paraId="6D84AFEC" w14:textId="77777777" w:rsidR="008835DA" w:rsidRPr="00544AC3" w:rsidRDefault="008835DA" w:rsidP="008835DA">
      <w:pPr>
        <w:pStyle w:val="SingleTxtGA"/>
        <w:rPr>
          <w:szCs w:val="20"/>
          <w:lang w:val="ar-SA" w:eastAsia="zh-TW" w:bidi="en-GB"/>
        </w:rPr>
      </w:pPr>
      <w:r w:rsidRPr="005C19F0">
        <w:rPr>
          <w:szCs w:val="20"/>
          <w:rtl/>
        </w:rPr>
        <w:t>314</w:t>
      </w:r>
      <w:r w:rsidRPr="00EF3655">
        <w:rPr>
          <w:rtl/>
        </w:rPr>
        <w:t>-</w:t>
      </w:r>
      <w:r>
        <w:rPr>
          <w:rtl/>
        </w:rPr>
        <w:tab/>
        <w:t>تُعنى الشبكة الحكومية لجهات الاتصال المعنيّة بالحقوق الأساسيّة وحقوق الإنسان بتعزيز إعمال الحقوق الأساسية وحقوق الإنسان في فنلندا. ومن بين مهام الشبكة رصد حالة الحقوق الأساسية وحقوق الإنسان في فنلندا، وتنفيذ الالتزامات الدولية والسياسة العامة التي تضعها الحكومة فيما يتعلق بالحقوق الأساسية وحقوق الإنسان على الصعيد الوطني. وتشارك الشبكة أيضاً في توطيد التنسيق الداخلي في الحكومة والحوار بشأن قضايا الحقوق الأساسية وحقوق الإنسان. وعلاوة على ذلك، تبدأ الشبكة دراسات ومشاريع إنمائية بهدف إنتاج معلومات عن مدى إعمال الحقوق الأساسية وحقوق الإنسان في فنلندا وتعزيز إعمالها. وجميع الوزارات ممثلة لدى الشبكة، التي تضم أيضاً ثلّة من الخبراء من بينهم أمين المظالم البرلماني ووزير العدل لدى الحكومة ومركز حقوق الإنسان.</w:t>
      </w:r>
    </w:p>
    <w:p w14:paraId="165DF2BD" w14:textId="3FEED115" w:rsidR="008835DA" w:rsidRPr="00544AC3" w:rsidRDefault="008835DA" w:rsidP="008835DA">
      <w:pPr>
        <w:pStyle w:val="SingleTxtGA"/>
        <w:rPr>
          <w:szCs w:val="20"/>
          <w:lang w:val="ar-SA" w:eastAsia="zh-TW" w:bidi="en-GB"/>
        </w:rPr>
      </w:pPr>
      <w:r w:rsidRPr="005C19F0">
        <w:rPr>
          <w:szCs w:val="20"/>
          <w:rtl/>
        </w:rPr>
        <w:t>315</w:t>
      </w:r>
      <w:r w:rsidRPr="00EF3655">
        <w:rPr>
          <w:rtl/>
        </w:rPr>
        <w:t>-</w:t>
      </w:r>
      <w:r>
        <w:rPr>
          <w:rtl/>
        </w:rPr>
        <w:tab/>
        <w:t>ومن أهم الواجبات المناطة بشبكة جهات الاتصال المعنية بالحقوق الأساسية وحقوق الإنسان التابعة للحكومة الإشرافُ على تنفيذ خطة العمل الوطنية المتعلقة بالحقوق الأساسية وحقوق الإنسان. وقد وفّر إنشاء الشبكة أداة جديدة لرصد تنفيذ الخطة رصدا منهجياً. وتعقد الشبكة اجتماعات منتظمة وتصوغ جدول أعمالها الخاص على نحو مستقل. وتنخرط الشبكة أحياناً</w:t>
      </w:r>
      <w:r w:rsidR="00507B18">
        <w:rPr>
          <w:rtl/>
        </w:rPr>
        <w:t xml:space="preserve"> </w:t>
      </w:r>
      <w:r>
        <w:rPr>
          <w:rtl/>
        </w:rPr>
        <w:t>كثيرة في تحليل وتحديد معايير التوصيات الصادرة عملاً بالصكوك الدولية لحقوق الإنسان، وترصد تنفيذها. وقد تُعزى إلى شبكة جهات الاتصال المعنية بالحقوق الأساسية وحقوق الإنسان أيضاً زيادة التواصل بين الجهات ذات المصلحة.</w:t>
      </w:r>
    </w:p>
    <w:p w14:paraId="2D35F5D5" w14:textId="578BDA6E" w:rsidR="008835DA" w:rsidRPr="00544AC3" w:rsidRDefault="008835DA" w:rsidP="008835DA">
      <w:pPr>
        <w:pStyle w:val="H1GA"/>
        <w:rPr>
          <w:szCs w:val="20"/>
          <w:lang w:val="ar-SA" w:eastAsia="zh-TW" w:bidi="en-GB"/>
        </w:rPr>
      </w:pPr>
      <w:bookmarkStart w:id="102" w:name="_Toc32364362"/>
      <w:r>
        <w:rPr>
          <w:rtl/>
        </w:rPr>
        <w:tab/>
        <w:t>واو</w:t>
      </w:r>
      <w:r w:rsidRPr="00EF3655">
        <w:rPr>
          <w:rtl/>
        </w:rPr>
        <w:t>-</w:t>
      </w:r>
      <w:r>
        <w:rPr>
          <w:rtl/>
        </w:rPr>
        <w:tab/>
        <w:t>نشر وتعميم صكوك حقوق الإنسان وإذكاء الوعي بشأنها</w:t>
      </w:r>
      <w:bookmarkEnd w:id="102"/>
    </w:p>
    <w:p w14:paraId="0A24B690" w14:textId="2B47828E" w:rsidR="008835DA" w:rsidRPr="00544AC3" w:rsidRDefault="008835DA" w:rsidP="008835DA">
      <w:pPr>
        <w:pStyle w:val="H23GA"/>
        <w:rPr>
          <w:szCs w:val="20"/>
          <w:lang w:val="ar-SA" w:eastAsia="zh-TW" w:bidi="en-GB"/>
        </w:rPr>
      </w:pPr>
      <w:bookmarkStart w:id="103" w:name="_Toc32364363"/>
      <w:r>
        <w:rPr>
          <w:rtl/>
        </w:rPr>
        <w:tab/>
      </w:r>
      <w:r w:rsidRPr="00794E95">
        <w:rPr>
          <w:rtl/>
        </w:rPr>
        <w:t>(</w:t>
      </w:r>
      <w:r>
        <w:rPr>
          <w:rtl/>
        </w:rPr>
        <w:t>أ</w:t>
      </w:r>
      <w:r w:rsidRPr="00794E95">
        <w:rPr>
          <w:rtl/>
        </w:rPr>
        <w:t>)</w:t>
      </w:r>
      <w:r>
        <w:rPr>
          <w:rtl/>
        </w:rPr>
        <w:tab/>
        <w:t>إذكاء الوعي بشأن حقوق الإنسان</w:t>
      </w:r>
      <w:bookmarkEnd w:id="103"/>
    </w:p>
    <w:p w14:paraId="3D7C5F0C" w14:textId="781B0681" w:rsidR="008835DA" w:rsidRPr="00FC2DC4" w:rsidRDefault="008835DA" w:rsidP="008835DA">
      <w:pPr>
        <w:pStyle w:val="SingleTxtGA"/>
        <w:rPr>
          <w:szCs w:val="20"/>
          <w:lang w:eastAsia="zh-TW" w:bidi="en-GB"/>
        </w:rPr>
      </w:pPr>
      <w:r w:rsidRPr="005C19F0">
        <w:rPr>
          <w:szCs w:val="20"/>
          <w:rtl/>
        </w:rPr>
        <w:t>316</w:t>
      </w:r>
      <w:r w:rsidRPr="00EF3655">
        <w:rPr>
          <w:rtl/>
        </w:rPr>
        <w:t>-</w:t>
      </w:r>
      <w:r>
        <w:rPr>
          <w:rtl/>
        </w:rPr>
        <w:tab/>
        <w:t>نُشرت الترجمتان الفنلندية والسويدية لصكوك حقوق الإنسان في مجموعة المعاهدات في كتاب القانون لفنلندا. ويمكن الاطلاع على كتاب القانون في المكتبات العامة الرئيسية، ويمكن علاوة على ذلك تصفح الصكو</w:t>
      </w:r>
      <w:r w:rsidRPr="00FC2DC4">
        <w:rPr>
          <w:rtl/>
        </w:rPr>
        <w:t>ك عبر الإنترنت عبر خدمة فينليكس الإلكترونية التي توفر المعلومات القانونية (</w:t>
      </w:r>
      <w:hyperlink r:id="rId9" w:history="1">
        <w:r w:rsidR="00FC2DC4" w:rsidRPr="00FC2DC4">
          <w:rPr>
            <w:rStyle w:val="Hyperlink"/>
            <w:rFonts w:cs="Times New Roman"/>
            <w:szCs w:val="20"/>
            <w:u w:val="none"/>
            <w:rtl/>
          </w:rPr>
          <w:t>www.finlex.fi/en</w:t>
        </w:r>
      </w:hyperlink>
      <w:r w:rsidRPr="00FC2DC4">
        <w:rPr>
          <w:rtl/>
        </w:rPr>
        <w:t>)، وكذلك عبر الموقع الشبكي لوزارة الخارجية (</w:t>
      </w:r>
      <w:hyperlink r:id="rId10" w:history="1">
        <w:r w:rsidR="00FC2DC4" w:rsidRPr="00FC2DC4">
          <w:rPr>
            <w:rStyle w:val="Hyperlink"/>
            <w:rFonts w:cs="Times New Roman"/>
            <w:szCs w:val="20"/>
            <w:u w:val="none"/>
            <w:rtl/>
          </w:rPr>
          <w:t>https</w:t>
        </w:r>
        <w:r w:rsidR="00FC2DC4" w:rsidRPr="00BB79C1">
          <w:rPr>
            <w:rtl/>
          </w:rPr>
          <w:t>:</w:t>
        </w:r>
        <w:r w:rsidR="00FC2DC4" w:rsidRPr="00FC2DC4">
          <w:rPr>
            <w:rStyle w:val="Hyperlink"/>
            <w:rFonts w:cs="Times New Roman"/>
            <w:szCs w:val="20"/>
            <w:u w:val="none"/>
            <w:rtl/>
          </w:rPr>
          <w:t>//um.fi/kahdenvaliset</w:t>
        </w:r>
        <w:r w:rsidR="00FC2DC4" w:rsidRPr="00FC2DC4">
          <w:rPr>
            <w:rStyle w:val="Hyperlink"/>
            <w:u w:val="none"/>
            <w:rtl/>
          </w:rPr>
          <w:t>-</w:t>
        </w:r>
        <w:r w:rsidR="00FC2DC4" w:rsidRPr="00FC2DC4">
          <w:rPr>
            <w:rStyle w:val="Hyperlink"/>
            <w:rFonts w:cs="Times New Roman"/>
            <w:szCs w:val="20"/>
            <w:u w:val="none"/>
            <w:rtl/>
          </w:rPr>
          <w:t>ja</w:t>
        </w:r>
        <w:r w:rsidR="00FC2DC4" w:rsidRPr="00FC2DC4">
          <w:rPr>
            <w:rStyle w:val="Hyperlink"/>
            <w:u w:val="none"/>
            <w:rtl/>
          </w:rPr>
          <w:t>-</w:t>
        </w:r>
        <w:r w:rsidR="00FC2DC4" w:rsidRPr="00FC2DC4">
          <w:rPr>
            <w:rStyle w:val="Hyperlink"/>
            <w:rFonts w:cs="Times New Roman"/>
            <w:szCs w:val="20"/>
            <w:u w:val="none"/>
            <w:rtl/>
          </w:rPr>
          <w:t>monenvaliset</w:t>
        </w:r>
        <w:r w:rsidR="00FC2DC4" w:rsidRPr="00FC2DC4">
          <w:rPr>
            <w:rStyle w:val="Hyperlink"/>
            <w:u w:val="none"/>
            <w:rtl/>
          </w:rPr>
          <w:t>-</w:t>
        </w:r>
        <w:r w:rsidR="00FC2DC4" w:rsidRPr="00FC2DC4">
          <w:rPr>
            <w:rStyle w:val="Hyperlink"/>
            <w:rFonts w:cs="Times New Roman"/>
            <w:szCs w:val="20"/>
            <w:u w:val="none"/>
            <w:rtl/>
          </w:rPr>
          <w:t>sopimukset</w:t>
        </w:r>
      </w:hyperlink>
      <w:r w:rsidRPr="00FC2DC4">
        <w:rPr>
          <w:rtl/>
        </w:rPr>
        <w:t>). وتُتيح فنلندا خدمة الاتصال المجاني بالإنترنت في مجموعة من الأماكن مثل المكتبات العامة.</w:t>
      </w:r>
    </w:p>
    <w:p w14:paraId="675713B1" w14:textId="59806F61" w:rsidR="008835DA" w:rsidRPr="00544AC3" w:rsidRDefault="008835DA" w:rsidP="008835DA">
      <w:pPr>
        <w:pStyle w:val="SingleTxtGA"/>
        <w:rPr>
          <w:szCs w:val="20"/>
          <w:lang w:val="ar-SA" w:eastAsia="zh-TW" w:bidi="en-GB"/>
        </w:rPr>
      </w:pPr>
      <w:r w:rsidRPr="005C19F0">
        <w:rPr>
          <w:szCs w:val="20"/>
          <w:rtl/>
        </w:rPr>
        <w:lastRenderedPageBreak/>
        <w:t>317</w:t>
      </w:r>
      <w:r w:rsidRPr="00EF3655">
        <w:rPr>
          <w:rtl/>
        </w:rPr>
        <w:t>-</w:t>
      </w:r>
      <w:r>
        <w:rPr>
          <w:rtl/>
        </w:rPr>
        <w:tab/>
        <w:t xml:space="preserve">وتنشر التقارير الدورية التي تعدها الحكومة عن تنفيذ هذه الصكوك عبر الموقع الشبكي لوزارة الخارجية </w:t>
      </w:r>
      <w:r w:rsidRPr="00794E95">
        <w:rPr>
          <w:rtl/>
        </w:rPr>
        <w:t>(</w:t>
      </w:r>
      <w:hyperlink r:id="rId11" w:history="1">
        <w:r w:rsidR="00FC2DC4" w:rsidRPr="00FC2DC4">
          <w:rPr>
            <w:rStyle w:val="Hyperlink"/>
            <w:rFonts w:cs="Times New Roman"/>
            <w:szCs w:val="20"/>
            <w:u w:val="none"/>
            <w:rtl/>
          </w:rPr>
          <w:t>https</w:t>
        </w:r>
        <w:r w:rsidR="00FC2DC4" w:rsidRPr="00BB79C1">
          <w:rPr>
            <w:rtl/>
          </w:rPr>
          <w:t>:</w:t>
        </w:r>
        <w:r w:rsidR="00FC2DC4" w:rsidRPr="00FC2DC4">
          <w:rPr>
            <w:rStyle w:val="Hyperlink"/>
            <w:rFonts w:cs="Times New Roman"/>
            <w:szCs w:val="20"/>
            <w:u w:val="none"/>
            <w:rtl/>
          </w:rPr>
          <w:t>//um.fi/kahdenvaliset</w:t>
        </w:r>
        <w:r w:rsidR="00FC2DC4" w:rsidRPr="00FC2DC4">
          <w:rPr>
            <w:rStyle w:val="Hyperlink"/>
            <w:u w:val="none"/>
            <w:rtl/>
          </w:rPr>
          <w:t>-</w:t>
        </w:r>
        <w:r w:rsidR="00FC2DC4" w:rsidRPr="00FC2DC4">
          <w:rPr>
            <w:rStyle w:val="Hyperlink"/>
            <w:rFonts w:cs="Times New Roman"/>
            <w:szCs w:val="20"/>
            <w:u w:val="none"/>
            <w:rtl/>
          </w:rPr>
          <w:t>ja</w:t>
        </w:r>
        <w:r w:rsidR="00FC2DC4" w:rsidRPr="00FC2DC4">
          <w:rPr>
            <w:rStyle w:val="Hyperlink"/>
            <w:u w:val="none"/>
            <w:rtl/>
          </w:rPr>
          <w:t>-</w:t>
        </w:r>
        <w:r w:rsidR="00FC2DC4" w:rsidRPr="00FC2DC4">
          <w:rPr>
            <w:rStyle w:val="Hyperlink"/>
            <w:rFonts w:cs="Times New Roman"/>
            <w:szCs w:val="20"/>
            <w:u w:val="none"/>
            <w:rtl/>
          </w:rPr>
          <w:t>monenvaliset</w:t>
        </w:r>
        <w:r w:rsidR="00FC2DC4" w:rsidRPr="00FC2DC4">
          <w:rPr>
            <w:rStyle w:val="Hyperlink"/>
            <w:u w:val="none"/>
            <w:rtl/>
          </w:rPr>
          <w:t>-</w:t>
        </w:r>
        <w:r w:rsidR="00FC2DC4" w:rsidRPr="00FC2DC4">
          <w:rPr>
            <w:rStyle w:val="Hyperlink"/>
            <w:rFonts w:cs="Times New Roman"/>
            <w:szCs w:val="20"/>
            <w:u w:val="none"/>
            <w:rtl/>
          </w:rPr>
          <w:t>sopimukset</w:t>
        </w:r>
      </w:hyperlink>
      <w:r w:rsidRPr="00794E95">
        <w:rPr>
          <w:rtl/>
        </w:rPr>
        <w:t>)</w:t>
      </w:r>
      <w:r>
        <w:rPr>
          <w:rtl/>
        </w:rPr>
        <w:t xml:space="preserve">، الذي يقدم أيضاً ملاحظات ختامية بثلاث لغات </w:t>
      </w:r>
      <w:r w:rsidRPr="00794E95">
        <w:rPr>
          <w:rtl/>
        </w:rPr>
        <w:t>(</w:t>
      </w:r>
      <w:r>
        <w:rPr>
          <w:rtl/>
        </w:rPr>
        <w:t>الإنكليزية والفنلندية والسويدية</w:t>
      </w:r>
      <w:r w:rsidRPr="00794E95">
        <w:rPr>
          <w:rtl/>
        </w:rPr>
        <w:t>)</w:t>
      </w:r>
      <w:r>
        <w:rPr>
          <w:rtl/>
        </w:rPr>
        <w:t>.</w:t>
      </w:r>
    </w:p>
    <w:p w14:paraId="129B6052" w14:textId="77777777" w:rsidR="008835DA" w:rsidRPr="00C726A7" w:rsidRDefault="008835DA" w:rsidP="008835DA">
      <w:pPr>
        <w:pStyle w:val="H23GA"/>
        <w:rPr>
          <w:szCs w:val="20"/>
          <w:lang w:eastAsia="zh-TW" w:bidi="en-GB"/>
        </w:rPr>
      </w:pPr>
      <w:bookmarkStart w:id="104" w:name="_Toc32364364"/>
      <w:r>
        <w:rPr>
          <w:rtl/>
        </w:rPr>
        <w:tab/>
      </w:r>
      <w:r>
        <w:rPr>
          <w:rtl/>
        </w:rPr>
        <w:tab/>
        <w:t>خطة العمل الوطنية بشأن الحقوق الأساسية وحقوق الإنسان</w:t>
      </w:r>
      <w:bookmarkEnd w:id="104"/>
    </w:p>
    <w:p w14:paraId="6DCAD64B" w14:textId="77777777" w:rsidR="008835DA" w:rsidRPr="00544AC3" w:rsidRDefault="008835DA" w:rsidP="008835DA">
      <w:pPr>
        <w:pStyle w:val="SingleTxtGA"/>
        <w:rPr>
          <w:szCs w:val="20"/>
          <w:lang w:val="ar-SA" w:eastAsia="zh-TW" w:bidi="en-GB"/>
        </w:rPr>
      </w:pPr>
      <w:r w:rsidRPr="005C19F0">
        <w:rPr>
          <w:szCs w:val="20"/>
          <w:rtl/>
        </w:rPr>
        <w:t>318</w:t>
      </w:r>
      <w:r w:rsidRPr="00EF3655">
        <w:rPr>
          <w:rtl/>
        </w:rPr>
        <w:t>-</w:t>
      </w:r>
      <w:r>
        <w:rPr>
          <w:rtl/>
        </w:rPr>
        <w:tab/>
        <w:t xml:space="preserve">أدّت خطة العمل الوطنية بشأن الحقوق الأساسية وحقوق الإنسان للفترتين </w:t>
      </w:r>
      <w:r w:rsidRPr="005C19F0">
        <w:rPr>
          <w:szCs w:val="20"/>
          <w:rtl/>
        </w:rPr>
        <w:t>2012</w:t>
      </w:r>
      <w:r w:rsidRPr="00EF3655">
        <w:rPr>
          <w:rtl/>
        </w:rPr>
        <w:t>-</w:t>
      </w:r>
      <w:r w:rsidRPr="005C19F0">
        <w:rPr>
          <w:szCs w:val="20"/>
          <w:rtl/>
        </w:rPr>
        <w:t>2013</w:t>
      </w:r>
      <w:r>
        <w:rPr>
          <w:rtl/>
        </w:rPr>
        <w:t xml:space="preserve"> و</w:t>
      </w:r>
      <w:r w:rsidRPr="005C19F0">
        <w:rPr>
          <w:szCs w:val="20"/>
          <w:rtl/>
        </w:rPr>
        <w:t>2017</w:t>
      </w:r>
      <w:r w:rsidRPr="00EF3655">
        <w:rPr>
          <w:rtl/>
        </w:rPr>
        <w:t>-</w:t>
      </w:r>
      <w:r w:rsidRPr="005C19F0">
        <w:rPr>
          <w:szCs w:val="20"/>
          <w:rtl/>
        </w:rPr>
        <w:t>2019</w:t>
      </w:r>
      <w:r>
        <w:rPr>
          <w:rtl/>
        </w:rPr>
        <w:t xml:space="preserve"> دوراً أساسياً في التوعية بحقوق الإنسان. وتجري حاليا صياغة خطة العمل الوطنية الثالثة بشأن الحقوق الأساسية وحقوق الإنسان للفترة </w:t>
      </w:r>
      <w:r w:rsidRPr="005C19F0">
        <w:rPr>
          <w:szCs w:val="20"/>
          <w:rtl/>
        </w:rPr>
        <w:t>2020</w:t>
      </w:r>
      <w:r w:rsidRPr="00EF3655">
        <w:rPr>
          <w:rtl/>
        </w:rPr>
        <w:t>-</w:t>
      </w:r>
      <w:r w:rsidRPr="005C19F0">
        <w:rPr>
          <w:szCs w:val="20"/>
          <w:rtl/>
        </w:rPr>
        <w:t>2023</w:t>
      </w:r>
      <w:r>
        <w:rPr>
          <w:rtl/>
        </w:rPr>
        <w:t>. وسوف تركز الخطة على وضع مؤشرات خاصة بالحقوق الأساسية وحقوق الإنسان. وسوف يُعدّ نظام رصد منهجي لمتابعة إعمال الحقوق الأساسية وحقوق الإنسان، استناداً إلى مؤشرات قابلة للقياس.</w:t>
      </w:r>
    </w:p>
    <w:p w14:paraId="198BF768" w14:textId="41276E4F" w:rsidR="008835DA" w:rsidRPr="00C726A7" w:rsidRDefault="008835DA" w:rsidP="008835DA">
      <w:pPr>
        <w:pStyle w:val="SingleTxtGA"/>
        <w:rPr>
          <w:szCs w:val="20"/>
          <w:lang w:eastAsia="zh-TW" w:bidi="en-GB"/>
        </w:rPr>
      </w:pPr>
      <w:r w:rsidRPr="003D51FB">
        <w:rPr>
          <w:spacing w:val="-8"/>
          <w:szCs w:val="20"/>
          <w:rtl/>
        </w:rPr>
        <w:t>319</w:t>
      </w:r>
      <w:r w:rsidRPr="003D51FB">
        <w:rPr>
          <w:spacing w:val="-8"/>
          <w:rtl/>
        </w:rPr>
        <w:t>-</w:t>
      </w:r>
      <w:r w:rsidRPr="003D51FB">
        <w:rPr>
          <w:spacing w:val="-8"/>
          <w:rtl/>
        </w:rPr>
        <w:tab/>
        <w:t xml:space="preserve">وفيما يتعلق بخطة العمل الوطنية الثانية بشأن الحقوق الأساسية وحقوق الإنسان للفترة </w:t>
      </w:r>
      <w:r w:rsidRPr="003D51FB">
        <w:rPr>
          <w:spacing w:val="-8"/>
          <w:szCs w:val="20"/>
          <w:rtl/>
        </w:rPr>
        <w:t>2017</w:t>
      </w:r>
      <w:r w:rsidRPr="003D51FB">
        <w:rPr>
          <w:spacing w:val="-8"/>
          <w:rtl/>
        </w:rPr>
        <w:t>-</w:t>
      </w:r>
      <w:r w:rsidRPr="003D51FB">
        <w:rPr>
          <w:spacing w:val="-8"/>
          <w:szCs w:val="20"/>
          <w:rtl/>
        </w:rPr>
        <w:t>2019</w:t>
      </w:r>
      <w:r w:rsidRPr="003D51FB">
        <w:rPr>
          <w:spacing w:val="-8"/>
          <w:rtl/>
        </w:rPr>
        <w:t>،</w:t>
      </w:r>
      <w:r>
        <w:rPr>
          <w:rtl/>
        </w:rPr>
        <w:t xml:space="preserve"> اتخذت الحكومة في </w:t>
      </w:r>
      <w:r w:rsidRPr="005C19F0">
        <w:rPr>
          <w:szCs w:val="20"/>
          <w:rtl/>
        </w:rPr>
        <w:t>16</w:t>
      </w:r>
      <w:r>
        <w:rPr>
          <w:rtl/>
        </w:rPr>
        <w:t xml:space="preserve"> شباط/فبراير </w:t>
      </w:r>
      <w:r w:rsidRPr="005C19F0">
        <w:rPr>
          <w:szCs w:val="20"/>
          <w:rtl/>
        </w:rPr>
        <w:t>2017</w:t>
      </w:r>
      <w:r>
        <w:rPr>
          <w:rtl/>
        </w:rPr>
        <w:t xml:space="preserve"> قراراً مبدئياً</w:t>
      </w:r>
      <w:r w:rsidR="00507B18">
        <w:rPr>
          <w:rtl/>
        </w:rPr>
        <w:t xml:space="preserve"> </w:t>
      </w:r>
      <w:r>
        <w:rPr>
          <w:rtl/>
        </w:rPr>
        <w:t xml:space="preserve">بقبول خطة العمل. وكان الهدف من خطة العمل تعزيز التزام السلطة العامة بضمان احترام الحقوق والحريات الأساسية وحقوق الإنسان على النحو المنصوص عليه في المادة </w:t>
      </w:r>
      <w:r w:rsidRPr="005C19F0">
        <w:rPr>
          <w:szCs w:val="20"/>
          <w:rtl/>
        </w:rPr>
        <w:t>22</w:t>
      </w:r>
      <w:r>
        <w:rPr>
          <w:rtl/>
        </w:rPr>
        <w:t xml:space="preserve"> من دستور فنلندا. وقد صُمّمت التدابير المتخذة ضمن خطة العمل لأجل معالجة مشاكل بعينها تخص الحقوق الأساسية وحقوق الإنسان، واستكمالاً للعمل الجاري في مختلف قطاعات السياسة من أجل تعزيز الحقوق الأساسية وحقوق الإنسان.</w:t>
      </w:r>
    </w:p>
    <w:p w14:paraId="299F0382" w14:textId="77777777" w:rsidR="008835DA" w:rsidRPr="00544AC3" w:rsidRDefault="008835DA" w:rsidP="008835DA">
      <w:pPr>
        <w:pStyle w:val="SingleTxtGA"/>
        <w:rPr>
          <w:szCs w:val="20"/>
          <w:lang w:val="ar-SA" w:eastAsia="zh-TW" w:bidi="en-GB"/>
        </w:rPr>
      </w:pPr>
      <w:r w:rsidRPr="005C19F0">
        <w:rPr>
          <w:szCs w:val="20"/>
          <w:rtl/>
        </w:rPr>
        <w:t>320</w:t>
      </w:r>
      <w:r w:rsidRPr="00EF3655">
        <w:rPr>
          <w:rtl/>
        </w:rPr>
        <w:t>-</w:t>
      </w:r>
      <w:r>
        <w:rPr>
          <w:rtl/>
        </w:rPr>
        <w:tab/>
        <w:t>وقد أحيط علماً</w:t>
      </w:r>
      <w:r w:rsidRPr="00243228">
        <w:rPr>
          <w:rtl/>
        </w:rPr>
        <w:t xml:space="preserve"> </w:t>
      </w:r>
      <w:r>
        <w:rPr>
          <w:rtl/>
        </w:rPr>
        <w:t xml:space="preserve">على وجه الخصوص، في إعداد خطة العمل، بالتوصيات التي قدمتها هيئات رصد المعاهدات الدولية إلى فنلندا، وكذلك بآراء مراقبي شرعية القوانين وأمناء المظالم الخاصين، فضلاً عن الشواغل التي تساور منظمات المجتمع المدني. وتمحورت الخطة الوطنية حول جملة من القضايا الرئيسية من بينها التثقيف بشأن الحقوق الأساسية وحقوق الإنسان، والمساواة، والحق في تقرير المصير، فضلاً عن الحقوق الأساسية والرقمنة. واشتملت خطة العمل على </w:t>
      </w:r>
      <w:r w:rsidRPr="005C19F0">
        <w:rPr>
          <w:szCs w:val="20"/>
          <w:rtl/>
        </w:rPr>
        <w:t>43</w:t>
      </w:r>
      <w:r>
        <w:rPr>
          <w:rtl/>
        </w:rPr>
        <w:t xml:space="preserve"> مشروعاً، واجتُهد في جعلها توفر إطار عمل لإعمال حقوق الإنسان لفترة زمنية معينة على الرغم من التغيرات العديدة التي طرأت على المجتمع إبّان تلك الفترة الزمنية.</w:t>
      </w:r>
    </w:p>
    <w:p w14:paraId="54566AF1" w14:textId="77777777" w:rsidR="008835DA" w:rsidRPr="00544AC3" w:rsidRDefault="008835DA" w:rsidP="008835DA">
      <w:pPr>
        <w:pStyle w:val="SingleTxtGA"/>
        <w:rPr>
          <w:szCs w:val="20"/>
          <w:lang w:val="ar-SA" w:eastAsia="zh-TW" w:bidi="en-GB"/>
        </w:rPr>
      </w:pPr>
      <w:r w:rsidRPr="005C19F0">
        <w:rPr>
          <w:szCs w:val="20"/>
          <w:rtl/>
        </w:rPr>
        <w:t>321</w:t>
      </w:r>
      <w:r w:rsidRPr="00EF3655">
        <w:rPr>
          <w:rtl/>
        </w:rPr>
        <w:t>-</w:t>
      </w:r>
      <w:r>
        <w:rPr>
          <w:rtl/>
        </w:rPr>
        <w:tab/>
        <w:t>وكانت المجالات المختارة ذات الأولوية في خطة العمل واسعة النطاق وتغطي مواضيع أفقية أي أنها تخص ولاية عدة وزارات. وأتاحت المجالات ذات الأولوية لكل وزارة فرصة المشاركة في تنفيذ أهداف وتدابير خطة العمل. ووطّد اختيار المواضيع الأفقية التعاون من أجل إعمال الحقوق الأساسية وحقوق الإنسان على نحو جعلها تتخطى الحدود القطاعية للوزارات.</w:t>
      </w:r>
    </w:p>
    <w:p w14:paraId="12517BCA" w14:textId="77777777" w:rsidR="008835DA" w:rsidRPr="00544AC3" w:rsidRDefault="008835DA" w:rsidP="008835DA">
      <w:pPr>
        <w:pStyle w:val="SingleTxtGA"/>
        <w:rPr>
          <w:szCs w:val="20"/>
          <w:lang w:val="ar-SA" w:eastAsia="zh-TW" w:bidi="en-GB"/>
        </w:rPr>
      </w:pPr>
      <w:r w:rsidRPr="005C19F0">
        <w:rPr>
          <w:szCs w:val="20"/>
          <w:rtl/>
        </w:rPr>
        <w:t>322</w:t>
      </w:r>
      <w:r w:rsidRPr="00EF3655">
        <w:rPr>
          <w:rtl/>
        </w:rPr>
        <w:t>-</w:t>
      </w:r>
      <w:r>
        <w:rPr>
          <w:rtl/>
        </w:rPr>
        <w:tab/>
        <w:t>وأُعدّت خطة العمل أيضاً لأجل إذكاء الوعي بالحقوق الأساسية وحقوق الإنسان في أوساط بعض الفئات المهنية والسكانية وعامة الجمهور. ويُتوخّى أيضاً من تنفيذ خطة العمل ضمان اتساق سياسات فنلندا الوطنية والدولية فيما يتعلق بالحقوق الأساسية وحقوق الإنسان.</w:t>
      </w:r>
    </w:p>
    <w:p w14:paraId="5B06BEDC" w14:textId="77777777" w:rsidR="008835DA" w:rsidRPr="00544AC3" w:rsidRDefault="008835DA" w:rsidP="008835DA">
      <w:pPr>
        <w:pStyle w:val="SingleTxtGA"/>
        <w:rPr>
          <w:szCs w:val="20"/>
          <w:lang w:val="ar-SA" w:eastAsia="zh-TW" w:bidi="en-GB"/>
        </w:rPr>
      </w:pPr>
      <w:r w:rsidRPr="005C19F0">
        <w:rPr>
          <w:szCs w:val="20"/>
          <w:rtl/>
        </w:rPr>
        <w:t>323</w:t>
      </w:r>
      <w:r w:rsidRPr="00EF3655">
        <w:rPr>
          <w:rtl/>
        </w:rPr>
        <w:t>-</w:t>
      </w:r>
      <w:r>
        <w:rPr>
          <w:rtl/>
        </w:rPr>
        <w:tab/>
        <w:t>وحُدِّدت مؤشرات لكل إجراء ضمن خطة العمل بغية رصد تنفيذه. وكانت المؤشرات أساساً مؤشرات عامة للتنفيذ. واستمرّ العمل على المؤشرات في إطار خطة العمل من خلال وضع مؤشرات للمساواة ومقياس للحقوق الأساسية.</w:t>
      </w:r>
    </w:p>
    <w:p w14:paraId="2CD4ECE4" w14:textId="0E643173" w:rsidR="008835DA" w:rsidRPr="00544AC3" w:rsidRDefault="008835DA" w:rsidP="008835DA">
      <w:pPr>
        <w:pStyle w:val="SingleTxtGA"/>
        <w:rPr>
          <w:szCs w:val="20"/>
          <w:lang w:val="ar-SA" w:eastAsia="zh-TW" w:bidi="en-GB"/>
        </w:rPr>
      </w:pPr>
      <w:r w:rsidRPr="005C19F0">
        <w:rPr>
          <w:szCs w:val="20"/>
          <w:rtl/>
        </w:rPr>
        <w:t>324</w:t>
      </w:r>
      <w:r w:rsidRPr="00EF3655">
        <w:rPr>
          <w:rtl/>
        </w:rPr>
        <w:t>-</w:t>
      </w:r>
      <w:r>
        <w:rPr>
          <w:rtl/>
        </w:rPr>
        <w:tab/>
        <w:t>وفيما يتعلق بالتعليم والتدريب في مجال الحقوق الأساسية وحقوق الإنسان، عززت المشاريع التي تشملها خطة العمل كفاءة المسؤولين الحكوميين فيما يتعلق بالحقوق الأساسية وحقوق الإنسان، وقيّمت آثار</w:t>
      </w:r>
      <w:r w:rsidR="00507B18">
        <w:rPr>
          <w:rtl/>
        </w:rPr>
        <w:t xml:space="preserve"> </w:t>
      </w:r>
      <w:r>
        <w:rPr>
          <w:rtl/>
        </w:rPr>
        <w:t xml:space="preserve">مشاريع القوانين على الحقوق الأساسية وحقوق الإنسان، وعززت التثقيف والتدريب في مجال حقوق الإنسان الأساسية في المدارس، وزادت معرفة مُلتمسي اللجوء بحقوق الإنسان الأساسية. </w:t>
      </w:r>
      <w:r>
        <w:rPr>
          <w:rtl/>
        </w:rPr>
        <w:lastRenderedPageBreak/>
        <w:t xml:space="preserve">وتضمّنت خطة العمل </w:t>
      </w:r>
      <w:r w:rsidR="00C74C59">
        <w:rPr>
          <w:rtl/>
        </w:rPr>
        <w:t>أيضاً</w:t>
      </w:r>
      <w:r>
        <w:rPr>
          <w:rtl/>
        </w:rPr>
        <w:t xml:space="preserve"> مقياساً وطنياً للحقوق الأساسية نُفّذ في عام </w:t>
      </w:r>
      <w:r w:rsidRPr="005C19F0">
        <w:rPr>
          <w:szCs w:val="20"/>
          <w:rtl/>
        </w:rPr>
        <w:t>2019</w:t>
      </w:r>
      <w:r>
        <w:rPr>
          <w:rtl/>
        </w:rPr>
        <w:t xml:space="preserve"> كأداة تكميلية للاستقصاء عن الحقوق الأساسية الذي أجرته وكالة الاتحاد الأوروبي المعنية بالحقوق الأساسية</w:t>
      </w:r>
      <w:r w:rsidR="00507B18">
        <w:rPr>
          <w:rtl/>
        </w:rPr>
        <w:t xml:space="preserve"> </w:t>
      </w:r>
      <w:r>
        <w:rPr>
          <w:rtl/>
        </w:rPr>
        <w:t>لتحديد وجهات النظر والخبرات والوعي فيما يتعلق بالحقوق الأساسية وحقوق الإنسان وإعمالها في فنلندا في صفوف الناطقين باللغة السويدية والروسية والعربية وكذلك في صفوف الأشخاص ذوي الإعاقة.</w:t>
      </w:r>
    </w:p>
    <w:p w14:paraId="7F90C10A" w14:textId="3964C581" w:rsidR="008835DA" w:rsidRPr="00C726A7" w:rsidRDefault="008835DA" w:rsidP="008835DA">
      <w:pPr>
        <w:pStyle w:val="SingleTxtGA"/>
        <w:rPr>
          <w:szCs w:val="20"/>
          <w:lang w:eastAsia="zh-TW" w:bidi="en-GB"/>
        </w:rPr>
      </w:pPr>
      <w:r w:rsidRPr="005C19F0">
        <w:rPr>
          <w:szCs w:val="20"/>
          <w:rtl/>
        </w:rPr>
        <w:t>325</w:t>
      </w:r>
      <w:r w:rsidRPr="00EF3655">
        <w:rPr>
          <w:rtl/>
        </w:rPr>
        <w:t>-</w:t>
      </w:r>
      <w:r>
        <w:rPr>
          <w:rtl/>
        </w:rPr>
        <w:tab/>
        <w:t xml:space="preserve">وضمّت مشاريع التعليم والتدريب في إطار خطة العمل </w:t>
      </w:r>
      <w:r w:rsidR="00C74C59">
        <w:rPr>
          <w:rtl/>
        </w:rPr>
        <w:t>أيضاً</w:t>
      </w:r>
      <w:r>
        <w:rPr>
          <w:rtl/>
        </w:rPr>
        <w:t xml:space="preserve"> شركاء غير حكوميّين، مثل مركز حقوق الإنسان، والوكالة الوطنية الفنلندية للتعليم، وبرلمان شعب الصامي، وبرنامج تعليم المعلمين في جامعة هلسنكي.</w:t>
      </w:r>
    </w:p>
    <w:p w14:paraId="6F4A9125" w14:textId="21B9D347" w:rsidR="008835DA" w:rsidRPr="002C444D" w:rsidRDefault="008835DA" w:rsidP="008835DA">
      <w:pPr>
        <w:pStyle w:val="SingleTxtGA"/>
        <w:rPr>
          <w:spacing w:val="-2"/>
          <w:szCs w:val="20"/>
          <w:lang w:eastAsia="zh-TW" w:bidi="en-GB"/>
        </w:rPr>
      </w:pPr>
      <w:r w:rsidRPr="005C19F0">
        <w:rPr>
          <w:szCs w:val="20"/>
          <w:rtl/>
        </w:rPr>
        <w:t>326</w:t>
      </w:r>
      <w:r w:rsidRPr="00EF3655">
        <w:rPr>
          <w:rtl/>
        </w:rPr>
        <w:t>-</w:t>
      </w:r>
      <w:r>
        <w:rPr>
          <w:rtl/>
        </w:rPr>
        <w:tab/>
        <w:t xml:space="preserve">وذكرت خطة العمل أن زيادة كم المعلومات المستمدة من البحوث وخفض عتبة الإبلاغ عن التمييز وسيلتان رئيسيتان لتحسين تحديد التمييز وجعله واضحاً للعيان، وأنه يمكن درء التمييز عن طريق التأثير في المواقف السلوكية لمختلف الفئات وأمنها المتصوَّر، فضلاً عن التفاعل فيما بينها وكإدماجها في المجتمع. وأسفرت مشاريع خطة العمل عن نتائج منها إذكاء الوعي بشأن المساواة، والتأثير في المواقف وثقافة النقاش المدني، وتعزيز روابط المودة بين الفئات السكانية، وتحسين تكافؤ مختلف الفئات السكانية في الفرص، ودعم التخطيط للمساواة لدى الحكومة المحلية، وزيادة قدرة الحكومة على تقييم تحقيق المساواة، لأجل تحديد التمييز ومعالجته، ولأجل تعزيز المساواة. وكجزء من </w:t>
      </w:r>
      <w:r w:rsidRPr="002C444D">
        <w:rPr>
          <w:spacing w:val="-2"/>
          <w:rtl/>
        </w:rPr>
        <w:t>خطة العمل، وضع فريق رصد التمييز أيضاً مجموعة من مؤشرات المساواة والتمييز بغرض رصد القطاعات الخمس التالية</w:t>
      </w:r>
      <w:r w:rsidRPr="002C444D">
        <w:rPr>
          <w:spacing w:val="-2"/>
        </w:rPr>
        <w:t>:</w:t>
      </w:r>
      <w:r w:rsidRPr="002C444D">
        <w:rPr>
          <w:spacing w:val="-2"/>
          <w:rtl/>
        </w:rPr>
        <w:t xml:space="preserve"> </w:t>
      </w:r>
      <w:r w:rsidRPr="002C444D">
        <w:rPr>
          <w:spacing w:val="-2"/>
          <w:szCs w:val="20"/>
          <w:rtl/>
        </w:rPr>
        <w:t>1</w:t>
      </w:r>
      <w:r w:rsidRPr="002C444D">
        <w:rPr>
          <w:spacing w:val="-2"/>
          <w:rtl/>
        </w:rPr>
        <w:t xml:space="preserve">) المواقف السلوكية، </w:t>
      </w:r>
      <w:r w:rsidRPr="002C444D">
        <w:rPr>
          <w:spacing w:val="-2"/>
          <w:szCs w:val="20"/>
          <w:rtl/>
        </w:rPr>
        <w:t>2</w:t>
      </w:r>
      <w:r w:rsidRPr="002C444D">
        <w:rPr>
          <w:spacing w:val="-2"/>
          <w:rtl/>
        </w:rPr>
        <w:t xml:space="preserve">) تجارب التعرض للتمييز والملاحظات عليه، </w:t>
      </w:r>
      <w:r w:rsidRPr="002C444D">
        <w:rPr>
          <w:spacing w:val="-2"/>
          <w:szCs w:val="20"/>
          <w:rtl/>
        </w:rPr>
        <w:t>3</w:t>
      </w:r>
      <w:r w:rsidRPr="002C444D">
        <w:rPr>
          <w:spacing w:val="-2"/>
          <w:rtl/>
        </w:rPr>
        <w:t>)</w:t>
      </w:r>
      <w:r w:rsidR="002716BB" w:rsidRPr="002C444D">
        <w:rPr>
          <w:rFonts w:hint="cs"/>
          <w:spacing w:val="-2"/>
          <w:rtl/>
        </w:rPr>
        <w:t> </w:t>
      </w:r>
      <w:r w:rsidRPr="002C444D">
        <w:rPr>
          <w:spacing w:val="-2"/>
          <w:rtl/>
        </w:rPr>
        <w:t xml:space="preserve">الأحكام والشكاوى المتعلقة بالتمييز، </w:t>
      </w:r>
      <w:r w:rsidRPr="002C444D">
        <w:rPr>
          <w:spacing w:val="-2"/>
          <w:szCs w:val="20"/>
          <w:rtl/>
        </w:rPr>
        <w:t>4</w:t>
      </w:r>
      <w:r w:rsidRPr="002C444D">
        <w:rPr>
          <w:spacing w:val="-2"/>
          <w:rtl/>
        </w:rPr>
        <w:t xml:space="preserve">) جرائم الكراهية وخطاب الكراهية، </w:t>
      </w:r>
      <w:r w:rsidRPr="002C444D">
        <w:rPr>
          <w:spacing w:val="-2"/>
          <w:szCs w:val="20"/>
          <w:rtl/>
        </w:rPr>
        <w:t>5</w:t>
      </w:r>
      <w:r w:rsidRPr="002C444D">
        <w:rPr>
          <w:spacing w:val="-2"/>
          <w:rtl/>
        </w:rPr>
        <w:t xml:space="preserve">) تعزيز المساواة. وتُجمع البيانات البحثية والإحصائية المتعلقة بهذه القطاعات المواضيعية التي جرى رصدها بصورة منتظمة عبر صفحة مؤشرات الرصد على الموقع الإلكتروني </w:t>
      </w:r>
      <w:hyperlink r:id="rId12" w:history="1">
        <w:r w:rsidR="00FC2DC4" w:rsidRPr="002C444D">
          <w:rPr>
            <w:rStyle w:val="Hyperlink"/>
            <w:rFonts w:cs="Times New Roman"/>
            <w:spacing w:val="-2"/>
            <w:szCs w:val="20"/>
            <w:u w:val="none"/>
            <w:rtl/>
          </w:rPr>
          <w:t>www.yhdenvertaisuus.fi</w:t>
        </w:r>
      </w:hyperlink>
      <w:r w:rsidRPr="002C444D">
        <w:rPr>
          <w:spacing w:val="-2"/>
          <w:rtl/>
        </w:rPr>
        <w:t>.</w:t>
      </w:r>
      <w:r w:rsidR="00FC2DC4" w:rsidRPr="002C444D">
        <w:rPr>
          <w:spacing w:val="-2"/>
          <w:szCs w:val="20"/>
          <w:lang w:eastAsia="zh-TW" w:bidi="en-GB"/>
        </w:rPr>
        <w:t xml:space="preserve"> </w:t>
      </w:r>
    </w:p>
    <w:p w14:paraId="1AAF23AB" w14:textId="77777777" w:rsidR="008835DA" w:rsidRPr="00544AC3" w:rsidRDefault="008835DA" w:rsidP="008835DA">
      <w:pPr>
        <w:pStyle w:val="H23GA"/>
        <w:rPr>
          <w:szCs w:val="20"/>
          <w:lang w:val="ar-SA" w:eastAsia="zh-TW" w:bidi="en-GB"/>
        </w:rPr>
      </w:pPr>
      <w:bookmarkStart w:id="105" w:name="_Toc32364365"/>
      <w:r>
        <w:rPr>
          <w:rtl/>
        </w:rPr>
        <w:tab/>
      </w:r>
      <w:r>
        <w:rPr>
          <w:rtl/>
        </w:rPr>
        <w:tab/>
        <w:t>الوعي بحقوق الإنسان في النظام التعليمي</w:t>
      </w:r>
      <w:bookmarkEnd w:id="105"/>
    </w:p>
    <w:p w14:paraId="4BF807E6" w14:textId="7F244551" w:rsidR="008835DA" w:rsidRPr="00544AC3" w:rsidRDefault="008835DA" w:rsidP="008835DA">
      <w:pPr>
        <w:pStyle w:val="SingleTxtGA"/>
        <w:rPr>
          <w:szCs w:val="20"/>
          <w:lang w:val="ar-SA" w:eastAsia="zh-TW" w:bidi="en-GB"/>
        </w:rPr>
      </w:pPr>
      <w:r w:rsidRPr="005C19F0">
        <w:rPr>
          <w:szCs w:val="20"/>
          <w:rtl/>
        </w:rPr>
        <w:t>327</w:t>
      </w:r>
      <w:r w:rsidRPr="00EF3655">
        <w:rPr>
          <w:rtl/>
        </w:rPr>
        <w:t>-</w:t>
      </w:r>
      <w:r>
        <w:rPr>
          <w:rtl/>
        </w:rPr>
        <w:tab/>
        <w:t>أُد</w:t>
      </w:r>
      <w:r>
        <w:rPr>
          <w:rtl/>
          <w:lang w:bidi="ar-DZ"/>
        </w:rPr>
        <w:t>ر</w:t>
      </w:r>
      <w:r>
        <w:rPr>
          <w:rtl/>
        </w:rPr>
        <w:t xml:space="preserve">جت حقوق الإنسان في جميع قطاعات المنهاج الدراسي الوطني الجديد للتعليم الأساسي الذي دخل حيز النفاذ في آب/أغسطس </w:t>
      </w:r>
      <w:r w:rsidRPr="005C19F0">
        <w:rPr>
          <w:szCs w:val="20"/>
          <w:rtl/>
        </w:rPr>
        <w:t>2016</w:t>
      </w:r>
      <w:r>
        <w:rPr>
          <w:rFonts w:ascii="Traditional Arabic"/>
          <w:szCs w:val="20"/>
          <w:rtl/>
        </w:rPr>
        <w:t>.</w:t>
      </w:r>
      <w:r>
        <w:rPr>
          <w:rtl/>
        </w:rPr>
        <w:t xml:space="preserve"> وعلاوة على ذلك، يُراعى</w:t>
      </w:r>
      <w:r w:rsidR="00507B18">
        <w:rPr>
          <w:rtl/>
        </w:rPr>
        <w:t xml:space="preserve"> </w:t>
      </w:r>
      <w:r>
        <w:rPr>
          <w:rtl/>
        </w:rPr>
        <w:t>في التعليم المهني للأشخاص العاملين مع الأطفال والشباب تعليمُ أصول الديمقراطية والتثقيف بشأن المساواة، ويُدرجان أيضاً كموضوعين في التعليم الأعلى</w:t>
      </w:r>
      <w:r w:rsidR="00507B18">
        <w:rPr>
          <w:rtl/>
        </w:rPr>
        <w:t xml:space="preserve"> </w:t>
      </w:r>
      <w:r>
        <w:rPr>
          <w:rtl/>
        </w:rPr>
        <w:t xml:space="preserve">والمتواصل الذي يُقدّم لهم. وعلاوة على ذلك، تُنفّذ أنشطة تتعلق بالمساواة بصورة واضحة في التعليم الأساسي وفي التعليم والرعاية في مرحلة الطفولة المبكرة. وقد أطلق مركز حقوق الإنسان ووزارة العدل وجامعة هلسنكي مشروعاً مشتركاً في عام </w:t>
      </w:r>
      <w:r w:rsidRPr="005C19F0">
        <w:rPr>
          <w:szCs w:val="20"/>
          <w:rtl/>
        </w:rPr>
        <w:t>2018</w:t>
      </w:r>
      <w:r>
        <w:rPr>
          <w:rtl/>
        </w:rPr>
        <w:t xml:space="preserve"> لتفحُّص سُبل جعل تعليم</w:t>
      </w:r>
      <w:r w:rsidR="00507B18">
        <w:rPr>
          <w:rtl/>
        </w:rPr>
        <w:t xml:space="preserve"> </w:t>
      </w:r>
      <w:r>
        <w:rPr>
          <w:rtl/>
        </w:rPr>
        <w:t xml:space="preserve">أصول الديمقراطية والتثقيف في مجال حقوق الإنسان لبنةً من لبنات تثقيف المعلمين والثقافة المدرسية بحيث لا تقتصر هذه المسألة على يوم يُكرّس لهذا الموضوع. وتتبوأ مضامين تعليم أصول الديمقراطية والتثقيف في مجال حقوق الإنسان مكانة مركزيّة ضمن المهارات المهنية للمعلمين، فلا تفتأ أهميّتهما تزداد في كنف مجتمعات تزداد تنوعاً. ويعد هذا المشروع جزءاً من مشروع تنسيق "داينو" الأوسع نطاقاً </w:t>
      </w:r>
      <w:r w:rsidRPr="00794E95">
        <w:rPr>
          <w:rtl/>
        </w:rPr>
        <w:t>(</w:t>
      </w:r>
      <w:r>
        <w:rPr>
          <w:rtl/>
        </w:rPr>
        <w:t>بلورة تعليم أصول الديمقراطية والتثقيف في مجال حقوق الإنسان وتعزيز مشاركة الشباب</w:t>
      </w:r>
      <w:r w:rsidRPr="00794E95">
        <w:rPr>
          <w:rtl/>
        </w:rPr>
        <w:t>)</w:t>
      </w:r>
      <w:r>
        <w:rPr>
          <w:rtl/>
        </w:rPr>
        <w:t>، الذي تضطلع بتنفيذه وزارة العدل بهدف تطوير التثقيف بشأن المواطنة الديمقراطية وحقوق الإنسان، فضلاً عن إشراك الشباب.</w:t>
      </w:r>
    </w:p>
    <w:p w14:paraId="0553E5EA" w14:textId="5E289FEB" w:rsidR="008835DA" w:rsidRPr="00544AC3" w:rsidRDefault="008835DA" w:rsidP="008835DA">
      <w:pPr>
        <w:pStyle w:val="H23GA"/>
        <w:rPr>
          <w:szCs w:val="20"/>
          <w:lang w:val="ar-SA" w:eastAsia="zh-TW" w:bidi="en-GB"/>
        </w:rPr>
      </w:pPr>
      <w:bookmarkStart w:id="106" w:name="_Toc32364366"/>
      <w:r>
        <w:rPr>
          <w:rtl/>
        </w:rPr>
        <w:tab/>
      </w:r>
      <w:r w:rsidRPr="00794E95">
        <w:rPr>
          <w:rtl/>
        </w:rPr>
        <w:t>(</w:t>
      </w:r>
      <w:r>
        <w:rPr>
          <w:rtl/>
        </w:rPr>
        <w:t>ب</w:t>
      </w:r>
      <w:r w:rsidRPr="00794E95">
        <w:rPr>
          <w:rtl/>
        </w:rPr>
        <w:t>)</w:t>
      </w:r>
      <w:r>
        <w:rPr>
          <w:rtl/>
        </w:rPr>
        <w:tab/>
        <w:t>البحوث في مجال الحقوق الأساسية وحقوق الإنسان</w:t>
      </w:r>
      <w:bookmarkEnd w:id="106"/>
    </w:p>
    <w:p w14:paraId="7EA7EFEF" w14:textId="44D838F4" w:rsidR="008835DA" w:rsidRPr="00C726A7" w:rsidRDefault="008835DA" w:rsidP="008835DA">
      <w:pPr>
        <w:pStyle w:val="SingleTxtGA"/>
        <w:rPr>
          <w:rFonts w:eastAsia="Calibri"/>
          <w:szCs w:val="20"/>
          <w:lang w:eastAsia="zh-TW" w:bidi="en-GB"/>
        </w:rPr>
      </w:pPr>
      <w:r w:rsidRPr="005C19F0">
        <w:rPr>
          <w:szCs w:val="20"/>
          <w:rtl/>
        </w:rPr>
        <w:t>328</w:t>
      </w:r>
      <w:r w:rsidRPr="00EF3655">
        <w:rPr>
          <w:rtl/>
        </w:rPr>
        <w:t>-</w:t>
      </w:r>
      <w:r>
        <w:rPr>
          <w:rtl/>
        </w:rPr>
        <w:tab/>
        <w:t xml:space="preserve">حالة البحوث في مجال الحقوق الأساسية وحقوق الإنسان في فنلندا جيّدة. فلدى فنلندا خبرةٌ مَتينة في مجال البحث هذا، الذي أضحى واحداً من اختصاصات البحث الراسخة على مدى العقود </w:t>
      </w:r>
      <w:r>
        <w:rPr>
          <w:rtl/>
        </w:rPr>
        <w:lastRenderedPageBreak/>
        <w:t>القليلة الماضية. وأحاطت فنلندا علماً بالقدر الكبير من البحوث المتعلقة بحقوق الإنسان، فضلاً عن تعدد أبعاد محتواها. ورغم أنّ البحوث المتعلقة بحقوق الإنسان تُنجز</w:t>
      </w:r>
      <w:r w:rsidR="00507B18">
        <w:rPr>
          <w:rtl/>
        </w:rPr>
        <w:t xml:space="preserve"> </w:t>
      </w:r>
      <w:r>
        <w:rPr>
          <w:rtl/>
        </w:rPr>
        <w:t xml:space="preserve">في المقام الأول في الجامعات ومؤسسات البحوث التابعة لها، فإن جهات أخرى تضطلع بها ومن جملتها مرافق البحوث الحكومية، والحكومة والوزارات، ومنظمات المجتمع المدني، والوكالات الاستشارية، وباحثون مستقلون. ويلقى تعدد التخصصات ترحيباً، باعتباره إثراءً لجميع الأطراف المشاركة في البحث وتعزيزاً </w:t>
      </w:r>
      <w:r>
        <w:rPr>
          <w:rtl/>
          <w:lang w:bidi="ar-DZ"/>
        </w:rPr>
        <w:t>ل</w:t>
      </w:r>
      <w:r>
        <w:rPr>
          <w:rtl/>
        </w:rPr>
        <w:t>فكر الباحثين بفضل تعدّد الأساليب المتّبعة في البحث.</w:t>
      </w:r>
    </w:p>
    <w:p w14:paraId="0BACB14B" w14:textId="77777777" w:rsidR="008835DA" w:rsidRPr="00544AC3" w:rsidRDefault="008835DA" w:rsidP="008835DA">
      <w:pPr>
        <w:pStyle w:val="SingleTxtGA"/>
        <w:rPr>
          <w:szCs w:val="20"/>
          <w:lang w:val="ar-SA" w:eastAsia="zh-TW" w:bidi="en-GB"/>
        </w:rPr>
      </w:pPr>
      <w:r w:rsidRPr="005C19F0">
        <w:rPr>
          <w:szCs w:val="20"/>
          <w:rtl/>
        </w:rPr>
        <w:t>329</w:t>
      </w:r>
      <w:r w:rsidRPr="00EF3655">
        <w:rPr>
          <w:rtl/>
        </w:rPr>
        <w:t>-</w:t>
      </w:r>
      <w:r>
        <w:rPr>
          <w:rtl/>
        </w:rPr>
        <w:tab/>
        <w:t>وأصبح للبحوث مكانة راسخة جنباً إلى جنب مع إدماج الحقوق الأساسية وحقوق الإنسان في قوانين فنلندا. وينصَبّ اهتمام البحوث حتى الآن على الحقوق الأساسية، ويتجلّى ذلك في أمور منها أن معظم البحوث يُنشر باللغة الفنلندية أو السويدية، بيد أن منشورات البحوث باللغة الإنجليزية غدت أكثر شيوعاً خلال السنوات الأخيرة. ومع ذلك، اعتُبر عدد الدورات الدراسية والوحدات الدراسية المقدمة باللغة الفنلندية في مجال الحقوق الأساسية وحقوق الإنسان قليلاً، وتجلّى ذلك فيما وقع عليه الاختيار من مواضيع البحث.</w:t>
      </w:r>
    </w:p>
    <w:p w14:paraId="7B1A3B52" w14:textId="77777777" w:rsidR="008835DA" w:rsidRPr="00544AC3" w:rsidRDefault="008835DA" w:rsidP="008835DA">
      <w:pPr>
        <w:pStyle w:val="SingleTxtGA"/>
        <w:rPr>
          <w:szCs w:val="20"/>
          <w:lang w:val="ar-SA" w:eastAsia="zh-TW" w:bidi="en-GB"/>
        </w:rPr>
      </w:pPr>
      <w:r w:rsidRPr="005C19F0">
        <w:rPr>
          <w:szCs w:val="20"/>
          <w:rtl/>
        </w:rPr>
        <w:t>330</w:t>
      </w:r>
      <w:r w:rsidRPr="00EF3655">
        <w:rPr>
          <w:rtl/>
        </w:rPr>
        <w:t>-</w:t>
      </w:r>
      <w:r>
        <w:rPr>
          <w:rtl/>
        </w:rPr>
        <w:tab/>
        <w:t>ويمكن إجراء البحوث ذات الصلة في الجامعات في عدة كليات إلا أنّ التركيز ينصب على تخصصات القانون والقانون العام. وأنشئت مؤسسات بحثية متخصصة في مجال الحقوق الأساسية وحقوق الإنسان في فنلندا تحت رعاية الجامعات. ويشمل اختصاص بعض المؤسسات البحثية الحكومية المنفصلة عن الجامعات، مثل المعهد الفنلندي للصحة والرعاية الاجتماعية والمعهد الفنلندي للشؤون الدولية، إنجاز بحوث قطاعية مفيدة للمجتمع. ويتطرق الباحثون في هذه المعاهد إلى الحقوق الأساسية وحقوق الإنسان في بحوثهم. ويتكلِّف سلطات الحكومة المركزية أيضاً، مثل الحكومة والوزارات المختلفة، جهات من خارجها بإجراء بحوث في مجال الحقوق الأساسية وحقوق الإنسان من أجل الاستفادة من النتائج في صنع القرار وصياغة التشريعات.</w:t>
      </w:r>
    </w:p>
    <w:p w14:paraId="3862B805" w14:textId="269C8860" w:rsidR="008835DA" w:rsidRPr="00544AC3" w:rsidRDefault="008835DA" w:rsidP="008835DA">
      <w:pPr>
        <w:pStyle w:val="H23GA"/>
        <w:rPr>
          <w:szCs w:val="20"/>
          <w:lang w:val="ar-SA" w:eastAsia="zh-TW" w:bidi="en-GB"/>
        </w:rPr>
      </w:pPr>
      <w:bookmarkStart w:id="107" w:name="_Toc32364367"/>
      <w:r>
        <w:rPr>
          <w:rtl/>
        </w:rPr>
        <w:tab/>
      </w:r>
      <w:r w:rsidRPr="00794E95">
        <w:rPr>
          <w:rtl/>
        </w:rPr>
        <w:t>(</w:t>
      </w:r>
      <w:r>
        <w:rPr>
          <w:rtl/>
        </w:rPr>
        <w:t>ج</w:t>
      </w:r>
      <w:r w:rsidRPr="00794E95">
        <w:rPr>
          <w:rtl/>
        </w:rPr>
        <w:t>)</w:t>
      </w:r>
      <w:r>
        <w:rPr>
          <w:rtl/>
        </w:rPr>
        <w:tab/>
        <w:t>دور المشاركة المدنية في تعزيز حقوق الإنسان</w:t>
      </w:r>
      <w:bookmarkEnd w:id="107"/>
    </w:p>
    <w:p w14:paraId="3E3A5BC7" w14:textId="157A4DB4" w:rsidR="008835DA" w:rsidRPr="00544AC3" w:rsidRDefault="008835DA" w:rsidP="008835DA">
      <w:pPr>
        <w:pStyle w:val="SingleTxtGA"/>
        <w:rPr>
          <w:szCs w:val="20"/>
          <w:lang w:val="ar-SA" w:eastAsia="zh-TW" w:bidi="en-GB"/>
        </w:rPr>
      </w:pPr>
      <w:r w:rsidRPr="005C19F0">
        <w:rPr>
          <w:szCs w:val="20"/>
          <w:rtl/>
        </w:rPr>
        <w:t>331</w:t>
      </w:r>
      <w:r w:rsidRPr="00EF3655">
        <w:rPr>
          <w:rtl/>
        </w:rPr>
        <w:t>-</w:t>
      </w:r>
      <w:r>
        <w:rPr>
          <w:rtl/>
        </w:rPr>
        <w:tab/>
        <w:t>في كنف الديمقراطية الفنلندية، يكفل دستور فنلندا حق الفرد في المشاركة في تنمية المجتمع</w:t>
      </w:r>
      <w:r w:rsidR="00507B18">
        <w:rPr>
          <w:rtl/>
        </w:rPr>
        <w:t xml:space="preserve"> و</w:t>
      </w:r>
      <w:r>
        <w:rPr>
          <w:rtl/>
        </w:rPr>
        <w:t>تحسين ظروف معيشته والتأثير فيهما. وتتمثل القنوات الرسمية للمشاركة المدنية في التصويت، ومبادرات المواطنين، ومن خلال منظمات المجتمع المدني والمنظمات السياسية. وتشمل المشاركة المدنية أيضاً التواصل مع أعضاء البرلمان وأعضاء المجالس المحلية، وممارسة الضغط السياسي واستشارة الخبراء، وعقد نقاشات عامة، وتقديم التماسات، وأحياناً في أشكال المقاطعة والمظاهرات.</w:t>
      </w:r>
    </w:p>
    <w:p w14:paraId="5FDFB177" w14:textId="1ACD7141" w:rsidR="008835DA" w:rsidRPr="00C726A7" w:rsidRDefault="008835DA" w:rsidP="008835DA">
      <w:pPr>
        <w:pStyle w:val="SingleTxtGA"/>
        <w:rPr>
          <w:szCs w:val="20"/>
          <w:lang w:eastAsia="zh-TW" w:bidi="en-GB"/>
        </w:rPr>
      </w:pPr>
      <w:r w:rsidRPr="005C19F0">
        <w:rPr>
          <w:szCs w:val="20"/>
          <w:rtl/>
        </w:rPr>
        <w:t>332</w:t>
      </w:r>
      <w:r w:rsidRPr="00EF3655">
        <w:rPr>
          <w:rtl/>
        </w:rPr>
        <w:t>-</w:t>
      </w:r>
      <w:r>
        <w:rPr>
          <w:rtl/>
        </w:rPr>
        <w:tab/>
        <w:t>وبموجب التشريع الفنلندي، يتعيّن على السلطات أن تتوخى الانفتاح والشفافية في إجراءاتها. ويجب أن يُمنح المواطنون فرصاً لحماية حقوقهم ومصالحهم، ولتلقي معلومات عن القرارات التي تعدها السلطات، وللتأثير في صنع القرارات بشأن المسائل التي تهمهم. ويجب على السلطات العامة أن تستشير المواطنين خلال إعداد المسائل التي تؤثر في حياة المواطنين. وبموجب القانون المتعلق بعلنية الأنشطة الحكومية، تسترشد السلطات في أنشطتها بمبدأ الانفتاح. فعلى سبيل المثال، تكون الوثائق الرسمية عادةً متاحة للجميع</w:t>
      </w:r>
      <w:r w:rsidR="00507B18">
        <w:rPr>
          <w:rtl/>
        </w:rPr>
        <w:t xml:space="preserve">. </w:t>
      </w:r>
      <w:r>
        <w:rPr>
          <w:rtl/>
        </w:rPr>
        <w:t>ويجب على السلطات أيضاً إعلام الجمهور بأنشطتها وخدماتها، وكذلك بالحقوق والالتزامات التي يتمتع بها الأفراد والشركات الخاصة في المسائل التي تدخل ضمن اختصاص السلطات. ويحق لكل شخص الحصول على معلومات عن المسائل التي تعدها السلطات والمشاركة في تنمية المجتمع وبيئته المعيشية والتأثير فيها. وتتيح خدمات الديمقراطية الإلكترونية للمواطنين ولذوي المصلحة المشاركة في إعداد المسائل والمساهمة في عملية صنع القرار.</w:t>
      </w:r>
    </w:p>
    <w:p w14:paraId="23A809B5" w14:textId="77777777" w:rsidR="008835DA" w:rsidRPr="00544AC3" w:rsidRDefault="008835DA" w:rsidP="008835DA">
      <w:pPr>
        <w:pStyle w:val="SingleTxtGA"/>
        <w:rPr>
          <w:szCs w:val="20"/>
          <w:lang w:val="ar-SA" w:eastAsia="zh-TW" w:bidi="en-GB"/>
        </w:rPr>
      </w:pPr>
      <w:r w:rsidRPr="005C19F0">
        <w:rPr>
          <w:szCs w:val="20"/>
          <w:rtl/>
        </w:rPr>
        <w:lastRenderedPageBreak/>
        <w:t>333</w:t>
      </w:r>
      <w:r w:rsidRPr="00EF3655">
        <w:rPr>
          <w:rtl/>
        </w:rPr>
        <w:t>-</w:t>
      </w:r>
      <w:r>
        <w:rPr>
          <w:rtl/>
        </w:rPr>
        <w:tab/>
        <w:t>والتشاور جزء لا يتجزأ من عملية صياغة القانون في مجال الحقوق الأساسية وحقوق الإنسان. ويُقصد بالمشاورات تلك المرحلة من مراحل عملية صياغة القانون التي تُستقى فيها آراء ذوي المصلحة الرئيسيين، ومعارفهم وتجاربهم بشأن القانون قيد الإعداد. وتتمثل الغاية من التشاور مع المواطنين وذوي المصلحة في ضمان توخي الانفتاح والشفافية والجودة الرفيعة في عملية صياغة القانون.</w:t>
      </w:r>
    </w:p>
    <w:p w14:paraId="008938AE" w14:textId="76CCB72F" w:rsidR="008835DA" w:rsidRPr="00544AC3" w:rsidRDefault="008835DA" w:rsidP="008835DA">
      <w:pPr>
        <w:pStyle w:val="H23GA"/>
        <w:rPr>
          <w:szCs w:val="20"/>
          <w:lang w:val="ar-SA" w:eastAsia="zh-TW" w:bidi="en-GB"/>
        </w:rPr>
      </w:pPr>
      <w:bookmarkStart w:id="108" w:name="_Toc32364368"/>
      <w:r>
        <w:rPr>
          <w:rtl/>
        </w:rPr>
        <w:tab/>
      </w:r>
      <w:r w:rsidRPr="00794E95">
        <w:rPr>
          <w:rtl/>
        </w:rPr>
        <w:t>(</w:t>
      </w:r>
      <w:r>
        <w:rPr>
          <w:rtl/>
        </w:rPr>
        <w:t>د</w:t>
      </w:r>
      <w:r w:rsidRPr="00794E95">
        <w:rPr>
          <w:rtl/>
        </w:rPr>
        <w:t>)</w:t>
      </w:r>
      <w:r>
        <w:rPr>
          <w:rtl/>
        </w:rPr>
        <w:tab/>
        <w:t>المخصصات المرصودة في الميزانية لحقوق الإنسان</w:t>
      </w:r>
      <w:bookmarkEnd w:id="108"/>
    </w:p>
    <w:p w14:paraId="2B50091C" w14:textId="77777777" w:rsidR="008835DA" w:rsidRPr="00C726A7" w:rsidRDefault="008835DA" w:rsidP="008835DA">
      <w:pPr>
        <w:pStyle w:val="SingleTxtGA"/>
        <w:rPr>
          <w:szCs w:val="20"/>
          <w:lang w:eastAsia="zh-TW" w:bidi="en-GB"/>
        </w:rPr>
      </w:pPr>
      <w:r w:rsidRPr="005C19F0">
        <w:rPr>
          <w:szCs w:val="20"/>
          <w:rtl/>
        </w:rPr>
        <w:t>334</w:t>
      </w:r>
      <w:r w:rsidRPr="00EF3655">
        <w:rPr>
          <w:rtl/>
        </w:rPr>
        <w:t>-</w:t>
      </w:r>
      <w:r>
        <w:rPr>
          <w:rtl/>
        </w:rPr>
        <w:tab/>
        <w:t>تشمل مخصصات الميزانية المرصودة لتعزيز حقوق الإنسان، بوجه خاص، المخصصات للجهاز الإداري في وزارة العدل من أجل مسائل حقوق الإنسان الهامة على الصعيد الوطني، وللجهاز الإداري في وزارة الخارجية من أجل التعاون الإنمائي.</w:t>
      </w:r>
    </w:p>
    <w:p w14:paraId="387A3CDB" w14:textId="285F9B12" w:rsidR="008835DA" w:rsidRPr="00544AC3" w:rsidRDefault="008835DA" w:rsidP="008835DA">
      <w:pPr>
        <w:pStyle w:val="H23GA"/>
        <w:rPr>
          <w:szCs w:val="20"/>
          <w:lang w:val="ar-SA" w:eastAsia="zh-TW" w:bidi="en-GB"/>
        </w:rPr>
      </w:pPr>
      <w:bookmarkStart w:id="109" w:name="_Toc32364369"/>
      <w:r>
        <w:rPr>
          <w:rtl/>
        </w:rPr>
        <w:tab/>
      </w:r>
      <w:r w:rsidRPr="00794E95">
        <w:rPr>
          <w:rtl/>
        </w:rPr>
        <w:t>(</w:t>
      </w:r>
      <w:r>
        <w:rPr>
          <w:rtl/>
        </w:rPr>
        <w:t>ه</w:t>
      </w:r>
      <w:r w:rsidRPr="00794E95">
        <w:rPr>
          <w:rtl/>
        </w:rPr>
        <w:t>)</w:t>
      </w:r>
      <w:r>
        <w:rPr>
          <w:rtl/>
        </w:rPr>
        <w:tab/>
        <w:t>التعاون الإنمائي</w:t>
      </w:r>
      <w:bookmarkEnd w:id="109"/>
    </w:p>
    <w:p w14:paraId="447D800D" w14:textId="11A6D5C6" w:rsidR="008835DA" w:rsidRPr="00544AC3" w:rsidRDefault="008835DA" w:rsidP="008835DA">
      <w:pPr>
        <w:pStyle w:val="SingleTxtGA"/>
        <w:rPr>
          <w:rFonts w:eastAsia="Calibri"/>
          <w:szCs w:val="20"/>
          <w:lang w:val="ar-SA" w:eastAsia="zh-TW" w:bidi="en-GB"/>
        </w:rPr>
      </w:pPr>
      <w:r w:rsidRPr="005C19F0">
        <w:rPr>
          <w:szCs w:val="20"/>
          <w:rtl/>
        </w:rPr>
        <w:t>335</w:t>
      </w:r>
      <w:r w:rsidRPr="00EF3655">
        <w:rPr>
          <w:rtl/>
        </w:rPr>
        <w:t>-</w:t>
      </w:r>
      <w:r>
        <w:rPr>
          <w:rtl/>
        </w:rPr>
        <w:tab/>
        <w:t xml:space="preserve">في عام </w:t>
      </w:r>
      <w:r w:rsidRPr="005C19F0">
        <w:rPr>
          <w:szCs w:val="20"/>
          <w:rtl/>
        </w:rPr>
        <w:t>2019</w:t>
      </w:r>
      <w:r>
        <w:rPr>
          <w:rtl/>
        </w:rPr>
        <w:t xml:space="preserve">، شكّلت مخصصات التعاون الإنمائي في فنلندا، التي تبلغ قيمتها </w:t>
      </w:r>
      <w:r w:rsidRPr="005C19F0">
        <w:rPr>
          <w:szCs w:val="20"/>
          <w:rtl/>
        </w:rPr>
        <w:t>989</w:t>
      </w:r>
      <w:r>
        <w:rPr>
          <w:rtl/>
        </w:rPr>
        <w:t xml:space="preserve"> مليون يورو، </w:t>
      </w:r>
      <w:r w:rsidRPr="005C19F0">
        <w:rPr>
          <w:szCs w:val="20"/>
          <w:rtl/>
        </w:rPr>
        <w:t>0</w:t>
      </w:r>
      <w:r w:rsidR="00887C00">
        <w:rPr>
          <w:rFonts w:ascii="Traditional Arabic" w:hAnsi="Traditional Arabic"/>
          <w:szCs w:val="20"/>
          <w:rtl/>
        </w:rPr>
        <w:t>,</w:t>
      </w:r>
      <w:r w:rsidRPr="005C19F0">
        <w:rPr>
          <w:szCs w:val="20"/>
          <w:rtl/>
        </w:rPr>
        <w:t>41</w:t>
      </w:r>
      <w:r>
        <w:rPr>
          <w:rtl/>
        </w:rPr>
        <w:t xml:space="preserve"> في المائة من الدخل القومي الإجمالي. وسوف تستخدم المخصصات لتمويل المساعدة الإنمائية الرسمية وغيرها من أنشطة التعاون الإنمائي.</w:t>
      </w:r>
    </w:p>
    <w:p w14:paraId="1DA656D4" w14:textId="77777777" w:rsidR="008835DA" w:rsidRPr="00C726A7" w:rsidRDefault="008835DA" w:rsidP="008835DA">
      <w:pPr>
        <w:pStyle w:val="SingleTxtGA"/>
        <w:rPr>
          <w:szCs w:val="20"/>
          <w:lang w:eastAsia="zh-TW" w:bidi="en-GB"/>
        </w:rPr>
      </w:pPr>
      <w:r w:rsidRPr="005C19F0">
        <w:rPr>
          <w:szCs w:val="20"/>
          <w:rtl/>
        </w:rPr>
        <w:t>336</w:t>
      </w:r>
      <w:r w:rsidRPr="00EF3655">
        <w:rPr>
          <w:rtl/>
        </w:rPr>
        <w:t>-</w:t>
      </w:r>
      <w:r>
        <w:rPr>
          <w:rtl/>
        </w:rPr>
        <w:tab/>
        <w:t>ووزارة الخارجية مسؤولة عن بند الميزانية الخاص بالمساعدة الإنمائية الرسمية لفنلندا. وتُخصّص الأموال بموجب هذا البند من الميزانية للتعاون الإنمائي الثنائي بين فنلندا والبلدان التي تربطها بها علاقة شراكة، ولدعم العمل الذي تضطلع به وكالات الأمم المتحدة، ومصارف التنمية ومنظمات المجتمع المدني الفنلندية، وللمعونة الإنسانية.</w:t>
      </w:r>
    </w:p>
    <w:p w14:paraId="115DD045" w14:textId="77777777" w:rsidR="008835DA" w:rsidRPr="00C726A7" w:rsidRDefault="008835DA" w:rsidP="008835DA">
      <w:pPr>
        <w:pStyle w:val="SingleTxtGA"/>
        <w:rPr>
          <w:szCs w:val="20"/>
          <w:lang w:eastAsia="zh-TW"/>
        </w:rPr>
      </w:pPr>
      <w:r w:rsidRPr="005C19F0">
        <w:rPr>
          <w:szCs w:val="20"/>
          <w:rtl/>
        </w:rPr>
        <w:t>337</w:t>
      </w:r>
      <w:r w:rsidRPr="00EF3655">
        <w:rPr>
          <w:rtl/>
        </w:rPr>
        <w:t>-</w:t>
      </w:r>
      <w:r>
        <w:rPr>
          <w:rtl/>
        </w:rPr>
        <w:tab/>
        <w:t xml:space="preserve">وفي مجال الإحصاءات، يغطي تمويل آخر للتعاون الإنمائي التكاليف الناشئة عن استقبال اللاجئين، ومساهمة فنلندا في ميزانية التعاون الإنمائي للاتحاد الأوروبي، وغير ذلك من المدفوعات التي تندرج ضمن المساعدات الإنمائية في مختلف القطاعات الإدارية. ويتضمن التمويل أيضاً الاستثمارات المقدرة التي اضطلع بها الصندوق الفنلندي للتعاون الصناعي في عام </w:t>
      </w:r>
      <w:r w:rsidRPr="005C19F0">
        <w:rPr>
          <w:szCs w:val="20"/>
          <w:rtl/>
        </w:rPr>
        <w:t>2019</w:t>
      </w:r>
      <w:r>
        <w:rPr>
          <w:rtl/>
        </w:rPr>
        <w:t>، والتي تُعتبر من أنشطة التعاون الإنمائي، ويقدّر أيضاً الاستثمارات المقدرة المخصصة للسياسات الإنمائية الأخرى.</w:t>
      </w:r>
    </w:p>
    <w:p w14:paraId="570BA4F5" w14:textId="27BE4E3B" w:rsidR="008835DA" w:rsidRPr="00C726A7" w:rsidRDefault="008835DA" w:rsidP="008835DA">
      <w:pPr>
        <w:pStyle w:val="SingleTxtGA"/>
        <w:rPr>
          <w:rFonts w:eastAsia="Calibri"/>
          <w:szCs w:val="20"/>
          <w:lang w:eastAsia="zh-TW" w:bidi="en-GB"/>
        </w:rPr>
      </w:pPr>
      <w:r w:rsidRPr="005C19F0">
        <w:rPr>
          <w:szCs w:val="20"/>
          <w:rtl/>
        </w:rPr>
        <w:t>338</w:t>
      </w:r>
      <w:r w:rsidRPr="00EF3655">
        <w:rPr>
          <w:rtl/>
        </w:rPr>
        <w:t>-</w:t>
      </w:r>
      <w:r>
        <w:rPr>
          <w:rtl/>
        </w:rPr>
        <w:tab/>
        <w:t>وتعهّدت فنلندا ببلوغ المستوى المستهدف من المساعدة الإنمائية الرسمية الذي يعادل نسبة</w:t>
      </w:r>
      <w:r w:rsidR="00DD3AD6">
        <w:rPr>
          <w:rFonts w:hint="cs"/>
          <w:rtl/>
        </w:rPr>
        <w:t> </w:t>
      </w:r>
      <w:r w:rsidRPr="005C19F0">
        <w:rPr>
          <w:szCs w:val="20"/>
          <w:rtl/>
        </w:rPr>
        <w:t>0</w:t>
      </w:r>
      <w:r w:rsidR="00DD3AD6">
        <w:rPr>
          <w:rFonts w:ascii="Traditional Arabic" w:hAnsi="Traditional Arabic"/>
          <w:szCs w:val="20"/>
          <w:rtl/>
        </w:rPr>
        <w:t>,</w:t>
      </w:r>
      <w:r w:rsidRPr="005C19F0">
        <w:rPr>
          <w:szCs w:val="20"/>
          <w:rtl/>
        </w:rPr>
        <w:t>7</w:t>
      </w:r>
      <w:r>
        <w:rPr>
          <w:rtl/>
        </w:rPr>
        <w:t xml:space="preserve"> في المائة من الدخل القومي الإجمالي.</w:t>
      </w:r>
    </w:p>
    <w:p w14:paraId="74C42630" w14:textId="4A85C7DD" w:rsidR="008835DA" w:rsidRPr="00544AC3" w:rsidRDefault="008835DA" w:rsidP="008835DA">
      <w:pPr>
        <w:pStyle w:val="SingleTxtGA"/>
        <w:rPr>
          <w:szCs w:val="20"/>
          <w:lang w:val="ar-SA" w:eastAsia="zh-TW" w:bidi="en-GB"/>
        </w:rPr>
      </w:pPr>
      <w:r w:rsidRPr="005C19F0">
        <w:rPr>
          <w:szCs w:val="20"/>
          <w:rtl/>
        </w:rPr>
        <w:t>339</w:t>
      </w:r>
      <w:r w:rsidRPr="00EF3655">
        <w:rPr>
          <w:rtl/>
        </w:rPr>
        <w:t>-</w:t>
      </w:r>
      <w:r>
        <w:rPr>
          <w:rtl/>
        </w:rPr>
        <w:tab/>
        <w:t xml:space="preserve">وفي عام </w:t>
      </w:r>
      <w:r w:rsidRPr="005C19F0">
        <w:rPr>
          <w:szCs w:val="20"/>
          <w:rtl/>
        </w:rPr>
        <w:t>2018</w:t>
      </w:r>
      <w:r>
        <w:rPr>
          <w:rtl/>
        </w:rPr>
        <w:t>، كانت</w:t>
      </w:r>
      <w:r w:rsidR="00507B18">
        <w:rPr>
          <w:rtl/>
        </w:rPr>
        <w:t xml:space="preserve"> </w:t>
      </w:r>
      <w:r>
        <w:rPr>
          <w:rtl/>
        </w:rPr>
        <w:t>أفغانستان وإثيوبيا وإندونيسيا والجمهورية العربية السورية وكينيا وموزامبيق ونيبال وفيتنام والصومال وتنزانيا أكبر عشر دول أو مناطق شريكة.</w:t>
      </w:r>
    </w:p>
    <w:p w14:paraId="23FA01D1" w14:textId="77777777" w:rsidR="008835DA" w:rsidRPr="00C726A7" w:rsidRDefault="008835DA" w:rsidP="008835DA">
      <w:pPr>
        <w:pStyle w:val="SingleTxtGA"/>
        <w:rPr>
          <w:szCs w:val="20"/>
          <w:lang w:eastAsia="zh-TW" w:bidi="en-GB"/>
        </w:rPr>
      </w:pPr>
      <w:r w:rsidRPr="005C19F0">
        <w:rPr>
          <w:szCs w:val="20"/>
          <w:rtl/>
        </w:rPr>
        <w:t>340</w:t>
      </w:r>
      <w:r w:rsidRPr="00EF3655">
        <w:rPr>
          <w:rtl/>
        </w:rPr>
        <w:t>-</w:t>
      </w:r>
      <w:r>
        <w:rPr>
          <w:rtl/>
        </w:rPr>
        <w:tab/>
        <w:t xml:space="preserve">وتلتزم فنلندا بتخصيص </w:t>
      </w:r>
      <w:r w:rsidRPr="005C19F0">
        <w:rPr>
          <w:szCs w:val="20"/>
          <w:rtl/>
        </w:rPr>
        <w:t>10</w:t>
      </w:r>
      <w:r>
        <w:rPr>
          <w:rtl/>
        </w:rPr>
        <w:t xml:space="preserve"> في المائة من مخصصاتها للمعونة الإنمائية السنوية للمعونة الإنسانية الموجهة إلى البلدان المتلقية للمساعدة الإنمائية الرسمية. وتُوجَّه المعونة الفنلندية إلى البلدان التي تقدمت بطلب مساعدة رسمي إلى الأمم المتحدة، شريطة أن يخضع وضعها الإنساني لتقييم احتياجات موثوق، وأن تصدر منظمات المعونة الإنسانية نداء موحداً بتنسيق الأمم المتحدة. وتنظر فنلندا، عند اتخاذ قرار بشأن المعونة، في عدة عوامل</w:t>
      </w:r>
      <w:r w:rsidRPr="00BB79C1">
        <w:rPr>
          <w:rtl/>
        </w:rPr>
        <w:t>:</w:t>
      </w:r>
      <w:r>
        <w:rPr>
          <w:rtl/>
        </w:rPr>
        <w:t xml:space="preserve"> نطاق الأزمة، ونسبة السكان المتضررين منها، وعدد القتلى والمرضى، وأولئك الذين يحتاجون إلى معونة طارئة، والأطفال دون سن الخامسة الذين يعانون من سوء التغذية الحاد. وتقدّم وزارة الخارجية التمويل المخصص للمساعدات الإنسانية بواسطة هيئات الأمم المتحدة وحركة الصليب الأحمر الدولية ومنظمات الإغاثة الفنلندية.</w:t>
      </w:r>
    </w:p>
    <w:p w14:paraId="49246480" w14:textId="44568E24" w:rsidR="008835DA" w:rsidRPr="00544AC3" w:rsidRDefault="008835DA" w:rsidP="008835DA">
      <w:pPr>
        <w:pStyle w:val="H1GA"/>
        <w:rPr>
          <w:szCs w:val="20"/>
          <w:lang w:val="ar-SA" w:eastAsia="zh-TW" w:bidi="en-GB"/>
        </w:rPr>
      </w:pPr>
      <w:bookmarkStart w:id="110" w:name="_Toc32364370"/>
      <w:r>
        <w:rPr>
          <w:rtl/>
        </w:rPr>
        <w:lastRenderedPageBreak/>
        <w:tab/>
        <w:t>زاي</w:t>
      </w:r>
      <w:r w:rsidRPr="00EF3655">
        <w:rPr>
          <w:rtl/>
        </w:rPr>
        <w:t>-</w:t>
      </w:r>
      <w:r>
        <w:rPr>
          <w:rtl/>
        </w:rPr>
        <w:tab/>
        <w:t>عملية إعداد التقارير على الصعيد الوطني</w:t>
      </w:r>
      <w:bookmarkEnd w:id="110"/>
    </w:p>
    <w:p w14:paraId="14305779" w14:textId="237E6E34" w:rsidR="008835DA" w:rsidRPr="00544AC3" w:rsidRDefault="008835DA" w:rsidP="008835DA">
      <w:pPr>
        <w:pStyle w:val="H23GA"/>
        <w:rPr>
          <w:szCs w:val="20"/>
          <w:lang w:val="ar-SA" w:eastAsia="zh-TW" w:bidi="en-GB"/>
        </w:rPr>
      </w:pPr>
      <w:bookmarkStart w:id="111" w:name="_Toc32364371"/>
      <w:r>
        <w:rPr>
          <w:rtl/>
        </w:rPr>
        <w:tab/>
      </w:r>
      <w:r w:rsidRPr="00794E95">
        <w:rPr>
          <w:rtl/>
        </w:rPr>
        <w:t>(</w:t>
      </w:r>
      <w:r>
        <w:rPr>
          <w:rtl/>
        </w:rPr>
        <w:t>أ</w:t>
      </w:r>
      <w:r w:rsidRPr="00794E95">
        <w:rPr>
          <w:rtl/>
        </w:rPr>
        <w:t>)</w:t>
      </w:r>
      <w:r>
        <w:rPr>
          <w:rtl/>
        </w:rPr>
        <w:tab/>
        <w:t>تنسيق عملية إعداد التقارير الدورية على الصعيد الوطني</w:t>
      </w:r>
      <w:bookmarkEnd w:id="111"/>
    </w:p>
    <w:p w14:paraId="1D986FB0" w14:textId="77777777" w:rsidR="008835DA" w:rsidRPr="00C726A7" w:rsidRDefault="008835DA" w:rsidP="008835DA">
      <w:pPr>
        <w:pStyle w:val="SingleTxtGA"/>
        <w:rPr>
          <w:szCs w:val="20"/>
          <w:lang w:eastAsia="zh-TW"/>
        </w:rPr>
      </w:pPr>
      <w:r w:rsidRPr="005C19F0">
        <w:rPr>
          <w:szCs w:val="20"/>
          <w:rtl/>
        </w:rPr>
        <w:t>341</w:t>
      </w:r>
      <w:r w:rsidRPr="00EF3655">
        <w:rPr>
          <w:rtl/>
        </w:rPr>
        <w:t>-</w:t>
      </w:r>
      <w:r>
        <w:rPr>
          <w:rtl/>
        </w:rPr>
        <w:tab/>
        <w:t>في فنلندا، يتركز إعداد التقارير الدورية المتعلقة بالمعاهدات الأساسية لحقوق الإنسان التي وضعتها الأمم المتحدة ومجلس أوروبا، فضلاً عن الاستعراض الدوري الشامل للأمم المتحدة، لدى وحدة محاكم واتفاقيات حقوق الإنسان في وزارة الخارجية. وتضطلع الوزارة بإعداد وتنسيق مشاريع التقارير، وتضعها في صيغتها النهائية، ثم تُحيلها إلى اللجان. وبالإضافة إلى ذلك، تقوم الوزارة بالإجراءات التحضيرية لمشاركة فنلندا في جلسات الاستماع التي تعقدها هيئات المعاهدات، وكذلك بتنسيق تعليقات الحكومة على مش</w:t>
      </w:r>
      <w:r>
        <w:rPr>
          <w:rtl/>
          <w:lang w:bidi="ar-DZ"/>
        </w:rPr>
        <w:t>ا</w:t>
      </w:r>
      <w:r>
        <w:rPr>
          <w:rtl/>
        </w:rPr>
        <w:t>ريع التعليقات العامة/توصيات هيئات المعاهدات.</w:t>
      </w:r>
    </w:p>
    <w:p w14:paraId="7C016549" w14:textId="13D9BEEE" w:rsidR="008835DA" w:rsidRPr="00544AC3" w:rsidRDefault="008835DA" w:rsidP="008835DA">
      <w:pPr>
        <w:pStyle w:val="H23GA"/>
        <w:rPr>
          <w:szCs w:val="20"/>
          <w:lang w:val="ar-SA" w:eastAsia="zh-TW" w:bidi="en-GB"/>
        </w:rPr>
      </w:pPr>
      <w:bookmarkStart w:id="112" w:name="_Toc32364372"/>
      <w:r>
        <w:rPr>
          <w:rtl/>
        </w:rPr>
        <w:tab/>
      </w:r>
      <w:r w:rsidRPr="00794E95">
        <w:rPr>
          <w:rtl/>
        </w:rPr>
        <w:t>(</w:t>
      </w:r>
      <w:r>
        <w:rPr>
          <w:rtl/>
        </w:rPr>
        <w:t>ب</w:t>
      </w:r>
      <w:r w:rsidRPr="00794E95">
        <w:rPr>
          <w:rtl/>
        </w:rPr>
        <w:t>)</w:t>
      </w:r>
      <w:r>
        <w:rPr>
          <w:rtl/>
        </w:rPr>
        <w:tab/>
        <w:t>إشراك الهيئات الحكومية وغير الحكومية</w:t>
      </w:r>
      <w:bookmarkEnd w:id="112"/>
    </w:p>
    <w:p w14:paraId="5C97A41E" w14:textId="77777777" w:rsidR="008835DA" w:rsidRPr="00544AC3" w:rsidRDefault="008835DA" w:rsidP="008835DA">
      <w:pPr>
        <w:pStyle w:val="SingleTxtGA"/>
        <w:rPr>
          <w:szCs w:val="20"/>
          <w:lang w:val="ar-SA" w:eastAsia="zh-TW" w:bidi="en-GB"/>
        </w:rPr>
      </w:pPr>
      <w:r w:rsidRPr="005C19F0">
        <w:rPr>
          <w:szCs w:val="20"/>
          <w:rtl/>
        </w:rPr>
        <w:t>342</w:t>
      </w:r>
      <w:r w:rsidRPr="00EF3655">
        <w:rPr>
          <w:rtl/>
        </w:rPr>
        <w:t>-</w:t>
      </w:r>
      <w:r>
        <w:rPr>
          <w:rtl/>
        </w:rPr>
        <w:tab/>
        <w:t xml:space="preserve">تُعدّ التقارير الدورية التي تقدّم إلى هيئات الاتفاقيات الدولية بصورة علنية في وزارة الخارجية، بالتعاون مع الوزارات الأخرى، وبالتشاور مع مراقبي الشرعية، وأمناء المظالم الخاصين، والمجالس الاستشارية، والكنائس والطوائف الدينية، والمجتمع المدني. وتعِد وزارة الخارجية مشروع التقرير الذي يعمَّم للتعليق عليه ويُحال للتشاور بشأنه. وتُستقبل الآراء بشأن مشاريع التقارير بوسائط منها خدمة </w:t>
      </w:r>
      <w:r>
        <w:rPr>
          <w:rFonts w:cs="Times New Roman"/>
          <w:szCs w:val="20"/>
          <w:rtl/>
        </w:rPr>
        <w:t>Lausuntopalvelu.fi</w:t>
      </w:r>
      <w:r>
        <w:rPr>
          <w:rtl/>
        </w:rPr>
        <w:t xml:space="preserve"> الإلكترونية التي تتيح للأفراد الخواص أيضاً تقديم مساهماتهم.</w:t>
      </w:r>
    </w:p>
    <w:p w14:paraId="408003D1" w14:textId="77777777" w:rsidR="008835DA" w:rsidRPr="00544AC3" w:rsidRDefault="008835DA" w:rsidP="008835DA">
      <w:pPr>
        <w:pStyle w:val="SingleTxtGA"/>
        <w:rPr>
          <w:rFonts w:eastAsia="Calibri"/>
          <w:szCs w:val="20"/>
          <w:lang w:val="ar-SA" w:eastAsia="zh-TW" w:bidi="en-GB"/>
        </w:rPr>
      </w:pPr>
      <w:r w:rsidRPr="005C19F0">
        <w:rPr>
          <w:szCs w:val="20"/>
          <w:rtl/>
        </w:rPr>
        <w:t>343</w:t>
      </w:r>
      <w:r w:rsidRPr="00EF3655">
        <w:rPr>
          <w:rtl/>
        </w:rPr>
        <w:t>-</w:t>
      </w:r>
      <w:r>
        <w:rPr>
          <w:rtl/>
        </w:rPr>
        <w:tab/>
        <w:t>وتشارك المؤسسة الوطنية لحقوق الإنسان، التي يمثلها مركز حقوق الإنسان، في التعاون الدولي على نطاق واسع في تقديم التقارير الدورية عن طريق صياغة آرائها الخاصة في مختلف مراحل عملية إعداد التقارير، وتنظيم فعاليات تتعلق بالتقارير، وتقديم إرشادات إلى منظمات المجتمع المدني، والمشاركة في جلسات الاستماع التي تُعقد أمام هيئات المعاهدات.</w:t>
      </w:r>
    </w:p>
    <w:p w14:paraId="0A1F3881" w14:textId="794E0E12" w:rsidR="008835DA" w:rsidRPr="00544AC3" w:rsidRDefault="008835DA" w:rsidP="008835DA">
      <w:pPr>
        <w:pStyle w:val="H23GA"/>
        <w:rPr>
          <w:szCs w:val="20"/>
          <w:lang w:val="ar-SA" w:eastAsia="zh-TW" w:bidi="en-GB"/>
        </w:rPr>
      </w:pPr>
      <w:bookmarkStart w:id="113" w:name="_Toc32364373"/>
      <w:r>
        <w:rPr>
          <w:rtl/>
        </w:rPr>
        <w:tab/>
      </w:r>
      <w:r w:rsidRPr="00794E95">
        <w:rPr>
          <w:rtl/>
        </w:rPr>
        <w:t>(</w:t>
      </w:r>
      <w:r>
        <w:rPr>
          <w:rtl/>
        </w:rPr>
        <w:t>ج</w:t>
      </w:r>
      <w:r w:rsidRPr="00794E95">
        <w:rPr>
          <w:rtl/>
        </w:rPr>
        <w:t>)</w:t>
      </w:r>
      <w:r>
        <w:rPr>
          <w:rtl/>
        </w:rPr>
        <w:tab/>
        <w:t xml:space="preserve">جلسات الاستماع الخاصة بمشاريع التقارير </w:t>
      </w:r>
      <w:bookmarkEnd w:id="113"/>
    </w:p>
    <w:p w14:paraId="6AC75C97" w14:textId="77777777" w:rsidR="008835DA" w:rsidRPr="00544AC3" w:rsidRDefault="008835DA" w:rsidP="008835DA">
      <w:pPr>
        <w:pStyle w:val="SingleTxtGA"/>
        <w:rPr>
          <w:rFonts w:eastAsia="Calibri"/>
          <w:szCs w:val="20"/>
          <w:lang w:val="ar-SA" w:eastAsia="zh-TW" w:bidi="en-GB"/>
        </w:rPr>
      </w:pPr>
      <w:r w:rsidRPr="005C19F0">
        <w:rPr>
          <w:szCs w:val="20"/>
          <w:rtl/>
        </w:rPr>
        <w:t>344</w:t>
      </w:r>
      <w:r w:rsidRPr="00EF3655">
        <w:rPr>
          <w:rtl/>
        </w:rPr>
        <w:t>-</w:t>
      </w:r>
      <w:r>
        <w:rPr>
          <w:rtl/>
        </w:rPr>
        <w:tab/>
        <w:t>تنظم وزارة الخارجية جلسات استماع وطنية بشأن مشاريع التقارير لإتاحة التفاعل المباشر بين السلطات والمجتمع المدني.</w:t>
      </w:r>
    </w:p>
    <w:p w14:paraId="7D3801BD" w14:textId="5B6FCA47" w:rsidR="008835DA" w:rsidRPr="00544AC3" w:rsidRDefault="008835DA" w:rsidP="008835DA">
      <w:pPr>
        <w:pStyle w:val="H23GA"/>
        <w:rPr>
          <w:szCs w:val="20"/>
          <w:lang w:val="ar-SA" w:eastAsia="zh-TW" w:bidi="en-GB"/>
        </w:rPr>
      </w:pPr>
      <w:bookmarkStart w:id="114" w:name="_Toc32364374"/>
      <w:r>
        <w:rPr>
          <w:rtl/>
        </w:rPr>
        <w:tab/>
      </w:r>
      <w:r w:rsidRPr="00794E95">
        <w:rPr>
          <w:rtl/>
        </w:rPr>
        <w:t>(</w:t>
      </w:r>
      <w:r>
        <w:rPr>
          <w:rtl/>
        </w:rPr>
        <w:t>د</w:t>
      </w:r>
      <w:r w:rsidRPr="00794E95">
        <w:rPr>
          <w:rtl/>
        </w:rPr>
        <w:t>)</w:t>
      </w:r>
      <w:r>
        <w:rPr>
          <w:rtl/>
        </w:rPr>
        <w:tab/>
        <w:t>متابعة الملاحظات الختامية وتعميمها</w:t>
      </w:r>
      <w:bookmarkEnd w:id="114"/>
    </w:p>
    <w:p w14:paraId="68A7BDA6" w14:textId="0B63ED00" w:rsidR="008835DA" w:rsidRPr="002C444D" w:rsidRDefault="008835DA" w:rsidP="008835DA">
      <w:pPr>
        <w:pStyle w:val="SingleTxtGA"/>
        <w:rPr>
          <w:spacing w:val="-2"/>
          <w:szCs w:val="20"/>
          <w:lang w:eastAsia="zh-TW" w:bidi="en-GB"/>
        </w:rPr>
      </w:pPr>
      <w:r w:rsidRPr="005C19F0">
        <w:rPr>
          <w:szCs w:val="20"/>
          <w:rtl/>
        </w:rPr>
        <w:t>345</w:t>
      </w:r>
      <w:r w:rsidRPr="00EF3655">
        <w:rPr>
          <w:rtl/>
        </w:rPr>
        <w:t>-</w:t>
      </w:r>
      <w:r>
        <w:rPr>
          <w:rtl/>
        </w:rPr>
        <w:tab/>
        <w:t xml:space="preserve">تُترجَم الملاحظات الختامية إلى اللغتين الوطنيتين في فنلندا، وهما الفنلندية والسويدية، وتُترجم </w:t>
      </w:r>
      <w:r w:rsidRPr="002C444D">
        <w:rPr>
          <w:spacing w:val="-2"/>
          <w:rtl/>
        </w:rPr>
        <w:t>أيضاً، عند الاقتضاء، إلى اللغة الصامية الشمالية فيما يتعلق بالتوصيات المتعلقة بالشعب الصامي. وتصدر الحكومة بياناً صحفياً عن الملاحظات الختامية الصادرة عن هيئات معاهدات الأمم المتحدة، وتعمّمها مباشرة على رئيس الجمهورية والبرلمان والوزارات والمحاكم العليا ومراقبي</w:t>
      </w:r>
      <w:r w:rsidR="00507B18" w:rsidRPr="002C444D">
        <w:rPr>
          <w:spacing w:val="-2"/>
          <w:rtl/>
        </w:rPr>
        <w:t xml:space="preserve"> </w:t>
      </w:r>
      <w:r w:rsidRPr="002C444D">
        <w:rPr>
          <w:spacing w:val="-2"/>
          <w:rtl/>
        </w:rPr>
        <w:t>الشرعية والمؤسسة الوطنية لحقوق الإنسان وأمناء المظالم الخاصين والمجالس الاستشارية ورابطة السلطات المحلية والإقليمية الفنلندية وحكومة آلاند، والكنائس والطوائف الدينية ومعاهد حقوق الإنسان في الجامعات والعديد من منظمات المجتمع المدني. وتُتاح نسخ الملاحظات الختامية بلغات البلد عبر الموقع الإلكتروني لوزارة الخارجية.</w:t>
      </w:r>
    </w:p>
    <w:p w14:paraId="06236B3D" w14:textId="6656AE7F" w:rsidR="008835DA" w:rsidRPr="00544AC3" w:rsidRDefault="008835DA" w:rsidP="008835DA">
      <w:pPr>
        <w:pStyle w:val="SingleTxtGA"/>
        <w:rPr>
          <w:szCs w:val="20"/>
          <w:lang w:val="ar-SA" w:eastAsia="zh-TW" w:bidi="en-GB"/>
        </w:rPr>
      </w:pPr>
      <w:r w:rsidRPr="005C19F0">
        <w:rPr>
          <w:szCs w:val="20"/>
          <w:rtl/>
        </w:rPr>
        <w:t>346</w:t>
      </w:r>
      <w:r w:rsidRPr="00EF3655">
        <w:rPr>
          <w:rtl/>
        </w:rPr>
        <w:t>-</w:t>
      </w:r>
      <w:r>
        <w:rPr>
          <w:rtl/>
        </w:rPr>
        <w:tab/>
        <w:t>وتنظر جهات الاتصال لدى الشبكة الحكومية للحقوق الأساسية وحقوق الإنسان في التوصيات التي</w:t>
      </w:r>
      <w:r w:rsidR="00507B18">
        <w:rPr>
          <w:rtl/>
        </w:rPr>
        <w:t xml:space="preserve"> </w:t>
      </w:r>
      <w:r>
        <w:rPr>
          <w:rtl/>
        </w:rPr>
        <w:t>وُجهت إلى فنلندا وتسعى من جانبها إلى تعزيز تنفيذها لدى الوزارات. ويتم تناول</w:t>
      </w:r>
      <w:r w:rsidR="00507B18">
        <w:rPr>
          <w:rtl/>
        </w:rPr>
        <w:t xml:space="preserve"> </w:t>
      </w:r>
      <w:r>
        <w:rPr>
          <w:rtl/>
        </w:rPr>
        <w:t>تنفيذ الملاحظات الختامية أيضاً خلال حلقات دراسيّة.</w:t>
      </w:r>
    </w:p>
    <w:p w14:paraId="17D5C626" w14:textId="6C964206" w:rsidR="008835DA" w:rsidRPr="00544AC3" w:rsidRDefault="008835DA" w:rsidP="008835DA">
      <w:pPr>
        <w:pStyle w:val="H1GA"/>
        <w:rPr>
          <w:szCs w:val="20"/>
          <w:lang w:val="ar-SA" w:eastAsia="zh-TW" w:bidi="en-GB"/>
        </w:rPr>
      </w:pPr>
      <w:bookmarkStart w:id="115" w:name="_Toc32364375"/>
      <w:r>
        <w:rPr>
          <w:rtl/>
        </w:rPr>
        <w:lastRenderedPageBreak/>
        <w:tab/>
        <w:t>حاء</w:t>
      </w:r>
      <w:r w:rsidRPr="00EF3655">
        <w:rPr>
          <w:rtl/>
        </w:rPr>
        <w:t>-</w:t>
      </w:r>
      <w:r>
        <w:rPr>
          <w:rtl/>
        </w:rPr>
        <w:tab/>
        <w:t>معلومات أخرى متعلقة بحقوق الإنسان</w:t>
      </w:r>
      <w:bookmarkEnd w:id="115"/>
    </w:p>
    <w:p w14:paraId="7F1F621D" w14:textId="77777777" w:rsidR="008835DA" w:rsidRPr="00544AC3" w:rsidRDefault="008835DA" w:rsidP="008835DA">
      <w:pPr>
        <w:pStyle w:val="H23GA"/>
        <w:rPr>
          <w:szCs w:val="20"/>
          <w:lang w:val="ar-SA" w:eastAsia="zh-TW" w:bidi="en-GB"/>
        </w:rPr>
      </w:pPr>
      <w:bookmarkStart w:id="116" w:name="_Toc32364376"/>
      <w:r>
        <w:rPr>
          <w:rtl/>
        </w:rPr>
        <w:tab/>
      </w:r>
      <w:r>
        <w:rPr>
          <w:rtl/>
        </w:rPr>
        <w:tab/>
        <w:t xml:space="preserve">خطة عام </w:t>
      </w:r>
      <w:r w:rsidRPr="005C19F0">
        <w:rPr>
          <w:szCs w:val="20"/>
          <w:rtl/>
        </w:rPr>
        <w:t>2030</w:t>
      </w:r>
      <w:bookmarkEnd w:id="116"/>
    </w:p>
    <w:p w14:paraId="7203E938" w14:textId="39FB86CC" w:rsidR="008835DA" w:rsidRPr="00544AC3" w:rsidRDefault="008835DA" w:rsidP="008835DA">
      <w:pPr>
        <w:pStyle w:val="SingleTxtGA"/>
        <w:rPr>
          <w:szCs w:val="20"/>
          <w:lang w:val="ar-SA" w:eastAsia="zh-TW" w:bidi="en-GB"/>
        </w:rPr>
      </w:pPr>
      <w:r w:rsidRPr="005C19F0">
        <w:rPr>
          <w:szCs w:val="20"/>
          <w:rtl/>
        </w:rPr>
        <w:t>347</w:t>
      </w:r>
      <w:r w:rsidRPr="00EF3655">
        <w:rPr>
          <w:rtl/>
        </w:rPr>
        <w:t>-</w:t>
      </w:r>
      <w:r>
        <w:rPr>
          <w:rtl/>
        </w:rPr>
        <w:tab/>
        <w:t xml:space="preserve">تولى مكتب رئيس الوزراء في مطلع عام </w:t>
      </w:r>
      <w:r w:rsidRPr="005C19F0">
        <w:rPr>
          <w:szCs w:val="20"/>
          <w:rtl/>
        </w:rPr>
        <w:t>2016</w:t>
      </w:r>
      <w:r>
        <w:rPr>
          <w:rtl/>
        </w:rPr>
        <w:t xml:space="preserve"> مسؤولية تنسيق تنفيذ خطة عام </w:t>
      </w:r>
      <w:r w:rsidRPr="005C19F0">
        <w:rPr>
          <w:szCs w:val="20"/>
          <w:rtl/>
        </w:rPr>
        <w:t>2030</w:t>
      </w:r>
      <w:r>
        <w:rPr>
          <w:rtl/>
        </w:rPr>
        <w:t xml:space="preserve"> على الصعيد الوطني، وكذلك السياسة الوطنية للتنمية المستدامة عن طريق أمانة اللجنة الوطنية للتنمية المستدامة. وتضطلع الأمانة المكلفة بالتنسيق، المنشأة في مكتب رئيس الوزراء، بتخطيط خطة عام</w:t>
      </w:r>
      <w:r w:rsidR="00124E69">
        <w:rPr>
          <w:rFonts w:hint="cs"/>
          <w:rtl/>
        </w:rPr>
        <w:t> </w:t>
      </w:r>
      <w:r w:rsidRPr="005C19F0">
        <w:rPr>
          <w:szCs w:val="20"/>
          <w:rtl/>
        </w:rPr>
        <w:t>2030</w:t>
      </w:r>
      <w:r>
        <w:rPr>
          <w:rtl/>
        </w:rPr>
        <w:t xml:space="preserve"> وبإعدادها وتنسيقها وضمان تنفيذها على الصعيد الوطني. وتتألف الأمانة المكلفة بالتنسيق من ممثلين عن الأمانة العامة للجنة الوطنية للتنمية المستدامة ووزارة الخارجية ومكتب رئيس الوزراء.</w:t>
      </w:r>
    </w:p>
    <w:p w14:paraId="1B16FEC2" w14:textId="60A26A96" w:rsidR="008835DA" w:rsidRPr="00C726A7" w:rsidRDefault="008835DA" w:rsidP="008835DA">
      <w:pPr>
        <w:pStyle w:val="SingleTxtGA"/>
        <w:rPr>
          <w:szCs w:val="20"/>
          <w:lang w:eastAsia="zh-TW" w:bidi="en-GB"/>
        </w:rPr>
      </w:pPr>
      <w:r w:rsidRPr="005C19F0">
        <w:rPr>
          <w:szCs w:val="20"/>
          <w:rtl/>
        </w:rPr>
        <w:t>348</w:t>
      </w:r>
      <w:r w:rsidRPr="00EF3655">
        <w:rPr>
          <w:rtl/>
        </w:rPr>
        <w:t>-</w:t>
      </w:r>
      <w:r>
        <w:rPr>
          <w:rtl/>
        </w:rPr>
        <w:tab/>
        <w:t xml:space="preserve">واللجنة الوطنية للتنمية المستدامة، التي يرأسها رئيس الوزراء، هي جهة فاعلة رئيسية مسؤولة عن رصد وتقييم تنفيذ خطة عام </w:t>
      </w:r>
      <w:r w:rsidRPr="005C19F0">
        <w:rPr>
          <w:szCs w:val="20"/>
          <w:rtl/>
        </w:rPr>
        <w:t>2030</w:t>
      </w:r>
      <w:r w:rsidRPr="009B1F7F">
        <w:rPr>
          <w:rtl/>
        </w:rPr>
        <w:t>.</w:t>
      </w:r>
      <w:r>
        <w:rPr>
          <w:rtl/>
        </w:rPr>
        <w:t xml:space="preserve"> واللجنة مكلفة باعتبار تنفيذ خطة عام </w:t>
      </w:r>
      <w:r w:rsidRPr="005C19F0">
        <w:rPr>
          <w:szCs w:val="20"/>
          <w:rtl/>
        </w:rPr>
        <w:t>2030</w:t>
      </w:r>
      <w:r>
        <w:rPr>
          <w:rtl/>
        </w:rPr>
        <w:t xml:space="preserve"> جزءاً من الجهود الوطنية للتنمية المستدامة. ويقع على عاتق اللجنة واجبٌ ثانٍ يتمثل في تعزيز ورصد وتقيـيم تنفيذ الجمعية الوطنية للتنمية المستدامة بالتزامها والإبلاغ بنتائجه. ويقوم فريق الخبراء المعني بالتنمية المستدامة الذي يستضيفه صندوق سيترا الفنلندي للابتكار بتحضير</w:t>
      </w:r>
      <w:r w:rsidR="00507B18">
        <w:rPr>
          <w:rtl/>
        </w:rPr>
        <w:t xml:space="preserve"> </w:t>
      </w:r>
      <w:r>
        <w:rPr>
          <w:rtl/>
        </w:rPr>
        <w:t xml:space="preserve">عمل اللجنة وتفحُّصه وتقييمه ومعه التقدم المحرز نحو تحقيق الالتزام. </w:t>
      </w:r>
    </w:p>
    <w:p w14:paraId="5C38243A" w14:textId="1755DCB4" w:rsidR="008835DA" w:rsidRPr="00C726A7" w:rsidRDefault="008835DA" w:rsidP="008835DA">
      <w:pPr>
        <w:pStyle w:val="SingleTxtGA"/>
        <w:rPr>
          <w:szCs w:val="20"/>
          <w:lang w:eastAsia="zh-TW" w:bidi="ar-DZ"/>
        </w:rPr>
      </w:pPr>
      <w:r w:rsidRPr="005C19F0">
        <w:rPr>
          <w:szCs w:val="20"/>
          <w:rtl/>
        </w:rPr>
        <w:t>349</w:t>
      </w:r>
      <w:r w:rsidRPr="00EF3655">
        <w:rPr>
          <w:rtl/>
        </w:rPr>
        <w:t>-</w:t>
      </w:r>
      <w:r>
        <w:rPr>
          <w:rtl/>
        </w:rPr>
        <w:tab/>
        <w:t xml:space="preserve">وتعدّ لجنة السياسات الإنمائية ثاني أهم الجهات الفاعلة في تنفيذ خطة عام </w:t>
      </w:r>
      <w:r w:rsidRPr="005C19F0">
        <w:rPr>
          <w:szCs w:val="20"/>
          <w:rtl/>
        </w:rPr>
        <w:t>2030</w:t>
      </w:r>
      <w:r w:rsidRPr="00AC24AB">
        <w:rPr>
          <w:rtl/>
        </w:rPr>
        <w:t>.</w:t>
      </w:r>
      <w:r>
        <w:rPr>
          <w:rtl/>
        </w:rPr>
        <w:t xml:space="preserve"> ففي حين تضطلع اللجنة الوطنية للتنمية المستدامة برصد وتقييم التقدم المحرز في سياق التنمية المستدامة بصورة رئيسية في فنلندا من منظور الإجراءات المتعلقة بالسياسات الوطنية، فإن عمل لجنة السياسات الإنمائية يمتد إلى خارج فنلندا من أجل رصد وتقييم إلى أي مدى</w:t>
      </w:r>
      <w:r w:rsidR="00507B18">
        <w:rPr>
          <w:rtl/>
        </w:rPr>
        <w:t xml:space="preserve"> </w:t>
      </w:r>
      <w:r>
        <w:rPr>
          <w:rtl/>
        </w:rPr>
        <w:t xml:space="preserve">تترجَم سياسات فنلندا الإنمائية والتزاماتها الدولية إلى واقع. وهي ترصد تنفيذ خطة عام </w:t>
      </w:r>
      <w:r w:rsidRPr="005C19F0">
        <w:rPr>
          <w:szCs w:val="20"/>
          <w:rtl/>
        </w:rPr>
        <w:t>2030</w:t>
      </w:r>
      <w:r>
        <w:rPr>
          <w:rtl/>
        </w:rPr>
        <w:t xml:space="preserve"> فيما يتعلق بالسياسة الإنمائية لفنلندا وتشرف على تنفيذ برنامج الحكومة وسياسة الحكومة الإنمائية.</w:t>
      </w:r>
    </w:p>
    <w:p w14:paraId="70D2B769" w14:textId="77777777" w:rsidR="008835DA" w:rsidRPr="00544AC3" w:rsidRDefault="008835DA" w:rsidP="008835DA">
      <w:pPr>
        <w:pStyle w:val="SingleTxtGA"/>
        <w:rPr>
          <w:szCs w:val="20"/>
          <w:lang w:val="ar-SA" w:eastAsia="zh-TW" w:bidi="en-GB"/>
        </w:rPr>
      </w:pPr>
      <w:r w:rsidRPr="005C19F0">
        <w:rPr>
          <w:szCs w:val="20"/>
          <w:rtl/>
        </w:rPr>
        <w:t>350</w:t>
      </w:r>
      <w:r w:rsidRPr="00EF3655">
        <w:rPr>
          <w:rtl/>
        </w:rPr>
        <w:t>-</w:t>
      </w:r>
      <w:r>
        <w:rPr>
          <w:rtl/>
        </w:rPr>
        <w:tab/>
        <w:t xml:space="preserve">وأعدت الحكومة خطة عمل وطنية لتنفيذ خطة عام </w:t>
      </w:r>
      <w:r w:rsidRPr="005C19F0">
        <w:rPr>
          <w:szCs w:val="20"/>
          <w:rtl/>
        </w:rPr>
        <w:t>2030</w:t>
      </w:r>
      <w:r>
        <w:rPr>
          <w:rtl/>
        </w:rPr>
        <w:t xml:space="preserve">، وأُدمجت تلك الخطة في برنامج الحكومة. ويرتكز تنفيذ خطة عام </w:t>
      </w:r>
      <w:r w:rsidRPr="005C19F0">
        <w:rPr>
          <w:szCs w:val="20"/>
          <w:rtl/>
        </w:rPr>
        <w:t>2030</w:t>
      </w:r>
      <w:r>
        <w:rPr>
          <w:rtl/>
        </w:rPr>
        <w:t xml:space="preserve"> على سياسة الحكومة وإجراءاتها التشريعية وإنفاذ الصكوك والاستراتيجيات الوطنية والدولية الملزمة لفنلندا. وينفَّذ في مختلف فروع الإدارة العديد من الاستراتيجيات والبرامج والتدابير التي تنفّذ خطة عام </w:t>
      </w:r>
      <w:r w:rsidRPr="005C19F0">
        <w:rPr>
          <w:szCs w:val="20"/>
          <w:rtl/>
        </w:rPr>
        <w:t>2030</w:t>
      </w:r>
      <w:r>
        <w:rPr>
          <w:rtl/>
        </w:rPr>
        <w:t xml:space="preserve"> أو تدعمها بصورة مباشرة.</w:t>
      </w:r>
    </w:p>
    <w:p w14:paraId="5ED31806" w14:textId="01B013E8" w:rsidR="008835DA" w:rsidRPr="00C726A7" w:rsidRDefault="008835DA" w:rsidP="008835DA">
      <w:pPr>
        <w:pStyle w:val="SingleTxtGA"/>
        <w:rPr>
          <w:szCs w:val="20"/>
          <w:lang w:eastAsia="zh-TW" w:bidi="en-GB"/>
        </w:rPr>
      </w:pPr>
      <w:r w:rsidRPr="005C19F0">
        <w:rPr>
          <w:szCs w:val="20"/>
          <w:rtl/>
        </w:rPr>
        <w:t>351</w:t>
      </w:r>
      <w:r w:rsidRPr="00EF3655">
        <w:rPr>
          <w:rtl/>
        </w:rPr>
        <w:t>-</w:t>
      </w:r>
      <w:r>
        <w:rPr>
          <w:rtl/>
        </w:rPr>
        <w:tab/>
        <w:t>وتحقيقاً لهذه الغاية، أجريت دراسة بشأن قدرات فنلندا والحالة الأساس في تنفيذ خطة عام</w:t>
      </w:r>
      <w:r w:rsidR="009B1F7F">
        <w:rPr>
          <w:rFonts w:hint="cs"/>
          <w:rtl/>
        </w:rPr>
        <w:t> </w:t>
      </w:r>
      <w:r w:rsidRPr="005C19F0">
        <w:rPr>
          <w:szCs w:val="20"/>
          <w:rtl/>
        </w:rPr>
        <w:t>2030</w:t>
      </w:r>
      <w:r w:rsidRPr="009B1F7F">
        <w:rPr>
          <w:rtl/>
        </w:rPr>
        <w:t>.</w:t>
      </w:r>
      <w:r>
        <w:rPr>
          <w:rtl/>
        </w:rPr>
        <w:t xml:space="preserve"> وقد حدّدت الدراسة أي المجالات تشوبها أكبر الثغرات التي ينبغي سدها في فنلندا، والمجالات التي تجاوزت فيها فنلندا الأهداف المتوخاة، فضلاً عن المجالات التي يمكن لفنلندا أن تتقاسم فيها خبراتها مع دول أخرى. ونقحت فنلندا مؤشراتها الوطنية للتنمية المستدامة في خريف عام </w:t>
      </w:r>
      <w:r w:rsidRPr="005C19F0">
        <w:rPr>
          <w:szCs w:val="20"/>
          <w:rtl/>
        </w:rPr>
        <w:t>2016</w:t>
      </w:r>
      <w:r>
        <w:rPr>
          <w:rtl/>
        </w:rPr>
        <w:t xml:space="preserve"> في عملية لم تقتصر على شبكة المؤشرات الوطنية، بل امتدت لتشمل منظمات المجتمع المدني أيضاً.</w:t>
      </w:r>
    </w:p>
    <w:p w14:paraId="634D9923" w14:textId="748DF2D3" w:rsidR="008835DA" w:rsidRPr="00544AC3" w:rsidRDefault="008835DA" w:rsidP="008835DA">
      <w:pPr>
        <w:pStyle w:val="SingleTxtGA"/>
        <w:rPr>
          <w:szCs w:val="20"/>
          <w:lang w:val="ar-SA" w:eastAsia="zh-TW" w:bidi="en-GB"/>
        </w:rPr>
      </w:pPr>
      <w:r w:rsidRPr="005C19F0">
        <w:rPr>
          <w:szCs w:val="20"/>
          <w:rtl/>
        </w:rPr>
        <w:t>352</w:t>
      </w:r>
      <w:r w:rsidRPr="00EF3655">
        <w:rPr>
          <w:rtl/>
        </w:rPr>
        <w:t>-</w:t>
      </w:r>
      <w:r>
        <w:rPr>
          <w:rtl/>
        </w:rPr>
        <w:tab/>
        <w:t xml:space="preserve">وكانت فنلندا في طليعة الدول التي قدّمت تقريراً عن خططها لتنفيذ خطة عام </w:t>
      </w:r>
      <w:r w:rsidRPr="005C19F0">
        <w:rPr>
          <w:szCs w:val="20"/>
          <w:rtl/>
        </w:rPr>
        <w:t>2030</w:t>
      </w:r>
      <w:r>
        <w:rPr>
          <w:rtl/>
        </w:rPr>
        <w:t xml:space="preserve"> أمام منتدى الأمم المتحدة السياسي الرفيع المستوى المعني بالتنمية المستدامة في تموز/يولي</w:t>
      </w:r>
      <w:r w:rsidR="00DD3AD6">
        <w:rPr>
          <w:rFonts w:hint="cs"/>
          <w:rtl/>
        </w:rPr>
        <w:t>ه</w:t>
      </w:r>
      <w:r>
        <w:rPr>
          <w:rtl/>
        </w:rPr>
        <w:t xml:space="preserve"> </w:t>
      </w:r>
      <w:r w:rsidRPr="005C19F0">
        <w:rPr>
          <w:szCs w:val="20"/>
          <w:rtl/>
        </w:rPr>
        <w:t>2016</w:t>
      </w:r>
      <w:r>
        <w:rPr>
          <w:rtl/>
        </w:rPr>
        <w:t>.</w:t>
      </w:r>
    </w:p>
    <w:p w14:paraId="32F8B054" w14:textId="39C6C3B8" w:rsidR="008835DA" w:rsidRPr="00544AC3" w:rsidRDefault="009B1F7F" w:rsidP="009B1F7F">
      <w:pPr>
        <w:pStyle w:val="HChGA"/>
        <w:rPr>
          <w:szCs w:val="20"/>
          <w:lang w:val="ar-SA" w:eastAsia="zh-TW" w:bidi="en-GB"/>
        </w:rPr>
      </w:pPr>
      <w:bookmarkStart w:id="117" w:name="_Toc32364377"/>
      <w:r>
        <w:rPr>
          <w:rtl/>
        </w:rPr>
        <w:tab/>
      </w:r>
      <w:r w:rsidR="008835DA">
        <w:rPr>
          <w:rtl/>
        </w:rPr>
        <w:t>ثالثا</w:t>
      </w:r>
      <w:r>
        <w:rPr>
          <w:rFonts w:hint="cs"/>
          <w:rtl/>
        </w:rPr>
        <w:t>ً</w:t>
      </w:r>
      <w:r w:rsidR="008835DA" w:rsidRPr="00EF3655">
        <w:rPr>
          <w:rtl/>
        </w:rPr>
        <w:t>-</w:t>
      </w:r>
      <w:r w:rsidR="008835DA">
        <w:rPr>
          <w:rtl/>
        </w:rPr>
        <w:tab/>
        <w:t>عدم التمييز، والمساواة وسبل الانتصاف القانونية</w:t>
      </w:r>
      <w:bookmarkEnd w:id="117"/>
    </w:p>
    <w:p w14:paraId="09914D7A" w14:textId="4541D935" w:rsidR="008835DA" w:rsidRPr="00544AC3" w:rsidRDefault="009B1F7F" w:rsidP="009B1F7F">
      <w:pPr>
        <w:pStyle w:val="H1GA"/>
        <w:rPr>
          <w:szCs w:val="20"/>
          <w:lang w:val="ar-SA" w:eastAsia="zh-TW" w:bidi="en-GB"/>
        </w:rPr>
      </w:pPr>
      <w:bookmarkStart w:id="118" w:name="_Toc32364378"/>
      <w:r>
        <w:rPr>
          <w:rtl/>
        </w:rPr>
        <w:tab/>
      </w:r>
      <w:r>
        <w:rPr>
          <w:rFonts w:hint="cs"/>
          <w:rtl/>
        </w:rPr>
        <w:t>طاء</w:t>
      </w:r>
      <w:r w:rsidRPr="00EF3655">
        <w:rPr>
          <w:rFonts w:hint="cs"/>
          <w:rtl/>
        </w:rPr>
        <w:t>-</w:t>
      </w:r>
      <w:r>
        <w:rPr>
          <w:rtl/>
        </w:rPr>
        <w:tab/>
      </w:r>
      <w:r w:rsidR="008835DA">
        <w:rPr>
          <w:rtl/>
        </w:rPr>
        <w:t>معلومات عامة عن المساواة وعدم التمييز</w:t>
      </w:r>
      <w:bookmarkEnd w:id="118"/>
    </w:p>
    <w:p w14:paraId="2655F553" w14:textId="6898EB00" w:rsidR="008835DA" w:rsidRPr="00C726A7" w:rsidRDefault="008835DA" w:rsidP="008835DA">
      <w:pPr>
        <w:pStyle w:val="SingleTxtGA"/>
        <w:rPr>
          <w:szCs w:val="20"/>
          <w:lang w:eastAsia="zh-TW" w:bidi="en-GB"/>
        </w:rPr>
      </w:pPr>
      <w:r w:rsidRPr="005C19F0">
        <w:rPr>
          <w:szCs w:val="20"/>
          <w:rtl/>
        </w:rPr>
        <w:t>353</w:t>
      </w:r>
      <w:r w:rsidRPr="00EF3655">
        <w:rPr>
          <w:rtl/>
        </w:rPr>
        <w:t>-</w:t>
      </w:r>
      <w:r>
        <w:rPr>
          <w:rtl/>
        </w:rPr>
        <w:tab/>
        <w:t xml:space="preserve">يؤكد الحكم المتعلق بالمساواة المكرّس في دستور فنلندا </w:t>
      </w:r>
      <w:r w:rsidRPr="00794E95">
        <w:rPr>
          <w:rtl/>
        </w:rPr>
        <w:t>(</w:t>
      </w:r>
      <w:r>
        <w:rPr>
          <w:rtl/>
        </w:rPr>
        <w:t xml:space="preserve">المادة </w:t>
      </w:r>
      <w:r w:rsidRPr="005C19F0">
        <w:rPr>
          <w:szCs w:val="20"/>
          <w:rtl/>
        </w:rPr>
        <w:t>6</w:t>
      </w:r>
      <w:r w:rsidRPr="00794E95">
        <w:rPr>
          <w:rtl/>
        </w:rPr>
        <w:t>)</w:t>
      </w:r>
      <w:r>
        <w:rPr>
          <w:rtl/>
        </w:rPr>
        <w:t xml:space="preserve"> أن جميع الأشخاص سواسية أمام القانون ضمن الولاية القضائية لفنلندا. ويكتسي هذا الحكم أهمية خاصة من حيث العلاقة القائمة </w:t>
      </w:r>
      <w:r>
        <w:rPr>
          <w:rtl/>
        </w:rPr>
        <w:lastRenderedPageBreak/>
        <w:t>بين الفرد والحكومة، ولكنه ينطبق أيضاً على العلاقات القائمة بين الأفراد العاديين. ولا يجسّد هذا الحكم الاشتراط التقليدي للمساواة أمام القانون فحسب، بل يشمل أيضاً مفهوم المساواة الفعلية. وتتألف هذه المادة من بند عام يتناول المساواة</w:t>
      </w:r>
      <w:r w:rsidR="00507B18">
        <w:rPr>
          <w:rtl/>
        </w:rPr>
        <w:t xml:space="preserve"> </w:t>
      </w:r>
      <w:r w:rsidRPr="00794E95">
        <w:rPr>
          <w:rtl/>
        </w:rPr>
        <w:t>(</w:t>
      </w:r>
      <w:r>
        <w:rPr>
          <w:rtl/>
        </w:rPr>
        <w:t xml:space="preserve">الفقرة الفرعية </w:t>
      </w:r>
      <w:r w:rsidRPr="005C19F0">
        <w:rPr>
          <w:szCs w:val="20"/>
          <w:rtl/>
        </w:rPr>
        <w:t>1</w:t>
      </w:r>
      <w:r w:rsidRPr="00794E95">
        <w:rPr>
          <w:rtl/>
        </w:rPr>
        <w:t>)</w:t>
      </w:r>
      <w:r>
        <w:rPr>
          <w:rtl/>
        </w:rPr>
        <w:t xml:space="preserve">، وبند يتناول حظر التمييز </w:t>
      </w:r>
      <w:r w:rsidRPr="00794E95">
        <w:rPr>
          <w:rtl/>
        </w:rPr>
        <w:t>(</w:t>
      </w:r>
      <w:r>
        <w:rPr>
          <w:rtl/>
        </w:rPr>
        <w:t xml:space="preserve">الفقرة الفرعية </w:t>
      </w:r>
      <w:r w:rsidRPr="005C19F0">
        <w:rPr>
          <w:szCs w:val="20"/>
          <w:rtl/>
        </w:rPr>
        <w:t>2</w:t>
      </w:r>
      <w:r w:rsidRPr="00794E95">
        <w:rPr>
          <w:rtl/>
        </w:rPr>
        <w:t>)</w:t>
      </w:r>
      <w:r>
        <w:rPr>
          <w:rtl/>
        </w:rPr>
        <w:t>، وآخر ينص على</w:t>
      </w:r>
      <w:r w:rsidR="00507B18">
        <w:rPr>
          <w:rtl/>
        </w:rPr>
        <w:t xml:space="preserve"> </w:t>
      </w:r>
      <w:r>
        <w:rPr>
          <w:rtl/>
        </w:rPr>
        <w:t xml:space="preserve">معاملة الأطفال على قدم المساواة وبصفتهم أفراد، وبند ينص على حق الأطفال في التأثير في المسائل التي تهمّهم بدرجة تتناسب مع مستوى نموهم </w:t>
      </w:r>
      <w:r w:rsidRPr="00794E95">
        <w:rPr>
          <w:rtl/>
        </w:rPr>
        <w:t>(</w:t>
      </w:r>
      <w:r>
        <w:rPr>
          <w:rtl/>
        </w:rPr>
        <w:t xml:space="preserve">الفقرة الفرعية </w:t>
      </w:r>
      <w:r w:rsidRPr="005C19F0">
        <w:rPr>
          <w:szCs w:val="20"/>
          <w:rtl/>
        </w:rPr>
        <w:t>3</w:t>
      </w:r>
      <w:r w:rsidRPr="00794E95">
        <w:rPr>
          <w:rtl/>
        </w:rPr>
        <w:t>)</w:t>
      </w:r>
      <w:r>
        <w:rPr>
          <w:rtl/>
        </w:rPr>
        <w:t>، وبند أخير ينص على</w:t>
      </w:r>
      <w:r w:rsidR="00507B18">
        <w:rPr>
          <w:rtl/>
        </w:rPr>
        <w:t xml:space="preserve"> </w:t>
      </w:r>
      <w:r>
        <w:rPr>
          <w:rtl/>
        </w:rPr>
        <w:t xml:space="preserve">المساواة بين الجنسين </w:t>
      </w:r>
      <w:r w:rsidRPr="00794E95">
        <w:rPr>
          <w:rtl/>
        </w:rPr>
        <w:t>(</w:t>
      </w:r>
      <w:r>
        <w:rPr>
          <w:rtl/>
        </w:rPr>
        <w:t xml:space="preserve">المادة الفرعية </w:t>
      </w:r>
      <w:r w:rsidRPr="005C19F0">
        <w:rPr>
          <w:szCs w:val="20"/>
          <w:rtl/>
        </w:rPr>
        <w:t>4</w:t>
      </w:r>
      <w:r w:rsidRPr="00794E95">
        <w:rPr>
          <w:rtl/>
        </w:rPr>
        <w:t>)</w:t>
      </w:r>
      <w:r>
        <w:rPr>
          <w:rtl/>
        </w:rPr>
        <w:t>.</w:t>
      </w:r>
    </w:p>
    <w:p w14:paraId="4AB126E0" w14:textId="34077CFA" w:rsidR="008835DA" w:rsidRPr="00C726A7" w:rsidRDefault="008835DA" w:rsidP="008835DA">
      <w:pPr>
        <w:pStyle w:val="SingleTxtGA"/>
        <w:rPr>
          <w:szCs w:val="20"/>
          <w:lang w:eastAsia="zh-TW" w:bidi="en-GB"/>
        </w:rPr>
      </w:pPr>
      <w:r w:rsidRPr="005C19F0">
        <w:rPr>
          <w:szCs w:val="20"/>
          <w:rtl/>
        </w:rPr>
        <w:t>354</w:t>
      </w:r>
      <w:r w:rsidRPr="00EF3655">
        <w:rPr>
          <w:rtl/>
        </w:rPr>
        <w:t>-</w:t>
      </w:r>
      <w:r>
        <w:rPr>
          <w:rtl/>
        </w:rPr>
        <w:tab/>
        <w:t>ويحدّد نظام المساواة وعدم التمييز بموجب دستور فنلندا معياراً أدنى، وبالتالي تكون</w:t>
      </w:r>
      <w:r w:rsidR="00507B18">
        <w:rPr>
          <w:rtl/>
        </w:rPr>
        <w:t xml:space="preserve"> </w:t>
      </w:r>
      <w:r>
        <w:rPr>
          <w:rtl/>
        </w:rPr>
        <w:t xml:space="preserve">اللوائح المتخصصة </w:t>
      </w:r>
      <w:r w:rsidRPr="00794E95">
        <w:rPr>
          <w:rtl/>
        </w:rPr>
        <w:t>(</w:t>
      </w:r>
      <w:r>
        <w:rPr>
          <w:rtl/>
        </w:rPr>
        <w:t>مثل قانون عدم التمييز</w:t>
      </w:r>
      <w:r w:rsidRPr="00794E95">
        <w:rPr>
          <w:rtl/>
        </w:rPr>
        <w:t>)</w:t>
      </w:r>
      <w:r>
        <w:rPr>
          <w:rtl/>
        </w:rPr>
        <w:t xml:space="preserve"> أوسع نطاقاً. ويمكن دائماً الخروج عن المعيار الأدنى للمساواة وعدم التمييز الذي يحدده الدستور بصورة مؤاتية لحماية الحقوق الأساسية. ومع ذلك، فإن المادة </w:t>
      </w:r>
      <w:r w:rsidRPr="005C19F0">
        <w:rPr>
          <w:szCs w:val="20"/>
          <w:rtl/>
        </w:rPr>
        <w:t>6</w:t>
      </w:r>
      <w:r>
        <w:rPr>
          <w:rtl/>
        </w:rPr>
        <w:t xml:space="preserve"> من الدستور تقدم التوجيه للمشرّعين فضلاً عن كونها بوصلة تسترشد بها المحاكم في استنتاجاتها. </w:t>
      </w:r>
    </w:p>
    <w:p w14:paraId="092D4249" w14:textId="034B8DB6" w:rsidR="008835DA" w:rsidRPr="00C726A7" w:rsidRDefault="008835DA" w:rsidP="008835DA">
      <w:pPr>
        <w:pStyle w:val="SingleTxtGA"/>
        <w:rPr>
          <w:szCs w:val="20"/>
          <w:lang w:eastAsia="zh-TW" w:bidi="en-GB"/>
        </w:rPr>
      </w:pPr>
      <w:r w:rsidRPr="005C19F0">
        <w:rPr>
          <w:szCs w:val="20"/>
          <w:rtl/>
        </w:rPr>
        <w:t>355</w:t>
      </w:r>
      <w:r w:rsidRPr="00EF3655">
        <w:rPr>
          <w:rtl/>
        </w:rPr>
        <w:t>-</w:t>
      </w:r>
      <w:r>
        <w:rPr>
          <w:rtl/>
        </w:rPr>
        <w:tab/>
        <w:t xml:space="preserve">والمادة </w:t>
      </w:r>
      <w:r w:rsidRPr="005C19F0">
        <w:rPr>
          <w:szCs w:val="20"/>
          <w:rtl/>
        </w:rPr>
        <w:t>6</w:t>
      </w:r>
      <w:r>
        <w:rPr>
          <w:rtl/>
        </w:rPr>
        <w:t xml:space="preserve"> من دستور فنلندا مستثناة من نطاق تطبيق الصلاحيات الاستثنائية التي يمكن التمتع بها في الأزمات عملاً بالمادة </w:t>
      </w:r>
      <w:r w:rsidRPr="005C19F0">
        <w:rPr>
          <w:szCs w:val="20"/>
          <w:rtl/>
        </w:rPr>
        <w:t>23</w:t>
      </w:r>
      <w:r>
        <w:rPr>
          <w:rtl/>
        </w:rPr>
        <w:t xml:space="preserve"> من الدستور في ظروف الأزمات، وبالتالي لا يمكن أن ينص قانون أو مرسوم حكومي يصدر بناء على إذن معيّن منصوص عليه في قانون لأي سبب خاص، على استثناءات مؤقتة من حكم المساواة وعدم التمييز تعد ضرورية في حالة نشوب هجوم مسلح ضد فنلندا أو في حالات الطوارئ الأخرى، على النحو المنصوص عليه في قانون من القوانين، التي تمثل تهديداً خطيراً يحدق بالأمة، أو تخضع تلك الاستثناءات</w:t>
      </w:r>
      <w:r w:rsidR="00507B18">
        <w:rPr>
          <w:rtl/>
        </w:rPr>
        <w:t xml:space="preserve"> </w:t>
      </w:r>
      <w:r>
        <w:rPr>
          <w:rtl/>
        </w:rPr>
        <w:t>لنطاق تطبيق محدد بدقة.</w:t>
      </w:r>
    </w:p>
    <w:p w14:paraId="28549501" w14:textId="52C9EF26" w:rsidR="008835DA" w:rsidRPr="00C726A7" w:rsidRDefault="008835DA" w:rsidP="008835DA">
      <w:pPr>
        <w:pStyle w:val="SingleTxtGA"/>
        <w:rPr>
          <w:szCs w:val="20"/>
          <w:lang w:eastAsia="zh-TW" w:bidi="en-GB"/>
        </w:rPr>
      </w:pPr>
      <w:r w:rsidRPr="005C19F0">
        <w:rPr>
          <w:szCs w:val="20"/>
          <w:rtl/>
        </w:rPr>
        <w:t>356</w:t>
      </w:r>
      <w:r w:rsidRPr="00EF3655">
        <w:rPr>
          <w:rtl/>
        </w:rPr>
        <w:t>-</w:t>
      </w:r>
      <w:r>
        <w:rPr>
          <w:rtl/>
        </w:rPr>
        <w:tab/>
        <w:t xml:space="preserve">ويتضمن </w:t>
      </w:r>
      <w:r>
        <w:rPr>
          <w:rtl/>
          <w:lang w:bidi="ar-DZ"/>
        </w:rPr>
        <w:t>ال</w:t>
      </w:r>
      <w:r>
        <w:rPr>
          <w:rtl/>
        </w:rPr>
        <w:t>بند العام الذي يتناول المساواة في دستور فنلندا المبدأ الرئيسي للمساواة وعدم التمييز. ويشمل هذا البند حظر المعاملة التعسفية ويشترط المساواة في المعاملة في الحالات المتساوية. ولا</w:t>
      </w:r>
      <w:r w:rsidR="00FA3B93">
        <w:rPr>
          <w:rFonts w:hint="cs"/>
          <w:rtl/>
        </w:rPr>
        <w:t> </w:t>
      </w:r>
      <w:r>
        <w:rPr>
          <w:rtl/>
        </w:rPr>
        <w:t>يمكن وضع شخص أو مجموعة من الأشخاص تعسفاً في وضع أفضل أو أسوأ من الآخرين. ومع ذلك، فإن البند لا يشترط معاملة الناس كافة على قدم المساواة من جميع النواحي، إلا في حال تساوت الظروف. وينبغي مراعاة وجهات نظر من حيث المساواة، سواءً عند توسيع نطاق المزايا والحقوق بواسطة التشريعات أو عند فرض التزامات. ومن ناحية أخرى، يمتاز التشريع بمعاملة الناس معاملة مختلفة بالنظر إلى تحقيق</w:t>
      </w:r>
      <w:r w:rsidR="00507B18">
        <w:rPr>
          <w:rtl/>
        </w:rPr>
        <w:t xml:space="preserve"> </w:t>
      </w:r>
      <w:r>
        <w:rPr>
          <w:rtl/>
        </w:rPr>
        <w:t>مصلحة مجتمعية بعينها تحظى بالقبول، وذلك من أجل تعزيز المساواة الفعلية، في جملة أهداف أخرى.</w:t>
      </w:r>
    </w:p>
    <w:p w14:paraId="4FE520D4" w14:textId="77777777" w:rsidR="008835DA" w:rsidRPr="00544AC3" w:rsidRDefault="008835DA" w:rsidP="008835DA">
      <w:pPr>
        <w:pStyle w:val="SingleTxtGA"/>
        <w:rPr>
          <w:szCs w:val="20"/>
          <w:lang w:val="ar-SA" w:eastAsia="zh-TW" w:bidi="en-GB"/>
        </w:rPr>
      </w:pPr>
      <w:r w:rsidRPr="005C19F0">
        <w:rPr>
          <w:szCs w:val="20"/>
          <w:rtl/>
        </w:rPr>
        <w:t>357</w:t>
      </w:r>
      <w:r w:rsidRPr="00EF3655">
        <w:rPr>
          <w:rtl/>
        </w:rPr>
        <w:t>-</w:t>
      </w:r>
      <w:r>
        <w:rPr>
          <w:rtl/>
        </w:rPr>
        <w:tab/>
        <w:t xml:space="preserve">وتكمّل أحكام عدم التمييز الواردة في دستور فنلندا البند العام المتعلق بالمساواة. وتتضمن الفقرة الفرعية </w:t>
      </w:r>
      <w:r w:rsidRPr="005C19F0">
        <w:rPr>
          <w:szCs w:val="20"/>
          <w:rtl/>
        </w:rPr>
        <w:t>2</w:t>
      </w:r>
      <w:r>
        <w:rPr>
          <w:rtl/>
        </w:rPr>
        <w:t xml:space="preserve"> من المادة </w:t>
      </w:r>
      <w:r w:rsidRPr="005C19F0">
        <w:rPr>
          <w:szCs w:val="20"/>
          <w:rtl/>
        </w:rPr>
        <w:t>6</w:t>
      </w:r>
      <w:r>
        <w:rPr>
          <w:rtl/>
        </w:rPr>
        <w:t xml:space="preserve"> من الدستور قائمة ببعض أسباب التمييز المحظورة، مع إشارة صريحة إلى نوع الجنس والسن والأصل واللغة والدين والإدانة بتهمة ما والرأي والصحة والإعاقة. وذلك على سبيل المثال لا الحصر. فهناك أسباب أخرى تهم الشخص تتساوى مع أسباب التمييز المحظورة والمذكورة تحديداً. وتشمل هذه الأسباب الأخرى الوضع الاجتماعي والثروة والمشاركة في أنشطة إحدى الجمعيات والعلاقات الأسرية والحمل وشرعية الطفل والميل الجنسي ومكان الإقامة.</w:t>
      </w:r>
    </w:p>
    <w:p w14:paraId="24293A36" w14:textId="77777777" w:rsidR="008835DA" w:rsidRPr="00544AC3" w:rsidRDefault="008835DA" w:rsidP="008835DA">
      <w:pPr>
        <w:pStyle w:val="SingleTxtGA"/>
        <w:rPr>
          <w:szCs w:val="20"/>
          <w:lang w:val="ar-SA" w:eastAsia="zh-TW" w:bidi="en-GB"/>
        </w:rPr>
      </w:pPr>
      <w:r w:rsidRPr="005C19F0">
        <w:rPr>
          <w:szCs w:val="20"/>
          <w:rtl/>
        </w:rPr>
        <w:t>358</w:t>
      </w:r>
      <w:r w:rsidRPr="00EF3655">
        <w:rPr>
          <w:rtl/>
        </w:rPr>
        <w:t>-</w:t>
      </w:r>
      <w:r>
        <w:rPr>
          <w:rtl/>
        </w:rPr>
        <w:tab/>
        <w:t>ولا يحظر حكم عدم التمييز جميع أشكال التمييز حتى وإن كان التمييز قائماً على أحد الأسباب المذكورة صراحة في الحكم. فالمهم هو إمكانية تقديم تبرير مقبول للتمييز من ناحية نظام الحقوق الأساسية. غير أن هذا التبرير يخضع لمتطلبات صارمة، ولا سيما عندما يتعلق الأمر بأسباب التمييز المحظورة المذكورة في الحكم. ولم توجّه ممارسة لجنة القانون الدستوري الانتباه إلى مقبولية التمييز فحسب، بل تعدتها إلى تناسب وسائل التمييز المختارة. وينطبق حكم عدم التمييز أيضاً على التفرقة. فيُحظر تقديم الخدمات، وإن كانت متكافئة في حد ذاتها، لفئات سكانية مختلفة على أساس التفرقة إلا في حالة معينة، يمكن اعتباره فيها مبرَّراً بالاستناد إلى سبب مقبول.</w:t>
      </w:r>
    </w:p>
    <w:p w14:paraId="5CAAF13F" w14:textId="77777777" w:rsidR="008835DA" w:rsidRPr="00544AC3" w:rsidRDefault="008835DA" w:rsidP="008835DA">
      <w:pPr>
        <w:pStyle w:val="SingleTxtGA"/>
        <w:rPr>
          <w:szCs w:val="20"/>
          <w:lang w:val="ar-SA" w:eastAsia="zh-TW" w:bidi="en-GB"/>
        </w:rPr>
      </w:pPr>
      <w:r w:rsidRPr="005C19F0">
        <w:rPr>
          <w:szCs w:val="20"/>
          <w:rtl/>
        </w:rPr>
        <w:lastRenderedPageBreak/>
        <w:t>359</w:t>
      </w:r>
      <w:r w:rsidRPr="00EF3655">
        <w:rPr>
          <w:rtl/>
        </w:rPr>
        <w:t>-</w:t>
      </w:r>
      <w:r>
        <w:rPr>
          <w:rtl/>
        </w:rPr>
        <w:tab/>
        <w:t xml:space="preserve">ويحظر دستور فنلندا التمييز غير المباشر، أي التدابير التي تُسفر آثارها الفعلية </w:t>
      </w:r>
      <w:r w:rsidRPr="00EF3655">
        <w:rPr>
          <w:rtl/>
        </w:rPr>
        <w:t>-</w:t>
      </w:r>
      <w:r>
        <w:rPr>
          <w:rtl/>
        </w:rPr>
        <w:t xml:space="preserve"> ولو بشكل غير مباشر </w:t>
      </w:r>
      <w:r w:rsidRPr="00EF3655">
        <w:rPr>
          <w:rtl/>
        </w:rPr>
        <w:t>-</w:t>
      </w:r>
      <w:r>
        <w:rPr>
          <w:rtl/>
        </w:rPr>
        <w:t xml:space="preserve"> عن نتيجة تمييزية. وتُحظر أيضاً المحاباة أو منح امتياز لفرد أو جماعة إذا تُرجمت هذه الممارسة من الناحية الموضوعية إلى تمييز في حق الغير.</w:t>
      </w:r>
    </w:p>
    <w:p w14:paraId="24F5F09B" w14:textId="77777777" w:rsidR="008835DA" w:rsidRPr="00C726A7" w:rsidRDefault="008835DA" w:rsidP="008835DA">
      <w:pPr>
        <w:pStyle w:val="SingleTxtGA"/>
        <w:rPr>
          <w:szCs w:val="20"/>
          <w:lang w:eastAsia="zh-TW" w:bidi="en-GB"/>
        </w:rPr>
      </w:pPr>
      <w:r w:rsidRPr="005C19F0">
        <w:rPr>
          <w:szCs w:val="20"/>
          <w:rtl/>
        </w:rPr>
        <w:t>360</w:t>
      </w:r>
      <w:r w:rsidRPr="00EF3655">
        <w:rPr>
          <w:rtl/>
        </w:rPr>
        <w:t>-</w:t>
      </w:r>
      <w:r>
        <w:rPr>
          <w:rtl/>
        </w:rPr>
        <w:tab/>
        <w:t xml:space="preserve">ولا يَستبعد الحكمان المتعلقان بالمساواة وعدم التمييز في دستور فنلندا التمييز الإيجابي اللازم لضمان المساواة الفعلية، أي التدابير الرامية إلى تحسين وضع وظروف فئة معينة </w:t>
      </w:r>
      <w:r w:rsidRPr="00794E95">
        <w:rPr>
          <w:rtl/>
        </w:rPr>
        <w:t>(</w:t>
      </w:r>
      <w:r>
        <w:rPr>
          <w:rtl/>
        </w:rPr>
        <w:t>مثل النساء والأطفال والأقليات والعاطلين عن العمل</w:t>
      </w:r>
      <w:r w:rsidRPr="00794E95">
        <w:rPr>
          <w:rtl/>
        </w:rPr>
        <w:t>)</w:t>
      </w:r>
      <w:r>
        <w:rPr>
          <w:rtl/>
        </w:rPr>
        <w:t>.</w:t>
      </w:r>
    </w:p>
    <w:p w14:paraId="0A1C214F" w14:textId="77777777" w:rsidR="008835DA" w:rsidRPr="00544AC3" w:rsidRDefault="008835DA" w:rsidP="008835DA">
      <w:pPr>
        <w:pStyle w:val="SingleTxtGA"/>
        <w:rPr>
          <w:szCs w:val="20"/>
          <w:lang w:val="ar-SA" w:eastAsia="zh-TW" w:bidi="en-GB"/>
        </w:rPr>
      </w:pPr>
      <w:r w:rsidRPr="005C19F0">
        <w:rPr>
          <w:szCs w:val="20"/>
          <w:rtl/>
        </w:rPr>
        <w:t>361</w:t>
      </w:r>
      <w:r w:rsidRPr="00EF3655">
        <w:rPr>
          <w:rtl/>
        </w:rPr>
        <w:t>-</w:t>
      </w:r>
      <w:r>
        <w:rPr>
          <w:rtl/>
        </w:rPr>
        <w:tab/>
        <w:t xml:space="preserve">وفي فنلندا، ترتبط المساواة ترابطاً وثيقاً أيضاً بوضع الأطفال، حيث إن الأحكام الواردة في الفقرة الفرعية </w:t>
      </w:r>
      <w:r w:rsidRPr="005C19F0">
        <w:rPr>
          <w:szCs w:val="20"/>
          <w:rtl/>
        </w:rPr>
        <w:t>3</w:t>
      </w:r>
      <w:r>
        <w:rPr>
          <w:rtl/>
        </w:rPr>
        <w:t xml:space="preserve"> من المادة </w:t>
      </w:r>
      <w:r w:rsidRPr="005C19F0">
        <w:rPr>
          <w:szCs w:val="20"/>
          <w:rtl/>
        </w:rPr>
        <w:t>6</w:t>
      </w:r>
      <w:r>
        <w:rPr>
          <w:rtl/>
        </w:rPr>
        <w:t xml:space="preserve"> من دستور فنلندا بشأن المساواة في معاملة الأطفال تؤكد أنّه يجب معاملة الأطفال على قدم المساواة مع السكان البالغين، باعتبار أن لديهم حقوقاً أساسية متساوية من حيث المبدأ، ومعاملتهم بالتساوي مع بعضهم البعض. ويوضّح الحكم المتعلق بحق الأطفال في التأثير على المسائل التي تهمهم، في المقابل، كيف يعامَل كل طفل كفرد وليس مجرد كائن مفعول به.</w:t>
      </w:r>
    </w:p>
    <w:p w14:paraId="7436939C" w14:textId="77777777" w:rsidR="008835DA" w:rsidRPr="00C726A7" w:rsidRDefault="008835DA" w:rsidP="008835DA">
      <w:pPr>
        <w:pStyle w:val="SingleTxtGA"/>
        <w:rPr>
          <w:szCs w:val="20"/>
          <w:lang w:eastAsia="zh-TW" w:bidi="en-GB"/>
        </w:rPr>
      </w:pPr>
      <w:r w:rsidRPr="005C19F0">
        <w:rPr>
          <w:szCs w:val="20"/>
          <w:rtl/>
        </w:rPr>
        <w:t>362</w:t>
      </w:r>
      <w:r w:rsidRPr="00EF3655">
        <w:rPr>
          <w:rtl/>
        </w:rPr>
        <w:t>-</w:t>
      </w:r>
      <w:r>
        <w:rPr>
          <w:rtl/>
        </w:rPr>
        <w:tab/>
        <w:t xml:space="preserve">وتتضمن الفقرة الفرعية </w:t>
      </w:r>
      <w:r w:rsidRPr="005C19F0">
        <w:rPr>
          <w:szCs w:val="20"/>
          <w:rtl/>
        </w:rPr>
        <w:t>4</w:t>
      </w:r>
      <w:r>
        <w:rPr>
          <w:rtl/>
        </w:rPr>
        <w:t xml:space="preserve"> من المادة </w:t>
      </w:r>
      <w:r w:rsidRPr="005C19F0">
        <w:rPr>
          <w:szCs w:val="20"/>
          <w:rtl/>
        </w:rPr>
        <w:t>6</w:t>
      </w:r>
      <w:r>
        <w:rPr>
          <w:rtl/>
        </w:rPr>
        <w:t xml:space="preserve"> من دستور فنلندا الالتزام العام بتعزيز المساواة بين الجنسين في النشاط المجتمعي والحياة العملية، ولا سيما في تحديد الأجور وشروط العمل الأخرى، على النحو المنصوص عليه بمزيد من التفصيل في أحد القوانين. ويشير تعزيز المساواة في النشاط المجتمعي إلى أمور منها تعزيز تكافؤ الفرص في المشاركة والعمل المدني للجنسين في صنع القرار في المجتمع. ولا يحدد هذا الحكم وسيلة يتعين استخدامها في تعزيز المساواة بين الجنسين، وإنما يترك هذا القرار للمشرّع.</w:t>
      </w:r>
    </w:p>
    <w:p w14:paraId="6CC9C58D" w14:textId="77777777" w:rsidR="008835DA" w:rsidRPr="00544AC3" w:rsidRDefault="008835DA" w:rsidP="008835DA">
      <w:pPr>
        <w:pStyle w:val="SingleTxtGA"/>
        <w:rPr>
          <w:szCs w:val="20"/>
          <w:lang w:val="ar-SA" w:eastAsia="zh-TW" w:bidi="en-GB"/>
        </w:rPr>
      </w:pPr>
      <w:r w:rsidRPr="005C19F0">
        <w:rPr>
          <w:szCs w:val="20"/>
          <w:rtl/>
        </w:rPr>
        <w:t>363</w:t>
      </w:r>
      <w:r w:rsidRPr="00EF3655">
        <w:rPr>
          <w:rtl/>
        </w:rPr>
        <w:t>-</w:t>
      </w:r>
      <w:r>
        <w:rPr>
          <w:rtl/>
        </w:rPr>
        <w:tab/>
        <w:t xml:space="preserve">وقد سُنّ قانونان منفصلان لصياغة أحكام المادة </w:t>
      </w:r>
      <w:r w:rsidRPr="005C19F0">
        <w:rPr>
          <w:szCs w:val="20"/>
          <w:rtl/>
        </w:rPr>
        <w:t>6</w:t>
      </w:r>
      <w:r>
        <w:rPr>
          <w:rtl/>
        </w:rPr>
        <w:t xml:space="preserve"> من دستور فنلندا بعبارات ملموسة، وهما قانون عدم التمييز وقانون المساواة.</w:t>
      </w:r>
    </w:p>
    <w:p w14:paraId="13AC920F" w14:textId="062ADAA9" w:rsidR="008835DA" w:rsidRPr="00544AC3" w:rsidRDefault="008835DA" w:rsidP="009B1F7F">
      <w:pPr>
        <w:pStyle w:val="H1GA"/>
        <w:rPr>
          <w:szCs w:val="20"/>
          <w:lang w:val="ar-SA" w:eastAsia="zh-TW" w:bidi="en-GB"/>
        </w:rPr>
      </w:pPr>
      <w:bookmarkStart w:id="119" w:name="_Toc32364379"/>
      <w:r>
        <w:rPr>
          <w:rtl/>
        </w:rPr>
        <w:tab/>
        <w:t>ياء</w:t>
      </w:r>
      <w:r w:rsidRPr="00EF3655">
        <w:rPr>
          <w:rtl/>
        </w:rPr>
        <w:t>-</w:t>
      </w:r>
      <w:r>
        <w:rPr>
          <w:rtl/>
        </w:rPr>
        <w:tab/>
        <w:t>تعزيز المساواة وعدم التمييز ودرء التمييز</w:t>
      </w:r>
      <w:bookmarkEnd w:id="119"/>
    </w:p>
    <w:p w14:paraId="5E6C0936" w14:textId="77777777" w:rsidR="008835DA" w:rsidRPr="00544AC3" w:rsidRDefault="008835DA" w:rsidP="008835DA">
      <w:pPr>
        <w:pStyle w:val="SingleTxtGA"/>
        <w:rPr>
          <w:rFonts w:eastAsia="Calibri"/>
          <w:szCs w:val="20"/>
          <w:lang w:val="ar-SA" w:eastAsia="zh-TW" w:bidi="en-GB"/>
        </w:rPr>
      </w:pPr>
      <w:r w:rsidRPr="005C19F0">
        <w:rPr>
          <w:szCs w:val="20"/>
          <w:rtl/>
        </w:rPr>
        <w:t>364</w:t>
      </w:r>
      <w:r w:rsidRPr="00EF3655">
        <w:rPr>
          <w:rtl/>
        </w:rPr>
        <w:t>-</w:t>
      </w:r>
      <w:r>
        <w:rPr>
          <w:rtl/>
        </w:rPr>
        <w:tab/>
        <w:t xml:space="preserve">دخل قانون مناهضة التمييز حيز النفاذ في </w:t>
      </w:r>
      <w:r w:rsidRPr="005C19F0">
        <w:rPr>
          <w:szCs w:val="20"/>
          <w:rtl/>
        </w:rPr>
        <w:t>1</w:t>
      </w:r>
      <w:r>
        <w:rPr>
          <w:rtl/>
        </w:rPr>
        <w:t xml:space="preserve"> كانون الثاني/يناير </w:t>
      </w:r>
      <w:r w:rsidRPr="005C19F0">
        <w:rPr>
          <w:szCs w:val="20"/>
          <w:rtl/>
        </w:rPr>
        <w:t>2015</w:t>
      </w:r>
      <w:r>
        <w:rPr>
          <w:rFonts w:ascii="Traditional Arabic"/>
          <w:szCs w:val="20"/>
          <w:rtl/>
        </w:rPr>
        <w:t>.</w:t>
      </w:r>
      <w:r>
        <w:rPr>
          <w:rFonts w:cs="Times New Roman" w:hint="cs"/>
          <w:szCs w:val="20"/>
          <w:rtl/>
        </w:rPr>
        <w:t>‬</w:t>
      </w:r>
      <w:r>
        <w:rPr>
          <w:rtl/>
        </w:rPr>
        <w:t xml:space="preserve"> ويوفر القانون حماية واسعة النطاق من التمييز. وبالإضافة إلى الأنشطة العامة، ينطبق القانون أيضاً على الأنشطة الخاصة باستثناء الأنشطة المتعلقة بالحياة الخاصة أو الأسرية وممارسة الدين. وينص القانون على حماية واسعة النطاق ومتساوية من التمييز بصرف النظر عما إذا كان التمييز قائماً على أساس الأصل أو السن أو الجنسية أو اللغة أو الدين أو المعتقد أو الرأي أو الحالة الصحية أو الإعاقة أو الميل الجنسي أو غير ذلك من الخصائص الشخصية.</w:t>
      </w:r>
    </w:p>
    <w:p w14:paraId="71AA4C8F" w14:textId="77777777" w:rsidR="008835DA" w:rsidRPr="00544AC3" w:rsidRDefault="008835DA" w:rsidP="008835DA">
      <w:pPr>
        <w:pStyle w:val="SingleTxtGA"/>
        <w:rPr>
          <w:szCs w:val="20"/>
          <w:lang w:val="ar-SA" w:eastAsia="zh-TW" w:bidi="en-GB"/>
        </w:rPr>
      </w:pPr>
      <w:r w:rsidRPr="005C19F0">
        <w:rPr>
          <w:szCs w:val="20"/>
          <w:rtl/>
        </w:rPr>
        <w:t>365</w:t>
      </w:r>
      <w:r w:rsidRPr="00EF3655">
        <w:rPr>
          <w:rtl/>
        </w:rPr>
        <w:t>-</w:t>
      </w:r>
      <w:r>
        <w:rPr>
          <w:rtl/>
        </w:rPr>
        <w:tab/>
        <w:t xml:space="preserve">ولا يقع الواجب المنصوص عليه في قانون عدم التمييز لأجل تعزيز المساواة على عاتق السلطات فحسب، بل إنه يقع أيضاً على عاتق مقدمي التعليم والتدريب، والمؤسسات التعليمية والمدارس، وأرباب العمل. فهم ملزمون بإعداد خطة لتعزيز المساواة. ويقع الالتزام بإعداد الخطة على عاتق أرباب العمل الذين يوظفون </w:t>
      </w:r>
      <w:r w:rsidRPr="005C19F0">
        <w:rPr>
          <w:szCs w:val="20"/>
          <w:rtl/>
        </w:rPr>
        <w:t>30</w:t>
      </w:r>
      <w:r>
        <w:rPr>
          <w:rtl/>
        </w:rPr>
        <w:t xml:space="preserve"> شخصاً على الأقل بانتظام. ويجب أن تكون الخطة معدة بحيث تتطرق إلى جميع أسباب التمييز المنصوص عليها في قانون عدم التمييز. وفي وقت سابق، كان إعداد الخطة يُطلب فقط لأغراض تعزيز المساواة بين الأعراق.</w:t>
      </w:r>
    </w:p>
    <w:p w14:paraId="2D47F207" w14:textId="4D00EF37" w:rsidR="008835DA" w:rsidRPr="00544AC3" w:rsidRDefault="008835DA" w:rsidP="008835DA">
      <w:pPr>
        <w:pStyle w:val="SingleTxtGA"/>
        <w:rPr>
          <w:szCs w:val="20"/>
          <w:lang w:val="ar-SA" w:eastAsia="zh-TW" w:bidi="en-GB"/>
        </w:rPr>
      </w:pPr>
      <w:r w:rsidRPr="005C19F0">
        <w:rPr>
          <w:szCs w:val="20"/>
          <w:rtl/>
        </w:rPr>
        <w:t>366</w:t>
      </w:r>
      <w:r w:rsidRPr="00EF3655">
        <w:rPr>
          <w:rtl/>
        </w:rPr>
        <w:t>-</w:t>
      </w:r>
      <w:r>
        <w:rPr>
          <w:rtl/>
        </w:rPr>
        <w:tab/>
        <w:t xml:space="preserve">ويتعين على السلطة أو مقدم التعليم أو رب العمل أو مقدم السلع والخدمات أن يجري التعديلات الواجبة والملائمة اللازمة في كل حالة كي يتمكن الشخص ذو الإعاقة، على قدم المساواة مع غيره، من التعامل مع السلطات والحصول على التعليم والعمل والسلع والخدمات المتاحة عموماً، فضلاً عن إدارة مهام عمله والتقدم في مسيرته الوظيفية. ويجب أيضاً أن تكون السلع والخدمات المعروضة مُتاحة للجميع على قدم المساواة. ويجب أن تُراعى إعاقة الشخص في سياق الخدمة، كما </w:t>
      </w:r>
      <w:r>
        <w:rPr>
          <w:rtl/>
        </w:rPr>
        <w:lastRenderedPageBreak/>
        <w:t>يجب مثلاً تعبيد طرق</w:t>
      </w:r>
      <w:r w:rsidR="00507B18">
        <w:rPr>
          <w:rtl/>
        </w:rPr>
        <w:t xml:space="preserve">، </w:t>
      </w:r>
      <w:r>
        <w:rPr>
          <w:rtl/>
        </w:rPr>
        <w:t>قدر الإمكان، يسهل سلوكها على أي شخص يحتاج إليها. وكان أرباب العمل بالفعل ملزمين بإجراء التعديلات الواجبة والمناسبة لفائدة الموظفين ذوي الإعاقة، في حين أن هذا التزام جديد بالنسبة لمقدمي السلع والخدمات، مثل الفنادق والمطاعم والأسواق التجارية.</w:t>
      </w:r>
    </w:p>
    <w:p w14:paraId="3C1CB58F" w14:textId="4E495002" w:rsidR="008835DA" w:rsidRPr="00544AC3" w:rsidRDefault="008835DA" w:rsidP="008835DA">
      <w:pPr>
        <w:pStyle w:val="SingleTxtGA"/>
        <w:rPr>
          <w:szCs w:val="20"/>
          <w:lang w:val="ar-SA" w:eastAsia="zh-TW" w:bidi="en-GB"/>
        </w:rPr>
      </w:pPr>
      <w:r w:rsidRPr="005C19F0">
        <w:rPr>
          <w:szCs w:val="20"/>
          <w:rtl/>
        </w:rPr>
        <w:t>367</w:t>
      </w:r>
      <w:r w:rsidRPr="00EF3655">
        <w:rPr>
          <w:rtl/>
        </w:rPr>
        <w:t>-</w:t>
      </w:r>
      <w:r>
        <w:rPr>
          <w:rtl/>
        </w:rPr>
        <w:tab/>
        <w:t>ولأغراض هذا القانون، تشمل تسمية "مقدمو السلع والخدمات" أيضاً مقدمي السلع والخدمات العموميين. ورغم شرط التعديلات الواجبة والملائمة الساري على أرباب العمل من قَبل بموجب قانون عدم التمييز السابق، يسري على أرباب العمل التزام جديد يلزمهم، عند الطلب، بتقديم تقرير مكتوب على الفور عن أسباب إجراءاتهم إلى شخص من ذوي الإعاقة يعتبر أنه قد تعرض للتمييز نتيجة عدم</w:t>
      </w:r>
      <w:r w:rsidR="00507B18">
        <w:rPr>
          <w:rtl/>
        </w:rPr>
        <w:t xml:space="preserve"> </w:t>
      </w:r>
      <w:r>
        <w:rPr>
          <w:rtl/>
        </w:rPr>
        <w:t>إجراء تعديلات معقولة في طلب التوظيف أو العمل في الوظيفة العمومية أو في علاقة عمل أو في علاقة عمل تخضع للقانون العام.</w:t>
      </w:r>
    </w:p>
    <w:p w14:paraId="346DFF93" w14:textId="28AEDB8D" w:rsidR="008835DA" w:rsidRPr="00C726A7" w:rsidRDefault="008835DA" w:rsidP="008835DA">
      <w:pPr>
        <w:pStyle w:val="SingleTxtGA"/>
        <w:rPr>
          <w:szCs w:val="20"/>
          <w:lang w:eastAsia="zh-TW" w:bidi="en-GB"/>
        </w:rPr>
      </w:pPr>
      <w:r w:rsidRPr="005C19F0">
        <w:rPr>
          <w:szCs w:val="20"/>
          <w:rtl/>
        </w:rPr>
        <w:t>368</w:t>
      </w:r>
      <w:r w:rsidRPr="00EF3655">
        <w:rPr>
          <w:rtl/>
        </w:rPr>
        <w:t>-</w:t>
      </w:r>
      <w:r>
        <w:rPr>
          <w:rtl/>
        </w:rPr>
        <w:tab/>
        <w:t>ويشرف على الامتثال لقانون عدم التمييز أمين المظالم المعني بعدم التمييز، والمحكمة الوطنية للمساواة وعدم التمييز، والسلطات المعنية بالسلامة والصحة المهنية. كما تقع على عاتق</w:t>
      </w:r>
      <w:r w:rsidR="00507B18">
        <w:rPr>
          <w:rtl/>
        </w:rPr>
        <w:t xml:space="preserve"> </w:t>
      </w:r>
      <w:r>
        <w:rPr>
          <w:rtl/>
        </w:rPr>
        <w:t>أمين المظالم المعني بعدم التمييز واجبات تتضمن المساواة في الحياة العملية، وإن كان تحقيق المساواة في حالات الحياة العملية الفردية يظل خاضعاً لإشراف السلطات المعنية بالسلامة والصحة المهنيتين.</w:t>
      </w:r>
    </w:p>
    <w:p w14:paraId="7AF26EF5" w14:textId="77777777" w:rsidR="008835DA" w:rsidRPr="00544AC3" w:rsidRDefault="008835DA" w:rsidP="008835DA">
      <w:pPr>
        <w:pStyle w:val="SingleTxtGA"/>
        <w:rPr>
          <w:szCs w:val="20"/>
          <w:lang w:val="ar-SA" w:eastAsia="zh-TW" w:bidi="en-GB"/>
        </w:rPr>
      </w:pPr>
      <w:r w:rsidRPr="005C19F0">
        <w:rPr>
          <w:szCs w:val="20"/>
          <w:rtl/>
        </w:rPr>
        <w:t>369</w:t>
      </w:r>
      <w:r w:rsidRPr="00EF3655">
        <w:rPr>
          <w:rtl/>
        </w:rPr>
        <w:t>-</w:t>
      </w:r>
      <w:r>
        <w:rPr>
          <w:rtl/>
        </w:rPr>
        <w:tab/>
        <w:t>ولا تزال الأحكام المتعلقة بحظر التمييز القائم على نوع الجنس وبالمساواة بين الجنسين مكرسة في قانون المساواة بين المرأة والرجل. ويتمثل الغرض من هذا القانون في درء التمييز القائم على نوع الجنس وتعزيز المساواة بين المرأة والرجل، فضلاً عن تحسين وضع المرأة، ولا سيما في مكان العمل. ويتمثل الهدف من القانون في درء التمييز القائم على الهوية الجنسانية أو التعبير الجنساني.</w:t>
      </w:r>
    </w:p>
    <w:p w14:paraId="4197B4ED" w14:textId="77777777" w:rsidR="008835DA" w:rsidRPr="00C726A7" w:rsidRDefault="008835DA" w:rsidP="008835DA">
      <w:pPr>
        <w:pStyle w:val="SingleTxtGA"/>
        <w:rPr>
          <w:szCs w:val="20"/>
          <w:lang w:eastAsia="zh-TW" w:bidi="en-GB"/>
        </w:rPr>
      </w:pPr>
      <w:r w:rsidRPr="005C19F0">
        <w:rPr>
          <w:szCs w:val="20"/>
          <w:rtl/>
        </w:rPr>
        <w:t>370</w:t>
      </w:r>
      <w:r w:rsidRPr="00EF3655">
        <w:rPr>
          <w:rtl/>
        </w:rPr>
        <w:t>-</w:t>
      </w:r>
      <w:r>
        <w:rPr>
          <w:rtl/>
        </w:rPr>
        <w:tab/>
        <w:t>وأضيفت إلى قانون المساواة أحكام بشأن حظر التمييز القائم على الهوية الجنسانية أو التعبير الجنساني، ونُقحت أحكام القانون المتعلق بخطة المساواة في مكان العمل، ووُسّع نطاق التخطيط للمساواة في الم</w:t>
      </w:r>
      <w:r>
        <w:rPr>
          <w:rtl/>
          <w:lang w:bidi="ar-DZ"/>
        </w:rPr>
        <w:t>ؤسسا</w:t>
      </w:r>
      <w:r>
        <w:rPr>
          <w:rtl/>
        </w:rPr>
        <w:t>ت التعليمية لكي يشمل أيضاً المدارس التي توفر التعليم المشار إليه في قانون التعليم الأساسي.</w:t>
      </w:r>
    </w:p>
    <w:p w14:paraId="7404AEC1" w14:textId="77777777" w:rsidR="008835DA" w:rsidRPr="00C726A7" w:rsidRDefault="008835DA" w:rsidP="008835DA">
      <w:pPr>
        <w:pStyle w:val="SingleTxtGA"/>
        <w:rPr>
          <w:szCs w:val="20"/>
          <w:lang w:eastAsia="zh-TW" w:bidi="en-GB"/>
        </w:rPr>
      </w:pPr>
      <w:r w:rsidRPr="005C19F0">
        <w:rPr>
          <w:szCs w:val="20"/>
          <w:rtl/>
        </w:rPr>
        <w:t>371</w:t>
      </w:r>
      <w:r w:rsidRPr="00EF3655">
        <w:rPr>
          <w:rtl/>
        </w:rPr>
        <w:t>-</w:t>
      </w:r>
      <w:r>
        <w:rPr>
          <w:rtl/>
        </w:rPr>
        <w:tab/>
        <w:t xml:space="preserve">ويشرف أمين المظالم المعني بالمساواة على الامتثال لقانون المساواة </w:t>
      </w:r>
      <w:r w:rsidRPr="00794E95">
        <w:rPr>
          <w:rtl/>
        </w:rPr>
        <w:t>(</w:t>
      </w:r>
      <w:r>
        <w:rPr>
          <w:rtl/>
        </w:rPr>
        <w:t xml:space="preserve">فيما يخص ولاية أمين المظالم، يرجى الرجوع إلى الفقرات </w:t>
      </w:r>
      <w:r w:rsidRPr="005C19F0">
        <w:rPr>
          <w:szCs w:val="20"/>
          <w:rtl/>
        </w:rPr>
        <w:t>276</w:t>
      </w:r>
      <w:r w:rsidRPr="00EF3655">
        <w:rPr>
          <w:rtl/>
        </w:rPr>
        <w:t>-</w:t>
      </w:r>
      <w:r w:rsidRPr="005C19F0">
        <w:rPr>
          <w:szCs w:val="20"/>
          <w:rtl/>
        </w:rPr>
        <w:t>279</w:t>
      </w:r>
      <w:r w:rsidRPr="00794E95">
        <w:rPr>
          <w:rtl/>
        </w:rPr>
        <w:t>)</w:t>
      </w:r>
      <w:r>
        <w:rPr>
          <w:rtl/>
        </w:rPr>
        <w:t>. فإنْ اعتقد شخص ما أنه قد تعرض للتمييز المحظور بموجب قانون المساواة، يجوز له أن يلجأ إلى أمين المظالم المعني بالمساواة للاستشارة أو الاسترشاد أو للدفع باتجاه التسوية. وإذا لاحظ أمين المظالم عدم امتثال للالتزامات المنصوص عليها في قانون المساواة أو انتهاك أحكامه، يتعين عليه أن يسعى إلى منع هذا السلوك عن طريق تقديم التوجيه والمشورة في المقام الأول. ويُسمح لأمين المظالم المعني بالمساواة بعرض قضية تمييز غير قانوني في حق فرد على المحكمة الوطنية ل</w:t>
      </w:r>
      <w:r>
        <w:rPr>
          <w:rtl/>
          <w:lang w:bidi="ar-DZ"/>
        </w:rPr>
        <w:t>لمساوة و</w:t>
      </w:r>
      <w:r>
        <w:rPr>
          <w:rtl/>
        </w:rPr>
        <w:t>عدم التمييز للنظر فيها.</w:t>
      </w:r>
    </w:p>
    <w:p w14:paraId="72B106F7" w14:textId="77777777" w:rsidR="008835DA" w:rsidRPr="00544AC3" w:rsidRDefault="008835DA" w:rsidP="008835DA">
      <w:pPr>
        <w:pStyle w:val="SingleTxtGA"/>
        <w:rPr>
          <w:szCs w:val="20"/>
          <w:lang w:val="ar-SA" w:eastAsia="zh-TW" w:bidi="en-GB"/>
        </w:rPr>
      </w:pPr>
      <w:r w:rsidRPr="005C19F0">
        <w:rPr>
          <w:szCs w:val="20"/>
          <w:rtl/>
        </w:rPr>
        <w:t>372</w:t>
      </w:r>
      <w:r w:rsidRPr="00EF3655">
        <w:rPr>
          <w:rtl/>
        </w:rPr>
        <w:t>-</w:t>
      </w:r>
      <w:r>
        <w:rPr>
          <w:rtl/>
        </w:rPr>
        <w:tab/>
        <w:t xml:space="preserve">وإلى جانب أمين المظالم المعني بالمساواة، يشجع أمين المظالم المعني بعدم التمييز المساواة ويتصدى للتمييز </w:t>
      </w:r>
      <w:r w:rsidRPr="00794E95">
        <w:rPr>
          <w:rtl/>
        </w:rPr>
        <w:t>(</w:t>
      </w:r>
      <w:r>
        <w:rPr>
          <w:rtl/>
        </w:rPr>
        <w:t xml:space="preserve">فيما يتعلق ولاية أمين المظالم، يرجى الاطلاع على الفقرات </w:t>
      </w:r>
      <w:r w:rsidRPr="005C19F0">
        <w:rPr>
          <w:szCs w:val="20"/>
          <w:rtl/>
        </w:rPr>
        <w:t>272</w:t>
      </w:r>
      <w:r w:rsidRPr="00EF3655">
        <w:rPr>
          <w:rtl/>
        </w:rPr>
        <w:t>-</w:t>
      </w:r>
      <w:r w:rsidRPr="005C19F0">
        <w:rPr>
          <w:szCs w:val="20"/>
          <w:rtl/>
        </w:rPr>
        <w:t>275</w:t>
      </w:r>
      <w:r w:rsidRPr="00794E95">
        <w:rPr>
          <w:rtl/>
        </w:rPr>
        <w:t>)</w:t>
      </w:r>
      <w:r>
        <w:rPr>
          <w:rtl/>
        </w:rPr>
        <w:t>. ويجوز للأشخاص الذين تعرضوا للتمييز على أساس السن أو الأصل أو الجنسية أو اللغة أو الدين أو المعتقد أو الرأي أو النشاط السياسي أو النقابي أو العلاقات الأسرية أو الصحة أو الإعاقة أو الميل الجنسي أو أي خاصية شخصية أخرى، أو كانوا شاهدين عليه، التواصل مع أمين المظالم المعني بعدم التمييز، الذي من واجبه القانوني والفعلي تحسين ظروف الفئات المعرضة للتمييز وتعزيز حقوقها.</w:t>
      </w:r>
    </w:p>
    <w:p w14:paraId="0C651E74" w14:textId="77777777" w:rsidR="008835DA" w:rsidRPr="00544AC3" w:rsidRDefault="008835DA" w:rsidP="008835DA">
      <w:pPr>
        <w:pStyle w:val="SingleTxtGA"/>
        <w:rPr>
          <w:szCs w:val="20"/>
          <w:lang w:val="ar-SA" w:eastAsia="zh-TW" w:bidi="en-GB"/>
        </w:rPr>
      </w:pPr>
      <w:r w:rsidRPr="005C19F0">
        <w:rPr>
          <w:szCs w:val="20"/>
          <w:rtl/>
        </w:rPr>
        <w:t>373</w:t>
      </w:r>
      <w:r w:rsidRPr="00EF3655">
        <w:rPr>
          <w:rtl/>
        </w:rPr>
        <w:t>-</w:t>
      </w:r>
      <w:r>
        <w:rPr>
          <w:rtl/>
        </w:rPr>
        <w:tab/>
        <w:t xml:space="preserve">ومن اختصاصات المحكمة الوطنية للمساواة وعدم التمييز مراقبة جميع أسباب التمييز. ويجوز للمحكمة إصدار أوامر زجرية أو عادية وتأكيد تسوية توفيقية بين طرفي قضية من القضايا، كما يجوز </w:t>
      </w:r>
      <w:r>
        <w:rPr>
          <w:rtl/>
        </w:rPr>
        <w:lastRenderedPageBreak/>
        <w:t>لها فرض غرامة مشروطة من أجل إنفاذ أمرها الزجري أو العادي. أما الامتثال لقانون عدم التمييز المتعلق بالحياة العملية فليس من اختصاص المحكمة الرقابي.</w:t>
      </w:r>
    </w:p>
    <w:p w14:paraId="1E4E1133" w14:textId="77777777" w:rsidR="008835DA" w:rsidRPr="00544AC3" w:rsidRDefault="008835DA" w:rsidP="008835DA">
      <w:pPr>
        <w:pStyle w:val="SingleTxtGA"/>
        <w:rPr>
          <w:szCs w:val="20"/>
          <w:lang w:val="ar-SA" w:eastAsia="zh-TW" w:bidi="en-GB"/>
        </w:rPr>
      </w:pPr>
      <w:r w:rsidRPr="005C19F0">
        <w:rPr>
          <w:szCs w:val="20"/>
          <w:rtl/>
        </w:rPr>
        <w:t>374</w:t>
      </w:r>
      <w:r w:rsidRPr="00EF3655">
        <w:rPr>
          <w:rtl/>
        </w:rPr>
        <w:t>-</w:t>
      </w:r>
      <w:r>
        <w:rPr>
          <w:rtl/>
        </w:rPr>
        <w:tab/>
        <w:t>والمحكمة الوطنية للمساواة وعدم التمييز هيئةٌ قضائية محايدة ومستقلة. وفي القضايا المتعلقة بقانون عدم التمييز، يجوز للشخص الذي يدّعي وقوع التمييز أو لأمين المظالم المعني بعدم التمييز تقديم التماس إلى المحكمة. وفي القضايا المتعلقة بقانون المساواة، يقدم الالتماس أمين المظالم المعني بالمساواة بموافقة الشخص المعني. والمحكمة غير مخوّلة النظر في القضايا أو الاضطلاع بأعمال رقابية بمبادرة منها. وتعيّن الحكومة هيئة المحكمة للإشراف على الامتثال لقانون عدم التمييز وقانون المساواة. وتشمل ولاية المحكمة الأنشطة الخاصة والأنشطة الإدارية والتجارية العامة على حد سواء، في حين أن المسائل المتعلقة بالحياة الخاصة والحياة الأسرية مستثناة من ولايتها. ولا يجوز عرض مسألة تتعلق بالبرلمان الفنلندي على المحكمة للنظر فيها إلا إذا كانت المسألة تتعلق بأنشطة البرلمان أو أحد أجهزته بوصفه سلطة عامة أو رب عمل. ولا تخضع لإشراف المحكمة أنشطةُ رئيس الجمهورية، أو الجلسة العامة للحكومة، أو المحاكم القضائية وغيرها من الهيئات القضائية، أو مستشار العدل في الحكومة أو أمين المظالم البرلماني.</w:t>
      </w:r>
    </w:p>
    <w:p w14:paraId="33F688D3" w14:textId="77777777" w:rsidR="008835DA" w:rsidRPr="00C726A7" w:rsidRDefault="008835DA" w:rsidP="008835DA">
      <w:pPr>
        <w:pStyle w:val="SingleTxtGA"/>
        <w:rPr>
          <w:szCs w:val="20"/>
          <w:lang w:eastAsia="zh-TW" w:bidi="en-GB"/>
        </w:rPr>
      </w:pPr>
      <w:r w:rsidRPr="005C19F0">
        <w:rPr>
          <w:szCs w:val="20"/>
          <w:rtl/>
        </w:rPr>
        <w:t>375</w:t>
      </w:r>
      <w:r w:rsidRPr="00EF3655">
        <w:rPr>
          <w:rtl/>
        </w:rPr>
        <w:t>-</w:t>
      </w:r>
      <w:r>
        <w:rPr>
          <w:rtl/>
        </w:rPr>
        <w:tab/>
        <w:t>ولا تحقق المحكمة الوطنية للمساواة وعدم التمييز في قضيةٍ لا تزال معروضة على سلطة أخرى. وفي القضايا التي تصدر فيها المحكمة قراراً، يجوز لها أن تحظر التمييز المستمر أو المتكرر أو الإيذاء وفرض غرامة مشروطة لإنفاذ الامتثال للأوامر الزجرية الصادرة عنها، كما يجوز لها أن تأمر بدفع هذه الغرامة. وعلاوة على ذلك، يجوز للمحكمة أن تأمر الطرف المعني باتخاذ تدابير في غضون فترة زمنية معقولة للوفاء بالالتزامات المنصوص عليها في قانون عدم التمييز. غير أنه لا يجوز لها أن تأمر طرفاً بدفع تعويض. ويجوز استئناف قرارات المحكمة أمام محكمة إدارية. وفي حين لا تُفرض أي رسوم على تجهيز الالتماسات أو القرارات، تتحمل الأطراف نفسها مسؤولية التكاليف الأخرى المتعلقة بالإجراءات، مثل أتعاب المستشار القانوني أو المحامي.</w:t>
      </w:r>
    </w:p>
    <w:p w14:paraId="13EBE271" w14:textId="77777777" w:rsidR="008835DA" w:rsidRPr="00B446CB" w:rsidRDefault="008835DA" w:rsidP="009B1F7F">
      <w:pPr>
        <w:pStyle w:val="SingleTxtGA"/>
        <w:rPr>
          <w:szCs w:val="20"/>
          <w:rtl/>
          <w:lang w:eastAsia="zh-TW"/>
        </w:rPr>
      </w:pPr>
      <w:r w:rsidRPr="005C19F0">
        <w:rPr>
          <w:szCs w:val="20"/>
          <w:rtl/>
        </w:rPr>
        <w:t>376</w:t>
      </w:r>
      <w:r w:rsidRPr="00EF3655">
        <w:rPr>
          <w:rtl/>
        </w:rPr>
        <w:t>-</w:t>
      </w:r>
      <w:r>
        <w:rPr>
          <w:rtl/>
        </w:rPr>
        <w:tab/>
        <w:t>وأصدرت المحكمة الوطنية للمساواة وعدم التمييز قرارات وآراء بشأن مواضيع تشمل التمييز في حق الأشخاص ذوي الإعاقة والتمييز القائم على الأصل العرقي والميل الجنساني ومكان الإقامة واللغة والسن.</w:t>
      </w:r>
    </w:p>
    <w:p w14:paraId="5B5AD015" w14:textId="77777777" w:rsidR="008835DA" w:rsidRPr="00C726A7" w:rsidRDefault="008835DA" w:rsidP="009B1F7F">
      <w:pPr>
        <w:pStyle w:val="SingleTxtGA"/>
        <w:rPr>
          <w:szCs w:val="20"/>
          <w:lang w:eastAsia="zh-TW" w:bidi="en-GB"/>
        </w:rPr>
      </w:pPr>
      <w:r w:rsidRPr="005C19F0">
        <w:rPr>
          <w:szCs w:val="20"/>
          <w:rtl/>
        </w:rPr>
        <w:t>377</w:t>
      </w:r>
      <w:r w:rsidRPr="00EF3655">
        <w:rPr>
          <w:rtl/>
        </w:rPr>
        <w:t>-</w:t>
      </w:r>
      <w:r>
        <w:rPr>
          <w:rtl/>
        </w:rPr>
        <w:tab/>
        <w:t>وتعود وظائف ومكاتب أمين المظالم المعني بالمساواة ومكتب أمين المظالم المعني بالأطفال ومكتب أمين المظالم المعني بعدم التمييز إلى الفرع الإداري لوزارة العدل. وينطبق الشيء نفسُه على المحكمة الوطنية للمساواة وعدم التمييز. ويعمل أمناء المظالم المتخصصون والمحكمة الجديدة بصفتهم سلطات مستقلة ومحايدة داخل الفرع الإداري لوزارة العدل. وقد نقلت المهام والمشاريع المتعلقة بتعزيز المساواة وعدم التمييز بموجب قانون عدم التمييز الجديد والمجلس الاستشاري للعلاقات الإثنية من وزارة الداخلية إلى وزارة العدل، بينما لا تزال وزارة الشؤون الاجتماعية والصحة مسؤولة عن الواجبات المتعلقة بقانون المساواة.</w:t>
      </w:r>
    </w:p>
    <w:p w14:paraId="45ED96F6" w14:textId="77777777" w:rsidR="008835DA" w:rsidRDefault="008835DA" w:rsidP="009B1F7F">
      <w:pPr>
        <w:pStyle w:val="SingleTxtGA"/>
        <w:rPr>
          <w:szCs w:val="20"/>
          <w:lang w:val="ar-SA" w:eastAsia="zh-TW" w:bidi="en-GB"/>
        </w:rPr>
      </w:pPr>
      <w:r w:rsidRPr="005C19F0">
        <w:rPr>
          <w:szCs w:val="20"/>
          <w:rtl/>
        </w:rPr>
        <w:t>378</w:t>
      </w:r>
      <w:r w:rsidRPr="00EF3655">
        <w:rPr>
          <w:rtl/>
        </w:rPr>
        <w:t>-</w:t>
      </w:r>
      <w:r>
        <w:rPr>
          <w:rtl/>
        </w:rPr>
        <w:tab/>
        <w:t>ويُعهد إلى النظام الوطني لرصد التمييز التابع للحكومة بأمور منها إعداد تقارير عن معدل حدوث التمييز في المجتمع الفنلندي</w:t>
      </w:r>
      <w:bookmarkStart w:id="120" w:name="_GoBack"/>
      <w:bookmarkEnd w:id="120"/>
      <w:r>
        <w:rPr>
          <w:rtl/>
        </w:rPr>
        <w:t>. ويجمع فريق الرصد معلومات عن حالة التمييز فيما يتعلق بمختلف الفئات العمرية والأقليات، كما يستعرض الحالة فيما يتعلق بالتمييز القائم على نوع الجنس. وتدير وزارة العدل موقعاً إلكترونياً تُجمع فيه بيانات عن التمييز.</w:t>
      </w:r>
    </w:p>
    <w:p w14:paraId="38C45AD2" w14:textId="056170A3" w:rsidR="008835DA" w:rsidRPr="008835DA" w:rsidRDefault="008835DA" w:rsidP="008835DA">
      <w:pPr>
        <w:spacing w:before="240"/>
        <w:ind w:left="1134" w:right="1134"/>
        <w:jc w:val="center"/>
        <w:rPr>
          <w:rtl/>
        </w:rPr>
      </w:pPr>
      <w:r>
        <w:rPr>
          <w:u w:val="single"/>
        </w:rPr>
        <w:tab/>
      </w:r>
      <w:r>
        <w:rPr>
          <w:u w:val="single"/>
        </w:rPr>
        <w:tab/>
      </w:r>
      <w:r>
        <w:rPr>
          <w:u w:val="single"/>
        </w:rPr>
        <w:tab/>
      </w:r>
    </w:p>
    <w:sectPr w:rsidR="008835DA" w:rsidRPr="008835DA" w:rsidSect="007A46D1">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D39D" w14:textId="77777777" w:rsidR="000A1C86" w:rsidRPr="002901D9" w:rsidRDefault="000A1C86" w:rsidP="002901D9">
      <w:pPr>
        <w:spacing w:after="60" w:line="240" w:lineRule="auto"/>
        <w:rPr>
          <w:i/>
          <w:iCs/>
        </w:rPr>
      </w:pPr>
      <w:r>
        <w:rPr>
          <w:rFonts w:hint="cs"/>
          <w:i/>
          <w:iCs/>
          <w:rtl/>
        </w:rPr>
        <w:t>الحواشي</w:t>
      </w:r>
    </w:p>
  </w:endnote>
  <w:endnote w:type="continuationSeparator" w:id="0">
    <w:p w14:paraId="182CDA56" w14:textId="77777777" w:rsidR="000A1C86" w:rsidRDefault="000A1C8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raditional Arabic Italic">
    <w:altName w:val="Traditional Arab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C715" w14:textId="77777777" w:rsidR="000A1C86" w:rsidRPr="00A0227D" w:rsidRDefault="000A1C86" w:rsidP="00A0227D">
    <w:pPr>
      <w:pStyle w:val="Footer"/>
      <w:tabs>
        <w:tab w:val="right" w:pos="9598"/>
      </w:tabs>
      <w:rPr>
        <w:sz w:val="17"/>
      </w:rPr>
    </w:pPr>
    <w:r>
      <w:rPr>
        <w:sz w:val="17"/>
      </w:rPr>
      <w:t>GE.20-10404</w:t>
    </w:r>
    <w:r>
      <w:rPr>
        <w:sz w:val="17"/>
      </w:rPr>
      <w:tab/>
    </w:r>
    <w:r w:rsidRPr="00A0227D">
      <w:rPr>
        <w:b/>
        <w:sz w:val="18"/>
      </w:rPr>
      <w:fldChar w:fldCharType="begin"/>
    </w:r>
    <w:r w:rsidRPr="00A0227D">
      <w:rPr>
        <w:b/>
        <w:sz w:val="18"/>
      </w:rPr>
      <w:instrText xml:space="preserve"> PAGE  \* MERGEFORMAT </w:instrText>
    </w:r>
    <w:r w:rsidRPr="00A0227D">
      <w:rPr>
        <w:b/>
        <w:sz w:val="18"/>
      </w:rPr>
      <w:fldChar w:fldCharType="separate"/>
    </w:r>
    <w:r>
      <w:rPr>
        <w:b/>
        <w:sz w:val="18"/>
      </w:rPr>
      <w:t>2</w:t>
    </w:r>
    <w:r w:rsidRPr="00A022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4BE3" w14:textId="77777777" w:rsidR="000A1C86" w:rsidRPr="00A0227D" w:rsidRDefault="000A1C86" w:rsidP="006959B0">
    <w:pPr>
      <w:pStyle w:val="Footer"/>
      <w:tabs>
        <w:tab w:val="right" w:pos="9599"/>
      </w:tabs>
      <w:jc w:val="left"/>
      <w:rPr>
        <w:b/>
        <w:sz w:val="18"/>
        <w:lang w:val="en-US"/>
      </w:rPr>
    </w:pPr>
    <w:r w:rsidRPr="00A0227D">
      <w:rPr>
        <w:b/>
        <w:sz w:val="18"/>
        <w:lang w:val="en-US"/>
      </w:rPr>
      <w:fldChar w:fldCharType="begin"/>
    </w:r>
    <w:r w:rsidRPr="00A0227D">
      <w:rPr>
        <w:b/>
        <w:sz w:val="18"/>
        <w:lang w:val="en-US"/>
      </w:rPr>
      <w:instrText xml:space="preserve"> PAGE  \* MERGEFORMAT </w:instrText>
    </w:r>
    <w:r w:rsidRPr="00A0227D">
      <w:rPr>
        <w:b/>
        <w:sz w:val="18"/>
        <w:lang w:val="en-US"/>
      </w:rPr>
      <w:fldChar w:fldCharType="separate"/>
    </w:r>
    <w:r w:rsidRPr="00A0227D">
      <w:rPr>
        <w:b/>
        <w:noProof/>
        <w:sz w:val="18"/>
        <w:lang w:val="en-US"/>
      </w:rPr>
      <w:t>3</w:t>
    </w:r>
    <w:r w:rsidRPr="00A0227D">
      <w:rPr>
        <w:b/>
        <w:sz w:val="18"/>
        <w:lang w:val="en-US"/>
      </w:rPr>
      <w:fldChar w:fldCharType="end"/>
    </w:r>
    <w:r>
      <w:rPr>
        <w:b/>
        <w:sz w:val="18"/>
        <w:lang w:val="en-US"/>
      </w:rPr>
      <w:tab/>
    </w:r>
    <w:r>
      <w:rPr>
        <w:sz w:val="17"/>
        <w:lang w:val="en-US"/>
      </w:rPr>
      <w:t>GE.20-10404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8974" w14:textId="77777777" w:rsidR="000A1C86" w:rsidRDefault="000A1C86" w:rsidP="007C1295">
    <w:pPr>
      <w:pStyle w:val="Footer"/>
      <w:spacing w:before="360"/>
      <w:jc w:val="right"/>
      <w:rPr>
        <w:sz w:val="20"/>
        <w:szCs w:val="20"/>
      </w:rPr>
    </w:pPr>
    <w:r>
      <w:rPr>
        <w:sz w:val="20"/>
        <w:szCs w:val="20"/>
      </w:rPr>
      <w:t>GE.20-10404</w:t>
    </w:r>
    <w:r>
      <w:rPr>
        <w:noProof/>
        <w:lang w:val="en-US"/>
      </w:rPr>
      <w:drawing>
        <wp:anchor distT="0" distB="0" distL="114300" distR="114300" simplePos="0" relativeHeight="251664384" behindDoc="1" locked="1" layoutInCell="0" allowOverlap="1" wp14:anchorId="48525FBF" wp14:editId="1B2FFE6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799E1BF3" w14:textId="77777777" w:rsidR="000A1C86" w:rsidRPr="007A46D1" w:rsidRDefault="000A1C86" w:rsidP="007A46D1">
    <w:pPr>
      <w:pStyle w:val="Footer"/>
      <w:jc w:val="right"/>
      <w:rPr>
        <w:rFonts w:ascii="C39T30Lfz" w:hAnsi="C39T30Lfz"/>
        <w:sz w:val="56"/>
        <w:szCs w:val="20"/>
      </w:rPr>
    </w:pPr>
    <w:r>
      <w:rPr>
        <w:rFonts w:ascii="C39T30Lfz" w:hAnsi="C39T30Lfz"/>
        <w:sz w:val="56"/>
        <w:szCs w:val="20"/>
      </w:rPr>
      <w:t>*2010404*</w:t>
    </w:r>
    <w:r>
      <w:rPr>
        <w:rFonts w:ascii="C39T30Lfz" w:hAnsi="C39T30Lfz"/>
        <w:noProof/>
        <w:sz w:val="56"/>
        <w:szCs w:val="20"/>
      </w:rPr>
      <w:drawing>
        <wp:anchor distT="0" distB="0" distL="114300" distR="114300" simplePos="0" relativeHeight="251660288" behindDoc="0" locked="0" layoutInCell="1" allowOverlap="1" wp14:anchorId="395BE81A" wp14:editId="15E3F71A">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C0B7" w14:textId="77777777" w:rsidR="000A1C86" w:rsidRDefault="000A1C86" w:rsidP="00CB28F9">
      <w:pPr>
        <w:pStyle w:val="Footer"/>
        <w:bidi/>
        <w:spacing w:after="80" w:line="200" w:lineRule="exact"/>
        <w:ind w:left="680"/>
        <w:rPr>
          <w:rtl/>
        </w:rPr>
      </w:pPr>
      <w:r>
        <w:rPr>
          <w:rtl/>
        </w:rPr>
        <w:t>__________</w:t>
      </w:r>
    </w:p>
  </w:footnote>
  <w:footnote w:type="continuationSeparator" w:id="0">
    <w:p w14:paraId="1816D30C" w14:textId="77777777" w:rsidR="000A1C86" w:rsidRDefault="000A1C86" w:rsidP="00656392">
      <w:pPr>
        <w:spacing w:line="240" w:lineRule="auto"/>
      </w:pPr>
      <w:r>
        <w:continuationSeparator/>
      </w:r>
    </w:p>
  </w:footnote>
  <w:footnote w:id="1">
    <w:p w14:paraId="4C01E52C" w14:textId="08A80C45" w:rsidR="000A1C86" w:rsidRPr="008F5541" w:rsidRDefault="000A1C86" w:rsidP="005C19F0">
      <w:pPr>
        <w:pStyle w:val="FootnoteText1"/>
        <w:rPr>
          <w:rtl/>
        </w:rPr>
      </w:pPr>
      <w:r>
        <w:rPr>
          <w:rtl/>
        </w:rPr>
        <w:t>*</w:t>
      </w:r>
      <w:r>
        <w:rPr>
          <w:rtl/>
        </w:rPr>
        <w:tab/>
      </w:r>
      <w:r w:rsidRPr="008F5541">
        <w:rPr>
          <w:rtl/>
        </w:rPr>
        <w:t>تصدر هذه الوثيقة من دون تحرير رسمي.</w:t>
      </w:r>
    </w:p>
  </w:footnote>
  <w:footnote w:id="2">
    <w:p w14:paraId="46B7B5BD" w14:textId="10B4D95F" w:rsidR="000A1C86" w:rsidRPr="008F5541" w:rsidRDefault="000A1C86" w:rsidP="005C19F0">
      <w:pPr>
        <w:pStyle w:val="FootnoteText1"/>
      </w:pPr>
      <w:r>
        <w:rPr>
          <w:rtl/>
        </w:rPr>
        <w:t>**</w:t>
      </w:r>
      <w:r>
        <w:rPr>
          <w:rtl/>
        </w:rPr>
        <w:tab/>
      </w:r>
      <w:r w:rsidRPr="008F5541">
        <w:rPr>
          <w:rtl/>
        </w:rPr>
        <w:t>يمكن الاطلاع على مرفق هذه الوثيقة في الموقع الشبكي لمفوضية الأمم المتحدة لحقوق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9FB5" w14:textId="77777777" w:rsidR="000A1C86" w:rsidRPr="00A0227D" w:rsidRDefault="000A1C86" w:rsidP="00A0227D">
    <w:pPr>
      <w:pStyle w:val="Header"/>
      <w:jc w:val="right"/>
    </w:pPr>
    <w:r w:rsidRPr="00A0227D">
      <w:t>HRI/CORE/FIN/2020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EB46" w14:textId="77777777" w:rsidR="000A1C86" w:rsidRPr="00A0227D" w:rsidRDefault="000A1C86" w:rsidP="00A0227D">
    <w:pPr>
      <w:pStyle w:val="Header"/>
      <w:jc w:val="left"/>
    </w:pPr>
    <w:r w:rsidRPr="00A0227D">
      <w:t>HRI/CORE/FIN/2020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DFC06200"/>
    <w:lvl w:ilvl="0" w:tplc="0F20AB82">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9911DF6"/>
    <w:multiLevelType w:val="multilevel"/>
    <w:tmpl w:val="247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3">
    <w:abstractNumId w:val="3"/>
  </w:num>
  <w:num w:numId="14">
    <w:abstractNumId w:val="0"/>
  </w:num>
  <w:num w:numId="15">
    <w:abstractNumId w:val="9"/>
  </w:num>
  <w:num w:numId="16">
    <w:abstractNumId w:val="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06FEB"/>
    <w:rsid w:val="000076D5"/>
    <w:rsid w:val="00033439"/>
    <w:rsid w:val="00036AD3"/>
    <w:rsid w:val="00042150"/>
    <w:rsid w:val="00043663"/>
    <w:rsid w:val="000505CF"/>
    <w:rsid w:val="00054B3B"/>
    <w:rsid w:val="000A1C86"/>
    <w:rsid w:val="000C6186"/>
    <w:rsid w:val="000C722A"/>
    <w:rsid w:val="000D701C"/>
    <w:rsid w:val="000E2A71"/>
    <w:rsid w:val="000F0A96"/>
    <w:rsid w:val="00102BFB"/>
    <w:rsid w:val="00104B67"/>
    <w:rsid w:val="00115813"/>
    <w:rsid w:val="00124E69"/>
    <w:rsid w:val="00160263"/>
    <w:rsid w:val="0016371A"/>
    <w:rsid w:val="00165BDD"/>
    <w:rsid w:val="00166C15"/>
    <w:rsid w:val="00181F96"/>
    <w:rsid w:val="001918A8"/>
    <w:rsid w:val="001959FA"/>
    <w:rsid w:val="001A1371"/>
    <w:rsid w:val="001A22DE"/>
    <w:rsid w:val="001B346A"/>
    <w:rsid w:val="001C066B"/>
    <w:rsid w:val="001C3228"/>
    <w:rsid w:val="001D4BDB"/>
    <w:rsid w:val="001E1CAD"/>
    <w:rsid w:val="001E1D28"/>
    <w:rsid w:val="001E290D"/>
    <w:rsid w:val="001E2CFF"/>
    <w:rsid w:val="001E7B3A"/>
    <w:rsid w:val="001F0181"/>
    <w:rsid w:val="001F7F9C"/>
    <w:rsid w:val="002028DB"/>
    <w:rsid w:val="002144FA"/>
    <w:rsid w:val="0023469A"/>
    <w:rsid w:val="00243C8A"/>
    <w:rsid w:val="00245ABC"/>
    <w:rsid w:val="00267A0E"/>
    <w:rsid w:val="002716BB"/>
    <w:rsid w:val="002717F4"/>
    <w:rsid w:val="00275513"/>
    <w:rsid w:val="002901D9"/>
    <w:rsid w:val="002923C6"/>
    <w:rsid w:val="002953FF"/>
    <w:rsid w:val="002976C2"/>
    <w:rsid w:val="002B5B92"/>
    <w:rsid w:val="002C444D"/>
    <w:rsid w:val="002C60E6"/>
    <w:rsid w:val="002D3EE8"/>
    <w:rsid w:val="003260FF"/>
    <w:rsid w:val="00327BDA"/>
    <w:rsid w:val="00332E92"/>
    <w:rsid w:val="00340DBC"/>
    <w:rsid w:val="003418C3"/>
    <w:rsid w:val="00343D95"/>
    <w:rsid w:val="00354CC2"/>
    <w:rsid w:val="00372310"/>
    <w:rsid w:val="00374341"/>
    <w:rsid w:val="00376013"/>
    <w:rsid w:val="00384243"/>
    <w:rsid w:val="003D1062"/>
    <w:rsid w:val="003D2616"/>
    <w:rsid w:val="003D51FB"/>
    <w:rsid w:val="003E0023"/>
    <w:rsid w:val="003F3EF7"/>
    <w:rsid w:val="004116EC"/>
    <w:rsid w:val="00420D7B"/>
    <w:rsid w:val="00435438"/>
    <w:rsid w:val="0044718C"/>
    <w:rsid w:val="00450B21"/>
    <w:rsid w:val="00453B63"/>
    <w:rsid w:val="00455780"/>
    <w:rsid w:val="00457CB0"/>
    <w:rsid w:val="004957A5"/>
    <w:rsid w:val="004B0A1C"/>
    <w:rsid w:val="004B20F7"/>
    <w:rsid w:val="004C053D"/>
    <w:rsid w:val="004D1D02"/>
    <w:rsid w:val="004D298E"/>
    <w:rsid w:val="004E7718"/>
    <w:rsid w:val="0050146E"/>
    <w:rsid w:val="00507B18"/>
    <w:rsid w:val="00517E37"/>
    <w:rsid w:val="00522F4F"/>
    <w:rsid w:val="0053023E"/>
    <w:rsid w:val="005310F2"/>
    <w:rsid w:val="0054472E"/>
    <w:rsid w:val="00545B56"/>
    <w:rsid w:val="00555660"/>
    <w:rsid w:val="005662A9"/>
    <w:rsid w:val="0057156B"/>
    <w:rsid w:val="00580372"/>
    <w:rsid w:val="0058093F"/>
    <w:rsid w:val="005827D4"/>
    <w:rsid w:val="0059622A"/>
    <w:rsid w:val="005B4EA3"/>
    <w:rsid w:val="005C0212"/>
    <w:rsid w:val="005C19F0"/>
    <w:rsid w:val="005C5878"/>
    <w:rsid w:val="005C59F8"/>
    <w:rsid w:val="005C7CEA"/>
    <w:rsid w:val="005D3C0B"/>
    <w:rsid w:val="005E1E18"/>
    <w:rsid w:val="005E5217"/>
    <w:rsid w:val="005F09F1"/>
    <w:rsid w:val="005F0FA4"/>
    <w:rsid w:val="005F30EE"/>
    <w:rsid w:val="005F3AAE"/>
    <w:rsid w:val="005F4B18"/>
    <w:rsid w:val="005F710F"/>
    <w:rsid w:val="0060116A"/>
    <w:rsid w:val="006023BE"/>
    <w:rsid w:val="0060473A"/>
    <w:rsid w:val="0060644B"/>
    <w:rsid w:val="00612275"/>
    <w:rsid w:val="00625528"/>
    <w:rsid w:val="0062690D"/>
    <w:rsid w:val="0063047E"/>
    <w:rsid w:val="006472EC"/>
    <w:rsid w:val="00656392"/>
    <w:rsid w:val="00660D9B"/>
    <w:rsid w:val="006753A3"/>
    <w:rsid w:val="0068781D"/>
    <w:rsid w:val="006959B0"/>
    <w:rsid w:val="006B013E"/>
    <w:rsid w:val="006B3E27"/>
    <w:rsid w:val="006B6507"/>
    <w:rsid w:val="006C104C"/>
    <w:rsid w:val="006D219D"/>
    <w:rsid w:val="006F1A3A"/>
    <w:rsid w:val="00701C0F"/>
    <w:rsid w:val="00727023"/>
    <w:rsid w:val="007321F6"/>
    <w:rsid w:val="00733704"/>
    <w:rsid w:val="00735692"/>
    <w:rsid w:val="00735D61"/>
    <w:rsid w:val="007424BD"/>
    <w:rsid w:val="00752293"/>
    <w:rsid w:val="0077153D"/>
    <w:rsid w:val="0078071A"/>
    <w:rsid w:val="00780964"/>
    <w:rsid w:val="00794E95"/>
    <w:rsid w:val="007A46D1"/>
    <w:rsid w:val="007A473F"/>
    <w:rsid w:val="007B75C2"/>
    <w:rsid w:val="007C1295"/>
    <w:rsid w:val="007C53F8"/>
    <w:rsid w:val="007D17AE"/>
    <w:rsid w:val="00811A93"/>
    <w:rsid w:val="0081550F"/>
    <w:rsid w:val="00816D36"/>
    <w:rsid w:val="00820515"/>
    <w:rsid w:val="00823ED2"/>
    <w:rsid w:val="00826033"/>
    <w:rsid w:val="0083362E"/>
    <w:rsid w:val="00852A9A"/>
    <w:rsid w:val="00852FB1"/>
    <w:rsid w:val="00853B96"/>
    <w:rsid w:val="008572F4"/>
    <w:rsid w:val="00861C63"/>
    <w:rsid w:val="00862864"/>
    <w:rsid w:val="008649CB"/>
    <w:rsid w:val="00871AEF"/>
    <w:rsid w:val="008835DA"/>
    <w:rsid w:val="00883F2F"/>
    <w:rsid w:val="00887C00"/>
    <w:rsid w:val="00890539"/>
    <w:rsid w:val="008C331D"/>
    <w:rsid w:val="008D1A1E"/>
    <w:rsid w:val="008D2046"/>
    <w:rsid w:val="008E2F67"/>
    <w:rsid w:val="008E5032"/>
    <w:rsid w:val="008F49E1"/>
    <w:rsid w:val="008F5541"/>
    <w:rsid w:val="0090370F"/>
    <w:rsid w:val="00907620"/>
    <w:rsid w:val="009113EE"/>
    <w:rsid w:val="009269D2"/>
    <w:rsid w:val="009322C4"/>
    <w:rsid w:val="00942135"/>
    <w:rsid w:val="009521B0"/>
    <w:rsid w:val="009550FD"/>
    <w:rsid w:val="0095562C"/>
    <w:rsid w:val="00970B1E"/>
    <w:rsid w:val="00977CE7"/>
    <w:rsid w:val="0099313E"/>
    <w:rsid w:val="00994130"/>
    <w:rsid w:val="00997AE9"/>
    <w:rsid w:val="009A3C44"/>
    <w:rsid w:val="009A7E9F"/>
    <w:rsid w:val="009B1F7F"/>
    <w:rsid w:val="009B4934"/>
    <w:rsid w:val="009C28DA"/>
    <w:rsid w:val="009C5894"/>
    <w:rsid w:val="009D61F3"/>
    <w:rsid w:val="009E5018"/>
    <w:rsid w:val="009F415F"/>
    <w:rsid w:val="00A0227D"/>
    <w:rsid w:val="00A029DA"/>
    <w:rsid w:val="00A05A2B"/>
    <w:rsid w:val="00A12B37"/>
    <w:rsid w:val="00A130A4"/>
    <w:rsid w:val="00A15E03"/>
    <w:rsid w:val="00A215B8"/>
    <w:rsid w:val="00A355F3"/>
    <w:rsid w:val="00A7170E"/>
    <w:rsid w:val="00A85D26"/>
    <w:rsid w:val="00A87EA5"/>
    <w:rsid w:val="00A913B1"/>
    <w:rsid w:val="00AA29CE"/>
    <w:rsid w:val="00AA5E7D"/>
    <w:rsid w:val="00AB6758"/>
    <w:rsid w:val="00AC24AB"/>
    <w:rsid w:val="00AE61CF"/>
    <w:rsid w:val="00B04A8B"/>
    <w:rsid w:val="00B13763"/>
    <w:rsid w:val="00B37752"/>
    <w:rsid w:val="00B37BF0"/>
    <w:rsid w:val="00B446CB"/>
    <w:rsid w:val="00B477A4"/>
    <w:rsid w:val="00B54045"/>
    <w:rsid w:val="00B70CCE"/>
    <w:rsid w:val="00B834E1"/>
    <w:rsid w:val="00B9525B"/>
    <w:rsid w:val="00BB24A3"/>
    <w:rsid w:val="00BB79C1"/>
    <w:rsid w:val="00BE4C80"/>
    <w:rsid w:val="00C13097"/>
    <w:rsid w:val="00C438D7"/>
    <w:rsid w:val="00C50140"/>
    <w:rsid w:val="00C56EB4"/>
    <w:rsid w:val="00C60B7B"/>
    <w:rsid w:val="00C644F4"/>
    <w:rsid w:val="00C74C59"/>
    <w:rsid w:val="00C777F6"/>
    <w:rsid w:val="00C802B5"/>
    <w:rsid w:val="00C815DB"/>
    <w:rsid w:val="00C81B50"/>
    <w:rsid w:val="00C91C88"/>
    <w:rsid w:val="00C927BD"/>
    <w:rsid w:val="00CA001D"/>
    <w:rsid w:val="00CA630D"/>
    <w:rsid w:val="00CB28F9"/>
    <w:rsid w:val="00CC0B1D"/>
    <w:rsid w:val="00CD1801"/>
    <w:rsid w:val="00D06FEB"/>
    <w:rsid w:val="00D10EF1"/>
    <w:rsid w:val="00D150CB"/>
    <w:rsid w:val="00D26384"/>
    <w:rsid w:val="00D42810"/>
    <w:rsid w:val="00D5531A"/>
    <w:rsid w:val="00D559F0"/>
    <w:rsid w:val="00D62DE9"/>
    <w:rsid w:val="00D63255"/>
    <w:rsid w:val="00D66396"/>
    <w:rsid w:val="00D857E9"/>
    <w:rsid w:val="00D914A7"/>
    <w:rsid w:val="00DB0107"/>
    <w:rsid w:val="00DC4910"/>
    <w:rsid w:val="00DD13C3"/>
    <w:rsid w:val="00DD185B"/>
    <w:rsid w:val="00DD3AD6"/>
    <w:rsid w:val="00DD596E"/>
    <w:rsid w:val="00DD621E"/>
    <w:rsid w:val="00DE0EC0"/>
    <w:rsid w:val="00DF0575"/>
    <w:rsid w:val="00E06CE4"/>
    <w:rsid w:val="00E223F3"/>
    <w:rsid w:val="00E31679"/>
    <w:rsid w:val="00E3220A"/>
    <w:rsid w:val="00E45B6B"/>
    <w:rsid w:val="00E51080"/>
    <w:rsid w:val="00E70E04"/>
    <w:rsid w:val="00E76499"/>
    <w:rsid w:val="00EC05A7"/>
    <w:rsid w:val="00EC2C57"/>
    <w:rsid w:val="00EC3425"/>
    <w:rsid w:val="00EC4B6B"/>
    <w:rsid w:val="00ED7AF6"/>
    <w:rsid w:val="00EE2745"/>
    <w:rsid w:val="00EF1EE5"/>
    <w:rsid w:val="00EF3655"/>
    <w:rsid w:val="00F069CE"/>
    <w:rsid w:val="00F24ACC"/>
    <w:rsid w:val="00F54BC0"/>
    <w:rsid w:val="00F550C7"/>
    <w:rsid w:val="00F763B4"/>
    <w:rsid w:val="00F900C3"/>
    <w:rsid w:val="00F93D35"/>
    <w:rsid w:val="00FA3B93"/>
    <w:rsid w:val="00FC2DC4"/>
    <w:rsid w:val="00FF084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3F6AFF"/>
  <w15:docId w15:val="{ECE731FC-98BF-4495-93B2-DD986454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5014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5F710F"/>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77153D"/>
    <w:pPr>
      <w:numPr>
        <w:numId w:val="8"/>
      </w:numPr>
      <w:suppressAutoHyphens/>
      <w:bidi w:val="0"/>
      <w:spacing w:after="120" w:line="360" w:lineRule="exact"/>
      <w:ind w:left="2494" w:right="1247" w:hanging="544"/>
    </w:pPr>
    <w:rPr>
      <w:szCs w:val="28"/>
    </w:r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A0227D"/>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qFormat/>
    <w:rsid w:val="00A0227D"/>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ParaNoG">
    <w:name w:val="_ParaNo._G"/>
    <w:basedOn w:val="SingleTxtG"/>
    <w:rsid w:val="00A0227D"/>
    <w:pPr>
      <w:numPr>
        <w:numId w:val="14"/>
      </w:numPr>
      <w:tabs>
        <w:tab w:val="clear" w:pos="1494"/>
        <w:tab w:val="num" w:pos="2495"/>
      </w:tabs>
      <w:ind w:left="2495" w:hanging="545"/>
    </w:pPr>
  </w:style>
  <w:style w:type="paragraph" w:customStyle="1" w:styleId="SingleTxtG">
    <w:name w:val="_ Single Txt_G"/>
    <w:basedOn w:val="Normal"/>
    <w:link w:val="SingleTxtGChar1"/>
    <w:qFormat/>
    <w:rsid w:val="00A0227D"/>
    <w:pPr>
      <w:suppressAutoHyphens/>
      <w:bidi w:val="0"/>
      <w:spacing w:after="120"/>
      <w:ind w:left="1134" w:right="1134"/>
      <w:jc w:val="both"/>
    </w:pPr>
    <w:rPr>
      <w:lang w:val="en-GB"/>
    </w:rPr>
  </w:style>
  <w:style w:type="paragraph" w:customStyle="1" w:styleId="SMG">
    <w:name w:val="__S_M_G"/>
    <w:basedOn w:val="Normal"/>
    <w:next w:val="Normal"/>
    <w:rsid w:val="00A0227D"/>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A0227D"/>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A0227D"/>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A0227D"/>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qFormat/>
    <w:rsid w:val="00A0227D"/>
    <w:pPr>
      <w:numPr>
        <w:numId w:val="12"/>
      </w:numPr>
      <w:suppressAutoHyphens/>
      <w:bidi w:val="0"/>
      <w:spacing w:after="120"/>
      <w:ind w:right="1134"/>
      <w:jc w:val="both"/>
    </w:pPr>
    <w:rPr>
      <w:rFonts w:hint="cs"/>
      <w:lang w:val="en-GB"/>
    </w:rPr>
  </w:style>
  <w:style w:type="paragraph" w:customStyle="1" w:styleId="Bullet2G">
    <w:name w:val="_Bullet 2_G"/>
    <w:basedOn w:val="Normal"/>
    <w:qFormat/>
    <w:rsid w:val="00A0227D"/>
    <w:pPr>
      <w:numPr>
        <w:numId w:val="13"/>
      </w:numPr>
      <w:suppressAutoHyphens/>
      <w:bidi w:val="0"/>
      <w:spacing w:after="120"/>
      <w:ind w:right="1134"/>
      <w:jc w:val="both"/>
    </w:pPr>
    <w:rPr>
      <w:rFonts w:hint="cs"/>
      <w:lang w:val="en-GB"/>
    </w:rPr>
  </w:style>
  <w:style w:type="paragraph" w:customStyle="1" w:styleId="H1G">
    <w:name w:val="_ H_1_G"/>
    <w:basedOn w:val="Normal"/>
    <w:next w:val="Normal"/>
    <w:qFormat/>
    <w:rsid w:val="00A0227D"/>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qFormat/>
    <w:rsid w:val="00A0227D"/>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qFormat/>
    <w:rsid w:val="00A0227D"/>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qFormat/>
    <w:rsid w:val="00A0227D"/>
    <w:pPr>
      <w:keepNext/>
      <w:keepLines/>
      <w:tabs>
        <w:tab w:val="right" w:pos="851"/>
      </w:tabs>
      <w:suppressAutoHyphens/>
      <w:bidi w:val="0"/>
      <w:spacing w:before="240" w:after="120" w:line="240" w:lineRule="exact"/>
      <w:ind w:left="1134" w:right="1134" w:hanging="1134"/>
      <w:jc w:val="left"/>
    </w:pPr>
    <w:rPr>
      <w:rFonts w:hint="cs"/>
      <w:lang w:val="en-GB"/>
    </w:rPr>
  </w:style>
  <w:style w:type="numbering" w:styleId="111111">
    <w:name w:val="Outline List 2"/>
    <w:basedOn w:val="NoList"/>
    <w:semiHidden/>
    <w:rsid w:val="00A0227D"/>
    <w:pPr>
      <w:numPr>
        <w:numId w:val="15"/>
      </w:numPr>
    </w:pPr>
  </w:style>
  <w:style w:type="numbering" w:styleId="1ai">
    <w:name w:val="Outline List 1"/>
    <w:basedOn w:val="NoList"/>
    <w:semiHidden/>
    <w:rsid w:val="00A0227D"/>
    <w:pPr>
      <w:numPr>
        <w:numId w:val="16"/>
      </w:numPr>
    </w:pPr>
  </w:style>
  <w:style w:type="character" w:styleId="FollowedHyperlink">
    <w:name w:val="FollowedHyperlink"/>
    <w:basedOn w:val="DefaultParagraphFont"/>
    <w:semiHidden/>
    <w:rsid w:val="00A0227D"/>
    <w:rPr>
      <w:color w:val="800080"/>
      <w:u w:val="single"/>
    </w:rPr>
  </w:style>
  <w:style w:type="character" w:customStyle="1" w:styleId="SingleTxtGChar1">
    <w:name w:val="_ Single Txt_G Char1"/>
    <w:link w:val="SingleTxtG"/>
    <w:rsid w:val="00A0227D"/>
    <w:rPr>
      <w:rFonts w:ascii="Times New Roman" w:hAnsi="Times New Roman" w:cs="Traditional Arabic"/>
      <w:sz w:val="20"/>
      <w:szCs w:val="30"/>
      <w:lang w:val="en-GB"/>
    </w:rPr>
  </w:style>
  <w:style w:type="paragraph" w:styleId="Revision">
    <w:name w:val="Revision"/>
    <w:hidden/>
    <w:uiPriority w:val="99"/>
    <w:semiHidden/>
    <w:rsid w:val="00A0227D"/>
    <w:pPr>
      <w:spacing w:after="0" w:line="240" w:lineRule="auto"/>
    </w:pPr>
    <w:rPr>
      <w:rFonts w:ascii="Calibri" w:eastAsia="Calibri" w:hAnsi="Calibri" w:cs="Times New Roman"/>
      <w:color w:val="244061"/>
      <w:sz w:val="24"/>
      <w:lang w:val="fi-FI"/>
    </w:rPr>
  </w:style>
  <w:style w:type="character" w:styleId="CommentReference">
    <w:name w:val="annotation reference"/>
    <w:basedOn w:val="DefaultParagraphFont"/>
    <w:semiHidden/>
    <w:unhideWhenUsed/>
    <w:rsid w:val="00A0227D"/>
    <w:rPr>
      <w:sz w:val="16"/>
      <w:szCs w:val="16"/>
    </w:rPr>
  </w:style>
  <w:style w:type="paragraph" w:styleId="CommentText">
    <w:name w:val="annotation text"/>
    <w:basedOn w:val="Normal"/>
    <w:link w:val="CommentTextChar"/>
    <w:semiHidden/>
    <w:unhideWhenUsed/>
    <w:rsid w:val="00A0227D"/>
    <w:pPr>
      <w:suppressAutoHyphens/>
      <w:bidi w:val="0"/>
      <w:spacing w:line="240" w:lineRule="auto"/>
      <w:jc w:val="left"/>
    </w:pPr>
    <w:rPr>
      <w:rFonts w:hint="cs"/>
      <w:szCs w:val="20"/>
      <w:lang w:val="en-GB"/>
    </w:rPr>
  </w:style>
  <w:style w:type="character" w:customStyle="1" w:styleId="CommentTextChar">
    <w:name w:val="Comment Text Char"/>
    <w:basedOn w:val="DefaultParagraphFont"/>
    <w:link w:val="CommentText"/>
    <w:semiHidden/>
    <w:rsid w:val="00A0227D"/>
    <w:rPr>
      <w:rFonts w:ascii="Times New Roman" w:hAnsi="Times New Roman" w:cs="Traditional Arabic"/>
      <w:sz w:val="20"/>
      <w:szCs w:val="20"/>
      <w:lang w:val="en-GB"/>
    </w:rPr>
  </w:style>
  <w:style w:type="paragraph" w:styleId="CommentSubject">
    <w:name w:val="annotation subject"/>
    <w:basedOn w:val="CommentText"/>
    <w:next w:val="CommentText"/>
    <w:link w:val="CommentSubjectChar"/>
    <w:semiHidden/>
    <w:unhideWhenUsed/>
    <w:rsid w:val="00A0227D"/>
    <w:rPr>
      <w:b/>
      <w:bCs/>
    </w:rPr>
  </w:style>
  <w:style w:type="character" w:customStyle="1" w:styleId="CommentSubjectChar">
    <w:name w:val="Comment Subject Char"/>
    <w:basedOn w:val="CommentTextChar"/>
    <w:link w:val="CommentSubject"/>
    <w:semiHidden/>
    <w:rsid w:val="00A0227D"/>
    <w:rPr>
      <w:rFonts w:ascii="Times New Roman" w:hAnsi="Times New Roman" w:cs="Traditional Arabic"/>
      <w:b/>
      <w:bCs/>
      <w:sz w:val="20"/>
      <w:szCs w:val="20"/>
      <w:lang w:val="en-GB"/>
    </w:rPr>
  </w:style>
  <w:style w:type="character" w:styleId="Hyperlink">
    <w:name w:val="Hyperlink"/>
    <w:basedOn w:val="DefaultParagraphFont"/>
    <w:uiPriority w:val="99"/>
    <w:unhideWhenUsed/>
    <w:rsid w:val="00A0227D"/>
    <w:rPr>
      <w:color w:val="0000FF"/>
      <w:u w:val="single"/>
    </w:rPr>
  </w:style>
  <w:style w:type="character" w:styleId="UnresolvedMention">
    <w:name w:val="Unresolved Mention"/>
    <w:basedOn w:val="DefaultParagraphFont"/>
    <w:uiPriority w:val="99"/>
    <w:semiHidden/>
    <w:unhideWhenUsed/>
    <w:rsid w:val="00FC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hdenvertaisuus.f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i/kahdenvaliset-ja-monenvaliset-sopimuks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m.fi/kahdenvaliset-ja-monenvaliset-sopimuks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nlex.fi/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A482-C26E-45F2-B938-4134D063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19</TotalTime>
  <Pages>71</Pages>
  <Words>30263</Words>
  <Characters>156808</Characters>
  <Application>Microsoft Office Word</Application>
  <DocSecurity>0</DocSecurity>
  <Lines>3485</Lines>
  <Paragraphs>1779</Paragraphs>
  <ScaleCrop>false</ScaleCrop>
  <HeadingPairs>
    <vt:vector size="2" baseType="variant">
      <vt:variant>
        <vt:lpstr>Title</vt:lpstr>
      </vt:variant>
      <vt:variant>
        <vt:i4>1</vt:i4>
      </vt:variant>
    </vt:vector>
  </HeadingPairs>
  <TitlesOfParts>
    <vt:vector size="1" baseType="lpstr">
      <vt:lpstr>HRI/CORE/FIN/2020</vt:lpstr>
    </vt:vector>
  </TitlesOfParts>
  <Company>DCM</Company>
  <LinksUpToDate>false</LinksUpToDate>
  <CharactersWithSpaces>185569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HRI/CORE/FIN/2020</dc:title>
  <dc:subject>GE.2010404A</dc:subject>
  <dc:creator>IHRZ</dc:creator>
  <cp:keywords>ODS No.2020101</cp:keywords>
  <dc:description/>
  <cp:lastModifiedBy>Ibrahim Balan</cp:lastModifiedBy>
  <cp:revision>3</cp:revision>
  <dcterms:created xsi:type="dcterms:W3CDTF">2020-10-16T14:11:00Z</dcterms:created>
  <dcterms:modified xsi:type="dcterms:W3CDTF">2020-10-16T14:39:00Z</dcterms:modified>
</cp:coreProperties>
</file>