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CC1899D" w14:textId="77777777" w:rsidTr="00C057D5">
        <w:trPr>
          <w:trHeight w:hRule="exact" w:val="851"/>
        </w:trPr>
        <w:tc>
          <w:tcPr>
            <w:tcW w:w="1276" w:type="dxa"/>
            <w:tcBorders>
              <w:bottom w:val="single" w:sz="4" w:space="0" w:color="auto"/>
            </w:tcBorders>
          </w:tcPr>
          <w:p w14:paraId="443C6E99" w14:textId="77777777" w:rsidR="002D5AAC" w:rsidRDefault="002D5AAC" w:rsidP="005C491F">
            <w:pPr>
              <w:kinsoku w:val="0"/>
              <w:overflowPunct w:val="0"/>
              <w:autoSpaceDE w:val="0"/>
              <w:autoSpaceDN w:val="0"/>
              <w:adjustRightInd w:val="0"/>
              <w:snapToGrid w:val="0"/>
            </w:pPr>
          </w:p>
        </w:tc>
        <w:tc>
          <w:tcPr>
            <w:tcW w:w="2268" w:type="dxa"/>
            <w:tcBorders>
              <w:bottom w:val="single" w:sz="4" w:space="0" w:color="auto"/>
            </w:tcBorders>
            <w:vAlign w:val="bottom"/>
          </w:tcPr>
          <w:p w14:paraId="5D6BC91C" w14:textId="77777777" w:rsidR="002D5AAC" w:rsidRPr="00BD33EE" w:rsidRDefault="00BD33EE" w:rsidP="00C057D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B0F15BC" w14:textId="77777777" w:rsidR="002D5AAC" w:rsidRDefault="005C491F" w:rsidP="005C491F">
            <w:pPr>
              <w:jc w:val="right"/>
            </w:pPr>
            <w:proofErr w:type="spellStart"/>
            <w:r w:rsidRPr="005C491F">
              <w:rPr>
                <w:sz w:val="40"/>
              </w:rPr>
              <w:t>HRI</w:t>
            </w:r>
            <w:proofErr w:type="spellEnd"/>
            <w:r>
              <w:t>/CORE/MAR/2020</w:t>
            </w:r>
          </w:p>
        </w:tc>
      </w:tr>
      <w:tr w:rsidR="002D5AAC" w14:paraId="5EC68C93" w14:textId="77777777" w:rsidTr="00C057D5">
        <w:trPr>
          <w:trHeight w:hRule="exact" w:val="2835"/>
        </w:trPr>
        <w:tc>
          <w:tcPr>
            <w:tcW w:w="1276" w:type="dxa"/>
            <w:tcBorders>
              <w:top w:val="single" w:sz="4" w:space="0" w:color="auto"/>
              <w:bottom w:val="single" w:sz="12" w:space="0" w:color="auto"/>
            </w:tcBorders>
          </w:tcPr>
          <w:p w14:paraId="07C92E58" w14:textId="77777777" w:rsidR="002D5AAC" w:rsidRDefault="0095700F" w:rsidP="00C057D5">
            <w:pPr>
              <w:spacing w:before="120"/>
              <w:jc w:val="center"/>
            </w:pPr>
            <w:r>
              <w:rPr>
                <w:noProof/>
              </w:rPr>
              <w:drawing>
                <wp:inline distT="0" distB="0" distL="0" distR="0" wp14:anchorId="04E0D029" wp14:editId="3F9E624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03A56F" w14:textId="77777777"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3" w:type="dxa"/>
            <w:tcBorders>
              <w:top w:val="single" w:sz="4" w:space="0" w:color="auto"/>
              <w:bottom w:val="single" w:sz="12" w:space="0" w:color="auto"/>
            </w:tcBorders>
          </w:tcPr>
          <w:p w14:paraId="42EE6765" w14:textId="77777777" w:rsidR="002D5AAC" w:rsidRDefault="005C491F" w:rsidP="00C057D5">
            <w:pPr>
              <w:spacing w:before="240"/>
            </w:pPr>
            <w:proofErr w:type="spellStart"/>
            <w:r>
              <w:t>Distr</w:t>
            </w:r>
            <w:proofErr w:type="spellEnd"/>
            <w:r>
              <w:t>. general</w:t>
            </w:r>
          </w:p>
          <w:p w14:paraId="4F015FE3" w14:textId="77777777" w:rsidR="005C491F" w:rsidRDefault="005C491F" w:rsidP="005C491F">
            <w:pPr>
              <w:spacing w:line="240" w:lineRule="exact"/>
            </w:pPr>
            <w:r>
              <w:t>17 de febrero de 2021</w:t>
            </w:r>
          </w:p>
          <w:p w14:paraId="02C86B46" w14:textId="77777777" w:rsidR="005C491F" w:rsidRDefault="005C491F" w:rsidP="005C491F">
            <w:pPr>
              <w:spacing w:line="240" w:lineRule="exact"/>
            </w:pPr>
            <w:r>
              <w:t>Español</w:t>
            </w:r>
          </w:p>
          <w:p w14:paraId="5DC80DCE" w14:textId="77777777" w:rsidR="005C491F" w:rsidRDefault="005C491F" w:rsidP="005C491F">
            <w:pPr>
              <w:spacing w:line="240" w:lineRule="exact"/>
            </w:pPr>
            <w:r>
              <w:t>Original: árabe</w:t>
            </w:r>
          </w:p>
        </w:tc>
      </w:tr>
    </w:tbl>
    <w:p w14:paraId="799A445C" w14:textId="27E57850" w:rsidR="004E0684" w:rsidRPr="006F084A" w:rsidRDefault="00114AD4" w:rsidP="00114AD4">
      <w:pPr>
        <w:pStyle w:val="HMG"/>
      </w:pPr>
      <w:r>
        <w:tab/>
      </w:r>
      <w:r>
        <w:tab/>
      </w:r>
      <w:r w:rsidR="004E0684" w:rsidRPr="006F084A">
        <w:t>Documento básico común que forma parte integrante de los informes de los</w:t>
      </w:r>
      <w:r>
        <w:br/>
      </w:r>
      <w:proofErr w:type="gramStart"/>
      <w:r w:rsidR="004E0684" w:rsidRPr="006F084A">
        <w:t>Estados partes</w:t>
      </w:r>
      <w:proofErr w:type="gramEnd"/>
    </w:p>
    <w:p w14:paraId="2E3D8139" w14:textId="11693C2B" w:rsidR="004E0684" w:rsidRPr="006F084A" w:rsidRDefault="00114AD4" w:rsidP="00114AD4">
      <w:pPr>
        <w:pStyle w:val="HMG"/>
      </w:pPr>
      <w:r>
        <w:tab/>
      </w:r>
      <w:r w:rsidR="004E0684">
        <w:tab/>
      </w:r>
      <w:r w:rsidR="004E0684" w:rsidRPr="006F084A">
        <w:t>Marruecos</w:t>
      </w:r>
      <w:r w:rsidRPr="00997C96">
        <w:rPr>
          <w:rStyle w:val="Refdenotaalpie"/>
          <w:b w:val="0"/>
          <w:bCs/>
          <w:sz w:val="20"/>
          <w:vertAlign w:val="baseline"/>
        </w:rPr>
        <w:footnoteReference w:customMarkFollows="1" w:id="1"/>
        <w:t>*</w:t>
      </w:r>
    </w:p>
    <w:p w14:paraId="08932EAB" w14:textId="77777777" w:rsidR="004E0684" w:rsidRPr="006F084A" w:rsidRDefault="004E0684" w:rsidP="00114AD4">
      <w:pPr>
        <w:pStyle w:val="SingleTxtG"/>
        <w:jc w:val="right"/>
      </w:pPr>
      <w:r w:rsidRPr="006F084A">
        <w:t>[Fecha de recepción: 12 de noviembre de 2020]</w:t>
      </w:r>
    </w:p>
    <w:p w14:paraId="46509731" w14:textId="0953BC3E" w:rsidR="00114AD4" w:rsidRDefault="00114AD4">
      <w:pPr>
        <w:spacing w:line="240" w:lineRule="auto"/>
      </w:pPr>
      <w:r>
        <w:br w:type="page"/>
      </w:r>
    </w:p>
    <w:p w14:paraId="2BA4FC28" w14:textId="77777777" w:rsidR="00DC7179" w:rsidRDefault="00DC7179" w:rsidP="00DC7179">
      <w:pPr>
        <w:pStyle w:val="SingleTxtG"/>
        <w:ind w:left="0" w:right="0"/>
        <w:jc w:val="left"/>
        <w:rPr>
          <w:sz w:val="28"/>
        </w:rPr>
      </w:pPr>
      <w:r>
        <w:rPr>
          <w:sz w:val="28"/>
        </w:rPr>
        <w:lastRenderedPageBreak/>
        <w:t>Índice</w:t>
      </w:r>
    </w:p>
    <w:p w14:paraId="736A50BC" w14:textId="77777777" w:rsidR="00DC7179" w:rsidRDefault="00DC7179" w:rsidP="00DC7179">
      <w:pPr>
        <w:pStyle w:val="SingleTxtG"/>
        <w:tabs>
          <w:tab w:val="clear" w:pos="1701"/>
          <w:tab w:val="clear" w:pos="2268"/>
          <w:tab w:val="clear" w:pos="2835"/>
          <w:tab w:val="right" w:pos="8929"/>
          <w:tab w:val="right" w:pos="9638"/>
        </w:tabs>
        <w:ind w:left="283" w:right="0"/>
        <w:jc w:val="left"/>
        <w:rPr>
          <w:sz w:val="18"/>
        </w:rPr>
      </w:pPr>
      <w:r>
        <w:rPr>
          <w:i/>
          <w:sz w:val="18"/>
        </w:rPr>
        <w:tab/>
        <w:t>Párrafos</w:t>
      </w:r>
      <w:r>
        <w:rPr>
          <w:i/>
          <w:sz w:val="18"/>
        </w:rPr>
        <w:tab/>
        <w:t>Página</w:t>
      </w:r>
    </w:p>
    <w:p w14:paraId="50A84411" w14:textId="150D8231" w:rsidR="00DC7179" w:rsidRPr="003F10ED" w:rsidRDefault="00DC7179" w:rsidP="00DC7179">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tab/>
      </w:r>
      <w:r w:rsidRPr="006F084A">
        <w:t>I.</w:t>
      </w:r>
      <w:r>
        <w:tab/>
      </w:r>
      <w:r w:rsidRPr="006F084A">
        <w:t>Información general</w:t>
      </w:r>
      <w:r>
        <w:tab/>
      </w:r>
      <w:r>
        <w:tab/>
        <w:t>1–52</w:t>
      </w:r>
      <w:r>
        <w:tab/>
      </w:r>
      <w:r w:rsidR="00051C51">
        <w:t>3</w:t>
      </w:r>
    </w:p>
    <w:p w14:paraId="62481F1C" w14:textId="42485CBB" w:rsidR="00DC7179" w:rsidRPr="006F084A" w:rsidRDefault="00DC7179" w:rsidP="00DC7179">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tab/>
      </w:r>
      <w:r>
        <w:tab/>
      </w:r>
      <w:r w:rsidRPr="006F084A">
        <w:t>A.</w:t>
      </w:r>
      <w:r>
        <w:tab/>
      </w:r>
      <w:r w:rsidRPr="006F084A">
        <w:t>Características demográficas, económicas, sociales y culturales</w:t>
      </w:r>
      <w:r>
        <w:tab/>
      </w:r>
      <w:r>
        <w:tab/>
        <w:t>4–18</w:t>
      </w:r>
      <w:r>
        <w:tab/>
      </w:r>
      <w:r w:rsidR="00051C51">
        <w:t>3</w:t>
      </w:r>
    </w:p>
    <w:p w14:paraId="03DE5456" w14:textId="22C8D466" w:rsidR="00DC7179" w:rsidRPr="003F10ED" w:rsidRDefault="00DC7179" w:rsidP="00DC7179">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tab/>
      </w:r>
      <w:r w:rsidRPr="006F084A">
        <w:tab/>
        <w:t>B.</w:t>
      </w:r>
      <w:r w:rsidRPr="006F084A">
        <w:tab/>
        <w:t>Estructura constitucional, política y jurídica</w:t>
      </w:r>
      <w:r>
        <w:tab/>
      </w:r>
      <w:r>
        <w:tab/>
        <w:t>19–52</w:t>
      </w:r>
      <w:r>
        <w:tab/>
      </w:r>
      <w:r w:rsidR="00051C51">
        <w:t>10</w:t>
      </w:r>
    </w:p>
    <w:p w14:paraId="03560E95" w14:textId="604180E6" w:rsidR="00DC7179" w:rsidRPr="003F10ED" w:rsidRDefault="00DC7179" w:rsidP="00DC7179">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tab/>
      </w:r>
      <w:r w:rsidRPr="006F084A">
        <w:t>II.</w:t>
      </w:r>
      <w:r>
        <w:tab/>
        <w:t>M</w:t>
      </w:r>
      <w:r w:rsidRPr="006F084A">
        <w:t>arco general de protección y promoción de los derechos</w:t>
      </w:r>
      <w:r>
        <w:t> </w:t>
      </w:r>
      <w:r w:rsidRPr="006F084A">
        <w:t>humanos</w:t>
      </w:r>
      <w:r>
        <w:tab/>
      </w:r>
      <w:r>
        <w:tab/>
        <w:t>53–198</w:t>
      </w:r>
      <w:r>
        <w:tab/>
      </w:r>
      <w:r w:rsidR="00051C51">
        <w:t>16</w:t>
      </w:r>
    </w:p>
    <w:p w14:paraId="177A2B78" w14:textId="72060CED" w:rsidR="00DC7179" w:rsidRPr="003F10ED" w:rsidRDefault="00DC7179" w:rsidP="00DC7179">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tab/>
      </w:r>
      <w:r>
        <w:tab/>
      </w:r>
      <w:r w:rsidRPr="006F084A">
        <w:t>A.</w:t>
      </w:r>
      <w:r>
        <w:tab/>
      </w:r>
      <w:r w:rsidRPr="006F084A">
        <w:t>Aceptación de las normas internacionales de derechos humanos</w:t>
      </w:r>
      <w:r>
        <w:tab/>
      </w:r>
      <w:r>
        <w:tab/>
        <w:t>53–61</w:t>
      </w:r>
      <w:r>
        <w:tab/>
      </w:r>
      <w:r w:rsidR="00051C51">
        <w:t>16</w:t>
      </w:r>
    </w:p>
    <w:p w14:paraId="44E25D0E" w14:textId="2102BAB0" w:rsidR="00DC7179" w:rsidRPr="006F084A" w:rsidRDefault="00DC7179" w:rsidP="00DC7179">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tab/>
      </w:r>
      <w:r>
        <w:tab/>
      </w:r>
      <w:r w:rsidRPr="006F084A">
        <w:t>B.</w:t>
      </w:r>
      <w:r>
        <w:tab/>
      </w:r>
      <w:r w:rsidRPr="006F084A">
        <w:t>Marco jurídico e institucional de protección de los derechos humanos</w:t>
      </w:r>
      <w:r>
        <w:t xml:space="preserve"> </w:t>
      </w:r>
      <w:r w:rsidRPr="006F084A">
        <w:t>en</w:t>
      </w:r>
      <w:r>
        <w:br/>
      </w:r>
      <w:r>
        <w:tab/>
      </w:r>
      <w:r>
        <w:tab/>
      </w:r>
      <w:r>
        <w:tab/>
      </w:r>
      <w:r w:rsidRPr="006F084A">
        <w:t>el plano nacional</w:t>
      </w:r>
      <w:r>
        <w:tab/>
      </w:r>
      <w:r>
        <w:tab/>
        <w:t>62–92</w:t>
      </w:r>
      <w:r>
        <w:tab/>
      </w:r>
      <w:r w:rsidR="00051C51">
        <w:t>22</w:t>
      </w:r>
    </w:p>
    <w:p w14:paraId="3B18C059" w14:textId="7B62907C" w:rsidR="00DC7179" w:rsidRPr="003F10ED" w:rsidRDefault="00DC7179" w:rsidP="00DC7179">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tab/>
      </w:r>
      <w:r>
        <w:tab/>
      </w:r>
      <w:r w:rsidRPr="006F084A">
        <w:t>C.</w:t>
      </w:r>
      <w:r>
        <w:tab/>
      </w:r>
      <w:r w:rsidRPr="006F084A">
        <w:t>Marco de la promoción de los derechos humanos en el</w:t>
      </w:r>
      <w:r>
        <w:t xml:space="preserve"> </w:t>
      </w:r>
      <w:r w:rsidRPr="006F084A">
        <w:t>plano nacional</w:t>
      </w:r>
      <w:r>
        <w:tab/>
      </w:r>
      <w:r>
        <w:tab/>
        <w:t>93–194</w:t>
      </w:r>
      <w:r>
        <w:tab/>
      </w:r>
      <w:r w:rsidR="00051C51">
        <w:t>30</w:t>
      </w:r>
    </w:p>
    <w:p w14:paraId="3F97DD24" w14:textId="393B72BA" w:rsidR="00DC7179" w:rsidRPr="003F10ED" w:rsidRDefault="00DC7179" w:rsidP="00DC7179">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tab/>
      </w:r>
      <w:r>
        <w:tab/>
      </w:r>
      <w:r w:rsidRPr="006F084A">
        <w:t>D.</w:t>
      </w:r>
      <w:r>
        <w:tab/>
      </w:r>
      <w:r w:rsidRPr="006F084A">
        <w:t>Proceso de elaboración de informes en el plano nacional</w:t>
      </w:r>
      <w:r>
        <w:tab/>
      </w:r>
      <w:r>
        <w:tab/>
        <w:t>195–198</w:t>
      </w:r>
      <w:r>
        <w:tab/>
      </w:r>
      <w:r w:rsidR="00051C51">
        <w:t>51</w:t>
      </w:r>
    </w:p>
    <w:p w14:paraId="400B7A81" w14:textId="65C6DE38" w:rsidR="00DC7179" w:rsidRPr="003F10ED" w:rsidRDefault="00DC7179" w:rsidP="00DC7179">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rsidRPr="006F084A">
        <w:tab/>
        <w:t>III.</w:t>
      </w:r>
      <w:r>
        <w:tab/>
      </w:r>
      <w:r w:rsidRPr="006F084A">
        <w:t>Información sobre la no discriminación, la igualdad y los</w:t>
      </w:r>
      <w:r>
        <w:t> </w:t>
      </w:r>
      <w:r w:rsidRPr="006F084A">
        <w:t>recursos efectivos</w:t>
      </w:r>
      <w:r>
        <w:tab/>
      </w:r>
      <w:r>
        <w:tab/>
        <w:t>199–252</w:t>
      </w:r>
      <w:r>
        <w:tab/>
      </w:r>
      <w:r w:rsidR="00051C51">
        <w:t>53</w:t>
      </w:r>
    </w:p>
    <w:p w14:paraId="13678B32" w14:textId="78F7EEFD" w:rsidR="00DC7179" w:rsidRPr="003F10ED" w:rsidRDefault="00DC7179" w:rsidP="00DC7179">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tab/>
      </w:r>
      <w:r w:rsidRPr="006F084A">
        <w:tab/>
        <w:t>A.</w:t>
      </w:r>
      <w:r>
        <w:tab/>
      </w:r>
      <w:r w:rsidRPr="006F084A">
        <w:t>No discriminación e igualdad</w:t>
      </w:r>
      <w:r>
        <w:tab/>
      </w:r>
      <w:r>
        <w:tab/>
        <w:t>199–219</w:t>
      </w:r>
      <w:r>
        <w:tab/>
      </w:r>
      <w:r w:rsidR="00051C51">
        <w:t>53</w:t>
      </w:r>
    </w:p>
    <w:p w14:paraId="0653B8F6" w14:textId="22642D98" w:rsidR="00DC7179" w:rsidRDefault="00DC7179" w:rsidP="00DC7179">
      <w:pPr>
        <w:pStyle w:val="SingleTxtG"/>
        <w:tabs>
          <w:tab w:val="clear" w:pos="1701"/>
          <w:tab w:val="clear" w:pos="2268"/>
          <w:tab w:val="clear" w:pos="2835"/>
          <w:tab w:val="right" w:pos="850"/>
          <w:tab w:val="left" w:pos="1134"/>
          <w:tab w:val="left" w:pos="1559"/>
          <w:tab w:val="left" w:pos="1984"/>
          <w:tab w:val="left" w:leader="dot" w:pos="7654"/>
          <w:tab w:val="right" w:pos="8929"/>
          <w:tab w:val="right" w:pos="9638"/>
        </w:tabs>
        <w:ind w:left="0" w:right="0"/>
        <w:jc w:val="left"/>
      </w:pPr>
      <w:r>
        <w:tab/>
      </w:r>
      <w:r w:rsidRPr="006F084A">
        <w:tab/>
        <w:t>B.</w:t>
      </w:r>
      <w:r w:rsidRPr="006F084A">
        <w:tab/>
      </w:r>
      <w:r w:rsidRPr="003F10ED">
        <w:t>Medidas de recurso efectivo</w:t>
      </w:r>
      <w:r>
        <w:tab/>
      </w:r>
      <w:r>
        <w:tab/>
        <w:t>220–252</w:t>
      </w:r>
      <w:r>
        <w:tab/>
      </w:r>
      <w:r w:rsidR="00051C51">
        <w:t>57</w:t>
      </w:r>
    </w:p>
    <w:p w14:paraId="5750AEFD" w14:textId="0BBFE3A6" w:rsidR="00B56649" w:rsidRDefault="00B56649">
      <w:pPr>
        <w:spacing w:line="240" w:lineRule="auto"/>
        <w:rPr>
          <w:b/>
          <w:bCs/>
        </w:rPr>
      </w:pPr>
      <w:r>
        <w:rPr>
          <w:b/>
          <w:bCs/>
        </w:rPr>
        <w:br w:type="page"/>
      </w:r>
    </w:p>
    <w:p w14:paraId="30BBBC33" w14:textId="4A6D6C5F" w:rsidR="004E0684" w:rsidRPr="006F084A" w:rsidRDefault="00B56649" w:rsidP="00B56649">
      <w:pPr>
        <w:pStyle w:val="HChG"/>
        <w:rPr>
          <w:rFonts w:eastAsia="Calibri"/>
        </w:rPr>
      </w:pPr>
      <w:r>
        <w:lastRenderedPageBreak/>
        <w:tab/>
      </w:r>
      <w:r w:rsidR="004E0684" w:rsidRPr="006F084A">
        <w:t>I.</w:t>
      </w:r>
      <w:r>
        <w:tab/>
      </w:r>
      <w:r w:rsidR="004E0684" w:rsidRPr="006F084A">
        <w:t>Información general</w:t>
      </w:r>
      <w:bookmarkStart w:id="0" w:name="_Toc64366035"/>
      <w:bookmarkEnd w:id="0"/>
    </w:p>
    <w:p w14:paraId="2D2FCEA4" w14:textId="3358797E" w:rsidR="004E0684" w:rsidRPr="006F084A" w:rsidRDefault="004E0684" w:rsidP="004E0684">
      <w:pPr>
        <w:pStyle w:val="SingleTxtG"/>
        <w:rPr>
          <w:rFonts w:eastAsia="Calibri"/>
        </w:rPr>
      </w:pPr>
      <w:r w:rsidRPr="006F084A">
        <w:t>1.</w:t>
      </w:r>
      <w:r w:rsidR="008A1DA8">
        <w:tab/>
      </w:r>
      <w:r w:rsidRPr="006F084A">
        <w:t>El Reino de Marruecos es un Estado islámico situado en la parte noroccidental del continente africano, entre los 21</w:t>
      </w:r>
      <w:r w:rsidR="00825CEC">
        <w:t>º</w:t>
      </w:r>
      <w:r w:rsidRPr="006F084A">
        <w:t xml:space="preserve"> y los 36</w:t>
      </w:r>
      <w:r w:rsidR="00825CEC">
        <w:t>º</w:t>
      </w:r>
      <w:r w:rsidRPr="006F084A">
        <w:t xml:space="preserve"> de latitud norte, y el 1</w:t>
      </w:r>
      <w:r w:rsidR="00825CEC">
        <w:t>º</w:t>
      </w:r>
      <w:r w:rsidRPr="006F084A">
        <w:t xml:space="preserve"> y los 17</w:t>
      </w:r>
      <w:r w:rsidR="00825CEC">
        <w:t>º</w:t>
      </w:r>
      <w:r w:rsidRPr="006F084A">
        <w:t xml:space="preserve"> de longitud oeste. Su superficie es de 710.850 </w:t>
      </w:r>
      <w:proofErr w:type="spellStart"/>
      <w:r w:rsidRPr="006F084A">
        <w:t>km</w:t>
      </w:r>
      <w:r w:rsidR="00B56649" w:rsidRPr="00B56649">
        <w:rPr>
          <w:sz w:val="18"/>
          <w:szCs w:val="18"/>
          <w:vertAlign w:val="superscript"/>
        </w:rPr>
        <w:t>2</w:t>
      </w:r>
      <w:proofErr w:type="spellEnd"/>
      <w:r w:rsidRPr="006F084A">
        <w:t>, y limita al norte con el Mar Mediterráneo, con el Océano Atlántico al oeste, con Argelia al este y con Mauritania al sur. El Reino de Marruecos se caracteriza por la diversidad de los elementos constituyentes de su identidad nacional,</w:t>
      </w:r>
      <w:r w:rsidR="00694EFF">
        <w:t xml:space="preserve"> </w:t>
      </w:r>
      <w:r w:rsidRPr="006F084A">
        <w:t xml:space="preserve">unificados mediante la fusión de los aportes árabes, islámicos, </w:t>
      </w:r>
      <w:proofErr w:type="spellStart"/>
      <w:r w:rsidRPr="006F084A">
        <w:t>amazigh</w:t>
      </w:r>
      <w:proofErr w:type="spellEnd"/>
      <w:r w:rsidRPr="006F084A">
        <w:t xml:space="preserve">, </w:t>
      </w:r>
      <w:proofErr w:type="spellStart"/>
      <w:r w:rsidRPr="006F084A">
        <w:t>hasaniyas</w:t>
      </w:r>
      <w:proofErr w:type="spellEnd"/>
      <w:r w:rsidR="00694EFF">
        <w:noBreakHyphen/>
      </w:r>
      <w:r w:rsidRPr="006F084A">
        <w:t xml:space="preserve">saharianos, y enriquecida gracias a las diferentes afluencias africanas, andalusíes, hebreas y mediterráneas. Además, la identidad marroquí se caracteriza por el prominente papel que en ella desempeña la religión islámica, a la luz de la adhesión del pueblo marroquí a valores como el aperturismo, la ponderación, la tolerancia y el diálogo, así como al mutuo entendimiento entre todas las culturas y civilizaciones humanas. Los idiomas oficiales del estado son el árabe y el </w:t>
      </w:r>
      <w:proofErr w:type="spellStart"/>
      <w:r w:rsidRPr="006F084A">
        <w:t>amazigh</w:t>
      </w:r>
      <w:proofErr w:type="spellEnd"/>
      <w:r w:rsidRPr="006F084A">
        <w:t xml:space="preserve"> (beréber). </w:t>
      </w:r>
    </w:p>
    <w:p w14:paraId="1E172273" w14:textId="65A00BCE" w:rsidR="004E0684" w:rsidRPr="006F084A" w:rsidRDefault="004E0684" w:rsidP="004E0684">
      <w:pPr>
        <w:pStyle w:val="SingleTxtG"/>
        <w:rPr>
          <w:rFonts w:eastAsia="Calibri"/>
        </w:rPr>
      </w:pPr>
      <w:r w:rsidRPr="006F084A">
        <w:t>2.</w:t>
      </w:r>
      <w:r w:rsidR="00B56649">
        <w:tab/>
      </w:r>
      <w:r w:rsidRPr="006F084A">
        <w:t xml:space="preserve">De acuerdo con el Preámbulo de la Constitución marroquí, que constituye una parte integrante de la misma, </w:t>
      </w:r>
      <w:r w:rsidR="00B56649">
        <w:t>“</w:t>
      </w:r>
      <w:r w:rsidRPr="006F084A">
        <w:t>el Reino de Marruecos, miembro activo de las organizaciones internacionales, se compromete a acatar los principios, derechos y deberes exigidos por los instrumentos internacionales y reafirma su adhesión a los derechos humanos reconocidos universalmente. Asimismo, reafirma su determinación a seguir trabajando para mantener la paz y la seguridad en el mundo</w:t>
      </w:r>
      <w:r w:rsidR="00B56649">
        <w:t>”</w:t>
      </w:r>
      <w:r w:rsidRPr="006F084A">
        <w:t xml:space="preserve">. </w:t>
      </w:r>
    </w:p>
    <w:p w14:paraId="78916A71" w14:textId="177CD99D" w:rsidR="004E0684" w:rsidRPr="006F084A" w:rsidRDefault="004E0684" w:rsidP="004E0684">
      <w:pPr>
        <w:pStyle w:val="SingleTxtG"/>
      </w:pPr>
      <w:r w:rsidRPr="006F084A">
        <w:t>3.</w:t>
      </w:r>
      <w:r w:rsidR="00B56649">
        <w:tab/>
      </w:r>
      <w:r w:rsidRPr="006F084A">
        <w:t xml:space="preserve">Del mismo modo, reafirma y se compromete a </w:t>
      </w:r>
      <w:r w:rsidR="00B56649">
        <w:t>“</w:t>
      </w:r>
      <w:r w:rsidRPr="006F084A">
        <w:t>proteger, promover y contribuir al desarrollo del sistema de los derechos humanos y del derecho internacional humanitario, habida cuenta de la naturaleza universal e indivisible de ambos. Se compromete, además, a prohibir y combatir cualesquiera formas de discriminación por motivos de sexo, color, credo, cultura, afiliación social o regional, idioma, discapacidad o cualquier condición personal. De conformidad con el compromiso adoptado por el Reino al ratificar las convenciones internacionales, Marruecos se obliga a otorgarles, en el marco de las disposiciones de la Constitución y las leyes del Reino y en el respeto de su firme identidad nacional, y desde el momento en que son publicadas, la primacía sobre la legislación nacional, y a trabajar para ajustar su legislación a dichos instrumentos, con todo lo que impone dicha ratificación</w:t>
      </w:r>
      <w:r w:rsidR="00B56649">
        <w:t>”</w:t>
      </w:r>
      <w:r w:rsidRPr="006F084A">
        <w:t xml:space="preserve">. </w:t>
      </w:r>
    </w:p>
    <w:p w14:paraId="7DAD7AFE" w14:textId="5A58F337" w:rsidR="004E0684" w:rsidRPr="006F084A" w:rsidRDefault="00B56649" w:rsidP="00B56649">
      <w:pPr>
        <w:pStyle w:val="H1G"/>
      </w:pPr>
      <w:r>
        <w:tab/>
      </w:r>
      <w:r w:rsidR="004E0684" w:rsidRPr="006F084A">
        <w:t>A.</w:t>
      </w:r>
      <w:r>
        <w:tab/>
      </w:r>
      <w:r w:rsidR="004E0684" w:rsidRPr="006F084A">
        <w:t>Características demográficas, económicas, sociales y culturales</w:t>
      </w:r>
      <w:bookmarkStart w:id="1" w:name="_Toc64366036"/>
      <w:bookmarkEnd w:id="1"/>
    </w:p>
    <w:p w14:paraId="03544B8D" w14:textId="7AB43903" w:rsidR="004E0684" w:rsidRPr="006F084A" w:rsidRDefault="004E0684" w:rsidP="004E0684">
      <w:pPr>
        <w:pStyle w:val="SingleTxtG"/>
        <w:rPr>
          <w:rFonts w:eastAsia="Calibri"/>
        </w:rPr>
      </w:pPr>
      <w:r w:rsidRPr="006F084A">
        <w:t>4.</w:t>
      </w:r>
      <w:r w:rsidR="00B56649">
        <w:tab/>
      </w:r>
      <w:r w:rsidRPr="006F084A">
        <w:t xml:space="preserve">Según el Censo de Población y Vivienda de 2014, la población legal del Reino ascendía a 33.848.242 habitantes. Por otro lado, hasta el lunes 26 de octubre de 2020, el Reloj de Población </w:t>
      </w:r>
      <w:r w:rsidRPr="000A29B8">
        <w:rPr>
          <w:i/>
        </w:rPr>
        <w:t>(</w:t>
      </w:r>
      <w:proofErr w:type="spellStart"/>
      <w:r w:rsidRPr="000A29B8">
        <w:rPr>
          <w:i/>
          <w:iCs/>
        </w:rPr>
        <w:t>Horloge</w:t>
      </w:r>
      <w:proofErr w:type="spellEnd"/>
      <w:r w:rsidRPr="000A29B8">
        <w:rPr>
          <w:i/>
          <w:iCs/>
        </w:rPr>
        <w:t xml:space="preserve"> de la </w:t>
      </w:r>
      <w:proofErr w:type="spellStart"/>
      <w:r w:rsidRPr="000A29B8">
        <w:rPr>
          <w:i/>
          <w:iCs/>
        </w:rPr>
        <w:t>Population</w:t>
      </w:r>
      <w:proofErr w:type="spellEnd"/>
      <w:r w:rsidRPr="000A29B8">
        <w:rPr>
          <w:i/>
        </w:rPr>
        <w:t>)</w:t>
      </w:r>
      <w:r w:rsidRPr="006F084A">
        <w:t xml:space="preserve"> estimó que la población de Marruecos ascendía a 36.068.164 habitantes</w:t>
      </w:r>
      <w:r w:rsidRPr="006F084A">
        <w:rPr>
          <w:rStyle w:val="Refdenotaalpie"/>
          <w:rFonts w:eastAsia="Calibri"/>
          <w:lang w:val="en-GB"/>
        </w:rPr>
        <w:footnoteReference w:id="2"/>
      </w:r>
      <w:r w:rsidRPr="006F084A">
        <w:t>.</w:t>
      </w:r>
    </w:p>
    <w:p w14:paraId="53E31BA4" w14:textId="57CE3795" w:rsidR="004E0684" w:rsidRPr="006F084A" w:rsidRDefault="004E0684" w:rsidP="004E0684">
      <w:pPr>
        <w:pStyle w:val="SingleTxtG"/>
        <w:rPr>
          <w:rFonts w:eastAsia="Calibri"/>
        </w:rPr>
      </w:pPr>
      <w:r w:rsidRPr="006F084A">
        <w:t>5.</w:t>
      </w:r>
      <w:r w:rsidR="00B56649">
        <w:tab/>
      </w:r>
      <w:r w:rsidRPr="006F084A">
        <w:t>El Censo de 2014 indicó que el número de personas con discapacidad ascendía a 1.354.428, con una prevalencia del 4,1 %, distribuidas de la siguiente manera:</w:t>
      </w:r>
    </w:p>
    <w:p w14:paraId="4AA83DFE" w14:textId="698FF3BA" w:rsidR="004E0684" w:rsidRPr="006F084A" w:rsidRDefault="004E0684" w:rsidP="00B56649">
      <w:pPr>
        <w:pStyle w:val="Bullet1G"/>
        <w:rPr>
          <w:rFonts w:eastAsia="Calibri"/>
        </w:rPr>
      </w:pPr>
      <w:r w:rsidRPr="006F084A">
        <w:t>El 56 % (758.085 personas) vive en zonas urbanas.</w:t>
      </w:r>
    </w:p>
    <w:p w14:paraId="335F1AD5" w14:textId="7DA1A195" w:rsidR="004E0684" w:rsidRPr="006F084A" w:rsidRDefault="004E0684" w:rsidP="00B56649">
      <w:pPr>
        <w:pStyle w:val="Bullet1G"/>
        <w:rPr>
          <w:rFonts w:eastAsia="Calibri"/>
        </w:rPr>
      </w:pPr>
      <w:r w:rsidRPr="006F084A">
        <w:t>El 44 % (596.343 personas) vive en zonas rurales.</w:t>
      </w:r>
    </w:p>
    <w:p w14:paraId="629523E2" w14:textId="4D9B6B12" w:rsidR="004E0684" w:rsidRPr="006F084A" w:rsidRDefault="004E0684" w:rsidP="00B56649">
      <w:pPr>
        <w:pStyle w:val="Bullet1G"/>
        <w:rPr>
          <w:rFonts w:eastAsia="Calibri"/>
        </w:rPr>
      </w:pPr>
      <w:r w:rsidRPr="006F084A">
        <w:t>El porcentaje de mujeres con discapacidad (52,5 %) supera al de los hombres con discapacidad (47,5 %).</w:t>
      </w:r>
    </w:p>
    <w:p w14:paraId="0E8E9263" w14:textId="6CE475EB" w:rsidR="004E0684" w:rsidRPr="006F084A" w:rsidRDefault="004E0684" w:rsidP="004E0684">
      <w:pPr>
        <w:pStyle w:val="SingleTxtG"/>
        <w:rPr>
          <w:rFonts w:eastAsia="Calibri"/>
        </w:rPr>
      </w:pPr>
      <w:r w:rsidRPr="006F084A">
        <w:t>6.</w:t>
      </w:r>
      <w:r w:rsidR="00B56649">
        <w:tab/>
      </w:r>
      <w:r w:rsidRPr="006F084A">
        <w:t>En cuanto a la distribución por edades, el 50,6 % de las personas con discapacidad supera los 60 años, el 38,3 % se sitúa entre los 15 y los 59 años, y el 10,9 % es menor de 15</w:t>
      </w:r>
      <w:r w:rsidR="00997C96">
        <w:t> </w:t>
      </w:r>
      <w:r w:rsidRPr="006F084A">
        <w:t>años.</w:t>
      </w:r>
    </w:p>
    <w:p w14:paraId="0E92880E" w14:textId="36B344C5" w:rsidR="004E0684" w:rsidRPr="006F084A" w:rsidRDefault="004E0684" w:rsidP="004E0684">
      <w:pPr>
        <w:pStyle w:val="SingleTxtG"/>
        <w:rPr>
          <w:rFonts w:eastAsia="Calibri"/>
          <w:vertAlign w:val="superscript"/>
        </w:rPr>
      </w:pPr>
      <w:r w:rsidRPr="006F084A">
        <w:t>7.</w:t>
      </w:r>
      <w:r w:rsidR="00B56649">
        <w:tab/>
      </w:r>
      <w:r w:rsidRPr="006F084A">
        <w:t xml:space="preserve">La tasa de personas con discapacidad ha aumentado en las regiones de </w:t>
      </w:r>
      <w:proofErr w:type="spellStart"/>
      <w:r w:rsidRPr="006F084A">
        <w:t>Guelmim-Wadi</w:t>
      </w:r>
      <w:proofErr w:type="spellEnd"/>
      <w:r w:rsidRPr="006F084A">
        <w:t xml:space="preserve"> </w:t>
      </w:r>
      <w:proofErr w:type="spellStart"/>
      <w:r w:rsidRPr="006F084A">
        <w:t>Nun</w:t>
      </w:r>
      <w:proofErr w:type="spellEnd"/>
      <w:r w:rsidRPr="006F084A">
        <w:t xml:space="preserve"> (4,8 %), Fez-Meknes (4,6 %), Tánger-Tetuán-Alhucemas (4,5 %), </w:t>
      </w:r>
      <w:proofErr w:type="spellStart"/>
      <w:r w:rsidRPr="006F084A">
        <w:t>Daraa-Tafilalt</w:t>
      </w:r>
      <w:proofErr w:type="spellEnd"/>
      <w:r w:rsidRPr="006F084A">
        <w:t xml:space="preserve"> (4,4</w:t>
      </w:r>
      <w:r w:rsidR="000A29B8">
        <w:t> </w:t>
      </w:r>
      <w:r w:rsidRPr="006F084A">
        <w:t xml:space="preserve">%), y </w:t>
      </w:r>
      <w:proofErr w:type="spellStart"/>
      <w:r w:rsidRPr="006F084A">
        <w:t>Sharq</w:t>
      </w:r>
      <w:proofErr w:type="spellEnd"/>
      <w:r w:rsidRPr="006F084A">
        <w:rPr>
          <w:b/>
          <w:bCs/>
        </w:rPr>
        <w:t xml:space="preserve"> </w:t>
      </w:r>
      <w:r w:rsidRPr="006F084A">
        <w:t>(4,3 %), mientras que ha descendido relativamente en las regiones de Dajla-Río de Oro (1,7 %) y El Aaiún-</w:t>
      </w:r>
      <w:proofErr w:type="spellStart"/>
      <w:r w:rsidRPr="006F084A">
        <w:t>Saguía</w:t>
      </w:r>
      <w:proofErr w:type="spellEnd"/>
      <w:r w:rsidRPr="006F084A">
        <w:t xml:space="preserve"> el-</w:t>
      </w:r>
      <w:proofErr w:type="spellStart"/>
      <w:r w:rsidRPr="006F084A">
        <w:t>Hamra</w:t>
      </w:r>
      <w:proofErr w:type="spellEnd"/>
      <w:r w:rsidRPr="006F084A">
        <w:t xml:space="preserve"> (3 %)</w:t>
      </w:r>
      <w:r w:rsidRPr="006F084A">
        <w:rPr>
          <w:rStyle w:val="Refdenotaalpie"/>
          <w:rFonts w:eastAsia="Calibri"/>
          <w:lang w:val="en-GB"/>
        </w:rPr>
        <w:footnoteReference w:id="3"/>
      </w:r>
      <w:r w:rsidRPr="006F084A">
        <w:t>.</w:t>
      </w:r>
    </w:p>
    <w:p w14:paraId="267A3B62" w14:textId="093C8E92" w:rsidR="004E0684" w:rsidRPr="006F084A" w:rsidRDefault="004E0684" w:rsidP="004E0684">
      <w:pPr>
        <w:pStyle w:val="SingleTxtG"/>
        <w:rPr>
          <w:rFonts w:eastAsia="Calibri"/>
        </w:rPr>
      </w:pPr>
      <w:r w:rsidRPr="006F084A">
        <w:lastRenderedPageBreak/>
        <w:t>8.</w:t>
      </w:r>
      <w:r w:rsidR="008A1DA8">
        <w:tab/>
      </w:r>
      <w:r w:rsidRPr="006F084A">
        <w:t>En cuanto a los extranjeros que residen legalmente en el Reino, a 18 de julio de 2019 su número se situaba en 782.128, lo que equivale al 0,35 % de la población total de Marruecos</w:t>
      </w:r>
      <w:r w:rsidRPr="006F084A">
        <w:rPr>
          <w:rStyle w:val="Refdenotaalpie"/>
          <w:rFonts w:eastAsia="Calibri"/>
          <w:lang w:val="en-GB"/>
        </w:rPr>
        <w:footnoteReference w:id="4"/>
      </w:r>
      <w:r w:rsidRPr="006F084A">
        <w:t>.</w:t>
      </w:r>
    </w:p>
    <w:p w14:paraId="3A44DE37" w14:textId="1528FA80" w:rsidR="004E0684" w:rsidRPr="006F084A" w:rsidRDefault="004E0684" w:rsidP="004E0684">
      <w:pPr>
        <w:pStyle w:val="SingleTxtG"/>
        <w:rPr>
          <w:rFonts w:eastAsia="Calibri"/>
        </w:rPr>
      </w:pPr>
      <w:r w:rsidRPr="006F084A">
        <w:t>9.</w:t>
      </w:r>
      <w:r w:rsidR="008A1DA8">
        <w:tab/>
      </w:r>
      <w:r w:rsidRPr="006F084A">
        <w:t>Los extranjeros que residen legalmente en el Reino viven principalmente en las grandes ciudades. De acuerdo a su nacionalidad se distribuyen de la siguiente manera: los ciudadanos franceses constituyen la mayoría y representan cerca del 24,7 % (31.047)</w:t>
      </w:r>
      <w:r w:rsidRPr="006F084A">
        <w:rPr>
          <w:rStyle w:val="Refdenotaalpie"/>
          <w:rFonts w:eastAsia="Calibri"/>
          <w:lang w:val="en-GB"/>
        </w:rPr>
        <w:footnoteReference w:id="5"/>
      </w:r>
      <w:r w:rsidRPr="006F084A">
        <w:t xml:space="preserve">; la comunidad senegalesa ocupa el segundo lugar con un 7,6 % (9.544), seguida de la argelina, con un 5,66 %, (7.120); a continuación, se sitúan la comunidad de </w:t>
      </w:r>
      <w:proofErr w:type="spellStart"/>
      <w:r w:rsidRPr="006F084A">
        <w:t>Côte</w:t>
      </w:r>
      <w:proofErr w:type="spellEnd"/>
      <w:r w:rsidRPr="006F084A">
        <w:t xml:space="preserve"> </w:t>
      </w:r>
      <w:proofErr w:type="spellStart"/>
      <w:r w:rsidRPr="006F084A">
        <w:t>d’Ivoire</w:t>
      </w:r>
      <w:proofErr w:type="spellEnd"/>
      <w:r w:rsidRPr="006F084A">
        <w:t>, con un</w:t>
      </w:r>
      <w:r w:rsidR="00694EFF">
        <w:t> </w:t>
      </w:r>
      <w:r w:rsidRPr="006F084A">
        <w:t>2,7</w:t>
      </w:r>
      <w:r w:rsidR="00AC20D2">
        <w:t> </w:t>
      </w:r>
      <w:r w:rsidRPr="006F084A">
        <w:t>% (4.919), y la siria, con un 3,4 % (4.294); les siguen las comunidades española, con un 2,7 % (3.407), guineana, con un 2,5 % (3.229), mauritana, con un 2,5 % (3.183) y maliense, con un 2,4  % (3.014); seguidamente se sitúa la comunidad tunecina, con un porcentaje del 2,2 % (2.750), la congoleña, con un 2,1 % (2.595), la estadounidense, con un</w:t>
      </w:r>
      <w:r w:rsidR="00694EFF">
        <w:t> </w:t>
      </w:r>
      <w:r w:rsidRPr="006F084A">
        <w:t>2</w:t>
      </w:r>
      <w:r w:rsidR="00694EFF">
        <w:t> </w:t>
      </w:r>
      <w:r w:rsidRPr="006F084A">
        <w:t>% (2.430), la china, con un 1,6 % (2.054), la italiana, con un 1,6 % (1.990), la camerunesa, con un 1,54 % (1.946), la egipcia, con un 1,49 % (1.875), la filipina, con 1,4 % (1.785), la congolesa, con un 1,3 % (1.642), la belga, con un 1,3 % (1.637) y, finalmente, la comunidad libia, con un porcentaje del 1,27 % (1.598)</w:t>
      </w:r>
      <w:r w:rsidRPr="006F084A">
        <w:rPr>
          <w:rStyle w:val="Refdenotaalpie"/>
          <w:rFonts w:eastAsia="Calibri"/>
          <w:lang w:val="en-GB"/>
        </w:rPr>
        <w:footnoteReference w:id="6"/>
      </w:r>
      <w:r w:rsidRPr="006F084A">
        <w:t>.</w:t>
      </w:r>
    </w:p>
    <w:p w14:paraId="7F0DC5FC" w14:textId="17BFAEE8" w:rsidR="004E0684" w:rsidRPr="006F084A" w:rsidRDefault="004E0684" w:rsidP="004E0684">
      <w:pPr>
        <w:pStyle w:val="SingleTxtG"/>
        <w:rPr>
          <w:rFonts w:eastAsia="Calibri"/>
        </w:rPr>
      </w:pPr>
      <w:r w:rsidRPr="006F084A">
        <w:t>10.</w:t>
      </w:r>
      <w:r w:rsidR="008A1DA8">
        <w:tab/>
      </w:r>
      <w:r w:rsidRPr="006F084A">
        <w:t xml:space="preserve">A estos datos hay que añadir la cifra aproximada de 15.500 migrantes regulares procedentes del África </w:t>
      </w:r>
      <w:r w:rsidR="00694EFF" w:rsidRPr="006F084A">
        <w:t>Subsahariana</w:t>
      </w:r>
      <w:r w:rsidRPr="006F084A">
        <w:t>, en su mayoría estudiantes que residen en Marruecos entre tres y cuatro años</w:t>
      </w:r>
      <w:r w:rsidRPr="006F084A">
        <w:rPr>
          <w:rStyle w:val="Refdenotaalpie"/>
          <w:rFonts w:eastAsia="Calibri"/>
          <w:lang w:val="en-GB"/>
        </w:rPr>
        <w:footnoteReference w:id="7"/>
      </w:r>
      <w:r w:rsidRPr="006F084A">
        <w:t>.</w:t>
      </w:r>
    </w:p>
    <w:p w14:paraId="4E7144DD" w14:textId="44307692" w:rsidR="004E0684" w:rsidRPr="006F084A" w:rsidRDefault="004E0684" w:rsidP="004E0684">
      <w:pPr>
        <w:pStyle w:val="SingleTxtG"/>
        <w:rPr>
          <w:rFonts w:eastAsia="Calibri"/>
        </w:rPr>
      </w:pPr>
      <w:r w:rsidRPr="006F084A">
        <w:t>11.</w:t>
      </w:r>
      <w:r w:rsidR="008A1DA8">
        <w:tab/>
      </w:r>
      <w:r w:rsidRPr="006F084A">
        <w:t>En cuanto a los refugiados y solicitantes de asilo, la representante del Alto Comisionado de las Naciones Unidas para los Refugiados (ACNUR) en Marruecos registró, a principios de enero de 2019, 8.994 refugiados y solicitantes de asilo, distribuidos en 6.689</w:t>
      </w:r>
      <w:r w:rsidR="00AC20D2">
        <w:t> </w:t>
      </w:r>
      <w:r w:rsidRPr="006F084A">
        <w:t xml:space="preserve">refugiados y 2.505 solicitantes de asilo. Esta comunidad de refugiados, que reside en 49 ciudades del Reino, está constituida por 3.695 sirios, 637 ciudadanos de </w:t>
      </w:r>
      <w:proofErr w:type="spellStart"/>
      <w:r w:rsidRPr="006F084A">
        <w:t>Côte</w:t>
      </w:r>
      <w:proofErr w:type="spellEnd"/>
      <w:r w:rsidRPr="006F084A">
        <w:t xml:space="preserve"> </w:t>
      </w:r>
      <w:proofErr w:type="spellStart"/>
      <w:r w:rsidRPr="006F084A">
        <w:t>d’Ivoire</w:t>
      </w:r>
      <w:proofErr w:type="spellEnd"/>
      <w:r w:rsidRPr="006F084A">
        <w:t>, 868 yemeníes, 736 cameruneses, 306 congoleños, 570 guineanos y 2.182 ciudadanos de otros países</w:t>
      </w:r>
      <w:r w:rsidRPr="006F084A">
        <w:rPr>
          <w:rStyle w:val="Refdenotaalpie"/>
          <w:rFonts w:eastAsia="Calibri"/>
          <w:lang w:val="en-GB"/>
        </w:rPr>
        <w:footnoteReference w:id="8"/>
      </w:r>
      <w:r w:rsidRPr="006F084A">
        <w:t>.</w:t>
      </w:r>
    </w:p>
    <w:p w14:paraId="6A6BB6E9" w14:textId="1AE5F02B" w:rsidR="004E0684" w:rsidRPr="006F084A" w:rsidRDefault="004E0684" w:rsidP="004E0684">
      <w:pPr>
        <w:pStyle w:val="SingleTxtG"/>
        <w:rPr>
          <w:rFonts w:eastAsia="Calibri"/>
        </w:rPr>
      </w:pPr>
      <w:r w:rsidRPr="006F084A">
        <w:t>12.</w:t>
      </w:r>
      <w:r w:rsidR="008A1DA8">
        <w:tab/>
      </w:r>
      <w:r w:rsidRPr="006F084A">
        <w:t>En lo que respecta a los idiomas hablados según el lugar de residencia y la región, la población marroquí se caracteriza por las siguientes particularidades:</w:t>
      </w:r>
    </w:p>
    <w:p w14:paraId="415506AD" w14:textId="4BEC19B3" w:rsidR="004E0684" w:rsidRPr="006F084A" w:rsidRDefault="004E0684" w:rsidP="008A1DA8">
      <w:pPr>
        <w:pStyle w:val="Bullet1G"/>
        <w:rPr>
          <w:rFonts w:eastAsia="Calibri"/>
        </w:rPr>
      </w:pPr>
      <w:r w:rsidRPr="006F084A">
        <w:t xml:space="preserve">El 89,8 % de la población habla </w:t>
      </w:r>
      <w:proofErr w:type="spellStart"/>
      <w:r w:rsidRPr="006F084A">
        <w:rPr>
          <w:i/>
          <w:iCs/>
        </w:rPr>
        <w:t>dariya</w:t>
      </w:r>
      <w:proofErr w:type="spellEnd"/>
      <w:r w:rsidRPr="006F084A">
        <w:rPr>
          <w:rStyle w:val="Refdenotaalpie"/>
          <w:rFonts w:eastAsia="Calibri"/>
          <w:lang w:val="en-US"/>
        </w:rPr>
        <w:footnoteReference w:id="9"/>
      </w:r>
      <w:r w:rsidRPr="006F084A">
        <w:t xml:space="preserve"> (zonas urbanas: 96 %; zonas rurales: 80,2 %)</w:t>
      </w:r>
      <w:r w:rsidR="008A1DA8">
        <w:t>.</w:t>
      </w:r>
      <w:r w:rsidRPr="006F084A">
        <w:t xml:space="preserve"> </w:t>
      </w:r>
    </w:p>
    <w:p w14:paraId="75EDE240" w14:textId="71528C85" w:rsidR="004E0684" w:rsidRPr="006F084A" w:rsidRDefault="004E0684" w:rsidP="008A1DA8">
      <w:pPr>
        <w:pStyle w:val="Bullet1G"/>
        <w:rPr>
          <w:rFonts w:eastAsia="Calibri"/>
        </w:rPr>
      </w:pPr>
      <w:r w:rsidRPr="006F084A">
        <w:t xml:space="preserve">El 26,7% habla </w:t>
      </w:r>
      <w:proofErr w:type="spellStart"/>
      <w:r w:rsidRPr="006F084A">
        <w:rPr>
          <w:i/>
          <w:iCs/>
        </w:rPr>
        <w:t>amazigh</w:t>
      </w:r>
      <w:proofErr w:type="spellEnd"/>
      <w:r w:rsidRPr="006F084A">
        <w:t xml:space="preserve"> (beréber) (en sus variedades </w:t>
      </w:r>
      <w:proofErr w:type="spellStart"/>
      <w:r w:rsidRPr="006F084A">
        <w:rPr>
          <w:i/>
          <w:iCs/>
        </w:rPr>
        <w:t>tashlihit</w:t>
      </w:r>
      <w:proofErr w:type="spellEnd"/>
      <w:r w:rsidRPr="006F084A">
        <w:t xml:space="preserve">, un 15 %, </w:t>
      </w:r>
      <w:proofErr w:type="spellStart"/>
      <w:r w:rsidRPr="006F084A">
        <w:rPr>
          <w:i/>
          <w:iCs/>
        </w:rPr>
        <w:t>tamazight</w:t>
      </w:r>
      <w:proofErr w:type="spellEnd"/>
      <w:r w:rsidRPr="006F084A">
        <w:t xml:space="preserve">, un 7,6 %, y </w:t>
      </w:r>
      <w:proofErr w:type="spellStart"/>
      <w:r w:rsidRPr="006F084A">
        <w:rPr>
          <w:i/>
          <w:iCs/>
        </w:rPr>
        <w:t>tarifit</w:t>
      </w:r>
      <w:proofErr w:type="spellEnd"/>
      <w:r w:rsidRPr="006F084A">
        <w:t>, un 4,1 %)</w:t>
      </w:r>
      <w:r w:rsidR="008A1DA8">
        <w:t>.</w:t>
      </w:r>
    </w:p>
    <w:p w14:paraId="420DB56C" w14:textId="373871D7" w:rsidR="004E0684" w:rsidRPr="006F084A" w:rsidRDefault="004E0684" w:rsidP="008A1DA8">
      <w:pPr>
        <w:pStyle w:val="Bullet1G"/>
        <w:rPr>
          <w:rFonts w:eastAsia="Calibri"/>
        </w:rPr>
      </w:pPr>
      <w:r w:rsidRPr="006F084A">
        <w:t>El 99,1 % de la población de la región de Casablanca-</w:t>
      </w:r>
      <w:proofErr w:type="spellStart"/>
      <w:r w:rsidRPr="006F084A">
        <w:t>Settat</w:t>
      </w:r>
      <w:proofErr w:type="spellEnd"/>
      <w:r w:rsidRPr="006F084A">
        <w:t xml:space="preserve"> habla </w:t>
      </w:r>
      <w:proofErr w:type="spellStart"/>
      <w:r w:rsidRPr="006F084A">
        <w:rPr>
          <w:i/>
          <w:iCs/>
        </w:rPr>
        <w:t>dariya</w:t>
      </w:r>
      <w:proofErr w:type="spellEnd"/>
      <w:r w:rsidRPr="006F084A">
        <w:t>, seguido de las regiones de Rabat-Salé-Kenitra (98,6 %) y Tánger-Tetuán-Alhucemas (97,3 %)</w:t>
      </w:r>
      <w:r w:rsidR="008A1DA8">
        <w:t>.</w:t>
      </w:r>
    </w:p>
    <w:p w14:paraId="22F5D9F6" w14:textId="0269495B" w:rsidR="004E0684" w:rsidRPr="006F084A" w:rsidRDefault="004E0684" w:rsidP="008A1DA8">
      <w:pPr>
        <w:pStyle w:val="Bullet1G"/>
        <w:rPr>
          <w:rFonts w:eastAsia="Calibri"/>
        </w:rPr>
      </w:pPr>
      <w:r w:rsidRPr="006F084A">
        <w:t xml:space="preserve">El 70,2 % de la población de la región de Sus-Masa habla </w:t>
      </w:r>
      <w:proofErr w:type="spellStart"/>
      <w:r w:rsidRPr="006F084A">
        <w:rPr>
          <w:i/>
          <w:iCs/>
        </w:rPr>
        <w:t>tashlihit</w:t>
      </w:r>
      <w:proofErr w:type="spellEnd"/>
      <w:r w:rsidR="008A1DA8" w:rsidRPr="008A1DA8">
        <w:rPr>
          <w:iCs/>
        </w:rPr>
        <w:t>.</w:t>
      </w:r>
    </w:p>
    <w:p w14:paraId="4CB77128" w14:textId="721D12EB" w:rsidR="004E0684" w:rsidRPr="006F084A" w:rsidRDefault="004E0684" w:rsidP="008A1DA8">
      <w:pPr>
        <w:pStyle w:val="Bullet1G"/>
        <w:rPr>
          <w:rFonts w:eastAsia="Calibri"/>
        </w:rPr>
      </w:pPr>
      <w:r w:rsidRPr="006F084A">
        <w:t xml:space="preserve">El 48,8 % de la población de </w:t>
      </w:r>
      <w:proofErr w:type="spellStart"/>
      <w:r w:rsidRPr="006F084A">
        <w:t>Daraa-Tefilalt</w:t>
      </w:r>
      <w:proofErr w:type="spellEnd"/>
      <w:r w:rsidRPr="006F084A">
        <w:t xml:space="preserve"> habla </w:t>
      </w:r>
      <w:proofErr w:type="spellStart"/>
      <w:r w:rsidRPr="006F084A">
        <w:rPr>
          <w:i/>
          <w:iCs/>
        </w:rPr>
        <w:t>tamazight</w:t>
      </w:r>
      <w:proofErr w:type="spellEnd"/>
      <w:r w:rsidR="008A1DA8">
        <w:rPr>
          <w:i/>
          <w:iCs/>
        </w:rPr>
        <w:t>.</w:t>
      </w:r>
    </w:p>
    <w:p w14:paraId="347CED9D" w14:textId="4FBE7F69" w:rsidR="004E0684" w:rsidRPr="006F084A" w:rsidRDefault="004E0684" w:rsidP="008A1DA8">
      <w:pPr>
        <w:pStyle w:val="Bullet1G"/>
        <w:rPr>
          <w:rFonts w:eastAsia="Calibri"/>
        </w:rPr>
      </w:pPr>
      <w:r w:rsidRPr="006F084A">
        <w:t xml:space="preserve">El 38,4 % de la población de la región de </w:t>
      </w:r>
      <w:proofErr w:type="spellStart"/>
      <w:r w:rsidRPr="006F084A">
        <w:t>Sharq</w:t>
      </w:r>
      <w:proofErr w:type="spellEnd"/>
      <w:r w:rsidRPr="006F084A">
        <w:t xml:space="preserve"> y el 8,2 % de la población de la región de Tánger-Tetuán-Alhucemas hablan </w:t>
      </w:r>
      <w:proofErr w:type="spellStart"/>
      <w:r w:rsidRPr="006F084A">
        <w:rPr>
          <w:i/>
          <w:iCs/>
        </w:rPr>
        <w:t>tarifit</w:t>
      </w:r>
      <w:proofErr w:type="spellEnd"/>
      <w:r w:rsidRPr="006F084A">
        <w:t>.</w:t>
      </w:r>
    </w:p>
    <w:p w14:paraId="37B470F5" w14:textId="325280E1" w:rsidR="004E0684" w:rsidRPr="006F084A" w:rsidRDefault="004E0684" w:rsidP="008A1DA8">
      <w:pPr>
        <w:pStyle w:val="Bullet1G"/>
        <w:rPr>
          <w:rFonts w:eastAsia="Calibri"/>
        </w:rPr>
      </w:pPr>
      <w:r w:rsidRPr="006F084A">
        <w:t>El 36,9 % de la población de la región de El Aaiún-</w:t>
      </w:r>
      <w:proofErr w:type="spellStart"/>
      <w:r w:rsidRPr="006F084A">
        <w:t>Saguía</w:t>
      </w:r>
      <w:proofErr w:type="spellEnd"/>
      <w:r w:rsidRPr="006F084A">
        <w:t xml:space="preserve"> el-</w:t>
      </w:r>
      <w:proofErr w:type="spellStart"/>
      <w:r w:rsidRPr="006F084A">
        <w:t>Hamra</w:t>
      </w:r>
      <w:proofErr w:type="spellEnd"/>
      <w:r w:rsidRPr="006F084A">
        <w:t xml:space="preserve">, el 20,4% de la población de la región de </w:t>
      </w:r>
      <w:proofErr w:type="spellStart"/>
      <w:r w:rsidRPr="006F084A">
        <w:t>Guelmim-Wadi</w:t>
      </w:r>
      <w:proofErr w:type="spellEnd"/>
      <w:r w:rsidRPr="006F084A">
        <w:t xml:space="preserve"> </w:t>
      </w:r>
      <w:proofErr w:type="spellStart"/>
      <w:r w:rsidRPr="006F084A">
        <w:t>Nun</w:t>
      </w:r>
      <w:proofErr w:type="spellEnd"/>
      <w:r w:rsidRPr="006F084A">
        <w:t xml:space="preserve"> y el 18,4 % de la población de la región de Dajla-Río de Oro hablan </w:t>
      </w:r>
      <w:proofErr w:type="spellStart"/>
      <w:r w:rsidRPr="00694EFF">
        <w:rPr>
          <w:i/>
          <w:iCs/>
        </w:rPr>
        <w:t>hasaniya</w:t>
      </w:r>
      <w:proofErr w:type="spellEnd"/>
      <w:r w:rsidRPr="006F084A">
        <w:t xml:space="preserve">. </w:t>
      </w:r>
    </w:p>
    <w:p w14:paraId="205E4770" w14:textId="0412E273" w:rsidR="004E0684" w:rsidRPr="006F084A" w:rsidRDefault="004E0684" w:rsidP="004E0684">
      <w:pPr>
        <w:pStyle w:val="SingleTxtG"/>
        <w:rPr>
          <w:rFonts w:eastAsia="Calibri"/>
        </w:rPr>
      </w:pPr>
      <w:r w:rsidRPr="006F084A">
        <w:t>13.</w:t>
      </w:r>
      <w:r w:rsidR="008A1DA8">
        <w:tab/>
      </w:r>
      <w:proofErr w:type="gramStart"/>
      <w:r w:rsidRPr="006F084A">
        <w:t>En relación a</w:t>
      </w:r>
      <w:proofErr w:type="gramEnd"/>
      <w:r w:rsidRPr="006F084A">
        <w:t xml:space="preserve"> los datos demográficos y su evolución en los últimos años, presentamos la siguiente tabla</w:t>
      </w:r>
      <w:r w:rsidR="00825CEC">
        <w:t>.</w:t>
      </w:r>
    </w:p>
    <w:tbl>
      <w:tblPr>
        <w:tblW w:w="9637" w:type="dxa"/>
        <w:tblBorders>
          <w:top w:val="single" w:sz="4" w:space="0" w:color="auto"/>
        </w:tblBorders>
        <w:tblLayout w:type="fixed"/>
        <w:tblCellMar>
          <w:left w:w="0" w:type="dxa"/>
          <w:right w:w="0" w:type="dxa"/>
        </w:tblCellMar>
        <w:tblLook w:val="04A0" w:firstRow="1" w:lastRow="0" w:firstColumn="1" w:lastColumn="0" w:noHBand="0" w:noVBand="1"/>
      </w:tblPr>
      <w:tblGrid>
        <w:gridCol w:w="2674"/>
        <w:gridCol w:w="952"/>
        <w:gridCol w:w="1064"/>
        <w:gridCol w:w="993"/>
        <w:gridCol w:w="938"/>
        <w:gridCol w:w="1022"/>
        <w:gridCol w:w="966"/>
        <w:gridCol w:w="1028"/>
      </w:tblGrid>
      <w:tr w:rsidR="00A93D69" w:rsidRPr="00A93D69" w14:paraId="4EF0D1A9" w14:textId="77777777" w:rsidTr="000A29B8">
        <w:trPr>
          <w:trHeight w:val="240"/>
          <w:tblHeader/>
        </w:trPr>
        <w:tc>
          <w:tcPr>
            <w:tcW w:w="2674" w:type="dxa"/>
            <w:vMerge w:val="restart"/>
            <w:tcBorders>
              <w:top w:val="single" w:sz="4" w:space="0" w:color="auto"/>
              <w:bottom w:val="single" w:sz="12" w:space="0" w:color="auto"/>
            </w:tcBorders>
            <w:shd w:val="clear" w:color="auto" w:fill="auto"/>
            <w:noWrap/>
            <w:vAlign w:val="bottom"/>
          </w:tcPr>
          <w:p w14:paraId="5BE764C2" w14:textId="430297D2" w:rsidR="004E0684" w:rsidRPr="00A93D69" w:rsidRDefault="004E0684" w:rsidP="00A93D69">
            <w:pPr>
              <w:pStyle w:val="SingleTxtG"/>
              <w:tabs>
                <w:tab w:val="clear" w:pos="1701"/>
                <w:tab w:val="clear" w:pos="2268"/>
                <w:tab w:val="clear" w:pos="2835"/>
                <w:tab w:val="left" w:pos="318"/>
              </w:tabs>
              <w:spacing w:before="80" w:after="80" w:line="200" w:lineRule="exact"/>
              <w:ind w:left="0" w:right="0"/>
              <w:jc w:val="left"/>
              <w:rPr>
                <w:rFonts w:eastAsia="Calibri"/>
                <w:bCs/>
                <w:i/>
                <w:sz w:val="16"/>
                <w:lang w:val="es-ES_tradnl"/>
              </w:rPr>
            </w:pPr>
          </w:p>
        </w:tc>
        <w:tc>
          <w:tcPr>
            <w:tcW w:w="6963" w:type="dxa"/>
            <w:gridSpan w:val="7"/>
            <w:tcBorders>
              <w:top w:val="single" w:sz="4" w:space="0" w:color="auto"/>
              <w:bottom w:val="single" w:sz="4" w:space="0" w:color="auto"/>
            </w:tcBorders>
            <w:shd w:val="clear" w:color="auto" w:fill="auto"/>
            <w:noWrap/>
            <w:vAlign w:val="bottom"/>
          </w:tcPr>
          <w:p w14:paraId="571154D8" w14:textId="77777777" w:rsidR="004E0684" w:rsidRPr="00A93D69" w:rsidRDefault="004E0684" w:rsidP="00A93D69">
            <w:pPr>
              <w:pStyle w:val="SingleTxtG"/>
              <w:tabs>
                <w:tab w:val="clear" w:pos="1701"/>
                <w:tab w:val="clear" w:pos="2268"/>
                <w:tab w:val="clear" w:pos="2835"/>
              </w:tabs>
              <w:spacing w:before="80" w:after="80" w:line="200" w:lineRule="exact"/>
              <w:ind w:left="113" w:right="0"/>
              <w:jc w:val="center"/>
              <w:rPr>
                <w:i/>
                <w:iCs/>
                <w:sz w:val="16"/>
                <w:rtl/>
                <w:lang w:val="es-ES_tradnl"/>
              </w:rPr>
            </w:pPr>
            <w:r w:rsidRPr="00A93D69">
              <w:rPr>
                <w:i/>
                <w:iCs/>
                <w:sz w:val="16"/>
                <w:lang w:val="es-ES_tradnl"/>
              </w:rPr>
              <w:t>Promedio</w:t>
            </w:r>
          </w:p>
        </w:tc>
      </w:tr>
      <w:tr w:rsidR="00A93D69" w:rsidRPr="00A93D69" w14:paraId="7ED0D2BD" w14:textId="77777777" w:rsidTr="000A29B8">
        <w:trPr>
          <w:trHeight w:val="240"/>
          <w:tblHeader/>
        </w:trPr>
        <w:tc>
          <w:tcPr>
            <w:tcW w:w="2674" w:type="dxa"/>
            <w:vMerge/>
            <w:tcBorders>
              <w:top w:val="single" w:sz="12" w:space="0" w:color="auto"/>
              <w:bottom w:val="single" w:sz="12" w:space="0" w:color="auto"/>
            </w:tcBorders>
            <w:shd w:val="clear" w:color="auto" w:fill="auto"/>
            <w:noWrap/>
            <w:vAlign w:val="bottom"/>
          </w:tcPr>
          <w:p w14:paraId="07A82F84" w14:textId="77777777" w:rsidR="004E0684" w:rsidRPr="00A93D69" w:rsidRDefault="004E0684" w:rsidP="00A93D69">
            <w:pPr>
              <w:pStyle w:val="SingleTxtG"/>
              <w:tabs>
                <w:tab w:val="clear" w:pos="1701"/>
                <w:tab w:val="clear" w:pos="2268"/>
                <w:tab w:val="clear" w:pos="2835"/>
              </w:tabs>
              <w:spacing w:before="40" w:after="40" w:line="220" w:lineRule="exact"/>
              <w:ind w:left="0" w:right="0"/>
              <w:jc w:val="left"/>
              <w:rPr>
                <w:rFonts w:eastAsia="Calibri"/>
                <w:bCs/>
                <w:sz w:val="18"/>
                <w:rtl/>
                <w:lang w:val="es-ES_tradnl"/>
              </w:rPr>
            </w:pPr>
          </w:p>
        </w:tc>
        <w:tc>
          <w:tcPr>
            <w:tcW w:w="952" w:type="dxa"/>
            <w:tcBorders>
              <w:top w:val="single" w:sz="4" w:space="0" w:color="auto"/>
              <w:bottom w:val="single" w:sz="12" w:space="0" w:color="auto"/>
            </w:tcBorders>
            <w:shd w:val="clear" w:color="auto" w:fill="auto"/>
            <w:noWrap/>
            <w:vAlign w:val="bottom"/>
          </w:tcPr>
          <w:p w14:paraId="5A339CBD" w14:textId="77777777" w:rsidR="004E0684" w:rsidRPr="00A93D69" w:rsidRDefault="004E0684" w:rsidP="00A93D69">
            <w:pPr>
              <w:pStyle w:val="SingleTxtG"/>
              <w:tabs>
                <w:tab w:val="clear" w:pos="1701"/>
                <w:tab w:val="clear" w:pos="2268"/>
                <w:tab w:val="clear" w:pos="2835"/>
              </w:tabs>
              <w:spacing w:before="80" w:after="80" w:line="200" w:lineRule="exact"/>
              <w:ind w:left="113" w:right="0"/>
              <w:jc w:val="right"/>
              <w:rPr>
                <w:i/>
                <w:iCs/>
                <w:sz w:val="16"/>
                <w:lang w:val="es-ES_tradnl"/>
              </w:rPr>
            </w:pPr>
            <w:r w:rsidRPr="00A93D69">
              <w:rPr>
                <w:i/>
                <w:iCs/>
                <w:sz w:val="16"/>
                <w:lang w:val="es-ES_tradnl"/>
              </w:rPr>
              <w:t>2008-2013</w:t>
            </w:r>
          </w:p>
        </w:tc>
        <w:tc>
          <w:tcPr>
            <w:tcW w:w="1064" w:type="dxa"/>
            <w:tcBorders>
              <w:top w:val="single" w:sz="4" w:space="0" w:color="auto"/>
              <w:bottom w:val="single" w:sz="12" w:space="0" w:color="auto"/>
            </w:tcBorders>
            <w:shd w:val="clear" w:color="auto" w:fill="auto"/>
            <w:noWrap/>
            <w:vAlign w:val="bottom"/>
          </w:tcPr>
          <w:p w14:paraId="0910EAEF" w14:textId="77777777" w:rsidR="004E0684" w:rsidRPr="00A93D69" w:rsidRDefault="004E0684" w:rsidP="00A93D69">
            <w:pPr>
              <w:pStyle w:val="SingleTxtG"/>
              <w:tabs>
                <w:tab w:val="clear" w:pos="1701"/>
                <w:tab w:val="clear" w:pos="2268"/>
                <w:tab w:val="clear" w:pos="2835"/>
              </w:tabs>
              <w:spacing w:before="80" w:after="80" w:line="200" w:lineRule="exact"/>
              <w:ind w:left="113" w:right="0"/>
              <w:jc w:val="right"/>
              <w:rPr>
                <w:i/>
                <w:iCs/>
                <w:sz w:val="16"/>
                <w:lang w:val="es-ES_tradnl"/>
              </w:rPr>
            </w:pPr>
            <w:r w:rsidRPr="00A93D69">
              <w:rPr>
                <w:i/>
                <w:iCs/>
                <w:sz w:val="16"/>
                <w:lang w:val="es-ES_tradnl"/>
              </w:rPr>
              <w:t>2014</w:t>
            </w:r>
          </w:p>
        </w:tc>
        <w:tc>
          <w:tcPr>
            <w:tcW w:w="993" w:type="dxa"/>
            <w:tcBorders>
              <w:top w:val="single" w:sz="4" w:space="0" w:color="auto"/>
              <w:bottom w:val="single" w:sz="12" w:space="0" w:color="auto"/>
            </w:tcBorders>
            <w:shd w:val="clear" w:color="auto" w:fill="auto"/>
            <w:noWrap/>
            <w:vAlign w:val="bottom"/>
          </w:tcPr>
          <w:p w14:paraId="6911985B" w14:textId="77777777" w:rsidR="004E0684" w:rsidRPr="00A93D69" w:rsidRDefault="004E0684" w:rsidP="00A93D69">
            <w:pPr>
              <w:pStyle w:val="SingleTxtG"/>
              <w:tabs>
                <w:tab w:val="clear" w:pos="1701"/>
                <w:tab w:val="clear" w:pos="2268"/>
                <w:tab w:val="clear" w:pos="2835"/>
              </w:tabs>
              <w:spacing w:before="80" w:after="80" w:line="200" w:lineRule="exact"/>
              <w:ind w:left="113" w:right="0"/>
              <w:jc w:val="right"/>
              <w:rPr>
                <w:i/>
                <w:iCs/>
                <w:sz w:val="16"/>
                <w:lang w:val="es-ES_tradnl"/>
              </w:rPr>
            </w:pPr>
            <w:r w:rsidRPr="00A93D69">
              <w:rPr>
                <w:i/>
                <w:iCs/>
                <w:sz w:val="16"/>
                <w:lang w:val="es-ES_tradnl"/>
              </w:rPr>
              <w:t>2015</w:t>
            </w:r>
          </w:p>
        </w:tc>
        <w:tc>
          <w:tcPr>
            <w:tcW w:w="938" w:type="dxa"/>
            <w:tcBorders>
              <w:top w:val="single" w:sz="4" w:space="0" w:color="auto"/>
              <w:bottom w:val="single" w:sz="12" w:space="0" w:color="auto"/>
            </w:tcBorders>
            <w:shd w:val="clear" w:color="auto" w:fill="auto"/>
            <w:noWrap/>
            <w:vAlign w:val="bottom"/>
          </w:tcPr>
          <w:p w14:paraId="630ECA7A" w14:textId="77777777" w:rsidR="004E0684" w:rsidRPr="00A93D69" w:rsidRDefault="004E0684" w:rsidP="00A93D69">
            <w:pPr>
              <w:pStyle w:val="SingleTxtG"/>
              <w:tabs>
                <w:tab w:val="clear" w:pos="1701"/>
                <w:tab w:val="clear" w:pos="2268"/>
                <w:tab w:val="clear" w:pos="2835"/>
              </w:tabs>
              <w:spacing w:before="80" w:after="80" w:line="200" w:lineRule="exact"/>
              <w:ind w:left="113" w:right="0"/>
              <w:jc w:val="right"/>
              <w:rPr>
                <w:i/>
                <w:iCs/>
                <w:sz w:val="16"/>
                <w:lang w:val="es-ES_tradnl"/>
              </w:rPr>
            </w:pPr>
            <w:r w:rsidRPr="00A93D69">
              <w:rPr>
                <w:i/>
                <w:iCs/>
                <w:sz w:val="16"/>
                <w:lang w:val="es-ES_tradnl"/>
              </w:rPr>
              <w:t>2016</w:t>
            </w:r>
          </w:p>
        </w:tc>
        <w:tc>
          <w:tcPr>
            <w:tcW w:w="1022" w:type="dxa"/>
            <w:tcBorders>
              <w:top w:val="single" w:sz="4" w:space="0" w:color="auto"/>
              <w:bottom w:val="single" w:sz="12" w:space="0" w:color="auto"/>
            </w:tcBorders>
            <w:shd w:val="clear" w:color="auto" w:fill="auto"/>
            <w:noWrap/>
            <w:vAlign w:val="bottom"/>
          </w:tcPr>
          <w:p w14:paraId="497A87FB" w14:textId="77777777" w:rsidR="004E0684" w:rsidRPr="00A93D69" w:rsidRDefault="004E0684" w:rsidP="00A93D69">
            <w:pPr>
              <w:pStyle w:val="SingleTxtG"/>
              <w:tabs>
                <w:tab w:val="clear" w:pos="1701"/>
                <w:tab w:val="clear" w:pos="2268"/>
                <w:tab w:val="clear" w:pos="2835"/>
              </w:tabs>
              <w:spacing w:before="80" w:after="80" w:line="200" w:lineRule="exact"/>
              <w:ind w:left="113" w:right="0"/>
              <w:jc w:val="right"/>
              <w:rPr>
                <w:i/>
                <w:iCs/>
                <w:sz w:val="16"/>
                <w:lang w:val="es-ES_tradnl"/>
              </w:rPr>
            </w:pPr>
            <w:r w:rsidRPr="00A93D69">
              <w:rPr>
                <w:i/>
                <w:iCs/>
                <w:sz w:val="16"/>
                <w:lang w:val="es-ES_tradnl"/>
              </w:rPr>
              <w:t>2017</w:t>
            </w:r>
          </w:p>
        </w:tc>
        <w:tc>
          <w:tcPr>
            <w:tcW w:w="966" w:type="dxa"/>
            <w:tcBorders>
              <w:top w:val="single" w:sz="4" w:space="0" w:color="auto"/>
              <w:bottom w:val="single" w:sz="12" w:space="0" w:color="auto"/>
            </w:tcBorders>
            <w:shd w:val="clear" w:color="auto" w:fill="auto"/>
            <w:noWrap/>
            <w:vAlign w:val="bottom"/>
          </w:tcPr>
          <w:p w14:paraId="7CBF83F8" w14:textId="77777777" w:rsidR="004E0684" w:rsidRPr="00A93D69" w:rsidRDefault="004E0684" w:rsidP="00A93D69">
            <w:pPr>
              <w:pStyle w:val="SingleTxtG"/>
              <w:tabs>
                <w:tab w:val="clear" w:pos="1701"/>
                <w:tab w:val="clear" w:pos="2268"/>
                <w:tab w:val="clear" w:pos="2835"/>
              </w:tabs>
              <w:spacing w:before="80" w:after="80" w:line="200" w:lineRule="exact"/>
              <w:ind w:left="113" w:right="0"/>
              <w:jc w:val="right"/>
              <w:rPr>
                <w:i/>
                <w:iCs/>
                <w:sz w:val="16"/>
                <w:lang w:val="es-ES_tradnl"/>
              </w:rPr>
            </w:pPr>
            <w:r w:rsidRPr="00A93D69">
              <w:rPr>
                <w:i/>
                <w:iCs/>
                <w:sz w:val="16"/>
                <w:lang w:val="es-ES_tradnl"/>
              </w:rPr>
              <w:t>2018</w:t>
            </w:r>
          </w:p>
        </w:tc>
        <w:tc>
          <w:tcPr>
            <w:tcW w:w="1028" w:type="dxa"/>
            <w:tcBorders>
              <w:top w:val="single" w:sz="4" w:space="0" w:color="auto"/>
              <w:bottom w:val="single" w:sz="12" w:space="0" w:color="auto"/>
            </w:tcBorders>
            <w:shd w:val="clear" w:color="auto" w:fill="auto"/>
            <w:noWrap/>
            <w:vAlign w:val="bottom"/>
          </w:tcPr>
          <w:p w14:paraId="5A36AE7D" w14:textId="77777777" w:rsidR="004E0684" w:rsidRPr="00A93D69" w:rsidRDefault="004E0684" w:rsidP="00A93D69">
            <w:pPr>
              <w:pStyle w:val="SingleTxtG"/>
              <w:tabs>
                <w:tab w:val="clear" w:pos="1701"/>
                <w:tab w:val="clear" w:pos="2268"/>
                <w:tab w:val="clear" w:pos="2835"/>
              </w:tabs>
              <w:spacing w:before="80" w:after="80" w:line="200" w:lineRule="exact"/>
              <w:ind w:left="113" w:right="0"/>
              <w:jc w:val="right"/>
              <w:rPr>
                <w:i/>
                <w:iCs/>
                <w:sz w:val="16"/>
                <w:lang w:val="es-ES_tradnl"/>
              </w:rPr>
            </w:pPr>
            <w:r w:rsidRPr="00A93D69">
              <w:rPr>
                <w:i/>
                <w:iCs/>
                <w:sz w:val="16"/>
                <w:lang w:val="es-ES_tradnl"/>
              </w:rPr>
              <w:t>2019</w:t>
            </w:r>
          </w:p>
        </w:tc>
      </w:tr>
      <w:tr w:rsidR="00E85A1E" w:rsidRPr="00A93D69" w14:paraId="16808C22" w14:textId="77777777" w:rsidTr="00100248">
        <w:trPr>
          <w:trHeight w:val="240"/>
        </w:trPr>
        <w:tc>
          <w:tcPr>
            <w:tcW w:w="2674" w:type="dxa"/>
            <w:tcBorders>
              <w:top w:val="single" w:sz="12" w:space="0" w:color="auto"/>
            </w:tcBorders>
            <w:shd w:val="clear" w:color="auto" w:fill="auto"/>
            <w:noWrap/>
          </w:tcPr>
          <w:p w14:paraId="2C319AFE" w14:textId="0D8990AA" w:rsidR="004E0684" w:rsidRPr="00100248" w:rsidRDefault="00100248" w:rsidP="00100248">
            <w:pPr>
              <w:pStyle w:val="SingleTxtG"/>
              <w:tabs>
                <w:tab w:val="clear" w:pos="1701"/>
                <w:tab w:val="clear" w:pos="2268"/>
                <w:tab w:val="clear" w:pos="2835"/>
                <w:tab w:val="left" w:pos="404"/>
              </w:tabs>
              <w:spacing w:before="40" w:after="40" w:line="220" w:lineRule="exact"/>
              <w:ind w:left="404" w:right="0" w:hanging="404"/>
              <w:jc w:val="left"/>
              <w:rPr>
                <w:rFonts w:eastAsia="Calibri"/>
                <w:b/>
                <w:sz w:val="18"/>
                <w:lang w:val="es-ES_tradnl"/>
              </w:rPr>
            </w:pPr>
            <w:r w:rsidRPr="00100248">
              <w:rPr>
                <w:rFonts w:eastAsia="Calibri"/>
                <w:b/>
                <w:sz w:val="18"/>
                <w:lang w:val="es-ES_tradnl"/>
              </w:rPr>
              <w:t>1.</w:t>
            </w:r>
            <w:r w:rsidRPr="00100248">
              <w:rPr>
                <w:rFonts w:eastAsia="Calibri"/>
                <w:b/>
                <w:sz w:val="18"/>
                <w:lang w:val="es-ES_tradnl"/>
              </w:rPr>
              <w:tab/>
              <w:t>Demografía</w:t>
            </w:r>
          </w:p>
        </w:tc>
        <w:tc>
          <w:tcPr>
            <w:tcW w:w="952" w:type="dxa"/>
            <w:tcBorders>
              <w:top w:val="single" w:sz="12" w:space="0" w:color="auto"/>
            </w:tcBorders>
            <w:shd w:val="clear" w:color="auto" w:fill="auto"/>
            <w:noWrap/>
            <w:vAlign w:val="bottom"/>
          </w:tcPr>
          <w:p w14:paraId="0613BF58" w14:textId="5E7C2FD8" w:rsidR="004E0684" w:rsidRPr="00A93D69" w:rsidRDefault="004E0684" w:rsidP="00A93D69">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p>
        </w:tc>
        <w:tc>
          <w:tcPr>
            <w:tcW w:w="1064" w:type="dxa"/>
            <w:tcBorders>
              <w:top w:val="single" w:sz="12" w:space="0" w:color="auto"/>
            </w:tcBorders>
            <w:shd w:val="clear" w:color="auto" w:fill="auto"/>
            <w:noWrap/>
            <w:vAlign w:val="bottom"/>
          </w:tcPr>
          <w:p w14:paraId="3EA047DE" w14:textId="760CA754" w:rsidR="004E0684" w:rsidRPr="00A93D69" w:rsidRDefault="004E0684" w:rsidP="00A93D69">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p>
        </w:tc>
        <w:tc>
          <w:tcPr>
            <w:tcW w:w="993" w:type="dxa"/>
            <w:tcBorders>
              <w:top w:val="single" w:sz="12" w:space="0" w:color="auto"/>
            </w:tcBorders>
            <w:shd w:val="clear" w:color="auto" w:fill="auto"/>
            <w:noWrap/>
            <w:vAlign w:val="bottom"/>
          </w:tcPr>
          <w:p w14:paraId="25F1F2A1" w14:textId="01961768" w:rsidR="004E0684" w:rsidRPr="00A93D69" w:rsidRDefault="004E0684" w:rsidP="00A93D69">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p>
        </w:tc>
        <w:tc>
          <w:tcPr>
            <w:tcW w:w="938" w:type="dxa"/>
            <w:tcBorders>
              <w:top w:val="single" w:sz="12" w:space="0" w:color="auto"/>
            </w:tcBorders>
            <w:shd w:val="clear" w:color="auto" w:fill="auto"/>
            <w:noWrap/>
            <w:vAlign w:val="bottom"/>
          </w:tcPr>
          <w:p w14:paraId="4DF5E24E" w14:textId="01A066D8" w:rsidR="004E0684" w:rsidRPr="00A93D69" w:rsidRDefault="004E0684" w:rsidP="00A93D69">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p>
        </w:tc>
        <w:tc>
          <w:tcPr>
            <w:tcW w:w="1022" w:type="dxa"/>
            <w:tcBorders>
              <w:top w:val="single" w:sz="12" w:space="0" w:color="auto"/>
            </w:tcBorders>
            <w:shd w:val="clear" w:color="auto" w:fill="auto"/>
            <w:noWrap/>
            <w:vAlign w:val="bottom"/>
          </w:tcPr>
          <w:p w14:paraId="6CF79FAD" w14:textId="491D3C55" w:rsidR="004E0684" w:rsidRPr="00A93D69" w:rsidRDefault="004E0684" w:rsidP="00A93D69">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p>
        </w:tc>
        <w:tc>
          <w:tcPr>
            <w:tcW w:w="966" w:type="dxa"/>
            <w:tcBorders>
              <w:top w:val="single" w:sz="12" w:space="0" w:color="auto"/>
            </w:tcBorders>
            <w:shd w:val="clear" w:color="auto" w:fill="auto"/>
            <w:noWrap/>
            <w:vAlign w:val="bottom"/>
          </w:tcPr>
          <w:p w14:paraId="72B5ABC7" w14:textId="2C5161AF" w:rsidR="004E0684" w:rsidRPr="00A93D69" w:rsidRDefault="004E0684" w:rsidP="00A93D69">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p>
        </w:tc>
        <w:tc>
          <w:tcPr>
            <w:tcW w:w="1028" w:type="dxa"/>
            <w:tcBorders>
              <w:top w:val="single" w:sz="12" w:space="0" w:color="auto"/>
            </w:tcBorders>
            <w:shd w:val="clear" w:color="auto" w:fill="auto"/>
            <w:noWrap/>
            <w:vAlign w:val="bottom"/>
          </w:tcPr>
          <w:p w14:paraId="3E8BDBEB" w14:textId="45A6D54A" w:rsidR="004E0684" w:rsidRPr="00A93D69" w:rsidRDefault="004E0684" w:rsidP="00A93D69">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p>
        </w:tc>
      </w:tr>
      <w:tr w:rsidR="00100248" w:rsidRPr="00A93D69" w14:paraId="23F18316" w14:textId="77777777" w:rsidTr="000A29B8">
        <w:trPr>
          <w:trHeight w:val="240"/>
        </w:trPr>
        <w:tc>
          <w:tcPr>
            <w:tcW w:w="2674" w:type="dxa"/>
            <w:shd w:val="clear" w:color="auto" w:fill="auto"/>
            <w:noWrap/>
          </w:tcPr>
          <w:p w14:paraId="316B0BC3" w14:textId="13C65FCA" w:rsidR="00100248" w:rsidRPr="00A93D69" w:rsidRDefault="00100248" w:rsidP="00100248">
            <w:pPr>
              <w:pStyle w:val="SingleTxtG"/>
              <w:tabs>
                <w:tab w:val="clear" w:pos="1701"/>
                <w:tab w:val="clear" w:pos="2268"/>
                <w:tab w:val="clear" w:pos="2835"/>
              </w:tabs>
              <w:spacing w:before="40" w:after="40" w:line="220" w:lineRule="exact"/>
              <w:ind w:left="0" w:right="0"/>
              <w:jc w:val="left"/>
              <w:rPr>
                <w:sz w:val="18"/>
                <w:lang w:val="es-ES_tradnl"/>
              </w:rPr>
            </w:pPr>
            <w:r w:rsidRPr="00A93D69">
              <w:rPr>
                <w:sz w:val="18"/>
                <w:lang w:val="es-ES_tradnl"/>
              </w:rPr>
              <w:t xml:space="preserve">Población (en miles de </w:t>
            </w:r>
            <w:proofErr w:type="gramStart"/>
            <w:r w:rsidRPr="00A93D69">
              <w:rPr>
                <w:sz w:val="18"/>
                <w:lang w:val="es-ES_tradnl"/>
              </w:rPr>
              <w:t>personas)(</w:t>
            </w:r>
            <w:proofErr w:type="gramEnd"/>
            <w:r w:rsidRPr="00A93D69">
              <w:rPr>
                <w:sz w:val="18"/>
                <w:lang w:val="es-ES_tradnl"/>
              </w:rPr>
              <w:t>1)</w:t>
            </w:r>
          </w:p>
        </w:tc>
        <w:tc>
          <w:tcPr>
            <w:tcW w:w="952" w:type="dxa"/>
            <w:shd w:val="clear" w:color="auto" w:fill="auto"/>
            <w:noWrap/>
            <w:vAlign w:val="bottom"/>
          </w:tcPr>
          <w:p w14:paraId="72AF13A0" w14:textId="3BF6B000" w:rsidR="00100248" w:rsidRPr="00A93D69" w:rsidRDefault="00100248" w:rsidP="00100248">
            <w:pPr>
              <w:pStyle w:val="SingleTxtG"/>
              <w:tabs>
                <w:tab w:val="clear" w:pos="1701"/>
                <w:tab w:val="clear" w:pos="2268"/>
                <w:tab w:val="clear" w:pos="2835"/>
              </w:tabs>
              <w:spacing w:before="40" w:after="40" w:line="220" w:lineRule="exact"/>
              <w:ind w:left="113" w:right="0"/>
              <w:jc w:val="right"/>
              <w:rPr>
                <w:sz w:val="18"/>
                <w:lang w:val="es-ES_tradnl"/>
              </w:rPr>
            </w:pPr>
            <w:r w:rsidRPr="00A93D69">
              <w:rPr>
                <w:bCs/>
                <w:sz w:val="18"/>
                <w:lang w:val="es-ES_tradnl"/>
              </w:rPr>
              <w:t>32 071</w:t>
            </w:r>
          </w:p>
        </w:tc>
        <w:tc>
          <w:tcPr>
            <w:tcW w:w="1064" w:type="dxa"/>
            <w:shd w:val="clear" w:color="auto" w:fill="auto"/>
            <w:noWrap/>
            <w:vAlign w:val="bottom"/>
          </w:tcPr>
          <w:p w14:paraId="4190CE85" w14:textId="01CAB96F" w:rsidR="00100248" w:rsidRPr="00A93D69" w:rsidRDefault="00100248" w:rsidP="00100248">
            <w:pPr>
              <w:pStyle w:val="SingleTxtG"/>
              <w:tabs>
                <w:tab w:val="clear" w:pos="1701"/>
                <w:tab w:val="clear" w:pos="2268"/>
                <w:tab w:val="clear" w:pos="2835"/>
              </w:tabs>
              <w:spacing w:before="40" w:after="40" w:line="220" w:lineRule="exact"/>
              <w:ind w:left="113" w:right="0"/>
              <w:jc w:val="right"/>
              <w:rPr>
                <w:sz w:val="18"/>
                <w:lang w:val="es-ES_tradnl"/>
              </w:rPr>
            </w:pPr>
            <w:r w:rsidRPr="00A93D69">
              <w:rPr>
                <w:bCs/>
                <w:sz w:val="18"/>
                <w:lang w:val="es-ES_tradnl"/>
              </w:rPr>
              <w:t>33 848</w:t>
            </w:r>
          </w:p>
        </w:tc>
        <w:tc>
          <w:tcPr>
            <w:tcW w:w="993" w:type="dxa"/>
            <w:shd w:val="clear" w:color="auto" w:fill="auto"/>
            <w:noWrap/>
            <w:vAlign w:val="bottom"/>
          </w:tcPr>
          <w:p w14:paraId="6B4FA5A5" w14:textId="59388B19" w:rsidR="00100248" w:rsidRPr="00A93D69" w:rsidRDefault="00100248" w:rsidP="00100248">
            <w:pPr>
              <w:pStyle w:val="SingleTxtG"/>
              <w:tabs>
                <w:tab w:val="clear" w:pos="1701"/>
                <w:tab w:val="clear" w:pos="2268"/>
                <w:tab w:val="clear" w:pos="2835"/>
              </w:tabs>
              <w:spacing w:before="40" w:after="40" w:line="220" w:lineRule="exact"/>
              <w:ind w:left="113" w:right="0"/>
              <w:jc w:val="right"/>
              <w:rPr>
                <w:sz w:val="18"/>
                <w:lang w:val="es-ES_tradnl"/>
              </w:rPr>
            </w:pPr>
            <w:r w:rsidRPr="00A93D69">
              <w:rPr>
                <w:bCs/>
                <w:sz w:val="18"/>
                <w:lang w:val="es-ES_tradnl"/>
              </w:rPr>
              <w:t>34 125</w:t>
            </w:r>
          </w:p>
        </w:tc>
        <w:tc>
          <w:tcPr>
            <w:tcW w:w="938" w:type="dxa"/>
            <w:shd w:val="clear" w:color="auto" w:fill="auto"/>
            <w:noWrap/>
            <w:vAlign w:val="bottom"/>
          </w:tcPr>
          <w:p w14:paraId="6992A945" w14:textId="693D2BA1" w:rsidR="00100248" w:rsidRPr="00A93D69" w:rsidRDefault="00100248" w:rsidP="00100248">
            <w:pPr>
              <w:pStyle w:val="SingleTxtG"/>
              <w:tabs>
                <w:tab w:val="clear" w:pos="1701"/>
                <w:tab w:val="clear" w:pos="2268"/>
                <w:tab w:val="clear" w:pos="2835"/>
              </w:tabs>
              <w:spacing w:before="40" w:after="40" w:line="220" w:lineRule="exact"/>
              <w:ind w:left="113" w:right="0"/>
              <w:jc w:val="right"/>
              <w:rPr>
                <w:sz w:val="18"/>
                <w:lang w:val="es-ES_tradnl"/>
              </w:rPr>
            </w:pPr>
            <w:r w:rsidRPr="00A93D69">
              <w:rPr>
                <w:bCs/>
                <w:sz w:val="18"/>
                <w:lang w:val="es-ES_tradnl"/>
              </w:rPr>
              <w:t>34 487</w:t>
            </w:r>
          </w:p>
        </w:tc>
        <w:tc>
          <w:tcPr>
            <w:tcW w:w="1022" w:type="dxa"/>
            <w:shd w:val="clear" w:color="auto" w:fill="auto"/>
            <w:noWrap/>
            <w:vAlign w:val="bottom"/>
          </w:tcPr>
          <w:p w14:paraId="3A749F7F" w14:textId="6ABF9F65" w:rsidR="00100248" w:rsidRPr="00A93D69" w:rsidRDefault="00100248" w:rsidP="00100248">
            <w:pPr>
              <w:pStyle w:val="SingleTxtG"/>
              <w:tabs>
                <w:tab w:val="clear" w:pos="1701"/>
                <w:tab w:val="clear" w:pos="2268"/>
                <w:tab w:val="clear" w:pos="2835"/>
              </w:tabs>
              <w:spacing w:before="40" w:after="40" w:line="220" w:lineRule="exact"/>
              <w:ind w:left="113" w:right="0"/>
              <w:jc w:val="right"/>
              <w:rPr>
                <w:sz w:val="18"/>
                <w:lang w:val="es-ES_tradnl"/>
              </w:rPr>
            </w:pPr>
            <w:r w:rsidRPr="00A93D69">
              <w:rPr>
                <w:bCs/>
                <w:sz w:val="18"/>
                <w:lang w:val="es-ES_tradnl"/>
              </w:rPr>
              <w:t>34 852</w:t>
            </w:r>
          </w:p>
        </w:tc>
        <w:tc>
          <w:tcPr>
            <w:tcW w:w="966" w:type="dxa"/>
            <w:shd w:val="clear" w:color="auto" w:fill="auto"/>
            <w:noWrap/>
            <w:vAlign w:val="bottom"/>
          </w:tcPr>
          <w:p w14:paraId="2717A667" w14:textId="5452D2B6" w:rsidR="00100248" w:rsidRPr="00A93D69" w:rsidRDefault="00100248" w:rsidP="00100248">
            <w:pPr>
              <w:pStyle w:val="SingleTxtG"/>
              <w:tabs>
                <w:tab w:val="clear" w:pos="1701"/>
                <w:tab w:val="clear" w:pos="2268"/>
                <w:tab w:val="clear" w:pos="2835"/>
              </w:tabs>
              <w:spacing w:before="40" w:after="40" w:line="220" w:lineRule="exact"/>
              <w:ind w:left="113" w:right="0"/>
              <w:jc w:val="right"/>
              <w:rPr>
                <w:sz w:val="18"/>
                <w:lang w:val="es-ES_tradnl"/>
              </w:rPr>
            </w:pPr>
            <w:r w:rsidRPr="00A93D69">
              <w:rPr>
                <w:bCs/>
                <w:sz w:val="18"/>
                <w:lang w:val="es-ES_tradnl"/>
              </w:rPr>
              <w:t>35 220</w:t>
            </w:r>
          </w:p>
        </w:tc>
        <w:tc>
          <w:tcPr>
            <w:tcW w:w="1028" w:type="dxa"/>
            <w:shd w:val="clear" w:color="auto" w:fill="auto"/>
            <w:noWrap/>
            <w:vAlign w:val="bottom"/>
          </w:tcPr>
          <w:p w14:paraId="51577A09" w14:textId="086A74F9" w:rsidR="00100248" w:rsidRPr="00A93D69" w:rsidRDefault="00100248" w:rsidP="00100248">
            <w:pPr>
              <w:pStyle w:val="SingleTxtG"/>
              <w:tabs>
                <w:tab w:val="clear" w:pos="1701"/>
                <w:tab w:val="clear" w:pos="2268"/>
                <w:tab w:val="clear" w:pos="2835"/>
              </w:tabs>
              <w:spacing w:before="40" w:after="40" w:line="220" w:lineRule="exact"/>
              <w:ind w:left="113" w:right="0"/>
              <w:jc w:val="right"/>
              <w:rPr>
                <w:sz w:val="18"/>
                <w:lang w:val="es-ES_tradnl"/>
              </w:rPr>
            </w:pPr>
            <w:r w:rsidRPr="00A93D69">
              <w:rPr>
                <w:bCs/>
                <w:sz w:val="18"/>
                <w:lang w:val="es-ES_tradnl"/>
              </w:rPr>
              <w:t>35 587</w:t>
            </w:r>
          </w:p>
        </w:tc>
      </w:tr>
      <w:tr w:rsidR="00100248" w:rsidRPr="00A93D69" w14:paraId="5566ACAF" w14:textId="77777777" w:rsidTr="000A29B8">
        <w:trPr>
          <w:trHeight w:val="240"/>
        </w:trPr>
        <w:tc>
          <w:tcPr>
            <w:tcW w:w="2674" w:type="dxa"/>
            <w:shd w:val="clear" w:color="auto" w:fill="auto"/>
            <w:noWrap/>
            <w:hideMark/>
          </w:tcPr>
          <w:p w14:paraId="5C8CABF2" w14:textId="77777777" w:rsidR="00100248" w:rsidRPr="00A93D69" w:rsidRDefault="00100248" w:rsidP="00100248">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A93D69">
              <w:rPr>
                <w:sz w:val="18"/>
                <w:lang w:val="es-ES_tradnl"/>
              </w:rPr>
              <w:t xml:space="preserve">Porcentaje de urbanización </w:t>
            </w:r>
          </w:p>
        </w:tc>
        <w:tc>
          <w:tcPr>
            <w:tcW w:w="952" w:type="dxa"/>
            <w:shd w:val="clear" w:color="auto" w:fill="auto"/>
            <w:noWrap/>
            <w:vAlign w:val="bottom"/>
            <w:hideMark/>
          </w:tcPr>
          <w:p w14:paraId="1BAD5A94"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58,1</w:t>
            </w:r>
          </w:p>
        </w:tc>
        <w:tc>
          <w:tcPr>
            <w:tcW w:w="1064" w:type="dxa"/>
            <w:shd w:val="clear" w:color="auto" w:fill="auto"/>
            <w:noWrap/>
            <w:vAlign w:val="bottom"/>
            <w:hideMark/>
          </w:tcPr>
          <w:p w14:paraId="64789650"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60,3</w:t>
            </w:r>
          </w:p>
        </w:tc>
        <w:tc>
          <w:tcPr>
            <w:tcW w:w="993" w:type="dxa"/>
            <w:shd w:val="clear" w:color="auto" w:fill="auto"/>
            <w:noWrap/>
            <w:vAlign w:val="bottom"/>
            <w:hideMark/>
          </w:tcPr>
          <w:p w14:paraId="012B5DE6"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60,8</w:t>
            </w:r>
          </w:p>
        </w:tc>
        <w:tc>
          <w:tcPr>
            <w:tcW w:w="938" w:type="dxa"/>
            <w:shd w:val="clear" w:color="auto" w:fill="auto"/>
            <w:noWrap/>
            <w:vAlign w:val="bottom"/>
            <w:hideMark/>
          </w:tcPr>
          <w:p w14:paraId="77BDE411"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61,3</w:t>
            </w:r>
          </w:p>
        </w:tc>
        <w:tc>
          <w:tcPr>
            <w:tcW w:w="1022" w:type="dxa"/>
            <w:shd w:val="clear" w:color="auto" w:fill="auto"/>
            <w:noWrap/>
            <w:vAlign w:val="bottom"/>
            <w:hideMark/>
          </w:tcPr>
          <w:p w14:paraId="4AE36420"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61,9</w:t>
            </w:r>
          </w:p>
        </w:tc>
        <w:tc>
          <w:tcPr>
            <w:tcW w:w="966" w:type="dxa"/>
            <w:shd w:val="clear" w:color="auto" w:fill="auto"/>
            <w:noWrap/>
            <w:vAlign w:val="bottom"/>
            <w:hideMark/>
          </w:tcPr>
          <w:p w14:paraId="10850010"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62,4</w:t>
            </w:r>
          </w:p>
        </w:tc>
        <w:tc>
          <w:tcPr>
            <w:tcW w:w="1028" w:type="dxa"/>
            <w:shd w:val="clear" w:color="auto" w:fill="auto"/>
            <w:noWrap/>
            <w:vAlign w:val="bottom"/>
            <w:hideMark/>
          </w:tcPr>
          <w:p w14:paraId="59601085"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62,9</w:t>
            </w:r>
          </w:p>
        </w:tc>
      </w:tr>
      <w:tr w:rsidR="00100248" w:rsidRPr="00A93D69" w14:paraId="53F497A7" w14:textId="77777777" w:rsidTr="000A29B8">
        <w:trPr>
          <w:trHeight w:val="240"/>
        </w:trPr>
        <w:tc>
          <w:tcPr>
            <w:tcW w:w="2674" w:type="dxa"/>
            <w:tcBorders>
              <w:bottom w:val="single" w:sz="4" w:space="0" w:color="auto"/>
            </w:tcBorders>
            <w:shd w:val="clear" w:color="auto" w:fill="auto"/>
            <w:noWrap/>
            <w:hideMark/>
          </w:tcPr>
          <w:p w14:paraId="5EFBA4C4" w14:textId="77777777" w:rsidR="00100248" w:rsidRPr="00A93D69" w:rsidRDefault="00100248" w:rsidP="00100248">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A93D69">
              <w:rPr>
                <w:sz w:val="18"/>
                <w:lang w:val="es-ES_tradnl"/>
              </w:rPr>
              <w:t xml:space="preserve">Porcentaje de mujeres </w:t>
            </w:r>
          </w:p>
        </w:tc>
        <w:tc>
          <w:tcPr>
            <w:tcW w:w="952" w:type="dxa"/>
            <w:tcBorders>
              <w:bottom w:val="single" w:sz="4" w:space="0" w:color="auto"/>
            </w:tcBorders>
            <w:shd w:val="clear" w:color="auto" w:fill="auto"/>
            <w:noWrap/>
            <w:vAlign w:val="bottom"/>
            <w:hideMark/>
          </w:tcPr>
          <w:p w14:paraId="76ECE252"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50,3</w:t>
            </w:r>
          </w:p>
        </w:tc>
        <w:tc>
          <w:tcPr>
            <w:tcW w:w="1064" w:type="dxa"/>
            <w:tcBorders>
              <w:bottom w:val="single" w:sz="4" w:space="0" w:color="auto"/>
            </w:tcBorders>
            <w:shd w:val="clear" w:color="auto" w:fill="auto"/>
            <w:noWrap/>
            <w:vAlign w:val="bottom"/>
            <w:hideMark/>
          </w:tcPr>
          <w:p w14:paraId="78B34BF0"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50,2</w:t>
            </w:r>
          </w:p>
        </w:tc>
        <w:tc>
          <w:tcPr>
            <w:tcW w:w="993" w:type="dxa"/>
            <w:tcBorders>
              <w:bottom w:val="single" w:sz="4" w:space="0" w:color="auto"/>
            </w:tcBorders>
            <w:shd w:val="clear" w:color="auto" w:fill="auto"/>
            <w:noWrap/>
            <w:vAlign w:val="bottom"/>
            <w:hideMark/>
          </w:tcPr>
          <w:p w14:paraId="1175229D"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50,2</w:t>
            </w:r>
          </w:p>
        </w:tc>
        <w:tc>
          <w:tcPr>
            <w:tcW w:w="938" w:type="dxa"/>
            <w:tcBorders>
              <w:bottom w:val="single" w:sz="4" w:space="0" w:color="auto"/>
            </w:tcBorders>
            <w:shd w:val="clear" w:color="auto" w:fill="auto"/>
            <w:noWrap/>
            <w:vAlign w:val="bottom"/>
            <w:hideMark/>
          </w:tcPr>
          <w:p w14:paraId="55BD8E37"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50,2</w:t>
            </w:r>
          </w:p>
        </w:tc>
        <w:tc>
          <w:tcPr>
            <w:tcW w:w="1022" w:type="dxa"/>
            <w:tcBorders>
              <w:bottom w:val="single" w:sz="4" w:space="0" w:color="auto"/>
            </w:tcBorders>
            <w:shd w:val="clear" w:color="auto" w:fill="auto"/>
            <w:noWrap/>
            <w:vAlign w:val="bottom"/>
            <w:hideMark/>
          </w:tcPr>
          <w:p w14:paraId="6405C220"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50,2</w:t>
            </w:r>
          </w:p>
        </w:tc>
        <w:tc>
          <w:tcPr>
            <w:tcW w:w="966" w:type="dxa"/>
            <w:tcBorders>
              <w:bottom w:val="single" w:sz="4" w:space="0" w:color="auto"/>
            </w:tcBorders>
            <w:shd w:val="clear" w:color="auto" w:fill="auto"/>
            <w:noWrap/>
            <w:vAlign w:val="bottom"/>
            <w:hideMark/>
          </w:tcPr>
          <w:p w14:paraId="4BF51FEA"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50,2</w:t>
            </w:r>
          </w:p>
        </w:tc>
        <w:tc>
          <w:tcPr>
            <w:tcW w:w="1028" w:type="dxa"/>
            <w:tcBorders>
              <w:bottom w:val="single" w:sz="4" w:space="0" w:color="auto"/>
            </w:tcBorders>
            <w:shd w:val="clear" w:color="auto" w:fill="auto"/>
            <w:noWrap/>
            <w:vAlign w:val="bottom"/>
            <w:hideMark/>
          </w:tcPr>
          <w:p w14:paraId="15D62921"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50,2</w:t>
            </w:r>
          </w:p>
        </w:tc>
      </w:tr>
      <w:tr w:rsidR="00100248" w:rsidRPr="00A93D69" w14:paraId="7EAD0B9C" w14:textId="77777777" w:rsidTr="000F4C6D">
        <w:trPr>
          <w:trHeight w:val="240"/>
        </w:trPr>
        <w:tc>
          <w:tcPr>
            <w:tcW w:w="9637" w:type="dxa"/>
            <w:gridSpan w:val="8"/>
            <w:tcBorders>
              <w:top w:val="single" w:sz="4" w:space="0" w:color="auto"/>
              <w:bottom w:val="single" w:sz="4" w:space="0" w:color="auto"/>
            </w:tcBorders>
            <w:shd w:val="clear" w:color="auto" w:fill="auto"/>
            <w:noWrap/>
            <w:hideMark/>
          </w:tcPr>
          <w:p w14:paraId="3D40EC11" w14:textId="77777777" w:rsidR="00100248" w:rsidRPr="000F4C6D" w:rsidRDefault="00100248" w:rsidP="00100248">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0F4C6D">
              <w:rPr>
                <w:sz w:val="18"/>
                <w:lang w:val="es-ES_tradnl"/>
              </w:rPr>
              <w:t>Porcentajes de distribución por franja de edad</w:t>
            </w:r>
          </w:p>
        </w:tc>
      </w:tr>
      <w:tr w:rsidR="00100248" w:rsidRPr="00A93D69" w14:paraId="21FF02C7" w14:textId="77777777" w:rsidTr="000A29B8">
        <w:trPr>
          <w:trHeight w:val="240"/>
        </w:trPr>
        <w:tc>
          <w:tcPr>
            <w:tcW w:w="2674" w:type="dxa"/>
            <w:tcBorders>
              <w:top w:val="single" w:sz="4" w:space="0" w:color="auto"/>
            </w:tcBorders>
            <w:shd w:val="clear" w:color="auto" w:fill="auto"/>
            <w:noWrap/>
            <w:hideMark/>
          </w:tcPr>
          <w:p w14:paraId="4FA34BCB" w14:textId="77777777" w:rsidR="00100248" w:rsidRPr="000F4C6D" w:rsidRDefault="00100248" w:rsidP="00100248">
            <w:pPr>
              <w:pStyle w:val="SingleTxtG"/>
              <w:tabs>
                <w:tab w:val="clear" w:pos="1701"/>
                <w:tab w:val="clear" w:pos="2268"/>
                <w:tab w:val="clear" w:pos="2835"/>
              </w:tabs>
              <w:spacing w:before="40" w:after="40" w:line="220" w:lineRule="exact"/>
              <w:ind w:left="0" w:right="0"/>
              <w:jc w:val="left"/>
              <w:rPr>
                <w:rFonts w:eastAsia="Calibri"/>
                <w:b/>
                <w:sz w:val="18"/>
                <w:lang w:val="es-ES_tradnl"/>
              </w:rPr>
            </w:pPr>
            <w:r w:rsidRPr="000F4C6D">
              <w:rPr>
                <w:b/>
                <w:sz w:val="18"/>
                <w:lang w:val="es-ES_tradnl"/>
              </w:rPr>
              <w:t>A nivel nacional</w:t>
            </w:r>
          </w:p>
        </w:tc>
        <w:tc>
          <w:tcPr>
            <w:tcW w:w="952" w:type="dxa"/>
            <w:tcBorders>
              <w:top w:val="single" w:sz="4" w:space="0" w:color="auto"/>
            </w:tcBorders>
            <w:shd w:val="clear" w:color="auto" w:fill="auto"/>
            <w:noWrap/>
            <w:vAlign w:val="bottom"/>
            <w:hideMark/>
          </w:tcPr>
          <w:p w14:paraId="469F88C8"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bCs/>
                <w:sz w:val="18"/>
                <w:rtl/>
                <w:lang w:val="es-ES_tradnl"/>
              </w:rPr>
            </w:pPr>
          </w:p>
        </w:tc>
        <w:tc>
          <w:tcPr>
            <w:tcW w:w="1064" w:type="dxa"/>
            <w:tcBorders>
              <w:top w:val="single" w:sz="4" w:space="0" w:color="auto"/>
            </w:tcBorders>
            <w:shd w:val="clear" w:color="auto" w:fill="auto"/>
            <w:noWrap/>
            <w:vAlign w:val="bottom"/>
            <w:hideMark/>
          </w:tcPr>
          <w:p w14:paraId="714F38EB"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993" w:type="dxa"/>
            <w:tcBorders>
              <w:top w:val="single" w:sz="4" w:space="0" w:color="auto"/>
            </w:tcBorders>
            <w:shd w:val="clear" w:color="auto" w:fill="auto"/>
            <w:noWrap/>
            <w:vAlign w:val="bottom"/>
            <w:hideMark/>
          </w:tcPr>
          <w:p w14:paraId="07478E87"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938" w:type="dxa"/>
            <w:tcBorders>
              <w:top w:val="single" w:sz="4" w:space="0" w:color="auto"/>
            </w:tcBorders>
            <w:shd w:val="clear" w:color="auto" w:fill="auto"/>
            <w:noWrap/>
            <w:vAlign w:val="bottom"/>
            <w:hideMark/>
          </w:tcPr>
          <w:p w14:paraId="5F338DF5"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022" w:type="dxa"/>
            <w:tcBorders>
              <w:top w:val="single" w:sz="4" w:space="0" w:color="auto"/>
            </w:tcBorders>
            <w:shd w:val="clear" w:color="auto" w:fill="auto"/>
            <w:noWrap/>
            <w:vAlign w:val="bottom"/>
            <w:hideMark/>
          </w:tcPr>
          <w:p w14:paraId="57D9E3B1"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966" w:type="dxa"/>
            <w:tcBorders>
              <w:top w:val="single" w:sz="4" w:space="0" w:color="auto"/>
            </w:tcBorders>
            <w:shd w:val="clear" w:color="auto" w:fill="auto"/>
            <w:noWrap/>
            <w:vAlign w:val="bottom"/>
            <w:hideMark/>
          </w:tcPr>
          <w:p w14:paraId="5D00E886"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028" w:type="dxa"/>
            <w:tcBorders>
              <w:top w:val="single" w:sz="4" w:space="0" w:color="auto"/>
            </w:tcBorders>
            <w:shd w:val="clear" w:color="auto" w:fill="auto"/>
            <w:noWrap/>
            <w:vAlign w:val="bottom"/>
            <w:hideMark/>
          </w:tcPr>
          <w:p w14:paraId="06E533C0"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r>
      <w:tr w:rsidR="00100248" w:rsidRPr="00A93D69" w14:paraId="0AF3092A" w14:textId="77777777" w:rsidTr="000A29B8">
        <w:trPr>
          <w:trHeight w:val="240"/>
        </w:trPr>
        <w:tc>
          <w:tcPr>
            <w:tcW w:w="2674" w:type="dxa"/>
            <w:shd w:val="clear" w:color="auto" w:fill="auto"/>
            <w:noWrap/>
            <w:hideMark/>
          </w:tcPr>
          <w:p w14:paraId="4F1A3E58" w14:textId="77777777" w:rsidR="00100248" w:rsidRPr="00A93D69" w:rsidRDefault="00100248" w:rsidP="00694EFF">
            <w:pPr>
              <w:pStyle w:val="SingleTxtG"/>
              <w:tabs>
                <w:tab w:val="clear" w:pos="1701"/>
                <w:tab w:val="clear" w:pos="2268"/>
                <w:tab w:val="clear" w:pos="2835"/>
              </w:tabs>
              <w:spacing w:before="40" w:after="40" w:line="220" w:lineRule="exact"/>
              <w:ind w:left="0" w:right="0" w:firstLine="170"/>
              <w:jc w:val="left"/>
              <w:rPr>
                <w:rFonts w:eastAsia="Calibri"/>
                <w:sz w:val="18"/>
                <w:lang w:val="es-ES_tradnl"/>
              </w:rPr>
            </w:pPr>
            <w:r w:rsidRPr="00A93D69">
              <w:rPr>
                <w:sz w:val="18"/>
                <w:lang w:val="es-ES_tradnl"/>
              </w:rPr>
              <w:t xml:space="preserve">De 0 a 14 años </w:t>
            </w:r>
          </w:p>
        </w:tc>
        <w:tc>
          <w:tcPr>
            <w:tcW w:w="952" w:type="dxa"/>
            <w:shd w:val="clear" w:color="auto" w:fill="auto"/>
            <w:noWrap/>
            <w:vAlign w:val="bottom"/>
            <w:hideMark/>
          </w:tcPr>
          <w:p w14:paraId="3CD69CB2"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27,3</w:t>
            </w:r>
          </w:p>
        </w:tc>
        <w:tc>
          <w:tcPr>
            <w:tcW w:w="1064" w:type="dxa"/>
            <w:shd w:val="clear" w:color="auto" w:fill="auto"/>
            <w:noWrap/>
            <w:vAlign w:val="bottom"/>
            <w:hideMark/>
          </w:tcPr>
          <w:p w14:paraId="104633A1"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28,2</w:t>
            </w:r>
          </w:p>
        </w:tc>
        <w:tc>
          <w:tcPr>
            <w:tcW w:w="993" w:type="dxa"/>
            <w:shd w:val="clear" w:color="auto" w:fill="auto"/>
            <w:noWrap/>
            <w:vAlign w:val="bottom"/>
            <w:hideMark/>
          </w:tcPr>
          <w:p w14:paraId="70376E98"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27,8</w:t>
            </w:r>
          </w:p>
        </w:tc>
        <w:tc>
          <w:tcPr>
            <w:tcW w:w="938" w:type="dxa"/>
            <w:shd w:val="clear" w:color="auto" w:fill="auto"/>
            <w:noWrap/>
            <w:vAlign w:val="bottom"/>
            <w:hideMark/>
          </w:tcPr>
          <w:p w14:paraId="199AA586"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27,4</w:t>
            </w:r>
          </w:p>
        </w:tc>
        <w:tc>
          <w:tcPr>
            <w:tcW w:w="1022" w:type="dxa"/>
            <w:shd w:val="clear" w:color="auto" w:fill="auto"/>
            <w:noWrap/>
            <w:vAlign w:val="bottom"/>
            <w:hideMark/>
          </w:tcPr>
          <w:p w14:paraId="5CCCB329"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27,0</w:t>
            </w:r>
          </w:p>
        </w:tc>
        <w:tc>
          <w:tcPr>
            <w:tcW w:w="966" w:type="dxa"/>
            <w:shd w:val="clear" w:color="auto" w:fill="auto"/>
            <w:noWrap/>
            <w:vAlign w:val="bottom"/>
            <w:hideMark/>
          </w:tcPr>
          <w:p w14:paraId="34020F8D"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26,6</w:t>
            </w:r>
          </w:p>
        </w:tc>
        <w:tc>
          <w:tcPr>
            <w:tcW w:w="1028" w:type="dxa"/>
            <w:shd w:val="clear" w:color="auto" w:fill="auto"/>
            <w:noWrap/>
            <w:vAlign w:val="bottom"/>
            <w:hideMark/>
          </w:tcPr>
          <w:p w14:paraId="4E1B5E07"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26,3</w:t>
            </w:r>
          </w:p>
        </w:tc>
      </w:tr>
      <w:tr w:rsidR="00100248" w:rsidRPr="00A93D69" w14:paraId="2A495565" w14:textId="77777777" w:rsidTr="000A29B8">
        <w:trPr>
          <w:trHeight w:val="240"/>
        </w:trPr>
        <w:tc>
          <w:tcPr>
            <w:tcW w:w="2674" w:type="dxa"/>
            <w:shd w:val="clear" w:color="auto" w:fill="auto"/>
            <w:noWrap/>
            <w:hideMark/>
          </w:tcPr>
          <w:p w14:paraId="28B342D6" w14:textId="77777777" w:rsidR="00100248" w:rsidRPr="00A93D69" w:rsidRDefault="00100248" w:rsidP="00694EFF">
            <w:pPr>
              <w:pStyle w:val="SingleTxtG"/>
              <w:tabs>
                <w:tab w:val="clear" w:pos="1701"/>
                <w:tab w:val="clear" w:pos="2268"/>
                <w:tab w:val="clear" w:pos="2835"/>
              </w:tabs>
              <w:spacing w:before="40" w:after="40" w:line="220" w:lineRule="exact"/>
              <w:ind w:left="0" w:right="0" w:firstLine="170"/>
              <w:jc w:val="left"/>
              <w:rPr>
                <w:rFonts w:eastAsia="Calibri"/>
                <w:sz w:val="18"/>
                <w:lang w:val="es-ES_tradnl"/>
              </w:rPr>
            </w:pPr>
            <w:r w:rsidRPr="00A93D69">
              <w:rPr>
                <w:sz w:val="18"/>
                <w:lang w:val="es-ES_tradnl"/>
              </w:rPr>
              <w:t xml:space="preserve">De 15 a 24 años </w:t>
            </w:r>
          </w:p>
        </w:tc>
        <w:tc>
          <w:tcPr>
            <w:tcW w:w="952" w:type="dxa"/>
            <w:shd w:val="clear" w:color="auto" w:fill="auto"/>
            <w:noWrap/>
            <w:vAlign w:val="bottom"/>
            <w:hideMark/>
          </w:tcPr>
          <w:p w14:paraId="0017D686"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19,7</w:t>
            </w:r>
          </w:p>
        </w:tc>
        <w:tc>
          <w:tcPr>
            <w:tcW w:w="1064" w:type="dxa"/>
            <w:shd w:val="clear" w:color="auto" w:fill="auto"/>
            <w:noWrap/>
            <w:vAlign w:val="bottom"/>
            <w:hideMark/>
          </w:tcPr>
          <w:p w14:paraId="2D8D90CC"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18,0</w:t>
            </w:r>
          </w:p>
        </w:tc>
        <w:tc>
          <w:tcPr>
            <w:tcW w:w="993" w:type="dxa"/>
            <w:shd w:val="clear" w:color="auto" w:fill="auto"/>
            <w:noWrap/>
            <w:vAlign w:val="bottom"/>
            <w:hideMark/>
          </w:tcPr>
          <w:p w14:paraId="2AF8ABD8"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17,8</w:t>
            </w:r>
          </w:p>
        </w:tc>
        <w:tc>
          <w:tcPr>
            <w:tcW w:w="938" w:type="dxa"/>
            <w:shd w:val="clear" w:color="auto" w:fill="auto"/>
            <w:noWrap/>
            <w:vAlign w:val="bottom"/>
            <w:hideMark/>
          </w:tcPr>
          <w:p w14:paraId="20E53465"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17,5</w:t>
            </w:r>
          </w:p>
        </w:tc>
        <w:tc>
          <w:tcPr>
            <w:tcW w:w="1022" w:type="dxa"/>
            <w:shd w:val="clear" w:color="auto" w:fill="auto"/>
            <w:noWrap/>
            <w:vAlign w:val="bottom"/>
            <w:hideMark/>
          </w:tcPr>
          <w:p w14:paraId="1417BFA4"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17,3</w:t>
            </w:r>
          </w:p>
        </w:tc>
        <w:tc>
          <w:tcPr>
            <w:tcW w:w="966" w:type="dxa"/>
            <w:shd w:val="clear" w:color="auto" w:fill="auto"/>
            <w:noWrap/>
            <w:vAlign w:val="bottom"/>
            <w:hideMark/>
          </w:tcPr>
          <w:p w14:paraId="6E1FABDA"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17,0</w:t>
            </w:r>
          </w:p>
        </w:tc>
        <w:tc>
          <w:tcPr>
            <w:tcW w:w="1028" w:type="dxa"/>
            <w:shd w:val="clear" w:color="auto" w:fill="auto"/>
            <w:noWrap/>
            <w:vAlign w:val="bottom"/>
            <w:hideMark/>
          </w:tcPr>
          <w:p w14:paraId="5010A9A7"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16,8</w:t>
            </w:r>
          </w:p>
        </w:tc>
      </w:tr>
      <w:tr w:rsidR="00100248" w:rsidRPr="00A93D69" w14:paraId="1745C9F1" w14:textId="77777777" w:rsidTr="000A29B8">
        <w:trPr>
          <w:trHeight w:val="240"/>
        </w:trPr>
        <w:tc>
          <w:tcPr>
            <w:tcW w:w="2674" w:type="dxa"/>
            <w:shd w:val="clear" w:color="auto" w:fill="auto"/>
            <w:noWrap/>
            <w:hideMark/>
          </w:tcPr>
          <w:p w14:paraId="5A5DC27B" w14:textId="77777777" w:rsidR="00100248" w:rsidRPr="00A93D69" w:rsidRDefault="00100248" w:rsidP="00694EFF">
            <w:pPr>
              <w:pStyle w:val="SingleTxtG"/>
              <w:tabs>
                <w:tab w:val="clear" w:pos="1701"/>
                <w:tab w:val="clear" w:pos="2268"/>
                <w:tab w:val="clear" w:pos="2835"/>
              </w:tabs>
              <w:spacing w:before="40" w:after="40" w:line="220" w:lineRule="exact"/>
              <w:ind w:left="0" w:right="0" w:firstLine="170"/>
              <w:jc w:val="left"/>
              <w:rPr>
                <w:rFonts w:eastAsia="Calibri"/>
                <w:sz w:val="18"/>
                <w:lang w:val="es-ES_tradnl"/>
              </w:rPr>
            </w:pPr>
            <w:r w:rsidRPr="00A93D69">
              <w:rPr>
                <w:sz w:val="18"/>
                <w:lang w:val="es-ES_tradnl"/>
              </w:rPr>
              <w:t xml:space="preserve">De 25 a 59 años </w:t>
            </w:r>
          </w:p>
        </w:tc>
        <w:tc>
          <w:tcPr>
            <w:tcW w:w="952" w:type="dxa"/>
            <w:shd w:val="clear" w:color="auto" w:fill="auto"/>
            <w:noWrap/>
            <w:vAlign w:val="bottom"/>
            <w:hideMark/>
          </w:tcPr>
          <w:p w14:paraId="59FACAC3"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44,4</w:t>
            </w:r>
          </w:p>
        </w:tc>
        <w:tc>
          <w:tcPr>
            <w:tcW w:w="1064" w:type="dxa"/>
            <w:shd w:val="clear" w:color="auto" w:fill="auto"/>
            <w:noWrap/>
            <w:vAlign w:val="bottom"/>
            <w:hideMark/>
          </w:tcPr>
          <w:p w14:paraId="05419221"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44,4</w:t>
            </w:r>
          </w:p>
        </w:tc>
        <w:tc>
          <w:tcPr>
            <w:tcW w:w="993" w:type="dxa"/>
            <w:shd w:val="clear" w:color="auto" w:fill="auto"/>
            <w:noWrap/>
            <w:vAlign w:val="bottom"/>
            <w:hideMark/>
          </w:tcPr>
          <w:p w14:paraId="3F8FB60F"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44,8</w:t>
            </w:r>
          </w:p>
        </w:tc>
        <w:tc>
          <w:tcPr>
            <w:tcW w:w="938" w:type="dxa"/>
            <w:shd w:val="clear" w:color="auto" w:fill="auto"/>
            <w:noWrap/>
            <w:vAlign w:val="bottom"/>
            <w:hideMark/>
          </w:tcPr>
          <w:p w14:paraId="07482E87"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45,2</w:t>
            </w:r>
          </w:p>
        </w:tc>
        <w:tc>
          <w:tcPr>
            <w:tcW w:w="1022" w:type="dxa"/>
            <w:shd w:val="clear" w:color="auto" w:fill="auto"/>
            <w:noWrap/>
            <w:vAlign w:val="bottom"/>
            <w:hideMark/>
          </w:tcPr>
          <w:p w14:paraId="772D92AF"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45,5</w:t>
            </w:r>
          </w:p>
        </w:tc>
        <w:tc>
          <w:tcPr>
            <w:tcW w:w="966" w:type="dxa"/>
            <w:shd w:val="clear" w:color="auto" w:fill="auto"/>
            <w:noWrap/>
            <w:vAlign w:val="bottom"/>
            <w:hideMark/>
          </w:tcPr>
          <w:p w14:paraId="2A6132C5"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45,8</w:t>
            </w:r>
          </w:p>
        </w:tc>
        <w:tc>
          <w:tcPr>
            <w:tcW w:w="1028" w:type="dxa"/>
            <w:shd w:val="clear" w:color="auto" w:fill="auto"/>
            <w:noWrap/>
            <w:vAlign w:val="bottom"/>
            <w:hideMark/>
          </w:tcPr>
          <w:p w14:paraId="6DE57852"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46,0</w:t>
            </w:r>
          </w:p>
        </w:tc>
      </w:tr>
      <w:tr w:rsidR="00100248" w:rsidRPr="00A93D69" w14:paraId="32CB11CC" w14:textId="77777777" w:rsidTr="000A29B8">
        <w:trPr>
          <w:trHeight w:val="240"/>
        </w:trPr>
        <w:tc>
          <w:tcPr>
            <w:tcW w:w="2674" w:type="dxa"/>
            <w:shd w:val="clear" w:color="auto" w:fill="auto"/>
            <w:noWrap/>
            <w:hideMark/>
          </w:tcPr>
          <w:p w14:paraId="6B60E89B" w14:textId="63860654" w:rsidR="00100248" w:rsidRPr="00A93D69" w:rsidRDefault="00100248" w:rsidP="00694EFF">
            <w:pPr>
              <w:pStyle w:val="SingleTxtG"/>
              <w:tabs>
                <w:tab w:val="clear" w:pos="1701"/>
                <w:tab w:val="clear" w:pos="2268"/>
                <w:tab w:val="clear" w:pos="2835"/>
              </w:tabs>
              <w:spacing w:before="40" w:after="40" w:line="220" w:lineRule="exact"/>
              <w:ind w:left="0" w:right="0" w:firstLine="170"/>
              <w:jc w:val="left"/>
              <w:rPr>
                <w:rFonts w:eastAsia="Calibri"/>
                <w:sz w:val="18"/>
                <w:lang w:val="es-ES_tradnl"/>
              </w:rPr>
            </w:pPr>
            <w:r w:rsidRPr="00A93D69">
              <w:rPr>
                <w:sz w:val="18"/>
                <w:lang w:val="es-ES_tradnl"/>
              </w:rPr>
              <w:t>De 60 años y más</w:t>
            </w:r>
          </w:p>
        </w:tc>
        <w:tc>
          <w:tcPr>
            <w:tcW w:w="952" w:type="dxa"/>
            <w:shd w:val="clear" w:color="auto" w:fill="auto"/>
            <w:noWrap/>
            <w:vAlign w:val="bottom"/>
            <w:hideMark/>
          </w:tcPr>
          <w:p w14:paraId="7FC87C23"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8,5</w:t>
            </w:r>
          </w:p>
        </w:tc>
        <w:tc>
          <w:tcPr>
            <w:tcW w:w="1064" w:type="dxa"/>
            <w:shd w:val="clear" w:color="auto" w:fill="auto"/>
            <w:noWrap/>
            <w:vAlign w:val="bottom"/>
            <w:hideMark/>
          </w:tcPr>
          <w:p w14:paraId="494F5867"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9,4</w:t>
            </w:r>
          </w:p>
        </w:tc>
        <w:tc>
          <w:tcPr>
            <w:tcW w:w="993" w:type="dxa"/>
            <w:shd w:val="clear" w:color="auto" w:fill="auto"/>
            <w:noWrap/>
            <w:vAlign w:val="bottom"/>
            <w:hideMark/>
          </w:tcPr>
          <w:p w14:paraId="03FF53D8"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9,6</w:t>
            </w:r>
          </w:p>
        </w:tc>
        <w:tc>
          <w:tcPr>
            <w:tcW w:w="938" w:type="dxa"/>
            <w:shd w:val="clear" w:color="auto" w:fill="auto"/>
            <w:noWrap/>
            <w:vAlign w:val="bottom"/>
            <w:hideMark/>
          </w:tcPr>
          <w:p w14:paraId="75403293"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9,9</w:t>
            </w:r>
          </w:p>
        </w:tc>
        <w:tc>
          <w:tcPr>
            <w:tcW w:w="1022" w:type="dxa"/>
            <w:shd w:val="clear" w:color="auto" w:fill="auto"/>
            <w:noWrap/>
            <w:vAlign w:val="bottom"/>
            <w:hideMark/>
          </w:tcPr>
          <w:p w14:paraId="3AE11894"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10,2</w:t>
            </w:r>
          </w:p>
        </w:tc>
        <w:tc>
          <w:tcPr>
            <w:tcW w:w="966" w:type="dxa"/>
            <w:shd w:val="clear" w:color="auto" w:fill="auto"/>
            <w:noWrap/>
            <w:vAlign w:val="bottom"/>
            <w:hideMark/>
          </w:tcPr>
          <w:p w14:paraId="6878C440"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10,5</w:t>
            </w:r>
          </w:p>
        </w:tc>
        <w:tc>
          <w:tcPr>
            <w:tcW w:w="1028" w:type="dxa"/>
            <w:shd w:val="clear" w:color="auto" w:fill="auto"/>
            <w:noWrap/>
            <w:vAlign w:val="bottom"/>
            <w:hideMark/>
          </w:tcPr>
          <w:p w14:paraId="7C0DA6F5"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10,9</w:t>
            </w:r>
          </w:p>
        </w:tc>
      </w:tr>
      <w:tr w:rsidR="00100248" w:rsidRPr="00A93D69" w14:paraId="14F96D3A" w14:textId="77777777" w:rsidTr="007053C4">
        <w:trPr>
          <w:trHeight w:val="240"/>
        </w:trPr>
        <w:tc>
          <w:tcPr>
            <w:tcW w:w="9637" w:type="dxa"/>
            <w:gridSpan w:val="8"/>
            <w:shd w:val="clear" w:color="auto" w:fill="auto"/>
            <w:noWrap/>
            <w:hideMark/>
          </w:tcPr>
          <w:p w14:paraId="2E913DB7" w14:textId="32BDCA52" w:rsidR="00100248" w:rsidRPr="00A93D69" w:rsidRDefault="00100248" w:rsidP="00100248">
            <w:pPr>
              <w:pStyle w:val="SingleTxtG"/>
              <w:tabs>
                <w:tab w:val="clear" w:pos="1701"/>
                <w:tab w:val="clear" w:pos="2268"/>
                <w:tab w:val="clear" w:pos="2835"/>
              </w:tabs>
              <w:spacing w:before="40" w:after="40" w:line="220" w:lineRule="exact"/>
              <w:ind w:left="0" w:right="0"/>
              <w:jc w:val="left"/>
              <w:rPr>
                <w:rFonts w:eastAsia="Calibri"/>
                <w:b/>
                <w:sz w:val="18"/>
                <w:lang w:val="es-ES_tradnl"/>
              </w:rPr>
            </w:pPr>
            <w:r w:rsidRPr="00A93D69">
              <w:rPr>
                <w:b/>
                <w:sz w:val="18"/>
                <w:lang w:val="es-ES_tradnl"/>
              </w:rPr>
              <w:t xml:space="preserve">A nivel urbano </w:t>
            </w:r>
          </w:p>
        </w:tc>
      </w:tr>
      <w:tr w:rsidR="00100248" w:rsidRPr="00A93D69" w14:paraId="7409619B" w14:textId="77777777" w:rsidTr="000A29B8">
        <w:trPr>
          <w:trHeight w:val="240"/>
        </w:trPr>
        <w:tc>
          <w:tcPr>
            <w:tcW w:w="2674" w:type="dxa"/>
            <w:shd w:val="clear" w:color="auto" w:fill="auto"/>
            <w:noWrap/>
            <w:hideMark/>
          </w:tcPr>
          <w:p w14:paraId="3FDFFFB8" w14:textId="77777777" w:rsidR="00100248" w:rsidRPr="00694EFF" w:rsidRDefault="00100248" w:rsidP="00694EFF">
            <w:pPr>
              <w:pStyle w:val="SingleTxtG"/>
              <w:tabs>
                <w:tab w:val="clear" w:pos="1701"/>
                <w:tab w:val="clear" w:pos="2268"/>
                <w:tab w:val="clear" w:pos="2835"/>
              </w:tabs>
              <w:spacing w:before="40" w:after="40" w:line="220" w:lineRule="exact"/>
              <w:ind w:left="0" w:right="0" w:firstLine="170"/>
              <w:jc w:val="left"/>
              <w:rPr>
                <w:sz w:val="18"/>
                <w:lang w:val="es-ES_tradnl"/>
              </w:rPr>
            </w:pPr>
            <w:r w:rsidRPr="00A93D69">
              <w:rPr>
                <w:sz w:val="18"/>
                <w:lang w:val="es-ES_tradnl"/>
              </w:rPr>
              <w:t xml:space="preserve">De 0 a 14 años </w:t>
            </w:r>
          </w:p>
        </w:tc>
        <w:tc>
          <w:tcPr>
            <w:tcW w:w="952" w:type="dxa"/>
            <w:shd w:val="clear" w:color="auto" w:fill="auto"/>
            <w:noWrap/>
            <w:vAlign w:val="bottom"/>
            <w:hideMark/>
          </w:tcPr>
          <w:p w14:paraId="0F6211C9"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25,1</w:t>
            </w:r>
          </w:p>
        </w:tc>
        <w:tc>
          <w:tcPr>
            <w:tcW w:w="1064" w:type="dxa"/>
            <w:shd w:val="clear" w:color="auto" w:fill="auto"/>
            <w:noWrap/>
            <w:vAlign w:val="bottom"/>
            <w:hideMark/>
          </w:tcPr>
          <w:p w14:paraId="4050FAA0"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26,1</w:t>
            </w:r>
          </w:p>
        </w:tc>
        <w:tc>
          <w:tcPr>
            <w:tcW w:w="993" w:type="dxa"/>
            <w:shd w:val="clear" w:color="auto" w:fill="auto"/>
            <w:noWrap/>
            <w:vAlign w:val="bottom"/>
            <w:hideMark/>
          </w:tcPr>
          <w:p w14:paraId="7DABA536"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25,7</w:t>
            </w:r>
          </w:p>
        </w:tc>
        <w:tc>
          <w:tcPr>
            <w:tcW w:w="938" w:type="dxa"/>
            <w:shd w:val="clear" w:color="auto" w:fill="auto"/>
            <w:noWrap/>
            <w:vAlign w:val="bottom"/>
            <w:hideMark/>
          </w:tcPr>
          <w:p w14:paraId="3CEE07B2"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25,3</w:t>
            </w:r>
          </w:p>
        </w:tc>
        <w:tc>
          <w:tcPr>
            <w:tcW w:w="1022" w:type="dxa"/>
            <w:shd w:val="clear" w:color="auto" w:fill="auto"/>
            <w:noWrap/>
            <w:vAlign w:val="bottom"/>
            <w:hideMark/>
          </w:tcPr>
          <w:p w14:paraId="12AA13E7"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24,9</w:t>
            </w:r>
          </w:p>
        </w:tc>
        <w:tc>
          <w:tcPr>
            <w:tcW w:w="966" w:type="dxa"/>
            <w:shd w:val="clear" w:color="auto" w:fill="auto"/>
            <w:noWrap/>
            <w:vAlign w:val="bottom"/>
            <w:hideMark/>
          </w:tcPr>
          <w:p w14:paraId="21CA4F66"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24,5</w:t>
            </w:r>
          </w:p>
        </w:tc>
        <w:tc>
          <w:tcPr>
            <w:tcW w:w="1028" w:type="dxa"/>
            <w:shd w:val="clear" w:color="auto" w:fill="auto"/>
            <w:noWrap/>
            <w:vAlign w:val="bottom"/>
            <w:hideMark/>
          </w:tcPr>
          <w:p w14:paraId="6954C4A8"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24,2</w:t>
            </w:r>
          </w:p>
        </w:tc>
      </w:tr>
      <w:tr w:rsidR="00100248" w:rsidRPr="00A93D69" w14:paraId="63FDF1A4" w14:textId="77777777" w:rsidTr="000A29B8">
        <w:trPr>
          <w:trHeight w:val="240"/>
        </w:trPr>
        <w:tc>
          <w:tcPr>
            <w:tcW w:w="2674" w:type="dxa"/>
            <w:shd w:val="clear" w:color="auto" w:fill="auto"/>
            <w:noWrap/>
            <w:hideMark/>
          </w:tcPr>
          <w:p w14:paraId="26F26BD3" w14:textId="77777777" w:rsidR="00100248" w:rsidRPr="00694EFF" w:rsidRDefault="00100248" w:rsidP="00694EFF">
            <w:pPr>
              <w:pStyle w:val="SingleTxtG"/>
              <w:tabs>
                <w:tab w:val="clear" w:pos="1701"/>
                <w:tab w:val="clear" w:pos="2268"/>
                <w:tab w:val="clear" w:pos="2835"/>
              </w:tabs>
              <w:spacing w:before="40" w:after="40" w:line="220" w:lineRule="exact"/>
              <w:ind w:left="0" w:right="0" w:firstLine="170"/>
              <w:jc w:val="left"/>
              <w:rPr>
                <w:sz w:val="18"/>
                <w:lang w:val="es-ES_tradnl"/>
              </w:rPr>
            </w:pPr>
            <w:r w:rsidRPr="00A93D69">
              <w:rPr>
                <w:sz w:val="18"/>
                <w:lang w:val="es-ES_tradnl"/>
              </w:rPr>
              <w:t xml:space="preserve">De 15 a 24 años </w:t>
            </w:r>
          </w:p>
        </w:tc>
        <w:tc>
          <w:tcPr>
            <w:tcW w:w="952" w:type="dxa"/>
            <w:shd w:val="clear" w:color="auto" w:fill="auto"/>
            <w:noWrap/>
            <w:vAlign w:val="bottom"/>
            <w:hideMark/>
          </w:tcPr>
          <w:p w14:paraId="3D1F4283"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18,4</w:t>
            </w:r>
          </w:p>
        </w:tc>
        <w:tc>
          <w:tcPr>
            <w:tcW w:w="1064" w:type="dxa"/>
            <w:shd w:val="clear" w:color="auto" w:fill="auto"/>
            <w:noWrap/>
            <w:vAlign w:val="bottom"/>
            <w:hideMark/>
          </w:tcPr>
          <w:p w14:paraId="734772A7"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17,6</w:t>
            </w:r>
          </w:p>
        </w:tc>
        <w:tc>
          <w:tcPr>
            <w:tcW w:w="993" w:type="dxa"/>
            <w:shd w:val="clear" w:color="auto" w:fill="auto"/>
            <w:noWrap/>
            <w:vAlign w:val="bottom"/>
            <w:hideMark/>
          </w:tcPr>
          <w:p w14:paraId="1706736C"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17,3</w:t>
            </w:r>
          </w:p>
        </w:tc>
        <w:tc>
          <w:tcPr>
            <w:tcW w:w="938" w:type="dxa"/>
            <w:shd w:val="clear" w:color="auto" w:fill="auto"/>
            <w:noWrap/>
            <w:vAlign w:val="bottom"/>
            <w:hideMark/>
          </w:tcPr>
          <w:p w14:paraId="6D86A85C"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17,0</w:t>
            </w:r>
          </w:p>
        </w:tc>
        <w:tc>
          <w:tcPr>
            <w:tcW w:w="1022" w:type="dxa"/>
            <w:shd w:val="clear" w:color="auto" w:fill="auto"/>
            <w:noWrap/>
            <w:vAlign w:val="bottom"/>
            <w:hideMark/>
          </w:tcPr>
          <w:p w14:paraId="61F5BF1D"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16,6</w:t>
            </w:r>
          </w:p>
        </w:tc>
        <w:tc>
          <w:tcPr>
            <w:tcW w:w="966" w:type="dxa"/>
            <w:shd w:val="clear" w:color="auto" w:fill="auto"/>
            <w:noWrap/>
            <w:vAlign w:val="bottom"/>
            <w:hideMark/>
          </w:tcPr>
          <w:p w14:paraId="2BB1B8BE"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16,3</w:t>
            </w:r>
          </w:p>
        </w:tc>
        <w:tc>
          <w:tcPr>
            <w:tcW w:w="1028" w:type="dxa"/>
            <w:shd w:val="clear" w:color="auto" w:fill="auto"/>
            <w:noWrap/>
            <w:vAlign w:val="bottom"/>
            <w:hideMark/>
          </w:tcPr>
          <w:p w14:paraId="5C091881"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15,9</w:t>
            </w:r>
          </w:p>
        </w:tc>
      </w:tr>
      <w:tr w:rsidR="00100248" w:rsidRPr="00A93D69" w14:paraId="3A2977FA" w14:textId="77777777" w:rsidTr="000A29B8">
        <w:trPr>
          <w:trHeight w:val="240"/>
        </w:trPr>
        <w:tc>
          <w:tcPr>
            <w:tcW w:w="2674" w:type="dxa"/>
            <w:shd w:val="clear" w:color="auto" w:fill="auto"/>
            <w:noWrap/>
            <w:hideMark/>
          </w:tcPr>
          <w:p w14:paraId="202C062F" w14:textId="77777777" w:rsidR="00100248" w:rsidRPr="00694EFF" w:rsidRDefault="00100248" w:rsidP="00694EFF">
            <w:pPr>
              <w:pStyle w:val="SingleTxtG"/>
              <w:tabs>
                <w:tab w:val="clear" w:pos="1701"/>
                <w:tab w:val="clear" w:pos="2268"/>
                <w:tab w:val="clear" w:pos="2835"/>
              </w:tabs>
              <w:spacing w:before="40" w:after="40" w:line="220" w:lineRule="exact"/>
              <w:ind w:left="0" w:right="0" w:firstLine="170"/>
              <w:jc w:val="left"/>
              <w:rPr>
                <w:sz w:val="18"/>
                <w:lang w:val="es-ES_tradnl"/>
              </w:rPr>
            </w:pPr>
            <w:r w:rsidRPr="00A93D69">
              <w:rPr>
                <w:sz w:val="18"/>
                <w:lang w:val="es-ES_tradnl"/>
              </w:rPr>
              <w:t xml:space="preserve">De 25 a 59 años </w:t>
            </w:r>
          </w:p>
        </w:tc>
        <w:tc>
          <w:tcPr>
            <w:tcW w:w="952" w:type="dxa"/>
            <w:shd w:val="clear" w:color="auto" w:fill="auto"/>
            <w:noWrap/>
            <w:vAlign w:val="bottom"/>
            <w:hideMark/>
          </w:tcPr>
          <w:p w14:paraId="53F5F83D"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48,1</w:t>
            </w:r>
          </w:p>
        </w:tc>
        <w:tc>
          <w:tcPr>
            <w:tcW w:w="1064" w:type="dxa"/>
            <w:shd w:val="clear" w:color="auto" w:fill="auto"/>
            <w:noWrap/>
            <w:vAlign w:val="bottom"/>
            <w:hideMark/>
          </w:tcPr>
          <w:p w14:paraId="1E411AB9"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47,1</w:t>
            </w:r>
          </w:p>
        </w:tc>
        <w:tc>
          <w:tcPr>
            <w:tcW w:w="993" w:type="dxa"/>
            <w:shd w:val="clear" w:color="auto" w:fill="auto"/>
            <w:noWrap/>
            <w:vAlign w:val="bottom"/>
            <w:hideMark/>
          </w:tcPr>
          <w:p w14:paraId="42AAE786"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47,5</w:t>
            </w:r>
          </w:p>
        </w:tc>
        <w:tc>
          <w:tcPr>
            <w:tcW w:w="938" w:type="dxa"/>
            <w:shd w:val="clear" w:color="auto" w:fill="auto"/>
            <w:noWrap/>
            <w:vAlign w:val="bottom"/>
            <w:hideMark/>
          </w:tcPr>
          <w:p w14:paraId="3180E1FD"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47,9</w:t>
            </w:r>
          </w:p>
        </w:tc>
        <w:tc>
          <w:tcPr>
            <w:tcW w:w="1022" w:type="dxa"/>
            <w:shd w:val="clear" w:color="auto" w:fill="auto"/>
            <w:noWrap/>
            <w:vAlign w:val="bottom"/>
            <w:hideMark/>
          </w:tcPr>
          <w:p w14:paraId="386A6660"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48,3</w:t>
            </w:r>
          </w:p>
        </w:tc>
        <w:tc>
          <w:tcPr>
            <w:tcW w:w="966" w:type="dxa"/>
            <w:shd w:val="clear" w:color="auto" w:fill="auto"/>
            <w:noWrap/>
            <w:vAlign w:val="bottom"/>
            <w:hideMark/>
          </w:tcPr>
          <w:p w14:paraId="64E644F1"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48,6</w:t>
            </w:r>
          </w:p>
        </w:tc>
        <w:tc>
          <w:tcPr>
            <w:tcW w:w="1028" w:type="dxa"/>
            <w:shd w:val="clear" w:color="auto" w:fill="auto"/>
            <w:noWrap/>
            <w:vAlign w:val="bottom"/>
            <w:hideMark/>
          </w:tcPr>
          <w:p w14:paraId="70EFCA1C"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48,8</w:t>
            </w:r>
          </w:p>
        </w:tc>
      </w:tr>
      <w:tr w:rsidR="00100248" w:rsidRPr="00A93D69" w14:paraId="363D1AD6" w14:textId="77777777" w:rsidTr="000A29B8">
        <w:trPr>
          <w:trHeight w:val="240"/>
        </w:trPr>
        <w:tc>
          <w:tcPr>
            <w:tcW w:w="2674" w:type="dxa"/>
            <w:shd w:val="clear" w:color="auto" w:fill="auto"/>
            <w:noWrap/>
            <w:hideMark/>
          </w:tcPr>
          <w:p w14:paraId="63EC898F" w14:textId="508E198E" w:rsidR="00100248" w:rsidRPr="00694EFF" w:rsidRDefault="00100248" w:rsidP="00694EFF">
            <w:pPr>
              <w:pStyle w:val="SingleTxtG"/>
              <w:tabs>
                <w:tab w:val="clear" w:pos="1701"/>
                <w:tab w:val="clear" w:pos="2268"/>
                <w:tab w:val="clear" w:pos="2835"/>
              </w:tabs>
              <w:spacing w:before="40" w:after="40" w:line="220" w:lineRule="exact"/>
              <w:ind w:left="0" w:right="0" w:firstLine="170"/>
              <w:jc w:val="left"/>
              <w:rPr>
                <w:sz w:val="18"/>
                <w:lang w:val="es-ES_tradnl"/>
              </w:rPr>
            </w:pPr>
            <w:r w:rsidRPr="00A93D69">
              <w:rPr>
                <w:sz w:val="18"/>
                <w:lang w:val="es-ES_tradnl"/>
              </w:rPr>
              <w:t>De 60 años y más</w:t>
            </w:r>
          </w:p>
        </w:tc>
        <w:tc>
          <w:tcPr>
            <w:tcW w:w="952" w:type="dxa"/>
            <w:shd w:val="clear" w:color="auto" w:fill="auto"/>
            <w:noWrap/>
            <w:vAlign w:val="bottom"/>
            <w:hideMark/>
          </w:tcPr>
          <w:p w14:paraId="046627B1"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8,5</w:t>
            </w:r>
          </w:p>
        </w:tc>
        <w:tc>
          <w:tcPr>
            <w:tcW w:w="1064" w:type="dxa"/>
            <w:shd w:val="clear" w:color="auto" w:fill="auto"/>
            <w:noWrap/>
            <w:vAlign w:val="bottom"/>
            <w:hideMark/>
          </w:tcPr>
          <w:p w14:paraId="5E0D64A0"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9,2</w:t>
            </w:r>
          </w:p>
        </w:tc>
        <w:tc>
          <w:tcPr>
            <w:tcW w:w="993" w:type="dxa"/>
            <w:shd w:val="clear" w:color="auto" w:fill="auto"/>
            <w:noWrap/>
            <w:vAlign w:val="bottom"/>
            <w:hideMark/>
          </w:tcPr>
          <w:p w14:paraId="42DA3839"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9,6</w:t>
            </w:r>
          </w:p>
        </w:tc>
        <w:tc>
          <w:tcPr>
            <w:tcW w:w="938" w:type="dxa"/>
            <w:shd w:val="clear" w:color="auto" w:fill="auto"/>
            <w:noWrap/>
            <w:vAlign w:val="bottom"/>
            <w:hideMark/>
          </w:tcPr>
          <w:p w14:paraId="48ABC457"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9,9</w:t>
            </w:r>
          </w:p>
        </w:tc>
        <w:tc>
          <w:tcPr>
            <w:tcW w:w="1022" w:type="dxa"/>
            <w:shd w:val="clear" w:color="auto" w:fill="auto"/>
            <w:noWrap/>
            <w:vAlign w:val="bottom"/>
            <w:hideMark/>
          </w:tcPr>
          <w:p w14:paraId="00980B16"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10,2</w:t>
            </w:r>
          </w:p>
        </w:tc>
        <w:tc>
          <w:tcPr>
            <w:tcW w:w="966" w:type="dxa"/>
            <w:shd w:val="clear" w:color="auto" w:fill="auto"/>
            <w:noWrap/>
            <w:vAlign w:val="bottom"/>
            <w:hideMark/>
          </w:tcPr>
          <w:p w14:paraId="63EDF76C"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10,6</w:t>
            </w:r>
          </w:p>
        </w:tc>
        <w:tc>
          <w:tcPr>
            <w:tcW w:w="1028" w:type="dxa"/>
            <w:shd w:val="clear" w:color="auto" w:fill="auto"/>
            <w:noWrap/>
            <w:vAlign w:val="bottom"/>
            <w:hideMark/>
          </w:tcPr>
          <w:p w14:paraId="3B39DF6D"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11,1</w:t>
            </w:r>
          </w:p>
        </w:tc>
      </w:tr>
      <w:tr w:rsidR="00100248" w:rsidRPr="00A93D69" w14:paraId="4F4DDB9C" w14:textId="77777777" w:rsidTr="000A29B8">
        <w:trPr>
          <w:trHeight w:val="240"/>
        </w:trPr>
        <w:tc>
          <w:tcPr>
            <w:tcW w:w="2674" w:type="dxa"/>
            <w:shd w:val="clear" w:color="auto" w:fill="auto"/>
            <w:noWrap/>
            <w:hideMark/>
          </w:tcPr>
          <w:p w14:paraId="613B4D18" w14:textId="76773BD1" w:rsidR="00100248" w:rsidRPr="000F4C6D" w:rsidRDefault="00100248" w:rsidP="00100248">
            <w:pPr>
              <w:pStyle w:val="SingleTxtG"/>
              <w:tabs>
                <w:tab w:val="clear" w:pos="1701"/>
                <w:tab w:val="clear" w:pos="2268"/>
                <w:tab w:val="clear" w:pos="2835"/>
              </w:tabs>
              <w:spacing w:before="40" w:after="40" w:line="220" w:lineRule="exact"/>
              <w:ind w:left="0" w:right="0"/>
              <w:jc w:val="left"/>
              <w:rPr>
                <w:rFonts w:eastAsia="Calibri"/>
                <w:b/>
                <w:sz w:val="18"/>
                <w:lang w:val="es-ES_tradnl"/>
              </w:rPr>
            </w:pPr>
            <w:r w:rsidRPr="000F4C6D">
              <w:rPr>
                <w:b/>
                <w:sz w:val="18"/>
                <w:lang w:val="es-ES_tradnl"/>
              </w:rPr>
              <w:t xml:space="preserve">Número de </w:t>
            </w:r>
            <w:proofErr w:type="gramStart"/>
            <w:r w:rsidRPr="000F4C6D">
              <w:rPr>
                <w:b/>
                <w:sz w:val="18"/>
                <w:lang w:val="es-ES_tradnl"/>
              </w:rPr>
              <w:t>familias(</w:t>
            </w:r>
            <w:proofErr w:type="gramEnd"/>
            <w:r w:rsidRPr="000F4C6D">
              <w:rPr>
                <w:b/>
                <w:sz w:val="18"/>
                <w:lang w:val="es-ES_tradnl"/>
              </w:rPr>
              <w:t>2)</w:t>
            </w:r>
          </w:p>
        </w:tc>
        <w:tc>
          <w:tcPr>
            <w:tcW w:w="952" w:type="dxa"/>
            <w:shd w:val="clear" w:color="auto" w:fill="auto"/>
            <w:noWrap/>
            <w:vAlign w:val="bottom"/>
            <w:hideMark/>
          </w:tcPr>
          <w:p w14:paraId="3B098B41" w14:textId="77777777" w:rsidR="00100248" w:rsidRPr="000F4C6D" w:rsidRDefault="00100248" w:rsidP="00100248">
            <w:pPr>
              <w:pStyle w:val="SingleTxtG"/>
              <w:tabs>
                <w:tab w:val="clear" w:pos="1701"/>
                <w:tab w:val="clear" w:pos="2268"/>
                <w:tab w:val="clear" w:pos="2835"/>
              </w:tabs>
              <w:spacing w:before="40" w:after="40" w:line="220" w:lineRule="exact"/>
              <w:ind w:left="113" w:right="0"/>
              <w:jc w:val="right"/>
              <w:rPr>
                <w:rFonts w:eastAsia="Calibri"/>
                <w:b/>
                <w:sz w:val="18"/>
                <w:lang w:val="es-ES_tradnl"/>
              </w:rPr>
            </w:pPr>
            <w:r w:rsidRPr="000F4C6D">
              <w:rPr>
                <w:b/>
                <w:sz w:val="18"/>
                <w:lang w:val="es-ES_tradnl"/>
              </w:rPr>
              <w:t>6 594</w:t>
            </w:r>
          </w:p>
        </w:tc>
        <w:tc>
          <w:tcPr>
            <w:tcW w:w="1064" w:type="dxa"/>
            <w:shd w:val="clear" w:color="auto" w:fill="auto"/>
            <w:noWrap/>
            <w:vAlign w:val="bottom"/>
            <w:hideMark/>
          </w:tcPr>
          <w:p w14:paraId="783007EA" w14:textId="77777777" w:rsidR="00100248" w:rsidRPr="000F4C6D" w:rsidRDefault="00100248" w:rsidP="00100248">
            <w:pPr>
              <w:pStyle w:val="SingleTxtG"/>
              <w:tabs>
                <w:tab w:val="clear" w:pos="1701"/>
                <w:tab w:val="clear" w:pos="2268"/>
                <w:tab w:val="clear" w:pos="2835"/>
              </w:tabs>
              <w:spacing w:before="40" w:after="40" w:line="220" w:lineRule="exact"/>
              <w:ind w:left="113" w:right="0"/>
              <w:jc w:val="right"/>
              <w:rPr>
                <w:rFonts w:eastAsia="Calibri"/>
                <w:b/>
                <w:sz w:val="18"/>
                <w:lang w:val="es-ES_tradnl"/>
              </w:rPr>
            </w:pPr>
            <w:r w:rsidRPr="000F4C6D">
              <w:rPr>
                <w:b/>
                <w:sz w:val="18"/>
                <w:lang w:val="es-ES_tradnl"/>
              </w:rPr>
              <w:t>7 314</w:t>
            </w:r>
          </w:p>
        </w:tc>
        <w:tc>
          <w:tcPr>
            <w:tcW w:w="993" w:type="dxa"/>
            <w:shd w:val="clear" w:color="auto" w:fill="auto"/>
            <w:noWrap/>
            <w:vAlign w:val="bottom"/>
            <w:hideMark/>
          </w:tcPr>
          <w:p w14:paraId="65AC8AE6" w14:textId="77777777" w:rsidR="00100248" w:rsidRPr="000F4C6D" w:rsidRDefault="00100248" w:rsidP="00100248">
            <w:pPr>
              <w:pStyle w:val="SingleTxtG"/>
              <w:tabs>
                <w:tab w:val="clear" w:pos="1701"/>
                <w:tab w:val="clear" w:pos="2268"/>
                <w:tab w:val="clear" w:pos="2835"/>
              </w:tabs>
              <w:spacing w:before="40" w:after="40" w:line="220" w:lineRule="exact"/>
              <w:ind w:left="113" w:right="0"/>
              <w:jc w:val="right"/>
              <w:rPr>
                <w:rFonts w:eastAsia="Calibri"/>
                <w:b/>
                <w:sz w:val="18"/>
                <w:lang w:val="es-ES_tradnl"/>
              </w:rPr>
            </w:pPr>
            <w:r w:rsidRPr="000F4C6D">
              <w:rPr>
                <w:b/>
                <w:sz w:val="18"/>
                <w:lang w:val="es-ES_tradnl"/>
              </w:rPr>
              <w:t>7 503</w:t>
            </w:r>
          </w:p>
        </w:tc>
        <w:tc>
          <w:tcPr>
            <w:tcW w:w="938" w:type="dxa"/>
            <w:shd w:val="clear" w:color="auto" w:fill="auto"/>
            <w:noWrap/>
            <w:vAlign w:val="bottom"/>
            <w:hideMark/>
          </w:tcPr>
          <w:p w14:paraId="2759932A" w14:textId="77777777" w:rsidR="00100248" w:rsidRPr="000F4C6D" w:rsidRDefault="00100248" w:rsidP="00100248">
            <w:pPr>
              <w:pStyle w:val="SingleTxtG"/>
              <w:tabs>
                <w:tab w:val="clear" w:pos="1701"/>
                <w:tab w:val="clear" w:pos="2268"/>
                <w:tab w:val="clear" w:pos="2835"/>
              </w:tabs>
              <w:spacing w:before="40" w:after="40" w:line="220" w:lineRule="exact"/>
              <w:ind w:left="113" w:right="0"/>
              <w:jc w:val="right"/>
              <w:rPr>
                <w:rFonts w:eastAsia="Calibri"/>
                <w:b/>
                <w:sz w:val="18"/>
                <w:lang w:val="es-ES_tradnl"/>
              </w:rPr>
            </w:pPr>
            <w:r w:rsidRPr="000F4C6D">
              <w:rPr>
                <w:b/>
                <w:sz w:val="18"/>
                <w:lang w:val="es-ES_tradnl"/>
              </w:rPr>
              <w:t>7 690</w:t>
            </w:r>
          </w:p>
        </w:tc>
        <w:tc>
          <w:tcPr>
            <w:tcW w:w="1022" w:type="dxa"/>
            <w:shd w:val="clear" w:color="auto" w:fill="auto"/>
            <w:noWrap/>
            <w:vAlign w:val="bottom"/>
            <w:hideMark/>
          </w:tcPr>
          <w:p w14:paraId="326F8488" w14:textId="77777777" w:rsidR="00100248" w:rsidRPr="000F4C6D" w:rsidRDefault="00100248" w:rsidP="00100248">
            <w:pPr>
              <w:pStyle w:val="SingleTxtG"/>
              <w:tabs>
                <w:tab w:val="clear" w:pos="1701"/>
                <w:tab w:val="clear" w:pos="2268"/>
                <w:tab w:val="clear" w:pos="2835"/>
              </w:tabs>
              <w:spacing w:before="40" w:after="40" w:line="220" w:lineRule="exact"/>
              <w:ind w:left="113" w:right="0"/>
              <w:jc w:val="right"/>
              <w:rPr>
                <w:rFonts w:eastAsia="Calibri"/>
                <w:b/>
                <w:sz w:val="18"/>
                <w:lang w:val="es-ES_tradnl"/>
              </w:rPr>
            </w:pPr>
            <w:r w:rsidRPr="000F4C6D">
              <w:rPr>
                <w:b/>
                <w:sz w:val="18"/>
                <w:lang w:val="es-ES_tradnl"/>
              </w:rPr>
              <w:t>7 877</w:t>
            </w:r>
          </w:p>
        </w:tc>
        <w:tc>
          <w:tcPr>
            <w:tcW w:w="966" w:type="dxa"/>
            <w:shd w:val="clear" w:color="auto" w:fill="auto"/>
            <w:noWrap/>
            <w:vAlign w:val="bottom"/>
            <w:hideMark/>
          </w:tcPr>
          <w:p w14:paraId="7B3C19D0" w14:textId="77777777" w:rsidR="00100248" w:rsidRPr="000F4C6D" w:rsidRDefault="00100248" w:rsidP="00100248">
            <w:pPr>
              <w:pStyle w:val="SingleTxtG"/>
              <w:tabs>
                <w:tab w:val="clear" w:pos="1701"/>
                <w:tab w:val="clear" w:pos="2268"/>
                <w:tab w:val="clear" w:pos="2835"/>
              </w:tabs>
              <w:spacing w:before="40" w:after="40" w:line="220" w:lineRule="exact"/>
              <w:ind w:left="113" w:right="0"/>
              <w:jc w:val="right"/>
              <w:rPr>
                <w:rFonts w:eastAsia="Calibri"/>
                <w:b/>
                <w:sz w:val="18"/>
                <w:lang w:val="es-ES_tradnl"/>
              </w:rPr>
            </w:pPr>
            <w:r w:rsidRPr="000F4C6D">
              <w:rPr>
                <w:b/>
                <w:sz w:val="18"/>
                <w:lang w:val="es-ES_tradnl"/>
              </w:rPr>
              <w:t>8 064</w:t>
            </w:r>
          </w:p>
        </w:tc>
        <w:tc>
          <w:tcPr>
            <w:tcW w:w="1028" w:type="dxa"/>
            <w:shd w:val="clear" w:color="auto" w:fill="auto"/>
            <w:noWrap/>
            <w:vAlign w:val="bottom"/>
            <w:hideMark/>
          </w:tcPr>
          <w:p w14:paraId="4BB73A8C" w14:textId="77777777" w:rsidR="00100248" w:rsidRPr="000F4C6D" w:rsidRDefault="00100248" w:rsidP="00100248">
            <w:pPr>
              <w:pStyle w:val="SingleTxtG"/>
              <w:tabs>
                <w:tab w:val="clear" w:pos="1701"/>
                <w:tab w:val="clear" w:pos="2268"/>
                <w:tab w:val="clear" w:pos="2835"/>
              </w:tabs>
              <w:spacing w:before="40" w:after="40" w:line="220" w:lineRule="exact"/>
              <w:ind w:left="113" w:right="0"/>
              <w:jc w:val="right"/>
              <w:rPr>
                <w:rFonts w:eastAsia="Calibri"/>
                <w:b/>
                <w:sz w:val="18"/>
                <w:lang w:val="es-ES_tradnl"/>
              </w:rPr>
            </w:pPr>
            <w:r w:rsidRPr="000F4C6D">
              <w:rPr>
                <w:b/>
                <w:sz w:val="18"/>
                <w:lang w:val="es-ES_tradnl"/>
              </w:rPr>
              <w:t>8 251</w:t>
            </w:r>
          </w:p>
        </w:tc>
      </w:tr>
      <w:tr w:rsidR="00100248" w:rsidRPr="00A93D69" w14:paraId="7B81CE84" w14:textId="77777777" w:rsidTr="000A29B8">
        <w:trPr>
          <w:trHeight w:val="240"/>
        </w:trPr>
        <w:tc>
          <w:tcPr>
            <w:tcW w:w="2674" w:type="dxa"/>
            <w:shd w:val="clear" w:color="auto" w:fill="auto"/>
            <w:noWrap/>
            <w:hideMark/>
          </w:tcPr>
          <w:p w14:paraId="78EEC5D6" w14:textId="77777777" w:rsidR="00100248" w:rsidRPr="00A93D69" w:rsidRDefault="00100248" w:rsidP="00100248">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A93D69">
              <w:rPr>
                <w:sz w:val="18"/>
                <w:lang w:val="es-ES_tradnl"/>
              </w:rPr>
              <w:t>Medio urbano</w:t>
            </w:r>
          </w:p>
        </w:tc>
        <w:tc>
          <w:tcPr>
            <w:tcW w:w="952" w:type="dxa"/>
            <w:shd w:val="clear" w:color="auto" w:fill="auto"/>
            <w:noWrap/>
            <w:vAlign w:val="bottom"/>
            <w:hideMark/>
          </w:tcPr>
          <w:p w14:paraId="7B289E98"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64,2</w:t>
            </w:r>
          </w:p>
        </w:tc>
        <w:tc>
          <w:tcPr>
            <w:tcW w:w="1064" w:type="dxa"/>
            <w:shd w:val="clear" w:color="auto" w:fill="auto"/>
            <w:noWrap/>
            <w:vAlign w:val="bottom"/>
            <w:hideMark/>
          </w:tcPr>
          <w:p w14:paraId="60593729"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65,7</w:t>
            </w:r>
          </w:p>
        </w:tc>
        <w:tc>
          <w:tcPr>
            <w:tcW w:w="993" w:type="dxa"/>
            <w:shd w:val="clear" w:color="auto" w:fill="auto"/>
            <w:noWrap/>
            <w:vAlign w:val="bottom"/>
            <w:hideMark/>
          </w:tcPr>
          <w:p w14:paraId="59A6092B"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66,3</w:t>
            </w:r>
          </w:p>
        </w:tc>
        <w:tc>
          <w:tcPr>
            <w:tcW w:w="938" w:type="dxa"/>
            <w:shd w:val="clear" w:color="auto" w:fill="auto"/>
            <w:noWrap/>
            <w:vAlign w:val="bottom"/>
            <w:hideMark/>
          </w:tcPr>
          <w:p w14:paraId="51BA9854"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66,8</w:t>
            </w:r>
          </w:p>
        </w:tc>
        <w:tc>
          <w:tcPr>
            <w:tcW w:w="1022" w:type="dxa"/>
            <w:shd w:val="clear" w:color="auto" w:fill="auto"/>
            <w:noWrap/>
            <w:vAlign w:val="bottom"/>
            <w:hideMark/>
          </w:tcPr>
          <w:p w14:paraId="7E72A2F5"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67,4</w:t>
            </w:r>
          </w:p>
        </w:tc>
        <w:tc>
          <w:tcPr>
            <w:tcW w:w="966" w:type="dxa"/>
            <w:shd w:val="clear" w:color="auto" w:fill="auto"/>
            <w:noWrap/>
            <w:vAlign w:val="bottom"/>
            <w:hideMark/>
          </w:tcPr>
          <w:p w14:paraId="0EE2860C"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67,9</w:t>
            </w:r>
          </w:p>
        </w:tc>
        <w:tc>
          <w:tcPr>
            <w:tcW w:w="1028" w:type="dxa"/>
            <w:shd w:val="clear" w:color="auto" w:fill="auto"/>
            <w:noWrap/>
            <w:vAlign w:val="bottom"/>
            <w:hideMark/>
          </w:tcPr>
          <w:p w14:paraId="233D2359"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68,4</w:t>
            </w:r>
          </w:p>
        </w:tc>
      </w:tr>
      <w:tr w:rsidR="00100248" w:rsidRPr="00A93D69" w14:paraId="6F4839AC" w14:textId="77777777" w:rsidTr="000A29B8">
        <w:trPr>
          <w:trHeight w:val="240"/>
        </w:trPr>
        <w:tc>
          <w:tcPr>
            <w:tcW w:w="2674" w:type="dxa"/>
            <w:shd w:val="clear" w:color="auto" w:fill="auto"/>
            <w:noWrap/>
            <w:hideMark/>
          </w:tcPr>
          <w:p w14:paraId="3DDC9F34" w14:textId="2DD6AF60" w:rsidR="00100248" w:rsidRPr="000F4C6D" w:rsidRDefault="00100248" w:rsidP="00100248">
            <w:pPr>
              <w:pStyle w:val="SingleTxtG"/>
              <w:tabs>
                <w:tab w:val="clear" w:pos="1701"/>
                <w:tab w:val="clear" w:pos="2268"/>
                <w:tab w:val="clear" w:pos="2835"/>
              </w:tabs>
              <w:spacing w:before="40" w:after="40" w:line="220" w:lineRule="exact"/>
              <w:ind w:left="0" w:right="0"/>
              <w:jc w:val="left"/>
              <w:rPr>
                <w:rFonts w:eastAsia="Calibri"/>
                <w:b/>
                <w:sz w:val="18"/>
                <w:lang w:val="es-ES_tradnl"/>
              </w:rPr>
            </w:pPr>
            <w:r w:rsidRPr="000F4C6D">
              <w:rPr>
                <w:b/>
                <w:sz w:val="18"/>
                <w:lang w:val="es-ES_tradnl"/>
              </w:rPr>
              <w:t>Promedio de miembros por</w:t>
            </w:r>
            <w:r w:rsidRPr="000F4C6D">
              <w:rPr>
                <w:b/>
                <w:sz w:val="18"/>
                <w:lang w:val="es-ES_tradnl"/>
              </w:rPr>
              <w:br/>
              <w:t>unidad familiar</w:t>
            </w:r>
          </w:p>
        </w:tc>
        <w:tc>
          <w:tcPr>
            <w:tcW w:w="952" w:type="dxa"/>
            <w:shd w:val="clear" w:color="auto" w:fill="auto"/>
            <w:noWrap/>
            <w:vAlign w:val="bottom"/>
            <w:hideMark/>
          </w:tcPr>
          <w:p w14:paraId="53D47477" w14:textId="77777777" w:rsidR="00100248" w:rsidRPr="000F4C6D" w:rsidRDefault="00100248" w:rsidP="00100248">
            <w:pPr>
              <w:pStyle w:val="SingleTxtG"/>
              <w:tabs>
                <w:tab w:val="clear" w:pos="1701"/>
                <w:tab w:val="clear" w:pos="2268"/>
                <w:tab w:val="clear" w:pos="2835"/>
              </w:tabs>
              <w:spacing w:before="40" w:after="40" w:line="220" w:lineRule="exact"/>
              <w:ind w:left="113" w:right="0"/>
              <w:jc w:val="right"/>
              <w:rPr>
                <w:rFonts w:eastAsia="Calibri"/>
                <w:b/>
                <w:sz w:val="18"/>
                <w:lang w:val="es-ES_tradnl"/>
              </w:rPr>
            </w:pPr>
            <w:r w:rsidRPr="000F4C6D">
              <w:rPr>
                <w:b/>
                <w:sz w:val="18"/>
                <w:lang w:val="es-ES_tradnl"/>
              </w:rPr>
              <w:t>4,9</w:t>
            </w:r>
          </w:p>
        </w:tc>
        <w:tc>
          <w:tcPr>
            <w:tcW w:w="1064" w:type="dxa"/>
            <w:shd w:val="clear" w:color="auto" w:fill="auto"/>
            <w:noWrap/>
            <w:vAlign w:val="bottom"/>
            <w:hideMark/>
          </w:tcPr>
          <w:p w14:paraId="1884EC9F" w14:textId="77777777" w:rsidR="00100248" w:rsidRPr="000F4C6D" w:rsidRDefault="00100248" w:rsidP="00100248">
            <w:pPr>
              <w:pStyle w:val="SingleTxtG"/>
              <w:tabs>
                <w:tab w:val="clear" w:pos="1701"/>
                <w:tab w:val="clear" w:pos="2268"/>
                <w:tab w:val="clear" w:pos="2835"/>
              </w:tabs>
              <w:spacing w:before="40" w:after="40" w:line="220" w:lineRule="exact"/>
              <w:ind w:left="113" w:right="0"/>
              <w:jc w:val="right"/>
              <w:rPr>
                <w:rFonts w:eastAsia="Calibri"/>
                <w:b/>
                <w:sz w:val="18"/>
                <w:lang w:val="es-ES_tradnl"/>
              </w:rPr>
            </w:pPr>
            <w:r w:rsidRPr="000F4C6D">
              <w:rPr>
                <w:b/>
                <w:sz w:val="18"/>
                <w:lang w:val="es-ES_tradnl"/>
              </w:rPr>
              <w:t>4,6</w:t>
            </w:r>
          </w:p>
        </w:tc>
        <w:tc>
          <w:tcPr>
            <w:tcW w:w="993" w:type="dxa"/>
            <w:shd w:val="clear" w:color="auto" w:fill="auto"/>
            <w:noWrap/>
            <w:vAlign w:val="bottom"/>
            <w:hideMark/>
          </w:tcPr>
          <w:p w14:paraId="3E765F1C" w14:textId="77777777" w:rsidR="00100248" w:rsidRPr="000F4C6D" w:rsidRDefault="00100248" w:rsidP="00100248">
            <w:pPr>
              <w:pStyle w:val="SingleTxtG"/>
              <w:tabs>
                <w:tab w:val="clear" w:pos="1701"/>
                <w:tab w:val="clear" w:pos="2268"/>
                <w:tab w:val="clear" w:pos="2835"/>
              </w:tabs>
              <w:spacing w:before="40" w:after="40" w:line="220" w:lineRule="exact"/>
              <w:ind w:left="113" w:right="0"/>
              <w:jc w:val="right"/>
              <w:rPr>
                <w:rFonts w:eastAsia="Calibri"/>
                <w:b/>
                <w:sz w:val="18"/>
                <w:lang w:val="es-ES_tradnl"/>
              </w:rPr>
            </w:pPr>
            <w:r w:rsidRPr="000F4C6D">
              <w:rPr>
                <w:b/>
                <w:sz w:val="18"/>
                <w:lang w:val="es-ES_tradnl"/>
              </w:rPr>
              <w:t>4,6</w:t>
            </w:r>
          </w:p>
        </w:tc>
        <w:tc>
          <w:tcPr>
            <w:tcW w:w="938" w:type="dxa"/>
            <w:shd w:val="clear" w:color="auto" w:fill="auto"/>
            <w:noWrap/>
            <w:vAlign w:val="bottom"/>
            <w:hideMark/>
          </w:tcPr>
          <w:p w14:paraId="5E2B9CB9" w14:textId="77777777" w:rsidR="00100248" w:rsidRPr="000F4C6D" w:rsidRDefault="00100248" w:rsidP="00100248">
            <w:pPr>
              <w:pStyle w:val="SingleTxtG"/>
              <w:tabs>
                <w:tab w:val="clear" w:pos="1701"/>
                <w:tab w:val="clear" w:pos="2268"/>
                <w:tab w:val="clear" w:pos="2835"/>
              </w:tabs>
              <w:spacing w:before="40" w:after="40" w:line="220" w:lineRule="exact"/>
              <w:ind w:left="113" w:right="0"/>
              <w:jc w:val="right"/>
              <w:rPr>
                <w:rFonts w:eastAsia="Calibri"/>
                <w:b/>
                <w:sz w:val="18"/>
                <w:lang w:val="es-ES_tradnl"/>
              </w:rPr>
            </w:pPr>
            <w:r w:rsidRPr="000F4C6D">
              <w:rPr>
                <w:b/>
                <w:sz w:val="18"/>
                <w:lang w:val="es-ES_tradnl"/>
              </w:rPr>
              <w:t>4,5</w:t>
            </w:r>
          </w:p>
        </w:tc>
        <w:tc>
          <w:tcPr>
            <w:tcW w:w="1022" w:type="dxa"/>
            <w:shd w:val="clear" w:color="auto" w:fill="auto"/>
            <w:noWrap/>
            <w:vAlign w:val="bottom"/>
            <w:hideMark/>
          </w:tcPr>
          <w:p w14:paraId="4A284018" w14:textId="77777777" w:rsidR="00100248" w:rsidRPr="000F4C6D" w:rsidRDefault="00100248" w:rsidP="00100248">
            <w:pPr>
              <w:pStyle w:val="SingleTxtG"/>
              <w:tabs>
                <w:tab w:val="clear" w:pos="1701"/>
                <w:tab w:val="clear" w:pos="2268"/>
                <w:tab w:val="clear" w:pos="2835"/>
              </w:tabs>
              <w:spacing w:before="40" w:after="40" w:line="220" w:lineRule="exact"/>
              <w:ind w:left="113" w:right="0"/>
              <w:jc w:val="right"/>
              <w:rPr>
                <w:rFonts w:eastAsia="Calibri"/>
                <w:b/>
                <w:sz w:val="18"/>
                <w:lang w:val="es-ES_tradnl"/>
              </w:rPr>
            </w:pPr>
            <w:r w:rsidRPr="000F4C6D">
              <w:rPr>
                <w:b/>
                <w:sz w:val="18"/>
                <w:lang w:val="es-ES_tradnl"/>
              </w:rPr>
              <w:t>4,5</w:t>
            </w:r>
          </w:p>
        </w:tc>
        <w:tc>
          <w:tcPr>
            <w:tcW w:w="966" w:type="dxa"/>
            <w:shd w:val="clear" w:color="auto" w:fill="auto"/>
            <w:noWrap/>
            <w:vAlign w:val="bottom"/>
            <w:hideMark/>
          </w:tcPr>
          <w:p w14:paraId="052FBF39" w14:textId="77777777" w:rsidR="00100248" w:rsidRPr="000F4C6D" w:rsidRDefault="00100248" w:rsidP="00100248">
            <w:pPr>
              <w:pStyle w:val="SingleTxtG"/>
              <w:tabs>
                <w:tab w:val="clear" w:pos="1701"/>
                <w:tab w:val="clear" w:pos="2268"/>
                <w:tab w:val="clear" w:pos="2835"/>
              </w:tabs>
              <w:spacing w:before="40" w:after="40" w:line="220" w:lineRule="exact"/>
              <w:ind w:left="113" w:right="0"/>
              <w:jc w:val="right"/>
              <w:rPr>
                <w:rFonts w:eastAsia="Calibri"/>
                <w:b/>
                <w:sz w:val="18"/>
                <w:lang w:val="es-ES_tradnl"/>
              </w:rPr>
            </w:pPr>
            <w:r w:rsidRPr="000F4C6D">
              <w:rPr>
                <w:b/>
                <w:sz w:val="18"/>
                <w:lang w:val="es-ES_tradnl"/>
              </w:rPr>
              <w:t>4,4</w:t>
            </w:r>
          </w:p>
        </w:tc>
        <w:tc>
          <w:tcPr>
            <w:tcW w:w="1028" w:type="dxa"/>
            <w:shd w:val="clear" w:color="auto" w:fill="auto"/>
            <w:noWrap/>
            <w:vAlign w:val="bottom"/>
            <w:hideMark/>
          </w:tcPr>
          <w:p w14:paraId="13C7B3C5" w14:textId="77777777" w:rsidR="00100248" w:rsidRPr="000F4C6D" w:rsidRDefault="00100248" w:rsidP="00100248">
            <w:pPr>
              <w:pStyle w:val="SingleTxtG"/>
              <w:tabs>
                <w:tab w:val="clear" w:pos="1701"/>
                <w:tab w:val="clear" w:pos="2268"/>
                <w:tab w:val="clear" w:pos="2835"/>
              </w:tabs>
              <w:spacing w:before="40" w:after="40" w:line="220" w:lineRule="exact"/>
              <w:ind w:left="113" w:right="0"/>
              <w:jc w:val="right"/>
              <w:rPr>
                <w:rFonts w:eastAsia="Calibri"/>
                <w:b/>
                <w:sz w:val="18"/>
                <w:lang w:val="es-ES_tradnl"/>
              </w:rPr>
            </w:pPr>
            <w:r w:rsidRPr="000F4C6D">
              <w:rPr>
                <w:b/>
                <w:sz w:val="18"/>
                <w:lang w:val="es-ES_tradnl"/>
              </w:rPr>
              <w:t>4,4</w:t>
            </w:r>
          </w:p>
        </w:tc>
      </w:tr>
      <w:tr w:rsidR="00100248" w:rsidRPr="00A93D69" w14:paraId="0939EAA4" w14:textId="77777777" w:rsidTr="000A29B8">
        <w:trPr>
          <w:trHeight w:val="240"/>
        </w:trPr>
        <w:tc>
          <w:tcPr>
            <w:tcW w:w="2674" w:type="dxa"/>
            <w:shd w:val="clear" w:color="auto" w:fill="auto"/>
            <w:noWrap/>
            <w:hideMark/>
          </w:tcPr>
          <w:p w14:paraId="40D962A9" w14:textId="77777777" w:rsidR="00100248" w:rsidRPr="00A93D69" w:rsidRDefault="00100248" w:rsidP="00100248">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A93D69">
              <w:rPr>
                <w:sz w:val="18"/>
                <w:lang w:val="es-ES_tradnl"/>
              </w:rPr>
              <w:t>Medio urbano</w:t>
            </w:r>
          </w:p>
        </w:tc>
        <w:tc>
          <w:tcPr>
            <w:tcW w:w="952" w:type="dxa"/>
            <w:shd w:val="clear" w:color="auto" w:fill="auto"/>
            <w:noWrap/>
            <w:vAlign w:val="bottom"/>
            <w:hideMark/>
          </w:tcPr>
          <w:p w14:paraId="6EAACBE0"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4,4</w:t>
            </w:r>
          </w:p>
        </w:tc>
        <w:tc>
          <w:tcPr>
            <w:tcW w:w="1064" w:type="dxa"/>
            <w:shd w:val="clear" w:color="auto" w:fill="auto"/>
            <w:noWrap/>
            <w:vAlign w:val="bottom"/>
            <w:hideMark/>
          </w:tcPr>
          <w:p w14:paraId="295C5274"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4,2</w:t>
            </w:r>
          </w:p>
        </w:tc>
        <w:tc>
          <w:tcPr>
            <w:tcW w:w="993" w:type="dxa"/>
            <w:shd w:val="clear" w:color="auto" w:fill="auto"/>
            <w:noWrap/>
            <w:vAlign w:val="bottom"/>
            <w:hideMark/>
          </w:tcPr>
          <w:p w14:paraId="55D3EC34"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4,2</w:t>
            </w:r>
          </w:p>
        </w:tc>
        <w:tc>
          <w:tcPr>
            <w:tcW w:w="938" w:type="dxa"/>
            <w:shd w:val="clear" w:color="auto" w:fill="auto"/>
            <w:noWrap/>
            <w:vAlign w:val="bottom"/>
            <w:hideMark/>
          </w:tcPr>
          <w:p w14:paraId="3E196C58"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4,1</w:t>
            </w:r>
          </w:p>
        </w:tc>
        <w:tc>
          <w:tcPr>
            <w:tcW w:w="1022" w:type="dxa"/>
            <w:shd w:val="clear" w:color="auto" w:fill="auto"/>
            <w:noWrap/>
            <w:vAlign w:val="bottom"/>
            <w:hideMark/>
          </w:tcPr>
          <w:p w14:paraId="705E438F"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4,1</w:t>
            </w:r>
          </w:p>
        </w:tc>
        <w:tc>
          <w:tcPr>
            <w:tcW w:w="966" w:type="dxa"/>
            <w:shd w:val="clear" w:color="auto" w:fill="auto"/>
            <w:noWrap/>
            <w:vAlign w:val="bottom"/>
            <w:hideMark/>
          </w:tcPr>
          <w:p w14:paraId="6B52ABC0"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4,0</w:t>
            </w:r>
          </w:p>
        </w:tc>
        <w:tc>
          <w:tcPr>
            <w:tcW w:w="1028" w:type="dxa"/>
            <w:shd w:val="clear" w:color="auto" w:fill="auto"/>
            <w:noWrap/>
            <w:vAlign w:val="bottom"/>
            <w:hideMark/>
          </w:tcPr>
          <w:p w14:paraId="5D93C6AE"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4,0</w:t>
            </w:r>
          </w:p>
        </w:tc>
      </w:tr>
      <w:tr w:rsidR="00100248" w:rsidRPr="00A93D69" w14:paraId="4AEBC550" w14:textId="77777777" w:rsidTr="000A29B8">
        <w:trPr>
          <w:trHeight w:val="240"/>
        </w:trPr>
        <w:tc>
          <w:tcPr>
            <w:tcW w:w="2674" w:type="dxa"/>
            <w:tcBorders>
              <w:bottom w:val="single" w:sz="12" w:space="0" w:color="auto"/>
            </w:tcBorders>
            <w:shd w:val="clear" w:color="auto" w:fill="auto"/>
            <w:noWrap/>
            <w:hideMark/>
          </w:tcPr>
          <w:p w14:paraId="0DEB3880" w14:textId="77777777" w:rsidR="00100248" w:rsidRPr="00A93D69" w:rsidRDefault="00100248" w:rsidP="00100248">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A93D69">
              <w:rPr>
                <w:sz w:val="18"/>
                <w:lang w:val="es-ES_tradnl"/>
              </w:rPr>
              <w:t>Medio rural</w:t>
            </w:r>
          </w:p>
        </w:tc>
        <w:tc>
          <w:tcPr>
            <w:tcW w:w="952" w:type="dxa"/>
            <w:tcBorders>
              <w:bottom w:val="single" w:sz="12" w:space="0" w:color="auto"/>
            </w:tcBorders>
            <w:shd w:val="clear" w:color="auto" w:fill="auto"/>
            <w:noWrap/>
            <w:vAlign w:val="bottom"/>
            <w:hideMark/>
          </w:tcPr>
          <w:p w14:paraId="13E32C58"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5,7</w:t>
            </w:r>
          </w:p>
        </w:tc>
        <w:tc>
          <w:tcPr>
            <w:tcW w:w="1064" w:type="dxa"/>
            <w:tcBorders>
              <w:bottom w:val="single" w:sz="12" w:space="0" w:color="auto"/>
            </w:tcBorders>
            <w:shd w:val="clear" w:color="auto" w:fill="auto"/>
            <w:noWrap/>
            <w:vAlign w:val="bottom"/>
            <w:hideMark/>
          </w:tcPr>
          <w:p w14:paraId="0D28D508"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5,3</w:t>
            </w:r>
          </w:p>
        </w:tc>
        <w:tc>
          <w:tcPr>
            <w:tcW w:w="993" w:type="dxa"/>
            <w:tcBorders>
              <w:bottom w:val="single" w:sz="12" w:space="0" w:color="auto"/>
            </w:tcBorders>
            <w:shd w:val="clear" w:color="auto" w:fill="auto"/>
            <w:noWrap/>
            <w:vAlign w:val="bottom"/>
            <w:hideMark/>
          </w:tcPr>
          <w:p w14:paraId="72815C0F"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5,5</w:t>
            </w:r>
          </w:p>
        </w:tc>
        <w:tc>
          <w:tcPr>
            <w:tcW w:w="938" w:type="dxa"/>
            <w:tcBorders>
              <w:bottom w:val="single" w:sz="12" w:space="0" w:color="auto"/>
            </w:tcBorders>
            <w:shd w:val="clear" w:color="auto" w:fill="auto"/>
            <w:noWrap/>
            <w:vAlign w:val="bottom"/>
            <w:hideMark/>
          </w:tcPr>
          <w:p w14:paraId="67B5A894"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5,4</w:t>
            </w:r>
          </w:p>
        </w:tc>
        <w:tc>
          <w:tcPr>
            <w:tcW w:w="1022" w:type="dxa"/>
            <w:tcBorders>
              <w:bottom w:val="single" w:sz="12" w:space="0" w:color="auto"/>
            </w:tcBorders>
            <w:shd w:val="clear" w:color="auto" w:fill="auto"/>
            <w:noWrap/>
            <w:vAlign w:val="bottom"/>
            <w:hideMark/>
          </w:tcPr>
          <w:p w14:paraId="3F111CCB"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5,3</w:t>
            </w:r>
          </w:p>
        </w:tc>
        <w:tc>
          <w:tcPr>
            <w:tcW w:w="966" w:type="dxa"/>
            <w:tcBorders>
              <w:bottom w:val="single" w:sz="12" w:space="0" w:color="auto"/>
            </w:tcBorders>
            <w:shd w:val="clear" w:color="auto" w:fill="auto"/>
            <w:noWrap/>
            <w:vAlign w:val="bottom"/>
            <w:hideMark/>
          </w:tcPr>
          <w:p w14:paraId="0E8A6839"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5,2</w:t>
            </w:r>
          </w:p>
        </w:tc>
        <w:tc>
          <w:tcPr>
            <w:tcW w:w="1028" w:type="dxa"/>
            <w:tcBorders>
              <w:bottom w:val="single" w:sz="12" w:space="0" w:color="auto"/>
            </w:tcBorders>
            <w:shd w:val="clear" w:color="auto" w:fill="auto"/>
            <w:noWrap/>
            <w:vAlign w:val="bottom"/>
            <w:hideMark/>
          </w:tcPr>
          <w:p w14:paraId="6ECD0954" w14:textId="77777777" w:rsidR="00100248" w:rsidRPr="00A93D69" w:rsidRDefault="00100248" w:rsidP="0010024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A93D69">
              <w:rPr>
                <w:sz w:val="18"/>
                <w:lang w:val="es-ES_tradnl"/>
              </w:rPr>
              <w:t>5,2</w:t>
            </w:r>
          </w:p>
        </w:tc>
      </w:tr>
    </w:tbl>
    <w:p w14:paraId="51FD7A2F" w14:textId="59FFD243" w:rsidR="004E0684" w:rsidRPr="006F084A" w:rsidRDefault="004E0684" w:rsidP="000F4C6D">
      <w:pPr>
        <w:pStyle w:val="SingleTxtG"/>
        <w:spacing w:before="240"/>
        <w:rPr>
          <w:rFonts w:eastAsia="Calibri"/>
        </w:rPr>
      </w:pPr>
      <w:r w:rsidRPr="006F084A">
        <w:t>14.</w:t>
      </w:r>
      <w:r w:rsidR="000F4C6D">
        <w:tab/>
      </w:r>
      <w:r w:rsidRPr="006F084A">
        <w:t>La tasa de fertilidad figura expuesta en la siguiente tabla</w:t>
      </w:r>
      <w:r w:rsidR="000F4C6D">
        <w:t>.</w:t>
      </w:r>
    </w:p>
    <w:tbl>
      <w:tblPr>
        <w:tblStyle w:val="Tablaconcuadrcula"/>
        <w:tblW w:w="963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74"/>
        <w:gridCol w:w="952"/>
        <w:gridCol w:w="1064"/>
        <w:gridCol w:w="993"/>
        <w:gridCol w:w="938"/>
        <w:gridCol w:w="1034"/>
        <w:gridCol w:w="968"/>
        <w:gridCol w:w="1014"/>
      </w:tblGrid>
      <w:tr w:rsidR="00757538" w:rsidRPr="000F4C6D" w14:paraId="056E2C97" w14:textId="77777777" w:rsidTr="000A29B8">
        <w:trPr>
          <w:trHeight w:val="240"/>
          <w:tblHeader/>
        </w:trPr>
        <w:tc>
          <w:tcPr>
            <w:tcW w:w="2674" w:type="dxa"/>
            <w:vMerge w:val="restart"/>
            <w:tcBorders>
              <w:top w:val="single" w:sz="4" w:space="0" w:color="auto"/>
            </w:tcBorders>
            <w:shd w:val="clear" w:color="auto" w:fill="auto"/>
            <w:vAlign w:val="bottom"/>
          </w:tcPr>
          <w:p w14:paraId="04453B0A" w14:textId="5616032D" w:rsidR="00757538" w:rsidRPr="007D4AFD" w:rsidRDefault="00757538" w:rsidP="000F4C6D">
            <w:pPr>
              <w:pStyle w:val="SingleTxtG"/>
              <w:tabs>
                <w:tab w:val="clear" w:pos="1701"/>
                <w:tab w:val="clear" w:pos="2268"/>
                <w:tab w:val="clear" w:pos="2835"/>
                <w:tab w:val="left" w:pos="318"/>
              </w:tabs>
              <w:spacing w:before="80" w:after="80" w:line="200" w:lineRule="exact"/>
              <w:ind w:left="0" w:right="0"/>
              <w:jc w:val="left"/>
              <w:rPr>
                <w:bCs/>
                <w:i/>
                <w:sz w:val="16"/>
                <w:lang w:val="es-ES_tradnl"/>
              </w:rPr>
            </w:pPr>
          </w:p>
        </w:tc>
        <w:tc>
          <w:tcPr>
            <w:tcW w:w="6963" w:type="dxa"/>
            <w:gridSpan w:val="7"/>
            <w:tcBorders>
              <w:top w:val="single" w:sz="4" w:space="0" w:color="auto"/>
              <w:bottom w:val="single" w:sz="4" w:space="0" w:color="auto"/>
            </w:tcBorders>
            <w:shd w:val="clear" w:color="auto" w:fill="auto"/>
            <w:vAlign w:val="bottom"/>
          </w:tcPr>
          <w:p w14:paraId="6EF69990" w14:textId="77777777" w:rsidR="00757538" w:rsidRPr="007D4AFD" w:rsidRDefault="00757538" w:rsidP="000F4C6D">
            <w:pPr>
              <w:pStyle w:val="SingleTxtG"/>
              <w:tabs>
                <w:tab w:val="clear" w:pos="1701"/>
                <w:tab w:val="clear" w:pos="2268"/>
                <w:tab w:val="clear" w:pos="2835"/>
              </w:tabs>
              <w:spacing w:before="80" w:after="80" w:line="200" w:lineRule="exact"/>
              <w:ind w:left="113" w:right="0"/>
              <w:jc w:val="center"/>
              <w:rPr>
                <w:i/>
                <w:sz w:val="16"/>
                <w:rtl/>
                <w:lang w:val="es-ES_tradnl"/>
              </w:rPr>
            </w:pPr>
            <w:r w:rsidRPr="007D4AFD">
              <w:rPr>
                <w:i/>
                <w:iCs/>
                <w:sz w:val="16"/>
                <w:lang w:val="es-ES_tradnl"/>
              </w:rPr>
              <w:t>Promedio</w:t>
            </w:r>
          </w:p>
        </w:tc>
      </w:tr>
      <w:tr w:rsidR="00E85A1E" w:rsidRPr="000F4C6D" w14:paraId="2B66BC73" w14:textId="77777777" w:rsidTr="000A29B8">
        <w:trPr>
          <w:trHeight w:val="240"/>
          <w:tblHeader/>
        </w:trPr>
        <w:tc>
          <w:tcPr>
            <w:tcW w:w="2674" w:type="dxa"/>
            <w:vMerge/>
            <w:tcBorders>
              <w:bottom w:val="single" w:sz="12" w:space="0" w:color="auto"/>
            </w:tcBorders>
            <w:shd w:val="clear" w:color="auto" w:fill="auto"/>
            <w:vAlign w:val="bottom"/>
          </w:tcPr>
          <w:p w14:paraId="6EB15952" w14:textId="77777777" w:rsidR="00757538" w:rsidRPr="007D4AFD" w:rsidRDefault="00757538" w:rsidP="000F4C6D">
            <w:pPr>
              <w:pStyle w:val="SingleTxtG"/>
              <w:tabs>
                <w:tab w:val="clear" w:pos="1701"/>
                <w:tab w:val="clear" w:pos="2268"/>
                <w:tab w:val="clear" w:pos="2835"/>
              </w:tabs>
              <w:spacing w:before="40" w:after="40" w:line="220" w:lineRule="exact"/>
              <w:ind w:left="0" w:right="0"/>
              <w:jc w:val="left"/>
              <w:rPr>
                <w:bCs/>
                <w:sz w:val="18"/>
                <w:rtl/>
                <w:lang w:val="es-ES_tradnl"/>
              </w:rPr>
            </w:pPr>
          </w:p>
        </w:tc>
        <w:tc>
          <w:tcPr>
            <w:tcW w:w="952" w:type="dxa"/>
            <w:tcBorders>
              <w:top w:val="single" w:sz="4" w:space="0" w:color="auto"/>
              <w:bottom w:val="single" w:sz="12" w:space="0" w:color="auto"/>
            </w:tcBorders>
            <w:shd w:val="clear" w:color="auto" w:fill="auto"/>
            <w:vAlign w:val="bottom"/>
          </w:tcPr>
          <w:p w14:paraId="24BC8F09" w14:textId="77777777" w:rsidR="00757538" w:rsidRPr="007D4AFD" w:rsidRDefault="00757538" w:rsidP="000F4C6D">
            <w:pPr>
              <w:pStyle w:val="SingleTxtG"/>
              <w:tabs>
                <w:tab w:val="clear" w:pos="1701"/>
                <w:tab w:val="clear" w:pos="2268"/>
                <w:tab w:val="clear" w:pos="2835"/>
              </w:tabs>
              <w:spacing w:before="80" w:after="80" w:line="200" w:lineRule="exact"/>
              <w:ind w:left="113" w:right="0"/>
              <w:jc w:val="right"/>
              <w:rPr>
                <w:i/>
                <w:iCs/>
                <w:sz w:val="16"/>
                <w:lang w:val="es-ES_tradnl"/>
              </w:rPr>
            </w:pPr>
            <w:r w:rsidRPr="007D4AFD">
              <w:rPr>
                <w:i/>
                <w:iCs/>
                <w:sz w:val="16"/>
                <w:lang w:val="es-ES_tradnl"/>
              </w:rPr>
              <w:t>2008-2013</w:t>
            </w:r>
          </w:p>
        </w:tc>
        <w:tc>
          <w:tcPr>
            <w:tcW w:w="1064" w:type="dxa"/>
            <w:tcBorders>
              <w:top w:val="single" w:sz="4" w:space="0" w:color="auto"/>
              <w:bottom w:val="single" w:sz="12" w:space="0" w:color="auto"/>
            </w:tcBorders>
            <w:shd w:val="clear" w:color="auto" w:fill="auto"/>
            <w:vAlign w:val="bottom"/>
          </w:tcPr>
          <w:p w14:paraId="70C803A4" w14:textId="77777777" w:rsidR="00757538" w:rsidRPr="007D4AFD" w:rsidRDefault="00757538" w:rsidP="000F4C6D">
            <w:pPr>
              <w:pStyle w:val="SingleTxtG"/>
              <w:tabs>
                <w:tab w:val="clear" w:pos="1701"/>
                <w:tab w:val="clear" w:pos="2268"/>
                <w:tab w:val="clear" w:pos="2835"/>
              </w:tabs>
              <w:spacing w:before="80" w:after="80" w:line="200" w:lineRule="exact"/>
              <w:ind w:left="113" w:right="0"/>
              <w:jc w:val="right"/>
              <w:rPr>
                <w:i/>
                <w:iCs/>
                <w:sz w:val="16"/>
                <w:lang w:val="es-ES_tradnl"/>
              </w:rPr>
            </w:pPr>
            <w:r w:rsidRPr="007D4AFD">
              <w:rPr>
                <w:i/>
                <w:iCs/>
                <w:sz w:val="16"/>
                <w:lang w:val="es-ES_tradnl"/>
              </w:rPr>
              <w:t>2014</w:t>
            </w:r>
          </w:p>
        </w:tc>
        <w:tc>
          <w:tcPr>
            <w:tcW w:w="993" w:type="dxa"/>
            <w:tcBorders>
              <w:top w:val="single" w:sz="4" w:space="0" w:color="auto"/>
              <w:bottom w:val="single" w:sz="12" w:space="0" w:color="auto"/>
            </w:tcBorders>
            <w:shd w:val="clear" w:color="auto" w:fill="auto"/>
            <w:vAlign w:val="bottom"/>
          </w:tcPr>
          <w:p w14:paraId="44408D55" w14:textId="77777777" w:rsidR="00757538" w:rsidRPr="007D4AFD" w:rsidRDefault="00757538" w:rsidP="000F4C6D">
            <w:pPr>
              <w:pStyle w:val="SingleTxtG"/>
              <w:tabs>
                <w:tab w:val="clear" w:pos="1701"/>
                <w:tab w:val="clear" w:pos="2268"/>
                <w:tab w:val="clear" w:pos="2835"/>
              </w:tabs>
              <w:spacing w:before="80" w:after="80" w:line="200" w:lineRule="exact"/>
              <w:ind w:left="113" w:right="0"/>
              <w:jc w:val="right"/>
              <w:rPr>
                <w:i/>
                <w:iCs/>
                <w:sz w:val="16"/>
                <w:lang w:val="es-ES_tradnl"/>
              </w:rPr>
            </w:pPr>
            <w:r w:rsidRPr="007D4AFD">
              <w:rPr>
                <w:i/>
                <w:iCs/>
                <w:sz w:val="16"/>
                <w:lang w:val="es-ES_tradnl"/>
              </w:rPr>
              <w:t>2015</w:t>
            </w:r>
          </w:p>
        </w:tc>
        <w:tc>
          <w:tcPr>
            <w:tcW w:w="938" w:type="dxa"/>
            <w:tcBorders>
              <w:top w:val="single" w:sz="4" w:space="0" w:color="auto"/>
              <w:bottom w:val="single" w:sz="12" w:space="0" w:color="auto"/>
            </w:tcBorders>
            <w:shd w:val="clear" w:color="auto" w:fill="auto"/>
            <w:vAlign w:val="bottom"/>
          </w:tcPr>
          <w:p w14:paraId="7B7ADF4D" w14:textId="77777777" w:rsidR="00757538" w:rsidRPr="007D4AFD" w:rsidRDefault="00757538" w:rsidP="000F4C6D">
            <w:pPr>
              <w:pStyle w:val="SingleTxtG"/>
              <w:tabs>
                <w:tab w:val="clear" w:pos="1701"/>
                <w:tab w:val="clear" w:pos="2268"/>
                <w:tab w:val="clear" w:pos="2835"/>
              </w:tabs>
              <w:spacing w:before="80" w:after="80" w:line="200" w:lineRule="exact"/>
              <w:ind w:left="113" w:right="0"/>
              <w:jc w:val="right"/>
              <w:rPr>
                <w:i/>
                <w:iCs/>
                <w:sz w:val="16"/>
                <w:lang w:val="es-ES_tradnl"/>
              </w:rPr>
            </w:pPr>
            <w:r w:rsidRPr="007D4AFD">
              <w:rPr>
                <w:i/>
                <w:iCs/>
                <w:sz w:val="16"/>
                <w:lang w:val="es-ES_tradnl"/>
              </w:rPr>
              <w:t>2016</w:t>
            </w:r>
          </w:p>
        </w:tc>
        <w:tc>
          <w:tcPr>
            <w:tcW w:w="1034" w:type="dxa"/>
            <w:tcBorders>
              <w:top w:val="single" w:sz="4" w:space="0" w:color="auto"/>
              <w:bottom w:val="single" w:sz="12" w:space="0" w:color="auto"/>
            </w:tcBorders>
            <w:shd w:val="clear" w:color="auto" w:fill="auto"/>
            <w:vAlign w:val="bottom"/>
          </w:tcPr>
          <w:p w14:paraId="33D57C9E" w14:textId="77777777" w:rsidR="00757538" w:rsidRPr="007D4AFD" w:rsidRDefault="00757538" w:rsidP="000F4C6D">
            <w:pPr>
              <w:pStyle w:val="SingleTxtG"/>
              <w:tabs>
                <w:tab w:val="clear" w:pos="1701"/>
                <w:tab w:val="clear" w:pos="2268"/>
                <w:tab w:val="clear" w:pos="2835"/>
              </w:tabs>
              <w:spacing w:before="80" w:after="80" w:line="200" w:lineRule="exact"/>
              <w:ind w:left="113" w:right="0"/>
              <w:jc w:val="right"/>
              <w:rPr>
                <w:i/>
                <w:iCs/>
                <w:sz w:val="16"/>
                <w:lang w:val="es-ES_tradnl"/>
              </w:rPr>
            </w:pPr>
            <w:r w:rsidRPr="007D4AFD">
              <w:rPr>
                <w:i/>
                <w:iCs/>
                <w:sz w:val="16"/>
                <w:lang w:val="es-ES_tradnl"/>
              </w:rPr>
              <w:t>2017</w:t>
            </w:r>
          </w:p>
        </w:tc>
        <w:tc>
          <w:tcPr>
            <w:tcW w:w="968" w:type="dxa"/>
            <w:tcBorders>
              <w:top w:val="single" w:sz="4" w:space="0" w:color="auto"/>
              <w:bottom w:val="single" w:sz="12" w:space="0" w:color="auto"/>
            </w:tcBorders>
            <w:shd w:val="clear" w:color="auto" w:fill="auto"/>
            <w:vAlign w:val="bottom"/>
          </w:tcPr>
          <w:p w14:paraId="201A85C1" w14:textId="77777777" w:rsidR="00757538" w:rsidRPr="007D4AFD" w:rsidRDefault="00757538" w:rsidP="000F4C6D">
            <w:pPr>
              <w:pStyle w:val="SingleTxtG"/>
              <w:tabs>
                <w:tab w:val="clear" w:pos="1701"/>
                <w:tab w:val="clear" w:pos="2268"/>
                <w:tab w:val="clear" w:pos="2835"/>
              </w:tabs>
              <w:spacing w:before="80" w:after="80" w:line="200" w:lineRule="exact"/>
              <w:ind w:left="113" w:right="0"/>
              <w:jc w:val="right"/>
              <w:rPr>
                <w:i/>
                <w:iCs/>
                <w:sz w:val="16"/>
                <w:lang w:val="es-ES_tradnl"/>
              </w:rPr>
            </w:pPr>
            <w:r w:rsidRPr="007D4AFD">
              <w:rPr>
                <w:i/>
                <w:iCs/>
                <w:sz w:val="16"/>
                <w:lang w:val="es-ES_tradnl"/>
              </w:rPr>
              <w:t>2018</w:t>
            </w:r>
          </w:p>
        </w:tc>
        <w:tc>
          <w:tcPr>
            <w:tcW w:w="1014" w:type="dxa"/>
            <w:tcBorders>
              <w:top w:val="single" w:sz="4" w:space="0" w:color="auto"/>
              <w:bottom w:val="single" w:sz="12" w:space="0" w:color="auto"/>
            </w:tcBorders>
            <w:shd w:val="clear" w:color="auto" w:fill="auto"/>
            <w:vAlign w:val="bottom"/>
          </w:tcPr>
          <w:p w14:paraId="3489F41D" w14:textId="77777777" w:rsidR="00757538" w:rsidRPr="007D4AFD" w:rsidRDefault="00757538" w:rsidP="000F4C6D">
            <w:pPr>
              <w:pStyle w:val="SingleTxtG"/>
              <w:tabs>
                <w:tab w:val="clear" w:pos="1701"/>
                <w:tab w:val="clear" w:pos="2268"/>
                <w:tab w:val="clear" w:pos="2835"/>
              </w:tabs>
              <w:spacing w:before="80" w:after="80" w:line="200" w:lineRule="exact"/>
              <w:ind w:left="113" w:right="0"/>
              <w:jc w:val="right"/>
              <w:rPr>
                <w:i/>
                <w:iCs/>
                <w:sz w:val="16"/>
                <w:lang w:val="es-ES_tradnl"/>
              </w:rPr>
            </w:pPr>
          </w:p>
        </w:tc>
      </w:tr>
      <w:tr w:rsidR="00757538" w:rsidRPr="000F4C6D" w14:paraId="55B164CD" w14:textId="77777777" w:rsidTr="000A29B8">
        <w:trPr>
          <w:trHeight w:val="240"/>
          <w:tblHeader/>
        </w:trPr>
        <w:tc>
          <w:tcPr>
            <w:tcW w:w="2674" w:type="dxa"/>
            <w:tcBorders>
              <w:top w:val="single" w:sz="12" w:space="0" w:color="auto"/>
            </w:tcBorders>
            <w:shd w:val="clear" w:color="auto" w:fill="auto"/>
            <w:vAlign w:val="bottom"/>
          </w:tcPr>
          <w:p w14:paraId="1F585F4C" w14:textId="5EE419B0" w:rsidR="004E0684" w:rsidRPr="00100248" w:rsidRDefault="00100248" w:rsidP="00100248">
            <w:pPr>
              <w:pStyle w:val="SingleTxtG"/>
              <w:tabs>
                <w:tab w:val="clear" w:pos="1701"/>
                <w:tab w:val="clear" w:pos="2268"/>
                <w:tab w:val="clear" w:pos="2835"/>
                <w:tab w:val="left" w:pos="404"/>
              </w:tabs>
              <w:spacing w:before="40" w:after="40" w:line="220" w:lineRule="exact"/>
              <w:ind w:left="404" w:right="0" w:hanging="404"/>
              <w:jc w:val="left"/>
              <w:rPr>
                <w:rFonts w:eastAsia="Calibri"/>
                <w:b/>
                <w:sz w:val="18"/>
                <w:rtl/>
                <w:lang w:val="es-ES_tradnl"/>
              </w:rPr>
            </w:pPr>
            <w:r w:rsidRPr="00100248">
              <w:rPr>
                <w:rFonts w:eastAsia="Calibri"/>
                <w:b/>
                <w:sz w:val="18"/>
                <w:lang w:val="es-ES_tradnl"/>
              </w:rPr>
              <w:t>2.</w:t>
            </w:r>
            <w:r w:rsidRPr="00100248">
              <w:rPr>
                <w:rFonts w:eastAsia="Calibri"/>
                <w:b/>
                <w:sz w:val="18"/>
                <w:lang w:val="es-ES_tradnl"/>
              </w:rPr>
              <w:tab/>
              <w:t>Tasa de fertilidad</w:t>
            </w:r>
          </w:p>
        </w:tc>
        <w:tc>
          <w:tcPr>
            <w:tcW w:w="952" w:type="dxa"/>
            <w:tcBorders>
              <w:top w:val="single" w:sz="12" w:space="0" w:color="auto"/>
            </w:tcBorders>
            <w:shd w:val="clear" w:color="auto" w:fill="auto"/>
            <w:vAlign w:val="bottom"/>
          </w:tcPr>
          <w:p w14:paraId="1C4CA015" w14:textId="77777777" w:rsidR="004E0684" w:rsidRPr="007D4AFD"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7D4AFD">
              <w:rPr>
                <w:b/>
                <w:sz w:val="18"/>
                <w:lang w:val="es-ES_tradnl"/>
              </w:rPr>
              <w:t>2,27</w:t>
            </w:r>
          </w:p>
        </w:tc>
        <w:tc>
          <w:tcPr>
            <w:tcW w:w="1064" w:type="dxa"/>
            <w:tcBorders>
              <w:top w:val="single" w:sz="12" w:space="0" w:color="auto"/>
            </w:tcBorders>
            <w:shd w:val="clear" w:color="auto" w:fill="auto"/>
            <w:vAlign w:val="bottom"/>
          </w:tcPr>
          <w:p w14:paraId="42A60551" w14:textId="77777777" w:rsidR="004E0684" w:rsidRPr="007D4AFD"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7D4AFD">
              <w:rPr>
                <w:b/>
                <w:sz w:val="18"/>
                <w:lang w:val="es-ES_tradnl"/>
              </w:rPr>
              <w:t>2,20</w:t>
            </w:r>
          </w:p>
        </w:tc>
        <w:tc>
          <w:tcPr>
            <w:tcW w:w="993" w:type="dxa"/>
            <w:tcBorders>
              <w:top w:val="single" w:sz="12" w:space="0" w:color="auto"/>
            </w:tcBorders>
            <w:shd w:val="clear" w:color="auto" w:fill="auto"/>
            <w:vAlign w:val="bottom"/>
          </w:tcPr>
          <w:p w14:paraId="7626DD66" w14:textId="77777777" w:rsidR="004E0684" w:rsidRPr="007D4AFD"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7D4AFD">
              <w:rPr>
                <w:b/>
                <w:sz w:val="18"/>
                <w:lang w:val="es-ES_tradnl"/>
              </w:rPr>
              <w:t>2,19</w:t>
            </w:r>
          </w:p>
        </w:tc>
        <w:tc>
          <w:tcPr>
            <w:tcW w:w="938" w:type="dxa"/>
            <w:tcBorders>
              <w:top w:val="single" w:sz="12" w:space="0" w:color="auto"/>
            </w:tcBorders>
            <w:shd w:val="clear" w:color="auto" w:fill="auto"/>
            <w:vAlign w:val="bottom"/>
          </w:tcPr>
          <w:p w14:paraId="4C087E40" w14:textId="77777777" w:rsidR="004E0684" w:rsidRPr="007D4AFD"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7D4AFD">
              <w:rPr>
                <w:b/>
                <w:sz w:val="18"/>
                <w:lang w:val="es-ES_tradnl"/>
              </w:rPr>
              <w:t>2,17</w:t>
            </w:r>
          </w:p>
        </w:tc>
        <w:tc>
          <w:tcPr>
            <w:tcW w:w="1034" w:type="dxa"/>
            <w:tcBorders>
              <w:top w:val="single" w:sz="12" w:space="0" w:color="auto"/>
            </w:tcBorders>
            <w:shd w:val="clear" w:color="auto" w:fill="auto"/>
            <w:vAlign w:val="bottom"/>
          </w:tcPr>
          <w:p w14:paraId="7CE0422D" w14:textId="77777777" w:rsidR="004E0684" w:rsidRPr="007D4AFD"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7D4AFD">
              <w:rPr>
                <w:b/>
                <w:sz w:val="18"/>
                <w:lang w:val="es-ES_tradnl"/>
              </w:rPr>
              <w:t>2,15</w:t>
            </w:r>
          </w:p>
        </w:tc>
        <w:tc>
          <w:tcPr>
            <w:tcW w:w="968" w:type="dxa"/>
            <w:tcBorders>
              <w:top w:val="single" w:sz="12" w:space="0" w:color="auto"/>
            </w:tcBorders>
            <w:shd w:val="clear" w:color="auto" w:fill="auto"/>
            <w:vAlign w:val="bottom"/>
          </w:tcPr>
          <w:p w14:paraId="4257ABE3" w14:textId="77777777" w:rsidR="004E0684" w:rsidRPr="007D4AFD"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7D4AFD">
              <w:rPr>
                <w:b/>
                <w:sz w:val="18"/>
                <w:lang w:val="es-ES_tradnl"/>
              </w:rPr>
              <w:t>2,38</w:t>
            </w:r>
          </w:p>
        </w:tc>
        <w:tc>
          <w:tcPr>
            <w:tcW w:w="1014" w:type="dxa"/>
            <w:tcBorders>
              <w:top w:val="single" w:sz="12" w:space="0" w:color="auto"/>
            </w:tcBorders>
            <w:shd w:val="clear" w:color="auto" w:fill="auto"/>
            <w:vAlign w:val="bottom"/>
          </w:tcPr>
          <w:p w14:paraId="386A00E7" w14:textId="77777777" w:rsidR="004E0684" w:rsidRPr="007D4AFD"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p>
        </w:tc>
      </w:tr>
      <w:tr w:rsidR="00757538" w:rsidRPr="000F4C6D" w14:paraId="20CA3A54" w14:textId="77777777" w:rsidTr="000A29B8">
        <w:trPr>
          <w:trHeight w:val="240"/>
        </w:trPr>
        <w:tc>
          <w:tcPr>
            <w:tcW w:w="2674" w:type="dxa"/>
            <w:shd w:val="clear" w:color="auto" w:fill="auto"/>
          </w:tcPr>
          <w:p w14:paraId="1174DFDF" w14:textId="77777777" w:rsidR="004E0684" w:rsidRPr="007D4AFD" w:rsidRDefault="004E0684" w:rsidP="000F4C6D">
            <w:pPr>
              <w:pStyle w:val="SingleTxtG"/>
              <w:tabs>
                <w:tab w:val="clear" w:pos="1701"/>
                <w:tab w:val="clear" w:pos="2268"/>
                <w:tab w:val="clear" w:pos="2835"/>
              </w:tabs>
              <w:spacing w:before="40" w:after="40" w:line="220" w:lineRule="exact"/>
              <w:ind w:left="0" w:right="0"/>
              <w:jc w:val="left"/>
              <w:rPr>
                <w:bCs/>
                <w:sz w:val="18"/>
                <w:lang w:val="es-ES_tradnl"/>
              </w:rPr>
            </w:pPr>
            <w:r w:rsidRPr="007D4AFD">
              <w:rPr>
                <w:bCs/>
                <w:sz w:val="18"/>
                <w:lang w:val="es-ES_tradnl"/>
              </w:rPr>
              <w:t>Medio urbano</w:t>
            </w:r>
          </w:p>
        </w:tc>
        <w:tc>
          <w:tcPr>
            <w:tcW w:w="952" w:type="dxa"/>
            <w:shd w:val="clear" w:color="auto" w:fill="auto"/>
            <w:vAlign w:val="bottom"/>
          </w:tcPr>
          <w:p w14:paraId="4BBD27DB" w14:textId="77777777" w:rsidR="004E0684" w:rsidRPr="007D4AFD"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7D4AFD">
              <w:rPr>
                <w:sz w:val="18"/>
                <w:lang w:val="es-ES_tradnl"/>
              </w:rPr>
              <w:t>1,93</w:t>
            </w:r>
          </w:p>
        </w:tc>
        <w:tc>
          <w:tcPr>
            <w:tcW w:w="1064" w:type="dxa"/>
            <w:shd w:val="clear" w:color="auto" w:fill="auto"/>
            <w:vAlign w:val="bottom"/>
          </w:tcPr>
          <w:p w14:paraId="32AEDF17" w14:textId="77777777" w:rsidR="004E0684" w:rsidRPr="007D4AFD"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7D4AFD">
              <w:rPr>
                <w:sz w:val="18"/>
                <w:lang w:val="es-ES_tradnl"/>
              </w:rPr>
              <w:t>2,00</w:t>
            </w:r>
          </w:p>
        </w:tc>
        <w:tc>
          <w:tcPr>
            <w:tcW w:w="993" w:type="dxa"/>
            <w:shd w:val="clear" w:color="auto" w:fill="auto"/>
            <w:vAlign w:val="bottom"/>
          </w:tcPr>
          <w:p w14:paraId="79B149B9" w14:textId="77777777" w:rsidR="004E0684" w:rsidRPr="007D4AFD"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7D4AFD">
              <w:rPr>
                <w:sz w:val="18"/>
                <w:lang w:val="es-ES_tradnl"/>
              </w:rPr>
              <w:t>1,99</w:t>
            </w:r>
          </w:p>
        </w:tc>
        <w:tc>
          <w:tcPr>
            <w:tcW w:w="938" w:type="dxa"/>
            <w:shd w:val="clear" w:color="auto" w:fill="auto"/>
            <w:vAlign w:val="bottom"/>
          </w:tcPr>
          <w:p w14:paraId="21662C47" w14:textId="77777777" w:rsidR="004E0684" w:rsidRPr="007D4AFD"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7D4AFD">
              <w:rPr>
                <w:sz w:val="18"/>
                <w:lang w:val="es-ES_tradnl"/>
              </w:rPr>
              <w:t>1,98</w:t>
            </w:r>
          </w:p>
        </w:tc>
        <w:tc>
          <w:tcPr>
            <w:tcW w:w="1034" w:type="dxa"/>
            <w:shd w:val="clear" w:color="auto" w:fill="auto"/>
            <w:vAlign w:val="bottom"/>
          </w:tcPr>
          <w:p w14:paraId="67BD7330" w14:textId="77777777" w:rsidR="004E0684" w:rsidRPr="007D4AFD"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7D4AFD">
              <w:rPr>
                <w:sz w:val="18"/>
                <w:lang w:val="es-ES_tradnl"/>
              </w:rPr>
              <w:t>1,96</w:t>
            </w:r>
          </w:p>
        </w:tc>
        <w:tc>
          <w:tcPr>
            <w:tcW w:w="968" w:type="dxa"/>
            <w:shd w:val="clear" w:color="auto" w:fill="auto"/>
            <w:vAlign w:val="bottom"/>
          </w:tcPr>
          <w:p w14:paraId="69F8D8A5" w14:textId="77777777" w:rsidR="004E0684" w:rsidRPr="007D4AFD"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7D4AFD">
              <w:rPr>
                <w:sz w:val="18"/>
                <w:lang w:val="es-ES_tradnl"/>
              </w:rPr>
              <w:t>2,12</w:t>
            </w:r>
          </w:p>
        </w:tc>
        <w:tc>
          <w:tcPr>
            <w:tcW w:w="1014" w:type="dxa"/>
            <w:shd w:val="clear" w:color="auto" w:fill="auto"/>
            <w:vAlign w:val="bottom"/>
          </w:tcPr>
          <w:p w14:paraId="0A9C147A" w14:textId="77777777" w:rsidR="004E0684" w:rsidRPr="007D4AFD"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p>
        </w:tc>
      </w:tr>
      <w:tr w:rsidR="000A29B8" w:rsidRPr="000F4C6D" w14:paraId="0FD74C95" w14:textId="77777777" w:rsidTr="000A29B8">
        <w:trPr>
          <w:trHeight w:val="240"/>
        </w:trPr>
        <w:tc>
          <w:tcPr>
            <w:tcW w:w="2674" w:type="dxa"/>
            <w:tcBorders>
              <w:bottom w:val="single" w:sz="4" w:space="0" w:color="auto"/>
            </w:tcBorders>
            <w:shd w:val="clear" w:color="auto" w:fill="auto"/>
          </w:tcPr>
          <w:p w14:paraId="092C703A" w14:textId="77777777" w:rsidR="004E0684" w:rsidRPr="007D4AFD" w:rsidRDefault="004E0684" w:rsidP="000F4C6D">
            <w:pPr>
              <w:pStyle w:val="SingleTxtG"/>
              <w:tabs>
                <w:tab w:val="clear" w:pos="1701"/>
                <w:tab w:val="clear" w:pos="2268"/>
                <w:tab w:val="clear" w:pos="2835"/>
              </w:tabs>
              <w:spacing w:before="40" w:after="40" w:line="220" w:lineRule="exact"/>
              <w:ind w:left="0" w:right="0"/>
              <w:jc w:val="left"/>
              <w:rPr>
                <w:bCs/>
                <w:sz w:val="18"/>
                <w:lang w:val="es-ES_tradnl"/>
              </w:rPr>
            </w:pPr>
            <w:r w:rsidRPr="007D4AFD">
              <w:rPr>
                <w:bCs/>
                <w:sz w:val="18"/>
                <w:lang w:val="es-ES_tradnl"/>
              </w:rPr>
              <w:t>Medio rural</w:t>
            </w:r>
          </w:p>
        </w:tc>
        <w:tc>
          <w:tcPr>
            <w:tcW w:w="952" w:type="dxa"/>
            <w:tcBorders>
              <w:bottom w:val="single" w:sz="4" w:space="0" w:color="auto"/>
            </w:tcBorders>
            <w:shd w:val="clear" w:color="auto" w:fill="auto"/>
            <w:vAlign w:val="bottom"/>
          </w:tcPr>
          <w:p w14:paraId="08DA0E08" w14:textId="77777777" w:rsidR="004E0684" w:rsidRPr="007D4AFD"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7D4AFD">
              <w:rPr>
                <w:sz w:val="18"/>
                <w:lang w:val="es-ES_tradnl"/>
              </w:rPr>
              <w:t>2,77</w:t>
            </w:r>
          </w:p>
        </w:tc>
        <w:tc>
          <w:tcPr>
            <w:tcW w:w="1064" w:type="dxa"/>
            <w:tcBorders>
              <w:bottom w:val="single" w:sz="4" w:space="0" w:color="auto"/>
            </w:tcBorders>
            <w:shd w:val="clear" w:color="auto" w:fill="auto"/>
            <w:vAlign w:val="bottom"/>
          </w:tcPr>
          <w:p w14:paraId="3058FBC9" w14:textId="77777777" w:rsidR="004E0684" w:rsidRPr="007D4AFD"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7D4AFD">
              <w:rPr>
                <w:sz w:val="18"/>
                <w:lang w:val="es-ES_tradnl"/>
              </w:rPr>
              <w:t>2,50</w:t>
            </w:r>
          </w:p>
        </w:tc>
        <w:tc>
          <w:tcPr>
            <w:tcW w:w="993" w:type="dxa"/>
            <w:tcBorders>
              <w:bottom w:val="single" w:sz="4" w:space="0" w:color="auto"/>
            </w:tcBorders>
            <w:shd w:val="clear" w:color="auto" w:fill="auto"/>
            <w:vAlign w:val="bottom"/>
          </w:tcPr>
          <w:p w14:paraId="60C00E4E" w14:textId="77777777" w:rsidR="004E0684" w:rsidRPr="007D4AFD"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7D4AFD">
              <w:rPr>
                <w:sz w:val="18"/>
                <w:lang w:val="es-ES_tradnl"/>
              </w:rPr>
              <w:t>2,49</w:t>
            </w:r>
          </w:p>
        </w:tc>
        <w:tc>
          <w:tcPr>
            <w:tcW w:w="938" w:type="dxa"/>
            <w:tcBorders>
              <w:bottom w:val="single" w:sz="4" w:space="0" w:color="auto"/>
            </w:tcBorders>
            <w:shd w:val="clear" w:color="auto" w:fill="auto"/>
            <w:vAlign w:val="bottom"/>
          </w:tcPr>
          <w:p w14:paraId="42F1C0B2" w14:textId="77777777" w:rsidR="004E0684" w:rsidRPr="007D4AFD"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7D4AFD">
              <w:rPr>
                <w:sz w:val="18"/>
                <w:lang w:val="es-ES_tradnl"/>
              </w:rPr>
              <w:t>2,48</w:t>
            </w:r>
          </w:p>
        </w:tc>
        <w:tc>
          <w:tcPr>
            <w:tcW w:w="1034" w:type="dxa"/>
            <w:tcBorders>
              <w:bottom w:val="single" w:sz="4" w:space="0" w:color="auto"/>
            </w:tcBorders>
            <w:shd w:val="clear" w:color="auto" w:fill="auto"/>
            <w:vAlign w:val="bottom"/>
          </w:tcPr>
          <w:p w14:paraId="4F7A37E4" w14:textId="77777777" w:rsidR="004E0684" w:rsidRPr="007D4AFD"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7D4AFD">
              <w:rPr>
                <w:sz w:val="18"/>
                <w:lang w:val="es-ES_tradnl"/>
              </w:rPr>
              <w:t>2,46</w:t>
            </w:r>
          </w:p>
        </w:tc>
        <w:tc>
          <w:tcPr>
            <w:tcW w:w="968" w:type="dxa"/>
            <w:tcBorders>
              <w:bottom w:val="single" w:sz="4" w:space="0" w:color="auto"/>
            </w:tcBorders>
            <w:shd w:val="clear" w:color="auto" w:fill="auto"/>
            <w:vAlign w:val="bottom"/>
          </w:tcPr>
          <w:p w14:paraId="1EBF0DC2" w14:textId="77777777" w:rsidR="004E0684" w:rsidRPr="007D4AFD"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7D4AFD">
              <w:rPr>
                <w:sz w:val="18"/>
                <w:lang w:val="es-ES_tradnl"/>
              </w:rPr>
              <w:t>2,80</w:t>
            </w:r>
          </w:p>
        </w:tc>
        <w:tc>
          <w:tcPr>
            <w:tcW w:w="1014" w:type="dxa"/>
            <w:tcBorders>
              <w:bottom w:val="single" w:sz="4" w:space="0" w:color="auto"/>
            </w:tcBorders>
            <w:shd w:val="clear" w:color="auto" w:fill="auto"/>
            <w:vAlign w:val="bottom"/>
          </w:tcPr>
          <w:p w14:paraId="227F7C7B" w14:textId="77777777" w:rsidR="004E0684" w:rsidRPr="007D4AFD"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p>
        </w:tc>
      </w:tr>
      <w:tr w:rsidR="004E0684" w:rsidRPr="000F4C6D" w14:paraId="74435CB9" w14:textId="77777777" w:rsidTr="000A29B8">
        <w:trPr>
          <w:trHeight w:val="240"/>
        </w:trPr>
        <w:tc>
          <w:tcPr>
            <w:tcW w:w="2674" w:type="dxa"/>
            <w:vMerge w:val="restart"/>
            <w:tcBorders>
              <w:top w:val="single" w:sz="4" w:space="0" w:color="auto"/>
            </w:tcBorders>
            <w:shd w:val="clear" w:color="auto" w:fill="auto"/>
          </w:tcPr>
          <w:p w14:paraId="51A1B80F" w14:textId="77777777" w:rsidR="004E0684" w:rsidRPr="007D4AFD" w:rsidRDefault="004E0684" w:rsidP="000F4C6D">
            <w:pPr>
              <w:pStyle w:val="SingleTxtG"/>
              <w:tabs>
                <w:tab w:val="clear" w:pos="1701"/>
                <w:tab w:val="clear" w:pos="2268"/>
                <w:tab w:val="clear" w:pos="2835"/>
              </w:tabs>
              <w:spacing w:before="40" w:after="40" w:line="220" w:lineRule="exact"/>
              <w:ind w:left="0" w:right="0"/>
              <w:jc w:val="left"/>
              <w:rPr>
                <w:sz w:val="18"/>
                <w:rtl/>
                <w:lang w:val="es-ES_tradnl"/>
              </w:rPr>
            </w:pPr>
          </w:p>
        </w:tc>
        <w:tc>
          <w:tcPr>
            <w:tcW w:w="6963" w:type="dxa"/>
            <w:gridSpan w:val="7"/>
            <w:tcBorders>
              <w:top w:val="single" w:sz="4" w:space="0" w:color="auto"/>
              <w:bottom w:val="single" w:sz="4" w:space="0" w:color="auto"/>
            </w:tcBorders>
            <w:shd w:val="clear" w:color="auto" w:fill="auto"/>
            <w:vAlign w:val="bottom"/>
          </w:tcPr>
          <w:p w14:paraId="441EFFAD" w14:textId="77777777" w:rsidR="004E0684" w:rsidRPr="007D4AFD" w:rsidRDefault="004E0684" w:rsidP="000F4C6D">
            <w:pPr>
              <w:pStyle w:val="SingleTxtG"/>
              <w:tabs>
                <w:tab w:val="clear" w:pos="1701"/>
                <w:tab w:val="clear" w:pos="2268"/>
                <w:tab w:val="clear" w:pos="2835"/>
              </w:tabs>
              <w:spacing w:before="80" w:after="80" w:line="200" w:lineRule="exact"/>
              <w:ind w:left="113" w:right="0"/>
              <w:jc w:val="center"/>
              <w:rPr>
                <w:sz w:val="18"/>
                <w:rtl/>
                <w:lang w:val="es-ES_tradnl"/>
              </w:rPr>
            </w:pPr>
            <w:r w:rsidRPr="007D4AFD">
              <w:rPr>
                <w:i/>
                <w:sz w:val="16"/>
                <w:lang w:val="es-ES_tradnl"/>
              </w:rPr>
              <w:t>Promedio</w:t>
            </w:r>
          </w:p>
        </w:tc>
      </w:tr>
      <w:tr w:rsidR="000A29B8" w:rsidRPr="000F4C6D" w14:paraId="07DFEE4B" w14:textId="77777777" w:rsidTr="000A29B8">
        <w:trPr>
          <w:trHeight w:val="240"/>
        </w:trPr>
        <w:tc>
          <w:tcPr>
            <w:tcW w:w="2674" w:type="dxa"/>
            <w:vMerge/>
            <w:tcBorders>
              <w:top w:val="nil"/>
              <w:bottom w:val="single" w:sz="12" w:space="0" w:color="auto"/>
            </w:tcBorders>
            <w:shd w:val="clear" w:color="auto" w:fill="auto"/>
          </w:tcPr>
          <w:p w14:paraId="57490CFB" w14:textId="77777777" w:rsidR="004E0684" w:rsidRPr="000F4C6D" w:rsidRDefault="004E0684" w:rsidP="000F4C6D">
            <w:pPr>
              <w:pStyle w:val="SingleTxtG"/>
              <w:tabs>
                <w:tab w:val="clear" w:pos="1701"/>
                <w:tab w:val="clear" w:pos="2268"/>
                <w:tab w:val="clear" w:pos="2835"/>
              </w:tabs>
              <w:spacing w:before="40" w:after="40" w:line="220" w:lineRule="exact"/>
              <w:ind w:left="0" w:right="0"/>
              <w:jc w:val="left"/>
              <w:rPr>
                <w:sz w:val="18"/>
                <w:rtl/>
              </w:rPr>
            </w:pPr>
          </w:p>
        </w:tc>
        <w:tc>
          <w:tcPr>
            <w:tcW w:w="952" w:type="dxa"/>
            <w:tcBorders>
              <w:top w:val="single" w:sz="4" w:space="0" w:color="auto"/>
              <w:bottom w:val="single" w:sz="12" w:space="0" w:color="auto"/>
            </w:tcBorders>
            <w:shd w:val="clear" w:color="auto" w:fill="auto"/>
            <w:vAlign w:val="bottom"/>
          </w:tcPr>
          <w:p w14:paraId="2883E90E" w14:textId="77777777" w:rsidR="004E0684" w:rsidRPr="000F4C6D" w:rsidRDefault="004E0684" w:rsidP="000F4C6D">
            <w:pPr>
              <w:pStyle w:val="SingleTxtG"/>
              <w:tabs>
                <w:tab w:val="clear" w:pos="1701"/>
                <w:tab w:val="clear" w:pos="2268"/>
                <w:tab w:val="clear" w:pos="2835"/>
              </w:tabs>
              <w:spacing w:before="80" w:after="80" w:line="200" w:lineRule="exact"/>
              <w:ind w:left="113" w:right="0"/>
              <w:jc w:val="right"/>
              <w:rPr>
                <w:i/>
                <w:iCs/>
                <w:sz w:val="16"/>
                <w:lang w:val="en-US"/>
              </w:rPr>
            </w:pPr>
            <w:r w:rsidRPr="000F4C6D">
              <w:rPr>
                <w:i/>
                <w:iCs/>
                <w:sz w:val="16"/>
                <w:lang w:val="en-US"/>
              </w:rPr>
              <w:t>2008-2013</w:t>
            </w:r>
          </w:p>
        </w:tc>
        <w:tc>
          <w:tcPr>
            <w:tcW w:w="1064" w:type="dxa"/>
            <w:tcBorders>
              <w:top w:val="single" w:sz="4" w:space="0" w:color="auto"/>
              <w:bottom w:val="single" w:sz="12" w:space="0" w:color="auto"/>
            </w:tcBorders>
            <w:shd w:val="clear" w:color="auto" w:fill="auto"/>
            <w:vAlign w:val="bottom"/>
          </w:tcPr>
          <w:p w14:paraId="679078D4" w14:textId="23F183B3" w:rsidR="004E0684" w:rsidRPr="000F4C6D" w:rsidRDefault="004E0684" w:rsidP="000F4C6D">
            <w:pPr>
              <w:pStyle w:val="SingleTxtG"/>
              <w:tabs>
                <w:tab w:val="clear" w:pos="1701"/>
                <w:tab w:val="clear" w:pos="2268"/>
                <w:tab w:val="clear" w:pos="2835"/>
              </w:tabs>
              <w:spacing w:before="80" w:after="80" w:line="200" w:lineRule="exact"/>
              <w:ind w:left="113" w:right="0"/>
              <w:jc w:val="right"/>
              <w:rPr>
                <w:i/>
                <w:iCs/>
                <w:sz w:val="16"/>
                <w:lang w:val="en-US"/>
              </w:rPr>
            </w:pPr>
            <w:r w:rsidRPr="000F4C6D">
              <w:rPr>
                <w:i/>
                <w:iCs/>
                <w:sz w:val="16"/>
                <w:lang w:val="en-US"/>
              </w:rPr>
              <w:t>2013</w:t>
            </w:r>
            <w:r w:rsidR="00757538">
              <w:rPr>
                <w:i/>
                <w:iCs/>
                <w:sz w:val="16"/>
                <w:lang w:val="en-US"/>
              </w:rPr>
              <w:t>-</w:t>
            </w:r>
            <w:r w:rsidRPr="000F4C6D">
              <w:rPr>
                <w:i/>
                <w:iCs/>
                <w:sz w:val="16"/>
                <w:lang w:val="en-US"/>
              </w:rPr>
              <w:t>1014</w:t>
            </w:r>
          </w:p>
        </w:tc>
        <w:tc>
          <w:tcPr>
            <w:tcW w:w="993" w:type="dxa"/>
            <w:tcBorders>
              <w:top w:val="single" w:sz="4" w:space="0" w:color="auto"/>
              <w:bottom w:val="single" w:sz="12" w:space="0" w:color="auto"/>
            </w:tcBorders>
            <w:shd w:val="clear" w:color="auto" w:fill="auto"/>
            <w:vAlign w:val="bottom"/>
          </w:tcPr>
          <w:p w14:paraId="2C784671" w14:textId="1D6E24BB" w:rsidR="004E0684" w:rsidRPr="000F4C6D" w:rsidRDefault="004E0684" w:rsidP="000F4C6D">
            <w:pPr>
              <w:pStyle w:val="SingleTxtG"/>
              <w:tabs>
                <w:tab w:val="clear" w:pos="1701"/>
                <w:tab w:val="clear" w:pos="2268"/>
                <w:tab w:val="clear" w:pos="2835"/>
              </w:tabs>
              <w:spacing w:before="80" w:after="80" w:line="200" w:lineRule="exact"/>
              <w:ind w:left="113" w:right="0"/>
              <w:jc w:val="right"/>
              <w:rPr>
                <w:i/>
                <w:iCs/>
                <w:sz w:val="16"/>
                <w:lang w:val="en-US"/>
              </w:rPr>
            </w:pPr>
            <w:r w:rsidRPr="000F4C6D">
              <w:rPr>
                <w:i/>
                <w:iCs/>
                <w:sz w:val="16"/>
                <w:lang w:val="en-US"/>
              </w:rPr>
              <w:t>2014</w:t>
            </w:r>
            <w:r w:rsidR="00757538">
              <w:rPr>
                <w:i/>
                <w:iCs/>
                <w:sz w:val="16"/>
                <w:lang w:val="en-US"/>
              </w:rPr>
              <w:t>-</w:t>
            </w:r>
            <w:r w:rsidRPr="000F4C6D">
              <w:rPr>
                <w:i/>
                <w:iCs/>
                <w:sz w:val="16"/>
                <w:lang w:val="en-US"/>
              </w:rPr>
              <w:t>2015</w:t>
            </w:r>
          </w:p>
        </w:tc>
        <w:tc>
          <w:tcPr>
            <w:tcW w:w="938" w:type="dxa"/>
            <w:tcBorders>
              <w:top w:val="single" w:sz="4" w:space="0" w:color="auto"/>
              <w:bottom w:val="single" w:sz="12" w:space="0" w:color="auto"/>
            </w:tcBorders>
            <w:shd w:val="clear" w:color="auto" w:fill="auto"/>
            <w:vAlign w:val="bottom"/>
          </w:tcPr>
          <w:p w14:paraId="1D332655" w14:textId="4EE74A3C" w:rsidR="004E0684" w:rsidRPr="000F4C6D" w:rsidRDefault="004E0684" w:rsidP="000F4C6D">
            <w:pPr>
              <w:pStyle w:val="SingleTxtG"/>
              <w:tabs>
                <w:tab w:val="clear" w:pos="1701"/>
                <w:tab w:val="clear" w:pos="2268"/>
                <w:tab w:val="clear" w:pos="2835"/>
              </w:tabs>
              <w:spacing w:before="80" w:after="80" w:line="200" w:lineRule="exact"/>
              <w:ind w:left="113" w:right="0"/>
              <w:jc w:val="right"/>
              <w:rPr>
                <w:i/>
                <w:iCs/>
                <w:sz w:val="16"/>
                <w:lang w:val="en-US"/>
              </w:rPr>
            </w:pPr>
            <w:r w:rsidRPr="000F4C6D">
              <w:rPr>
                <w:i/>
                <w:iCs/>
                <w:sz w:val="16"/>
                <w:lang w:val="en-US"/>
              </w:rPr>
              <w:t>2015</w:t>
            </w:r>
            <w:r w:rsidR="00757538">
              <w:rPr>
                <w:i/>
                <w:iCs/>
                <w:sz w:val="16"/>
                <w:lang w:val="en-US"/>
              </w:rPr>
              <w:t>-</w:t>
            </w:r>
            <w:r w:rsidRPr="000F4C6D">
              <w:rPr>
                <w:i/>
                <w:iCs/>
                <w:sz w:val="16"/>
                <w:lang w:val="en-US"/>
              </w:rPr>
              <w:t>2016</w:t>
            </w:r>
          </w:p>
        </w:tc>
        <w:tc>
          <w:tcPr>
            <w:tcW w:w="1034" w:type="dxa"/>
            <w:tcBorders>
              <w:top w:val="single" w:sz="4" w:space="0" w:color="auto"/>
              <w:bottom w:val="single" w:sz="12" w:space="0" w:color="auto"/>
            </w:tcBorders>
            <w:shd w:val="clear" w:color="auto" w:fill="auto"/>
            <w:vAlign w:val="bottom"/>
          </w:tcPr>
          <w:p w14:paraId="4E525715" w14:textId="1CA68377" w:rsidR="004E0684" w:rsidRPr="000F4C6D" w:rsidRDefault="004E0684" w:rsidP="000F4C6D">
            <w:pPr>
              <w:pStyle w:val="SingleTxtG"/>
              <w:tabs>
                <w:tab w:val="clear" w:pos="1701"/>
                <w:tab w:val="clear" w:pos="2268"/>
                <w:tab w:val="clear" w:pos="2835"/>
              </w:tabs>
              <w:spacing w:before="80" w:after="80" w:line="200" w:lineRule="exact"/>
              <w:ind w:left="113" w:right="0"/>
              <w:jc w:val="right"/>
              <w:rPr>
                <w:i/>
                <w:iCs/>
                <w:sz w:val="16"/>
                <w:lang w:val="en-US"/>
              </w:rPr>
            </w:pPr>
            <w:r w:rsidRPr="000F4C6D">
              <w:rPr>
                <w:i/>
                <w:iCs/>
                <w:sz w:val="16"/>
                <w:lang w:val="en-US"/>
              </w:rPr>
              <w:t>2016</w:t>
            </w:r>
            <w:r w:rsidR="00757538">
              <w:rPr>
                <w:i/>
                <w:iCs/>
                <w:sz w:val="16"/>
                <w:lang w:val="en-US"/>
              </w:rPr>
              <w:t>-</w:t>
            </w:r>
            <w:r w:rsidRPr="000F4C6D">
              <w:rPr>
                <w:i/>
                <w:iCs/>
                <w:sz w:val="16"/>
                <w:lang w:val="en-US"/>
              </w:rPr>
              <w:t>2017</w:t>
            </w:r>
          </w:p>
        </w:tc>
        <w:tc>
          <w:tcPr>
            <w:tcW w:w="968" w:type="dxa"/>
            <w:tcBorders>
              <w:top w:val="single" w:sz="4" w:space="0" w:color="auto"/>
              <w:bottom w:val="single" w:sz="12" w:space="0" w:color="auto"/>
            </w:tcBorders>
            <w:shd w:val="clear" w:color="auto" w:fill="auto"/>
            <w:vAlign w:val="bottom"/>
          </w:tcPr>
          <w:p w14:paraId="47E3900E" w14:textId="29DFFD89" w:rsidR="004E0684" w:rsidRPr="000F4C6D" w:rsidRDefault="004E0684" w:rsidP="000F4C6D">
            <w:pPr>
              <w:pStyle w:val="SingleTxtG"/>
              <w:tabs>
                <w:tab w:val="clear" w:pos="1701"/>
                <w:tab w:val="clear" w:pos="2268"/>
                <w:tab w:val="clear" w:pos="2835"/>
              </w:tabs>
              <w:spacing w:before="80" w:after="80" w:line="200" w:lineRule="exact"/>
              <w:ind w:left="113" w:right="0"/>
              <w:jc w:val="right"/>
              <w:rPr>
                <w:i/>
                <w:iCs/>
                <w:sz w:val="16"/>
                <w:lang w:val="en-US"/>
              </w:rPr>
            </w:pPr>
            <w:r w:rsidRPr="000F4C6D">
              <w:rPr>
                <w:i/>
                <w:iCs/>
                <w:sz w:val="16"/>
                <w:lang w:val="en-US"/>
              </w:rPr>
              <w:t>2017</w:t>
            </w:r>
            <w:r w:rsidR="00757538">
              <w:rPr>
                <w:i/>
                <w:iCs/>
                <w:sz w:val="16"/>
                <w:lang w:val="en-US"/>
              </w:rPr>
              <w:t>-</w:t>
            </w:r>
            <w:r w:rsidRPr="000F4C6D">
              <w:rPr>
                <w:i/>
                <w:iCs/>
                <w:sz w:val="16"/>
                <w:lang w:val="en-US"/>
              </w:rPr>
              <w:t>2018</w:t>
            </w:r>
          </w:p>
        </w:tc>
        <w:tc>
          <w:tcPr>
            <w:tcW w:w="1014" w:type="dxa"/>
            <w:tcBorders>
              <w:top w:val="single" w:sz="4" w:space="0" w:color="auto"/>
              <w:bottom w:val="single" w:sz="12" w:space="0" w:color="auto"/>
            </w:tcBorders>
            <w:shd w:val="clear" w:color="auto" w:fill="auto"/>
            <w:vAlign w:val="bottom"/>
          </w:tcPr>
          <w:p w14:paraId="001A313F" w14:textId="6C2BB606" w:rsidR="004E0684" w:rsidRPr="000F4C6D" w:rsidRDefault="004E0684" w:rsidP="000F4C6D">
            <w:pPr>
              <w:pStyle w:val="SingleTxtG"/>
              <w:tabs>
                <w:tab w:val="clear" w:pos="1701"/>
                <w:tab w:val="clear" w:pos="2268"/>
                <w:tab w:val="clear" w:pos="2835"/>
              </w:tabs>
              <w:spacing w:before="80" w:after="80" w:line="200" w:lineRule="exact"/>
              <w:ind w:left="113" w:right="0"/>
              <w:jc w:val="right"/>
              <w:rPr>
                <w:i/>
                <w:iCs/>
                <w:sz w:val="16"/>
                <w:lang w:val="en-US"/>
              </w:rPr>
            </w:pPr>
            <w:r w:rsidRPr="000F4C6D">
              <w:rPr>
                <w:i/>
                <w:iCs/>
                <w:sz w:val="16"/>
                <w:lang w:val="en-US"/>
              </w:rPr>
              <w:t>2018</w:t>
            </w:r>
            <w:r w:rsidR="00757538">
              <w:rPr>
                <w:i/>
                <w:iCs/>
                <w:sz w:val="16"/>
                <w:lang w:val="en-US"/>
              </w:rPr>
              <w:t>-</w:t>
            </w:r>
            <w:r w:rsidRPr="000F4C6D">
              <w:rPr>
                <w:i/>
                <w:iCs/>
                <w:sz w:val="16"/>
                <w:lang w:val="en-US"/>
              </w:rPr>
              <w:t>2019</w:t>
            </w:r>
          </w:p>
        </w:tc>
      </w:tr>
      <w:tr w:rsidR="000A29B8" w:rsidRPr="00517B56" w14:paraId="7E6466EA" w14:textId="77777777" w:rsidTr="000A29B8">
        <w:trPr>
          <w:trHeight w:val="240"/>
        </w:trPr>
        <w:tc>
          <w:tcPr>
            <w:tcW w:w="2674" w:type="dxa"/>
            <w:tcBorders>
              <w:top w:val="single" w:sz="12" w:space="0" w:color="auto"/>
            </w:tcBorders>
            <w:shd w:val="clear" w:color="auto" w:fill="auto"/>
          </w:tcPr>
          <w:p w14:paraId="34C573C3" w14:textId="11440933" w:rsidR="004E0684" w:rsidRPr="00517B56" w:rsidRDefault="004E0684" w:rsidP="00694EFF">
            <w:pPr>
              <w:pStyle w:val="SingleTxtG"/>
              <w:keepNext/>
              <w:keepLines/>
              <w:tabs>
                <w:tab w:val="clear" w:pos="1701"/>
                <w:tab w:val="clear" w:pos="2268"/>
                <w:tab w:val="clear" w:pos="2835"/>
              </w:tabs>
              <w:spacing w:before="40" w:after="40" w:line="220" w:lineRule="exact"/>
              <w:ind w:left="560" w:right="0" w:hanging="560"/>
              <w:jc w:val="left"/>
              <w:rPr>
                <w:rFonts w:eastAsia="Calibri"/>
                <w:b/>
                <w:sz w:val="18"/>
                <w:lang w:val="es-ES_tradnl"/>
              </w:rPr>
            </w:pPr>
            <w:r w:rsidRPr="00517B56">
              <w:rPr>
                <w:rFonts w:eastAsia="Calibri"/>
                <w:b/>
                <w:sz w:val="18"/>
                <w:lang w:val="es-ES_tradnl"/>
              </w:rPr>
              <w:t>2.1</w:t>
            </w:r>
            <w:r w:rsidR="00757538" w:rsidRPr="00517B56">
              <w:rPr>
                <w:rFonts w:eastAsia="Calibri"/>
                <w:b/>
                <w:sz w:val="18"/>
                <w:lang w:val="es-ES_tradnl"/>
              </w:rPr>
              <w:tab/>
            </w:r>
            <w:r w:rsidRPr="00517B56">
              <w:rPr>
                <w:rFonts w:eastAsia="Calibri"/>
                <w:b/>
                <w:sz w:val="18"/>
                <w:lang w:val="es-ES_tradnl"/>
              </w:rPr>
              <w:t xml:space="preserve">Tasa </w:t>
            </w:r>
            <w:r w:rsidR="002A0D23">
              <w:rPr>
                <w:rFonts w:eastAsia="Calibri"/>
                <w:b/>
                <w:sz w:val="18"/>
                <w:lang w:val="es-ES_tradnl"/>
              </w:rPr>
              <w:t>bruta</w:t>
            </w:r>
            <w:r w:rsidRPr="00517B56">
              <w:rPr>
                <w:rFonts w:eastAsia="Calibri"/>
                <w:b/>
                <w:sz w:val="18"/>
                <w:lang w:val="es-ES_tradnl"/>
              </w:rPr>
              <w:t xml:space="preserve"> natalidad</w:t>
            </w:r>
            <w:r w:rsidR="00CF3CC0" w:rsidRPr="00517B56">
              <w:rPr>
                <w:rFonts w:eastAsia="Calibri"/>
                <w:b/>
                <w:sz w:val="18"/>
                <w:lang w:val="es-ES_tradnl"/>
              </w:rPr>
              <w:br/>
            </w:r>
            <w:r w:rsidRPr="00517B56">
              <w:rPr>
                <w:rFonts w:eastAsia="Calibri"/>
                <w:b/>
                <w:sz w:val="18"/>
                <w:lang w:val="es-ES_tradnl"/>
              </w:rPr>
              <w:t xml:space="preserve">(por </w:t>
            </w:r>
            <w:r w:rsidR="002A0D23">
              <w:rPr>
                <w:rFonts w:eastAsia="Calibri"/>
                <w:b/>
                <w:sz w:val="18"/>
                <w:lang w:val="es-ES_tradnl"/>
              </w:rPr>
              <w:t>1.000</w:t>
            </w:r>
            <w:r w:rsidRPr="00517B56">
              <w:rPr>
                <w:rFonts w:eastAsia="Calibri"/>
                <w:b/>
                <w:sz w:val="18"/>
                <w:lang w:val="es-ES_tradnl"/>
              </w:rPr>
              <w:t>)</w:t>
            </w:r>
          </w:p>
        </w:tc>
        <w:tc>
          <w:tcPr>
            <w:tcW w:w="952" w:type="dxa"/>
            <w:tcBorders>
              <w:top w:val="single" w:sz="12" w:space="0" w:color="auto"/>
            </w:tcBorders>
            <w:shd w:val="clear" w:color="auto" w:fill="auto"/>
            <w:vAlign w:val="bottom"/>
          </w:tcPr>
          <w:p w14:paraId="15F6D0C2"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517B56">
              <w:rPr>
                <w:b/>
                <w:sz w:val="18"/>
                <w:lang w:val="es-ES_tradnl"/>
              </w:rPr>
              <w:t>18,7</w:t>
            </w:r>
          </w:p>
        </w:tc>
        <w:tc>
          <w:tcPr>
            <w:tcW w:w="1064" w:type="dxa"/>
            <w:tcBorders>
              <w:top w:val="single" w:sz="12" w:space="0" w:color="auto"/>
            </w:tcBorders>
            <w:shd w:val="clear" w:color="auto" w:fill="auto"/>
            <w:vAlign w:val="bottom"/>
          </w:tcPr>
          <w:p w14:paraId="38B34D4D"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517B56">
              <w:rPr>
                <w:b/>
                <w:sz w:val="18"/>
                <w:lang w:val="es-ES_tradnl"/>
              </w:rPr>
              <w:t>18,1</w:t>
            </w:r>
          </w:p>
        </w:tc>
        <w:tc>
          <w:tcPr>
            <w:tcW w:w="993" w:type="dxa"/>
            <w:tcBorders>
              <w:top w:val="single" w:sz="12" w:space="0" w:color="auto"/>
            </w:tcBorders>
            <w:shd w:val="clear" w:color="auto" w:fill="auto"/>
            <w:vAlign w:val="bottom"/>
          </w:tcPr>
          <w:p w14:paraId="51A94240"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517B56">
              <w:rPr>
                <w:b/>
                <w:sz w:val="18"/>
                <w:lang w:val="es-ES_tradnl"/>
              </w:rPr>
              <w:t>17,8</w:t>
            </w:r>
          </w:p>
        </w:tc>
        <w:tc>
          <w:tcPr>
            <w:tcW w:w="938" w:type="dxa"/>
            <w:tcBorders>
              <w:top w:val="single" w:sz="12" w:space="0" w:color="auto"/>
            </w:tcBorders>
            <w:shd w:val="clear" w:color="auto" w:fill="auto"/>
            <w:vAlign w:val="bottom"/>
          </w:tcPr>
          <w:p w14:paraId="655F671E"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517B56">
              <w:rPr>
                <w:b/>
                <w:sz w:val="18"/>
                <w:lang w:val="es-ES_tradnl"/>
              </w:rPr>
              <w:t>17,6</w:t>
            </w:r>
          </w:p>
        </w:tc>
        <w:tc>
          <w:tcPr>
            <w:tcW w:w="1034" w:type="dxa"/>
            <w:tcBorders>
              <w:top w:val="single" w:sz="12" w:space="0" w:color="auto"/>
            </w:tcBorders>
            <w:shd w:val="clear" w:color="auto" w:fill="auto"/>
            <w:vAlign w:val="bottom"/>
          </w:tcPr>
          <w:p w14:paraId="1803C9E2"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517B56">
              <w:rPr>
                <w:b/>
                <w:sz w:val="18"/>
                <w:lang w:val="es-ES_tradnl"/>
              </w:rPr>
              <w:t>17,4</w:t>
            </w:r>
          </w:p>
        </w:tc>
        <w:tc>
          <w:tcPr>
            <w:tcW w:w="968" w:type="dxa"/>
            <w:tcBorders>
              <w:top w:val="single" w:sz="12" w:space="0" w:color="auto"/>
            </w:tcBorders>
            <w:shd w:val="clear" w:color="auto" w:fill="auto"/>
            <w:vAlign w:val="bottom"/>
          </w:tcPr>
          <w:p w14:paraId="6464B0BA"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517B56">
              <w:rPr>
                <w:b/>
                <w:sz w:val="18"/>
                <w:lang w:val="es-ES_tradnl"/>
              </w:rPr>
              <w:t>17,2</w:t>
            </w:r>
          </w:p>
        </w:tc>
        <w:tc>
          <w:tcPr>
            <w:tcW w:w="1014" w:type="dxa"/>
            <w:tcBorders>
              <w:top w:val="single" w:sz="12" w:space="0" w:color="auto"/>
            </w:tcBorders>
            <w:shd w:val="clear" w:color="auto" w:fill="auto"/>
            <w:vAlign w:val="bottom"/>
          </w:tcPr>
          <w:p w14:paraId="05DCB04E"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517B56">
              <w:rPr>
                <w:b/>
                <w:sz w:val="18"/>
                <w:lang w:val="es-ES_tradnl"/>
              </w:rPr>
              <w:t>16,9</w:t>
            </w:r>
          </w:p>
        </w:tc>
      </w:tr>
      <w:tr w:rsidR="00757538" w:rsidRPr="00517B56" w14:paraId="3AE6BB7E" w14:textId="77777777" w:rsidTr="000A29B8">
        <w:trPr>
          <w:trHeight w:val="240"/>
        </w:trPr>
        <w:tc>
          <w:tcPr>
            <w:tcW w:w="2674" w:type="dxa"/>
            <w:shd w:val="clear" w:color="auto" w:fill="auto"/>
          </w:tcPr>
          <w:p w14:paraId="6CCD2341" w14:textId="77777777" w:rsidR="004E0684" w:rsidRPr="00517B56" w:rsidRDefault="004E0684" w:rsidP="000F4C6D">
            <w:pPr>
              <w:pStyle w:val="SingleTxtG"/>
              <w:tabs>
                <w:tab w:val="clear" w:pos="1701"/>
                <w:tab w:val="clear" w:pos="2268"/>
                <w:tab w:val="clear" w:pos="2835"/>
              </w:tabs>
              <w:spacing w:before="40" w:after="40" w:line="220" w:lineRule="exact"/>
              <w:ind w:left="0" w:right="0"/>
              <w:jc w:val="left"/>
              <w:rPr>
                <w:sz w:val="18"/>
                <w:lang w:val="es-ES_tradnl"/>
              </w:rPr>
            </w:pPr>
            <w:r w:rsidRPr="00517B56">
              <w:rPr>
                <w:sz w:val="18"/>
                <w:lang w:val="es-ES_tradnl"/>
              </w:rPr>
              <w:t>Medio urbano</w:t>
            </w:r>
          </w:p>
        </w:tc>
        <w:tc>
          <w:tcPr>
            <w:tcW w:w="952" w:type="dxa"/>
            <w:shd w:val="clear" w:color="auto" w:fill="auto"/>
            <w:vAlign w:val="bottom"/>
          </w:tcPr>
          <w:p w14:paraId="14CE6562"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517B56">
              <w:rPr>
                <w:sz w:val="18"/>
                <w:lang w:val="es-ES_tradnl"/>
              </w:rPr>
              <w:t>16,5</w:t>
            </w:r>
          </w:p>
        </w:tc>
        <w:tc>
          <w:tcPr>
            <w:tcW w:w="1064" w:type="dxa"/>
            <w:shd w:val="clear" w:color="auto" w:fill="auto"/>
            <w:vAlign w:val="bottom"/>
          </w:tcPr>
          <w:p w14:paraId="4D142250"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517B56">
              <w:rPr>
                <w:sz w:val="18"/>
                <w:lang w:val="es-ES_tradnl"/>
              </w:rPr>
              <w:t>16,1</w:t>
            </w:r>
          </w:p>
        </w:tc>
        <w:tc>
          <w:tcPr>
            <w:tcW w:w="993" w:type="dxa"/>
            <w:shd w:val="clear" w:color="auto" w:fill="auto"/>
            <w:vAlign w:val="bottom"/>
          </w:tcPr>
          <w:p w14:paraId="18753C5E"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517B56">
              <w:rPr>
                <w:sz w:val="18"/>
                <w:lang w:val="es-ES_tradnl"/>
              </w:rPr>
              <w:t>16,7</w:t>
            </w:r>
          </w:p>
        </w:tc>
        <w:tc>
          <w:tcPr>
            <w:tcW w:w="938" w:type="dxa"/>
            <w:shd w:val="clear" w:color="auto" w:fill="auto"/>
            <w:vAlign w:val="bottom"/>
          </w:tcPr>
          <w:p w14:paraId="6499ABCD"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517B56">
              <w:rPr>
                <w:sz w:val="18"/>
                <w:lang w:val="es-ES_tradnl"/>
              </w:rPr>
              <w:t>16,6</w:t>
            </w:r>
          </w:p>
        </w:tc>
        <w:tc>
          <w:tcPr>
            <w:tcW w:w="1034" w:type="dxa"/>
            <w:shd w:val="clear" w:color="auto" w:fill="auto"/>
            <w:vAlign w:val="bottom"/>
          </w:tcPr>
          <w:p w14:paraId="7660C683"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517B56">
              <w:rPr>
                <w:sz w:val="18"/>
                <w:lang w:val="es-ES_tradnl"/>
              </w:rPr>
              <w:t>16,5</w:t>
            </w:r>
          </w:p>
        </w:tc>
        <w:tc>
          <w:tcPr>
            <w:tcW w:w="968" w:type="dxa"/>
            <w:shd w:val="clear" w:color="auto" w:fill="auto"/>
            <w:vAlign w:val="bottom"/>
          </w:tcPr>
          <w:p w14:paraId="79AC9722"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517B56">
              <w:rPr>
                <w:sz w:val="18"/>
                <w:lang w:val="es-ES_tradnl"/>
              </w:rPr>
              <w:t>16,4</w:t>
            </w:r>
          </w:p>
        </w:tc>
        <w:tc>
          <w:tcPr>
            <w:tcW w:w="1014" w:type="dxa"/>
            <w:shd w:val="clear" w:color="auto" w:fill="auto"/>
            <w:vAlign w:val="bottom"/>
          </w:tcPr>
          <w:p w14:paraId="6D2EE3D1"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517B56">
              <w:rPr>
                <w:sz w:val="18"/>
                <w:lang w:val="es-ES_tradnl"/>
              </w:rPr>
              <w:t>16,2</w:t>
            </w:r>
          </w:p>
        </w:tc>
      </w:tr>
      <w:tr w:rsidR="00757538" w:rsidRPr="00517B56" w14:paraId="687EB486" w14:textId="77777777" w:rsidTr="000A29B8">
        <w:trPr>
          <w:trHeight w:val="240"/>
        </w:trPr>
        <w:tc>
          <w:tcPr>
            <w:tcW w:w="2674" w:type="dxa"/>
            <w:shd w:val="clear" w:color="auto" w:fill="auto"/>
          </w:tcPr>
          <w:p w14:paraId="40B3A046" w14:textId="77777777" w:rsidR="004E0684" w:rsidRPr="00517B56" w:rsidRDefault="004E0684" w:rsidP="000F4C6D">
            <w:pPr>
              <w:pStyle w:val="SingleTxtG"/>
              <w:tabs>
                <w:tab w:val="clear" w:pos="1701"/>
                <w:tab w:val="clear" w:pos="2268"/>
                <w:tab w:val="clear" w:pos="2835"/>
              </w:tabs>
              <w:spacing w:before="40" w:after="40" w:line="220" w:lineRule="exact"/>
              <w:ind w:left="0" w:right="0"/>
              <w:jc w:val="left"/>
              <w:rPr>
                <w:sz w:val="18"/>
                <w:lang w:val="es-ES_tradnl"/>
              </w:rPr>
            </w:pPr>
            <w:r w:rsidRPr="00517B56">
              <w:rPr>
                <w:sz w:val="18"/>
                <w:lang w:val="es-ES_tradnl"/>
              </w:rPr>
              <w:t>Medio rural</w:t>
            </w:r>
          </w:p>
        </w:tc>
        <w:tc>
          <w:tcPr>
            <w:tcW w:w="952" w:type="dxa"/>
            <w:shd w:val="clear" w:color="auto" w:fill="auto"/>
            <w:vAlign w:val="bottom"/>
          </w:tcPr>
          <w:p w14:paraId="46186C8E"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517B56">
              <w:rPr>
                <w:sz w:val="18"/>
                <w:lang w:val="es-ES_tradnl"/>
              </w:rPr>
              <w:t>21,8</w:t>
            </w:r>
          </w:p>
        </w:tc>
        <w:tc>
          <w:tcPr>
            <w:tcW w:w="1064" w:type="dxa"/>
            <w:shd w:val="clear" w:color="auto" w:fill="auto"/>
            <w:vAlign w:val="bottom"/>
          </w:tcPr>
          <w:p w14:paraId="3209563C"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517B56">
              <w:rPr>
                <w:sz w:val="18"/>
                <w:lang w:val="es-ES_tradnl"/>
              </w:rPr>
              <w:t>21,1</w:t>
            </w:r>
          </w:p>
        </w:tc>
        <w:tc>
          <w:tcPr>
            <w:tcW w:w="993" w:type="dxa"/>
            <w:shd w:val="clear" w:color="auto" w:fill="auto"/>
            <w:vAlign w:val="bottom"/>
          </w:tcPr>
          <w:p w14:paraId="2B3DFCB0"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517B56">
              <w:rPr>
                <w:sz w:val="18"/>
                <w:lang w:val="es-ES_tradnl"/>
              </w:rPr>
              <w:t>19,5</w:t>
            </w:r>
          </w:p>
        </w:tc>
        <w:tc>
          <w:tcPr>
            <w:tcW w:w="938" w:type="dxa"/>
            <w:shd w:val="clear" w:color="auto" w:fill="auto"/>
            <w:vAlign w:val="bottom"/>
          </w:tcPr>
          <w:p w14:paraId="0413AAF5"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517B56">
              <w:rPr>
                <w:sz w:val="18"/>
                <w:lang w:val="es-ES_tradnl"/>
              </w:rPr>
              <w:t>19,1</w:t>
            </w:r>
          </w:p>
        </w:tc>
        <w:tc>
          <w:tcPr>
            <w:tcW w:w="1034" w:type="dxa"/>
            <w:shd w:val="clear" w:color="auto" w:fill="auto"/>
            <w:vAlign w:val="bottom"/>
          </w:tcPr>
          <w:p w14:paraId="01922345"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517B56">
              <w:rPr>
                <w:sz w:val="18"/>
                <w:lang w:val="es-ES_tradnl"/>
              </w:rPr>
              <w:t>18,8</w:t>
            </w:r>
          </w:p>
        </w:tc>
        <w:tc>
          <w:tcPr>
            <w:tcW w:w="968" w:type="dxa"/>
            <w:shd w:val="clear" w:color="auto" w:fill="auto"/>
            <w:vAlign w:val="bottom"/>
          </w:tcPr>
          <w:p w14:paraId="5E5FAC43"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517B56">
              <w:rPr>
                <w:sz w:val="18"/>
                <w:lang w:val="es-ES_tradnl"/>
              </w:rPr>
              <w:t>18,5</w:t>
            </w:r>
          </w:p>
        </w:tc>
        <w:tc>
          <w:tcPr>
            <w:tcW w:w="1014" w:type="dxa"/>
            <w:shd w:val="clear" w:color="auto" w:fill="auto"/>
            <w:vAlign w:val="bottom"/>
          </w:tcPr>
          <w:p w14:paraId="176067E7"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sz w:val="18"/>
                <w:lang w:val="es-ES_tradnl"/>
              </w:rPr>
            </w:pPr>
            <w:r w:rsidRPr="00517B56">
              <w:rPr>
                <w:sz w:val="18"/>
                <w:lang w:val="es-ES_tradnl"/>
              </w:rPr>
              <w:t>18,1</w:t>
            </w:r>
          </w:p>
        </w:tc>
      </w:tr>
      <w:tr w:rsidR="00757538" w:rsidRPr="00517B56" w14:paraId="06FBC4FE" w14:textId="77777777" w:rsidTr="000A29B8">
        <w:trPr>
          <w:trHeight w:val="240"/>
        </w:trPr>
        <w:tc>
          <w:tcPr>
            <w:tcW w:w="2674" w:type="dxa"/>
            <w:shd w:val="clear" w:color="auto" w:fill="auto"/>
          </w:tcPr>
          <w:p w14:paraId="3FE69AA8" w14:textId="20063871" w:rsidR="004E0684" w:rsidRPr="00694EFF" w:rsidRDefault="004E0684" w:rsidP="00694EFF">
            <w:pPr>
              <w:pStyle w:val="SingleTxtG"/>
              <w:keepNext/>
              <w:keepLines/>
              <w:tabs>
                <w:tab w:val="clear" w:pos="1701"/>
                <w:tab w:val="clear" w:pos="2268"/>
                <w:tab w:val="clear" w:pos="2835"/>
              </w:tabs>
              <w:spacing w:before="40" w:after="40" w:line="220" w:lineRule="exact"/>
              <w:ind w:left="560" w:right="0" w:hanging="560"/>
              <w:jc w:val="left"/>
              <w:rPr>
                <w:b/>
                <w:sz w:val="18"/>
                <w:lang w:val="es-ES_tradnl"/>
              </w:rPr>
            </w:pPr>
            <w:r w:rsidRPr="00694EFF">
              <w:rPr>
                <w:b/>
                <w:sz w:val="18"/>
                <w:lang w:val="es-ES_tradnl"/>
              </w:rPr>
              <w:t>2.2</w:t>
            </w:r>
            <w:r w:rsidR="00CF3CC0" w:rsidRPr="00694EFF">
              <w:rPr>
                <w:b/>
                <w:sz w:val="18"/>
                <w:lang w:val="es-ES_tradnl"/>
              </w:rPr>
              <w:tab/>
            </w:r>
            <w:r w:rsidRPr="00694EFF">
              <w:rPr>
                <w:b/>
                <w:sz w:val="18"/>
                <w:lang w:val="es-ES_tradnl"/>
              </w:rPr>
              <w:t>Tasa bruta de mortalidad</w:t>
            </w:r>
            <w:r w:rsidR="00CF3CC0" w:rsidRPr="00694EFF">
              <w:rPr>
                <w:b/>
                <w:sz w:val="18"/>
                <w:lang w:val="es-ES_tradnl"/>
              </w:rPr>
              <w:br/>
            </w:r>
            <w:r w:rsidRPr="00694EFF">
              <w:rPr>
                <w:b/>
                <w:sz w:val="18"/>
                <w:lang w:val="es-ES_tradnl"/>
              </w:rPr>
              <w:t xml:space="preserve">(por </w:t>
            </w:r>
            <w:r w:rsidR="002A0D23">
              <w:rPr>
                <w:b/>
                <w:sz w:val="18"/>
                <w:lang w:val="es-ES_tradnl"/>
              </w:rPr>
              <w:t>1.000</w:t>
            </w:r>
            <w:r w:rsidRPr="00694EFF">
              <w:rPr>
                <w:b/>
                <w:sz w:val="18"/>
                <w:lang w:val="es-ES_tradnl"/>
              </w:rPr>
              <w:t>)</w:t>
            </w:r>
          </w:p>
        </w:tc>
        <w:tc>
          <w:tcPr>
            <w:tcW w:w="952" w:type="dxa"/>
            <w:shd w:val="clear" w:color="auto" w:fill="auto"/>
            <w:vAlign w:val="bottom"/>
          </w:tcPr>
          <w:p w14:paraId="0CC7EC49"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517B56">
              <w:rPr>
                <w:b/>
                <w:sz w:val="18"/>
                <w:lang w:val="es-ES_tradnl"/>
              </w:rPr>
              <w:t>5,3</w:t>
            </w:r>
          </w:p>
        </w:tc>
        <w:tc>
          <w:tcPr>
            <w:tcW w:w="1064" w:type="dxa"/>
            <w:shd w:val="clear" w:color="auto" w:fill="auto"/>
            <w:vAlign w:val="bottom"/>
          </w:tcPr>
          <w:p w14:paraId="6CC06A68"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517B56">
              <w:rPr>
                <w:b/>
                <w:sz w:val="18"/>
                <w:lang w:val="es-ES_tradnl"/>
              </w:rPr>
              <w:t>5,1</w:t>
            </w:r>
          </w:p>
        </w:tc>
        <w:tc>
          <w:tcPr>
            <w:tcW w:w="993" w:type="dxa"/>
            <w:shd w:val="clear" w:color="auto" w:fill="auto"/>
            <w:vAlign w:val="bottom"/>
          </w:tcPr>
          <w:p w14:paraId="2CBF1955"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517B56">
              <w:rPr>
                <w:b/>
                <w:sz w:val="18"/>
                <w:lang w:val="es-ES_tradnl"/>
              </w:rPr>
              <w:t>5,6</w:t>
            </w:r>
          </w:p>
        </w:tc>
        <w:tc>
          <w:tcPr>
            <w:tcW w:w="938" w:type="dxa"/>
            <w:shd w:val="clear" w:color="auto" w:fill="auto"/>
            <w:vAlign w:val="bottom"/>
          </w:tcPr>
          <w:p w14:paraId="3A3BADF7"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517B56">
              <w:rPr>
                <w:b/>
                <w:sz w:val="18"/>
                <w:lang w:val="es-ES_tradnl"/>
              </w:rPr>
              <w:t>5,4</w:t>
            </w:r>
          </w:p>
        </w:tc>
        <w:tc>
          <w:tcPr>
            <w:tcW w:w="1034" w:type="dxa"/>
            <w:shd w:val="clear" w:color="auto" w:fill="auto"/>
            <w:vAlign w:val="bottom"/>
          </w:tcPr>
          <w:p w14:paraId="1E8DBFA3"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517B56">
              <w:rPr>
                <w:b/>
                <w:sz w:val="18"/>
                <w:lang w:val="es-ES_tradnl"/>
              </w:rPr>
              <w:t>5,2</w:t>
            </w:r>
          </w:p>
        </w:tc>
        <w:tc>
          <w:tcPr>
            <w:tcW w:w="968" w:type="dxa"/>
            <w:shd w:val="clear" w:color="auto" w:fill="auto"/>
            <w:vAlign w:val="bottom"/>
          </w:tcPr>
          <w:p w14:paraId="3EFDA110"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517B56">
              <w:rPr>
                <w:b/>
                <w:sz w:val="18"/>
                <w:lang w:val="es-ES_tradnl"/>
              </w:rPr>
              <w:t>5,1</w:t>
            </w:r>
          </w:p>
        </w:tc>
        <w:tc>
          <w:tcPr>
            <w:tcW w:w="1014" w:type="dxa"/>
            <w:shd w:val="clear" w:color="auto" w:fill="auto"/>
            <w:vAlign w:val="bottom"/>
          </w:tcPr>
          <w:p w14:paraId="2318BC47"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517B56">
              <w:rPr>
                <w:b/>
                <w:sz w:val="18"/>
                <w:lang w:val="es-ES_tradnl"/>
              </w:rPr>
              <w:t>5,1</w:t>
            </w:r>
          </w:p>
        </w:tc>
      </w:tr>
      <w:tr w:rsidR="00757538" w:rsidRPr="00517B56" w14:paraId="1E9B09AF" w14:textId="77777777" w:rsidTr="000A29B8">
        <w:trPr>
          <w:trHeight w:val="240"/>
        </w:trPr>
        <w:tc>
          <w:tcPr>
            <w:tcW w:w="2674" w:type="dxa"/>
            <w:tcBorders>
              <w:bottom w:val="single" w:sz="12" w:space="0" w:color="auto"/>
            </w:tcBorders>
            <w:shd w:val="clear" w:color="auto" w:fill="auto"/>
          </w:tcPr>
          <w:p w14:paraId="1A32D1DA" w14:textId="1ED7C1D3" w:rsidR="004E0684" w:rsidRPr="00694EFF" w:rsidRDefault="004E0684" w:rsidP="00694EFF">
            <w:pPr>
              <w:pStyle w:val="SingleTxtG"/>
              <w:keepNext/>
              <w:keepLines/>
              <w:tabs>
                <w:tab w:val="clear" w:pos="1701"/>
                <w:tab w:val="clear" w:pos="2268"/>
                <w:tab w:val="clear" w:pos="2835"/>
              </w:tabs>
              <w:spacing w:before="40" w:after="40" w:line="220" w:lineRule="exact"/>
              <w:ind w:left="560" w:right="0" w:hanging="560"/>
              <w:jc w:val="left"/>
              <w:rPr>
                <w:b/>
                <w:sz w:val="18"/>
                <w:lang w:val="es-ES_tradnl"/>
              </w:rPr>
            </w:pPr>
            <w:r w:rsidRPr="00694EFF">
              <w:rPr>
                <w:b/>
                <w:sz w:val="18"/>
                <w:lang w:val="es-ES_tradnl"/>
              </w:rPr>
              <w:t>2.3</w:t>
            </w:r>
            <w:r w:rsidR="00CF3CC0" w:rsidRPr="00694EFF">
              <w:rPr>
                <w:b/>
                <w:sz w:val="18"/>
                <w:lang w:val="es-ES_tradnl"/>
              </w:rPr>
              <w:tab/>
            </w:r>
            <w:r w:rsidRPr="00694EFF">
              <w:rPr>
                <w:b/>
                <w:sz w:val="18"/>
                <w:lang w:val="es-ES_tradnl"/>
              </w:rPr>
              <w:t>Tasa bruta de crecimiento demográfico</w:t>
            </w:r>
            <w:r w:rsidR="002A0D23">
              <w:rPr>
                <w:b/>
                <w:sz w:val="18"/>
                <w:lang w:val="es-ES_tradnl"/>
              </w:rPr>
              <w:t xml:space="preserve"> (por 1.000)</w:t>
            </w:r>
          </w:p>
        </w:tc>
        <w:tc>
          <w:tcPr>
            <w:tcW w:w="952" w:type="dxa"/>
            <w:tcBorders>
              <w:bottom w:val="single" w:sz="12" w:space="0" w:color="auto"/>
            </w:tcBorders>
            <w:shd w:val="clear" w:color="auto" w:fill="auto"/>
            <w:vAlign w:val="bottom"/>
          </w:tcPr>
          <w:p w14:paraId="2AA94F32"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517B56">
              <w:rPr>
                <w:b/>
                <w:sz w:val="18"/>
                <w:lang w:val="es-ES_tradnl"/>
              </w:rPr>
              <w:t>13,4</w:t>
            </w:r>
          </w:p>
        </w:tc>
        <w:tc>
          <w:tcPr>
            <w:tcW w:w="1064" w:type="dxa"/>
            <w:tcBorders>
              <w:bottom w:val="single" w:sz="12" w:space="0" w:color="auto"/>
            </w:tcBorders>
            <w:shd w:val="clear" w:color="auto" w:fill="auto"/>
            <w:vAlign w:val="bottom"/>
          </w:tcPr>
          <w:p w14:paraId="3C4FF114"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517B56">
              <w:rPr>
                <w:b/>
                <w:sz w:val="18"/>
                <w:lang w:val="es-ES_tradnl"/>
              </w:rPr>
              <w:t>13,0</w:t>
            </w:r>
          </w:p>
        </w:tc>
        <w:tc>
          <w:tcPr>
            <w:tcW w:w="993" w:type="dxa"/>
            <w:tcBorders>
              <w:bottom w:val="single" w:sz="12" w:space="0" w:color="auto"/>
            </w:tcBorders>
            <w:shd w:val="clear" w:color="auto" w:fill="auto"/>
            <w:vAlign w:val="bottom"/>
          </w:tcPr>
          <w:p w14:paraId="61E063C8"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517B56">
              <w:rPr>
                <w:b/>
                <w:sz w:val="18"/>
                <w:lang w:val="es-ES_tradnl"/>
              </w:rPr>
              <w:t>12,2</w:t>
            </w:r>
          </w:p>
        </w:tc>
        <w:tc>
          <w:tcPr>
            <w:tcW w:w="938" w:type="dxa"/>
            <w:tcBorders>
              <w:bottom w:val="single" w:sz="12" w:space="0" w:color="auto"/>
            </w:tcBorders>
            <w:shd w:val="clear" w:color="auto" w:fill="auto"/>
            <w:vAlign w:val="bottom"/>
          </w:tcPr>
          <w:p w14:paraId="7860CF7D"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517B56">
              <w:rPr>
                <w:b/>
                <w:sz w:val="18"/>
                <w:lang w:val="es-ES_tradnl"/>
              </w:rPr>
              <w:t>12,2</w:t>
            </w:r>
          </w:p>
        </w:tc>
        <w:tc>
          <w:tcPr>
            <w:tcW w:w="1034" w:type="dxa"/>
            <w:tcBorders>
              <w:bottom w:val="single" w:sz="12" w:space="0" w:color="auto"/>
            </w:tcBorders>
            <w:shd w:val="clear" w:color="auto" w:fill="auto"/>
            <w:vAlign w:val="bottom"/>
          </w:tcPr>
          <w:p w14:paraId="3504D477"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517B56">
              <w:rPr>
                <w:b/>
                <w:sz w:val="18"/>
                <w:lang w:val="es-ES_tradnl"/>
              </w:rPr>
              <w:t>12,2</w:t>
            </w:r>
          </w:p>
        </w:tc>
        <w:tc>
          <w:tcPr>
            <w:tcW w:w="968" w:type="dxa"/>
            <w:tcBorders>
              <w:bottom w:val="single" w:sz="12" w:space="0" w:color="auto"/>
            </w:tcBorders>
            <w:shd w:val="clear" w:color="auto" w:fill="auto"/>
            <w:vAlign w:val="bottom"/>
          </w:tcPr>
          <w:p w14:paraId="15579BFF"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517B56">
              <w:rPr>
                <w:b/>
                <w:sz w:val="18"/>
                <w:lang w:val="es-ES_tradnl"/>
              </w:rPr>
              <w:t>12,1</w:t>
            </w:r>
          </w:p>
        </w:tc>
        <w:tc>
          <w:tcPr>
            <w:tcW w:w="1014" w:type="dxa"/>
            <w:tcBorders>
              <w:bottom w:val="single" w:sz="12" w:space="0" w:color="auto"/>
            </w:tcBorders>
            <w:shd w:val="clear" w:color="auto" w:fill="auto"/>
            <w:vAlign w:val="bottom"/>
          </w:tcPr>
          <w:p w14:paraId="5D08330B" w14:textId="77777777" w:rsidR="004E0684" w:rsidRPr="00517B56" w:rsidRDefault="004E0684" w:rsidP="000F4C6D">
            <w:pPr>
              <w:pStyle w:val="SingleTxtG"/>
              <w:tabs>
                <w:tab w:val="clear" w:pos="1701"/>
                <w:tab w:val="clear" w:pos="2268"/>
                <w:tab w:val="clear" w:pos="2835"/>
              </w:tabs>
              <w:spacing w:before="40" w:after="40" w:line="220" w:lineRule="exact"/>
              <w:ind w:left="113" w:right="0"/>
              <w:jc w:val="right"/>
              <w:rPr>
                <w:b/>
                <w:sz w:val="18"/>
                <w:lang w:val="es-ES_tradnl"/>
              </w:rPr>
            </w:pPr>
            <w:r w:rsidRPr="00517B56">
              <w:rPr>
                <w:b/>
                <w:sz w:val="18"/>
                <w:lang w:val="es-ES_tradnl"/>
              </w:rPr>
              <w:t>11,8</w:t>
            </w:r>
          </w:p>
        </w:tc>
      </w:tr>
    </w:tbl>
    <w:p w14:paraId="3CCF4C80" w14:textId="3A4B07E9" w:rsidR="004E0684" w:rsidRPr="00517B56" w:rsidRDefault="004E0684" w:rsidP="00757538">
      <w:pPr>
        <w:pStyle w:val="SingleTxtG"/>
        <w:spacing w:before="240"/>
        <w:rPr>
          <w:rFonts w:eastAsia="Calibri"/>
          <w:lang w:val="es-ES_tradnl"/>
        </w:rPr>
      </w:pPr>
      <w:r w:rsidRPr="00517B56">
        <w:rPr>
          <w:lang w:val="es-ES_tradnl"/>
        </w:rPr>
        <w:t>15.</w:t>
      </w:r>
      <w:r w:rsidR="00757538" w:rsidRPr="00517B56">
        <w:rPr>
          <w:lang w:val="es-ES_tradnl"/>
        </w:rPr>
        <w:tab/>
      </w:r>
      <w:proofErr w:type="gramStart"/>
      <w:r w:rsidRPr="00517B56">
        <w:rPr>
          <w:lang w:val="es-ES_tradnl"/>
        </w:rPr>
        <w:t>En relación al</w:t>
      </w:r>
      <w:proofErr w:type="gramEnd"/>
      <w:r w:rsidRPr="00517B56">
        <w:rPr>
          <w:lang w:val="es-ES_tradnl"/>
        </w:rPr>
        <w:t xml:space="preserve"> sistema de educación y formación y los presupuestos asignados al mismo, se señalan los siguientes datos</w:t>
      </w:r>
      <w:r w:rsidR="00757538" w:rsidRPr="00517B56">
        <w:rPr>
          <w:lang w:val="es-ES_tradnl"/>
        </w:rPr>
        <w:t>.</w:t>
      </w:r>
    </w:p>
    <w:tbl>
      <w:tblPr>
        <w:tblW w:w="9638" w:type="dxa"/>
        <w:tblBorders>
          <w:top w:val="single" w:sz="4" w:space="0" w:color="auto"/>
        </w:tblBorders>
        <w:tblLayout w:type="fixed"/>
        <w:tblCellMar>
          <w:left w:w="0" w:type="dxa"/>
          <w:right w:w="0" w:type="dxa"/>
        </w:tblCellMar>
        <w:tblLook w:val="04A0" w:firstRow="1" w:lastRow="0" w:firstColumn="1" w:lastColumn="0" w:noHBand="0" w:noVBand="1"/>
      </w:tblPr>
      <w:tblGrid>
        <w:gridCol w:w="2800"/>
        <w:gridCol w:w="966"/>
        <w:gridCol w:w="938"/>
        <w:gridCol w:w="938"/>
        <w:gridCol w:w="1035"/>
        <w:gridCol w:w="966"/>
        <w:gridCol w:w="1008"/>
        <w:gridCol w:w="987"/>
      </w:tblGrid>
      <w:tr w:rsidR="000A29B8" w:rsidRPr="00517B56" w14:paraId="4E44F594" w14:textId="77777777" w:rsidTr="004E2640">
        <w:trPr>
          <w:trHeight w:val="240"/>
          <w:tblHeader/>
        </w:trPr>
        <w:tc>
          <w:tcPr>
            <w:tcW w:w="2800" w:type="dxa"/>
            <w:vMerge w:val="restart"/>
            <w:tcBorders>
              <w:top w:val="single" w:sz="4" w:space="0" w:color="auto"/>
              <w:bottom w:val="single" w:sz="12" w:space="0" w:color="auto"/>
            </w:tcBorders>
            <w:shd w:val="clear" w:color="auto" w:fill="auto"/>
            <w:noWrap/>
            <w:vAlign w:val="bottom"/>
            <w:hideMark/>
          </w:tcPr>
          <w:p w14:paraId="77B6A0BD" w14:textId="75BF089D" w:rsidR="004E0684" w:rsidRPr="00517B56" w:rsidRDefault="004E0684" w:rsidP="004E2640">
            <w:pPr>
              <w:pStyle w:val="SingleTxtG"/>
              <w:keepNext/>
              <w:keepLines/>
              <w:tabs>
                <w:tab w:val="clear" w:pos="1701"/>
                <w:tab w:val="clear" w:pos="2268"/>
                <w:tab w:val="clear" w:pos="2835"/>
                <w:tab w:val="left" w:pos="282"/>
              </w:tabs>
              <w:spacing w:before="80" w:after="80" w:line="200" w:lineRule="exact"/>
              <w:ind w:left="0" w:right="0"/>
              <w:jc w:val="left"/>
              <w:rPr>
                <w:rFonts w:eastAsia="Calibri"/>
                <w:i/>
                <w:iCs/>
                <w:sz w:val="16"/>
                <w:lang w:val="es-ES_tradnl"/>
              </w:rPr>
            </w:pPr>
          </w:p>
        </w:tc>
        <w:tc>
          <w:tcPr>
            <w:tcW w:w="6838" w:type="dxa"/>
            <w:gridSpan w:val="7"/>
            <w:tcBorders>
              <w:top w:val="single" w:sz="4" w:space="0" w:color="auto"/>
              <w:bottom w:val="single" w:sz="4" w:space="0" w:color="auto"/>
            </w:tcBorders>
            <w:shd w:val="clear" w:color="auto" w:fill="auto"/>
            <w:noWrap/>
            <w:vAlign w:val="bottom"/>
            <w:hideMark/>
          </w:tcPr>
          <w:p w14:paraId="3441757C" w14:textId="7D77963B" w:rsidR="004E0684" w:rsidRPr="00517B56" w:rsidRDefault="004E0684" w:rsidP="004E2640">
            <w:pPr>
              <w:pStyle w:val="SingleTxtG"/>
              <w:keepNext/>
              <w:keepLines/>
              <w:tabs>
                <w:tab w:val="clear" w:pos="1701"/>
                <w:tab w:val="clear" w:pos="2268"/>
                <w:tab w:val="clear" w:pos="2835"/>
              </w:tabs>
              <w:spacing w:before="80" w:after="80" w:line="200" w:lineRule="exact"/>
              <w:ind w:left="113" w:right="0"/>
              <w:jc w:val="center"/>
              <w:rPr>
                <w:rFonts w:eastAsia="Calibri"/>
                <w:i/>
                <w:iCs/>
                <w:sz w:val="16"/>
                <w:lang w:val="es-ES_tradnl"/>
              </w:rPr>
            </w:pPr>
            <w:r w:rsidRPr="00517B56">
              <w:rPr>
                <w:i/>
                <w:iCs/>
                <w:sz w:val="16"/>
                <w:lang w:val="es-ES_tradnl"/>
              </w:rPr>
              <w:t>Promedio</w:t>
            </w:r>
          </w:p>
        </w:tc>
      </w:tr>
      <w:tr w:rsidR="00336940" w:rsidRPr="00517B56" w14:paraId="4410930D" w14:textId="77777777" w:rsidTr="004E2640">
        <w:trPr>
          <w:trHeight w:val="240"/>
          <w:tblHeader/>
        </w:trPr>
        <w:tc>
          <w:tcPr>
            <w:tcW w:w="2800" w:type="dxa"/>
            <w:vMerge/>
            <w:tcBorders>
              <w:top w:val="single" w:sz="12" w:space="0" w:color="auto"/>
              <w:bottom w:val="single" w:sz="12" w:space="0" w:color="auto"/>
            </w:tcBorders>
            <w:shd w:val="clear" w:color="auto" w:fill="auto"/>
            <w:noWrap/>
            <w:vAlign w:val="bottom"/>
            <w:hideMark/>
          </w:tcPr>
          <w:p w14:paraId="468E1F4F" w14:textId="77777777" w:rsidR="004E0684" w:rsidRPr="00517B56" w:rsidRDefault="004E0684" w:rsidP="004E2640">
            <w:pPr>
              <w:pStyle w:val="SingleTxtG"/>
              <w:keepNext/>
              <w:keepLines/>
              <w:tabs>
                <w:tab w:val="clear" w:pos="1701"/>
                <w:tab w:val="clear" w:pos="2268"/>
                <w:tab w:val="clear" w:pos="2835"/>
              </w:tabs>
              <w:spacing w:before="40" w:after="40" w:line="220" w:lineRule="exact"/>
              <w:ind w:left="0" w:right="0"/>
              <w:jc w:val="left"/>
              <w:rPr>
                <w:rFonts w:eastAsia="Calibri"/>
                <w:bCs/>
                <w:iCs/>
                <w:sz w:val="18"/>
                <w:lang w:val="es-ES_tradnl"/>
              </w:rPr>
            </w:pPr>
          </w:p>
        </w:tc>
        <w:tc>
          <w:tcPr>
            <w:tcW w:w="966" w:type="dxa"/>
            <w:tcBorders>
              <w:top w:val="single" w:sz="4" w:space="0" w:color="auto"/>
              <w:bottom w:val="single" w:sz="12" w:space="0" w:color="auto"/>
            </w:tcBorders>
            <w:shd w:val="clear" w:color="auto" w:fill="auto"/>
            <w:noWrap/>
            <w:vAlign w:val="bottom"/>
            <w:hideMark/>
          </w:tcPr>
          <w:p w14:paraId="5553ECCB" w14:textId="4476FF09" w:rsidR="004E0684" w:rsidRPr="00517B56" w:rsidRDefault="004E0684" w:rsidP="004E2640">
            <w:pPr>
              <w:pStyle w:val="SingleTxtG"/>
              <w:keepNext/>
              <w:keepLines/>
              <w:tabs>
                <w:tab w:val="clear" w:pos="1701"/>
                <w:tab w:val="clear" w:pos="2268"/>
                <w:tab w:val="clear" w:pos="2835"/>
              </w:tabs>
              <w:spacing w:before="80" w:after="80" w:line="200" w:lineRule="exact"/>
              <w:ind w:left="113" w:right="0"/>
              <w:jc w:val="right"/>
              <w:rPr>
                <w:i/>
                <w:iCs/>
                <w:sz w:val="16"/>
                <w:lang w:val="es-ES_tradnl"/>
              </w:rPr>
            </w:pPr>
            <w:r w:rsidRPr="00517B56">
              <w:rPr>
                <w:i/>
                <w:iCs/>
                <w:sz w:val="16"/>
                <w:lang w:val="es-ES_tradnl"/>
              </w:rPr>
              <w:t>2008</w:t>
            </w:r>
            <w:r w:rsidR="00694EFF">
              <w:rPr>
                <w:i/>
                <w:iCs/>
                <w:sz w:val="16"/>
                <w:lang w:val="es-ES_tradnl"/>
              </w:rPr>
              <w:t>/</w:t>
            </w:r>
            <w:r w:rsidRPr="00517B56">
              <w:rPr>
                <w:i/>
                <w:iCs/>
                <w:sz w:val="16"/>
                <w:lang w:val="es-ES_tradnl"/>
              </w:rPr>
              <w:t>13</w:t>
            </w:r>
          </w:p>
        </w:tc>
        <w:tc>
          <w:tcPr>
            <w:tcW w:w="938" w:type="dxa"/>
            <w:tcBorders>
              <w:top w:val="single" w:sz="4" w:space="0" w:color="auto"/>
              <w:bottom w:val="single" w:sz="12" w:space="0" w:color="auto"/>
            </w:tcBorders>
            <w:shd w:val="clear" w:color="auto" w:fill="auto"/>
            <w:noWrap/>
            <w:vAlign w:val="bottom"/>
            <w:hideMark/>
          </w:tcPr>
          <w:p w14:paraId="0FB01272" w14:textId="741F18BA" w:rsidR="004E0684" w:rsidRPr="00517B56" w:rsidRDefault="004E0684" w:rsidP="004E2640">
            <w:pPr>
              <w:pStyle w:val="SingleTxtG"/>
              <w:keepNext/>
              <w:keepLines/>
              <w:tabs>
                <w:tab w:val="clear" w:pos="1701"/>
                <w:tab w:val="clear" w:pos="2268"/>
                <w:tab w:val="clear" w:pos="2835"/>
              </w:tabs>
              <w:spacing w:before="80" w:after="80" w:line="200" w:lineRule="exact"/>
              <w:ind w:left="113" w:right="0"/>
              <w:jc w:val="right"/>
              <w:rPr>
                <w:i/>
                <w:iCs/>
                <w:sz w:val="16"/>
                <w:lang w:val="es-ES_tradnl"/>
              </w:rPr>
            </w:pPr>
            <w:r w:rsidRPr="00517B56">
              <w:rPr>
                <w:i/>
                <w:iCs/>
                <w:sz w:val="16"/>
                <w:lang w:val="es-ES_tradnl"/>
              </w:rPr>
              <w:t>2013</w:t>
            </w:r>
            <w:r w:rsidR="00694EFF">
              <w:rPr>
                <w:i/>
                <w:iCs/>
                <w:sz w:val="16"/>
                <w:lang w:val="es-ES_tradnl"/>
              </w:rPr>
              <w:t>/</w:t>
            </w:r>
            <w:r w:rsidRPr="00517B56">
              <w:rPr>
                <w:i/>
                <w:iCs/>
                <w:sz w:val="16"/>
                <w:lang w:val="es-ES_tradnl"/>
              </w:rPr>
              <w:t>14</w:t>
            </w:r>
          </w:p>
        </w:tc>
        <w:tc>
          <w:tcPr>
            <w:tcW w:w="938" w:type="dxa"/>
            <w:tcBorders>
              <w:top w:val="single" w:sz="4" w:space="0" w:color="auto"/>
              <w:bottom w:val="single" w:sz="12" w:space="0" w:color="auto"/>
            </w:tcBorders>
            <w:shd w:val="clear" w:color="auto" w:fill="auto"/>
            <w:noWrap/>
            <w:vAlign w:val="bottom"/>
            <w:hideMark/>
          </w:tcPr>
          <w:p w14:paraId="70C06C10" w14:textId="0D70A73F" w:rsidR="004E0684" w:rsidRPr="00517B56" w:rsidRDefault="004E0684" w:rsidP="004E2640">
            <w:pPr>
              <w:pStyle w:val="SingleTxtG"/>
              <w:keepNext/>
              <w:keepLines/>
              <w:tabs>
                <w:tab w:val="clear" w:pos="1701"/>
                <w:tab w:val="clear" w:pos="2268"/>
                <w:tab w:val="clear" w:pos="2835"/>
              </w:tabs>
              <w:spacing w:before="80" w:after="80" w:line="200" w:lineRule="exact"/>
              <w:ind w:left="113" w:right="0"/>
              <w:jc w:val="right"/>
              <w:rPr>
                <w:i/>
                <w:iCs/>
                <w:sz w:val="16"/>
                <w:lang w:val="es-ES_tradnl"/>
              </w:rPr>
            </w:pPr>
            <w:r w:rsidRPr="00517B56">
              <w:rPr>
                <w:i/>
                <w:iCs/>
                <w:sz w:val="16"/>
                <w:lang w:val="es-ES_tradnl"/>
              </w:rPr>
              <w:t>2014</w:t>
            </w:r>
            <w:r w:rsidR="00694EFF">
              <w:rPr>
                <w:i/>
                <w:iCs/>
                <w:sz w:val="16"/>
                <w:lang w:val="es-ES_tradnl"/>
              </w:rPr>
              <w:t>/</w:t>
            </w:r>
            <w:r w:rsidRPr="00517B56">
              <w:rPr>
                <w:i/>
                <w:iCs/>
                <w:sz w:val="16"/>
                <w:lang w:val="es-ES_tradnl"/>
              </w:rPr>
              <w:t>15</w:t>
            </w:r>
          </w:p>
        </w:tc>
        <w:tc>
          <w:tcPr>
            <w:tcW w:w="1035" w:type="dxa"/>
            <w:tcBorders>
              <w:top w:val="single" w:sz="4" w:space="0" w:color="auto"/>
              <w:bottom w:val="single" w:sz="12" w:space="0" w:color="auto"/>
            </w:tcBorders>
            <w:shd w:val="clear" w:color="auto" w:fill="auto"/>
            <w:noWrap/>
            <w:vAlign w:val="bottom"/>
            <w:hideMark/>
          </w:tcPr>
          <w:p w14:paraId="20FE9B0C" w14:textId="1E6F202E" w:rsidR="004E0684" w:rsidRPr="00517B56" w:rsidRDefault="004E0684" w:rsidP="004E2640">
            <w:pPr>
              <w:pStyle w:val="SingleTxtG"/>
              <w:keepNext/>
              <w:keepLines/>
              <w:tabs>
                <w:tab w:val="clear" w:pos="1701"/>
                <w:tab w:val="clear" w:pos="2268"/>
                <w:tab w:val="clear" w:pos="2835"/>
              </w:tabs>
              <w:spacing w:before="80" w:after="80" w:line="200" w:lineRule="exact"/>
              <w:ind w:left="113" w:right="0"/>
              <w:jc w:val="right"/>
              <w:rPr>
                <w:i/>
                <w:iCs/>
                <w:sz w:val="16"/>
                <w:lang w:val="es-ES_tradnl"/>
              </w:rPr>
            </w:pPr>
            <w:r w:rsidRPr="00517B56">
              <w:rPr>
                <w:i/>
                <w:iCs/>
                <w:sz w:val="16"/>
                <w:lang w:val="es-ES_tradnl"/>
              </w:rPr>
              <w:t>2015</w:t>
            </w:r>
            <w:r w:rsidR="00694EFF">
              <w:rPr>
                <w:i/>
                <w:iCs/>
                <w:sz w:val="16"/>
                <w:lang w:val="es-ES_tradnl"/>
              </w:rPr>
              <w:t>/</w:t>
            </w:r>
            <w:r w:rsidRPr="00517B56">
              <w:rPr>
                <w:i/>
                <w:iCs/>
                <w:sz w:val="16"/>
                <w:lang w:val="es-ES_tradnl"/>
              </w:rPr>
              <w:t>16</w:t>
            </w:r>
          </w:p>
        </w:tc>
        <w:tc>
          <w:tcPr>
            <w:tcW w:w="966" w:type="dxa"/>
            <w:tcBorders>
              <w:top w:val="single" w:sz="4" w:space="0" w:color="auto"/>
              <w:bottom w:val="single" w:sz="12" w:space="0" w:color="auto"/>
            </w:tcBorders>
            <w:shd w:val="clear" w:color="auto" w:fill="auto"/>
            <w:noWrap/>
            <w:vAlign w:val="bottom"/>
            <w:hideMark/>
          </w:tcPr>
          <w:p w14:paraId="628EF14D" w14:textId="6C7E7C42" w:rsidR="004E0684" w:rsidRPr="00517B56" w:rsidRDefault="004E0684" w:rsidP="004E2640">
            <w:pPr>
              <w:pStyle w:val="SingleTxtG"/>
              <w:keepNext/>
              <w:keepLines/>
              <w:tabs>
                <w:tab w:val="clear" w:pos="1701"/>
                <w:tab w:val="clear" w:pos="2268"/>
                <w:tab w:val="clear" w:pos="2835"/>
              </w:tabs>
              <w:spacing w:before="80" w:after="80" w:line="200" w:lineRule="exact"/>
              <w:ind w:left="113" w:right="0"/>
              <w:jc w:val="right"/>
              <w:rPr>
                <w:i/>
                <w:iCs/>
                <w:sz w:val="16"/>
                <w:lang w:val="es-ES_tradnl"/>
              </w:rPr>
            </w:pPr>
            <w:r w:rsidRPr="00517B56">
              <w:rPr>
                <w:i/>
                <w:iCs/>
                <w:sz w:val="16"/>
                <w:lang w:val="es-ES_tradnl"/>
              </w:rPr>
              <w:t>2016</w:t>
            </w:r>
            <w:r w:rsidR="00694EFF">
              <w:rPr>
                <w:i/>
                <w:iCs/>
                <w:sz w:val="16"/>
                <w:lang w:val="es-ES_tradnl"/>
              </w:rPr>
              <w:t>/</w:t>
            </w:r>
            <w:r w:rsidRPr="00517B56">
              <w:rPr>
                <w:i/>
                <w:iCs/>
                <w:sz w:val="16"/>
                <w:lang w:val="es-ES_tradnl"/>
              </w:rPr>
              <w:t>17</w:t>
            </w:r>
          </w:p>
        </w:tc>
        <w:tc>
          <w:tcPr>
            <w:tcW w:w="1008" w:type="dxa"/>
            <w:tcBorders>
              <w:top w:val="single" w:sz="4" w:space="0" w:color="auto"/>
              <w:bottom w:val="single" w:sz="12" w:space="0" w:color="auto"/>
            </w:tcBorders>
            <w:shd w:val="clear" w:color="auto" w:fill="auto"/>
            <w:noWrap/>
            <w:vAlign w:val="bottom"/>
            <w:hideMark/>
          </w:tcPr>
          <w:p w14:paraId="20CBFDED" w14:textId="3B8FA17F" w:rsidR="004E0684" w:rsidRPr="00517B56" w:rsidRDefault="004E0684" w:rsidP="004E2640">
            <w:pPr>
              <w:pStyle w:val="SingleTxtG"/>
              <w:keepNext/>
              <w:keepLines/>
              <w:tabs>
                <w:tab w:val="clear" w:pos="1701"/>
                <w:tab w:val="clear" w:pos="2268"/>
                <w:tab w:val="clear" w:pos="2835"/>
              </w:tabs>
              <w:spacing w:before="80" w:after="80" w:line="200" w:lineRule="exact"/>
              <w:ind w:left="113" w:right="0"/>
              <w:jc w:val="right"/>
              <w:rPr>
                <w:i/>
                <w:iCs/>
                <w:sz w:val="16"/>
                <w:lang w:val="es-ES_tradnl"/>
              </w:rPr>
            </w:pPr>
            <w:r w:rsidRPr="00517B56">
              <w:rPr>
                <w:i/>
                <w:iCs/>
                <w:sz w:val="16"/>
                <w:lang w:val="es-ES_tradnl"/>
              </w:rPr>
              <w:t>2017</w:t>
            </w:r>
            <w:r w:rsidR="00694EFF">
              <w:rPr>
                <w:i/>
                <w:iCs/>
                <w:sz w:val="16"/>
                <w:lang w:val="es-ES_tradnl"/>
              </w:rPr>
              <w:t>/</w:t>
            </w:r>
            <w:r w:rsidRPr="00517B56">
              <w:rPr>
                <w:i/>
                <w:iCs/>
                <w:sz w:val="16"/>
                <w:lang w:val="es-ES_tradnl"/>
              </w:rPr>
              <w:t>18</w:t>
            </w:r>
          </w:p>
        </w:tc>
        <w:tc>
          <w:tcPr>
            <w:tcW w:w="987" w:type="dxa"/>
            <w:tcBorders>
              <w:top w:val="single" w:sz="4" w:space="0" w:color="auto"/>
              <w:bottom w:val="single" w:sz="12" w:space="0" w:color="auto"/>
            </w:tcBorders>
            <w:shd w:val="clear" w:color="auto" w:fill="auto"/>
            <w:noWrap/>
            <w:vAlign w:val="bottom"/>
            <w:hideMark/>
          </w:tcPr>
          <w:p w14:paraId="4CD9369A" w14:textId="154A9B26" w:rsidR="004E0684" w:rsidRPr="00517B56" w:rsidRDefault="004E0684" w:rsidP="004E2640">
            <w:pPr>
              <w:pStyle w:val="SingleTxtG"/>
              <w:keepNext/>
              <w:keepLines/>
              <w:tabs>
                <w:tab w:val="clear" w:pos="1701"/>
                <w:tab w:val="clear" w:pos="2268"/>
                <w:tab w:val="clear" w:pos="2835"/>
              </w:tabs>
              <w:spacing w:before="80" w:after="80" w:line="200" w:lineRule="exact"/>
              <w:ind w:left="113" w:right="0"/>
              <w:jc w:val="right"/>
              <w:rPr>
                <w:i/>
                <w:iCs/>
                <w:sz w:val="16"/>
                <w:lang w:val="es-ES_tradnl"/>
              </w:rPr>
            </w:pPr>
            <w:r w:rsidRPr="00517B56">
              <w:rPr>
                <w:i/>
                <w:iCs/>
                <w:sz w:val="16"/>
                <w:lang w:val="es-ES_tradnl"/>
              </w:rPr>
              <w:t>2018</w:t>
            </w:r>
            <w:r w:rsidR="00694EFF">
              <w:rPr>
                <w:i/>
                <w:iCs/>
                <w:sz w:val="16"/>
                <w:lang w:val="es-ES_tradnl"/>
              </w:rPr>
              <w:t>/</w:t>
            </w:r>
            <w:r w:rsidRPr="00517B56">
              <w:rPr>
                <w:i/>
                <w:iCs/>
                <w:sz w:val="16"/>
                <w:lang w:val="es-ES_tradnl"/>
              </w:rPr>
              <w:t>19</w:t>
            </w:r>
          </w:p>
        </w:tc>
      </w:tr>
      <w:tr w:rsidR="000A29B8" w:rsidRPr="00517B56" w14:paraId="3F56FA83" w14:textId="77777777" w:rsidTr="004E2640">
        <w:trPr>
          <w:trHeight w:val="240"/>
        </w:trPr>
        <w:tc>
          <w:tcPr>
            <w:tcW w:w="2800" w:type="dxa"/>
            <w:tcBorders>
              <w:top w:val="single" w:sz="12" w:space="0" w:color="auto"/>
            </w:tcBorders>
            <w:shd w:val="clear" w:color="auto" w:fill="auto"/>
            <w:noWrap/>
          </w:tcPr>
          <w:p w14:paraId="4AE64325" w14:textId="619C7B2C" w:rsidR="004E0684" w:rsidRPr="00517B56" w:rsidRDefault="009A2020" w:rsidP="00694EFF">
            <w:pPr>
              <w:pStyle w:val="SingleTxtG"/>
              <w:keepNext/>
              <w:keepLines/>
              <w:tabs>
                <w:tab w:val="clear" w:pos="1701"/>
                <w:tab w:val="clear" w:pos="2268"/>
                <w:tab w:val="clear" w:pos="2835"/>
              </w:tabs>
              <w:spacing w:before="40" w:after="40" w:line="220" w:lineRule="exact"/>
              <w:ind w:left="560" w:right="0" w:hanging="560"/>
              <w:jc w:val="left"/>
              <w:rPr>
                <w:rFonts w:eastAsia="Calibri"/>
                <w:b/>
                <w:sz w:val="18"/>
                <w:lang w:val="es-ES_tradnl"/>
              </w:rPr>
            </w:pPr>
            <w:r w:rsidRPr="009A2020">
              <w:rPr>
                <w:rFonts w:eastAsia="Calibri"/>
                <w:b/>
                <w:sz w:val="18"/>
                <w:lang w:val="es-ES_tradnl"/>
              </w:rPr>
              <w:t>3.</w:t>
            </w:r>
            <w:r w:rsidRPr="009A2020">
              <w:rPr>
                <w:rFonts w:eastAsia="Calibri"/>
                <w:b/>
                <w:sz w:val="18"/>
                <w:lang w:val="es-ES_tradnl"/>
              </w:rPr>
              <w:tab/>
              <w:t xml:space="preserve">Educación y </w:t>
            </w:r>
            <w:r w:rsidRPr="00694EFF">
              <w:rPr>
                <w:b/>
                <w:sz w:val="18"/>
                <w:lang w:val="es-ES_tradnl"/>
              </w:rPr>
              <w:t>formación</w:t>
            </w:r>
          </w:p>
        </w:tc>
        <w:tc>
          <w:tcPr>
            <w:tcW w:w="966" w:type="dxa"/>
            <w:tcBorders>
              <w:top w:val="single" w:sz="12" w:space="0" w:color="auto"/>
            </w:tcBorders>
            <w:shd w:val="clear" w:color="auto" w:fill="auto"/>
            <w:noWrap/>
            <w:vAlign w:val="bottom"/>
          </w:tcPr>
          <w:p w14:paraId="7EAAD215" w14:textId="3BAA5CE9" w:rsidR="004E0684" w:rsidRPr="00825CEC"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s-ES_tradnl"/>
              </w:rPr>
            </w:pPr>
          </w:p>
        </w:tc>
        <w:tc>
          <w:tcPr>
            <w:tcW w:w="938" w:type="dxa"/>
            <w:tcBorders>
              <w:top w:val="single" w:sz="12" w:space="0" w:color="auto"/>
            </w:tcBorders>
            <w:shd w:val="clear" w:color="auto" w:fill="auto"/>
            <w:noWrap/>
            <w:vAlign w:val="bottom"/>
          </w:tcPr>
          <w:p w14:paraId="7A4A6231" w14:textId="71C20799" w:rsidR="004E0684" w:rsidRPr="00825CEC"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s-ES_tradnl"/>
              </w:rPr>
            </w:pPr>
          </w:p>
        </w:tc>
        <w:tc>
          <w:tcPr>
            <w:tcW w:w="938" w:type="dxa"/>
            <w:tcBorders>
              <w:top w:val="single" w:sz="12" w:space="0" w:color="auto"/>
            </w:tcBorders>
            <w:shd w:val="clear" w:color="auto" w:fill="auto"/>
            <w:noWrap/>
            <w:vAlign w:val="bottom"/>
          </w:tcPr>
          <w:p w14:paraId="12A5E7AB" w14:textId="6EDEBB3D" w:rsidR="004E0684" w:rsidRPr="00825CEC"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s-ES_tradnl"/>
              </w:rPr>
            </w:pPr>
          </w:p>
        </w:tc>
        <w:tc>
          <w:tcPr>
            <w:tcW w:w="1035" w:type="dxa"/>
            <w:tcBorders>
              <w:top w:val="single" w:sz="12" w:space="0" w:color="auto"/>
            </w:tcBorders>
            <w:shd w:val="clear" w:color="auto" w:fill="auto"/>
            <w:noWrap/>
            <w:vAlign w:val="bottom"/>
          </w:tcPr>
          <w:p w14:paraId="01B533F6" w14:textId="501C75C4" w:rsidR="004E0684" w:rsidRPr="00825CEC"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s-ES_tradnl"/>
              </w:rPr>
            </w:pPr>
          </w:p>
        </w:tc>
        <w:tc>
          <w:tcPr>
            <w:tcW w:w="966" w:type="dxa"/>
            <w:tcBorders>
              <w:top w:val="single" w:sz="12" w:space="0" w:color="auto"/>
            </w:tcBorders>
            <w:shd w:val="clear" w:color="auto" w:fill="auto"/>
            <w:noWrap/>
            <w:vAlign w:val="bottom"/>
          </w:tcPr>
          <w:p w14:paraId="1F97179F" w14:textId="4F537781" w:rsidR="004E0684" w:rsidRPr="00825CEC"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s-ES_tradnl"/>
              </w:rPr>
            </w:pPr>
          </w:p>
        </w:tc>
        <w:tc>
          <w:tcPr>
            <w:tcW w:w="1008" w:type="dxa"/>
            <w:tcBorders>
              <w:top w:val="single" w:sz="12" w:space="0" w:color="auto"/>
            </w:tcBorders>
            <w:shd w:val="clear" w:color="auto" w:fill="auto"/>
            <w:noWrap/>
            <w:vAlign w:val="bottom"/>
          </w:tcPr>
          <w:p w14:paraId="0271EB89" w14:textId="4456C1BE" w:rsidR="004E0684" w:rsidRPr="00825CEC"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s-ES_tradnl"/>
              </w:rPr>
            </w:pPr>
          </w:p>
        </w:tc>
        <w:tc>
          <w:tcPr>
            <w:tcW w:w="987" w:type="dxa"/>
            <w:tcBorders>
              <w:top w:val="single" w:sz="12" w:space="0" w:color="auto"/>
            </w:tcBorders>
            <w:shd w:val="clear" w:color="auto" w:fill="auto"/>
            <w:noWrap/>
            <w:vAlign w:val="bottom"/>
          </w:tcPr>
          <w:p w14:paraId="676596CC" w14:textId="0385F00C" w:rsidR="004E0684" w:rsidRPr="00825CEC"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s-ES_tradnl"/>
              </w:rPr>
            </w:pPr>
          </w:p>
        </w:tc>
      </w:tr>
      <w:tr w:rsidR="009A2020" w:rsidRPr="00517B56" w14:paraId="0E12763E" w14:textId="77777777" w:rsidTr="004E2640">
        <w:trPr>
          <w:trHeight w:val="240"/>
        </w:trPr>
        <w:tc>
          <w:tcPr>
            <w:tcW w:w="2800" w:type="dxa"/>
            <w:shd w:val="clear" w:color="auto" w:fill="auto"/>
            <w:noWrap/>
          </w:tcPr>
          <w:p w14:paraId="75B6663B" w14:textId="64A2078D" w:rsidR="009A2020" w:rsidRPr="00694EFF" w:rsidRDefault="009A2020" w:rsidP="00694EFF">
            <w:pPr>
              <w:pStyle w:val="SingleTxtG"/>
              <w:keepNext/>
              <w:keepLines/>
              <w:tabs>
                <w:tab w:val="clear" w:pos="1701"/>
                <w:tab w:val="clear" w:pos="2268"/>
                <w:tab w:val="clear" w:pos="2835"/>
              </w:tabs>
              <w:spacing w:before="40" w:after="40" w:line="220" w:lineRule="exact"/>
              <w:ind w:left="560" w:right="0" w:hanging="560"/>
              <w:jc w:val="left"/>
              <w:rPr>
                <w:b/>
                <w:sz w:val="18"/>
                <w:lang w:val="es-ES_tradnl"/>
              </w:rPr>
            </w:pPr>
            <w:r w:rsidRPr="00694EFF">
              <w:rPr>
                <w:b/>
                <w:sz w:val="18"/>
                <w:lang w:val="es-ES_tradnl"/>
              </w:rPr>
              <w:t>3.1</w:t>
            </w:r>
            <w:r w:rsidRPr="00694EFF">
              <w:rPr>
                <w:b/>
                <w:sz w:val="18"/>
                <w:lang w:val="es-ES_tradnl"/>
              </w:rPr>
              <w:tab/>
              <w:t>Porcentaje de escolarización en la educación básica</w:t>
            </w:r>
            <w:r w:rsidRPr="00694EFF">
              <w:rPr>
                <w:b/>
                <w:sz w:val="18"/>
                <w:lang w:val="es-ES_tradnl"/>
              </w:rPr>
              <w:br/>
              <w:t xml:space="preserve">(6 a 11 </w:t>
            </w:r>
            <w:proofErr w:type="gramStart"/>
            <w:r w:rsidRPr="00694EFF">
              <w:rPr>
                <w:b/>
                <w:sz w:val="18"/>
                <w:lang w:val="es-ES_tradnl"/>
              </w:rPr>
              <w:t>años)(</w:t>
            </w:r>
            <w:proofErr w:type="gramEnd"/>
            <w:r w:rsidRPr="00694EFF">
              <w:rPr>
                <w:b/>
                <w:sz w:val="18"/>
                <w:lang w:val="es-ES_tradnl"/>
              </w:rPr>
              <w:t>3)</w:t>
            </w:r>
          </w:p>
        </w:tc>
        <w:tc>
          <w:tcPr>
            <w:tcW w:w="966" w:type="dxa"/>
            <w:shd w:val="clear" w:color="auto" w:fill="auto"/>
            <w:noWrap/>
            <w:vAlign w:val="bottom"/>
          </w:tcPr>
          <w:p w14:paraId="717CDB11" w14:textId="685AB9D6"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sz w:val="18"/>
                <w:lang w:val="es-ES_tradnl"/>
              </w:rPr>
            </w:pPr>
            <w:r w:rsidRPr="00825CEC">
              <w:rPr>
                <w:b/>
                <w:bCs/>
                <w:sz w:val="18"/>
                <w:lang w:val="es-ES_tradnl"/>
              </w:rPr>
              <w:t>96,3</w:t>
            </w:r>
          </w:p>
        </w:tc>
        <w:tc>
          <w:tcPr>
            <w:tcW w:w="938" w:type="dxa"/>
            <w:shd w:val="clear" w:color="auto" w:fill="auto"/>
            <w:noWrap/>
            <w:vAlign w:val="bottom"/>
          </w:tcPr>
          <w:p w14:paraId="5DED2245" w14:textId="7B9842E5"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sz w:val="18"/>
                <w:lang w:val="es-ES_tradnl"/>
              </w:rPr>
            </w:pPr>
            <w:r w:rsidRPr="00825CEC">
              <w:rPr>
                <w:b/>
                <w:bCs/>
                <w:sz w:val="18"/>
                <w:lang w:val="es-ES_tradnl"/>
              </w:rPr>
              <w:t>99,5</w:t>
            </w:r>
          </w:p>
        </w:tc>
        <w:tc>
          <w:tcPr>
            <w:tcW w:w="938" w:type="dxa"/>
            <w:shd w:val="clear" w:color="auto" w:fill="auto"/>
            <w:noWrap/>
            <w:vAlign w:val="bottom"/>
          </w:tcPr>
          <w:p w14:paraId="6D489E16" w14:textId="1B4B4A92"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sz w:val="18"/>
                <w:lang w:val="es-ES_tradnl"/>
              </w:rPr>
            </w:pPr>
            <w:r w:rsidRPr="00825CEC">
              <w:rPr>
                <w:b/>
                <w:bCs/>
                <w:sz w:val="18"/>
                <w:lang w:val="es-ES_tradnl"/>
              </w:rPr>
              <w:t>99,1</w:t>
            </w:r>
          </w:p>
        </w:tc>
        <w:tc>
          <w:tcPr>
            <w:tcW w:w="1035" w:type="dxa"/>
            <w:shd w:val="clear" w:color="auto" w:fill="auto"/>
            <w:noWrap/>
            <w:vAlign w:val="bottom"/>
          </w:tcPr>
          <w:p w14:paraId="15E596D9" w14:textId="327894C9"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sz w:val="18"/>
                <w:lang w:val="es-ES_tradnl"/>
              </w:rPr>
            </w:pPr>
            <w:r w:rsidRPr="00825CEC">
              <w:rPr>
                <w:b/>
                <w:bCs/>
                <w:sz w:val="18"/>
                <w:lang w:val="es-ES_tradnl"/>
              </w:rPr>
              <w:t>96,6</w:t>
            </w:r>
          </w:p>
        </w:tc>
        <w:tc>
          <w:tcPr>
            <w:tcW w:w="966" w:type="dxa"/>
            <w:shd w:val="clear" w:color="auto" w:fill="auto"/>
            <w:noWrap/>
            <w:vAlign w:val="bottom"/>
          </w:tcPr>
          <w:p w14:paraId="23D8C931" w14:textId="56F0C360"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sz w:val="18"/>
                <w:lang w:val="es-ES_tradnl"/>
              </w:rPr>
            </w:pPr>
            <w:r w:rsidRPr="00825CEC">
              <w:rPr>
                <w:b/>
                <w:bCs/>
                <w:sz w:val="18"/>
                <w:lang w:val="es-ES_tradnl"/>
              </w:rPr>
              <w:t>98,1</w:t>
            </w:r>
          </w:p>
        </w:tc>
        <w:tc>
          <w:tcPr>
            <w:tcW w:w="1008" w:type="dxa"/>
            <w:shd w:val="clear" w:color="auto" w:fill="auto"/>
            <w:noWrap/>
            <w:vAlign w:val="bottom"/>
          </w:tcPr>
          <w:p w14:paraId="4EAB25C8" w14:textId="6D842A5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sz w:val="18"/>
                <w:lang w:val="es-ES_tradnl"/>
              </w:rPr>
            </w:pPr>
            <w:r w:rsidRPr="00825CEC">
              <w:rPr>
                <w:b/>
                <w:bCs/>
                <w:sz w:val="18"/>
                <w:lang w:val="es-ES_tradnl"/>
              </w:rPr>
              <w:t>99,5</w:t>
            </w:r>
          </w:p>
        </w:tc>
        <w:tc>
          <w:tcPr>
            <w:tcW w:w="987" w:type="dxa"/>
            <w:shd w:val="clear" w:color="auto" w:fill="auto"/>
            <w:noWrap/>
            <w:vAlign w:val="bottom"/>
          </w:tcPr>
          <w:p w14:paraId="16D5405A" w14:textId="02593E1A"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sz w:val="18"/>
                <w:lang w:val="es-ES_tradnl"/>
              </w:rPr>
            </w:pPr>
            <w:r w:rsidRPr="00825CEC">
              <w:rPr>
                <w:b/>
                <w:bCs/>
                <w:sz w:val="18"/>
                <w:lang w:val="es-ES_tradnl"/>
              </w:rPr>
              <w:t>99,8</w:t>
            </w:r>
          </w:p>
        </w:tc>
      </w:tr>
      <w:tr w:rsidR="009A2020" w:rsidRPr="00517B56" w14:paraId="762DFB9F" w14:textId="77777777" w:rsidTr="004E2640">
        <w:trPr>
          <w:trHeight w:val="240"/>
        </w:trPr>
        <w:tc>
          <w:tcPr>
            <w:tcW w:w="2800" w:type="dxa"/>
            <w:shd w:val="clear" w:color="auto" w:fill="auto"/>
            <w:noWrap/>
            <w:hideMark/>
          </w:tcPr>
          <w:p w14:paraId="06D53B60"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0" w:right="0"/>
              <w:jc w:val="left"/>
              <w:rPr>
                <w:rFonts w:eastAsia="Calibri"/>
                <w:sz w:val="18"/>
                <w:lang w:val="es-ES_tradnl"/>
              </w:rPr>
            </w:pPr>
            <w:r w:rsidRPr="00517B56">
              <w:rPr>
                <w:sz w:val="18"/>
                <w:lang w:val="es-ES_tradnl"/>
              </w:rPr>
              <w:t>Medio rural</w:t>
            </w:r>
          </w:p>
        </w:tc>
        <w:tc>
          <w:tcPr>
            <w:tcW w:w="966" w:type="dxa"/>
            <w:shd w:val="clear" w:color="auto" w:fill="auto"/>
            <w:noWrap/>
            <w:vAlign w:val="bottom"/>
            <w:hideMark/>
          </w:tcPr>
          <w:p w14:paraId="3D5385CD"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96,3</w:t>
            </w:r>
          </w:p>
        </w:tc>
        <w:tc>
          <w:tcPr>
            <w:tcW w:w="938" w:type="dxa"/>
            <w:shd w:val="clear" w:color="auto" w:fill="auto"/>
            <w:noWrap/>
            <w:vAlign w:val="bottom"/>
            <w:hideMark/>
          </w:tcPr>
          <w:p w14:paraId="4840DE97"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98,6</w:t>
            </w:r>
          </w:p>
        </w:tc>
        <w:tc>
          <w:tcPr>
            <w:tcW w:w="938" w:type="dxa"/>
            <w:shd w:val="clear" w:color="auto" w:fill="auto"/>
            <w:noWrap/>
            <w:vAlign w:val="bottom"/>
            <w:hideMark/>
          </w:tcPr>
          <w:p w14:paraId="7BA82DE1"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96,2</w:t>
            </w:r>
          </w:p>
        </w:tc>
        <w:tc>
          <w:tcPr>
            <w:tcW w:w="1035" w:type="dxa"/>
            <w:shd w:val="clear" w:color="auto" w:fill="auto"/>
            <w:noWrap/>
            <w:vAlign w:val="bottom"/>
            <w:hideMark/>
          </w:tcPr>
          <w:p w14:paraId="7DF50792"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99,3</w:t>
            </w:r>
          </w:p>
        </w:tc>
        <w:tc>
          <w:tcPr>
            <w:tcW w:w="966" w:type="dxa"/>
            <w:shd w:val="clear" w:color="auto" w:fill="auto"/>
            <w:noWrap/>
            <w:vAlign w:val="bottom"/>
            <w:hideMark/>
          </w:tcPr>
          <w:p w14:paraId="3C306F8A"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101,1</w:t>
            </w:r>
          </w:p>
        </w:tc>
        <w:tc>
          <w:tcPr>
            <w:tcW w:w="1008" w:type="dxa"/>
            <w:shd w:val="clear" w:color="auto" w:fill="auto"/>
            <w:noWrap/>
            <w:vAlign w:val="bottom"/>
            <w:hideMark/>
          </w:tcPr>
          <w:p w14:paraId="2933D295"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102,7</w:t>
            </w:r>
          </w:p>
        </w:tc>
        <w:tc>
          <w:tcPr>
            <w:tcW w:w="987" w:type="dxa"/>
            <w:shd w:val="clear" w:color="auto" w:fill="auto"/>
            <w:noWrap/>
            <w:vAlign w:val="bottom"/>
            <w:hideMark/>
          </w:tcPr>
          <w:p w14:paraId="4422629D"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103,6</w:t>
            </w:r>
          </w:p>
        </w:tc>
      </w:tr>
      <w:tr w:rsidR="009A2020" w:rsidRPr="00517B56" w14:paraId="7D2A2DFC" w14:textId="77777777" w:rsidTr="004E2640">
        <w:trPr>
          <w:trHeight w:val="240"/>
        </w:trPr>
        <w:tc>
          <w:tcPr>
            <w:tcW w:w="2800" w:type="dxa"/>
            <w:shd w:val="clear" w:color="auto" w:fill="auto"/>
            <w:noWrap/>
            <w:hideMark/>
          </w:tcPr>
          <w:p w14:paraId="5D1AF3C1"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0" w:right="0"/>
              <w:jc w:val="left"/>
              <w:rPr>
                <w:rFonts w:eastAsia="Calibri"/>
                <w:sz w:val="18"/>
                <w:lang w:val="es-ES_tradnl"/>
              </w:rPr>
            </w:pPr>
            <w:r w:rsidRPr="00517B56">
              <w:rPr>
                <w:sz w:val="18"/>
                <w:lang w:val="es-ES_tradnl"/>
              </w:rPr>
              <w:t>Niñas en medio rural</w:t>
            </w:r>
          </w:p>
        </w:tc>
        <w:tc>
          <w:tcPr>
            <w:tcW w:w="966" w:type="dxa"/>
            <w:shd w:val="clear" w:color="auto" w:fill="auto"/>
            <w:noWrap/>
            <w:vAlign w:val="bottom"/>
            <w:hideMark/>
          </w:tcPr>
          <w:p w14:paraId="6E0609A7"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94,7</w:t>
            </w:r>
          </w:p>
        </w:tc>
        <w:tc>
          <w:tcPr>
            <w:tcW w:w="938" w:type="dxa"/>
            <w:shd w:val="clear" w:color="auto" w:fill="auto"/>
            <w:noWrap/>
            <w:vAlign w:val="bottom"/>
            <w:hideMark/>
          </w:tcPr>
          <w:p w14:paraId="78AD4400"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97,3</w:t>
            </w:r>
          </w:p>
        </w:tc>
        <w:tc>
          <w:tcPr>
            <w:tcW w:w="938" w:type="dxa"/>
            <w:shd w:val="clear" w:color="auto" w:fill="auto"/>
            <w:noWrap/>
            <w:vAlign w:val="bottom"/>
            <w:hideMark/>
          </w:tcPr>
          <w:p w14:paraId="2A16A96A"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94,6</w:t>
            </w:r>
          </w:p>
        </w:tc>
        <w:tc>
          <w:tcPr>
            <w:tcW w:w="1035" w:type="dxa"/>
            <w:shd w:val="clear" w:color="auto" w:fill="auto"/>
            <w:noWrap/>
            <w:vAlign w:val="bottom"/>
            <w:hideMark/>
          </w:tcPr>
          <w:p w14:paraId="426E1343"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97,9</w:t>
            </w:r>
          </w:p>
        </w:tc>
        <w:tc>
          <w:tcPr>
            <w:tcW w:w="966" w:type="dxa"/>
            <w:shd w:val="clear" w:color="auto" w:fill="auto"/>
            <w:noWrap/>
            <w:vAlign w:val="bottom"/>
            <w:hideMark/>
          </w:tcPr>
          <w:p w14:paraId="13E5BD52"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99,5</w:t>
            </w:r>
          </w:p>
        </w:tc>
        <w:tc>
          <w:tcPr>
            <w:tcW w:w="1008" w:type="dxa"/>
            <w:shd w:val="clear" w:color="auto" w:fill="auto"/>
            <w:noWrap/>
            <w:vAlign w:val="bottom"/>
            <w:hideMark/>
          </w:tcPr>
          <w:p w14:paraId="6F9CAD4E"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101,9</w:t>
            </w:r>
          </w:p>
        </w:tc>
        <w:tc>
          <w:tcPr>
            <w:tcW w:w="987" w:type="dxa"/>
            <w:shd w:val="clear" w:color="auto" w:fill="auto"/>
            <w:noWrap/>
            <w:vAlign w:val="bottom"/>
            <w:hideMark/>
          </w:tcPr>
          <w:p w14:paraId="68B18437"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103,3</w:t>
            </w:r>
          </w:p>
        </w:tc>
      </w:tr>
      <w:tr w:rsidR="009A2020" w:rsidRPr="00517B56" w14:paraId="5F7FED1B" w14:textId="77777777" w:rsidTr="004E2640">
        <w:trPr>
          <w:trHeight w:val="240"/>
        </w:trPr>
        <w:tc>
          <w:tcPr>
            <w:tcW w:w="2800" w:type="dxa"/>
            <w:shd w:val="clear" w:color="auto" w:fill="auto"/>
            <w:noWrap/>
            <w:hideMark/>
          </w:tcPr>
          <w:p w14:paraId="56330DFD" w14:textId="2D43A14B" w:rsidR="009A2020" w:rsidRPr="00517B56" w:rsidRDefault="009A2020" w:rsidP="00694EFF">
            <w:pPr>
              <w:pStyle w:val="SingleTxtG"/>
              <w:keepNext/>
              <w:keepLines/>
              <w:tabs>
                <w:tab w:val="clear" w:pos="1701"/>
                <w:tab w:val="clear" w:pos="2268"/>
                <w:tab w:val="clear" w:pos="2835"/>
              </w:tabs>
              <w:spacing w:before="40" w:after="40" w:line="220" w:lineRule="exact"/>
              <w:ind w:left="560" w:right="0" w:hanging="560"/>
              <w:jc w:val="left"/>
              <w:rPr>
                <w:rFonts w:eastAsia="Calibri"/>
                <w:b/>
                <w:sz w:val="18"/>
                <w:lang w:val="es-ES_tradnl"/>
              </w:rPr>
            </w:pPr>
            <w:r w:rsidRPr="00517B56">
              <w:rPr>
                <w:rFonts w:eastAsia="Calibri"/>
                <w:b/>
                <w:sz w:val="18"/>
                <w:lang w:val="es-ES_tradnl"/>
              </w:rPr>
              <w:t>3.2</w:t>
            </w:r>
            <w:r w:rsidRPr="00517B56">
              <w:rPr>
                <w:rFonts w:eastAsia="Calibri"/>
                <w:b/>
                <w:sz w:val="18"/>
                <w:lang w:val="es-ES_tradnl"/>
              </w:rPr>
              <w:tab/>
              <w:t xml:space="preserve">Número de </w:t>
            </w:r>
            <w:r w:rsidRPr="00694EFF">
              <w:rPr>
                <w:b/>
                <w:sz w:val="18"/>
                <w:lang w:val="es-ES_tradnl"/>
              </w:rPr>
              <w:t>alumnos</w:t>
            </w:r>
            <w:r w:rsidRPr="00517B56">
              <w:rPr>
                <w:rFonts w:eastAsia="Calibri"/>
                <w:b/>
                <w:sz w:val="18"/>
                <w:lang w:val="es-ES_tradnl"/>
              </w:rPr>
              <w:t xml:space="preserve"> de educación primaria</w:t>
            </w:r>
          </w:p>
        </w:tc>
        <w:tc>
          <w:tcPr>
            <w:tcW w:w="966" w:type="dxa"/>
            <w:shd w:val="clear" w:color="auto" w:fill="auto"/>
            <w:noWrap/>
            <w:vAlign w:val="bottom"/>
            <w:hideMark/>
          </w:tcPr>
          <w:p w14:paraId="7FAC7D0C" w14:textId="77777777" w:rsidR="009A2020" w:rsidRPr="00825CEC"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s-ES_tradnl"/>
              </w:rPr>
            </w:pPr>
            <w:r w:rsidRPr="00825CEC">
              <w:rPr>
                <w:b/>
                <w:bCs/>
                <w:sz w:val="18"/>
                <w:lang w:val="es-ES_tradnl"/>
              </w:rPr>
              <w:t>700 760</w:t>
            </w:r>
          </w:p>
        </w:tc>
        <w:tc>
          <w:tcPr>
            <w:tcW w:w="938" w:type="dxa"/>
            <w:shd w:val="clear" w:color="auto" w:fill="auto"/>
            <w:noWrap/>
            <w:vAlign w:val="bottom"/>
            <w:hideMark/>
          </w:tcPr>
          <w:p w14:paraId="174622E8" w14:textId="77777777" w:rsidR="009A2020" w:rsidRPr="00825CEC"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s-ES_tradnl"/>
              </w:rPr>
            </w:pPr>
            <w:r w:rsidRPr="00825CEC">
              <w:rPr>
                <w:b/>
                <w:bCs/>
                <w:sz w:val="18"/>
                <w:lang w:val="es-ES_tradnl"/>
              </w:rPr>
              <w:t>745 991</w:t>
            </w:r>
          </w:p>
        </w:tc>
        <w:tc>
          <w:tcPr>
            <w:tcW w:w="938" w:type="dxa"/>
            <w:shd w:val="clear" w:color="auto" w:fill="auto"/>
            <w:noWrap/>
            <w:vAlign w:val="bottom"/>
            <w:hideMark/>
          </w:tcPr>
          <w:p w14:paraId="78B5E755" w14:textId="77777777" w:rsidR="009A2020" w:rsidRPr="00825CEC"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s-ES_tradnl"/>
              </w:rPr>
            </w:pPr>
            <w:r w:rsidRPr="00825CEC">
              <w:rPr>
                <w:b/>
                <w:bCs/>
                <w:sz w:val="18"/>
                <w:lang w:val="es-ES_tradnl"/>
              </w:rPr>
              <w:t>735 582</w:t>
            </w:r>
          </w:p>
        </w:tc>
        <w:tc>
          <w:tcPr>
            <w:tcW w:w="1035" w:type="dxa"/>
            <w:shd w:val="clear" w:color="auto" w:fill="auto"/>
            <w:noWrap/>
            <w:vAlign w:val="bottom"/>
            <w:hideMark/>
          </w:tcPr>
          <w:p w14:paraId="7578ABE6" w14:textId="77777777" w:rsidR="009A2020" w:rsidRPr="00825CEC"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s-ES_tradnl"/>
              </w:rPr>
            </w:pPr>
            <w:r w:rsidRPr="00825CEC">
              <w:rPr>
                <w:b/>
                <w:bCs/>
                <w:sz w:val="18"/>
                <w:lang w:val="es-ES_tradnl"/>
              </w:rPr>
              <w:t>658 789</w:t>
            </w:r>
          </w:p>
        </w:tc>
        <w:tc>
          <w:tcPr>
            <w:tcW w:w="966" w:type="dxa"/>
            <w:shd w:val="clear" w:color="auto" w:fill="auto"/>
            <w:noWrap/>
            <w:vAlign w:val="bottom"/>
            <w:hideMark/>
          </w:tcPr>
          <w:p w14:paraId="316798DB" w14:textId="77777777" w:rsidR="009A2020" w:rsidRPr="00825CEC"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s-ES_tradnl"/>
              </w:rPr>
            </w:pPr>
            <w:r w:rsidRPr="00825CEC">
              <w:rPr>
                <w:b/>
                <w:bCs/>
                <w:sz w:val="18"/>
                <w:lang w:val="es-ES_tradnl"/>
              </w:rPr>
              <w:t>726 917</w:t>
            </w:r>
          </w:p>
        </w:tc>
        <w:tc>
          <w:tcPr>
            <w:tcW w:w="1008" w:type="dxa"/>
            <w:shd w:val="clear" w:color="auto" w:fill="auto"/>
            <w:noWrap/>
            <w:vAlign w:val="bottom"/>
            <w:hideMark/>
          </w:tcPr>
          <w:p w14:paraId="6E5FDE9A" w14:textId="77777777" w:rsidR="009A2020" w:rsidRPr="00825CEC"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s-ES_tradnl"/>
              </w:rPr>
            </w:pPr>
            <w:r w:rsidRPr="00825CEC">
              <w:rPr>
                <w:b/>
                <w:bCs/>
                <w:sz w:val="18"/>
                <w:lang w:val="es-ES_tradnl"/>
              </w:rPr>
              <w:t>699 265</w:t>
            </w:r>
          </w:p>
        </w:tc>
        <w:tc>
          <w:tcPr>
            <w:tcW w:w="987" w:type="dxa"/>
            <w:shd w:val="clear" w:color="auto" w:fill="auto"/>
            <w:noWrap/>
            <w:vAlign w:val="bottom"/>
            <w:hideMark/>
          </w:tcPr>
          <w:p w14:paraId="6EEB9A00" w14:textId="77777777" w:rsidR="009A2020" w:rsidRPr="00825CEC"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s-ES_tradnl"/>
              </w:rPr>
            </w:pPr>
            <w:r w:rsidRPr="00825CEC">
              <w:rPr>
                <w:b/>
                <w:bCs/>
                <w:sz w:val="18"/>
                <w:lang w:val="es-ES_tradnl"/>
              </w:rPr>
              <w:t>799 937</w:t>
            </w:r>
          </w:p>
        </w:tc>
      </w:tr>
      <w:tr w:rsidR="009A2020" w:rsidRPr="00517B56" w14:paraId="7C9D0D88" w14:textId="77777777" w:rsidTr="004E2640">
        <w:trPr>
          <w:trHeight w:val="240"/>
        </w:trPr>
        <w:tc>
          <w:tcPr>
            <w:tcW w:w="2800" w:type="dxa"/>
            <w:shd w:val="clear" w:color="auto" w:fill="auto"/>
            <w:noWrap/>
            <w:hideMark/>
          </w:tcPr>
          <w:p w14:paraId="49B80F6E"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0" w:right="0"/>
              <w:jc w:val="left"/>
              <w:rPr>
                <w:rFonts w:eastAsia="Calibri"/>
                <w:sz w:val="18"/>
                <w:lang w:val="es-ES_tradnl"/>
              </w:rPr>
            </w:pPr>
            <w:r w:rsidRPr="00517B56">
              <w:rPr>
                <w:sz w:val="18"/>
                <w:lang w:val="es-ES_tradnl"/>
              </w:rPr>
              <w:t>Porcentaje, incluyendo la Educación Moderna (</w:t>
            </w:r>
            <w:proofErr w:type="spellStart"/>
            <w:r w:rsidRPr="00517B56">
              <w:rPr>
                <w:iCs/>
                <w:sz w:val="18"/>
                <w:lang w:val="es-ES_tradnl"/>
              </w:rPr>
              <w:t>Enseignement</w:t>
            </w:r>
            <w:proofErr w:type="spellEnd"/>
            <w:r w:rsidRPr="00517B56">
              <w:rPr>
                <w:iCs/>
                <w:sz w:val="18"/>
                <w:lang w:val="es-ES_tradnl"/>
              </w:rPr>
              <w:t xml:space="preserve"> </w:t>
            </w:r>
            <w:proofErr w:type="spellStart"/>
            <w:r w:rsidRPr="00517B56">
              <w:rPr>
                <w:iCs/>
                <w:sz w:val="18"/>
                <w:lang w:val="es-ES_tradnl"/>
              </w:rPr>
              <w:t>Moderne</w:t>
            </w:r>
            <w:proofErr w:type="spellEnd"/>
            <w:r w:rsidRPr="00517B56">
              <w:rPr>
                <w:sz w:val="18"/>
                <w:lang w:val="es-ES_tradnl"/>
              </w:rPr>
              <w:t>)</w:t>
            </w:r>
          </w:p>
        </w:tc>
        <w:tc>
          <w:tcPr>
            <w:tcW w:w="966" w:type="dxa"/>
            <w:shd w:val="clear" w:color="auto" w:fill="auto"/>
            <w:noWrap/>
            <w:vAlign w:val="bottom"/>
            <w:hideMark/>
          </w:tcPr>
          <w:p w14:paraId="3534DB02"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34,8</w:t>
            </w:r>
          </w:p>
        </w:tc>
        <w:tc>
          <w:tcPr>
            <w:tcW w:w="938" w:type="dxa"/>
            <w:shd w:val="clear" w:color="auto" w:fill="auto"/>
            <w:noWrap/>
            <w:vAlign w:val="bottom"/>
            <w:hideMark/>
          </w:tcPr>
          <w:p w14:paraId="47C2B2B8"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34,6</w:t>
            </w:r>
          </w:p>
        </w:tc>
        <w:tc>
          <w:tcPr>
            <w:tcW w:w="938" w:type="dxa"/>
            <w:shd w:val="clear" w:color="auto" w:fill="auto"/>
            <w:noWrap/>
            <w:vAlign w:val="bottom"/>
            <w:hideMark/>
          </w:tcPr>
          <w:p w14:paraId="134F1244"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34,4</w:t>
            </w:r>
          </w:p>
        </w:tc>
        <w:tc>
          <w:tcPr>
            <w:tcW w:w="1035" w:type="dxa"/>
            <w:shd w:val="clear" w:color="auto" w:fill="auto"/>
            <w:noWrap/>
            <w:vAlign w:val="bottom"/>
            <w:hideMark/>
          </w:tcPr>
          <w:p w14:paraId="5B7C70E0"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39,5</w:t>
            </w:r>
          </w:p>
        </w:tc>
        <w:tc>
          <w:tcPr>
            <w:tcW w:w="966" w:type="dxa"/>
            <w:shd w:val="clear" w:color="auto" w:fill="auto"/>
            <w:noWrap/>
            <w:vAlign w:val="bottom"/>
            <w:hideMark/>
          </w:tcPr>
          <w:p w14:paraId="500327BA"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36,7</w:t>
            </w:r>
          </w:p>
        </w:tc>
        <w:tc>
          <w:tcPr>
            <w:tcW w:w="1008" w:type="dxa"/>
            <w:shd w:val="clear" w:color="auto" w:fill="auto"/>
            <w:noWrap/>
            <w:vAlign w:val="bottom"/>
            <w:hideMark/>
          </w:tcPr>
          <w:p w14:paraId="2417E90F"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37,3</w:t>
            </w:r>
          </w:p>
        </w:tc>
        <w:tc>
          <w:tcPr>
            <w:tcW w:w="987" w:type="dxa"/>
            <w:shd w:val="clear" w:color="auto" w:fill="auto"/>
            <w:noWrap/>
            <w:vAlign w:val="bottom"/>
            <w:hideMark/>
          </w:tcPr>
          <w:p w14:paraId="445499CC"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38,6</w:t>
            </w:r>
          </w:p>
        </w:tc>
      </w:tr>
      <w:tr w:rsidR="009A2020" w:rsidRPr="00517B56" w14:paraId="69503072" w14:textId="77777777" w:rsidTr="004E2640">
        <w:trPr>
          <w:trHeight w:val="240"/>
        </w:trPr>
        <w:tc>
          <w:tcPr>
            <w:tcW w:w="2800" w:type="dxa"/>
            <w:shd w:val="clear" w:color="auto" w:fill="auto"/>
            <w:noWrap/>
            <w:hideMark/>
          </w:tcPr>
          <w:p w14:paraId="38C1281E" w14:textId="77777777" w:rsidR="009A2020" w:rsidRPr="00517B56" w:rsidRDefault="009A2020" w:rsidP="00694EFF">
            <w:pPr>
              <w:pStyle w:val="SingleTxtG"/>
              <w:keepNext/>
              <w:keepLines/>
              <w:tabs>
                <w:tab w:val="clear" w:pos="1701"/>
                <w:tab w:val="clear" w:pos="2268"/>
                <w:tab w:val="clear" w:pos="2835"/>
              </w:tabs>
              <w:spacing w:before="40" w:after="40" w:line="220" w:lineRule="exact"/>
              <w:ind w:left="560" w:right="0" w:hanging="560"/>
              <w:jc w:val="left"/>
              <w:rPr>
                <w:rFonts w:eastAsia="Calibri"/>
                <w:b/>
                <w:sz w:val="18"/>
                <w:lang w:val="es-ES_tradnl"/>
              </w:rPr>
            </w:pPr>
            <w:r w:rsidRPr="00517B56">
              <w:rPr>
                <w:b/>
                <w:sz w:val="18"/>
                <w:lang w:val="es-ES_tradnl"/>
              </w:rPr>
              <w:t>3.3</w:t>
            </w:r>
            <w:r w:rsidRPr="00517B56">
              <w:rPr>
                <w:b/>
                <w:sz w:val="18"/>
                <w:lang w:val="es-ES_tradnl"/>
              </w:rPr>
              <w:tab/>
              <w:t xml:space="preserve">Número de alumnos de educación </w:t>
            </w:r>
            <w:r w:rsidRPr="00694EFF">
              <w:rPr>
                <w:b/>
                <w:sz w:val="18"/>
                <w:lang w:val="es-ES_tradnl"/>
              </w:rPr>
              <w:t>primaria</w:t>
            </w:r>
            <w:r w:rsidRPr="00517B56">
              <w:rPr>
                <w:b/>
                <w:sz w:val="18"/>
                <w:lang w:val="es-ES_tradnl"/>
              </w:rPr>
              <w:t>, secundaria y superior</w:t>
            </w:r>
          </w:p>
        </w:tc>
        <w:tc>
          <w:tcPr>
            <w:tcW w:w="966" w:type="dxa"/>
            <w:shd w:val="clear" w:color="auto" w:fill="auto"/>
          </w:tcPr>
          <w:p w14:paraId="652CE588" w14:textId="77777777" w:rsidR="009A2020" w:rsidRPr="00517B56" w:rsidRDefault="009A2020" w:rsidP="004E2640">
            <w:pPr>
              <w:pStyle w:val="SingleTxtG"/>
              <w:keepNext/>
              <w:keepLines/>
              <w:tabs>
                <w:tab w:val="clear" w:pos="1701"/>
                <w:tab w:val="clear" w:pos="2268"/>
                <w:tab w:val="clear" w:pos="2835"/>
                <w:tab w:val="left" w:pos="282"/>
              </w:tabs>
              <w:spacing w:before="40" w:after="40" w:line="220" w:lineRule="exact"/>
              <w:ind w:left="0" w:right="0"/>
              <w:jc w:val="left"/>
              <w:rPr>
                <w:rFonts w:eastAsia="Calibri"/>
                <w:b/>
                <w:sz w:val="18"/>
                <w:lang w:val="es-ES_tradnl"/>
              </w:rPr>
            </w:pPr>
          </w:p>
        </w:tc>
        <w:tc>
          <w:tcPr>
            <w:tcW w:w="938" w:type="dxa"/>
            <w:shd w:val="clear" w:color="auto" w:fill="auto"/>
          </w:tcPr>
          <w:p w14:paraId="066E7C0F" w14:textId="77777777" w:rsidR="009A2020" w:rsidRPr="00517B56" w:rsidRDefault="009A2020" w:rsidP="004E2640">
            <w:pPr>
              <w:pStyle w:val="SingleTxtG"/>
              <w:keepNext/>
              <w:keepLines/>
              <w:tabs>
                <w:tab w:val="clear" w:pos="1701"/>
                <w:tab w:val="clear" w:pos="2268"/>
                <w:tab w:val="clear" w:pos="2835"/>
                <w:tab w:val="left" w:pos="282"/>
              </w:tabs>
              <w:spacing w:before="40" w:after="40" w:line="220" w:lineRule="exact"/>
              <w:ind w:left="0" w:right="0"/>
              <w:jc w:val="left"/>
              <w:rPr>
                <w:rFonts w:eastAsia="Calibri"/>
                <w:b/>
                <w:sz w:val="18"/>
                <w:lang w:val="es-ES_tradnl"/>
              </w:rPr>
            </w:pPr>
          </w:p>
        </w:tc>
        <w:tc>
          <w:tcPr>
            <w:tcW w:w="938" w:type="dxa"/>
            <w:shd w:val="clear" w:color="auto" w:fill="auto"/>
          </w:tcPr>
          <w:p w14:paraId="579A0345" w14:textId="77777777" w:rsidR="009A2020" w:rsidRPr="00517B56" w:rsidRDefault="009A2020" w:rsidP="004E2640">
            <w:pPr>
              <w:pStyle w:val="SingleTxtG"/>
              <w:keepNext/>
              <w:keepLines/>
              <w:tabs>
                <w:tab w:val="clear" w:pos="1701"/>
                <w:tab w:val="clear" w:pos="2268"/>
                <w:tab w:val="clear" w:pos="2835"/>
                <w:tab w:val="left" w:pos="282"/>
              </w:tabs>
              <w:spacing w:before="40" w:after="40" w:line="220" w:lineRule="exact"/>
              <w:ind w:left="0" w:right="0"/>
              <w:jc w:val="left"/>
              <w:rPr>
                <w:rFonts w:eastAsia="Calibri"/>
                <w:b/>
                <w:sz w:val="18"/>
                <w:lang w:val="es-ES_tradnl"/>
              </w:rPr>
            </w:pPr>
          </w:p>
        </w:tc>
        <w:tc>
          <w:tcPr>
            <w:tcW w:w="1035" w:type="dxa"/>
            <w:shd w:val="clear" w:color="auto" w:fill="auto"/>
          </w:tcPr>
          <w:p w14:paraId="4A7C5445" w14:textId="77777777" w:rsidR="009A2020" w:rsidRPr="00517B56" w:rsidRDefault="009A2020" w:rsidP="004E2640">
            <w:pPr>
              <w:pStyle w:val="SingleTxtG"/>
              <w:keepNext/>
              <w:keepLines/>
              <w:tabs>
                <w:tab w:val="clear" w:pos="1701"/>
                <w:tab w:val="clear" w:pos="2268"/>
                <w:tab w:val="clear" w:pos="2835"/>
                <w:tab w:val="left" w:pos="282"/>
              </w:tabs>
              <w:spacing w:before="40" w:after="40" w:line="220" w:lineRule="exact"/>
              <w:ind w:left="0" w:right="0"/>
              <w:jc w:val="left"/>
              <w:rPr>
                <w:rFonts w:eastAsia="Calibri"/>
                <w:b/>
                <w:sz w:val="18"/>
                <w:lang w:val="es-ES_tradnl"/>
              </w:rPr>
            </w:pPr>
          </w:p>
        </w:tc>
        <w:tc>
          <w:tcPr>
            <w:tcW w:w="966" w:type="dxa"/>
            <w:shd w:val="clear" w:color="auto" w:fill="auto"/>
          </w:tcPr>
          <w:p w14:paraId="1EB9AB9E" w14:textId="77777777" w:rsidR="009A2020" w:rsidRPr="00517B56" w:rsidRDefault="009A2020" w:rsidP="004E2640">
            <w:pPr>
              <w:pStyle w:val="SingleTxtG"/>
              <w:keepNext/>
              <w:keepLines/>
              <w:tabs>
                <w:tab w:val="clear" w:pos="1701"/>
                <w:tab w:val="clear" w:pos="2268"/>
                <w:tab w:val="clear" w:pos="2835"/>
                <w:tab w:val="left" w:pos="282"/>
              </w:tabs>
              <w:spacing w:before="40" w:after="40" w:line="220" w:lineRule="exact"/>
              <w:ind w:left="0" w:right="0"/>
              <w:jc w:val="left"/>
              <w:rPr>
                <w:rFonts w:eastAsia="Calibri"/>
                <w:b/>
                <w:sz w:val="18"/>
                <w:lang w:val="es-ES_tradnl"/>
              </w:rPr>
            </w:pPr>
          </w:p>
        </w:tc>
        <w:tc>
          <w:tcPr>
            <w:tcW w:w="1008" w:type="dxa"/>
            <w:shd w:val="clear" w:color="auto" w:fill="auto"/>
          </w:tcPr>
          <w:p w14:paraId="53F989FD" w14:textId="77777777" w:rsidR="009A2020" w:rsidRPr="00517B56" w:rsidRDefault="009A2020" w:rsidP="004E2640">
            <w:pPr>
              <w:pStyle w:val="SingleTxtG"/>
              <w:keepNext/>
              <w:keepLines/>
              <w:tabs>
                <w:tab w:val="clear" w:pos="1701"/>
                <w:tab w:val="clear" w:pos="2268"/>
                <w:tab w:val="clear" w:pos="2835"/>
                <w:tab w:val="left" w:pos="282"/>
              </w:tabs>
              <w:spacing w:before="40" w:after="40" w:line="220" w:lineRule="exact"/>
              <w:ind w:left="0" w:right="0"/>
              <w:jc w:val="left"/>
              <w:rPr>
                <w:rFonts w:eastAsia="Calibri"/>
                <w:b/>
                <w:sz w:val="18"/>
                <w:lang w:val="es-ES_tradnl"/>
              </w:rPr>
            </w:pPr>
          </w:p>
        </w:tc>
        <w:tc>
          <w:tcPr>
            <w:tcW w:w="987" w:type="dxa"/>
            <w:shd w:val="clear" w:color="auto" w:fill="auto"/>
          </w:tcPr>
          <w:p w14:paraId="301D2639" w14:textId="29E10673" w:rsidR="009A2020" w:rsidRPr="00517B56" w:rsidRDefault="009A2020" w:rsidP="004E2640">
            <w:pPr>
              <w:pStyle w:val="SingleTxtG"/>
              <w:keepNext/>
              <w:keepLines/>
              <w:tabs>
                <w:tab w:val="clear" w:pos="1701"/>
                <w:tab w:val="clear" w:pos="2268"/>
                <w:tab w:val="clear" w:pos="2835"/>
                <w:tab w:val="left" w:pos="282"/>
              </w:tabs>
              <w:spacing w:before="40" w:after="40" w:line="220" w:lineRule="exact"/>
              <w:ind w:left="0" w:right="0"/>
              <w:jc w:val="left"/>
              <w:rPr>
                <w:rFonts w:eastAsia="Calibri"/>
                <w:b/>
                <w:sz w:val="18"/>
                <w:lang w:val="es-ES_tradnl"/>
              </w:rPr>
            </w:pPr>
          </w:p>
        </w:tc>
      </w:tr>
      <w:tr w:rsidR="009A2020" w:rsidRPr="00517B56" w14:paraId="0D43C5BA" w14:textId="77777777" w:rsidTr="004E2640">
        <w:trPr>
          <w:trHeight w:val="240"/>
        </w:trPr>
        <w:tc>
          <w:tcPr>
            <w:tcW w:w="2800" w:type="dxa"/>
            <w:shd w:val="clear" w:color="auto" w:fill="auto"/>
            <w:noWrap/>
            <w:hideMark/>
          </w:tcPr>
          <w:p w14:paraId="445F7A27"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0" w:right="0"/>
              <w:jc w:val="left"/>
              <w:rPr>
                <w:rFonts w:eastAsia="Calibri"/>
                <w:sz w:val="18"/>
                <w:lang w:val="es-ES_tradnl"/>
              </w:rPr>
            </w:pPr>
            <w:r w:rsidRPr="00517B56">
              <w:rPr>
                <w:sz w:val="18"/>
                <w:lang w:val="es-ES_tradnl"/>
              </w:rPr>
              <w:t>Educación preescolar y primaria</w:t>
            </w:r>
          </w:p>
        </w:tc>
        <w:tc>
          <w:tcPr>
            <w:tcW w:w="966" w:type="dxa"/>
            <w:shd w:val="clear" w:color="auto" w:fill="auto"/>
            <w:noWrap/>
            <w:vAlign w:val="bottom"/>
            <w:hideMark/>
          </w:tcPr>
          <w:p w14:paraId="1DDE03DC"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3 969 668</w:t>
            </w:r>
          </w:p>
        </w:tc>
        <w:tc>
          <w:tcPr>
            <w:tcW w:w="938" w:type="dxa"/>
            <w:shd w:val="clear" w:color="auto" w:fill="auto"/>
            <w:noWrap/>
            <w:vAlign w:val="bottom"/>
            <w:hideMark/>
          </w:tcPr>
          <w:p w14:paraId="6946D2A8"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4 030 142</w:t>
            </w:r>
          </w:p>
        </w:tc>
        <w:tc>
          <w:tcPr>
            <w:tcW w:w="938" w:type="dxa"/>
            <w:shd w:val="clear" w:color="auto" w:fill="auto"/>
            <w:noWrap/>
            <w:vAlign w:val="bottom"/>
            <w:hideMark/>
          </w:tcPr>
          <w:p w14:paraId="5D0C58A9"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4 039 392</w:t>
            </w:r>
          </w:p>
        </w:tc>
        <w:tc>
          <w:tcPr>
            <w:tcW w:w="1035" w:type="dxa"/>
            <w:shd w:val="clear" w:color="auto" w:fill="auto"/>
            <w:noWrap/>
            <w:vAlign w:val="bottom"/>
            <w:hideMark/>
          </w:tcPr>
          <w:p w14:paraId="3DB23F3C"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4 101 743</w:t>
            </w:r>
          </w:p>
        </w:tc>
        <w:tc>
          <w:tcPr>
            <w:tcW w:w="966" w:type="dxa"/>
            <w:shd w:val="clear" w:color="auto" w:fill="auto"/>
            <w:noWrap/>
            <w:vAlign w:val="bottom"/>
            <w:hideMark/>
          </w:tcPr>
          <w:p w14:paraId="7A30B397"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4 210 676</w:t>
            </w:r>
          </w:p>
        </w:tc>
        <w:tc>
          <w:tcPr>
            <w:tcW w:w="1008" w:type="dxa"/>
            <w:shd w:val="clear" w:color="auto" w:fill="auto"/>
            <w:noWrap/>
            <w:vAlign w:val="bottom"/>
            <w:hideMark/>
          </w:tcPr>
          <w:p w14:paraId="39669D0B"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4 322 623</w:t>
            </w:r>
          </w:p>
        </w:tc>
        <w:tc>
          <w:tcPr>
            <w:tcW w:w="987" w:type="dxa"/>
            <w:shd w:val="clear" w:color="auto" w:fill="auto"/>
            <w:noWrap/>
            <w:vAlign w:val="bottom"/>
            <w:hideMark/>
          </w:tcPr>
          <w:p w14:paraId="30A38C22"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4 432 229</w:t>
            </w:r>
          </w:p>
        </w:tc>
      </w:tr>
      <w:tr w:rsidR="009A2020" w:rsidRPr="00517B56" w14:paraId="48E31BC9" w14:textId="77777777" w:rsidTr="004E2640">
        <w:trPr>
          <w:trHeight w:val="240"/>
        </w:trPr>
        <w:tc>
          <w:tcPr>
            <w:tcW w:w="2800" w:type="dxa"/>
            <w:shd w:val="clear" w:color="auto" w:fill="auto"/>
            <w:noWrap/>
            <w:hideMark/>
          </w:tcPr>
          <w:p w14:paraId="7C052E15"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0" w:right="0"/>
              <w:jc w:val="left"/>
              <w:rPr>
                <w:rFonts w:eastAsia="Calibri"/>
                <w:sz w:val="18"/>
                <w:lang w:val="es-ES_tradnl"/>
              </w:rPr>
            </w:pPr>
            <w:r w:rsidRPr="00517B56">
              <w:rPr>
                <w:sz w:val="18"/>
                <w:lang w:val="es-ES_tradnl"/>
              </w:rPr>
              <w:t>Porcentaje en el sector público</w:t>
            </w:r>
          </w:p>
        </w:tc>
        <w:tc>
          <w:tcPr>
            <w:tcW w:w="966" w:type="dxa"/>
            <w:shd w:val="clear" w:color="auto" w:fill="auto"/>
            <w:noWrap/>
            <w:vAlign w:val="bottom"/>
            <w:hideMark/>
          </w:tcPr>
          <w:p w14:paraId="6DC5E0B3"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88,3</w:t>
            </w:r>
          </w:p>
        </w:tc>
        <w:tc>
          <w:tcPr>
            <w:tcW w:w="938" w:type="dxa"/>
            <w:shd w:val="clear" w:color="auto" w:fill="auto"/>
            <w:noWrap/>
            <w:vAlign w:val="bottom"/>
            <w:hideMark/>
          </w:tcPr>
          <w:p w14:paraId="5B4A23A5"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85,7</w:t>
            </w:r>
          </w:p>
        </w:tc>
        <w:tc>
          <w:tcPr>
            <w:tcW w:w="938" w:type="dxa"/>
            <w:shd w:val="clear" w:color="auto" w:fill="auto"/>
            <w:noWrap/>
            <w:vAlign w:val="bottom"/>
            <w:hideMark/>
          </w:tcPr>
          <w:p w14:paraId="46464B15"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84,8</w:t>
            </w:r>
          </w:p>
        </w:tc>
        <w:tc>
          <w:tcPr>
            <w:tcW w:w="1035" w:type="dxa"/>
            <w:shd w:val="clear" w:color="auto" w:fill="auto"/>
            <w:noWrap/>
            <w:vAlign w:val="bottom"/>
            <w:hideMark/>
          </w:tcPr>
          <w:p w14:paraId="11BB2BD0"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84,1</w:t>
            </w:r>
          </w:p>
        </w:tc>
        <w:tc>
          <w:tcPr>
            <w:tcW w:w="966" w:type="dxa"/>
            <w:shd w:val="clear" w:color="auto" w:fill="auto"/>
            <w:noWrap/>
            <w:vAlign w:val="bottom"/>
            <w:hideMark/>
          </w:tcPr>
          <w:p w14:paraId="548C9378"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83,3</w:t>
            </w:r>
          </w:p>
        </w:tc>
        <w:tc>
          <w:tcPr>
            <w:tcW w:w="1008" w:type="dxa"/>
            <w:shd w:val="clear" w:color="auto" w:fill="auto"/>
            <w:noWrap/>
            <w:vAlign w:val="bottom"/>
            <w:hideMark/>
          </w:tcPr>
          <w:p w14:paraId="30023252"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83,0</w:t>
            </w:r>
          </w:p>
        </w:tc>
        <w:tc>
          <w:tcPr>
            <w:tcW w:w="987" w:type="dxa"/>
            <w:shd w:val="clear" w:color="auto" w:fill="auto"/>
            <w:noWrap/>
            <w:vAlign w:val="bottom"/>
            <w:hideMark/>
          </w:tcPr>
          <w:p w14:paraId="5F513174"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82,7</w:t>
            </w:r>
          </w:p>
        </w:tc>
      </w:tr>
      <w:tr w:rsidR="009A2020" w:rsidRPr="00517B56" w14:paraId="3CD93A90" w14:textId="77777777" w:rsidTr="004E2640">
        <w:trPr>
          <w:trHeight w:val="240"/>
        </w:trPr>
        <w:tc>
          <w:tcPr>
            <w:tcW w:w="2800" w:type="dxa"/>
            <w:shd w:val="clear" w:color="auto" w:fill="auto"/>
            <w:noWrap/>
            <w:hideMark/>
          </w:tcPr>
          <w:p w14:paraId="4BADD665"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0" w:right="0"/>
              <w:jc w:val="left"/>
              <w:rPr>
                <w:rFonts w:eastAsia="Calibri"/>
                <w:sz w:val="18"/>
                <w:lang w:val="es-ES_tradnl"/>
              </w:rPr>
            </w:pPr>
            <w:r w:rsidRPr="00517B56">
              <w:rPr>
                <w:sz w:val="18"/>
                <w:lang w:val="es-ES_tradnl"/>
              </w:rPr>
              <w:t>Educación secundaria</w:t>
            </w:r>
          </w:p>
        </w:tc>
        <w:tc>
          <w:tcPr>
            <w:tcW w:w="966" w:type="dxa"/>
            <w:shd w:val="clear" w:color="auto" w:fill="auto"/>
            <w:noWrap/>
            <w:vAlign w:val="bottom"/>
            <w:hideMark/>
          </w:tcPr>
          <w:p w14:paraId="6706BB81"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1 479 436</w:t>
            </w:r>
          </w:p>
        </w:tc>
        <w:tc>
          <w:tcPr>
            <w:tcW w:w="938" w:type="dxa"/>
            <w:shd w:val="clear" w:color="auto" w:fill="auto"/>
            <w:noWrap/>
            <w:vAlign w:val="bottom"/>
            <w:hideMark/>
          </w:tcPr>
          <w:p w14:paraId="08542367"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1 618 105</w:t>
            </w:r>
          </w:p>
        </w:tc>
        <w:tc>
          <w:tcPr>
            <w:tcW w:w="938" w:type="dxa"/>
            <w:shd w:val="clear" w:color="auto" w:fill="auto"/>
            <w:noWrap/>
            <w:vAlign w:val="bottom"/>
            <w:hideMark/>
          </w:tcPr>
          <w:p w14:paraId="1EDECA3C"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1 627 381</w:t>
            </w:r>
          </w:p>
        </w:tc>
        <w:tc>
          <w:tcPr>
            <w:tcW w:w="1035" w:type="dxa"/>
            <w:shd w:val="clear" w:color="auto" w:fill="auto"/>
            <w:noWrap/>
            <w:vAlign w:val="bottom"/>
            <w:hideMark/>
          </w:tcPr>
          <w:p w14:paraId="640132E4"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1 645 241</w:t>
            </w:r>
          </w:p>
        </w:tc>
        <w:tc>
          <w:tcPr>
            <w:tcW w:w="966" w:type="dxa"/>
            <w:shd w:val="clear" w:color="auto" w:fill="auto"/>
            <w:noWrap/>
            <w:vAlign w:val="bottom"/>
            <w:hideMark/>
          </w:tcPr>
          <w:p w14:paraId="1D0A3F87"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1 681 124</w:t>
            </w:r>
          </w:p>
        </w:tc>
        <w:tc>
          <w:tcPr>
            <w:tcW w:w="1008" w:type="dxa"/>
            <w:shd w:val="clear" w:color="auto" w:fill="auto"/>
            <w:noWrap/>
            <w:vAlign w:val="bottom"/>
            <w:hideMark/>
          </w:tcPr>
          <w:p w14:paraId="2D33EAB2"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1 694 501</w:t>
            </w:r>
          </w:p>
        </w:tc>
        <w:tc>
          <w:tcPr>
            <w:tcW w:w="987" w:type="dxa"/>
            <w:shd w:val="clear" w:color="auto" w:fill="auto"/>
            <w:noWrap/>
            <w:vAlign w:val="bottom"/>
            <w:hideMark/>
          </w:tcPr>
          <w:p w14:paraId="3BBF8189"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1 737 240</w:t>
            </w:r>
          </w:p>
        </w:tc>
      </w:tr>
      <w:tr w:rsidR="009A2020" w:rsidRPr="00517B56" w14:paraId="7CD41F79" w14:textId="77777777" w:rsidTr="004E2640">
        <w:trPr>
          <w:trHeight w:val="240"/>
        </w:trPr>
        <w:tc>
          <w:tcPr>
            <w:tcW w:w="2800" w:type="dxa"/>
            <w:shd w:val="clear" w:color="auto" w:fill="auto"/>
            <w:noWrap/>
            <w:hideMark/>
          </w:tcPr>
          <w:p w14:paraId="74A87F53"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0" w:right="0"/>
              <w:jc w:val="left"/>
              <w:rPr>
                <w:rFonts w:eastAsia="Calibri"/>
                <w:sz w:val="18"/>
                <w:lang w:val="es-ES_tradnl"/>
              </w:rPr>
            </w:pPr>
            <w:r w:rsidRPr="00517B56">
              <w:rPr>
                <w:sz w:val="18"/>
                <w:lang w:val="es-ES_tradnl"/>
              </w:rPr>
              <w:t>Porcentaje en el sector público</w:t>
            </w:r>
          </w:p>
        </w:tc>
        <w:tc>
          <w:tcPr>
            <w:tcW w:w="966" w:type="dxa"/>
            <w:shd w:val="clear" w:color="auto" w:fill="auto"/>
            <w:noWrap/>
            <w:vAlign w:val="bottom"/>
            <w:hideMark/>
          </w:tcPr>
          <w:p w14:paraId="7F298B42"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93,5</w:t>
            </w:r>
          </w:p>
        </w:tc>
        <w:tc>
          <w:tcPr>
            <w:tcW w:w="938" w:type="dxa"/>
            <w:shd w:val="clear" w:color="auto" w:fill="auto"/>
            <w:noWrap/>
            <w:vAlign w:val="bottom"/>
            <w:hideMark/>
          </w:tcPr>
          <w:p w14:paraId="77D069C5"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92,2</w:t>
            </w:r>
          </w:p>
        </w:tc>
        <w:tc>
          <w:tcPr>
            <w:tcW w:w="938" w:type="dxa"/>
            <w:shd w:val="clear" w:color="auto" w:fill="auto"/>
            <w:noWrap/>
            <w:vAlign w:val="bottom"/>
            <w:hideMark/>
          </w:tcPr>
          <w:p w14:paraId="1176A215"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91,6</w:t>
            </w:r>
          </w:p>
        </w:tc>
        <w:tc>
          <w:tcPr>
            <w:tcW w:w="1035" w:type="dxa"/>
            <w:shd w:val="clear" w:color="auto" w:fill="auto"/>
            <w:noWrap/>
            <w:vAlign w:val="bottom"/>
            <w:hideMark/>
          </w:tcPr>
          <w:p w14:paraId="0F34A851"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91,1</w:t>
            </w:r>
          </w:p>
        </w:tc>
        <w:tc>
          <w:tcPr>
            <w:tcW w:w="966" w:type="dxa"/>
            <w:shd w:val="clear" w:color="auto" w:fill="auto"/>
            <w:noWrap/>
            <w:vAlign w:val="bottom"/>
            <w:hideMark/>
          </w:tcPr>
          <w:p w14:paraId="7229F71A"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90,7</w:t>
            </w:r>
          </w:p>
        </w:tc>
        <w:tc>
          <w:tcPr>
            <w:tcW w:w="1008" w:type="dxa"/>
            <w:shd w:val="clear" w:color="auto" w:fill="auto"/>
            <w:noWrap/>
            <w:vAlign w:val="bottom"/>
            <w:hideMark/>
          </w:tcPr>
          <w:p w14:paraId="4EF98BD1"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90,2</w:t>
            </w:r>
          </w:p>
        </w:tc>
        <w:tc>
          <w:tcPr>
            <w:tcW w:w="987" w:type="dxa"/>
            <w:shd w:val="clear" w:color="auto" w:fill="auto"/>
            <w:noWrap/>
            <w:vAlign w:val="bottom"/>
            <w:hideMark/>
          </w:tcPr>
          <w:p w14:paraId="5675B601"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90,1</w:t>
            </w:r>
          </w:p>
        </w:tc>
      </w:tr>
      <w:tr w:rsidR="009A2020" w:rsidRPr="00517B56" w14:paraId="61D17367" w14:textId="77777777" w:rsidTr="004E2640">
        <w:trPr>
          <w:trHeight w:val="240"/>
        </w:trPr>
        <w:tc>
          <w:tcPr>
            <w:tcW w:w="2800" w:type="dxa"/>
            <w:shd w:val="clear" w:color="auto" w:fill="auto"/>
            <w:noWrap/>
            <w:hideMark/>
          </w:tcPr>
          <w:p w14:paraId="70C8605C"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0" w:right="0"/>
              <w:jc w:val="left"/>
              <w:rPr>
                <w:rFonts w:eastAsia="Calibri"/>
                <w:sz w:val="18"/>
                <w:lang w:val="es-ES_tradnl"/>
              </w:rPr>
            </w:pPr>
            <w:r w:rsidRPr="00517B56">
              <w:rPr>
                <w:sz w:val="18"/>
                <w:lang w:val="es-ES_tradnl"/>
              </w:rPr>
              <w:t>Bachillerato</w:t>
            </w:r>
          </w:p>
        </w:tc>
        <w:tc>
          <w:tcPr>
            <w:tcW w:w="966" w:type="dxa"/>
            <w:shd w:val="clear" w:color="auto" w:fill="auto"/>
            <w:noWrap/>
            <w:vAlign w:val="bottom"/>
            <w:hideMark/>
          </w:tcPr>
          <w:p w14:paraId="5225AFEB"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902 399</w:t>
            </w:r>
          </w:p>
        </w:tc>
        <w:tc>
          <w:tcPr>
            <w:tcW w:w="938" w:type="dxa"/>
            <w:shd w:val="clear" w:color="auto" w:fill="auto"/>
            <w:noWrap/>
            <w:vAlign w:val="bottom"/>
            <w:hideMark/>
          </w:tcPr>
          <w:p w14:paraId="0ADAA603"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988 134</w:t>
            </w:r>
          </w:p>
        </w:tc>
        <w:tc>
          <w:tcPr>
            <w:tcW w:w="938" w:type="dxa"/>
            <w:shd w:val="clear" w:color="auto" w:fill="auto"/>
            <w:noWrap/>
            <w:vAlign w:val="bottom"/>
            <w:hideMark/>
          </w:tcPr>
          <w:p w14:paraId="011F7A30"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975 294</w:t>
            </w:r>
          </w:p>
        </w:tc>
        <w:tc>
          <w:tcPr>
            <w:tcW w:w="1035" w:type="dxa"/>
            <w:shd w:val="clear" w:color="auto" w:fill="auto"/>
            <w:noWrap/>
            <w:vAlign w:val="bottom"/>
            <w:hideMark/>
          </w:tcPr>
          <w:p w14:paraId="2F9F46A6"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979 921</w:t>
            </w:r>
          </w:p>
        </w:tc>
        <w:tc>
          <w:tcPr>
            <w:tcW w:w="966" w:type="dxa"/>
            <w:shd w:val="clear" w:color="auto" w:fill="auto"/>
            <w:noWrap/>
            <w:vAlign w:val="bottom"/>
            <w:hideMark/>
          </w:tcPr>
          <w:p w14:paraId="0C662587"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1 011 847</w:t>
            </w:r>
          </w:p>
        </w:tc>
        <w:tc>
          <w:tcPr>
            <w:tcW w:w="1008" w:type="dxa"/>
            <w:shd w:val="clear" w:color="auto" w:fill="auto"/>
            <w:noWrap/>
            <w:vAlign w:val="bottom"/>
            <w:hideMark/>
          </w:tcPr>
          <w:p w14:paraId="45BA5524"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1 014 231</w:t>
            </w:r>
          </w:p>
        </w:tc>
        <w:tc>
          <w:tcPr>
            <w:tcW w:w="987" w:type="dxa"/>
            <w:shd w:val="clear" w:color="auto" w:fill="auto"/>
            <w:noWrap/>
            <w:vAlign w:val="bottom"/>
            <w:hideMark/>
          </w:tcPr>
          <w:p w14:paraId="186124E7"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1 018 477</w:t>
            </w:r>
          </w:p>
        </w:tc>
      </w:tr>
      <w:tr w:rsidR="009A2020" w:rsidRPr="00517B56" w14:paraId="5B390BC3" w14:textId="77777777" w:rsidTr="004E2640">
        <w:trPr>
          <w:trHeight w:val="240"/>
        </w:trPr>
        <w:tc>
          <w:tcPr>
            <w:tcW w:w="2800" w:type="dxa"/>
            <w:shd w:val="clear" w:color="auto" w:fill="auto"/>
            <w:noWrap/>
            <w:hideMark/>
          </w:tcPr>
          <w:p w14:paraId="3B452D2E"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0" w:right="0"/>
              <w:jc w:val="left"/>
              <w:rPr>
                <w:rFonts w:eastAsia="Calibri"/>
                <w:sz w:val="18"/>
                <w:lang w:val="es-ES_tradnl"/>
              </w:rPr>
            </w:pPr>
            <w:r w:rsidRPr="00517B56">
              <w:rPr>
                <w:sz w:val="18"/>
                <w:lang w:val="es-ES_tradnl"/>
              </w:rPr>
              <w:t>Porcentaje en el sector público</w:t>
            </w:r>
          </w:p>
        </w:tc>
        <w:tc>
          <w:tcPr>
            <w:tcW w:w="966" w:type="dxa"/>
            <w:shd w:val="clear" w:color="auto" w:fill="auto"/>
            <w:noWrap/>
            <w:vAlign w:val="bottom"/>
            <w:hideMark/>
          </w:tcPr>
          <w:p w14:paraId="67E313BA"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92,2</w:t>
            </w:r>
          </w:p>
        </w:tc>
        <w:tc>
          <w:tcPr>
            <w:tcW w:w="938" w:type="dxa"/>
            <w:shd w:val="clear" w:color="auto" w:fill="auto"/>
            <w:noWrap/>
            <w:vAlign w:val="bottom"/>
            <w:hideMark/>
          </w:tcPr>
          <w:p w14:paraId="0D78B47E"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91,6</w:t>
            </w:r>
          </w:p>
        </w:tc>
        <w:tc>
          <w:tcPr>
            <w:tcW w:w="938" w:type="dxa"/>
            <w:shd w:val="clear" w:color="auto" w:fill="auto"/>
            <w:noWrap/>
            <w:vAlign w:val="bottom"/>
            <w:hideMark/>
          </w:tcPr>
          <w:p w14:paraId="6AB10B28"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91,2</w:t>
            </w:r>
          </w:p>
        </w:tc>
        <w:tc>
          <w:tcPr>
            <w:tcW w:w="1035" w:type="dxa"/>
            <w:shd w:val="clear" w:color="auto" w:fill="auto"/>
            <w:noWrap/>
            <w:vAlign w:val="bottom"/>
            <w:hideMark/>
          </w:tcPr>
          <w:p w14:paraId="2505DF04"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90,9</w:t>
            </w:r>
          </w:p>
        </w:tc>
        <w:tc>
          <w:tcPr>
            <w:tcW w:w="966" w:type="dxa"/>
            <w:shd w:val="clear" w:color="auto" w:fill="auto"/>
            <w:noWrap/>
            <w:vAlign w:val="bottom"/>
            <w:hideMark/>
          </w:tcPr>
          <w:p w14:paraId="6D495BFD"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90,9</w:t>
            </w:r>
          </w:p>
        </w:tc>
        <w:tc>
          <w:tcPr>
            <w:tcW w:w="1008" w:type="dxa"/>
            <w:shd w:val="clear" w:color="auto" w:fill="auto"/>
            <w:noWrap/>
            <w:vAlign w:val="bottom"/>
            <w:hideMark/>
          </w:tcPr>
          <w:p w14:paraId="325AFA50"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90,5</w:t>
            </w:r>
          </w:p>
        </w:tc>
        <w:tc>
          <w:tcPr>
            <w:tcW w:w="987" w:type="dxa"/>
            <w:shd w:val="clear" w:color="auto" w:fill="auto"/>
            <w:noWrap/>
            <w:vAlign w:val="bottom"/>
            <w:hideMark/>
          </w:tcPr>
          <w:p w14:paraId="67419D36"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90,0</w:t>
            </w:r>
          </w:p>
        </w:tc>
      </w:tr>
      <w:tr w:rsidR="009A2020" w:rsidRPr="00517B56" w14:paraId="3D79FFF3" w14:textId="77777777" w:rsidTr="004E2640">
        <w:trPr>
          <w:trHeight w:val="240"/>
        </w:trPr>
        <w:tc>
          <w:tcPr>
            <w:tcW w:w="2800" w:type="dxa"/>
            <w:shd w:val="clear" w:color="auto" w:fill="auto"/>
            <w:noWrap/>
            <w:hideMark/>
          </w:tcPr>
          <w:p w14:paraId="36852E4D"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0" w:right="0"/>
              <w:jc w:val="left"/>
              <w:rPr>
                <w:rFonts w:eastAsia="Calibri"/>
                <w:sz w:val="18"/>
                <w:lang w:val="es-ES_tradnl"/>
              </w:rPr>
            </w:pPr>
            <w:r w:rsidRPr="00517B56">
              <w:rPr>
                <w:sz w:val="18"/>
                <w:lang w:val="es-ES_tradnl"/>
              </w:rPr>
              <w:t xml:space="preserve">Educación superior </w:t>
            </w:r>
            <w:proofErr w:type="gramStart"/>
            <w:r w:rsidRPr="00517B56">
              <w:rPr>
                <w:sz w:val="18"/>
                <w:lang w:val="es-ES_tradnl"/>
              </w:rPr>
              <w:t>universitaria(</w:t>
            </w:r>
            <w:proofErr w:type="gramEnd"/>
            <w:r w:rsidRPr="00517B56">
              <w:rPr>
                <w:sz w:val="18"/>
                <w:lang w:val="es-ES_tradnl"/>
              </w:rPr>
              <w:t>4)</w:t>
            </w:r>
            <w:r w:rsidRPr="00517B56">
              <w:rPr>
                <w:rStyle w:val="Refdenotaalpie"/>
                <w:rFonts w:eastAsia="Calibri"/>
                <w:lang w:val="es-ES_tradnl"/>
              </w:rPr>
              <w:footnoteReference w:id="10"/>
            </w:r>
          </w:p>
        </w:tc>
        <w:tc>
          <w:tcPr>
            <w:tcW w:w="966" w:type="dxa"/>
            <w:shd w:val="clear" w:color="auto" w:fill="auto"/>
            <w:noWrap/>
            <w:vAlign w:val="bottom"/>
            <w:hideMark/>
          </w:tcPr>
          <w:p w14:paraId="2E4E207B"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389 928</w:t>
            </w:r>
          </w:p>
        </w:tc>
        <w:tc>
          <w:tcPr>
            <w:tcW w:w="938" w:type="dxa"/>
            <w:shd w:val="clear" w:color="auto" w:fill="auto"/>
            <w:noWrap/>
            <w:vAlign w:val="bottom"/>
            <w:hideMark/>
          </w:tcPr>
          <w:p w14:paraId="0640E6BA"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607 145</w:t>
            </w:r>
          </w:p>
        </w:tc>
        <w:tc>
          <w:tcPr>
            <w:tcW w:w="938" w:type="dxa"/>
            <w:shd w:val="clear" w:color="auto" w:fill="auto"/>
            <w:noWrap/>
            <w:vAlign w:val="bottom"/>
            <w:hideMark/>
          </w:tcPr>
          <w:p w14:paraId="02E03176"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677 391</w:t>
            </w:r>
          </w:p>
        </w:tc>
        <w:tc>
          <w:tcPr>
            <w:tcW w:w="1035" w:type="dxa"/>
            <w:shd w:val="clear" w:color="auto" w:fill="auto"/>
            <w:noWrap/>
            <w:vAlign w:val="bottom"/>
            <w:hideMark/>
          </w:tcPr>
          <w:p w14:paraId="6DD61EB5"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750 130</w:t>
            </w:r>
          </w:p>
        </w:tc>
        <w:tc>
          <w:tcPr>
            <w:tcW w:w="966" w:type="dxa"/>
            <w:shd w:val="clear" w:color="auto" w:fill="auto"/>
            <w:noWrap/>
            <w:vAlign w:val="bottom"/>
            <w:hideMark/>
          </w:tcPr>
          <w:p w14:paraId="4A64F15A"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781 505</w:t>
            </w:r>
          </w:p>
        </w:tc>
        <w:tc>
          <w:tcPr>
            <w:tcW w:w="1008" w:type="dxa"/>
            <w:shd w:val="clear" w:color="auto" w:fill="auto"/>
            <w:noWrap/>
            <w:vAlign w:val="bottom"/>
            <w:hideMark/>
          </w:tcPr>
          <w:p w14:paraId="1D8BF452"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820 430</w:t>
            </w:r>
          </w:p>
        </w:tc>
        <w:tc>
          <w:tcPr>
            <w:tcW w:w="987" w:type="dxa"/>
            <w:shd w:val="clear" w:color="auto" w:fill="auto"/>
            <w:noWrap/>
            <w:vAlign w:val="bottom"/>
            <w:hideMark/>
          </w:tcPr>
          <w:p w14:paraId="1D28B37A"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876 005</w:t>
            </w:r>
          </w:p>
        </w:tc>
      </w:tr>
      <w:tr w:rsidR="009A2020" w:rsidRPr="00517B56" w14:paraId="6271A333" w14:textId="77777777" w:rsidTr="004E2640">
        <w:trPr>
          <w:trHeight w:val="240"/>
        </w:trPr>
        <w:tc>
          <w:tcPr>
            <w:tcW w:w="2800" w:type="dxa"/>
            <w:shd w:val="clear" w:color="auto" w:fill="auto"/>
            <w:noWrap/>
            <w:hideMark/>
          </w:tcPr>
          <w:p w14:paraId="7A6B8660" w14:textId="097E048C" w:rsidR="009A2020" w:rsidRPr="00517B56" w:rsidRDefault="009A2020" w:rsidP="00694EFF">
            <w:pPr>
              <w:pStyle w:val="SingleTxtG"/>
              <w:keepNext/>
              <w:keepLines/>
              <w:tabs>
                <w:tab w:val="clear" w:pos="1701"/>
                <w:tab w:val="clear" w:pos="2268"/>
                <w:tab w:val="clear" w:pos="2835"/>
              </w:tabs>
              <w:spacing w:before="40" w:after="40" w:line="220" w:lineRule="exact"/>
              <w:ind w:left="560" w:right="0" w:hanging="560"/>
              <w:jc w:val="left"/>
              <w:rPr>
                <w:rFonts w:eastAsia="Calibri"/>
                <w:b/>
                <w:sz w:val="18"/>
                <w:lang w:val="es-ES_tradnl"/>
              </w:rPr>
            </w:pPr>
            <w:r w:rsidRPr="00517B56">
              <w:rPr>
                <w:rFonts w:eastAsia="Calibri"/>
                <w:b/>
                <w:sz w:val="18"/>
                <w:lang w:val="es-ES_tradnl"/>
              </w:rPr>
              <w:t>3.4</w:t>
            </w:r>
            <w:r w:rsidRPr="00517B56">
              <w:rPr>
                <w:rFonts w:eastAsia="Calibri"/>
                <w:b/>
                <w:sz w:val="18"/>
                <w:lang w:val="es-ES_tradnl"/>
              </w:rPr>
              <w:tab/>
              <w:t xml:space="preserve">Evolución del profesorado en el sector </w:t>
            </w:r>
            <w:r w:rsidRPr="00694EFF">
              <w:rPr>
                <w:b/>
                <w:sz w:val="18"/>
                <w:lang w:val="es-ES_tradnl"/>
              </w:rPr>
              <w:t>público</w:t>
            </w:r>
          </w:p>
        </w:tc>
        <w:tc>
          <w:tcPr>
            <w:tcW w:w="966" w:type="dxa"/>
            <w:shd w:val="clear" w:color="auto" w:fill="auto"/>
          </w:tcPr>
          <w:p w14:paraId="0A0F0FCF" w14:textId="77777777" w:rsidR="009A2020" w:rsidRPr="00517B56" w:rsidRDefault="009A2020" w:rsidP="004E2640">
            <w:pPr>
              <w:pStyle w:val="SingleTxtG"/>
              <w:keepNext/>
              <w:keepLines/>
              <w:tabs>
                <w:tab w:val="clear" w:pos="1701"/>
                <w:tab w:val="clear" w:pos="2268"/>
                <w:tab w:val="clear" w:pos="2835"/>
                <w:tab w:val="left" w:pos="282"/>
              </w:tabs>
              <w:spacing w:before="40" w:after="40" w:line="220" w:lineRule="exact"/>
              <w:ind w:left="0" w:right="0"/>
              <w:jc w:val="left"/>
              <w:rPr>
                <w:rFonts w:eastAsia="Calibri"/>
                <w:b/>
                <w:sz w:val="18"/>
                <w:lang w:val="es-ES_tradnl"/>
              </w:rPr>
            </w:pPr>
          </w:p>
        </w:tc>
        <w:tc>
          <w:tcPr>
            <w:tcW w:w="938" w:type="dxa"/>
            <w:shd w:val="clear" w:color="auto" w:fill="auto"/>
          </w:tcPr>
          <w:p w14:paraId="7EDE2048" w14:textId="77777777" w:rsidR="009A2020" w:rsidRPr="00517B56" w:rsidRDefault="009A2020" w:rsidP="004E2640">
            <w:pPr>
              <w:pStyle w:val="SingleTxtG"/>
              <w:keepNext/>
              <w:keepLines/>
              <w:tabs>
                <w:tab w:val="clear" w:pos="1701"/>
                <w:tab w:val="clear" w:pos="2268"/>
                <w:tab w:val="clear" w:pos="2835"/>
                <w:tab w:val="left" w:pos="282"/>
              </w:tabs>
              <w:spacing w:before="40" w:after="40" w:line="220" w:lineRule="exact"/>
              <w:ind w:left="0" w:right="0"/>
              <w:jc w:val="left"/>
              <w:rPr>
                <w:rFonts w:eastAsia="Calibri"/>
                <w:b/>
                <w:sz w:val="18"/>
                <w:lang w:val="es-ES_tradnl"/>
              </w:rPr>
            </w:pPr>
          </w:p>
        </w:tc>
        <w:tc>
          <w:tcPr>
            <w:tcW w:w="938" w:type="dxa"/>
            <w:shd w:val="clear" w:color="auto" w:fill="auto"/>
          </w:tcPr>
          <w:p w14:paraId="77C2C330" w14:textId="77777777" w:rsidR="009A2020" w:rsidRPr="00517B56" w:rsidRDefault="009A2020" w:rsidP="004E2640">
            <w:pPr>
              <w:pStyle w:val="SingleTxtG"/>
              <w:keepNext/>
              <w:keepLines/>
              <w:tabs>
                <w:tab w:val="clear" w:pos="1701"/>
                <w:tab w:val="clear" w:pos="2268"/>
                <w:tab w:val="clear" w:pos="2835"/>
                <w:tab w:val="left" w:pos="282"/>
              </w:tabs>
              <w:spacing w:before="40" w:after="40" w:line="220" w:lineRule="exact"/>
              <w:ind w:left="0" w:right="0"/>
              <w:jc w:val="left"/>
              <w:rPr>
                <w:rFonts w:eastAsia="Calibri"/>
                <w:b/>
                <w:sz w:val="18"/>
                <w:lang w:val="es-ES_tradnl"/>
              </w:rPr>
            </w:pPr>
          </w:p>
        </w:tc>
        <w:tc>
          <w:tcPr>
            <w:tcW w:w="1035" w:type="dxa"/>
            <w:shd w:val="clear" w:color="auto" w:fill="auto"/>
          </w:tcPr>
          <w:p w14:paraId="2A89712E" w14:textId="3E87B8A1" w:rsidR="009A2020" w:rsidRPr="00517B56" w:rsidRDefault="009A2020" w:rsidP="004E2640">
            <w:pPr>
              <w:pStyle w:val="SingleTxtG"/>
              <w:keepNext/>
              <w:keepLines/>
              <w:tabs>
                <w:tab w:val="clear" w:pos="1701"/>
                <w:tab w:val="clear" w:pos="2268"/>
                <w:tab w:val="clear" w:pos="2835"/>
                <w:tab w:val="left" w:pos="282"/>
              </w:tabs>
              <w:spacing w:before="40" w:after="40" w:line="220" w:lineRule="exact"/>
              <w:ind w:left="0" w:right="0"/>
              <w:jc w:val="left"/>
              <w:rPr>
                <w:rFonts w:eastAsia="Calibri"/>
                <w:b/>
                <w:sz w:val="18"/>
                <w:lang w:val="es-ES_tradnl"/>
              </w:rPr>
            </w:pPr>
          </w:p>
        </w:tc>
        <w:tc>
          <w:tcPr>
            <w:tcW w:w="966" w:type="dxa"/>
            <w:shd w:val="clear" w:color="auto" w:fill="auto"/>
          </w:tcPr>
          <w:p w14:paraId="75C7B179" w14:textId="77777777" w:rsidR="009A2020" w:rsidRPr="00517B56" w:rsidRDefault="009A2020" w:rsidP="004E2640">
            <w:pPr>
              <w:pStyle w:val="SingleTxtG"/>
              <w:keepNext/>
              <w:keepLines/>
              <w:tabs>
                <w:tab w:val="clear" w:pos="1701"/>
                <w:tab w:val="clear" w:pos="2268"/>
                <w:tab w:val="clear" w:pos="2835"/>
                <w:tab w:val="left" w:pos="282"/>
              </w:tabs>
              <w:spacing w:before="40" w:after="40" w:line="220" w:lineRule="exact"/>
              <w:ind w:left="0" w:right="0"/>
              <w:jc w:val="left"/>
              <w:rPr>
                <w:rFonts w:eastAsia="Calibri"/>
                <w:b/>
                <w:sz w:val="18"/>
                <w:lang w:val="es-ES_tradnl"/>
              </w:rPr>
            </w:pPr>
          </w:p>
        </w:tc>
        <w:tc>
          <w:tcPr>
            <w:tcW w:w="1008" w:type="dxa"/>
            <w:shd w:val="clear" w:color="auto" w:fill="auto"/>
          </w:tcPr>
          <w:p w14:paraId="08F05EE7" w14:textId="77777777" w:rsidR="009A2020" w:rsidRPr="00517B56" w:rsidRDefault="009A2020" w:rsidP="004E2640">
            <w:pPr>
              <w:pStyle w:val="SingleTxtG"/>
              <w:keepNext/>
              <w:keepLines/>
              <w:tabs>
                <w:tab w:val="clear" w:pos="1701"/>
                <w:tab w:val="clear" w:pos="2268"/>
                <w:tab w:val="clear" w:pos="2835"/>
                <w:tab w:val="left" w:pos="282"/>
              </w:tabs>
              <w:spacing w:before="40" w:after="40" w:line="220" w:lineRule="exact"/>
              <w:ind w:left="0" w:right="0"/>
              <w:jc w:val="left"/>
              <w:rPr>
                <w:rFonts w:eastAsia="Calibri"/>
                <w:b/>
                <w:sz w:val="18"/>
                <w:lang w:val="es-ES_tradnl"/>
              </w:rPr>
            </w:pPr>
          </w:p>
        </w:tc>
        <w:tc>
          <w:tcPr>
            <w:tcW w:w="987" w:type="dxa"/>
            <w:shd w:val="clear" w:color="auto" w:fill="auto"/>
          </w:tcPr>
          <w:p w14:paraId="0C5CE2B3" w14:textId="3D231BB6" w:rsidR="009A2020" w:rsidRPr="00517B56" w:rsidRDefault="009A2020" w:rsidP="004E2640">
            <w:pPr>
              <w:pStyle w:val="SingleTxtG"/>
              <w:keepNext/>
              <w:keepLines/>
              <w:tabs>
                <w:tab w:val="clear" w:pos="1701"/>
                <w:tab w:val="clear" w:pos="2268"/>
                <w:tab w:val="clear" w:pos="2835"/>
                <w:tab w:val="left" w:pos="282"/>
              </w:tabs>
              <w:spacing w:before="40" w:after="40" w:line="220" w:lineRule="exact"/>
              <w:ind w:left="0" w:right="0"/>
              <w:jc w:val="left"/>
              <w:rPr>
                <w:rFonts w:eastAsia="Calibri"/>
                <w:b/>
                <w:sz w:val="18"/>
                <w:lang w:val="es-ES_tradnl"/>
              </w:rPr>
            </w:pPr>
          </w:p>
        </w:tc>
      </w:tr>
      <w:tr w:rsidR="009A2020" w:rsidRPr="00517B56" w14:paraId="2F6076AC" w14:textId="77777777" w:rsidTr="004E2640">
        <w:trPr>
          <w:trHeight w:val="240"/>
        </w:trPr>
        <w:tc>
          <w:tcPr>
            <w:tcW w:w="2800" w:type="dxa"/>
            <w:shd w:val="clear" w:color="auto" w:fill="auto"/>
            <w:noWrap/>
            <w:hideMark/>
          </w:tcPr>
          <w:p w14:paraId="3C8EC1E1"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0" w:right="0"/>
              <w:jc w:val="left"/>
              <w:rPr>
                <w:rFonts w:eastAsia="Calibri"/>
                <w:sz w:val="18"/>
                <w:lang w:val="es-ES_tradnl"/>
              </w:rPr>
            </w:pPr>
            <w:r w:rsidRPr="00517B56">
              <w:rPr>
                <w:sz w:val="18"/>
                <w:lang w:val="es-ES_tradnl"/>
              </w:rPr>
              <w:t>Educación preescolar y primaria</w:t>
            </w:r>
          </w:p>
        </w:tc>
        <w:tc>
          <w:tcPr>
            <w:tcW w:w="966" w:type="dxa"/>
            <w:shd w:val="clear" w:color="auto" w:fill="auto"/>
            <w:noWrap/>
            <w:vAlign w:val="bottom"/>
            <w:hideMark/>
          </w:tcPr>
          <w:p w14:paraId="4BB0B339"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127 465</w:t>
            </w:r>
          </w:p>
        </w:tc>
        <w:tc>
          <w:tcPr>
            <w:tcW w:w="938" w:type="dxa"/>
            <w:shd w:val="clear" w:color="auto" w:fill="auto"/>
            <w:noWrap/>
            <w:vAlign w:val="bottom"/>
            <w:hideMark/>
          </w:tcPr>
          <w:p w14:paraId="54D86D6B"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125 496</w:t>
            </w:r>
          </w:p>
        </w:tc>
        <w:tc>
          <w:tcPr>
            <w:tcW w:w="938" w:type="dxa"/>
            <w:shd w:val="clear" w:color="auto" w:fill="auto"/>
            <w:noWrap/>
            <w:vAlign w:val="bottom"/>
            <w:hideMark/>
          </w:tcPr>
          <w:p w14:paraId="0DEA884D"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124 120</w:t>
            </w:r>
          </w:p>
        </w:tc>
        <w:tc>
          <w:tcPr>
            <w:tcW w:w="1035" w:type="dxa"/>
            <w:shd w:val="clear" w:color="auto" w:fill="auto"/>
            <w:noWrap/>
            <w:vAlign w:val="bottom"/>
            <w:hideMark/>
          </w:tcPr>
          <w:p w14:paraId="797BB10F"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119 823</w:t>
            </w:r>
          </w:p>
        </w:tc>
        <w:tc>
          <w:tcPr>
            <w:tcW w:w="966" w:type="dxa"/>
            <w:shd w:val="clear" w:color="auto" w:fill="auto"/>
            <w:noWrap/>
            <w:vAlign w:val="bottom"/>
            <w:hideMark/>
          </w:tcPr>
          <w:p w14:paraId="19448A68"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113 017</w:t>
            </w:r>
          </w:p>
        </w:tc>
        <w:tc>
          <w:tcPr>
            <w:tcW w:w="1008" w:type="dxa"/>
            <w:shd w:val="clear" w:color="auto" w:fill="auto"/>
            <w:noWrap/>
            <w:vAlign w:val="bottom"/>
            <w:hideMark/>
          </w:tcPr>
          <w:p w14:paraId="757E784B"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129 398</w:t>
            </w:r>
          </w:p>
        </w:tc>
        <w:tc>
          <w:tcPr>
            <w:tcW w:w="987" w:type="dxa"/>
            <w:shd w:val="clear" w:color="auto" w:fill="auto"/>
            <w:noWrap/>
            <w:vAlign w:val="bottom"/>
            <w:hideMark/>
          </w:tcPr>
          <w:p w14:paraId="0FD9BE26"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134 951</w:t>
            </w:r>
          </w:p>
        </w:tc>
      </w:tr>
      <w:tr w:rsidR="009A2020" w:rsidRPr="00517B56" w14:paraId="747EDF17" w14:textId="77777777" w:rsidTr="004E2640">
        <w:trPr>
          <w:trHeight w:val="240"/>
        </w:trPr>
        <w:tc>
          <w:tcPr>
            <w:tcW w:w="2800" w:type="dxa"/>
            <w:shd w:val="clear" w:color="auto" w:fill="auto"/>
            <w:noWrap/>
            <w:hideMark/>
          </w:tcPr>
          <w:p w14:paraId="22B5672C"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0" w:right="0"/>
              <w:jc w:val="left"/>
              <w:rPr>
                <w:rFonts w:eastAsia="Calibri"/>
                <w:sz w:val="18"/>
                <w:lang w:val="es-ES_tradnl"/>
              </w:rPr>
            </w:pPr>
            <w:r w:rsidRPr="00517B56">
              <w:rPr>
                <w:sz w:val="18"/>
                <w:lang w:val="es-ES_tradnl"/>
              </w:rPr>
              <w:t>Educación secundaria</w:t>
            </w:r>
          </w:p>
        </w:tc>
        <w:tc>
          <w:tcPr>
            <w:tcW w:w="966" w:type="dxa"/>
            <w:shd w:val="clear" w:color="auto" w:fill="auto"/>
            <w:noWrap/>
            <w:vAlign w:val="bottom"/>
            <w:hideMark/>
          </w:tcPr>
          <w:p w14:paraId="2443CFCA"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55 891</w:t>
            </w:r>
          </w:p>
        </w:tc>
        <w:tc>
          <w:tcPr>
            <w:tcW w:w="938" w:type="dxa"/>
            <w:shd w:val="clear" w:color="auto" w:fill="auto"/>
            <w:noWrap/>
            <w:vAlign w:val="bottom"/>
            <w:hideMark/>
          </w:tcPr>
          <w:p w14:paraId="588732D3"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55 688</w:t>
            </w:r>
          </w:p>
        </w:tc>
        <w:tc>
          <w:tcPr>
            <w:tcW w:w="938" w:type="dxa"/>
            <w:shd w:val="clear" w:color="auto" w:fill="auto"/>
            <w:noWrap/>
            <w:vAlign w:val="bottom"/>
            <w:hideMark/>
          </w:tcPr>
          <w:p w14:paraId="55B5BC91"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55 633</w:t>
            </w:r>
          </w:p>
        </w:tc>
        <w:tc>
          <w:tcPr>
            <w:tcW w:w="1035" w:type="dxa"/>
            <w:shd w:val="clear" w:color="auto" w:fill="auto"/>
            <w:noWrap/>
            <w:vAlign w:val="bottom"/>
            <w:hideMark/>
          </w:tcPr>
          <w:p w14:paraId="380FE071"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53 633</w:t>
            </w:r>
          </w:p>
        </w:tc>
        <w:tc>
          <w:tcPr>
            <w:tcW w:w="966" w:type="dxa"/>
            <w:shd w:val="clear" w:color="auto" w:fill="auto"/>
            <w:noWrap/>
            <w:vAlign w:val="bottom"/>
            <w:hideMark/>
          </w:tcPr>
          <w:p w14:paraId="542219C1"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50 974</w:t>
            </w:r>
          </w:p>
        </w:tc>
        <w:tc>
          <w:tcPr>
            <w:tcW w:w="1008" w:type="dxa"/>
            <w:shd w:val="clear" w:color="auto" w:fill="auto"/>
            <w:noWrap/>
            <w:vAlign w:val="bottom"/>
            <w:hideMark/>
          </w:tcPr>
          <w:p w14:paraId="3B42DEA0"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57 961</w:t>
            </w:r>
          </w:p>
        </w:tc>
        <w:tc>
          <w:tcPr>
            <w:tcW w:w="987" w:type="dxa"/>
            <w:shd w:val="clear" w:color="auto" w:fill="auto"/>
            <w:noWrap/>
            <w:vAlign w:val="bottom"/>
            <w:hideMark/>
          </w:tcPr>
          <w:p w14:paraId="0F636DFB"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58 890</w:t>
            </w:r>
          </w:p>
        </w:tc>
      </w:tr>
      <w:tr w:rsidR="009A2020" w:rsidRPr="00517B56" w14:paraId="69C8B965" w14:textId="77777777" w:rsidTr="004E2640">
        <w:trPr>
          <w:trHeight w:val="240"/>
        </w:trPr>
        <w:tc>
          <w:tcPr>
            <w:tcW w:w="2800" w:type="dxa"/>
            <w:tcBorders>
              <w:bottom w:val="nil"/>
            </w:tcBorders>
            <w:shd w:val="clear" w:color="auto" w:fill="auto"/>
            <w:noWrap/>
            <w:hideMark/>
          </w:tcPr>
          <w:p w14:paraId="42417C4D"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0" w:right="0"/>
              <w:jc w:val="left"/>
              <w:rPr>
                <w:rFonts w:eastAsia="Calibri"/>
                <w:sz w:val="18"/>
                <w:lang w:val="es-ES_tradnl"/>
              </w:rPr>
            </w:pPr>
            <w:r w:rsidRPr="00517B56">
              <w:rPr>
                <w:sz w:val="18"/>
                <w:lang w:val="es-ES_tradnl"/>
              </w:rPr>
              <w:t>Bachillerato</w:t>
            </w:r>
          </w:p>
        </w:tc>
        <w:tc>
          <w:tcPr>
            <w:tcW w:w="966" w:type="dxa"/>
            <w:tcBorders>
              <w:bottom w:val="nil"/>
            </w:tcBorders>
            <w:shd w:val="clear" w:color="auto" w:fill="auto"/>
            <w:noWrap/>
            <w:vAlign w:val="bottom"/>
            <w:hideMark/>
          </w:tcPr>
          <w:p w14:paraId="654A750E"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40 866</w:t>
            </w:r>
          </w:p>
        </w:tc>
        <w:tc>
          <w:tcPr>
            <w:tcW w:w="938" w:type="dxa"/>
            <w:tcBorders>
              <w:bottom w:val="nil"/>
            </w:tcBorders>
            <w:shd w:val="clear" w:color="auto" w:fill="auto"/>
            <w:noWrap/>
            <w:vAlign w:val="bottom"/>
            <w:hideMark/>
          </w:tcPr>
          <w:p w14:paraId="7479872E"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44895</w:t>
            </w:r>
          </w:p>
        </w:tc>
        <w:tc>
          <w:tcPr>
            <w:tcW w:w="938" w:type="dxa"/>
            <w:tcBorders>
              <w:bottom w:val="nil"/>
            </w:tcBorders>
            <w:shd w:val="clear" w:color="auto" w:fill="auto"/>
            <w:noWrap/>
            <w:vAlign w:val="bottom"/>
            <w:hideMark/>
          </w:tcPr>
          <w:p w14:paraId="7543DB88"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46 513</w:t>
            </w:r>
          </w:p>
        </w:tc>
        <w:tc>
          <w:tcPr>
            <w:tcW w:w="1035" w:type="dxa"/>
            <w:tcBorders>
              <w:bottom w:val="nil"/>
            </w:tcBorders>
            <w:shd w:val="clear" w:color="auto" w:fill="auto"/>
            <w:noWrap/>
            <w:vAlign w:val="bottom"/>
            <w:hideMark/>
          </w:tcPr>
          <w:p w14:paraId="4749D8EE"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49 280</w:t>
            </w:r>
          </w:p>
        </w:tc>
        <w:tc>
          <w:tcPr>
            <w:tcW w:w="966" w:type="dxa"/>
            <w:tcBorders>
              <w:bottom w:val="nil"/>
            </w:tcBorders>
            <w:shd w:val="clear" w:color="auto" w:fill="auto"/>
            <w:noWrap/>
            <w:vAlign w:val="bottom"/>
            <w:hideMark/>
          </w:tcPr>
          <w:p w14:paraId="77140B48"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49 208</w:t>
            </w:r>
          </w:p>
        </w:tc>
        <w:tc>
          <w:tcPr>
            <w:tcW w:w="1008" w:type="dxa"/>
            <w:tcBorders>
              <w:bottom w:val="nil"/>
            </w:tcBorders>
            <w:shd w:val="clear" w:color="auto" w:fill="auto"/>
            <w:noWrap/>
            <w:vAlign w:val="bottom"/>
            <w:hideMark/>
          </w:tcPr>
          <w:p w14:paraId="5701CDC7"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53 183</w:t>
            </w:r>
          </w:p>
        </w:tc>
        <w:tc>
          <w:tcPr>
            <w:tcW w:w="987" w:type="dxa"/>
            <w:tcBorders>
              <w:bottom w:val="nil"/>
            </w:tcBorders>
            <w:shd w:val="clear" w:color="auto" w:fill="auto"/>
            <w:noWrap/>
            <w:vAlign w:val="bottom"/>
            <w:hideMark/>
          </w:tcPr>
          <w:p w14:paraId="7B40389C"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52 943</w:t>
            </w:r>
          </w:p>
        </w:tc>
      </w:tr>
      <w:tr w:rsidR="009A2020" w:rsidRPr="00517B56" w14:paraId="10574640" w14:textId="77777777" w:rsidTr="004E2640">
        <w:trPr>
          <w:trHeight w:val="240"/>
        </w:trPr>
        <w:tc>
          <w:tcPr>
            <w:tcW w:w="2800" w:type="dxa"/>
            <w:tcBorders>
              <w:top w:val="nil"/>
              <w:bottom w:val="nil"/>
            </w:tcBorders>
            <w:shd w:val="clear" w:color="auto" w:fill="auto"/>
            <w:noWrap/>
            <w:hideMark/>
          </w:tcPr>
          <w:p w14:paraId="547D5A4A"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0" w:right="0"/>
              <w:jc w:val="left"/>
              <w:rPr>
                <w:rFonts w:eastAsia="Calibri"/>
                <w:sz w:val="18"/>
                <w:lang w:val="es-ES_tradnl"/>
              </w:rPr>
            </w:pPr>
            <w:r w:rsidRPr="00517B56">
              <w:rPr>
                <w:sz w:val="18"/>
                <w:lang w:val="es-ES_tradnl"/>
              </w:rPr>
              <w:t>Educación superior universitaria (personal</w:t>
            </w:r>
            <w:r w:rsidRPr="00517B56">
              <w:rPr>
                <w:bCs/>
                <w:sz w:val="18"/>
                <w:lang w:val="es-ES_tradnl"/>
              </w:rPr>
              <w:t xml:space="preserve"> </w:t>
            </w:r>
            <w:r w:rsidRPr="00517B56">
              <w:rPr>
                <w:sz w:val="18"/>
                <w:lang w:val="es-ES_tradnl"/>
              </w:rPr>
              <w:t>en activo)</w:t>
            </w:r>
          </w:p>
        </w:tc>
        <w:tc>
          <w:tcPr>
            <w:tcW w:w="966" w:type="dxa"/>
            <w:tcBorders>
              <w:top w:val="nil"/>
              <w:bottom w:val="nil"/>
            </w:tcBorders>
            <w:shd w:val="clear" w:color="auto" w:fill="auto"/>
            <w:noWrap/>
            <w:vAlign w:val="bottom"/>
            <w:hideMark/>
          </w:tcPr>
          <w:p w14:paraId="67FDB9B9"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10 949</w:t>
            </w:r>
          </w:p>
        </w:tc>
        <w:tc>
          <w:tcPr>
            <w:tcW w:w="938" w:type="dxa"/>
            <w:tcBorders>
              <w:top w:val="nil"/>
              <w:bottom w:val="nil"/>
            </w:tcBorders>
            <w:shd w:val="clear" w:color="auto" w:fill="auto"/>
            <w:noWrap/>
            <w:vAlign w:val="bottom"/>
            <w:hideMark/>
          </w:tcPr>
          <w:p w14:paraId="0BCADD2E"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12 256</w:t>
            </w:r>
          </w:p>
        </w:tc>
        <w:tc>
          <w:tcPr>
            <w:tcW w:w="938" w:type="dxa"/>
            <w:tcBorders>
              <w:top w:val="nil"/>
              <w:bottom w:val="nil"/>
            </w:tcBorders>
            <w:shd w:val="clear" w:color="auto" w:fill="auto"/>
            <w:noWrap/>
            <w:vAlign w:val="bottom"/>
            <w:hideMark/>
          </w:tcPr>
          <w:p w14:paraId="0093E191"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12 820</w:t>
            </w:r>
          </w:p>
        </w:tc>
        <w:tc>
          <w:tcPr>
            <w:tcW w:w="1035" w:type="dxa"/>
            <w:tcBorders>
              <w:top w:val="nil"/>
              <w:bottom w:val="nil"/>
            </w:tcBorders>
            <w:shd w:val="clear" w:color="auto" w:fill="auto"/>
            <w:noWrap/>
            <w:vAlign w:val="bottom"/>
            <w:hideMark/>
          </w:tcPr>
          <w:p w14:paraId="44411F76"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13 170</w:t>
            </w:r>
          </w:p>
        </w:tc>
        <w:tc>
          <w:tcPr>
            <w:tcW w:w="966" w:type="dxa"/>
            <w:tcBorders>
              <w:top w:val="nil"/>
              <w:bottom w:val="nil"/>
            </w:tcBorders>
            <w:shd w:val="clear" w:color="auto" w:fill="auto"/>
            <w:noWrap/>
            <w:vAlign w:val="bottom"/>
            <w:hideMark/>
          </w:tcPr>
          <w:p w14:paraId="1160DD05"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13 820</w:t>
            </w:r>
          </w:p>
        </w:tc>
        <w:tc>
          <w:tcPr>
            <w:tcW w:w="1008" w:type="dxa"/>
            <w:tcBorders>
              <w:top w:val="nil"/>
              <w:bottom w:val="nil"/>
            </w:tcBorders>
            <w:shd w:val="clear" w:color="auto" w:fill="auto"/>
            <w:noWrap/>
            <w:vAlign w:val="bottom"/>
            <w:hideMark/>
          </w:tcPr>
          <w:p w14:paraId="4C0BBE04"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13 954</w:t>
            </w:r>
          </w:p>
        </w:tc>
        <w:tc>
          <w:tcPr>
            <w:tcW w:w="987" w:type="dxa"/>
            <w:tcBorders>
              <w:top w:val="nil"/>
              <w:bottom w:val="nil"/>
            </w:tcBorders>
            <w:shd w:val="clear" w:color="auto" w:fill="auto"/>
            <w:noWrap/>
            <w:vAlign w:val="bottom"/>
            <w:hideMark/>
          </w:tcPr>
          <w:p w14:paraId="798577F1"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14 400</w:t>
            </w:r>
          </w:p>
        </w:tc>
      </w:tr>
      <w:tr w:rsidR="009A2020" w:rsidRPr="00336940" w14:paraId="3EB348C0" w14:textId="77777777" w:rsidTr="004E2640">
        <w:trPr>
          <w:trHeight w:val="240"/>
        </w:trPr>
        <w:tc>
          <w:tcPr>
            <w:tcW w:w="2800" w:type="dxa"/>
            <w:tcBorders>
              <w:top w:val="nil"/>
            </w:tcBorders>
            <w:shd w:val="clear" w:color="auto" w:fill="auto"/>
            <w:noWrap/>
            <w:hideMark/>
          </w:tcPr>
          <w:p w14:paraId="2C09C82C" w14:textId="44635E86" w:rsidR="009A2020" w:rsidRPr="000A29B8" w:rsidRDefault="009A2020" w:rsidP="00694EFF">
            <w:pPr>
              <w:pStyle w:val="SingleTxtG"/>
              <w:keepNext/>
              <w:keepLines/>
              <w:tabs>
                <w:tab w:val="clear" w:pos="1701"/>
                <w:tab w:val="clear" w:pos="2268"/>
                <w:tab w:val="clear" w:pos="2835"/>
              </w:tabs>
              <w:spacing w:before="40" w:after="40" w:line="220" w:lineRule="exact"/>
              <w:ind w:left="560" w:right="0" w:hanging="560"/>
              <w:jc w:val="left"/>
              <w:rPr>
                <w:rFonts w:eastAsia="Calibri"/>
                <w:b/>
                <w:sz w:val="18"/>
              </w:rPr>
            </w:pPr>
            <w:r w:rsidRPr="000A29B8">
              <w:rPr>
                <w:rFonts w:eastAsia="Calibri"/>
                <w:b/>
                <w:sz w:val="18"/>
              </w:rPr>
              <w:t>3.5</w:t>
            </w:r>
            <w:r w:rsidRPr="000A29B8">
              <w:rPr>
                <w:rFonts w:eastAsia="Calibri"/>
                <w:b/>
                <w:sz w:val="18"/>
              </w:rPr>
              <w:tab/>
              <w:t xml:space="preserve">Número de profesores en formación </w:t>
            </w:r>
            <w:r w:rsidRPr="00694EFF">
              <w:rPr>
                <w:b/>
                <w:sz w:val="18"/>
                <w:lang w:val="es-ES_tradnl"/>
              </w:rPr>
              <w:t>pedagógica</w:t>
            </w:r>
          </w:p>
        </w:tc>
        <w:tc>
          <w:tcPr>
            <w:tcW w:w="966" w:type="dxa"/>
            <w:tcBorders>
              <w:top w:val="nil"/>
            </w:tcBorders>
            <w:shd w:val="clear" w:color="auto" w:fill="auto"/>
            <w:noWrap/>
            <w:vAlign w:val="bottom"/>
            <w:hideMark/>
          </w:tcPr>
          <w:p w14:paraId="0E51043F" w14:textId="77777777" w:rsidR="009A2020" w:rsidRPr="00825CEC"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n-US"/>
              </w:rPr>
            </w:pPr>
            <w:r w:rsidRPr="00825CEC">
              <w:rPr>
                <w:b/>
                <w:bCs/>
                <w:sz w:val="18"/>
                <w:lang w:val="en-US"/>
              </w:rPr>
              <w:t>6 686</w:t>
            </w:r>
          </w:p>
        </w:tc>
        <w:tc>
          <w:tcPr>
            <w:tcW w:w="938" w:type="dxa"/>
            <w:tcBorders>
              <w:top w:val="nil"/>
            </w:tcBorders>
            <w:shd w:val="clear" w:color="auto" w:fill="auto"/>
            <w:noWrap/>
            <w:vAlign w:val="bottom"/>
            <w:hideMark/>
          </w:tcPr>
          <w:p w14:paraId="551CAA92" w14:textId="77777777" w:rsidR="009A2020" w:rsidRPr="00825CEC"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n-US"/>
              </w:rPr>
            </w:pPr>
            <w:r w:rsidRPr="00825CEC">
              <w:rPr>
                <w:b/>
                <w:bCs/>
                <w:sz w:val="18"/>
                <w:lang w:val="en-US"/>
              </w:rPr>
              <w:t>7 105</w:t>
            </w:r>
          </w:p>
        </w:tc>
        <w:tc>
          <w:tcPr>
            <w:tcW w:w="938" w:type="dxa"/>
            <w:tcBorders>
              <w:top w:val="nil"/>
            </w:tcBorders>
            <w:shd w:val="clear" w:color="auto" w:fill="auto"/>
            <w:noWrap/>
            <w:vAlign w:val="bottom"/>
            <w:hideMark/>
          </w:tcPr>
          <w:p w14:paraId="47C87A08" w14:textId="77777777" w:rsidR="009A2020" w:rsidRPr="00825CEC"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n-US"/>
              </w:rPr>
            </w:pPr>
            <w:r w:rsidRPr="00825CEC">
              <w:rPr>
                <w:b/>
                <w:bCs/>
                <w:sz w:val="18"/>
                <w:lang w:val="en-US"/>
              </w:rPr>
              <w:t>8 045</w:t>
            </w:r>
          </w:p>
        </w:tc>
        <w:tc>
          <w:tcPr>
            <w:tcW w:w="1035" w:type="dxa"/>
            <w:tcBorders>
              <w:top w:val="nil"/>
            </w:tcBorders>
            <w:shd w:val="clear" w:color="auto" w:fill="auto"/>
            <w:noWrap/>
            <w:vAlign w:val="bottom"/>
            <w:hideMark/>
          </w:tcPr>
          <w:p w14:paraId="70FE5A52" w14:textId="77777777" w:rsidR="009A2020" w:rsidRPr="00825CEC"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n-US"/>
              </w:rPr>
            </w:pPr>
            <w:r w:rsidRPr="00825CEC">
              <w:rPr>
                <w:b/>
                <w:bCs/>
                <w:sz w:val="18"/>
                <w:lang w:val="en-US"/>
              </w:rPr>
              <w:t>10 375</w:t>
            </w:r>
          </w:p>
        </w:tc>
        <w:tc>
          <w:tcPr>
            <w:tcW w:w="966" w:type="dxa"/>
            <w:tcBorders>
              <w:top w:val="nil"/>
            </w:tcBorders>
            <w:shd w:val="clear" w:color="auto" w:fill="auto"/>
            <w:noWrap/>
            <w:vAlign w:val="bottom"/>
            <w:hideMark/>
          </w:tcPr>
          <w:p w14:paraId="68DBFEB0" w14:textId="77777777" w:rsidR="009A2020" w:rsidRPr="00825CEC"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n-US"/>
              </w:rPr>
            </w:pPr>
            <w:r w:rsidRPr="00825CEC">
              <w:rPr>
                <w:b/>
                <w:bCs/>
                <w:sz w:val="18"/>
                <w:lang w:val="en-US"/>
              </w:rPr>
              <w:t>12 083</w:t>
            </w:r>
          </w:p>
        </w:tc>
        <w:tc>
          <w:tcPr>
            <w:tcW w:w="1008" w:type="dxa"/>
            <w:tcBorders>
              <w:top w:val="nil"/>
            </w:tcBorders>
            <w:shd w:val="clear" w:color="auto" w:fill="auto"/>
            <w:noWrap/>
            <w:vAlign w:val="bottom"/>
            <w:hideMark/>
          </w:tcPr>
          <w:p w14:paraId="5AC68C5D" w14:textId="77777777" w:rsidR="009A2020" w:rsidRPr="00825CEC"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n-US"/>
              </w:rPr>
            </w:pPr>
            <w:r w:rsidRPr="00825CEC">
              <w:rPr>
                <w:b/>
                <w:bCs/>
                <w:sz w:val="18"/>
                <w:lang w:val="en-US"/>
              </w:rPr>
              <w:t>20 981</w:t>
            </w:r>
          </w:p>
        </w:tc>
        <w:tc>
          <w:tcPr>
            <w:tcW w:w="987" w:type="dxa"/>
            <w:tcBorders>
              <w:top w:val="nil"/>
            </w:tcBorders>
            <w:shd w:val="clear" w:color="auto" w:fill="auto"/>
            <w:noWrap/>
            <w:vAlign w:val="bottom"/>
            <w:hideMark/>
          </w:tcPr>
          <w:p w14:paraId="0E03B13E" w14:textId="77777777" w:rsidR="009A2020" w:rsidRPr="00825CEC"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n-US"/>
              </w:rPr>
            </w:pPr>
            <w:r w:rsidRPr="00825CEC">
              <w:rPr>
                <w:b/>
                <w:bCs/>
                <w:sz w:val="18"/>
                <w:lang w:val="en-US"/>
              </w:rPr>
              <w:t>16 169</w:t>
            </w:r>
          </w:p>
        </w:tc>
      </w:tr>
      <w:tr w:rsidR="009A2020" w:rsidRPr="00336940" w14:paraId="4AA5AC8F" w14:textId="77777777" w:rsidTr="004E2640">
        <w:trPr>
          <w:trHeight w:val="240"/>
        </w:trPr>
        <w:tc>
          <w:tcPr>
            <w:tcW w:w="2800" w:type="dxa"/>
            <w:shd w:val="clear" w:color="auto" w:fill="auto"/>
            <w:noWrap/>
            <w:hideMark/>
          </w:tcPr>
          <w:p w14:paraId="7EFAD48C" w14:textId="77777777" w:rsidR="009A2020" w:rsidRPr="00996881" w:rsidRDefault="009A2020" w:rsidP="004E2640">
            <w:pPr>
              <w:pStyle w:val="SingleTxtG"/>
              <w:keepNext/>
              <w:keepLines/>
              <w:tabs>
                <w:tab w:val="clear" w:pos="1701"/>
                <w:tab w:val="clear" w:pos="2268"/>
                <w:tab w:val="clear" w:pos="2835"/>
              </w:tabs>
              <w:spacing w:before="40" w:after="40" w:line="220" w:lineRule="exact"/>
              <w:ind w:left="0" w:right="0"/>
              <w:jc w:val="left"/>
              <w:rPr>
                <w:rFonts w:eastAsia="Calibri"/>
                <w:sz w:val="18"/>
                <w:lang w:val="es-ES_tradnl"/>
              </w:rPr>
            </w:pPr>
            <w:r w:rsidRPr="00996881">
              <w:rPr>
                <w:sz w:val="18"/>
                <w:lang w:val="es-ES_tradnl"/>
              </w:rPr>
              <w:t>Porcentaje de docentes</w:t>
            </w:r>
          </w:p>
        </w:tc>
        <w:tc>
          <w:tcPr>
            <w:tcW w:w="966" w:type="dxa"/>
            <w:shd w:val="clear" w:color="auto" w:fill="auto"/>
            <w:noWrap/>
            <w:vAlign w:val="bottom"/>
            <w:hideMark/>
          </w:tcPr>
          <w:p w14:paraId="77B90727"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36,1</w:t>
            </w:r>
          </w:p>
        </w:tc>
        <w:tc>
          <w:tcPr>
            <w:tcW w:w="938" w:type="dxa"/>
            <w:shd w:val="clear" w:color="auto" w:fill="auto"/>
            <w:noWrap/>
            <w:vAlign w:val="bottom"/>
            <w:hideMark/>
          </w:tcPr>
          <w:p w14:paraId="10544C98"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33,3</w:t>
            </w:r>
          </w:p>
        </w:tc>
        <w:tc>
          <w:tcPr>
            <w:tcW w:w="938" w:type="dxa"/>
            <w:shd w:val="clear" w:color="auto" w:fill="auto"/>
            <w:noWrap/>
            <w:vAlign w:val="bottom"/>
            <w:hideMark/>
          </w:tcPr>
          <w:p w14:paraId="0D0B2C94"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26,3</w:t>
            </w:r>
          </w:p>
        </w:tc>
        <w:tc>
          <w:tcPr>
            <w:tcW w:w="1035" w:type="dxa"/>
            <w:shd w:val="clear" w:color="auto" w:fill="auto"/>
            <w:noWrap/>
            <w:vAlign w:val="bottom"/>
            <w:hideMark/>
          </w:tcPr>
          <w:p w14:paraId="00B9D694"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23,6</w:t>
            </w:r>
          </w:p>
        </w:tc>
        <w:tc>
          <w:tcPr>
            <w:tcW w:w="966" w:type="dxa"/>
            <w:shd w:val="clear" w:color="auto" w:fill="auto"/>
            <w:noWrap/>
            <w:vAlign w:val="bottom"/>
            <w:hideMark/>
          </w:tcPr>
          <w:p w14:paraId="746990B4"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60,7</w:t>
            </w:r>
          </w:p>
        </w:tc>
        <w:tc>
          <w:tcPr>
            <w:tcW w:w="1008" w:type="dxa"/>
            <w:shd w:val="clear" w:color="auto" w:fill="auto"/>
            <w:noWrap/>
            <w:vAlign w:val="bottom"/>
            <w:hideMark/>
          </w:tcPr>
          <w:p w14:paraId="10E1384A"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59,4</w:t>
            </w:r>
          </w:p>
        </w:tc>
        <w:tc>
          <w:tcPr>
            <w:tcW w:w="987" w:type="dxa"/>
            <w:shd w:val="clear" w:color="auto" w:fill="auto"/>
            <w:noWrap/>
            <w:vAlign w:val="bottom"/>
            <w:hideMark/>
          </w:tcPr>
          <w:p w14:paraId="2B39274E"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50,4</w:t>
            </w:r>
          </w:p>
        </w:tc>
      </w:tr>
      <w:tr w:rsidR="009A2020" w:rsidRPr="00336940" w14:paraId="188CA8FB" w14:textId="77777777" w:rsidTr="004E2640">
        <w:trPr>
          <w:trHeight w:val="240"/>
        </w:trPr>
        <w:tc>
          <w:tcPr>
            <w:tcW w:w="2800" w:type="dxa"/>
            <w:shd w:val="clear" w:color="auto" w:fill="auto"/>
            <w:noWrap/>
          </w:tcPr>
          <w:p w14:paraId="50D9BFE4" w14:textId="77777777" w:rsidR="009A2020" w:rsidRPr="00996881" w:rsidRDefault="009A2020" w:rsidP="004E2640">
            <w:pPr>
              <w:pStyle w:val="SingleTxtG"/>
              <w:keepNext/>
              <w:keepLines/>
              <w:tabs>
                <w:tab w:val="clear" w:pos="1701"/>
                <w:tab w:val="clear" w:pos="2268"/>
                <w:tab w:val="clear" w:pos="2835"/>
              </w:tabs>
              <w:spacing w:before="40" w:after="40" w:line="220" w:lineRule="exact"/>
              <w:ind w:left="0" w:right="0"/>
              <w:jc w:val="left"/>
              <w:rPr>
                <w:rFonts w:eastAsia="Calibri"/>
                <w:sz w:val="18"/>
                <w:lang w:val="es-ES_tradnl"/>
              </w:rPr>
            </w:pPr>
            <w:r w:rsidRPr="00996881">
              <w:rPr>
                <w:sz w:val="18"/>
                <w:lang w:val="es-ES_tradnl"/>
              </w:rPr>
              <w:t>Porcentaje de personal de orientación y planificación educativa</w:t>
            </w:r>
          </w:p>
        </w:tc>
        <w:tc>
          <w:tcPr>
            <w:tcW w:w="966" w:type="dxa"/>
            <w:shd w:val="clear" w:color="auto" w:fill="auto"/>
            <w:noWrap/>
            <w:vAlign w:val="bottom"/>
          </w:tcPr>
          <w:p w14:paraId="4CA374C7"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2,8</w:t>
            </w:r>
          </w:p>
        </w:tc>
        <w:tc>
          <w:tcPr>
            <w:tcW w:w="938" w:type="dxa"/>
            <w:shd w:val="clear" w:color="auto" w:fill="auto"/>
            <w:noWrap/>
            <w:vAlign w:val="bottom"/>
          </w:tcPr>
          <w:p w14:paraId="35C3E629"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1,4</w:t>
            </w:r>
          </w:p>
        </w:tc>
        <w:tc>
          <w:tcPr>
            <w:tcW w:w="938" w:type="dxa"/>
            <w:shd w:val="clear" w:color="auto" w:fill="auto"/>
            <w:noWrap/>
            <w:vAlign w:val="bottom"/>
          </w:tcPr>
          <w:p w14:paraId="37619401"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w:t>
            </w:r>
          </w:p>
        </w:tc>
        <w:tc>
          <w:tcPr>
            <w:tcW w:w="1035" w:type="dxa"/>
            <w:shd w:val="clear" w:color="auto" w:fill="auto"/>
            <w:noWrap/>
            <w:vAlign w:val="bottom"/>
          </w:tcPr>
          <w:p w14:paraId="3577AD6D"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1,1</w:t>
            </w:r>
          </w:p>
        </w:tc>
        <w:tc>
          <w:tcPr>
            <w:tcW w:w="966" w:type="dxa"/>
            <w:shd w:val="clear" w:color="auto" w:fill="auto"/>
            <w:noWrap/>
            <w:vAlign w:val="bottom"/>
          </w:tcPr>
          <w:p w14:paraId="4B44F7E1"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1,95</w:t>
            </w:r>
          </w:p>
        </w:tc>
        <w:tc>
          <w:tcPr>
            <w:tcW w:w="1008" w:type="dxa"/>
            <w:shd w:val="clear" w:color="auto" w:fill="auto"/>
            <w:noWrap/>
            <w:vAlign w:val="bottom"/>
          </w:tcPr>
          <w:p w14:paraId="2FE63EF1"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1,1</w:t>
            </w:r>
          </w:p>
        </w:tc>
        <w:tc>
          <w:tcPr>
            <w:tcW w:w="987" w:type="dxa"/>
            <w:shd w:val="clear" w:color="auto" w:fill="auto"/>
            <w:noWrap/>
            <w:vAlign w:val="bottom"/>
          </w:tcPr>
          <w:p w14:paraId="2F0972FA"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1,5</w:t>
            </w:r>
          </w:p>
        </w:tc>
      </w:tr>
      <w:tr w:rsidR="009A2020" w:rsidRPr="00336940" w14:paraId="3339FC4D" w14:textId="77777777" w:rsidTr="004E2640">
        <w:trPr>
          <w:trHeight w:val="240"/>
        </w:trPr>
        <w:tc>
          <w:tcPr>
            <w:tcW w:w="2800" w:type="dxa"/>
            <w:shd w:val="clear" w:color="auto" w:fill="auto"/>
            <w:noWrap/>
          </w:tcPr>
          <w:p w14:paraId="673B5596" w14:textId="77777777" w:rsidR="009A2020" w:rsidRPr="00996881" w:rsidRDefault="009A2020" w:rsidP="004E2640">
            <w:pPr>
              <w:pStyle w:val="SingleTxtG"/>
              <w:keepNext/>
              <w:keepLines/>
              <w:tabs>
                <w:tab w:val="clear" w:pos="1701"/>
                <w:tab w:val="clear" w:pos="2268"/>
                <w:tab w:val="clear" w:pos="2835"/>
              </w:tabs>
              <w:spacing w:before="40" w:after="40" w:line="220" w:lineRule="exact"/>
              <w:ind w:left="0" w:right="0"/>
              <w:jc w:val="left"/>
              <w:rPr>
                <w:rFonts w:eastAsia="Calibri"/>
                <w:sz w:val="18"/>
                <w:lang w:val="es-ES_tradnl"/>
              </w:rPr>
            </w:pPr>
            <w:r w:rsidRPr="00996881">
              <w:rPr>
                <w:sz w:val="18"/>
                <w:lang w:val="es-ES_tradnl"/>
              </w:rPr>
              <w:t>Porcentaje de docentes de secundaria</w:t>
            </w:r>
          </w:p>
        </w:tc>
        <w:tc>
          <w:tcPr>
            <w:tcW w:w="966" w:type="dxa"/>
            <w:shd w:val="clear" w:color="auto" w:fill="auto"/>
            <w:noWrap/>
            <w:vAlign w:val="bottom"/>
          </w:tcPr>
          <w:p w14:paraId="6A4F425E"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30,7</w:t>
            </w:r>
          </w:p>
        </w:tc>
        <w:tc>
          <w:tcPr>
            <w:tcW w:w="938" w:type="dxa"/>
            <w:shd w:val="clear" w:color="auto" w:fill="auto"/>
            <w:noWrap/>
            <w:vAlign w:val="bottom"/>
          </w:tcPr>
          <w:p w14:paraId="7DB1F90B"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30,3</w:t>
            </w:r>
          </w:p>
        </w:tc>
        <w:tc>
          <w:tcPr>
            <w:tcW w:w="938" w:type="dxa"/>
            <w:shd w:val="clear" w:color="auto" w:fill="auto"/>
            <w:noWrap/>
            <w:vAlign w:val="bottom"/>
          </w:tcPr>
          <w:p w14:paraId="2FAC2697"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31,4</w:t>
            </w:r>
          </w:p>
        </w:tc>
        <w:tc>
          <w:tcPr>
            <w:tcW w:w="1035" w:type="dxa"/>
            <w:shd w:val="clear" w:color="auto" w:fill="auto"/>
            <w:noWrap/>
            <w:vAlign w:val="bottom"/>
          </w:tcPr>
          <w:p w14:paraId="7A51319D"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33,7</w:t>
            </w:r>
          </w:p>
        </w:tc>
        <w:tc>
          <w:tcPr>
            <w:tcW w:w="966" w:type="dxa"/>
            <w:shd w:val="clear" w:color="auto" w:fill="auto"/>
            <w:noWrap/>
            <w:vAlign w:val="bottom"/>
          </w:tcPr>
          <w:p w14:paraId="17E94E2C"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29,6</w:t>
            </w:r>
          </w:p>
        </w:tc>
        <w:tc>
          <w:tcPr>
            <w:tcW w:w="1008" w:type="dxa"/>
            <w:shd w:val="clear" w:color="auto" w:fill="auto"/>
            <w:noWrap/>
            <w:vAlign w:val="bottom"/>
          </w:tcPr>
          <w:p w14:paraId="6C68A474"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36,0</w:t>
            </w:r>
          </w:p>
        </w:tc>
        <w:tc>
          <w:tcPr>
            <w:tcW w:w="987" w:type="dxa"/>
            <w:shd w:val="clear" w:color="auto" w:fill="auto"/>
            <w:noWrap/>
            <w:vAlign w:val="bottom"/>
          </w:tcPr>
          <w:p w14:paraId="0579F85F"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42,4</w:t>
            </w:r>
          </w:p>
        </w:tc>
      </w:tr>
      <w:tr w:rsidR="009A2020" w:rsidRPr="00336940" w14:paraId="6BBFE357" w14:textId="77777777" w:rsidTr="004E2640">
        <w:trPr>
          <w:trHeight w:val="240"/>
        </w:trPr>
        <w:tc>
          <w:tcPr>
            <w:tcW w:w="2800" w:type="dxa"/>
            <w:shd w:val="clear" w:color="auto" w:fill="auto"/>
            <w:noWrap/>
            <w:hideMark/>
          </w:tcPr>
          <w:p w14:paraId="5290DAC2"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0" w:right="0"/>
              <w:jc w:val="left"/>
              <w:rPr>
                <w:rFonts w:eastAsia="Calibri"/>
                <w:sz w:val="18"/>
              </w:rPr>
            </w:pPr>
            <w:r w:rsidRPr="00336940">
              <w:rPr>
                <w:sz w:val="18"/>
              </w:rPr>
              <w:t>Porcentaje de docentes de bachillerato</w:t>
            </w:r>
          </w:p>
        </w:tc>
        <w:tc>
          <w:tcPr>
            <w:tcW w:w="966" w:type="dxa"/>
            <w:shd w:val="clear" w:color="auto" w:fill="auto"/>
            <w:noWrap/>
            <w:vAlign w:val="bottom"/>
            <w:hideMark/>
          </w:tcPr>
          <w:p w14:paraId="1A251494"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22,7</w:t>
            </w:r>
          </w:p>
        </w:tc>
        <w:tc>
          <w:tcPr>
            <w:tcW w:w="938" w:type="dxa"/>
            <w:shd w:val="clear" w:color="auto" w:fill="auto"/>
            <w:noWrap/>
            <w:vAlign w:val="bottom"/>
            <w:hideMark/>
          </w:tcPr>
          <w:p w14:paraId="1B932BEA"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34,2</w:t>
            </w:r>
          </w:p>
        </w:tc>
        <w:tc>
          <w:tcPr>
            <w:tcW w:w="938" w:type="dxa"/>
            <w:shd w:val="clear" w:color="auto" w:fill="auto"/>
            <w:noWrap/>
            <w:vAlign w:val="bottom"/>
            <w:hideMark/>
          </w:tcPr>
          <w:p w14:paraId="780861AF"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42,3</w:t>
            </w:r>
          </w:p>
        </w:tc>
        <w:tc>
          <w:tcPr>
            <w:tcW w:w="1035" w:type="dxa"/>
            <w:shd w:val="clear" w:color="auto" w:fill="auto"/>
            <w:noWrap/>
            <w:vAlign w:val="bottom"/>
            <w:hideMark/>
          </w:tcPr>
          <w:p w14:paraId="749860D2"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36,4</w:t>
            </w:r>
          </w:p>
        </w:tc>
        <w:tc>
          <w:tcPr>
            <w:tcW w:w="966" w:type="dxa"/>
            <w:shd w:val="clear" w:color="auto" w:fill="auto"/>
            <w:noWrap/>
            <w:vAlign w:val="bottom"/>
            <w:hideMark/>
          </w:tcPr>
          <w:p w14:paraId="14C74803"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w:t>
            </w:r>
          </w:p>
        </w:tc>
        <w:tc>
          <w:tcPr>
            <w:tcW w:w="1008" w:type="dxa"/>
            <w:shd w:val="clear" w:color="auto" w:fill="auto"/>
            <w:noWrap/>
            <w:vAlign w:val="bottom"/>
            <w:hideMark/>
          </w:tcPr>
          <w:p w14:paraId="3C2247F9"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w:t>
            </w:r>
          </w:p>
        </w:tc>
        <w:tc>
          <w:tcPr>
            <w:tcW w:w="987" w:type="dxa"/>
            <w:shd w:val="clear" w:color="auto" w:fill="auto"/>
            <w:noWrap/>
            <w:vAlign w:val="bottom"/>
            <w:hideMark/>
          </w:tcPr>
          <w:p w14:paraId="0A2FEDBB"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w:t>
            </w:r>
          </w:p>
        </w:tc>
      </w:tr>
      <w:tr w:rsidR="009A2020" w:rsidRPr="00336940" w14:paraId="2969139C" w14:textId="77777777" w:rsidTr="004E2640">
        <w:trPr>
          <w:trHeight w:val="240"/>
        </w:trPr>
        <w:tc>
          <w:tcPr>
            <w:tcW w:w="2800" w:type="dxa"/>
            <w:shd w:val="clear" w:color="auto" w:fill="auto"/>
            <w:noWrap/>
            <w:hideMark/>
          </w:tcPr>
          <w:p w14:paraId="3B817A97"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0" w:right="0"/>
              <w:jc w:val="left"/>
              <w:rPr>
                <w:rFonts w:eastAsia="Calibri"/>
                <w:sz w:val="18"/>
              </w:rPr>
            </w:pPr>
            <w:r w:rsidRPr="00336940">
              <w:rPr>
                <w:sz w:val="18"/>
              </w:rPr>
              <w:t xml:space="preserve">Porcentaje de inspectores de educación </w:t>
            </w:r>
          </w:p>
        </w:tc>
        <w:tc>
          <w:tcPr>
            <w:tcW w:w="966" w:type="dxa"/>
            <w:shd w:val="clear" w:color="auto" w:fill="auto"/>
            <w:noWrap/>
            <w:vAlign w:val="bottom"/>
            <w:hideMark/>
          </w:tcPr>
          <w:p w14:paraId="7148C19A"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3,5</w:t>
            </w:r>
          </w:p>
        </w:tc>
        <w:tc>
          <w:tcPr>
            <w:tcW w:w="938" w:type="dxa"/>
            <w:shd w:val="clear" w:color="auto" w:fill="auto"/>
            <w:noWrap/>
            <w:vAlign w:val="bottom"/>
            <w:hideMark/>
          </w:tcPr>
          <w:p w14:paraId="0F382D7B"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0,015</w:t>
            </w:r>
          </w:p>
        </w:tc>
        <w:tc>
          <w:tcPr>
            <w:tcW w:w="938" w:type="dxa"/>
            <w:shd w:val="clear" w:color="auto" w:fill="auto"/>
            <w:noWrap/>
            <w:vAlign w:val="bottom"/>
            <w:hideMark/>
          </w:tcPr>
          <w:p w14:paraId="793576F6"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w:t>
            </w:r>
          </w:p>
        </w:tc>
        <w:tc>
          <w:tcPr>
            <w:tcW w:w="1035" w:type="dxa"/>
            <w:shd w:val="clear" w:color="auto" w:fill="auto"/>
            <w:noWrap/>
            <w:vAlign w:val="bottom"/>
            <w:hideMark/>
          </w:tcPr>
          <w:p w14:paraId="1321ACD0"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3,0</w:t>
            </w:r>
          </w:p>
        </w:tc>
        <w:tc>
          <w:tcPr>
            <w:tcW w:w="966" w:type="dxa"/>
            <w:shd w:val="clear" w:color="auto" w:fill="auto"/>
            <w:noWrap/>
            <w:vAlign w:val="bottom"/>
            <w:hideMark/>
          </w:tcPr>
          <w:p w14:paraId="0DEF5B57"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2,65</w:t>
            </w:r>
          </w:p>
        </w:tc>
        <w:tc>
          <w:tcPr>
            <w:tcW w:w="1008" w:type="dxa"/>
            <w:shd w:val="clear" w:color="auto" w:fill="auto"/>
            <w:noWrap/>
            <w:vAlign w:val="bottom"/>
            <w:hideMark/>
          </w:tcPr>
          <w:p w14:paraId="328FDFCA"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1,4</w:t>
            </w:r>
          </w:p>
        </w:tc>
        <w:tc>
          <w:tcPr>
            <w:tcW w:w="987" w:type="dxa"/>
            <w:shd w:val="clear" w:color="auto" w:fill="auto"/>
            <w:noWrap/>
            <w:vAlign w:val="bottom"/>
            <w:hideMark/>
          </w:tcPr>
          <w:p w14:paraId="5489114A"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2,5</w:t>
            </w:r>
          </w:p>
        </w:tc>
      </w:tr>
      <w:tr w:rsidR="009A2020" w:rsidRPr="00336940" w14:paraId="29E1DBD4" w14:textId="77777777" w:rsidTr="004E2640">
        <w:trPr>
          <w:trHeight w:val="240"/>
        </w:trPr>
        <w:tc>
          <w:tcPr>
            <w:tcW w:w="2800" w:type="dxa"/>
            <w:shd w:val="clear" w:color="auto" w:fill="auto"/>
            <w:noWrap/>
            <w:hideMark/>
          </w:tcPr>
          <w:p w14:paraId="3F220557"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0" w:right="0"/>
              <w:jc w:val="left"/>
              <w:rPr>
                <w:rFonts w:eastAsia="Calibri"/>
                <w:sz w:val="18"/>
              </w:rPr>
            </w:pPr>
            <w:r w:rsidRPr="00336940">
              <w:rPr>
                <w:sz w:val="18"/>
              </w:rPr>
              <w:t>Porcentaje de catedráticos</w:t>
            </w:r>
          </w:p>
        </w:tc>
        <w:tc>
          <w:tcPr>
            <w:tcW w:w="966" w:type="dxa"/>
            <w:shd w:val="clear" w:color="auto" w:fill="auto"/>
            <w:noWrap/>
            <w:vAlign w:val="bottom"/>
            <w:hideMark/>
          </w:tcPr>
          <w:p w14:paraId="1733A0E4"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4,2</w:t>
            </w:r>
          </w:p>
        </w:tc>
        <w:tc>
          <w:tcPr>
            <w:tcW w:w="938" w:type="dxa"/>
            <w:shd w:val="clear" w:color="auto" w:fill="auto"/>
            <w:noWrap/>
            <w:vAlign w:val="bottom"/>
            <w:hideMark/>
          </w:tcPr>
          <w:p w14:paraId="32B00CD7"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0,6</w:t>
            </w:r>
          </w:p>
        </w:tc>
        <w:tc>
          <w:tcPr>
            <w:tcW w:w="938" w:type="dxa"/>
            <w:shd w:val="clear" w:color="auto" w:fill="auto"/>
            <w:noWrap/>
            <w:vAlign w:val="bottom"/>
            <w:hideMark/>
          </w:tcPr>
          <w:p w14:paraId="26E96EEC"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w:t>
            </w:r>
          </w:p>
        </w:tc>
        <w:tc>
          <w:tcPr>
            <w:tcW w:w="1035" w:type="dxa"/>
            <w:shd w:val="clear" w:color="auto" w:fill="auto"/>
            <w:noWrap/>
            <w:vAlign w:val="bottom"/>
            <w:hideMark/>
          </w:tcPr>
          <w:p w14:paraId="64510CE7"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2,2</w:t>
            </w:r>
          </w:p>
        </w:tc>
        <w:tc>
          <w:tcPr>
            <w:tcW w:w="966" w:type="dxa"/>
            <w:shd w:val="clear" w:color="auto" w:fill="auto"/>
            <w:noWrap/>
            <w:vAlign w:val="bottom"/>
            <w:hideMark/>
          </w:tcPr>
          <w:p w14:paraId="1468EA77"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5,1</w:t>
            </w:r>
          </w:p>
        </w:tc>
        <w:tc>
          <w:tcPr>
            <w:tcW w:w="1008" w:type="dxa"/>
            <w:shd w:val="clear" w:color="auto" w:fill="auto"/>
            <w:noWrap/>
            <w:vAlign w:val="bottom"/>
            <w:hideMark/>
          </w:tcPr>
          <w:p w14:paraId="17F783F7"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2,1</w:t>
            </w:r>
          </w:p>
        </w:tc>
        <w:tc>
          <w:tcPr>
            <w:tcW w:w="987" w:type="dxa"/>
            <w:shd w:val="clear" w:color="auto" w:fill="auto"/>
            <w:noWrap/>
            <w:vAlign w:val="bottom"/>
            <w:hideMark/>
          </w:tcPr>
          <w:p w14:paraId="0D8E5F12" w14:textId="77777777" w:rsidR="009A2020" w:rsidRPr="00336940"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3,2</w:t>
            </w:r>
          </w:p>
        </w:tc>
      </w:tr>
      <w:tr w:rsidR="009A2020" w:rsidRPr="00517B56" w14:paraId="46D6E7F5" w14:textId="77777777" w:rsidTr="004E2640">
        <w:trPr>
          <w:trHeight w:val="240"/>
        </w:trPr>
        <w:tc>
          <w:tcPr>
            <w:tcW w:w="2800" w:type="dxa"/>
            <w:tcBorders>
              <w:bottom w:val="nil"/>
            </w:tcBorders>
            <w:shd w:val="clear" w:color="auto" w:fill="auto"/>
            <w:noWrap/>
            <w:hideMark/>
          </w:tcPr>
          <w:p w14:paraId="58BB26E3" w14:textId="757835D0" w:rsidR="009A2020" w:rsidRPr="00694EFF" w:rsidRDefault="009A2020" w:rsidP="00694EFF">
            <w:pPr>
              <w:pStyle w:val="SingleTxtG"/>
              <w:keepNext/>
              <w:keepLines/>
              <w:tabs>
                <w:tab w:val="clear" w:pos="1701"/>
                <w:tab w:val="clear" w:pos="2268"/>
                <w:tab w:val="clear" w:pos="2835"/>
              </w:tabs>
              <w:spacing w:before="40" w:after="40" w:line="220" w:lineRule="exact"/>
              <w:ind w:left="560" w:right="0" w:hanging="560"/>
              <w:jc w:val="left"/>
              <w:rPr>
                <w:b/>
                <w:sz w:val="18"/>
                <w:lang w:val="es-ES_tradnl"/>
              </w:rPr>
            </w:pPr>
            <w:r w:rsidRPr="00517B56">
              <w:rPr>
                <w:b/>
                <w:sz w:val="18"/>
                <w:lang w:val="es-ES_tradnl"/>
              </w:rPr>
              <w:t>3.6</w:t>
            </w:r>
            <w:r w:rsidRPr="00517B56">
              <w:rPr>
                <w:b/>
                <w:sz w:val="18"/>
                <w:lang w:val="es-ES_tradnl"/>
              </w:rPr>
              <w:tab/>
              <w:t xml:space="preserve">Evolución del número de alumnos, por nivel de formación </w:t>
            </w:r>
            <w:proofErr w:type="gramStart"/>
            <w:r w:rsidRPr="00517B56">
              <w:rPr>
                <w:b/>
                <w:sz w:val="18"/>
                <w:lang w:val="es-ES_tradnl"/>
              </w:rPr>
              <w:t>profesional(</w:t>
            </w:r>
            <w:proofErr w:type="gramEnd"/>
            <w:r w:rsidRPr="00517B56">
              <w:rPr>
                <w:b/>
                <w:sz w:val="18"/>
                <w:lang w:val="es-ES_tradnl"/>
              </w:rPr>
              <w:t>1)</w:t>
            </w:r>
            <w:r w:rsidRPr="00694EFF">
              <w:rPr>
                <w:bCs/>
                <w:sz w:val="18"/>
                <w:szCs w:val="18"/>
                <w:vertAlign w:val="superscript"/>
              </w:rPr>
              <w:footnoteReference w:id="11"/>
            </w:r>
          </w:p>
        </w:tc>
        <w:tc>
          <w:tcPr>
            <w:tcW w:w="966" w:type="dxa"/>
            <w:tcBorders>
              <w:bottom w:val="nil"/>
            </w:tcBorders>
            <w:shd w:val="clear" w:color="auto" w:fill="auto"/>
            <w:noWrap/>
            <w:vAlign w:val="bottom"/>
            <w:hideMark/>
          </w:tcPr>
          <w:p w14:paraId="1ECFA843" w14:textId="77777777" w:rsidR="009A2020" w:rsidRPr="00825CEC"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b/>
                <w:sz w:val="18"/>
                <w:lang w:val="es-ES_tradnl"/>
              </w:rPr>
            </w:pPr>
            <w:r w:rsidRPr="00825CEC">
              <w:rPr>
                <w:b/>
                <w:sz w:val="18"/>
                <w:lang w:val="es-ES_tradnl"/>
              </w:rPr>
              <w:t>277 745</w:t>
            </w:r>
          </w:p>
        </w:tc>
        <w:tc>
          <w:tcPr>
            <w:tcW w:w="938" w:type="dxa"/>
            <w:tcBorders>
              <w:bottom w:val="nil"/>
            </w:tcBorders>
            <w:shd w:val="clear" w:color="auto" w:fill="auto"/>
            <w:noWrap/>
            <w:vAlign w:val="bottom"/>
            <w:hideMark/>
          </w:tcPr>
          <w:p w14:paraId="1F76C4FE" w14:textId="77777777" w:rsidR="009A2020" w:rsidRPr="00825CEC"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b/>
                <w:sz w:val="18"/>
                <w:lang w:val="es-ES_tradnl"/>
              </w:rPr>
            </w:pPr>
            <w:r w:rsidRPr="00825CEC">
              <w:rPr>
                <w:b/>
                <w:sz w:val="18"/>
                <w:lang w:val="es-ES_tradnl"/>
              </w:rPr>
              <w:t>319 586</w:t>
            </w:r>
          </w:p>
        </w:tc>
        <w:tc>
          <w:tcPr>
            <w:tcW w:w="938" w:type="dxa"/>
            <w:tcBorders>
              <w:bottom w:val="nil"/>
            </w:tcBorders>
            <w:shd w:val="clear" w:color="auto" w:fill="auto"/>
            <w:noWrap/>
            <w:vAlign w:val="bottom"/>
            <w:hideMark/>
          </w:tcPr>
          <w:p w14:paraId="2A701606" w14:textId="77777777" w:rsidR="009A2020" w:rsidRPr="00825CEC"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b/>
                <w:sz w:val="18"/>
                <w:lang w:val="es-ES_tradnl"/>
              </w:rPr>
            </w:pPr>
            <w:r w:rsidRPr="00825CEC">
              <w:rPr>
                <w:b/>
                <w:sz w:val="18"/>
                <w:lang w:val="es-ES_tradnl"/>
              </w:rPr>
              <w:t>359 672</w:t>
            </w:r>
          </w:p>
        </w:tc>
        <w:tc>
          <w:tcPr>
            <w:tcW w:w="1035" w:type="dxa"/>
            <w:tcBorders>
              <w:bottom w:val="nil"/>
            </w:tcBorders>
            <w:shd w:val="clear" w:color="auto" w:fill="auto"/>
            <w:noWrap/>
            <w:vAlign w:val="bottom"/>
            <w:hideMark/>
          </w:tcPr>
          <w:p w14:paraId="29099E2D" w14:textId="77777777" w:rsidR="009A2020" w:rsidRPr="00825CEC"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b/>
                <w:sz w:val="18"/>
                <w:lang w:val="es-ES_tradnl"/>
              </w:rPr>
            </w:pPr>
            <w:r w:rsidRPr="00825CEC">
              <w:rPr>
                <w:b/>
                <w:sz w:val="18"/>
                <w:lang w:val="es-ES_tradnl"/>
              </w:rPr>
              <w:t>388 785</w:t>
            </w:r>
          </w:p>
        </w:tc>
        <w:tc>
          <w:tcPr>
            <w:tcW w:w="966" w:type="dxa"/>
            <w:tcBorders>
              <w:bottom w:val="nil"/>
            </w:tcBorders>
            <w:shd w:val="clear" w:color="auto" w:fill="auto"/>
            <w:noWrap/>
            <w:vAlign w:val="bottom"/>
            <w:hideMark/>
          </w:tcPr>
          <w:p w14:paraId="7105EE73" w14:textId="77777777" w:rsidR="009A2020" w:rsidRPr="00825CEC"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b/>
                <w:sz w:val="18"/>
                <w:lang w:val="es-ES_tradnl"/>
              </w:rPr>
            </w:pPr>
            <w:r w:rsidRPr="00825CEC">
              <w:rPr>
                <w:b/>
                <w:sz w:val="18"/>
                <w:lang w:val="es-ES_tradnl"/>
              </w:rPr>
              <w:t>391 858</w:t>
            </w:r>
          </w:p>
        </w:tc>
        <w:tc>
          <w:tcPr>
            <w:tcW w:w="1008" w:type="dxa"/>
            <w:tcBorders>
              <w:bottom w:val="nil"/>
            </w:tcBorders>
            <w:shd w:val="clear" w:color="auto" w:fill="auto"/>
            <w:noWrap/>
            <w:vAlign w:val="bottom"/>
            <w:hideMark/>
          </w:tcPr>
          <w:p w14:paraId="0B99A445" w14:textId="77777777" w:rsidR="009A2020" w:rsidRPr="00825CEC"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b/>
                <w:sz w:val="18"/>
                <w:lang w:val="es-ES_tradnl"/>
              </w:rPr>
            </w:pPr>
            <w:r w:rsidRPr="00825CEC">
              <w:rPr>
                <w:b/>
                <w:sz w:val="18"/>
                <w:lang w:val="es-ES_tradnl"/>
              </w:rPr>
              <w:t>396 129</w:t>
            </w:r>
          </w:p>
        </w:tc>
        <w:tc>
          <w:tcPr>
            <w:tcW w:w="987" w:type="dxa"/>
            <w:tcBorders>
              <w:bottom w:val="nil"/>
            </w:tcBorders>
            <w:shd w:val="clear" w:color="auto" w:fill="auto"/>
            <w:noWrap/>
            <w:vAlign w:val="bottom"/>
            <w:hideMark/>
          </w:tcPr>
          <w:p w14:paraId="203FB386" w14:textId="77777777" w:rsidR="009A2020" w:rsidRPr="00825CEC"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b/>
                <w:sz w:val="18"/>
                <w:lang w:val="es-ES_tradnl"/>
              </w:rPr>
            </w:pPr>
          </w:p>
        </w:tc>
      </w:tr>
      <w:tr w:rsidR="009A2020" w:rsidRPr="00517B56" w14:paraId="28F1B6D8" w14:textId="77777777" w:rsidTr="004E2640">
        <w:trPr>
          <w:trHeight w:val="240"/>
        </w:trPr>
        <w:tc>
          <w:tcPr>
            <w:tcW w:w="2800" w:type="dxa"/>
            <w:tcBorders>
              <w:top w:val="nil"/>
              <w:bottom w:val="single" w:sz="12" w:space="0" w:color="auto"/>
            </w:tcBorders>
            <w:shd w:val="clear" w:color="auto" w:fill="auto"/>
            <w:noWrap/>
            <w:hideMark/>
          </w:tcPr>
          <w:p w14:paraId="3D8D7866" w14:textId="61D3B779" w:rsidR="009A2020" w:rsidRPr="00517B56" w:rsidRDefault="009A2020" w:rsidP="004E2640">
            <w:pPr>
              <w:pStyle w:val="SingleTxtG"/>
              <w:keepNext/>
              <w:keepLines/>
              <w:tabs>
                <w:tab w:val="clear" w:pos="1701"/>
                <w:tab w:val="clear" w:pos="2268"/>
                <w:tab w:val="clear" w:pos="2835"/>
              </w:tabs>
              <w:spacing w:before="40" w:after="40" w:line="220" w:lineRule="exact"/>
              <w:ind w:left="0" w:right="0"/>
              <w:jc w:val="left"/>
              <w:rPr>
                <w:rFonts w:eastAsia="Calibri"/>
                <w:sz w:val="18"/>
                <w:lang w:val="es-ES_tradnl"/>
              </w:rPr>
            </w:pPr>
            <w:r w:rsidRPr="00517B56">
              <w:rPr>
                <w:sz w:val="18"/>
                <w:lang w:val="es-ES_tradnl"/>
              </w:rPr>
              <w:t>Formación técnica (</w:t>
            </w:r>
            <w:proofErr w:type="spellStart"/>
            <w:r w:rsidRPr="00517B56">
              <w:rPr>
                <w:iCs/>
                <w:sz w:val="18"/>
                <w:lang w:val="es-ES_tradnl"/>
              </w:rPr>
              <w:t>Enseignement</w:t>
            </w:r>
            <w:proofErr w:type="spellEnd"/>
            <w:r w:rsidRPr="00517B56">
              <w:rPr>
                <w:iCs/>
                <w:sz w:val="18"/>
                <w:lang w:val="es-ES_tradnl"/>
              </w:rPr>
              <w:t xml:space="preserve"> </w:t>
            </w:r>
            <w:proofErr w:type="spellStart"/>
            <w:r w:rsidRPr="00517B56">
              <w:rPr>
                <w:iCs/>
                <w:sz w:val="18"/>
                <w:lang w:val="es-ES_tradnl"/>
              </w:rPr>
              <w:t>Technique</w:t>
            </w:r>
            <w:proofErr w:type="spellEnd"/>
            <w:r w:rsidRPr="00517B56">
              <w:rPr>
                <w:sz w:val="18"/>
                <w:lang w:val="es-ES_tradnl"/>
              </w:rPr>
              <w:t>) (porcentaje)</w:t>
            </w:r>
          </w:p>
        </w:tc>
        <w:tc>
          <w:tcPr>
            <w:tcW w:w="966" w:type="dxa"/>
            <w:tcBorders>
              <w:top w:val="nil"/>
              <w:bottom w:val="single" w:sz="12" w:space="0" w:color="auto"/>
            </w:tcBorders>
            <w:shd w:val="clear" w:color="auto" w:fill="auto"/>
            <w:noWrap/>
            <w:vAlign w:val="bottom"/>
            <w:hideMark/>
          </w:tcPr>
          <w:p w14:paraId="7750A516"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63,0</w:t>
            </w:r>
          </w:p>
        </w:tc>
        <w:tc>
          <w:tcPr>
            <w:tcW w:w="938" w:type="dxa"/>
            <w:tcBorders>
              <w:top w:val="nil"/>
              <w:bottom w:val="single" w:sz="12" w:space="0" w:color="auto"/>
            </w:tcBorders>
            <w:shd w:val="clear" w:color="auto" w:fill="auto"/>
            <w:noWrap/>
            <w:vAlign w:val="bottom"/>
            <w:hideMark/>
          </w:tcPr>
          <w:p w14:paraId="6BDA3A7F"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66,9</w:t>
            </w:r>
          </w:p>
        </w:tc>
        <w:tc>
          <w:tcPr>
            <w:tcW w:w="938" w:type="dxa"/>
            <w:tcBorders>
              <w:top w:val="nil"/>
              <w:bottom w:val="single" w:sz="12" w:space="0" w:color="auto"/>
            </w:tcBorders>
            <w:shd w:val="clear" w:color="auto" w:fill="auto"/>
            <w:noWrap/>
            <w:vAlign w:val="bottom"/>
            <w:hideMark/>
          </w:tcPr>
          <w:p w14:paraId="2E02FD91"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67,2</w:t>
            </w:r>
          </w:p>
        </w:tc>
        <w:tc>
          <w:tcPr>
            <w:tcW w:w="1035" w:type="dxa"/>
            <w:tcBorders>
              <w:top w:val="nil"/>
              <w:bottom w:val="single" w:sz="12" w:space="0" w:color="auto"/>
            </w:tcBorders>
            <w:shd w:val="clear" w:color="auto" w:fill="auto"/>
            <w:noWrap/>
            <w:vAlign w:val="bottom"/>
            <w:hideMark/>
          </w:tcPr>
          <w:p w14:paraId="43C67F03"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67,6</w:t>
            </w:r>
          </w:p>
        </w:tc>
        <w:tc>
          <w:tcPr>
            <w:tcW w:w="966" w:type="dxa"/>
            <w:tcBorders>
              <w:top w:val="nil"/>
              <w:bottom w:val="single" w:sz="12" w:space="0" w:color="auto"/>
            </w:tcBorders>
            <w:shd w:val="clear" w:color="auto" w:fill="auto"/>
            <w:noWrap/>
            <w:vAlign w:val="bottom"/>
            <w:hideMark/>
          </w:tcPr>
          <w:p w14:paraId="3103800A"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66,7</w:t>
            </w:r>
          </w:p>
        </w:tc>
        <w:tc>
          <w:tcPr>
            <w:tcW w:w="1008" w:type="dxa"/>
            <w:tcBorders>
              <w:top w:val="nil"/>
              <w:bottom w:val="single" w:sz="12" w:space="0" w:color="auto"/>
            </w:tcBorders>
            <w:shd w:val="clear" w:color="auto" w:fill="auto"/>
            <w:noWrap/>
            <w:vAlign w:val="bottom"/>
            <w:hideMark/>
          </w:tcPr>
          <w:p w14:paraId="6E53D353"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65,4</w:t>
            </w:r>
          </w:p>
        </w:tc>
        <w:tc>
          <w:tcPr>
            <w:tcW w:w="987" w:type="dxa"/>
            <w:tcBorders>
              <w:top w:val="nil"/>
              <w:bottom w:val="single" w:sz="12" w:space="0" w:color="auto"/>
            </w:tcBorders>
            <w:shd w:val="clear" w:color="auto" w:fill="auto"/>
            <w:noWrap/>
            <w:vAlign w:val="bottom"/>
            <w:hideMark/>
          </w:tcPr>
          <w:p w14:paraId="20DF133C" w14:textId="77777777" w:rsidR="009A2020" w:rsidRPr="00517B56" w:rsidRDefault="009A2020"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p>
        </w:tc>
      </w:tr>
    </w:tbl>
    <w:p w14:paraId="777CDD25" w14:textId="77777777" w:rsidR="000A29B8" w:rsidRPr="00517B56" w:rsidRDefault="000A29B8">
      <w:pPr>
        <w:rPr>
          <w:lang w:val="es-ES_tradnl"/>
        </w:rPr>
      </w:pPr>
    </w:p>
    <w:tbl>
      <w:tblPr>
        <w:tblW w:w="9638" w:type="dxa"/>
        <w:tblBorders>
          <w:top w:val="single" w:sz="4" w:space="0" w:color="auto"/>
        </w:tblBorders>
        <w:tblLayout w:type="fixed"/>
        <w:tblCellMar>
          <w:left w:w="0" w:type="dxa"/>
          <w:right w:w="0" w:type="dxa"/>
        </w:tblCellMar>
        <w:tblLook w:val="04A0" w:firstRow="1" w:lastRow="0" w:firstColumn="1" w:lastColumn="0" w:noHBand="0" w:noVBand="1"/>
      </w:tblPr>
      <w:tblGrid>
        <w:gridCol w:w="2786"/>
        <w:gridCol w:w="980"/>
        <w:gridCol w:w="922"/>
        <w:gridCol w:w="949"/>
        <w:gridCol w:w="1036"/>
        <w:gridCol w:w="976"/>
        <w:gridCol w:w="998"/>
        <w:gridCol w:w="991"/>
      </w:tblGrid>
      <w:tr w:rsidR="004E2640" w:rsidRPr="00517B56" w14:paraId="20EFF832" w14:textId="77777777" w:rsidTr="004E2640">
        <w:trPr>
          <w:trHeight w:val="240"/>
        </w:trPr>
        <w:tc>
          <w:tcPr>
            <w:tcW w:w="2786" w:type="dxa"/>
            <w:tcBorders>
              <w:top w:val="single" w:sz="4" w:space="0" w:color="auto"/>
              <w:bottom w:val="single" w:sz="12" w:space="0" w:color="auto"/>
            </w:tcBorders>
            <w:shd w:val="clear" w:color="auto" w:fill="auto"/>
            <w:noWrap/>
            <w:hideMark/>
          </w:tcPr>
          <w:p w14:paraId="5C005256" w14:textId="27ADB955" w:rsidR="000A29B8" w:rsidRPr="00517B56" w:rsidRDefault="000A29B8" w:rsidP="000A29B8">
            <w:pPr>
              <w:pStyle w:val="SingleTxtG"/>
              <w:tabs>
                <w:tab w:val="clear" w:pos="1701"/>
                <w:tab w:val="clear" w:pos="2268"/>
                <w:tab w:val="clear" w:pos="2835"/>
              </w:tabs>
              <w:spacing w:before="40" w:after="40" w:line="220" w:lineRule="exact"/>
              <w:ind w:left="0" w:right="0"/>
              <w:jc w:val="left"/>
              <w:rPr>
                <w:rFonts w:eastAsia="Calibri"/>
                <w:bCs/>
                <w:iCs/>
                <w:sz w:val="18"/>
                <w:lang w:val="es-ES_tradnl"/>
              </w:rPr>
            </w:pPr>
          </w:p>
        </w:tc>
        <w:tc>
          <w:tcPr>
            <w:tcW w:w="980" w:type="dxa"/>
            <w:tcBorders>
              <w:top w:val="single" w:sz="4" w:space="0" w:color="auto"/>
              <w:bottom w:val="single" w:sz="12" w:space="0" w:color="auto"/>
            </w:tcBorders>
            <w:shd w:val="clear" w:color="auto" w:fill="auto"/>
            <w:noWrap/>
            <w:vAlign w:val="bottom"/>
            <w:hideMark/>
          </w:tcPr>
          <w:p w14:paraId="13638D3A" w14:textId="69204791" w:rsidR="000A29B8" w:rsidRPr="00517B56" w:rsidRDefault="000A29B8" w:rsidP="000A29B8">
            <w:pPr>
              <w:pStyle w:val="SingleTxtG"/>
              <w:tabs>
                <w:tab w:val="clear" w:pos="1701"/>
                <w:tab w:val="clear" w:pos="2268"/>
                <w:tab w:val="clear" w:pos="2835"/>
              </w:tabs>
              <w:spacing w:before="80" w:after="80" w:line="200" w:lineRule="exact"/>
              <w:ind w:left="113" w:right="0"/>
              <w:jc w:val="right"/>
              <w:rPr>
                <w:i/>
                <w:iCs/>
                <w:sz w:val="16"/>
                <w:lang w:val="es-ES_tradnl"/>
              </w:rPr>
            </w:pPr>
            <w:r w:rsidRPr="00517B56">
              <w:rPr>
                <w:i/>
                <w:iCs/>
                <w:sz w:val="16"/>
                <w:lang w:val="es-ES_tradnl"/>
              </w:rPr>
              <w:t>1982</w:t>
            </w:r>
          </w:p>
        </w:tc>
        <w:tc>
          <w:tcPr>
            <w:tcW w:w="922" w:type="dxa"/>
            <w:tcBorders>
              <w:top w:val="single" w:sz="4" w:space="0" w:color="auto"/>
              <w:bottom w:val="single" w:sz="12" w:space="0" w:color="auto"/>
            </w:tcBorders>
            <w:shd w:val="clear" w:color="auto" w:fill="auto"/>
            <w:noWrap/>
            <w:vAlign w:val="bottom"/>
            <w:hideMark/>
          </w:tcPr>
          <w:p w14:paraId="6D2DB7B2" w14:textId="746A6E95" w:rsidR="000A29B8" w:rsidRPr="00517B56" w:rsidRDefault="000A29B8" w:rsidP="000A29B8">
            <w:pPr>
              <w:pStyle w:val="SingleTxtG"/>
              <w:tabs>
                <w:tab w:val="clear" w:pos="1701"/>
                <w:tab w:val="clear" w:pos="2268"/>
                <w:tab w:val="clear" w:pos="2835"/>
              </w:tabs>
              <w:spacing w:before="80" w:after="80" w:line="200" w:lineRule="exact"/>
              <w:ind w:left="113" w:right="0"/>
              <w:jc w:val="right"/>
              <w:rPr>
                <w:i/>
                <w:iCs/>
                <w:sz w:val="16"/>
                <w:lang w:val="es-ES_tradnl"/>
              </w:rPr>
            </w:pPr>
            <w:r w:rsidRPr="00517B56">
              <w:rPr>
                <w:i/>
                <w:iCs/>
                <w:sz w:val="16"/>
                <w:lang w:val="es-ES_tradnl"/>
              </w:rPr>
              <w:t>2004</w:t>
            </w:r>
          </w:p>
        </w:tc>
        <w:tc>
          <w:tcPr>
            <w:tcW w:w="949" w:type="dxa"/>
            <w:tcBorders>
              <w:top w:val="single" w:sz="4" w:space="0" w:color="auto"/>
              <w:bottom w:val="single" w:sz="12" w:space="0" w:color="auto"/>
            </w:tcBorders>
            <w:shd w:val="clear" w:color="auto" w:fill="auto"/>
            <w:noWrap/>
            <w:vAlign w:val="bottom"/>
            <w:hideMark/>
          </w:tcPr>
          <w:p w14:paraId="0DED0866" w14:textId="40B7C170" w:rsidR="000A29B8" w:rsidRPr="00517B56" w:rsidRDefault="000A29B8" w:rsidP="000A29B8">
            <w:pPr>
              <w:pStyle w:val="SingleTxtG"/>
              <w:tabs>
                <w:tab w:val="clear" w:pos="1701"/>
                <w:tab w:val="clear" w:pos="2268"/>
                <w:tab w:val="clear" w:pos="2835"/>
              </w:tabs>
              <w:spacing w:before="80" w:after="80" w:line="200" w:lineRule="exact"/>
              <w:ind w:left="113" w:right="0"/>
              <w:jc w:val="right"/>
              <w:rPr>
                <w:i/>
                <w:iCs/>
                <w:sz w:val="16"/>
                <w:lang w:val="es-ES_tradnl"/>
              </w:rPr>
            </w:pPr>
            <w:r w:rsidRPr="00517B56">
              <w:rPr>
                <w:i/>
                <w:iCs/>
                <w:sz w:val="16"/>
                <w:lang w:val="es-ES_tradnl"/>
              </w:rPr>
              <w:t>2008</w:t>
            </w:r>
          </w:p>
        </w:tc>
        <w:tc>
          <w:tcPr>
            <w:tcW w:w="1036" w:type="dxa"/>
            <w:tcBorders>
              <w:top w:val="single" w:sz="4" w:space="0" w:color="auto"/>
              <w:bottom w:val="single" w:sz="12" w:space="0" w:color="auto"/>
            </w:tcBorders>
            <w:shd w:val="clear" w:color="auto" w:fill="auto"/>
            <w:noWrap/>
            <w:vAlign w:val="bottom"/>
            <w:hideMark/>
          </w:tcPr>
          <w:p w14:paraId="5967F7B6" w14:textId="547AC6CA" w:rsidR="000A29B8" w:rsidRPr="00517B56" w:rsidRDefault="000A29B8" w:rsidP="000A29B8">
            <w:pPr>
              <w:pStyle w:val="SingleTxtG"/>
              <w:tabs>
                <w:tab w:val="clear" w:pos="1701"/>
                <w:tab w:val="clear" w:pos="2268"/>
                <w:tab w:val="clear" w:pos="2835"/>
              </w:tabs>
              <w:spacing w:before="80" w:after="80" w:line="200" w:lineRule="exact"/>
              <w:ind w:left="113" w:right="0"/>
              <w:jc w:val="right"/>
              <w:rPr>
                <w:i/>
                <w:iCs/>
                <w:sz w:val="16"/>
                <w:lang w:val="es-ES_tradnl"/>
              </w:rPr>
            </w:pPr>
            <w:r w:rsidRPr="00517B56">
              <w:rPr>
                <w:i/>
                <w:iCs/>
                <w:sz w:val="16"/>
                <w:lang w:val="es-ES_tradnl"/>
              </w:rPr>
              <w:t>2009</w:t>
            </w:r>
          </w:p>
        </w:tc>
        <w:tc>
          <w:tcPr>
            <w:tcW w:w="976" w:type="dxa"/>
            <w:tcBorders>
              <w:top w:val="single" w:sz="4" w:space="0" w:color="auto"/>
              <w:bottom w:val="single" w:sz="12" w:space="0" w:color="auto"/>
            </w:tcBorders>
            <w:shd w:val="clear" w:color="auto" w:fill="auto"/>
            <w:noWrap/>
            <w:vAlign w:val="bottom"/>
            <w:hideMark/>
          </w:tcPr>
          <w:p w14:paraId="0496E5FA" w14:textId="163D0F3B" w:rsidR="000A29B8" w:rsidRPr="00517B56" w:rsidRDefault="000A29B8" w:rsidP="000A29B8">
            <w:pPr>
              <w:pStyle w:val="SingleTxtG"/>
              <w:tabs>
                <w:tab w:val="clear" w:pos="1701"/>
                <w:tab w:val="clear" w:pos="2268"/>
                <w:tab w:val="clear" w:pos="2835"/>
              </w:tabs>
              <w:spacing w:before="80" w:after="80" w:line="200" w:lineRule="exact"/>
              <w:ind w:left="113" w:right="0"/>
              <w:jc w:val="right"/>
              <w:rPr>
                <w:i/>
                <w:iCs/>
                <w:sz w:val="16"/>
                <w:lang w:val="es-ES_tradnl"/>
              </w:rPr>
            </w:pPr>
            <w:r w:rsidRPr="00517B56">
              <w:rPr>
                <w:i/>
                <w:iCs/>
                <w:sz w:val="16"/>
                <w:lang w:val="es-ES_tradnl"/>
              </w:rPr>
              <w:t>2010</w:t>
            </w:r>
          </w:p>
        </w:tc>
        <w:tc>
          <w:tcPr>
            <w:tcW w:w="998" w:type="dxa"/>
            <w:tcBorders>
              <w:top w:val="single" w:sz="4" w:space="0" w:color="auto"/>
              <w:bottom w:val="single" w:sz="12" w:space="0" w:color="auto"/>
            </w:tcBorders>
            <w:shd w:val="clear" w:color="auto" w:fill="auto"/>
            <w:noWrap/>
            <w:vAlign w:val="bottom"/>
            <w:hideMark/>
          </w:tcPr>
          <w:p w14:paraId="2C0147AB" w14:textId="613A7187" w:rsidR="000A29B8" w:rsidRPr="00517B56" w:rsidRDefault="000A29B8" w:rsidP="000A29B8">
            <w:pPr>
              <w:pStyle w:val="SingleTxtG"/>
              <w:tabs>
                <w:tab w:val="clear" w:pos="1701"/>
                <w:tab w:val="clear" w:pos="2268"/>
                <w:tab w:val="clear" w:pos="2835"/>
              </w:tabs>
              <w:spacing w:before="80" w:after="80" w:line="200" w:lineRule="exact"/>
              <w:ind w:left="113" w:right="0"/>
              <w:jc w:val="right"/>
              <w:rPr>
                <w:i/>
                <w:iCs/>
                <w:sz w:val="16"/>
                <w:lang w:val="es-ES_tradnl"/>
              </w:rPr>
            </w:pPr>
            <w:r w:rsidRPr="00517B56">
              <w:rPr>
                <w:i/>
                <w:iCs/>
                <w:sz w:val="16"/>
                <w:lang w:val="es-ES_tradnl"/>
              </w:rPr>
              <w:t>2012</w:t>
            </w:r>
          </w:p>
        </w:tc>
        <w:tc>
          <w:tcPr>
            <w:tcW w:w="991" w:type="dxa"/>
            <w:tcBorders>
              <w:top w:val="single" w:sz="4" w:space="0" w:color="auto"/>
              <w:bottom w:val="single" w:sz="12" w:space="0" w:color="auto"/>
            </w:tcBorders>
            <w:shd w:val="clear" w:color="auto" w:fill="auto"/>
            <w:noWrap/>
            <w:vAlign w:val="bottom"/>
            <w:hideMark/>
          </w:tcPr>
          <w:p w14:paraId="4827262A" w14:textId="2DA8282D" w:rsidR="000A29B8" w:rsidRPr="00517B56" w:rsidRDefault="000A29B8" w:rsidP="000A29B8">
            <w:pPr>
              <w:pStyle w:val="SingleTxtG"/>
              <w:tabs>
                <w:tab w:val="clear" w:pos="1701"/>
                <w:tab w:val="clear" w:pos="2268"/>
                <w:tab w:val="clear" w:pos="2835"/>
              </w:tabs>
              <w:spacing w:before="80" w:after="80" w:line="200" w:lineRule="exact"/>
              <w:ind w:left="113" w:right="0"/>
              <w:jc w:val="right"/>
              <w:rPr>
                <w:i/>
                <w:iCs/>
                <w:sz w:val="16"/>
                <w:lang w:val="es-ES_tradnl"/>
              </w:rPr>
            </w:pPr>
            <w:r w:rsidRPr="00517B56">
              <w:rPr>
                <w:i/>
                <w:iCs/>
                <w:sz w:val="16"/>
                <w:lang w:val="es-ES_tradnl"/>
              </w:rPr>
              <w:t>2014</w:t>
            </w:r>
          </w:p>
        </w:tc>
      </w:tr>
      <w:tr w:rsidR="004E2640" w:rsidRPr="00517B56" w14:paraId="4E2D4D71" w14:textId="77777777" w:rsidTr="004E2640">
        <w:trPr>
          <w:trHeight w:val="240"/>
        </w:trPr>
        <w:tc>
          <w:tcPr>
            <w:tcW w:w="2786" w:type="dxa"/>
            <w:tcBorders>
              <w:top w:val="single" w:sz="12" w:space="0" w:color="auto"/>
            </w:tcBorders>
            <w:shd w:val="clear" w:color="auto" w:fill="auto"/>
            <w:noWrap/>
            <w:hideMark/>
          </w:tcPr>
          <w:p w14:paraId="31114EF6" w14:textId="7ABF64BD" w:rsidR="000A29B8" w:rsidRPr="00517B56" w:rsidRDefault="000A29B8" w:rsidP="00694EFF">
            <w:pPr>
              <w:pStyle w:val="SingleTxtG"/>
              <w:keepNext/>
              <w:keepLines/>
              <w:tabs>
                <w:tab w:val="clear" w:pos="1701"/>
                <w:tab w:val="clear" w:pos="2268"/>
                <w:tab w:val="clear" w:pos="2835"/>
              </w:tabs>
              <w:spacing w:before="40" w:after="40" w:line="220" w:lineRule="exact"/>
              <w:ind w:left="560" w:right="0" w:hanging="560"/>
              <w:jc w:val="left"/>
              <w:rPr>
                <w:rFonts w:eastAsia="Calibri"/>
                <w:b/>
                <w:sz w:val="18"/>
                <w:lang w:val="es-ES_tradnl"/>
              </w:rPr>
            </w:pPr>
            <w:r w:rsidRPr="00517B56">
              <w:rPr>
                <w:rFonts w:eastAsia="Calibri"/>
                <w:b/>
                <w:sz w:val="18"/>
                <w:lang w:val="es-ES_tradnl"/>
              </w:rPr>
              <w:t>3.7</w:t>
            </w:r>
            <w:r w:rsidRPr="00517B56">
              <w:rPr>
                <w:rFonts w:eastAsia="Calibri"/>
                <w:b/>
                <w:sz w:val="18"/>
                <w:lang w:val="es-ES_tradnl"/>
              </w:rPr>
              <w:tab/>
              <w:t>Tasa de analfabetismo (por</w:t>
            </w:r>
            <w:r w:rsidR="007053C4" w:rsidRPr="00517B56">
              <w:rPr>
                <w:rFonts w:eastAsia="Calibri"/>
                <w:b/>
                <w:sz w:val="18"/>
                <w:lang w:val="es-ES_tradnl"/>
              </w:rPr>
              <w:t>c</w:t>
            </w:r>
            <w:r w:rsidRPr="00517B56">
              <w:rPr>
                <w:rFonts w:eastAsia="Calibri"/>
                <w:b/>
                <w:sz w:val="18"/>
                <w:lang w:val="es-ES_tradnl"/>
              </w:rPr>
              <w:t>entaje)</w:t>
            </w:r>
          </w:p>
        </w:tc>
        <w:tc>
          <w:tcPr>
            <w:tcW w:w="980" w:type="dxa"/>
            <w:tcBorders>
              <w:top w:val="single" w:sz="12" w:space="0" w:color="auto"/>
            </w:tcBorders>
            <w:shd w:val="clear" w:color="auto" w:fill="auto"/>
            <w:noWrap/>
            <w:vAlign w:val="bottom"/>
          </w:tcPr>
          <w:p w14:paraId="000F0112" w14:textId="6AE9BFA3" w:rsidR="000A29B8" w:rsidRPr="00825CEC" w:rsidRDefault="000A29B8" w:rsidP="000A29B8">
            <w:pPr>
              <w:pStyle w:val="SingleTxtG"/>
              <w:tabs>
                <w:tab w:val="clear" w:pos="1701"/>
                <w:tab w:val="clear" w:pos="2268"/>
                <w:tab w:val="clear" w:pos="2835"/>
              </w:tabs>
              <w:spacing w:before="40" w:after="40" w:line="220" w:lineRule="exact"/>
              <w:ind w:left="113" w:right="0"/>
              <w:jc w:val="right"/>
              <w:rPr>
                <w:rFonts w:eastAsia="Calibri"/>
                <w:b/>
                <w:bCs/>
                <w:sz w:val="18"/>
                <w:lang w:val="es-ES_tradnl"/>
              </w:rPr>
            </w:pPr>
            <w:r w:rsidRPr="00825CEC">
              <w:rPr>
                <w:b/>
                <w:bCs/>
                <w:sz w:val="18"/>
                <w:lang w:val="es-ES_tradnl"/>
              </w:rPr>
              <w:t>65,0</w:t>
            </w:r>
          </w:p>
        </w:tc>
        <w:tc>
          <w:tcPr>
            <w:tcW w:w="922" w:type="dxa"/>
            <w:tcBorders>
              <w:top w:val="single" w:sz="12" w:space="0" w:color="auto"/>
            </w:tcBorders>
            <w:shd w:val="clear" w:color="auto" w:fill="auto"/>
            <w:noWrap/>
            <w:vAlign w:val="bottom"/>
          </w:tcPr>
          <w:p w14:paraId="5AA8D0E0" w14:textId="2469B3CC" w:rsidR="000A29B8" w:rsidRPr="00825CEC" w:rsidRDefault="000A29B8" w:rsidP="000A29B8">
            <w:pPr>
              <w:pStyle w:val="SingleTxtG"/>
              <w:tabs>
                <w:tab w:val="clear" w:pos="1701"/>
                <w:tab w:val="clear" w:pos="2268"/>
                <w:tab w:val="clear" w:pos="2835"/>
              </w:tabs>
              <w:spacing w:before="40" w:after="40" w:line="220" w:lineRule="exact"/>
              <w:ind w:left="113" w:right="0"/>
              <w:jc w:val="right"/>
              <w:rPr>
                <w:rFonts w:eastAsia="Calibri"/>
                <w:b/>
                <w:bCs/>
                <w:sz w:val="18"/>
                <w:lang w:val="es-ES_tradnl"/>
              </w:rPr>
            </w:pPr>
            <w:r w:rsidRPr="00825CEC">
              <w:rPr>
                <w:b/>
                <w:bCs/>
                <w:sz w:val="18"/>
                <w:lang w:val="es-ES_tradnl"/>
              </w:rPr>
              <w:t>42,7</w:t>
            </w:r>
          </w:p>
        </w:tc>
        <w:tc>
          <w:tcPr>
            <w:tcW w:w="949" w:type="dxa"/>
            <w:tcBorders>
              <w:top w:val="single" w:sz="12" w:space="0" w:color="auto"/>
            </w:tcBorders>
            <w:shd w:val="clear" w:color="auto" w:fill="auto"/>
            <w:noWrap/>
            <w:vAlign w:val="bottom"/>
          </w:tcPr>
          <w:p w14:paraId="19620A34" w14:textId="06235C06" w:rsidR="000A29B8" w:rsidRPr="00825CEC" w:rsidRDefault="000A29B8" w:rsidP="000A29B8">
            <w:pPr>
              <w:pStyle w:val="SingleTxtG"/>
              <w:tabs>
                <w:tab w:val="clear" w:pos="1701"/>
                <w:tab w:val="clear" w:pos="2268"/>
                <w:tab w:val="clear" w:pos="2835"/>
              </w:tabs>
              <w:spacing w:before="40" w:after="40" w:line="220" w:lineRule="exact"/>
              <w:ind w:left="113" w:right="0"/>
              <w:jc w:val="right"/>
              <w:rPr>
                <w:rFonts w:eastAsia="Calibri"/>
                <w:b/>
                <w:bCs/>
                <w:sz w:val="18"/>
                <w:lang w:val="es-ES_tradnl"/>
              </w:rPr>
            </w:pPr>
            <w:r w:rsidRPr="00825CEC">
              <w:rPr>
                <w:b/>
                <w:bCs/>
                <w:sz w:val="18"/>
                <w:lang w:val="es-ES_tradnl"/>
              </w:rPr>
              <w:t>40,5</w:t>
            </w:r>
          </w:p>
        </w:tc>
        <w:tc>
          <w:tcPr>
            <w:tcW w:w="1036" w:type="dxa"/>
            <w:tcBorders>
              <w:top w:val="single" w:sz="12" w:space="0" w:color="auto"/>
            </w:tcBorders>
            <w:shd w:val="clear" w:color="auto" w:fill="auto"/>
            <w:noWrap/>
            <w:vAlign w:val="bottom"/>
          </w:tcPr>
          <w:p w14:paraId="612E326C" w14:textId="158E0D87" w:rsidR="000A29B8" w:rsidRPr="00825CEC" w:rsidRDefault="000A29B8" w:rsidP="000A29B8">
            <w:pPr>
              <w:pStyle w:val="SingleTxtG"/>
              <w:tabs>
                <w:tab w:val="clear" w:pos="1701"/>
                <w:tab w:val="clear" w:pos="2268"/>
                <w:tab w:val="clear" w:pos="2835"/>
              </w:tabs>
              <w:spacing w:before="40" w:after="40" w:line="220" w:lineRule="exact"/>
              <w:ind w:left="113" w:right="0"/>
              <w:jc w:val="right"/>
              <w:rPr>
                <w:rFonts w:eastAsia="Calibri"/>
                <w:b/>
                <w:bCs/>
                <w:sz w:val="18"/>
                <w:lang w:val="es-ES_tradnl"/>
              </w:rPr>
            </w:pPr>
            <w:r w:rsidRPr="00825CEC">
              <w:rPr>
                <w:b/>
                <w:bCs/>
                <w:sz w:val="18"/>
                <w:lang w:val="es-ES_tradnl"/>
              </w:rPr>
              <w:t>39,7</w:t>
            </w:r>
          </w:p>
        </w:tc>
        <w:tc>
          <w:tcPr>
            <w:tcW w:w="976" w:type="dxa"/>
            <w:tcBorders>
              <w:top w:val="single" w:sz="12" w:space="0" w:color="auto"/>
            </w:tcBorders>
            <w:shd w:val="clear" w:color="auto" w:fill="auto"/>
            <w:noWrap/>
            <w:vAlign w:val="bottom"/>
          </w:tcPr>
          <w:p w14:paraId="445148A7" w14:textId="05A9A221" w:rsidR="000A29B8" w:rsidRPr="00825CEC" w:rsidRDefault="000A29B8" w:rsidP="000A29B8">
            <w:pPr>
              <w:pStyle w:val="SingleTxtG"/>
              <w:tabs>
                <w:tab w:val="clear" w:pos="1701"/>
                <w:tab w:val="clear" w:pos="2268"/>
                <w:tab w:val="clear" w:pos="2835"/>
              </w:tabs>
              <w:spacing w:before="40" w:after="40" w:line="220" w:lineRule="exact"/>
              <w:ind w:left="113" w:right="0"/>
              <w:jc w:val="right"/>
              <w:rPr>
                <w:rFonts w:eastAsia="Calibri"/>
                <w:b/>
                <w:bCs/>
                <w:sz w:val="18"/>
                <w:lang w:val="es-ES_tradnl"/>
              </w:rPr>
            </w:pPr>
            <w:r w:rsidRPr="00825CEC">
              <w:rPr>
                <w:b/>
                <w:bCs/>
                <w:sz w:val="18"/>
                <w:lang w:val="es-ES_tradnl"/>
              </w:rPr>
              <w:t>38,1</w:t>
            </w:r>
          </w:p>
        </w:tc>
        <w:tc>
          <w:tcPr>
            <w:tcW w:w="998" w:type="dxa"/>
            <w:tcBorders>
              <w:top w:val="single" w:sz="12" w:space="0" w:color="auto"/>
            </w:tcBorders>
            <w:shd w:val="clear" w:color="auto" w:fill="auto"/>
            <w:noWrap/>
            <w:vAlign w:val="bottom"/>
          </w:tcPr>
          <w:p w14:paraId="7D5D0C53" w14:textId="57BD744C" w:rsidR="000A29B8" w:rsidRPr="00825CEC" w:rsidRDefault="000A29B8" w:rsidP="000A29B8">
            <w:pPr>
              <w:pStyle w:val="SingleTxtG"/>
              <w:tabs>
                <w:tab w:val="clear" w:pos="1701"/>
                <w:tab w:val="clear" w:pos="2268"/>
                <w:tab w:val="clear" w:pos="2835"/>
              </w:tabs>
              <w:spacing w:before="40" w:after="40" w:line="220" w:lineRule="exact"/>
              <w:ind w:left="113" w:right="0"/>
              <w:jc w:val="right"/>
              <w:rPr>
                <w:rFonts w:eastAsia="Calibri"/>
                <w:b/>
                <w:bCs/>
                <w:sz w:val="18"/>
                <w:lang w:val="es-ES_tradnl"/>
              </w:rPr>
            </w:pPr>
            <w:r w:rsidRPr="00825CEC">
              <w:rPr>
                <w:b/>
                <w:bCs/>
                <w:sz w:val="18"/>
                <w:lang w:val="es-ES_tradnl"/>
              </w:rPr>
              <w:t>36,7</w:t>
            </w:r>
          </w:p>
        </w:tc>
        <w:tc>
          <w:tcPr>
            <w:tcW w:w="991" w:type="dxa"/>
            <w:tcBorders>
              <w:top w:val="single" w:sz="12" w:space="0" w:color="auto"/>
            </w:tcBorders>
            <w:shd w:val="clear" w:color="auto" w:fill="auto"/>
            <w:noWrap/>
            <w:vAlign w:val="bottom"/>
          </w:tcPr>
          <w:p w14:paraId="75AECE4D" w14:textId="1A237D2D" w:rsidR="000A29B8" w:rsidRPr="00825CEC" w:rsidRDefault="000A29B8" w:rsidP="000A29B8">
            <w:pPr>
              <w:pStyle w:val="SingleTxtG"/>
              <w:tabs>
                <w:tab w:val="clear" w:pos="1701"/>
                <w:tab w:val="clear" w:pos="2268"/>
                <w:tab w:val="clear" w:pos="2835"/>
              </w:tabs>
              <w:spacing w:before="40" w:after="40" w:line="220" w:lineRule="exact"/>
              <w:ind w:left="113" w:right="0"/>
              <w:jc w:val="right"/>
              <w:rPr>
                <w:rFonts w:eastAsia="Calibri"/>
                <w:b/>
                <w:bCs/>
                <w:sz w:val="18"/>
                <w:lang w:val="es-ES_tradnl"/>
              </w:rPr>
            </w:pPr>
            <w:r w:rsidRPr="00825CEC">
              <w:rPr>
                <w:b/>
                <w:bCs/>
                <w:sz w:val="18"/>
                <w:lang w:val="es-ES_tradnl"/>
              </w:rPr>
              <w:t>32,0</w:t>
            </w:r>
          </w:p>
        </w:tc>
      </w:tr>
      <w:tr w:rsidR="004E2640" w:rsidRPr="00517B56" w14:paraId="3BAFAC15" w14:textId="77777777" w:rsidTr="004E2640">
        <w:trPr>
          <w:trHeight w:val="240"/>
        </w:trPr>
        <w:tc>
          <w:tcPr>
            <w:tcW w:w="2786" w:type="dxa"/>
            <w:tcBorders>
              <w:bottom w:val="nil"/>
            </w:tcBorders>
            <w:shd w:val="clear" w:color="auto" w:fill="auto"/>
            <w:noWrap/>
            <w:hideMark/>
          </w:tcPr>
          <w:p w14:paraId="20F9553C" w14:textId="77777777" w:rsidR="000A29B8" w:rsidRPr="00517B56" w:rsidRDefault="000A29B8" w:rsidP="000A29B8">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517B56">
              <w:rPr>
                <w:sz w:val="18"/>
                <w:lang w:val="es-ES_tradnl"/>
              </w:rPr>
              <w:t>Hombres</w:t>
            </w:r>
          </w:p>
        </w:tc>
        <w:tc>
          <w:tcPr>
            <w:tcW w:w="980" w:type="dxa"/>
            <w:tcBorders>
              <w:bottom w:val="nil"/>
            </w:tcBorders>
            <w:shd w:val="clear" w:color="auto" w:fill="auto"/>
            <w:noWrap/>
            <w:vAlign w:val="bottom"/>
            <w:hideMark/>
          </w:tcPr>
          <w:p w14:paraId="1847B08C" w14:textId="77777777" w:rsidR="000A29B8" w:rsidRPr="00517B56" w:rsidRDefault="000A29B8" w:rsidP="000A29B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51,0</w:t>
            </w:r>
          </w:p>
        </w:tc>
        <w:tc>
          <w:tcPr>
            <w:tcW w:w="922" w:type="dxa"/>
            <w:tcBorders>
              <w:bottom w:val="nil"/>
            </w:tcBorders>
            <w:shd w:val="clear" w:color="auto" w:fill="auto"/>
            <w:noWrap/>
            <w:vAlign w:val="bottom"/>
            <w:hideMark/>
          </w:tcPr>
          <w:p w14:paraId="114CA4DB" w14:textId="77777777" w:rsidR="000A29B8" w:rsidRPr="00517B56" w:rsidRDefault="000A29B8" w:rsidP="000A29B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30,8</w:t>
            </w:r>
          </w:p>
        </w:tc>
        <w:tc>
          <w:tcPr>
            <w:tcW w:w="949" w:type="dxa"/>
            <w:tcBorders>
              <w:bottom w:val="nil"/>
            </w:tcBorders>
            <w:shd w:val="clear" w:color="auto" w:fill="auto"/>
            <w:noWrap/>
            <w:vAlign w:val="bottom"/>
            <w:hideMark/>
          </w:tcPr>
          <w:p w14:paraId="445D2FAA" w14:textId="77777777" w:rsidR="000A29B8" w:rsidRPr="00517B56" w:rsidRDefault="000A29B8" w:rsidP="000A29B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28,6</w:t>
            </w:r>
          </w:p>
        </w:tc>
        <w:tc>
          <w:tcPr>
            <w:tcW w:w="1036" w:type="dxa"/>
            <w:tcBorders>
              <w:bottom w:val="nil"/>
            </w:tcBorders>
            <w:shd w:val="clear" w:color="auto" w:fill="auto"/>
            <w:noWrap/>
            <w:vAlign w:val="bottom"/>
            <w:hideMark/>
          </w:tcPr>
          <w:p w14:paraId="45FA58E3" w14:textId="77777777" w:rsidR="000A29B8" w:rsidRPr="00517B56" w:rsidRDefault="000A29B8" w:rsidP="000A29B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28,1</w:t>
            </w:r>
          </w:p>
        </w:tc>
        <w:tc>
          <w:tcPr>
            <w:tcW w:w="976" w:type="dxa"/>
            <w:tcBorders>
              <w:bottom w:val="nil"/>
            </w:tcBorders>
            <w:shd w:val="clear" w:color="auto" w:fill="auto"/>
            <w:noWrap/>
            <w:vAlign w:val="bottom"/>
            <w:hideMark/>
          </w:tcPr>
          <w:p w14:paraId="3030C4EC" w14:textId="77777777" w:rsidR="000A29B8" w:rsidRPr="00517B56" w:rsidRDefault="000A29B8" w:rsidP="000A29B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26,9</w:t>
            </w:r>
          </w:p>
        </w:tc>
        <w:tc>
          <w:tcPr>
            <w:tcW w:w="998" w:type="dxa"/>
            <w:tcBorders>
              <w:bottom w:val="nil"/>
            </w:tcBorders>
            <w:shd w:val="clear" w:color="auto" w:fill="auto"/>
            <w:noWrap/>
            <w:vAlign w:val="bottom"/>
            <w:hideMark/>
          </w:tcPr>
          <w:p w14:paraId="59FF5E03" w14:textId="77777777" w:rsidR="000A29B8" w:rsidRPr="00517B56" w:rsidRDefault="000A29B8" w:rsidP="000A29B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25,3</w:t>
            </w:r>
          </w:p>
        </w:tc>
        <w:tc>
          <w:tcPr>
            <w:tcW w:w="991" w:type="dxa"/>
            <w:tcBorders>
              <w:bottom w:val="nil"/>
            </w:tcBorders>
            <w:shd w:val="clear" w:color="auto" w:fill="auto"/>
            <w:noWrap/>
            <w:vAlign w:val="bottom"/>
            <w:hideMark/>
          </w:tcPr>
          <w:p w14:paraId="34C66F7C" w14:textId="77777777" w:rsidR="000A29B8" w:rsidRPr="00517B56" w:rsidRDefault="000A29B8" w:rsidP="000A29B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22,1</w:t>
            </w:r>
          </w:p>
        </w:tc>
      </w:tr>
      <w:tr w:rsidR="004E2640" w:rsidRPr="00517B56" w14:paraId="29BA887F" w14:textId="77777777" w:rsidTr="004E2640">
        <w:trPr>
          <w:trHeight w:val="240"/>
        </w:trPr>
        <w:tc>
          <w:tcPr>
            <w:tcW w:w="2786" w:type="dxa"/>
            <w:tcBorders>
              <w:top w:val="nil"/>
              <w:bottom w:val="single" w:sz="12" w:space="0" w:color="auto"/>
            </w:tcBorders>
            <w:shd w:val="clear" w:color="auto" w:fill="auto"/>
            <w:noWrap/>
            <w:hideMark/>
          </w:tcPr>
          <w:p w14:paraId="5D6978C5" w14:textId="77777777" w:rsidR="000A29B8" w:rsidRPr="00517B56" w:rsidRDefault="000A29B8" w:rsidP="000A29B8">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517B56">
              <w:rPr>
                <w:sz w:val="18"/>
                <w:lang w:val="es-ES_tradnl"/>
              </w:rPr>
              <w:t>Mujeres</w:t>
            </w:r>
          </w:p>
        </w:tc>
        <w:tc>
          <w:tcPr>
            <w:tcW w:w="980" w:type="dxa"/>
            <w:tcBorders>
              <w:top w:val="nil"/>
              <w:bottom w:val="single" w:sz="12" w:space="0" w:color="auto"/>
            </w:tcBorders>
            <w:shd w:val="clear" w:color="auto" w:fill="auto"/>
            <w:noWrap/>
            <w:vAlign w:val="bottom"/>
            <w:hideMark/>
          </w:tcPr>
          <w:p w14:paraId="324B00EC" w14:textId="77777777" w:rsidR="000A29B8" w:rsidRPr="00517B56" w:rsidRDefault="000A29B8" w:rsidP="000A29B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78,0</w:t>
            </w:r>
          </w:p>
        </w:tc>
        <w:tc>
          <w:tcPr>
            <w:tcW w:w="922" w:type="dxa"/>
            <w:tcBorders>
              <w:top w:val="nil"/>
              <w:bottom w:val="single" w:sz="12" w:space="0" w:color="auto"/>
            </w:tcBorders>
            <w:shd w:val="clear" w:color="auto" w:fill="auto"/>
            <w:noWrap/>
            <w:vAlign w:val="bottom"/>
            <w:hideMark/>
          </w:tcPr>
          <w:p w14:paraId="026F3208" w14:textId="77777777" w:rsidR="000A29B8" w:rsidRPr="00517B56" w:rsidRDefault="000A29B8" w:rsidP="000A29B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55,0</w:t>
            </w:r>
          </w:p>
        </w:tc>
        <w:tc>
          <w:tcPr>
            <w:tcW w:w="949" w:type="dxa"/>
            <w:tcBorders>
              <w:top w:val="nil"/>
              <w:bottom w:val="single" w:sz="12" w:space="0" w:color="auto"/>
            </w:tcBorders>
            <w:shd w:val="clear" w:color="auto" w:fill="auto"/>
            <w:noWrap/>
            <w:vAlign w:val="bottom"/>
            <w:hideMark/>
          </w:tcPr>
          <w:p w14:paraId="7EDF1DA4" w14:textId="77777777" w:rsidR="000A29B8" w:rsidRPr="00517B56" w:rsidRDefault="000A29B8" w:rsidP="000A29B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51,9</w:t>
            </w:r>
          </w:p>
        </w:tc>
        <w:tc>
          <w:tcPr>
            <w:tcW w:w="1036" w:type="dxa"/>
            <w:tcBorders>
              <w:top w:val="nil"/>
              <w:bottom w:val="single" w:sz="12" w:space="0" w:color="auto"/>
            </w:tcBorders>
            <w:shd w:val="clear" w:color="auto" w:fill="auto"/>
            <w:noWrap/>
            <w:vAlign w:val="bottom"/>
            <w:hideMark/>
          </w:tcPr>
          <w:p w14:paraId="50811A62" w14:textId="77777777" w:rsidR="000A29B8" w:rsidRPr="00517B56" w:rsidRDefault="000A29B8" w:rsidP="000A29B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50,8</w:t>
            </w:r>
          </w:p>
        </w:tc>
        <w:tc>
          <w:tcPr>
            <w:tcW w:w="976" w:type="dxa"/>
            <w:tcBorders>
              <w:top w:val="nil"/>
              <w:bottom w:val="single" w:sz="12" w:space="0" w:color="auto"/>
            </w:tcBorders>
            <w:shd w:val="clear" w:color="auto" w:fill="auto"/>
            <w:noWrap/>
            <w:vAlign w:val="bottom"/>
            <w:hideMark/>
          </w:tcPr>
          <w:p w14:paraId="03DE1179" w14:textId="77777777" w:rsidR="000A29B8" w:rsidRPr="00517B56" w:rsidRDefault="000A29B8" w:rsidP="000A29B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48,8</w:t>
            </w:r>
          </w:p>
        </w:tc>
        <w:tc>
          <w:tcPr>
            <w:tcW w:w="998" w:type="dxa"/>
            <w:tcBorders>
              <w:top w:val="nil"/>
              <w:bottom w:val="single" w:sz="12" w:space="0" w:color="auto"/>
            </w:tcBorders>
            <w:shd w:val="clear" w:color="auto" w:fill="auto"/>
            <w:noWrap/>
            <w:vAlign w:val="bottom"/>
            <w:hideMark/>
          </w:tcPr>
          <w:p w14:paraId="795109B3" w14:textId="77777777" w:rsidR="000A29B8" w:rsidRPr="00517B56" w:rsidRDefault="000A29B8" w:rsidP="000A29B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47,6</w:t>
            </w:r>
          </w:p>
        </w:tc>
        <w:tc>
          <w:tcPr>
            <w:tcW w:w="991" w:type="dxa"/>
            <w:tcBorders>
              <w:top w:val="nil"/>
              <w:bottom w:val="single" w:sz="12" w:space="0" w:color="auto"/>
            </w:tcBorders>
            <w:shd w:val="clear" w:color="auto" w:fill="auto"/>
            <w:noWrap/>
            <w:vAlign w:val="bottom"/>
            <w:hideMark/>
          </w:tcPr>
          <w:p w14:paraId="34EE0174" w14:textId="77777777" w:rsidR="000A29B8" w:rsidRPr="00517B56" w:rsidRDefault="000A29B8" w:rsidP="000A29B8">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41,9</w:t>
            </w:r>
          </w:p>
        </w:tc>
      </w:tr>
    </w:tbl>
    <w:p w14:paraId="6A9266C2" w14:textId="77777777" w:rsidR="007053C4" w:rsidRDefault="007053C4"/>
    <w:tbl>
      <w:tblPr>
        <w:tblW w:w="9638" w:type="dxa"/>
        <w:tblBorders>
          <w:top w:val="single" w:sz="4" w:space="0" w:color="auto"/>
        </w:tblBorders>
        <w:tblLayout w:type="fixed"/>
        <w:tblCellMar>
          <w:left w:w="0" w:type="dxa"/>
          <w:right w:w="0" w:type="dxa"/>
        </w:tblCellMar>
        <w:tblLook w:val="04A0" w:firstRow="1" w:lastRow="0" w:firstColumn="1" w:lastColumn="0" w:noHBand="0" w:noVBand="1"/>
      </w:tblPr>
      <w:tblGrid>
        <w:gridCol w:w="2800"/>
        <w:gridCol w:w="976"/>
        <w:gridCol w:w="977"/>
        <w:gridCol w:w="977"/>
        <w:gridCol w:w="977"/>
        <w:gridCol w:w="977"/>
        <w:gridCol w:w="977"/>
        <w:gridCol w:w="977"/>
      </w:tblGrid>
      <w:tr w:rsidR="007053C4" w:rsidRPr="00336940" w14:paraId="11D6EA95" w14:textId="77777777" w:rsidTr="00521126">
        <w:trPr>
          <w:trHeight w:val="240"/>
        </w:trPr>
        <w:tc>
          <w:tcPr>
            <w:tcW w:w="2800" w:type="dxa"/>
            <w:vMerge w:val="restart"/>
            <w:tcBorders>
              <w:top w:val="single" w:sz="4" w:space="0" w:color="auto"/>
            </w:tcBorders>
            <w:shd w:val="clear" w:color="auto" w:fill="auto"/>
            <w:noWrap/>
            <w:vAlign w:val="bottom"/>
            <w:hideMark/>
          </w:tcPr>
          <w:p w14:paraId="7413434E" w14:textId="552A97C2" w:rsidR="007053C4" w:rsidRPr="00517B56" w:rsidRDefault="007053C4" w:rsidP="007053C4">
            <w:pPr>
              <w:pStyle w:val="SingleTxtG"/>
              <w:tabs>
                <w:tab w:val="clear" w:pos="1701"/>
                <w:tab w:val="clear" w:pos="2268"/>
                <w:tab w:val="clear" w:pos="2835"/>
                <w:tab w:val="left" w:pos="293"/>
              </w:tabs>
              <w:spacing w:before="80" w:after="80" w:line="200" w:lineRule="exact"/>
              <w:ind w:left="0" w:right="0"/>
              <w:jc w:val="left"/>
              <w:rPr>
                <w:i/>
                <w:iCs/>
                <w:sz w:val="16"/>
                <w:lang w:val="es-ES_tradnl"/>
              </w:rPr>
            </w:pPr>
          </w:p>
        </w:tc>
        <w:tc>
          <w:tcPr>
            <w:tcW w:w="6838" w:type="dxa"/>
            <w:gridSpan w:val="7"/>
            <w:tcBorders>
              <w:top w:val="single" w:sz="4" w:space="0" w:color="auto"/>
              <w:bottom w:val="single" w:sz="4" w:space="0" w:color="auto"/>
            </w:tcBorders>
            <w:shd w:val="clear" w:color="auto" w:fill="auto"/>
            <w:noWrap/>
            <w:vAlign w:val="bottom"/>
            <w:hideMark/>
          </w:tcPr>
          <w:p w14:paraId="0A524969" w14:textId="40094411" w:rsidR="007053C4" w:rsidRPr="00996881" w:rsidRDefault="007053C4" w:rsidP="007053C4">
            <w:pPr>
              <w:pStyle w:val="SingleTxtG"/>
              <w:tabs>
                <w:tab w:val="clear" w:pos="1701"/>
                <w:tab w:val="clear" w:pos="2268"/>
                <w:tab w:val="clear" w:pos="2835"/>
              </w:tabs>
              <w:spacing w:before="40" w:after="40" w:line="220" w:lineRule="exact"/>
              <w:ind w:left="113" w:right="0"/>
              <w:jc w:val="center"/>
              <w:rPr>
                <w:rFonts w:eastAsia="Calibri"/>
                <w:i/>
                <w:sz w:val="18"/>
                <w:lang w:val="es-ES_tradnl"/>
              </w:rPr>
            </w:pPr>
            <w:r w:rsidRPr="00996881">
              <w:rPr>
                <w:i/>
                <w:sz w:val="16"/>
                <w:szCs w:val="18"/>
                <w:lang w:val="es-ES_tradnl"/>
              </w:rPr>
              <w:t>Promedio</w:t>
            </w:r>
          </w:p>
        </w:tc>
      </w:tr>
      <w:tr w:rsidR="00100248" w:rsidRPr="00336940" w14:paraId="538B4A4F" w14:textId="77777777" w:rsidTr="00521126">
        <w:trPr>
          <w:trHeight w:val="240"/>
        </w:trPr>
        <w:tc>
          <w:tcPr>
            <w:tcW w:w="2800" w:type="dxa"/>
            <w:vMerge/>
            <w:tcBorders>
              <w:top w:val="nil"/>
              <w:bottom w:val="single" w:sz="12" w:space="0" w:color="auto"/>
            </w:tcBorders>
            <w:shd w:val="clear" w:color="auto" w:fill="auto"/>
            <w:noWrap/>
            <w:hideMark/>
          </w:tcPr>
          <w:p w14:paraId="7CF21AC3" w14:textId="77777777" w:rsidR="000A29B8" w:rsidRPr="00517B56" w:rsidRDefault="000A29B8" w:rsidP="000A29B8">
            <w:pPr>
              <w:pStyle w:val="SingleTxtG"/>
              <w:tabs>
                <w:tab w:val="clear" w:pos="1701"/>
                <w:tab w:val="clear" w:pos="2268"/>
                <w:tab w:val="clear" w:pos="2835"/>
              </w:tabs>
              <w:spacing w:before="40" w:after="40" w:line="220" w:lineRule="exact"/>
              <w:ind w:left="0" w:right="0"/>
              <w:jc w:val="left"/>
              <w:rPr>
                <w:rFonts w:eastAsia="Calibri"/>
                <w:bCs/>
                <w:iCs/>
                <w:sz w:val="18"/>
                <w:lang w:val="es-ES_tradnl"/>
              </w:rPr>
            </w:pPr>
          </w:p>
        </w:tc>
        <w:tc>
          <w:tcPr>
            <w:tcW w:w="976" w:type="dxa"/>
            <w:tcBorders>
              <w:top w:val="single" w:sz="4" w:space="0" w:color="auto"/>
              <w:bottom w:val="single" w:sz="12" w:space="0" w:color="auto"/>
            </w:tcBorders>
            <w:shd w:val="clear" w:color="auto" w:fill="auto"/>
            <w:noWrap/>
            <w:vAlign w:val="bottom"/>
            <w:hideMark/>
          </w:tcPr>
          <w:p w14:paraId="6EF9935D" w14:textId="77777777" w:rsidR="000A29B8" w:rsidRPr="007053C4" w:rsidRDefault="000A29B8" w:rsidP="007053C4">
            <w:pPr>
              <w:pStyle w:val="SingleTxtG"/>
              <w:tabs>
                <w:tab w:val="clear" w:pos="1701"/>
                <w:tab w:val="clear" w:pos="2268"/>
                <w:tab w:val="clear" w:pos="2835"/>
              </w:tabs>
              <w:spacing w:before="80" w:after="80" w:line="200" w:lineRule="exact"/>
              <w:ind w:left="113" w:right="0"/>
              <w:jc w:val="right"/>
              <w:rPr>
                <w:i/>
                <w:iCs/>
                <w:sz w:val="16"/>
                <w:lang w:val="en-US"/>
              </w:rPr>
            </w:pPr>
            <w:r w:rsidRPr="007053C4">
              <w:rPr>
                <w:i/>
                <w:iCs/>
                <w:sz w:val="16"/>
                <w:lang w:val="en-US"/>
              </w:rPr>
              <w:t>2008-2013</w:t>
            </w:r>
          </w:p>
        </w:tc>
        <w:tc>
          <w:tcPr>
            <w:tcW w:w="977" w:type="dxa"/>
            <w:tcBorders>
              <w:top w:val="single" w:sz="4" w:space="0" w:color="auto"/>
              <w:bottom w:val="single" w:sz="12" w:space="0" w:color="auto"/>
            </w:tcBorders>
            <w:shd w:val="clear" w:color="auto" w:fill="auto"/>
            <w:noWrap/>
            <w:vAlign w:val="bottom"/>
            <w:hideMark/>
          </w:tcPr>
          <w:p w14:paraId="77973F9B" w14:textId="77777777" w:rsidR="000A29B8" w:rsidRPr="007053C4" w:rsidRDefault="000A29B8" w:rsidP="007053C4">
            <w:pPr>
              <w:pStyle w:val="SingleTxtG"/>
              <w:tabs>
                <w:tab w:val="clear" w:pos="1701"/>
                <w:tab w:val="clear" w:pos="2268"/>
                <w:tab w:val="clear" w:pos="2835"/>
              </w:tabs>
              <w:spacing w:before="80" w:after="80" w:line="200" w:lineRule="exact"/>
              <w:ind w:left="113" w:right="0"/>
              <w:jc w:val="right"/>
              <w:rPr>
                <w:i/>
                <w:iCs/>
                <w:sz w:val="16"/>
                <w:lang w:val="en-US"/>
              </w:rPr>
            </w:pPr>
            <w:r w:rsidRPr="007053C4">
              <w:rPr>
                <w:i/>
                <w:iCs/>
                <w:sz w:val="16"/>
                <w:lang w:val="en-US"/>
              </w:rPr>
              <w:t>2014</w:t>
            </w:r>
          </w:p>
        </w:tc>
        <w:tc>
          <w:tcPr>
            <w:tcW w:w="977" w:type="dxa"/>
            <w:tcBorders>
              <w:top w:val="single" w:sz="4" w:space="0" w:color="auto"/>
              <w:bottom w:val="single" w:sz="12" w:space="0" w:color="auto"/>
            </w:tcBorders>
            <w:shd w:val="clear" w:color="auto" w:fill="auto"/>
            <w:noWrap/>
            <w:vAlign w:val="bottom"/>
            <w:hideMark/>
          </w:tcPr>
          <w:p w14:paraId="00702203" w14:textId="77777777" w:rsidR="000A29B8" w:rsidRPr="007053C4" w:rsidRDefault="000A29B8" w:rsidP="007053C4">
            <w:pPr>
              <w:pStyle w:val="SingleTxtG"/>
              <w:tabs>
                <w:tab w:val="clear" w:pos="1701"/>
                <w:tab w:val="clear" w:pos="2268"/>
                <w:tab w:val="clear" w:pos="2835"/>
              </w:tabs>
              <w:spacing w:before="80" w:after="80" w:line="200" w:lineRule="exact"/>
              <w:ind w:left="113" w:right="0"/>
              <w:jc w:val="right"/>
              <w:rPr>
                <w:i/>
                <w:iCs/>
                <w:sz w:val="16"/>
                <w:lang w:val="en-US"/>
              </w:rPr>
            </w:pPr>
            <w:r w:rsidRPr="007053C4">
              <w:rPr>
                <w:i/>
                <w:iCs/>
                <w:sz w:val="16"/>
                <w:lang w:val="en-US"/>
              </w:rPr>
              <w:t>2015</w:t>
            </w:r>
          </w:p>
        </w:tc>
        <w:tc>
          <w:tcPr>
            <w:tcW w:w="977" w:type="dxa"/>
            <w:tcBorders>
              <w:top w:val="single" w:sz="4" w:space="0" w:color="auto"/>
              <w:bottom w:val="single" w:sz="12" w:space="0" w:color="auto"/>
            </w:tcBorders>
            <w:shd w:val="clear" w:color="auto" w:fill="auto"/>
            <w:noWrap/>
            <w:vAlign w:val="bottom"/>
            <w:hideMark/>
          </w:tcPr>
          <w:p w14:paraId="68D57493" w14:textId="77777777" w:rsidR="000A29B8" w:rsidRPr="007053C4" w:rsidRDefault="000A29B8" w:rsidP="007053C4">
            <w:pPr>
              <w:pStyle w:val="SingleTxtG"/>
              <w:tabs>
                <w:tab w:val="clear" w:pos="1701"/>
                <w:tab w:val="clear" w:pos="2268"/>
                <w:tab w:val="clear" w:pos="2835"/>
              </w:tabs>
              <w:spacing w:before="80" w:after="80" w:line="200" w:lineRule="exact"/>
              <w:ind w:left="113" w:right="0"/>
              <w:jc w:val="right"/>
              <w:rPr>
                <w:i/>
                <w:iCs/>
                <w:sz w:val="16"/>
                <w:lang w:val="en-US"/>
              </w:rPr>
            </w:pPr>
            <w:r w:rsidRPr="007053C4">
              <w:rPr>
                <w:i/>
                <w:iCs/>
                <w:sz w:val="16"/>
                <w:lang w:val="en-US"/>
              </w:rPr>
              <w:t>2016</w:t>
            </w:r>
          </w:p>
        </w:tc>
        <w:tc>
          <w:tcPr>
            <w:tcW w:w="977" w:type="dxa"/>
            <w:tcBorders>
              <w:top w:val="single" w:sz="4" w:space="0" w:color="auto"/>
              <w:bottom w:val="single" w:sz="12" w:space="0" w:color="auto"/>
            </w:tcBorders>
            <w:shd w:val="clear" w:color="auto" w:fill="auto"/>
            <w:noWrap/>
            <w:vAlign w:val="bottom"/>
            <w:hideMark/>
          </w:tcPr>
          <w:p w14:paraId="5FE6210A" w14:textId="77777777" w:rsidR="000A29B8" w:rsidRPr="007053C4" w:rsidRDefault="000A29B8" w:rsidP="007053C4">
            <w:pPr>
              <w:pStyle w:val="SingleTxtG"/>
              <w:tabs>
                <w:tab w:val="clear" w:pos="1701"/>
                <w:tab w:val="clear" w:pos="2268"/>
                <w:tab w:val="clear" w:pos="2835"/>
              </w:tabs>
              <w:spacing w:before="80" w:after="80" w:line="200" w:lineRule="exact"/>
              <w:ind w:left="113" w:right="0"/>
              <w:jc w:val="right"/>
              <w:rPr>
                <w:i/>
                <w:iCs/>
                <w:sz w:val="16"/>
                <w:lang w:val="en-US"/>
              </w:rPr>
            </w:pPr>
            <w:r w:rsidRPr="007053C4">
              <w:rPr>
                <w:i/>
                <w:iCs/>
                <w:sz w:val="16"/>
                <w:lang w:val="en-US"/>
              </w:rPr>
              <w:t>2017</w:t>
            </w:r>
          </w:p>
        </w:tc>
        <w:tc>
          <w:tcPr>
            <w:tcW w:w="977" w:type="dxa"/>
            <w:tcBorders>
              <w:top w:val="single" w:sz="4" w:space="0" w:color="auto"/>
              <w:bottom w:val="single" w:sz="12" w:space="0" w:color="auto"/>
            </w:tcBorders>
            <w:shd w:val="clear" w:color="auto" w:fill="auto"/>
            <w:noWrap/>
            <w:vAlign w:val="bottom"/>
            <w:hideMark/>
          </w:tcPr>
          <w:p w14:paraId="1A8E68AF" w14:textId="77777777" w:rsidR="000A29B8" w:rsidRPr="007053C4" w:rsidRDefault="000A29B8" w:rsidP="007053C4">
            <w:pPr>
              <w:pStyle w:val="SingleTxtG"/>
              <w:tabs>
                <w:tab w:val="clear" w:pos="1701"/>
                <w:tab w:val="clear" w:pos="2268"/>
                <w:tab w:val="clear" w:pos="2835"/>
              </w:tabs>
              <w:spacing w:before="80" w:after="80" w:line="200" w:lineRule="exact"/>
              <w:ind w:left="113" w:right="0"/>
              <w:jc w:val="right"/>
              <w:rPr>
                <w:i/>
                <w:iCs/>
                <w:sz w:val="16"/>
                <w:lang w:val="en-US"/>
              </w:rPr>
            </w:pPr>
            <w:r w:rsidRPr="007053C4">
              <w:rPr>
                <w:i/>
                <w:iCs/>
                <w:sz w:val="16"/>
                <w:lang w:val="en-US"/>
              </w:rPr>
              <w:t>2018</w:t>
            </w:r>
          </w:p>
        </w:tc>
        <w:tc>
          <w:tcPr>
            <w:tcW w:w="977" w:type="dxa"/>
            <w:tcBorders>
              <w:top w:val="single" w:sz="4" w:space="0" w:color="auto"/>
              <w:bottom w:val="single" w:sz="12" w:space="0" w:color="auto"/>
            </w:tcBorders>
            <w:shd w:val="clear" w:color="auto" w:fill="auto"/>
            <w:noWrap/>
            <w:vAlign w:val="bottom"/>
            <w:hideMark/>
          </w:tcPr>
          <w:p w14:paraId="6452B233" w14:textId="77777777" w:rsidR="000A29B8" w:rsidRPr="007053C4" w:rsidRDefault="000A29B8" w:rsidP="007053C4">
            <w:pPr>
              <w:pStyle w:val="SingleTxtG"/>
              <w:tabs>
                <w:tab w:val="clear" w:pos="1701"/>
                <w:tab w:val="clear" w:pos="2268"/>
                <w:tab w:val="clear" w:pos="2835"/>
              </w:tabs>
              <w:spacing w:before="80" w:after="80" w:line="200" w:lineRule="exact"/>
              <w:ind w:left="113" w:right="0"/>
              <w:jc w:val="right"/>
              <w:rPr>
                <w:i/>
                <w:iCs/>
                <w:sz w:val="16"/>
                <w:lang w:val="en-US"/>
              </w:rPr>
            </w:pPr>
            <w:r w:rsidRPr="007053C4">
              <w:rPr>
                <w:i/>
                <w:iCs/>
                <w:sz w:val="16"/>
                <w:rtl/>
                <w:lang w:val="en-US"/>
              </w:rPr>
              <w:t> </w:t>
            </w:r>
          </w:p>
        </w:tc>
      </w:tr>
      <w:tr w:rsidR="00100248" w:rsidRPr="00336940" w14:paraId="7D83ADEF" w14:textId="77777777" w:rsidTr="00521126">
        <w:trPr>
          <w:trHeight w:val="240"/>
        </w:trPr>
        <w:tc>
          <w:tcPr>
            <w:tcW w:w="2800" w:type="dxa"/>
            <w:tcBorders>
              <w:top w:val="single" w:sz="12" w:space="0" w:color="auto"/>
            </w:tcBorders>
            <w:shd w:val="clear" w:color="auto" w:fill="auto"/>
            <w:noWrap/>
          </w:tcPr>
          <w:p w14:paraId="21AE953D" w14:textId="065D8DED" w:rsidR="000A29B8" w:rsidRPr="00521126" w:rsidRDefault="00521126" w:rsidP="00694EFF">
            <w:pPr>
              <w:pStyle w:val="SingleTxtG"/>
              <w:keepNext/>
              <w:keepLines/>
              <w:tabs>
                <w:tab w:val="clear" w:pos="1701"/>
                <w:tab w:val="clear" w:pos="2268"/>
                <w:tab w:val="clear" w:pos="2835"/>
              </w:tabs>
              <w:spacing w:before="40" w:after="40" w:line="220" w:lineRule="exact"/>
              <w:ind w:left="560" w:right="0" w:hanging="560"/>
              <w:jc w:val="left"/>
              <w:rPr>
                <w:rFonts w:eastAsia="Calibri"/>
                <w:b/>
                <w:sz w:val="18"/>
                <w:lang w:val="es-ES_tradnl"/>
              </w:rPr>
            </w:pPr>
            <w:r w:rsidRPr="00521126">
              <w:rPr>
                <w:rFonts w:eastAsia="Calibri"/>
                <w:b/>
                <w:sz w:val="18"/>
                <w:lang w:val="es-ES_tradnl"/>
              </w:rPr>
              <w:t>3.8</w:t>
            </w:r>
            <w:r w:rsidRPr="00521126">
              <w:rPr>
                <w:rFonts w:eastAsia="Calibri"/>
                <w:b/>
                <w:sz w:val="18"/>
                <w:lang w:val="es-ES_tradnl"/>
              </w:rPr>
              <w:tab/>
              <w:t>Presupuestos</w:t>
            </w:r>
          </w:p>
        </w:tc>
        <w:tc>
          <w:tcPr>
            <w:tcW w:w="976" w:type="dxa"/>
            <w:tcBorders>
              <w:top w:val="single" w:sz="12" w:space="0" w:color="auto"/>
            </w:tcBorders>
            <w:shd w:val="clear" w:color="auto" w:fill="auto"/>
            <w:noWrap/>
            <w:vAlign w:val="bottom"/>
          </w:tcPr>
          <w:p w14:paraId="41A00526" w14:textId="27FC7467" w:rsidR="000A29B8" w:rsidRPr="00100248" w:rsidRDefault="000A29B8" w:rsidP="000A29B8">
            <w:pPr>
              <w:pStyle w:val="SingleTxtG"/>
              <w:tabs>
                <w:tab w:val="clear" w:pos="1701"/>
                <w:tab w:val="clear" w:pos="2268"/>
                <w:tab w:val="clear" w:pos="2835"/>
              </w:tabs>
              <w:spacing w:before="40" w:after="40" w:line="220" w:lineRule="exact"/>
              <w:ind w:left="113" w:right="0"/>
              <w:jc w:val="right"/>
              <w:rPr>
                <w:rFonts w:eastAsia="Calibri"/>
                <w:b/>
                <w:bCs/>
                <w:sz w:val="18"/>
                <w:lang w:val="en-US"/>
              </w:rPr>
            </w:pPr>
          </w:p>
        </w:tc>
        <w:tc>
          <w:tcPr>
            <w:tcW w:w="977" w:type="dxa"/>
            <w:tcBorders>
              <w:top w:val="single" w:sz="12" w:space="0" w:color="auto"/>
            </w:tcBorders>
            <w:shd w:val="clear" w:color="auto" w:fill="auto"/>
            <w:noWrap/>
            <w:vAlign w:val="bottom"/>
          </w:tcPr>
          <w:p w14:paraId="32F2614A" w14:textId="0A59897F" w:rsidR="000A29B8" w:rsidRPr="00100248" w:rsidRDefault="000A29B8" w:rsidP="000A29B8">
            <w:pPr>
              <w:pStyle w:val="SingleTxtG"/>
              <w:tabs>
                <w:tab w:val="clear" w:pos="1701"/>
                <w:tab w:val="clear" w:pos="2268"/>
                <w:tab w:val="clear" w:pos="2835"/>
              </w:tabs>
              <w:spacing w:before="40" w:after="40" w:line="220" w:lineRule="exact"/>
              <w:ind w:left="113" w:right="0"/>
              <w:jc w:val="right"/>
              <w:rPr>
                <w:rFonts w:eastAsia="Calibri"/>
                <w:b/>
                <w:bCs/>
                <w:sz w:val="18"/>
                <w:lang w:val="en-US"/>
              </w:rPr>
            </w:pPr>
          </w:p>
        </w:tc>
        <w:tc>
          <w:tcPr>
            <w:tcW w:w="977" w:type="dxa"/>
            <w:tcBorders>
              <w:top w:val="single" w:sz="12" w:space="0" w:color="auto"/>
            </w:tcBorders>
            <w:shd w:val="clear" w:color="auto" w:fill="auto"/>
            <w:noWrap/>
            <w:vAlign w:val="bottom"/>
          </w:tcPr>
          <w:p w14:paraId="178B2F99" w14:textId="53F5736A" w:rsidR="000A29B8" w:rsidRPr="00100248" w:rsidRDefault="000A29B8" w:rsidP="000A29B8">
            <w:pPr>
              <w:pStyle w:val="SingleTxtG"/>
              <w:tabs>
                <w:tab w:val="clear" w:pos="1701"/>
                <w:tab w:val="clear" w:pos="2268"/>
                <w:tab w:val="clear" w:pos="2835"/>
              </w:tabs>
              <w:spacing w:before="40" w:after="40" w:line="220" w:lineRule="exact"/>
              <w:ind w:left="113" w:right="0"/>
              <w:jc w:val="right"/>
              <w:rPr>
                <w:rFonts w:eastAsia="Calibri"/>
                <w:b/>
                <w:bCs/>
                <w:sz w:val="18"/>
                <w:lang w:val="en-US"/>
              </w:rPr>
            </w:pPr>
          </w:p>
        </w:tc>
        <w:tc>
          <w:tcPr>
            <w:tcW w:w="977" w:type="dxa"/>
            <w:tcBorders>
              <w:top w:val="single" w:sz="12" w:space="0" w:color="auto"/>
            </w:tcBorders>
            <w:shd w:val="clear" w:color="auto" w:fill="auto"/>
            <w:noWrap/>
            <w:vAlign w:val="bottom"/>
          </w:tcPr>
          <w:p w14:paraId="51ADC0A5" w14:textId="7F82B20C" w:rsidR="000A29B8" w:rsidRPr="00100248" w:rsidRDefault="000A29B8" w:rsidP="000A29B8">
            <w:pPr>
              <w:pStyle w:val="SingleTxtG"/>
              <w:tabs>
                <w:tab w:val="clear" w:pos="1701"/>
                <w:tab w:val="clear" w:pos="2268"/>
                <w:tab w:val="clear" w:pos="2835"/>
              </w:tabs>
              <w:spacing w:before="40" w:after="40" w:line="220" w:lineRule="exact"/>
              <w:ind w:left="113" w:right="0"/>
              <w:jc w:val="right"/>
              <w:rPr>
                <w:rFonts w:eastAsia="Calibri"/>
                <w:b/>
                <w:bCs/>
                <w:sz w:val="18"/>
                <w:lang w:val="en-US"/>
              </w:rPr>
            </w:pPr>
          </w:p>
        </w:tc>
        <w:tc>
          <w:tcPr>
            <w:tcW w:w="977" w:type="dxa"/>
            <w:tcBorders>
              <w:top w:val="single" w:sz="12" w:space="0" w:color="auto"/>
            </w:tcBorders>
            <w:shd w:val="clear" w:color="auto" w:fill="auto"/>
            <w:noWrap/>
            <w:vAlign w:val="bottom"/>
          </w:tcPr>
          <w:p w14:paraId="11C45F66" w14:textId="1DDE983A" w:rsidR="000A29B8" w:rsidRPr="00100248" w:rsidRDefault="000A29B8" w:rsidP="000A29B8">
            <w:pPr>
              <w:pStyle w:val="SingleTxtG"/>
              <w:tabs>
                <w:tab w:val="clear" w:pos="1701"/>
                <w:tab w:val="clear" w:pos="2268"/>
                <w:tab w:val="clear" w:pos="2835"/>
              </w:tabs>
              <w:spacing w:before="40" w:after="40" w:line="220" w:lineRule="exact"/>
              <w:ind w:left="113" w:right="0"/>
              <w:jc w:val="right"/>
              <w:rPr>
                <w:rFonts w:eastAsia="Calibri"/>
                <w:b/>
                <w:bCs/>
                <w:sz w:val="18"/>
                <w:lang w:val="en-US"/>
              </w:rPr>
            </w:pPr>
          </w:p>
        </w:tc>
        <w:tc>
          <w:tcPr>
            <w:tcW w:w="977" w:type="dxa"/>
            <w:tcBorders>
              <w:top w:val="single" w:sz="12" w:space="0" w:color="auto"/>
            </w:tcBorders>
            <w:shd w:val="clear" w:color="auto" w:fill="auto"/>
            <w:noWrap/>
            <w:vAlign w:val="bottom"/>
          </w:tcPr>
          <w:p w14:paraId="358C7D49" w14:textId="54AD77ED" w:rsidR="000A29B8" w:rsidRPr="00100248" w:rsidRDefault="000A29B8" w:rsidP="000A29B8">
            <w:pPr>
              <w:pStyle w:val="SingleTxtG"/>
              <w:tabs>
                <w:tab w:val="clear" w:pos="1701"/>
                <w:tab w:val="clear" w:pos="2268"/>
                <w:tab w:val="clear" w:pos="2835"/>
              </w:tabs>
              <w:spacing w:before="40" w:after="40" w:line="220" w:lineRule="exact"/>
              <w:ind w:left="113" w:right="0"/>
              <w:jc w:val="right"/>
              <w:rPr>
                <w:rFonts w:eastAsia="Calibri"/>
                <w:b/>
                <w:bCs/>
                <w:sz w:val="18"/>
                <w:lang w:val="en-US"/>
              </w:rPr>
            </w:pPr>
          </w:p>
        </w:tc>
        <w:tc>
          <w:tcPr>
            <w:tcW w:w="977" w:type="dxa"/>
            <w:tcBorders>
              <w:top w:val="single" w:sz="12" w:space="0" w:color="auto"/>
            </w:tcBorders>
            <w:shd w:val="clear" w:color="auto" w:fill="auto"/>
            <w:noWrap/>
            <w:vAlign w:val="bottom"/>
          </w:tcPr>
          <w:p w14:paraId="69AF19F5" w14:textId="77777777" w:rsidR="000A29B8" w:rsidRPr="00336940" w:rsidRDefault="000A29B8" w:rsidP="000A29B8">
            <w:pPr>
              <w:pStyle w:val="SingleTxtG"/>
              <w:tabs>
                <w:tab w:val="clear" w:pos="1701"/>
                <w:tab w:val="clear" w:pos="2268"/>
                <w:tab w:val="clear" w:pos="2835"/>
              </w:tabs>
              <w:spacing w:before="40" w:after="40" w:line="220" w:lineRule="exact"/>
              <w:ind w:left="113" w:right="0"/>
              <w:jc w:val="right"/>
              <w:rPr>
                <w:rFonts w:eastAsia="Calibri"/>
                <w:bCs/>
                <w:sz w:val="18"/>
                <w:lang w:val="en-US"/>
              </w:rPr>
            </w:pPr>
          </w:p>
        </w:tc>
      </w:tr>
      <w:tr w:rsidR="00521126" w:rsidRPr="00336940" w14:paraId="26D3CC28" w14:textId="77777777" w:rsidTr="00521126">
        <w:trPr>
          <w:trHeight w:val="240"/>
        </w:trPr>
        <w:tc>
          <w:tcPr>
            <w:tcW w:w="2800" w:type="dxa"/>
            <w:shd w:val="clear" w:color="auto" w:fill="auto"/>
            <w:noWrap/>
          </w:tcPr>
          <w:p w14:paraId="517B5D13" w14:textId="409B2063" w:rsidR="00521126" w:rsidRPr="00694EFF" w:rsidRDefault="00521126" w:rsidP="00694EFF">
            <w:pPr>
              <w:pStyle w:val="SingleTxtG"/>
              <w:keepNext/>
              <w:keepLines/>
              <w:tabs>
                <w:tab w:val="clear" w:pos="1701"/>
                <w:tab w:val="clear" w:pos="2268"/>
                <w:tab w:val="clear" w:pos="2835"/>
              </w:tabs>
              <w:spacing w:before="40" w:after="40" w:line="220" w:lineRule="exact"/>
              <w:ind w:left="560" w:right="0" w:hanging="560"/>
              <w:jc w:val="left"/>
              <w:rPr>
                <w:b/>
                <w:sz w:val="18"/>
                <w:lang w:val="es-ES_tradnl"/>
              </w:rPr>
            </w:pPr>
            <w:r w:rsidRPr="00694EFF">
              <w:rPr>
                <w:b/>
                <w:sz w:val="18"/>
                <w:lang w:val="es-ES_tradnl"/>
              </w:rPr>
              <w:t>3.8.1</w:t>
            </w:r>
            <w:r w:rsidR="00694EFF">
              <w:rPr>
                <w:b/>
                <w:sz w:val="18"/>
                <w:lang w:val="es-ES_tradnl"/>
              </w:rPr>
              <w:tab/>
            </w:r>
            <w:r w:rsidRPr="00694EFF">
              <w:rPr>
                <w:b/>
                <w:sz w:val="18"/>
                <w:lang w:val="es-ES_tradnl"/>
              </w:rPr>
              <w:t>Evolución del presupuesto del Ministerio de Educación Nacional destinado a la gestión [en millones de dírhams (</w:t>
            </w:r>
            <w:proofErr w:type="spellStart"/>
            <w:r w:rsidRPr="00694EFF">
              <w:rPr>
                <w:b/>
                <w:sz w:val="18"/>
                <w:lang w:val="es-ES_tradnl"/>
              </w:rPr>
              <w:t>DH</w:t>
            </w:r>
            <w:proofErr w:type="spellEnd"/>
            <w:r w:rsidRPr="00694EFF">
              <w:rPr>
                <w:b/>
                <w:sz w:val="18"/>
                <w:lang w:val="es-ES_tradnl"/>
              </w:rPr>
              <w:t>)]</w:t>
            </w:r>
          </w:p>
        </w:tc>
        <w:tc>
          <w:tcPr>
            <w:tcW w:w="976" w:type="dxa"/>
            <w:shd w:val="clear" w:color="auto" w:fill="auto"/>
            <w:noWrap/>
            <w:vAlign w:val="bottom"/>
          </w:tcPr>
          <w:p w14:paraId="04AE9106" w14:textId="39286319" w:rsidR="00521126" w:rsidRPr="00336940" w:rsidRDefault="00521126" w:rsidP="00521126">
            <w:pPr>
              <w:pStyle w:val="SingleTxtG"/>
              <w:tabs>
                <w:tab w:val="clear" w:pos="1701"/>
                <w:tab w:val="clear" w:pos="2268"/>
                <w:tab w:val="clear" w:pos="2835"/>
              </w:tabs>
              <w:spacing w:before="40" w:after="40" w:line="220" w:lineRule="exact"/>
              <w:ind w:left="113" w:right="0"/>
              <w:jc w:val="right"/>
              <w:rPr>
                <w:sz w:val="18"/>
                <w:lang w:val="en-US"/>
              </w:rPr>
            </w:pPr>
            <w:r w:rsidRPr="00100248">
              <w:rPr>
                <w:b/>
                <w:bCs/>
                <w:sz w:val="18"/>
                <w:lang w:val="en-US"/>
              </w:rPr>
              <w:t>41 883</w:t>
            </w:r>
          </w:p>
        </w:tc>
        <w:tc>
          <w:tcPr>
            <w:tcW w:w="977" w:type="dxa"/>
            <w:shd w:val="clear" w:color="auto" w:fill="auto"/>
            <w:noWrap/>
            <w:vAlign w:val="bottom"/>
          </w:tcPr>
          <w:p w14:paraId="37FE54F8" w14:textId="5D6E855B" w:rsidR="00521126" w:rsidRPr="00336940" w:rsidRDefault="00521126" w:rsidP="00521126">
            <w:pPr>
              <w:pStyle w:val="SingleTxtG"/>
              <w:tabs>
                <w:tab w:val="clear" w:pos="1701"/>
                <w:tab w:val="clear" w:pos="2268"/>
                <w:tab w:val="clear" w:pos="2835"/>
              </w:tabs>
              <w:spacing w:before="40" w:after="40" w:line="220" w:lineRule="exact"/>
              <w:ind w:left="113" w:right="0"/>
              <w:jc w:val="right"/>
              <w:rPr>
                <w:sz w:val="18"/>
                <w:lang w:val="en-US"/>
              </w:rPr>
            </w:pPr>
            <w:r w:rsidRPr="00100248">
              <w:rPr>
                <w:b/>
                <w:bCs/>
                <w:sz w:val="18"/>
                <w:lang w:val="en-US"/>
              </w:rPr>
              <w:t>43 667</w:t>
            </w:r>
          </w:p>
        </w:tc>
        <w:tc>
          <w:tcPr>
            <w:tcW w:w="977" w:type="dxa"/>
            <w:shd w:val="clear" w:color="auto" w:fill="auto"/>
            <w:noWrap/>
            <w:vAlign w:val="bottom"/>
          </w:tcPr>
          <w:p w14:paraId="330E7401" w14:textId="73FED4A3" w:rsidR="00521126" w:rsidRPr="00336940" w:rsidRDefault="00521126" w:rsidP="00521126">
            <w:pPr>
              <w:pStyle w:val="SingleTxtG"/>
              <w:tabs>
                <w:tab w:val="clear" w:pos="1701"/>
                <w:tab w:val="clear" w:pos="2268"/>
                <w:tab w:val="clear" w:pos="2835"/>
              </w:tabs>
              <w:spacing w:before="40" w:after="40" w:line="220" w:lineRule="exact"/>
              <w:ind w:left="113" w:right="0"/>
              <w:jc w:val="right"/>
              <w:rPr>
                <w:sz w:val="18"/>
                <w:lang w:val="en-US"/>
              </w:rPr>
            </w:pPr>
            <w:r w:rsidRPr="00100248">
              <w:rPr>
                <w:b/>
                <w:bCs/>
                <w:sz w:val="18"/>
                <w:lang w:val="en-US"/>
              </w:rPr>
              <w:t>43 852</w:t>
            </w:r>
          </w:p>
        </w:tc>
        <w:tc>
          <w:tcPr>
            <w:tcW w:w="977" w:type="dxa"/>
            <w:shd w:val="clear" w:color="auto" w:fill="auto"/>
            <w:noWrap/>
            <w:vAlign w:val="bottom"/>
          </w:tcPr>
          <w:p w14:paraId="4C850FE5" w14:textId="12307697" w:rsidR="00521126" w:rsidRPr="00336940" w:rsidRDefault="00521126" w:rsidP="00521126">
            <w:pPr>
              <w:pStyle w:val="SingleTxtG"/>
              <w:tabs>
                <w:tab w:val="clear" w:pos="1701"/>
                <w:tab w:val="clear" w:pos="2268"/>
                <w:tab w:val="clear" w:pos="2835"/>
              </w:tabs>
              <w:spacing w:before="40" w:after="40" w:line="220" w:lineRule="exact"/>
              <w:ind w:left="113" w:right="0"/>
              <w:jc w:val="right"/>
              <w:rPr>
                <w:sz w:val="18"/>
                <w:lang w:val="en-US"/>
              </w:rPr>
            </w:pPr>
            <w:r w:rsidRPr="00100248">
              <w:rPr>
                <w:b/>
                <w:bCs/>
                <w:sz w:val="18"/>
                <w:lang w:val="en-US"/>
              </w:rPr>
              <w:t>42 734</w:t>
            </w:r>
          </w:p>
        </w:tc>
        <w:tc>
          <w:tcPr>
            <w:tcW w:w="977" w:type="dxa"/>
            <w:shd w:val="clear" w:color="auto" w:fill="auto"/>
            <w:noWrap/>
            <w:vAlign w:val="bottom"/>
          </w:tcPr>
          <w:p w14:paraId="27BFB39D" w14:textId="68423E9E" w:rsidR="00521126" w:rsidRPr="00336940" w:rsidRDefault="00521126" w:rsidP="00521126">
            <w:pPr>
              <w:pStyle w:val="SingleTxtG"/>
              <w:tabs>
                <w:tab w:val="clear" w:pos="1701"/>
                <w:tab w:val="clear" w:pos="2268"/>
                <w:tab w:val="clear" w:pos="2835"/>
              </w:tabs>
              <w:spacing w:before="40" w:after="40" w:line="220" w:lineRule="exact"/>
              <w:ind w:left="113" w:right="0"/>
              <w:jc w:val="right"/>
              <w:rPr>
                <w:sz w:val="18"/>
                <w:lang w:val="en-US"/>
              </w:rPr>
            </w:pPr>
            <w:r w:rsidRPr="00100248">
              <w:rPr>
                <w:b/>
                <w:bCs/>
                <w:sz w:val="18"/>
                <w:lang w:val="en-US"/>
              </w:rPr>
              <w:t>40 172</w:t>
            </w:r>
          </w:p>
        </w:tc>
        <w:tc>
          <w:tcPr>
            <w:tcW w:w="977" w:type="dxa"/>
            <w:shd w:val="clear" w:color="auto" w:fill="auto"/>
            <w:noWrap/>
            <w:vAlign w:val="bottom"/>
          </w:tcPr>
          <w:p w14:paraId="005A4556" w14:textId="50692357" w:rsidR="00521126" w:rsidRPr="00336940" w:rsidRDefault="00521126" w:rsidP="00521126">
            <w:pPr>
              <w:pStyle w:val="SingleTxtG"/>
              <w:tabs>
                <w:tab w:val="clear" w:pos="1701"/>
                <w:tab w:val="clear" w:pos="2268"/>
                <w:tab w:val="clear" w:pos="2835"/>
              </w:tabs>
              <w:spacing w:before="40" w:after="40" w:line="220" w:lineRule="exact"/>
              <w:ind w:left="113" w:right="0"/>
              <w:jc w:val="right"/>
              <w:rPr>
                <w:sz w:val="18"/>
                <w:lang w:val="en-US"/>
              </w:rPr>
            </w:pPr>
            <w:r w:rsidRPr="00100248">
              <w:rPr>
                <w:b/>
                <w:bCs/>
                <w:sz w:val="18"/>
                <w:lang w:val="en-US"/>
              </w:rPr>
              <w:t>43 658</w:t>
            </w:r>
          </w:p>
        </w:tc>
        <w:tc>
          <w:tcPr>
            <w:tcW w:w="977" w:type="dxa"/>
            <w:shd w:val="clear" w:color="auto" w:fill="auto"/>
            <w:noWrap/>
            <w:vAlign w:val="bottom"/>
          </w:tcPr>
          <w:p w14:paraId="2222A9AB"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p>
        </w:tc>
      </w:tr>
      <w:tr w:rsidR="00521126" w:rsidRPr="00336940" w14:paraId="73002C55" w14:textId="77777777" w:rsidTr="00521126">
        <w:trPr>
          <w:trHeight w:val="240"/>
        </w:trPr>
        <w:tc>
          <w:tcPr>
            <w:tcW w:w="2800" w:type="dxa"/>
            <w:shd w:val="clear" w:color="auto" w:fill="auto"/>
            <w:noWrap/>
            <w:hideMark/>
          </w:tcPr>
          <w:p w14:paraId="3FB4932C" w14:textId="77777777" w:rsidR="00521126" w:rsidRPr="00336940" w:rsidRDefault="00521126" w:rsidP="00521126">
            <w:pPr>
              <w:pStyle w:val="SingleTxtG"/>
              <w:tabs>
                <w:tab w:val="clear" w:pos="1701"/>
                <w:tab w:val="clear" w:pos="2268"/>
                <w:tab w:val="clear" w:pos="2835"/>
              </w:tabs>
              <w:spacing w:before="40" w:after="40" w:line="220" w:lineRule="exact"/>
              <w:ind w:left="0" w:right="0"/>
              <w:jc w:val="left"/>
              <w:rPr>
                <w:rFonts w:eastAsia="Calibri"/>
                <w:sz w:val="18"/>
              </w:rPr>
            </w:pPr>
            <w:r w:rsidRPr="00336940">
              <w:rPr>
                <w:sz w:val="18"/>
              </w:rPr>
              <w:t>Porcentaje respecto de los Presupuestos Generales del Estado</w:t>
            </w:r>
          </w:p>
        </w:tc>
        <w:tc>
          <w:tcPr>
            <w:tcW w:w="976" w:type="dxa"/>
            <w:shd w:val="clear" w:color="auto" w:fill="auto"/>
            <w:noWrap/>
            <w:vAlign w:val="bottom"/>
            <w:hideMark/>
          </w:tcPr>
          <w:p w14:paraId="0D7EE7D0"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24,8</w:t>
            </w:r>
          </w:p>
        </w:tc>
        <w:tc>
          <w:tcPr>
            <w:tcW w:w="977" w:type="dxa"/>
            <w:shd w:val="clear" w:color="auto" w:fill="auto"/>
            <w:noWrap/>
            <w:vAlign w:val="bottom"/>
            <w:hideMark/>
          </w:tcPr>
          <w:p w14:paraId="588FCE75"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26,0</w:t>
            </w:r>
          </w:p>
        </w:tc>
        <w:tc>
          <w:tcPr>
            <w:tcW w:w="977" w:type="dxa"/>
            <w:shd w:val="clear" w:color="auto" w:fill="auto"/>
            <w:noWrap/>
            <w:vAlign w:val="bottom"/>
            <w:hideMark/>
          </w:tcPr>
          <w:p w14:paraId="1FF04BAD"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27,8</w:t>
            </w:r>
          </w:p>
        </w:tc>
        <w:tc>
          <w:tcPr>
            <w:tcW w:w="977" w:type="dxa"/>
            <w:shd w:val="clear" w:color="auto" w:fill="auto"/>
            <w:noWrap/>
            <w:vAlign w:val="bottom"/>
            <w:hideMark/>
          </w:tcPr>
          <w:p w14:paraId="6093F846"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29,0</w:t>
            </w:r>
          </w:p>
        </w:tc>
        <w:tc>
          <w:tcPr>
            <w:tcW w:w="977" w:type="dxa"/>
            <w:shd w:val="clear" w:color="auto" w:fill="auto"/>
            <w:noWrap/>
            <w:vAlign w:val="bottom"/>
            <w:hideMark/>
          </w:tcPr>
          <w:p w14:paraId="27A879C3"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26,6</w:t>
            </w:r>
          </w:p>
        </w:tc>
        <w:tc>
          <w:tcPr>
            <w:tcW w:w="977" w:type="dxa"/>
            <w:shd w:val="clear" w:color="auto" w:fill="auto"/>
            <w:noWrap/>
            <w:vAlign w:val="bottom"/>
            <w:hideMark/>
          </w:tcPr>
          <w:p w14:paraId="0553E9A3"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27,2</w:t>
            </w:r>
          </w:p>
        </w:tc>
        <w:tc>
          <w:tcPr>
            <w:tcW w:w="977" w:type="dxa"/>
            <w:shd w:val="clear" w:color="auto" w:fill="auto"/>
            <w:noWrap/>
            <w:vAlign w:val="bottom"/>
            <w:hideMark/>
          </w:tcPr>
          <w:p w14:paraId="7F36C3BD"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p>
        </w:tc>
      </w:tr>
      <w:tr w:rsidR="00521126" w:rsidRPr="00336940" w14:paraId="4652DD91" w14:textId="77777777" w:rsidTr="00521126">
        <w:trPr>
          <w:trHeight w:val="240"/>
        </w:trPr>
        <w:tc>
          <w:tcPr>
            <w:tcW w:w="2800" w:type="dxa"/>
            <w:shd w:val="clear" w:color="auto" w:fill="auto"/>
            <w:noWrap/>
            <w:hideMark/>
          </w:tcPr>
          <w:p w14:paraId="68B1B0B0" w14:textId="5CB323EF" w:rsidR="00521126" w:rsidRPr="004F510C" w:rsidRDefault="00521126" w:rsidP="00521126">
            <w:pPr>
              <w:pStyle w:val="SingleTxtG"/>
              <w:tabs>
                <w:tab w:val="clear" w:pos="1701"/>
                <w:tab w:val="clear" w:pos="2268"/>
                <w:tab w:val="clear" w:pos="2835"/>
                <w:tab w:val="left" w:pos="504"/>
              </w:tabs>
              <w:spacing w:before="40" w:after="40" w:line="220" w:lineRule="exact"/>
              <w:ind w:left="510" w:right="0" w:hanging="510"/>
              <w:jc w:val="left"/>
              <w:rPr>
                <w:rFonts w:eastAsia="Calibri"/>
                <w:b/>
                <w:sz w:val="18"/>
              </w:rPr>
            </w:pPr>
            <w:r w:rsidRPr="004F510C">
              <w:rPr>
                <w:rFonts w:eastAsia="Calibri"/>
                <w:b/>
                <w:sz w:val="18"/>
              </w:rPr>
              <w:t>3.8.2</w:t>
            </w:r>
            <w:r w:rsidRPr="004F510C">
              <w:rPr>
                <w:rFonts w:eastAsia="Calibri"/>
                <w:b/>
                <w:sz w:val="18"/>
              </w:rPr>
              <w:tab/>
              <w:t xml:space="preserve">Evolución del </w:t>
            </w:r>
            <w:r w:rsidRPr="00100248">
              <w:rPr>
                <w:rFonts w:eastAsia="Calibri"/>
                <w:b/>
                <w:iCs/>
                <w:sz w:val="18"/>
                <w:lang w:val="es-ES_tradnl"/>
              </w:rPr>
              <w:t>presupuesto</w:t>
            </w:r>
            <w:r w:rsidRPr="004F510C">
              <w:rPr>
                <w:rFonts w:eastAsia="Calibri"/>
                <w:b/>
                <w:sz w:val="18"/>
              </w:rPr>
              <w:t xml:space="preserve"> de inversiones del Ministerio de Educación Nacional [en millones de dírhams (</w:t>
            </w:r>
            <w:proofErr w:type="spellStart"/>
            <w:r w:rsidRPr="004F510C">
              <w:rPr>
                <w:rFonts w:eastAsia="Calibri"/>
                <w:b/>
                <w:sz w:val="18"/>
              </w:rPr>
              <w:t>DH</w:t>
            </w:r>
            <w:proofErr w:type="spellEnd"/>
            <w:r w:rsidRPr="004F510C">
              <w:rPr>
                <w:rFonts w:eastAsia="Calibri"/>
                <w:b/>
                <w:sz w:val="18"/>
              </w:rPr>
              <w:t>)]</w:t>
            </w:r>
          </w:p>
        </w:tc>
        <w:tc>
          <w:tcPr>
            <w:tcW w:w="976" w:type="dxa"/>
            <w:shd w:val="clear" w:color="auto" w:fill="auto"/>
            <w:noWrap/>
            <w:vAlign w:val="bottom"/>
            <w:hideMark/>
          </w:tcPr>
          <w:p w14:paraId="03D43ADD" w14:textId="77777777" w:rsidR="00521126" w:rsidRPr="00100248" w:rsidRDefault="00521126" w:rsidP="00521126">
            <w:pPr>
              <w:pStyle w:val="SingleTxtG"/>
              <w:tabs>
                <w:tab w:val="clear" w:pos="1701"/>
                <w:tab w:val="clear" w:pos="2268"/>
                <w:tab w:val="clear" w:pos="2835"/>
              </w:tabs>
              <w:spacing w:before="40" w:after="40" w:line="220" w:lineRule="exact"/>
              <w:ind w:left="113" w:right="0"/>
              <w:jc w:val="right"/>
              <w:rPr>
                <w:rFonts w:eastAsia="Calibri"/>
                <w:b/>
                <w:bCs/>
                <w:sz w:val="18"/>
                <w:lang w:val="en-US"/>
              </w:rPr>
            </w:pPr>
            <w:r w:rsidRPr="00100248">
              <w:rPr>
                <w:b/>
                <w:bCs/>
                <w:sz w:val="18"/>
                <w:lang w:val="en-US"/>
              </w:rPr>
              <w:t>3 097</w:t>
            </w:r>
          </w:p>
        </w:tc>
        <w:tc>
          <w:tcPr>
            <w:tcW w:w="977" w:type="dxa"/>
            <w:shd w:val="clear" w:color="auto" w:fill="auto"/>
            <w:noWrap/>
            <w:vAlign w:val="bottom"/>
            <w:hideMark/>
          </w:tcPr>
          <w:p w14:paraId="7FE2EB7A" w14:textId="77777777" w:rsidR="00521126" w:rsidRPr="00100248" w:rsidRDefault="00521126" w:rsidP="00521126">
            <w:pPr>
              <w:pStyle w:val="SingleTxtG"/>
              <w:tabs>
                <w:tab w:val="clear" w:pos="1701"/>
                <w:tab w:val="clear" w:pos="2268"/>
                <w:tab w:val="clear" w:pos="2835"/>
              </w:tabs>
              <w:spacing w:before="40" w:after="40" w:line="220" w:lineRule="exact"/>
              <w:ind w:left="113" w:right="0"/>
              <w:jc w:val="right"/>
              <w:rPr>
                <w:rFonts w:eastAsia="Calibri"/>
                <w:b/>
                <w:bCs/>
                <w:sz w:val="18"/>
                <w:lang w:val="en-US"/>
              </w:rPr>
            </w:pPr>
            <w:r w:rsidRPr="00100248">
              <w:rPr>
                <w:b/>
                <w:bCs/>
                <w:sz w:val="18"/>
                <w:lang w:val="en-US"/>
              </w:rPr>
              <w:t>3 119</w:t>
            </w:r>
          </w:p>
        </w:tc>
        <w:tc>
          <w:tcPr>
            <w:tcW w:w="977" w:type="dxa"/>
            <w:shd w:val="clear" w:color="auto" w:fill="auto"/>
            <w:noWrap/>
            <w:vAlign w:val="bottom"/>
            <w:hideMark/>
          </w:tcPr>
          <w:p w14:paraId="3F709431" w14:textId="77777777" w:rsidR="00521126" w:rsidRPr="00100248" w:rsidRDefault="00521126" w:rsidP="00521126">
            <w:pPr>
              <w:pStyle w:val="SingleTxtG"/>
              <w:tabs>
                <w:tab w:val="clear" w:pos="1701"/>
                <w:tab w:val="clear" w:pos="2268"/>
                <w:tab w:val="clear" w:pos="2835"/>
              </w:tabs>
              <w:spacing w:before="40" w:after="40" w:line="220" w:lineRule="exact"/>
              <w:ind w:left="113" w:right="0"/>
              <w:jc w:val="right"/>
              <w:rPr>
                <w:rFonts w:eastAsia="Calibri"/>
                <w:b/>
                <w:bCs/>
                <w:sz w:val="18"/>
                <w:lang w:val="en-US"/>
              </w:rPr>
            </w:pPr>
            <w:r w:rsidRPr="00100248">
              <w:rPr>
                <w:b/>
                <w:bCs/>
                <w:sz w:val="18"/>
                <w:lang w:val="en-US"/>
              </w:rPr>
              <w:t>3 268</w:t>
            </w:r>
          </w:p>
        </w:tc>
        <w:tc>
          <w:tcPr>
            <w:tcW w:w="977" w:type="dxa"/>
            <w:shd w:val="clear" w:color="auto" w:fill="auto"/>
            <w:noWrap/>
            <w:vAlign w:val="bottom"/>
            <w:hideMark/>
          </w:tcPr>
          <w:p w14:paraId="5CF1F2CB" w14:textId="77777777" w:rsidR="00521126" w:rsidRPr="00100248" w:rsidRDefault="00521126" w:rsidP="00521126">
            <w:pPr>
              <w:pStyle w:val="SingleTxtG"/>
              <w:tabs>
                <w:tab w:val="clear" w:pos="1701"/>
                <w:tab w:val="clear" w:pos="2268"/>
                <w:tab w:val="clear" w:pos="2835"/>
              </w:tabs>
              <w:spacing w:before="40" w:after="40" w:line="220" w:lineRule="exact"/>
              <w:ind w:left="113" w:right="0"/>
              <w:jc w:val="right"/>
              <w:rPr>
                <w:rFonts w:eastAsia="Calibri"/>
                <w:b/>
                <w:bCs/>
                <w:sz w:val="18"/>
                <w:lang w:val="en-US"/>
              </w:rPr>
            </w:pPr>
            <w:r w:rsidRPr="00100248">
              <w:rPr>
                <w:b/>
                <w:bCs/>
                <w:sz w:val="18"/>
                <w:lang w:val="en-US"/>
              </w:rPr>
              <w:t>3 812</w:t>
            </w:r>
          </w:p>
        </w:tc>
        <w:tc>
          <w:tcPr>
            <w:tcW w:w="977" w:type="dxa"/>
            <w:shd w:val="clear" w:color="auto" w:fill="auto"/>
            <w:noWrap/>
            <w:vAlign w:val="bottom"/>
            <w:hideMark/>
          </w:tcPr>
          <w:p w14:paraId="48FC2B2A" w14:textId="77777777" w:rsidR="00521126" w:rsidRPr="00100248" w:rsidRDefault="00521126" w:rsidP="00521126">
            <w:pPr>
              <w:pStyle w:val="SingleTxtG"/>
              <w:tabs>
                <w:tab w:val="clear" w:pos="1701"/>
                <w:tab w:val="clear" w:pos="2268"/>
                <w:tab w:val="clear" w:pos="2835"/>
              </w:tabs>
              <w:spacing w:before="40" w:after="40" w:line="220" w:lineRule="exact"/>
              <w:ind w:left="113" w:right="0"/>
              <w:jc w:val="right"/>
              <w:rPr>
                <w:rFonts w:eastAsia="Calibri"/>
                <w:b/>
                <w:bCs/>
                <w:sz w:val="18"/>
                <w:lang w:val="en-US"/>
              </w:rPr>
            </w:pPr>
            <w:r w:rsidRPr="00100248">
              <w:rPr>
                <w:b/>
                <w:bCs/>
                <w:sz w:val="18"/>
                <w:lang w:val="en-US"/>
              </w:rPr>
              <w:t>4 855</w:t>
            </w:r>
          </w:p>
        </w:tc>
        <w:tc>
          <w:tcPr>
            <w:tcW w:w="977" w:type="dxa"/>
            <w:shd w:val="clear" w:color="auto" w:fill="auto"/>
            <w:noWrap/>
            <w:vAlign w:val="bottom"/>
            <w:hideMark/>
          </w:tcPr>
          <w:p w14:paraId="0D10C6CC" w14:textId="77777777" w:rsidR="00521126" w:rsidRPr="00100248" w:rsidRDefault="00521126" w:rsidP="00521126">
            <w:pPr>
              <w:pStyle w:val="SingleTxtG"/>
              <w:tabs>
                <w:tab w:val="clear" w:pos="1701"/>
                <w:tab w:val="clear" w:pos="2268"/>
                <w:tab w:val="clear" w:pos="2835"/>
              </w:tabs>
              <w:spacing w:before="40" w:after="40" w:line="220" w:lineRule="exact"/>
              <w:ind w:left="113" w:right="0"/>
              <w:jc w:val="right"/>
              <w:rPr>
                <w:rFonts w:eastAsia="Calibri"/>
                <w:b/>
                <w:bCs/>
                <w:sz w:val="18"/>
                <w:lang w:val="en-US"/>
              </w:rPr>
            </w:pPr>
          </w:p>
        </w:tc>
        <w:tc>
          <w:tcPr>
            <w:tcW w:w="977" w:type="dxa"/>
            <w:shd w:val="clear" w:color="auto" w:fill="auto"/>
            <w:noWrap/>
            <w:vAlign w:val="bottom"/>
            <w:hideMark/>
          </w:tcPr>
          <w:p w14:paraId="57A74019"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p>
        </w:tc>
      </w:tr>
      <w:tr w:rsidR="00521126" w:rsidRPr="00336940" w14:paraId="6ED58569" w14:textId="77777777" w:rsidTr="00521126">
        <w:trPr>
          <w:trHeight w:val="240"/>
        </w:trPr>
        <w:tc>
          <w:tcPr>
            <w:tcW w:w="2800" w:type="dxa"/>
            <w:shd w:val="clear" w:color="auto" w:fill="auto"/>
            <w:noWrap/>
            <w:hideMark/>
          </w:tcPr>
          <w:p w14:paraId="740ADF63" w14:textId="77777777" w:rsidR="00521126" w:rsidRPr="00336940" w:rsidRDefault="00521126" w:rsidP="00521126">
            <w:pPr>
              <w:pStyle w:val="SingleTxtG"/>
              <w:tabs>
                <w:tab w:val="clear" w:pos="1701"/>
                <w:tab w:val="clear" w:pos="2268"/>
                <w:tab w:val="clear" w:pos="2835"/>
              </w:tabs>
              <w:spacing w:before="40" w:after="40" w:line="220" w:lineRule="exact"/>
              <w:ind w:left="0" w:right="0"/>
              <w:jc w:val="left"/>
              <w:rPr>
                <w:rFonts w:eastAsia="Calibri"/>
                <w:sz w:val="18"/>
              </w:rPr>
            </w:pPr>
            <w:r w:rsidRPr="00336940">
              <w:rPr>
                <w:sz w:val="18"/>
              </w:rPr>
              <w:t>Porcentaje respecto de los Presupuestos Generales del Estado</w:t>
            </w:r>
          </w:p>
        </w:tc>
        <w:tc>
          <w:tcPr>
            <w:tcW w:w="976" w:type="dxa"/>
            <w:shd w:val="clear" w:color="auto" w:fill="auto"/>
            <w:noWrap/>
            <w:vAlign w:val="bottom"/>
            <w:hideMark/>
          </w:tcPr>
          <w:p w14:paraId="6028BF64"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6,9</w:t>
            </w:r>
          </w:p>
        </w:tc>
        <w:tc>
          <w:tcPr>
            <w:tcW w:w="977" w:type="dxa"/>
            <w:shd w:val="clear" w:color="auto" w:fill="auto"/>
            <w:noWrap/>
            <w:vAlign w:val="bottom"/>
            <w:hideMark/>
          </w:tcPr>
          <w:p w14:paraId="164344DC"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6,5</w:t>
            </w:r>
          </w:p>
        </w:tc>
        <w:tc>
          <w:tcPr>
            <w:tcW w:w="977" w:type="dxa"/>
            <w:shd w:val="clear" w:color="auto" w:fill="auto"/>
            <w:noWrap/>
            <w:vAlign w:val="bottom"/>
            <w:hideMark/>
          </w:tcPr>
          <w:p w14:paraId="2DB5641F"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6,0</w:t>
            </w:r>
          </w:p>
        </w:tc>
        <w:tc>
          <w:tcPr>
            <w:tcW w:w="977" w:type="dxa"/>
            <w:shd w:val="clear" w:color="auto" w:fill="auto"/>
            <w:noWrap/>
            <w:vAlign w:val="bottom"/>
            <w:hideMark/>
          </w:tcPr>
          <w:p w14:paraId="22CEB595"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6,2</w:t>
            </w:r>
          </w:p>
        </w:tc>
        <w:tc>
          <w:tcPr>
            <w:tcW w:w="977" w:type="dxa"/>
            <w:shd w:val="clear" w:color="auto" w:fill="auto"/>
            <w:noWrap/>
            <w:vAlign w:val="bottom"/>
            <w:hideMark/>
          </w:tcPr>
          <w:p w14:paraId="6F18D112"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7,6</w:t>
            </w:r>
          </w:p>
        </w:tc>
        <w:tc>
          <w:tcPr>
            <w:tcW w:w="977" w:type="dxa"/>
            <w:shd w:val="clear" w:color="auto" w:fill="auto"/>
            <w:noWrap/>
            <w:vAlign w:val="bottom"/>
            <w:hideMark/>
          </w:tcPr>
          <w:p w14:paraId="2619855E"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p>
        </w:tc>
        <w:tc>
          <w:tcPr>
            <w:tcW w:w="977" w:type="dxa"/>
            <w:shd w:val="clear" w:color="auto" w:fill="auto"/>
            <w:noWrap/>
            <w:vAlign w:val="bottom"/>
            <w:hideMark/>
          </w:tcPr>
          <w:p w14:paraId="3C1E3B4B"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p>
        </w:tc>
      </w:tr>
      <w:tr w:rsidR="00521126" w:rsidRPr="00336940" w14:paraId="440BC3F4" w14:textId="77777777" w:rsidTr="00521126">
        <w:trPr>
          <w:trHeight w:val="240"/>
        </w:trPr>
        <w:tc>
          <w:tcPr>
            <w:tcW w:w="2800" w:type="dxa"/>
            <w:shd w:val="clear" w:color="auto" w:fill="auto"/>
            <w:noWrap/>
            <w:hideMark/>
          </w:tcPr>
          <w:p w14:paraId="106BECD5" w14:textId="7797D181" w:rsidR="00521126" w:rsidRPr="004F510C" w:rsidRDefault="00521126" w:rsidP="00521126">
            <w:pPr>
              <w:pStyle w:val="SingleTxtG"/>
              <w:tabs>
                <w:tab w:val="clear" w:pos="1701"/>
                <w:tab w:val="clear" w:pos="2268"/>
                <w:tab w:val="clear" w:pos="2835"/>
                <w:tab w:val="left" w:pos="504"/>
              </w:tabs>
              <w:spacing w:before="40" w:after="40" w:line="220" w:lineRule="exact"/>
              <w:ind w:left="510" w:right="0" w:hanging="510"/>
              <w:jc w:val="left"/>
              <w:rPr>
                <w:rFonts w:eastAsia="Calibri"/>
                <w:b/>
                <w:sz w:val="18"/>
              </w:rPr>
            </w:pPr>
            <w:r w:rsidRPr="004F510C">
              <w:rPr>
                <w:rFonts w:eastAsia="Calibri"/>
                <w:b/>
                <w:sz w:val="18"/>
              </w:rPr>
              <w:t>3.8.3</w:t>
            </w:r>
            <w:r w:rsidRPr="004F510C">
              <w:rPr>
                <w:rFonts w:eastAsia="Calibri"/>
                <w:b/>
                <w:sz w:val="18"/>
              </w:rPr>
              <w:tab/>
              <w:t xml:space="preserve">Evolución del presupuesto total del Ministerio de Educación </w:t>
            </w:r>
            <w:r w:rsidRPr="00100248">
              <w:rPr>
                <w:rFonts w:eastAsia="Calibri"/>
                <w:b/>
                <w:iCs/>
                <w:sz w:val="18"/>
                <w:lang w:val="es-ES_tradnl"/>
              </w:rPr>
              <w:t>Nacional</w:t>
            </w:r>
            <w:r w:rsidRPr="004F510C">
              <w:rPr>
                <w:rFonts w:eastAsia="Calibri"/>
                <w:b/>
                <w:sz w:val="18"/>
              </w:rPr>
              <w:t xml:space="preserve"> [en millones de dírhams (</w:t>
            </w:r>
            <w:proofErr w:type="spellStart"/>
            <w:r w:rsidRPr="004F510C">
              <w:rPr>
                <w:rFonts w:eastAsia="Calibri"/>
                <w:b/>
                <w:sz w:val="18"/>
              </w:rPr>
              <w:t>DH</w:t>
            </w:r>
            <w:proofErr w:type="spellEnd"/>
            <w:r w:rsidRPr="004F510C">
              <w:rPr>
                <w:rFonts w:eastAsia="Calibri"/>
                <w:b/>
                <w:sz w:val="18"/>
              </w:rPr>
              <w:t>)]</w:t>
            </w:r>
          </w:p>
        </w:tc>
        <w:tc>
          <w:tcPr>
            <w:tcW w:w="976" w:type="dxa"/>
            <w:shd w:val="clear" w:color="auto" w:fill="auto"/>
            <w:noWrap/>
            <w:vAlign w:val="bottom"/>
            <w:hideMark/>
          </w:tcPr>
          <w:p w14:paraId="17695936" w14:textId="77777777" w:rsidR="00521126" w:rsidRPr="00100248" w:rsidRDefault="00521126" w:rsidP="00521126">
            <w:pPr>
              <w:pStyle w:val="SingleTxtG"/>
              <w:tabs>
                <w:tab w:val="clear" w:pos="1701"/>
                <w:tab w:val="clear" w:pos="2268"/>
                <w:tab w:val="clear" w:pos="2835"/>
              </w:tabs>
              <w:spacing w:before="40" w:after="40" w:line="220" w:lineRule="exact"/>
              <w:ind w:left="113" w:right="0"/>
              <w:jc w:val="right"/>
              <w:rPr>
                <w:rFonts w:eastAsia="Calibri"/>
                <w:b/>
                <w:bCs/>
                <w:sz w:val="18"/>
                <w:lang w:val="en-US"/>
              </w:rPr>
            </w:pPr>
            <w:r w:rsidRPr="00100248">
              <w:rPr>
                <w:b/>
                <w:bCs/>
                <w:sz w:val="18"/>
                <w:lang w:val="en-US"/>
              </w:rPr>
              <w:t>44 980</w:t>
            </w:r>
          </w:p>
        </w:tc>
        <w:tc>
          <w:tcPr>
            <w:tcW w:w="977" w:type="dxa"/>
            <w:shd w:val="clear" w:color="auto" w:fill="auto"/>
            <w:noWrap/>
            <w:vAlign w:val="bottom"/>
            <w:hideMark/>
          </w:tcPr>
          <w:p w14:paraId="3F901813" w14:textId="77777777" w:rsidR="00521126" w:rsidRPr="00100248" w:rsidRDefault="00521126" w:rsidP="00521126">
            <w:pPr>
              <w:pStyle w:val="SingleTxtG"/>
              <w:tabs>
                <w:tab w:val="clear" w:pos="1701"/>
                <w:tab w:val="clear" w:pos="2268"/>
                <w:tab w:val="clear" w:pos="2835"/>
              </w:tabs>
              <w:spacing w:before="40" w:after="40" w:line="220" w:lineRule="exact"/>
              <w:ind w:left="113" w:right="0"/>
              <w:jc w:val="right"/>
              <w:rPr>
                <w:rFonts w:eastAsia="Calibri"/>
                <w:b/>
                <w:bCs/>
                <w:sz w:val="18"/>
                <w:lang w:val="en-US"/>
              </w:rPr>
            </w:pPr>
            <w:r w:rsidRPr="00100248">
              <w:rPr>
                <w:b/>
                <w:bCs/>
                <w:sz w:val="18"/>
                <w:lang w:val="en-US"/>
              </w:rPr>
              <w:t>45 985</w:t>
            </w:r>
          </w:p>
        </w:tc>
        <w:tc>
          <w:tcPr>
            <w:tcW w:w="977" w:type="dxa"/>
            <w:shd w:val="clear" w:color="auto" w:fill="auto"/>
            <w:noWrap/>
            <w:vAlign w:val="bottom"/>
            <w:hideMark/>
          </w:tcPr>
          <w:p w14:paraId="15F8783B" w14:textId="77777777" w:rsidR="00521126" w:rsidRPr="00100248" w:rsidRDefault="00521126" w:rsidP="00521126">
            <w:pPr>
              <w:pStyle w:val="SingleTxtG"/>
              <w:tabs>
                <w:tab w:val="clear" w:pos="1701"/>
                <w:tab w:val="clear" w:pos="2268"/>
                <w:tab w:val="clear" w:pos="2835"/>
              </w:tabs>
              <w:spacing w:before="40" w:after="40" w:line="220" w:lineRule="exact"/>
              <w:ind w:left="113" w:right="0"/>
              <w:jc w:val="right"/>
              <w:rPr>
                <w:rFonts w:eastAsia="Calibri"/>
                <w:b/>
                <w:bCs/>
                <w:sz w:val="18"/>
                <w:lang w:val="en-US"/>
              </w:rPr>
            </w:pPr>
            <w:r w:rsidRPr="00100248">
              <w:rPr>
                <w:b/>
                <w:bCs/>
                <w:sz w:val="18"/>
                <w:lang w:val="en-US"/>
              </w:rPr>
              <w:t>46 319</w:t>
            </w:r>
          </w:p>
        </w:tc>
        <w:tc>
          <w:tcPr>
            <w:tcW w:w="977" w:type="dxa"/>
            <w:shd w:val="clear" w:color="auto" w:fill="auto"/>
            <w:noWrap/>
            <w:vAlign w:val="bottom"/>
            <w:hideMark/>
          </w:tcPr>
          <w:p w14:paraId="7829356A" w14:textId="77777777" w:rsidR="00521126" w:rsidRPr="00100248" w:rsidRDefault="00521126" w:rsidP="00521126">
            <w:pPr>
              <w:pStyle w:val="SingleTxtG"/>
              <w:tabs>
                <w:tab w:val="clear" w:pos="1701"/>
                <w:tab w:val="clear" w:pos="2268"/>
                <w:tab w:val="clear" w:pos="2835"/>
              </w:tabs>
              <w:spacing w:before="40" w:after="40" w:line="220" w:lineRule="exact"/>
              <w:ind w:left="113" w:right="0"/>
              <w:jc w:val="right"/>
              <w:rPr>
                <w:rFonts w:eastAsia="Calibri"/>
                <w:b/>
                <w:bCs/>
                <w:sz w:val="18"/>
                <w:lang w:val="en-US"/>
              </w:rPr>
            </w:pPr>
            <w:r w:rsidRPr="00100248">
              <w:rPr>
                <w:b/>
                <w:bCs/>
                <w:sz w:val="18"/>
                <w:lang w:val="en-US"/>
              </w:rPr>
              <w:t>45 364</w:t>
            </w:r>
          </w:p>
        </w:tc>
        <w:tc>
          <w:tcPr>
            <w:tcW w:w="977" w:type="dxa"/>
            <w:shd w:val="clear" w:color="auto" w:fill="auto"/>
            <w:noWrap/>
            <w:vAlign w:val="bottom"/>
            <w:hideMark/>
          </w:tcPr>
          <w:p w14:paraId="5FF3165F" w14:textId="77777777" w:rsidR="00521126" w:rsidRPr="00100248" w:rsidRDefault="00521126" w:rsidP="00521126">
            <w:pPr>
              <w:pStyle w:val="SingleTxtG"/>
              <w:tabs>
                <w:tab w:val="clear" w:pos="1701"/>
                <w:tab w:val="clear" w:pos="2268"/>
                <w:tab w:val="clear" w:pos="2835"/>
              </w:tabs>
              <w:spacing w:before="40" w:after="40" w:line="220" w:lineRule="exact"/>
              <w:ind w:left="113" w:right="0"/>
              <w:jc w:val="right"/>
              <w:rPr>
                <w:rFonts w:eastAsia="Calibri"/>
                <w:b/>
                <w:bCs/>
                <w:sz w:val="18"/>
                <w:lang w:val="en-US"/>
              </w:rPr>
            </w:pPr>
            <w:r w:rsidRPr="00100248">
              <w:rPr>
                <w:b/>
                <w:bCs/>
                <w:sz w:val="18"/>
                <w:lang w:val="en-US"/>
              </w:rPr>
              <w:t>43 998</w:t>
            </w:r>
          </w:p>
        </w:tc>
        <w:tc>
          <w:tcPr>
            <w:tcW w:w="977" w:type="dxa"/>
            <w:shd w:val="clear" w:color="auto" w:fill="auto"/>
            <w:noWrap/>
            <w:vAlign w:val="bottom"/>
            <w:hideMark/>
          </w:tcPr>
          <w:p w14:paraId="0BAE25E3" w14:textId="77777777" w:rsidR="00521126" w:rsidRPr="00100248" w:rsidRDefault="00521126" w:rsidP="00521126">
            <w:pPr>
              <w:pStyle w:val="SingleTxtG"/>
              <w:tabs>
                <w:tab w:val="clear" w:pos="1701"/>
                <w:tab w:val="clear" w:pos="2268"/>
                <w:tab w:val="clear" w:pos="2835"/>
              </w:tabs>
              <w:spacing w:before="40" w:after="40" w:line="220" w:lineRule="exact"/>
              <w:ind w:left="113" w:right="0"/>
              <w:jc w:val="right"/>
              <w:rPr>
                <w:rFonts w:eastAsia="Calibri"/>
                <w:b/>
                <w:bCs/>
                <w:sz w:val="18"/>
                <w:lang w:val="en-US"/>
              </w:rPr>
            </w:pPr>
          </w:p>
        </w:tc>
        <w:tc>
          <w:tcPr>
            <w:tcW w:w="977" w:type="dxa"/>
            <w:shd w:val="clear" w:color="auto" w:fill="auto"/>
            <w:noWrap/>
            <w:vAlign w:val="bottom"/>
            <w:hideMark/>
          </w:tcPr>
          <w:p w14:paraId="32F0341B"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p>
        </w:tc>
      </w:tr>
      <w:tr w:rsidR="00521126" w:rsidRPr="00336940" w14:paraId="1EFBA69A" w14:textId="77777777" w:rsidTr="00521126">
        <w:trPr>
          <w:trHeight w:val="240"/>
        </w:trPr>
        <w:tc>
          <w:tcPr>
            <w:tcW w:w="2800" w:type="dxa"/>
            <w:tcBorders>
              <w:bottom w:val="single" w:sz="12" w:space="0" w:color="auto"/>
            </w:tcBorders>
            <w:shd w:val="clear" w:color="auto" w:fill="auto"/>
            <w:noWrap/>
            <w:hideMark/>
          </w:tcPr>
          <w:p w14:paraId="126940CF" w14:textId="77777777" w:rsidR="00521126" w:rsidRPr="00336940" w:rsidRDefault="00521126" w:rsidP="00521126">
            <w:pPr>
              <w:pStyle w:val="SingleTxtG"/>
              <w:tabs>
                <w:tab w:val="clear" w:pos="1701"/>
                <w:tab w:val="clear" w:pos="2268"/>
                <w:tab w:val="clear" w:pos="2835"/>
              </w:tabs>
              <w:spacing w:before="40" w:after="40" w:line="220" w:lineRule="exact"/>
              <w:ind w:left="0" w:right="0"/>
              <w:jc w:val="left"/>
              <w:rPr>
                <w:rFonts w:eastAsia="Calibri"/>
                <w:sz w:val="18"/>
              </w:rPr>
            </w:pPr>
            <w:r w:rsidRPr="00336940">
              <w:rPr>
                <w:sz w:val="18"/>
              </w:rPr>
              <w:t>Porcentaje respecto de los Presupuestos Generales del Estado</w:t>
            </w:r>
          </w:p>
        </w:tc>
        <w:tc>
          <w:tcPr>
            <w:tcW w:w="976" w:type="dxa"/>
            <w:tcBorders>
              <w:bottom w:val="single" w:sz="12" w:space="0" w:color="auto"/>
            </w:tcBorders>
            <w:shd w:val="clear" w:color="auto" w:fill="auto"/>
            <w:noWrap/>
            <w:vAlign w:val="bottom"/>
            <w:hideMark/>
          </w:tcPr>
          <w:p w14:paraId="6AE7FE84" w14:textId="4DFDE02D"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21,0</w:t>
            </w:r>
            <w:r>
              <w:rPr>
                <w:sz w:val="18"/>
                <w:lang w:val="en-US"/>
              </w:rPr>
              <w:t xml:space="preserve">   </w:t>
            </w:r>
          </w:p>
        </w:tc>
        <w:tc>
          <w:tcPr>
            <w:tcW w:w="977" w:type="dxa"/>
            <w:tcBorders>
              <w:bottom w:val="single" w:sz="12" w:space="0" w:color="auto"/>
            </w:tcBorders>
            <w:shd w:val="clear" w:color="auto" w:fill="auto"/>
            <w:noWrap/>
            <w:vAlign w:val="bottom"/>
            <w:hideMark/>
          </w:tcPr>
          <w:p w14:paraId="611C0C6E"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22,1</w:t>
            </w:r>
          </w:p>
        </w:tc>
        <w:tc>
          <w:tcPr>
            <w:tcW w:w="977" w:type="dxa"/>
            <w:tcBorders>
              <w:bottom w:val="single" w:sz="12" w:space="0" w:color="auto"/>
            </w:tcBorders>
            <w:shd w:val="clear" w:color="auto" w:fill="auto"/>
            <w:noWrap/>
            <w:vAlign w:val="bottom"/>
            <w:hideMark/>
          </w:tcPr>
          <w:p w14:paraId="0C15C92E"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22,8</w:t>
            </w:r>
          </w:p>
        </w:tc>
        <w:tc>
          <w:tcPr>
            <w:tcW w:w="977" w:type="dxa"/>
            <w:tcBorders>
              <w:bottom w:val="single" w:sz="12" w:space="0" w:color="auto"/>
            </w:tcBorders>
            <w:shd w:val="clear" w:color="auto" w:fill="auto"/>
            <w:noWrap/>
            <w:vAlign w:val="bottom"/>
            <w:hideMark/>
          </w:tcPr>
          <w:p w14:paraId="3AD3AECC"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23,1</w:t>
            </w:r>
          </w:p>
        </w:tc>
        <w:tc>
          <w:tcPr>
            <w:tcW w:w="977" w:type="dxa"/>
            <w:tcBorders>
              <w:bottom w:val="single" w:sz="12" w:space="0" w:color="auto"/>
            </w:tcBorders>
            <w:shd w:val="clear" w:color="auto" w:fill="auto"/>
            <w:noWrap/>
            <w:vAlign w:val="bottom"/>
            <w:hideMark/>
          </w:tcPr>
          <w:p w14:paraId="65E58DB7"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336940">
              <w:rPr>
                <w:sz w:val="18"/>
                <w:lang w:val="en-US"/>
              </w:rPr>
              <w:t>21,8</w:t>
            </w:r>
          </w:p>
        </w:tc>
        <w:tc>
          <w:tcPr>
            <w:tcW w:w="977" w:type="dxa"/>
            <w:tcBorders>
              <w:bottom w:val="single" w:sz="12" w:space="0" w:color="auto"/>
            </w:tcBorders>
            <w:shd w:val="clear" w:color="auto" w:fill="auto"/>
            <w:noWrap/>
            <w:vAlign w:val="bottom"/>
            <w:hideMark/>
          </w:tcPr>
          <w:p w14:paraId="327A9BDE"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p>
        </w:tc>
        <w:tc>
          <w:tcPr>
            <w:tcW w:w="977" w:type="dxa"/>
            <w:tcBorders>
              <w:bottom w:val="single" w:sz="12" w:space="0" w:color="auto"/>
            </w:tcBorders>
            <w:shd w:val="clear" w:color="auto" w:fill="auto"/>
            <w:noWrap/>
            <w:vAlign w:val="bottom"/>
            <w:hideMark/>
          </w:tcPr>
          <w:p w14:paraId="24BA6D31" w14:textId="77777777" w:rsidR="00521126" w:rsidRPr="00336940" w:rsidRDefault="00521126" w:rsidP="00521126">
            <w:pPr>
              <w:pStyle w:val="SingleTxtG"/>
              <w:tabs>
                <w:tab w:val="clear" w:pos="1701"/>
                <w:tab w:val="clear" w:pos="2268"/>
                <w:tab w:val="clear" w:pos="2835"/>
              </w:tabs>
              <w:spacing w:before="40" w:after="40" w:line="220" w:lineRule="exact"/>
              <w:ind w:left="113" w:right="0"/>
              <w:jc w:val="right"/>
              <w:rPr>
                <w:rFonts w:eastAsia="Calibri"/>
                <w:sz w:val="18"/>
                <w:lang w:val="en-US"/>
              </w:rPr>
            </w:pPr>
          </w:p>
        </w:tc>
      </w:tr>
    </w:tbl>
    <w:p w14:paraId="37332575" w14:textId="78D37B61" w:rsidR="004E0684" w:rsidRPr="006F084A" w:rsidRDefault="004E0684" w:rsidP="007053C4">
      <w:pPr>
        <w:pStyle w:val="SingleTxtG"/>
        <w:spacing w:before="240"/>
        <w:rPr>
          <w:rFonts w:eastAsia="Calibri"/>
        </w:rPr>
      </w:pPr>
      <w:r w:rsidRPr="006F084A">
        <w:t>16.</w:t>
      </w:r>
      <w:r w:rsidR="007053C4">
        <w:tab/>
      </w:r>
      <w:r w:rsidRPr="006F084A">
        <w:t>Por lo que respecta a los datos relacionados con la salud, son los siguientes</w:t>
      </w:r>
      <w:r w:rsidR="007053C4">
        <w:t>.</w:t>
      </w:r>
    </w:p>
    <w:tbl>
      <w:tblPr>
        <w:tblW w:w="9638" w:type="dxa"/>
        <w:tblBorders>
          <w:top w:val="single" w:sz="4" w:space="0" w:color="auto"/>
        </w:tblBorders>
        <w:tblLayout w:type="fixed"/>
        <w:tblCellMar>
          <w:left w:w="0" w:type="dxa"/>
          <w:right w:w="0" w:type="dxa"/>
        </w:tblCellMar>
        <w:tblLook w:val="04A0" w:firstRow="1" w:lastRow="0" w:firstColumn="1" w:lastColumn="0" w:noHBand="0" w:noVBand="1"/>
      </w:tblPr>
      <w:tblGrid>
        <w:gridCol w:w="2779"/>
        <w:gridCol w:w="979"/>
        <w:gridCol w:w="980"/>
        <w:gridCol w:w="980"/>
        <w:gridCol w:w="980"/>
        <w:gridCol w:w="980"/>
        <w:gridCol w:w="980"/>
        <w:gridCol w:w="980"/>
      </w:tblGrid>
      <w:tr w:rsidR="007053C4" w:rsidRPr="007053C4" w14:paraId="4CB8121A" w14:textId="77777777" w:rsidTr="00521126">
        <w:trPr>
          <w:trHeight w:val="240"/>
          <w:tblHeader/>
        </w:trPr>
        <w:tc>
          <w:tcPr>
            <w:tcW w:w="2779" w:type="dxa"/>
            <w:vMerge w:val="restart"/>
            <w:tcBorders>
              <w:top w:val="single" w:sz="4" w:space="0" w:color="auto"/>
              <w:bottom w:val="single" w:sz="12" w:space="0" w:color="auto"/>
            </w:tcBorders>
            <w:shd w:val="clear" w:color="auto" w:fill="auto"/>
            <w:noWrap/>
            <w:vAlign w:val="bottom"/>
            <w:hideMark/>
          </w:tcPr>
          <w:p w14:paraId="4030C63B" w14:textId="1B495EE3" w:rsidR="004E0684" w:rsidRPr="007053C4" w:rsidRDefault="004E0684" w:rsidP="007053C4">
            <w:pPr>
              <w:pStyle w:val="SingleTxtG"/>
              <w:tabs>
                <w:tab w:val="clear" w:pos="1701"/>
                <w:tab w:val="clear" w:pos="2268"/>
                <w:tab w:val="clear" w:pos="2835"/>
                <w:tab w:val="left" w:pos="293"/>
              </w:tabs>
              <w:spacing w:before="80" w:after="80" w:line="200" w:lineRule="exact"/>
              <w:ind w:left="0" w:right="0"/>
              <w:jc w:val="left"/>
              <w:rPr>
                <w:i/>
                <w:iCs/>
                <w:sz w:val="16"/>
                <w:lang w:val="en-US"/>
              </w:rPr>
            </w:pPr>
          </w:p>
        </w:tc>
        <w:tc>
          <w:tcPr>
            <w:tcW w:w="6859" w:type="dxa"/>
            <w:gridSpan w:val="7"/>
            <w:tcBorders>
              <w:top w:val="single" w:sz="4" w:space="0" w:color="auto"/>
              <w:bottom w:val="single" w:sz="4" w:space="0" w:color="auto"/>
            </w:tcBorders>
            <w:shd w:val="clear" w:color="auto" w:fill="auto"/>
            <w:noWrap/>
            <w:vAlign w:val="bottom"/>
            <w:hideMark/>
          </w:tcPr>
          <w:p w14:paraId="2A319F46" w14:textId="77777777" w:rsidR="004E0684" w:rsidRPr="007053C4" w:rsidRDefault="004E0684" w:rsidP="007053C4">
            <w:pPr>
              <w:pStyle w:val="SingleTxtG"/>
              <w:tabs>
                <w:tab w:val="clear" w:pos="1701"/>
                <w:tab w:val="clear" w:pos="2268"/>
                <w:tab w:val="clear" w:pos="2835"/>
              </w:tabs>
              <w:spacing w:before="80" w:after="80" w:line="200" w:lineRule="exact"/>
              <w:ind w:left="113" w:right="0"/>
              <w:jc w:val="right"/>
              <w:rPr>
                <w:rFonts w:eastAsia="Calibri"/>
                <w:i/>
                <w:sz w:val="16"/>
                <w:lang w:val="en-US"/>
              </w:rPr>
            </w:pPr>
          </w:p>
        </w:tc>
      </w:tr>
      <w:tr w:rsidR="007053C4" w:rsidRPr="007053C4" w14:paraId="29235375" w14:textId="77777777" w:rsidTr="00521126">
        <w:trPr>
          <w:trHeight w:val="240"/>
          <w:tblHeader/>
        </w:trPr>
        <w:tc>
          <w:tcPr>
            <w:tcW w:w="2779" w:type="dxa"/>
            <w:vMerge/>
            <w:tcBorders>
              <w:top w:val="single" w:sz="12" w:space="0" w:color="auto"/>
              <w:bottom w:val="single" w:sz="12" w:space="0" w:color="auto"/>
            </w:tcBorders>
            <w:shd w:val="clear" w:color="auto" w:fill="auto"/>
            <w:noWrap/>
            <w:vAlign w:val="bottom"/>
            <w:hideMark/>
          </w:tcPr>
          <w:p w14:paraId="4C9B48D6" w14:textId="77777777" w:rsidR="004E0684" w:rsidRPr="007053C4" w:rsidRDefault="004E0684" w:rsidP="007053C4">
            <w:pPr>
              <w:pStyle w:val="SingleTxtG"/>
              <w:tabs>
                <w:tab w:val="clear" w:pos="1701"/>
                <w:tab w:val="clear" w:pos="2268"/>
                <w:tab w:val="clear" w:pos="2835"/>
              </w:tabs>
              <w:spacing w:before="40" w:after="40" w:line="220" w:lineRule="exact"/>
              <w:ind w:left="0" w:right="0"/>
              <w:jc w:val="left"/>
              <w:rPr>
                <w:rFonts w:eastAsia="Calibri"/>
                <w:bCs/>
                <w:iCs/>
                <w:sz w:val="18"/>
                <w:lang w:val="en-US"/>
              </w:rPr>
            </w:pPr>
          </w:p>
        </w:tc>
        <w:tc>
          <w:tcPr>
            <w:tcW w:w="979" w:type="dxa"/>
            <w:tcBorders>
              <w:top w:val="single" w:sz="4" w:space="0" w:color="auto"/>
              <w:bottom w:val="single" w:sz="12" w:space="0" w:color="auto"/>
            </w:tcBorders>
            <w:shd w:val="clear" w:color="auto" w:fill="auto"/>
            <w:noWrap/>
            <w:vAlign w:val="bottom"/>
            <w:hideMark/>
          </w:tcPr>
          <w:p w14:paraId="7C4607F7" w14:textId="77777777" w:rsidR="004E0684" w:rsidRPr="007053C4" w:rsidRDefault="004E0684" w:rsidP="007053C4">
            <w:pPr>
              <w:pStyle w:val="SingleTxtG"/>
              <w:tabs>
                <w:tab w:val="clear" w:pos="1701"/>
                <w:tab w:val="clear" w:pos="2268"/>
                <w:tab w:val="clear" w:pos="2835"/>
              </w:tabs>
              <w:spacing w:before="80" w:after="80" w:line="200" w:lineRule="exact"/>
              <w:ind w:left="113" w:right="0"/>
              <w:jc w:val="right"/>
              <w:rPr>
                <w:rFonts w:eastAsia="Calibri"/>
                <w:i/>
                <w:sz w:val="16"/>
                <w:lang w:val="en-US"/>
              </w:rPr>
            </w:pPr>
            <w:r w:rsidRPr="007053C4">
              <w:rPr>
                <w:rFonts w:eastAsia="Calibri"/>
                <w:i/>
                <w:sz w:val="16"/>
                <w:lang w:val="en-US"/>
              </w:rPr>
              <w:t>2010</w:t>
            </w:r>
          </w:p>
        </w:tc>
        <w:tc>
          <w:tcPr>
            <w:tcW w:w="980" w:type="dxa"/>
            <w:tcBorders>
              <w:top w:val="single" w:sz="4" w:space="0" w:color="auto"/>
              <w:bottom w:val="single" w:sz="12" w:space="0" w:color="auto"/>
            </w:tcBorders>
            <w:shd w:val="clear" w:color="auto" w:fill="auto"/>
            <w:noWrap/>
            <w:vAlign w:val="bottom"/>
            <w:hideMark/>
          </w:tcPr>
          <w:p w14:paraId="25AC80D9" w14:textId="77777777" w:rsidR="004E0684" w:rsidRPr="007053C4" w:rsidRDefault="004E0684" w:rsidP="007053C4">
            <w:pPr>
              <w:pStyle w:val="SingleTxtG"/>
              <w:tabs>
                <w:tab w:val="clear" w:pos="1701"/>
                <w:tab w:val="clear" w:pos="2268"/>
                <w:tab w:val="clear" w:pos="2835"/>
              </w:tabs>
              <w:spacing w:before="80" w:after="80" w:line="200" w:lineRule="exact"/>
              <w:ind w:left="113" w:right="0"/>
              <w:jc w:val="right"/>
              <w:rPr>
                <w:rFonts w:eastAsia="Calibri"/>
                <w:i/>
                <w:sz w:val="16"/>
                <w:lang w:val="en-US"/>
              </w:rPr>
            </w:pPr>
            <w:r w:rsidRPr="007053C4">
              <w:rPr>
                <w:rFonts w:eastAsia="Calibri"/>
                <w:i/>
                <w:sz w:val="16"/>
                <w:lang w:val="en-US"/>
              </w:rPr>
              <w:t>2013</w:t>
            </w:r>
          </w:p>
        </w:tc>
        <w:tc>
          <w:tcPr>
            <w:tcW w:w="980" w:type="dxa"/>
            <w:tcBorders>
              <w:top w:val="single" w:sz="4" w:space="0" w:color="auto"/>
              <w:bottom w:val="single" w:sz="12" w:space="0" w:color="auto"/>
            </w:tcBorders>
            <w:shd w:val="clear" w:color="auto" w:fill="auto"/>
            <w:noWrap/>
            <w:vAlign w:val="bottom"/>
            <w:hideMark/>
          </w:tcPr>
          <w:p w14:paraId="65D7D0E2" w14:textId="77777777" w:rsidR="004E0684" w:rsidRPr="007053C4" w:rsidRDefault="004E0684" w:rsidP="007053C4">
            <w:pPr>
              <w:pStyle w:val="SingleTxtG"/>
              <w:tabs>
                <w:tab w:val="clear" w:pos="1701"/>
                <w:tab w:val="clear" w:pos="2268"/>
                <w:tab w:val="clear" w:pos="2835"/>
              </w:tabs>
              <w:spacing w:before="80" w:after="80" w:line="200" w:lineRule="exact"/>
              <w:ind w:left="113" w:right="0"/>
              <w:jc w:val="right"/>
              <w:rPr>
                <w:rFonts w:eastAsia="Calibri"/>
                <w:i/>
                <w:sz w:val="16"/>
                <w:lang w:val="en-US"/>
              </w:rPr>
            </w:pPr>
            <w:r w:rsidRPr="007053C4">
              <w:rPr>
                <w:rFonts w:eastAsia="Calibri"/>
                <w:i/>
                <w:sz w:val="16"/>
                <w:lang w:val="en-US"/>
              </w:rPr>
              <w:t>2015</w:t>
            </w:r>
          </w:p>
        </w:tc>
        <w:tc>
          <w:tcPr>
            <w:tcW w:w="980" w:type="dxa"/>
            <w:tcBorders>
              <w:top w:val="single" w:sz="4" w:space="0" w:color="auto"/>
              <w:bottom w:val="single" w:sz="12" w:space="0" w:color="auto"/>
            </w:tcBorders>
            <w:shd w:val="clear" w:color="auto" w:fill="auto"/>
            <w:noWrap/>
            <w:vAlign w:val="bottom"/>
            <w:hideMark/>
          </w:tcPr>
          <w:p w14:paraId="237555F4" w14:textId="77777777" w:rsidR="004E0684" w:rsidRPr="007053C4" w:rsidRDefault="004E0684" w:rsidP="007053C4">
            <w:pPr>
              <w:pStyle w:val="SingleTxtG"/>
              <w:tabs>
                <w:tab w:val="clear" w:pos="1701"/>
                <w:tab w:val="clear" w:pos="2268"/>
                <w:tab w:val="clear" w:pos="2835"/>
              </w:tabs>
              <w:spacing w:before="80" w:after="80" w:line="200" w:lineRule="exact"/>
              <w:ind w:left="113" w:right="0"/>
              <w:jc w:val="right"/>
              <w:rPr>
                <w:rFonts w:eastAsia="Calibri"/>
                <w:i/>
                <w:sz w:val="16"/>
                <w:lang w:val="en-US"/>
              </w:rPr>
            </w:pPr>
            <w:r w:rsidRPr="007053C4">
              <w:rPr>
                <w:rFonts w:eastAsia="Calibri"/>
                <w:i/>
                <w:sz w:val="16"/>
                <w:lang w:val="en-US"/>
              </w:rPr>
              <w:t>2016</w:t>
            </w:r>
          </w:p>
        </w:tc>
        <w:tc>
          <w:tcPr>
            <w:tcW w:w="980" w:type="dxa"/>
            <w:tcBorders>
              <w:top w:val="single" w:sz="4" w:space="0" w:color="auto"/>
              <w:bottom w:val="single" w:sz="12" w:space="0" w:color="auto"/>
            </w:tcBorders>
            <w:shd w:val="clear" w:color="auto" w:fill="auto"/>
            <w:noWrap/>
            <w:vAlign w:val="bottom"/>
            <w:hideMark/>
          </w:tcPr>
          <w:p w14:paraId="676F4209" w14:textId="77777777" w:rsidR="004E0684" w:rsidRPr="007053C4" w:rsidRDefault="004E0684" w:rsidP="007053C4">
            <w:pPr>
              <w:pStyle w:val="SingleTxtG"/>
              <w:tabs>
                <w:tab w:val="clear" w:pos="1701"/>
                <w:tab w:val="clear" w:pos="2268"/>
                <w:tab w:val="clear" w:pos="2835"/>
              </w:tabs>
              <w:spacing w:before="80" w:after="80" w:line="200" w:lineRule="exact"/>
              <w:ind w:left="113" w:right="0"/>
              <w:jc w:val="right"/>
              <w:rPr>
                <w:rFonts w:eastAsia="Calibri"/>
                <w:i/>
                <w:sz w:val="16"/>
                <w:lang w:val="en-US"/>
              </w:rPr>
            </w:pPr>
            <w:r w:rsidRPr="007053C4">
              <w:rPr>
                <w:rFonts w:eastAsia="Calibri"/>
                <w:i/>
                <w:sz w:val="16"/>
                <w:lang w:val="en-US"/>
              </w:rPr>
              <w:t>2017</w:t>
            </w:r>
          </w:p>
        </w:tc>
        <w:tc>
          <w:tcPr>
            <w:tcW w:w="980" w:type="dxa"/>
            <w:tcBorders>
              <w:top w:val="single" w:sz="4" w:space="0" w:color="auto"/>
              <w:bottom w:val="single" w:sz="12" w:space="0" w:color="auto"/>
            </w:tcBorders>
            <w:shd w:val="clear" w:color="auto" w:fill="auto"/>
            <w:noWrap/>
            <w:vAlign w:val="bottom"/>
            <w:hideMark/>
          </w:tcPr>
          <w:p w14:paraId="32454FA7" w14:textId="77777777" w:rsidR="004E0684" w:rsidRPr="007053C4" w:rsidRDefault="004E0684" w:rsidP="007053C4">
            <w:pPr>
              <w:pStyle w:val="SingleTxtG"/>
              <w:tabs>
                <w:tab w:val="clear" w:pos="1701"/>
                <w:tab w:val="clear" w:pos="2268"/>
                <w:tab w:val="clear" w:pos="2835"/>
              </w:tabs>
              <w:spacing w:before="80" w:after="80" w:line="200" w:lineRule="exact"/>
              <w:ind w:left="113" w:right="0"/>
              <w:jc w:val="right"/>
              <w:rPr>
                <w:rFonts w:eastAsia="Calibri"/>
                <w:i/>
                <w:sz w:val="16"/>
                <w:lang w:val="en-US"/>
              </w:rPr>
            </w:pPr>
            <w:r w:rsidRPr="007053C4">
              <w:rPr>
                <w:rFonts w:eastAsia="Calibri"/>
                <w:i/>
                <w:sz w:val="16"/>
                <w:lang w:val="en-US"/>
              </w:rPr>
              <w:t>2018</w:t>
            </w:r>
          </w:p>
        </w:tc>
        <w:tc>
          <w:tcPr>
            <w:tcW w:w="980" w:type="dxa"/>
            <w:tcBorders>
              <w:top w:val="single" w:sz="4" w:space="0" w:color="auto"/>
              <w:bottom w:val="single" w:sz="12" w:space="0" w:color="auto"/>
            </w:tcBorders>
            <w:shd w:val="clear" w:color="auto" w:fill="auto"/>
            <w:noWrap/>
            <w:vAlign w:val="bottom"/>
            <w:hideMark/>
          </w:tcPr>
          <w:p w14:paraId="280D813A" w14:textId="77777777" w:rsidR="004E0684" w:rsidRPr="007053C4" w:rsidRDefault="004E0684" w:rsidP="007053C4">
            <w:pPr>
              <w:pStyle w:val="SingleTxtG"/>
              <w:tabs>
                <w:tab w:val="clear" w:pos="1701"/>
                <w:tab w:val="clear" w:pos="2268"/>
                <w:tab w:val="clear" w:pos="2835"/>
              </w:tabs>
              <w:spacing w:before="80" w:after="80" w:line="200" w:lineRule="exact"/>
              <w:ind w:left="113" w:right="0"/>
              <w:jc w:val="right"/>
              <w:rPr>
                <w:rFonts w:eastAsia="Calibri"/>
                <w:i/>
                <w:sz w:val="16"/>
                <w:lang w:val="en-US"/>
              </w:rPr>
            </w:pPr>
            <w:r w:rsidRPr="007053C4">
              <w:rPr>
                <w:rFonts w:eastAsia="Calibri"/>
                <w:i/>
                <w:sz w:val="16"/>
                <w:lang w:val="en-US"/>
              </w:rPr>
              <w:t>2019</w:t>
            </w:r>
          </w:p>
        </w:tc>
      </w:tr>
      <w:tr w:rsidR="007053C4" w:rsidRPr="007053C4" w14:paraId="53785BA8" w14:textId="77777777" w:rsidTr="00521126">
        <w:trPr>
          <w:trHeight w:val="240"/>
        </w:trPr>
        <w:tc>
          <w:tcPr>
            <w:tcW w:w="2779" w:type="dxa"/>
            <w:tcBorders>
              <w:top w:val="single" w:sz="12" w:space="0" w:color="auto"/>
            </w:tcBorders>
            <w:shd w:val="clear" w:color="auto" w:fill="auto"/>
            <w:noWrap/>
          </w:tcPr>
          <w:p w14:paraId="4B456A9F" w14:textId="02B75236" w:rsidR="004E0684" w:rsidRPr="00694EFF" w:rsidRDefault="009A2020" w:rsidP="00694EFF">
            <w:pPr>
              <w:pStyle w:val="SingleTxtG"/>
              <w:tabs>
                <w:tab w:val="clear" w:pos="1701"/>
                <w:tab w:val="clear" w:pos="2268"/>
                <w:tab w:val="clear" w:pos="2835"/>
                <w:tab w:val="left" w:pos="504"/>
              </w:tabs>
              <w:spacing w:before="40" w:after="40" w:line="220" w:lineRule="exact"/>
              <w:ind w:left="510" w:right="0" w:hanging="510"/>
              <w:jc w:val="left"/>
              <w:rPr>
                <w:rFonts w:eastAsia="Calibri"/>
                <w:b/>
                <w:sz w:val="18"/>
              </w:rPr>
            </w:pPr>
            <w:r w:rsidRPr="00694EFF">
              <w:rPr>
                <w:rFonts w:eastAsia="Calibri"/>
                <w:b/>
                <w:sz w:val="18"/>
              </w:rPr>
              <w:t>4.</w:t>
            </w:r>
            <w:r w:rsidRPr="00694EFF">
              <w:rPr>
                <w:rFonts w:eastAsia="Calibri"/>
                <w:b/>
                <w:sz w:val="18"/>
              </w:rPr>
              <w:tab/>
              <w:t>Salud</w:t>
            </w:r>
          </w:p>
        </w:tc>
        <w:tc>
          <w:tcPr>
            <w:tcW w:w="979" w:type="dxa"/>
            <w:tcBorders>
              <w:top w:val="single" w:sz="12" w:space="0" w:color="auto"/>
            </w:tcBorders>
            <w:shd w:val="clear" w:color="auto" w:fill="auto"/>
            <w:noWrap/>
            <w:vAlign w:val="bottom"/>
          </w:tcPr>
          <w:p w14:paraId="41183BAA" w14:textId="63B68E5C" w:rsidR="004E0684" w:rsidRPr="007053C4" w:rsidRDefault="004E0684" w:rsidP="007053C4">
            <w:pPr>
              <w:pStyle w:val="SingleTxtG"/>
              <w:tabs>
                <w:tab w:val="clear" w:pos="1701"/>
                <w:tab w:val="clear" w:pos="2268"/>
                <w:tab w:val="clear" w:pos="2835"/>
              </w:tabs>
              <w:spacing w:before="40" w:after="40" w:line="220" w:lineRule="exact"/>
              <w:ind w:left="113" w:right="0"/>
              <w:jc w:val="right"/>
              <w:rPr>
                <w:rFonts w:eastAsia="Calibri"/>
                <w:sz w:val="18"/>
                <w:lang w:val="en-US"/>
              </w:rPr>
            </w:pPr>
          </w:p>
        </w:tc>
        <w:tc>
          <w:tcPr>
            <w:tcW w:w="980" w:type="dxa"/>
            <w:tcBorders>
              <w:top w:val="single" w:sz="12" w:space="0" w:color="auto"/>
            </w:tcBorders>
            <w:shd w:val="clear" w:color="auto" w:fill="auto"/>
            <w:noWrap/>
            <w:vAlign w:val="bottom"/>
          </w:tcPr>
          <w:p w14:paraId="59B5C3CB" w14:textId="20291926" w:rsidR="004E0684" w:rsidRPr="007053C4" w:rsidRDefault="004E0684" w:rsidP="007053C4">
            <w:pPr>
              <w:pStyle w:val="SingleTxtG"/>
              <w:tabs>
                <w:tab w:val="clear" w:pos="1701"/>
                <w:tab w:val="clear" w:pos="2268"/>
                <w:tab w:val="clear" w:pos="2835"/>
              </w:tabs>
              <w:spacing w:before="40" w:after="40" w:line="220" w:lineRule="exact"/>
              <w:ind w:left="113" w:right="0"/>
              <w:jc w:val="right"/>
              <w:rPr>
                <w:rFonts w:eastAsia="Calibri"/>
                <w:sz w:val="18"/>
                <w:lang w:val="en-US"/>
              </w:rPr>
            </w:pPr>
          </w:p>
        </w:tc>
        <w:tc>
          <w:tcPr>
            <w:tcW w:w="980" w:type="dxa"/>
            <w:tcBorders>
              <w:top w:val="single" w:sz="12" w:space="0" w:color="auto"/>
            </w:tcBorders>
            <w:shd w:val="clear" w:color="auto" w:fill="auto"/>
            <w:noWrap/>
            <w:vAlign w:val="bottom"/>
          </w:tcPr>
          <w:p w14:paraId="2D253730" w14:textId="7D00BB94" w:rsidR="004E0684" w:rsidRPr="007053C4" w:rsidRDefault="004E0684" w:rsidP="007053C4">
            <w:pPr>
              <w:pStyle w:val="SingleTxtG"/>
              <w:tabs>
                <w:tab w:val="clear" w:pos="1701"/>
                <w:tab w:val="clear" w:pos="2268"/>
                <w:tab w:val="clear" w:pos="2835"/>
              </w:tabs>
              <w:spacing w:before="40" w:after="40" w:line="220" w:lineRule="exact"/>
              <w:ind w:left="113" w:right="0"/>
              <w:jc w:val="right"/>
              <w:rPr>
                <w:rFonts w:eastAsia="Calibri"/>
                <w:sz w:val="18"/>
                <w:lang w:val="en-US"/>
              </w:rPr>
            </w:pPr>
          </w:p>
        </w:tc>
        <w:tc>
          <w:tcPr>
            <w:tcW w:w="980" w:type="dxa"/>
            <w:tcBorders>
              <w:top w:val="single" w:sz="12" w:space="0" w:color="auto"/>
            </w:tcBorders>
            <w:shd w:val="clear" w:color="auto" w:fill="auto"/>
            <w:noWrap/>
            <w:vAlign w:val="bottom"/>
          </w:tcPr>
          <w:p w14:paraId="07C2EA42" w14:textId="41C6A6FB" w:rsidR="004E0684" w:rsidRPr="007053C4" w:rsidRDefault="004E0684" w:rsidP="007053C4">
            <w:pPr>
              <w:pStyle w:val="SingleTxtG"/>
              <w:tabs>
                <w:tab w:val="clear" w:pos="1701"/>
                <w:tab w:val="clear" w:pos="2268"/>
                <w:tab w:val="clear" w:pos="2835"/>
              </w:tabs>
              <w:spacing w:before="40" w:after="40" w:line="220" w:lineRule="exact"/>
              <w:ind w:left="113" w:right="0"/>
              <w:jc w:val="right"/>
              <w:rPr>
                <w:rFonts w:eastAsia="Calibri"/>
                <w:sz w:val="18"/>
                <w:lang w:val="en-US"/>
              </w:rPr>
            </w:pPr>
          </w:p>
        </w:tc>
        <w:tc>
          <w:tcPr>
            <w:tcW w:w="980" w:type="dxa"/>
            <w:tcBorders>
              <w:top w:val="single" w:sz="12" w:space="0" w:color="auto"/>
            </w:tcBorders>
            <w:shd w:val="clear" w:color="auto" w:fill="auto"/>
            <w:noWrap/>
            <w:vAlign w:val="bottom"/>
          </w:tcPr>
          <w:p w14:paraId="5BA193D5" w14:textId="18C46796" w:rsidR="004E0684" w:rsidRPr="007053C4" w:rsidRDefault="004E0684" w:rsidP="007053C4">
            <w:pPr>
              <w:pStyle w:val="SingleTxtG"/>
              <w:tabs>
                <w:tab w:val="clear" w:pos="1701"/>
                <w:tab w:val="clear" w:pos="2268"/>
                <w:tab w:val="clear" w:pos="2835"/>
              </w:tabs>
              <w:spacing w:before="40" w:after="40" w:line="220" w:lineRule="exact"/>
              <w:ind w:left="113" w:right="0"/>
              <w:jc w:val="right"/>
              <w:rPr>
                <w:rFonts w:eastAsia="Calibri"/>
                <w:sz w:val="18"/>
                <w:lang w:val="en-US"/>
              </w:rPr>
            </w:pPr>
          </w:p>
        </w:tc>
        <w:tc>
          <w:tcPr>
            <w:tcW w:w="980" w:type="dxa"/>
            <w:tcBorders>
              <w:top w:val="single" w:sz="12" w:space="0" w:color="auto"/>
            </w:tcBorders>
            <w:shd w:val="clear" w:color="auto" w:fill="auto"/>
            <w:noWrap/>
            <w:vAlign w:val="bottom"/>
          </w:tcPr>
          <w:p w14:paraId="60B13283" w14:textId="1C844128" w:rsidR="004E0684" w:rsidRPr="007053C4" w:rsidRDefault="004E0684" w:rsidP="007053C4">
            <w:pPr>
              <w:pStyle w:val="SingleTxtG"/>
              <w:tabs>
                <w:tab w:val="clear" w:pos="1701"/>
                <w:tab w:val="clear" w:pos="2268"/>
                <w:tab w:val="clear" w:pos="2835"/>
              </w:tabs>
              <w:spacing w:before="40" w:after="40" w:line="220" w:lineRule="exact"/>
              <w:ind w:left="113" w:right="0"/>
              <w:jc w:val="right"/>
              <w:rPr>
                <w:rFonts w:eastAsia="Calibri"/>
                <w:sz w:val="18"/>
                <w:lang w:val="en-US"/>
              </w:rPr>
            </w:pPr>
          </w:p>
        </w:tc>
        <w:tc>
          <w:tcPr>
            <w:tcW w:w="980" w:type="dxa"/>
            <w:tcBorders>
              <w:top w:val="single" w:sz="12" w:space="0" w:color="auto"/>
            </w:tcBorders>
            <w:shd w:val="clear" w:color="auto" w:fill="auto"/>
            <w:noWrap/>
            <w:vAlign w:val="bottom"/>
          </w:tcPr>
          <w:p w14:paraId="08EBA728" w14:textId="3F5E3782" w:rsidR="004E0684" w:rsidRPr="007053C4" w:rsidRDefault="004E0684" w:rsidP="007053C4">
            <w:pPr>
              <w:pStyle w:val="SingleTxtG"/>
              <w:tabs>
                <w:tab w:val="clear" w:pos="1701"/>
                <w:tab w:val="clear" w:pos="2268"/>
                <w:tab w:val="clear" w:pos="2835"/>
              </w:tabs>
              <w:spacing w:before="40" w:after="40" w:line="220" w:lineRule="exact"/>
              <w:ind w:left="113" w:right="0"/>
              <w:jc w:val="right"/>
              <w:rPr>
                <w:rFonts w:eastAsia="Calibri"/>
                <w:sz w:val="18"/>
                <w:lang w:val="en-US"/>
              </w:rPr>
            </w:pPr>
          </w:p>
        </w:tc>
      </w:tr>
      <w:tr w:rsidR="009A2020" w:rsidRPr="007053C4" w14:paraId="407EB3B5" w14:textId="77777777" w:rsidTr="00521126">
        <w:trPr>
          <w:trHeight w:val="240"/>
        </w:trPr>
        <w:tc>
          <w:tcPr>
            <w:tcW w:w="2779" w:type="dxa"/>
            <w:shd w:val="clear" w:color="auto" w:fill="auto"/>
            <w:noWrap/>
          </w:tcPr>
          <w:p w14:paraId="669E5909" w14:textId="5EB63CA2" w:rsidR="009A2020" w:rsidRPr="007053C4" w:rsidRDefault="009A2020" w:rsidP="009A2020">
            <w:pPr>
              <w:pStyle w:val="SingleTxtG"/>
              <w:tabs>
                <w:tab w:val="clear" w:pos="1701"/>
                <w:tab w:val="clear" w:pos="2268"/>
                <w:tab w:val="clear" w:pos="2835"/>
              </w:tabs>
              <w:spacing w:before="40" w:after="40" w:line="220" w:lineRule="exact"/>
              <w:ind w:left="0" w:right="0"/>
              <w:jc w:val="left"/>
              <w:rPr>
                <w:sz w:val="18"/>
              </w:rPr>
            </w:pPr>
            <w:r w:rsidRPr="007053C4">
              <w:rPr>
                <w:sz w:val="18"/>
              </w:rPr>
              <w:t>Número de habitantes por médico</w:t>
            </w:r>
            <w:r>
              <w:rPr>
                <w:sz w:val="18"/>
              </w:rPr>
              <w:br/>
            </w:r>
            <w:r w:rsidRPr="007053C4">
              <w:rPr>
                <w:sz w:val="18"/>
              </w:rPr>
              <w:t>(en los sectores público y privado)</w:t>
            </w:r>
          </w:p>
        </w:tc>
        <w:tc>
          <w:tcPr>
            <w:tcW w:w="979" w:type="dxa"/>
            <w:shd w:val="clear" w:color="auto" w:fill="auto"/>
            <w:noWrap/>
            <w:vAlign w:val="bottom"/>
          </w:tcPr>
          <w:p w14:paraId="63CA96B8" w14:textId="1041062B" w:rsidR="009A2020" w:rsidRPr="007053C4" w:rsidRDefault="009A2020" w:rsidP="009A2020">
            <w:pPr>
              <w:pStyle w:val="SingleTxtG"/>
              <w:tabs>
                <w:tab w:val="clear" w:pos="1701"/>
                <w:tab w:val="clear" w:pos="2268"/>
                <w:tab w:val="clear" w:pos="2835"/>
              </w:tabs>
              <w:spacing w:before="40" w:after="40" w:line="220" w:lineRule="exact"/>
              <w:ind w:left="113" w:right="0"/>
              <w:jc w:val="right"/>
              <w:rPr>
                <w:sz w:val="18"/>
                <w:lang w:val="en-US"/>
              </w:rPr>
            </w:pPr>
            <w:r w:rsidRPr="007053C4">
              <w:rPr>
                <w:sz w:val="18"/>
                <w:lang w:val="en-US"/>
              </w:rPr>
              <w:t>1 630</w:t>
            </w:r>
          </w:p>
        </w:tc>
        <w:tc>
          <w:tcPr>
            <w:tcW w:w="980" w:type="dxa"/>
            <w:shd w:val="clear" w:color="auto" w:fill="auto"/>
            <w:noWrap/>
            <w:vAlign w:val="bottom"/>
          </w:tcPr>
          <w:p w14:paraId="6E04F29F" w14:textId="29966801" w:rsidR="009A2020" w:rsidRPr="007053C4" w:rsidRDefault="009A2020" w:rsidP="009A2020">
            <w:pPr>
              <w:pStyle w:val="SingleTxtG"/>
              <w:tabs>
                <w:tab w:val="clear" w:pos="1701"/>
                <w:tab w:val="clear" w:pos="2268"/>
                <w:tab w:val="clear" w:pos="2835"/>
              </w:tabs>
              <w:spacing w:before="40" w:after="40" w:line="220" w:lineRule="exact"/>
              <w:ind w:left="113" w:right="0"/>
              <w:jc w:val="right"/>
              <w:rPr>
                <w:sz w:val="18"/>
                <w:lang w:val="en-US"/>
              </w:rPr>
            </w:pPr>
            <w:r w:rsidRPr="007053C4">
              <w:rPr>
                <w:sz w:val="18"/>
                <w:lang w:val="en-US"/>
              </w:rPr>
              <w:t>1 542</w:t>
            </w:r>
          </w:p>
        </w:tc>
        <w:tc>
          <w:tcPr>
            <w:tcW w:w="980" w:type="dxa"/>
            <w:shd w:val="clear" w:color="auto" w:fill="auto"/>
            <w:noWrap/>
            <w:vAlign w:val="bottom"/>
          </w:tcPr>
          <w:p w14:paraId="4EDCBF89" w14:textId="0A20B3AD" w:rsidR="009A2020" w:rsidRPr="007053C4" w:rsidRDefault="009A2020" w:rsidP="009A2020">
            <w:pPr>
              <w:pStyle w:val="SingleTxtG"/>
              <w:tabs>
                <w:tab w:val="clear" w:pos="1701"/>
                <w:tab w:val="clear" w:pos="2268"/>
                <w:tab w:val="clear" w:pos="2835"/>
              </w:tabs>
              <w:spacing w:before="40" w:after="40" w:line="220" w:lineRule="exact"/>
              <w:ind w:left="113" w:right="0"/>
              <w:jc w:val="right"/>
              <w:rPr>
                <w:sz w:val="18"/>
                <w:lang w:val="en-US"/>
              </w:rPr>
            </w:pPr>
            <w:r w:rsidRPr="007053C4">
              <w:rPr>
                <w:sz w:val="18"/>
                <w:lang w:val="en-US"/>
              </w:rPr>
              <w:t>-</w:t>
            </w:r>
          </w:p>
        </w:tc>
        <w:tc>
          <w:tcPr>
            <w:tcW w:w="980" w:type="dxa"/>
            <w:shd w:val="clear" w:color="auto" w:fill="auto"/>
            <w:noWrap/>
            <w:vAlign w:val="bottom"/>
          </w:tcPr>
          <w:p w14:paraId="05ACDBB1" w14:textId="2399A800" w:rsidR="009A2020" w:rsidRPr="007053C4" w:rsidRDefault="009A2020" w:rsidP="009A2020">
            <w:pPr>
              <w:pStyle w:val="SingleTxtG"/>
              <w:tabs>
                <w:tab w:val="clear" w:pos="1701"/>
                <w:tab w:val="clear" w:pos="2268"/>
                <w:tab w:val="clear" w:pos="2835"/>
              </w:tabs>
              <w:spacing w:before="40" w:after="40" w:line="220" w:lineRule="exact"/>
              <w:ind w:left="113" w:right="0"/>
              <w:jc w:val="right"/>
              <w:rPr>
                <w:sz w:val="18"/>
                <w:lang w:val="en-US"/>
              </w:rPr>
            </w:pPr>
            <w:r w:rsidRPr="007053C4">
              <w:rPr>
                <w:sz w:val="18"/>
                <w:lang w:val="en-US"/>
              </w:rPr>
              <w:t>-</w:t>
            </w:r>
          </w:p>
        </w:tc>
        <w:tc>
          <w:tcPr>
            <w:tcW w:w="980" w:type="dxa"/>
            <w:shd w:val="clear" w:color="auto" w:fill="auto"/>
            <w:noWrap/>
            <w:vAlign w:val="bottom"/>
          </w:tcPr>
          <w:p w14:paraId="5374BE83" w14:textId="58CECBA9" w:rsidR="009A2020" w:rsidRPr="007053C4" w:rsidRDefault="009A2020" w:rsidP="009A2020">
            <w:pPr>
              <w:pStyle w:val="SingleTxtG"/>
              <w:tabs>
                <w:tab w:val="clear" w:pos="1701"/>
                <w:tab w:val="clear" w:pos="2268"/>
                <w:tab w:val="clear" w:pos="2835"/>
              </w:tabs>
              <w:spacing w:before="40" w:after="40" w:line="220" w:lineRule="exact"/>
              <w:ind w:left="113" w:right="0"/>
              <w:jc w:val="right"/>
              <w:rPr>
                <w:sz w:val="18"/>
                <w:lang w:val="en-US"/>
              </w:rPr>
            </w:pPr>
            <w:r w:rsidRPr="007053C4">
              <w:rPr>
                <w:sz w:val="18"/>
                <w:lang w:val="en-US"/>
              </w:rPr>
              <w:t>1 466</w:t>
            </w:r>
          </w:p>
        </w:tc>
        <w:tc>
          <w:tcPr>
            <w:tcW w:w="980" w:type="dxa"/>
            <w:shd w:val="clear" w:color="auto" w:fill="auto"/>
            <w:noWrap/>
            <w:vAlign w:val="bottom"/>
          </w:tcPr>
          <w:p w14:paraId="40BD7DAF" w14:textId="1067ED10" w:rsidR="009A2020" w:rsidRPr="007053C4" w:rsidRDefault="009A2020" w:rsidP="009A2020">
            <w:pPr>
              <w:pStyle w:val="SingleTxtG"/>
              <w:tabs>
                <w:tab w:val="clear" w:pos="1701"/>
                <w:tab w:val="clear" w:pos="2268"/>
                <w:tab w:val="clear" w:pos="2835"/>
              </w:tabs>
              <w:spacing w:before="40" w:after="40" w:line="220" w:lineRule="exact"/>
              <w:ind w:left="113" w:right="0"/>
              <w:jc w:val="right"/>
              <w:rPr>
                <w:sz w:val="18"/>
                <w:lang w:val="en-US"/>
              </w:rPr>
            </w:pPr>
            <w:r w:rsidRPr="007053C4">
              <w:rPr>
                <w:sz w:val="18"/>
                <w:lang w:val="en-US"/>
              </w:rPr>
              <w:t>-</w:t>
            </w:r>
          </w:p>
        </w:tc>
        <w:tc>
          <w:tcPr>
            <w:tcW w:w="980" w:type="dxa"/>
            <w:shd w:val="clear" w:color="auto" w:fill="auto"/>
            <w:noWrap/>
            <w:vAlign w:val="bottom"/>
          </w:tcPr>
          <w:p w14:paraId="408B7119" w14:textId="7DFE2A0B" w:rsidR="009A2020" w:rsidRPr="007053C4" w:rsidRDefault="009A2020" w:rsidP="009A2020">
            <w:pPr>
              <w:pStyle w:val="SingleTxtG"/>
              <w:tabs>
                <w:tab w:val="clear" w:pos="1701"/>
                <w:tab w:val="clear" w:pos="2268"/>
                <w:tab w:val="clear" w:pos="2835"/>
              </w:tabs>
              <w:spacing w:before="40" w:after="40" w:line="220" w:lineRule="exact"/>
              <w:ind w:left="113" w:right="0"/>
              <w:jc w:val="right"/>
              <w:rPr>
                <w:sz w:val="18"/>
                <w:lang w:val="en-US"/>
              </w:rPr>
            </w:pPr>
            <w:r w:rsidRPr="007053C4">
              <w:rPr>
                <w:sz w:val="18"/>
                <w:lang w:val="en-US"/>
              </w:rPr>
              <w:t>1 438</w:t>
            </w:r>
          </w:p>
        </w:tc>
      </w:tr>
      <w:tr w:rsidR="009A2020" w:rsidRPr="007053C4" w14:paraId="143E8E19" w14:textId="77777777" w:rsidTr="00521126">
        <w:trPr>
          <w:trHeight w:val="240"/>
        </w:trPr>
        <w:tc>
          <w:tcPr>
            <w:tcW w:w="2779" w:type="dxa"/>
            <w:shd w:val="clear" w:color="auto" w:fill="auto"/>
            <w:noWrap/>
            <w:hideMark/>
          </w:tcPr>
          <w:p w14:paraId="4B6129BA" w14:textId="77777777" w:rsidR="009A2020" w:rsidRPr="007053C4" w:rsidRDefault="009A2020" w:rsidP="009A2020">
            <w:pPr>
              <w:pStyle w:val="SingleTxtG"/>
              <w:tabs>
                <w:tab w:val="clear" w:pos="1701"/>
                <w:tab w:val="clear" w:pos="2268"/>
                <w:tab w:val="clear" w:pos="2835"/>
              </w:tabs>
              <w:spacing w:before="40" w:after="40" w:line="220" w:lineRule="exact"/>
              <w:ind w:left="0" w:right="0"/>
              <w:jc w:val="left"/>
              <w:rPr>
                <w:rFonts w:eastAsia="Calibri"/>
                <w:sz w:val="18"/>
              </w:rPr>
            </w:pPr>
            <w:r w:rsidRPr="007053C4">
              <w:rPr>
                <w:sz w:val="18"/>
              </w:rPr>
              <w:t>Número de habitantes por cada institución de atención médica básica</w:t>
            </w:r>
          </w:p>
        </w:tc>
        <w:tc>
          <w:tcPr>
            <w:tcW w:w="979" w:type="dxa"/>
            <w:shd w:val="clear" w:color="auto" w:fill="auto"/>
            <w:noWrap/>
            <w:vAlign w:val="bottom"/>
            <w:hideMark/>
          </w:tcPr>
          <w:p w14:paraId="698A9B69" w14:textId="77777777" w:rsidR="009A2020" w:rsidRPr="007053C4" w:rsidRDefault="009A2020" w:rsidP="009A202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053C4">
              <w:rPr>
                <w:sz w:val="18"/>
                <w:lang w:val="en-US"/>
              </w:rPr>
              <w:t>12 094</w:t>
            </w:r>
          </w:p>
        </w:tc>
        <w:tc>
          <w:tcPr>
            <w:tcW w:w="980" w:type="dxa"/>
            <w:shd w:val="clear" w:color="auto" w:fill="auto"/>
            <w:noWrap/>
            <w:vAlign w:val="bottom"/>
            <w:hideMark/>
          </w:tcPr>
          <w:p w14:paraId="0578F8FE" w14:textId="77777777" w:rsidR="009A2020" w:rsidRPr="007053C4" w:rsidRDefault="009A2020" w:rsidP="009A202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053C4">
              <w:rPr>
                <w:sz w:val="18"/>
                <w:lang w:val="en-US"/>
              </w:rPr>
              <w:t>11 815</w:t>
            </w:r>
          </w:p>
        </w:tc>
        <w:tc>
          <w:tcPr>
            <w:tcW w:w="980" w:type="dxa"/>
            <w:shd w:val="clear" w:color="auto" w:fill="auto"/>
            <w:noWrap/>
            <w:vAlign w:val="bottom"/>
            <w:hideMark/>
          </w:tcPr>
          <w:p w14:paraId="0CF4E6B1" w14:textId="77777777" w:rsidR="009A2020" w:rsidRPr="007053C4" w:rsidRDefault="009A2020" w:rsidP="009A202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053C4">
              <w:rPr>
                <w:sz w:val="18"/>
                <w:lang w:val="en-US"/>
              </w:rPr>
              <w:t>12 266</w:t>
            </w:r>
          </w:p>
        </w:tc>
        <w:tc>
          <w:tcPr>
            <w:tcW w:w="980" w:type="dxa"/>
            <w:shd w:val="clear" w:color="auto" w:fill="auto"/>
            <w:noWrap/>
            <w:vAlign w:val="bottom"/>
            <w:hideMark/>
          </w:tcPr>
          <w:p w14:paraId="2A42D38B" w14:textId="77777777" w:rsidR="009A2020" w:rsidRPr="007053C4" w:rsidRDefault="009A2020" w:rsidP="009A202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053C4">
              <w:rPr>
                <w:sz w:val="18"/>
                <w:lang w:val="en-US"/>
              </w:rPr>
              <w:t>-</w:t>
            </w:r>
          </w:p>
        </w:tc>
        <w:tc>
          <w:tcPr>
            <w:tcW w:w="980" w:type="dxa"/>
            <w:shd w:val="clear" w:color="auto" w:fill="auto"/>
            <w:noWrap/>
            <w:vAlign w:val="bottom"/>
            <w:hideMark/>
          </w:tcPr>
          <w:p w14:paraId="60BA3AA9" w14:textId="77777777" w:rsidR="009A2020" w:rsidRPr="007053C4" w:rsidRDefault="009A2020" w:rsidP="009A202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053C4">
              <w:rPr>
                <w:sz w:val="18"/>
                <w:lang w:val="en-US"/>
              </w:rPr>
              <w:t>12 238</w:t>
            </w:r>
          </w:p>
        </w:tc>
        <w:tc>
          <w:tcPr>
            <w:tcW w:w="980" w:type="dxa"/>
            <w:shd w:val="clear" w:color="auto" w:fill="auto"/>
            <w:noWrap/>
            <w:vAlign w:val="bottom"/>
            <w:hideMark/>
          </w:tcPr>
          <w:p w14:paraId="636943F4" w14:textId="77777777" w:rsidR="009A2020" w:rsidRPr="007053C4" w:rsidRDefault="009A2020" w:rsidP="009A202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053C4">
              <w:rPr>
                <w:sz w:val="18"/>
                <w:lang w:val="en-US"/>
              </w:rPr>
              <w:t>-</w:t>
            </w:r>
          </w:p>
        </w:tc>
        <w:tc>
          <w:tcPr>
            <w:tcW w:w="980" w:type="dxa"/>
            <w:shd w:val="clear" w:color="auto" w:fill="auto"/>
            <w:noWrap/>
            <w:vAlign w:val="bottom"/>
            <w:hideMark/>
          </w:tcPr>
          <w:p w14:paraId="5860CA52" w14:textId="77777777" w:rsidR="009A2020" w:rsidRPr="007053C4" w:rsidRDefault="009A2020" w:rsidP="009A202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053C4">
              <w:rPr>
                <w:sz w:val="18"/>
                <w:lang w:val="en-US"/>
              </w:rPr>
              <w:t>12 429</w:t>
            </w:r>
          </w:p>
        </w:tc>
      </w:tr>
      <w:tr w:rsidR="009A2020" w:rsidRPr="007053C4" w14:paraId="53B04DE1" w14:textId="77777777" w:rsidTr="00521126">
        <w:trPr>
          <w:trHeight w:val="240"/>
        </w:trPr>
        <w:tc>
          <w:tcPr>
            <w:tcW w:w="2779" w:type="dxa"/>
            <w:tcBorders>
              <w:bottom w:val="nil"/>
            </w:tcBorders>
            <w:shd w:val="clear" w:color="auto" w:fill="auto"/>
            <w:noWrap/>
            <w:hideMark/>
          </w:tcPr>
          <w:p w14:paraId="3EDE148C" w14:textId="77777777" w:rsidR="009A2020" w:rsidRPr="007053C4" w:rsidRDefault="009A2020" w:rsidP="009A2020">
            <w:pPr>
              <w:pStyle w:val="SingleTxtG"/>
              <w:tabs>
                <w:tab w:val="clear" w:pos="1701"/>
                <w:tab w:val="clear" w:pos="2268"/>
                <w:tab w:val="clear" w:pos="2835"/>
              </w:tabs>
              <w:spacing w:before="40" w:after="40" w:line="220" w:lineRule="exact"/>
              <w:ind w:left="0" w:right="0"/>
              <w:jc w:val="left"/>
              <w:rPr>
                <w:rFonts w:eastAsia="Calibri"/>
                <w:sz w:val="18"/>
              </w:rPr>
            </w:pPr>
            <w:r w:rsidRPr="007053C4">
              <w:rPr>
                <w:sz w:val="18"/>
              </w:rPr>
              <w:t>Número total de días de tratamiento médico (en miles)</w:t>
            </w:r>
          </w:p>
        </w:tc>
        <w:tc>
          <w:tcPr>
            <w:tcW w:w="979" w:type="dxa"/>
            <w:tcBorders>
              <w:bottom w:val="nil"/>
            </w:tcBorders>
            <w:shd w:val="clear" w:color="auto" w:fill="auto"/>
            <w:noWrap/>
            <w:vAlign w:val="bottom"/>
            <w:hideMark/>
          </w:tcPr>
          <w:p w14:paraId="68C712ED" w14:textId="77777777" w:rsidR="009A2020" w:rsidRPr="007053C4" w:rsidRDefault="009A2020" w:rsidP="009A202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053C4">
              <w:rPr>
                <w:sz w:val="18"/>
                <w:lang w:val="en-US"/>
              </w:rPr>
              <w:t>4 747</w:t>
            </w:r>
          </w:p>
        </w:tc>
        <w:tc>
          <w:tcPr>
            <w:tcW w:w="980" w:type="dxa"/>
            <w:tcBorders>
              <w:bottom w:val="nil"/>
            </w:tcBorders>
            <w:shd w:val="clear" w:color="auto" w:fill="auto"/>
            <w:noWrap/>
            <w:vAlign w:val="bottom"/>
            <w:hideMark/>
          </w:tcPr>
          <w:p w14:paraId="382E06A8" w14:textId="77777777" w:rsidR="009A2020" w:rsidRPr="007053C4" w:rsidRDefault="009A2020" w:rsidP="009A202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053C4">
              <w:rPr>
                <w:sz w:val="18"/>
                <w:lang w:val="en-US"/>
              </w:rPr>
              <w:t>4 878</w:t>
            </w:r>
          </w:p>
        </w:tc>
        <w:tc>
          <w:tcPr>
            <w:tcW w:w="980" w:type="dxa"/>
            <w:tcBorders>
              <w:bottom w:val="nil"/>
            </w:tcBorders>
            <w:shd w:val="clear" w:color="auto" w:fill="auto"/>
            <w:noWrap/>
            <w:vAlign w:val="bottom"/>
            <w:hideMark/>
          </w:tcPr>
          <w:p w14:paraId="58C23ED6" w14:textId="77777777" w:rsidR="009A2020" w:rsidRPr="007053C4" w:rsidRDefault="009A2020" w:rsidP="009A202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053C4">
              <w:rPr>
                <w:sz w:val="18"/>
                <w:lang w:val="en-US"/>
              </w:rPr>
              <w:t>4 817</w:t>
            </w:r>
          </w:p>
        </w:tc>
        <w:tc>
          <w:tcPr>
            <w:tcW w:w="980" w:type="dxa"/>
            <w:tcBorders>
              <w:bottom w:val="nil"/>
            </w:tcBorders>
            <w:shd w:val="clear" w:color="auto" w:fill="auto"/>
            <w:noWrap/>
            <w:vAlign w:val="bottom"/>
            <w:hideMark/>
          </w:tcPr>
          <w:p w14:paraId="2EF16F7C" w14:textId="77777777" w:rsidR="009A2020" w:rsidRPr="007053C4" w:rsidRDefault="009A2020" w:rsidP="009A202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053C4">
              <w:rPr>
                <w:sz w:val="18"/>
                <w:lang w:val="en-US"/>
              </w:rPr>
              <w:t>4 807</w:t>
            </w:r>
          </w:p>
        </w:tc>
        <w:tc>
          <w:tcPr>
            <w:tcW w:w="980" w:type="dxa"/>
            <w:tcBorders>
              <w:bottom w:val="nil"/>
            </w:tcBorders>
            <w:shd w:val="clear" w:color="auto" w:fill="auto"/>
            <w:noWrap/>
            <w:vAlign w:val="bottom"/>
            <w:hideMark/>
          </w:tcPr>
          <w:p w14:paraId="7F4EB66B" w14:textId="77777777" w:rsidR="009A2020" w:rsidRPr="007053C4" w:rsidRDefault="009A2020" w:rsidP="009A202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053C4">
              <w:rPr>
                <w:sz w:val="18"/>
                <w:lang w:val="en-US"/>
              </w:rPr>
              <w:t>-</w:t>
            </w:r>
          </w:p>
        </w:tc>
        <w:tc>
          <w:tcPr>
            <w:tcW w:w="980" w:type="dxa"/>
            <w:tcBorders>
              <w:bottom w:val="nil"/>
            </w:tcBorders>
            <w:shd w:val="clear" w:color="auto" w:fill="auto"/>
            <w:noWrap/>
            <w:vAlign w:val="bottom"/>
            <w:hideMark/>
          </w:tcPr>
          <w:p w14:paraId="09B926ED" w14:textId="77777777" w:rsidR="009A2020" w:rsidRPr="007053C4" w:rsidRDefault="009A2020" w:rsidP="009A202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053C4">
              <w:rPr>
                <w:sz w:val="18"/>
                <w:lang w:val="en-US"/>
              </w:rPr>
              <w:t>-</w:t>
            </w:r>
          </w:p>
        </w:tc>
        <w:tc>
          <w:tcPr>
            <w:tcW w:w="980" w:type="dxa"/>
            <w:tcBorders>
              <w:bottom w:val="nil"/>
            </w:tcBorders>
            <w:shd w:val="clear" w:color="auto" w:fill="auto"/>
            <w:noWrap/>
            <w:vAlign w:val="bottom"/>
            <w:hideMark/>
          </w:tcPr>
          <w:p w14:paraId="1F1715E9" w14:textId="77777777" w:rsidR="009A2020" w:rsidRPr="007053C4" w:rsidRDefault="009A2020" w:rsidP="009A202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053C4">
              <w:rPr>
                <w:sz w:val="18"/>
                <w:lang w:val="en-US"/>
              </w:rPr>
              <w:t>-</w:t>
            </w:r>
          </w:p>
        </w:tc>
      </w:tr>
      <w:tr w:rsidR="009A2020" w:rsidRPr="007053C4" w14:paraId="3D60E878" w14:textId="77777777" w:rsidTr="00521126">
        <w:trPr>
          <w:trHeight w:val="240"/>
        </w:trPr>
        <w:tc>
          <w:tcPr>
            <w:tcW w:w="2779" w:type="dxa"/>
            <w:tcBorders>
              <w:top w:val="nil"/>
              <w:bottom w:val="single" w:sz="12" w:space="0" w:color="auto"/>
            </w:tcBorders>
            <w:shd w:val="clear" w:color="auto" w:fill="auto"/>
            <w:noWrap/>
            <w:hideMark/>
          </w:tcPr>
          <w:p w14:paraId="2DA8A075" w14:textId="77777777" w:rsidR="009A2020" w:rsidRPr="007053C4" w:rsidRDefault="009A2020" w:rsidP="009A2020">
            <w:pPr>
              <w:pStyle w:val="SingleTxtG"/>
              <w:tabs>
                <w:tab w:val="clear" w:pos="1701"/>
                <w:tab w:val="clear" w:pos="2268"/>
                <w:tab w:val="clear" w:pos="2835"/>
              </w:tabs>
              <w:spacing w:before="40" w:after="40" w:line="220" w:lineRule="exact"/>
              <w:ind w:left="0" w:right="0"/>
              <w:jc w:val="left"/>
              <w:rPr>
                <w:sz w:val="18"/>
              </w:rPr>
            </w:pPr>
            <w:r w:rsidRPr="007053C4">
              <w:rPr>
                <w:sz w:val="18"/>
              </w:rPr>
              <w:t>Evolución</w:t>
            </w:r>
            <w:r w:rsidRPr="007053C4">
              <w:rPr>
                <w:bCs/>
                <w:sz w:val="18"/>
              </w:rPr>
              <w:t xml:space="preserve"> </w:t>
            </w:r>
            <w:r w:rsidRPr="007053C4">
              <w:rPr>
                <w:sz w:val="18"/>
              </w:rPr>
              <w:t>del número de instituciones de atención médica básica</w:t>
            </w:r>
          </w:p>
        </w:tc>
        <w:tc>
          <w:tcPr>
            <w:tcW w:w="979" w:type="dxa"/>
            <w:tcBorders>
              <w:top w:val="nil"/>
              <w:bottom w:val="single" w:sz="12" w:space="0" w:color="auto"/>
            </w:tcBorders>
            <w:shd w:val="clear" w:color="auto" w:fill="auto"/>
            <w:noWrap/>
            <w:vAlign w:val="bottom"/>
            <w:hideMark/>
          </w:tcPr>
          <w:p w14:paraId="39207BAD" w14:textId="77777777" w:rsidR="009A2020" w:rsidRPr="007053C4" w:rsidRDefault="009A2020" w:rsidP="009A202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053C4">
              <w:rPr>
                <w:sz w:val="18"/>
                <w:lang w:val="en-US"/>
              </w:rPr>
              <w:t>2 661</w:t>
            </w:r>
          </w:p>
        </w:tc>
        <w:tc>
          <w:tcPr>
            <w:tcW w:w="980" w:type="dxa"/>
            <w:tcBorders>
              <w:top w:val="nil"/>
              <w:bottom w:val="single" w:sz="12" w:space="0" w:color="auto"/>
            </w:tcBorders>
            <w:shd w:val="clear" w:color="auto" w:fill="auto"/>
            <w:noWrap/>
            <w:vAlign w:val="bottom"/>
            <w:hideMark/>
          </w:tcPr>
          <w:p w14:paraId="2E356727" w14:textId="77777777" w:rsidR="009A2020" w:rsidRPr="007053C4" w:rsidRDefault="009A2020" w:rsidP="009A202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053C4">
              <w:rPr>
                <w:sz w:val="18"/>
                <w:lang w:val="en-US"/>
              </w:rPr>
              <w:t>2 759</w:t>
            </w:r>
          </w:p>
        </w:tc>
        <w:tc>
          <w:tcPr>
            <w:tcW w:w="980" w:type="dxa"/>
            <w:tcBorders>
              <w:top w:val="nil"/>
              <w:bottom w:val="single" w:sz="12" w:space="0" w:color="auto"/>
            </w:tcBorders>
            <w:shd w:val="clear" w:color="auto" w:fill="auto"/>
            <w:noWrap/>
            <w:vAlign w:val="bottom"/>
            <w:hideMark/>
          </w:tcPr>
          <w:p w14:paraId="51C30BB3" w14:textId="77777777" w:rsidR="009A2020" w:rsidRPr="007053C4" w:rsidRDefault="009A2020" w:rsidP="009A202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053C4">
              <w:rPr>
                <w:sz w:val="18"/>
                <w:lang w:val="en-US"/>
              </w:rPr>
              <w:t>2 792</w:t>
            </w:r>
          </w:p>
        </w:tc>
        <w:tc>
          <w:tcPr>
            <w:tcW w:w="980" w:type="dxa"/>
            <w:tcBorders>
              <w:top w:val="nil"/>
              <w:bottom w:val="single" w:sz="12" w:space="0" w:color="auto"/>
            </w:tcBorders>
            <w:shd w:val="clear" w:color="auto" w:fill="auto"/>
            <w:noWrap/>
            <w:vAlign w:val="bottom"/>
            <w:hideMark/>
          </w:tcPr>
          <w:p w14:paraId="42A4A546" w14:textId="77777777" w:rsidR="009A2020" w:rsidRPr="007053C4" w:rsidRDefault="009A2020" w:rsidP="009A202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053C4">
              <w:rPr>
                <w:sz w:val="18"/>
                <w:lang w:val="en-US"/>
              </w:rPr>
              <w:t>-</w:t>
            </w:r>
          </w:p>
        </w:tc>
        <w:tc>
          <w:tcPr>
            <w:tcW w:w="980" w:type="dxa"/>
            <w:tcBorders>
              <w:top w:val="nil"/>
              <w:bottom w:val="single" w:sz="12" w:space="0" w:color="auto"/>
            </w:tcBorders>
            <w:shd w:val="clear" w:color="auto" w:fill="auto"/>
            <w:noWrap/>
            <w:vAlign w:val="bottom"/>
            <w:hideMark/>
          </w:tcPr>
          <w:p w14:paraId="416540B4" w14:textId="77777777" w:rsidR="009A2020" w:rsidRPr="007053C4" w:rsidRDefault="009A2020" w:rsidP="009A202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053C4">
              <w:rPr>
                <w:sz w:val="18"/>
                <w:lang w:val="en-US"/>
              </w:rPr>
              <w:t>2 865</w:t>
            </w:r>
          </w:p>
        </w:tc>
        <w:tc>
          <w:tcPr>
            <w:tcW w:w="980" w:type="dxa"/>
            <w:tcBorders>
              <w:top w:val="nil"/>
              <w:bottom w:val="single" w:sz="12" w:space="0" w:color="auto"/>
            </w:tcBorders>
            <w:shd w:val="clear" w:color="auto" w:fill="auto"/>
            <w:noWrap/>
            <w:vAlign w:val="bottom"/>
            <w:hideMark/>
          </w:tcPr>
          <w:p w14:paraId="646FFDCC" w14:textId="77777777" w:rsidR="009A2020" w:rsidRPr="007053C4" w:rsidRDefault="009A2020" w:rsidP="009A202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053C4">
              <w:rPr>
                <w:sz w:val="18"/>
                <w:lang w:val="en-US"/>
              </w:rPr>
              <w:t>-</w:t>
            </w:r>
          </w:p>
        </w:tc>
        <w:tc>
          <w:tcPr>
            <w:tcW w:w="980" w:type="dxa"/>
            <w:tcBorders>
              <w:top w:val="nil"/>
              <w:bottom w:val="single" w:sz="12" w:space="0" w:color="auto"/>
            </w:tcBorders>
            <w:shd w:val="clear" w:color="auto" w:fill="auto"/>
            <w:noWrap/>
            <w:vAlign w:val="bottom"/>
            <w:hideMark/>
          </w:tcPr>
          <w:p w14:paraId="37687518" w14:textId="77777777" w:rsidR="009A2020" w:rsidRPr="007053C4" w:rsidRDefault="009A2020" w:rsidP="009A202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053C4">
              <w:rPr>
                <w:sz w:val="18"/>
                <w:lang w:val="en-US"/>
              </w:rPr>
              <w:t>2 888</w:t>
            </w:r>
          </w:p>
        </w:tc>
      </w:tr>
    </w:tbl>
    <w:p w14:paraId="0415B20C" w14:textId="77777777" w:rsidR="007053C4" w:rsidRDefault="007053C4"/>
    <w:tbl>
      <w:tblPr>
        <w:tblW w:w="9638" w:type="dxa"/>
        <w:tblBorders>
          <w:top w:val="single" w:sz="4" w:space="0" w:color="auto"/>
        </w:tblBorders>
        <w:tblLayout w:type="fixed"/>
        <w:tblCellMar>
          <w:left w:w="0" w:type="dxa"/>
          <w:right w:w="0" w:type="dxa"/>
        </w:tblCellMar>
        <w:tblLook w:val="04A0" w:firstRow="1" w:lastRow="0" w:firstColumn="1" w:lastColumn="0" w:noHBand="0" w:noVBand="1"/>
      </w:tblPr>
      <w:tblGrid>
        <w:gridCol w:w="2772"/>
        <w:gridCol w:w="980"/>
        <w:gridCol w:w="981"/>
        <w:gridCol w:w="981"/>
        <w:gridCol w:w="981"/>
        <w:gridCol w:w="981"/>
        <w:gridCol w:w="981"/>
        <w:gridCol w:w="981"/>
      </w:tblGrid>
      <w:tr w:rsidR="004F510C" w:rsidRPr="007053C4" w14:paraId="02F0CA89" w14:textId="77777777" w:rsidTr="00521126">
        <w:trPr>
          <w:trHeight w:val="240"/>
        </w:trPr>
        <w:tc>
          <w:tcPr>
            <w:tcW w:w="2772" w:type="dxa"/>
            <w:tcBorders>
              <w:top w:val="single" w:sz="4" w:space="0" w:color="auto"/>
              <w:bottom w:val="single" w:sz="12" w:space="0" w:color="auto"/>
            </w:tcBorders>
            <w:shd w:val="clear" w:color="auto" w:fill="auto"/>
            <w:noWrap/>
            <w:hideMark/>
          </w:tcPr>
          <w:p w14:paraId="3CD07895" w14:textId="345F3B7F" w:rsidR="004F510C" w:rsidRPr="007053C4" w:rsidRDefault="004F510C" w:rsidP="004E2640">
            <w:pPr>
              <w:pStyle w:val="SingleTxtG"/>
              <w:keepNext/>
              <w:keepLines/>
              <w:tabs>
                <w:tab w:val="clear" w:pos="1701"/>
                <w:tab w:val="clear" w:pos="2268"/>
                <w:tab w:val="clear" w:pos="2835"/>
              </w:tabs>
              <w:spacing w:before="40" w:after="40" w:line="220" w:lineRule="exact"/>
              <w:ind w:left="0" w:right="0"/>
              <w:jc w:val="left"/>
              <w:rPr>
                <w:rFonts w:eastAsia="Calibri"/>
                <w:bCs/>
                <w:iCs/>
                <w:sz w:val="18"/>
                <w:lang w:val="en-US"/>
              </w:rPr>
            </w:pPr>
          </w:p>
        </w:tc>
        <w:tc>
          <w:tcPr>
            <w:tcW w:w="980" w:type="dxa"/>
            <w:tcBorders>
              <w:top w:val="single" w:sz="4" w:space="0" w:color="auto"/>
              <w:bottom w:val="single" w:sz="12" w:space="0" w:color="auto"/>
            </w:tcBorders>
            <w:shd w:val="clear" w:color="auto" w:fill="auto"/>
            <w:noWrap/>
            <w:vAlign w:val="bottom"/>
            <w:hideMark/>
          </w:tcPr>
          <w:p w14:paraId="24AEB124" w14:textId="77777777" w:rsidR="004F510C" w:rsidRPr="007053C4" w:rsidRDefault="004F510C" w:rsidP="004E2640">
            <w:pPr>
              <w:pStyle w:val="SingleTxtG"/>
              <w:keepNext/>
              <w:keepLines/>
              <w:tabs>
                <w:tab w:val="clear" w:pos="1701"/>
                <w:tab w:val="clear" w:pos="2268"/>
                <w:tab w:val="clear" w:pos="2835"/>
              </w:tabs>
              <w:spacing w:before="80" w:after="80" w:line="200" w:lineRule="exact"/>
              <w:ind w:left="113" w:right="0"/>
              <w:jc w:val="right"/>
              <w:rPr>
                <w:rFonts w:eastAsia="Calibri"/>
                <w:i/>
                <w:sz w:val="16"/>
                <w:lang w:val="en-US"/>
              </w:rPr>
            </w:pPr>
            <w:r w:rsidRPr="007053C4">
              <w:rPr>
                <w:rFonts w:eastAsia="Calibri"/>
                <w:i/>
                <w:sz w:val="16"/>
                <w:lang w:val="en-US"/>
              </w:rPr>
              <w:t>1994</w:t>
            </w:r>
          </w:p>
        </w:tc>
        <w:tc>
          <w:tcPr>
            <w:tcW w:w="981" w:type="dxa"/>
            <w:tcBorders>
              <w:top w:val="single" w:sz="4" w:space="0" w:color="auto"/>
              <w:bottom w:val="single" w:sz="12" w:space="0" w:color="auto"/>
            </w:tcBorders>
            <w:shd w:val="clear" w:color="auto" w:fill="auto"/>
            <w:noWrap/>
            <w:vAlign w:val="bottom"/>
            <w:hideMark/>
          </w:tcPr>
          <w:p w14:paraId="5CCE70B7" w14:textId="77777777" w:rsidR="004F510C" w:rsidRPr="007053C4" w:rsidRDefault="004F510C" w:rsidP="004E2640">
            <w:pPr>
              <w:pStyle w:val="SingleTxtG"/>
              <w:keepNext/>
              <w:keepLines/>
              <w:tabs>
                <w:tab w:val="clear" w:pos="1701"/>
                <w:tab w:val="clear" w:pos="2268"/>
                <w:tab w:val="clear" w:pos="2835"/>
              </w:tabs>
              <w:spacing w:before="80" w:after="80" w:line="200" w:lineRule="exact"/>
              <w:ind w:left="113" w:right="0"/>
              <w:jc w:val="right"/>
              <w:rPr>
                <w:rFonts w:eastAsia="Calibri"/>
                <w:i/>
                <w:sz w:val="16"/>
                <w:lang w:val="en-US"/>
              </w:rPr>
            </w:pPr>
            <w:r w:rsidRPr="007053C4">
              <w:rPr>
                <w:rFonts w:eastAsia="Calibri"/>
                <w:i/>
                <w:sz w:val="16"/>
                <w:lang w:val="en-US"/>
              </w:rPr>
              <w:t>2004</w:t>
            </w:r>
          </w:p>
        </w:tc>
        <w:tc>
          <w:tcPr>
            <w:tcW w:w="981" w:type="dxa"/>
            <w:tcBorders>
              <w:top w:val="single" w:sz="4" w:space="0" w:color="auto"/>
              <w:bottom w:val="single" w:sz="12" w:space="0" w:color="auto"/>
            </w:tcBorders>
            <w:shd w:val="clear" w:color="auto" w:fill="auto"/>
            <w:noWrap/>
            <w:vAlign w:val="bottom"/>
            <w:hideMark/>
          </w:tcPr>
          <w:p w14:paraId="76C716FC" w14:textId="77777777" w:rsidR="004F510C" w:rsidRPr="007053C4" w:rsidRDefault="004F510C" w:rsidP="004E2640">
            <w:pPr>
              <w:pStyle w:val="SingleTxtG"/>
              <w:keepNext/>
              <w:keepLines/>
              <w:tabs>
                <w:tab w:val="clear" w:pos="1701"/>
                <w:tab w:val="clear" w:pos="2268"/>
                <w:tab w:val="clear" w:pos="2835"/>
              </w:tabs>
              <w:spacing w:before="80" w:after="80" w:line="200" w:lineRule="exact"/>
              <w:ind w:left="113" w:right="0"/>
              <w:jc w:val="right"/>
              <w:rPr>
                <w:rFonts w:eastAsia="Calibri"/>
                <w:i/>
                <w:sz w:val="16"/>
                <w:lang w:val="en-US"/>
              </w:rPr>
            </w:pPr>
            <w:r w:rsidRPr="007053C4">
              <w:rPr>
                <w:rFonts w:eastAsia="Calibri"/>
                <w:i/>
                <w:sz w:val="16"/>
                <w:lang w:val="en-US"/>
              </w:rPr>
              <w:t>2010</w:t>
            </w:r>
          </w:p>
        </w:tc>
        <w:tc>
          <w:tcPr>
            <w:tcW w:w="981" w:type="dxa"/>
            <w:tcBorders>
              <w:top w:val="single" w:sz="4" w:space="0" w:color="auto"/>
              <w:bottom w:val="single" w:sz="12" w:space="0" w:color="auto"/>
            </w:tcBorders>
            <w:shd w:val="clear" w:color="auto" w:fill="auto"/>
            <w:noWrap/>
            <w:vAlign w:val="bottom"/>
            <w:hideMark/>
          </w:tcPr>
          <w:p w14:paraId="4EC9C113" w14:textId="77777777" w:rsidR="004F510C" w:rsidRPr="007053C4" w:rsidRDefault="004F510C" w:rsidP="004E2640">
            <w:pPr>
              <w:pStyle w:val="SingleTxtG"/>
              <w:keepNext/>
              <w:keepLines/>
              <w:tabs>
                <w:tab w:val="clear" w:pos="1701"/>
                <w:tab w:val="clear" w:pos="2268"/>
                <w:tab w:val="clear" w:pos="2835"/>
              </w:tabs>
              <w:spacing w:before="80" w:after="80" w:line="200" w:lineRule="exact"/>
              <w:ind w:left="113" w:right="0"/>
              <w:jc w:val="right"/>
              <w:rPr>
                <w:rFonts w:eastAsia="Calibri"/>
                <w:i/>
                <w:sz w:val="16"/>
                <w:lang w:val="en-US"/>
              </w:rPr>
            </w:pPr>
            <w:r w:rsidRPr="007053C4">
              <w:rPr>
                <w:rFonts w:eastAsia="Calibri"/>
                <w:i/>
                <w:sz w:val="16"/>
                <w:lang w:val="en-US"/>
              </w:rPr>
              <w:t>2014</w:t>
            </w:r>
          </w:p>
        </w:tc>
        <w:tc>
          <w:tcPr>
            <w:tcW w:w="981" w:type="dxa"/>
            <w:tcBorders>
              <w:top w:val="single" w:sz="4" w:space="0" w:color="auto"/>
              <w:bottom w:val="single" w:sz="12" w:space="0" w:color="auto"/>
            </w:tcBorders>
            <w:shd w:val="clear" w:color="auto" w:fill="auto"/>
            <w:noWrap/>
            <w:vAlign w:val="bottom"/>
            <w:hideMark/>
          </w:tcPr>
          <w:p w14:paraId="2D00D5BD" w14:textId="77777777" w:rsidR="004F510C" w:rsidRPr="007053C4" w:rsidRDefault="004F510C" w:rsidP="004E2640">
            <w:pPr>
              <w:pStyle w:val="SingleTxtG"/>
              <w:keepNext/>
              <w:keepLines/>
              <w:tabs>
                <w:tab w:val="clear" w:pos="1701"/>
                <w:tab w:val="clear" w:pos="2268"/>
                <w:tab w:val="clear" w:pos="2835"/>
              </w:tabs>
              <w:spacing w:before="80" w:after="80" w:line="200" w:lineRule="exact"/>
              <w:ind w:left="113" w:right="0"/>
              <w:jc w:val="right"/>
              <w:rPr>
                <w:rFonts w:eastAsia="Calibri"/>
                <w:i/>
                <w:sz w:val="16"/>
                <w:lang w:val="en-US"/>
              </w:rPr>
            </w:pPr>
            <w:r w:rsidRPr="007053C4">
              <w:rPr>
                <w:rFonts w:eastAsia="Calibri"/>
                <w:i/>
                <w:sz w:val="16"/>
                <w:lang w:val="en-US"/>
              </w:rPr>
              <w:t>2015</w:t>
            </w:r>
          </w:p>
        </w:tc>
        <w:tc>
          <w:tcPr>
            <w:tcW w:w="981" w:type="dxa"/>
            <w:tcBorders>
              <w:top w:val="single" w:sz="4" w:space="0" w:color="auto"/>
              <w:bottom w:val="single" w:sz="12" w:space="0" w:color="auto"/>
            </w:tcBorders>
            <w:shd w:val="clear" w:color="auto" w:fill="auto"/>
            <w:noWrap/>
            <w:vAlign w:val="bottom"/>
            <w:hideMark/>
          </w:tcPr>
          <w:p w14:paraId="1414735A" w14:textId="77777777" w:rsidR="004F510C" w:rsidRPr="007053C4" w:rsidRDefault="004F510C" w:rsidP="004E2640">
            <w:pPr>
              <w:pStyle w:val="SingleTxtG"/>
              <w:keepNext/>
              <w:keepLines/>
              <w:tabs>
                <w:tab w:val="clear" w:pos="1701"/>
                <w:tab w:val="clear" w:pos="2268"/>
                <w:tab w:val="clear" w:pos="2835"/>
              </w:tabs>
              <w:spacing w:before="80" w:after="80" w:line="200" w:lineRule="exact"/>
              <w:ind w:left="113" w:right="0"/>
              <w:jc w:val="right"/>
              <w:rPr>
                <w:rFonts w:eastAsia="Calibri"/>
                <w:i/>
                <w:sz w:val="16"/>
                <w:lang w:val="en-US"/>
              </w:rPr>
            </w:pPr>
            <w:r w:rsidRPr="007053C4">
              <w:rPr>
                <w:rFonts w:eastAsia="Calibri"/>
                <w:i/>
                <w:sz w:val="16"/>
                <w:lang w:val="en-US"/>
              </w:rPr>
              <w:t>2020</w:t>
            </w:r>
          </w:p>
        </w:tc>
        <w:tc>
          <w:tcPr>
            <w:tcW w:w="981" w:type="dxa"/>
            <w:tcBorders>
              <w:top w:val="single" w:sz="4" w:space="0" w:color="auto"/>
              <w:bottom w:val="single" w:sz="12" w:space="0" w:color="auto"/>
            </w:tcBorders>
            <w:shd w:val="clear" w:color="auto" w:fill="auto"/>
            <w:noWrap/>
            <w:vAlign w:val="bottom"/>
          </w:tcPr>
          <w:p w14:paraId="6F9A064E" w14:textId="77777777" w:rsidR="004F510C" w:rsidRPr="007053C4" w:rsidRDefault="004F510C" w:rsidP="004E2640">
            <w:pPr>
              <w:pStyle w:val="SingleTxtG"/>
              <w:keepNext/>
              <w:keepLines/>
              <w:tabs>
                <w:tab w:val="clear" w:pos="1701"/>
                <w:tab w:val="clear" w:pos="2268"/>
                <w:tab w:val="clear" w:pos="2835"/>
              </w:tabs>
              <w:spacing w:before="80" w:after="80" w:line="200" w:lineRule="exact"/>
              <w:ind w:left="113" w:right="0"/>
              <w:jc w:val="right"/>
              <w:rPr>
                <w:rFonts w:eastAsia="Calibri"/>
                <w:i/>
                <w:sz w:val="16"/>
                <w:lang w:val="en-US"/>
              </w:rPr>
            </w:pPr>
          </w:p>
        </w:tc>
      </w:tr>
      <w:tr w:rsidR="004F510C" w:rsidRPr="007D4AFD" w14:paraId="08A6E6C2" w14:textId="77777777" w:rsidTr="00521126">
        <w:trPr>
          <w:trHeight w:val="240"/>
        </w:trPr>
        <w:tc>
          <w:tcPr>
            <w:tcW w:w="2772" w:type="dxa"/>
            <w:tcBorders>
              <w:top w:val="single" w:sz="12" w:space="0" w:color="auto"/>
            </w:tcBorders>
            <w:shd w:val="clear" w:color="auto" w:fill="auto"/>
            <w:noWrap/>
            <w:hideMark/>
          </w:tcPr>
          <w:p w14:paraId="6A96A855" w14:textId="0A297A46" w:rsidR="004E0684" w:rsidRPr="007D4AFD" w:rsidRDefault="004E0684" w:rsidP="004E2640">
            <w:pPr>
              <w:pStyle w:val="SingleTxtG"/>
              <w:keepNext/>
              <w:keepLines/>
              <w:tabs>
                <w:tab w:val="clear" w:pos="1701"/>
                <w:tab w:val="clear" w:pos="2268"/>
                <w:tab w:val="clear" w:pos="2835"/>
                <w:tab w:val="left" w:pos="404"/>
              </w:tabs>
              <w:spacing w:before="40" w:after="40" w:line="220" w:lineRule="exact"/>
              <w:ind w:left="404" w:right="0" w:hanging="404"/>
              <w:jc w:val="left"/>
              <w:rPr>
                <w:rFonts w:eastAsia="Calibri"/>
                <w:b/>
                <w:sz w:val="18"/>
                <w:lang w:val="es-ES_tradnl"/>
              </w:rPr>
            </w:pPr>
            <w:r w:rsidRPr="007D4AFD">
              <w:rPr>
                <w:rFonts w:eastAsia="Calibri"/>
                <w:b/>
                <w:sz w:val="18"/>
                <w:lang w:val="es-ES_tradnl"/>
              </w:rPr>
              <w:t>4.1</w:t>
            </w:r>
            <w:r w:rsidR="007053C4" w:rsidRPr="007D4AFD">
              <w:rPr>
                <w:rFonts w:eastAsia="Calibri"/>
                <w:b/>
                <w:sz w:val="18"/>
                <w:lang w:val="es-ES_tradnl"/>
              </w:rPr>
              <w:tab/>
            </w:r>
            <w:r w:rsidRPr="007D4AFD">
              <w:rPr>
                <w:rFonts w:eastAsia="Calibri"/>
                <w:b/>
                <w:sz w:val="18"/>
                <w:lang w:val="es-ES_tradnl"/>
              </w:rPr>
              <w:t>Esperanza de vida al nacer</w:t>
            </w:r>
            <w:r w:rsidR="00694EFF">
              <w:rPr>
                <w:rFonts w:eastAsia="Calibri"/>
                <w:b/>
                <w:sz w:val="18"/>
                <w:lang w:val="es-ES_tradnl"/>
              </w:rPr>
              <w:br/>
            </w:r>
            <w:r w:rsidRPr="007D4AFD">
              <w:rPr>
                <w:rFonts w:eastAsia="Calibri"/>
                <w:b/>
                <w:sz w:val="18"/>
                <w:lang w:val="es-ES_tradnl"/>
              </w:rPr>
              <w:t>(en años)</w:t>
            </w:r>
          </w:p>
        </w:tc>
        <w:tc>
          <w:tcPr>
            <w:tcW w:w="980" w:type="dxa"/>
            <w:tcBorders>
              <w:top w:val="single" w:sz="12" w:space="0" w:color="auto"/>
            </w:tcBorders>
            <w:shd w:val="clear" w:color="auto" w:fill="auto"/>
            <w:noWrap/>
            <w:vAlign w:val="bottom"/>
            <w:hideMark/>
          </w:tcPr>
          <w:p w14:paraId="30C4B86C" w14:textId="77777777" w:rsidR="004E0684" w:rsidRPr="00694EFF"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s-ES_tradnl"/>
              </w:rPr>
            </w:pPr>
            <w:r w:rsidRPr="00694EFF">
              <w:rPr>
                <w:b/>
                <w:bCs/>
                <w:sz w:val="18"/>
                <w:lang w:val="es-ES_tradnl"/>
              </w:rPr>
              <w:t>67,9</w:t>
            </w:r>
          </w:p>
        </w:tc>
        <w:tc>
          <w:tcPr>
            <w:tcW w:w="981" w:type="dxa"/>
            <w:tcBorders>
              <w:top w:val="single" w:sz="12" w:space="0" w:color="auto"/>
            </w:tcBorders>
            <w:shd w:val="clear" w:color="auto" w:fill="auto"/>
            <w:noWrap/>
            <w:vAlign w:val="bottom"/>
            <w:hideMark/>
          </w:tcPr>
          <w:p w14:paraId="05E3D52A" w14:textId="77777777" w:rsidR="004E0684" w:rsidRPr="00694EFF"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s-ES_tradnl"/>
              </w:rPr>
            </w:pPr>
            <w:r w:rsidRPr="00694EFF">
              <w:rPr>
                <w:b/>
                <w:bCs/>
                <w:sz w:val="18"/>
                <w:lang w:val="es-ES_tradnl"/>
              </w:rPr>
              <w:t>71,7</w:t>
            </w:r>
          </w:p>
        </w:tc>
        <w:tc>
          <w:tcPr>
            <w:tcW w:w="981" w:type="dxa"/>
            <w:tcBorders>
              <w:top w:val="single" w:sz="12" w:space="0" w:color="auto"/>
            </w:tcBorders>
            <w:shd w:val="clear" w:color="auto" w:fill="auto"/>
            <w:noWrap/>
            <w:vAlign w:val="bottom"/>
            <w:hideMark/>
          </w:tcPr>
          <w:p w14:paraId="10755C24" w14:textId="77777777" w:rsidR="004E0684" w:rsidRPr="00694EFF"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s-ES_tradnl"/>
              </w:rPr>
            </w:pPr>
            <w:r w:rsidRPr="00694EFF">
              <w:rPr>
                <w:b/>
                <w:bCs/>
                <w:sz w:val="18"/>
                <w:lang w:val="es-ES_tradnl"/>
              </w:rPr>
              <w:t>73,1</w:t>
            </w:r>
          </w:p>
        </w:tc>
        <w:tc>
          <w:tcPr>
            <w:tcW w:w="981" w:type="dxa"/>
            <w:tcBorders>
              <w:top w:val="single" w:sz="12" w:space="0" w:color="auto"/>
            </w:tcBorders>
            <w:shd w:val="clear" w:color="auto" w:fill="auto"/>
            <w:noWrap/>
            <w:vAlign w:val="bottom"/>
            <w:hideMark/>
          </w:tcPr>
          <w:p w14:paraId="015C872E" w14:textId="77777777" w:rsidR="004E0684" w:rsidRPr="00694EFF"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s-ES_tradnl"/>
              </w:rPr>
            </w:pPr>
            <w:r w:rsidRPr="00694EFF">
              <w:rPr>
                <w:b/>
                <w:bCs/>
                <w:sz w:val="18"/>
                <w:lang w:val="es-ES_tradnl"/>
              </w:rPr>
              <w:t>75,6</w:t>
            </w:r>
          </w:p>
        </w:tc>
        <w:tc>
          <w:tcPr>
            <w:tcW w:w="981" w:type="dxa"/>
            <w:tcBorders>
              <w:top w:val="single" w:sz="12" w:space="0" w:color="auto"/>
            </w:tcBorders>
            <w:shd w:val="clear" w:color="auto" w:fill="auto"/>
            <w:noWrap/>
            <w:vAlign w:val="bottom"/>
            <w:hideMark/>
          </w:tcPr>
          <w:p w14:paraId="55BAA8BB" w14:textId="77777777" w:rsidR="004E0684" w:rsidRPr="00694EFF"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s-ES_tradnl"/>
              </w:rPr>
            </w:pPr>
            <w:r w:rsidRPr="00694EFF">
              <w:rPr>
                <w:b/>
                <w:bCs/>
                <w:sz w:val="18"/>
                <w:lang w:val="es-ES_tradnl"/>
              </w:rPr>
              <w:t>75,8</w:t>
            </w:r>
          </w:p>
        </w:tc>
        <w:tc>
          <w:tcPr>
            <w:tcW w:w="981" w:type="dxa"/>
            <w:tcBorders>
              <w:top w:val="single" w:sz="12" w:space="0" w:color="auto"/>
            </w:tcBorders>
            <w:shd w:val="clear" w:color="auto" w:fill="auto"/>
            <w:noWrap/>
            <w:vAlign w:val="bottom"/>
            <w:hideMark/>
          </w:tcPr>
          <w:p w14:paraId="74E7F08A" w14:textId="77777777" w:rsidR="004E0684" w:rsidRPr="00694EFF"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b/>
                <w:bCs/>
                <w:sz w:val="18"/>
                <w:lang w:val="es-ES_tradnl"/>
              </w:rPr>
            </w:pPr>
            <w:r w:rsidRPr="00694EFF">
              <w:rPr>
                <w:b/>
                <w:bCs/>
                <w:sz w:val="18"/>
                <w:lang w:val="es-ES_tradnl"/>
              </w:rPr>
              <w:t>76,6</w:t>
            </w:r>
          </w:p>
        </w:tc>
        <w:tc>
          <w:tcPr>
            <w:tcW w:w="981" w:type="dxa"/>
            <w:tcBorders>
              <w:top w:val="single" w:sz="12" w:space="0" w:color="auto"/>
            </w:tcBorders>
            <w:shd w:val="clear" w:color="auto" w:fill="auto"/>
            <w:noWrap/>
            <w:vAlign w:val="bottom"/>
          </w:tcPr>
          <w:p w14:paraId="0103C4F0" w14:textId="77777777" w:rsidR="004E0684" w:rsidRPr="007D4AFD"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p>
        </w:tc>
      </w:tr>
      <w:tr w:rsidR="004F510C" w:rsidRPr="007D4AFD" w14:paraId="250C2F38" w14:textId="77777777" w:rsidTr="00521126">
        <w:trPr>
          <w:trHeight w:val="240"/>
        </w:trPr>
        <w:tc>
          <w:tcPr>
            <w:tcW w:w="2772" w:type="dxa"/>
            <w:tcBorders>
              <w:bottom w:val="nil"/>
            </w:tcBorders>
            <w:shd w:val="clear" w:color="auto" w:fill="auto"/>
            <w:noWrap/>
            <w:hideMark/>
          </w:tcPr>
          <w:p w14:paraId="05EF6378" w14:textId="77777777" w:rsidR="004E0684" w:rsidRPr="007D4AFD" w:rsidRDefault="004E0684" w:rsidP="004E2640">
            <w:pPr>
              <w:pStyle w:val="SingleTxtG"/>
              <w:keepNext/>
              <w:keepLines/>
              <w:tabs>
                <w:tab w:val="clear" w:pos="1701"/>
                <w:tab w:val="clear" w:pos="2268"/>
                <w:tab w:val="clear" w:pos="2835"/>
              </w:tabs>
              <w:spacing w:before="40" w:after="40" w:line="220" w:lineRule="exact"/>
              <w:ind w:left="0" w:right="0"/>
              <w:jc w:val="left"/>
              <w:rPr>
                <w:rFonts w:eastAsia="Calibri"/>
                <w:sz w:val="18"/>
                <w:lang w:val="es-ES_tradnl"/>
              </w:rPr>
            </w:pPr>
            <w:r w:rsidRPr="007D4AFD">
              <w:rPr>
                <w:sz w:val="18"/>
                <w:lang w:val="es-ES_tradnl"/>
              </w:rPr>
              <w:t>Hombres</w:t>
            </w:r>
          </w:p>
        </w:tc>
        <w:tc>
          <w:tcPr>
            <w:tcW w:w="980" w:type="dxa"/>
            <w:tcBorders>
              <w:bottom w:val="nil"/>
            </w:tcBorders>
            <w:shd w:val="clear" w:color="auto" w:fill="auto"/>
            <w:noWrap/>
            <w:vAlign w:val="bottom"/>
            <w:hideMark/>
          </w:tcPr>
          <w:p w14:paraId="4BC79A0B" w14:textId="77777777" w:rsidR="004E0684" w:rsidRPr="007D4AFD"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66,3</w:t>
            </w:r>
          </w:p>
        </w:tc>
        <w:tc>
          <w:tcPr>
            <w:tcW w:w="981" w:type="dxa"/>
            <w:tcBorders>
              <w:bottom w:val="nil"/>
            </w:tcBorders>
            <w:shd w:val="clear" w:color="auto" w:fill="auto"/>
            <w:noWrap/>
            <w:vAlign w:val="bottom"/>
            <w:hideMark/>
          </w:tcPr>
          <w:p w14:paraId="436D76F8" w14:textId="77777777" w:rsidR="004E0684" w:rsidRPr="007D4AFD"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70,6</w:t>
            </w:r>
          </w:p>
        </w:tc>
        <w:tc>
          <w:tcPr>
            <w:tcW w:w="981" w:type="dxa"/>
            <w:tcBorders>
              <w:bottom w:val="nil"/>
            </w:tcBorders>
            <w:shd w:val="clear" w:color="auto" w:fill="auto"/>
            <w:noWrap/>
            <w:vAlign w:val="bottom"/>
            <w:hideMark/>
          </w:tcPr>
          <w:p w14:paraId="5979D784" w14:textId="77777777" w:rsidR="004E0684" w:rsidRPr="007D4AFD"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73,9</w:t>
            </w:r>
          </w:p>
        </w:tc>
        <w:tc>
          <w:tcPr>
            <w:tcW w:w="981" w:type="dxa"/>
            <w:tcBorders>
              <w:bottom w:val="nil"/>
            </w:tcBorders>
            <w:shd w:val="clear" w:color="auto" w:fill="auto"/>
            <w:noWrap/>
            <w:vAlign w:val="bottom"/>
            <w:hideMark/>
          </w:tcPr>
          <w:p w14:paraId="324DD179" w14:textId="77777777" w:rsidR="004E0684" w:rsidRPr="007D4AFD"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74,0</w:t>
            </w:r>
          </w:p>
        </w:tc>
        <w:tc>
          <w:tcPr>
            <w:tcW w:w="981" w:type="dxa"/>
            <w:tcBorders>
              <w:bottom w:val="nil"/>
            </w:tcBorders>
            <w:shd w:val="clear" w:color="auto" w:fill="auto"/>
            <w:noWrap/>
            <w:vAlign w:val="bottom"/>
            <w:hideMark/>
          </w:tcPr>
          <w:p w14:paraId="6E69E5B9" w14:textId="77777777" w:rsidR="004E0684" w:rsidRPr="007D4AFD"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74,2</w:t>
            </w:r>
          </w:p>
        </w:tc>
        <w:tc>
          <w:tcPr>
            <w:tcW w:w="981" w:type="dxa"/>
            <w:tcBorders>
              <w:bottom w:val="nil"/>
            </w:tcBorders>
            <w:shd w:val="clear" w:color="auto" w:fill="auto"/>
            <w:noWrap/>
            <w:vAlign w:val="bottom"/>
            <w:hideMark/>
          </w:tcPr>
          <w:p w14:paraId="6F9ED115" w14:textId="77777777" w:rsidR="004E0684" w:rsidRPr="007D4AFD"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74,9</w:t>
            </w:r>
          </w:p>
        </w:tc>
        <w:tc>
          <w:tcPr>
            <w:tcW w:w="981" w:type="dxa"/>
            <w:tcBorders>
              <w:bottom w:val="nil"/>
            </w:tcBorders>
            <w:shd w:val="clear" w:color="auto" w:fill="auto"/>
            <w:noWrap/>
            <w:vAlign w:val="bottom"/>
          </w:tcPr>
          <w:p w14:paraId="3AC7FB9B" w14:textId="77777777" w:rsidR="004E0684" w:rsidRPr="007D4AFD"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p>
        </w:tc>
      </w:tr>
      <w:tr w:rsidR="004F510C" w:rsidRPr="007D4AFD" w14:paraId="7FB937C5" w14:textId="77777777" w:rsidTr="00521126">
        <w:trPr>
          <w:trHeight w:val="240"/>
        </w:trPr>
        <w:tc>
          <w:tcPr>
            <w:tcW w:w="2772" w:type="dxa"/>
            <w:tcBorders>
              <w:top w:val="nil"/>
              <w:bottom w:val="single" w:sz="12" w:space="0" w:color="auto"/>
            </w:tcBorders>
            <w:shd w:val="clear" w:color="auto" w:fill="auto"/>
            <w:noWrap/>
            <w:hideMark/>
          </w:tcPr>
          <w:p w14:paraId="5F7C3CE0" w14:textId="77777777" w:rsidR="004E0684" w:rsidRPr="007D4AFD" w:rsidRDefault="004E0684" w:rsidP="004E2640">
            <w:pPr>
              <w:pStyle w:val="SingleTxtG"/>
              <w:keepNext/>
              <w:keepLines/>
              <w:tabs>
                <w:tab w:val="clear" w:pos="1701"/>
                <w:tab w:val="clear" w:pos="2268"/>
                <w:tab w:val="clear" w:pos="2835"/>
              </w:tabs>
              <w:spacing w:before="40" w:after="40" w:line="220" w:lineRule="exact"/>
              <w:ind w:left="0" w:right="0"/>
              <w:jc w:val="left"/>
              <w:rPr>
                <w:rFonts w:eastAsia="Calibri"/>
                <w:sz w:val="18"/>
                <w:lang w:val="es-ES_tradnl"/>
              </w:rPr>
            </w:pPr>
            <w:r w:rsidRPr="007D4AFD">
              <w:rPr>
                <w:sz w:val="18"/>
                <w:lang w:val="es-ES_tradnl"/>
              </w:rPr>
              <w:t>Mujeres</w:t>
            </w:r>
          </w:p>
        </w:tc>
        <w:tc>
          <w:tcPr>
            <w:tcW w:w="980" w:type="dxa"/>
            <w:tcBorders>
              <w:top w:val="nil"/>
              <w:bottom w:val="single" w:sz="12" w:space="0" w:color="auto"/>
            </w:tcBorders>
            <w:shd w:val="clear" w:color="auto" w:fill="auto"/>
            <w:noWrap/>
            <w:vAlign w:val="bottom"/>
            <w:hideMark/>
          </w:tcPr>
          <w:p w14:paraId="3C384CCB" w14:textId="77777777" w:rsidR="004E0684" w:rsidRPr="007D4AFD"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69,5</w:t>
            </w:r>
          </w:p>
        </w:tc>
        <w:tc>
          <w:tcPr>
            <w:tcW w:w="981" w:type="dxa"/>
            <w:tcBorders>
              <w:top w:val="nil"/>
              <w:bottom w:val="single" w:sz="12" w:space="0" w:color="auto"/>
            </w:tcBorders>
            <w:shd w:val="clear" w:color="auto" w:fill="auto"/>
            <w:noWrap/>
            <w:vAlign w:val="bottom"/>
            <w:hideMark/>
          </w:tcPr>
          <w:p w14:paraId="56E6E568" w14:textId="77777777" w:rsidR="004E0684" w:rsidRPr="007D4AFD"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73,0</w:t>
            </w:r>
          </w:p>
        </w:tc>
        <w:tc>
          <w:tcPr>
            <w:tcW w:w="981" w:type="dxa"/>
            <w:tcBorders>
              <w:top w:val="nil"/>
              <w:bottom w:val="single" w:sz="12" w:space="0" w:color="auto"/>
            </w:tcBorders>
            <w:shd w:val="clear" w:color="auto" w:fill="auto"/>
            <w:noWrap/>
            <w:vAlign w:val="bottom"/>
            <w:hideMark/>
          </w:tcPr>
          <w:p w14:paraId="72FBA291" w14:textId="77777777" w:rsidR="004E0684" w:rsidRPr="007D4AFD"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74,4</w:t>
            </w:r>
          </w:p>
        </w:tc>
        <w:tc>
          <w:tcPr>
            <w:tcW w:w="981" w:type="dxa"/>
            <w:tcBorders>
              <w:top w:val="nil"/>
              <w:bottom w:val="single" w:sz="12" w:space="0" w:color="auto"/>
            </w:tcBorders>
            <w:shd w:val="clear" w:color="auto" w:fill="auto"/>
            <w:noWrap/>
            <w:vAlign w:val="bottom"/>
            <w:hideMark/>
          </w:tcPr>
          <w:p w14:paraId="3A988212" w14:textId="77777777" w:rsidR="004E0684" w:rsidRPr="007D4AFD"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77,3</w:t>
            </w:r>
          </w:p>
        </w:tc>
        <w:tc>
          <w:tcPr>
            <w:tcW w:w="981" w:type="dxa"/>
            <w:tcBorders>
              <w:top w:val="nil"/>
              <w:bottom w:val="single" w:sz="12" w:space="0" w:color="auto"/>
            </w:tcBorders>
            <w:shd w:val="clear" w:color="auto" w:fill="auto"/>
            <w:noWrap/>
            <w:vAlign w:val="bottom"/>
            <w:hideMark/>
          </w:tcPr>
          <w:p w14:paraId="07C2CDE0" w14:textId="77777777" w:rsidR="004E0684" w:rsidRPr="007D4AFD"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77,4</w:t>
            </w:r>
          </w:p>
        </w:tc>
        <w:tc>
          <w:tcPr>
            <w:tcW w:w="981" w:type="dxa"/>
            <w:tcBorders>
              <w:top w:val="nil"/>
              <w:bottom w:val="single" w:sz="12" w:space="0" w:color="auto"/>
            </w:tcBorders>
            <w:shd w:val="clear" w:color="auto" w:fill="auto"/>
            <w:noWrap/>
            <w:vAlign w:val="bottom"/>
            <w:hideMark/>
          </w:tcPr>
          <w:p w14:paraId="5760BBFA" w14:textId="77777777" w:rsidR="004E0684" w:rsidRPr="007D4AFD"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78,3</w:t>
            </w:r>
          </w:p>
        </w:tc>
        <w:tc>
          <w:tcPr>
            <w:tcW w:w="981" w:type="dxa"/>
            <w:tcBorders>
              <w:top w:val="nil"/>
              <w:bottom w:val="single" w:sz="12" w:space="0" w:color="auto"/>
            </w:tcBorders>
            <w:shd w:val="clear" w:color="auto" w:fill="auto"/>
            <w:noWrap/>
            <w:vAlign w:val="bottom"/>
          </w:tcPr>
          <w:p w14:paraId="3518491A" w14:textId="77777777" w:rsidR="004E0684" w:rsidRPr="007D4AFD" w:rsidRDefault="004E0684" w:rsidP="004E2640">
            <w:pPr>
              <w:pStyle w:val="SingleTxtG"/>
              <w:keepNext/>
              <w:keepLines/>
              <w:tabs>
                <w:tab w:val="clear" w:pos="1701"/>
                <w:tab w:val="clear" w:pos="2268"/>
                <w:tab w:val="clear" w:pos="2835"/>
              </w:tabs>
              <w:spacing w:before="40" w:after="40" w:line="220" w:lineRule="exact"/>
              <w:ind w:left="113" w:right="0"/>
              <w:jc w:val="right"/>
              <w:rPr>
                <w:rFonts w:eastAsia="Calibri"/>
                <w:sz w:val="18"/>
                <w:lang w:val="es-ES_tradnl"/>
              </w:rPr>
            </w:pPr>
          </w:p>
        </w:tc>
      </w:tr>
    </w:tbl>
    <w:p w14:paraId="26C3EAC1" w14:textId="77777777" w:rsidR="007053C4" w:rsidRPr="007D4AFD" w:rsidRDefault="007053C4">
      <w:pPr>
        <w:rPr>
          <w:lang w:val="es-ES_tradnl"/>
        </w:rPr>
      </w:pPr>
    </w:p>
    <w:tbl>
      <w:tblPr>
        <w:tblW w:w="9638" w:type="dxa"/>
        <w:tblBorders>
          <w:top w:val="single" w:sz="4" w:space="0" w:color="auto"/>
        </w:tblBorders>
        <w:tblLayout w:type="fixed"/>
        <w:tblCellMar>
          <w:left w:w="0" w:type="dxa"/>
          <w:right w:w="0" w:type="dxa"/>
        </w:tblCellMar>
        <w:tblLook w:val="04A0" w:firstRow="1" w:lastRow="0" w:firstColumn="1" w:lastColumn="0" w:noHBand="0" w:noVBand="1"/>
      </w:tblPr>
      <w:tblGrid>
        <w:gridCol w:w="2772"/>
        <w:gridCol w:w="980"/>
        <w:gridCol w:w="981"/>
        <w:gridCol w:w="981"/>
        <w:gridCol w:w="981"/>
        <w:gridCol w:w="981"/>
        <w:gridCol w:w="981"/>
        <w:gridCol w:w="981"/>
      </w:tblGrid>
      <w:tr w:rsidR="007053C4" w:rsidRPr="007D4AFD" w14:paraId="54C50E01" w14:textId="77777777" w:rsidTr="00521126">
        <w:trPr>
          <w:trHeight w:val="240"/>
        </w:trPr>
        <w:tc>
          <w:tcPr>
            <w:tcW w:w="2772" w:type="dxa"/>
            <w:tcBorders>
              <w:top w:val="single" w:sz="4" w:space="0" w:color="auto"/>
              <w:bottom w:val="single" w:sz="12" w:space="0" w:color="auto"/>
            </w:tcBorders>
            <w:shd w:val="clear" w:color="auto" w:fill="auto"/>
            <w:noWrap/>
            <w:hideMark/>
          </w:tcPr>
          <w:p w14:paraId="7F9D6BC9" w14:textId="77777777" w:rsidR="004E0684" w:rsidRPr="007D4AFD" w:rsidRDefault="004E0684" w:rsidP="007053C4">
            <w:pPr>
              <w:pStyle w:val="SingleTxtG"/>
              <w:tabs>
                <w:tab w:val="clear" w:pos="1701"/>
                <w:tab w:val="clear" w:pos="2268"/>
                <w:tab w:val="clear" w:pos="2835"/>
              </w:tabs>
              <w:spacing w:before="40" w:after="40" w:line="220" w:lineRule="exact"/>
              <w:ind w:left="0" w:right="0"/>
              <w:jc w:val="left"/>
              <w:rPr>
                <w:rFonts w:eastAsia="Calibri"/>
                <w:bCs/>
                <w:iCs/>
                <w:sz w:val="18"/>
                <w:lang w:val="es-ES_tradnl"/>
              </w:rPr>
            </w:pPr>
          </w:p>
        </w:tc>
        <w:tc>
          <w:tcPr>
            <w:tcW w:w="980" w:type="dxa"/>
            <w:tcBorders>
              <w:top w:val="single" w:sz="4" w:space="0" w:color="auto"/>
              <w:bottom w:val="single" w:sz="12" w:space="0" w:color="auto"/>
            </w:tcBorders>
            <w:shd w:val="clear" w:color="auto" w:fill="auto"/>
            <w:noWrap/>
            <w:vAlign w:val="bottom"/>
            <w:hideMark/>
          </w:tcPr>
          <w:p w14:paraId="553CFB86" w14:textId="77777777" w:rsidR="004E0684" w:rsidRPr="007D4AFD" w:rsidRDefault="004E0684" w:rsidP="007053C4">
            <w:pPr>
              <w:pStyle w:val="SingleTxtG"/>
              <w:tabs>
                <w:tab w:val="clear" w:pos="1701"/>
                <w:tab w:val="clear" w:pos="2268"/>
                <w:tab w:val="clear" w:pos="2835"/>
              </w:tabs>
              <w:spacing w:before="80" w:after="80" w:line="200" w:lineRule="exact"/>
              <w:ind w:left="113" w:right="0"/>
              <w:jc w:val="right"/>
              <w:rPr>
                <w:rFonts w:eastAsia="Calibri"/>
                <w:i/>
                <w:sz w:val="16"/>
                <w:lang w:val="es-ES_tradnl"/>
              </w:rPr>
            </w:pPr>
            <w:r w:rsidRPr="007D4AFD">
              <w:rPr>
                <w:rFonts w:eastAsia="Calibri"/>
                <w:i/>
                <w:sz w:val="16"/>
                <w:lang w:val="es-ES_tradnl"/>
              </w:rPr>
              <w:t>1992</w:t>
            </w:r>
          </w:p>
        </w:tc>
        <w:tc>
          <w:tcPr>
            <w:tcW w:w="981" w:type="dxa"/>
            <w:tcBorders>
              <w:top w:val="single" w:sz="4" w:space="0" w:color="auto"/>
              <w:bottom w:val="single" w:sz="12" w:space="0" w:color="auto"/>
            </w:tcBorders>
            <w:shd w:val="clear" w:color="auto" w:fill="auto"/>
            <w:noWrap/>
            <w:vAlign w:val="bottom"/>
            <w:hideMark/>
          </w:tcPr>
          <w:p w14:paraId="1F8A271D" w14:textId="77777777" w:rsidR="004E0684" w:rsidRPr="007D4AFD" w:rsidRDefault="004E0684" w:rsidP="007053C4">
            <w:pPr>
              <w:pStyle w:val="SingleTxtG"/>
              <w:tabs>
                <w:tab w:val="clear" w:pos="1701"/>
                <w:tab w:val="clear" w:pos="2268"/>
                <w:tab w:val="clear" w:pos="2835"/>
              </w:tabs>
              <w:spacing w:before="80" w:after="80" w:line="200" w:lineRule="exact"/>
              <w:ind w:left="113" w:right="0"/>
              <w:jc w:val="right"/>
              <w:rPr>
                <w:rFonts w:eastAsia="Calibri"/>
                <w:i/>
                <w:sz w:val="16"/>
                <w:lang w:val="es-ES_tradnl"/>
              </w:rPr>
            </w:pPr>
            <w:r w:rsidRPr="007D4AFD">
              <w:rPr>
                <w:rFonts w:eastAsia="Calibri"/>
                <w:i/>
                <w:sz w:val="16"/>
                <w:lang w:val="es-ES_tradnl"/>
              </w:rPr>
              <w:t>1995</w:t>
            </w:r>
          </w:p>
        </w:tc>
        <w:tc>
          <w:tcPr>
            <w:tcW w:w="981" w:type="dxa"/>
            <w:tcBorders>
              <w:top w:val="single" w:sz="4" w:space="0" w:color="auto"/>
              <w:bottom w:val="single" w:sz="12" w:space="0" w:color="auto"/>
            </w:tcBorders>
            <w:shd w:val="clear" w:color="auto" w:fill="auto"/>
            <w:noWrap/>
            <w:vAlign w:val="bottom"/>
            <w:hideMark/>
          </w:tcPr>
          <w:p w14:paraId="120B3870" w14:textId="77777777" w:rsidR="004E0684" w:rsidRPr="007D4AFD" w:rsidRDefault="004E0684" w:rsidP="007053C4">
            <w:pPr>
              <w:pStyle w:val="SingleTxtG"/>
              <w:tabs>
                <w:tab w:val="clear" w:pos="1701"/>
                <w:tab w:val="clear" w:pos="2268"/>
                <w:tab w:val="clear" w:pos="2835"/>
              </w:tabs>
              <w:spacing w:before="80" w:after="80" w:line="200" w:lineRule="exact"/>
              <w:ind w:left="113" w:right="0"/>
              <w:jc w:val="right"/>
              <w:rPr>
                <w:rFonts w:eastAsia="Calibri"/>
                <w:i/>
                <w:sz w:val="16"/>
                <w:lang w:val="es-ES_tradnl"/>
              </w:rPr>
            </w:pPr>
            <w:r w:rsidRPr="007D4AFD">
              <w:rPr>
                <w:rFonts w:eastAsia="Calibri"/>
                <w:i/>
                <w:sz w:val="16"/>
                <w:lang w:val="es-ES_tradnl"/>
              </w:rPr>
              <w:t>1997</w:t>
            </w:r>
          </w:p>
        </w:tc>
        <w:tc>
          <w:tcPr>
            <w:tcW w:w="981" w:type="dxa"/>
            <w:tcBorders>
              <w:top w:val="single" w:sz="4" w:space="0" w:color="auto"/>
              <w:bottom w:val="single" w:sz="12" w:space="0" w:color="auto"/>
            </w:tcBorders>
            <w:shd w:val="clear" w:color="auto" w:fill="auto"/>
            <w:noWrap/>
            <w:vAlign w:val="bottom"/>
          </w:tcPr>
          <w:p w14:paraId="5380DD4E" w14:textId="77777777" w:rsidR="004E0684" w:rsidRPr="007D4AFD" w:rsidRDefault="004E0684" w:rsidP="007053C4">
            <w:pPr>
              <w:pStyle w:val="SingleTxtG"/>
              <w:tabs>
                <w:tab w:val="clear" w:pos="1701"/>
                <w:tab w:val="clear" w:pos="2268"/>
                <w:tab w:val="clear" w:pos="2835"/>
              </w:tabs>
              <w:spacing w:before="80" w:after="80" w:line="200" w:lineRule="exact"/>
              <w:ind w:left="113" w:right="0"/>
              <w:jc w:val="right"/>
              <w:rPr>
                <w:rFonts w:eastAsia="Calibri"/>
                <w:i/>
                <w:sz w:val="16"/>
                <w:lang w:val="es-ES_tradnl"/>
              </w:rPr>
            </w:pPr>
          </w:p>
        </w:tc>
        <w:tc>
          <w:tcPr>
            <w:tcW w:w="981" w:type="dxa"/>
            <w:tcBorders>
              <w:top w:val="single" w:sz="4" w:space="0" w:color="auto"/>
              <w:bottom w:val="single" w:sz="12" w:space="0" w:color="auto"/>
            </w:tcBorders>
            <w:shd w:val="clear" w:color="auto" w:fill="auto"/>
            <w:noWrap/>
            <w:vAlign w:val="bottom"/>
            <w:hideMark/>
          </w:tcPr>
          <w:p w14:paraId="11B6D128" w14:textId="77777777" w:rsidR="004E0684" w:rsidRPr="007D4AFD" w:rsidRDefault="004E0684" w:rsidP="007053C4">
            <w:pPr>
              <w:pStyle w:val="SingleTxtG"/>
              <w:tabs>
                <w:tab w:val="clear" w:pos="1701"/>
                <w:tab w:val="clear" w:pos="2268"/>
                <w:tab w:val="clear" w:pos="2835"/>
              </w:tabs>
              <w:spacing w:before="80" w:after="80" w:line="200" w:lineRule="exact"/>
              <w:ind w:left="113" w:right="0"/>
              <w:jc w:val="right"/>
              <w:rPr>
                <w:rFonts w:eastAsia="Calibri"/>
                <w:i/>
                <w:sz w:val="16"/>
                <w:lang w:val="es-ES_tradnl"/>
              </w:rPr>
            </w:pPr>
            <w:r w:rsidRPr="007D4AFD">
              <w:rPr>
                <w:rFonts w:eastAsia="Calibri"/>
                <w:i/>
                <w:sz w:val="16"/>
                <w:lang w:val="es-ES_tradnl"/>
              </w:rPr>
              <w:t>2004</w:t>
            </w:r>
          </w:p>
        </w:tc>
        <w:tc>
          <w:tcPr>
            <w:tcW w:w="981" w:type="dxa"/>
            <w:tcBorders>
              <w:top w:val="single" w:sz="4" w:space="0" w:color="auto"/>
              <w:bottom w:val="single" w:sz="12" w:space="0" w:color="auto"/>
            </w:tcBorders>
            <w:shd w:val="clear" w:color="auto" w:fill="auto"/>
            <w:noWrap/>
            <w:vAlign w:val="bottom"/>
            <w:hideMark/>
          </w:tcPr>
          <w:p w14:paraId="2D829A83" w14:textId="77777777" w:rsidR="004E0684" w:rsidRPr="007D4AFD" w:rsidRDefault="004E0684" w:rsidP="007053C4">
            <w:pPr>
              <w:pStyle w:val="SingleTxtG"/>
              <w:tabs>
                <w:tab w:val="clear" w:pos="1701"/>
                <w:tab w:val="clear" w:pos="2268"/>
                <w:tab w:val="clear" w:pos="2835"/>
              </w:tabs>
              <w:spacing w:before="80" w:after="80" w:line="200" w:lineRule="exact"/>
              <w:ind w:left="113" w:right="0"/>
              <w:jc w:val="right"/>
              <w:rPr>
                <w:rFonts w:eastAsia="Calibri"/>
                <w:i/>
                <w:sz w:val="16"/>
                <w:lang w:val="es-ES_tradnl"/>
              </w:rPr>
            </w:pPr>
            <w:r w:rsidRPr="007D4AFD">
              <w:rPr>
                <w:rFonts w:eastAsia="Calibri"/>
                <w:i/>
                <w:sz w:val="16"/>
                <w:lang w:val="es-ES_tradnl"/>
              </w:rPr>
              <w:t>2011</w:t>
            </w:r>
          </w:p>
        </w:tc>
        <w:tc>
          <w:tcPr>
            <w:tcW w:w="981" w:type="dxa"/>
            <w:tcBorders>
              <w:top w:val="single" w:sz="4" w:space="0" w:color="auto"/>
              <w:bottom w:val="single" w:sz="12" w:space="0" w:color="auto"/>
            </w:tcBorders>
            <w:shd w:val="clear" w:color="auto" w:fill="auto"/>
            <w:noWrap/>
            <w:vAlign w:val="bottom"/>
            <w:hideMark/>
          </w:tcPr>
          <w:p w14:paraId="066E6929" w14:textId="77777777" w:rsidR="004E0684" w:rsidRPr="007D4AFD" w:rsidRDefault="004E0684" w:rsidP="007053C4">
            <w:pPr>
              <w:pStyle w:val="SingleTxtG"/>
              <w:tabs>
                <w:tab w:val="clear" w:pos="1701"/>
                <w:tab w:val="clear" w:pos="2268"/>
                <w:tab w:val="clear" w:pos="2835"/>
              </w:tabs>
              <w:spacing w:before="80" w:after="80" w:line="200" w:lineRule="exact"/>
              <w:ind w:left="113" w:right="0"/>
              <w:jc w:val="right"/>
              <w:rPr>
                <w:rFonts w:eastAsia="Calibri"/>
                <w:i/>
                <w:sz w:val="16"/>
                <w:lang w:val="es-ES_tradnl"/>
              </w:rPr>
            </w:pPr>
            <w:r w:rsidRPr="007D4AFD">
              <w:rPr>
                <w:rFonts w:eastAsia="Calibri"/>
                <w:i/>
                <w:sz w:val="16"/>
                <w:lang w:val="es-ES_tradnl"/>
              </w:rPr>
              <w:t>2018</w:t>
            </w:r>
          </w:p>
        </w:tc>
      </w:tr>
      <w:tr w:rsidR="007053C4" w:rsidRPr="007D4AFD" w14:paraId="32AEC59B" w14:textId="77777777" w:rsidTr="00521126">
        <w:trPr>
          <w:trHeight w:val="240"/>
        </w:trPr>
        <w:tc>
          <w:tcPr>
            <w:tcW w:w="2772" w:type="dxa"/>
            <w:tcBorders>
              <w:top w:val="single" w:sz="12" w:space="0" w:color="auto"/>
            </w:tcBorders>
            <w:shd w:val="clear" w:color="auto" w:fill="auto"/>
            <w:noWrap/>
            <w:hideMark/>
          </w:tcPr>
          <w:p w14:paraId="26B71A7A" w14:textId="02CA524C" w:rsidR="004E0684" w:rsidRPr="00862368" w:rsidRDefault="004E0684" w:rsidP="00694EFF">
            <w:pPr>
              <w:pStyle w:val="SingleTxtG"/>
              <w:keepNext/>
              <w:keepLines/>
              <w:tabs>
                <w:tab w:val="clear" w:pos="1701"/>
                <w:tab w:val="clear" w:pos="2268"/>
                <w:tab w:val="clear" w:pos="2835"/>
                <w:tab w:val="left" w:pos="404"/>
              </w:tabs>
              <w:spacing w:before="40" w:after="40" w:line="220" w:lineRule="exact"/>
              <w:ind w:left="404" w:right="0" w:hanging="404"/>
              <w:jc w:val="left"/>
              <w:rPr>
                <w:rFonts w:eastAsia="Calibri"/>
                <w:b/>
                <w:sz w:val="18"/>
                <w:lang w:val="es-ES_tradnl"/>
              </w:rPr>
            </w:pPr>
            <w:r w:rsidRPr="007D4AFD">
              <w:rPr>
                <w:rFonts w:eastAsia="Calibri"/>
                <w:b/>
                <w:sz w:val="18"/>
                <w:lang w:val="es-ES_tradnl"/>
              </w:rPr>
              <w:t>4.2</w:t>
            </w:r>
            <w:r w:rsidR="007053C4" w:rsidRPr="007D4AFD">
              <w:rPr>
                <w:rFonts w:eastAsia="Calibri"/>
                <w:b/>
                <w:sz w:val="18"/>
                <w:lang w:val="es-ES_tradnl"/>
              </w:rPr>
              <w:tab/>
            </w:r>
            <w:r w:rsidRPr="007D4AFD">
              <w:rPr>
                <w:rFonts w:eastAsia="Calibri"/>
                <w:b/>
                <w:sz w:val="18"/>
                <w:lang w:val="es-ES_tradnl"/>
              </w:rPr>
              <w:t>Porcentaje de uso de anticonceptivos</w:t>
            </w:r>
            <w:r w:rsidRPr="00862368">
              <w:rPr>
                <w:rFonts w:eastAsia="Calibri"/>
                <w:b/>
                <w:sz w:val="18"/>
                <w:lang w:val="es-ES_tradnl"/>
              </w:rPr>
              <w:t xml:space="preserve"> </w:t>
            </w:r>
          </w:p>
        </w:tc>
        <w:tc>
          <w:tcPr>
            <w:tcW w:w="980" w:type="dxa"/>
            <w:tcBorders>
              <w:top w:val="single" w:sz="12" w:space="0" w:color="auto"/>
            </w:tcBorders>
            <w:shd w:val="clear" w:color="auto" w:fill="auto"/>
            <w:noWrap/>
            <w:vAlign w:val="bottom"/>
            <w:hideMark/>
          </w:tcPr>
          <w:p w14:paraId="597F7331" w14:textId="77777777" w:rsidR="004E0684" w:rsidRPr="00694EFF" w:rsidRDefault="004E0684" w:rsidP="007053C4">
            <w:pPr>
              <w:pStyle w:val="SingleTxtG"/>
              <w:tabs>
                <w:tab w:val="clear" w:pos="1701"/>
                <w:tab w:val="clear" w:pos="2268"/>
                <w:tab w:val="clear" w:pos="2835"/>
              </w:tabs>
              <w:spacing w:before="40" w:after="40" w:line="220" w:lineRule="exact"/>
              <w:ind w:left="113" w:right="0"/>
              <w:jc w:val="right"/>
              <w:rPr>
                <w:rFonts w:eastAsia="Calibri"/>
                <w:b/>
                <w:bCs/>
                <w:sz w:val="18"/>
                <w:lang w:val="es-ES_tradnl"/>
              </w:rPr>
            </w:pPr>
            <w:r w:rsidRPr="00694EFF">
              <w:rPr>
                <w:b/>
                <w:bCs/>
                <w:sz w:val="18"/>
                <w:lang w:val="es-ES_tradnl"/>
              </w:rPr>
              <w:t>41,5</w:t>
            </w:r>
          </w:p>
        </w:tc>
        <w:tc>
          <w:tcPr>
            <w:tcW w:w="981" w:type="dxa"/>
            <w:tcBorders>
              <w:top w:val="single" w:sz="12" w:space="0" w:color="auto"/>
            </w:tcBorders>
            <w:shd w:val="clear" w:color="auto" w:fill="auto"/>
            <w:noWrap/>
            <w:vAlign w:val="bottom"/>
            <w:hideMark/>
          </w:tcPr>
          <w:p w14:paraId="0972F379" w14:textId="77777777" w:rsidR="004E0684" w:rsidRPr="00694EFF" w:rsidRDefault="004E0684" w:rsidP="007053C4">
            <w:pPr>
              <w:pStyle w:val="SingleTxtG"/>
              <w:tabs>
                <w:tab w:val="clear" w:pos="1701"/>
                <w:tab w:val="clear" w:pos="2268"/>
                <w:tab w:val="clear" w:pos="2835"/>
              </w:tabs>
              <w:spacing w:before="40" w:after="40" w:line="220" w:lineRule="exact"/>
              <w:ind w:left="113" w:right="0"/>
              <w:jc w:val="right"/>
              <w:rPr>
                <w:rFonts w:eastAsia="Calibri"/>
                <w:b/>
                <w:bCs/>
                <w:sz w:val="18"/>
                <w:lang w:val="es-ES_tradnl"/>
              </w:rPr>
            </w:pPr>
            <w:r w:rsidRPr="00694EFF">
              <w:rPr>
                <w:b/>
                <w:bCs/>
                <w:sz w:val="18"/>
                <w:lang w:val="es-ES_tradnl"/>
              </w:rPr>
              <w:t>50,3</w:t>
            </w:r>
          </w:p>
        </w:tc>
        <w:tc>
          <w:tcPr>
            <w:tcW w:w="981" w:type="dxa"/>
            <w:tcBorders>
              <w:top w:val="single" w:sz="12" w:space="0" w:color="auto"/>
            </w:tcBorders>
            <w:shd w:val="clear" w:color="auto" w:fill="auto"/>
            <w:noWrap/>
            <w:vAlign w:val="bottom"/>
            <w:hideMark/>
          </w:tcPr>
          <w:p w14:paraId="19F3262D" w14:textId="77777777" w:rsidR="004E0684" w:rsidRPr="00694EFF" w:rsidRDefault="004E0684" w:rsidP="007053C4">
            <w:pPr>
              <w:pStyle w:val="SingleTxtG"/>
              <w:tabs>
                <w:tab w:val="clear" w:pos="1701"/>
                <w:tab w:val="clear" w:pos="2268"/>
                <w:tab w:val="clear" w:pos="2835"/>
              </w:tabs>
              <w:spacing w:before="40" w:after="40" w:line="220" w:lineRule="exact"/>
              <w:ind w:left="113" w:right="0"/>
              <w:jc w:val="right"/>
              <w:rPr>
                <w:rFonts w:eastAsia="Calibri"/>
                <w:b/>
                <w:bCs/>
                <w:sz w:val="18"/>
                <w:lang w:val="es-ES_tradnl"/>
              </w:rPr>
            </w:pPr>
            <w:r w:rsidRPr="00694EFF">
              <w:rPr>
                <w:b/>
                <w:bCs/>
                <w:sz w:val="18"/>
                <w:lang w:val="es-ES_tradnl"/>
              </w:rPr>
              <w:t>58,4</w:t>
            </w:r>
          </w:p>
        </w:tc>
        <w:tc>
          <w:tcPr>
            <w:tcW w:w="981" w:type="dxa"/>
            <w:tcBorders>
              <w:top w:val="single" w:sz="12" w:space="0" w:color="auto"/>
            </w:tcBorders>
            <w:shd w:val="clear" w:color="auto" w:fill="auto"/>
            <w:noWrap/>
            <w:vAlign w:val="bottom"/>
          </w:tcPr>
          <w:p w14:paraId="200C4F30" w14:textId="77777777" w:rsidR="004E0684" w:rsidRPr="00694EFF" w:rsidRDefault="004E0684" w:rsidP="007053C4">
            <w:pPr>
              <w:pStyle w:val="SingleTxtG"/>
              <w:tabs>
                <w:tab w:val="clear" w:pos="1701"/>
                <w:tab w:val="clear" w:pos="2268"/>
                <w:tab w:val="clear" w:pos="2835"/>
              </w:tabs>
              <w:spacing w:before="40" w:after="40" w:line="220" w:lineRule="exact"/>
              <w:ind w:left="113" w:right="0"/>
              <w:jc w:val="right"/>
              <w:rPr>
                <w:rFonts w:eastAsia="Calibri"/>
                <w:b/>
                <w:bCs/>
                <w:sz w:val="18"/>
                <w:lang w:val="es-ES_tradnl"/>
              </w:rPr>
            </w:pPr>
          </w:p>
        </w:tc>
        <w:tc>
          <w:tcPr>
            <w:tcW w:w="981" w:type="dxa"/>
            <w:tcBorders>
              <w:top w:val="single" w:sz="12" w:space="0" w:color="auto"/>
            </w:tcBorders>
            <w:shd w:val="clear" w:color="auto" w:fill="auto"/>
            <w:noWrap/>
            <w:vAlign w:val="bottom"/>
            <w:hideMark/>
          </w:tcPr>
          <w:p w14:paraId="134698D1" w14:textId="77777777" w:rsidR="004E0684" w:rsidRPr="00694EFF" w:rsidRDefault="004E0684" w:rsidP="007053C4">
            <w:pPr>
              <w:pStyle w:val="SingleTxtG"/>
              <w:tabs>
                <w:tab w:val="clear" w:pos="1701"/>
                <w:tab w:val="clear" w:pos="2268"/>
                <w:tab w:val="clear" w:pos="2835"/>
              </w:tabs>
              <w:spacing w:before="40" w:after="40" w:line="220" w:lineRule="exact"/>
              <w:ind w:left="113" w:right="0"/>
              <w:jc w:val="right"/>
              <w:rPr>
                <w:rFonts w:eastAsia="Calibri"/>
                <w:b/>
                <w:bCs/>
                <w:sz w:val="18"/>
                <w:lang w:val="es-ES_tradnl"/>
              </w:rPr>
            </w:pPr>
            <w:r w:rsidRPr="00694EFF">
              <w:rPr>
                <w:b/>
                <w:bCs/>
                <w:sz w:val="18"/>
                <w:lang w:val="es-ES_tradnl"/>
              </w:rPr>
              <w:t>63,0</w:t>
            </w:r>
          </w:p>
        </w:tc>
        <w:tc>
          <w:tcPr>
            <w:tcW w:w="981" w:type="dxa"/>
            <w:tcBorders>
              <w:top w:val="single" w:sz="12" w:space="0" w:color="auto"/>
            </w:tcBorders>
            <w:shd w:val="clear" w:color="auto" w:fill="auto"/>
            <w:noWrap/>
            <w:vAlign w:val="bottom"/>
            <w:hideMark/>
          </w:tcPr>
          <w:p w14:paraId="16613C21" w14:textId="77777777" w:rsidR="004E0684" w:rsidRPr="00694EFF" w:rsidRDefault="004E0684" w:rsidP="007053C4">
            <w:pPr>
              <w:pStyle w:val="SingleTxtG"/>
              <w:tabs>
                <w:tab w:val="clear" w:pos="1701"/>
                <w:tab w:val="clear" w:pos="2268"/>
                <w:tab w:val="clear" w:pos="2835"/>
              </w:tabs>
              <w:spacing w:before="40" w:after="40" w:line="220" w:lineRule="exact"/>
              <w:ind w:left="113" w:right="0"/>
              <w:jc w:val="right"/>
              <w:rPr>
                <w:rFonts w:eastAsia="Calibri"/>
                <w:b/>
                <w:bCs/>
                <w:sz w:val="18"/>
                <w:lang w:val="es-ES_tradnl"/>
              </w:rPr>
            </w:pPr>
            <w:r w:rsidRPr="00694EFF">
              <w:rPr>
                <w:b/>
                <w:bCs/>
                <w:sz w:val="18"/>
                <w:lang w:val="es-ES_tradnl"/>
              </w:rPr>
              <w:t>67,4</w:t>
            </w:r>
          </w:p>
        </w:tc>
        <w:tc>
          <w:tcPr>
            <w:tcW w:w="981" w:type="dxa"/>
            <w:tcBorders>
              <w:top w:val="single" w:sz="12" w:space="0" w:color="auto"/>
            </w:tcBorders>
            <w:shd w:val="clear" w:color="auto" w:fill="auto"/>
            <w:noWrap/>
            <w:vAlign w:val="bottom"/>
            <w:hideMark/>
          </w:tcPr>
          <w:p w14:paraId="2B4C8C4A" w14:textId="77777777" w:rsidR="004E0684" w:rsidRPr="00694EFF" w:rsidRDefault="004E0684" w:rsidP="007053C4">
            <w:pPr>
              <w:pStyle w:val="SingleTxtG"/>
              <w:tabs>
                <w:tab w:val="clear" w:pos="1701"/>
                <w:tab w:val="clear" w:pos="2268"/>
                <w:tab w:val="clear" w:pos="2835"/>
              </w:tabs>
              <w:spacing w:before="40" w:after="40" w:line="220" w:lineRule="exact"/>
              <w:ind w:left="113" w:right="0"/>
              <w:jc w:val="right"/>
              <w:rPr>
                <w:rFonts w:eastAsia="Calibri"/>
                <w:b/>
                <w:bCs/>
                <w:sz w:val="18"/>
                <w:lang w:val="es-ES_tradnl"/>
              </w:rPr>
            </w:pPr>
            <w:r w:rsidRPr="00694EFF">
              <w:rPr>
                <w:b/>
                <w:bCs/>
                <w:sz w:val="18"/>
                <w:lang w:val="es-ES_tradnl"/>
              </w:rPr>
              <w:t>70,8</w:t>
            </w:r>
          </w:p>
        </w:tc>
      </w:tr>
      <w:tr w:rsidR="007053C4" w:rsidRPr="007D4AFD" w14:paraId="6651C227" w14:textId="77777777" w:rsidTr="00521126">
        <w:trPr>
          <w:trHeight w:val="240"/>
        </w:trPr>
        <w:tc>
          <w:tcPr>
            <w:tcW w:w="2772" w:type="dxa"/>
            <w:shd w:val="clear" w:color="auto" w:fill="auto"/>
            <w:noWrap/>
            <w:hideMark/>
          </w:tcPr>
          <w:p w14:paraId="75DF9329" w14:textId="77777777" w:rsidR="004E0684" w:rsidRPr="007D4AFD" w:rsidRDefault="004E0684" w:rsidP="007053C4">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7D4AFD">
              <w:rPr>
                <w:sz w:val="18"/>
                <w:lang w:val="es-ES_tradnl"/>
              </w:rPr>
              <w:t xml:space="preserve">Medio urbano </w:t>
            </w:r>
          </w:p>
        </w:tc>
        <w:tc>
          <w:tcPr>
            <w:tcW w:w="980" w:type="dxa"/>
            <w:shd w:val="clear" w:color="auto" w:fill="auto"/>
            <w:noWrap/>
            <w:vAlign w:val="bottom"/>
            <w:hideMark/>
          </w:tcPr>
          <w:p w14:paraId="1D1D9384" w14:textId="77777777" w:rsidR="004E0684" w:rsidRPr="007D4AFD" w:rsidRDefault="004E0684" w:rsidP="007053C4">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54,4</w:t>
            </w:r>
          </w:p>
        </w:tc>
        <w:tc>
          <w:tcPr>
            <w:tcW w:w="981" w:type="dxa"/>
            <w:shd w:val="clear" w:color="auto" w:fill="auto"/>
            <w:noWrap/>
            <w:vAlign w:val="bottom"/>
            <w:hideMark/>
          </w:tcPr>
          <w:p w14:paraId="12B1001B" w14:textId="77777777" w:rsidR="004E0684" w:rsidRPr="007D4AFD" w:rsidRDefault="004E0684" w:rsidP="007053C4">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64,2</w:t>
            </w:r>
          </w:p>
        </w:tc>
        <w:tc>
          <w:tcPr>
            <w:tcW w:w="981" w:type="dxa"/>
            <w:shd w:val="clear" w:color="auto" w:fill="auto"/>
            <w:noWrap/>
            <w:vAlign w:val="bottom"/>
            <w:hideMark/>
          </w:tcPr>
          <w:p w14:paraId="2B5DB46C" w14:textId="77777777" w:rsidR="004E0684" w:rsidRPr="007D4AFD" w:rsidRDefault="004E0684" w:rsidP="007053C4">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65,8</w:t>
            </w:r>
          </w:p>
        </w:tc>
        <w:tc>
          <w:tcPr>
            <w:tcW w:w="981" w:type="dxa"/>
            <w:shd w:val="clear" w:color="auto" w:fill="auto"/>
            <w:noWrap/>
            <w:vAlign w:val="bottom"/>
          </w:tcPr>
          <w:p w14:paraId="44DF57F2" w14:textId="77777777" w:rsidR="004E0684" w:rsidRPr="007D4AFD" w:rsidRDefault="004E0684" w:rsidP="007053C4">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981" w:type="dxa"/>
            <w:shd w:val="clear" w:color="auto" w:fill="auto"/>
            <w:noWrap/>
            <w:vAlign w:val="bottom"/>
            <w:hideMark/>
          </w:tcPr>
          <w:p w14:paraId="473DA80B" w14:textId="77777777" w:rsidR="004E0684" w:rsidRPr="007D4AFD" w:rsidRDefault="004E0684" w:rsidP="007053C4">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65,5</w:t>
            </w:r>
          </w:p>
        </w:tc>
        <w:tc>
          <w:tcPr>
            <w:tcW w:w="981" w:type="dxa"/>
            <w:shd w:val="clear" w:color="auto" w:fill="auto"/>
            <w:noWrap/>
            <w:vAlign w:val="bottom"/>
            <w:hideMark/>
          </w:tcPr>
          <w:p w14:paraId="236492A0" w14:textId="77777777" w:rsidR="004E0684" w:rsidRPr="007D4AFD" w:rsidRDefault="004E0684" w:rsidP="007053C4">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68,9</w:t>
            </w:r>
          </w:p>
        </w:tc>
        <w:tc>
          <w:tcPr>
            <w:tcW w:w="981" w:type="dxa"/>
            <w:shd w:val="clear" w:color="auto" w:fill="auto"/>
            <w:noWrap/>
            <w:vAlign w:val="bottom"/>
            <w:hideMark/>
          </w:tcPr>
          <w:p w14:paraId="6459DBCA" w14:textId="77777777" w:rsidR="004E0684" w:rsidRPr="007D4AFD" w:rsidRDefault="004E0684" w:rsidP="007053C4">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71,1</w:t>
            </w:r>
          </w:p>
        </w:tc>
      </w:tr>
      <w:tr w:rsidR="007053C4" w:rsidRPr="007D4AFD" w14:paraId="3E07B4F8" w14:textId="77777777" w:rsidTr="00521126">
        <w:trPr>
          <w:trHeight w:val="240"/>
        </w:trPr>
        <w:tc>
          <w:tcPr>
            <w:tcW w:w="2772" w:type="dxa"/>
            <w:tcBorders>
              <w:bottom w:val="single" w:sz="12" w:space="0" w:color="auto"/>
            </w:tcBorders>
            <w:shd w:val="clear" w:color="auto" w:fill="auto"/>
            <w:noWrap/>
            <w:hideMark/>
          </w:tcPr>
          <w:p w14:paraId="69922FFA" w14:textId="77777777" w:rsidR="004E0684" w:rsidRPr="007D4AFD" w:rsidRDefault="004E0684" w:rsidP="007053C4">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7D4AFD">
              <w:rPr>
                <w:sz w:val="18"/>
                <w:lang w:val="es-ES_tradnl"/>
              </w:rPr>
              <w:t>Medio rural</w:t>
            </w:r>
          </w:p>
        </w:tc>
        <w:tc>
          <w:tcPr>
            <w:tcW w:w="980" w:type="dxa"/>
            <w:tcBorders>
              <w:bottom w:val="single" w:sz="12" w:space="0" w:color="auto"/>
            </w:tcBorders>
            <w:shd w:val="clear" w:color="auto" w:fill="auto"/>
            <w:noWrap/>
            <w:vAlign w:val="bottom"/>
            <w:hideMark/>
          </w:tcPr>
          <w:p w14:paraId="2847738C" w14:textId="77777777" w:rsidR="004E0684" w:rsidRPr="007D4AFD" w:rsidRDefault="004E0684" w:rsidP="007053C4">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31,5</w:t>
            </w:r>
          </w:p>
        </w:tc>
        <w:tc>
          <w:tcPr>
            <w:tcW w:w="981" w:type="dxa"/>
            <w:tcBorders>
              <w:bottom w:val="single" w:sz="12" w:space="0" w:color="auto"/>
            </w:tcBorders>
            <w:shd w:val="clear" w:color="auto" w:fill="auto"/>
            <w:noWrap/>
            <w:vAlign w:val="bottom"/>
            <w:hideMark/>
          </w:tcPr>
          <w:p w14:paraId="582880A6" w14:textId="77777777" w:rsidR="004E0684" w:rsidRPr="007D4AFD" w:rsidRDefault="004E0684" w:rsidP="007053C4">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39,2</w:t>
            </w:r>
          </w:p>
        </w:tc>
        <w:tc>
          <w:tcPr>
            <w:tcW w:w="981" w:type="dxa"/>
            <w:tcBorders>
              <w:bottom w:val="single" w:sz="12" w:space="0" w:color="auto"/>
            </w:tcBorders>
            <w:shd w:val="clear" w:color="auto" w:fill="auto"/>
            <w:noWrap/>
            <w:vAlign w:val="bottom"/>
            <w:hideMark/>
          </w:tcPr>
          <w:p w14:paraId="24DC4263" w14:textId="77777777" w:rsidR="004E0684" w:rsidRPr="007D4AFD" w:rsidRDefault="004E0684" w:rsidP="007053C4">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51,7</w:t>
            </w:r>
          </w:p>
        </w:tc>
        <w:tc>
          <w:tcPr>
            <w:tcW w:w="981" w:type="dxa"/>
            <w:tcBorders>
              <w:bottom w:val="single" w:sz="12" w:space="0" w:color="auto"/>
            </w:tcBorders>
            <w:shd w:val="clear" w:color="auto" w:fill="auto"/>
            <w:noWrap/>
            <w:vAlign w:val="bottom"/>
          </w:tcPr>
          <w:p w14:paraId="30EBA0E3" w14:textId="77777777" w:rsidR="004E0684" w:rsidRPr="007D4AFD" w:rsidRDefault="004E0684" w:rsidP="007053C4">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981" w:type="dxa"/>
            <w:tcBorders>
              <w:bottom w:val="single" w:sz="12" w:space="0" w:color="auto"/>
            </w:tcBorders>
            <w:shd w:val="clear" w:color="auto" w:fill="auto"/>
            <w:noWrap/>
            <w:vAlign w:val="bottom"/>
            <w:hideMark/>
          </w:tcPr>
          <w:p w14:paraId="5A8804E5" w14:textId="77777777" w:rsidR="004E0684" w:rsidRPr="007D4AFD" w:rsidRDefault="004E0684" w:rsidP="007053C4">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59,7</w:t>
            </w:r>
          </w:p>
        </w:tc>
        <w:tc>
          <w:tcPr>
            <w:tcW w:w="981" w:type="dxa"/>
            <w:tcBorders>
              <w:bottom w:val="single" w:sz="12" w:space="0" w:color="auto"/>
            </w:tcBorders>
            <w:shd w:val="clear" w:color="auto" w:fill="auto"/>
            <w:noWrap/>
            <w:vAlign w:val="bottom"/>
            <w:hideMark/>
          </w:tcPr>
          <w:p w14:paraId="2F30BCA1" w14:textId="77777777" w:rsidR="004E0684" w:rsidRPr="007D4AFD" w:rsidRDefault="004E0684" w:rsidP="007053C4">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65,5</w:t>
            </w:r>
          </w:p>
        </w:tc>
        <w:tc>
          <w:tcPr>
            <w:tcW w:w="981" w:type="dxa"/>
            <w:tcBorders>
              <w:bottom w:val="single" w:sz="12" w:space="0" w:color="auto"/>
            </w:tcBorders>
            <w:shd w:val="clear" w:color="auto" w:fill="auto"/>
            <w:noWrap/>
            <w:vAlign w:val="bottom"/>
            <w:hideMark/>
          </w:tcPr>
          <w:p w14:paraId="7BC1347E" w14:textId="77777777" w:rsidR="004E0684" w:rsidRPr="007D4AFD" w:rsidRDefault="004E0684" w:rsidP="007053C4">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70,3</w:t>
            </w:r>
          </w:p>
        </w:tc>
      </w:tr>
    </w:tbl>
    <w:p w14:paraId="48B656D9" w14:textId="4EB039FB" w:rsidR="004E0684" w:rsidRPr="006F084A" w:rsidRDefault="004E0684" w:rsidP="00DE21E9">
      <w:pPr>
        <w:pStyle w:val="SingleTxtG"/>
        <w:spacing w:before="240"/>
        <w:rPr>
          <w:rFonts w:eastAsia="Calibri"/>
        </w:rPr>
      </w:pPr>
      <w:r w:rsidRPr="007D4AFD">
        <w:rPr>
          <w:lang w:val="es-ES_tradnl"/>
        </w:rPr>
        <w:t>17.</w:t>
      </w:r>
      <w:r w:rsidR="00DE21E9" w:rsidRPr="007D4AFD">
        <w:rPr>
          <w:lang w:val="es-ES_tradnl"/>
        </w:rPr>
        <w:tab/>
      </w:r>
      <w:r w:rsidRPr="007D4AFD">
        <w:rPr>
          <w:lang w:val="es-ES_tradnl"/>
        </w:rPr>
        <w:t>En cuanto a la situación del empleo y el desempleo</w:t>
      </w:r>
      <w:r w:rsidRPr="006F084A">
        <w:t>, las cifras y datos varían de la siguiente manera</w:t>
      </w:r>
      <w:r w:rsidR="00DE21E9">
        <w:t>.</w:t>
      </w:r>
    </w:p>
    <w:tbl>
      <w:tblPr>
        <w:tblW w:w="9638" w:type="dxa"/>
        <w:tblBorders>
          <w:top w:val="single" w:sz="4" w:space="0" w:color="auto"/>
        </w:tblBorders>
        <w:tblLayout w:type="fixed"/>
        <w:tblCellMar>
          <w:left w:w="0" w:type="dxa"/>
          <w:right w:w="0" w:type="dxa"/>
        </w:tblCellMar>
        <w:tblLook w:val="04A0" w:firstRow="1" w:lastRow="0" w:firstColumn="1" w:lastColumn="0" w:noHBand="0" w:noVBand="1"/>
      </w:tblPr>
      <w:tblGrid>
        <w:gridCol w:w="2756"/>
        <w:gridCol w:w="1147"/>
        <w:gridCol w:w="1147"/>
        <w:gridCol w:w="1147"/>
        <w:gridCol w:w="1147"/>
        <w:gridCol w:w="1147"/>
        <w:gridCol w:w="1147"/>
      </w:tblGrid>
      <w:tr w:rsidR="005E692D" w:rsidRPr="007518EE" w14:paraId="30F58D0A" w14:textId="77777777" w:rsidTr="00862368">
        <w:trPr>
          <w:trHeight w:val="240"/>
          <w:tblHeader/>
        </w:trPr>
        <w:tc>
          <w:tcPr>
            <w:tcW w:w="2756" w:type="dxa"/>
            <w:vMerge w:val="restart"/>
            <w:tcBorders>
              <w:top w:val="single" w:sz="4" w:space="0" w:color="auto"/>
            </w:tcBorders>
            <w:shd w:val="clear" w:color="auto" w:fill="auto"/>
            <w:noWrap/>
            <w:vAlign w:val="bottom"/>
          </w:tcPr>
          <w:p w14:paraId="162EAAFC" w14:textId="4D2E4E3E" w:rsidR="00DE21E9" w:rsidRPr="007D4AFD" w:rsidRDefault="00DE21E9" w:rsidP="00DE21E9">
            <w:pPr>
              <w:pStyle w:val="SingleTxtG"/>
              <w:tabs>
                <w:tab w:val="clear" w:pos="1701"/>
                <w:tab w:val="clear" w:pos="2268"/>
                <w:tab w:val="clear" w:pos="2835"/>
                <w:tab w:val="left" w:pos="293"/>
              </w:tabs>
              <w:spacing w:before="80" w:after="80" w:line="200" w:lineRule="exact"/>
              <w:ind w:left="0" w:right="0"/>
              <w:jc w:val="left"/>
              <w:rPr>
                <w:i/>
                <w:iCs/>
                <w:sz w:val="16"/>
                <w:lang w:val="es-ES_tradnl"/>
              </w:rPr>
            </w:pPr>
          </w:p>
        </w:tc>
        <w:tc>
          <w:tcPr>
            <w:tcW w:w="6882" w:type="dxa"/>
            <w:gridSpan w:val="6"/>
            <w:tcBorders>
              <w:top w:val="single" w:sz="4" w:space="0" w:color="auto"/>
              <w:bottom w:val="single" w:sz="4" w:space="0" w:color="auto"/>
            </w:tcBorders>
            <w:shd w:val="clear" w:color="auto" w:fill="auto"/>
            <w:noWrap/>
            <w:vAlign w:val="bottom"/>
            <w:hideMark/>
          </w:tcPr>
          <w:p w14:paraId="17624B75" w14:textId="77777777" w:rsidR="00DE21E9" w:rsidRPr="007D4AFD" w:rsidRDefault="00DE21E9" w:rsidP="00517B56">
            <w:pPr>
              <w:pStyle w:val="SingleTxtG"/>
              <w:tabs>
                <w:tab w:val="clear" w:pos="1701"/>
                <w:tab w:val="clear" w:pos="2268"/>
                <w:tab w:val="clear" w:pos="2835"/>
              </w:tabs>
              <w:spacing w:before="80" w:after="80" w:line="200" w:lineRule="exact"/>
              <w:ind w:left="113" w:right="0"/>
              <w:jc w:val="center"/>
              <w:rPr>
                <w:rFonts w:eastAsia="Calibri"/>
                <w:i/>
                <w:sz w:val="16"/>
                <w:lang w:val="es-ES_tradnl"/>
              </w:rPr>
            </w:pPr>
            <w:r w:rsidRPr="007D4AFD">
              <w:rPr>
                <w:i/>
                <w:iCs/>
                <w:sz w:val="16"/>
                <w:lang w:val="es-ES_tradnl"/>
              </w:rPr>
              <w:t>Promedio</w:t>
            </w:r>
          </w:p>
        </w:tc>
      </w:tr>
      <w:tr w:rsidR="005E692D" w:rsidRPr="007518EE" w14:paraId="748BF0CB" w14:textId="77777777" w:rsidTr="00862368">
        <w:trPr>
          <w:trHeight w:val="240"/>
          <w:tblHeader/>
        </w:trPr>
        <w:tc>
          <w:tcPr>
            <w:tcW w:w="2756" w:type="dxa"/>
            <w:vMerge/>
            <w:tcBorders>
              <w:bottom w:val="single" w:sz="12" w:space="0" w:color="auto"/>
            </w:tcBorders>
            <w:shd w:val="clear" w:color="auto" w:fill="auto"/>
            <w:noWrap/>
            <w:vAlign w:val="bottom"/>
            <w:hideMark/>
          </w:tcPr>
          <w:p w14:paraId="573081B0" w14:textId="77777777" w:rsidR="00DE21E9" w:rsidRPr="007D4AFD" w:rsidRDefault="00DE21E9" w:rsidP="00114AD4">
            <w:pPr>
              <w:pStyle w:val="SingleTxtG"/>
              <w:tabs>
                <w:tab w:val="clear" w:pos="1701"/>
                <w:tab w:val="clear" w:pos="2268"/>
                <w:tab w:val="clear" w:pos="2835"/>
              </w:tabs>
              <w:spacing w:before="40" w:after="40" w:line="220" w:lineRule="exact"/>
              <w:ind w:left="0" w:right="0"/>
              <w:jc w:val="left"/>
              <w:rPr>
                <w:rFonts w:eastAsia="Calibri"/>
                <w:bCs/>
                <w:iCs/>
                <w:sz w:val="18"/>
                <w:lang w:val="es-ES_tradnl"/>
              </w:rPr>
            </w:pPr>
          </w:p>
        </w:tc>
        <w:tc>
          <w:tcPr>
            <w:tcW w:w="1147" w:type="dxa"/>
            <w:tcBorders>
              <w:top w:val="single" w:sz="4" w:space="0" w:color="auto"/>
              <w:bottom w:val="single" w:sz="12" w:space="0" w:color="auto"/>
            </w:tcBorders>
            <w:shd w:val="clear" w:color="auto" w:fill="auto"/>
            <w:noWrap/>
            <w:vAlign w:val="bottom"/>
            <w:hideMark/>
          </w:tcPr>
          <w:p w14:paraId="7AEC1A98" w14:textId="77777777" w:rsidR="00DE21E9" w:rsidRPr="007D4AFD" w:rsidRDefault="00DE21E9" w:rsidP="00DE21E9">
            <w:pPr>
              <w:pStyle w:val="SingleTxtG"/>
              <w:tabs>
                <w:tab w:val="clear" w:pos="1701"/>
                <w:tab w:val="clear" w:pos="2268"/>
                <w:tab w:val="clear" w:pos="2835"/>
              </w:tabs>
              <w:spacing w:before="80" w:after="80" w:line="200" w:lineRule="exact"/>
              <w:ind w:left="113" w:right="0"/>
              <w:jc w:val="right"/>
              <w:rPr>
                <w:i/>
                <w:iCs/>
                <w:sz w:val="16"/>
                <w:lang w:val="es-ES_tradnl"/>
              </w:rPr>
            </w:pPr>
            <w:r w:rsidRPr="007D4AFD">
              <w:rPr>
                <w:i/>
                <w:iCs/>
                <w:sz w:val="16"/>
                <w:lang w:val="es-ES_tradnl"/>
              </w:rPr>
              <w:t>2008-2013</w:t>
            </w:r>
          </w:p>
        </w:tc>
        <w:tc>
          <w:tcPr>
            <w:tcW w:w="1147" w:type="dxa"/>
            <w:tcBorders>
              <w:top w:val="single" w:sz="4" w:space="0" w:color="auto"/>
              <w:bottom w:val="single" w:sz="12" w:space="0" w:color="auto"/>
            </w:tcBorders>
            <w:shd w:val="clear" w:color="auto" w:fill="auto"/>
            <w:noWrap/>
            <w:vAlign w:val="bottom"/>
            <w:hideMark/>
          </w:tcPr>
          <w:p w14:paraId="4EC53B5E" w14:textId="77777777" w:rsidR="00DE21E9" w:rsidRPr="007D4AFD" w:rsidRDefault="00DE21E9" w:rsidP="00DE21E9">
            <w:pPr>
              <w:pStyle w:val="SingleTxtG"/>
              <w:tabs>
                <w:tab w:val="clear" w:pos="1701"/>
                <w:tab w:val="clear" w:pos="2268"/>
                <w:tab w:val="clear" w:pos="2835"/>
              </w:tabs>
              <w:spacing w:before="80" w:after="80" w:line="200" w:lineRule="exact"/>
              <w:ind w:left="113" w:right="0"/>
              <w:jc w:val="right"/>
              <w:rPr>
                <w:i/>
                <w:iCs/>
                <w:sz w:val="16"/>
                <w:lang w:val="es-ES_tradnl"/>
              </w:rPr>
            </w:pPr>
            <w:r w:rsidRPr="007D4AFD">
              <w:rPr>
                <w:i/>
                <w:iCs/>
                <w:sz w:val="16"/>
                <w:lang w:val="es-ES_tradnl"/>
              </w:rPr>
              <w:t>2014</w:t>
            </w:r>
          </w:p>
        </w:tc>
        <w:tc>
          <w:tcPr>
            <w:tcW w:w="1147" w:type="dxa"/>
            <w:tcBorders>
              <w:top w:val="single" w:sz="4" w:space="0" w:color="auto"/>
              <w:bottom w:val="single" w:sz="12" w:space="0" w:color="auto"/>
            </w:tcBorders>
            <w:shd w:val="clear" w:color="auto" w:fill="auto"/>
            <w:noWrap/>
            <w:vAlign w:val="bottom"/>
            <w:hideMark/>
          </w:tcPr>
          <w:p w14:paraId="7F83729D" w14:textId="77777777" w:rsidR="00DE21E9" w:rsidRPr="007D4AFD" w:rsidRDefault="00DE21E9" w:rsidP="00DE21E9">
            <w:pPr>
              <w:pStyle w:val="SingleTxtG"/>
              <w:tabs>
                <w:tab w:val="clear" w:pos="1701"/>
                <w:tab w:val="clear" w:pos="2268"/>
                <w:tab w:val="clear" w:pos="2835"/>
              </w:tabs>
              <w:spacing w:before="80" w:after="80" w:line="200" w:lineRule="exact"/>
              <w:ind w:left="113" w:right="0"/>
              <w:jc w:val="right"/>
              <w:rPr>
                <w:i/>
                <w:iCs/>
                <w:sz w:val="16"/>
                <w:lang w:val="es-ES_tradnl"/>
              </w:rPr>
            </w:pPr>
            <w:r w:rsidRPr="007D4AFD">
              <w:rPr>
                <w:i/>
                <w:iCs/>
                <w:sz w:val="16"/>
                <w:lang w:val="es-ES_tradnl"/>
              </w:rPr>
              <w:t>2015</w:t>
            </w:r>
          </w:p>
        </w:tc>
        <w:tc>
          <w:tcPr>
            <w:tcW w:w="1147" w:type="dxa"/>
            <w:tcBorders>
              <w:top w:val="single" w:sz="4" w:space="0" w:color="auto"/>
              <w:bottom w:val="single" w:sz="12" w:space="0" w:color="auto"/>
            </w:tcBorders>
            <w:shd w:val="clear" w:color="auto" w:fill="auto"/>
            <w:noWrap/>
            <w:vAlign w:val="bottom"/>
            <w:hideMark/>
          </w:tcPr>
          <w:p w14:paraId="70D0FFB2" w14:textId="77777777" w:rsidR="00DE21E9" w:rsidRPr="00DE21E9" w:rsidRDefault="00DE21E9" w:rsidP="00DE21E9">
            <w:pPr>
              <w:pStyle w:val="SingleTxtG"/>
              <w:tabs>
                <w:tab w:val="clear" w:pos="1701"/>
                <w:tab w:val="clear" w:pos="2268"/>
                <w:tab w:val="clear" w:pos="2835"/>
              </w:tabs>
              <w:spacing w:before="80" w:after="80" w:line="200" w:lineRule="exact"/>
              <w:ind w:left="113" w:right="0"/>
              <w:jc w:val="right"/>
              <w:rPr>
                <w:i/>
                <w:iCs/>
                <w:sz w:val="16"/>
                <w:lang w:val="en-US"/>
              </w:rPr>
            </w:pPr>
            <w:r w:rsidRPr="00DE21E9">
              <w:rPr>
                <w:i/>
                <w:iCs/>
                <w:sz w:val="16"/>
                <w:lang w:val="en-US"/>
              </w:rPr>
              <w:t>2016</w:t>
            </w:r>
          </w:p>
        </w:tc>
        <w:tc>
          <w:tcPr>
            <w:tcW w:w="1147" w:type="dxa"/>
            <w:tcBorders>
              <w:top w:val="single" w:sz="4" w:space="0" w:color="auto"/>
              <w:bottom w:val="single" w:sz="12" w:space="0" w:color="auto"/>
            </w:tcBorders>
            <w:shd w:val="clear" w:color="auto" w:fill="auto"/>
            <w:noWrap/>
            <w:vAlign w:val="bottom"/>
            <w:hideMark/>
          </w:tcPr>
          <w:p w14:paraId="1CEE49E0" w14:textId="77777777" w:rsidR="00DE21E9" w:rsidRPr="00DE21E9" w:rsidRDefault="00DE21E9" w:rsidP="00DE21E9">
            <w:pPr>
              <w:pStyle w:val="SingleTxtG"/>
              <w:tabs>
                <w:tab w:val="clear" w:pos="1701"/>
                <w:tab w:val="clear" w:pos="2268"/>
                <w:tab w:val="clear" w:pos="2835"/>
              </w:tabs>
              <w:spacing w:before="80" w:after="80" w:line="200" w:lineRule="exact"/>
              <w:ind w:left="113" w:right="0"/>
              <w:jc w:val="right"/>
              <w:rPr>
                <w:i/>
                <w:iCs/>
                <w:sz w:val="16"/>
                <w:lang w:val="en-US"/>
              </w:rPr>
            </w:pPr>
            <w:r w:rsidRPr="00DE21E9">
              <w:rPr>
                <w:i/>
                <w:iCs/>
                <w:sz w:val="16"/>
                <w:lang w:val="en-US"/>
              </w:rPr>
              <w:t>2017</w:t>
            </w:r>
          </w:p>
        </w:tc>
        <w:tc>
          <w:tcPr>
            <w:tcW w:w="1147" w:type="dxa"/>
            <w:tcBorders>
              <w:top w:val="single" w:sz="4" w:space="0" w:color="auto"/>
              <w:bottom w:val="single" w:sz="12" w:space="0" w:color="auto"/>
            </w:tcBorders>
            <w:shd w:val="clear" w:color="auto" w:fill="auto"/>
            <w:noWrap/>
            <w:vAlign w:val="bottom"/>
            <w:hideMark/>
          </w:tcPr>
          <w:p w14:paraId="7C94D3BD" w14:textId="77777777" w:rsidR="00DE21E9" w:rsidRPr="00DE21E9" w:rsidRDefault="00DE21E9" w:rsidP="00DE21E9">
            <w:pPr>
              <w:pStyle w:val="SingleTxtG"/>
              <w:tabs>
                <w:tab w:val="clear" w:pos="1701"/>
                <w:tab w:val="clear" w:pos="2268"/>
                <w:tab w:val="clear" w:pos="2835"/>
              </w:tabs>
              <w:spacing w:before="80" w:after="80" w:line="200" w:lineRule="exact"/>
              <w:ind w:left="113" w:right="0"/>
              <w:jc w:val="right"/>
              <w:rPr>
                <w:i/>
                <w:iCs/>
                <w:sz w:val="16"/>
                <w:lang w:val="en-US"/>
              </w:rPr>
            </w:pPr>
            <w:r w:rsidRPr="00DE21E9">
              <w:rPr>
                <w:i/>
                <w:iCs/>
                <w:sz w:val="16"/>
                <w:lang w:val="en-US"/>
              </w:rPr>
              <w:t>2018</w:t>
            </w:r>
          </w:p>
        </w:tc>
      </w:tr>
      <w:tr w:rsidR="004E2640" w:rsidRPr="007518EE" w14:paraId="1FEDF996" w14:textId="77777777" w:rsidTr="00862368">
        <w:trPr>
          <w:trHeight w:val="240"/>
        </w:trPr>
        <w:tc>
          <w:tcPr>
            <w:tcW w:w="2756" w:type="dxa"/>
            <w:tcBorders>
              <w:top w:val="single" w:sz="12" w:space="0" w:color="auto"/>
            </w:tcBorders>
            <w:shd w:val="clear" w:color="auto" w:fill="auto"/>
            <w:noWrap/>
            <w:vAlign w:val="bottom"/>
          </w:tcPr>
          <w:p w14:paraId="12F76095" w14:textId="37E63EA7" w:rsidR="004E2640" w:rsidRPr="00862368" w:rsidRDefault="004E2640" w:rsidP="00862368">
            <w:pPr>
              <w:pStyle w:val="SingleTxtG"/>
              <w:keepNext/>
              <w:keepLines/>
              <w:tabs>
                <w:tab w:val="clear" w:pos="1701"/>
                <w:tab w:val="clear" w:pos="2268"/>
                <w:tab w:val="clear" w:pos="2835"/>
                <w:tab w:val="left" w:pos="404"/>
              </w:tabs>
              <w:spacing w:before="40" w:after="40" w:line="220" w:lineRule="exact"/>
              <w:ind w:left="404" w:right="0" w:hanging="404"/>
              <w:jc w:val="left"/>
              <w:rPr>
                <w:rFonts w:eastAsia="Calibri"/>
                <w:b/>
                <w:sz w:val="18"/>
                <w:lang w:val="es-ES_tradnl"/>
              </w:rPr>
            </w:pPr>
            <w:r w:rsidRPr="00862368">
              <w:rPr>
                <w:rFonts w:eastAsia="Calibri"/>
                <w:b/>
                <w:sz w:val="18"/>
                <w:lang w:val="es-ES_tradnl"/>
              </w:rPr>
              <w:t>5.</w:t>
            </w:r>
            <w:r w:rsidRPr="00862368">
              <w:rPr>
                <w:rFonts w:eastAsia="Calibri"/>
                <w:b/>
                <w:sz w:val="18"/>
                <w:lang w:val="es-ES_tradnl"/>
              </w:rPr>
              <w:tab/>
              <w:t>Población activa</w:t>
            </w:r>
          </w:p>
        </w:tc>
        <w:tc>
          <w:tcPr>
            <w:tcW w:w="1147" w:type="dxa"/>
            <w:tcBorders>
              <w:top w:val="single" w:sz="12" w:space="0" w:color="auto"/>
            </w:tcBorders>
            <w:shd w:val="clear" w:color="auto" w:fill="auto"/>
            <w:noWrap/>
            <w:vAlign w:val="bottom"/>
          </w:tcPr>
          <w:p w14:paraId="3740FA7D" w14:textId="5114FF63"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p>
        </w:tc>
        <w:tc>
          <w:tcPr>
            <w:tcW w:w="1147" w:type="dxa"/>
            <w:tcBorders>
              <w:top w:val="single" w:sz="12" w:space="0" w:color="auto"/>
            </w:tcBorders>
            <w:shd w:val="clear" w:color="auto" w:fill="auto"/>
            <w:noWrap/>
            <w:vAlign w:val="bottom"/>
          </w:tcPr>
          <w:p w14:paraId="52D66D64" w14:textId="3F5C4021"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p>
        </w:tc>
        <w:tc>
          <w:tcPr>
            <w:tcW w:w="1147" w:type="dxa"/>
            <w:tcBorders>
              <w:top w:val="single" w:sz="12" w:space="0" w:color="auto"/>
            </w:tcBorders>
            <w:shd w:val="clear" w:color="auto" w:fill="auto"/>
            <w:noWrap/>
            <w:vAlign w:val="bottom"/>
          </w:tcPr>
          <w:p w14:paraId="072F8952" w14:textId="5BFE219C"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p>
        </w:tc>
        <w:tc>
          <w:tcPr>
            <w:tcW w:w="1147" w:type="dxa"/>
            <w:tcBorders>
              <w:top w:val="single" w:sz="12" w:space="0" w:color="auto"/>
            </w:tcBorders>
            <w:shd w:val="clear" w:color="auto" w:fill="auto"/>
            <w:noWrap/>
            <w:vAlign w:val="bottom"/>
          </w:tcPr>
          <w:p w14:paraId="45B3C928" w14:textId="29B691A5"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p>
        </w:tc>
        <w:tc>
          <w:tcPr>
            <w:tcW w:w="1147" w:type="dxa"/>
            <w:tcBorders>
              <w:top w:val="single" w:sz="12" w:space="0" w:color="auto"/>
            </w:tcBorders>
            <w:shd w:val="clear" w:color="auto" w:fill="auto"/>
            <w:noWrap/>
            <w:vAlign w:val="bottom"/>
          </w:tcPr>
          <w:p w14:paraId="1D38F07B" w14:textId="7087EDB1"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p>
        </w:tc>
        <w:tc>
          <w:tcPr>
            <w:tcW w:w="1147" w:type="dxa"/>
            <w:tcBorders>
              <w:top w:val="single" w:sz="12" w:space="0" w:color="auto"/>
            </w:tcBorders>
            <w:shd w:val="clear" w:color="auto" w:fill="auto"/>
            <w:noWrap/>
            <w:vAlign w:val="bottom"/>
          </w:tcPr>
          <w:p w14:paraId="2C6E5635" w14:textId="12F588A5"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p>
        </w:tc>
      </w:tr>
      <w:tr w:rsidR="004E2640" w:rsidRPr="007518EE" w14:paraId="387E191B" w14:textId="77777777" w:rsidTr="00862368">
        <w:trPr>
          <w:trHeight w:val="240"/>
        </w:trPr>
        <w:tc>
          <w:tcPr>
            <w:tcW w:w="2756" w:type="dxa"/>
            <w:shd w:val="clear" w:color="auto" w:fill="auto"/>
            <w:noWrap/>
          </w:tcPr>
          <w:p w14:paraId="21572105" w14:textId="445AD3E8" w:rsidR="004E2640" w:rsidRPr="00862368" w:rsidRDefault="004E2640" w:rsidP="00862368">
            <w:pPr>
              <w:pStyle w:val="SingleTxtG"/>
              <w:keepNext/>
              <w:keepLines/>
              <w:tabs>
                <w:tab w:val="clear" w:pos="1701"/>
                <w:tab w:val="clear" w:pos="2268"/>
                <w:tab w:val="clear" w:pos="2835"/>
                <w:tab w:val="left" w:pos="404"/>
              </w:tabs>
              <w:spacing w:before="40" w:after="40" w:line="220" w:lineRule="exact"/>
              <w:ind w:left="404" w:right="0" w:hanging="404"/>
              <w:jc w:val="left"/>
              <w:rPr>
                <w:rFonts w:eastAsia="Calibri"/>
                <w:b/>
                <w:sz w:val="18"/>
                <w:lang w:val="es-ES_tradnl"/>
              </w:rPr>
            </w:pPr>
            <w:r w:rsidRPr="00517B56">
              <w:rPr>
                <w:rFonts w:eastAsia="Calibri"/>
                <w:b/>
                <w:sz w:val="18"/>
                <w:lang w:val="es-ES_tradnl"/>
              </w:rPr>
              <w:t>5.1</w:t>
            </w:r>
            <w:r>
              <w:rPr>
                <w:rFonts w:eastAsia="Calibri"/>
                <w:b/>
                <w:sz w:val="18"/>
                <w:lang w:val="es-ES_tradnl"/>
              </w:rPr>
              <w:tab/>
            </w:r>
            <w:r w:rsidRPr="00517B56">
              <w:rPr>
                <w:rFonts w:eastAsia="Calibri"/>
                <w:b/>
                <w:sz w:val="18"/>
                <w:lang w:val="es-ES_tradnl"/>
              </w:rPr>
              <w:t>Población activa empleada</w:t>
            </w:r>
            <w:r w:rsidR="00862368">
              <w:rPr>
                <w:rFonts w:eastAsia="Calibri"/>
                <w:b/>
                <w:sz w:val="18"/>
                <w:lang w:val="es-ES_tradnl"/>
              </w:rPr>
              <w:br/>
            </w:r>
            <w:r w:rsidRPr="00517B56">
              <w:rPr>
                <w:rFonts w:eastAsia="Calibri"/>
                <w:b/>
                <w:sz w:val="18"/>
                <w:lang w:val="es-ES_tradnl"/>
              </w:rPr>
              <w:t>(en m</w:t>
            </w:r>
            <w:r w:rsidR="002A0D23">
              <w:rPr>
                <w:rFonts w:eastAsia="Calibri"/>
                <w:b/>
                <w:sz w:val="18"/>
                <w:lang w:val="es-ES_tradnl"/>
              </w:rPr>
              <w:t>iles</w:t>
            </w:r>
            <w:r w:rsidRPr="00517B56">
              <w:rPr>
                <w:rFonts w:eastAsia="Calibri"/>
                <w:b/>
                <w:sz w:val="18"/>
                <w:lang w:val="es-ES_tradnl"/>
              </w:rPr>
              <w:t>)</w:t>
            </w:r>
          </w:p>
        </w:tc>
        <w:tc>
          <w:tcPr>
            <w:tcW w:w="1147" w:type="dxa"/>
            <w:shd w:val="clear" w:color="auto" w:fill="auto"/>
            <w:noWrap/>
            <w:vAlign w:val="bottom"/>
          </w:tcPr>
          <w:p w14:paraId="269A8640" w14:textId="37BF10F8" w:rsidR="004E2640" w:rsidRPr="00CA190D" w:rsidRDefault="004E2640" w:rsidP="004E2640">
            <w:pPr>
              <w:pStyle w:val="SingleTxtG"/>
              <w:tabs>
                <w:tab w:val="clear" w:pos="1701"/>
                <w:tab w:val="clear" w:pos="2268"/>
                <w:tab w:val="clear" w:pos="2835"/>
              </w:tabs>
              <w:spacing w:before="40" w:after="40" w:line="220" w:lineRule="exact"/>
              <w:ind w:left="113" w:right="0"/>
              <w:jc w:val="right"/>
              <w:rPr>
                <w:b/>
                <w:sz w:val="18"/>
                <w:lang w:val="es-ES_tradnl"/>
              </w:rPr>
            </w:pPr>
            <w:r w:rsidRPr="00CA190D">
              <w:rPr>
                <w:b/>
                <w:sz w:val="18"/>
                <w:lang w:val="es-ES_tradnl"/>
              </w:rPr>
              <w:t>10 420</w:t>
            </w:r>
          </w:p>
        </w:tc>
        <w:tc>
          <w:tcPr>
            <w:tcW w:w="1147" w:type="dxa"/>
            <w:shd w:val="clear" w:color="auto" w:fill="auto"/>
            <w:noWrap/>
            <w:vAlign w:val="bottom"/>
          </w:tcPr>
          <w:p w14:paraId="111D1008" w14:textId="37FAC10D" w:rsidR="004E2640" w:rsidRPr="00CA190D" w:rsidRDefault="004E2640" w:rsidP="004E2640">
            <w:pPr>
              <w:pStyle w:val="SingleTxtG"/>
              <w:tabs>
                <w:tab w:val="clear" w:pos="1701"/>
                <w:tab w:val="clear" w:pos="2268"/>
                <w:tab w:val="clear" w:pos="2835"/>
              </w:tabs>
              <w:spacing w:before="40" w:after="40" w:line="220" w:lineRule="exact"/>
              <w:ind w:left="113" w:right="0"/>
              <w:jc w:val="right"/>
              <w:rPr>
                <w:b/>
                <w:sz w:val="18"/>
                <w:lang w:val="es-ES_tradnl"/>
              </w:rPr>
            </w:pPr>
            <w:r w:rsidRPr="00CA190D">
              <w:rPr>
                <w:b/>
                <w:sz w:val="18"/>
                <w:lang w:val="es-ES_tradnl"/>
              </w:rPr>
              <w:t>10 646</w:t>
            </w:r>
          </w:p>
        </w:tc>
        <w:tc>
          <w:tcPr>
            <w:tcW w:w="1147" w:type="dxa"/>
            <w:shd w:val="clear" w:color="auto" w:fill="auto"/>
            <w:noWrap/>
            <w:vAlign w:val="bottom"/>
          </w:tcPr>
          <w:p w14:paraId="22FCC106" w14:textId="29CCEA16" w:rsidR="004E2640" w:rsidRPr="00CA190D" w:rsidRDefault="004E2640" w:rsidP="004E2640">
            <w:pPr>
              <w:pStyle w:val="SingleTxtG"/>
              <w:tabs>
                <w:tab w:val="clear" w:pos="1701"/>
                <w:tab w:val="clear" w:pos="2268"/>
                <w:tab w:val="clear" w:pos="2835"/>
              </w:tabs>
              <w:spacing w:before="40" w:after="40" w:line="220" w:lineRule="exact"/>
              <w:ind w:left="113" w:right="0"/>
              <w:jc w:val="right"/>
              <w:rPr>
                <w:b/>
                <w:sz w:val="18"/>
                <w:lang w:val="es-ES_tradnl"/>
              </w:rPr>
            </w:pPr>
            <w:r w:rsidRPr="00CA190D">
              <w:rPr>
                <w:b/>
                <w:sz w:val="18"/>
                <w:lang w:val="es-ES_tradnl"/>
              </w:rPr>
              <w:t>10 679</w:t>
            </w:r>
          </w:p>
        </w:tc>
        <w:tc>
          <w:tcPr>
            <w:tcW w:w="1147" w:type="dxa"/>
            <w:shd w:val="clear" w:color="auto" w:fill="auto"/>
            <w:noWrap/>
            <w:vAlign w:val="bottom"/>
          </w:tcPr>
          <w:p w14:paraId="5585CCE8" w14:textId="353D2A14" w:rsidR="004E2640" w:rsidRPr="00CA190D" w:rsidRDefault="004E2640" w:rsidP="004E2640">
            <w:pPr>
              <w:pStyle w:val="SingleTxtG"/>
              <w:tabs>
                <w:tab w:val="clear" w:pos="1701"/>
                <w:tab w:val="clear" w:pos="2268"/>
                <w:tab w:val="clear" w:pos="2835"/>
              </w:tabs>
              <w:spacing w:before="40" w:after="40" w:line="220" w:lineRule="exact"/>
              <w:ind w:left="113" w:right="0"/>
              <w:jc w:val="right"/>
              <w:rPr>
                <w:b/>
                <w:sz w:val="18"/>
                <w:lang w:val="es-ES_tradnl"/>
              </w:rPr>
            </w:pPr>
            <w:r w:rsidRPr="00CA190D">
              <w:rPr>
                <w:b/>
                <w:sz w:val="18"/>
                <w:lang w:val="es-ES_tradnl"/>
              </w:rPr>
              <w:t>10 642</w:t>
            </w:r>
          </w:p>
        </w:tc>
        <w:tc>
          <w:tcPr>
            <w:tcW w:w="1147" w:type="dxa"/>
            <w:shd w:val="clear" w:color="auto" w:fill="auto"/>
            <w:noWrap/>
            <w:vAlign w:val="bottom"/>
          </w:tcPr>
          <w:p w14:paraId="0912D64C" w14:textId="0684242D" w:rsidR="004E2640" w:rsidRPr="00CA190D" w:rsidRDefault="004E2640" w:rsidP="004E2640">
            <w:pPr>
              <w:pStyle w:val="SingleTxtG"/>
              <w:tabs>
                <w:tab w:val="clear" w:pos="1701"/>
                <w:tab w:val="clear" w:pos="2268"/>
                <w:tab w:val="clear" w:pos="2835"/>
              </w:tabs>
              <w:spacing w:before="40" w:after="40" w:line="220" w:lineRule="exact"/>
              <w:ind w:left="113" w:right="0"/>
              <w:jc w:val="right"/>
              <w:rPr>
                <w:b/>
                <w:sz w:val="18"/>
                <w:lang w:val="es-ES_tradnl"/>
              </w:rPr>
            </w:pPr>
            <w:r w:rsidRPr="00CA190D">
              <w:rPr>
                <w:b/>
                <w:sz w:val="18"/>
                <w:lang w:val="es-ES_tradnl"/>
              </w:rPr>
              <w:t>10 699</w:t>
            </w:r>
          </w:p>
        </w:tc>
        <w:tc>
          <w:tcPr>
            <w:tcW w:w="1147" w:type="dxa"/>
            <w:shd w:val="clear" w:color="auto" w:fill="auto"/>
            <w:noWrap/>
            <w:vAlign w:val="bottom"/>
          </w:tcPr>
          <w:p w14:paraId="32B3D84F" w14:textId="166C7CD6" w:rsidR="004E2640" w:rsidRPr="00CA190D" w:rsidRDefault="004E2640" w:rsidP="004E2640">
            <w:pPr>
              <w:pStyle w:val="SingleTxtG"/>
              <w:tabs>
                <w:tab w:val="clear" w:pos="1701"/>
                <w:tab w:val="clear" w:pos="2268"/>
                <w:tab w:val="clear" w:pos="2835"/>
              </w:tabs>
              <w:spacing w:before="40" w:after="40" w:line="220" w:lineRule="exact"/>
              <w:ind w:left="113" w:right="0"/>
              <w:jc w:val="right"/>
              <w:rPr>
                <w:b/>
                <w:sz w:val="18"/>
                <w:lang w:val="es-ES_tradnl"/>
              </w:rPr>
            </w:pPr>
            <w:r w:rsidRPr="00CA190D">
              <w:rPr>
                <w:b/>
                <w:sz w:val="18"/>
                <w:lang w:val="es-ES_tradnl"/>
              </w:rPr>
              <w:t>10 809</w:t>
            </w:r>
          </w:p>
        </w:tc>
      </w:tr>
      <w:tr w:rsidR="004E2640" w:rsidRPr="007518EE" w14:paraId="38AAAC1C" w14:textId="77777777" w:rsidTr="00862368">
        <w:trPr>
          <w:trHeight w:val="240"/>
        </w:trPr>
        <w:tc>
          <w:tcPr>
            <w:tcW w:w="2756" w:type="dxa"/>
            <w:shd w:val="clear" w:color="auto" w:fill="auto"/>
            <w:noWrap/>
            <w:hideMark/>
          </w:tcPr>
          <w:p w14:paraId="078CAA2A" w14:textId="006B06AB" w:rsidR="004E2640" w:rsidRPr="00517B56" w:rsidRDefault="002A0D23" w:rsidP="004E2640">
            <w:pPr>
              <w:pStyle w:val="SingleTxtG"/>
              <w:tabs>
                <w:tab w:val="clear" w:pos="1701"/>
                <w:tab w:val="clear" w:pos="2268"/>
                <w:tab w:val="clear" w:pos="2835"/>
              </w:tabs>
              <w:spacing w:before="40" w:after="40" w:line="220" w:lineRule="exact"/>
              <w:ind w:left="0" w:right="0"/>
              <w:jc w:val="left"/>
              <w:rPr>
                <w:rFonts w:eastAsia="Calibri"/>
                <w:sz w:val="18"/>
                <w:lang w:val="es-ES_tradnl"/>
              </w:rPr>
            </w:pPr>
            <w:r>
              <w:rPr>
                <w:sz w:val="18"/>
                <w:lang w:val="es-ES_tradnl"/>
              </w:rPr>
              <w:t>M</w:t>
            </w:r>
            <w:r w:rsidR="004E2640" w:rsidRPr="00517B56">
              <w:rPr>
                <w:sz w:val="18"/>
                <w:lang w:val="es-ES_tradnl"/>
              </w:rPr>
              <w:t xml:space="preserve">edio urbano </w:t>
            </w:r>
          </w:p>
        </w:tc>
        <w:tc>
          <w:tcPr>
            <w:tcW w:w="1147" w:type="dxa"/>
            <w:shd w:val="clear" w:color="auto" w:fill="auto"/>
            <w:noWrap/>
            <w:vAlign w:val="bottom"/>
            <w:hideMark/>
          </w:tcPr>
          <w:p w14:paraId="3A68C95A"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5 204</w:t>
            </w:r>
          </w:p>
        </w:tc>
        <w:tc>
          <w:tcPr>
            <w:tcW w:w="1147" w:type="dxa"/>
            <w:shd w:val="clear" w:color="auto" w:fill="auto"/>
            <w:noWrap/>
            <w:vAlign w:val="bottom"/>
            <w:hideMark/>
          </w:tcPr>
          <w:p w14:paraId="61014F18"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5 373</w:t>
            </w:r>
          </w:p>
        </w:tc>
        <w:tc>
          <w:tcPr>
            <w:tcW w:w="1147" w:type="dxa"/>
            <w:shd w:val="clear" w:color="auto" w:fill="auto"/>
            <w:noWrap/>
            <w:vAlign w:val="bottom"/>
            <w:hideMark/>
          </w:tcPr>
          <w:p w14:paraId="0A443DEA"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5 402</w:t>
            </w:r>
          </w:p>
        </w:tc>
        <w:tc>
          <w:tcPr>
            <w:tcW w:w="1147" w:type="dxa"/>
            <w:shd w:val="clear" w:color="auto" w:fill="auto"/>
            <w:noWrap/>
            <w:vAlign w:val="bottom"/>
            <w:hideMark/>
          </w:tcPr>
          <w:p w14:paraId="7707E696"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5 428</w:t>
            </w:r>
          </w:p>
        </w:tc>
        <w:tc>
          <w:tcPr>
            <w:tcW w:w="1147" w:type="dxa"/>
            <w:shd w:val="clear" w:color="auto" w:fill="auto"/>
            <w:noWrap/>
            <w:vAlign w:val="bottom"/>
            <w:hideMark/>
          </w:tcPr>
          <w:p w14:paraId="05260B9F"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5 872</w:t>
            </w:r>
          </w:p>
        </w:tc>
        <w:tc>
          <w:tcPr>
            <w:tcW w:w="1147" w:type="dxa"/>
            <w:shd w:val="clear" w:color="auto" w:fill="auto"/>
            <w:noWrap/>
            <w:vAlign w:val="bottom"/>
            <w:hideMark/>
          </w:tcPr>
          <w:p w14:paraId="1F988172"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6 026</w:t>
            </w:r>
          </w:p>
        </w:tc>
      </w:tr>
      <w:tr w:rsidR="004E2640" w:rsidRPr="007518EE" w14:paraId="3BB7FA09" w14:textId="77777777" w:rsidTr="00862368">
        <w:trPr>
          <w:trHeight w:val="240"/>
        </w:trPr>
        <w:tc>
          <w:tcPr>
            <w:tcW w:w="2756" w:type="dxa"/>
            <w:shd w:val="clear" w:color="auto" w:fill="auto"/>
            <w:noWrap/>
            <w:hideMark/>
          </w:tcPr>
          <w:p w14:paraId="069982C5" w14:textId="4A464C12" w:rsidR="004E2640" w:rsidRPr="00517B56" w:rsidRDefault="002A0D23" w:rsidP="004E2640">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517B56">
              <w:rPr>
                <w:sz w:val="18"/>
                <w:lang w:val="es-ES_tradnl"/>
              </w:rPr>
              <w:t xml:space="preserve">Medio </w:t>
            </w:r>
            <w:r w:rsidR="004E2640" w:rsidRPr="00517B56">
              <w:rPr>
                <w:sz w:val="18"/>
                <w:lang w:val="es-ES_tradnl"/>
              </w:rPr>
              <w:t>rural</w:t>
            </w:r>
          </w:p>
        </w:tc>
        <w:tc>
          <w:tcPr>
            <w:tcW w:w="1147" w:type="dxa"/>
            <w:shd w:val="clear" w:color="auto" w:fill="auto"/>
            <w:noWrap/>
            <w:vAlign w:val="bottom"/>
            <w:hideMark/>
          </w:tcPr>
          <w:p w14:paraId="4A3A75D0"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5 217</w:t>
            </w:r>
          </w:p>
        </w:tc>
        <w:tc>
          <w:tcPr>
            <w:tcW w:w="1147" w:type="dxa"/>
            <w:shd w:val="clear" w:color="auto" w:fill="auto"/>
            <w:noWrap/>
            <w:vAlign w:val="bottom"/>
            <w:hideMark/>
          </w:tcPr>
          <w:p w14:paraId="3FC699E2"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5 273</w:t>
            </w:r>
          </w:p>
        </w:tc>
        <w:tc>
          <w:tcPr>
            <w:tcW w:w="1147" w:type="dxa"/>
            <w:shd w:val="clear" w:color="auto" w:fill="auto"/>
            <w:noWrap/>
            <w:vAlign w:val="bottom"/>
            <w:hideMark/>
          </w:tcPr>
          <w:p w14:paraId="410A4D77"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5 277</w:t>
            </w:r>
          </w:p>
        </w:tc>
        <w:tc>
          <w:tcPr>
            <w:tcW w:w="1147" w:type="dxa"/>
            <w:shd w:val="clear" w:color="auto" w:fill="auto"/>
            <w:noWrap/>
            <w:vAlign w:val="bottom"/>
            <w:hideMark/>
          </w:tcPr>
          <w:p w14:paraId="434AAA51"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5 213</w:t>
            </w:r>
          </w:p>
        </w:tc>
        <w:tc>
          <w:tcPr>
            <w:tcW w:w="1147" w:type="dxa"/>
            <w:shd w:val="clear" w:color="auto" w:fill="auto"/>
            <w:noWrap/>
            <w:vAlign w:val="bottom"/>
            <w:hideMark/>
          </w:tcPr>
          <w:p w14:paraId="2274C855"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4 827</w:t>
            </w:r>
          </w:p>
        </w:tc>
        <w:tc>
          <w:tcPr>
            <w:tcW w:w="1147" w:type="dxa"/>
            <w:shd w:val="clear" w:color="auto" w:fill="auto"/>
            <w:noWrap/>
            <w:vAlign w:val="bottom"/>
            <w:hideMark/>
          </w:tcPr>
          <w:p w14:paraId="753635B9"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4 784</w:t>
            </w:r>
          </w:p>
        </w:tc>
      </w:tr>
      <w:tr w:rsidR="004E2640" w:rsidRPr="007518EE" w14:paraId="19D7B552" w14:textId="77777777" w:rsidTr="00862368">
        <w:trPr>
          <w:trHeight w:val="240"/>
        </w:trPr>
        <w:tc>
          <w:tcPr>
            <w:tcW w:w="2756" w:type="dxa"/>
            <w:shd w:val="clear" w:color="auto" w:fill="auto"/>
            <w:noWrap/>
            <w:hideMark/>
          </w:tcPr>
          <w:p w14:paraId="1C00009E" w14:textId="3FB953B7" w:rsidR="004E2640" w:rsidRPr="00517B56" w:rsidRDefault="004E2640" w:rsidP="00862368">
            <w:pPr>
              <w:pStyle w:val="SingleTxtG"/>
              <w:keepNext/>
              <w:keepLines/>
              <w:tabs>
                <w:tab w:val="clear" w:pos="1701"/>
                <w:tab w:val="clear" w:pos="2268"/>
                <w:tab w:val="clear" w:pos="2835"/>
                <w:tab w:val="left" w:pos="404"/>
              </w:tabs>
              <w:spacing w:before="40" w:after="40" w:line="220" w:lineRule="exact"/>
              <w:ind w:left="404" w:right="0" w:hanging="404"/>
              <w:jc w:val="left"/>
              <w:rPr>
                <w:rFonts w:eastAsia="Calibri"/>
                <w:b/>
                <w:sz w:val="18"/>
                <w:lang w:val="es-ES_tradnl"/>
              </w:rPr>
            </w:pPr>
            <w:r w:rsidRPr="00517B56">
              <w:rPr>
                <w:rFonts w:eastAsia="Calibri"/>
                <w:b/>
                <w:sz w:val="18"/>
                <w:lang w:val="es-ES_tradnl"/>
              </w:rPr>
              <w:t>5.2</w:t>
            </w:r>
            <w:r w:rsidRPr="00517B56">
              <w:rPr>
                <w:rFonts w:eastAsia="Calibri"/>
                <w:b/>
                <w:sz w:val="18"/>
                <w:lang w:val="es-ES_tradnl"/>
              </w:rPr>
              <w:tab/>
              <w:t>Distribución porcentual por franjas de edad</w:t>
            </w:r>
          </w:p>
        </w:tc>
        <w:tc>
          <w:tcPr>
            <w:tcW w:w="1147" w:type="dxa"/>
            <w:shd w:val="clear" w:color="auto" w:fill="auto"/>
            <w:noWrap/>
            <w:vAlign w:val="bottom"/>
            <w:hideMark/>
          </w:tcPr>
          <w:p w14:paraId="47245C9A"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rtl/>
                <w:lang w:val="es-ES_tradnl"/>
              </w:rPr>
            </w:pPr>
          </w:p>
        </w:tc>
        <w:tc>
          <w:tcPr>
            <w:tcW w:w="1147" w:type="dxa"/>
            <w:shd w:val="clear" w:color="auto" w:fill="auto"/>
            <w:noWrap/>
            <w:vAlign w:val="bottom"/>
            <w:hideMark/>
          </w:tcPr>
          <w:p w14:paraId="59016A6B"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265C68FC"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4234446B"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6A31918A"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0AA93EB7"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r>
      <w:tr w:rsidR="004E2640" w:rsidRPr="007518EE" w14:paraId="51B0FA20" w14:textId="77777777" w:rsidTr="00862368">
        <w:trPr>
          <w:trHeight w:val="240"/>
        </w:trPr>
        <w:tc>
          <w:tcPr>
            <w:tcW w:w="2756" w:type="dxa"/>
            <w:shd w:val="clear" w:color="auto" w:fill="auto"/>
            <w:noWrap/>
            <w:hideMark/>
          </w:tcPr>
          <w:p w14:paraId="0353BF2B" w14:textId="77777777" w:rsidR="004E2640" w:rsidRPr="00517B56" w:rsidRDefault="004E2640" w:rsidP="004E2640">
            <w:pPr>
              <w:pStyle w:val="SingleTxtG"/>
              <w:tabs>
                <w:tab w:val="clear" w:pos="1701"/>
                <w:tab w:val="clear" w:pos="2268"/>
                <w:tab w:val="clear" w:pos="2835"/>
              </w:tabs>
              <w:spacing w:before="40" w:after="40" w:line="220" w:lineRule="exact"/>
              <w:ind w:left="0" w:right="0"/>
              <w:jc w:val="left"/>
              <w:rPr>
                <w:rFonts w:eastAsia="Calibri"/>
                <w:b/>
                <w:sz w:val="18"/>
                <w:lang w:val="es-ES_tradnl"/>
              </w:rPr>
            </w:pPr>
            <w:r w:rsidRPr="00517B56">
              <w:rPr>
                <w:b/>
                <w:sz w:val="18"/>
                <w:lang w:val="es-ES_tradnl"/>
              </w:rPr>
              <w:t>A nivel nacional</w:t>
            </w:r>
          </w:p>
        </w:tc>
        <w:tc>
          <w:tcPr>
            <w:tcW w:w="1147" w:type="dxa"/>
            <w:shd w:val="clear" w:color="auto" w:fill="auto"/>
            <w:noWrap/>
            <w:vAlign w:val="bottom"/>
            <w:hideMark/>
          </w:tcPr>
          <w:p w14:paraId="3ED986D3"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rtl/>
                <w:lang w:val="es-ES_tradnl"/>
              </w:rPr>
            </w:pPr>
          </w:p>
        </w:tc>
        <w:tc>
          <w:tcPr>
            <w:tcW w:w="1147" w:type="dxa"/>
            <w:shd w:val="clear" w:color="auto" w:fill="auto"/>
            <w:noWrap/>
            <w:vAlign w:val="bottom"/>
            <w:hideMark/>
          </w:tcPr>
          <w:p w14:paraId="3A161AF5"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7D14EC5C"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26BC90F1"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2B11296C"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4C6ECCBB"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r>
      <w:tr w:rsidR="004E2640" w:rsidRPr="007518EE" w14:paraId="0CA26C8C" w14:textId="77777777" w:rsidTr="00862368">
        <w:trPr>
          <w:trHeight w:val="240"/>
        </w:trPr>
        <w:tc>
          <w:tcPr>
            <w:tcW w:w="2756" w:type="dxa"/>
            <w:shd w:val="clear" w:color="auto" w:fill="auto"/>
            <w:noWrap/>
            <w:hideMark/>
          </w:tcPr>
          <w:p w14:paraId="0D786F73" w14:textId="67141433" w:rsidR="004E2640" w:rsidRPr="00517B56" w:rsidRDefault="004E2640" w:rsidP="004E2640">
            <w:pPr>
              <w:pStyle w:val="SingleTxtG"/>
              <w:tabs>
                <w:tab w:val="clear" w:pos="1701"/>
                <w:tab w:val="clear" w:pos="2268"/>
                <w:tab w:val="clear" w:pos="2835"/>
              </w:tabs>
              <w:spacing w:before="40" w:after="40" w:line="220" w:lineRule="exact"/>
              <w:ind w:left="0" w:right="0" w:firstLine="170"/>
              <w:jc w:val="left"/>
              <w:rPr>
                <w:rFonts w:eastAsia="Calibri"/>
                <w:sz w:val="18"/>
                <w:lang w:val="es-ES_tradnl"/>
              </w:rPr>
            </w:pPr>
            <w:r w:rsidRPr="00517B56">
              <w:rPr>
                <w:sz w:val="18"/>
                <w:lang w:val="es-ES_tradnl"/>
              </w:rPr>
              <w:t xml:space="preserve">De 15 a 24 años </w:t>
            </w:r>
          </w:p>
        </w:tc>
        <w:tc>
          <w:tcPr>
            <w:tcW w:w="1147" w:type="dxa"/>
            <w:shd w:val="clear" w:color="auto" w:fill="auto"/>
            <w:noWrap/>
            <w:vAlign w:val="bottom"/>
            <w:hideMark/>
          </w:tcPr>
          <w:p w14:paraId="60584FBD"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17,6</w:t>
            </w:r>
          </w:p>
        </w:tc>
        <w:tc>
          <w:tcPr>
            <w:tcW w:w="1147" w:type="dxa"/>
            <w:shd w:val="clear" w:color="auto" w:fill="auto"/>
            <w:noWrap/>
            <w:vAlign w:val="bottom"/>
            <w:hideMark/>
          </w:tcPr>
          <w:p w14:paraId="36F7F202"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15,3</w:t>
            </w:r>
          </w:p>
        </w:tc>
        <w:tc>
          <w:tcPr>
            <w:tcW w:w="1147" w:type="dxa"/>
            <w:shd w:val="clear" w:color="auto" w:fill="auto"/>
            <w:noWrap/>
            <w:vAlign w:val="bottom"/>
            <w:hideMark/>
          </w:tcPr>
          <w:p w14:paraId="610C033A"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14,0</w:t>
            </w:r>
          </w:p>
        </w:tc>
        <w:tc>
          <w:tcPr>
            <w:tcW w:w="1147" w:type="dxa"/>
            <w:shd w:val="clear" w:color="auto" w:fill="auto"/>
            <w:noWrap/>
            <w:vAlign w:val="bottom"/>
            <w:hideMark/>
          </w:tcPr>
          <w:p w14:paraId="24E4B35F"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12,7</w:t>
            </w:r>
          </w:p>
        </w:tc>
        <w:tc>
          <w:tcPr>
            <w:tcW w:w="1147" w:type="dxa"/>
            <w:shd w:val="clear" w:color="auto" w:fill="auto"/>
            <w:noWrap/>
            <w:vAlign w:val="bottom"/>
            <w:hideMark/>
          </w:tcPr>
          <w:p w14:paraId="74C1FB2E"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11,6</w:t>
            </w:r>
          </w:p>
        </w:tc>
        <w:tc>
          <w:tcPr>
            <w:tcW w:w="1147" w:type="dxa"/>
            <w:shd w:val="clear" w:color="auto" w:fill="auto"/>
            <w:noWrap/>
            <w:vAlign w:val="bottom"/>
            <w:hideMark/>
          </w:tcPr>
          <w:p w14:paraId="50CE1257"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r>
      <w:tr w:rsidR="004E2640" w:rsidRPr="007518EE" w14:paraId="22D1038C" w14:textId="77777777" w:rsidTr="00862368">
        <w:trPr>
          <w:trHeight w:val="240"/>
        </w:trPr>
        <w:tc>
          <w:tcPr>
            <w:tcW w:w="2756" w:type="dxa"/>
            <w:shd w:val="clear" w:color="auto" w:fill="auto"/>
            <w:noWrap/>
            <w:hideMark/>
          </w:tcPr>
          <w:p w14:paraId="4E2B01A3" w14:textId="04DFEB97" w:rsidR="004E2640" w:rsidRPr="00517B56" w:rsidRDefault="004E2640" w:rsidP="004E2640">
            <w:pPr>
              <w:pStyle w:val="SingleTxtG"/>
              <w:tabs>
                <w:tab w:val="clear" w:pos="1701"/>
                <w:tab w:val="clear" w:pos="2268"/>
                <w:tab w:val="clear" w:pos="2835"/>
              </w:tabs>
              <w:spacing w:before="40" w:after="40" w:line="220" w:lineRule="exact"/>
              <w:ind w:left="0" w:right="0" w:firstLine="170"/>
              <w:jc w:val="left"/>
              <w:rPr>
                <w:rFonts w:eastAsia="Calibri"/>
                <w:sz w:val="18"/>
                <w:lang w:val="es-ES_tradnl"/>
              </w:rPr>
            </w:pPr>
            <w:r w:rsidRPr="00517B56">
              <w:rPr>
                <w:sz w:val="18"/>
                <w:lang w:val="es-ES_tradnl"/>
              </w:rPr>
              <w:t xml:space="preserve">De 25 a 44 años </w:t>
            </w:r>
          </w:p>
        </w:tc>
        <w:tc>
          <w:tcPr>
            <w:tcW w:w="1147" w:type="dxa"/>
            <w:shd w:val="clear" w:color="auto" w:fill="auto"/>
            <w:noWrap/>
            <w:vAlign w:val="bottom"/>
            <w:hideMark/>
          </w:tcPr>
          <w:p w14:paraId="62EAAEB1"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51,1</w:t>
            </w:r>
          </w:p>
        </w:tc>
        <w:tc>
          <w:tcPr>
            <w:tcW w:w="1147" w:type="dxa"/>
            <w:shd w:val="clear" w:color="auto" w:fill="auto"/>
            <w:noWrap/>
            <w:vAlign w:val="bottom"/>
            <w:hideMark/>
          </w:tcPr>
          <w:p w14:paraId="603CAC64"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52,2</w:t>
            </w:r>
          </w:p>
        </w:tc>
        <w:tc>
          <w:tcPr>
            <w:tcW w:w="1147" w:type="dxa"/>
            <w:shd w:val="clear" w:color="auto" w:fill="auto"/>
            <w:noWrap/>
            <w:vAlign w:val="bottom"/>
            <w:hideMark/>
          </w:tcPr>
          <w:p w14:paraId="12AE6E58"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53,1</w:t>
            </w:r>
          </w:p>
        </w:tc>
        <w:tc>
          <w:tcPr>
            <w:tcW w:w="1147" w:type="dxa"/>
            <w:shd w:val="clear" w:color="auto" w:fill="auto"/>
            <w:noWrap/>
            <w:vAlign w:val="bottom"/>
            <w:hideMark/>
          </w:tcPr>
          <w:p w14:paraId="48CBDCAB"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54,0</w:t>
            </w:r>
          </w:p>
        </w:tc>
        <w:tc>
          <w:tcPr>
            <w:tcW w:w="1147" w:type="dxa"/>
            <w:shd w:val="clear" w:color="auto" w:fill="auto"/>
            <w:noWrap/>
            <w:vAlign w:val="bottom"/>
            <w:hideMark/>
          </w:tcPr>
          <w:p w14:paraId="4FDD5686"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52,7</w:t>
            </w:r>
          </w:p>
        </w:tc>
        <w:tc>
          <w:tcPr>
            <w:tcW w:w="1147" w:type="dxa"/>
            <w:shd w:val="clear" w:color="auto" w:fill="auto"/>
            <w:noWrap/>
            <w:vAlign w:val="bottom"/>
            <w:hideMark/>
          </w:tcPr>
          <w:p w14:paraId="794D3AAD"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r>
      <w:tr w:rsidR="004E2640" w:rsidRPr="007518EE" w14:paraId="6A08AC64" w14:textId="77777777" w:rsidTr="00862368">
        <w:trPr>
          <w:trHeight w:val="240"/>
        </w:trPr>
        <w:tc>
          <w:tcPr>
            <w:tcW w:w="2756" w:type="dxa"/>
            <w:shd w:val="clear" w:color="auto" w:fill="auto"/>
            <w:noWrap/>
            <w:hideMark/>
          </w:tcPr>
          <w:p w14:paraId="4781DFB6" w14:textId="7D3D5038" w:rsidR="004E2640" w:rsidRPr="00517B56" w:rsidRDefault="004E2640" w:rsidP="004E2640">
            <w:pPr>
              <w:pStyle w:val="SingleTxtG"/>
              <w:tabs>
                <w:tab w:val="clear" w:pos="1701"/>
                <w:tab w:val="clear" w:pos="2268"/>
                <w:tab w:val="clear" w:pos="2835"/>
              </w:tabs>
              <w:spacing w:before="40" w:after="40" w:line="220" w:lineRule="exact"/>
              <w:ind w:left="0" w:right="0" w:firstLine="170"/>
              <w:jc w:val="left"/>
              <w:rPr>
                <w:rFonts w:eastAsia="Calibri"/>
                <w:sz w:val="18"/>
                <w:lang w:val="es-ES_tradnl"/>
              </w:rPr>
            </w:pPr>
            <w:r w:rsidRPr="00517B56">
              <w:rPr>
                <w:sz w:val="18"/>
                <w:lang w:val="es-ES_tradnl"/>
              </w:rPr>
              <w:t xml:space="preserve">De 45 a 59 años </w:t>
            </w:r>
          </w:p>
        </w:tc>
        <w:tc>
          <w:tcPr>
            <w:tcW w:w="1147" w:type="dxa"/>
            <w:shd w:val="clear" w:color="auto" w:fill="auto"/>
            <w:noWrap/>
            <w:vAlign w:val="bottom"/>
            <w:hideMark/>
          </w:tcPr>
          <w:p w14:paraId="5C701864"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24,6</w:t>
            </w:r>
          </w:p>
        </w:tc>
        <w:tc>
          <w:tcPr>
            <w:tcW w:w="1147" w:type="dxa"/>
            <w:shd w:val="clear" w:color="auto" w:fill="auto"/>
            <w:noWrap/>
            <w:vAlign w:val="bottom"/>
            <w:hideMark/>
          </w:tcPr>
          <w:p w14:paraId="536494E9"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25,4</w:t>
            </w:r>
          </w:p>
        </w:tc>
        <w:tc>
          <w:tcPr>
            <w:tcW w:w="1147" w:type="dxa"/>
            <w:shd w:val="clear" w:color="auto" w:fill="auto"/>
            <w:noWrap/>
            <w:vAlign w:val="bottom"/>
            <w:hideMark/>
          </w:tcPr>
          <w:p w14:paraId="54B18DA7"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25,6</w:t>
            </w:r>
          </w:p>
        </w:tc>
        <w:tc>
          <w:tcPr>
            <w:tcW w:w="1147" w:type="dxa"/>
            <w:shd w:val="clear" w:color="auto" w:fill="auto"/>
            <w:noWrap/>
            <w:vAlign w:val="bottom"/>
            <w:hideMark/>
          </w:tcPr>
          <w:p w14:paraId="3A9425CC"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25,4</w:t>
            </w:r>
          </w:p>
        </w:tc>
        <w:tc>
          <w:tcPr>
            <w:tcW w:w="1147" w:type="dxa"/>
            <w:shd w:val="clear" w:color="auto" w:fill="auto"/>
            <w:noWrap/>
            <w:vAlign w:val="bottom"/>
            <w:hideMark/>
          </w:tcPr>
          <w:p w14:paraId="607ACCB0"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27,3</w:t>
            </w:r>
          </w:p>
        </w:tc>
        <w:tc>
          <w:tcPr>
            <w:tcW w:w="1147" w:type="dxa"/>
            <w:shd w:val="clear" w:color="auto" w:fill="auto"/>
            <w:noWrap/>
            <w:vAlign w:val="bottom"/>
            <w:hideMark/>
          </w:tcPr>
          <w:p w14:paraId="620B6403"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r>
      <w:tr w:rsidR="004E2640" w:rsidRPr="007518EE" w14:paraId="3989E0EA" w14:textId="77777777" w:rsidTr="00862368">
        <w:trPr>
          <w:trHeight w:val="240"/>
        </w:trPr>
        <w:tc>
          <w:tcPr>
            <w:tcW w:w="2756" w:type="dxa"/>
            <w:shd w:val="clear" w:color="auto" w:fill="auto"/>
            <w:noWrap/>
            <w:hideMark/>
          </w:tcPr>
          <w:p w14:paraId="69CA6858" w14:textId="54FACEDE" w:rsidR="004E2640" w:rsidRPr="00517B56" w:rsidRDefault="002A0D23" w:rsidP="004E2640">
            <w:pPr>
              <w:pStyle w:val="SingleTxtG"/>
              <w:tabs>
                <w:tab w:val="clear" w:pos="1701"/>
                <w:tab w:val="clear" w:pos="2268"/>
                <w:tab w:val="clear" w:pos="2835"/>
              </w:tabs>
              <w:spacing w:before="40" w:after="40" w:line="220" w:lineRule="exact"/>
              <w:ind w:left="0" w:right="0"/>
              <w:jc w:val="left"/>
              <w:rPr>
                <w:rFonts w:eastAsia="Calibri"/>
                <w:b/>
                <w:sz w:val="18"/>
                <w:lang w:val="es-ES_tradnl"/>
              </w:rPr>
            </w:pPr>
            <w:r w:rsidRPr="00517B56">
              <w:rPr>
                <w:b/>
                <w:sz w:val="18"/>
                <w:lang w:val="es-ES_tradnl"/>
              </w:rPr>
              <w:t xml:space="preserve">Medio </w:t>
            </w:r>
            <w:r w:rsidR="004E2640" w:rsidRPr="00517B56">
              <w:rPr>
                <w:b/>
                <w:sz w:val="18"/>
                <w:lang w:val="es-ES_tradnl"/>
              </w:rPr>
              <w:t xml:space="preserve">urbano </w:t>
            </w:r>
          </w:p>
        </w:tc>
        <w:tc>
          <w:tcPr>
            <w:tcW w:w="1147" w:type="dxa"/>
            <w:shd w:val="clear" w:color="auto" w:fill="auto"/>
            <w:noWrap/>
            <w:vAlign w:val="bottom"/>
            <w:hideMark/>
          </w:tcPr>
          <w:p w14:paraId="1511E704"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rtl/>
                <w:lang w:val="es-ES_tradnl"/>
              </w:rPr>
            </w:pPr>
          </w:p>
        </w:tc>
        <w:tc>
          <w:tcPr>
            <w:tcW w:w="1147" w:type="dxa"/>
            <w:shd w:val="clear" w:color="auto" w:fill="auto"/>
            <w:noWrap/>
            <w:vAlign w:val="bottom"/>
            <w:hideMark/>
          </w:tcPr>
          <w:p w14:paraId="6AD83F45"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05002A76"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7269B606"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5C78F71E"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27AD2C51"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r>
      <w:tr w:rsidR="004E2640" w:rsidRPr="007518EE" w14:paraId="7ED62BE4" w14:textId="77777777" w:rsidTr="00862368">
        <w:trPr>
          <w:trHeight w:val="240"/>
        </w:trPr>
        <w:tc>
          <w:tcPr>
            <w:tcW w:w="2756" w:type="dxa"/>
            <w:shd w:val="clear" w:color="auto" w:fill="auto"/>
            <w:noWrap/>
            <w:hideMark/>
          </w:tcPr>
          <w:p w14:paraId="79864167" w14:textId="253F7692" w:rsidR="004E2640" w:rsidRPr="00517B56" w:rsidRDefault="004E2640" w:rsidP="004E2640">
            <w:pPr>
              <w:pStyle w:val="SingleTxtG"/>
              <w:tabs>
                <w:tab w:val="clear" w:pos="1701"/>
                <w:tab w:val="clear" w:pos="2268"/>
                <w:tab w:val="clear" w:pos="2835"/>
              </w:tabs>
              <w:spacing w:before="40" w:after="40" w:line="220" w:lineRule="exact"/>
              <w:ind w:left="0" w:right="0" w:firstLine="170"/>
              <w:jc w:val="left"/>
              <w:rPr>
                <w:rFonts w:eastAsia="Calibri"/>
                <w:sz w:val="18"/>
                <w:lang w:val="es-ES_tradnl"/>
              </w:rPr>
            </w:pPr>
            <w:r w:rsidRPr="00CA190D">
              <w:rPr>
                <w:rFonts w:eastAsia="Calibri"/>
                <w:sz w:val="18"/>
                <w:lang w:val="es-ES_tradnl"/>
              </w:rPr>
              <w:t xml:space="preserve">De 15 a 24 años </w:t>
            </w:r>
          </w:p>
        </w:tc>
        <w:tc>
          <w:tcPr>
            <w:tcW w:w="1147" w:type="dxa"/>
            <w:shd w:val="clear" w:color="auto" w:fill="auto"/>
            <w:noWrap/>
            <w:vAlign w:val="bottom"/>
            <w:hideMark/>
          </w:tcPr>
          <w:p w14:paraId="2E8808CD"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11,6</w:t>
            </w:r>
          </w:p>
        </w:tc>
        <w:tc>
          <w:tcPr>
            <w:tcW w:w="1147" w:type="dxa"/>
            <w:shd w:val="clear" w:color="auto" w:fill="auto"/>
            <w:noWrap/>
            <w:vAlign w:val="bottom"/>
            <w:hideMark/>
          </w:tcPr>
          <w:p w14:paraId="33C66808"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8,9</w:t>
            </w:r>
          </w:p>
        </w:tc>
        <w:tc>
          <w:tcPr>
            <w:tcW w:w="1147" w:type="dxa"/>
            <w:shd w:val="clear" w:color="auto" w:fill="auto"/>
            <w:noWrap/>
            <w:vAlign w:val="bottom"/>
            <w:hideMark/>
          </w:tcPr>
          <w:p w14:paraId="5D91C04A"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8,3</w:t>
            </w:r>
          </w:p>
        </w:tc>
        <w:tc>
          <w:tcPr>
            <w:tcW w:w="1147" w:type="dxa"/>
            <w:shd w:val="clear" w:color="auto" w:fill="auto"/>
            <w:noWrap/>
            <w:vAlign w:val="bottom"/>
            <w:hideMark/>
          </w:tcPr>
          <w:p w14:paraId="3B8AB85D"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7,5</w:t>
            </w:r>
          </w:p>
        </w:tc>
        <w:tc>
          <w:tcPr>
            <w:tcW w:w="1147" w:type="dxa"/>
            <w:shd w:val="clear" w:color="auto" w:fill="auto"/>
            <w:noWrap/>
            <w:vAlign w:val="bottom"/>
            <w:hideMark/>
          </w:tcPr>
          <w:p w14:paraId="53CFADB0"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7,9</w:t>
            </w:r>
          </w:p>
        </w:tc>
        <w:tc>
          <w:tcPr>
            <w:tcW w:w="1147" w:type="dxa"/>
            <w:shd w:val="clear" w:color="auto" w:fill="auto"/>
            <w:noWrap/>
            <w:vAlign w:val="bottom"/>
            <w:hideMark/>
          </w:tcPr>
          <w:p w14:paraId="614713F9"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r>
      <w:tr w:rsidR="004E2640" w:rsidRPr="007518EE" w14:paraId="14FD7284" w14:textId="77777777" w:rsidTr="00862368">
        <w:trPr>
          <w:trHeight w:val="240"/>
        </w:trPr>
        <w:tc>
          <w:tcPr>
            <w:tcW w:w="2756" w:type="dxa"/>
            <w:shd w:val="clear" w:color="auto" w:fill="auto"/>
            <w:noWrap/>
            <w:hideMark/>
          </w:tcPr>
          <w:p w14:paraId="795ED45E" w14:textId="42A79018" w:rsidR="004E2640" w:rsidRPr="00517B56" w:rsidRDefault="004E2640" w:rsidP="004E2640">
            <w:pPr>
              <w:pStyle w:val="SingleTxtG"/>
              <w:tabs>
                <w:tab w:val="clear" w:pos="1701"/>
                <w:tab w:val="clear" w:pos="2268"/>
                <w:tab w:val="clear" w:pos="2835"/>
              </w:tabs>
              <w:spacing w:before="40" w:after="40" w:line="220" w:lineRule="exact"/>
              <w:ind w:left="0" w:right="0" w:firstLine="170"/>
              <w:jc w:val="left"/>
              <w:rPr>
                <w:rFonts w:eastAsia="Calibri"/>
                <w:sz w:val="18"/>
                <w:lang w:val="es-ES_tradnl"/>
              </w:rPr>
            </w:pPr>
            <w:r w:rsidRPr="00CA190D">
              <w:rPr>
                <w:rFonts w:eastAsia="Calibri"/>
                <w:sz w:val="18"/>
                <w:lang w:val="es-ES_tradnl"/>
              </w:rPr>
              <w:t xml:space="preserve">De 25 a 44 años </w:t>
            </w:r>
          </w:p>
        </w:tc>
        <w:tc>
          <w:tcPr>
            <w:tcW w:w="1147" w:type="dxa"/>
            <w:shd w:val="clear" w:color="auto" w:fill="auto"/>
            <w:noWrap/>
            <w:vAlign w:val="bottom"/>
            <w:hideMark/>
          </w:tcPr>
          <w:p w14:paraId="460614CE"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56,8</w:t>
            </w:r>
          </w:p>
        </w:tc>
        <w:tc>
          <w:tcPr>
            <w:tcW w:w="1147" w:type="dxa"/>
            <w:shd w:val="clear" w:color="auto" w:fill="auto"/>
            <w:noWrap/>
            <w:vAlign w:val="bottom"/>
            <w:hideMark/>
          </w:tcPr>
          <w:p w14:paraId="72590A02"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57,3</w:t>
            </w:r>
          </w:p>
        </w:tc>
        <w:tc>
          <w:tcPr>
            <w:tcW w:w="1147" w:type="dxa"/>
            <w:shd w:val="clear" w:color="auto" w:fill="auto"/>
            <w:noWrap/>
            <w:vAlign w:val="bottom"/>
            <w:hideMark/>
          </w:tcPr>
          <w:p w14:paraId="5CE1F380"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57,8</w:t>
            </w:r>
          </w:p>
        </w:tc>
        <w:tc>
          <w:tcPr>
            <w:tcW w:w="1147" w:type="dxa"/>
            <w:shd w:val="clear" w:color="auto" w:fill="auto"/>
            <w:noWrap/>
            <w:vAlign w:val="bottom"/>
            <w:hideMark/>
          </w:tcPr>
          <w:p w14:paraId="63474A3E"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58,7</w:t>
            </w:r>
          </w:p>
        </w:tc>
        <w:tc>
          <w:tcPr>
            <w:tcW w:w="1147" w:type="dxa"/>
            <w:shd w:val="clear" w:color="auto" w:fill="auto"/>
            <w:noWrap/>
            <w:vAlign w:val="bottom"/>
            <w:hideMark/>
          </w:tcPr>
          <w:p w14:paraId="40F81712"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57,0</w:t>
            </w:r>
          </w:p>
        </w:tc>
        <w:tc>
          <w:tcPr>
            <w:tcW w:w="1147" w:type="dxa"/>
            <w:shd w:val="clear" w:color="auto" w:fill="auto"/>
            <w:noWrap/>
            <w:vAlign w:val="bottom"/>
            <w:hideMark/>
          </w:tcPr>
          <w:p w14:paraId="0899F29F"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r>
      <w:tr w:rsidR="004E2640" w:rsidRPr="007518EE" w14:paraId="5EFB8DB8" w14:textId="77777777" w:rsidTr="00862368">
        <w:trPr>
          <w:trHeight w:val="240"/>
        </w:trPr>
        <w:tc>
          <w:tcPr>
            <w:tcW w:w="2756" w:type="dxa"/>
            <w:shd w:val="clear" w:color="auto" w:fill="auto"/>
            <w:noWrap/>
            <w:hideMark/>
          </w:tcPr>
          <w:p w14:paraId="5A1EE0A2" w14:textId="662D4C13" w:rsidR="004E2640" w:rsidRPr="00517B56" w:rsidRDefault="004E2640" w:rsidP="004E2640">
            <w:pPr>
              <w:pStyle w:val="SingleTxtG"/>
              <w:tabs>
                <w:tab w:val="clear" w:pos="1701"/>
                <w:tab w:val="clear" w:pos="2268"/>
                <w:tab w:val="clear" w:pos="2835"/>
              </w:tabs>
              <w:spacing w:before="40" w:after="40" w:line="220" w:lineRule="exact"/>
              <w:ind w:left="0" w:right="0" w:firstLine="170"/>
              <w:jc w:val="left"/>
              <w:rPr>
                <w:rFonts w:eastAsia="Calibri"/>
                <w:sz w:val="18"/>
                <w:lang w:val="es-ES_tradnl"/>
              </w:rPr>
            </w:pPr>
            <w:r w:rsidRPr="00CA190D">
              <w:rPr>
                <w:rFonts w:eastAsia="Calibri"/>
                <w:sz w:val="18"/>
                <w:lang w:val="es-ES_tradnl"/>
              </w:rPr>
              <w:t xml:space="preserve">De 45 a 59 años </w:t>
            </w:r>
          </w:p>
        </w:tc>
        <w:tc>
          <w:tcPr>
            <w:tcW w:w="1147" w:type="dxa"/>
            <w:shd w:val="clear" w:color="auto" w:fill="auto"/>
            <w:noWrap/>
            <w:vAlign w:val="bottom"/>
            <w:hideMark/>
          </w:tcPr>
          <w:p w14:paraId="6D9C86E8"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27,7</w:t>
            </w:r>
          </w:p>
        </w:tc>
        <w:tc>
          <w:tcPr>
            <w:tcW w:w="1147" w:type="dxa"/>
            <w:shd w:val="clear" w:color="auto" w:fill="auto"/>
            <w:noWrap/>
            <w:vAlign w:val="bottom"/>
            <w:hideMark/>
          </w:tcPr>
          <w:p w14:paraId="28F06D3E"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29,1</w:t>
            </w:r>
          </w:p>
        </w:tc>
        <w:tc>
          <w:tcPr>
            <w:tcW w:w="1147" w:type="dxa"/>
            <w:shd w:val="clear" w:color="auto" w:fill="auto"/>
            <w:noWrap/>
            <w:vAlign w:val="bottom"/>
            <w:hideMark/>
          </w:tcPr>
          <w:p w14:paraId="2A9B99D9"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29,1</w:t>
            </w:r>
          </w:p>
        </w:tc>
        <w:tc>
          <w:tcPr>
            <w:tcW w:w="1147" w:type="dxa"/>
            <w:shd w:val="clear" w:color="auto" w:fill="auto"/>
            <w:noWrap/>
            <w:vAlign w:val="bottom"/>
            <w:hideMark/>
          </w:tcPr>
          <w:p w14:paraId="2E69E7C2"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28,6</w:t>
            </w:r>
          </w:p>
        </w:tc>
        <w:tc>
          <w:tcPr>
            <w:tcW w:w="1147" w:type="dxa"/>
            <w:shd w:val="clear" w:color="auto" w:fill="auto"/>
            <w:noWrap/>
            <w:vAlign w:val="bottom"/>
            <w:hideMark/>
          </w:tcPr>
          <w:p w14:paraId="2FECD3B8"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29,4</w:t>
            </w:r>
          </w:p>
        </w:tc>
        <w:tc>
          <w:tcPr>
            <w:tcW w:w="1147" w:type="dxa"/>
            <w:shd w:val="clear" w:color="auto" w:fill="auto"/>
            <w:noWrap/>
            <w:vAlign w:val="bottom"/>
            <w:hideMark/>
          </w:tcPr>
          <w:p w14:paraId="2B83164F"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r>
      <w:tr w:rsidR="004E2640" w:rsidRPr="007518EE" w14:paraId="28E1D632" w14:textId="77777777" w:rsidTr="00862368">
        <w:trPr>
          <w:trHeight w:val="240"/>
        </w:trPr>
        <w:tc>
          <w:tcPr>
            <w:tcW w:w="2756" w:type="dxa"/>
            <w:shd w:val="clear" w:color="auto" w:fill="auto"/>
            <w:noWrap/>
            <w:hideMark/>
          </w:tcPr>
          <w:p w14:paraId="7378AE72" w14:textId="56B15C02" w:rsidR="004E2640" w:rsidRPr="00517B56" w:rsidRDefault="002A0D23" w:rsidP="004E2640">
            <w:pPr>
              <w:pStyle w:val="SingleTxtG"/>
              <w:tabs>
                <w:tab w:val="clear" w:pos="1701"/>
                <w:tab w:val="clear" w:pos="2268"/>
                <w:tab w:val="clear" w:pos="2835"/>
              </w:tabs>
              <w:spacing w:before="40" w:after="40" w:line="220" w:lineRule="exact"/>
              <w:ind w:left="0" w:right="0"/>
              <w:jc w:val="left"/>
              <w:rPr>
                <w:rFonts w:eastAsia="Calibri"/>
                <w:b/>
                <w:sz w:val="18"/>
                <w:lang w:val="es-ES_tradnl"/>
              </w:rPr>
            </w:pPr>
            <w:r>
              <w:rPr>
                <w:b/>
                <w:sz w:val="18"/>
                <w:lang w:val="es-ES_tradnl"/>
              </w:rPr>
              <w:t>M</w:t>
            </w:r>
            <w:r w:rsidR="004E2640" w:rsidRPr="00517B56">
              <w:rPr>
                <w:b/>
                <w:sz w:val="18"/>
                <w:lang w:val="es-ES_tradnl"/>
              </w:rPr>
              <w:t>edio rural</w:t>
            </w:r>
          </w:p>
        </w:tc>
        <w:tc>
          <w:tcPr>
            <w:tcW w:w="1147" w:type="dxa"/>
            <w:shd w:val="clear" w:color="auto" w:fill="auto"/>
            <w:noWrap/>
            <w:vAlign w:val="bottom"/>
            <w:hideMark/>
          </w:tcPr>
          <w:p w14:paraId="77C94D1D"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rtl/>
                <w:lang w:val="es-ES_tradnl"/>
              </w:rPr>
            </w:pPr>
          </w:p>
        </w:tc>
        <w:tc>
          <w:tcPr>
            <w:tcW w:w="1147" w:type="dxa"/>
            <w:shd w:val="clear" w:color="auto" w:fill="auto"/>
            <w:noWrap/>
            <w:vAlign w:val="bottom"/>
            <w:hideMark/>
          </w:tcPr>
          <w:p w14:paraId="00A03B90"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1E19B7B1"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5BA8B381"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71FB35AA"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4D469C2A"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r>
      <w:tr w:rsidR="004E2640" w:rsidRPr="007518EE" w14:paraId="302DD1E1" w14:textId="77777777" w:rsidTr="00862368">
        <w:trPr>
          <w:trHeight w:val="240"/>
        </w:trPr>
        <w:tc>
          <w:tcPr>
            <w:tcW w:w="2756" w:type="dxa"/>
            <w:shd w:val="clear" w:color="auto" w:fill="auto"/>
            <w:noWrap/>
            <w:hideMark/>
          </w:tcPr>
          <w:p w14:paraId="7AE2F4F5" w14:textId="5B7F3610" w:rsidR="004E2640" w:rsidRPr="00517B56" w:rsidRDefault="004E2640" w:rsidP="004E2640">
            <w:pPr>
              <w:pStyle w:val="SingleTxtG"/>
              <w:tabs>
                <w:tab w:val="clear" w:pos="1701"/>
                <w:tab w:val="clear" w:pos="2268"/>
                <w:tab w:val="clear" w:pos="2835"/>
              </w:tabs>
              <w:spacing w:before="40" w:after="40" w:line="220" w:lineRule="exact"/>
              <w:ind w:left="0" w:right="0" w:firstLine="170"/>
              <w:jc w:val="left"/>
              <w:rPr>
                <w:rFonts w:eastAsia="Calibri"/>
                <w:sz w:val="18"/>
                <w:lang w:val="es-ES_tradnl"/>
              </w:rPr>
            </w:pPr>
            <w:r w:rsidRPr="00CA190D">
              <w:rPr>
                <w:rFonts w:eastAsia="Calibri"/>
                <w:sz w:val="18"/>
                <w:lang w:val="es-ES_tradnl"/>
              </w:rPr>
              <w:t xml:space="preserve">De 15 a 24 años </w:t>
            </w:r>
          </w:p>
        </w:tc>
        <w:tc>
          <w:tcPr>
            <w:tcW w:w="1147" w:type="dxa"/>
            <w:shd w:val="clear" w:color="auto" w:fill="auto"/>
            <w:noWrap/>
            <w:vAlign w:val="bottom"/>
            <w:hideMark/>
          </w:tcPr>
          <w:p w14:paraId="6FDC4F11"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23,6</w:t>
            </w:r>
          </w:p>
        </w:tc>
        <w:tc>
          <w:tcPr>
            <w:tcW w:w="1147" w:type="dxa"/>
            <w:shd w:val="clear" w:color="auto" w:fill="auto"/>
            <w:noWrap/>
            <w:vAlign w:val="bottom"/>
            <w:hideMark/>
          </w:tcPr>
          <w:p w14:paraId="71D226F3"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21,8</w:t>
            </w:r>
          </w:p>
        </w:tc>
        <w:tc>
          <w:tcPr>
            <w:tcW w:w="1147" w:type="dxa"/>
            <w:shd w:val="clear" w:color="auto" w:fill="auto"/>
            <w:noWrap/>
            <w:vAlign w:val="bottom"/>
            <w:hideMark/>
          </w:tcPr>
          <w:p w14:paraId="262D2826"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19,8</w:t>
            </w:r>
          </w:p>
        </w:tc>
        <w:tc>
          <w:tcPr>
            <w:tcW w:w="1147" w:type="dxa"/>
            <w:shd w:val="clear" w:color="auto" w:fill="auto"/>
            <w:noWrap/>
            <w:vAlign w:val="bottom"/>
            <w:hideMark/>
          </w:tcPr>
          <w:p w14:paraId="2D69F4A0"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18,1</w:t>
            </w:r>
          </w:p>
        </w:tc>
        <w:tc>
          <w:tcPr>
            <w:tcW w:w="1147" w:type="dxa"/>
            <w:shd w:val="clear" w:color="auto" w:fill="auto"/>
            <w:noWrap/>
            <w:vAlign w:val="bottom"/>
            <w:hideMark/>
          </w:tcPr>
          <w:p w14:paraId="54DA6827"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16,0</w:t>
            </w:r>
          </w:p>
        </w:tc>
        <w:tc>
          <w:tcPr>
            <w:tcW w:w="1147" w:type="dxa"/>
            <w:shd w:val="clear" w:color="auto" w:fill="auto"/>
            <w:noWrap/>
            <w:vAlign w:val="bottom"/>
            <w:hideMark/>
          </w:tcPr>
          <w:p w14:paraId="59DA8BB0"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r>
      <w:tr w:rsidR="004E2640" w:rsidRPr="007518EE" w14:paraId="1060BF6D" w14:textId="77777777" w:rsidTr="00862368">
        <w:trPr>
          <w:trHeight w:val="240"/>
        </w:trPr>
        <w:tc>
          <w:tcPr>
            <w:tcW w:w="2756" w:type="dxa"/>
            <w:shd w:val="clear" w:color="auto" w:fill="auto"/>
            <w:noWrap/>
            <w:hideMark/>
          </w:tcPr>
          <w:p w14:paraId="68D970A3" w14:textId="7263982F" w:rsidR="004E2640" w:rsidRPr="00517B56" w:rsidRDefault="004E2640" w:rsidP="004E2640">
            <w:pPr>
              <w:pStyle w:val="SingleTxtG"/>
              <w:tabs>
                <w:tab w:val="clear" w:pos="1701"/>
                <w:tab w:val="clear" w:pos="2268"/>
                <w:tab w:val="clear" w:pos="2835"/>
              </w:tabs>
              <w:spacing w:before="40" w:after="40" w:line="220" w:lineRule="exact"/>
              <w:ind w:left="0" w:right="0" w:firstLine="170"/>
              <w:jc w:val="left"/>
              <w:rPr>
                <w:rFonts w:eastAsia="Calibri"/>
                <w:sz w:val="18"/>
                <w:lang w:val="es-ES_tradnl"/>
              </w:rPr>
            </w:pPr>
            <w:r w:rsidRPr="00CA190D">
              <w:rPr>
                <w:rFonts w:eastAsia="Calibri"/>
                <w:sz w:val="18"/>
                <w:lang w:val="es-ES_tradnl"/>
              </w:rPr>
              <w:t xml:space="preserve">De 25 a 44 años </w:t>
            </w:r>
          </w:p>
        </w:tc>
        <w:tc>
          <w:tcPr>
            <w:tcW w:w="1147" w:type="dxa"/>
            <w:shd w:val="clear" w:color="auto" w:fill="auto"/>
            <w:noWrap/>
            <w:vAlign w:val="bottom"/>
            <w:hideMark/>
          </w:tcPr>
          <w:p w14:paraId="78C31D7D"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45,4</w:t>
            </w:r>
          </w:p>
        </w:tc>
        <w:tc>
          <w:tcPr>
            <w:tcW w:w="1147" w:type="dxa"/>
            <w:shd w:val="clear" w:color="auto" w:fill="auto"/>
            <w:noWrap/>
            <w:vAlign w:val="bottom"/>
            <w:hideMark/>
          </w:tcPr>
          <w:p w14:paraId="704F4369"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47,0</w:t>
            </w:r>
          </w:p>
        </w:tc>
        <w:tc>
          <w:tcPr>
            <w:tcW w:w="1147" w:type="dxa"/>
            <w:shd w:val="clear" w:color="auto" w:fill="auto"/>
            <w:noWrap/>
            <w:vAlign w:val="bottom"/>
            <w:hideMark/>
          </w:tcPr>
          <w:p w14:paraId="2BDA0EDA"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48,3</w:t>
            </w:r>
          </w:p>
        </w:tc>
        <w:tc>
          <w:tcPr>
            <w:tcW w:w="1147" w:type="dxa"/>
            <w:shd w:val="clear" w:color="auto" w:fill="auto"/>
            <w:noWrap/>
            <w:vAlign w:val="bottom"/>
            <w:hideMark/>
          </w:tcPr>
          <w:p w14:paraId="677896D6"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49,2</w:t>
            </w:r>
          </w:p>
        </w:tc>
        <w:tc>
          <w:tcPr>
            <w:tcW w:w="1147" w:type="dxa"/>
            <w:shd w:val="clear" w:color="auto" w:fill="auto"/>
            <w:noWrap/>
            <w:vAlign w:val="bottom"/>
            <w:hideMark/>
          </w:tcPr>
          <w:p w14:paraId="183F8130"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47,4</w:t>
            </w:r>
          </w:p>
        </w:tc>
        <w:tc>
          <w:tcPr>
            <w:tcW w:w="1147" w:type="dxa"/>
            <w:shd w:val="clear" w:color="auto" w:fill="auto"/>
            <w:noWrap/>
            <w:vAlign w:val="bottom"/>
            <w:hideMark/>
          </w:tcPr>
          <w:p w14:paraId="574BC210"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r>
      <w:tr w:rsidR="004E2640" w:rsidRPr="007518EE" w14:paraId="6F8A4CA0" w14:textId="77777777" w:rsidTr="00862368">
        <w:trPr>
          <w:trHeight w:val="240"/>
        </w:trPr>
        <w:tc>
          <w:tcPr>
            <w:tcW w:w="2756" w:type="dxa"/>
            <w:shd w:val="clear" w:color="auto" w:fill="auto"/>
            <w:noWrap/>
            <w:hideMark/>
          </w:tcPr>
          <w:p w14:paraId="6A9C6361" w14:textId="696FB3FA" w:rsidR="004E2640" w:rsidRPr="00517B56" w:rsidRDefault="004E2640" w:rsidP="004E2640">
            <w:pPr>
              <w:pStyle w:val="SingleTxtG"/>
              <w:tabs>
                <w:tab w:val="clear" w:pos="1701"/>
                <w:tab w:val="clear" w:pos="2268"/>
                <w:tab w:val="clear" w:pos="2835"/>
              </w:tabs>
              <w:spacing w:before="40" w:after="40" w:line="220" w:lineRule="exact"/>
              <w:ind w:left="0" w:right="0" w:firstLine="170"/>
              <w:jc w:val="left"/>
              <w:rPr>
                <w:rFonts w:eastAsia="Calibri"/>
                <w:sz w:val="18"/>
                <w:lang w:val="es-ES_tradnl"/>
              </w:rPr>
            </w:pPr>
            <w:r w:rsidRPr="00CA190D">
              <w:rPr>
                <w:rFonts w:eastAsia="Calibri"/>
                <w:sz w:val="18"/>
                <w:lang w:val="es-ES_tradnl"/>
              </w:rPr>
              <w:t xml:space="preserve">De 45 a 59 años </w:t>
            </w:r>
          </w:p>
        </w:tc>
        <w:tc>
          <w:tcPr>
            <w:tcW w:w="1147" w:type="dxa"/>
            <w:shd w:val="clear" w:color="auto" w:fill="auto"/>
            <w:noWrap/>
            <w:vAlign w:val="bottom"/>
            <w:hideMark/>
          </w:tcPr>
          <w:p w14:paraId="0C9D7594"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21,5</w:t>
            </w:r>
          </w:p>
        </w:tc>
        <w:tc>
          <w:tcPr>
            <w:tcW w:w="1147" w:type="dxa"/>
            <w:shd w:val="clear" w:color="auto" w:fill="auto"/>
            <w:noWrap/>
            <w:vAlign w:val="bottom"/>
            <w:hideMark/>
          </w:tcPr>
          <w:p w14:paraId="0FB4737A"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21,6</w:t>
            </w:r>
          </w:p>
        </w:tc>
        <w:tc>
          <w:tcPr>
            <w:tcW w:w="1147" w:type="dxa"/>
            <w:shd w:val="clear" w:color="auto" w:fill="auto"/>
            <w:noWrap/>
            <w:vAlign w:val="bottom"/>
            <w:hideMark/>
          </w:tcPr>
          <w:p w14:paraId="18BED874"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22,0</w:t>
            </w:r>
          </w:p>
        </w:tc>
        <w:tc>
          <w:tcPr>
            <w:tcW w:w="1147" w:type="dxa"/>
            <w:shd w:val="clear" w:color="auto" w:fill="auto"/>
            <w:noWrap/>
            <w:vAlign w:val="bottom"/>
            <w:hideMark/>
          </w:tcPr>
          <w:p w14:paraId="6C829867"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22,0</w:t>
            </w:r>
          </w:p>
        </w:tc>
        <w:tc>
          <w:tcPr>
            <w:tcW w:w="1147" w:type="dxa"/>
            <w:shd w:val="clear" w:color="auto" w:fill="auto"/>
            <w:noWrap/>
            <w:vAlign w:val="bottom"/>
            <w:hideMark/>
          </w:tcPr>
          <w:p w14:paraId="691DA572"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24,7</w:t>
            </w:r>
          </w:p>
        </w:tc>
        <w:tc>
          <w:tcPr>
            <w:tcW w:w="1147" w:type="dxa"/>
            <w:shd w:val="clear" w:color="auto" w:fill="auto"/>
            <w:noWrap/>
            <w:vAlign w:val="bottom"/>
            <w:hideMark/>
          </w:tcPr>
          <w:p w14:paraId="3160F456"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r>
      <w:tr w:rsidR="004E2640" w:rsidRPr="007518EE" w14:paraId="51BB5B49" w14:textId="77777777" w:rsidTr="00862368">
        <w:trPr>
          <w:trHeight w:val="240"/>
        </w:trPr>
        <w:tc>
          <w:tcPr>
            <w:tcW w:w="2756" w:type="dxa"/>
            <w:shd w:val="clear" w:color="auto" w:fill="auto"/>
            <w:noWrap/>
            <w:hideMark/>
          </w:tcPr>
          <w:p w14:paraId="23C92168" w14:textId="0E5CFAE6" w:rsidR="004E2640" w:rsidRPr="00517B56" w:rsidRDefault="004E2640" w:rsidP="00862368">
            <w:pPr>
              <w:pStyle w:val="SingleTxtG"/>
              <w:keepNext/>
              <w:keepLines/>
              <w:tabs>
                <w:tab w:val="clear" w:pos="1701"/>
                <w:tab w:val="clear" w:pos="2268"/>
                <w:tab w:val="clear" w:pos="2835"/>
                <w:tab w:val="left" w:pos="404"/>
              </w:tabs>
              <w:spacing w:before="40" w:after="40" w:line="220" w:lineRule="exact"/>
              <w:ind w:left="404" w:right="0" w:hanging="404"/>
              <w:jc w:val="left"/>
              <w:rPr>
                <w:rFonts w:eastAsia="Calibri"/>
                <w:b/>
                <w:sz w:val="18"/>
                <w:lang w:val="es-ES_tradnl"/>
              </w:rPr>
            </w:pPr>
            <w:r w:rsidRPr="00517B56">
              <w:rPr>
                <w:rFonts w:eastAsia="Calibri"/>
                <w:b/>
                <w:sz w:val="18"/>
                <w:lang w:val="es-ES_tradnl"/>
              </w:rPr>
              <w:t>5.3</w:t>
            </w:r>
            <w:r w:rsidRPr="00517B56">
              <w:rPr>
                <w:rFonts w:eastAsia="Calibri"/>
                <w:b/>
                <w:sz w:val="18"/>
                <w:lang w:val="es-ES_tradnl"/>
              </w:rPr>
              <w:tab/>
              <w:t>Estructura de la población urbana activa empleada, por sector productivo (porcentaje)</w:t>
            </w:r>
          </w:p>
        </w:tc>
        <w:tc>
          <w:tcPr>
            <w:tcW w:w="1147" w:type="dxa"/>
            <w:shd w:val="clear" w:color="auto" w:fill="auto"/>
          </w:tcPr>
          <w:p w14:paraId="761348BA" w14:textId="77777777" w:rsidR="004E2640" w:rsidRPr="00517B56" w:rsidRDefault="004E2640" w:rsidP="004E2640">
            <w:pPr>
              <w:pStyle w:val="SingleTxtG"/>
              <w:tabs>
                <w:tab w:val="clear" w:pos="1701"/>
                <w:tab w:val="clear" w:pos="2268"/>
                <w:tab w:val="clear" w:pos="2835"/>
                <w:tab w:val="left" w:pos="567"/>
              </w:tabs>
              <w:spacing w:before="40" w:after="40" w:line="220" w:lineRule="exact"/>
              <w:ind w:left="0" w:right="0"/>
              <w:jc w:val="left"/>
              <w:rPr>
                <w:rFonts w:eastAsia="Calibri"/>
                <w:b/>
                <w:sz w:val="18"/>
                <w:lang w:val="es-ES_tradnl"/>
              </w:rPr>
            </w:pPr>
          </w:p>
        </w:tc>
        <w:tc>
          <w:tcPr>
            <w:tcW w:w="1147" w:type="dxa"/>
            <w:shd w:val="clear" w:color="auto" w:fill="auto"/>
          </w:tcPr>
          <w:p w14:paraId="5CD9FF61" w14:textId="77777777" w:rsidR="004E2640" w:rsidRPr="00517B56" w:rsidRDefault="004E2640" w:rsidP="004E2640">
            <w:pPr>
              <w:pStyle w:val="SingleTxtG"/>
              <w:tabs>
                <w:tab w:val="clear" w:pos="1701"/>
                <w:tab w:val="clear" w:pos="2268"/>
                <w:tab w:val="clear" w:pos="2835"/>
                <w:tab w:val="left" w:pos="567"/>
              </w:tabs>
              <w:spacing w:before="40" w:after="40" w:line="220" w:lineRule="exact"/>
              <w:ind w:left="0" w:right="0"/>
              <w:jc w:val="left"/>
              <w:rPr>
                <w:rFonts w:eastAsia="Calibri"/>
                <w:b/>
                <w:sz w:val="18"/>
                <w:lang w:val="es-ES_tradnl"/>
              </w:rPr>
            </w:pPr>
          </w:p>
        </w:tc>
        <w:tc>
          <w:tcPr>
            <w:tcW w:w="1147" w:type="dxa"/>
            <w:shd w:val="clear" w:color="auto" w:fill="auto"/>
          </w:tcPr>
          <w:p w14:paraId="3227172A" w14:textId="77777777" w:rsidR="004E2640" w:rsidRPr="00517B56" w:rsidRDefault="004E2640" w:rsidP="004E2640">
            <w:pPr>
              <w:pStyle w:val="SingleTxtG"/>
              <w:tabs>
                <w:tab w:val="clear" w:pos="1701"/>
                <w:tab w:val="clear" w:pos="2268"/>
                <w:tab w:val="clear" w:pos="2835"/>
                <w:tab w:val="left" w:pos="567"/>
              </w:tabs>
              <w:spacing w:before="40" w:after="40" w:line="220" w:lineRule="exact"/>
              <w:ind w:left="0" w:right="0"/>
              <w:jc w:val="left"/>
              <w:rPr>
                <w:rFonts w:eastAsia="Calibri"/>
                <w:b/>
                <w:sz w:val="18"/>
                <w:lang w:val="es-ES_tradnl"/>
              </w:rPr>
            </w:pPr>
          </w:p>
        </w:tc>
        <w:tc>
          <w:tcPr>
            <w:tcW w:w="1147" w:type="dxa"/>
            <w:shd w:val="clear" w:color="auto" w:fill="auto"/>
          </w:tcPr>
          <w:p w14:paraId="20B06174" w14:textId="77777777" w:rsidR="004E2640" w:rsidRPr="00517B56" w:rsidRDefault="004E2640" w:rsidP="004E2640">
            <w:pPr>
              <w:pStyle w:val="SingleTxtG"/>
              <w:tabs>
                <w:tab w:val="clear" w:pos="1701"/>
                <w:tab w:val="clear" w:pos="2268"/>
                <w:tab w:val="clear" w:pos="2835"/>
                <w:tab w:val="left" w:pos="567"/>
              </w:tabs>
              <w:spacing w:before="40" w:after="40" w:line="220" w:lineRule="exact"/>
              <w:ind w:left="0" w:right="0"/>
              <w:jc w:val="left"/>
              <w:rPr>
                <w:rFonts w:eastAsia="Calibri"/>
                <w:b/>
                <w:sz w:val="18"/>
                <w:lang w:val="es-ES_tradnl"/>
              </w:rPr>
            </w:pPr>
          </w:p>
        </w:tc>
        <w:tc>
          <w:tcPr>
            <w:tcW w:w="1147" w:type="dxa"/>
            <w:shd w:val="clear" w:color="auto" w:fill="auto"/>
          </w:tcPr>
          <w:p w14:paraId="299765A6" w14:textId="77777777" w:rsidR="004E2640" w:rsidRPr="00517B56" w:rsidRDefault="004E2640" w:rsidP="004E2640">
            <w:pPr>
              <w:pStyle w:val="SingleTxtG"/>
              <w:tabs>
                <w:tab w:val="clear" w:pos="1701"/>
                <w:tab w:val="clear" w:pos="2268"/>
                <w:tab w:val="clear" w:pos="2835"/>
                <w:tab w:val="left" w:pos="567"/>
              </w:tabs>
              <w:spacing w:before="40" w:after="40" w:line="220" w:lineRule="exact"/>
              <w:ind w:left="0" w:right="0"/>
              <w:jc w:val="left"/>
              <w:rPr>
                <w:rFonts w:eastAsia="Calibri"/>
                <w:b/>
                <w:sz w:val="18"/>
                <w:lang w:val="es-ES_tradnl"/>
              </w:rPr>
            </w:pPr>
          </w:p>
        </w:tc>
        <w:tc>
          <w:tcPr>
            <w:tcW w:w="1147" w:type="dxa"/>
            <w:shd w:val="clear" w:color="auto" w:fill="auto"/>
          </w:tcPr>
          <w:p w14:paraId="27AA779C" w14:textId="01F5E5DA" w:rsidR="004E2640" w:rsidRPr="00517B56" w:rsidRDefault="004E2640" w:rsidP="004E2640">
            <w:pPr>
              <w:pStyle w:val="SingleTxtG"/>
              <w:tabs>
                <w:tab w:val="clear" w:pos="1701"/>
                <w:tab w:val="clear" w:pos="2268"/>
                <w:tab w:val="clear" w:pos="2835"/>
                <w:tab w:val="left" w:pos="567"/>
              </w:tabs>
              <w:spacing w:before="40" w:after="40" w:line="220" w:lineRule="exact"/>
              <w:ind w:left="0" w:right="0"/>
              <w:jc w:val="left"/>
              <w:rPr>
                <w:rFonts w:eastAsia="Calibri"/>
                <w:b/>
                <w:sz w:val="18"/>
                <w:lang w:val="es-ES_tradnl"/>
              </w:rPr>
            </w:pPr>
          </w:p>
        </w:tc>
      </w:tr>
      <w:tr w:rsidR="004E2640" w:rsidRPr="007518EE" w14:paraId="689F0692" w14:textId="77777777" w:rsidTr="00862368">
        <w:trPr>
          <w:trHeight w:val="240"/>
        </w:trPr>
        <w:tc>
          <w:tcPr>
            <w:tcW w:w="2756" w:type="dxa"/>
            <w:shd w:val="clear" w:color="auto" w:fill="auto"/>
            <w:noWrap/>
            <w:hideMark/>
          </w:tcPr>
          <w:p w14:paraId="1BA9E187" w14:textId="77777777" w:rsidR="004E2640" w:rsidRPr="00517B56" w:rsidRDefault="004E2640" w:rsidP="004E2640">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517B56">
              <w:rPr>
                <w:sz w:val="18"/>
                <w:lang w:val="es-ES_tradnl"/>
              </w:rPr>
              <w:t>Agricultura, silvicultura y pesca</w:t>
            </w:r>
          </w:p>
        </w:tc>
        <w:tc>
          <w:tcPr>
            <w:tcW w:w="1147" w:type="dxa"/>
            <w:shd w:val="clear" w:color="auto" w:fill="auto"/>
            <w:noWrap/>
            <w:vAlign w:val="bottom"/>
            <w:hideMark/>
          </w:tcPr>
          <w:p w14:paraId="5F3DC1FF"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40,0</w:t>
            </w:r>
          </w:p>
        </w:tc>
        <w:tc>
          <w:tcPr>
            <w:tcW w:w="1147" w:type="dxa"/>
            <w:shd w:val="clear" w:color="auto" w:fill="auto"/>
            <w:noWrap/>
            <w:vAlign w:val="bottom"/>
            <w:hideMark/>
          </w:tcPr>
          <w:p w14:paraId="5F483830"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39,4</w:t>
            </w:r>
          </w:p>
        </w:tc>
        <w:tc>
          <w:tcPr>
            <w:tcW w:w="1147" w:type="dxa"/>
            <w:shd w:val="clear" w:color="auto" w:fill="auto"/>
            <w:noWrap/>
            <w:vAlign w:val="bottom"/>
            <w:hideMark/>
          </w:tcPr>
          <w:p w14:paraId="70A0807F"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39,0</w:t>
            </w:r>
          </w:p>
        </w:tc>
        <w:tc>
          <w:tcPr>
            <w:tcW w:w="1147" w:type="dxa"/>
            <w:shd w:val="clear" w:color="auto" w:fill="auto"/>
            <w:noWrap/>
            <w:vAlign w:val="bottom"/>
            <w:hideMark/>
          </w:tcPr>
          <w:p w14:paraId="586E7A07"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38,0</w:t>
            </w:r>
          </w:p>
        </w:tc>
        <w:tc>
          <w:tcPr>
            <w:tcW w:w="1147" w:type="dxa"/>
            <w:shd w:val="clear" w:color="auto" w:fill="auto"/>
            <w:noWrap/>
            <w:vAlign w:val="bottom"/>
            <w:hideMark/>
          </w:tcPr>
          <w:p w14:paraId="214C3BFB"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35,1</w:t>
            </w:r>
          </w:p>
        </w:tc>
        <w:tc>
          <w:tcPr>
            <w:tcW w:w="1147" w:type="dxa"/>
            <w:shd w:val="clear" w:color="auto" w:fill="auto"/>
            <w:noWrap/>
            <w:vAlign w:val="bottom"/>
            <w:hideMark/>
          </w:tcPr>
          <w:p w14:paraId="04A5D312"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35,0</w:t>
            </w:r>
          </w:p>
        </w:tc>
      </w:tr>
      <w:tr w:rsidR="004E2640" w:rsidRPr="007518EE" w14:paraId="43887188" w14:textId="77777777" w:rsidTr="00862368">
        <w:trPr>
          <w:trHeight w:val="240"/>
        </w:trPr>
        <w:tc>
          <w:tcPr>
            <w:tcW w:w="2756" w:type="dxa"/>
            <w:shd w:val="clear" w:color="auto" w:fill="auto"/>
            <w:noWrap/>
            <w:hideMark/>
          </w:tcPr>
          <w:p w14:paraId="37CBEF3F" w14:textId="77777777" w:rsidR="004E2640" w:rsidRPr="00517B56" w:rsidRDefault="004E2640" w:rsidP="004E2640">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517B56">
              <w:rPr>
                <w:sz w:val="18"/>
                <w:lang w:val="es-ES_tradnl"/>
              </w:rPr>
              <w:t>Industria</w:t>
            </w:r>
          </w:p>
        </w:tc>
        <w:tc>
          <w:tcPr>
            <w:tcW w:w="1147" w:type="dxa"/>
            <w:shd w:val="clear" w:color="auto" w:fill="auto"/>
            <w:noWrap/>
            <w:vAlign w:val="bottom"/>
            <w:hideMark/>
          </w:tcPr>
          <w:p w14:paraId="25A6266B"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12,0</w:t>
            </w:r>
          </w:p>
        </w:tc>
        <w:tc>
          <w:tcPr>
            <w:tcW w:w="1147" w:type="dxa"/>
            <w:shd w:val="clear" w:color="auto" w:fill="auto"/>
            <w:noWrap/>
            <w:vAlign w:val="bottom"/>
            <w:hideMark/>
          </w:tcPr>
          <w:p w14:paraId="721CAB3D"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11,1</w:t>
            </w:r>
          </w:p>
        </w:tc>
        <w:tc>
          <w:tcPr>
            <w:tcW w:w="1147" w:type="dxa"/>
            <w:shd w:val="clear" w:color="auto" w:fill="auto"/>
            <w:noWrap/>
            <w:vAlign w:val="bottom"/>
            <w:hideMark/>
          </w:tcPr>
          <w:p w14:paraId="50E2313B"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11,2</w:t>
            </w:r>
          </w:p>
        </w:tc>
        <w:tc>
          <w:tcPr>
            <w:tcW w:w="1147" w:type="dxa"/>
            <w:shd w:val="clear" w:color="auto" w:fill="auto"/>
            <w:noWrap/>
            <w:vAlign w:val="bottom"/>
            <w:hideMark/>
          </w:tcPr>
          <w:p w14:paraId="108777D5"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11,3</w:t>
            </w:r>
          </w:p>
        </w:tc>
        <w:tc>
          <w:tcPr>
            <w:tcW w:w="1147" w:type="dxa"/>
            <w:shd w:val="clear" w:color="auto" w:fill="auto"/>
            <w:noWrap/>
            <w:vAlign w:val="bottom"/>
            <w:hideMark/>
          </w:tcPr>
          <w:p w14:paraId="380CE039"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11,7</w:t>
            </w:r>
          </w:p>
        </w:tc>
        <w:tc>
          <w:tcPr>
            <w:tcW w:w="1147" w:type="dxa"/>
            <w:shd w:val="clear" w:color="auto" w:fill="auto"/>
            <w:noWrap/>
            <w:vAlign w:val="bottom"/>
            <w:hideMark/>
          </w:tcPr>
          <w:p w14:paraId="6102CD3C"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11,7</w:t>
            </w:r>
          </w:p>
        </w:tc>
      </w:tr>
      <w:tr w:rsidR="004E2640" w:rsidRPr="007518EE" w14:paraId="7E68EB8C" w14:textId="77777777" w:rsidTr="00862368">
        <w:trPr>
          <w:trHeight w:val="240"/>
        </w:trPr>
        <w:tc>
          <w:tcPr>
            <w:tcW w:w="2756" w:type="dxa"/>
            <w:shd w:val="clear" w:color="auto" w:fill="auto"/>
            <w:noWrap/>
            <w:hideMark/>
          </w:tcPr>
          <w:p w14:paraId="6478361C" w14:textId="77777777" w:rsidR="004E2640" w:rsidRPr="00517B56" w:rsidRDefault="004E2640" w:rsidP="004E2640">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517B56">
              <w:rPr>
                <w:sz w:val="18"/>
                <w:lang w:val="es-ES_tradnl"/>
              </w:rPr>
              <w:t>Construcción y obras públicas</w:t>
            </w:r>
          </w:p>
        </w:tc>
        <w:tc>
          <w:tcPr>
            <w:tcW w:w="1147" w:type="dxa"/>
            <w:shd w:val="clear" w:color="auto" w:fill="auto"/>
            <w:noWrap/>
            <w:vAlign w:val="bottom"/>
            <w:hideMark/>
          </w:tcPr>
          <w:p w14:paraId="72C0C9DA"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9,6</w:t>
            </w:r>
          </w:p>
        </w:tc>
        <w:tc>
          <w:tcPr>
            <w:tcW w:w="1147" w:type="dxa"/>
            <w:shd w:val="clear" w:color="auto" w:fill="auto"/>
            <w:noWrap/>
            <w:vAlign w:val="bottom"/>
            <w:hideMark/>
          </w:tcPr>
          <w:p w14:paraId="690CAFCC"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9,3</w:t>
            </w:r>
          </w:p>
        </w:tc>
        <w:tc>
          <w:tcPr>
            <w:tcW w:w="1147" w:type="dxa"/>
            <w:shd w:val="clear" w:color="auto" w:fill="auto"/>
            <w:noWrap/>
            <w:vAlign w:val="bottom"/>
            <w:hideMark/>
          </w:tcPr>
          <w:p w14:paraId="26C10BD7"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9,4</w:t>
            </w:r>
          </w:p>
        </w:tc>
        <w:tc>
          <w:tcPr>
            <w:tcW w:w="1147" w:type="dxa"/>
            <w:shd w:val="clear" w:color="auto" w:fill="auto"/>
            <w:noWrap/>
            <w:vAlign w:val="bottom"/>
            <w:hideMark/>
          </w:tcPr>
          <w:p w14:paraId="56EFEBB4"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9,8</w:t>
            </w:r>
          </w:p>
        </w:tc>
        <w:tc>
          <w:tcPr>
            <w:tcW w:w="1147" w:type="dxa"/>
            <w:shd w:val="clear" w:color="auto" w:fill="auto"/>
            <w:noWrap/>
            <w:vAlign w:val="bottom"/>
            <w:hideMark/>
          </w:tcPr>
          <w:p w14:paraId="4D3245DC"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10,8</w:t>
            </w:r>
          </w:p>
        </w:tc>
        <w:tc>
          <w:tcPr>
            <w:tcW w:w="1147" w:type="dxa"/>
            <w:shd w:val="clear" w:color="auto" w:fill="auto"/>
            <w:noWrap/>
            <w:vAlign w:val="bottom"/>
            <w:hideMark/>
          </w:tcPr>
          <w:p w14:paraId="1CAEF139"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10,8</w:t>
            </w:r>
          </w:p>
        </w:tc>
      </w:tr>
      <w:tr w:rsidR="004E2640" w:rsidRPr="007518EE" w14:paraId="40A67E1B" w14:textId="77777777" w:rsidTr="00862368">
        <w:trPr>
          <w:trHeight w:val="240"/>
        </w:trPr>
        <w:tc>
          <w:tcPr>
            <w:tcW w:w="2756" w:type="dxa"/>
            <w:shd w:val="clear" w:color="auto" w:fill="auto"/>
            <w:noWrap/>
            <w:hideMark/>
          </w:tcPr>
          <w:p w14:paraId="1A2163E1" w14:textId="77777777" w:rsidR="004E2640" w:rsidRPr="00517B56" w:rsidRDefault="004E2640" w:rsidP="004E2640">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517B56">
              <w:rPr>
                <w:sz w:val="18"/>
                <w:lang w:val="es-ES_tradnl"/>
              </w:rPr>
              <w:t xml:space="preserve">Servicios </w:t>
            </w:r>
          </w:p>
        </w:tc>
        <w:tc>
          <w:tcPr>
            <w:tcW w:w="1147" w:type="dxa"/>
            <w:shd w:val="clear" w:color="auto" w:fill="auto"/>
            <w:noWrap/>
            <w:vAlign w:val="bottom"/>
            <w:hideMark/>
          </w:tcPr>
          <w:p w14:paraId="0E0178B2"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38,4</w:t>
            </w:r>
          </w:p>
        </w:tc>
        <w:tc>
          <w:tcPr>
            <w:tcW w:w="1147" w:type="dxa"/>
            <w:shd w:val="clear" w:color="auto" w:fill="auto"/>
            <w:noWrap/>
            <w:vAlign w:val="bottom"/>
            <w:hideMark/>
          </w:tcPr>
          <w:p w14:paraId="698002DA"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40,3</w:t>
            </w:r>
          </w:p>
        </w:tc>
        <w:tc>
          <w:tcPr>
            <w:tcW w:w="1147" w:type="dxa"/>
            <w:shd w:val="clear" w:color="auto" w:fill="auto"/>
            <w:noWrap/>
            <w:vAlign w:val="bottom"/>
            <w:hideMark/>
          </w:tcPr>
          <w:p w14:paraId="6EFA5C41"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40,4</w:t>
            </w:r>
          </w:p>
        </w:tc>
        <w:tc>
          <w:tcPr>
            <w:tcW w:w="1147" w:type="dxa"/>
            <w:shd w:val="clear" w:color="auto" w:fill="auto"/>
            <w:noWrap/>
            <w:vAlign w:val="bottom"/>
            <w:hideMark/>
          </w:tcPr>
          <w:p w14:paraId="15B21B82"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40,9</w:t>
            </w:r>
          </w:p>
        </w:tc>
        <w:tc>
          <w:tcPr>
            <w:tcW w:w="1147" w:type="dxa"/>
            <w:shd w:val="clear" w:color="auto" w:fill="auto"/>
            <w:noWrap/>
            <w:vAlign w:val="bottom"/>
            <w:hideMark/>
          </w:tcPr>
          <w:p w14:paraId="6CD6014C"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42,3</w:t>
            </w:r>
          </w:p>
        </w:tc>
        <w:tc>
          <w:tcPr>
            <w:tcW w:w="1147" w:type="dxa"/>
            <w:shd w:val="clear" w:color="auto" w:fill="auto"/>
            <w:noWrap/>
            <w:vAlign w:val="bottom"/>
            <w:hideMark/>
          </w:tcPr>
          <w:p w14:paraId="68FCADDA" w14:textId="77777777" w:rsidR="004E2640" w:rsidRPr="00517B56"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517B56">
              <w:rPr>
                <w:sz w:val="18"/>
                <w:lang w:val="es-ES_tradnl"/>
              </w:rPr>
              <w:t>42,5</w:t>
            </w:r>
          </w:p>
        </w:tc>
      </w:tr>
      <w:tr w:rsidR="004E2640" w:rsidRPr="007518EE" w14:paraId="1217C37A" w14:textId="77777777" w:rsidTr="00862368">
        <w:trPr>
          <w:trHeight w:val="240"/>
        </w:trPr>
        <w:tc>
          <w:tcPr>
            <w:tcW w:w="2756" w:type="dxa"/>
            <w:shd w:val="clear" w:color="auto" w:fill="auto"/>
            <w:noWrap/>
            <w:hideMark/>
          </w:tcPr>
          <w:p w14:paraId="0CCC72A0" w14:textId="4E6A0DB3" w:rsidR="004E2640" w:rsidRPr="007D4AFD" w:rsidRDefault="004E2640" w:rsidP="00862368">
            <w:pPr>
              <w:pStyle w:val="SingleTxtG"/>
              <w:keepNext/>
              <w:keepLines/>
              <w:tabs>
                <w:tab w:val="clear" w:pos="1701"/>
                <w:tab w:val="clear" w:pos="2268"/>
                <w:tab w:val="clear" w:pos="2835"/>
                <w:tab w:val="left" w:pos="404"/>
              </w:tabs>
              <w:spacing w:before="40" w:after="40" w:line="220" w:lineRule="exact"/>
              <w:ind w:left="404" w:right="0" w:hanging="404"/>
              <w:jc w:val="left"/>
              <w:rPr>
                <w:rFonts w:eastAsia="Calibri"/>
                <w:b/>
                <w:sz w:val="18"/>
                <w:lang w:val="es-ES_tradnl"/>
              </w:rPr>
            </w:pPr>
            <w:r w:rsidRPr="007D4AFD">
              <w:rPr>
                <w:rFonts w:eastAsia="Calibri"/>
                <w:b/>
                <w:sz w:val="18"/>
                <w:lang w:val="es-ES_tradnl"/>
              </w:rPr>
              <w:t>5.4</w:t>
            </w:r>
            <w:r w:rsidRPr="007D4AFD">
              <w:rPr>
                <w:rFonts w:eastAsia="Calibri"/>
                <w:b/>
                <w:sz w:val="18"/>
                <w:lang w:val="es-ES_tradnl"/>
              </w:rPr>
              <w:tab/>
              <w:t>Población activa desempleada (en miles)</w:t>
            </w:r>
          </w:p>
        </w:tc>
        <w:tc>
          <w:tcPr>
            <w:tcW w:w="1147" w:type="dxa"/>
            <w:shd w:val="clear" w:color="auto" w:fill="auto"/>
            <w:noWrap/>
            <w:vAlign w:val="bottom"/>
            <w:hideMark/>
          </w:tcPr>
          <w:p w14:paraId="1A56161B" w14:textId="77777777" w:rsidR="004E2640" w:rsidRPr="00862368" w:rsidRDefault="004E2640" w:rsidP="004E2640">
            <w:pPr>
              <w:pStyle w:val="SingleTxtG"/>
              <w:tabs>
                <w:tab w:val="clear" w:pos="1701"/>
                <w:tab w:val="clear" w:pos="2268"/>
                <w:tab w:val="clear" w:pos="2835"/>
              </w:tabs>
              <w:spacing w:before="40" w:after="40" w:line="220" w:lineRule="exact"/>
              <w:ind w:left="113" w:right="0"/>
              <w:jc w:val="right"/>
              <w:rPr>
                <w:rFonts w:eastAsia="Calibri"/>
                <w:b/>
                <w:sz w:val="18"/>
                <w:lang w:val="es-ES_tradnl"/>
              </w:rPr>
            </w:pPr>
            <w:r w:rsidRPr="00862368">
              <w:rPr>
                <w:b/>
                <w:sz w:val="18"/>
                <w:lang w:val="es-ES_tradnl"/>
              </w:rPr>
              <w:t>1 049</w:t>
            </w:r>
          </w:p>
        </w:tc>
        <w:tc>
          <w:tcPr>
            <w:tcW w:w="1147" w:type="dxa"/>
            <w:shd w:val="clear" w:color="auto" w:fill="auto"/>
            <w:noWrap/>
            <w:vAlign w:val="bottom"/>
            <w:hideMark/>
          </w:tcPr>
          <w:p w14:paraId="739AC333" w14:textId="77777777" w:rsidR="004E2640" w:rsidRPr="00862368" w:rsidRDefault="004E2640" w:rsidP="004E2640">
            <w:pPr>
              <w:pStyle w:val="SingleTxtG"/>
              <w:tabs>
                <w:tab w:val="clear" w:pos="1701"/>
                <w:tab w:val="clear" w:pos="2268"/>
                <w:tab w:val="clear" w:pos="2835"/>
              </w:tabs>
              <w:spacing w:before="40" w:after="40" w:line="220" w:lineRule="exact"/>
              <w:ind w:left="113" w:right="0"/>
              <w:jc w:val="right"/>
              <w:rPr>
                <w:rFonts w:eastAsia="Calibri"/>
                <w:b/>
                <w:sz w:val="18"/>
                <w:lang w:val="es-ES_tradnl"/>
              </w:rPr>
            </w:pPr>
            <w:r w:rsidRPr="00862368">
              <w:rPr>
                <w:b/>
                <w:sz w:val="18"/>
                <w:lang w:val="es-ES_tradnl"/>
              </w:rPr>
              <w:t>1 167</w:t>
            </w:r>
          </w:p>
        </w:tc>
        <w:tc>
          <w:tcPr>
            <w:tcW w:w="1147" w:type="dxa"/>
            <w:shd w:val="clear" w:color="auto" w:fill="auto"/>
            <w:noWrap/>
            <w:vAlign w:val="bottom"/>
            <w:hideMark/>
          </w:tcPr>
          <w:p w14:paraId="133F80FA" w14:textId="77777777" w:rsidR="004E2640" w:rsidRPr="00862368" w:rsidRDefault="004E2640" w:rsidP="004E2640">
            <w:pPr>
              <w:pStyle w:val="SingleTxtG"/>
              <w:tabs>
                <w:tab w:val="clear" w:pos="1701"/>
                <w:tab w:val="clear" w:pos="2268"/>
                <w:tab w:val="clear" w:pos="2835"/>
              </w:tabs>
              <w:spacing w:before="40" w:after="40" w:line="220" w:lineRule="exact"/>
              <w:ind w:left="113" w:right="0"/>
              <w:jc w:val="right"/>
              <w:rPr>
                <w:rFonts w:eastAsia="Calibri"/>
                <w:b/>
                <w:sz w:val="18"/>
                <w:lang w:val="es-ES_tradnl"/>
              </w:rPr>
            </w:pPr>
            <w:r w:rsidRPr="00862368">
              <w:rPr>
                <w:b/>
                <w:sz w:val="18"/>
                <w:lang w:val="es-ES_tradnl"/>
              </w:rPr>
              <w:t>1 148</w:t>
            </w:r>
          </w:p>
        </w:tc>
        <w:tc>
          <w:tcPr>
            <w:tcW w:w="1147" w:type="dxa"/>
            <w:shd w:val="clear" w:color="auto" w:fill="auto"/>
            <w:noWrap/>
            <w:vAlign w:val="bottom"/>
            <w:hideMark/>
          </w:tcPr>
          <w:p w14:paraId="0643BDA2" w14:textId="77777777" w:rsidR="004E2640" w:rsidRPr="00862368" w:rsidRDefault="004E2640" w:rsidP="004E2640">
            <w:pPr>
              <w:pStyle w:val="SingleTxtG"/>
              <w:tabs>
                <w:tab w:val="clear" w:pos="1701"/>
                <w:tab w:val="clear" w:pos="2268"/>
                <w:tab w:val="clear" w:pos="2835"/>
              </w:tabs>
              <w:spacing w:before="40" w:after="40" w:line="220" w:lineRule="exact"/>
              <w:ind w:left="113" w:right="0"/>
              <w:jc w:val="right"/>
              <w:rPr>
                <w:rFonts w:eastAsia="Calibri"/>
                <w:b/>
                <w:sz w:val="18"/>
                <w:lang w:val="es-ES_tradnl"/>
              </w:rPr>
            </w:pPr>
            <w:r w:rsidRPr="00862368">
              <w:rPr>
                <w:b/>
                <w:sz w:val="18"/>
                <w:lang w:val="es-ES_tradnl"/>
              </w:rPr>
              <w:t>1 106</w:t>
            </w:r>
          </w:p>
        </w:tc>
        <w:tc>
          <w:tcPr>
            <w:tcW w:w="1147" w:type="dxa"/>
            <w:shd w:val="clear" w:color="auto" w:fill="auto"/>
            <w:noWrap/>
            <w:vAlign w:val="bottom"/>
            <w:hideMark/>
          </w:tcPr>
          <w:p w14:paraId="6FCE95EA" w14:textId="77777777" w:rsidR="004E2640" w:rsidRPr="00862368" w:rsidRDefault="004E2640" w:rsidP="004E2640">
            <w:pPr>
              <w:pStyle w:val="SingleTxtG"/>
              <w:tabs>
                <w:tab w:val="clear" w:pos="1701"/>
                <w:tab w:val="clear" w:pos="2268"/>
                <w:tab w:val="clear" w:pos="2835"/>
              </w:tabs>
              <w:spacing w:before="40" w:after="40" w:line="220" w:lineRule="exact"/>
              <w:ind w:left="113" w:right="0"/>
              <w:jc w:val="right"/>
              <w:rPr>
                <w:rFonts w:eastAsia="Calibri"/>
                <w:b/>
                <w:sz w:val="18"/>
                <w:lang w:val="en-US"/>
              </w:rPr>
            </w:pPr>
            <w:r w:rsidRPr="00862368">
              <w:rPr>
                <w:b/>
                <w:sz w:val="18"/>
                <w:lang w:val="en-US"/>
              </w:rPr>
              <w:t>1 216</w:t>
            </w:r>
          </w:p>
        </w:tc>
        <w:tc>
          <w:tcPr>
            <w:tcW w:w="1147" w:type="dxa"/>
            <w:shd w:val="clear" w:color="auto" w:fill="auto"/>
            <w:noWrap/>
            <w:vAlign w:val="bottom"/>
            <w:hideMark/>
          </w:tcPr>
          <w:p w14:paraId="635A1656" w14:textId="77777777" w:rsidR="004E2640" w:rsidRPr="00862368" w:rsidRDefault="004E2640" w:rsidP="004E2640">
            <w:pPr>
              <w:pStyle w:val="SingleTxtG"/>
              <w:tabs>
                <w:tab w:val="clear" w:pos="1701"/>
                <w:tab w:val="clear" w:pos="2268"/>
                <w:tab w:val="clear" w:pos="2835"/>
              </w:tabs>
              <w:spacing w:before="40" w:after="40" w:line="220" w:lineRule="exact"/>
              <w:ind w:left="113" w:right="0"/>
              <w:jc w:val="right"/>
              <w:rPr>
                <w:rFonts w:eastAsia="Calibri"/>
                <w:b/>
                <w:sz w:val="18"/>
                <w:lang w:val="en-US"/>
              </w:rPr>
            </w:pPr>
            <w:r w:rsidRPr="00862368">
              <w:rPr>
                <w:b/>
                <w:sz w:val="18"/>
                <w:lang w:val="en-US"/>
              </w:rPr>
              <w:t>1 137</w:t>
            </w:r>
          </w:p>
        </w:tc>
      </w:tr>
      <w:tr w:rsidR="004E2640" w:rsidRPr="007518EE" w14:paraId="12C2ADFE" w14:textId="77777777" w:rsidTr="00862368">
        <w:trPr>
          <w:trHeight w:val="240"/>
        </w:trPr>
        <w:tc>
          <w:tcPr>
            <w:tcW w:w="2756" w:type="dxa"/>
            <w:shd w:val="clear" w:color="auto" w:fill="auto"/>
            <w:noWrap/>
            <w:hideMark/>
          </w:tcPr>
          <w:p w14:paraId="34B2D7D1" w14:textId="77777777" w:rsidR="004E2640" w:rsidRPr="007D4AFD" w:rsidRDefault="004E2640" w:rsidP="004E2640">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7D4AFD">
              <w:rPr>
                <w:sz w:val="18"/>
                <w:lang w:val="es-ES_tradnl"/>
              </w:rPr>
              <w:t xml:space="preserve">Medio urbano </w:t>
            </w:r>
          </w:p>
        </w:tc>
        <w:tc>
          <w:tcPr>
            <w:tcW w:w="1147" w:type="dxa"/>
            <w:shd w:val="clear" w:color="auto" w:fill="auto"/>
            <w:noWrap/>
            <w:vAlign w:val="bottom"/>
            <w:hideMark/>
          </w:tcPr>
          <w:p w14:paraId="4C0E451E"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835</w:t>
            </w:r>
          </w:p>
        </w:tc>
        <w:tc>
          <w:tcPr>
            <w:tcW w:w="1147" w:type="dxa"/>
            <w:shd w:val="clear" w:color="auto" w:fill="auto"/>
            <w:noWrap/>
            <w:vAlign w:val="bottom"/>
            <w:hideMark/>
          </w:tcPr>
          <w:p w14:paraId="5A7E61B8"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935</w:t>
            </w:r>
          </w:p>
        </w:tc>
        <w:tc>
          <w:tcPr>
            <w:tcW w:w="1147" w:type="dxa"/>
            <w:shd w:val="clear" w:color="auto" w:fill="auto"/>
            <w:noWrap/>
            <w:vAlign w:val="bottom"/>
            <w:hideMark/>
          </w:tcPr>
          <w:p w14:paraId="3D77B72C"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924</w:t>
            </w:r>
          </w:p>
        </w:tc>
        <w:tc>
          <w:tcPr>
            <w:tcW w:w="1147" w:type="dxa"/>
            <w:shd w:val="clear" w:color="auto" w:fill="auto"/>
            <w:noWrap/>
            <w:vAlign w:val="bottom"/>
            <w:hideMark/>
          </w:tcPr>
          <w:p w14:paraId="34BAD8F8"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879</w:t>
            </w:r>
          </w:p>
        </w:tc>
        <w:tc>
          <w:tcPr>
            <w:tcW w:w="1147" w:type="dxa"/>
            <w:shd w:val="clear" w:color="auto" w:fill="auto"/>
            <w:noWrap/>
            <w:vAlign w:val="bottom"/>
            <w:hideMark/>
          </w:tcPr>
          <w:p w14:paraId="7F226E98"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1 015</w:t>
            </w:r>
          </w:p>
        </w:tc>
        <w:tc>
          <w:tcPr>
            <w:tcW w:w="1147" w:type="dxa"/>
            <w:shd w:val="clear" w:color="auto" w:fill="auto"/>
            <w:noWrap/>
            <w:vAlign w:val="bottom"/>
            <w:hideMark/>
          </w:tcPr>
          <w:p w14:paraId="66F9A884"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961</w:t>
            </w:r>
          </w:p>
        </w:tc>
      </w:tr>
      <w:tr w:rsidR="004E2640" w:rsidRPr="007518EE" w14:paraId="6DF229B6" w14:textId="77777777" w:rsidTr="00862368">
        <w:trPr>
          <w:trHeight w:val="240"/>
        </w:trPr>
        <w:tc>
          <w:tcPr>
            <w:tcW w:w="2756" w:type="dxa"/>
            <w:shd w:val="clear" w:color="auto" w:fill="auto"/>
            <w:noWrap/>
            <w:hideMark/>
          </w:tcPr>
          <w:p w14:paraId="51999B2D" w14:textId="77777777" w:rsidR="004E2640" w:rsidRPr="007D4AFD" w:rsidRDefault="004E2640" w:rsidP="004E2640">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7D4AFD">
              <w:rPr>
                <w:sz w:val="18"/>
                <w:lang w:val="es-ES_tradnl"/>
              </w:rPr>
              <w:t>Medio rural</w:t>
            </w:r>
          </w:p>
        </w:tc>
        <w:tc>
          <w:tcPr>
            <w:tcW w:w="1147" w:type="dxa"/>
            <w:shd w:val="clear" w:color="auto" w:fill="auto"/>
            <w:noWrap/>
            <w:vAlign w:val="bottom"/>
            <w:hideMark/>
          </w:tcPr>
          <w:p w14:paraId="0CE2E624"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213</w:t>
            </w:r>
          </w:p>
        </w:tc>
        <w:tc>
          <w:tcPr>
            <w:tcW w:w="1147" w:type="dxa"/>
            <w:shd w:val="clear" w:color="auto" w:fill="auto"/>
            <w:noWrap/>
            <w:vAlign w:val="bottom"/>
            <w:hideMark/>
          </w:tcPr>
          <w:p w14:paraId="77A3AFEB"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233</w:t>
            </w:r>
          </w:p>
        </w:tc>
        <w:tc>
          <w:tcPr>
            <w:tcW w:w="1147" w:type="dxa"/>
            <w:shd w:val="clear" w:color="auto" w:fill="auto"/>
            <w:noWrap/>
            <w:vAlign w:val="bottom"/>
            <w:hideMark/>
          </w:tcPr>
          <w:p w14:paraId="5DA0B717"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224</w:t>
            </w:r>
          </w:p>
        </w:tc>
        <w:tc>
          <w:tcPr>
            <w:tcW w:w="1147" w:type="dxa"/>
            <w:shd w:val="clear" w:color="auto" w:fill="auto"/>
            <w:noWrap/>
            <w:vAlign w:val="bottom"/>
            <w:hideMark/>
          </w:tcPr>
          <w:p w14:paraId="799CDCC5"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227</w:t>
            </w:r>
          </w:p>
        </w:tc>
        <w:tc>
          <w:tcPr>
            <w:tcW w:w="1147" w:type="dxa"/>
            <w:shd w:val="clear" w:color="auto" w:fill="auto"/>
            <w:noWrap/>
            <w:vAlign w:val="bottom"/>
            <w:hideMark/>
          </w:tcPr>
          <w:p w14:paraId="11CE7598"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201</w:t>
            </w:r>
          </w:p>
        </w:tc>
        <w:tc>
          <w:tcPr>
            <w:tcW w:w="1147" w:type="dxa"/>
            <w:shd w:val="clear" w:color="auto" w:fill="auto"/>
            <w:noWrap/>
            <w:vAlign w:val="bottom"/>
            <w:hideMark/>
          </w:tcPr>
          <w:p w14:paraId="3881FDCB"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176</w:t>
            </w:r>
          </w:p>
        </w:tc>
      </w:tr>
      <w:tr w:rsidR="004E2640" w:rsidRPr="007518EE" w14:paraId="5AB34AF6" w14:textId="77777777" w:rsidTr="00862368">
        <w:trPr>
          <w:trHeight w:val="240"/>
        </w:trPr>
        <w:tc>
          <w:tcPr>
            <w:tcW w:w="2756" w:type="dxa"/>
            <w:shd w:val="clear" w:color="auto" w:fill="auto"/>
            <w:noWrap/>
            <w:hideMark/>
          </w:tcPr>
          <w:p w14:paraId="7E372A91" w14:textId="65FFCD73" w:rsidR="004E2640" w:rsidRPr="007D4AFD" w:rsidRDefault="004E2640" w:rsidP="00862368">
            <w:pPr>
              <w:pStyle w:val="SingleTxtG"/>
              <w:keepNext/>
              <w:keepLines/>
              <w:tabs>
                <w:tab w:val="clear" w:pos="1701"/>
                <w:tab w:val="clear" w:pos="2268"/>
                <w:tab w:val="clear" w:pos="2835"/>
                <w:tab w:val="left" w:pos="404"/>
              </w:tabs>
              <w:spacing w:before="40" w:after="40" w:line="220" w:lineRule="exact"/>
              <w:ind w:left="404" w:right="0" w:hanging="404"/>
              <w:jc w:val="left"/>
              <w:rPr>
                <w:rFonts w:eastAsia="Calibri"/>
                <w:b/>
                <w:sz w:val="18"/>
                <w:lang w:val="es-ES_tradnl"/>
              </w:rPr>
            </w:pPr>
            <w:r w:rsidRPr="007D4AFD">
              <w:rPr>
                <w:rFonts w:eastAsia="Calibri"/>
                <w:b/>
                <w:sz w:val="18"/>
                <w:lang w:val="es-ES_tradnl"/>
              </w:rPr>
              <w:lastRenderedPageBreak/>
              <w:t>5.5</w:t>
            </w:r>
            <w:r w:rsidRPr="007D4AFD">
              <w:rPr>
                <w:rFonts w:eastAsia="Calibri"/>
                <w:b/>
                <w:sz w:val="18"/>
                <w:lang w:val="es-ES_tradnl"/>
              </w:rPr>
              <w:tab/>
              <w:t>Porcentaje de mujeres entre la población activa desempleada</w:t>
            </w:r>
          </w:p>
        </w:tc>
        <w:tc>
          <w:tcPr>
            <w:tcW w:w="1147" w:type="dxa"/>
            <w:shd w:val="clear" w:color="auto" w:fill="auto"/>
            <w:noWrap/>
            <w:vAlign w:val="bottom"/>
            <w:hideMark/>
          </w:tcPr>
          <w:p w14:paraId="2568FBD5" w14:textId="77777777" w:rsidR="004E2640" w:rsidRPr="00862368" w:rsidRDefault="004E2640" w:rsidP="004E2640">
            <w:pPr>
              <w:pStyle w:val="SingleTxtG"/>
              <w:tabs>
                <w:tab w:val="clear" w:pos="1701"/>
                <w:tab w:val="clear" w:pos="2268"/>
                <w:tab w:val="clear" w:pos="2835"/>
              </w:tabs>
              <w:spacing w:before="40" w:after="40" w:line="220" w:lineRule="exact"/>
              <w:ind w:left="113" w:right="0"/>
              <w:jc w:val="right"/>
              <w:rPr>
                <w:rFonts w:eastAsia="Calibri"/>
                <w:b/>
                <w:sz w:val="18"/>
                <w:lang w:val="es-ES_tradnl"/>
              </w:rPr>
            </w:pPr>
            <w:r w:rsidRPr="00862368">
              <w:rPr>
                <w:b/>
                <w:sz w:val="18"/>
                <w:lang w:val="es-ES_tradnl"/>
              </w:rPr>
              <w:t>28,5</w:t>
            </w:r>
          </w:p>
        </w:tc>
        <w:tc>
          <w:tcPr>
            <w:tcW w:w="1147" w:type="dxa"/>
            <w:shd w:val="clear" w:color="auto" w:fill="auto"/>
            <w:noWrap/>
            <w:vAlign w:val="bottom"/>
            <w:hideMark/>
          </w:tcPr>
          <w:p w14:paraId="4791D74C" w14:textId="77777777" w:rsidR="004E2640" w:rsidRPr="00862368" w:rsidRDefault="004E2640" w:rsidP="004E2640">
            <w:pPr>
              <w:pStyle w:val="SingleTxtG"/>
              <w:tabs>
                <w:tab w:val="clear" w:pos="1701"/>
                <w:tab w:val="clear" w:pos="2268"/>
                <w:tab w:val="clear" w:pos="2835"/>
              </w:tabs>
              <w:spacing w:before="40" w:after="40" w:line="220" w:lineRule="exact"/>
              <w:ind w:left="113" w:right="0"/>
              <w:jc w:val="right"/>
              <w:rPr>
                <w:rFonts w:eastAsia="Calibri"/>
                <w:b/>
                <w:sz w:val="18"/>
                <w:lang w:val="es-ES_tradnl"/>
              </w:rPr>
            </w:pPr>
            <w:r w:rsidRPr="00862368">
              <w:rPr>
                <w:b/>
                <w:sz w:val="18"/>
                <w:lang w:val="es-ES_tradnl"/>
              </w:rPr>
              <w:t>28,6</w:t>
            </w:r>
          </w:p>
        </w:tc>
        <w:tc>
          <w:tcPr>
            <w:tcW w:w="1147" w:type="dxa"/>
            <w:shd w:val="clear" w:color="auto" w:fill="auto"/>
            <w:noWrap/>
            <w:vAlign w:val="bottom"/>
            <w:hideMark/>
          </w:tcPr>
          <w:p w14:paraId="40FD4BF0" w14:textId="77777777" w:rsidR="004E2640" w:rsidRPr="00862368" w:rsidRDefault="004E2640" w:rsidP="004E2640">
            <w:pPr>
              <w:pStyle w:val="SingleTxtG"/>
              <w:tabs>
                <w:tab w:val="clear" w:pos="1701"/>
                <w:tab w:val="clear" w:pos="2268"/>
                <w:tab w:val="clear" w:pos="2835"/>
              </w:tabs>
              <w:spacing w:before="40" w:after="40" w:line="220" w:lineRule="exact"/>
              <w:ind w:left="113" w:right="0"/>
              <w:jc w:val="right"/>
              <w:rPr>
                <w:rFonts w:eastAsia="Calibri"/>
                <w:b/>
                <w:sz w:val="18"/>
                <w:lang w:val="es-ES_tradnl"/>
              </w:rPr>
            </w:pPr>
            <w:r w:rsidRPr="00862368">
              <w:rPr>
                <w:b/>
                <w:sz w:val="18"/>
                <w:lang w:val="es-ES_tradnl"/>
              </w:rPr>
              <w:t>29,2</w:t>
            </w:r>
          </w:p>
        </w:tc>
        <w:tc>
          <w:tcPr>
            <w:tcW w:w="1147" w:type="dxa"/>
            <w:shd w:val="clear" w:color="auto" w:fill="auto"/>
            <w:noWrap/>
            <w:vAlign w:val="bottom"/>
            <w:hideMark/>
          </w:tcPr>
          <w:p w14:paraId="5056FB0C" w14:textId="77777777" w:rsidR="004E2640" w:rsidRPr="00862368" w:rsidRDefault="004E2640" w:rsidP="004E2640">
            <w:pPr>
              <w:pStyle w:val="SingleTxtG"/>
              <w:tabs>
                <w:tab w:val="clear" w:pos="1701"/>
                <w:tab w:val="clear" w:pos="2268"/>
                <w:tab w:val="clear" w:pos="2835"/>
              </w:tabs>
              <w:spacing w:before="40" w:after="40" w:line="220" w:lineRule="exact"/>
              <w:ind w:left="113" w:right="0"/>
              <w:jc w:val="right"/>
              <w:rPr>
                <w:rFonts w:eastAsia="Calibri"/>
                <w:b/>
                <w:sz w:val="18"/>
                <w:lang w:val="es-ES_tradnl"/>
              </w:rPr>
            </w:pPr>
            <w:r w:rsidRPr="00862368">
              <w:rPr>
                <w:b/>
                <w:sz w:val="18"/>
                <w:lang w:val="es-ES_tradnl"/>
              </w:rPr>
              <w:t>30,6</w:t>
            </w:r>
          </w:p>
        </w:tc>
        <w:tc>
          <w:tcPr>
            <w:tcW w:w="1147" w:type="dxa"/>
            <w:shd w:val="clear" w:color="auto" w:fill="auto"/>
            <w:noWrap/>
            <w:vAlign w:val="bottom"/>
            <w:hideMark/>
          </w:tcPr>
          <w:p w14:paraId="33E9D26D" w14:textId="77777777" w:rsidR="004E2640" w:rsidRPr="00862368" w:rsidRDefault="004E2640" w:rsidP="004E2640">
            <w:pPr>
              <w:pStyle w:val="SingleTxtG"/>
              <w:tabs>
                <w:tab w:val="clear" w:pos="1701"/>
                <w:tab w:val="clear" w:pos="2268"/>
                <w:tab w:val="clear" w:pos="2835"/>
              </w:tabs>
              <w:spacing w:before="40" w:after="40" w:line="220" w:lineRule="exact"/>
              <w:ind w:left="113" w:right="0"/>
              <w:jc w:val="right"/>
              <w:rPr>
                <w:rFonts w:eastAsia="Calibri"/>
                <w:b/>
                <w:sz w:val="18"/>
                <w:lang w:val="en-US"/>
              </w:rPr>
            </w:pPr>
            <w:r w:rsidRPr="00862368">
              <w:rPr>
                <w:b/>
                <w:sz w:val="18"/>
                <w:lang w:val="en-US"/>
              </w:rPr>
              <w:t>35,1</w:t>
            </w:r>
          </w:p>
        </w:tc>
        <w:tc>
          <w:tcPr>
            <w:tcW w:w="1147" w:type="dxa"/>
            <w:shd w:val="clear" w:color="auto" w:fill="auto"/>
            <w:noWrap/>
            <w:vAlign w:val="bottom"/>
            <w:hideMark/>
          </w:tcPr>
          <w:p w14:paraId="2C3A7BFC" w14:textId="77777777" w:rsidR="004E2640" w:rsidRPr="00862368" w:rsidRDefault="004E2640" w:rsidP="004E2640">
            <w:pPr>
              <w:pStyle w:val="SingleTxtG"/>
              <w:tabs>
                <w:tab w:val="clear" w:pos="1701"/>
                <w:tab w:val="clear" w:pos="2268"/>
                <w:tab w:val="clear" w:pos="2835"/>
              </w:tabs>
              <w:spacing w:before="40" w:after="40" w:line="220" w:lineRule="exact"/>
              <w:ind w:left="113" w:right="0"/>
              <w:jc w:val="right"/>
              <w:rPr>
                <w:rFonts w:eastAsia="Calibri"/>
                <w:b/>
                <w:sz w:val="18"/>
                <w:lang w:val="en-US"/>
              </w:rPr>
            </w:pPr>
            <w:r w:rsidRPr="00862368">
              <w:rPr>
                <w:b/>
                <w:sz w:val="18"/>
                <w:lang w:val="en-US"/>
              </w:rPr>
              <w:t>35,1</w:t>
            </w:r>
          </w:p>
        </w:tc>
      </w:tr>
      <w:tr w:rsidR="004E2640" w:rsidRPr="007518EE" w14:paraId="7DC74886" w14:textId="77777777" w:rsidTr="00862368">
        <w:trPr>
          <w:trHeight w:val="240"/>
        </w:trPr>
        <w:tc>
          <w:tcPr>
            <w:tcW w:w="2756" w:type="dxa"/>
            <w:shd w:val="clear" w:color="auto" w:fill="auto"/>
            <w:noWrap/>
            <w:hideMark/>
          </w:tcPr>
          <w:p w14:paraId="2B4FA618" w14:textId="77777777" w:rsidR="004E2640" w:rsidRPr="007D4AFD" w:rsidRDefault="004E2640" w:rsidP="004E2640">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7D4AFD">
              <w:rPr>
                <w:sz w:val="18"/>
                <w:lang w:val="es-ES_tradnl"/>
              </w:rPr>
              <w:t xml:space="preserve">Medio urbano </w:t>
            </w:r>
          </w:p>
        </w:tc>
        <w:tc>
          <w:tcPr>
            <w:tcW w:w="1147" w:type="dxa"/>
            <w:shd w:val="clear" w:color="auto" w:fill="auto"/>
            <w:noWrap/>
            <w:vAlign w:val="bottom"/>
            <w:hideMark/>
          </w:tcPr>
          <w:p w14:paraId="29A3C1AF"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31,8</w:t>
            </w:r>
          </w:p>
        </w:tc>
        <w:tc>
          <w:tcPr>
            <w:tcW w:w="1147" w:type="dxa"/>
            <w:shd w:val="clear" w:color="auto" w:fill="auto"/>
            <w:noWrap/>
            <w:vAlign w:val="bottom"/>
            <w:hideMark/>
          </w:tcPr>
          <w:p w14:paraId="0A4A1DAF"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32,3</w:t>
            </w:r>
          </w:p>
        </w:tc>
        <w:tc>
          <w:tcPr>
            <w:tcW w:w="1147" w:type="dxa"/>
            <w:shd w:val="clear" w:color="auto" w:fill="auto"/>
            <w:noWrap/>
            <w:vAlign w:val="bottom"/>
            <w:hideMark/>
          </w:tcPr>
          <w:p w14:paraId="58618483"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32,3</w:t>
            </w:r>
          </w:p>
        </w:tc>
        <w:tc>
          <w:tcPr>
            <w:tcW w:w="1147" w:type="dxa"/>
            <w:shd w:val="clear" w:color="auto" w:fill="auto"/>
            <w:noWrap/>
            <w:vAlign w:val="bottom"/>
            <w:hideMark/>
          </w:tcPr>
          <w:p w14:paraId="30256970"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32,3</w:t>
            </w:r>
          </w:p>
        </w:tc>
        <w:tc>
          <w:tcPr>
            <w:tcW w:w="1147" w:type="dxa"/>
            <w:shd w:val="clear" w:color="auto" w:fill="auto"/>
            <w:noWrap/>
            <w:vAlign w:val="bottom"/>
            <w:hideMark/>
          </w:tcPr>
          <w:p w14:paraId="264AAAFB"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32,3</w:t>
            </w:r>
          </w:p>
        </w:tc>
        <w:tc>
          <w:tcPr>
            <w:tcW w:w="1147" w:type="dxa"/>
            <w:shd w:val="clear" w:color="auto" w:fill="auto"/>
            <w:noWrap/>
            <w:vAlign w:val="bottom"/>
            <w:hideMark/>
          </w:tcPr>
          <w:p w14:paraId="198E28FE"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32,3</w:t>
            </w:r>
          </w:p>
        </w:tc>
      </w:tr>
      <w:tr w:rsidR="004E2640" w:rsidRPr="007518EE" w14:paraId="36C73DC3" w14:textId="77777777" w:rsidTr="00862368">
        <w:trPr>
          <w:trHeight w:val="240"/>
        </w:trPr>
        <w:tc>
          <w:tcPr>
            <w:tcW w:w="2756" w:type="dxa"/>
            <w:shd w:val="clear" w:color="auto" w:fill="auto"/>
            <w:noWrap/>
            <w:hideMark/>
          </w:tcPr>
          <w:p w14:paraId="61363BFB" w14:textId="77777777" w:rsidR="004E2640" w:rsidRPr="007D4AFD" w:rsidRDefault="004E2640" w:rsidP="004E2640">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7D4AFD">
              <w:rPr>
                <w:sz w:val="18"/>
                <w:lang w:val="es-ES_tradnl"/>
              </w:rPr>
              <w:t>Medio rural</w:t>
            </w:r>
          </w:p>
        </w:tc>
        <w:tc>
          <w:tcPr>
            <w:tcW w:w="1147" w:type="dxa"/>
            <w:shd w:val="clear" w:color="auto" w:fill="auto"/>
            <w:noWrap/>
            <w:vAlign w:val="bottom"/>
            <w:hideMark/>
          </w:tcPr>
          <w:p w14:paraId="78A7FD66"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15,4</w:t>
            </w:r>
          </w:p>
        </w:tc>
        <w:tc>
          <w:tcPr>
            <w:tcW w:w="1147" w:type="dxa"/>
            <w:shd w:val="clear" w:color="auto" w:fill="auto"/>
            <w:noWrap/>
            <w:vAlign w:val="bottom"/>
            <w:hideMark/>
          </w:tcPr>
          <w:p w14:paraId="5FB11D80"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14,0</w:t>
            </w:r>
          </w:p>
        </w:tc>
        <w:tc>
          <w:tcPr>
            <w:tcW w:w="1147" w:type="dxa"/>
            <w:shd w:val="clear" w:color="auto" w:fill="auto"/>
            <w:noWrap/>
            <w:vAlign w:val="bottom"/>
            <w:hideMark/>
          </w:tcPr>
          <w:p w14:paraId="28C5A3A0"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16,8</w:t>
            </w:r>
          </w:p>
        </w:tc>
        <w:tc>
          <w:tcPr>
            <w:tcW w:w="1147" w:type="dxa"/>
            <w:shd w:val="clear" w:color="auto" w:fill="auto"/>
            <w:noWrap/>
            <w:vAlign w:val="bottom"/>
            <w:hideMark/>
          </w:tcPr>
          <w:p w14:paraId="4122E8B9"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18,5</w:t>
            </w:r>
          </w:p>
        </w:tc>
        <w:tc>
          <w:tcPr>
            <w:tcW w:w="1147" w:type="dxa"/>
            <w:shd w:val="clear" w:color="auto" w:fill="auto"/>
            <w:noWrap/>
            <w:vAlign w:val="bottom"/>
            <w:hideMark/>
          </w:tcPr>
          <w:p w14:paraId="7346D280"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20,9</w:t>
            </w:r>
          </w:p>
        </w:tc>
        <w:tc>
          <w:tcPr>
            <w:tcW w:w="1147" w:type="dxa"/>
            <w:shd w:val="clear" w:color="auto" w:fill="auto"/>
            <w:noWrap/>
            <w:vAlign w:val="bottom"/>
            <w:hideMark/>
          </w:tcPr>
          <w:p w14:paraId="7F067BC5"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19,0</w:t>
            </w:r>
          </w:p>
        </w:tc>
      </w:tr>
      <w:tr w:rsidR="004E2640" w:rsidRPr="007518EE" w14:paraId="5331EF4D" w14:textId="77777777" w:rsidTr="00862368">
        <w:trPr>
          <w:trHeight w:val="240"/>
        </w:trPr>
        <w:tc>
          <w:tcPr>
            <w:tcW w:w="2756" w:type="dxa"/>
            <w:shd w:val="clear" w:color="auto" w:fill="auto"/>
            <w:noWrap/>
            <w:hideMark/>
          </w:tcPr>
          <w:p w14:paraId="67CC8CEC" w14:textId="4EAA2EC4" w:rsidR="004E2640" w:rsidRPr="00CA190D" w:rsidRDefault="004E2640" w:rsidP="00862368">
            <w:pPr>
              <w:pStyle w:val="SingleTxtG"/>
              <w:keepNext/>
              <w:keepLines/>
              <w:tabs>
                <w:tab w:val="clear" w:pos="1701"/>
                <w:tab w:val="clear" w:pos="2268"/>
                <w:tab w:val="clear" w:pos="2835"/>
                <w:tab w:val="left" w:pos="404"/>
              </w:tabs>
              <w:spacing w:before="40" w:after="40" w:line="220" w:lineRule="exact"/>
              <w:ind w:left="404" w:right="0" w:hanging="404"/>
              <w:jc w:val="left"/>
              <w:rPr>
                <w:rFonts w:eastAsia="Calibri"/>
                <w:b/>
                <w:sz w:val="18"/>
                <w:lang w:val="es-ES_tradnl"/>
              </w:rPr>
            </w:pPr>
            <w:r w:rsidRPr="007D4AFD">
              <w:rPr>
                <w:rFonts w:eastAsia="Calibri"/>
                <w:b/>
                <w:sz w:val="18"/>
                <w:lang w:val="es-ES_tradnl"/>
              </w:rPr>
              <w:t>5.6</w:t>
            </w:r>
            <w:r w:rsidRPr="007D4AFD">
              <w:rPr>
                <w:rFonts w:eastAsia="Calibri"/>
                <w:b/>
                <w:sz w:val="18"/>
                <w:lang w:val="es-ES_tradnl"/>
              </w:rPr>
              <w:tab/>
              <w:t>Tasa de desempleo por sexo</w:t>
            </w:r>
            <w:r w:rsidRPr="00CA190D">
              <w:rPr>
                <w:rFonts w:eastAsia="Calibri"/>
                <w:b/>
                <w:sz w:val="18"/>
                <w:lang w:val="es-ES_tradnl"/>
              </w:rPr>
              <w:t xml:space="preserve"> </w:t>
            </w:r>
          </w:p>
        </w:tc>
        <w:tc>
          <w:tcPr>
            <w:tcW w:w="1147" w:type="dxa"/>
            <w:shd w:val="clear" w:color="auto" w:fill="auto"/>
          </w:tcPr>
          <w:p w14:paraId="2D472735" w14:textId="77777777" w:rsidR="004E2640" w:rsidRPr="007D4AFD" w:rsidRDefault="004E2640" w:rsidP="004E2640">
            <w:pPr>
              <w:pStyle w:val="SingleTxtG"/>
              <w:tabs>
                <w:tab w:val="clear" w:pos="1701"/>
                <w:tab w:val="clear" w:pos="2268"/>
                <w:tab w:val="clear" w:pos="2835"/>
                <w:tab w:val="left" w:pos="567"/>
              </w:tabs>
              <w:spacing w:before="40" w:after="40" w:line="220" w:lineRule="exact"/>
              <w:ind w:left="0" w:right="0"/>
              <w:jc w:val="left"/>
              <w:rPr>
                <w:rFonts w:eastAsia="Calibri"/>
                <w:sz w:val="18"/>
                <w:lang w:val="es-ES_tradnl"/>
              </w:rPr>
            </w:pPr>
          </w:p>
        </w:tc>
        <w:tc>
          <w:tcPr>
            <w:tcW w:w="1147" w:type="dxa"/>
            <w:shd w:val="clear" w:color="auto" w:fill="auto"/>
          </w:tcPr>
          <w:p w14:paraId="1DB7DE31" w14:textId="77777777" w:rsidR="004E2640" w:rsidRPr="007D4AFD" w:rsidRDefault="004E2640" w:rsidP="004E2640">
            <w:pPr>
              <w:pStyle w:val="SingleTxtG"/>
              <w:tabs>
                <w:tab w:val="clear" w:pos="1701"/>
                <w:tab w:val="clear" w:pos="2268"/>
                <w:tab w:val="clear" w:pos="2835"/>
                <w:tab w:val="left" w:pos="567"/>
              </w:tabs>
              <w:spacing w:before="40" w:after="40" w:line="220" w:lineRule="exact"/>
              <w:ind w:left="0" w:right="0"/>
              <w:jc w:val="left"/>
              <w:rPr>
                <w:rFonts w:eastAsia="Calibri"/>
                <w:sz w:val="18"/>
                <w:lang w:val="es-ES_tradnl"/>
              </w:rPr>
            </w:pPr>
          </w:p>
        </w:tc>
        <w:tc>
          <w:tcPr>
            <w:tcW w:w="1147" w:type="dxa"/>
            <w:shd w:val="clear" w:color="auto" w:fill="auto"/>
          </w:tcPr>
          <w:p w14:paraId="31D3D1A6" w14:textId="77777777" w:rsidR="004E2640" w:rsidRPr="007D4AFD" w:rsidRDefault="004E2640" w:rsidP="004E2640">
            <w:pPr>
              <w:pStyle w:val="SingleTxtG"/>
              <w:tabs>
                <w:tab w:val="clear" w:pos="1701"/>
                <w:tab w:val="clear" w:pos="2268"/>
                <w:tab w:val="clear" w:pos="2835"/>
                <w:tab w:val="left" w:pos="567"/>
              </w:tabs>
              <w:spacing w:before="40" w:after="40" w:line="220" w:lineRule="exact"/>
              <w:ind w:left="0" w:right="0"/>
              <w:jc w:val="left"/>
              <w:rPr>
                <w:rFonts w:eastAsia="Calibri"/>
                <w:sz w:val="18"/>
                <w:lang w:val="es-ES_tradnl"/>
              </w:rPr>
            </w:pPr>
          </w:p>
        </w:tc>
        <w:tc>
          <w:tcPr>
            <w:tcW w:w="1147" w:type="dxa"/>
            <w:shd w:val="clear" w:color="auto" w:fill="auto"/>
          </w:tcPr>
          <w:p w14:paraId="261E8A99" w14:textId="77777777" w:rsidR="004E2640" w:rsidRPr="007D4AFD" w:rsidRDefault="004E2640" w:rsidP="004E2640">
            <w:pPr>
              <w:pStyle w:val="SingleTxtG"/>
              <w:tabs>
                <w:tab w:val="clear" w:pos="1701"/>
                <w:tab w:val="clear" w:pos="2268"/>
                <w:tab w:val="clear" w:pos="2835"/>
                <w:tab w:val="left" w:pos="567"/>
              </w:tabs>
              <w:spacing w:before="40" w:after="40" w:line="220" w:lineRule="exact"/>
              <w:ind w:left="0" w:right="0"/>
              <w:jc w:val="left"/>
              <w:rPr>
                <w:rFonts w:eastAsia="Calibri"/>
                <w:sz w:val="18"/>
                <w:lang w:val="es-ES_tradnl"/>
              </w:rPr>
            </w:pPr>
          </w:p>
        </w:tc>
        <w:tc>
          <w:tcPr>
            <w:tcW w:w="1147" w:type="dxa"/>
            <w:shd w:val="clear" w:color="auto" w:fill="auto"/>
          </w:tcPr>
          <w:p w14:paraId="7CB7D962" w14:textId="77777777" w:rsidR="004E2640" w:rsidRPr="007518EE" w:rsidRDefault="004E2640" w:rsidP="004E2640">
            <w:pPr>
              <w:pStyle w:val="SingleTxtG"/>
              <w:tabs>
                <w:tab w:val="clear" w:pos="1701"/>
                <w:tab w:val="clear" w:pos="2268"/>
                <w:tab w:val="clear" w:pos="2835"/>
                <w:tab w:val="left" w:pos="567"/>
              </w:tabs>
              <w:spacing w:before="40" w:after="40" w:line="220" w:lineRule="exact"/>
              <w:ind w:left="0" w:right="0"/>
              <w:jc w:val="left"/>
              <w:rPr>
                <w:rFonts w:eastAsia="Calibri"/>
                <w:sz w:val="18"/>
              </w:rPr>
            </w:pPr>
          </w:p>
        </w:tc>
        <w:tc>
          <w:tcPr>
            <w:tcW w:w="1147" w:type="dxa"/>
            <w:shd w:val="clear" w:color="auto" w:fill="auto"/>
          </w:tcPr>
          <w:p w14:paraId="14992BCC" w14:textId="2DA48345" w:rsidR="004E2640" w:rsidRPr="007518EE" w:rsidRDefault="004E2640" w:rsidP="004E2640">
            <w:pPr>
              <w:pStyle w:val="SingleTxtG"/>
              <w:tabs>
                <w:tab w:val="clear" w:pos="1701"/>
                <w:tab w:val="clear" w:pos="2268"/>
                <w:tab w:val="clear" w:pos="2835"/>
                <w:tab w:val="left" w:pos="567"/>
              </w:tabs>
              <w:spacing w:before="40" w:after="40" w:line="220" w:lineRule="exact"/>
              <w:ind w:left="0" w:right="0"/>
              <w:jc w:val="left"/>
              <w:rPr>
                <w:rFonts w:eastAsia="Calibri"/>
                <w:sz w:val="18"/>
              </w:rPr>
            </w:pPr>
          </w:p>
        </w:tc>
      </w:tr>
      <w:tr w:rsidR="004E2640" w:rsidRPr="007518EE" w14:paraId="175473DA" w14:textId="77777777" w:rsidTr="00862368">
        <w:trPr>
          <w:trHeight w:val="240"/>
        </w:trPr>
        <w:tc>
          <w:tcPr>
            <w:tcW w:w="2756" w:type="dxa"/>
            <w:shd w:val="clear" w:color="auto" w:fill="auto"/>
            <w:noWrap/>
            <w:hideMark/>
          </w:tcPr>
          <w:p w14:paraId="3DB62DAC" w14:textId="77777777" w:rsidR="004E2640" w:rsidRPr="004D7088" w:rsidRDefault="004E2640" w:rsidP="004E2640">
            <w:pPr>
              <w:pStyle w:val="SingleTxtG"/>
              <w:tabs>
                <w:tab w:val="clear" w:pos="1701"/>
                <w:tab w:val="clear" w:pos="2268"/>
                <w:tab w:val="clear" w:pos="2835"/>
              </w:tabs>
              <w:spacing w:before="40" w:after="40" w:line="220" w:lineRule="exact"/>
              <w:ind w:left="0" w:right="0"/>
              <w:jc w:val="left"/>
              <w:rPr>
                <w:rFonts w:eastAsia="Calibri"/>
                <w:bCs/>
                <w:sz w:val="18"/>
                <w:lang w:val="es-ES_tradnl"/>
              </w:rPr>
            </w:pPr>
            <w:r w:rsidRPr="004D7088">
              <w:rPr>
                <w:bCs/>
                <w:sz w:val="18"/>
                <w:lang w:val="es-ES_tradnl"/>
              </w:rPr>
              <w:t>Promedio nacional</w:t>
            </w:r>
          </w:p>
        </w:tc>
        <w:tc>
          <w:tcPr>
            <w:tcW w:w="1147" w:type="dxa"/>
            <w:shd w:val="clear" w:color="auto" w:fill="auto"/>
            <w:noWrap/>
            <w:vAlign w:val="bottom"/>
            <w:hideMark/>
          </w:tcPr>
          <w:p w14:paraId="1102EB04"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9,2</w:t>
            </w:r>
          </w:p>
        </w:tc>
        <w:tc>
          <w:tcPr>
            <w:tcW w:w="1147" w:type="dxa"/>
            <w:shd w:val="clear" w:color="auto" w:fill="auto"/>
            <w:noWrap/>
            <w:vAlign w:val="bottom"/>
            <w:hideMark/>
          </w:tcPr>
          <w:p w14:paraId="37FEAF87"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9,9</w:t>
            </w:r>
          </w:p>
        </w:tc>
        <w:tc>
          <w:tcPr>
            <w:tcW w:w="1147" w:type="dxa"/>
            <w:shd w:val="clear" w:color="auto" w:fill="auto"/>
            <w:noWrap/>
            <w:vAlign w:val="bottom"/>
            <w:hideMark/>
          </w:tcPr>
          <w:p w14:paraId="40A094ED"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9,7</w:t>
            </w:r>
          </w:p>
        </w:tc>
        <w:tc>
          <w:tcPr>
            <w:tcW w:w="1147" w:type="dxa"/>
            <w:shd w:val="clear" w:color="auto" w:fill="auto"/>
            <w:noWrap/>
            <w:vAlign w:val="bottom"/>
            <w:hideMark/>
          </w:tcPr>
          <w:p w14:paraId="6B7E1B7E"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9,4</w:t>
            </w:r>
          </w:p>
        </w:tc>
        <w:tc>
          <w:tcPr>
            <w:tcW w:w="1147" w:type="dxa"/>
            <w:shd w:val="clear" w:color="auto" w:fill="auto"/>
            <w:noWrap/>
            <w:vAlign w:val="bottom"/>
            <w:hideMark/>
          </w:tcPr>
          <w:p w14:paraId="5FF190FB"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n-US"/>
              </w:rPr>
            </w:pPr>
            <w:r w:rsidRPr="004D7088">
              <w:rPr>
                <w:bCs/>
                <w:sz w:val="18"/>
                <w:lang w:val="en-US"/>
              </w:rPr>
              <w:t>10,2</w:t>
            </w:r>
          </w:p>
        </w:tc>
        <w:tc>
          <w:tcPr>
            <w:tcW w:w="1147" w:type="dxa"/>
            <w:shd w:val="clear" w:color="auto" w:fill="auto"/>
            <w:noWrap/>
            <w:vAlign w:val="bottom"/>
            <w:hideMark/>
          </w:tcPr>
          <w:p w14:paraId="5153CFB7"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n-US"/>
              </w:rPr>
            </w:pPr>
            <w:r w:rsidRPr="004D7088">
              <w:rPr>
                <w:bCs/>
                <w:sz w:val="18"/>
                <w:lang w:val="en-US"/>
              </w:rPr>
              <w:t>9,5</w:t>
            </w:r>
          </w:p>
        </w:tc>
      </w:tr>
      <w:tr w:rsidR="004E2640" w:rsidRPr="007518EE" w14:paraId="098CB9C2" w14:textId="77777777" w:rsidTr="00862368">
        <w:trPr>
          <w:trHeight w:val="240"/>
        </w:trPr>
        <w:tc>
          <w:tcPr>
            <w:tcW w:w="2756" w:type="dxa"/>
            <w:shd w:val="clear" w:color="auto" w:fill="auto"/>
            <w:noWrap/>
            <w:hideMark/>
          </w:tcPr>
          <w:p w14:paraId="1DED39E7" w14:textId="77777777" w:rsidR="004E2640" w:rsidRPr="004D7088" w:rsidRDefault="004E2640" w:rsidP="00F81780">
            <w:pPr>
              <w:pStyle w:val="SingleTxtG"/>
              <w:tabs>
                <w:tab w:val="clear" w:pos="1701"/>
                <w:tab w:val="clear" w:pos="2268"/>
                <w:tab w:val="clear" w:pos="2835"/>
              </w:tabs>
              <w:spacing w:before="40" w:after="40" w:line="220" w:lineRule="exact"/>
              <w:ind w:left="0" w:right="0" w:firstLine="170"/>
              <w:jc w:val="left"/>
              <w:rPr>
                <w:rFonts w:eastAsia="Calibri"/>
                <w:bCs/>
                <w:sz w:val="18"/>
                <w:lang w:val="es-ES_tradnl"/>
              </w:rPr>
            </w:pPr>
            <w:r w:rsidRPr="004D7088">
              <w:rPr>
                <w:bCs/>
                <w:sz w:val="18"/>
                <w:lang w:val="es-ES_tradnl"/>
              </w:rPr>
              <w:t>Hombres</w:t>
            </w:r>
          </w:p>
        </w:tc>
        <w:tc>
          <w:tcPr>
            <w:tcW w:w="1147" w:type="dxa"/>
            <w:shd w:val="clear" w:color="auto" w:fill="auto"/>
            <w:noWrap/>
            <w:vAlign w:val="bottom"/>
            <w:hideMark/>
          </w:tcPr>
          <w:p w14:paraId="30D3263D"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8,9</w:t>
            </w:r>
          </w:p>
        </w:tc>
        <w:tc>
          <w:tcPr>
            <w:tcW w:w="1147" w:type="dxa"/>
            <w:shd w:val="clear" w:color="auto" w:fill="auto"/>
            <w:noWrap/>
            <w:vAlign w:val="bottom"/>
            <w:hideMark/>
          </w:tcPr>
          <w:p w14:paraId="2F6ECB67"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9,7</w:t>
            </w:r>
          </w:p>
        </w:tc>
        <w:tc>
          <w:tcPr>
            <w:tcW w:w="1147" w:type="dxa"/>
            <w:shd w:val="clear" w:color="auto" w:fill="auto"/>
            <w:noWrap/>
            <w:vAlign w:val="bottom"/>
            <w:hideMark/>
          </w:tcPr>
          <w:p w14:paraId="487DEEB5"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9,4</w:t>
            </w:r>
          </w:p>
        </w:tc>
        <w:tc>
          <w:tcPr>
            <w:tcW w:w="1147" w:type="dxa"/>
            <w:shd w:val="clear" w:color="auto" w:fill="auto"/>
            <w:noWrap/>
            <w:vAlign w:val="bottom"/>
            <w:hideMark/>
          </w:tcPr>
          <w:p w14:paraId="223B69C0"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8,9</w:t>
            </w:r>
          </w:p>
        </w:tc>
        <w:tc>
          <w:tcPr>
            <w:tcW w:w="1147" w:type="dxa"/>
            <w:shd w:val="clear" w:color="auto" w:fill="auto"/>
            <w:noWrap/>
            <w:vAlign w:val="bottom"/>
            <w:hideMark/>
          </w:tcPr>
          <w:p w14:paraId="5C54B5FA"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n-US"/>
              </w:rPr>
            </w:pPr>
            <w:r w:rsidRPr="004D7088">
              <w:rPr>
                <w:bCs/>
                <w:sz w:val="18"/>
                <w:lang w:val="en-US"/>
              </w:rPr>
              <w:t>8,8</w:t>
            </w:r>
          </w:p>
        </w:tc>
        <w:tc>
          <w:tcPr>
            <w:tcW w:w="1147" w:type="dxa"/>
            <w:shd w:val="clear" w:color="auto" w:fill="auto"/>
            <w:noWrap/>
            <w:vAlign w:val="bottom"/>
            <w:hideMark/>
          </w:tcPr>
          <w:p w14:paraId="38D61FBF"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n-US"/>
              </w:rPr>
            </w:pPr>
            <w:r w:rsidRPr="004D7088">
              <w:rPr>
                <w:bCs/>
                <w:sz w:val="18"/>
                <w:lang w:val="en-US"/>
              </w:rPr>
              <w:t>8,4</w:t>
            </w:r>
          </w:p>
        </w:tc>
      </w:tr>
      <w:tr w:rsidR="004E2640" w:rsidRPr="007518EE" w14:paraId="008E7594" w14:textId="77777777" w:rsidTr="00862368">
        <w:trPr>
          <w:trHeight w:val="240"/>
        </w:trPr>
        <w:tc>
          <w:tcPr>
            <w:tcW w:w="2756" w:type="dxa"/>
            <w:shd w:val="clear" w:color="auto" w:fill="auto"/>
            <w:noWrap/>
            <w:hideMark/>
          </w:tcPr>
          <w:p w14:paraId="76BEF302" w14:textId="77777777" w:rsidR="004E2640" w:rsidRPr="004D7088" w:rsidRDefault="004E2640" w:rsidP="00F81780">
            <w:pPr>
              <w:pStyle w:val="SingleTxtG"/>
              <w:tabs>
                <w:tab w:val="clear" w:pos="1701"/>
                <w:tab w:val="clear" w:pos="2268"/>
                <w:tab w:val="clear" w:pos="2835"/>
              </w:tabs>
              <w:spacing w:before="40" w:after="40" w:line="220" w:lineRule="exact"/>
              <w:ind w:left="0" w:right="0" w:firstLine="170"/>
              <w:jc w:val="left"/>
              <w:rPr>
                <w:rFonts w:eastAsia="Calibri"/>
                <w:bCs/>
                <w:sz w:val="18"/>
                <w:lang w:val="es-ES_tradnl"/>
              </w:rPr>
            </w:pPr>
            <w:r w:rsidRPr="004D7088">
              <w:rPr>
                <w:bCs/>
                <w:sz w:val="18"/>
                <w:lang w:val="es-ES_tradnl"/>
              </w:rPr>
              <w:t>Mujeres</w:t>
            </w:r>
          </w:p>
        </w:tc>
        <w:tc>
          <w:tcPr>
            <w:tcW w:w="1147" w:type="dxa"/>
            <w:shd w:val="clear" w:color="auto" w:fill="auto"/>
            <w:noWrap/>
            <w:vAlign w:val="bottom"/>
            <w:hideMark/>
          </w:tcPr>
          <w:p w14:paraId="167D8206"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9,8</w:t>
            </w:r>
          </w:p>
        </w:tc>
        <w:tc>
          <w:tcPr>
            <w:tcW w:w="1147" w:type="dxa"/>
            <w:shd w:val="clear" w:color="auto" w:fill="auto"/>
            <w:noWrap/>
            <w:vAlign w:val="bottom"/>
            <w:hideMark/>
          </w:tcPr>
          <w:p w14:paraId="67F1E20A"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10,4</w:t>
            </w:r>
          </w:p>
        </w:tc>
        <w:tc>
          <w:tcPr>
            <w:tcW w:w="1147" w:type="dxa"/>
            <w:shd w:val="clear" w:color="auto" w:fill="auto"/>
            <w:noWrap/>
            <w:vAlign w:val="bottom"/>
            <w:hideMark/>
          </w:tcPr>
          <w:p w14:paraId="45798CDF"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10,5</w:t>
            </w:r>
          </w:p>
        </w:tc>
        <w:tc>
          <w:tcPr>
            <w:tcW w:w="1147" w:type="dxa"/>
            <w:shd w:val="clear" w:color="auto" w:fill="auto"/>
            <w:noWrap/>
            <w:vAlign w:val="bottom"/>
            <w:hideMark/>
          </w:tcPr>
          <w:p w14:paraId="631E2EC9"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10,9</w:t>
            </w:r>
          </w:p>
        </w:tc>
        <w:tc>
          <w:tcPr>
            <w:tcW w:w="1147" w:type="dxa"/>
            <w:shd w:val="clear" w:color="auto" w:fill="auto"/>
            <w:noWrap/>
            <w:vAlign w:val="bottom"/>
            <w:hideMark/>
          </w:tcPr>
          <w:p w14:paraId="17F5C4D1"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n-US"/>
              </w:rPr>
            </w:pPr>
            <w:r w:rsidRPr="004D7088">
              <w:rPr>
                <w:bCs/>
                <w:sz w:val="18"/>
                <w:lang w:val="en-US"/>
              </w:rPr>
              <w:t>14,7</w:t>
            </w:r>
          </w:p>
        </w:tc>
        <w:tc>
          <w:tcPr>
            <w:tcW w:w="1147" w:type="dxa"/>
            <w:shd w:val="clear" w:color="auto" w:fill="auto"/>
            <w:noWrap/>
            <w:vAlign w:val="bottom"/>
            <w:hideMark/>
          </w:tcPr>
          <w:p w14:paraId="4A8C39B3"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n-US"/>
              </w:rPr>
            </w:pPr>
            <w:r w:rsidRPr="004D7088">
              <w:rPr>
                <w:bCs/>
                <w:sz w:val="18"/>
                <w:lang w:val="en-US"/>
              </w:rPr>
              <w:t>14,0</w:t>
            </w:r>
          </w:p>
        </w:tc>
      </w:tr>
      <w:tr w:rsidR="004E2640" w:rsidRPr="007518EE" w14:paraId="674BF576" w14:textId="77777777" w:rsidTr="00862368">
        <w:trPr>
          <w:trHeight w:val="240"/>
        </w:trPr>
        <w:tc>
          <w:tcPr>
            <w:tcW w:w="2756" w:type="dxa"/>
            <w:shd w:val="clear" w:color="auto" w:fill="auto"/>
            <w:noWrap/>
            <w:hideMark/>
          </w:tcPr>
          <w:p w14:paraId="7441514E" w14:textId="77777777" w:rsidR="004E2640" w:rsidRPr="004D7088" w:rsidRDefault="004E2640" w:rsidP="004E2640">
            <w:pPr>
              <w:pStyle w:val="SingleTxtG"/>
              <w:tabs>
                <w:tab w:val="clear" w:pos="1701"/>
                <w:tab w:val="clear" w:pos="2268"/>
                <w:tab w:val="clear" w:pos="2835"/>
              </w:tabs>
              <w:spacing w:before="40" w:after="40" w:line="220" w:lineRule="exact"/>
              <w:ind w:left="0" w:right="0"/>
              <w:jc w:val="left"/>
              <w:rPr>
                <w:rFonts w:eastAsia="Calibri"/>
                <w:bCs/>
                <w:sz w:val="18"/>
                <w:lang w:val="es-ES_tradnl"/>
              </w:rPr>
            </w:pPr>
            <w:r w:rsidRPr="004D7088">
              <w:rPr>
                <w:bCs/>
                <w:sz w:val="18"/>
                <w:lang w:val="es-ES_tradnl"/>
              </w:rPr>
              <w:t xml:space="preserve">Promedio en zonas urbanas </w:t>
            </w:r>
          </w:p>
        </w:tc>
        <w:tc>
          <w:tcPr>
            <w:tcW w:w="1147" w:type="dxa"/>
            <w:shd w:val="clear" w:color="auto" w:fill="auto"/>
            <w:noWrap/>
            <w:vAlign w:val="bottom"/>
            <w:hideMark/>
          </w:tcPr>
          <w:p w14:paraId="08D9136E"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13,8</w:t>
            </w:r>
          </w:p>
        </w:tc>
        <w:tc>
          <w:tcPr>
            <w:tcW w:w="1147" w:type="dxa"/>
            <w:shd w:val="clear" w:color="auto" w:fill="auto"/>
            <w:noWrap/>
            <w:vAlign w:val="bottom"/>
            <w:hideMark/>
          </w:tcPr>
          <w:p w14:paraId="0ACB05CE"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14,8</w:t>
            </w:r>
          </w:p>
        </w:tc>
        <w:tc>
          <w:tcPr>
            <w:tcW w:w="1147" w:type="dxa"/>
            <w:shd w:val="clear" w:color="auto" w:fill="auto"/>
            <w:noWrap/>
            <w:vAlign w:val="bottom"/>
            <w:hideMark/>
          </w:tcPr>
          <w:p w14:paraId="29AA7512"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14,6</w:t>
            </w:r>
          </w:p>
        </w:tc>
        <w:tc>
          <w:tcPr>
            <w:tcW w:w="1147" w:type="dxa"/>
            <w:shd w:val="clear" w:color="auto" w:fill="auto"/>
            <w:noWrap/>
            <w:vAlign w:val="bottom"/>
            <w:hideMark/>
          </w:tcPr>
          <w:p w14:paraId="0B5A0716"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13,9</w:t>
            </w:r>
          </w:p>
        </w:tc>
        <w:tc>
          <w:tcPr>
            <w:tcW w:w="1147" w:type="dxa"/>
            <w:shd w:val="clear" w:color="auto" w:fill="auto"/>
            <w:noWrap/>
            <w:vAlign w:val="bottom"/>
            <w:hideMark/>
          </w:tcPr>
          <w:p w14:paraId="17CE9EC7"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n-US"/>
              </w:rPr>
            </w:pPr>
            <w:r w:rsidRPr="004D7088">
              <w:rPr>
                <w:bCs/>
                <w:sz w:val="18"/>
                <w:lang w:val="en-US"/>
              </w:rPr>
              <w:t>14,7</w:t>
            </w:r>
          </w:p>
        </w:tc>
        <w:tc>
          <w:tcPr>
            <w:tcW w:w="1147" w:type="dxa"/>
            <w:shd w:val="clear" w:color="auto" w:fill="auto"/>
            <w:noWrap/>
            <w:vAlign w:val="bottom"/>
            <w:hideMark/>
          </w:tcPr>
          <w:p w14:paraId="6CADEC37"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n-US"/>
              </w:rPr>
            </w:pPr>
            <w:r w:rsidRPr="004D7088">
              <w:rPr>
                <w:bCs/>
                <w:sz w:val="18"/>
                <w:lang w:val="en-US"/>
              </w:rPr>
              <w:t>13,8</w:t>
            </w:r>
          </w:p>
        </w:tc>
      </w:tr>
      <w:tr w:rsidR="004E2640" w:rsidRPr="007518EE" w14:paraId="3308EDF6" w14:textId="77777777" w:rsidTr="00862368">
        <w:trPr>
          <w:trHeight w:val="240"/>
        </w:trPr>
        <w:tc>
          <w:tcPr>
            <w:tcW w:w="2756" w:type="dxa"/>
            <w:shd w:val="clear" w:color="auto" w:fill="auto"/>
            <w:noWrap/>
            <w:hideMark/>
          </w:tcPr>
          <w:p w14:paraId="681496E4" w14:textId="77777777" w:rsidR="004E2640" w:rsidRPr="00F81780" w:rsidRDefault="004E2640" w:rsidP="00F81780">
            <w:pPr>
              <w:pStyle w:val="SingleTxtG"/>
              <w:tabs>
                <w:tab w:val="clear" w:pos="1701"/>
                <w:tab w:val="clear" w:pos="2268"/>
                <w:tab w:val="clear" w:pos="2835"/>
              </w:tabs>
              <w:spacing w:before="40" w:after="40" w:line="220" w:lineRule="exact"/>
              <w:ind w:left="0" w:right="0" w:firstLine="170"/>
              <w:jc w:val="left"/>
              <w:rPr>
                <w:bCs/>
                <w:sz w:val="18"/>
                <w:lang w:val="es-ES_tradnl"/>
              </w:rPr>
            </w:pPr>
            <w:r w:rsidRPr="004D7088">
              <w:rPr>
                <w:bCs/>
                <w:sz w:val="18"/>
                <w:lang w:val="es-ES_tradnl"/>
              </w:rPr>
              <w:t>Hombres</w:t>
            </w:r>
          </w:p>
        </w:tc>
        <w:tc>
          <w:tcPr>
            <w:tcW w:w="1147" w:type="dxa"/>
            <w:shd w:val="clear" w:color="auto" w:fill="auto"/>
            <w:noWrap/>
            <w:vAlign w:val="bottom"/>
            <w:hideMark/>
          </w:tcPr>
          <w:p w14:paraId="78ED9FA9"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12,0</w:t>
            </w:r>
          </w:p>
        </w:tc>
        <w:tc>
          <w:tcPr>
            <w:tcW w:w="1147" w:type="dxa"/>
            <w:shd w:val="clear" w:color="auto" w:fill="auto"/>
            <w:noWrap/>
            <w:vAlign w:val="bottom"/>
            <w:hideMark/>
          </w:tcPr>
          <w:p w14:paraId="4F1319BE"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12,8</w:t>
            </w:r>
          </w:p>
        </w:tc>
        <w:tc>
          <w:tcPr>
            <w:tcW w:w="1147" w:type="dxa"/>
            <w:shd w:val="clear" w:color="auto" w:fill="auto"/>
            <w:noWrap/>
            <w:vAlign w:val="bottom"/>
            <w:hideMark/>
          </w:tcPr>
          <w:p w14:paraId="2ACF77E6"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12,8</w:t>
            </w:r>
          </w:p>
        </w:tc>
        <w:tc>
          <w:tcPr>
            <w:tcW w:w="1147" w:type="dxa"/>
            <w:shd w:val="clear" w:color="auto" w:fill="auto"/>
            <w:noWrap/>
            <w:vAlign w:val="bottom"/>
            <w:hideMark/>
          </w:tcPr>
          <w:p w14:paraId="74377F47"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12,8</w:t>
            </w:r>
          </w:p>
        </w:tc>
        <w:tc>
          <w:tcPr>
            <w:tcW w:w="1147" w:type="dxa"/>
            <w:shd w:val="clear" w:color="auto" w:fill="auto"/>
            <w:noWrap/>
            <w:vAlign w:val="bottom"/>
            <w:hideMark/>
          </w:tcPr>
          <w:p w14:paraId="101AC700"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n-US"/>
              </w:rPr>
            </w:pPr>
            <w:r w:rsidRPr="004D7088">
              <w:rPr>
                <w:bCs/>
                <w:sz w:val="18"/>
                <w:lang w:val="en-US"/>
              </w:rPr>
              <w:t>12,8</w:t>
            </w:r>
          </w:p>
        </w:tc>
        <w:tc>
          <w:tcPr>
            <w:tcW w:w="1147" w:type="dxa"/>
            <w:shd w:val="clear" w:color="auto" w:fill="auto"/>
            <w:noWrap/>
            <w:vAlign w:val="bottom"/>
            <w:hideMark/>
          </w:tcPr>
          <w:p w14:paraId="6E50F662"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n-US"/>
              </w:rPr>
            </w:pPr>
            <w:r w:rsidRPr="004D7088">
              <w:rPr>
                <w:bCs/>
                <w:sz w:val="18"/>
                <w:lang w:val="en-US"/>
              </w:rPr>
              <w:t>12,8</w:t>
            </w:r>
          </w:p>
        </w:tc>
      </w:tr>
      <w:tr w:rsidR="004E2640" w:rsidRPr="007518EE" w14:paraId="1DB2A290" w14:textId="77777777" w:rsidTr="00862368">
        <w:trPr>
          <w:trHeight w:val="240"/>
        </w:trPr>
        <w:tc>
          <w:tcPr>
            <w:tcW w:w="2756" w:type="dxa"/>
            <w:shd w:val="clear" w:color="auto" w:fill="auto"/>
            <w:noWrap/>
            <w:hideMark/>
          </w:tcPr>
          <w:p w14:paraId="789DC09E" w14:textId="77777777" w:rsidR="004E2640" w:rsidRPr="00F81780" w:rsidRDefault="004E2640" w:rsidP="00F81780">
            <w:pPr>
              <w:pStyle w:val="SingleTxtG"/>
              <w:tabs>
                <w:tab w:val="clear" w:pos="1701"/>
                <w:tab w:val="clear" w:pos="2268"/>
                <w:tab w:val="clear" w:pos="2835"/>
              </w:tabs>
              <w:spacing w:before="40" w:after="40" w:line="220" w:lineRule="exact"/>
              <w:ind w:left="0" w:right="0" w:firstLine="170"/>
              <w:jc w:val="left"/>
              <w:rPr>
                <w:bCs/>
                <w:sz w:val="18"/>
                <w:lang w:val="es-ES_tradnl"/>
              </w:rPr>
            </w:pPr>
            <w:r w:rsidRPr="004D7088">
              <w:rPr>
                <w:bCs/>
                <w:sz w:val="18"/>
                <w:lang w:val="es-ES_tradnl"/>
              </w:rPr>
              <w:t>Mujeres</w:t>
            </w:r>
          </w:p>
        </w:tc>
        <w:tc>
          <w:tcPr>
            <w:tcW w:w="1147" w:type="dxa"/>
            <w:shd w:val="clear" w:color="auto" w:fill="auto"/>
            <w:noWrap/>
            <w:vAlign w:val="bottom"/>
            <w:hideMark/>
          </w:tcPr>
          <w:p w14:paraId="56F36DD3"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1,9</w:t>
            </w:r>
          </w:p>
        </w:tc>
        <w:tc>
          <w:tcPr>
            <w:tcW w:w="1147" w:type="dxa"/>
            <w:shd w:val="clear" w:color="auto" w:fill="auto"/>
            <w:noWrap/>
            <w:vAlign w:val="bottom"/>
            <w:hideMark/>
          </w:tcPr>
          <w:p w14:paraId="53C91E61"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10,4</w:t>
            </w:r>
          </w:p>
        </w:tc>
        <w:tc>
          <w:tcPr>
            <w:tcW w:w="1147" w:type="dxa"/>
            <w:shd w:val="clear" w:color="auto" w:fill="auto"/>
            <w:noWrap/>
            <w:vAlign w:val="bottom"/>
            <w:hideMark/>
          </w:tcPr>
          <w:p w14:paraId="659F4A33"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10,5</w:t>
            </w:r>
          </w:p>
        </w:tc>
        <w:tc>
          <w:tcPr>
            <w:tcW w:w="1147" w:type="dxa"/>
            <w:shd w:val="clear" w:color="auto" w:fill="auto"/>
            <w:noWrap/>
            <w:vAlign w:val="bottom"/>
            <w:hideMark/>
          </w:tcPr>
          <w:p w14:paraId="2AEE7400"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10,9</w:t>
            </w:r>
          </w:p>
        </w:tc>
        <w:tc>
          <w:tcPr>
            <w:tcW w:w="1147" w:type="dxa"/>
            <w:shd w:val="clear" w:color="auto" w:fill="auto"/>
            <w:noWrap/>
            <w:vAlign w:val="bottom"/>
            <w:hideMark/>
          </w:tcPr>
          <w:p w14:paraId="18E4E5F1"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n-US"/>
              </w:rPr>
            </w:pPr>
            <w:r w:rsidRPr="004D7088">
              <w:rPr>
                <w:bCs/>
                <w:sz w:val="18"/>
                <w:lang w:val="en-US"/>
              </w:rPr>
              <w:t>14,7</w:t>
            </w:r>
          </w:p>
        </w:tc>
        <w:tc>
          <w:tcPr>
            <w:tcW w:w="1147" w:type="dxa"/>
            <w:shd w:val="clear" w:color="auto" w:fill="auto"/>
            <w:noWrap/>
            <w:vAlign w:val="bottom"/>
            <w:hideMark/>
          </w:tcPr>
          <w:p w14:paraId="2055FC09"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n-US"/>
              </w:rPr>
            </w:pPr>
            <w:r w:rsidRPr="004D7088">
              <w:rPr>
                <w:bCs/>
                <w:sz w:val="18"/>
                <w:lang w:val="en-US"/>
              </w:rPr>
              <w:t>14,0</w:t>
            </w:r>
          </w:p>
        </w:tc>
      </w:tr>
      <w:tr w:rsidR="004E2640" w:rsidRPr="007518EE" w14:paraId="740D9E5B" w14:textId="77777777" w:rsidTr="00862368">
        <w:trPr>
          <w:trHeight w:val="240"/>
        </w:trPr>
        <w:tc>
          <w:tcPr>
            <w:tcW w:w="2756" w:type="dxa"/>
            <w:shd w:val="clear" w:color="auto" w:fill="auto"/>
            <w:noWrap/>
            <w:hideMark/>
          </w:tcPr>
          <w:p w14:paraId="6913381D" w14:textId="77777777" w:rsidR="004E2640" w:rsidRPr="004D7088" w:rsidRDefault="004E2640" w:rsidP="004E2640">
            <w:pPr>
              <w:pStyle w:val="SingleTxtG"/>
              <w:tabs>
                <w:tab w:val="clear" w:pos="1701"/>
                <w:tab w:val="clear" w:pos="2268"/>
                <w:tab w:val="clear" w:pos="2835"/>
              </w:tabs>
              <w:spacing w:before="40" w:after="40" w:line="220" w:lineRule="exact"/>
              <w:ind w:left="0" w:right="0"/>
              <w:jc w:val="left"/>
              <w:rPr>
                <w:rFonts w:eastAsia="Calibri"/>
                <w:bCs/>
                <w:sz w:val="18"/>
                <w:lang w:val="es-ES_tradnl"/>
              </w:rPr>
            </w:pPr>
            <w:r w:rsidRPr="004D7088">
              <w:rPr>
                <w:bCs/>
                <w:sz w:val="18"/>
                <w:lang w:val="es-ES_tradnl"/>
              </w:rPr>
              <w:t>Promedio en zonas rurales</w:t>
            </w:r>
          </w:p>
        </w:tc>
        <w:tc>
          <w:tcPr>
            <w:tcW w:w="1147" w:type="dxa"/>
            <w:shd w:val="clear" w:color="auto" w:fill="auto"/>
            <w:noWrap/>
            <w:vAlign w:val="bottom"/>
            <w:hideMark/>
          </w:tcPr>
          <w:p w14:paraId="215CAD85"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3,9</w:t>
            </w:r>
          </w:p>
        </w:tc>
        <w:tc>
          <w:tcPr>
            <w:tcW w:w="1147" w:type="dxa"/>
            <w:shd w:val="clear" w:color="auto" w:fill="auto"/>
            <w:noWrap/>
            <w:vAlign w:val="bottom"/>
            <w:hideMark/>
          </w:tcPr>
          <w:p w14:paraId="7B7979E4"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4,2</w:t>
            </w:r>
          </w:p>
        </w:tc>
        <w:tc>
          <w:tcPr>
            <w:tcW w:w="1147" w:type="dxa"/>
            <w:shd w:val="clear" w:color="auto" w:fill="auto"/>
            <w:noWrap/>
            <w:vAlign w:val="bottom"/>
            <w:hideMark/>
          </w:tcPr>
          <w:p w14:paraId="7E4610F7"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4,1</w:t>
            </w:r>
          </w:p>
        </w:tc>
        <w:tc>
          <w:tcPr>
            <w:tcW w:w="1147" w:type="dxa"/>
            <w:shd w:val="clear" w:color="auto" w:fill="auto"/>
            <w:noWrap/>
            <w:vAlign w:val="bottom"/>
            <w:hideMark/>
          </w:tcPr>
          <w:p w14:paraId="6105DEB9"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4,2</w:t>
            </w:r>
          </w:p>
        </w:tc>
        <w:tc>
          <w:tcPr>
            <w:tcW w:w="1147" w:type="dxa"/>
            <w:shd w:val="clear" w:color="auto" w:fill="auto"/>
            <w:noWrap/>
            <w:vAlign w:val="bottom"/>
            <w:hideMark/>
          </w:tcPr>
          <w:p w14:paraId="393E36F3"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n-US"/>
              </w:rPr>
            </w:pPr>
            <w:r w:rsidRPr="004D7088">
              <w:rPr>
                <w:bCs/>
                <w:sz w:val="18"/>
                <w:lang w:val="en-US"/>
              </w:rPr>
              <w:t>4,0</w:t>
            </w:r>
          </w:p>
        </w:tc>
        <w:tc>
          <w:tcPr>
            <w:tcW w:w="1147" w:type="dxa"/>
            <w:shd w:val="clear" w:color="auto" w:fill="auto"/>
            <w:noWrap/>
            <w:vAlign w:val="bottom"/>
            <w:hideMark/>
          </w:tcPr>
          <w:p w14:paraId="22CED6A8"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n-US"/>
              </w:rPr>
            </w:pPr>
            <w:r w:rsidRPr="004D7088">
              <w:rPr>
                <w:bCs/>
                <w:sz w:val="18"/>
                <w:lang w:val="en-US"/>
              </w:rPr>
              <w:t>3,6</w:t>
            </w:r>
          </w:p>
        </w:tc>
      </w:tr>
      <w:tr w:rsidR="004E2640" w:rsidRPr="007518EE" w14:paraId="21651745" w14:textId="77777777" w:rsidTr="00862368">
        <w:trPr>
          <w:trHeight w:val="240"/>
        </w:trPr>
        <w:tc>
          <w:tcPr>
            <w:tcW w:w="2756" w:type="dxa"/>
            <w:shd w:val="clear" w:color="auto" w:fill="auto"/>
            <w:noWrap/>
            <w:hideMark/>
          </w:tcPr>
          <w:p w14:paraId="4980F328" w14:textId="77777777" w:rsidR="004E2640" w:rsidRPr="00F81780" w:rsidRDefault="004E2640" w:rsidP="00F81780">
            <w:pPr>
              <w:pStyle w:val="SingleTxtG"/>
              <w:tabs>
                <w:tab w:val="clear" w:pos="1701"/>
                <w:tab w:val="clear" w:pos="2268"/>
                <w:tab w:val="clear" w:pos="2835"/>
              </w:tabs>
              <w:spacing w:before="40" w:after="40" w:line="220" w:lineRule="exact"/>
              <w:ind w:left="0" w:right="0" w:firstLine="170"/>
              <w:jc w:val="left"/>
              <w:rPr>
                <w:bCs/>
                <w:sz w:val="18"/>
                <w:lang w:val="es-ES_tradnl"/>
              </w:rPr>
            </w:pPr>
            <w:r w:rsidRPr="004D7088">
              <w:rPr>
                <w:bCs/>
                <w:sz w:val="18"/>
                <w:lang w:val="es-ES_tradnl"/>
              </w:rPr>
              <w:t>Hombres</w:t>
            </w:r>
          </w:p>
        </w:tc>
        <w:tc>
          <w:tcPr>
            <w:tcW w:w="1147" w:type="dxa"/>
            <w:shd w:val="clear" w:color="auto" w:fill="auto"/>
            <w:noWrap/>
            <w:vAlign w:val="bottom"/>
            <w:hideMark/>
          </w:tcPr>
          <w:p w14:paraId="72FD2729"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4,9</w:t>
            </w:r>
          </w:p>
        </w:tc>
        <w:tc>
          <w:tcPr>
            <w:tcW w:w="1147" w:type="dxa"/>
            <w:shd w:val="clear" w:color="auto" w:fill="auto"/>
            <w:noWrap/>
            <w:vAlign w:val="bottom"/>
            <w:hideMark/>
          </w:tcPr>
          <w:p w14:paraId="74D443BB"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5,4</w:t>
            </w:r>
          </w:p>
        </w:tc>
        <w:tc>
          <w:tcPr>
            <w:tcW w:w="1147" w:type="dxa"/>
            <w:shd w:val="clear" w:color="auto" w:fill="auto"/>
            <w:noWrap/>
            <w:vAlign w:val="bottom"/>
            <w:hideMark/>
          </w:tcPr>
          <w:p w14:paraId="0E37563F"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5,1</w:t>
            </w:r>
          </w:p>
        </w:tc>
        <w:tc>
          <w:tcPr>
            <w:tcW w:w="1147" w:type="dxa"/>
            <w:shd w:val="clear" w:color="auto" w:fill="auto"/>
            <w:noWrap/>
            <w:vAlign w:val="bottom"/>
            <w:hideMark/>
          </w:tcPr>
          <w:p w14:paraId="7BF4655B"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5,0</w:t>
            </w:r>
          </w:p>
        </w:tc>
        <w:tc>
          <w:tcPr>
            <w:tcW w:w="1147" w:type="dxa"/>
            <w:shd w:val="clear" w:color="auto" w:fill="auto"/>
            <w:noWrap/>
            <w:vAlign w:val="bottom"/>
            <w:hideMark/>
          </w:tcPr>
          <w:p w14:paraId="69E15648"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n-US"/>
              </w:rPr>
            </w:pPr>
            <w:r w:rsidRPr="004D7088">
              <w:rPr>
                <w:bCs/>
                <w:sz w:val="18"/>
                <w:lang w:val="en-US"/>
              </w:rPr>
              <w:t>4,3</w:t>
            </w:r>
          </w:p>
        </w:tc>
        <w:tc>
          <w:tcPr>
            <w:tcW w:w="1147" w:type="dxa"/>
            <w:shd w:val="clear" w:color="auto" w:fill="auto"/>
            <w:noWrap/>
            <w:vAlign w:val="bottom"/>
            <w:hideMark/>
          </w:tcPr>
          <w:p w14:paraId="04B7FCAC"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n-US"/>
              </w:rPr>
            </w:pPr>
            <w:r w:rsidRPr="004D7088">
              <w:rPr>
                <w:bCs/>
                <w:sz w:val="18"/>
                <w:lang w:val="en-US"/>
              </w:rPr>
              <w:t>3,9</w:t>
            </w:r>
          </w:p>
        </w:tc>
      </w:tr>
      <w:tr w:rsidR="004E2640" w:rsidRPr="007518EE" w14:paraId="03F46F70" w14:textId="77777777" w:rsidTr="00862368">
        <w:trPr>
          <w:trHeight w:val="240"/>
        </w:trPr>
        <w:tc>
          <w:tcPr>
            <w:tcW w:w="2756" w:type="dxa"/>
            <w:shd w:val="clear" w:color="auto" w:fill="auto"/>
            <w:noWrap/>
            <w:hideMark/>
          </w:tcPr>
          <w:p w14:paraId="3E3A822A" w14:textId="77777777" w:rsidR="004E2640" w:rsidRPr="00F81780" w:rsidRDefault="004E2640" w:rsidP="00F81780">
            <w:pPr>
              <w:pStyle w:val="SingleTxtG"/>
              <w:tabs>
                <w:tab w:val="clear" w:pos="1701"/>
                <w:tab w:val="clear" w:pos="2268"/>
                <w:tab w:val="clear" w:pos="2835"/>
              </w:tabs>
              <w:spacing w:before="40" w:after="40" w:line="220" w:lineRule="exact"/>
              <w:ind w:left="0" w:right="0" w:firstLine="170"/>
              <w:jc w:val="left"/>
              <w:rPr>
                <w:bCs/>
                <w:sz w:val="18"/>
                <w:lang w:val="es-ES_tradnl"/>
              </w:rPr>
            </w:pPr>
            <w:r w:rsidRPr="004D7088">
              <w:rPr>
                <w:bCs/>
                <w:sz w:val="18"/>
                <w:lang w:val="es-ES_tradnl"/>
              </w:rPr>
              <w:t>Mujeres</w:t>
            </w:r>
          </w:p>
        </w:tc>
        <w:tc>
          <w:tcPr>
            <w:tcW w:w="1147" w:type="dxa"/>
            <w:shd w:val="clear" w:color="auto" w:fill="auto"/>
            <w:noWrap/>
            <w:vAlign w:val="bottom"/>
            <w:hideMark/>
          </w:tcPr>
          <w:p w14:paraId="65A065C3"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1,9</w:t>
            </w:r>
          </w:p>
        </w:tc>
        <w:tc>
          <w:tcPr>
            <w:tcW w:w="1147" w:type="dxa"/>
            <w:shd w:val="clear" w:color="auto" w:fill="auto"/>
            <w:noWrap/>
            <w:vAlign w:val="bottom"/>
            <w:hideMark/>
          </w:tcPr>
          <w:p w14:paraId="556CE83E"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1,8</w:t>
            </w:r>
          </w:p>
        </w:tc>
        <w:tc>
          <w:tcPr>
            <w:tcW w:w="1147" w:type="dxa"/>
            <w:shd w:val="clear" w:color="auto" w:fill="auto"/>
            <w:noWrap/>
            <w:vAlign w:val="bottom"/>
            <w:hideMark/>
          </w:tcPr>
          <w:p w14:paraId="4E167CC5"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2,1</w:t>
            </w:r>
          </w:p>
        </w:tc>
        <w:tc>
          <w:tcPr>
            <w:tcW w:w="1147" w:type="dxa"/>
            <w:shd w:val="clear" w:color="auto" w:fill="auto"/>
            <w:noWrap/>
            <w:vAlign w:val="bottom"/>
            <w:hideMark/>
          </w:tcPr>
          <w:p w14:paraId="4FBD8122"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s-ES_tradnl"/>
              </w:rPr>
            </w:pPr>
            <w:r w:rsidRPr="004D7088">
              <w:rPr>
                <w:bCs/>
                <w:sz w:val="18"/>
                <w:lang w:val="es-ES_tradnl"/>
              </w:rPr>
              <w:t>2,4</w:t>
            </w:r>
          </w:p>
        </w:tc>
        <w:tc>
          <w:tcPr>
            <w:tcW w:w="1147" w:type="dxa"/>
            <w:shd w:val="clear" w:color="auto" w:fill="auto"/>
            <w:noWrap/>
            <w:vAlign w:val="bottom"/>
            <w:hideMark/>
          </w:tcPr>
          <w:p w14:paraId="340FE0F3"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n-US"/>
              </w:rPr>
            </w:pPr>
            <w:r w:rsidRPr="004D7088">
              <w:rPr>
                <w:bCs/>
                <w:sz w:val="18"/>
                <w:lang w:val="en-US"/>
              </w:rPr>
              <w:t>3,1</w:t>
            </w:r>
          </w:p>
        </w:tc>
        <w:tc>
          <w:tcPr>
            <w:tcW w:w="1147" w:type="dxa"/>
            <w:shd w:val="clear" w:color="auto" w:fill="auto"/>
            <w:noWrap/>
            <w:vAlign w:val="bottom"/>
            <w:hideMark/>
          </w:tcPr>
          <w:p w14:paraId="60359DD2" w14:textId="77777777" w:rsidR="004E2640" w:rsidRPr="004D7088"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lang w:val="en-US"/>
              </w:rPr>
            </w:pPr>
            <w:r w:rsidRPr="004D7088">
              <w:rPr>
                <w:bCs/>
                <w:sz w:val="18"/>
                <w:lang w:val="en-US"/>
              </w:rPr>
              <w:t>2,5</w:t>
            </w:r>
          </w:p>
        </w:tc>
      </w:tr>
      <w:tr w:rsidR="004E2640" w:rsidRPr="007518EE" w14:paraId="160A8F8A" w14:textId="77777777" w:rsidTr="00862368">
        <w:trPr>
          <w:trHeight w:val="240"/>
        </w:trPr>
        <w:tc>
          <w:tcPr>
            <w:tcW w:w="2756" w:type="dxa"/>
            <w:shd w:val="clear" w:color="auto" w:fill="auto"/>
            <w:noWrap/>
            <w:hideMark/>
          </w:tcPr>
          <w:p w14:paraId="5363CF9D" w14:textId="226BBCD7" w:rsidR="004E2640" w:rsidRPr="007D4AFD" w:rsidRDefault="004E2640" w:rsidP="00862368">
            <w:pPr>
              <w:pStyle w:val="SingleTxtG"/>
              <w:keepNext/>
              <w:keepLines/>
              <w:tabs>
                <w:tab w:val="clear" w:pos="1701"/>
                <w:tab w:val="clear" w:pos="2268"/>
                <w:tab w:val="clear" w:pos="2835"/>
                <w:tab w:val="left" w:pos="404"/>
              </w:tabs>
              <w:spacing w:before="40" w:after="40" w:line="220" w:lineRule="exact"/>
              <w:ind w:left="404" w:right="0" w:hanging="404"/>
              <w:jc w:val="left"/>
              <w:rPr>
                <w:rFonts w:eastAsia="Calibri"/>
                <w:b/>
                <w:sz w:val="18"/>
                <w:lang w:val="es-ES_tradnl"/>
              </w:rPr>
            </w:pPr>
            <w:r w:rsidRPr="007D4AFD">
              <w:rPr>
                <w:rFonts w:eastAsia="Calibri"/>
                <w:b/>
                <w:sz w:val="18"/>
                <w:lang w:val="es-ES_tradnl"/>
              </w:rPr>
              <w:t>5.7</w:t>
            </w:r>
            <w:r w:rsidRPr="007D4AFD">
              <w:rPr>
                <w:rFonts w:eastAsia="Calibri"/>
                <w:b/>
                <w:sz w:val="18"/>
                <w:lang w:val="es-ES_tradnl"/>
              </w:rPr>
              <w:tab/>
              <w:t>Tasa de desempleo urbano por franjas de edad</w:t>
            </w:r>
          </w:p>
        </w:tc>
        <w:tc>
          <w:tcPr>
            <w:tcW w:w="1147" w:type="dxa"/>
            <w:shd w:val="clear" w:color="auto" w:fill="auto"/>
            <w:noWrap/>
            <w:vAlign w:val="bottom"/>
            <w:hideMark/>
          </w:tcPr>
          <w:p w14:paraId="37208F28"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rtl/>
                <w:lang w:val="es-ES_tradnl"/>
              </w:rPr>
            </w:pPr>
          </w:p>
        </w:tc>
        <w:tc>
          <w:tcPr>
            <w:tcW w:w="1147" w:type="dxa"/>
            <w:shd w:val="clear" w:color="auto" w:fill="auto"/>
            <w:noWrap/>
            <w:vAlign w:val="bottom"/>
            <w:hideMark/>
          </w:tcPr>
          <w:p w14:paraId="7720B231"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3C60F8A3"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6F2F6259"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07DCE812"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p>
        </w:tc>
        <w:tc>
          <w:tcPr>
            <w:tcW w:w="1147" w:type="dxa"/>
            <w:shd w:val="clear" w:color="auto" w:fill="auto"/>
            <w:noWrap/>
            <w:vAlign w:val="bottom"/>
            <w:hideMark/>
          </w:tcPr>
          <w:p w14:paraId="40BFB835"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p>
        </w:tc>
      </w:tr>
      <w:tr w:rsidR="004E2640" w:rsidRPr="007518EE" w14:paraId="08F94D4A" w14:textId="77777777" w:rsidTr="00862368">
        <w:trPr>
          <w:trHeight w:val="240"/>
        </w:trPr>
        <w:tc>
          <w:tcPr>
            <w:tcW w:w="2756" w:type="dxa"/>
            <w:shd w:val="clear" w:color="auto" w:fill="auto"/>
            <w:noWrap/>
            <w:hideMark/>
          </w:tcPr>
          <w:p w14:paraId="2E316325" w14:textId="7859D541" w:rsidR="004E2640" w:rsidRPr="007D4AFD" w:rsidRDefault="004E2640" w:rsidP="00862368">
            <w:pPr>
              <w:pStyle w:val="SingleTxtG"/>
              <w:tabs>
                <w:tab w:val="clear" w:pos="1701"/>
                <w:tab w:val="clear" w:pos="2268"/>
                <w:tab w:val="clear" w:pos="2835"/>
              </w:tabs>
              <w:spacing w:before="40" w:after="40" w:line="220" w:lineRule="exact"/>
              <w:ind w:left="0" w:right="0" w:firstLine="170"/>
              <w:jc w:val="left"/>
              <w:rPr>
                <w:rFonts w:eastAsia="Calibri"/>
                <w:sz w:val="18"/>
                <w:lang w:val="es-ES_tradnl"/>
              </w:rPr>
            </w:pPr>
            <w:r w:rsidRPr="007D4AFD">
              <w:rPr>
                <w:sz w:val="18"/>
                <w:lang w:val="es-ES_tradnl"/>
              </w:rPr>
              <w:t xml:space="preserve">De 15 a 24 años </w:t>
            </w:r>
          </w:p>
        </w:tc>
        <w:tc>
          <w:tcPr>
            <w:tcW w:w="1147" w:type="dxa"/>
            <w:shd w:val="clear" w:color="auto" w:fill="auto"/>
            <w:noWrap/>
            <w:vAlign w:val="bottom"/>
            <w:hideMark/>
          </w:tcPr>
          <w:p w14:paraId="37B55D41"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32,8</w:t>
            </w:r>
          </w:p>
        </w:tc>
        <w:tc>
          <w:tcPr>
            <w:tcW w:w="1147" w:type="dxa"/>
            <w:shd w:val="clear" w:color="auto" w:fill="auto"/>
            <w:noWrap/>
            <w:vAlign w:val="bottom"/>
            <w:hideMark/>
          </w:tcPr>
          <w:p w14:paraId="43C76626"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38,1</w:t>
            </w:r>
          </w:p>
        </w:tc>
        <w:tc>
          <w:tcPr>
            <w:tcW w:w="1147" w:type="dxa"/>
            <w:shd w:val="clear" w:color="auto" w:fill="auto"/>
            <w:noWrap/>
            <w:vAlign w:val="bottom"/>
            <w:hideMark/>
          </w:tcPr>
          <w:p w14:paraId="53A689FC"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39,0</w:t>
            </w:r>
          </w:p>
        </w:tc>
        <w:tc>
          <w:tcPr>
            <w:tcW w:w="1147" w:type="dxa"/>
            <w:shd w:val="clear" w:color="auto" w:fill="auto"/>
            <w:noWrap/>
            <w:vAlign w:val="bottom"/>
            <w:hideMark/>
          </w:tcPr>
          <w:p w14:paraId="37085BA5"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41,0</w:t>
            </w:r>
          </w:p>
        </w:tc>
        <w:tc>
          <w:tcPr>
            <w:tcW w:w="1147" w:type="dxa"/>
            <w:shd w:val="clear" w:color="auto" w:fill="auto"/>
            <w:noWrap/>
            <w:vAlign w:val="bottom"/>
            <w:hideMark/>
          </w:tcPr>
          <w:p w14:paraId="56B08D46"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42,8</w:t>
            </w:r>
          </w:p>
        </w:tc>
        <w:tc>
          <w:tcPr>
            <w:tcW w:w="1147" w:type="dxa"/>
            <w:shd w:val="clear" w:color="auto" w:fill="auto"/>
            <w:noWrap/>
            <w:vAlign w:val="bottom"/>
            <w:hideMark/>
          </w:tcPr>
          <w:p w14:paraId="4E28A972"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43,2</w:t>
            </w:r>
          </w:p>
        </w:tc>
      </w:tr>
      <w:tr w:rsidR="004E2640" w:rsidRPr="007518EE" w14:paraId="41C91E2E" w14:textId="77777777" w:rsidTr="00862368">
        <w:trPr>
          <w:trHeight w:val="240"/>
        </w:trPr>
        <w:tc>
          <w:tcPr>
            <w:tcW w:w="2756" w:type="dxa"/>
            <w:shd w:val="clear" w:color="auto" w:fill="auto"/>
            <w:noWrap/>
            <w:hideMark/>
          </w:tcPr>
          <w:p w14:paraId="5F16BF50" w14:textId="12E6D0AD" w:rsidR="004E2640" w:rsidRPr="007D4AFD" w:rsidRDefault="004E2640" w:rsidP="00862368">
            <w:pPr>
              <w:pStyle w:val="SingleTxtG"/>
              <w:tabs>
                <w:tab w:val="clear" w:pos="1701"/>
                <w:tab w:val="clear" w:pos="2268"/>
                <w:tab w:val="clear" w:pos="2835"/>
              </w:tabs>
              <w:spacing w:before="40" w:after="40" w:line="220" w:lineRule="exact"/>
              <w:ind w:left="0" w:right="0" w:firstLine="170"/>
              <w:jc w:val="left"/>
              <w:rPr>
                <w:rFonts w:eastAsia="Calibri"/>
                <w:sz w:val="18"/>
                <w:lang w:val="es-ES_tradnl"/>
              </w:rPr>
            </w:pPr>
            <w:r w:rsidRPr="007D4AFD">
              <w:rPr>
                <w:sz w:val="18"/>
                <w:lang w:val="es-ES_tradnl"/>
              </w:rPr>
              <w:t xml:space="preserve">De 25 a 34 años </w:t>
            </w:r>
          </w:p>
        </w:tc>
        <w:tc>
          <w:tcPr>
            <w:tcW w:w="1147" w:type="dxa"/>
            <w:shd w:val="clear" w:color="auto" w:fill="auto"/>
            <w:noWrap/>
            <w:vAlign w:val="bottom"/>
            <w:hideMark/>
          </w:tcPr>
          <w:p w14:paraId="06B63915"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19,5</w:t>
            </w:r>
          </w:p>
        </w:tc>
        <w:tc>
          <w:tcPr>
            <w:tcW w:w="1147" w:type="dxa"/>
            <w:shd w:val="clear" w:color="auto" w:fill="auto"/>
            <w:noWrap/>
            <w:vAlign w:val="bottom"/>
            <w:hideMark/>
          </w:tcPr>
          <w:p w14:paraId="17B88604"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20,9</w:t>
            </w:r>
          </w:p>
        </w:tc>
        <w:tc>
          <w:tcPr>
            <w:tcW w:w="1147" w:type="dxa"/>
            <w:shd w:val="clear" w:color="auto" w:fill="auto"/>
            <w:noWrap/>
            <w:vAlign w:val="bottom"/>
            <w:hideMark/>
          </w:tcPr>
          <w:p w14:paraId="1CFA0173"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21,1</w:t>
            </w:r>
          </w:p>
        </w:tc>
        <w:tc>
          <w:tcPr>
            <w:tcW w:w="1147" w:type="dxa"/>
            <w:shd w:val="clear" w:color="auto" w:fill="auto"/>
            <w:noWrap/>
            <w:vAlign w:val="bottom"/>
            <w:hideMark/>
          </w:tcPr>
          <w:p w14:paraId="3E1662E2"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20,1</w:t>
            </w:r>
          </w:p>
        </w:tc>
        <w:tc>
          <w:tcPr>
            <w:tcW w:w="1147" w:type="dxa"/>
            <w:shd w:val="clear" w:color="auto" w:fill="auto"/>
            <w:noWrap/>
            <w:vAlign w:val="bottom"/>
            <w:hideMark/>
          </w:tcPr>
          <w:p w14:paraId="7BDC443A"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21,6</w:t>
            </w:r>
          </w:p>
        </w:tc>
        <w:tc>
          <w:tcPr>
            <w:tcW w:w="1147" w:type="dxa"/>
            <w:shd w:val="clear" w:color="auto" w:fill="auto"/>
            <w:noWrap/>
            <w:vAlign w:val="bottom"/>
            <w:hideMark/>
          </w:tcPr>
          <w:p w14:paraId="4C3253E4"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21,2</w:t>
            </w:r>
          </w:p>
        </w:tc>
      </w:tr>
      <w:tr w:rsidR="004E2640" w:rsidRPr="007518EE" w14:paraId="3E1BA99A" w14:textId="77777777" w:rsidTr="00862368">
        <w:trPr>
          <w:trHeight w:val="240"/>
        </w:trPr>
        <w:tc>
          <w:tcPr>
            <w:tcW w:w="2756" w:type="dxa"/>
            <w:shd w:val="clear" w:color="auto" w:fill="auto"/>
            <w:noWrap/>
            <w:hideMark/>
          </w:tcPr>
          <w:p w14:paraId="5B97A812" w14:textId="48B35EC1" w:rsidR="004E2640" w:rsidRPr="007D4AFD" w:rsidRDefault="004E2640" w:rsidP="00862368">
            <w:pPr>
              <w:pStyle w:val="SingleTxtG"/>
              <w:tabs>
                <w:tab w:val="clear" w:pos="1701"/>
                <w:tab w:val="clear" w:pos="2268"/>
                <w:tab w:val="clear" w:pos="2835"/>
              </w:tabs>
              <w:spacing w:before="40" w:after="40" w:line="220" w:lineRule="exact"/>
              <w:ind w:left="0" w:right="0" w:firstLine="170"/>
              <w:jc w:val="left"/>
              <w:rPr>
                <w:rFonts w:eastAsia="Calibri"/>
                <w:sz w:val="18"/>
                <w:lang w:val="es-ES_tradnl"/>
              </w:rPr>
            </w:pPr>
            <w:r w:rsidRPr="007D4AFD">
              <w:rPr>
                <w:sz w:val="18"/>
                <w:lang w:val="es-ES_tradnl"/>
              </w:rPr>
              <w:t xml:space="preserve">De 35 a 44 años  </w:t>
            </w:r>
          </w:p>
        </w:tc>
        <w:tc>
          <w:tcPr>
            <w:tcW w:w="1147" w:type="dxa"/>
            <w:shd w:val="clear" w:color="auto" w:fill="auto"/>
            <w:noWrap/>
            <w:vAlign w:val="bottom"/>
            <w:hideMark/>
          </w:tcPr>
          <w:p w14:paraId="6417A0D0"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7,5</w:t>
            </w:r>
          </w:p>
        </w:tc>
        <w:tc>
          <w:tcPr>
            <w:tcW w:w="1147" w:type="dxa"/>
            <w:shd w:val="clear" w:color="auto" w:fill="auto"/>
            <w:noWrap/>
            <w:vAlign w:val="bottom"/>
            <w:hideMark/>
          </w:tcPr>
          <w:p w14:paraId="79814970"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8,4</w:t>
            </w:r>
          </w:p>
        </w:tc>
        <w:tc>
          <w:tcPr>
            <w:tcW w:w="1147" w:type="dxa"/>
            <w:shd w:val="clear" w:color="auto" w:fill="auto"/>
            <w:noWrap/>
            <w:vAlign w:val="bottom"/>
            <w:hideMark/>
          </w:tcPr>
          <w:p w14:paraId="6FEB53E2"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7,6</w:t>
            </w:r>
          </w:p>
        </w:tc>
        <w:tc>
          <w:tcPr>
            <w:tcW w:w="1147" w:type="dxa"/>
            <w:shd w:val="clear" w:color="auto" w:fill="auto"/>
            <w:noWrap/>
            <w:vAlign w:val="bottom"/>
            <w:hideMark/>
          </w:tcPr>
          <w:p w14:paraId="31FDEB3B"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6,7</w:t>
            </w:r>
          </w:p>
        </w:tc>
        <w:tc>
          <w:tcPr>
            <w:tcW w:w="1147" w:type="dxa"/>
            <w:shd w:val="clear" w:color="auto" w:fill="auto"/>
            <w:noWrap/>
            <w:vAlign w:val="bottom"/>
            <w:hideMark/>
          </w:tcPr>
          <w:p w14:paraId="75360016"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7,0</w:t>
            </w:r>
          </w:p>
        </w:tc>
        <w:tc>
          <w:tcPr>
            <w:tcW w:w="1147" w:type="dxa"/>
            <w:shd w:val="clear" w:color="auto" w:fill="auto"/>
            <w:noWrap/>
            <w:vAlign w:val="bottom"/>
            <w:hideMark/>
          </w:tcPr>
          <w:p w14:paraId="33AE3B09"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6,6</w:t>
            </w:r>
          </w:p>
        </w:tc>
      </w:tr>
      <w:tr w:rsidR="004E2640" w:rsidRPr="007518EE" w14:paraId="6EC5EF98" w14:textId="77777777" w:rsidTr="00862368">
        <w:trPr>
          <w:trHeight w:val="240"/>
        </w:trPr>
        <w:tc>
          <w:tcPr>
            <w:tcW w:w="2756" w:type="dxa"/>
            <w:shd w:val="clear" w:color="auto" w:fill="auto"/>
            <w:noWrap/>
            <w:hideMark/>
          </w:tcPr>
          <w:p w14:paraId="464650E9" w14:textId="77777777" w:rsidR="004E2640" w:rsidRPr="007D4AFD" w:rsidRDefault="004E2640" w:rsidP="00862368">
            <w:pPr>
              <w:pStyle w:val="SingleTxtG"/>
              <w:tabs>
                <w:tab w:val="clear" w:pos="1701"/>
                <w:tab w:val="clear" w:pos="2268"/>
                <w:tab w:val="clear" w:pos="2835"/>
              </w:tabs>
              <w:spacing w:before="40" w:after="40" w:line="220" w:lineRule="exact"/>
              <w:ind w:left="0" w:right="0" w:firstLine="170"/>
              <w:jc w:val="left"/>
              <w:rPr>
                <w:rFonts w:eastAsia="Calibri"/>
                <w:sz w:val="18"/>
                <w:lang w:val="es-ES_tradnl"/>
              </w:rPr>
            </w:pPr>
            <w:r w:rsidRPr="007D4AFD">
              <w:rPr>
                <w:sz w:val="18"/>
                <w:lang w:val="es-ES_tradnl"/>
              </w:rPr>
              <w:t xml:space="preserve">De 45 años y más </w:t>
            </w:r>
          </w:p>
        </w:tc>
        <w:tc>
          <w:tcPr>
            <w:tcW w:w="1147" w:type="dxa"/>
            <w:shd w:val="clear" w:color="auto" w:fill="auto"/>
            <w:noWrap/>
            <w:vAlign w:val="bottom"/>
            <w:hideMark/>
          </w:tcPr>
          <w:p w14:paraId="129ADDED"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3,0</w:t>
            </w:r>
          </w:p>
        </w:tc>
        <w:tc>
          <w:tcPr>
            <w:tcW w:w="1147" w:type="dxa"/>
            <w:shd w:val="clear" w:color="auto" w:fill="auto"/>
            <w:noWrap/>
            <w:vAlign w:val="bottom"/>
            <w:hideMark/>
          </w:tcPr>
          <w:p w14:paraId="5A409A6C"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4,4</w:t>
            </w:r>
          </w:p>
        </w:tc>
        <w:tc>
          <w:tcPr>
            <w:tcW w:w="1147" w:type="dxa"/>
            <w:shd w:val="clear" w:color="auto" w:fill="auto"/>
            <w:noWrap/>
            <w:vAlign w:val="bottom"/>
            <w:hideMark/>
          </w:tcPr>
          <w:p w14:paraId="7B710C74"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4,5</w:t>
            </w:r>
          </w:p>
        </w:tc>
        <w:tc>
          <w:tcPr>
            <w:tcW w:w="1147" w:type="dxa"/>
            <w:shd w:val="clear" w:color="auto" w:fill="auto"/>
            <w:noWrap/>
            <w:vAlign w:val="bottom"/>
            <w:hideMark/>
          </w:tcPr>
          <w:p w14:paraId="3AF7BB92"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4,1</w:t>
            </w:r>
          </w:p>
        </w:tc>
        <w:tc>
          <w:tcPr>
            <w:tcW w:w="1147" w:type="dxa"/>
            <w:shd w:val="clear" w:color="auto" w:fill="auto"/>
            <w:noWrap/>
            <w:vAlign w:val="bottom"/>
            <w:hideMark/>
          </w:tcPr>
          <w:p w14:paraId="4CE3AC93"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3,7</w:t>
            </w:r>
          </w:p>
        </w:tc>
        <w:tc>
          <w:tcPr>
            <w:tcW w:w="1147" w:type="dxa"/>
            <w:shd w:val="clear" w:color="auto" w:fill="auto"/>
            <w:noWrap/>
            <w:vAlign w:val="bottom"/>
            <w:hideMark/>
          </w:tcPr>
          <w:p w14:paraId="556069C1"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3,7</w:t>
            </w:r>
          </w:p>
        </w:tc>
      </w:tr>
      <w:tr w:rsidR="004E2640" w:rsidRPr="007518EE" w14:paraId="68C1EA54" w14:textId="77777777" w:rsidTr="00862368">
        <w:trPr>
          <w:trHeight w:val="240"/>
        </w:trPr>
        <w:tc>
          <w:tcPr>
            <w:tcW w:w="2756" w:type="dxa"/>
            <w:shd w:val="clear" w:color="auto" w:fill="auto"/>
            <w:noWrap/>
            <w:hideMark/>
          </w:tcPr>
          <w:p w14:paraId="3A859C4B" w14:textId="4F2BAD5D" w:rsidR="004E2640" w:rsidRPr="007D4AFD" w:rsidRDefault="004E2640" w:rsidP="00862368">
            <w:pPr>
              <w:pStyle w:val="SingleTxtG"/>
              <w:keepNext/>
              <w:keepLines/>
              <w:tabs>
                <w:tab w:val="clear" w:pos="1701"/>
                <w:tab w:val="clear" w:pos="2268"/>
                <w:tab w:val="clear" w:pos="2835"/>
                <w:tab w:val="left" w:pos="404"/>
              </w:tabs>
              <w:spacing w:before="40" w:after="40" w:line="220" w:lineRule="exact"/>
              <w:ind w:left="404" w:right="0" w:hanging="404"/>
              <w:jc w:val="left"/>
              <w:rPr>
                <w:rFonts w:eastAsia="Calibri"/>
                <w:b/>
                <w:sz w:val="18"/>
                <w:lang w:val="es-ES_tradnl"/>
              </w:rPr>
            </w:pPr>
            <w:r w:rsidRPr="007D4AFD">
              <w:rPr>
                <w:rFonts w:eastAsia="Calibri"/>
                <w:b/>
                <w:sz w:val="18"/>
                <w:lang w:val="es-ES_tradnl"/>
              </w:rPr>
              <w:t>5.8</w:t>
            </w:r>
            <w:r w:rsidRPr="007D4AFD">
              <w:rPr>
                <w:rFonts w:eastAsia="Calibri"/>
                <w:b/>
                <w:sz w:val="18"/>
                <w:lang w:val="es-ES_tradnl"/>
              </w:rPr>
              <w:tab/>
              <w:t xml:space="preserve">Tasa de desempleo rural por franjas de edad </w:t>
            </w:r>
          </w:p>
        </w:tc>
        <w:tc>
          <w:tcPr>
            <w:tcW w:w="1147" w:type="dxa"/>
            <w:shd w:val="clear" w:color="auto" w:fill="auto"/>
            <w:noWrap/>
            <w:vAlign w:val="bottom"/>
            <w:hideMark/>
          </w:tcPr>
          <w:p w14:paraId="32C9CFAD"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rtl/>
                <w:lang w:val="es-ES_tradnl"/>
              </w:rPr>
            </w:pPr>
          </w:p>
        </w:tc>
        <w:tc>
          <w:tcPr>
            <w:tcW w:w="1147" w:type="dxa"/>
            <w:shd w:val="clear" w:color="auto" w:fill="auto"/>
            <w:noWrap/>
            <w:vAlign w:val="bottom"/>
            <w:hideMark/>
          </w:tcPr>
          <w:p w14:paraId="0330DEF1"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04E574C8"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71BDDD18"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1BD7DAA5"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p>
        </w:tc>
        <w:tc>
          <w:tcPr>
            <w:tcW w:w="1147" w:type="dxa"/>
            <w:shd w:val="clear" w:color="auto" w:fill="auto"/>
            <w:noWrap/>
            <w:vAlign w:val="bottom"/>
            <w:hideMark/>
          </w:tcPr>
          <w:p w14:paraId="42EBBD17"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p>
        </w:tc>
      </w:tr>
      <w:tr w:rsidR="004E2640" w:rsidRPr="007518EE" w14:paraId="7D44A097" w14:textId="77777777" w:rsidTr="00862368">
        <w:trPr>
          <w:trHeight w:val="240"/>
        </w:trPr>
        <w:tc>
          <w:tcPr>
            <w:tcW w:w="2756" w:type="dxa"/>
            <w:shd w:val="clear" w:color="auto" w:fill="auto"/>
            <w:noWrap/>
            <w:hideMark/>
          </w:tcPr>
          <w:p w14:paraId="72478396" w14:textId="3B19A9C5" w:rsidR="004E2640" w:rsidRPr="00862368" w:rsidRDefault="004E2640" w:rsidP="00862368">
            <w:pPr>
              <w:pStyle w:val="SingleTxtG"/>
              <w:tabs>
                <w:tab w:val="clear" w:pos="1701"/>
                <w:tab w:val="clear" w:pos="2268"/>
                <w:tab w:val="clear" w:pos="2835"/>
              </w:tabs>
              <w:spacing w:before="40" w:after="40" w:line="220" w:lineRule="exact"/>
              <w:ind w:left="0" w:right="0" w:firstLine="170"/>
              <w:jc w:val="left"/>
              <w:rPr>
                <w:sz w:val="18"/>
                <w:lang w:val="es-ES_tradnl"/>
              </w:rPr>
            </w:pPr>
            <w:r w:rsidRPr="007D4AFD">
              <w:rPr>
                <w:sz w:val="18"/>
                <w:lang w:val="es-ES_tradnl"/>
              </w:rPr>
              <w:t xml:space="preserve">De 15 a 24 años </w:t>
            </w:r>
          </w:p>
        </w:tc>
        <w:tc>
          <w:tcPr>
            <w:tcW w:w="1147" w:type="dxa"/>
            <w:shd w:val="clear" w:color="auto" w:fill="auto"/>
            <w:noWrap/>
            <w:vAlign w:val="bottom"/>
            <w:hideMark/>
          </w:tcPr>
          <w:p w14:paraId="3C9000FC"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8,6</w:t>
            </w:r>
          </w:p>
        </w:tc>
        <w:tc>
          <w:tcPr>
            <w:tcW w:w="1147" w:type="dxa"/>
            <w:shd w:val="clear" w:color="auto" w:fill="auto"/>
            <w:noWrap/>
            <w:vAlign w:val="bottom"/>
            <w:hideMark/>
          </w:tcPr>
          <w:p w14:paraId="7B82A82C"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8,9</w:t>
            </w:r>
          </w:p>
        </w:tc>
        <w:tc>
          <w:tcPr>
            <w:tcW w:w="1147" w:type="dxa"/>
            <w:shd w:val="clear" w:color="auto" w:fill="auto"/>
            <w:noWrap/>
            <w:vAlign w:val="bottom"/>
            <w:hideMark/>
          </w:tcPr>
          <w:p w14:paraId="5E7A9E03"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9,3</w:t>
            </w:r>
          </w:p>
        </w:tc>
        <w:tc>
          <w:tcPr>
            <w:tcW w:w="1147" w:type="dxa"/>
            <w:shd w:val="clear" w:color="auto" w:fill="auto"/>
            <w:noWrap/>
            <w:vAlign w:val="bottom"/>
            <w:hideMark/>
          </w:tcPr>
          <w:p w14:paraId="210CC703"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10,3</w:t>
            </w:r>
          </w:p>
        </w:tc>
        <w:tc>
          <w:tcPr>
            <w:tcW w:w="1147" w:type="dxa"/>
            <w:shd w:val="clear" w:color="auto" w:fill="auto"/>
            <w:noWrap/>
            <w:vAlign w:val="bottom"/>
            <w:hideMark/>
          </w:tcPr>
          <w:p w14:paraId="023B837A"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11,4</w:t>
            </w:r>
          </w:p>
        </w:tc>
        <w:tc>
          <w:tcPr>
            <w:tcW w:w="1147" w:type="dxa"/>
            <w:shd w:val="clear" w:color="auto" w:fill="auto"/>
            <w:noWrap/>
            <w:vAlign w:val="bottom"/>
            <w:hideMark/>
          </w:tcPr>
          <w:p w14:paraId="402F9A70"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10,4</w:t>
            </w:r>
          </w:p>
        </w:tc>
      </w:tr>
      <w:tr w:rsidR="004E2640" w:rsidRPr="007518EE" w14:paraId="4D651471" w14:textId="77777777" w:rsidTr="00862368">
        <w:trPr>
          <w:trHeight w:val="240"/>
        </w:trPr>
        <w:tc>
          <w:tcPr>
            <w:tcW w:w="2756" w:type="dxa"/>
            <w:shd w:val="clear" w:color="auto" w:fill="auto"/>
            <w:noWrap/>
            <w:hideMark/>
          </w:tcPr>
          <w:p w14:paraId="4CD1B2E5" w14:textId="42407F99" w:rsidR="004E2640" w:rsidRPr="00862368" w:rsidRDefault="004E2640" w:rsidP="00862368">
            <w:pPr>
              <w:pStyle w:val="SingleTxtG"/>
              <w:tabs>
                <w:tab w:val="clear" w:pos="1701"/>
                <w:tab w:val="clear" w:pos="2268"/>
                <w:tab w:val="clear" w:pos="2835"/>
              </w:tabs>
              <w:spacing w:before="40" w:after="40" w:line="220" w:lineRule="exact"/>
              <w:ind w:left="0" w:right="0" w:firstLine="170"/>
              <w:jc w:val="left"/>
              <w:rPr>
                <w:sz w:val="18"/>
                <w:lang w:val="es-ES_tradnl"/>
              </w:rPr>
            </w:pPr>
            <w:r w:rsidRPr="007D4AFD">
              <w:rPr>
                <w:sz w:val="18"/>
                <w:lang w:val="es-ES_tradnl"/>
              </w:rPr>
              <w:t xml:space="preserve">De 25 a 34 años </w:t>
            </w:r>
          </w:p>
        </w:tc>
        <w:tc>
          <w:tcPr>
            <w:tcW w:w="1147" w:type="dxa"/>
            <w:shd w:val="clear" w:color="auto" w:fill="auto"/>
            <w:noWrap/>
            <w:vAlign w:val="bottom"/>
            <w:hideMark/>
          </w:tcPr>
          <w:p w14:paraId="23C8E6B7"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4,2</w:t>
            </w:r>
          </w:p>
        </w:tc>
        <w:tc>
          <w:tcPr>
            <w:tcW w:w="1147" w:type="dxa"/>
            <w:shd w:val="clear" w:color="auto" w:fill="auto"/>
            <w:noWrap/>
            <w:vAlign w:val="bottom"/>
            <w:hideMark/>
          </w:tcPr>
          <w:p w14:paraId="6D47C70E"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4,5</w:t>
            </w:r>
          </w:p>
        </w:tc>
        <w:tc>
          <w:tcPr>
            <w:tcW w:w="1147" w:type="dxa"/>
            <w:shd w:val="clear" w:color="auto" w:fill="auto"/>
            <w:noWrap/>
            <w:vAlign w:val="bottom"/>
            <w:hideMark/>
          </w:tcPr>
          <w:p w14:paraId="75AC5659"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4,6</w:t>
            </w:r>
          </w:p>
        </w:tc>
        <w:tc>
          <w:tcPr>
            <w:tcW w:w="1147" w:type="dxa"/>
            <w:shd w:val="clear" w:color="auto" w:fill="auto"/>
            <w:noWrap/>
            <w:vAlign w:val="bottom"/>
            <w:hideMark/>
          </w:tcPr>
          <w:p w14:paraId="6F7994AE"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5,0</w:t>
            </w:r>
          </w:p>
        </w:tc>
        <w:tc>
          <w:tcPr>
            <w:tcW w:w="1147" w:type="dxa"/>
            <w:shd w:val="clear" w:color="auto" w:fill="auto"/>
            <w:noWrap/>
            <w:vAlign w:val="bottom"/>
            <w:hideMark/>
          </w:tcPr>
          <w:p w14:paraId="2649DD42"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5,0</w:t>
            </w:r>
          </w:p>
        </w:tc>
        <w:tc>
          <w:tcPr>
            <w:tcW w:w="1147" w:type="dxa"/>
            <w:shd w:val="clear" w:color="auto" w:fill="auto"/>
            <w:noWrap/>
            <w:vAlign w:val="bottom"/>
            <w:hideMark/>
          </w:tcPr>
          <w:p w14:paraId="7ABA052A"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4,5</w:t>
            </w:r>
          </w:p>
        </w:tc>
      </w:tr>
      <w:tr w:rsidR="004E2640" w:rsidRPr="007518EE" w14:paraId="6AD72E44" w14:textId="77777777" w:rsidTr="00862368">
        <w:trPr>
          <w:trHeight w:val="240"/>
        </w:trPr>
        <w:tc>
          <w:tcPr>
            <w:tcW w:w="2756" w:type="dxa"/>
            <w:shd w:val="clear" w:color="auto" w:fill="auto"/>
            <w:noWrap/>
            <w:hideMark/>
          </w:tcPr>
          <w:p w14:paraId="39CE1A61" w14:textId="1D5DFA9E" w:rsidR="004E2640" w:rsidRPr="00862368" w:rsidRDefault="004E2640" w:rsidP="00862368">
            <w:pPr>
              <w:pStyle w:val="SingleTxtG"/>
              <w:tabs>
                <w:tab w:val="clear" w:pos="1701"/>
                <w:tab w:val="clear" w:pos="2268"/>
                <w:tab w:val="clear" w:pos="2835"/>
              </w:tabs>
              <w:spacing w:before="40" w:after="40" w:line="220" w:lineRule="exact"/>
              <w:ind w:left="0" w:right="0" w:firstLine="170"/>
              <w:jc w:val="left"/>
              <w:rPr>
                <w:sz w:val="18"/>
                <w:lang w:val="es-ES_tradnl"/>
              </w:rPr>
            </w:pPr>
            <w:r w:rsidRPr="007D4AFD">
              <w:rPr>
                <w:sz w:val="18"/>
                <w:lang w:val="es-ES_tradnl"/>
              </w:rPr>
              <w:t xml:space="preserve">De 35 a 44 años  </w:t>
            </w:r>
          </w:p>
        </w:tc>
        <w:tc>
          <w:tcPr>
            <w:tcW w:w="1147" w:type="dxa"/>
            <w:shd w:val="clear" w:color="auto" w:fill="auto"/>
            <w:noWrap/>
            <w:vAlign w:val="bottom"/>
            <w:hideMark/>
          </w:tcPr>
          <w:p w14:paraId="32D6C139"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2,1</w:t>
            </w:r>
          </w:p>
        </w:tc>
        <w:tc>
          <w:tcPr>
            <w:tcW w:w="1147" w:type="dxa"/>
            <w:shd w:val="clear" w:color="auto" w:fill="auto"/>
            <w:noWrap/>
            <w:vAlign w:val="bottom"/>
            <w:hideMark/>
          </w:tcPr>
          <w:p w14:paraId="73BF7435"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2,7</w:t>
            </w:r>
          </w:p>
        </w:tc>
        <w:tc>
          <w:tcPr>
            <w:tcW w:w="1147" w:type="dxa"/>
            <w:shd w:val="clear" w:color="auto" w:fill="auto"/>
            <w:noWrap/>
            <w:vAlign w:val="bottom"/>
            <w:hideMark/>
          </w:tcPr>
          <w:p w14:paraId="12DA008E"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2,3</w:t>
            </w:r>
          </w:p>
        </w:tc>
        <w:tc>
          <w:tcPr>
            <w:tcW w:w="1147" w:type="dxa"/>
            <w:shd w:val="clear" w:color="auto" w:fill="auto"/>
            <w:noWrap/>
            <w:vAlign w:val="bottom"/>
            <w:hideMark/>
          </w:tcPr>
          <w:p w14:paraId="5053FF42"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2,0</w:t>
            </w:r>
          </w:p>
        </w:tc>
        <w:tc>
          <w:tcPr>
            <w:tcW w:w="1147" w:type="dxa"/>
            <w:shd w:val="clear" w:color="auto" w:fill="auto"/>
            <w:noWrap/>
            <w:vAlign w:val="bottom"/>
            <w:hideMark/>
          </w:tcPr>
          <w:p w14:paraId="41745F3E"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1,9</w:t>
            </w:r>
          </w:p>
        </w:tc>
        <w:tc>
          <w:tcPr>
            <w:tcW w:w="1147" w:type="dxa"/>
            <w:shd w:val="clear" w:color="auto" w:fill="auto"/>
            <w:noWrap/>
            <w:vAlign w:val="bottom"/>
            <w:hideMark/>
          </w:tcPr>
          <w:p w14:paraId="2876A651"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1,6</w:t>
            </w:r>
          </w:p>
        </w:tc>
      </w:tr>
      <w:tr w:rsidR="004E2640" w:rsidRPr="007518EE" w14:paraId="617D8552" w14:textId="77777777" w:rsidTr="00862368">
        <w:trPr>
          <w:trHeight w:val="240"/>
        </w:trPr>
        <w:tc>
          <w:tcPr>
            <w:tcW w:w="2756" w:type="dxa"/>
            <w:shd w:val="clear" w:color="auto" w:fill="auto"/>
            <w:noWrap/>
            <w:hideMark/>
          </w:tcPr>
          <w:p w14:paraId="5C16D36C" w14:textId="77777777" w:rsidR="004E2640" w:rsidRPr="00862368" w:rsidRDefault="004E2640" w:rsidP="00862368">
            <w:pPr>
              <w:pStyle w:val="SingleTxtG"/>
              <w:tabs>
                <w:tab w:val="clear" w:pos="1701"/>
                <w:tab w:val="clear" w:pos="2268"/>
                <w:tab w:val="clear" w:pos="2835"/>
              </w:tabs>
              <w:spacing w:before="40" w:after="40" w:line="220" w:lineRule="exact"/>
              <w:ind w:left="0" w:right="0" w:firstLine="170"/>
              <w:jc w:val="left"/>
              <w:rPr>
                <w:sz w:val="18"/>
                <w:lang w:val="es-ES_tradnl"/>
              </w:rPr>
            </w:pPr>
            <w:r w:rsidRPr="007D4AFD">
              <w:rPr>
                <w:sz w:val="18"/>
                <w:lang w:val="es-ES_tradnl"/>
              </w:rPr>
              <w:t xml:space="preserve">De 45 años y más </w:t>
            </w:r>
          </w:p>
        </w:tc>
        <w:tc>
          <w:tcPr>
            <w:tcW w:w="1147" w:type="dxa"/>
            <w:shd w:val="clear" w:color="auto" w:fill="auto"/>
            <w:noWrap/>
            <w:vAlign w:val="bottom"/>
            <w:hideMark/>
          </w:tcPr>
          <w:p w14:paraId="72B9C5A6"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1,0</w:t>
            </w:r>
          </w:p>
        </w:tc>
        <w:tc>
          <w:tcPr>
            <w:tcW w:w="1147" w:type="dxa"/>
            <w:shd w:val="clear" w:color="auto" w:fill="auto"/>
            <w:noWrap/>
            <w:vAlign w:val="bottom"/>
            <w:hideMark/>
          </w:tcPr>
          <w:p w14:paraId="5BE07554"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1,5</w:t>
            </w:r>
          </w:p>
        </w:tc>
        <w:tc>
          <w:tcPr>
            <w:tcW w:w="1147" w:type="dxa"/>
            <w:shd w:val="clear" w:color="auto" w:fill="auto"/>
            <w:noWrap/>
            <w:vAlign w:val="bottom"/>
            <w:hideMark/>
          </w:tcPr>
          <w:p w14:paraId="4D01F374"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1,3</w:t>
            </w:r>
          </w:p>
        </w:tc>
        <w:tc>
          <w:tcPr>
            <w:tcW w:w="1147" w:type="dxa"/>
            <w:shd w:val="clear" w:color="auto" w:fill="auto"/>
            <w:noWrap/>
            <w:vAlign w:val="bottom"/>
            <w:hideMark/>
          </w:tcPr>
          <w:p w14:paraId="5EE57E1C"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1,1</w:t>
            </w:r>
          </w:p>
        </w:tc>
        <w:tc>
          <w:tcPr>
            <w:tcW w:w="1147" w:type="dxa"/>
            <w:shd w:val="clear" w:color="auto" w:fill="auto"/>
            <w:noWrap/>
            <w:vAlign w:val="bottom"/>
            <w:hideMark/>
          </w:tcPr>
          <w:p w14:paraId="2523D143"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0,9</w:t>
            </w:r>
          </w:p>
        </w:tc>
        <w:tc>
          <w:tcPr>
            <w:tcW w:w="1147" w:type="dxa"/>
            <w:shd w:val="clear" w:color="auto" w:fill="auto"/>
            <w:noWrap/>
            <w:vAlign w:val="bottom"/>
            <w:hideMark/>
          </w:tcPr>
          <w:p w14:paraId="6A1FD00D"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0,9</w:t>
            </w:r>
          </w:p>
        </w:tc>
      </w:tr>
      <w:tr w:rsidR="004E2640" w:rsidRPr="007518EE" w14:paraId="6773D88B" w14:textId="77777777" w:rsidTr="00862368">
        <w:trPr>
          <w:trHeight w:val="240"/>
        </w:trPr>
        <w:tc>
          <w:tcPr>
            <w:tcW w:w="2756" w:type="dxa"/>
            <w:shd w:val="clear" w:color="auto" w:fill="auto"/>
            <w:noWrap/>
            <w:hideMark/>
          </w:tcPr>
          <w:p w14:paraId="27708BA2" w14:textId="16A9DD60" w:rsidR="004E2640" w:rsidRPr="00862368" w:rsidRDefault="004E2640" w:rsidP="00862368">
            <w:pPr>
              <w:pStyle w:val="SingleTxtG"/>
              <w:keepNext/>
              <w:keepLines/>
              <w:tabs>
                <w:tab w:val="clear" w:pos="1701"/>
                <w:tab w:val="clear" w:pos="2268"/>
                <w:tab w:val="clear" w:pos="2835"/>
                <w:tab w:val="left" w:pos="404"/>
              </w:tabs>
              <w:spacing w:before="40" w:after="40" w:line="220" w:lineRule="exact"/>
              <w:ind w:left="404" w:right="0" w:hanging="404"/>
              <w:jc w:val="left"/>
              <w:rPr>
                <w:rFonts w:eastAsia="Calibri"/>
                <w:b/>
                <w:sz w:val="18"/>
                <w:lang w:val="es-ES_tradnl"/>
              </w:rPr>
            </w:pPr>
            <w:r w:rsidRPr="007D4AFD">
              <w:rPr>
                <w:rFonts w:eastAsia="Calibri"/>
                <w:b/>
                <w:sz w:val="18"/>
                <w:lang w:val="es-ES_tradnl"/>
              </w:rPr>
              <w:t>5.9</w:t>
            </w:r>
            <w:r w:rsidRPr="007D4AFD">
              <w:rPr>
                <w:rFonts w:eastAsia="Calibri"/>
                <w:b/>
                <w:sz w:val="18"/>
                <w:lang w:val="es-ES_tradnl"/>
              </w:rPr>
              <w:tab/>
              <w:t>Tasa de desempleo urbano según el certificado obtenido</w:t>
            </w:r>
          </w:p>
        </w:tc>
        <w:tc>
          <w:tcPr>
            <w:tcW w:w="1147" w:type="dxa"/>
            <w:shd w:val="clear" w:color="auto" w:fill="auto"/>
            <w:noWrap/>
            <w:vAlign w:val="bottom"/>
            <w:hideMark/>
          </w:tcPr>
          <w:p w14:paraId="23A98E76"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bCs/>
                <w:sz w:val="18"/>
                <w:rtl/>
                <w:lang w:val="es-ES_tradnl"/>
              </w:rPr>
            </w:pPr>
          </w:p>
        </w:tc>
        <w:tc>
          <w:tcPr>
            <w:tcW w:w="1147" w:type="dxa"/>
            <w:shd w:val="clear" w:color="auto" w:fill="auto"/>
            <w:noWrap/>
            <w:vAlign w:val="bottom"/>
            <w:hideMark/>
          </w:tcPr>
          <w:p w14:paraId="3ACAF8B8"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17B478FF"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0192936D"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p>
        </w:tc>
        <w:tc>
          <w:tcPr>
            <w:tcW w:w="1147" w:type="dxa"/>
            <w:shd w:val="clear" w:color="auto" w:fill="auto"/>
            <w:noWrap/>
            <w:vAlign w:val="bottom"/>
            <w:hideMark/>
          </w:tcPr>
          <w:p w14:paraId="6F2E6655"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p>
        </w:tc>
        <w:tc>
          <w:tcPr>
            <w:tcW w:w="1147" w:type="dxa"/>
            <w:shd w:val="clear" w:color="auto" w:fill="auto"/>
            <w:noWrap/>
            <w:vAlign w:val="bottom"/>
            <w:hideMark/>
          </w:tcPr>
          <w:p w14:paraId="6218AB63"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p>
        </w:tc>
      </w:tr>
      <w:tr w:rsidR="004E2640" w:rsidRPr="007518EE" w14:paraId="6B2855D8" w14:textId="77777777" w:rsidTr="00862368">
        <w:trPr>
          <w:trHeight w:val="240"/>
        </w:trPr>
        <w:tc>
          <w:tcPr>
            <w:tcW w:w="2756" w:type="dxa"/>
            <w:shd w:val="clear" w:color="auto" w:fill="auto"/>
            <w:noWrap/>
            <w:hideMark/>
          </w:tcPr>
          <w:p w14:paraId="624735B2" w14:textId="77777777" w:rsidR="004E2640" w:rsidRPr="007D4AFD" w:rsidRDefault="004E2640" w:rsidP="004E2640">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7D4AFD">
              <w:rPr>
                <w:sz w:val="18"/>
                <w:lang w:val="es-ES_tradnl"/>
              </w:rPr>
              <w:t xml:space="preserve">Sin certificado </w:t>
            </w:r>
          </w:p>
        </w:tc>
        <w:tc>
          <w:tcPr>
            <w:tcW w:w="1147" w:type="dxa"/>
            <w:shd w:val="clear" w:color="auto" w:fill="auto"/>
            <w:noWrap/>
            <w:vAlign w:val="bottom"/>
            <w:hideMark/>
          </w:tcPr>
          <w:p w14:paraId="60E3C867"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7,7</w:t>
            </w:r>
          </w:p>
        </w:tc>
        <w:tc>
          <w:tcPr>
            <w:tcW w:w="1147" w:type="dxa"/>
            <w:shd w:val="clear" w:color="auto" w:fill="auto"/>
            <w:noWrap/>
            <w:vAlign w:val="bottom"/>
            <w:hideMark/>
          </w:tcPr>
          <w:p w14:paraId="1D8BEFFC"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8,1</w:t>
            </w:r>
          </w:p>
        </w:tc>
        <w:tc>
          <w:tcPr>
            <w:tcW w:w="1147" w:type="dxa"/>
            <w:shd w:val="clear" w:color="auto" w:fill="auto"/>
            <w:noWrap/>
            <w:vAlign w:val="bottom"/>
            <w:hideMark/>
          </w:tcPr>
          <w:p w14:paraId="1C8264D9"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7,3</w:t>
            </w:r>
          </w:p>
        </w:tc>
        <w:tc>
          <w:tcPr>
            <w:tcW w:w="1147" w:type="dxa"/>
            <w:shd w:val="clear" w:color="auto" w:fill="auto"/>
            <w:noWrap/>
            <w:vAlign w:val="bottom"/>
            <w:hideMark/>
          </w:tcPr>
          <w:p w14:paraId="5163AB8D"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6,4</w:t>
            </w:r>
          </w:p>
        </w:tc>
        <w:tc>
          <w:tcPr>
            <w:tcW w:w="1147" w:type="dxa"/>
            <w:shd w:val="clear" w:color="auto" w:fill="auto"/>
            <w:noWrap/>
            <w:vAlign w:val="bottom"/>
            <w:hideMark/>
          </w:tcPr>
          <w:p w14:paraId="77B92E70"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6,7</w:t>
            </w:r>
          </w:p>
        </w:tc>
        <w:tc>
          <w:tcPr>
            <w:tcW w:w="1147" w:type="dxa"/>
            <w:shd w:val="clear" w:color="auto" w:fill="auto"/>
            <w:noWrap/>
            <w:vAlign w:val="bottom"/>
            <w:hideMark/>
          </w:tcPr>
          <w:p w14:paraId="16378650"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6,2</w:t>
            </w:r>
          </w:p>
        </w:tc>
      </w:tr>
      <w:tr w:rsidR="004E2640" w:rsidRPr="007518EE" w14:paraId="623E08F9" w14:textId="77777777" w:rsidTr="00862368">
        <w:trPr>
          <w:trHeight w:val="240"/>
        </w:trPr>
        <w:tc>
          <w:tcPr>
            <w:tcW w:w="2756" w:type="dxa"/>
            <w:shd w:val="clear" w:color="auto" w:fill="auto"/>
            <w:noWrap/>
            <w:hideMark/>
          </w:tcPr>
          <w:p w14:paraId="057234CF" w14:textId="77777777" w:rsidR="004E2640" w:rsidRPr="007D4AFD" w:rsidRDefault="004E2640" w:rsidP="004E2640">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7D4AFD">
              <w:rPr>
                <w:sz w:val="18"/>
                <w:lang w:val="es-ES_tradnl"/>
              </w:rPr>
              <w:t xml:space="preserve">Certificado de nivel medio </w:t>
            </w:r>
          </w:p>
        </w:tc>
        <w:tc>
          <w:tcPr>
            <w:tcW w:w="1147" w:type="dxa"/>
            <w:shd w:val="clear" w:color="auto" w:fill="auto"/>
            <w:noWrap/>
            <w:vAlign w:val="bottom"/>
            <w:hideMark/>
          </w:tcPr>
          <w:p w14:paraId="0960AE10"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18,7</w:t>
            </w:r>
          </w:p>
        </w:tc>
        <w:tc>
          <w:tcPr>
            <w:tcW w:w="1147" w:type="dxa"/>
            <w:shd w:val="clear" w:color="auto" w:fill="auto"/>
            <w:noWrap/>
            <w:vAlign w:val="bottom"/>
            <w:hideMark/>
          </w:tcPr>
          <w:p w14:paraId="5D024C84"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18,8</w:t>
            </w:r>
          </w:p>
        </w:tc>
        <w:tc>
          <w:tcPr>
            <w:tcW w:w="1147" w:type="dxa"/>
            <w:shd w:val="clear" w:color="auto" w:fill="auto"/>
            <w:noWrap/>
            <w:vAlign w:val="bottom"/>
            <w:hideMark/>
          </w:tcPr>
          <w:p w14:paraId="3C3E4057"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18,6</w:t>
            </w:r>
          </w:p>
        </w:tc>
        <w:tc>
          <w:tcPr>
            <w:tcW w:w="1147" w:type="dxa"/>
            <w:shd w:val="clear" w:color="auto" w:fill="auto"/>
            <w:noWrap/>
            <w:vAlign w:val="bottom"/>
            <w:hideMark/>
          </w:tcPr>
          <w:p w14:paraId="3B372205"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16,8</w:t>
            </w:r>
          </w:p>
        </w:tc>
        <w:tc>
          <w:tcPr>
            <w:tcW w:w="1147" w:type="dxa"/>
            <w:shd w:val="clear" w:color="auto" w:fill="auto"/>
            <w:noWrap/>
            <w:vAlign w:val="bottom"/>
            <w:hideMark/>
          </w:tcPr>
          <w:p w14:paraId="4D21008B"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17,6</w:t>
            </w:r>
          </w:p>
        </w:tc>
        <w:tc>
          <w:tcPr>
            <w:tcW w:w="1147" w:type="dxa"/>
            <w:shd w:val="clear" w:color="auto" w:fill="auto"/>
            <w:noWrap/>
            <w:vAlign w:val="bottom"/>
            <w:hideMark/>
          </w:tcPr>
          <w:p w14:paraId="061EAF77"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p>
        </w:tc>
      </w:tr>
      <w:tr w:rsidR="004E2640" w:rsidRPr="007518EE" w14:paraId="56D03741" w14:textId="77777777" w:rsidTr="00862368">
        <w:trPr>
          <w:trHeight w:val="240"/>
        </w:trPr>
        <w:tc>
          <w:tcPr>
            <w:tcW w:w="2756" w:type="dxa"/>
            <w:shd w:val="clear" w:color="auto" w:fill="auto"/>
            <w:noWrap/>
            <w:hideMark/>
          </w:tcPr>
          <w:p w14:paraId="00EB20C3" w14:textId="77777777" w:rsidR="004E2640" w:rsidRPr="007D4AFD" w:rsidRDefault="004E2640" w:rsidP="004E2640">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7D4AFD">
              <w:rPr>
                <w:sz w:val="18"/>
                <w:lang w:val="es-ES_tradnl"/>
              </w:rPr>
              <w:t>Certificado de nivel superior</w:t>
            </w:r>
          </w:p>
        </w:tc>
        <w:tc>
          <w:tcPr>
            <w:tcW w:w="1147" w:type="dxa"/>
            <w:shd w:val="clear" w:color="auto" w:fill="auto"/>
            <w:noWrap/>
            <w:vAlign w:val="bottom"/>
            <w:hideMark/>
          </w:tcPr>
          <w:p w14:paraId="57548652"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18,4</w:t>
            </w:r>
          </w:p>
        </w:tc>
        <w:tc>
          <w:tcPr>
            <w:tcW w:w="1147" w:type="dxa"/>
            <w:shd w:val="clear" w:color="auto" w:fill="auto"/>
            <w:noWrap/>
            <w:vAlign w:val="bottom"/>
            <w:hideMark/>
          </w:tcPr>
          <w:p w14:paraId="60B1DB71"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20,7</w:t>
            </w:r>
          </w:p>
        </w:tc>
        <w:tc>
          <w:tcPr>
            <w:tcW w:w="1147" w:type="dxa"/>
            <w:shd w:val="clear" w:color="auto" w:fill="auto"/>
            <w:noWrap/>
            <w:vAlign w:val="bottom"/>
            <w:hideMark/>
          </w:tcPr>
          <w:p w14:paraId="223C79AF"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20,9</w:t>
            </w:r>
          </w:p>
        </w:tc>
        <w:tc>
          <w:tcPr>
            <w:tcW w:w="1147" w:type="dxa"/>
            <w:shd w:val="clear" w:color="auto" w:fill="auto"/>
            <w:noWrap/>
            <w:vAlign w:val="bottom"/>
            <w:hideMark/>
          </w:tcPr>
          <w:p w14:paraId="0514FD2E"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21,1</w:t>
            </w:r>
          </w:p>
        </w:tc>
        <w:tc>
          <w:tcPr>
            <w:tcW w:w="1147" w:type="dxa"/>
            <w:shd w:val="clear" w:color="auto" w:fill="auto"/>
            <w:noWrap/>
            <w:vAlign w:val="bottom"/>
            <w:hideMark/>
          </w:tcPr>
          <w:p w14:paraId="11416F95"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22,9</w:t>
            </w:r>
          </w:p>
        </w:tc>
        <w:tc>
          <w:tcPr>
            <w:tcW w:w="1147" w:type="dxa"/>
            <w:shd w:val="clear" w:color="auto" w:fill="auto"/>
            <w:noWrap/>
            <w:vAlign w:val="bottom"/>
            <w:hideMark/>
          </w:tcPr>
          <w:p w14:paraId="16625E81"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p>
        </w:tc>
      </w:tr>
      <w:tr w:rsidR="004E2640" w:rsidRPr="007518EE" w14:paraId="1B5E2D61" w14:textId="77777777" w:rsidTr="00862368">
        <w:trPr>
          <w:trHeight w:val="240"/>
        </w:trPr>
        <w:tc>
          <w:tcPr>
            <w:tcW w:w="2756" w:type="dxa"/>
            <w:shd w:val="clear" w:color="auto" w:fill="auto"/>
            <w:noWrap/>
            <w:hideMark/>
          </w:tcPr>
          <w:p w14:paraId="0CE4A1E4" w14:textId="77777777" w:rsidR="004E2640" w:rsidRPr="007D4AFD" w:rsidRDefault="004E2640" w:rsidP="004E2640">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7D4AFD">
              <w:rPr>
                <w:sz w:val="18"/>
                <w:lang w:val="es-ES_tradnl"/>
              </w:rPr>
              <w:t>Con certificado</w:t>
            </w:r>
          </w:p>
        </w:tc>
        <w:tc>
          <w:tcPr>
            <w:tcW w:w="1147" w:type="dxa"/>
            <w:shd w:val="clear" w:color="auto" w:fill="auto"/>
            <w:noWrap/>
            <w:vAlign w:val="bottom"/>
            <w:hideMark/>
          </w:tcPr>
          <w:p w14:paraId="3A23632C"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18,6</w:t>
            </w:r>
          </w:p>
        </w:tc>
        <w:tc>
          <w:tcPr>
            <w:tcW w:w="1147" w:type="dxa"/>
            <w:shd w:val="clear" w:color="auto" w:fill="auto"/>
            <w:noWrap/>
            <w:vAlign w:val="bottom"/>
            <w:hideMark/>
          </w:tcPr>
          <w:p w14:paraId="7AA0636D"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19,5</w:t>
            </w:r>
          </w:p>
        </w:tc>
        <w:tc>
          <w:tcPr>
            <w:tcW w:w="1147" w:type="dxa"/>
            <w:shd w:val="clear" w:color="auto" w:fill="auto"/>
            <w:noWrap/>
            <w:vAlign w:val="bottom"/>
            <w:hideMark/>
          </w:tcPr>
          <w:p w14:paraId="761341A2"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19,5</w:t>
            </w:r>
          </w:p>
        </w:tc>
        <w:tc>
          <w:tcPr>
            <w:tcW w:w="1147" w:type="dxa"/>
            <w:shd w:val="clear" w:color="auto" w:fill="auto"/>
            <w:noWrap/>
            <w:vAlign w:val="bottom"/>
            <w:hideMark/>
          </w:tcPr>
          <w:p w14:paraId="5BC9D990"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19,4</w:t>
            </w:r>
          </w:p>
        </w:tc>
        <w:tc>
          <w:tcPr>
            <w:tcW w:w="1147" w:type="dxa"/>
            <w:shd w:val="clear" w:color="auto" w:fill="auto"/>
            <w:noWrap/>
            <w:vAlign w:val="bottom"/>
            <w:hideMark/>
          </w:tcPr>
          <w:p w14:paraId="69AC50F0"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19,6</w:t>
            </w:r>
          </w:p>
        </w:tc>
        <w:tc>
          <w:tcPr>
            <w:tcW w:w="1147" w:type="dxa"/>
            <w:shd w:val="clear" w:color="auto" w:fill="auto"/>
            <w:noWrap/>
            <w:vAlign w:val="bottom"/>
            <w:hideMark/>
          </w:tcPr>
          <w:p w14:paraId="12A9E90C"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19,1</w:t>
            </w:r>
          </w:p>
        </w:tc>
      </w:tr>
      <w:tr w:rsidR="004E2640" w:rsidRPr="007518EE" w14:paraId="18F69E70" w14:textId="77777777" w:rsidTr="00862368">
        <w:trPr>
          <w:trHeight w:val="240"/>
        </w:trPr>
        <w:tc>
          <w:tcPr>
            <w:tcW w:w="2756" w:type="dxa"/>
            <w:shd w:val="clear" w:color="auto" w:fill="auto"/>
            <w:noWrap/>
            <w:hideMark/>
          </w:tcPr>
          <w:p w14:paraId="048B0EBA" w14:textId="5D2639A8" w:rsidR="004E2640" w:rsidRPr="007D4AFD" w:rsidRDefault="004E2640" w:rsidP="00862368">
            <w:pPr>
              <w:pStyle w:val="SingleTxtG"/>
              <w:keepNext/>
              <w:keepLines/>
              <w:tabs>
                <w:tab w:val="clear" w:pos="1701"/>
                <w:tab w:val="clear" w:pos="2268"/>
                <w:tab w:val="clear" w:pos="2835"/>
                <w:tab w:val="left" w:pos="404"/>
              </w:tabs>
              <w:spacing w:before="40" w:after="40" w:line="220" w:lineRule="exact"/>
              <w:ind w:left="404" w:right="0" w:hanging="404"/>
              <w:jc w:val="left"/>
              <w:rPr>
                <w:rFonts w:eastAsia="Calibri"/>
                <w:b/>
                <w:sz w:val="18"/>
                <w:lang w:val="es-ES_tradnl"/>
              </w:rPr>
            </w:pPr>
            <w:r w:rsidRPr="007D4AFD">
              <w:rPr>
                <w:rFonts w:eastAsia="Calibri"/>
                <w:b/>
                <w:sz w:val="18"/>
                <w:lang w:val="es-ES_tradnl"/>
              </w:rPr>
              <w:t>5.10</w:t>
            </w:r>
            <w:r>
              <w:rPr>
                <w:rFonts w:eastAsia="Calibri"/>
                <w:b/>
                <w:sz w:val="18"/>
                <w:lang w:val="es-ES_tradnl"/>
              </w:rPr>
              <w:tab/>
              <w:t>T</w:t>
            </w:r>
            <w:r w:rsidRPr="007D4AFD">
              <w:rPr>
                <w:rFonts w:eastAsia="Calibri"/>
                <w:b/>
                <w:sz w:val="18"/>
                <w:lang w:val="es-ES_tradnl"/>
              </w:rPr>
              <w:t xml:space="preserve">asa </w:t>
            </w:r>
            <w:r w:rsidRPr="00862368">
              <w:rPr>
                <w:rFonts w:eastAsia="Calibri"/>
                <w:b/>
                <w:sz w:val="18"/>
                <w:lang w:val="es-ES_tradnl"/>
              </w:rPr>
              <w:t>de</w:t>
            </w:r>
            <w:r w:rsidRPr="007D4AFD">
              <w:rPr>
                <w:rFonts w:eastAsia="Calibri"/>
                <w:b/>
                <w:sz w:val="18"/>
                <w:lang w:val="es-ES_tradnl"/>
              </w:rPr>
              <w:t xml:space="preserve"> desempleo rural según el certificado obtenido</w:t>
            </w:r>
          </w:p>
        </w:tc>
        <w:tc>
          <w:tcPr>
            <w:tcW w:w="1147" w:type="dxa"/>
            <w:shd w:val="clear" w:color="auto" w:fill="auto"/>
          </w:tcPr>
          <w:p w14:paraId="713DCC1A" w14:textId="77777777" w:rsidR="004E2640" w:rsidRPr="007D4AFD" w:rsidRDefault="004E2640" w:rsidP="004E2640">
            <w:pPr>
              <w:pStyle w:val="SingleTxtG"/>
              <w:tabs>
                <w:tab w:val="clear" w:pos="1701"/>
                <w:tab w:val="clear" w:pos="2268"/>
                <w:tab w:val="clear" w:pos="2835"/>
                <w:tab w:val="left" w:pos="567"/>
              </w:tabs>
              <w:spacing w:before="40" w:after="40" w:line="220" w:lineRule="exact"/>
              <w:ind w:left="0" w:right="0"/>
              <w:jc w:val="left"/>
              <w:rPr>
                <w:rFonts w:eastAsia="Calibri"/>
                <w:b/>
                <w:sz w:val="18"/>
                <w:lang w:val="es-ES_tradnl"/>
              </w:rPr>
            </w:pPr>
          </w:p>
        </w:tc>
        <w:tc>
          <w:tcPr>
            <w:tcW w:w="1147" w:type="dxa"/>
            <w:shd w:val="clear" w:color="auto" w:fill="auto"/>
          </w:tcPr>
          <w:p w14:paraId="65C0A021" w14:textId="583480CB" w:rsidR="004E2640" w:rsidRPr="007D4AFD" w:rsidRDefault="004E2640" w:rsidP="004E2640">
            <w:pPr>
              <w:pStyle w:val="SingleTxtG"/>
              <w:tabs>
                <w:tab w:val="clear" w:pos="1701"/>
                <w:tab w:val="clear" w:pos="2268"/>
                <w:tab w:val="clear" w:pos="2835"/>
                <w:tab w:val="left" w:pos="567"/>
              </w:tabs>
              <w:spacing w:before="40" w:after="40" w:line="220" w:lineRule="exact"/>
              <w:ind w:left="0" w:right="0"/>
              <w:jc w:val="left"/>
              <w:rPr>
                <w:rFonts w:eastAsia="Calibri"/>
                <w:b/>
                <w:sz w:val="18"/>
                <w:lang w:val="es-ES_tradnl"/>
              </w:rPr>
            </w:pPr>
          </w:p>
        </w:tc>
        <w:tc>
          <w:tcPr>
            <w:tcW w:w="1147" w:type="dxa"/>
            <w:shd w:val="clear" w:color="auto" w:fill="auto"/>
          </w:tcPr>
          <w:p w14:paraId="29CBF26C" w14:textId="77777777" w:rsidR="004E2640" w:rsidRPr="007D4AFD" w:rsidRDefault="004E2640" w:rsidP="004E2640">
            <w:pPr>
              <w:pStyle w:val="SingleTxtG"/>
              <w:tabs>
                <w:tab w:val="clear" w:pos="1701"/>
                <w:tab w:val="clear" w:pos="2268"/>
                <w:tab w:val="clear" w:pos="2835"/>
                <w:tab w:val="left" w:pos="567"/>
              </w:tabs>
              <w:spacing w:before="40" w:after="40" w:line="220" w:lineRule="exact"/>
              <w:ind w:left="0" w:right="0"/>
              <w:jc w:val="left"/>
              <w:rPr>
                <w:rFonts w:eastAsia="Calibri"/>
                <w:b/>
                <w:sz w:val="18"/>
                <w:lang w:val="es-ES_tradnl"/>
              </w:rPr>
            </w:pPr>
          </w:p>
        </w:tc>
        <w:tc>
          <w:tcPr>
            <w:tcW w:w="1147" w:type="dxa"/>
            <w:shd w:val="clear" w:color="auto" w:fill="auto"/>
          </w:tcPr>
          <w:p w14:paraId="101FEA4F" w14:textId="77777777" w:rsidR="004E2640" w:rsidRPr="007D4AFD" w:rsidRDefault="004E2640" w:rsidP="004E2640">
            <w:pPr>
              <w:pStyle w:val="SingleTxtG"/>
              <w:tabs>
                <w:tab w:val="clear" w:pos="1701"/>
                <w:tab w:val="clear" w:pos="2268"/>
                <w:tab w:val="clear" w:pos="2835"/>
                <w:tab w:val="left" w:pos="567"/>
              </w:tabs>
              <w:spacing w:before="40" w:after="40" w:line="220" w:lineRule="exact"/>
              <w:ind w:left="0" w:right="0"/>
              <w:jc w:val="left"/>
              <w:rPr>
                <w:rFonts w:eastAsia="Calibri"/>
                <w:b/>
                <w:sz w:val="18"/>
                <w:lang w:val="es-ES_tradnl"/>
              </w:rPr>
            </w:pPr>
          </w:p>
        </w:tc>
        <w:tc>
          <w:tcPr>
            <w:tcW w:w="1147" w:type="dxa"/>
            <w:shd w:val="clear" w:color="auto" w:fill="auto"/>
          </w:tcPr>
          <w:p w14:paraId="336CA0B5" w14:textId="77777777" w:rsidR="004E2640" w:rsidRPr="00725B46" w:rsidRDefault="004E2640" w:rsidP="004E2640">
            <w:pPr>
              <w:pStyle w:val="SingleTxtG"/>
              <w:tabs>
                <w:tab w:val="clear" w:pos="1701"/>
                <w:tab w:val="clear" w:pos="2268"/>
                <w:tab w:val="clear" w:pos="2835"/>
                <w:tab w:val="left" w:pos="567"/>
              </w:tabs>
              <w:spacing w:before="40" w:after="40" w:line="220" w:lineRule="exact"/>
              <w:ind w:left="0" w:right="0"/>
              <w:jc w:val="left"/>
              <w:rPr>
                <w:rFonts w:eastAsia="Calibri"/>
                <w:b/>
                <w:sz w:val="18"/>
              </w:rPr>
            </w:pPr>
          </w:p>
        </w:tc>
        <w:tc>
          <w:tcPr>
            <w:tcW w:w="1147" w:type="dxa"/>
            <w:shd w:val="clear" w:color="auto" w:fill="auto"/>
          </w:tcPr>
          <w:p w14:paraId="06FFA8AD" w14:textId="7DD75F41" w:rsidR="004E2640" w:rsidRPr="00725B46" w:rsidRDefault="004E2640" w:rsidP="004E2640">
            <w:pPr>
              <w:pStyle w:val="SingleTxtG"/>
              <w:tabs>
                <w:tab w:val="clear" w:pos="1701"/>
                <w:tab w:val="clear" w:pos="2268"/>
                <w:tab w:val="clear" w:pos="2835"/>
                <w:tab w:val="left" w:pos="567"/>
              </w:tabs>
              <w:spacing w:before="40" w:after="40" w:line="220" w:lineRule="exact"/>
              <w:ind w:left="0" w:right="0"/>
              <w:jc w:val="left"/>
              <w:rPr>
                <w:rFonts w:eastAsia="Calibri"/>
                <w:b/>
                <w:sz w:val="18"/>
              </w:rPr>
            </w:pPr>
          </w:p>
        </w:tc>
      </w:tr>
      <w:tr w:rsidR="004E2640" w:rsidRPr="007518EE" w14:paraId="44717B83" w14:textId="77777777" w:rsidTr="00862368">
        <w:trPr>
          <w:trHeight w:val="240"/>
        </w:trPr>
        <w:tc>
          <w:tcPr>
            <w:tcW w:w="2756" w:type="dxa"/>
            <w:shd w:val="clear" w:color="auto" w:fill="auto"/>
            <w:noWrap/>
            <w:hideMark/>
          </w:tcPr>
          <w:p w14:paraId="4828DAE5" w14:textId="77777777" w:rsidR="004E2640" w:rsidRPr="007D4AFD" w:rsidRDefault="004E2640" w:rsidP="004E2640">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7D4AFD">
              <w:rPr>
                <w:sz w:val="18"/>
                <w:lang w:val="es-ES_tradnl"/>
              </w:rPr>
              <w:t>Sin certificado</w:t>
            </w:r>
          </w:p>
        </w:tc>
        <w:tc>
          <w:tcPr>
            <w:tcW w:w="1147" w:type="dxa"/>
            <w:shd w:val="clear" w:color="auto" w:fill="auto"/>
            <w:noWrap/>
            <w:vAlign w:val="bottom"/>
            <w:hideMark/>
          </w:tcPr>
          <w:p w14:paraId="62626379"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2,4</w:t>
            </w:r>
          </w:p>
        </w:tc>
        <w:tc>
          <w:tcPr>
            <w:tcW w:w="1147" w:type="dxa"/>
            <w:shd w:val="clear" w:color="auto" w:fill="auto"/>
            <w:noWrap/>
            <w:vAlign w:val="bottom"/>
            <w:hideMark/>
          </w:tcPr>
          <w:p w14:paraId="738F0274"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2,7</w:t>
            </w:r>
          </w:p>
        </w:tc>
        <w:tc>
          <w:tcPr>
            <w:tcW w:w="1147" w:type="dxa"/>
            <w:shd w:val="clear" w:color="auto" w:fill="auto"/>
            <w:noWrap/>
            <w:vAlign w:val="bottom"/>
            <w:hideMark/>
          </w:tcPr>
          <w:p w14:paraId="505E12C0"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2,3</w:t>
            </w:r>
          </w:p>
        </w:tc>
        <w:tc>
          <w:tcPr>
            <w:tcW w:w="1147" w:type="dxa"/>
            <w:shd w:val="clear" w:color="auto" w:fill="auto"/>
            <w:noWrap/>
            <w:vAlign w:val="bottom"/>
            <w:hideMark/>
          </w:tcPr>
          <w:p w14:paraId="44023E45"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2,1</w:t>
            </w:r>
          </w:p>
        </w:tc>
        <w:tc>
          <w:tcPr>
            <w:tcW w:w="1147" w:type="dxa"/>
            <w:shd w:val="clear" w:color="auto" w:fill="auto"/>
            <w:noWrap/>
            <w:vAlign w:val="bottom"/>
            <w:hideMark/>
          </w:tcPr>
          <w:p w14:paraId="251BB3D6"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1,9</w:t>
            </w:r>
          </w:p>
        </w:tc>
        <w:tc>
          <w:tcPr>
            <w:tcW w:w="1147" w:type="dxa"/>
            <w:shd w:val="clear" w:color="auto" w:fill="auto"/>
            <w:noWrap/>
            <w:vAlign w:val="bottom"/>
            <w:hideMark/>
          </w:tcPr>
          <w:p w14:paraId="32CED942"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1,6</w:t>
            </w:r>
          </w:p>
        </w:tc>
      </w:tr>
      <w:tr w:rsidR="004E2640" w:rsidRPr="007518EE" w14:paraId="104DD1FA" w14:textId="77777777" w:rsidTr="00862368">
        <w:trPr>
          <w:trHeight w:val="240"/>
        </w:trPr>
        <w:tc>
          <w:tcPr>
            <w:tcW w:w="2756" w:type="dxa"/>
            <w:tcBorders>
              <w:bottom w:val="single" w:sz="12" w:space="0" w:color="auto"/>
            </w:tcBorders>
            <w:shd w:val="clear" w:color="auto" w:fill="auto"/>
            <w:noWrap/>
            <w:hideMark/>
          </w:tcPr>
          <w:p w14:paraId="509C35D1" w14:textId="77777777" w:rsidR="004E2640" w:rsidRPr="007D4AFD" w:rsidRDefault="004E2640" w:rsidP="004E2640">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7D4AFD">
              <w:rPr>
                <w:sz w:val="18"/>
                <w:lang w:val="es-ES_tradnl"/>
              </w:rPr>
              <w:t>Con certificado</w:t>
            </w:r>
          </w:p>
        </w:tc>
        <w:tc>
          <w:tcPr>
            <w:tcW w:w="1147" w:type="dxa"/>
            <w:tcBorders>
              <w:bottom w:val="single" w:sz="12" w:space="0" w:color="auto"/>
            </w:tcBorders>
            <w:shd w:val="clear" w:color="auto" w:fill="auto"/>
            <w:noWrap/>
            <w:vAlign w:val="bottom"/>
            <w:hideMark/>
          </w:tcPr>
          <w:p w14:paraId="13C97BFA"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11,2</w:t>
            </w:r>
          </w:p>
        </w:tc>
        <w:tc>
          <w:tcPr>
            <w:tcW w:w="1147" w:type="dxa"/>
            <w:tcBorders>
              <w:bottom w:val="single" w:sz="12" w:space="0" w:color="auto"/>
            </w:tcBorders>
            <w:shd w:val="clear" w:color="auto" w:fill="auto"/>
            <w:noWrap/>
            <w:vAlign w:val="bottom"/>
            <w:hideMark/>
          </w:tcPr>
          <w:p w14:paraId="33A5F29F"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10,0</w:t>
            </w:r>
          </w:p>
        </w:tc>
        <w:tc>
          <w:tcPr>
            <w:tcW w:w="1147" w:type="dxa"/>
            <w:tcBorders>
              <w:bottom w:val="single" w:sz="12" w:space="0" w:color="auto"/>
            </w:tcBorders>
            <w:shd w:val="clear" w:color="auto" w:fill="auto"/>
            <w:noWrap/>
            <w:vAlign w:val="bottom"/>
            <w:hideMark/>
          </w:tcPr>
          <w:p w14:paraId="00599E93"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10,5</w:t>
            </w:r>
          </w:p>
        </w:tc>
        <w:tc>
          <w:tcPr>
            <w:tcW w:w="1147" w:type="dxa"/>
            <w:tcBorders>
              <w:bottom w:val="single" w:sz="12" w:space="0" w:color="auto"/>
            </w:tcBorders>
            <w:shd w:val="clear" w:color="auto" w:fill="auto"/>
            <w:noWrap/>
            <w:vAlign w:val="bottom"/>
            <w:hideMark/>
          </w:tcPr>
          <w:p w14:paraId="09251498"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s-ES_tradnl"/>
              </w:rPr>
            </w:pPr>
            <w:r w:rsidRPr="007D4AFD">
              <w:rPr>
                <w:sz w:val="18"/>
                <w:lang w:val="es-ES_tradnl"/>
              </w:rPr>
              <w:t>10,9</w:t>
            </w:r>
          </w:p>
        </w:tc>
        <w:tc>
          <w:tcPr>
            <w:tcW w:w="1147" w:type="dxa"/>
            <w:tcBorders>
              <w:bottom w:val="single" w:sz="12" w:space="0" w:color="auto"/>
            </w:tcBorders>
            <w:shd w:val="clear" w:color="auto" w:fill="auto"/>
            <w:noWrap/>
            <w:vAlign w:val="bottom"/>
            <w:hideMark/>
          </w:tcPr>
          <w:p w14:paraId="6E93BE9E"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10,7</w:t>
            </w:r>
          </w:p>
        </w:tc>
        <w:tc>
          <w:tcPr>
            <w:tcW w:w="1147" w:type="dxa"/>
            <w:tcBorders>
              <w:bottom w:val="single" w:sz="12" w:space="0" w:color="auto"/>
            </w:tcBorders>
            <w:shd w:val="clear" w:color="auto" w:fill="auto"/>
            <w:noWrap/>
            <w:vAlign w:val="bottom"/>
            <w:hideMark/>
          </w:tcPr>
          <w:p w14:paraId="3504B2D8" w14:textId="77777777" w:rsidR="004E2640" w:rsidRPr="007518EE"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7518EE">
              <w:rPr>
                <w:sz w:val="18"/>
                <w:lang w:val="en-US"/>
              </w:rPr>
              <w:t>9,8</w:t>
            </w:r>
          </w:p>
        </w:tc>
      </w:tr>
    </w:tbl>
    <w:p w14:paraId="147D1E91" w14:textId="2DCDBEAE" w:rsidR="004E0684" w:rsidRPr="006F084A" w:rsidRDefault="004E0684" w:rsidP="004E2640">
      <w:pPr>
        <w:pStyle w:val="SingleTxtG"/>
        <w:keepNext/>
        <w:keepLines/>
        <w:spacing w:before="240"/>
        <w:rPr>
          <w:rFonts w:eastAsia="Calibri"/>
        </w:rPr>
      </w:pPr>
      <w:r w:rsidRPr="006F084A">
        <w:t>18.</w:t>
      </w:r>
      <w:r w:rsidR="00725B46">
        <w:tab/>
      </w:r>
      <w:r w:rsidRPr="006F084A">
        <w:t>Con respecto al nivel de vida y los equipamientos básicos, se ofrecen los siguientes datos</w:t>
      </w:r>
      <w:r w:rsidRPr="006F084A">
        <w:rPr>
          <w:rStyle w:val="Refdenotaalpie"/>
          <w:rFonts w:eastAsia="Calibri"/>
          <w:lang w:val="en-GB"/>
        </w:rPr>
        <w:footnoteReference w:id="12"/>
      </w:r>
      <w:r w:rsidR="00725B46">
        <w:t>.</w:t>
      </w:r>
    </w:p>
    <w:tbl>
      <w:tblPr>
        <w:tblW w:w="9638" w:type="dxa"/>
        <w:tblBorders>
          <w:top w:val="single" w:sz="4" w:space="0" w:color="auto"/>
        </w:tblBorders>
        <w:tblLayout w:type="fixed"/>
        <w:tblCellMar>
          <w:left w:w="0" w:type="dxa"/>
          <w:right w:w="0" w:type="dxa"/>
        </w:tblCellMar>
        <w:tblLook w:val="04A0" w:firstRow="1" w:lastRow="0" w:firstColumn="1" w:lastColumn="0" w:noHBand="0" w:noVBand="1"/>
      </w:tblPr>
      <w:tblGrid>
        <w:gridCol w:w="2977"/>
        <w:gridCol w:w="951"/>
        <w:gridCol w:w="952"/>
        <w:gridCol w:w="951"/>
        <w:gridCol w:w="952"/>
        <w:gridCol w:w="951"/>
        <w:gridCol w:w="952"/>
        <w:gridCol w:w="952"/>
      </w:tblGrid>
      <w:tr w:rsidR="004E0684" w:rsidRPr="007D4AFD" w14:paraId="3F9B692D" w14:textId="77777777" w:rsidTr="00862368">
        <w:trPr>
          <w:trHeight w:val="240"/>
          <w:tblHeader/>
        </w:trPr>
        <w:tc>
          <w:tcPr>
            <w:tcW w:w="2977" w:type="dxa"/>
            <w:tcBorders>
              <w:top w:val="single" w:sz="4" w:space="0" w:color="auto"/>
              <w:bottom w:val="single" w:sz="12" w:space="0" w:color="auto"/>
            </w:tcBorders>
            <w:shd w:val="clear" w:color="auto" w:fill="auto"/>
            <w:noWrap/>
            <w:vAlign w:val="bottom"/>
          </w:tcPr>
          <w:p w14:paraId="1F0A63BD" w14:textId="0974B90B" w:rsidR="004E0684" w:rsidRPr="007D4AFD" w:rsidRDefault="004E0684" w:rsidP="004E2640">
            <w:pPr>
              <w:pStyle w:val="SingleTxtG"/>
              <w:keepNext/>
              <w:keepLines/>
              <w:tabs>
                <w:tab w:val="clear" w:pos="1701"/>
                <w:tab w:val="clear" w:pos="2268"/>
                <w:tab w:val="clear" w:pos="2835"/>
                <w:tab w:val="left" w:pos="293"/>
              </w:tabs>
              <w:spacing w:before="80" w:after="80" w:line="200" w:lineRule="exact"/>
              <w:ind w:left="0" w:right="0"/>
              <w:jc w:val="left"/>
              <w:rPr>
                <w:i/>
                <w:iCs/>
                <w:sz w:val="16"/>
              </w:rPr>
            </w:pPr>
          </w:p>
        </w:tc>
        <w:tc>
          <w:tcPr>
            <w:tcW w:w="951" w:type="dxa"/>
            <w:tcBorders>
              <w:top w:val="single" w:sz="4" w:space="0" w:color="auto"/>
              <w:bottom w:val="single" w:sz="12" w:space="0" w:color="auto"/>
            </w:tcBorders>
            <w:shd w:val="clear" w:color="auto" w:fill="auto"/>
            <w:noWrap/>
            <w:vAlign w:val="bottom"/>
            <w:hideMark/>
          </w:tcPr>
          <w:p w14:paraId="6CA112F0" w14:textId="77777777" w:rsidR="004E0684" w:rsidRPr="007D4AFD" w:rsidRDefault="004E0684" w:rsidP="004E2640">
            <w:pPr>
              <w:pStyle w:val="SingleTxtG"/>
              <w:keepNext/>
              <w:keepLines/>
              <w:tabs>
                <w:tab w:val="clear" w:pos="1701"/>
                <w:tab w:val="clear" w:pos="2268"/>
                <w:tab w:val="clear" w:pos="2835"/>
              </w:tabs>
              <w:spacing w:before="80" w:after="80" w:line="200" w:lineRule="exact"/>
              <w:ind w:left="113" w:right="0"/>
              <w:jc w:val="right"/>
              <w:rPr>
                <w:rFonts w:eastAsia="Calibri"/>
                <w:bCs/>
                <w:i/>
                <w:sz w:val="16"/>
              </w:rPr>
            </w:pPr>
            <w:r w:rsidRPr="007D4AFD">
              <w:rPr>
                <w:bCs/>
                <w:i/>
                <w:sz w:val="16"/>
              </w:rPr>
              <w:t>1985</w:t>
            </w:r>
          </w:p>
        </w:tc>
        <w:tc>
          <w:tcPr>
            <w:tcW w:w="952" w:type="dxa"/>
            <w:tcBorders>
              <w:top w:val="single" w:sz="4" w:space="0" w:color="auto"/>
              <w:bottom w:val="single" w:sz="12" w:space="0" w:color="auto"/>
            </w:tcBorders>
            <w:shd w:val="clear" w:color="auto" w:fill="auto"/>
            <w:noWrap/>
            <w:vAlign w:val="bottom"/>
            <w:hideMark/>
          </w:tcPr>
          <w:p w14:paraId="7A6073C0" w14:textId="77777777" w:rsidR="004E0684" w:rsidRPr="007D4AFD" w:rsidRDefault="004E0684" w:rsidP="004E2640">
            <w:pPr>
              <w:pStyle w:val="SingleTxtG"/>
              <w:keepNext/>
              <w:keepLines/>
              <w:tabs>
                <w:tab w:val="clear" w:pos="1701"/>
                <w:tab w:val="clear" w:pos="2268"/>
                <w:tab w:val="clear" w:pos="2835"/>
              </w:tabs>
              <w:spacing w:before="80" w:after="80" w:line="200" w:lineRule="exact"/>
              <w:ind w:left="113" w:right="0"/>
              <w:jc w:val="right"/>
              <w:rPr>
                <w:rFonts w:eastAsia="Calibri"/>
                <w:bCs/>
                <w:i/>
                <w:sz w:val="16"/>
              </w:rPr>
            </w:pPr>
            <w:r w:rsidRPr="007D4AFD">
              <w:rPr>
                <w:bCs/>
                <w:i/>
                <w:sz w:val="16"/>
              </w:rPr>
              <w:t>1994</w:t>
            </w:r>
          </w:p>
        </w:tc>
        <w:tc>
          <w:tcPr>
            <w:tcW w:w="951" w:type="dxa"/>
            <w:tcBorders>
              <w:top w:val="single" w:sz="4" w:space="0" w:color="auto"/>
              <w:bottom w:val="single" w:sz="12" w:space="0" w:color="auto"/>
            </w:tcBorders>
            <w:shd w:val="clear" w:color="auto" w:fill="auto"/>
            <w:noWrap/>
            <w:vAlign w:val="bottom"/>
            <w:hideMark/>
          </w:tcPr>
          <w:p w14:paraId="6145829C" w14:textId="77777777" w:rsidR="004E0684" w:rsidRPr="007D4AFD" w:rsidRDefault="004E0684" w:rsidP="004E2640">
            <w:pPr>
              <w:pStyle w:val="SingleTxtG"/>
              <w:keepNext/>
              <w:keepLines/>
              <w:tabs>
                <w:tab w:val="clear" w:pos="1701"/>
                <w:tab w:val="clear" w:pos="2268"/>
                <w:tab w:val="clear" w:pos="2835"/>
              </w:tabs>
              <w:spacing w:before="80" w:after="80" w:line="200" w:lineRule="exact"/>
              <w:ind w:left="113" w:right="0"/>
              <w:jc w:val="right"/>
              <w:rPr>
                <w:rFonts w:eastAsia="Calibri"/>
                <w:bCs/>
                <w:i/>
                <w:sz w:val="16"/>
              </w:rPr>
            </w:pPr>
            <w:r w:rsidRPr="007D4AFD">
              <w:rPr>
                <w:bCs/>
                <w:i/>
                <w:sz w:val="16"/>
              </w:rPr>
              <w:t>2004</w:t>
            </w:r>
          </w:p>
        </w:tc>
        <w:tc>
          <w:tcPr>
            <w:tcW w:w="952" w:type="dxa"/>
            <w:tcBorders>
              <w:top w:val="single" w:sz="4" w:space="0" w:color="auto"/>
              <w:bottom w:val="single" w:sz="12" w:space="0" w:color="auto"/>
            </w:tcBorders>
            <w:shd w:val="clear" w:color="auto" w:fill="auto"/>
            <w:noWrap/>
            <w:vAlign w:val="bottom"/>
            <w:hideMark/>
          </w:tcPr>
          <w:p w14:paraId="42B0903C" w14:textId="77777777" w:rsidR="004E0684" w:rsidRPr="007D4AFD" w:rsidRDefault="004E0684" w:rsidP="004E2640">
            <w:pPr>
              <w:pStyle w:val="SingleTxtG"/>
              <w:keepNext/>
              <w:keepLines/>
              <w:tabs>
                <w:tab w:val="clear" w:pos="1701"/>
                <w:tab w:val="clear" w:pos="2268"/>
                <w:tab w:val="clear" w:pos="2835"/>
              </w:tabs>
              <w:spacing w:before="80" w:after="80" w:line="200" w:lineRule="exact"/>
              <w:ind w:left="113" w:right="0"/>
              <w:jc w:val="right"/>
              <w:rPr>
                <w:rFonts w:eastAsia="Calibri"/>
                <w:bCs/>
                <w:i/>
                <w:sz w:val="16"/>
              </w:rPr>
            </w:pPr>
            <w:r w:rsidRPr="007D4AFD">
              <w:rPr>
                <w:bCs/>
                <w:i/>
                <w:sz w:val="16"/>
              </w:rPr>
              <w:t>2007</w:t>
            </w:r>
          </w:p>
        </w:tc>
        <w:tc>
          <w:tcPr>
            <w:tcW w:w="951" w:type="dxa"/>
            <w:tcBorders>
              <w:top w:val="single" w:sz="4" w:space="0" w:color="auto"/>
              <w:bottom w:val="single" w:sz="12" w:space="0" w:color="auto"/>
            </w:tcBorders>
            <w:shd w:val="clear" w:color="auto" w:fill="auto"/>
            <w:noWrap/>
            <w:vAlign w:val="bottom"/>
            <w:hideMark/>
          </w:tcPr>
          <w:p w14:paraId="0A9A276A" w14:textId="77777777" w:rsidR="004E0684" w:rsidRPr="007D4AFD" w:rsidRDefault="004E0684" w:rsidP="004E2640">
            <w:pPr>
              <w:pStyle w:val="SingleTxtG"/>
              <w:keepNext/>
              <w:keepLines/>
              <w:tabs>
                <w:tab w:val="clear" w:pos="1701"/>
                <w:tab w:val="clear" w:pos="2268"/>
                <w:tab w:val="clear" w:pos="2835"/>
              </w:tabs>
              <w:spacing w:before="80" w:after="80" w:line="200" w:lineRule="exact"/>
              <w:ind w:left="113" w:right="0"/>
              <w:jc w:val="right"/>
              <w:rPr>
                <w:rFonts w:eastAsia="Calibri"/>
                <w:bCs/>
                <w:i/>
                <w:sz w:val="16"/>
              </w:rPr>
            </w:pPr>
            <w:r w:rsidRPr="007D4AFD">
              <w:rPr>
                <w:bCs/>
                <w:i/>
                <w:sz w:val="16"/>
              </w:rPr>
              <w:t>2008</w:t>
            </w:r>
          </w:p>
        </w:tc>
        <w:tc>
          <w:tcPr>
            <w:tcW w:w="952" w:type="dxa"/>
            <w:tcBorders>
              <w:top w:val="single" w:sz="4" w:space="0" w:color="auto"/>
              <w:bottom w:val="single" w:sz="12" w:space="0" w:color="auto"/>
            </w:tcBorders>
            <w:shd w:val="clear" w:color="auto" w:fill="auto"/>
            <w:noWrap/>
            <w:vAlign w:val="bottom"/>
            <w:hideMark/>
          </w:tcPr>
          <w:p w14:paraId="56E6CA46" w14:textId="77777777" w:rsidR="004E0684" w:rsidRPr="007D4AFD" w:rsidRDefault="004E0684" w:rsidP="004E2640">
            <w:pPr>
              <w:pStyle w:val="SingleTxtG"/>
              <w:keepNext/>
              <w:keepLines/>
              <w:tabs>
                <w:tab w:val="clear" w:pos="1701"/>
                <w:tab w:val="clear" w:pos="2268"/>
                <w:tab w:val="clear" w:pos="2835"/>
              </w:tabs>
              <w:spacing w:before="80" w:after="80" w:line="200" w:lineRule="exact"/>
              <w:ind w:left="113" w:right="0"/>
              <w:jc w:val="right"/>
              <w:rPr>
                <w:rFonts w:eastAsia="Calibri"/>
                <w:bCs/>
                <w:i/>
                <w:sz w:val="16"/>
              </w:rPr>
            </w:pPr>
            <w:r w:rsidRPr="007D4AFD">
              <w:rPr>
                <w:bCs/>
                <w:i/>
                <w:sz w:val="16"/>
              </w:rPr>
              <w:t>2011</w:t>
            </w:r>
          </w:p>
        </w:tc>
        <w:tc>
          <w:tcPr>
            <w:tcW w:w="952" w:type="dxa"/>
            <w:tcBorders>
              <w:top w:val="single" w:sz="4" w:space="0" w:color="auto"/>
              <w:bottom w:val="single" w:sz="12" w:space="0" w:color="auto"/>
            </w:tcBorders>
            <w:shd w:val="clear" w:color="auto" w:fill="auto"/>
            <w:noWrap/>
            <w:vAlign w:val="bottom"/>
            <w:hideMark/>
          </w:tcPr>
          <w:p w14:paraId="6EEAC52E" w14:textId="77777777" w:rsidR="004E0684" w:rsidRPr="007D4AFD" w:rsidRDefault="004E0684" w:rsidP="004E2640">
            <w:pPr>
              <w:pStyle w:val="SingleTxtG"/>
              <w:keepNext/>
              <w:keepLines/>
              <w:tabs>
                <w:tab w:val="clear" w:pos="1701"/>
                <w:tab w:val="clear" w:pos="2268"/>
                <w:tab w:val="clear" w:pos="2835"/>
              </w:tabs>
              <w:spacing w:before="80" w:after="80" w:line="200" w:lineRule="exact"/>
              <w:ind w:left="113" w:right="0"/>
              <w:jc w:val="right"/>
              <w:rPr>
                <w:rFonts w:eastAsia="Calibri"/>
                <w:bCs/>
                <w:i/>
                <w:sz w:val="16"/>
              </w:rPr>
            </w:pPr>
            <w:r w:rsidRPr="007D4AFD">
              <w:rPr>
                <w:bCs/>
                <w:i/>
                <w:sz w:val="16"/>
              </w:rPr>
              <w:t>2014</w:t>
            </w:r>
          </w:p>
        </w:tc>
      </w:tr>
      <w:tr w:rsidR="004E2640" w:rsidRPr="007D4AFD" w14:paraId="57D05760" w14:textId="77777777" w:rsidTr="00862368">
        <w:trPr>
          <w:trHeight w:val="240"/>
        </w:trPr>
        <w:tc>
          <w:tcPr>
            <w:tcW w:w="2977" w:type="dxa"/>
            <w:tcBorders>
              <w:top w:val="single" w:sz="12" w:space="0" w:color="auto"/>
            </w:tcBorders>
            <w:shd w:val="clear" w:color="auto" w:fill="auto"/>
            <w:noWrap/>
            <w:vAlign w:val="bottom"/>
          </w:tcPr>
          <w:p w14:paraId="481EB9BD" w14:textId="46AF9B82" w:rsidR="004E2640" w:rsidRPr="00862368" w:rsidRDefault="004E2640" w:rsidP="00862368">
            <w:pPr>
              <w:pStyle w:val="SingleTxtG"/>
              <w:keepNext/>
              <w:keepLines/>
              <w:tabs>
                <w:tab w:val="clear" w:pos="1701"/>
                <w:tab w:val="clear" w:pos="2268"/>
                <w:tab w:val="clear" w:pos="2835"/>
                <w:tab w:val="left" w:pos="404"/>
              </w:tabs>
              <w:spacing w:before="40" w:after="40" w:line="220" w:lineRule="exact"/>
              <w:ind w:left="404" w:right="0" w:hanging="404"/>
              <w:jc w:val="left"/>
              <w:rPr>
                <w:rFonts w:eastAsia="Calibri"/>
                <w:b/>
                <w:sz w:val="18"/>
                <w:lang w:val="es-ES_tradnl"/>
              </w:rPr>
            </w:pPr>
            <w:r w:rsidRPr="00862368">
              <w:rPr>
                <w:rFonts w:eastAsia="Calibri"/>
                <w:b/>
                <w:sz w:val="18"/>
                <w:lang w:val="es-ES_tradnl"/>
              </w:rPr>
              <w:t>6.</w:t>
            </w:r>
            <w:r w:rsidRPr="00862368">
              <w:rPr>
                <w:rFonts w:eastAsia="Calibri"/>
                <w:b/>
                <w:sz w:val="18"/>
                <w:lang w:val="es-ES_tradnl"/>
              </w:rPr>
              <w:tab/>
              <w:t>Nivel de vida y equipamientos básicos</w:t>
            </w:r>
          </w:p>
        </w:tc>
        <w:tc>
          <w:tcPr>
            <w:tcW w:w="951" w:type="dxa"/>
            <w:tcBorders>
              <w:top w:val="single" w:sz="12" w:space="0" w:color="auto"/>
            </w:tcBorders>
            <w:shd w:val="clear" w:color="auto" w:fill="auto"/>
            <w:noWrap/>
            <w:vAlign w:val="bottom"/>
          </w:tcPr>
          <w:p w14:paraId="5DC8720F" w14:textId="746BB983"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p>
        </w:tc>
        <w:tc>
          <w:tcPr>
            <w:tcW w:w="952" w:type="dxa"/>
            <w:tcBorders>
              <w:top w:val="single" w:sz="12" w:space="0" w:color="auto"/>
            </w:tcBorders>
            <w:shd w:val="clear" w:color="auto" w:fill="auto"/>
            <w:noWrap/>
            <w:vAlign w:val="bottom"/>
          </w:tcPr>
          <w:p w14:paraId="6DCC8097" w14:textId="608F4C3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p>
        </w:tc>
        <w:tc>
          <w:tcPr>
            <w:tcW w:w="951" w:type="dxa"/>
            <w:tcBorders>
              <w:top w:val="single" w:sz="12" w:space="0" w:color="auto"/>
            </w:tcBorders>
            <w:shd w:val="clear" w:color="auto" w:fill="auto"/>
            <w:noWrap/>
            <w:vAlign w:val="bottom"/>
          </w:tcPr>
          <w:p w14:paraId="596E0436" w14:textId="32437293"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p>
        </w:tc>
        <w:tc>
          <w:tcPr>
            <w:tcW w:w="952" w:type="dxa"/>
            <w:tcBorders>
              <w:top w:val="single" w:sz="12" w:space="0" w:color="auto"/>
            </w:tcBorders>
            <w:shd w:val="clear" w:color="auto" w:fill="auto"/>
            <w:noWrap/>
            <w:vAlign w:val="bottom"/>
          </w:tcPr>
          <w:p w14:paraId="6CA4600F" w14:textId="4C5349CF"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p>
        </w:tc>
        <w:tc>
          <w:tcPr>
            <w:tcW w:w="951" w:type="dxa"/>
            <w:tcBorders>
              <w:top w:val="single" w:sz="12" w:space="0" w:color="auto"/>
            </w:tcBorders>
            <w:shd w:val="clear" w:color="auto" w:fill="auto"/>
            <w:noWrap/>
            <w:vAlign w:val="bottom"/>
          </w:tcPr>
          <w:p w14:paraId="7906147C" w14:textId="66AE6B32"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p>
        </w:tc>
        <w:tc>
          <w:tcPr>
            <w:tcW w:w="952" w:type="dxa"/>
            <w:tcBorders>
              <w:top w:val="single" w:sz="12" w:space="0" w:color="auto"/>
            </w:tcBorders>
            <w:shd w:val="clear" w:color="auto" w:fill="auto"/>
            <w:noWrap/>
            <w:vAlign w:val="bottom"/>
          </w:tcPr>
          <w:p w14:paraId="794CCEC2" w14:textId="11117B28"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p>
        </w:tc>
        <w:tc>
          <w:tcPr>
            <w:tcW w:w="952" w:type="dxa"/>
            <w:tcBorders>
              <w:top w:val="single" w:sz="12" w:space="0" w:color="auto"/>
            </w:tcBorders>
            <w:shd w:val="clear" w:color="auto" w:fill="auto"/>
            <w:noWrap/>
            <w:vAlign w:val="bottom"/>
          </w:tcPr>
          <w:p w14:paraId="12A4D01B" w14:textId="50240646"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p>
        </w:tc>
      </w:tr>
      <w:tr w:rsidR="004E2640" w:rsidRPr="007D4AFD" w14:paraId="4FB81DF2" w14:textId="77777777" w:rsidTr="00862368">
        <w:trPr>
          <w:trHeight w:val="240"/>
        </w:trPr>
        <w:tc>
          <w:tcPr>
            <w:tcW w:w="2977" w:type="dxa"/>
            <w:tcBorders>
              <w:bottom w:val="nil"/>
            </w:tcBorders>
            <w:shd w:val="clear" w:color="auto" w:fill="auto"/>
            <w:noWrap/>
          </w:tcPr>
          <w:p w14:paraId="7857B71F" w14:textId="67F6F23A" w:rsidR="004E2640" w:rsidRPr="007D4AFD" w:rsidRDefault="004E2640" w:rsidP="004E2640">
            <w:pPr>
              <w:pStyle w:val="SingleTxtG"/>
              <w:tabs>
                <w:tab w:val="clear" w:pos="1701"/>
                <w:tab w:val="clear" w:pos="2268"/>
                <w:tab w:val="clear" w:pos="2835"/>
              </w:tabs>
              <w:spacing w:before="40" w:after="40" w:line="220" w:lineRule="exact"/>
              <w:ind w:left="0" w:right="0"/>
              <w:jc w:val="left"/>
              <w:rPr>
                <w:sz w:val="18"/>
              </w:rPr>
            </w:pPr>
            <w:r w:rsidRPr="007D4AFD">
              <w:rPr>
                <w:sz w:val="18"/>
              </w:rPr>
              <w:t xml:space="preserve">Tasa de pobreza </w:t>
            </w:r>
          </w:p>
        </w:tc>
        <w:tc>
          <w:tcPr>
            <w:tcW w:w="951" w:type="dxa"/>
            <w:tcBorders>
              <w:bottom w:val="nil"/>
            </w:tcBorders>
            <w:shd w:val="clear" w:color="auto" w:fill="auto"/>
            <w:noWrap/>
            <w:vAlign w:val="bottom"/>
          </w:tcPr>
          <w:p w14:paraId="581914ED" w14:textId="07B7979B" w:rsidR="004E2640" w:rsidRPr="007D4AFD" w:rsidRDefault="004E2640" w:rsidP="004E2640">
            <w:pPr>
              <w:pStyle w:val="SingleTxtG"/>
              <w:tabs>
                <w:tab w:val="clear" w:pos="1701"/>
                <w:tab w:val="clear" w:pos="2268"/>
                <w:tab w:val="clear" w:pos="2835"/>
              </w:tabs>
              <w:spacing w:before="40" w:after="40" w:line="220" w:lineRule="exact"/>
              <w:ind w:left="113" w:right="0"/>
              <w:jc w:val="right"/>
              <w:rPr>
                <w:sz w:val="18"/>
              </w:rPr>
            </w:pPr>
            <w:r w:rsidRPr="007D4AFD">
              <w:rPr>
                <w:sz w:val="18"/>
              </w:rPr>
              <w:t>21,0</w:t>
            </w:r>
          </w:p>
        </w:tc>
        <w:tc>
          <w:tcPr>
            <w:tcW w:w="952" w:type="dxa"/>
            <w:tcBorders>
              <w:bottom w:val="nil"/>
            </w:tcBorders>
            <w:shd w:val="clear" w:color="auto" w:fill="auto"/>
            <w:noWrap/>
            <w:vAlign w:val="bottom"/>
          </w:tcPr>
          <w:p w14:paraId="55449AE4" w14:textId="293FC471" w:rsidR="004E2640" w:rsidRPr="007D4AFD" w:rsidRDefault="004E2640" w:rsidP="004E2640">
            <w:pPr>
              <w:pStyle w:val="SingleTxtG"/>
              <w:tabs>
                <w:tab w:val="clear" w:pos="1701"/>
                <w:tab w:val="clear" w:pos="2268"/>
                <w:tab w:val="clear" w:pos="2835"/>
              </w:tabs>
              <w:spacing w:before="40" w:after="40" w:line="220" w:lineRule="exact"/>
              <w:ind w:left="113" w:right="0"/>
              <w:jc w:val="right"/>
              <w:rPr>
                <w:sz w:val="18"/>
              </w:rPr>
            </w:pPr>
            <w:r w:rsidRPr="007D4AFD">
              <w:rPr>
                <w:sz w:val="18"/>
              </w:rPr>
              <w:t>16,5</w:t>
            </w:r>
          </w:p>
        </w:tc>
        <w:tc>
          <w:tcPr>
            <w:tcW w:w="951" w:type="dxa"/>
            <w:tcBorders>
              <w:bottom w:val="nil"/>
            </w:tcBorders>
            <w:shd w:val="clear" w:color="auto" w:fill="auto"/>
            <w:noWrap/>
            <w:vAlign w:val="bottom"/>
          </w:tcPr>
          <w:p w14:paraId="43F71204" w14:textId="0E5FE032" w:rsidR="004E2640" w:rsidRPr="007D4AFD" w:rsidRDefault="004E2640" w:rsidP="004E2640">
            <w:pPr>
              <w:pStyle w:val="SingleTxtG"/>
              <w:tabs>
                <w:tab w:val="clear" w:pos="1701"/>
                <w:tab w:val="clear" w:pos="2268"/>
                <w:tab w:val="clear" w:pos="2835"/>
              </w:tabs>
              <w:spacing w:before="40" w:after="40" w:line="220" w:lineRule="exact"/>
              <w:ind w:left="113" w:right="0"/>
              <w:jc w:val="right"/>
              <w:rPr>
                <w:sz w:val="18"/>
              </w:rPr>
            </w:pPr>
            <w:r w:rsidRPr="007D4AFD">
              <w:rPr>
                <w:sz w:val="18"/>
              </w:rPr>
              <w:t>14,2</w:t>
            </w:r>
          </w:p>
        </w:tc>
        <w:tc>
          <w:tcPr>
            <w:tcW w:w="952" w:type="dxa"/>
            <w:tcBorders>
              <w:bottom w:val="nil"/>
            </w:tcBorders>
            <w:shd w:val="clear" w:color="auto" w:fill="auto"/>
            <w:noWrap/>
            <w:vAlign w:val="bottom"/>
          </w:tcPr>
          <w:p w14:paraId="787B0096" w14:textId="0F289A09" w:rsidR="004E2640" w:rsidRPr="007D4AFD" w:rsidRDefault="004E2640" w:rsidP="004E2640">
            <w:pPr>
              <w:pStyle w:val="SingleTxtG"/>
              <w:tabs>
                <w:tab w:val="clear" w:pos="1701"/>
                <w:tab w:val="clear" w:pos="2268"/>
                <w:tab w:val="clear" w:pos="2835"/>
              </w:tabs>
              <w:spacing w:before="40" w:after="40" w:line="220" w:lineRule="exact"/>
              <w:ind w:left="113" w:right="0"/>
              <w:jc w:val="right"/>
              <w:rPr>
                <w:sz w:val="18"/>
              </w:rPr>
            </w:pPr>
            <w:r w:rsidRPr="007D4AFD">
              <w:rPr>
                <w:sz w:val="18"/>
              </w:rPr>
              <w:t>8,9</w:t>
            </w:r>
          </w:p>
        </w:tc>
        <w:tc>
          <w:tcPr>
            <w:tcW w:w="951" w:type="dxa"/>
            <w:tcBorders>
              <w:bottom w:val="nil"/>
            </w:tcBorders>
            <w:shd w:val="clear" w:color="auto" w:fill="auto"/>
            <w:noWrap/>
            <w:vAlign w:val="bottom"/>
          </w:tcPr>
          <w:p w14:paraId="21D2723B" w14:textId="23AA03C4" w:rsidR="004E2640" w:rsidRPr="007D4AFD" w:rsidRDefault="004E2640" w:rsidP="004E2640">
            <w:pPr>
              <w:pStyle w:val="SingleTxtG"/>
              <w:tabs>
                <w:tab w:val="clear" w:pos="1701"/>
                <w:tab w:val="clear" w:pos="2268"/>
                <w:tab w:val="clear" w:pos="2835"/>
              </w:tabs>
              <w:spacing w:before="40" w:after="40" w:line="220" w:lineRule="exact"/>
              <w:ind w:left="113" w:right="0"/>
              <w:jc w:val="right"/>
              <w:rPr>
                <w:sz w:val="18"/>
              </w:rPr>
            </w:pPr>
            <w:r w:rsidRPr="007D4AFD">
              <w:rPr>
                <w:sz w:val="18"/>
              </w:rPr>
              <w:t>8,8</w:t>
            </w:r>
          </w:p>
        </w:tc>
        <w:tc>
          <w:tcPr>
            <w:tcW w:w="952" w:type="dxa"/>
            <w:tcBorders>
              <w:bottom w:val="nil"/>
            </w:tcBorders>
            <w:shd w:val="clear" w:color="auto" w:fill="auto"/>
            <w:noWrap/>
            <w:vAlign w:val="bottom"/>
          </w:tcPr>
          <w:p w14:paraId="2174FF1A" w14:textId="4C5F4E65" w:rsidR="004E2640" w:rsidRPr="007D4AFD" w:rsidRDefault="004E2640" w:rsidP="004E2640">
            <w:pPr>
              <w:pStyle w:val="SingleTxtG"/>
              <w:tabs>
                <w:tab w:val="clear" w:pos="1701"/>
                <w:tab w:val="clear" w:pos="2268"/>
                <w:tab w:val="clear" w:pos="2835"/>
              </w:tabs>
              <w:spacing w:before="40" w:after="40" w:line="220" w:lineRule="exact"/>
              <w:ind w:left="113" w:right="0"/>
              <w:jc w:val="right"/>
              <w:rPr>
                <w:sz w:val="18"/>
              </w:rPr>
            </w:pPr>
            <w:r w:rsidRPr="007D4AFD">
              <w:rPr>
                <w:sz w:val="18"/>
              </w:rPr>
              <w:t>6,2</w:t>
            </w:r>
          </w:p>
        </w:tc>
        <w:tc>
          <w:tcPr>
            <w:tcW w:w="952" w:type="dxa"/>
            <w:tcBorders>
              <w:bottom w:val="nil"/>
            </w:tcBorders>
            <w:shd w:val="clear" w:color="auto" w:fill="auto"/>
            <w:noWrap/>
            <w:vAlign w:val="bottom"/>
          </w:tcPr>
          <w:p w14:paraId="206B4EBB" w14:textId="7F4F4A82" w:rsidR="004E2640" w:rsidRPr="007D4AFD" w:rsidRDefault="004E2640" w:rsidP="004E2640">
            <w:pPr>
              <w:pStyle w:val="SingleTxtG"/>
              <w:tabs>
                <w:tab w:val="clear" w:pos="1701"/>
                <w:tab w:val="clear" w:pos="2268"/>
                <w:tab w:val="clear" w:pos="2835"/>
              </w:tabs>
              <w:spacing w:before="40" w:after="40" w:line="220" w:lineRule="exact"/>
              <w:ind w:left="113" w:right="0"/>
              <w:jc w:val="right"/>
              <w:rPr>
                <w:sz w:val="18"/>
              </w:rPr>
            </w:pPr>
            <w:r w:rsidRPr="007D4AFD">
              <w:rPr>
                <w:sz w:val="18"/>
              </w:rPr>
              <w:t>4,8</w:t>
            </w:r>
          </w:p>
        </w:tc>
      </w:tr>
      <w:tr w:rsidR="004E2640" w:rsidRPr="007D4AFD" w14:paraId="799A66D1" w14:textId="77777777" w:rsidTr="00862368">
        <w:trPr>
          <w:trHeight w:val="240"/>
        </w:trPr>
        <w:tc>
          <w:tcPr>
            <w:tcW w:w="2977" w:type="dxa"/>
            <w:tcBorders>
              <w:bottom w:val="nil"/>
            </w:tcBorders>
            <w:shd w:val="clear" w:color="auto" w:fill="auto"/>
            <w:noWrap/>
            <w:hideMark/>
          </w:tcPr>
          <w:p w14:paraId="6EB4E739" w14:textId="77777777" w:rsidR="004E2640" w:rsidRPr="007D4AFD" w:rsidRDefault="004E2640" w:rsidP="004E2640">
            <w:pPr>
              <w:pStyle w:val="SingleTxtG"/>
              <w:tabs>
                <w:tab w:val="clear" w:pos="1701"/>
                <w:tab w:val="clear" w:pos="2268"/>
                <w:tab w:val="clear" w:pos="2835"/>
              </w:tabs>
              <w:spacing w:before="40" w:after="40" w:line="220" w:lineRule="exact"/>
              <w:ind w:left="0" w:right="0"/>
              <w:jc w:val="left"/>
              <w:rPr>
                <w:rFonts w:eastAsia="Calibri"/>
                <w:sz w:val="18"/>
              </w:rPr>
            </w:pPr>
            <w:r w:rsidRPr="007D4AFD">
              <w:rPr>
                <w:sz w:val="18"/>
              </w:rPr>
              <w:lastRenderedPageBreak/>
              <w:t xml:space="preserve">Medio urbano </w:t>
            </w:r>
          </w:p>
        </w:tc>
        <w:tc>
          <w:tcPr>
            <w:tcW w:w="951" w:type="dxa"/>
            <w:tcBorders>
              <w:bottom w:val="nil"/>
            </w:tcBorders>
            <w:shd w:val="clear" w:color="auto" w:fill="auto"/>
            <w:noWrap/>
            <w:vAlign w:val="bottom"/>
            <w:hideMark/>
          </w:tcPr>
          <w:p w14:paraId="2D175E62"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13,3</w:t>
            </w:r>
          </w:p>
        </w:tc>
        <w:tc>
          <w:tcPr>
            <w:tcW w:w="952" w:type="dxa"/>
            <w:tcBorders>
              <w:bottom w:val="nil"/>
            </w:tcBorders>
            <w:shd w:val="clear" w:color="auto" w:fill="auto"/>
            <w:noWrap/>
            <w:vAlign w:val="bottom"/>
            <w:hideMark/>
          </w:tcPr>
          <w:p w14:paraId="748CA5FF"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10,4</w:t>
            </w:r>
          </w:p>
        </w:tc>
        <w:tc>
          <w:tcPr>
            <w:tcW w:w="951" w:type="dxa"/>
            <w:tcBorders>
              <w:bottom w:val="nil"/>
            </w:tcBorders>
            <w:shd w:val="clear" w:color="auto" w:fill="auto"/>
            <w:noWrap/>
            <w:vAlign w:val="bottom"/>
            <w:hideMark/>
          </w:tcPr>
          <w:p w14:paraId="52C92404"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7,9</w:t>
            </w:r>
          </w:p>
        </w:tc>
        <w:tc>
          <w:tcPr>
            <w:tcW w:w="952" w:type="dxa"/>
            <w:tcBorders>
              <w:bottom w:val="nil"/>
            </w:tcBorders>
            <w:shd w:val="clear" w:color="auto" w:fill="auto"/>
            <w:noWrap/>
            <w:vAlign w:val="bottom"/>
            <w:hideMark/>
          </w:tcPr>
          <w:p w14:paraId="09779B60"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4,9</w:t>
            </w:r>
          </w:p>
        </w:tc>
        <w:tc>
          <w:tcPr>
            <w:tcW w:w="951" w:type="dxa"/>
            <w:tcBorders>
              <w:bottom w:val="nil"/>
            </w:tcBorders>
            <w:shd w:val="clear" w:color="auto" w:fill="auto"/>
            <w:noWrap/>
            <w:vAlign w:val="bottom"/>
            <w:hideMark/>
          </w:tcPr>
          <w:p w14:paraId="4C907742"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4,7</w:t>
            </w:r>
          </w:p>
        </w:tc>
        <w:tc>
          <w:tcPr>
            <w:tcW w:w="952" w:type="dxa"/>
            <w:tcBorders>
              <w:bottom w:val="nil"/>
            </w:tcBorders>
            <w:shd w:val="clear" w:color="auto" w:fill="auto"/>
            <w:noWrap/>
            <w:vAlign w:val="bottom"/>
            <w:hideMark/>
          </w:tcPr>
          <w:p w14:paraId="5D3C0075"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3,5</w:t>
            </w:r>
          </w:p>
        </w:tc>
        <w:tc>
          <w:tcPr>
            <w:tcW w:w="952" w:type="dxa"/>
            <w:tcBorders>
              <w:bottom w:val="nil"/>
            </w:tcBorders>
            <w:shd w:val="clear" w:color="auto" w:fill="auto"/>
            <w:noWrap/>
            <w:vAlign w:val="bottom"/>
            <w:hideMark/>
          </w:tcPr>
          <w:p w14:paraId="61EA6E68"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1,6</w:t>
            </w:r>
          </w:p>
        </w:tc>
      </w:tr>
      <w:tr w:rsidR="004E2640" w:rsidRPr="007D4AFD" w14:paraId="0AC97CC5" w14:textId="77777777" w:rsidTr="00862368">
        <w:trPr>
          <w:trHeight w:val="240"/>
        </w:trPr>
        <w:tc>
          <w:tcPr>
            <w:tcW w:w="2977" w:type="dxa"/>
            <w:tcBorders>
              <w:top w:val="nil"/>
              <w:bottom w:val="single" w:sz="12" w:space="0" w:color="auto"/>
            </w:tcBorders>
            <w:shd w:val="clear" w:color="auto" w:fill="auto"/>
            <w:noWrap/>
            <w:hideMark/>
          </w:tcPr>
          <w:p w14:paraId="3367545E" w14:textId="77777777" w:rsidR="004E2640" w:rsidRPr="007D4AFD" w:rsidRDefault="004E2640" w:rsidP="004E2640">
            <w:pPr>
              <w:pStyle w:val="SingleTxtG"/>
              <w:tabs>
                <w:tab w:val="clear" w:pos="1701"/>
                <w:tab w:val="clear" w:pos="2268"/>
                <w:tab w:val="clear" w:pos="2835"/>
              </w:tabs>
              <w:spacing w:before="40" w:after="40" w:line="220" w:lineRule="exact"/>
              <w:ind w:left="0" w:right="0"/>
              <w:jc w:val="left"/>
              <w:rPr>
                <w:rFonts w:eastAsia="Calibri"/>
                <w:sz w:val="18"/>
              </w:rPr>
            </w:pPr>
            <w:r w:rsidRPr="007D4AFD">
              <w:rPr>
                <w:sz w:val="18"/>
              </w:rPr>
              <w:t>Medio rural</w:t>
            </w:r>
          </w:p>
        </w:tc>
        <w:tc>
          <w:tcPr>
            <w:tcW w:w="951" w:type="dxa"/>
            <w:tcBorders>
              <w:top w:val="nil"/>
              <w:bottom w:val="single" w:sz="12" w:space="0" w:color="auto"/>
            </w:tcBorders>
            <w:shd w:val="clear" w:color="auto" w:fill="auto"/>
            <w:noWrap/>
            <w:vAlign w:val="bottom"/>
            <w:hideMark/>
          </w:tcPr>
          <w:p w14:paraId="1E1C581E"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26,8</w:t>
            </w:r>
          </w:p>
        </w:tc>
        <w:tc>
          <w:tcPr>
            <w:tcW w:w="952" w:type="dxa"/>
            <w:tcBorders>
              <w:top w:val="nil"/>
              <w:bottom w:val="single" w:sz="12" w:space="0" w:color="auto"/>
            </w:tcBorders>
            <w:shd w:val="clear" w:color="auto" w:fill="auto"/>
            <w:noWrap/>
            <w:vAlign w:val="bottom"/>
            <w:hideMark/>
          </w:tcPr>
          <w:p w14:paraId="406D32B1"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23,0</w:t>
            </w:r>
          </w:p>
        </w:tc>
        <w:tc>
          <w:tcPr>
            <w:tcW w:w="951" w:type="dxa"/>
            <w:tcBorders>
              <w:top w:val="nil"/>
              <w:bottom w:val="single" w:sz="12" w:space="0" w:color="auto"/>
            </w:tcBorders>
            <w:shd w:val="clear" w:color="auto" w:fill="auto"/>
            <w:noWrap/>
            <w:vAlign w:val="bottom"/>
            <w:hideMark/>
          </w:tcPr>
          <w:p w14:paraId="383E8831"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22,0</w:t>
            </w:r>
          </w:p>
        </w:tc>
        <w:tc>
          <w:tcPr>
            <w:tcW w:w="952" w:type="dxa"/>
            <w:tcBorders>
              <w:top w:val="nil"/>
              <w:bottom w:val="single" w:sz="12" w:space="0" w:color="auto"/>
            </w:tcBorders>
            <w:shd w:val="clear" w:color="auto" w:fill="auto"/>
            <w:noWrap/>
            <w:vAlign w:val="bottom"/>
            <w:hideMark/>
          </w:tcPr>
          <w:p w14:paraId="51FB9C1D"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14,4</w:t>
            </w:r>
          </w:p>
        </w:tc>
        <w:tc>
          <w:tcPr>
            <w:tcW w:w="951" w:type="dxa"/>
            <w:tcBorders>
              <w:top w:val="nil"/>
              <w:bottom w:val="single" w:sz="12" w:space="0" w:color="auto"/>
            </w:tcBorders>
            <w:shd w:val="clear" w:color="auto" w:fill="auto"/>
            <w:noWrap/>
            <w:vAlign w:val="bottom"/>
            <w:hideMark/>
          </w:tcPr>
          <w:p w14:paraId="3CA0D5FC"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14,2</w:t>
            </w:r>
          </w:p>
        </w:tc>
        <w:tc>
          <w:tcPr>
            <w:tcW w:w="952" w:type="dxa"/>
            <w:tcBorders>
              <w:top w:val="nil"/>
              <w:bottom w:val="single" w:sz="12" w:space="0" w:color="auto"/>
            </w:tcBorders>
            <w:shd w:val="clear" w:color="auto" w:fill="auto"/>
            <w:noWrap/>
            <w:vAlign w:val="bottom"/>
            <w:hideMark/>
          </w:tcPr>
          <w:p w14:paraId="013DE909"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10,0</w:t>
            </w:r>
          </w:p>
        </w:tc>
        <w:tc>
          <w:tcPr>
            <w:tcW w:w="952" w:type="dxa"/>
            <w:tcBorders>
              <w:top w:val="nil"/>
              <w:bottom w:val="single" w:sz="12" w:space="0" w:color="auto"/>
            </w:tcBorders>
            <w:shd w:val="clear" w:color="auto" w:fill="auto"/>
            <w:noWrap/>
            <w:vAlign w:val="bottom"/>
            <w:hideMark/>
          </w:tcPr>
          <w:p w14:paraId="3F21B27F" w14:textId="77777777" w:rsidR="004E2640" w:rsidRPr="007D4AFD" w:rsidRDefault="004E2640" w:rsidP="004E2640">
            <w:pPr>
              <w:pStyle w:val="SingleTxtG"/>
              <w:tabs>
                <w:tab w:val="clear" w:pos="1701"/>
                <w:tab w:val="clear" w:pos="2268"/>
                <w:tab w:val="clear" w:pos="2835"/>
              </w:tabs>
              <w:spacing w:before="40" w:after="40" w:line="220" w:lineRule="exact"/>
              <w:ind w:left="113" w:right="0"/>
              <w:jc w:val="right"/>
              <w:rPr>
                <w:rFonts w:eastAsia="Calibri"/>
                <w:sz w:val="18"/>
              </w:rPr>
            </w:pPr>
            <w:r w:rsidRPr="007D4AFD">
              <w:rPr>
                <w:bCs/>
                <w:sz w:val="18"/>
              </w:rPr>
              <w:t>9,5</w:t>
            </w:r>
          </w:p>
        </w:tc>
      </w:tr>
    </w:tbl>
    <w:p w14:paraId="48D9F5A1" w14:textId="77777777" w:rsidR="003C77BF" w:rsidRPr="007D4AFD" w:rsidRDefault="003C77BF"/>
    <w:tbl>
      <w:tblPr>
        <w:tblW w:w="9638" w:type="dxa"/>
        <w:tblBorders>
          <w:top w:val="single" w:sz="4" w:space="0" w:color="auto"/>
        </w:tblBorders>
        <w:tblLayout w:type="fixed"/>
        <w:tblCellMar>
          <w:left w:w="0" w:type="dxa"/>
          <w:right w:w="0" w:type="dxa"/>
        </w:tblCellMar>
        <w:tblLook w:val="04A0" w:firstRow="1" w:lastRow="0" w:firstColumn="1" w:lastColumn="0" w:noHBand="0" w:noVBand="1"/>
      </w:tblPr>
      <w:tblGrid>
        <w:gridCol w:w="2926"/>
        <w:gridCol w:w="958"/>
        <w:gridCol w:w="959"/>
        <w:gridCol w:w="959"/>
        <w:gridCol w:w="959"/>
        <w:gridCol w:w="959"/>
        <w:gridCol w:w="959"/>
        <w:gridCol w:w="959"/>
      </w:tblGrid>
      <w:tr w:rsidR="005E692D" w:rsidRPr="007D4AFD" w14:paraId="275AE1DC" w14:textId="77777777" w:rsidTr="00862368">
        <w:trPr>
          <w:trHeight w:val="240"/>
        </w:trPr>
        <w:tc>
          <w:tcPr>
            <w:tcW w:w="2926" w:type="dxa"/>
            <w:tcBorders>
              <w:top w:val="single" w:sz="4" w:space="0" w:color="auto"/>
              <w:bottom w:val="single" w:sz="12" w:space="0" w:color="auto"/>
            </w:tcBorders>
            <w:shd w:val="clear" w:color="auto" w:fill="auto"/>
            <w:noWrap/>
            <w:hideMark/>
          </w:tcPr>
          <w:p w14:paraId="0DB26026" w14:textId="77777777" w:rsidR="004E0684" w:rsidRPr="007D4AFD" w:rsidRDefault="004E0684" w:rsidP="00114AD4">
            <w:pPr>
              <w:pStyle w:val="SingleTxtG"/>
              <w:tabs>
                <w:tab w:val="clear" w:pos="1701"/>
                <w:tab w:val="clear" w:pos="2268"/>
                <w:tab w:val="clear" w:pos="2835"/>
              </w:tabs>
              <w:spacing w:before="40" w:after="40" w:line="220" w:lineRule="exact"/>
              <w:ind w:left="0" w:right="0"/>
              <w:jc w:val="left"/>
              <w:rPr>
                <w:rFonts w:eastAsia="Calibri"/>
                <w:bCs/>
                <w:iCs/>
                <w:sz w:val="18"/>
              </w:rPr>
            </w:pPr>
            <w:r w:rsidRPr="007D4AFD">
              <w:rPr>
                <w:rFonts w:eastAsia="Calibri"/>
                <w:bCs/>
                <w:iCs/>
                <w:sz w:val="18"/>
                <w:rtl/>
              </w:rPr>
              <w:t> </w:t>
            </w:r>
          </w:p>
        </w:tc>
        <w:tc>
          <w:tcPr>
            <w:tcW w:w="958" w:type="dxa"/>
            <w:tcBorders>
              <w:top w:val="single" w:sz="4" w:space="0" w:color="auto"/>
              <w:bottom w:val="single" w:sz="12" w:space="0" w:color="auto"/>
            </w:tcBorders>
            <w:shd w:val="clear" w:color="auto" w:fill="auto"/>
            <w:noWrap/>
            <w:vAlign w:val="bottom"/>
            <w:hideMark/>
          </w:tcPr>
          <w:p w14:paraId="0F1F5D1C" w14:textId="77777777" w:rsidR="004E0684" w:rsidRPr="007D4AFD" w:rsidRDefault="004E0684" w:rsidP="005E692D">
            <w:pPr>
              <w:pStyle w:val="SingleTxtG"/>
              <w:tabs>
                <w:tab w:val="clear" w:pos="1701"/>
                <w:tab w:val="clear" w:pos="2268"/>
                <w:tab w:val="clear" w:pos="2835"/>
              </w:tabs>
              <w:spacing w:before="80" w:after="80" w:line="200" w:lineRule="exact"/>
              <w:ind w:left="113" w:right="0"/>
              <w:jc w:val="right"/>
              <w:rPr>
                <w:bCs/>
                <w:i/>
                <w:sz w:val="16"/>
              </w:rPr>
            </w:pPr>
            <w:r w:rsidRPr="007D4AFD">
              <w:rPr>
                <w:bCs/>
                <w:i/>
                <w:sz w:val="16"/>
              </w:rPr>
              <w:t>1991</w:t>
            </w:r>
          </w:p>
        </w:tc>
        <w:tc>
          <w:tcPr>
            <w:tcW w:w="959" w:type="dxa"/>
            <w:tcBorders>
              <w:top w:val="single" w:sz="4" w:space="0" w:color="auto"/>
              <w:bottom w:val="single" w:sz="12" w:space="0" w:color="auto"/>
            </w:tcBorders>
            <w:shd w:val="clear" w:color="auto" w:fill="auto"/>
            <w:noWrap/>
            <w:vAlign w:val="bottom"/>
            <w:hideMark/>
          </w:tcPr>
          <w:p w14:paraId="4143C3B4" w14:textId="77777777" w:rsidR="004E0684" w:rsidRPr="007D4AFD" w:rsidRDefault="004E0684" w:rsidP="005E692D">
            <w:pPr>
              <w:pStyle w:val="SingleTxtG"/>
              <w:tabs>
                <w:tab w:val="clear" w:pos="1701"/>
                <w:tab w:val="clear" w:pos="2268"/>
                <w:tab w:val="clear" w:pos="2835"/>
              </w:tabs>
              <w:spacing w:before="80" w:after="80" w:line="200" w:lineRule="exact"/>
              <w:ind w:left="113" w:right="0"/>
              <w:jc w:val="right"/>
              <w:rPr>
                <w:bCs/>
                <w:i/>
                <w:sz w:val="16"/>
              </w:rPr>
            </w:pPr>
            <w:r w:rsidRPr="007D4AFD">
              <w:rPr>
                <w:bCs/>
                <w:i/>
                <w:sz w:val="16"/>
              </w:rPr>
              <w:t>1998</w:t>
            </w:r>
          </w:p>
        </w:tc>
        <w:tc>
          <w:tcPr>
            <w:tcW w:w="959" w:type="dxa"/>
            <w:tcBorders>
              <w:top w:val="single" w:sz="4" w:space="0" w:color="auto"/>
              <w:bottom w:val="single" w:sz="12" w:space="0" w:color="auto"/>
            </w:tcBorders>
            <w:shd w:val="clear" w:color="auto" w:fill="auto"/>
            <w:noWrap/>
            <w:vAlign w:val="bottom"/>
            <w:hideMark/>
          </w:tcPr>
          <w:p w14:paraId="5FB7A3A2" w14:textId="77777777" w:rsidR="004E0684" w:rsidRPr="007D4AFD" w:rsidRDefault="004E0684" w:rsidP="005E692D">
            <w:pPr>
              <w:pStyle w:val="SingleTxtG"/>
              <w:tabs>
                <w:tab w:val="clear" w:pos="1701"/>
                <w:tab w:val="clear" w:pos="2268"/>
                <w:tab w:val="clear" w:pos="2835"/>
              </w:tabs>
              <w:spacing w:before="80" w:after="80" w:line="200" w:lineRule="exact"/>
              <w:ind w:left="113" w:right="0"/>
              <w:jc w:val="right"/>
              <w:rPr>
                <w:bCs/>
                <w:i/>
                <w:sz w:val="16"/>
              </w:rPr>
            </w:pPr>
            <w:r w:rsidRPr="007D4AFD">
              <w:rPr>
                <w:bCs/>
                <w:i/>
                <w:sz w:val="16"/>
              </w:rPr>
              <w:t>2001</w:t>
            </w:r>
          </w:p>
        </w:tc>
        <w:tc>
          <w:tcPr>
            <w:tcW w:w="959" w:type="dxa"/>
            <w:tcBorders>
              <w:top w:val="single" w:sz="4" w:space="0" w:color="auto"/>
              <w:bottom w:val="single" w:sz="12" w:space="0" w:color="auto"/>
            </w:tcBorders>
            <w:shd w:val="clear" w:color="auto" w:fill="auto"/>
            <w:noWrap/>
            <w:vAlign w:val="bottom"/>
            <w:hideMark/>
          </w:tcPr>
          <w:p w14:paraId="230D767D" w14:textId="77777777" w:rsidR="004E0684" w:rsidRPr="007D4AFD" w:rsidRDefault="004E0684" w:rsidP="005E692D">
            <w:pPr>
              <w:pStyle w:val="SingleTxtG"/>
              <w:tabs>
                <w:tab w:val="clear" w:pos="1701"/>
                <w:tab w:val="clear" w:pos="2268"/>
                <w:tab w:val="clear" w:pos="2835"/>
              </w:tabs>
              <w:spacing w:before="80" w:after="80" w:line="200" w:lineRule="exact"/>
              <w:ind w:left="113" w:right="0"/>
              <w:jc w:val="right"/>
              <w:rPr>
                <w:bCs/>
                <w:i/>
                <w:sz w:val="16"/>
              </w:rPr>
            </w:pPr>
            <w:r w:rsidRPr="007D4AFD">
              <w:rPr>
                <w:bCs/>
                <w:i/>
                <w:sz w:val="16"/>
              </w:rPr>
              <w:t>2007</w:t>
            </w:r>
          </w:p>
        </w:tc>
        <w:tc>
          <w:tcPr>
            <w:tcW w:w="959" w:type="dxa"/>
            <w:tcBorders>
              <w:top w:val="single" w:sz="4" w:space="0" w:color="auto"/>
              <w:bottom w:val="single" w:sz="12" w:space="0" w:color="auto"/>
            </w:tcBorders>
            <w:shd w:val="clear" w:color="auto" w:fill="auto"/>
            <w:noWrap/>
            <w:vAlign w:val="bottom"/>
            <w:hideMark/>
          </w:tcPr>
          <w:p w14:paraId="56875DD2" w14:textId="77777777" w:rsidR="004E0684" w:rsidRPr="007D4AFD" w:rsidRDefault="004E0684" w:rsidP="005E692D">
            <w:pPr>
              <w:pStyle w:val="SingleTxtG"/>
              <w:tabs>
                <w:tab w:val="clear" w:pos="1701"/>
                <w:tab w:val="clear" w:pos="2268"/>
                <w:tab w:val="clear" w:pos="2835"/>
              </w:tabs>
              <w:spacing w:before="80" w:after="80" w:line="200" w:lineRule="exact"/>
              <w:ind w:left="113" w:right="0"/>
              <w:jc w:val="right"/>
              <w:rPr>
                <w:bCs/>
                <w:i/>
                <w:sz w:val="16"/>
              </w:rPr>
            </w:pPr>
            <w:r w:rsidRPr="007D4AFD">
              <w:rPr>
                <w:bCs/>
                <w:i/>
                <w:sz w:val="16"/>
              </w:rPr>
              <w:t>2008</w:t>
            </w:r>
          </w:p>
        </w:tc>
        <w:tc>
          <w:tcPr>
            <w:tcW w:w="959" w:type="dxa"/>
            <w:tcBorders>
              <w:top w:val="single" w:sz="4" w:space="0" w:color="auto"/>
              <w:bottom w:val="single" w:sz="12" w:space="0" w:color="auto"/>
            </w:tcBorders>
            <w:shd w:val="clear" w:color="auto" w:fill="auto"/>
            <w:noWrap/>
            <w:vAlign w:val="bottom"/>
            <w:hideMark/>
          </w:tcPr>
          <w:p w14:paraId="222714E9" w14:textId="77777777" w:rsidR="004E0684" w:rsidRPr="007D4AFD" w:rsidRDefault="004E0684" w:rsidP="005E692D">
            <w:pPr>
              <w:pStyle w:val="SingleTxtG"/>
              <w:tabs>
                <w:tab w:val="clear" w:pos="1701"/>
                <w:tab w:val="clear" w:pos="2268"/>
                <w:tab w:val="clear" w:pos="2835"/>
              </w:tabs>
              <w:spacing w:before="80" w:after="80" w:line="200" w:lineRule="exact"/>
              <w:ind w:left="113" w:right="0"/>
              <w:jc w:val="right"/>
              <w:rPr>
                <w:bCs/>
                <w:i/>
                <w:sz w:val="16"/>
              </w:rPr>
            </w:pPr>
            <w:r w:rsidRPr="007D4AFD">
              <w:rPr>
                <w:bCs/>
                <w:i/>
                <w:sz w:val="16"/>
              </w:rPr>
              <w:t>2011</w:t>
            </w:r>
          </w:p>
        </w:tc>
        <w:tc>
          <w:tcPr>
            <w:tcW w:w="959" w:type="dxa"/>
            <w:tcBorders>
              <w:top w:val="single" w:sz="4" w:space="0" w:color="auto"/>
              <w:bottom w:val="single" w:sz="12" w:space="0" w:color="auto"/>
            </w:tcBorders>
            <w:shd w:val="clear" w:color="auto" w:fill="auto"/>
            <w:noWrap/>
            <w:vAlign w:val="bottom"/>
            <w:hideMark/>
          </w:tcPr>
          <w:p w14:paraId="5059FD65" w14:textId="77777777" w:rsidR="004E0684" w:rsidRPr="007D4AFD" w:rsidRDefault="004E0684" w:rsidP="005E692D">
            <w:pPr>
              <w:pStyle w:val="SingleTxtG"/>
              <w:tabs>
                <w:tab w:val="clear" w:pos="1701"/>
                <w:tab w:val="clear" w:pos="2268"/>
                <w:tab w:val="clear" w:pos="2835"/>
              </w:tabs>
              <w:spacing w:before="80" w:after="80" w:line="200" w:lineRule="exact"/>
              <w:ind w:left="113" w:right="0"/>
              <w:jc w:val="right"/>
              <w:rPr>
                <w:bCs/>
                <w:i/>
                <w:sz w:val="16"/>
              </w:rPr>
            </w:pPr>
            <w:r w:rsidRPr="007D4AFD">
              <w:rPr>
                <w:bCs/>
                <w:i/>
                <w:sz w:val="16"/>
              </w:rPr>
              <w:t>2014</w:t>
            </w:r>
          </w:p>
        </w:tc>
      </w:tr>
      <w:tr w:rsidR="005E692D" w:rsidRPr="007D4AFD" w14:paraId="24A5E804" w14:textId="77777777" w:rsidTr="00862368">
        <w:trPr>
          <w:trHeight w:val="240"/>
        </w:trPr>
        <w:tc>
          <w:tcPr>
            <w:tcW w:w="2926" w:type="dxa"/>
            <w:tcBorders>
              <w:top w:val="single" w:sz="12" w:space="0" w:color="auto"/>
            </w:tcBorders>
            <w:shd w:val="clear" w:color="auto" w:fill="auto"/>
            <w:noWrap/>
            <w:hideMark/>
          </w:tcPr>
          <w:p w14:paraId="4A18359F" w14:textId="49A09BEE" w:rsidR="005E692D" w:rsidRPr="007D4AFD" w:rsidRDefault="005E692D" w:rsidP="00114AD4">
            <w:pPr>
              <w:pStyle w:val="SingleTxtG"/>
              <w:tabs>
                <w:tab w:val="clear" w:pos="1701"/>
                <w:tab w:val="clear" w:pos="2268"/>
                <w:tab w:val="clear" w:pos="2835"/>
              </w:tabs>
              <w:spacing w:before="40" w:after="40" w:line="220" w:lineRule="exact"/>
              <w:ind w:left="0" w:right="0"/>
              <w:jc w:val="left"/>
              <w:rPr>
                <w:rFonts w:eastAsia="Calibri"/>
                <w:sz w:val="18"/>
              </w:rPr>
            </w:pPr>
            <w:r w:rsidRPr="007D4AFD">
              <w:rPr>
                <w:sz w:val="18"/>
              </w:rPr>
              <w:t>Deciles según el gasto total por familia</w:t>
            </w:r>
          </w:p>
        </w:tc>
        <w:tc>
          <w:tcPr>
            <w:tcW w:w="958" w:type="dxa"/>
            <w:tcBorders>
              <w:top w:val="single" w:sz="12" w:space="0" w:color="auto"/>
            </w:tcBorders>
            <w:shd w:val="clear" w:color="auto" w:fill="auto"/>
          </w:tcPr>
          <w:p w14:paraId="1DCDF8DE" w14:textId="77777777" w:rsidR="005E692D" w:rsidRPr="007D4AFD" w:rsidRDefault="005E692D" w:rsidP="00114AD4">
            <w:pPr>
              <w:pStyle w:val="SingleTxtG"/>
              <w:tabs>
                <w:tab w:val="clear" w:pos="1701"/>
                <w:tab w:val="clear" w:pos="2268"/>
                <w:tab w:val="clear" w:pos="2835"/>
              </w:tabs>
              <w:spacing w:before="40" w:after="40" w:line="220" w:lineRule="exact"/>
              <w:ind w:left="0" w:right="0"/>
              <w:jc w:val="left"/>
              <w:rPr>
                <w:rFonts w:eastAsia="Calibri"/>
                <w:sz w:val="18"/>
              </w:rPr>
            </w:pPr>
          </w:p>
        </w:tc>
        <w:tc>
          <w:tcPr>
            <w:tcW w:w="959" w:type="dxa"/>
            <w:tcBorders>
              <w:top w:val="single" w:sz="12" w:space="0" w:color="auto"/>
            </w:tcBorders>
            <w:shd w:val="clear" w:color="auto" w:fill="auto"/>
          </w:tcPr>
          <w:p w14:paraId="01D129E7" w14:textId="77777777" w:rsidR="005E692D" w:rsidRPr="007D4AFD" w:rsidRDefault="005E692D" w:rsidP="00114AD4">
            <w:pPr>
              <w:pStyle w:val="SingleTxtG"/>
              <w:tabs>
                <w:tab w:val="clear" w:pos="1701"/>
                <w:tab w:val="clear" w:pos="2268"/>
                <w:tab w:val="clear" w:pos="2835"/>
              </w:tabs>
              <w:spacing w:before="40" w:after="40" w:line="220" w:lineRule="exact"/>
              <w:ind w:left="0" w:right="0"/>
              <w:jc w:val="left"/>
              <w:rPr>
                <w:rFonts w:eastAsia="Calibri"/>
                <w:sz w:val="18"/>
              </w:rPr>
            </w:pPr>
          </w:p>
        </w:tc>
        <w:tc>
          <w:tcPr>
            <w:tcW w:w="959" w:type="dxa"/>
            <w:tcBorders>
              <w:top w:val="single" w:sz="12" w:space="0" w:color="auto"/>
            </w:tcBorders>
            <w:shd w:val="clear" w:color="auto" w:fill="auto"/>
          </w:tcPr>
          <w:p w14:paraId="11BD1A6E" w14:textId="77777777" w:rsidR="005E692D" w:rsidRPr="007D4AFD" w:rsidRDefault="005E692D" w:rsidP="00114AD4">
            <w:pPr>
              <w:pStyle w:val="SingleTxtG"/>
              <w:tabs>
                <w:tab w:val="clear" w:pos="1701"/>
                <w:tab w:val="clear" w:pos="2268"/>
                <w:tab w:val="clear" w:pos="2835"/>
              </w:tabs>
              <w:spacing w:before="40" w:after="40" w:line="220" w:lineRule="exact"/>
              <w:ind w:left="0" w:right="0"/>
              <w:jc w:val="left"/>
              <w:rPr>
                <w:rFonts w:eastAsia="Calibri"/>
                <w:sz w:val="18"/>
              </w:rPr>
            </w:pPr>
          </w:p>
        </w:tc>
        <w:tc>
          <w:tcPr>
            <w:tcW w:w="959" w:type="dxa"/>
            <w:tcBorders>
              <w:top w:val="single" w:sz="12" w:space="0" w:color="auto"/>
            </w:tcBorders>
            <w:shd w:val="clear" w:color="auto" w:fill="auto"/>
          </w:tcPr>
          <w:p w14:paraId="504140CF" w14:textId="11BCC423" w:rsidR="005E692D" w:rsidRPr="007D4AFD" w:rsidRDefault="005E692D" w:rsidP="00114AD4">
            <w:pPr>
              <w:pStyle w:val="SingleTxtG"/>
              <w:tabs>
                <w:tab w:val="clear" w:pos="1701"/>
                <w:tab w:val="clear" w:pos="2268"/>
                <w:tab w:val="clear" w:pos="2835"/>
              </w:tabs>
              <w:spacing w:before="40" w:after="40" w:line="220" w:lineRule="exact"/>
              <w:ind w:left="0" w:right="0"/>
              <w:jc w:val="left"/>
              <w:rPr>
                <w:rFonts w:eastAsia="Calibri"/>
                <w:sz w:val="18"/>
              </w:rPr>
            </w:pPr>
          </w:p>
        </w:tc>
        <w:tc>
          <w:tcPr>
            <w:tcW w:w="959" w:type="dxa"/>
            <w:tcBorders>
              <w:top w:val="single" w:sz="12" w:space="0" w:color="auto"/>
            </w:tcBorders>
            <w:shd w:val="clear" w:color="auto" w:fill="auto"/>
          </w:tcPr>
          <w:p w14:paraId="72602063" w14:textId="77777777" w:rsidR="005E692D" w:rsidRPr="007D4AFD" w:rsidRDefault="005E692D" w:rsidP="00114AD4">
            <w:pPr>
              <w:pStyle w:val="SingleTxtG"/>
              <w:tabs>
                <w:tab w:val="clear" w:pos="1701"/>
                <w:tab w:val="clear" w:pos="2268"/>
                <w:tab w:val="clear" w:pos="2835"/>
              </w:tabs>
              <w:spacing w:before="40" w:after="40" w:line="220" w:lineRule="exact"/>
              <w:ind w:left="0" w:right="0"/>
              <w:jc w:val="left"/>
              <w:rPr>
                <w:rFonts w:eastAsia="Calibri"/>
                <w:sz w:val="18"/>
              </w:rPr>
            </w:pPr>
          </w:p>
        </w:tc>
        <w:tc>
          <w:tcPr>
            <w:tcW w:w="959" w:type="dxa"/>
            <w:tcBorders>
              <w:top w:val="single" w:sz="12" w:space="0" w:color="auto"/>
            </w:tcBorders>
            <w:shd w:val="clear" w:color="auto" w:fill="auto"/>
          </w:tcPr>
          <w:p w14:paraId="6CC768FA" w14:textId="77777777" w:rsidR="005E692D" w:rsidRPr="007D4AFD" w:rsidRDefault="005E692D" w:rsidP="00114AD4">
            <w:pPr>
              <w:pStyle w:val="SingleTxtG"/>
              <w:tabs>
                <w:tab w:val="clear" w:pos="1701"/>
                <w:tab w:val="clear" w:pos="2268"/>
                <w:tab w:val="clear" w:pos="2835"/>
              </w:tabs>
              <w:spacing w:before="40" w:after="40" w:line="220" w:lineRule="exact"/>
              <w:ind w:left="0" w:right="0"/>
              <w:jc w:val="left"/>
              <w:rPr>
                <w:rFonts w:eastAsia="Calibri"/>
                <w:sz w:val="18"/>
              </w:rPr>
            </w:pPr>
          </w:p>
        </w:tc>
        <w:tc>
          <w:tcPr>
            <w:tcW w:w="959" w:type="dxa"/>
            <w:tcBorders>
              <w:top w:val="single" w:sz="12" w:space="0" w:color="auto"/>
            </w:tcBorders>
            <w:shd w:val="clear" w:color="auto" w:fill="auto"/>
          </w:tcPr>
          <w:p w14:paraId="64978A6A" w14:textId="417E3124" w:rsidR="005E692D" w:rsidRPr="007D4AFD" w:rsidRDefault="005E692D" w:rsidP="00114AD4">
            <w:pPr>
              <w:pStyle w:val="SingleTxtG"/>
              <w:tabs>
                <w:tab w:val="clear" w:pos="1701"/>
                <w:tab w:val="clear" w:pos="2268"/>
                <w:tab w:val="clear" w:pos="2835"/>
              </w:tabs>
              <w:spacing w:before="40" w:after="40" w:line="220" w:lineRule="exact"/>
              <w:ind w:left="0" w:right="0"/>
              <w:jc w:val="left"/>
              <w:rPr>
                <w:rFonts w:eastAsia="Calibri"/>
                <w:sz w:val="18"/>
              </w:rPr>
            </w:pPr>
          </w:p>
        </w:tc>
      </w:tr>
      <w:tr w:rsidR="005E692D" w:rsidRPr="007D4AFD" w14:paraId="45C7D768" w14:textId="77777777" w:rsidTr="00862368">
        <w:trPr>
          <w:trHeight w:val="240"/>
        </w:trPr>
        <w:tc>
          <w:tcPr>
            <w:tcW w:w="2926" w:type="dxa"/>
            <w:shd w:val="clear" w:color="auto" w:fill="auto"/>
            <w:noWrap/>
            <w:hideMark/>
          </w:tcPr>
          <w:p w14:paraId="0BC29D53" w14:textId="77777777" w:rsidR="004E0684" w:rsidRPr="007D4AFD" w:rsidRDefault="004E0684" w:rsidP="00114AD4">
            <w:pPr>
              <w:pStyle w:val="SingleTxtG"/>
              <w:tabs>
                <w:tab w:val="clear" w:pos="1701"/>
                <w:tab w:val="clear" w:pos="2268"/>
                <w:tab w:val="clear" w:pos="2835"/>
              </w:tabs>
              <w:spacing w:before="40" w:after="40" w:line="220" w:lineRule="exact"/>
              <w:ind w:left="0" w:right="0"/>
              <w:jc w:val="left"/>
              <w:rPr>
                <w:rFonts w:eastAsia="Calibri"/>
                <w:sz w:val="18"/>
              </w:rPr>
            </w:pPr>
            <w:r w:rsidRPr="007D4AFD">
              <w:rPr>
                <w:sz w:val="18"/>
              </w:rPr>
              <w:t>Decil de las familias más pobres</w:t>
            </w:r>
          </w:p>
        </w:tc>
        <w:tc>
          <w:tcPr>
            <w:tcW w:w="958" w:type="dxa"/>
            <w:shd w:val="clear" w:color="auto" w:fill="auto"/>
            <w:noWrap/>
            <w:vAlign w:val="bottom"/>
            <w:hideMark/>
          </w:tcPr>
          <w:p w14:paraId="441A31A6"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1,9</w:t>
            </w:r>
          </w:p>
        </w:tc>
        <w:tc>
          <w:tcPr>
            <w:tcW w:w="959" w:type="dxa"/>
            <w:shd w:val="clear" w:color="auto" w:fill="auto"/>
            <w:noWrap/>
            <w:vAlign w:val="bottom"/>
            <w:hideMark/>
          </w:tcPr>
          <w:p w14:paraId="3BEF857F"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2,6</w:t>
            </w:r>
          </w:p>
        </w:tc>
        <w:tc>
          <w:tcPr>
            <w:tcW w:w="959" w:type="dxa"/>
            <w:shd w:val="clear" w:color="auto" w:fill="auto"/>
            <w:noWrap/>
            <w:vAlign w:val="bottom"/>
            <w:hideMark/>
          </w:tcPr>
          <w:p w14:paraId="6EE12AF5"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2,6</w:t>
            </w:r>
          </w:p>
        </w:tc>
        <w:tc>
          <w:tcPr>
            <w:tcW w:w="959" w:type="dxa"/>
            <w:shd w:val="clear" w:color="auto" w:fill="auto"/>
            <w:noWrap/>
            <w:vAlign w:val="bottom"/>
            <w:hideMark/>
          </w:tcPr>
          <w:p w14:paraId="4F39E054"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2,6</w:t>
            </w:r>
          </w:p>
        </w:tc>
        <w:tc>
          <w:tcPr>
            <w:tcW w:w="959" w:type="dxa"/>
            <w:shd w:val="clear" w:color="auto" w:fill="auto"/>
            <w:noWrap/>
            <w:vAlign w:val="bottom"/>
            <w:hideMark/>
          </w:tcPr>
          <w:p w14:paraId="7A5FE2EF"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2,6</w:t>
            </w:r>
          </w:p>
        </w:tc>
        <w:tc>
          <w:tcPr>
            <w:tcW w:w="959" w:type="dxa"/>
            <w:shd w:val="clear" w:color="auto" w:fill="auto"/>
            <w:noWrap/>
            <w:vAlign w:val="bottom"/>
            <w:hideMark/>
          </w:tcPr>
          <w:p w14:paraId="4B91E4A8"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2,6</w:t>
            </w:r>
          </w:p>
        </w:tc>
        <w:tc>
          <w:tcPr>
            <w:tcW w:w="959" w:type="dxa"/>
            <w:shd w:val="clear" w:color="auto" w:fill="auto"/>
            <w:noWrap/>
            <w:vAlign w:val="bottom"/>
            <w:hideMark/>
          </w:tcPr>
          <w:p w14:paraId="36FDE85C"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2,8</w:t>
            </w:r>
          </w:p>
        </w:tc>
      </w:tr>
      <w:tr w:rsidR="005E692D" w:rsidRPr="007D4AFD" w14:paraId="5252A2AF" w14:textId="77777777" w:rsidTr="00862368">
        <w:trPr>
          <w:trHeight w:val="240"/>
        </w:trPr>
        <w:tc>
          <w:tcPr>
            <w:tcW w:w="2926" w:type="dxa"/>
            <w:tcBorders>
              <w:bottom w:val="nil"/>
            </w:tcBorders>
            <w:shd w:val="clear" w:color="auto" w:fill="auto"/>
            <w:noWrap/>
            <w:hideMark/>
          </w:tcPr>
          <w:p w14:paraId="1E9F7D49" w14:textId="77777777" w:rsidR="004E0684" w:rsidRPr="007D4AFD" w:rsidRDefault="004E0684" w:rsidP="00114AD4">
            <w:pPr>
              <w:pStyle w:val="SingleTxtG"/>
              <w:tabs>
                <w:tab w:val="clear" w:pos="1701"/>
                <w:tab w:val="clear" w:pos="2268"/>
                <w:tab w:val="clear" w:pos="2835"/>
              </w:tabs>
              <w:spacing w:before="40" w:after="40" w:line="220" w:lineRule="exact"/>
              <w:ind w:left="0" w:right="0"/>
              <w:jc w:val="left"/>
              <w:rPr>
                <w:rFonts w:eastAsia="Calibri"/>
                <w:sz w:val="18"/>
              </w:rPr>
            </w:pPr>
            <w:r w:rsidRPr="007D4AFD">
              <w:rPr>
                <w:sz w:val="18"/>
              </w:rPr>
              <w:t>Decil de las familias más ricas</w:t>
            </w:r>
          </w:p>
        </w:tc>
        <w:tc>
          <w:tcPr>
            <w:tcW w:w="958" w:type="dxa"/>
            <w:tcBorders>
              <w:bottom w:val="nil"/>
            </w:tcBorders>
            <w:shd w:val="clear" w:color="auto" w:fill="auto"/>
            <w:noWrap/>
            <w:vAlign w:val="bottom"/>
            <w:hideMark/>
          </w:tcPr>
          <w:p w14:paraId="67961E74"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30,5</w:t>
            </w:r>
          </w:p>
        </w:tc>
        <w:tc>
          <w:tcPr>
            <w:tcW w:w="959" w:type="dxa"/>
            <w:tcBorders>
              <w:bottom w:val="nil"/>
            </w:tcBorders>
            <w:shd w:val="clear" w:color="auto" w:fill="auto"/>
            <w:noWrap/>
            <w:vAlign w:val="bottom"/>
            <w:hideMark/>
          </w:tcPr>
          <w:p w14:paraId="051B262E"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28,8</w:t>
            </w:r>
          </w:p>
        </w:tc>
        <w:tc>
          <w:tcPr>
            <w:tcW w:w="959" w:type="dxa"/>
            <w:tcBorders>
              <w:bottom w:val="nil"/>
            </w:tcBorders>
            <w:shd w:val="clear" w:color="auto" w:fill="auto"/>
            <w:noWrap/>
            <w:vAlign w:val="bottom"/>
            <w:hideMark/>
          </w:tcPr>
          <w:p w14:paraId="7D94649C"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32,1</w:t>
            </w:r>
          </w:p>
        </w:tc>
        <w:tc>
          <w:tcPr>
            <w:tcW w:w="959" w:type="dxa"/>
            <w:tcBorders>
              <w:bottom w:val="nil"/>
            </w:tcBorders>
            <w:shd w:val="clear" w:color="auto" w:fill="auto"/>
            <w:noWrap/>
            <w:vAlign w:val="bottom"/>
            <w:hideMark/>
          </w:tcPr>
          <w:p w14:paraId="40E4B3D3"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33,1</w:t>
            </w:r>
          </w:p>
        </w:tc>
        <w:tc>
          <w:tcPr>
            <w:tcW w:w="959" w:type="dxa"/>
            <w:tcBorders>
              <w:bottom w:val="nil"/>
            </w:tcBorders>
            <w:shd w:val="clear" w:color="auto" w:fill="auto"/>
            <w:noWrap/>
            <w:vAlign w:val="bottom"/>
            <w:hideMark/>
          </w:tcPr>
          <w:p w14:paraId="20D388EF"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33,0</w:t>
            </w:r>
          </w:p>
        </w:tc>
        <w:tc>
          <w:tcPr>
            <w:tcW w:w="959" w:type="dxa"/>
            <w:tcBorders>
              <w:bottom w:val="nil"/>
            </w:tcBorders>
            <w:shd w:val="clear" w:color="auto" w:fill="auto"/>
            <w:noWrap/>
            <w:vAlign w:val="bottom"/>
            <w:hideMark/>
          </w:tcPr>
          <w:p w14:paraId="6E390626"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30,0</w:t>
            </w:r>
          </w:p>
        </w:tc>
        <w:tc>
          <w:tcPr>
            <w:tcW w:w="959" w:type="dxa"/>
            <w:tcBorders>
              <w:bottom w:val="nil"/>
            </w:tcBorders>
            <w:shd w:val="clear" w:color="auto" w:fill="auto"/>
            <w:noWrap/>
            <w:vAlign w:val="bottom"/>
            <w:hideMark/>
          </w:tcPr>
          <w:p w14:paraId="1CADCB08"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31,3</w:t>
            </w:r>
          </w:p>
        </w:tc>
      </w:tr>
      <w:tr w:rsidR="005E692D" w:rsidRPr="007D4AFD" w14:paraId="65195BC8" w14:textId="77777777" w:rsidTr="00862368">
        <w:trPr>
          <w:trHeight w:val="240"/>
        </w:trPr>
        <w:tc>
          <w:tcPr>
            <w:tcW w:w="2926" w:type="dxa"/>
            <w:tcBorders>
              <w:top w:val="nil"/>
              <w:bottom w:val="single" w:sz="12" w:space="0" w:color="auto"/>
            </w:tcBorders>
            <w:shd w:val="clear" w:color="auto" w:fill="auto"/>
            <w:noWrap/>
            <w:hideMark/>
          </w:tcPr>
          <w:p w14:paraId="4737F6EE" w14:textId="77777777" w:rsidR="004E0684" w:rsidRPr="007D4AFD" w:rsidRDefault="004E0684" w:rsidP="00114AD4">
            <w:pPr>
              <w:pStyle w:val="SingleTxtG"/>
              <w:tabs>
                <w:tab w:val="clear" w:pos="1701"/>
                <w:tab w:val="clear" w:pos="2268"/>
                <w:tab w:val="clear" w:pos="2835"/>
              </w:tabs>
              <w:spacing w:before="40" w:after="40" w:line="220" w:lineRule="exact"/>
              <w:ind w:left="0" w:right="0"/>
              <w:jc w:val="left"/>
              <w:rPr>
                <w:rFonts w:eastAsia="Calibri"/>
                <w:sz w:val="18"/>
              </w:rPr>
            </w:pPr>
            <w:r w:rsidRPr="007D4AFD">
              <w:rPr>
                <w:sz w:val="18"/>
              </w:rPr>
              <w:t>Diferencia entre ambos deciles</w:t>
            </w:r>
          </w:p>
        </w:tc>
        <w:tc>
          <w:tcPr>
            <w:tcW w:w="958" w:type="dxa"/>
            <w:tcBorders>
              <w:top w:val="nil"/>
              <w:bottom w:val="single" w:sz="12" w:space="0" w:color="auto"/>
            </w:tcBorders>
            <w:shd w:val="clear" w:color="auto" w:fill="auto"/>
            <w:noWrap/>
            <w:vAlign w:val="bottom"/>
            <w:hideMark/>
          </w:tcPr>
          <w:p w14:paraId="4908DCC1"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12,2</w:t>
            </w:r>
          </w:p>
        </w:tc>
        <w:tc>
          <w:tcPr>
            <w:tcW w:w="959" w:type="dxa"/>
            <w:tcBorders>
              <w:top w:val="nil"/>
              <w:bottom w:val="single" w:sz="12" w:space="0" w:color="auto"/>
            </w:tcBorders>
            <w:shd w:val="clear" w:color="auto" w:fill="auto"/>
            <w:noWrap/>
            <w:vAlign w:val="bottom"/>
            <w:hideMark/>
          </w:tcPr>
          <w:p w14:paraId="7409BF36"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11,8</w:t>
            </w:r>
          </w:p>
        </w:tc>
        <w:tc>
          <w:tcPr>
            <w:tcW w:w="959" w:type="dxa"/>
            <w:tcBorders>
              <w:top w:val="nil"/>
              <w:bottom w:val="single" w:sz="12" w:space="0" w:color="auto"/>
            </w:tcBorders>
            <w:shd w:val="clear" w:color="auto" w:fill="auto"/>
            <w:noWrap/>
            <w:vAlign w:val="bottom"/>
            <w:hideMark/>
          </w:tcPr>
          <w:p w14:paraId="34F9786C"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12,3</w:t>
            </w:r>
          </w:p>
        </w:tc>
        <w:tc>
          <w:tcPr>
            <w:tcW w:w="959" w:type="dxa"/>
            <w:tcBorders>
              <w:top w:val="nil"/>
              <w:bottom w:val="single" w:sz="12" w:space="0" w:color="auto"/>
            </w:tcBorders>
            <w:shd w:val="clear" w:color="auto" w:fill="auto"/>
            <w:noWrap/>
            <w:vAlign w:val="bottom"/>
            <w:hideMark/>
          </w:tcPr>
          <w:p w14:paraId="618DA02C"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12,7</w:t>
            </w:r>
          </w:p>
        </w:tc>
        <w:tc>
          <w:tcPr>
            <w:tcW w:w="959" w:type="dxa"/>
            <w:tcBorders>
              <w:top w:val="nil"/>
              <w:bottom w:val="single" w:sz="12" w:space="0" w:color="auto"/>
            </w:tcBorders>
            <w:shd w:val="clear" w:color="auto" w:fill="auto"/>
            <w:noWrap/>
            <w:vAlign w:val="bottom"/>
            <w:hideMark/>
          </w:tcPr>
          <w:p w14:paraId="1146A921"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12,0</w:t>
            </w:r>
          </w:p>
        </w:tc>
        <w:tc>
          <w:tcPr>
            <w:tcW w:w="959" w:type="dxa"/>
            <w:tcBorders>
              <w:top w:val="nil"/>
              <w:bottom w:val="single" w:sz="12" w:space="0" w:color="auto"/>
            </w:tcBorders>
            <w:shd w:val="clear" w:color="auto" w:fill="auto"/>
            <w:noWrap/>
            <w:vAlign w:val="bottom"/>
            <w:hideMark/>
          </w:tcPr>
          <w:p w14:paraId="5ED3151A"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11,5</w:t>
            </w:r>
          </w:p>
        </w:tc>
        <w:tc>
          <w:tcPr>
            <w:tcW w:w="959" w:type="dxa"/>
            <w:tcBorders>
              <w:top w:val="nil"/>
              <w:bottom w:val="single" w:sz="12" w:space="0" w:color="auto"/>
            </w:tcBorders>
            <w:shd w:val="clear" w:color="auto" w:fill="auto"/>
            <w:noWrap/>
            <w:vAlign w:val="bottom"/>
            <w:hideMark/>
          </w:tcPr>
          <w:p w14:paraId="62DD7689"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11,2</w:t>
            </w:r>
          </w:p>
        </w:tc>
      </w:tr>
    </w:tbl>
    <w:p w14:paraId="46573FCD" w14:textId="77777777" w:rsidR="003C77BF" w:rsidRPr="007D4AFD" w:rsidRDefault="003C77BF"/>
    <w:tbl>
      <w:tblPr>
        <w:tblW w:w="9638" w:type="dxa"/>
        <w:tblBorders>
          <w:top w:val="single" w:sz="4" w:space="0" w:color="auto"/>
        </w:tblBorders>
        <w:tblLayout w:type="fixed"/>
        <w:tblCellMar>
          <w:left w:w="0" w:type="dxa"/>
          <w:right w:w="0" w:type="dxa"/>
        </w:tblCellMar>
        <w:tblLook w:val="04A0" w:firstRow="1" w:lastRow="0" w:firstColumn="1" w:lastColumn="0" w:noHBand="0" w:noVBand="1"/>
      </w:tblPr>
      <w:tblGrid>
        <w:gridCol w:w="2926"/>
        <w:gridCol w:w="958"/>
        <w:gridCol w:w="959"/>
        <w:gridCol w:w="959"/>
        <w:gridCol w:w="959"/>
        <w:gridCol w:w="959"/>
        <w:gridCol w:w="959"/>
        <w:gridCol w:w="959"/>
      </w:tblGrid>
      <w:tr w:rsidR="005E692D" w:rsidRPr="007D4AFD" w14:paraId="6757F715" w14:textId="77777777" w:rsidTr="00862368">
        <w:trPr>
          <w:trHeight w:val="520"/>
        </w:trPr>
        <w:tc>
          <w:tcPr>
            <w:tcW w:w="2926" w:type="dxa"/>
            <w:tcBorders>
              <w:top w:val="single" w:sz="4" w:space="0" w:color="auto"/>
              <w:bottom w:val="single" w:sz="12" w:space="0" w:color="auto"/>
            </w:tcBorders>
            <w:shd w:val="clear" w:color="auto" w:fill="auto"/>
            <w:noWrap/>
            <w:hideMark/>
          </w:tcPr>
          <w:p w14:paraId="18E2E4B8" w14:textId="3EEFC485" w:rsidR="004E0684" w:rsidRPr="007D4AFD" w:rsidRDefault="004E0684" w:rsidP="004F510C">
            <w:pPr>
              <w:pStyle w:val="SingleTxtG"/>
              <w:tabs>
                <w:tab w:val="clear" w:pos="1701"/>
                <w:tab w:val="clear" w:pos="2268"/>
                <w:tab w:val="clear" w:pos="2835"/>
                <w:tab w:val="left" w:pos="404"/>
              </w:tabs>
              <w:spacing w:before="40" w:after="40" w:line="220" w:lineRule="exact"/>
              <w:ind w:left="0" w:right="0"/>
              <w:jc w:val="left"/>
              <w:rPr>
                <w:rFonts w:eastAsia="Calibri"/>
                <w:b/>
                <w:sz w:val="18"/>
              </w:rPr>
            </w:pPr>
          </w:p>
        </w:tc>
        <w:tc>
          <w:tcPr>
            <w:tcW w:w="958" w:type="dxa"/>
            <w:tcBorders>
              <w:top w:val="single" w:sz="4" w:space="0" w:color="auto"/>
              <w:bottom w:val="single" w:sz="12" w:space="0" w:color="auto"/>
            </w:tcBorders>
            <w:shd w:val="clear" w:color="auto" w:fill="auto"/>
            <w:noWrap/>
            <w:vAlign w:val="bottom"/>
            <w:hideMark/>
          </w:tcPr>
          <w:p w14:paraId="536D313F" w14:textId="77777777" w:rsidR="004E0684" w:rsidRPr="007D4AFD" w:rsidRDefault="004E0684" w:rsidP="005E692D">
            <w:pPr>
              <w:pStyle w:val="SingleTxtG"/>
              <w:tabs>
                <w:tab w:val="clear" w:pos="1701"/>
                <w:tab w:val="clear" w:pos="2268"/>
                <w:tab w:val="clear" w:pos="2835"/>
              </w:tabs>
              <w:spacing w:before="80" w:after="80" w:line="200" w:lineRule="exact"/>
              <w:ind w:left="113" w:right="0"/>
              <w:jc w:val="right"/>
              <w:rPr>
                <w:bCs/>
                <w:i/>
                <w:sz w:val="16"/>
              </w:rPr>
            </w:pPr>
            <w:r w:rsidRPr="007D4AFD">
              <w:rPr>
                <w:bCs/>
                <w:i/>
                <w:sz w:val="16"/>
              </w:rPr>
              <w:t>1991</w:t>
            </w:r>
          </w:p>
        </w:tc>
        <w:tc>
          <w:tcPr>
            <w:tcW w:w="959" w:type="dxa"/>
            <w:tcBorders>
              <w:top w:val="single" w:sz="4" w:space="0" w:color="auto"/>
              <w:bottom w:val="single" w:sz="12" w:space="0" w:color="auto"/>
            </w:tcBorders>
            <w:shd w:val="clear" w:color="auto" w:fill="auto"/>
            <w:noWrap/>
            <w:vAlign w:val="bottom"/>
            <w:hideMark/>
          </w:tcPr>
          <w:p w14:paraId="1F0725E4" w14:textId="77777777" w:rsidR="004E0684" w:rsidRPr="007D4AFD" w:rsidRDefault="004E0684" w:rsidP="005E692D">
            <w:pPr>
              <w:pStyle w:val="SingleTxtG"/>
              <w:tabs>
                <w:tab w:val="clear" w:pos="1701"/>
                <w:tab w:val="clear" w:pos="2268"/>
                <w:tab w:val="clear" w:pos="2835"/>
              </w:tabs>
              <w:spacing w:before="80" w:after="80" w:line="200" w:lineRule="exact"/>
              <w:ind w:left="113" w:right="0"/>
              <w:jc w:val="right"/>
              <w:rPr>
                <w:bCs/>
                <w:i/>
                <w:sz w:val="16"/>
              </w:rPr>
            </w:pPr>
            <w:r w:rsidRPr="007D4AFD">
              <w:rPr>
                <w:bCs/>
                <w:i/>
                <w:sz w:val="16"/>
              </w:rPr>
              <w:t>2000</w:t>
            </w:r>
          </w:p>
        </w:tc>
        <w:tc>
          <w:tcPr>
            <w:tcW w:w="959" w:type="dxa"/>
            <w:tcBorders>
              <w:top w:val="single" w:sz="4" w:space="0" w:color="auto"/>
              <w:bottom w:val="single" w:sz="12" w:space="0" w:color="auto"/>
            </w:tcBorders>
            <w:shd w:val="clear" w:color="auto" w:fill="auto"/>
            <w:noWrap/>
            <w:vAlign w:val="bottom"/>
            <w:hideMark/>
          </w:tcPr>
          <w:p w14:paraId="704553CC" w14:textId="77777777" w:rsidR="004E0684" w:rsidRPr="007D4AFD" w:rsidRDefault="004E0684" w:rsidP="005E692D">
            <w:pPr>
              <w:pStyle w:val="SingleTxtG"/>
              <w:tabs>
                <w:tab w:val="clear" w:pos="1701"/>
                <w:tab w:val="clear" w:pos="2268"/>
                <w:tab w:val="clear" w:pos="2835"/>
              </w:tabs>
              <w:spacing w:before="80" w:after="80" w:line="200" w:lineRule="exact"/>
              <w:ind w:left="113" w:right="0"/>
              <w:jc w:val="right"/>
              <w:rPr>
                <w:bCs/>
                <w:i/>
                <w:sz w:val="16"/>
              </w:rPr>
            </w:pPr>
            <w:r w:rsidRPr="007D4AFD">
              <w:rPr>
                <w:bCs/>
                <w:i/>
                <w:sz w:val="16"/>
              </w:rPr>
              <w:t>2010</w:t>
            </w:r>
          </w:p>
        </w:tc>
        <w:tc>
          <w:tcPr>
            <w:tcW w:w="959" w:type="dxa"/>
            <w:tcBorders>
              <w:top w:val="single" w:sz="4" w:space="0" w:color="auto"/>
              <w:bottom w:val="single" w:sz="12" w:space="0" w:color="auto"/>
            </w:tcBorders>
            <w:shd w:val="clear" w:color="auto" w:fill="auto"/>
            <w:noWrap/>
            <w:vAlign w:val="bottom"/>
            <w:hideMark/>
          </w:tcPr>
          <w:p w14:paraId="2EACAD40" w14:textId="77777777" w:rsidR="004E0684" w:rsidRPr="007D4AFD" w:rsidRDefault="004E0684" w:rsidP="005E692D">
            <w:pPr>
              <w:pStyle w:val="SingleTxtG"/>
              <w:tabs>
                <w:tab w:val="clear" w:pos="1701"/>
                <w:tab w:val="clear" w:pos="2268"/>
                <w:tab w:val="clear" w:pos="2835"/>
              </w:tabs>
              <w:spacing w:before="80" w:after="80" w:line="200" w:lineRule="exact"/>
              <w:ind w:left="113" w:right="0"/>
              <w:jc w:val="right"/>
              <w:rPr>
                <w:bCs/>
                <w:i/>
                <w:sz w:val="16"/>
              </w:rPr>
            </w:pPr>
            <w:r w:rsidRPr="007D4AFD">
              <w:rPr>
                <w:bCs/>
                <w:i/>
                <w:sz w:val="16"/>
              </w:rPr>
              <w:t>2013</w:t>
            </w:r>
          </w:p>
        </w:tc>
        <w:tc>
          <w:tcPr>
            <w:tcW w:w="959" w:type="dxa"/>
            <w:tcBorders>
              <w:top w:val="single" w:sz="4" w:space="0" w:color="auto"/>
              <w:bottom w:val="single" w:sz="12" w:space="0" w:color="auto"/>
            </w:tcBorders>
            <w:shd w:val="clear" w:color="auto" w:fill="auto"/>
            <w:noWrap/>
            <w:vAlign w:val="bottom"/>
            <w:hideMark/>
          </w:tcPr>
          <w:p w14:paraId="317F38B5" w14:textId="77777777" w:rsidR="004E0684" w:rsidRPr="007D4AFD" w:rsidRDefault="004E0684" w:rsidP="005E692D">
            <w:pPr>
              <w:pStyle w:val="SingleTxtG"/>
              <w:tabs>
                <w:tab w:val="clear" w:pos="1701"/>
                <w:tab w:val="clear" w:pos="2268"/>
                <w:tab w:val="clear" w:pos="2835"/>
              </w:tabs>
              <w:spacing w:before="80" w:after="80" w:line="200" w:lineRule="exact"/>
              <w:ind w:left="113" w:right="0"/>
              <w:jc w:val="right"/>
              <w:rPr>
                <w:bCs/>
                <w:i/>
                <w:sz w:val="16"/>
              </w:rPr>
            </w:pPr>
            <w:r w:rsidRPr="007D4AFD">
              <w:rPr>
                <w:bCs/>
                <w:i/>
                <w:sz w:val="16"/>
              </w:rPr>
              <w:t>2014</w:t>
            </w:r>
          </w:p>
        </w:tc>
        <w:tc>
          <w:tcPr>
            <w:tcW w:w="959" w:type="dxa"/>
            <w:tcBorders>
              <w:top w:val="single" w:sz="4" w:space="0" w:color="auto"/>
              <w:bottom w:val="single" w:sz="12" w:space="0" w:color="auto"/>
            </w:tcBorders>
            <w:shd w:val="clear" w:color="auto" w:fill="auto"/>
            <w:noWrap/>
            <w:vAlign w:val="bottom"/>
            <w:hideMark/>
          </w:tcPr>
          <w:p w14:paraId="78AF4407" w14:textId="77777777" w:rsidR="004E0684" w:rsidRPr="007D4AFD" w:rsidRDefault="004E0684" w:rsidP="005E692D">
            <w:pPr>
              <w:pStyle w:val="SingleTxtG"/>
              <w:tabs>
                <w:tab w:val="clear" w:pos="1701"/>
                <w:tab w:val="clear" w:pos="2268"/>
                <w:tab w:val="clear" w:pos="2835"/>
              </w:tabs>
              <w:spacing w:before="80" w:after="80" w:line="200" w:lineRule="exact"/>
              <w:ind w:left="113" w:right="0"/>
              <w:jc w:val="right"/>
              <w:rPr>
                <w:bCs/>
                <w:i/>
                <w:sz w:val="16"/>
              </w:rPr>
            </w:pPr>
            <w:r w:rsidRPr="007D4AFD">
              <w:rPr>
                <w:bCs/>
                <w:i/>
                <w:sz w:val="16"/>
              </w:rPr>
              <w:t>2015</w:t>
            </w:r>
          </w:p>
        </w:tc>
        <w:tc>
          <w:tcPr>
            <w:tcW w:w="959" w:type="dxa"/>
            <w:tcBorders>
              <w:top w:val="single" w:sz="4" w:space="0" w:color="auto"/>
              <w:bottom w:val="single" w:sz="12" w:space="0" w:color="auto"/>
            </w:tcBorders>
            <w:shd w:val="clear" w:color="auto" w:fill="auto"/>
            <w:noWrap/>
            <w:vAlign w:val="bottom"/>
            <w:hideMark/>
          </w:tcPr>
          <w:p w14:paraId="76D1BD4C" w14:textId="77777777" w:rsidR="004E0684" w:rsidRPr="007D4AFD" w:rsidRDefault="004E0684" w:rsidP="005E692D">
            <w:pPr>
              <w:pStyle w:val="SingleTxtG"/>
              <w:tabs>
                <w:tab w:val="clear" w:pos="1701"/>
                <w:tab w:val="clear" w:pos="2268"/>
                <w:tab w:val="clear" w:pos="2835"/>
              </w:tabs>
              <w:spacing w:before="80" w:after="80" w:line="200" w:lineRule="exact"/>
              <w:ind w:left="113" w:right="0"/>
              <w:jc w:val="right"/>
              <w:rPr>
                <w:bCs/>
                <w:i/>
                <w:sz w:val="16"/>
              </w:rPr>
            </w:pPr>
            <w:r w:rsidRPr="007D4AFD">
              <w:rPr>
                <w:bCs/>
                <w:i/>
                <w:sz w:val="16"/>
              </w:rPr>
              <w:t>2018</w:t>
            </w:r>
          </w:p>
        </w:tc>
      </w:tr>
      <w:tr w:rsidR="005E692D" w:rsidRPr="007D4AFD" w14:paraId="6153AA5E" w14:textId="77777777" w:rsidTr="00862368">
        <w:trPr>
          <w:trHeight w:val="520"/>
        </w:trPr>
        <w:tc>
          <w:tcPr>
            <w:tcW w:w="2926" w:type="dxa"/>
            <w:tcBorders>
              <w:top w:val="single" w:sz="12" w:space="0" w:color="auto"/>
              <w:bottom w:val="nil"/>
            </w:tcBorders>
            <w:shd w:val="clear" w:color="auto" w:fill="auto"/>
            <w:noWrap/>
            <w:hideMark/>
          </w:tcPr>
          <w:p w14:paraId="34AEBED1" w14:textId="3D45AD86" w:rsidR="004E0684" w:rsidRPr="007D4AFD" w:rsidRDefault="004F510C" w:rsidP="00862368">
            <w:pPr>
              <w:pStyle w:val="SingleTxtG"/>
              <w:keepNext/>
              <w:keepLines/>
              <w:tabs>
                <w:tab w:val="clear" w:pos="1701"/>
                <w:tab w:val="clear" w:pos="2268"/>
                <w:tab w:val="clear" w:pos="2835"/>
                <w:tab w:val="left" w:pos="404"/>
              </w:tabs>
              <w:spacing w:before="40" w:after="40" w:line="220" w:lineRule="exact"/>
              <w:ind w:left="404" w:right="0" w:hanging="404"/>
              <w:jc w:val="left"/>
              <w:rPr>
                <w:rFonts w:eastAsia="Calibri"/>
                <w:bCs/>
                <w:sz w:val="18"/>
              </w:rPr>
            </w:pPr>
            <w:r w:rsidRPr="007D4AFD">
              <w:rPr>
                <w:rFonts w:eastAsia="Calibri"/>
                <w:b/>
                <w:sz w:val="18"/>
              </w:rPr>
              <w:t>6.1</w:t>
            </w:r>
            <w:r w:rsidRPr="007D4AFD">
              <w:rPr>
                <w:rFonts w:eastAsia="Calibri"/>
                <w:b/>
                <w:sz w:val="18"/>
              </w:rPr>
              <w:tab/>
            </w:r>
            <w:r w:rsidRPr="004E2640">
              <w:rPr>
                <w:rFonts w:eastAsia="Calibri"/>
                <w:b/>
                <w:sz w:val="18"/>
                <w:lang w:val="es-ES_tradnl"/>
              </w:rPr>
              <w:t>Porcentaje</w:t>
            </w:r>
            <w:r w:rsidRPr="007D4AFD">
              <w:rPr>
                <w:rFonts w:eastAsia="Calibri"/>
                <w:b/>
                <w:sz w:val="18"/>
              </w:rPr>
              <w:t xml:space="preserve"> de hogares dotados</w:t>
            </w:r>
            <w:r w:rsidR="00862368">
              <w:rPr>
                <w:rFonts w:eastAsia="Calibri"/>
                <w:b/>
                <w:sz w:val="18"/>
              </w:rPr>
              <w:br/>
            </w:r>
            <w:r w:rsidRPr="007D4AFD">
              <w:rPr>
                <w:rFonts w:eastAsia="Calibri"/>
                <w:b/>
                <w:sz w:val="18"/>
              </w:rPr>
              <w:t>de red eléctrica</w:t>
            </w:r>
          </w:p>
        </w:tc>
        <w:tc>
          <w:tcPr>
            <w:tcW w:w="958" w:type="dxa"/>
            <w:tcBorders>
              <w:top w:val="single" w:sz="12" w:space="0" w:color="auto"/>
              <w:bottom w:val="nil"/>
            </w:tcBorders>
            <w:shd w:val="clear" w:color="auto" w:fill="auto"/>
            <w:noWrap/>
            <w:vAlign w:val="bottom"/>
            <w:hideMark/>
          </w:tcPr>
          <w:p w14:paraId="2EDB17C4"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51,1</w:t>
            </w:r>
          </w:p>
        </w:tc>
        <w:tc>
          <w:tcPr>
            <w:tcW w:w="959" w:type="dxa"/>
            <w:tcBorders>
              <w:top w:val="single" w:sz="12" w:space="0" w:color="auto"/>
              <w:bottom w:val="nil"/>
            </w:tcBorders>
            <w:shd w:val="clear" w:color="auto" w:fill="auto"/>
            <w:noWrap/>
            <w:vAlign w:val="bottom"/>
            <w:hideMark/>
          </w:tcPr>
          <w:p w14:paraId="262B8AC1"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65,9</w:t>
            </w:r>
          </w:p>
        </w:tc>
        <w:tc>
          <w:tcPr>
            <w:tcW w:w="959" w:type="dxa"/>
            <w:tcBorders>
              <w:top w:val="single" w:sz="12" w:space="0" w:color="auto"/>
              <w:bottom w:val="nil"/>
            </w:tcBorders>
            <w:shd w:val="clear" w:color="auto" w:fill="auto"/>
            <w:noWrap/>
            <w:vAlign w:val="bottom"/>
            <w:hideMark/>
          </w:tcPr>
          <w:p w14:paraId="6F76CBB4"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93,7</w:t>
            </w:r>
          </w:p>
        </w:tc>
        <w:tc>
          <w:tcPr>
            <w:tcW w:w="959" w:type="dxa"/>
            <w:tcBorders>
              <w:top w:val="single" w:sz="12" w:space="0" w:color="auto"/>
              <w:bottom w:val="nil"/>
            </w:tcBorders>
            <w:shd w:val="clear" w:color="auto" w:fill="auto"/>
            <w:noWrap/>
            <w:vAlign w:val="bottom"/>
            <w:hideMark/>
          </w:tcPr>
          <w:p w14:paraId="3B719E12"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95,6</w:t>
            </w:r>
          </w:p>
        </w:tc>
        <w:tc>
          <w:tcPr>
            <w:tcW w:w="959" w:type="dxa"/>
            <w:tcBorders>
              <w:top w:val="single" w:sz="12" w:space="0" w:color="auto"/>
              <w:bottom w:val="nil"/>
            </w:tcBorders>
            <w:shd w:val="clear" w:color="auto" w:fill="auto"/>
            <w:noWrap/>
            <w:vAlign w:val="bottom"/>
            <w:hideMark/>
          </w:tcPr>
          <w:p w14:paraId="10C9DEC0"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96,5</w:t>
            </w:r>
          </w:p>
        </w:tc>
        <w:tc>
          <w:tcPr>
            <w:tcW w:w="959" w:type="dxa"/>
            <w:tcBorders>
              <w:top w:val="single" w:sz="12" w:space="0" w:color="auto"/>
              <w:bottom w:val="nil"/>
            </w:tcBorders>
            <w:shd w:val="clear" w:color="auto" w:fill="auto"/>
            <w:noWrap/>
            <w:vAlign w:val="bottom"/>
            <w:hideMark/>
          </w:tcPr>
          <w:p w14:paraId="2B7326CC"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97,3</w:t>
            </w:r>
          </w:p>
        </w:tc>
        <w:tc>
          <w:tcPr>
            <w:tcW w:w="959" w:type="dxa"/>
            <w:tcBorders>
              <w:top w:val="single" w:sz="12" w:space="0" w:color="auto"/>
              <w:bottom w:val="nil"/>
            </w:tcBorders>
            <w:shd w:val="clear" w:color="auto" w:fill="auto"/>
            <w:noWrap/>
            <w:vAlign w:val="bottom"/>
            <w:hideMark/>
          </w:tcPr>
          <w:p w14:paraId="7BA418AD"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97,2</w:t>
            </w:r>
          </w:p>
        </w:tc>
      </w:tr>
      <w:tr w:rsidR="005E692D" w:rsidRPr="007D4AFD" w14:paraId="0A9D5F08" w14:textId="77777777" w:rsidTr="00862368">
        <w:trPr>
          <w:trHeight w:val="238"/>
        </w:trPr>
        <w:tc>
          <w:tcPr>
            <w:tcW w:w="2926" w:type="dxa"/>
            <w:tcBorders>
              <w:top w:val="nil"/>
            </w:tcBorders>
            <w:shd w:val="clear" w:color="auto" w:fill="auto"/>
            <w:noWrap/>
            <w:hideMark/>
          </w:tcPr>
          <w:p w14:paraId="61BBCC5C" w14:textId="77777777" w:rsidR="004E0684" w:rsidRPr="007D4AFD" w:rsidRDefault="004E0684" w:rsidP="00114AD4">
            <w:pPr>
              <w:pStyle w:val="SingleTxtG"/>
              <w:tabs>
                <w:tab w:val="clear" w:pos="1701"/>
                <w:tab w:val="clear" w:pos="2268"/>
                <w:tab w:val="clear" w:pos="2835"/>
              </w:tabs>
              <w:spacing w:before="40" w:after="40" w:line="220" w:lineRule="exact"/>
              <w:ind w:left="0" w:right="0"/>
              <w:jc w:val="left"/>
              <w:rPr>
                <w:rFonts w:eastAsia="Calibri"/>
                <w:sz w:val="18"/>
              </w:rPr>
            </w:pPr>
            <w:r w:rsidRPr="007D4AFD">
              <w:rPr>
                <w:sz w:val="18"/>
              </w:rPr>
              <w:t xml:space="preserve">Medio urbano </w:t>
            </w:r>
          </w:p>
        </w:tc>
        <w:tc>
          <w:tcPr>
            <w:tcW w:w="958" w:type="dxa"/>
            <w:tcBorders>
              <w:top w:val="nil"/>
            </w:tcBorders>
            <w:shd w:val="clear" w:color="auto" w:fill="auto"/>
            <w:noWrap/>
            <w:vAlign w:val="bottom"/>
            <w:hideMark/>
          </w:tcPr>
          <w:p w14:paraId="7C9BDB0E"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88,7</w:t>
            </w:r>
          </w:p>
        </w:tc>
        <w:tc>
          <w:tcPr>
            <w:tcW w:w="959" w:type="dxa"/>
            <w:tcBorders>
              <w:top w:val="nil"/>
            </w:tcBorders>
            <w:shd w:val="clear" w:color="auto" w:fill="auto"/>
            <w:noWrap/>
            <w:vAlign w:val="bottom"/>
            <w:hideMark/>
          </w:tcPr>
          <w:p w14:paraId="022FAF09"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91,3</w:t>
            </w:r>
          </w:p>
        </w:tc>
        <w:tc>
          <w:tcPr>
            <w:tcW w:w="959" w:type="dxa"/>
            <w:tcBorders>
              <w:top w:val="nil"/>
            </w:tcBorders>
            <w:shd w:val="clear" w:color="auto" w:fill="auto"/>
            <w:noWrap/>
            <w:vAlign w:val="bottom"/>
            <w:hideMark/>
          </w:tcPr>
          <w:p w14:paraId="7A5AA4FD"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97,9</w:t>
            </w:r>
          </w:p>
        </w:tc>
        <w:tc>
          <w:tcPr>
            <w:tcW w:w="959" w:type="dxa"/>
            <w:tcBorders>
              <w:top w:val="nil"/>
            </w:tcBorders>
            <w:shd w:val="clear" w:color="auto" w:fill="auto"/>
            <w:noWrap/>
            <w:vAlign w:val="bottom"/>
            <w:hideMark/>
          </w:tcPr>
          <w:p w14:paraId="02786B03"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98,8</w:t>
            </w:r>
          </w:p>
        </w:tc>
        <w:tc>
          <w:tcPr>
            <w:tcW w:w="959" w:type="dxa"/>
            <w:tcBorders>
              <w:top w:val="nil"/>
            </w:tcBorders>
            <w:shd w:val="clear" w:color="auto" w:fill="auto"/>
            <w:noWrap/>
            <w:vAlign w:val="bottom"/>
            <w:hideMark/>
          </w:tcPr>
          <w:p w14:paraId="60AE0843"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98,9</w:t>
            </w:r>
          </w:p>
        </w:tc>
        <w:tc>
          <w:tcPr>
            <w:tcW w:w="959" w:type="dxa"/>
            <w:tcBorders>
              <w:top w:val="nil"/>
            </w:tcBorders>
            <w:shd w:val="clear" w:color="auto" w:fill="auto"/>
            <w:noWrap/>
            <w:vAlign w:val="bottom"/>
            <w:hideMark/>
          </w:tcPr>
          <w:p w14:paraId="0F7FD8B3"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99,3</w:t>
            </w:r>
          </w:p>
        </w:tc>
        <w:tc>
          <w:tcPr>
            <w:tcW w:w="959" w:type="dxa"/>
            <w:tcBorders>
              <w:top w:val="nil"/>
            </w:tcBorders>
            <w:shd w:val="clear" w:color="auto" w:fill="auto"/>
            <w:noWrap/>
            <w:vAlign w:val="bottom"/>
            <w:hideMark/>
          </w:tcPr>
          <w:p w14:paraId="36A8F3CA"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99,1</w:t>
            </w:r>
          </w:p>
        </w:tc>
      </w:tr>
      <w:tr w:rsidR="005E692D" w:rsidRPr="007D4AFD" w14:paraId="1F7168DF" w14:textId="77777777" w:rsidTr="00862368">
        <w:trPr>
          <w:trHeight w:val="238"/>
        </w:trPr>
        <w:tc>
          <w:tcPr>
            <w:tcW w:w="2926" w:type="dxa"/>
            <w:tcBorders>
              <w:top w:val="nil"/>
              <w:bottom w:val="single" w:sz="12" w:space="0" w:color="auto"/>
            </w:tcBorders>
            <w:shd w:val="clear" w:color="auto" w:fill="auto"/>
            <w:noWrap/>
            <w:hideMark/>
          </w:tcPr>
          <w:p w14:paraId="525376CB" w14:textId="77777777" w:rsidR="004E0684" w:rsidRPr="007D4AFD" w:rsidRDefault="004E0684" w:rsidP="00114AD4">
            <w:pPr>
              <w:pStyle w:val="SingleTxtG"/>
              <w:tabs>
                <w:tab w:val="clear" w:pos="1701"/>
                <w:tab w:val="clear" w:pos="2268"/>
                <w:tab w:val="clear" w:pos="2835"/>
              </w:tabs>
              <w:spacing w:before="40" w:after="40" w:line="220" w:lineRule="exact"/>
              <w:ind w:left="0" w:right="0"/>
              <w:jc w:val="left"/>
              <w:rPr>
                <w:rFonts w:eastAsia="Calibri"/>
                <w:sz w:val="18"/>
              </w:rPr>
            </w:pPr>
            <w:r w:rsidRPr="007D4AFD">
              <w:rPr>
                <w:sz w:val="18"/>
              </w:rPr>
              <w:t>Medio rural</w:t>
            </w:r>
          </w:p>
        </w:tc>
        <w:tc>
          <w:tcPr>
            <w:tcW w:w="958" w:type="dxa"/>
            <w:tcBorders>
              <w:top w:val="nil"/>
              <w:bottom w:val="single" w:sz="12" w:space="0" w:color="auto"/>
            </w:tcBorders>
            <w:shd w:val="clear" w:color="auto" w:fill="auto"/>
            <w:noWrap/>
            <w:vAlign w:val="bottom"/>
            <w:hideMark/>
          </w:tcPr>
          <w:p w14:paraId="67012F1F"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11,9</w:t>
            </w:r>
          </w:p>
        </w:tc>
        <w:tc>
          <w:tcPr>
            <w:tcW w:w="959" w:type="dxa"/>
            <w:tcBorders>
              <w:top w:val="nil"/>
              <w:bottom w:val="single" w:sz="12" w:space="0" w:color="auto"/>
            </w:tcBorders>
            <w:shd w:val="clear" w:color="auto" w:fill="auto"/>
            <w:noWrap/>
            <w:vAlign w:val="bottom"/>
            <w:hideMark/>
          </w:tcPr>
          <w:p w14:paraId="3379AF40"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25,8</w:t>
            </w:r>
          </w:p>
        </w:tc>
        <w:tc>
          <w:tcPr>
            <w:tcW w:w="959" w:type="dxa"/>
            <w:tcBorders>
              <w:top w:val="nil"/>
              <w:bottom w:val="single" w:sz="12" w:space="0" w:color="auto"/>
            </w:tcBorders>
            <w:shd w:val="clear" w:color="auto" w:fill="auto"/>
            <w:noWrap/>
            <w:vAlign w:val="bottom"/>
            <w:hideMark/>
          </w:tcPr>
          <w:p w14:paraId="5E44EECF"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86,4</w:t>
            </w:r>
          </w:p>
        </w:tc>
        <w:tc>
          <w:tcPr>
            <w:tcW w:w="959" w:type="dxa"/>
            <w:tcBorders>
              <w:top w:val="nil"/>
              <w:bottom w:val="single" w:sz="12" w:space="0" w:color="auto"/>
            </w:tcBorders>
            <w:shd w:val="clear" w:color="auto" w:fill="auto"/>
            <w:noWrap/>
            <w:vAlign w:val="bottom"/>
            <w:hideMark/>
          </w:tcPr>
          <w:p w14:paraId="158A5CC2"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89,7</w:t>
            </w:r>
          </w:p>
        </w:tc>
        <w:tc>
          <w:tcPr>
            <w:tcW w:w="959" w:type="dxa"/>
            <w:tcBorders>
              <w:top w:val="nil"/>
              <w:bottom w:val="single" w:sz="12" w:space="0" w:color="auto"/>
            </w:tcBorders>
            <w:shd w:val="clear" w:color="auto" w:fill="auto"/>
            <w:noWrap/>
            <w:vAlign w:val="bottom"/>
            <w:hideMark/>
          </w:tcPr>
          <w:p w14:paraId="781544FB"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91,8</w:t>
            </w:r>
          </w:p>
        </w:tc>
        <w:tc>
          <w:tcPr>
            <w:tcW w:w="959" w:type="dxa"/>
            <w:tcBorders>
              <w:top w:val="nil"/>
              <w:bottom w:val="single" w:sz="12" w:space="0" w:color="auto"/>
            </w:tcBorders>
            <w:shd w:val="clear" w:color="auto" w:fill="auto"/>
            <w:noWrap/>
            <w:vAlign w:val="bottom"/>
            <w:hideMark/>
          </w:tcPr>
          <w:p w14:paraId="63044E76"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93,4</w:t>
            </w:r>
          </w:p>
        </w:tc>
        <w:tc>
          <w:tcPr>
            <w:tcW w:w="959" w:type="dxa"/>
            <w:tcBorders>
              <w:top w:val="nil"/>
              <w:bottom w:val="single" w:sz="12" w:space="0" w:color="auto"/>
            </w:tcBorders>
            <w:shd w:val="clear" w:color="auto" w:fill="auto"/>
            <w:noWrap/>
            <w:vAlign w:val="bottom"/>
            <w:hideMark/>
          </w:tcPr>
          <w:p w14:paraId="3742F9AE"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93,8</w:t>
            </w:r>
          </w:p>
        </w:tc>
      </w:tr>
    </w:tbl>
    <w:p w14:paraId="52FD6D3D" w14:textId="77777777" w:rsidR="005E692D" w:rsidRPr="007D4AFD" w:rsidRDefault="005E692D"/>
    <w:tbl>
      <w:tblPr>
        <w:tblW w:w="9638" w:type="dxa"/>
        <w:tblBorders>
          <w:top w:val="single" w:sz="4" w:space="0" w:color="auto"/>
        </w:tblBorders>
        <w:tblLayout w:type="fixed"/>
        <w:tblCellMar>
          <w:left w:w="0" w:type="dxa"/>
          <w:right w:w="0" w:type="dxa"/>
        </w:tblCellMar>
        <w:tblLook w:val="04A0" w:firstRow="1" w:lastRow="0" w:firstColumn="1" w:lastColumn="0" w:noHBand="0" w:noVBand="1"/>
      </w:tblPr>
      <w:tblGrid>
        <w:gridCol w:w="2940"/>
        <w:gridCol w:w="956"/>
        <w:gridCol w:w="957"/>
        <w:gridCol w:w="957"/>
        <w:gridCol w:w="957"/>
        <w:gridCol w:w="957"/>
        <w:gridCol w:w="957"/>
        <w:gridCol w:w="957"/>
      </w:tblGrid>
      <w:tr w:rsidR="005E692D" w:rsidRPr="007D4AFD" w14:paraId="3F239C49" w14:textId="77777777" w:rsidTr="00656701">
        <w:trPr>
          <w:trHeight w:val="240"/>
        </w:trPr>
        <w:tc>
          <w:tcPr>
            <w:tcW w:w="2940" w:type="dxa"/>
            <w:tcBorders>
              <w:top w:val="single" w:sz="4" w:space="0" w:color="auto"/>
              <w:bottom w:val="single" w:sz="12" w:space="0" w:color="auto"/>
            </w:tcBorders>
            <w:shd w:val="clear" w:color="auto" w:fill="auto"/>
            <w:noWrap/>
            <w:hideMark/>
          </w:tcPr>
          <w:p w14:paraId="5CD0F2A0" w14:textId="419CBF30" w:rsidR="004E0684" w:rsidRPr="007D4AFD" w:rsidRDefault="004E0684" w:rsidP="00114AD4">
            <w:pPr>
              <w:pStyle w:val="SingleTxtG"/>
              <w:tabs>
                <w:tab w:val="clear" w:pos="1701"/>
                <w:tab w:val="clear" w:pos="2268"/>
                <w:tab w:val="clear" w:pos="2835"/>
              </w:tabs>
              <w:spacing w:before="40" w:after="40" w:line="220" w:lineRule="exact"/>
              <w:ind w:left="0" w:right="0"/>
              <w:jc w:val="left"/>
              <w:rPr>
                <w:rFonts w:eastAsia="Calibri"/>
                <w:bCs/>
                <w:iCs/>
                <w:sz w:val="18"/>
              </w:rPr>
            </w:pPr>
          </w:p>
        </w:tc>
        <w:tc>
          <w:tcPr>
            <w:tcW w:w="956" w:type="dxa"/>
            <w:tcBorders>
              <w:top w:val="single" w:sz="4" w:space="0" w:color="auto"/>
              <w:bottom w:val="single" w:sz="12" w:space="0" w:color="auto"/>
            </w:tcBorders>
            <w:shd w:val="clear" w:color="auto" w:fill="auto"/>
            <w:noWrap/>
            <w:vAlign w:val="bottom"/>
            <w:hideMark/>
          </w:tcPr>
          <w:p w14:paraId="56F8C621" w14:textId="77777777" w:rsidR="004E0684" w:rsidRPr="007D4AFD" w:rsidRDefault="004E0684" w:rsidP="005E692D">
            <w:pPr>
              <w:pStyle w:val="SingleTxtG"/>
              <w:tabs>
                <w:tab w:val="clear" w:pos="1701"/>
                <w:tab w:val="clear" w:pos="2268"/>
                <w:tab w:val="clear" w:pos="2835"/>
              </w:tabs>
              <w:spacing w:before="80" w:after="80" w:line="200" w:lineRule="exact"/>
              <w:ind w:left="113" w:right="0"/>
              <w:jc w:val="right"/>
              <w:rPr>
                <w:bCs/>
                <w:i/>
                <w:sz w:val="16"/>
              </w:rPr>
            </w:pPr>
            <w:r w:rsidRPr="007D4AFD">
              <w:rPr>
                <w:bCs/>
                <w:i/>
                <w:sz w:val="16"/>
              </w:rPr>
              <w:t>1996</w:t>
            </w:r>
          </w:p>
        </w:tc>
        <w:tc>
          <w:tcPr>
            <w:tcW w:w="957" w:type="dxa"/>
            <w:tcBorders>
              <w:top w:val="single" w:sz="4" w:space="0" w:color="auto"/>
              <w:bottom w:val="single" w:sz="12" w:space="0" w:color="auto"/>
            </w:tcBorders>
            <w:shd w:val="clear" w:color="auto" w:fill="auto"/>
            <w:noWrap/>
            <w:vAlign w:val="bottom"/>
            <w:hideMark/>
          </w:tcPr>
          <w:p w14:paraId="20D5D04F" w14:textId="77777777" w:rsidR="004E0684" w:rsidRPr="007D4AFD" w:rsidRDefault="004E0684" w:rsidP="005E692D">
            <w:pPr>
              <w:pStyle w:val="SingleTxtG"/>
              <w:tabs>
                <w:tab w:val="clear" w:pos="1701"/>
                <w:tab w:val="clear" w:pos="2268"/>
                <w:tab w:val="clear" w:pos="2835"/>
              </w:tabs>
              <w:spacing w:before="80" w:after="80" w:line="200" w:lineRule="exact"/>
              <w:ind w:left="113" w:right="0"/>
              <w:jc w:val="right"/>
              <w:rPr>
                <w:bCs/>
                <w:i/>
                <w:sz w:val="16"/>
              </w:rPr>
            </w:pPr>
            <w:r w:rsidRPr="007D4AFD">
              <w:rPr>
                <w:bCs/>
                <w:i/>
                <w:sz w:val="16"/>
              </w:rPr>
              <w:t>2000</w:t>
            </w:r>
          </w:p>
        </w:tc>
        <w:tc>
          <w:tcPr>
            <w:tcW w:w="957" w:type="dxa"/>
            <w:tcBorders>
              <w:top w:val="single" w:sz="4" w:space="0" w:color="auto"/>
              <w:bottom w:val="single" w:sz="12" w:space="0" w:color="auto"/>
            </w:tcBorders>
            <w:shd w:val="clear" w:color="auto" w:fill="auto"/>
            <w:noWrap/>
            <w:vAlign w:val="bottom"/>
            <w:hideMark/>
          </w:tcPr>
          <w:p w14:paraId="45A524E4" w14:textId="77777777" w:rsidR="004E0684" w:rsidRPr="007D4AFD" w:rsidRDefault="004E0684" w:rsidP="005E692D">
            <w:pPr>
              <w:pStyle w:val="SingleTxtG"/>
              <w:tabs>
                <w:tab w:val="clear" w:pos="1701"/>
                <w:tab w:val="clear" w:pos="2268"/>
                <w:tab w:val="clear" w:pos="2835"/>
              </w:tabs>
              <w:spacing w:before="80" w:after="80" w:line="200" w:lineRule="exact"/>
              <w:ind w:left="113" w:right="0"/>
              <w:jc w:val="right"/>
              <w:rPr>
                <w:bCs/>
                <w:i/>
                <w:sz w:val="16"/>
              </w:rPr>
            </w:pPr>
            <w:r w:rsidRPr="007D4AFD">
              <w:rPr>
                <w:bCs/>
                <w:i/>
                <w:sz w:val="16"/>
              </w:rPr>
              <w:t>2010</w:t>
            </w:r>
          </w:p>
        </w:tc>
        <w:tc>
          <w:tcPr>
            <w:tcW w:w="957" w:type="dxa"/>
            <w:tcBorders>
              <w:top w:val="single" w:sz="4" w:space="0" w:color="auto"/>
              <w:bottom w:val="single" w:sz="12" w:space="0" w:color="auto"/>
            </w:tcBorders>
            <w:shd w:val="clear" w:color="auto" w:fill="auto"/>
            <w:noWrap/>
            <w:vAlign w:val="bottom"/>
            <w:hideMark/>
          </w:tcPr>
          <w:p w14:paraId="6B850F86" w14:textId="77777777" w:rsidR="004E0684" w:rsidRPr="007D4AFD" w:rsidRDefault="004E0684" w:rsidP="005E692D">
            <w:pPr>
              <w:pStyle w:val="SingleTxtG"/>
              <w:tabs>
                <w:tab w:val="clear" w:pos="1701"/>
                <w:tab w:val="clear" w:pos="2268"/>
                <w:tab w:val="clear" w:pos="2835"/>
              </w:tabs>
              <w:spacing w:before="80" w:after="80" w:line="200" w:lineRule="exact"/>
              <w:ind w:left="113" w:right="0"/>
              <w:jc w:val="right"/>
              <w:rPr>
                <w:bCs/>
                <w:i/>
                <w:sz w:val="16"/>
              </w:rPr>
            </w:pPr>
            <w:r w:rsidRPr="007D4AFD">
              <w:rPr>
                <w:bCs/>
                <w:i/>
                <w:sz w:val="16"/>
              </w:rPr>
              <w:t>2015</w:t>
            </w:r>
          </w:p>
        </w:tc>
        <w:tc>
          <w:tcPr>
            <w:tcW w:w="957" w:type="dxa"/>
            <w:tcBorders>
              <w:top w:val="single" w:sz="4" w:space="0" w:color="auto"/>
              <w:bottom w:val="single" w:sz="12" w:space="0" w:color="auto"/>
            </w:tcBorders>
            <w:shd w:val="clear" w:color="auto" w:fill="auto"/>
            <w:noWrap/>
            <w:vAlign w:val="bottom"/>
            <w:hideMark/>
          </w:tcPr>
          <w:p w14:paraId="6AB17992" w14:textId="77777777" w:rsidR="004E0684" w:rsidRPr="007D4AFD" w:rsidRDefault="004E0684" w:rsidP="005E692D">
            <w:pPr>
              <w:pStyle w:val="SingleTxtG"/>
              <w:tabs>
                <w:tab w:val="clear" w:pos="1701"/>
                <w:tab w:val="clear" w:pos="2268"/>
                <w:tab w:val="clear" w:pos="2835"/>
              </w:tabs>
              <w:spacing w:before="80" w:after="80" w:line="200" w:lineRule="exact"/>
              <w:ind w:left="113" w:right="0"/>
              <w:jc w:val="right"/>
              <w:rPr>
                <w:bCs/>
                <w:i/>
                <w:sz w:val="16"/>
              </w:rPr>
            </w:pPr>
            <w:r w:rsidRPr="007D4AFD">
              <w:rPr>
                <w:bCs/>
                <w:i/>
                <w:sz w:val="16"/>
              </w:rPr>
              <w:t>2016</w:t>
            </w:r>
          </w:p>
        </w:tc>
        <w:tc>
          <w:tcPr>
            <w:tcW w:w="957" w:type="dxa"/>
            <w:tcBorders>
              <w:top w:val="single" w:sz="4" w:space="0" w:color="auto"/>
              <w:bottom w:val="single" w:sz="12" w:space="0" w:color="auto"/>
            </w:tcBorders>
            <w:shd w:val="clear" w:color="auto" w:fill="auto"/>
            <w:noWrap/>
            <w:vAlign w:val="bottom"/>
            <w:hideMark/>
          </w:tcPr>
          <w:p w14:paraId="3591B37A" w14:textId="77777777" w:rsidR="004E0684" w:rsidRPr="007D4AFD" w:rsidRDefault="004E0684" w:rsidP="005E692D">
            <w:pPr>
              <w:pStyle w:val="SingleTxtG"/>
              <w:tabs>
                <w:tab w:val="clear" w:pos="1701"/>
                <w:tab w:val="clear" w:pos="2268"/>
                <w:tab w:val="clear" w:pos="2835"/>
              </w:tabs>
              <w:spacing w:before="80" w:after="80" w:line="200" w:lineRule="exact"/>
              <w:ind w:left="113" w:right="0"/>
              <w:jc w:val="right"/>
              <w:rPr>
                <w:bCs/>
                <w:i/>
                <w:sz w:val="16"/>
              </w:rPr>
            </w:pPr>
            <w:r w:rsidRPr="007D4AFD">
              <w:rPr>
                <w:bCs/>
                <w:i/>
                <w:sz w:val="16"/>
              </w:rPr>
              <w:t>2017</w:t>
            </w:r>
          </w:p>
        </w:tc>
        <w:tc>
          <w:tcPr>
            <w:tcW w:w="957" w:type="dxa"/>
            <w:tcBorders>
              <w:top w:val="single" w:sz="4" w:space="0" w:color="auto"/>
              <w:bottom w:val="single" w:sz="12" w:space="0" w:color="auto"/>
            </w:tcBorders>
            <w:shd w:val="clear" w:color="auto" w:fill="auto"/>
            <w:noWrap/>
            <w:vAlign w:val="bottom"/>
            <w:hideMark/>
          </w:tcPr>
          <w:p w14:paraId="319F1634" w14:textId="77777777" w:rsidR="004E0684" w:rsidRPr="007D4AFD" w:rsidRDefault="004E0684" w:rsidP="005E692D">
            <w:pPr>
              <w:pStyle w:val="SingleTxtG"/>
              <w:tabs>
                <w:tab w:val="clear" w:pos="1701"/>
                <w:tab w:val="clear" w:pos="2268"/>
                <w:tab w:val="clear" w:pos="2835"/>
              </w:tabs>
              <w:spacing w:before="80" w:after="80" w:line="200" w:lineRule="exact"/>
              <w:ind w:left="113" w:right="0"/>
              <w:jc w:val="right"/>
              <w:rPr>
                <w:bCs/>
                <w:i/>
                <w:sz w:val="16"/>
              </w:rPr>
            </w:pPr>
            <w:r w:rsidRPr="007D4AFD">
              <w:rPr>
                <w:bCs/>
                <w:i/>
                <w:sz w:val="16"/>
              </w:rPr>
              <w:t>2018</w:t>
            </w:r>
          </w:p>
        </w:tc>
      </w:tr>
      <w:tr w:rsidR="005E692D" w:rsidRPr="007D4AFD" w14:paraId="4C962C9A" w14:textId="77777777" w:rsidTr="00656701">
        <w:trPr>
          <w:trHeight w:val="240"/>
        </w:trPr>
        <w:tc>
          <w:tcPr>
            <w:tcW w:w="2940" w:type="dxa"/>
            <w:tcBorders>
              <w:top w:val="single" w:sz="12" w:space="0" w:color="auto"/>
            </w:tcBorders>
            <w:shd w:val="clear" w:color="auto" w:fill="auto"/>
            <w:noWrap/>
            <w:hideMark/>
          </w:tcPr>
          <w:p w14:paraId="542F7CBA" w14:textId="61F16CFD" w:rsidR="004E0684" w:rsidRPr="007D4AFD" w:rsidRDefault="004E0684" w:rsidP="00862368">
            <w:pPr>
              <w:pStyle w:val="SingleTxtG"/>
              <w:keepNext/>
              <w:keepLines/>
              <w:tabs>
                <w:tab w:val="clear" w:pos="1701"/>
                <w:tab w:val="clear" w:pos="2268"/>
                <w:tab w:val="clear" w:pos="2835"/>
                <w:tab w:val="left" w:pos="404"/>
              </w:tabs>
              <w:spacing w:before="40" w:after="40" w:line="220" w:lineRule="exact"/>
              <w:ind w:left="404" w:right="0" w:hanging="404"/>
              <w:jc w:val="left"/>
              <w:rPr>
                <w:rFonts w:eastAsia="Calibri"/>
                <w:b/>
                <w:sz w:val="18"/>
              </w:rPr>
            </w:pPr>
            <w:r w:rsidRPr="007D4AFD">
              <w:rPr>
                <w:rFonts w:eastAsia="Calibri"/>
                <w:b/>
                <w:sz w:val="18"/>
              </w:rPr>
              <w:t>6.2</w:t>
            </w:r>
            <w:r w:rsidR="005E692D" w:rsidRPr="007D4AFD">
              <w:rPr>
                <w:rFonts w:eastAsia="Calibri"/>
                <w:b/>
                <w:sz w:val="18"/>
              </w:rPr>
              <w:tab/>
            </w:r>
            <w:r w:rsidRPr="007D4AFD">
              <w:rPr>
                <w:rFonts w:eastAsia="Calibri"/>
                <w:b/>
                <w:sz w:val="18"/>
              </w:rPr>
              <w:t>Tasa de población rural dotada de suministro de agua potable</w:t>
            </w:r>
          </w:p>
        </w:tc>
        <w:tc>
          <w:tcPr>
            <w:tcW w:w="956" w:type="dxa"/>
            <w:tcBorders>
              <w:top w:val="single" w:sz="12" w:space="0" w:color="auto"/>
            </w:tcBorders>
            <w:shd w:val="clear" w:color="auto" w:fill="auto"/>
            <w:noWrap/>
            <w:vAlign w:val="bottom"/>
            <w:hideMark/>
          </w:tcPr>
          <w:p w14:paraId="3CD0CE1A" w14:textId="77777777" w:rsidR="004E0684" w:rsidRPr="00862368" w:rsidRDefault="004E0684" w:rsidP="00114AD4">
            <w:pPr>
              <w:pStyle w:val="SingleTxtG"/>
              <w:tabs>
                <w:tab w:val="clear" w:pos="1701"/>
                <w:tab w:val="clear" w:pos="2268"/>
                <w:tab w:val="clear" w:pos="2835"/>
              </w:tabs>
              <w:spacing w:before="40" w:after="40" w:line="220" w:lineRule="exact"/>
              <w:ind w:left="113" w:right="0"/>
              <w:jc w:val="right"/>
              <w:rPr>
                <w:rFonts w:eastAsia="Calibri"/>
                <w:b/>
                <w:bCs/>
                <w:sz w:val="18"/>
              </w:rPr>
            </w:pPr>
            <w:r w:rsidRPr="00862368">
              <w:rPr>
                <w:b/>
                <w:bCs/>
                <w:sz w:val="18"/>
              </w:rPr>
              <w:t>30,0</w:t>
            </w:r>
          </w:p>
        </w:tc>
        <w:tc>
          <w:tcPr>
            <w:tcW w:w="957" w:type="dxa"/>
            <w:tcBorders>
              <w:top w:val="single" w:sz="12" w:space="0" w:color="auto"/>
            </w:tcBorders>
            <w:shd w:val="clear" w:color="auto" w:fill="auto"/>
            <w:noWrap/>
            <w:vAlign w:val="bottom"/>
            <w:hideMark/>
          </w:tcPr>
          <w:p w14:paraId="317F8FD1" w14:textId="77777777" w:rsidR="004E0684" w:rsidRPr="00862368" w:rsidRDefault="004E0684" w:rsidP="00114AD4">
            <w:pPr>
              <w:pStyle w:val="SingleTxtG"/>
              <w:tabs>
                <w:tab w:val="clear" w:pos="1701"/>
                <w:tab w:val="clear" w:pos="2268"/>
                <w:tab w:val="clear" w:pos="2835"/>
              </w:tabs>
              <w:spacing w:before="40" w:after="40" w:line="220" w:lineRule="exact"/>
              <w:ind w:left="113" w:right="0"/>
              <w:jc w:val="right"/>
              <w:rPr>
                <w:rFonts w:eastAsia="Calibri"/>
                <w:b/>
                <w:bCs/>
                <w:sz w:val="18"/>
              </w:rPr>
            </w:pPr>
            <w:r w:rsidRPr="00862368">
              <w:rPr>
                <w:b/>
                <w:bCs/>
                <w:sz w:val="18"/>
              </w:rPr>
              <w:t>43,0</w:t>
            </w:r>
          </w:p>
        </w:tc>
        <w:tc>
          <w:tcPr>
            <w:tcW w:w="957" w:type="dxa"/>
            <w:tcBorders>
              <w:top w:val="single" w:sz="12" w:space="0" w:color="auto"/>
            </w:tcBorders>
            <w:shd w:val="clear" w:color="auto" w:fill="auto"/>
            <w:noWrap/>
            <w:vAlign w:val="bottom"/>
            <w:hideMark/>
          </w:tcPr>
          <w:p w14:paraId="05BD0CA3" w14:textId="77777777" w:rsidR="004E0684" w:rsidRPr="00862368" w:rsidRDefault="004E0684" w:rsidP="00114AD4">
            <w:pPr>
              <w:pStyle w:val="SingleTxtG"/>
              <w:tabs>
                <w:tab w:val="clear" w:pos="1701"/>
                <w:tab w:val="clear" w:pos="2268"/>
                <w:tab w:val="clear" w:pos="2835"/>
              </w:tabs>
              <w:spacing w:before="40" w:after="40" w:line="220" w:lineRule="exact"/>
              <w:ind w:left="113" w:right="0"/>
              <w:jc w:val="right"/>
              <w:rPr>
                <w:rFonts w:eastAsia="Calibri"/>
                <w:b/>
                <w:bCs/>
                <w:sz w:val="18"/>
              </w:rPr>
            </w:pPr>
            <w:r w:rsidRPr="00862368">
              <w:rPr>
                <w:b/>
                <w:bCs/>
                <w:sz w:val="18"/>
              </w:rPr>
              <w:t>91,0</w:t>
            </w:r>
          </w:p>
        </w:tc>
        <w:tc>
          <w:tcPr>
            <w:tcW w:w="957" w:type="dxa"/>
            <w:tcBorders>
              <w:top w:val="single" w:sz="12" w:space="0" w:color="auto"/>
            </w:tcBorders>
            <w:shd w:val="clear" w:color="auto" w:fill="auto"/>
            <w:noWrap/>
            <w:vAlign w:val="bottom"/>
            <w:hideMark/>
          </w:tcPr>
          <w:p w14:paraId="409A762C" w14:textId="77777777" w:rsidR="004E0684" w:rsidRPr="00862368" w:rsidRDefault="004E0684" w:rsidP="00114AD4">
            <w:pPr>
              <w:pStyle w:val="SingleTxtG"/>
              <w:tabs>
                <w:tab w:val="clear" w:pos="1701"/>
                <w:tab w:val="clear" w:pos="2268"/>
                <w:tab w:val="clear" w:pos="2835"/>
              </w:tabs>
              <w:spacing w:before="40" w:after="40" w:line="220" w:lineRule="exact"/>
              <w:ind w:left="113" w:right="0"/>
              <w:jc w:val="right"/>
              <w:rPr>
                <w:rFonts w:eastAsia="Calibri"/>
                <w:b/>
                <w:bCs/>
                <w:sz w:val="18"/>
              </w:rPr>
            </w:pPr>
            <w:r w:rsidRPr="00862368">
              <w:rPr>
                <w:b/>
                <w:bCs/>
                <w:sz w:val="18"/>
              </w:rPr>
              <w:t>95,0</w:t>
            </w:r>
          </w:p>
        </w:tc>
        <w:tc>
          <w:tcPr>
            <w:tcW w:w="957" w:type="dxa"/>
            <w:tcBorders>
              <w:top w:val="single" w:sz="12" w:space="0" w:color="auto"/>
            </w:tcBorders>
            <w:shd w:val="clear" w:color="auto" w:fill="auto"/>
            <w:noWrap/>
            <w:vAlign w:val="bottom"/>
            <w:hideMark/>
          </w:tcPr>
          <w:p w14:paraId="00B44F3A" w14:textId="77777777" w:rsidR="004E0684" w:rsidRPr="00862368" w:rsidRDefault="004E0684" w:rsidP="00114AD4">
            <w:pPr>
              <w:pStyle w:val="SingleTxtG"/>
              <w:tabs>
                <w:tab w:val="clear" w:pos="1701"/>
                <w:tab w:val="clear" w:pos="2268"/>
                <w:tab w:val="clear" w:pos="2835"/>
              </w:tabs>
              <w:spacing w:before="40" w:after="40" w:line="220" w:lineRule="exact"/>
              <w:ind w:left="113" w:right="0"/>
              <w:jc w:val="right"/>
              <w:rPr>
                <w:rFonts w:eastAsia="Calibri"/>
                <w:b/>
                <w:bCs/>
                <w:sz w:val="18"/>
              </w:rPr>
            </w:pPr>
            <w:r w:rsidRPr="00862368">
              <w:rPr>
                <w:b/>
                <w:bCs/>
                <w:sz w:val="18"/>
              </w:rPr>
              <w:t>96,0</w:t>
            </w:r>
          </w:p>
        </w:tc>
        <w:tc>
          <w:tcPr>
            <w:tcW w:w="957" w:type="dxa"/>
            <w:tcBorders>
              <w:top w:val="single" w:sz="12" w:space="0" w:color="auto"/>
            </w:tcBorders>
            <w:shd w:val="clear" w:color="auto" w:fill="auto"/>
            <w:noWrap/>
            <w:vAlign w:val="bottom"/>
            <w:hideMark/>
          </w:tcPr>
          <w:p w14:paraId="2050245C" w14:textId="77777777" w:rsidR="004E0684" w:rsidRPr="00862368" w:rsidRDefault="004E0684" w:rsidP="00114AD4">
            <w:pPr>
              <w:pStyle w:val="SingleTxtG"/>
              <w:tabs>
                <w:tab w:val="clear" w:pos="1701"/>
                <w:tab w:val="clear" w:pos="2268"/>
                <w:tab w:val="clear" w:pos="2835"/>
              </w:tabs>
              <w:spacing w:before="40" w:after="40" w:line="220" w:lineRule="exact"/>
              <w:ind w:left="113" w:right="0"/>
              <w:jc w:val="right"/>
              <w:rPr>
                <w:rFonts w:eastAsia="Calibri"/>
                <w:b/>
                <w:bCs/>
                <w:sz w:val="18"/>
              </w:rPr>
            </w:pPr>
            <w:r w:rsidRPr="00862368">
              <w:rPr>
                <w:b/>
                <w:bCs/>
                <w:sz w:val="18"/>
              </w:rPr>
              <w:t>96,6</w:t>
            </w:r>
          </w:p>
        </w:tc>
        <w:tc>
          <w:tcPr>
            <w:tcW w:w="957" w:type="dxa"/>
            <w:tcBorders>
              <w:top w:val="single" w:sz="12" w:space="0" w:color="auto"/>
            </w:tcBorders>
            <w:shd w:val="clear" w:color="auto" w:fill="auto"/>
            <w:noWrap/>
            <w:vAlign w:val="bottom"/>
            <w:hideMark/>
          </w:tcPr>
          <w:p w14:paraId="3D8FB16B" w14:textId="77777777" w:rsidR="004E0684" w:rsidRPr="00862368" w:rsidRDefault="004E0684" w:rsidP="00114AD4">
            <w:pPr>
              <w:pStyle w:val="SingleTxtG"/>
              <w:tabs>
                <w:tab w:val="clear" w:pos="1701"/>
                <w:tab w:val="clear" w:pos="2268"/>
                <w:tab w:val="clear" w:pos="2835"/>
              </w:tabs>
              <w:spacing w:before="40" w:after="40" w:line="220" w:lineRule="exact"/>
              <w:ind w:left="113" w:right="0"/>
              <w:jc w:val="right"/>
              <w:rPr>
                <w:rFonts w:eastAsia="Calibri"/>
                <w:b/>
                <w:bCs/>
                <w:sz w:val="18"/>
              </w:rPr>
            </w:pPr>
            <w:r w:rsidRPr="00862368">
              <w:rPr>
                <w:b/>
                <w:bCs/>
                <w:sz w:val="18"/>
              </w:rPr>
              <w:t>97,0</w:t>
            </w:r>
          </w:p>
        </w:tc>
      </w:tr>
      <w:tr w:rsidR="005E692D" w:rsidRPr="007D4AFD" w14:paraId="1F57C660" w14:textId="77777777" w:rsidTr="00656701">
        <w:trPr>
          <w:trHeight w:val="240"/>
        </w:trPr>
        <w:tc>
          <w:tcPr>
            <w:tcW w:w="2940" w:type="dxa"/>
            <w:shd w:val="clear" w:color="auto" w:fill="auto"/>
            <w:noWrap/>
            <w:hideMark/>
          </w:tcPr>
          <w:p w14:paraId="6A1B3918" w14:textId="5C3B78C3" w:rsidR="005E692D" w:rsidRPr="00862368" w:rsidRDefault="005E692D" w:rsidP="00862368">
            <w:pPr>
              <w:pStyle w:val="SingleTxtG"/>
              <w:keepNext/>
              <w:keepLines/>
              <w:tabs>
                <w:tab w:val="clear" w:pos="1701"/>
                <w:tab w:val="clear" w:pos="2268"/>
                <w:tab w:val="clear" w:pos="2835"/>
                <w:tab w:val="left" w:pos="404"/>
              </w:tabs>
              <w:spacing w:before="40" w:after="40" w:line="220" w:lineRule="exact"/>
              <w:ind w:left="404" w:right="0" w:hanging="404"/>
              <w:jc w:val="left"/>
              <w:rPr>
                <w:rFonts w:eastAsia="Calibri"/>
                <w:b/>
                <w:sz w:val="18"/>
                <w:lang w:val="es-ES_tradnl"/>
              </w:rPr>
            </w:pPr>
            <w:r w:rsidRPr="00862368">
              <w:rPr>
                <w:rFonts w:eastAsia="Calibri"/>
                <w:b/>
                <w:sz w:val="18"/>
                <w:lang w:val="es-ES_tradnl"/>
              </w:rPr>
              <w:t>6.3</w:t>
            </w:r>
            <w:r w:rsidR="004F510C" w:rsidRPr="00862368">
              <w:rPr>
                <w:rFonts w:eastAsia="Calibri"/>
                <w:b/>
                <w:sz w:val="18"/>
                <w:lang w:val="es-ES_tradnl"/>
              </w:rPr>
              <w:tab/>
            </w:r>
            <w:r w:rsidRPr="00862368">
              <w:rPr>
                <w:rFonts w:eastAsia="Calibri"/>
                <w:b/>
                <w:sz w:val="18"/>
                <w:lang w:val="es-ES_tradnl"/>
              </w:rPr>
              <w:t>Programa de Electrificación Rural Global (</w:t>
            </w:r>
            <w:proofErr w:type="spellStart"/>
            <w:r w:rsidRPr="00862368">
              <w:rPr>
                <w:rFonts w:eastAsia="Calibri"/>
                <w:b/>
                <w:sz w:val="18"/>
                <w:lang w:val="es-ES_tradnl"/>
              </w:rPr>
              <w:t>PERG</w:t>
            </w:r>
            <w:proofErr w:type="spellEnd"/>
            <w:r w:rsidRPr="00862368">
              <w:rPr>
                <w:rFonts w:eastAsia="Calibri"/>
                <w:b/>
                <w:sz w:val="18"/>
                <w:lang w:val="es-ES_tradnl"/>
              </w:rPr>
              <w:t>)</w:t>
            </w:r>
          </w:p>
        </w:tc>
        <w:tc>
          <w:tcPr>
            <w:tcW w:w="956" w:type="dxa"/>
            <w:shd w:val="clear" w:color="auto" w:fill="auto"/>
          </w:tcPr>
          <w:p w14:paraId="316A35B8" w14:textId="77777777" w:rsidR="005E692D" w:rsidRPr="007D4AFD" w:rsidRDefault="005E692D" w:rsidP="005E692D">
            <w:pPr>
              <w:pStyle w:val="SingleTxtG"/>
              <w:tabs>
                <w:tab w:val="clear" w:pos="1701"/>
                <w:tab w:val="clear" w:pos="2268"/>
                <w:tab w:val="clear" w:pos="2835"/>
                <w:tab w:val="left" w:pos="567"/>
              </w:tabs>
              <w:spacing w:before="40" w:after="40" w:line="220" w:lineRule="exact"/>
              <w:ind w:left="0" w:right="0"/>
              <w:jc w:val="left"/>
              <w:rPr>
                <w:rFonts w:eastAsia="Calibri"/>
                <w:b/>
                <w:sz w:val="18"/>
              </w:rPr>
            </w:pPr>
          </w:p>
        </w:tc>
        <w:tc>
          <w:tcPr>
            <w:tcW w:w="957" w:type="dxa"/>
            <w:shd w:val="clear" w:color="auto" w:fill="auto"/>
          </w:tcPr>
          <w:p w14:paraId="529BB22D" w14:textId="77777777" w:rsidR="005E692D" w:rsidRPr="007D4AFD" w:rsidRDefault="005E692D" w:rsidP="005E692D">
            <w:pPr>
              <w:pStyle w:val="SingleTxtG"/>
              <w:tabs>
                <w:tab w:val="clear" w:pos="1701"/>
                <w:tab w:val="clear" w:pos="2268"/>
                <w:tab w:val="clear" w:pos="2835"/>
                <w:tab w:val="left" w:pos="567"/>
              </w:tabs>
              <w:spacing w:before="40" w:after="40" w:line="220" w:lineRule="exact"/>
              <w:ind w:left="0" w:right="0"/>
              <w:jc w:val="left"/>
              <w:rPr>
                <w:rFonts w:eastAsia="Calibri"/>
                <w:b/>
                <w:sz w:val="18"/>
              </w:rPr>
            </w:pPr>
          </w:p>
        </w:tc>
        <w:tc>
          <w:tcPr>
            <w:tcW w:w="957" w:type="dxa"/>
            <w:shd w:val="clear" w:color="auto" w:fill="auto"/>
          </w:tcPr>
          <w:p w14:paraId="039119F8" w14:textId="77777777" w:rsidR="005E692D" w:rsidRPr="007D4AFD" w:rsidRDefault="005E692D" w:rsidP="005E692D">
            <w:pPr>
              <w:pStyle w:val="SingleTxtG"/>
              <w:tabs>
                <w:tab w:val="clear" w:pos="1701"/>
                <w:tab w:val="clear" w:pos="2268"/>
                <w:tab w:val="clear" w:pos="2835"/>
                <w:tab w:val="left" w:pos="567"/>
              </w:tabs>
              <w:spacing w:before="40" w:after="40" w:line="220" w:lineRule="exact"/>
              <w:ind w:left="0" w:right="0"/>
              <w:jc w:val="left"/>
              <w:rPr>
                <w:rFonts w:eastAsia="Calibri"/>
                <w:b/>
                <w:sz w:val="18"/>
              </w:rPr>
            </w:pPr>
          </w:p>
        </w:tc>
        <w:tc>
          <w:tcPr>
            <w:tcW w:w="957" w:type="dxa"/>
            <w:shd w:val="clear" w:color="auto" w:fill="auto"/>
          </w:tcPr>
          <w:p w14:paraId="3A0F5C7D" w14:textId="2E68BFC1" w:rsidR="005E692D" w:rsidRPr="007D4AFD" w:rsidRDefault="005E692D" w:rsidP="005E692D">
            <w:pPr>
              <w:pStyle w:val="SingleTxtG"/>
              <w:tabs>
                <w:tab w:val="clear" w:pos="1701"/>
                <w:tab w:val="clear" w:pos="2268"/>
                <w:tab w:val="clear" w:pos="2835"/>
                <w:tab w:val="left" w:pos="567"/>
              </w:tabs>
              <w:spacing w:before="40" w:after="40" w:line="220" w:lineRule="exact"/>
              <w:ind w:left="0" w:right="0"/>
              <w:jc w:val="left"/>
              <w:rPr>
                <w:rFonts w:eastAsia="Calibri"/>
                <w:b/>
                <w:sz w:val="18"/>
              </w:rPr>
            </w:pPr>
          </w:p>
        </w:tc>
        <w:tc>
          <w:tcPr>
            <w:tcW w:w="957" w:type="dxa"/>
            <w:shd w:val="clear" w:color="auto" w:fill="auto"/>
          </w:tcPr>
          <w:p w14:paraId="7A5BEFB6" w14:textId="77777777" w:rsidR="005E692D" w:rsidRPr="007D4AFD" w:rsidRDefault="005E692D" w:rsidP="005E692D">
            <w:pPr>
              <w:pStyle w:val="SingleTxtG"/>
              <w:tabs>
                <w:tab w:val="clear" w:pos="1701"/>
                <w:tab w:val="clear" w:pos="2268"/>
                <w:tab w:val="clear" w:pos="2835"/>
                <w:tab w:val="left" w:pos="567"/>
              </w:tabs>
              <w:spacing w:before="40" w:after="40" w:line="220" w:lineRule="exact"/>
              <w:ind w:left="0" w:right="0"/>
              <w:jc w:val="left"/>
              <w:rPr>
                <w:rFonts w:eastAsia="Calibri"/>
                <w:b/>
                <w:sz w:val="18"/>
              </w:rPr>
            </w:pPr>
          </w:p>
        </w:tc>
        <w:tc>
          <w:tcPr>
            <w:tcW w:w="957" w:type="dxa"/>
            <w:shd w:val="clear" w:color="auto" w:fill="auto"/>
          </w:tcPr>
          <w:p w14:paraId="3408242F" w14:textId="77777777" w:rsidR="005E692D" w:rsidRPr="007D4AFD" w:rsidRDefault="005E692D" w:rsidP="005E692D">
            <w:pPr>
              <w:pStyle w:val="SingleTxtG"/>
              <w:tabs>
                <w:tab w:val="clear" w:pos="1701"/>
                <w:tab w:val="clear" w:pos="2268"/>
                <w:tab w:val="clear" w:pos="2835"/>
                <w:tab w:val="left" w:pos="567"/>
              </w:tabs>
              <w:spacing w:before="40" w:after="40" w:line="220" w:lineRule="exact"/>
              <w:ind w:left="0" w:right="0"/>
              <w:jc w:val="left"/>
              <w:rPr>
                <w:rFonts w:eastAsia="Calibri"/>
                <w:b/>
                <w:sz w:val="18"/>
              </w:rPr>
            </w:pPr>
          </w:p>
        </w:tc>
        <w:tc>
          <w:tcPr>
            <w:tcW w:w="957" w:type="dxa"/>
            <w:shd w:val="clear" w:color="auto" w:fill="auto"/>
          </w:tcPr>
          <w:p w14:paraId="3839E01F" w14:textId="07A11D5A" w:rsidR="005E692D" w:rsidRPr="007D4AFD" w:rsidRDefault="005E692D" w:rsidP="005E692D">
            <w:pPr>
              <w:pStyle w:val="SingleTxtG"/>
              <w:tabs>
                <w:tab w:val="clear" w:pos="1701"/>
                <w:tab w:val="clear" w:pos="2268"/>
                <w:tab w:val="clear" w:pos="2835"/>
                <w:tab w:val="left" w:pos="567"/>
              </w:tabs>
              <w:spacing w:before="40" w:after="40" w:line="220" w:lineRule="exact"/>
              <w:ind w:left="0" w:right="0"/>
              <w:jc w:val="left"/>
              <w:rPr>
                <w:rFonts w:eastAsia="Calibri"/>
                <w:b/>
                <w:sz w:val="18"/>
              </w:rPr>
            </w:pPr>
          </w:p>
        </w:tc>
      </w:tr>
      <w:tr w:rsidR="005E692D" w:rsidRPr="007D4AFD" w14:paraId="2966F702" w14:textId="77777777" w:rsidTr="00656701">
        <w:trPr>
          <w:trHeight w:val="240"/>
        </w:trPr>
        <w:tc>
          <w:tcPr>
            <w:tcW w:w="2940" w:type="dxa"/>
            <w:shd w:val="clear" w:color="auto" w:fill="auto"/>
            <w:noWrap/>
            <w:hideMark/>
          </w:tcPr>
          <w:p w14:paraId="056224CC" w14:textId="77777777" w:rsidR="004E0684" w:rsidRPr="007D4AFD" w:rsidRDefault="004E0684" w:rsidP="00114AD4">
            <w:pPr>
              <w:pStyle w:val="SingleTxtG"/>
              <w:tabs>
                <w:tab w:val="clear" w:pos="1701"/>
                <w:tab w:val="clear" w:pos="2268"/>
                <w:tab w:val="clear" w:pos="2835"/>
              </w:tabs>
              <w:spacing w:before="40" w:after="40" w:line="220" w:lineRule="exact"/>
              <w:ind w:left="0" w:right="0"/>
              <w:jc w:val="left"/>
              <w:rPr>
                <w:rFonts w:eastAsia="Calibri"/>
                <w:sz w:val="18"/>
              </w:rPr>
            </w:pPr>
            <w:r w:rsidRPr="007D4AFD">
              <w:rPr>
                <w:sz w:val="18"/>
              </w:rPr>
              <w:t>Porcentaje de suministro eléctrico en el medio rural</w:t>
            </w:r>
          </w:p>
        </w:tc>
        <w:tc>
          <w:tcPr>
            <w:tcW w:w="956" w:type="dxa"/>
            <w:shd w:val="clear" w:color="auto" w:fill="auto"/>
            <w:noWrap/>
            <w:vAlign w:val="bottom"/>
            <w:hideMark/>
          </w:tcPr>
          <w:p w14:paraId="212A6A5F"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22,0</w:t>
            </w:r>
          </w:p>
        </w:tc>
        <w:tc>
          <w:tcPr>
            <w:tcW w:w="957" w:type="dxa"/>
            <w:shd w:val="clear" w:color="auto" w:fill="auto"/>
            <w:noWrap/>
            <w:vAlign w:val="bottom"/>
            <w:hideMark/>
          </w:tcPr>
          <w:p w14:paraId="733F8431"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45,0</w:t>
            </w:r>
          </w:p>
        </w:tc>
        <w:tc>
          <w:tcPr>
            <w:tcW w:w="957" w:type="dxa"/>
            <w:shd w:val="clear" w:color="auto" w:fill="auto"/>
            <w:noWrap/>
            <w:vAlign w:val="bottom"/>
            <w:hideMark/>
          </w:tcPr>
          <w:p w14:paraId="66BF4927"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96,8</w:t>
            </w:r>
          </w:p>
        </w:tc>
        <w:tc>
          <w:tcPr>
            <w:tcW w:w="957" w:type="dxa"/>
            <w:shd w:val="clear" w:color="auto" w:fill="auto"/>
            <w:noWrap/>
            <w:vAlign w:val="bottom"/>
            <w:hideMark/>
          </w:tcPr>
          <w:p w14:paraId="53665906"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99,2</w:t>
            </w:r>
          </w:p>
        </w:tc>
        <w:tc>
          <w:tcPr>
            <w:tcW w:w="957" w:type="dxa"/>
            <w:shd w:val="clear" w:color="auto" w:fill="auto"/>
            <w:noWrap/>
            <w:vAlign w:val="bottom"/>
            <w:hideMark/>
          </w:tcPr>
          <w:p w14:paraId="18721EB0"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99,4</w:t>
            </w:r>
          </w:p>
        </w:tc>
        <w:tc>
          <w:tcPr>
            <w:tcW w:w="957" w:type="dxa"/>
            <w:shd w:val="clear" w:color="auto" w:fill="auto"/>
            <w:noWrap/>
            <w:vAlign w:val="bottom"/>
            <w:hideMark/>
          </w:tcPr>
          <w:p w14:paraId="6D1001CE"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99,5</w:t>
            </w:r>
          </w:p>
        </w:tc>
        <w:tc>
          <w:tcPr>
            <w:tcW w:w="957" w:type="dxa"/>
            <w:shd w:val="clear" w:color="auto" w:fill="auto"/>
            <w:noWrap/>
            <w:vAlign w:val="bottom"/>
            <w:hideMark/>
          </w:tcPr>
          <w:p w14:paraId="1A221AB3"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99,6</w:t>
            </w:r>
          </w:p>
        </w:tc>
      </w:tr>
      <w:tr w:rsidR="005E692D" w:rsidRPr="007D4AFD" w14:paraId="7E260A4F" w14:textId="77777777" w:rsidTr="00656701">
        <w:trPr>
          <w:trHeight w:val="240"/>
        </w:trPr>
        <w:tc>
          <w:tcPr>
            <w:tcW w:w="2940" w:type="dxa"/>
            <w:shd w:val="clear" w:color="auto" w:fill="auto"/>
            <w:noWrap/>
            <w:hideMark/>
          </w:tcPr>
          <w:p w14:paraId="6E1EC11F" w14:textId="19F6E78C" w:rsidR="004E0684" w:rsidRPr="007D4AFD" w:rsidRDefault="004E0684" w:rsidP="00114AD4">
            <w:pPr>
              <w:pStyle w:val="SingleTxtG"/>
              <w:tabs>
                <w:tab w:val="clear" w:pos="1701"/>
                <w:tab w:val="clear" w:pos="2268"/>
                <w:tab w:val="clear" w:pos="2835"/>
              </w:tabs>
              <w:spacing w:before="40" w:after="40" w:line="220" w:lineRule="exact"/>
              <w:ind w:left="0" w:right="0"/>
              <w:jc w:val="left"/>
              <w:rPr>
                <w:rFonts w:eastAsia="Calibri"/>
                <w:sz w:val="18"/>
              </w:rPr>
            </w:pPr>
            <w:r w:rsidRPr="007D4AFD">
              <w:rPr>
                <w:sz w:val="18"/>
              </w:rPr>
              <w:t>Número de hogares participantes</w:t>
            </w:r>
            <w:r w:rsidR="004F510C" w:rsidRPr="007D4AFD">
              <w:rPr>
                <w:sz w:val="18"/>
              </w:rPr>
              <w:br/>
            </w:r>
            <w:r w:rsidRPr="007D4AFD">
              <w:rPr>
                <w:sz w:val="18"/>
              </w:rPr>
              <w:t>(</w:t>
            </w:r>
            <w:r w:rsidRPr="007D4AFD">
              <w:rPr>
                <w:iCs/>
                <w:sz w:val="18"/>
              </w:rPr>
              <w:t>en miles</w:t>
            </w:r>
            <w:r w:rsidRPr="007D4AFD">
              <w:rPr>
                <w:sz w:val="18"/>
              </w:rPr>
              <w:t>)</w:t>
            </w:r>
          </w:p>
        </w:tc>
        <w:tc>
          <w:tcPr>
            <w:tcW w:w="956" w:type="dxa"/>
            <w:shd w:val="clear" w:color="auto" w:fill="auto"/>
            <w:noWrap/>
            <w:vAlign w:val="bottom"/>
            <w:hideMark/>
          </w:tcPr>
          <w:p w14:paraId="2CE3A159"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72</w:t>
            </w:r>
          </w:p>
        </w:tc>
        <w:tc>
          <w:tcPr>
            <w:tcW w:w="957" w:type="dxa"/>
            <w:shd w:val="clear" w:color="auto" w:fill="auto"/>
            <w:noWrap/>
            <w:vAlign w:val="bottom"/>
            <w:hideMark/>
          </w:tcPr>
          <w:p w14:paraId="33B19A24"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595</w:t>
            </w:r>
          </w:p>
        </w:tc>
        <w:tc>
          <w:tcPr>
            <w:tcW w:w="957" w:type="dxa"/>
            <w:shd w:val="clear" w:color="auto" w:fill="auto"/>
            <w:noWrap/>
            <w:vAlign w:val="bottom"/>
            <w:hideMark/>
          </w:tcPr>
          <w:p w14:paraId="3F732381"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1 958</w:t>
            </w:r>
          </w:p>
        </w:tc>
        <w:tc>
          <w:tcPr>
            <w:tcW w:w="957" w:type="dxa"/>
            <w:shd w:val="clear" w:color="auto" w:fill="auto"/>
            <w:noWrap/>
            <w:vAlign w:val="bottom"/>
            <w:hideMark/>
          </w:tcPr>
          <w:p w14:paraId="3F25F031"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2 139</w:t>
            </w:r>
          </w:p>
        </w:tc>
        <w:tc>
          <w:tcPr>
            <w:tcW w:w="957" w:type="dxa"/>
            <w:shd w:val="clear" w:color="auto" w:fill="auto"/>
            <w:noWrap/>
            <w:vAlign w:val="bottom"/>
            <w:hideMark/>
          </w:tcPr>
          <w:p w14:paraId="2D7C69F5"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2 100</w:t>
            </w:r>
          </w:p>
        </w:tc>
        <w:tc>
          <w:tcPr>
            <w:tcW w:w="957" w:type="dxa"/>
            <w:shd w:val="clear" w:color="auto" w:fill="auto"/>
            <w:noWrap/>
            <w:vAlign w:val="bottom"/>
            <w:hideMark/>
          </w:tcPr>
          <w:p w14:paraId="18F9B3E6"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2 111</w:t>
            </w:r>
          </w:p>
        </w:tc>
        <w:tc>
          <w:tcPr>
            <w:tcW w:w="957" w:type="dxa"/>
            <w:shd w:val="clear" w:color="auto" w:fill="auto"/>
            <w:noWrap/>
            <w:vAlign w:val="bottom"/>
            <w:hideMark/>
          </w:tcPr>
          <w:p w14:paraId="3E773481"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2 195</w:t>
            </w:r>
          </w:p>
        </w:tc>
      </w:tr>
      <w:tr w:rsidR="005E692D" w:rsidRPr="007D4AFD" w14:paraId="3A6F62BD" w14:textId="77777777" w:rsidTr="00656701">
        <w:trPr>
          <w:trHeight w:val="240"/>
        </w:trPr>
        <w:tc>
          <w:tcPr>
            <w:tcW w:w="2940" w:type="dxa"/>
            <w:tcBorders>
              <w:bottom w:val="single" w:sz="12" w:space="0" w:color="auto"/>
            </w:tcBorders>
            <w:shd w:val="clear" w:color="auto" w:fill="auto"/>
            <w:noWrap/>
            <w:hideMark/>
          </w:tcPr>
          <w:p w14:paraId="1466638D" w14:textId="77777777" w:rsidR="004E0684" w:rsidRPr="007D4AFD" w:rsidRDefault="004E0684" w:rsidP="00114AD4">
            <w:pPr>
              <w:pStyle w:val="SingleTxtG"/>
              <w:tabs>
                <w:tab w:val="clear" w:pos="1701"/>
                <w:tab w:val="clear" w:pos="2268"/>
                <w:tab w:val="clear" w:pos="2835"/>
              </w:tabs>
              <w:spacing w:before="40" w:after="40" w:line="220" w:lineRule="exact"/>
              <w:ind w:left="0" w:right="0"/>
              <w:jc w:val="left"/>
              <w:rPr>
                <w:rFonts w:eastAsia="Calibri"/>
                <w:sz w:val="18"/>
              </w:rPr>
            </w:pPr>
            <w:r w:rsidRPr="007D4AFD">
              <w:rPr>
                <w:sz w:val="18"/>
              </w:rPr>
              <w:t xml:space="preserve">Número de pueblos beneficiarios </w:t>
            </w:r>
          </w:p>
        </w:tc>
        <w:tc>
          <w:tcPr>
            <w:tcW w:w="956" w:type="dxa"/>
            <w:tcBorders>
              <w:bottom w:val="single" w:sz="12" w:space="0" w:color="auto"/>
            </w:tcBorders>
            <w:shd w:val="clear" w:color="auto" w:fill="auto"/>
            <w:noWrap/>
            <w:vAlign w:val="bottom"/>
            <w:hideMark/>
          </w:tcPr>
          <w:p w14:paraId="3705CC99"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557</w:t>
            </w:r>
          </w:p>
        </w:tc>
        <w:tc>
          <w:tcPr>
            <w:tcW w:w="957" w:type="dxa"/>
            <w:tcBorders>
              <w:bottom w:val="single" w:sz="12" w:space="0" w:color="auto"/>
            </w:tcBorders>
            <w:shd w:val="clear" w:color="auto" w:fill="auto"/>
            <w:noWrap/>
            <w:vAlign w:val="bottom"/>
            <w:hideMark/>
          </w:tcPr>
          <w:p w14:paraId="7486E225"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6 246</w:t>
            </w:r>
          </w:p>
        </w:tc>
        <w:tc>
          <w:tcPr>
            <w:tcW w:w="957" w:type="dxa"/>
            <w:tcBorders>
              <w:bottom w:val="single" w:sz="12" w:space="0" w:color="auto"/>
            </w:tcBorders>
            <w:shd w:val="clear" w:color="auto" w:fill="auto"/>
            <w:noWrap/>
            <w:vAlign w:val="bottom"/>
            <w:hideMark/>
          </w:tcPr>
          <w:p w14:paraId="759E9A1A"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36 813</w:t>
            </w:r>
          </w:p>
        </w:tc>
        <w:tc>
          <w:tcPr>
            <w:tcW w:w="957" w:type="dxa"/>
            <w:tcBorders>
              <w:bottom w:val="single" w:sz="12" w:space="0" w:color="auto"/>
            </w:tcBorders>
            <w:shd w:val="clear" w:color="auto" w:fill="auto"/>
            <w:noWrap/>
            <w:vAlign w:val="bottom"/>
            <w:hideMark/>
          </w:tcPr>
          <w:p w14:paraId="608AD09A"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42 699</w:t>
            </w:r>
          </w:p>
        </w:tc>
        <w:tc>
          <w:tcPr>
            <w:tcW w:w="957" w:type="dxa"/>
            <w:tcBorders>
              <w:bottom w:val="single" w:sz="12" w:space="0" w:color="auto"/>
            </w:tcBorders>
            <w:shd w:val="clear" w:color="auto" w:fill="auto"/>
            <w:noWrap/>
            <w:vAlign w:val="bottom"/>
            <w:hideMark/>
          </w:tcPr>
          <w:p w14:paraId="48719935"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39 445</w:t>
            </w:r>
          </w:p>
        </w:tc>
        <w:tc>
          <w:tcPr>
            <w:tcW w:w="957" w:type="dxa"/>
            <w:tcBorders>
              <w:bottom w:val="single" w:sz="12" w:space="0" w:color="auto"/>
            </w:tcBorders>
            <w:shd w:val="clear" w:color="auto" w:fill="auto"/>
            <w:noWrap/>
            <w:vAlign w:val="bottom"/>
            <w:hideMark/>
          </w:tcPr>
          <w:p w14:paraId="490F6A5C"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39 943</w:t>
            </w:r>
          </w:p>
        </w:tc>
        <w:tc>
          <w:tcPr>
            <w:tcW w:w="957" w:type="dxa"/>
            <w:tcBorders>
              <w:bottom w:val="single" w:sz="12" w:space="0" w:color="auto"/>
            </w:tcBorders>
            <w:shd w:val="clear" w:color="auto" w:fill="auto"/>
            <w:noWrap/>
            <w:vAlign w:val="bottom"/>
            <w:hideMark/>
          </w:tcPr>
          <w:p w14:paraId="6F7018AC" w14:textId="77777777" w:rsidR="004E0684" w:rsidRPr="007D4AFD" w:rsidRDefault="004E0684" w:rsidP="00114AD4">
            <w:pPr>
              <w:pStyle w:val="SingleTxtG"/>
              <w:tabs>
                <w:tab w:val="clear" w:pos="1701"/>
                <w:tab w:val="clear" w:pos="2268"/>
                <w:tab w:val="clear" w:pos="2835"/>
              </w:tabs>
              <w:spacing w:before="40" w:after="40" w:line="220" w:lineRule="exact"/>
              <w:ind w:left="113" w:right="0"/>
              <w:jc w:val="right"/>
              <w:rPr>
                <w:rFonts w:eastAsia="Calibri"/>
                <w:sz w:val="18"/>
              </w:rPr>
            </w:pPr>
            <w:r w:rsidRPr="007D4AFD">
              <w:rPr>
                <w:sz w:val="18"/>
              </w:rPr>
              <w:t>45 019</w:t>
            </w:r>
          </w:p>
        </w:tc>
      </w:tr>
    </w:tbl>
    <w:p w14:paraId="5E2BC7FF" w14:textId="77777777" w:rsidR="004E0684" w:rsidRPr="006F084A" w:rsidRDefault="004E0684" w:rsidP="00725B46">
      <w:pPr>
        <w:pStyle w:val="H1G"/>
        <w:rPr>
          <w:rFonts w:eastAsia="Calibri"/>
        </w:rPr>
      </w:pPr>
      <w:r w:rsidRPr="006F084A">
        <w:tab/>
        <w:t>B.</w:t>
      </w:r>
      <w:r w:rsidRPr="006F084A">
        <w:tab/>
        <w:t xml:space="preserve">Estructura constitucional, política y </w:t>
      </w:r>
      <w:bookmarkStart w:id="2" w:name="_Toc64366037"/>
      <w:bookmarkEnd w:id="2"/>
      <w:r w:rsidRPr="006F084A">
        <w:t>jurídica</w:t>
      </w:r>
    </w:p>
    <w:p w14:paraId="50A46B96" w14:textId="58E5D4A9" w:rsidR="004E0684" w:rsidRPr="006F084A" w:rsidRDefault="004E0684" w:rsidP="004E0684">
      <w:pPr>
        <w:pStyle w:val="SingleTxtG"/>
        <w:rPr>
          <w:rFonts w:eastAsia="Calibri"/>
        </w:rPr>
      </w:pPr>
      <w:r w:rsidRPr="006F084A">
        <w:t>19.</w:t>
      </w:r>
      <w:r w:rsidR="00725B46">
        <w:tab/>
      </w:r>
      <w:r w:rsidRPr="006F084A">
        <w:t xml:space="preserve">El régimen de </w:t>
      </w:r>
      <w:r w:rsidR="00862368" w:rsidRPr="006F084A">
        <w:t xml:space="preserve">Gobierno </w:t>
      </w:r>
      <w:r w:rsidRPr="006F084A">
        <w:t>de Marruecos se basa en un sistema monárquico constitucional y en la democracia parlamentaria y social. Marruecos aprobó por mayoría absoluta una nueva constitución tras el referéndum celebrado el 1 de julio de 2011.  Esta Constitución establece que el régimen constitucional del Reino de Marruecos se fundamenta en la separación de poderes, en el equilibrio entre estos y en la colaboración entre unos y otros, así como en la democracia ciudadana y participativa, en los principios de buena gobernanza y en la vinculación de la responsabilidad a la rendición de cuentas. La ordenación territorial del Reino es no centralizada, y se basa en una regionalización avanzada.</w:t>
      </w:r>
    </w:p>
    <w:p w14:paraId="4EC02D30" w14:textId="43C4A98B" w:rsidR="004E0684" w:rsidRPr="006F084A" w:rsidRDefault="004E0684" w:rsidP="004E0684">
      <w:pPr>
        <w:pStyle w:val="SingleTxtG"/>
        <w:rPr>
          <w:rFonts w:eastAsia="Calibri"/>
        </w:rPr>
      </w:pPr>
      <w:r w:rsidRPr="006F084A">
        <w:t>20.</w:t>
      </w:r>
      <w:r w:rsidR="00725B46">
        <w:tab/>
      </w:r>
      <w:r w:rsidRPr="006F084A">
        <w:t xml:space="preserve">Según la Constitución, la soberanía corresponde a la nación, que la ejerce directamente mediante referéndum e indirectamente por intermediación de sus representantes. La nación elige a sus representantes en las instituciones elegidas mediante sufragio libre, transparente y regular. La ley es la más alta expresión de la voluntad de la nación, y todos los ciudadanos son iguales ante ella y están igualmente obligados a respetarla. Los partidos políticos, que pueden constituirse con libertad y cuyas actividades pueden ejercerse libremente, siempre en los límites que marca la observancia de la Constitución y la ley, trabajan para integrar de forma ordenada a los ciudadanos y ciudadanas y para darles formación política, así como para reforzar su implicación en la vida política y la gestión de la cosa pública, y contribuyen a que los electores expresen su voluntad, así como al ejercicio </w:t>
      </w:r>
      <w:r w:rsidRPr="006F084A">
        <w:lastRenderedPageBreak/>
        <w:t xml:space="preserve">de poder, sobre la base del pluralismo y de la representatividad, por medios democráticos y en el marco de las instituciones constitucionales. Las organizaciones sindicales de trabajadores, así como los </w:t>
      </w:r>
      <w:proofErr w:type="gramStart"/>
      <w:r w:rsidRPr="006F084A">
        <w:t>colegios profesionales y las organizaciones profesionales</w:t>
      </w:r>
      <w:proofErr w:type="gramEnd"/>
      <w:r w:rsidRPr="006F084A">
        <w:t xml:space="preserve"> de empleados, contribuyen a defender y promover los derechos y los intereses sociales y económicos de los colectivos a los que representan. Existe libertad para constituir partidos políticos, que ejercen sus actividades libremente, en los límites que marcan el respeto de la Constitución y la ley. La Constitución garantiza a la oposición parlamentaria un estatuto que le otorga derechos, para permitirle desempeñar sus tareas en la labor parlamentaria y en la vida política.  </w:t>
      </w:r>
    </w:p>
    <w:p w14:paraId="3D926028" w14:textId="39BB8878" w:rsidR="004E0684" w:rsidRPr="006F084A" w:rsidRDefault="004E0684" w:rsidP="004E0684">
      <w:pPr>
        <w:pStyle w:val="SingleTxtG"/>
        <w:rPr>
          <w:rFonts w:eastAsia="Calibri"/>
        </w:rPr>
      </w:pPr>
      <w:r w:rsidRPr="006F084A">
        <w:t>21.</w:t>
      </w:r>
      <w:r w:rsidR="00725B46">
        <w:tab/>
      </w:r>
      <w:r w:rsidRPr="006F084A">
        <w:t>El Rey es el Príncipe de los Creyentes y el protector del celo de la fe y la religión, así como el garante de la libertad para el ejercicio del culto religioso. También es el Jefe del Estado y su supremo representante, así como símbolo de la unidad de la patria, y garante de la permanencia y continuidad del Estado. Es además árbitro supremo entre sus instituciones, que vela por el respeto de la Constitución, la buena marcha de las instituciones constitucionales y la protección de la opción democrática y de los derechos y libertades de las ciudadanas, los ciudadanos y los colectivos. Es además garante del respeto de los compromisos internacionales del Reino de Marruecos.</w:t>
      </w:r>
    </w:p>
    <w:p w14:paraId="337FB094" w14:textId="2B813F11" w:rsidR="004E0684" w:rsidRPr="006F084A" w:rsidRDefault="004E0684" w:rsidP="004E0684">
      <w:pPr>
        <w:pStyle w:val="SingleTxtG"/>
        <w:rPr>
          <w:rFonts w:eastAsia="Calibri"/>
        </w:rPr>
      </w:pPr>
      <w:r w:rsidRPr="006F084A">
        <w:t>22</w:t>
      </w:r>
      <w:r w:rsidR="00725B46">
        <w:t>.</w:t>
      </w:r>
      <w:r w:rsidR="00725B46">
        <w:tab/>
      </w:r>
      <w:r w:rsidRPr="006F084A">
        <w:t>El Parlamento ejerce el poder legislativo, y está compuesto por dos cámaras, la Cámara de Representantes y la Cámara de Consejeros, cuyos miembros reciben su mandato de la nación. Los miembros de la Cámara de Representantes son elegidos mediante sufragio universal y directo por un período de cinco años, en tanto que los miembros de la Cámara de Consejeros son elegidos mediante sufragio universal e indirecto por un período de seis años, de forma que tres quintas partes de ellos representan a las colectividades territoriales, compuestas por los consejos regionales y los consejos comunales, provinciales y municipales. En lo que respecta a los dos quintos de los miembros restantes, son elegidos, en cada región, por colegios electorales formados por electores de las agrupaciones profesionales y las organizaciones patronales más representativas. Hay otros miembros que son elegidos, a nivel nacional, por un órgano elector compuesto por representantes de los asalariados.</w:t>
      </w:r>
    </w:p>
    <w:p w14:paraId="44A5F3A2" w14:textId="48B96A52" w:rsidR="004E0684" w:rsidRPr="006F084A" w:rsidRDefault="004E0684" w:rsidP="004E0684">
      <w:pPr>
        <w:pStyle w:val="SingleTxtG"/>
        <w:rPr>
          <w:rFonts w:eastAsia="Calibri"/>
        </w:rPr>
      </w:pPr>
      <w:r w:rsidRPr="006F084A">
        <w:t>23.</w:t>
      </w:r>
      <w:r w:rsidR="00725B46">
        <w:tab/>
      </w:r>
      <w:r w:rsidRPr="006F084A">
        <w:t>El Gobierno está constituido por el presidente del Consejo y por los ministros, y ejerce el poder ejecutivo. Con este fin se encarga, bajo la autoridad de su presidente, de hacer efectivo el programa de gobierno y de garantizar la aplicación de las leyes, así como de gestionar la administración colocada bajo su control. También ejerce supervisión y tutela sobre las instituciones y las empresas públicas. El presidente del Consejo ejerce potestad reguladora, y tiene derecho a delegar algunas de sus atribuciones en sus ministros.</w:t>
      </w:r>
    </w:p>
    <w:p w14:paraId="2D806DD6" w14:textId="4331CD6F" w:rsidR="004E0684" w:rsidRPr="006F084A" w:rsidRDefault="004E0684" w:rsidP="004E0684">
      <w:pPr>
        <w:pStyle w:val="SingleTxtG"/>
        <w:rPr>
          <w:rFonts w:eastAsia="Calibri"/>
        </w:rPr>
      </w:pPr>
      <w:r w:rsidRPr="006F084A">
        <w:t>24.</w:t>
      </w:r>
      <w:r w:rsidR="00725B46">
        <w:tab/>
      </w:r>
      <w:r w:rsidRPr="006F084A">
        <w:t xml:space="preserve">La autoridad judicial es independiente del poder legislativo y también del poder ejecutivo. Los jueces son designados en nombre del Rey, a propuesta del Consejo Superior del Poder Judicial, órgano encargado de velar por el cumplimiento de las garantías de que gozan. Los jueces se encargan de proteger los derechos de los individuos y de los colectivos, así como sus libertades y seguridad judicial, y de aplicar la ley, y no son destituidos ni trasladados sino en las condiciones que marca la ley. Está prohibida cualquier injerencia en los casos que les son sometidos. </w:t>
      </w:r>
    </w:p>
    <w:p w14:paraId="3302785E" w14:textId="60D8AD85" w:rsidR="004E0684" w:rsidRPr="006F084A" w:rsidRDefault="004E0684" w:rsidP="004E0684">
      <w:pPr>
        <w:pStyle w:val="SingleTxtG"/>
      </w:pPr>
      <w:r w:rsidRPr="006F084A">
        <w:t>25.</w:t>
      </w:r>
      <w:r w:rsidR="00725B46">
        <w:tab/>
      </w:r>
      <w:r w:rsidRPr="006F084A">
        <w:t xml:space="preserve">El Consejo Superior del Poder Judicial, presidido por el Rey y regulado en virtud de la Ley Orgánica núm. 100-13/2016, está compuesto por un presidente delegado, que es el Presidente Primero del Tribunal de Casación; el Procurador General del Rey ante el Tribunal de Casación; el Presidente de la Sala Primera del Tribunal de Casación; 4 representantes de los jueces de los tribunales de apelación (elegidos por los propios jueces de esa categoría) y 6 representantes de los jueces de los tribunales de primera instancia (elegidos por dicha categoría de jueces). En virtud de los artículos 23 y 45 de esta </w:t>
      </w:r>
      <w:r w:rsidR="00656701" w:rsidRPr="006F084A">
        <w:t xml:space="preserve">Ley Orgánica </w:t>
      </w:r>
      <w:r w:rsidRPr="006F084A">
        <w:t xml:space="preserve">y en proporción a su presencia en la judicatura, el proceso de elección de estos 10 miembros debe garantizar la presencia de juezas. El Consejo Superior del Poder Judicial está también compuesto por el Mediador, el </w:t>
      </w:r>
      <w:r w:rsidR="00656701" w:rsidRPr="006F084A">
        <w:t xml:space="preserve">Presidente </w:t>
      </w:r>
      <w:r w:rsidRPr="006F084A">
        <w:t xml:space="preserve">del Consejo Nacional de Derechos Humanos, y 5 personalidades conocidas por su capacidad, abnegación, imparcialidad y entrega a la causa de la independencia de la judicatura y el estado de derecho, elegidas por el Rey, entre las cuales figurará un miembro propuesto por el Secretario General del Consejo Científico Supremo. </w:t>
      </w:r>
    </w:p>
    <w:p w14:paraId="00D08EE3" w14:textId="4F45705C" w:rsidR="004E0684" w:rsidRPr="006F084A" w:rsidRDefault="004E0684" w:rsidP="004E0684">
      <w:pPr>
        <w:pStyle w:val="SingleTxtG"/>
        <w:rPr>
          <w:rFonts w:eastAsia="Calibri"/>
        </w:rPr>
      </w:pPr>
      <w:r w:rsidRPr="006F084A">
        <w:lastRenderedPageBreak/>
        <w:t>26.</w:t>
      </w:r>
      <w:r w:rsidR="00725B46">
        <w:tab/>
      </w:r>
      <w:r w:rsidRPr="006F084A">
        <w:t>Los esfuerzos para seguir mejorando la labor judicial de los tribunales del Reino continúan. Así, por un lado, se han reforzado los derechos, los deberes y el estatuto de los jueces, así como las garantías que se les conceden en virtud de la Ley Orgánica núm.</w:t>
      </w:r>
      <w:r w:rsidR="00523C1F">
        <w:t> </w:t>
      </w:r>
      <w:r w:rsidRPr="006F084A">
        <w:t>106</w:t>
      </w:r>
      <w:r w:rsidR="00523C1F">
        <w:noBreakHyphen/>
      </w:r>
      <w:r w:rsidRPr="006F084A">
        <w:t>13/2016, del Estatuto de los Jueces; por otro, se ha seguido haciendo frente a la escasez de jueces en los juzgados.</w:t>
      </w:r>
    </w:p>
    <w:p w14:paraId="5C063AAF" w14:textId="7908848F" w:rsidR="004E0684" w:rsidRPr="006F084A" w:rsidRDefault="004E0684" w:rsidP="004E0684">
      <w:pPr>
        <w:pStyle w:val="SingleTxtG"/>
        <w:rPr>
          <w:rFonts w:eastAsia="Calibri"/>
        </w:rPr>
      </w:pPr>
      <w:r w:rsidRPr="006F084A">
        <w:t>27.</w:t>
      </w:r>
      <w:r w:rsidR="00523C1F">
        <w:tab/>
      </w:r>
      <w:r w:rsidRPr="006F084A">
        <w:t xml:space="preserve">Para solucionar este problema, y habida cuenta que el número total de jueces no superaba los 4.150 (de los cuales 2.851 eran magistrados </w:t>
      </w:r>
      <w:r w:rsidRPr="00517B56">
        <w:rPr>
          <w:i/>
        </w:rPr>
        <w:t>[</w:t>
      </w:r>
      <w:proofErr w:type="spellStart"/>
      <w:r w:rsidRPr="00517B56">
        <w:rPr>
          <w:i/>
          <w:iCs/>
        </w:rPr>
        <w:t>qadi</w:t>
      </w:r>
      <w:proofErr w:type="spellEnd"/>
      <w:r w:rsidRPr="00517B56">
        <w:rPr>
          <w:i/>
          <w:iCs/>
        </w:rPr>
        <w:t xml:space="preserve"> al-</w:t>
      </w:r>
      <w:proofErr w:type="spellStart"/>
      <w:r w:rsidRPr="00517B56">
        <w:rPr>
          <w:i/>
          <w:iCs/>
        </w:rPr>
        <w:t>hukm</w:t>
      </w:r>
      <w:proofErr w:type="spellEnd"/>
      <w:r w:rsidRPr="00517B56">
        <w:rPr>
          <w:i/>
        </w:rPr>
        <w:t>]</w:t>
      </w:r>
      <w:r w:rsidRPr="006F084A">
        <w:t>), en 2019, el Consejo Superior del Poder Judicial decidió insuflar sangre nueva en los diferentes juzgados del Reino mediante la designación de 160 jueces pertenecientes a la 42ª promoción. Ese mismo año, el Consejo aprobó 874 resoluciones encaminadas a nombrar a los jueces encargados de llevar a cabo tareas de instrucción y en materia de jóvenes en conflicto con la ley, ejecución de penas, certificación notarial, asuntos de menores y personas de capacidad reducida, y cuestiones de familia. Asimismo, aprobó 40 resoluciones de nombramientos de suplentes, nombró a 2 jueces hebreos (para la Sala Hebrea del Tribunal de Primera Instancia de Casablanca) y a 9 jueces destinados al Tribunal Militar.</w:t>
      </w:r>
    </w:p>
    <w:p w14:paraId="76062975" w14:textId="695343E4" w:rsidR="004E0684" w:rsidRPr="00517B56" w:rsidRDefault="004E0684" w:rsidP="004E0684">
      <w:pPr>
        <w:pStyle w:val="SingleTxtG"/>
        <w:rPr>
          <w:rFonts w:eastAsia="Calibri"/>
          <w:lang w:val="es-ES_tradnl"/>
        </w:rPr>
      </w:pPr>
      <w:r w:rsidRPr="006F084A">
        <w:t>28.</w:t>
      </w:r>
      <w:r w:rsidR="00656701">
        <w:tab/>
      </w:r>
      <w:r w:rsidRPr="006F084A">
        <w:t xml:space="preserve">En cuanto a los jueces y juezas del Ministerio Fiscal, su cifra roza el millar (997), lo que equivale a cerca del 25 % del conjunto de jueces del Reino, de los cuales 159 (es decir, un 16 %) son </w:t>
      </w:r>
      <w:r w:rsidRPr="00517B56">
        <w:rPr>
          <w:lang w:val="es-ES_tradnl"/>
        </w:rPr>
        <w:t>mujeres. El Cuerpo de Jueces del Ministerio Fiscal está constituido de la siguiente manera:</w:t>
      </w:r>
    </w:p>
    <w:p w14:paraId="657169A8" w14:textId="3C4D9A64" w:rsidR="004E0684" w:rsidRPr="00517B56" w:rsidRDefault="004E0684" w:rsidP="00523C1F">
      <w:pPr>
        <w:pStyle w:val="Bullet1G"/>
        <w:rPr>
          <w:lang w:val="es-ES_tradnl"/>
        </w:rPr>
      </w:pPr>
      <w:r w:rsidRPr="00517B56">
        <w:rPr>
          <w:lang w:val="es-ES_tradnl"/>
        </w:rPr>
        <w:t>Tribunal de Casación: 46 jueces (4,61 %)</w:t>
      </w:r>
    </w:p>
    <w:p w14:paraId="4AEF517C" w14:textId="0828BF7B" w:rsidR="004E0684" w:rsidRPr="00517B56" w:rsidRDefault="004E0684" w:rsidP="00523C1F">
      <w:pPr>
        <w:pStyle w:val="Bullet1G"/>
        <w:rPr>
          <w:lang w:val="es-ES_tradnl"/>
        </w:rPr>
      </w:pPr>
      <w:r w:rsidRPr="00517B56">
        <w:rPr>
          <w:lang w:val="es-ES_tradnl"/>
        </w:rPr>
        <w:t>Tribunales de apelación ordinarios: 257 jueces (25,77 %)</w:t>
      </w:r>
    </w:p>
    <w:p w14:paraId="5A15DAC3" w14:textId="1E467A4C" w:rsidR="004E0684" w:rsidRPr="006F084A" w:rsidRDefault="004E0684" w:rsidP="00523C1F">
      <w:pPr>
        <w:pStyle w:val="Bullet1G"/>
      </w:pPr>
      <w:r w:rsidRPr="00517B56">
        <w:rPr>
          <w:lang w:val="es-ES_tradnl"/>
        </w:rPr>
        <w:t>Tribunales de apelación de</w:t>
      </w:r>
      <w:r w:rsidRPr="006F084A">
        <w:t xml:space="preserve"> lo mercantil: 6 jueces (0,60 %)</w:t>
      </w:r>
    </w:p>
    <w:p w14:paraId="13764714" w14:textId="10CE7A52" w:rsidR="004E0684" w:rsidRPr="006F084A" w:rsidRDefault="004E0684" w:rsidP="00523C1F">
      <w:pPr>
        <w:pStyle w:val="Bullet1G"/>
      </w:pPr>
      <w:r w:rsidRPr="006F084A">
        <w:t>Tribunales de primera instancia ordinarios y centros de jueces residentes [rurales]: 671 jueces (67,30 %)</w:t>
      </w:r>
    </w:p>
    <w:p w14:paraId="3B9194BF" w14:textId="5C3764EB" w:rsidR="004E0684" w:rsidRPr="006F084A" w:rsidRDefault="004E0684" w:rsidP="00523C1F">
      <w:pPr>
        <w:pStyle w:val="Bullet1G"/>
      </w:pPr>
      <w:r w:rsidRPr="006F084A">
        <w:t>Tribunales de lo mercantil: 17 jueces (1,70 %)</w:t>
      </w:r>
    </w:p>
    <w:p w14:paraId="5B042BFE" w14:textId="26870DEE" w:rsidR="004E0684" w:rsidRPr="006F084A" w:rsidRDefault="004E0684" w:rsidP="004E0684">
      <w:pPr>
        <w:pStyle w:val="SingleTxtG"/>
        <w:rPr>
          <w:rFonts w:eastAsia="Calibri"/>
        </w:rPr>
      </w:pPr>
      <w:r w:rsidRPr="006F084A">
        <w:t>29.</w:t>
      </w:r>
      <w:r w:rsidR="00523C1F">
        <w:tab/>
      </w:r>
      <w:r w:rsidRPr="006F084A">
        <w:t>En virtud de la Constitución de 2011, el Tribunal Constitucional sucedió al que había sido el Consejo Constitucional, compuesto actualmente por 12 miembros designados para un período no renovable de nueve años. Gracias a la ampliación de sus competencias, se reforzó</w:t>
      </w:r>
      <w:r w:rsidRPr="006F084A">
        <w:rPr>
          <w:b/>
          <w:bCs/>
        </w:rPr>
        <w:t xml:space="preserve"> </w:t>
      </w:r>
      <w:r w:rsidRPr="006F084A">
        <w:t xml:space="preserve">el papel del Tribunal Constitucional en materia de protección de los derechos y libertades, de manera que, además de las competencias que ya ostentaba (en relación a la supervisión de la constitucionalidad de las leyes orgánicas, las leyes ordinarias, el reglamento de las dos cámaras parlamentarias, la supervisión para garantizar la validez de los procesos de elección de los miembros del Parlamento, la celebración de referéndums y la desposesión de la condición de parlamentario), el control de la constitucionalidad de las leyes pasó a ser un control </w:t>
      </w:r>
      <w:r w:rsidRPr="00656701">
        <w:rPr>
          <w:i/>
          <w:iCs/>
        </w:rPr>
        <w:t>a posteriori</w:t>
      </w:r>
      <w:r w:rsidRPr="006F084A">
        <w:t xml:space="preserve">, y las condiciones y procedimientos para realizarlo quedaron regulados mediante el proyecto de </w:t>
      </w:r>
      <w:r w:rsidR="00656701">
        <w:t>l</w:t>
      </w:r>
      <w:r w:rsidRPr="006F084A">
        <w:t xml:space="preserve">ey </w:t>
      </w:r>
      <w:r w:rsidR="00656701">
        <w:t>o</w:t>
      </w:r>
      <w:r w:rsidRPr="006F084A">
        <w:t xml:space="preserve">rgánica núm. 86-15, de las </w:t>
      </w:r>
      <w:r w:rsidR="00656701">
        <w:t>c</w:t>
      </w:r>
      <w:r w:rsidRPr="006F084A">
        <w:t xml:space="preserve">ondiciones y </w:t>
      </w:r>
      <w:r w:rsidR="00656701">
        <w:t>r</w:t>
      </w:r>
      <w:r w:rsidRPr="006F084A">
        <w:t xml:space="preserve">equisitos para la </w:t>
      </w:r>
      <w:r w:rsidR="00656701">
        <w:t>a</w:t>
      </w:r>
      <w:r w:rsidRPr="006F084A">
        <w:t>plicación del artículo 133 de la Constitución, que atañe a las leyes que afectan a los derechos y libertades que ampara la Constitución. Por otro lado, se han ampliado las competencias del Tribunal Constitucional para que abarquen la supervisión de la constitucionalidad de las convenciones internacionales y los reglamentos internos de las instituciones constitucionales creadas en virtud de una ley orgánica con carácter previo a la entrada en vigor, así como el control de la validez de los procedimientos de revisión constitucional.</w:t>
      </w:r>
    </w:p>
    <w:p w14:paraId="4A18897D" w14:textId="51A001F2" w:rsidR="004E0684" w:rsidRPr="006F084A" w:rsidRDefault="004E0684" w:rsidP="00656701">
      <w:pPr>
        <w:pStyle w:val="SingleTxtG"/>
        <w:rPr>
          <w:rFonts w:eastAsia="Calibri"/>
        </w:rPr>
      </w:pPr>
      <w:r w:rsidRPr="006F084A">
        <w:t>30.</w:t>
      </w:r>
      <w:r w:rsidR="00523C1F">
        <w:tab/>
      </w:r>
      <w:r w:rsidRPr="006F084A">
        <w:t xml:space="preserve">Las agrupaciones territoriales del Reino están constituidas por regiones </w:t>
      </w:r>
      <w:r w:rsidRPr="00523C1F">
        <w:rPr>
          <w:i/>
        </w:rPr>
        <w:t>(</w:t>
      </w:r>
      <w:proofErr w:type="spellStart"/>
      <w:r w:rsidRPr="00523C1F">
        <w:rPr>
          <w:i/>
          <w:iCs/>
        </w:rPr>
        <w:t>yiha</w:t>
      </w:r>
      <w:proofErr w:type="spellEnd"/>
      <w:r w:rsidRPr="00523C1F">
        <w:rPr>
          <w:i/>
        </w:rPr>
        <w:t>)</w:t>
      </w:r>
      <w:r w:rsidRPr="006F084A">
        <w:t xml:space="preserve">, prefecturas </w:t>
      </w:r>
      <w:r w:rsidRPr="00523C1F">
        <w:rPr>
          <w:i/>
        </w:rPr>
        <w:t>(‘</w:t>
      </w:r>
      <w:r w:rsidRPr="00523C1F">
        <w:rPr>
          <w:i/>
          <w:iCs/>
        </w:rPr>
        <w:t>amala</w:t>
      </w:r>
      <w:r w:rsidRPr="00523C1F">
        <w:rPr>
          <w:i/>
        </w:rPr>
        <w:t>)</w:t>
      </w:r>
      <w:r w:rsidRPr="006F084A">
        <w:t xml:space="preserve">, provincias </w:t>
      </w:r>
      <w:r w:rsidRPr="00523C1F">
        <w:rPr>
          <w:i/>
        </w:rPr>
        <w:t>(</w:t>
      </w:r>
      <w:proofErr w:type="spellStart"/>
      <w:r w:rsidRPr="00523C1F">
        <w:rPr>
          <w:i/>
          <w:iCs/>
        </w:rPr>
        <w:t>iqlim</w:t>
      </w:r>
      <w:proofErr w:type="spellEnd"/>
      <w:r w:rsidRPr="00523C1F">
        <w:rPr>
          <w:i/>
        </w:rPr>
        <w:t>)</w:t>
      </w:r>
      <w:r w:rsidRPr="006F084A">
        <w:t xml:space="preserve"> y municipios </w:t>
      </w:r>
      <w:r w:rsidRPr="00523C1F">
        <w:rPr>
          <w:i/>
        </w:rPr>
        <w:t>(</w:t>
      </w:r>
      <w:proofErr w:type="spellStart"/>
      <w:r w:rsidRPr="00523C1F">
        <w:rPr>
          <w:i/>
          <w:iCs/>
        </w:rPr>
        <w:t>yama’a</w:t>
      </w:r>
      <w:proofErr w:type="spellEnd"/>
      <w:r w:rsidRPr="00523C1F">
        <w:rPr>
          <w:i/>
        </w:rPr>
        <w:t>)</w:t>
      </w:r>
      <w:r w:rsidRPr="006F084A">
        <w:t>. Cada agrupación territorial nueva creada por ley, que se constituye en persona jurídica electa, está sujeta al derecho público y gestiona sus asuntos de manera democrática. Los consejos regionales y municipales se eligen mediante sufragio universal directo. De acuerdo con la división administrativa de</w:t>
      </w:r>
      <w:r w:rsidR="00656701">
        <w:t> </w:t>
      </w:r>
      <w:r w:rsidRPr="006F084A">
        <w:t xml:space="preserve">2015, el territorio del Reino se divide en 12 regiones, 75 prefecturas y provincias y 1.503 municipalidades, de las que 221 son urbanas y 1.282 comunidades rurales. En cuanto a la administración territorial del Reino se divide en </w:t>
      </w:r>
      <w:r w:rsidRPr="006F084A">
        <w:rPr>
          <w:i/>
          <w:iCs/>
        </w:rPr>
        <w:t>wilayas</w:t>
      </w:r>
      <w:r w:rsidRPr="006F084A">
        <w:t xml:space="preserve">, que a su vez se subdividen en comunas y provincias. Estas se subdividen en circunscripciones </w:t>
      </w:r>
      <w:r w:rsidRPr="00523C1F">
        <w:rPr>
          <w:i/>
        </w:rPr>
        <w:t>(</w:t>
      </w:r>
      <w:proofErr w:type="spellStart"/>
      <w:r w:rsidRPr="00523C1F">
        <w:rPr>
          <w:i/>
          <w:iCs/>
        </w:rPr>
        <w:t>dawa’ir</w:t>
      </w:r>
      <w:proofErr w:type="spellEnd"/>
      <w:r w:rsidRPr="00523C1F">
        <w:rPr>
          <w:i/>
        </w:rPr>
        <w:t>)</w:t>
      </w:r>
      <w:r w:rsidRPr="006F084A">
        <w:t xml:space="preserve">, y estas últimas, en subdivisiones administrativas </w:t>
      </w:r>
      <w:r w:rsidRPr="008B075D">
        <w:rPr>
          <w:i/>
        </w:rPr>
        <w:t>(</w:t>
      </w:r>
      <w:proofErr w:type="spellStart"/>
      <w:r w:rsidRPr="008B075D">
        <w:rPr>
          <w:i/>
          <w:iCs/>
        </w:rPr>
        <w:t>mulhaq</w:t>
      </w:r>
      <w:proofErr w:type="spellEnd"/>
      <w:r w:rsidRPr="008B075D">
        <w:rPr>
          <w:i/>
        </w:rPr>
        <w:t>)</w:t>
      </w:r>
      <w:r w:rsidRPr="006F084A">
        <w:t xml:space="preserve"> y distritos </w:t>
      </w:r>
      <w:r w:rsidRPr="00523C1F">
        <w:rPr>
          <w:i/>
        </w:rPr>
        <w:t>(</w:t>
      </w:r>
      <w:proofErr w:type="spellStart"/>
      <w:r w:rsidRPr="00523C1F">
        <w:rPr>
          <w:i/>
          <w:iCs/>
        </w:rPr>
        <w:t>qiyada</w:t>
      </w:r>
      <w:proofErr w:type="spellEnd"/>
      <w:r w:rsidRPr="00523C1F">
        <w:rPr>
          <w:i/>
        </w:rPr>
        <w:t>)</w:t>
      </w:r>
      <w:r w:rsidRPr="006F084A">
        <w:t xml:space="preserve">. </w:t>
      </w:r>
    </w:p>
    <w:p w14:paraId="2A5F4E90" w14:textId="3C2315FE" w:rsidR="004E0684" w:rsidRPr="006F084A" w:rsidRDefault="004E0684" w:rsidP="004E0684">
      <w:pPr>
        <w:pStyle w:val="SingleTxtG"/>
      </w:pPr>
      <w:r w:rsidRPr="006F084A">
        <w:t>31.</w:t>
      </w:r>
      <w:r w:rsidR="008B075D">
        <w:tab/>
      </w:r>
      <w:r w:rsidRPr="006F084A">
        <w:t xml:space="preserve">La Constitución de 2011 y la Ley de Libertades Públicas, tal como se firmó y enmendó, garantizan el derecho a constituir asociaciones, así como el derecho a estas ejerzan </w:t>
      </w:r>
      <w:r w:rsidRPr="006F084A">
        <w:lastRenderedPageBreak/>
        <w:t xml:space="preserve">libremente sus actividades, en el marco del respeto a la Constitución y la </w:t>
      </w:r>
      <w:r w:rsidR="00656701" w:rsidRPr="006F084A">
        <w:t>Ley</w:t>
      </w:r>
      <w:r w:rsidRPr="006F084A">
        <w:t xml:space="preserve">. El ordenamiento jurídico marroquí, a este respecto, se fundamenta exclusivamente en un sistema de declaración. </w:t>
      </w:r>
    </w:p>
    <w:p w14:paraId="2555AF19" w14:textId="633BA65C" w:rsidR="004E0684" w:rsidRPr="006F084A" w:rsidRDefault="004E0684" w:rsidP="004E0684">
      <w:pPr>
        <w:pStyle w:val="SingleTxtG"/>
      </w:pPr>
      <w:r w:rsidRPr="006F084A">
        <w:t>32.</w:t>
      </w:r>
      <w:r w:rsidR="008B075D">
        <w:tab/>
      </w:r>
      <w:r w:rsidRPr="006F084A">
        <w:t>Con arreglo a este sistema, las asociaciones deben presentar, ya sea directamente o a través de un auxiliar de justicia, una declaración ante la autoridad administrativa local bajo cuya jurisdicción se encuentre sita la sede de la asociación. Dicha autoridad entregará a la asociación al momento un resguardo provisional de inscripción fechado y sellado. Posteriormente, la autoridad administrativa local entregará una copia de dicha declaración y la documentación anexa a la fiscalía del tribunal de primera instancia correspondiente. Una vez satisfechas las actuaciones estipuladas en el punto anterior y dentro de un plazo máximo de 60 días, deberá entregarse a la asociación el resguardo definitivo de inscripción. De no hacerse, la asociación podrá empezar a ejercer sus actividades de conformidad con los objetivos establecidos en sus estatutos.</w:t>
      </w:r>
    </w:p>
    <w:p w14:paraId="632B222E" w14:textId="552D76A4" w:rsidR="004E0684" w:rsidRPr="006F084A" w:rsidRDefault="004E0684" w:rsidP="004E0684">
      <w:pPr>
        <w:pStyle w:val="SingleTxtG"/>
      </w:pPr>
      <w:r w:rsidRPr="006F084A">
        <w:t>33.</w:t>
      </w:r>
      <w:r w:rsidR="008B075D">
        <w:tab/>
      </w:r>
      <w:r w:rsidRPr="006F084A">
        <w:t xml:space="preserve">La </w:t>
      </w:r>
      <w:r w:rsidR="00656701" w:rsidRPr="006F084A">
        <w:t xml:space="preserve">Ley </w:t>
      </w:r>
      <w:r w:rsidRPr="006F084A">
        <w:t xml:space="preserve">garantiza a las asociaciones el derecho a recurrir al juez administrativo para solicitar la anulación de cualquier decisión administrativa que consideren arbitraria. Los poderes públicos solo podrán disolver estas asociaciones y organizaciones mediante decisión judicial. </w:t>
      </w:r>
    </w:p>
    <w:p w14:paraId="08CB1F39" w14:textId="2B61C8A8" w:rsidR="004E0684" w:rsidRPr="006F084A" w:rsidRDefault="004E0684" w:rsidP="004E0684">
      <w:pPr>
        <w:pStyle w:val="SingleTxtG"/>
      </w:pPr>
      <w:r w:rsidRPr="006F084A">
        <w:t>34.</w:t>
      </w:r>
      <w:r w:rsidR="008B075D">
        <w:tab/>
      </w:r>
      <w:r w:rsidRPr="006F084A">
        <w:t xml:space="preserve">Con el objetivo de potenciar el papel de la sociedad civil, durante 2013 y 2014 se propició un amplio diálogo nacional en torno a la sociedad civil y las nuevas funciones constitucionales, a raíz del cual se organizaron una serie de encuentros y seminarios científicos con diversos actores de la sociedad civil, que culminaron con la preparación de una base jurídica que sirvió de punto de partida para la elaboración de un marco legal y normativo en lo tocante a cuestiones como la democracia participativa, la consulta pública y la vida comunitaria. </w:t>
      </w:r>
    </w:p>
    <w:p w14:paraId="73797F62" w14:textId="11E3BA22" w:rsidR="004E0684" w:rsidRPr="006F084A" w:rsidRDefault="004E0684" w:rsidP="004E0684">
      <w:pPr>
        <w:pStyle w:val="SingleTxtG"/>
      </w:pPr>
      <w:r w:rsidRPr="006F084A">
        <w:t>35.</w:t>
      </w:r>
      <w:r w:rsidR="008B075D">
        <w:tab/>
      </w:r>
      <w:r w:rsidRPr="006F084A">
        <w:t>En aplicación de los artículos 13, 14 y 15 de la Constitución, relativos el derecho de los ciudadanos y ciudadanas a participar en la preparación, puesta en marcha, aplicación y evaluación de las políticas públicas, se promulgó, por un lado, la Ley Orgánica núm. 64-14, que establece las condiciones y modalidades para ejercer el derecho a presentar mociones en materia de legislación; y, por otro, la Ley Orgánica núm. 44-14, que establece las condiciones y modalidades para ejercer el derecho a presentar solicitudes a los poderes públicos</w:t>
      </w:r>
      <w:r w:rsidRPr="006F084A">
        <w:rPr>
          <w:rStyle w:val="Refdenotaalpie"/>
          <w:lang w:val="en-GB"/>
        </w:rPr>
        <w:footnoteReference w:id="13"/>
      </w:r>
      <w:r w:rsidRPr="006F084A">
        <w:t>.</w:t>
      </w:r>
    </w:p>
    <w:p w14:paraId="1718BCDA" w14:textId="0577501E" w:rsidR="004E0684" w:rsidRPr="006F084A" w:rsidRDefault="004E0684" w:rsidP="004E0684">
      <w:pPr>
        <w:pStyle w:val="SingleTxtG"/>
      </w:pPr>
      <w:r w:rsidRPr="006F084A">
        <w:t>36.</w:t>
      </w:r>
      <w:r w:rsidR="008B075D">
        <w:tab/>
      </w:r>
      <w:r w:rsidRPr="006F084A">
        <w:t>A nivel local y territorial, y en aplicación del artículo 139 de la Constitución, las leyes orgánicas relativas a las agrupaciones territoriales prevén la creación de órganos consultivos para poder dialogar con los consejos territoriales, comunales, provinciales y municipales y consultarlos. Estas leyes también permiten a los ciudadanos y ciudadanas, así como a las asociaciones, ejercer el derecho a presentar solicitudes encaminadas a introducir, en el marco de las competencias reconocidas a cada uno de los consejos de estas agrupaciones, un tema en la agenda de esos consejos</w:t>
      </w:r>
      <w:r w:rsidRPr="006F084A">
        <w:rPr>
          <w:rStyle w:val="Refdenotaalpie"/>
          <w:lang w:val="en-GB"/>
        </w:rPr>
        <w:footnoteReference w:id="14"/>
      </w:r>
      <w:r w:rsidRPr="006F084A">
        <w:t>.</w:t>
      </w:r>
    </w:p>
    <w:p w14:paraId="2B11C08D" w14:textId="4A191E55" w:rsidR="004E0684" w:rsidRPr="006F084A" w:rsidRDefault="004E0684" w:rsidP="008B075D">
      <w:pPr>
        <w:pStyle w:val="SingleTxtG"/>
      </w:pPr>
      <w:r w:rsidRPr="006F084A">
        <w:t>37.</w:t>
      </w:r>
      <w:r w:rsidR="008B075D">
        <w:tab/>
      </w:r>
      <w:r w:rsidRPr="006F084A">
        <w:t>Gracias a este amparo jurídico y constitucional, las áreas de interés relativas a la acción civil han aumentado y se han diversificado. En 2019, había aproximadamente 209.657 asociaciones o instancias civiles.</w:t>
      </w:r>
    </w:p>
    <w:p w14:paraId="6314B464" w14:textId="3F8DB9A7" w:rsidR="004E0684" w:rsidRPr="006F084A" w:rsidRDefault="004E0684" w:rsidP="004E0684">
      <w:pPr>
        <w:pStyle w:val="SingleTxtG"/>
      </w:pPr>
      <w:r w:rsidRPr="006F084A">
        <w:t>38.</w:t>
      </w:r>
      <w:r w:rsidR="008B075D">
        <w:tab/>
      </w:r>
      <w:r w:rsidRPr="006F084A">
        <w:t>Conscientes de las funciones socioeconómicas que realizan los sindicatos en calidad de agentes del desarrollo económico nacional, y teniendo en cuenta que el Reino ha ratificado las convenciones aprobadas por la Organización Internacional del Trabajo</w:t>
      </w:r>
      <w:r w:rsidR="008263FA">
        <w:t xml:space="preserve"> (OIT)</w:t>
      </w:r>
      <w:r w:rsidRPr="006F084A">
        <w:t xml:space="preserve">, Marruecos ha trabajado para proteger y consagrar las libertades sindicales a través de un conjunto de textos legales, entre los que cabe destacar al artículo 8 de la Constitución, que regula la protección del derecho de sindicación y la defensa de los derechos e intereses </w:t>
      </w:r>
      <w:r w:rsidRPr="006F084A">
        <w:lastRenderedPageBreak/>
        <w:t>socioeconómicos de aquellos grupos que son representados por los sindicatos de asalariados, los colegios profesionales y las organizaciones patronales.</w:t>
      </w:r>
    </w:p>
    <w:p w14:paraId="2C5951FF" w14:textId="0FE8DB03" w:rsidR="004E0684" w:rsidRPr="006F084A" w:rsidRDefault="004E0684" w:rsidP="004E0684">
      <w:pPr>
        <w:pStyle w:val="SingleTxtG"/>
      </w:pPr>
      <w:r w:rsidRPr="006F084A">
        <w:t>39.</w:t>
      </w:r>
      <w:r w:rsidR="008B075D">
        <w:tab/>
      </w:r>
      <w:r w:rsidRPr="006F084A">
        <w:t xml:space="preserve">De conformidad con el apartado b) (si </w:t>
      </w:r>
      <w:r w:rsidR="00B56649">
        <w:t>“</w:t>
      </w:r>
      <w:r w:rsidRPr="006F084A">
        <w:t>los tratados de derechos humanos se han incorporado en el ordenamiento jurídico nacional</w:t>
      </w:r>
      <w:r w:rsidR="00B56649">
        <w:t>”</w:t>
      </w:r>
      <w:r w:rsidRPr="006F084A">
        <w:t>) del documento de compilación de directrices relativas a la forma y el contenido de los informes que deben presentar los Estados partes en los tratados internacionales de derechos humanos (</w:t>
      </w:r>
      <w:proofErr w:type="spellStart"/>
      <w:r w:rsidRPr="006F084A">
        <w:t>HRI</w:t>
      </w:r>
      <w:proofErr w:type="spellEnd"/>
      <w:r w:rsidRPr="006F084A">
        <w:t>/GEN/2/</w:t>
      </w:r>
      <w:proofErr w:type="spellStart"/>
      <w:r w:rsidRPr="006F084A">
        <w:t>Rev.6</w:t>
      </w:r>
      <w:proofErr w:type="spellEnd"/>
      <w:r w:rsidRPr="006F084A">
        <w:t>), y a la vista de las numerosas resoluciones y decisiones judiciales de los tribunales del Reino de diversos tipos y niveles, es evidente que la labor judicial en Marruecos ha experimentado un avance notable en lo que a la emisión de sentencias y decisiones, y la calidad de las mismas, se refiere. Esta mejora se debe en gran medida a las reformas constitucionales y jurídicas adoptadas por el Reino de Marruecos, las cuales codifican legalmente la independencia del poder judicial, garantizan un juicio justo, velan por los derechos y libertades de los litigantes, y declaran que la función del juez es aplicar la ley y proteger los derechos y libertades.</w:t>
      </w:r>
    </w:p>
    <w:p w14:paraId="79AB6C2A" w14:textId="6B0D40A5" w:rsidR="004E0684" w:rsidRPr="006F084A" w:rsidRDefault="004E0684" w:rsidP="004E0684">
      <w:pPr>
        <w:pStyle w:val="SingleTxtG"/>
      </w:pPr>
      <w:r w:rsidRPr="006F084A">
        <w:t>40.</w:t>
      </w:r>
      <w:r w:rsidR="008B075D">
        <w:tab/>
      </w:r>
      <w:r w:rsidRPr="006F084A">
        <w:t>En cuanto a la jurisprudencia se refiere, nos remitimos a los ejemplos siguientes:</w:t>
      </w:r>
    </w:p>
    <w:p w14:paraId="406180DE" w14:textId="2726EDE6" w:rsidR="004E0684" w:rsidRPr="006F084A" w:rsidRDefault="004E0684" w:rsidP="008B075D">
      <w:pPr>
        <w:pStyle w:val="Bullet1G"/>
      </w:pPr>
      <w:r w:rsidRPr="006F084A">
        <w:t>La garantía del derecho a una defensa, de conformidad con los principios internacionales (artículo 11 de la Declaración Universal de Derechos Humanos y artículo 14 del Pacto Internacional de Derechos Civiles y Políticos) y con las disposiciones constitucionales que lo regulan, requiere una lectura conjunta e interrelacionada de los artículos 23, 120 y 121 de la Constitución, pues las normas de interpretación legal imponen una interpretación cruzada de esos artículos invocando los textos de referencia del derecho internacional, según dispone el Preámbulo de la Constitución, el cual, como parte integrante de la misma, goza de igual carácter concluyente y fuerza de ley que la parte dispositiva (resolución núm. 4594 del Tribunal Administrativo de Rabat, Sección de Justicia Revocatoria, de 13 de diciembre de 2012).</w:t>
      </w:r>
    </w:p>
    <w:p w14:paraId="779996FE" w14:textId="7F90C69A" w:rsidR="004E0684" w:rsidRPr="006F084A" w:rsidRDefault="004E0684" w:rsidP="008B075D">
      <w:pPr>
        <w:pStyle w:val="Bullet1G"/>
      </w:pPr>
      <w:r w:rsidRPr="006F084A">
        <w:t>Resoluciones administrativas que imponen la igualdad entre mujeres y hombres, como es el caso de la sentencia del Tribunal Administrativo de Rabat del 10 de octubre de</w:t>
      </w:r>
      <w:r w:rsidR="00656701">
        <w:t> </w:t>
      </w:r>
      <w:r w:rsidRPr="006F084A">
        <w:t xml:space="preserve">2013, que falló en favor de la mujer de adscripción étnica y </w:t>
      </w:r>
      <w:proofErr w:type="gramStart"/>
      <w:r w:rsidRPr="006F084A">
        <w:t>le</w:t>
      </w:r>
      <w:proofErr w:type="gramEnd"/>
      <w:r w:rsidRPr="006F084A">
        <w:t xml:space="preserve"> otorgó derecho a esas tierras, apoyándose para ello en los principios de la Constitución y las normas internacionales, que prevalecen por encima de las normas consuetudinarias y las leyes. Sobre la base de la igualdad y teniendo en cuenta el enfoque de género previsto en los artículos 6, 19 y 32 de la Constitución, el Tribunal desestimó las alegaciones jurídicas relativas a las normas consuetudinarias de la comunidad étnica.</w:t>
      </w:r>
    </w:p>
    <w:p w14:paraId="5A428003" w14:textId="2B66E1CF" w:rsidR="004E0684" w:rsidRPr="006F084A" w:rsidRDefault="004E0684" w:rsidP="004E0684">
      <w:pPr>
        <w:pStyle w:val="SingleTxtG"/>
      </w:pPr>
      <w:r w:rsidRPr="006F084A">
        <w:t>41</w:t>
      </w:r>
      <w:r w:rsidR="008B075D">
        <w:t>.</w:t>
      </w:r>
      <w:r w:rsidR="008B075D">
        <w:tab/>
      </w:r>
      <w:r w:rsidRPr="006F084A">
        <w:t>Mandamientos urgentes dictados, por ejemplo, en 2019, por el Tribunal Administrativo de varias ciudades (Rabat, Marrakech, Tánger...), en virtud de los cuales se requería</w:t>
      </w:r>
      <w:r w:rsidRPr="006F084A">
        <w:rPr>
          <w:b/>
          <w:bCs/>
        </w:rPr>
        <w:t xml:space="preserve"> </w:t>
      </w:r>
      <w:r w:rsidRPr="006F084A">
        <w:t xml:space="preserve">la inscripción de alumnos en centros educativos bajo la amenaza de severas sanciones por cada día de retraso en la ejecución del mandamiento, en aplicación del principio relativo al interés superior del niño, amparado por el artículo 32 de la Constitución.  </w:t>
      </w:r>
    </w:p>
    <w:p w14:paraId="4435E91A" w14:textId="62DF6A1B" w:rsidR="004E0684" w:rsidRPr="006F084A" w:rsidRDefault="004E0684" w:rsidP="004E0684">
      <w:pPr>
        <w:pStyle w:val="SingleTxtG"/>
      </w:pPr>
      <w:r w:rsidRPr="006F084A">
        <w:t>42.</w:t>
      </w:r>
      <w:r w:rsidR="008B075D">
        <w:tab/>
      </w:r>
      <w:r w:rsidRPr="006F084A">
        <w:t>También ciertas decisiones del Consejo Superior de Medios Audiovisuales, como la del 17 de septiembre de 2019, relativa al cese de la emisión de un programa de radio por promover un discurso que estigmatizaba a la mujer y que consagraba estereotipos discriminatorios y denigrantes que rebajaban la dignidad humana de la mujer, así como sus funciones dentro de la sociedad.</w:t>
      </w:r>
    </w:p>
    <w:p w14:paraId="633C6781" w14:textId="1E8813B9" w:rsidR="004E0684" w:rsidRPr="006F084A" w:rsidRDefault="004E0684" w:rsidP="00F81780">
      <w:pPr>
        <w:pStyle w:val="SingleTxtG"/>
        <w:keepNext/>
        <w:keepLines/>
      </w:pPr>
      <w:r w:rsidRPr="006F084A">
        <w:t>43.</w:t>
      </w:r>
      <w:r w:rsidR="008B075D">
        <w:tab/>
      </w:r>
      <w:r w:rsidRPr="006F084A">
        <w:t>En cuanto a los indicadores sobre delincuencia y administración de justicia incluidos en el apéndice 3 de las directrices (</w:t>
      </w:r>
      <w:proofErr w:type="spellStart"/>
      <w:r w:rsidRPr="006F084A">
        <w:t>HRI</w:t>
      </w:r>
      <w:proofErr w:type="spellEnd"/>
      <w:r w:rsidRPr="006F084A">
        <w:t>/GEN/2/</w:t>
      </w:r>
      <w:proofErr w:type="spellStart"/>
      <w:r w:rsidRPr="006F084A">
        <w:t>Rev.6</w:t>
      </w:r>
      <w:proofErr w:type="spellEnd"/>
      <w:r w:rsidRPr="006F084A">
        <w:t>), es de señalar que el Reino de Marruecos presentó el informe de su examen ante el mecanismo de examen de la aplicación de la Convención de las Naciones Unidades contra la Corrupción para los años 2010-2015</w:t>
      </w:r>
      <w:r w:rsidRPr="006F084A">
        <w:rPr>
          <w:rStyle w:val="Refdenotaalpie"/>
          <w:lang w:val="en-GB"/>
        </w:rPr>
        <w:footnoteReference w:id="15"/>
      </w:r>
      <w:r w:rsidRPr="006F084A">
        <w:t xml:space="preserve">.  </w:t>
      </w:r>
    </w:p>
    <w:p w14:paraId="1F5BB0A2" w14:textId="3B6770A4" w:rsidR="004E0684" w:rsidRPr="006F084A" w:rsidRDefault="004E0684" w:rsidP="004E0684">
      <w:pPr>
        <w:pStyle w:val="SingleTxtG"/>
      </w:pPr>
      <w:r w:rsidRPr="006F084A">
        <w:t>44.</w:t>
      </w:r>
      <w:r w:rsidR="008B075D">
        <w:tab/>
      </w:r>
      <w:r w:rsidRPr="006F084A">
        <w:t xml:space="preserve">En lo que respecta a la facilitación del acceso al derecho y la justicia acogiéndose al servicio de asistencia jurídica, es de señalar el notable aumento de decisiones para beneficiarse de este servicio que ha habido durante los últimos años, en particular desde la promulgación del Decreto </w:t>
      </w:r>
      <w:r w:rsidR="00656701">
        <w:t xml:space="preserve">núm. </w:t>
      </w:r>
      <w:r w:rsidRPr="006F084A">
        <w:t xml:space="preserve">2.15.801 relativo a la aplicación del artículo 41, párrafo 2, de la Ley núm. 28-08, de enmienda de la Ley Orgánica sobre el Ejercicio de la Abogacía, </w:t>
      </w:r>
      <w:r w:rsidRPr="006F084A">
        <w:lastRenderedPageBreak/>
        <w:t>que regula la modalidad de asignación de fondos destinados a la asistencia jurídica, la manera en que deben desembolsarse y las cantidades a asignar según el nivel</w:t>
      </w:r>
      <w:r w:rsidRPr="006F084A">
        <w:rPr>
          <w:b/>
          <w:bCs/>
        </w:rPr>
        <w:t xml:space="preserve"> </w:t>
      </w:r>
      <w:r w:rsidRPr="006F084A">
        <w:t>jurisdiccional del tribunal, además de la documentación que se requiere para acreditar el desempeño profesional</w:t>
      </w:r>
      <w:r w:rsidRPr="006F084A">
        <w:rPr>
          <w:rStyle w:val="Refdenotaalpie"/>
          <w:lang w:val="en-GB"/>
        </w:rPr>
        <w:footnoteReference w:id="16"/>
      </w:r>
      <w:r w:rsidRPr="006F084A">
        <w:t>.</w:t>
      </w:r>
    </w:p>
    <w:p w14:paraId="1B93F87E" w14:textId="14E7A4C8" w:rsidR="004E0684" w:rsidRPr="006F084A" w:rsidRDefault="004E0684" w:rsidP="004E0684">
      <w:pPr>
        <w:pStyle w:val="SingleTxtG"/>
      </w:pPr>
      <w:r w:rsidRPr="006F084A">
        <w:t>45.</w:t>
      </w:r>
      <w:r w:rsidR="008B075D">
        <w:tab/>
      </w:r>
      <w:r w:rsidRPr="006F084A">
        <w:t xml:space="preserve">De conformidad con la resolución conjunta de los </w:t>
      </w:r>
      <w:r w:rsidR="00656701" w:rsidRPr="006F084A">
        <w:t xml:space="preserve">Ministros </w:t>
      </w:r>
      <w:r w:rsidRPr="006F084A">
        <w:t xml:space="preserve">de Justicia y de Economía, Finanzas y Reforma Administrativa núm. 2787-19, que dispone la revisión de las cantidades abonadas por los abogados en concepto de costas, el monto que los letrados reciben por la prestación de asistencia jurídica </w:t>
      </w:r>
      <w:proofErr w:type="gramStart"/>
      <w:r w:rsidRPr="006F084A">
        <w:t>en relación a</w:t>
      </w:r>
      <w:proofErr w:type="gramEnd"/>
      <w:r w:rsidRPr="006F084A">
        <w:t xml:space="preserve"> los casos presentados ante el Tribunal de Casación ha pasado de 2.500 a 3.500 dírhams (en adelante, </w:t>
      </w:r>
      <w:proofErr w:type="spellStart"/>
      <w:r w:rsidRPr="006F084A">
        <w:t>DH</w:t>
      </w:r>
      <w:proofErr w:type="spellEnd"/>
      <w:r w:rsidRPr="006F084A">
        <w:t xml:space="preserve">). En los casos presentados ante los tribunales de apelación, dicha cantidad ha pasado de 2.000 a 3.000 </w:t>
      </w:r>
      <w:proofErr w:type="spellStart"/>
      <w:r w:rsidRPr="006F084A">
        <w:t>DH</w:t>
      </w:r>
      <w:proofErr w:type="spellEnd"/>
      <w:r w:rsidRPr="006F084A">
        <w:t xml:space="preserve">. En los casos presentados ante los tribunales de primera instancia, dicha cantidad ha pasado de 1.500 a 2.500 </w:t>
      </w:r>
      <w:proofErr w:type="spellStart"/>
      <w:r w:rsidRPr="006F084A">
        <w:t>DH</w:t>
      </w:r>
      <w:proofErr w:type="spellEnd"/>
      <w:r w:rsidRPr="006F084A">
        <w:t xml:space="preserve">. Los nuevos montos entraron en vigor el 1 de enero de 2020, tras la publicación en el </w:t>
      </w:r>
      <w:r w:rsidRPr="006F084A">
        <w:rPr>
          <w:i/>
          <w:iCs/>
        </w:rPr>
        <w:t>Boletín Oficial</w:t>
      </w:r>
      <w:r w:rsidRPr="006F084A">
        <w:t xml:space="preserve"> de la resolución por la que se incrementan</w:t>
      </w:r>
      <w:r w:rsidRPr="006F084A">
        <w:rPr>
          <w:rStyle w:val="Refdenotaalpie"/>
          <w:lang w:val="en-GB"/>
        </w:rPr>
        <w:footnoteReference w:id="17"/>
      </w:r>
      <w:r w:rsidRPr="006F084A">
        <w:t xml:space="preserve">. </w:t>
      </w:r>
    </w:p>
    <w:p w14:paraId="16B0B1BF" w14:textId="2C07BEEC" w:rsidR="004E0684" w:rsidRPr="006F084A" w:rsidRDefault="004E0684" w:rsidP="004E0684">
      <w:pPr>
        <w:pStyle w:val="SingleTxtG"/>
      </w:pPr>
      <w:r w:rsidRPr="006F084A">
        <w:t>46.</w:t>
      </w:r>
      <w:r w:rsidR="008B075D">
        <w:tab/>
      </w:r>
      <w:r w:rsidRPr="006F084A">
        <w:t xml:space="preserve">Las garantías adoptadas por la Constitución del Reino complementan la aplicación de las recomendaciones de la Comisión de Equidad y Reconciliación de 2004 que, como mecanismo nacional de justicia transicional, se encarga de resolver las graves violaciones de los derechos humanos cometidas en el pasado mediante la revelación de la verdad, la reparación del daño individual y colectivo y el establecimiento de garantías de no repetición. </w:t>
      </w:r>
    </w:p>
    <w:p w14:paraId="139FBA2A" w14:textId="2A1D7C46" w:rsidR="004E0684" w:rsidRPr="006F084A" w:rsidRDefault="004E0684" w:rsidP="004E0684">
      <w:pPr>
        <w:pStyle w:val="SingleTxtG"/>
      </w:pPr>
      <w:r w:rsidRPr="006F084A">
        <w:t>47.</w:t>
      </w:r>
      <w:r w:rsidR="008B075D">
        <w:tab/>
      </w:r>
      <w:r w:rsidRPr="006F084A">
        <w:t>El número de desapariciones forzadas o involuntarias tratadas por la Comisión de Equidad y Reconciliación y el Comité de Seguimiento fue de 805, lo que supera el número de solicitudes presentadas a la Comisión de Equidad y Reconciliación por las familias de las víctimas y por las ONG nacionales e internacionales. Estos casos se dividen de la siguiente manera:</w:t>
      </w:r>
    </w:p>
    <w:p w14:paraId="71B5A590" w14:textId="0883F76C" w:rsidR="004E0684" w:rsidRPr="006F084A" w:rsidRDefault="004E0684" w:rsidP="008B075D">
      <w:pPr>
        <w:pStyle w:val="Bullet1G"/>
      </w:pPr>
      <w:r w:rsidRPr="006F084A">
        <w:t>702 casos en los que la Comisión de Equidad y Reconciliación y el Comité de Seguimiento han aclarado plenamente la verdad de los hechos</w:t>
      </w:r>
      <w:r w:rsidR="00517B56">
        <w:t>.</w:t>
      </w:r>
      <w:r w:rsidRPr="006F084A">
        <w:t xml:space="preserve"> </w:t>
      </w:r>
    </w:p>
    <w:p w14:paraId="609D6A04" w14:textId="222A77D0" w:rsidR="004E0684" w:rsidRPr="006F084A" w:rsidRDefault="004E0684" w:rsidP="008B075D">
      <w:pPr>
        <w:pStyle w:val="Bullet1G"/>
      </w:pPr>
      <w:r w:rsidRPr="006F084A">
        <w:t>101 casos en los que, habiéndose aclarado la verdad, se queda a la espera de recibir los documentos legales necesarios para identificar a los titulares de derechos, por lo que cada uno de ellos, además de presentar la declaración de herederos, deberá aportar una fe de vida y una copia del documento nacional de identidad</w:t>
      </w:r>
      <w:r w:rsidR="00517B56">
        <w:t>.</w:t>
      </w:r>
    </w:p>
    <w:p w14:paraId="11F8FA17" w14:textId="202BA012" w:rsidR="004E0684" w:rsidRPr="006F084A" w:rsidRDefault="004E0684" w:rsidP="008B075D">
      <w:pPr>
        <w:pStyle w:val="Bullet1G"/>
      </w:pPr>
      <w:r w:rsidRPr="006F084A">
        <w:t>Dos casos en los que el Comité de Seguimiento consideró que las investigaciones llevadas a cabo al respecto no permitían establecer la implicación o la responsabilidad de un órgano estatal en la desaparición.</w:t>
      </w:r>
    </w:p>
    <w:p w14:paraId="179F07A5" w14:textId="65AB7247" w:rsidR="004E0684" w:rsidRPr="006F084A" w:rsidRDefault="004E0684" w:rsidP="004E0684">
      <w:pPr>
        <w:pStyle w:val="SingleTxtG"/>
      </w:pPr>
      <w:r w:rsidRPr="006F084A">
        <w:t>48.</w:t>
      </w:r>
      <w:r w:rsidR="008B075D">
        <w:tab/>
      </w:r>
      <w:r w:rsidRPr="006F084A">
        <w:t xml:space="preserve">Desde la creación de la Comisión de Equidad y Reconciliación, y en coordinación con las </w:t>
      </w:r>
      <w:proofErr w:type="gramStart"/>
      <w:r w:rsidRPr="006F084A">
        <w:t>autoridades públicas</w:t>
      </w:r>
      <w:proofErr w:type="gramEnd"/>
      <w:r w:rsidRPr="006F084A">
        <w:t xml:space="preserve">, el Consejo Nacional de Derechos Humanos ha continuado cooperando con el Comité Internacional de la Cruz Roja (CICR) para proporcionar las respuestas y documentos necesarios en relación a las desapariciones vinculadas al conflicto armado en las regiones meridionales, que se remiten a las autoridades marroquíes. Esto es así teniendo en cuenta que, en virtud de los Estatutos del Movimiento Internacional de la Cruz Roja y de los Convenios de Ginebra de 1949 y sus </w:t>
      </w:r>
      <w:r w:rsidR="00656701" w:rsidRPr="006F084A">
        <w:t>Protocolos Adicionales</w:t>
      </w:r>
      <w:r w:rsidRPr="006F084A">
        <w:t xml:space="preserve">, es el CICR quien da seguimiento a los expedientes de marroquíes desaparecidos en territorio marroquí y argelino. </w:t>
      </w:r>
    </w:p>
    <w:p w14:paraId="4AF4FCC3" w14:textId="087D01D4" w:rsidR="004E0684" w:rsidRPr="006F084A" w:rsidRDefault="004E0684" w:rsidP="004E0684">
      <w:pPr>
        <w:pStyle w:val="SingleTxtG"/>
      </w:pPr>
      <w:r w:rsidRPr="006F084A">
        <w:t>49.</w:t>
      </w:r>
      <w:r w:rsidR="008B075D">
        <w:tab/>
      </w:r>
      <w:r w:rsidRPr="006F084A">
        <w:t>En este contexto, el Consejo Nacional celebró 23 reuniones con el CICR en su sede de Rabat y una reunión en la ciudad de El Aaiún, durante las que se examinaron 427 casos de desapariciones relacionadas con el conflicto armado en las regiones meridionales que el CICR había remitido a las autoridades marroquíes, y de cuyo examen se concluyó lo siguiente:</w:t>
      </w:r>
    </w:p>
    <w:p w14:paraId="3391AB0B" w14:textId="1E06655C" w:rsidR="004E0684" w:rsidRPr="006F084A" w:rsidRDefault="004E0684" w:rsidP="008B075D">
      <w:pPr>
        <w:pStyle w:val="Bullet1G"/>
        <w:rPr>
          <w:rFonts w:eastAsia="Calibri"/>
        </w:rPr>
      </w:pPr>
      <w:r w:rsidRPr="006F084A">
        <w:lastRenderedPageBreak/>
        <w:t>La eliminación de 13 casos repetidos</w:t>
      </w:r>
    </w:p>
    <w:p w14:paraId="765B958B" w14:textId="766B4A84" w:rsidR="004E0684" w:rsidRPr="006F084A" w:rsidRDefault="004E0684" w:rsidP="008B075D">
      <w:pPr>
        <w:pStyle w:val="Bullet1G"/>
        <w:rPr>
          <w:rFonts w:eastAsia="Calibri"/>
        </w:rPr>
      </w:pPr>
      <w:r w:rsidRPr="006F084A">
        <w:t>Cuatro casos en los que se consideró que los desaparecidos seguían con vida</w:t>
      </w:r>
    </w:p>
    <w:p w14:paraId="3284D974" w14:textId="0D16B0D4" w:rsidR="004E0684" w:rsidRPr="006F084A" w:rsidRDefault="004E0684" w:rsidP="008B075D">
      <w:pPr>
        <w:pStyle w:val="Bullet1G"/>
        <w:rPr>
          <w:rFonts w:eastAsia="Calibri"/>
        </w:rPr>
      </w:pPr>
      <w:r w:rsidRPr="006F084A">
        <w:t>121 casos de civiles fallecidos durante su detención</w:t>
      </w:r>
    </w:p>
    <w:p w14:paraId="2D96F69B" w14:textId="3A8A66B2" w:rsidR="004E0684" w:rsidRPr="006F084A" w:rsidRDefault="004E0684" w:rsidP="008B075D">
      <w:pPr>
        <w:pStyle w:val="Bullet1G"/>
        <w:rPr>
          <w:rFonts w:eastAsia="Calibri"/>
        </w:rPr>
      </w:pPr>
      <w:r w:rsidRPr="006F084A">
        <w:t>123 casos de soldados fallecidos durante enfrentamientos armados</w:t>
      </w:r>
    </w:p>
    <w:p w14:paraId="137F6C62" w14:textId="1B0A1EB6" w:rsidR="004E0684" w:rsidRPr="006F084A" w:rsidRDefault="004E0684" w:rsidP="008B075D">
      <w:pPr>
        <w:pStyle w:val="Bullet1G"/>
        <w:rPr>
          <w:rFonts w:eastAsia="Calibri"/>
        </w:rPr>
      </w:pPr>
      <w:r w:rsidRPr="006F084A">
        <w:rPr>
          <w:rFonts w:ascii="Symbol" w:hAnsi="Symbol"/>
        </w:rPr>
        <w:tab/>
      </w:r>
      <w:r w:rsidRPr="006F084A">
        <w:t>165 casos en los que la fuente no proporcionó datos suficientes para investigar con mayor profundidad la identidad de los desaparecidos</w:t>
      </w:r>
    </w:p>
    <w:p w14:paraId="1A6D9770" w14:textId="644FA008" w:rsidR="004E0684" w:rsidRPr="006F084A" w:rsidRDefault="004E0684" w:rsidP="004E0684">
      <w:pPr>
        <w:pStyle w:val="SingleTxtG"/>
        <w:rPr>
          <w:rFonts w:eastAsia="Calibri"/>
        </w:rPr>
      </w:pPr>
      <w:r w:rsidRPr="006F084A">
        <w:t>50.</w:t>
      </w:r>
      <w:r w:rsidR="008B075D">
        <w:tab/>
      </w:r>
      <w:r w:rsidRPr="006F084A">
        <w:t xml:space="preserve">El número total de beneficiarios que recibieron una indemnización de acuerdo con las decisiones de la Comisión de Equidad y Reconciliación fue de 19.983, con una dotación económica total de 969.778.728,80 </w:t>
      </w:r>
      <w:proofErr w:type="spellStart"/>
      <w:r w:rsidRPr="006F084A">
        <w:t>DH</w:t>
      </w:r>
      <w:proofErr w:type="spellEnd"/>
      <w:r w:rsidRPr="006F084A">
        <w:t>. Por otro lado, el número total de beneficiarios que habían recibido anteriormente una indemnización de acuerdo con las decisiones de la Comisión Independiente de Arbitraje e Indemnización de las Víctimas de Desapariciones Forzadas y Detención Arbitraria fue de 7.780, con una dotación económica total de 960</w:t>
      </w:r>
      <w:r w:rsidR="00656701">
        <w:t> </w:t>
      </w:r>
      <w:r w:rsidRPr="006F084A">
        <w:t xml:space="preserve">millones de </w:t>
      </w:r>
      <w:proofErr w:type="spellStart"/>
      <w:r w:rsidRPr="006F084A">
        <w:t>DH</w:t>
      </w:r>
      <w:proofErr w:type="spellEnd"/>
      <w:r w:rsidRPr="006F084A">
        <w:t xml:space="preserve">. Por lo tanto, el número total de víctimas de violaciones graves de los derechos humanos en el pasado y de derechohabientes que han recibido una indemnización asciende a 27.763, con una dotación económica total de 1.929.778.728,80 </w:t>
      </w:r>
      <w:proofErr w:type="spellStart"/>
      <w:r w:rsidRPr="006F084A">
        <w:t>DH</w:t>
      </w:r>
      <w:proofErr w:type="spellEnd"/>
      <w:r w:rsidRPr="006F084A">
        <w:t>.</w:t>
      </w:r>
    </w:p>
    <w:p w14:paraId="79576120" w14:textId="7134A71B" w:rsidR="004E0684" w:rsidRPr="006F084A" w:rsidRDefault="004E0684" w:rsidP="004E0684">
      <w:pPr>
        <w:pStyle w:val="SingleTxtG"/>
        <w:rPr>
          <w:rFonts w:eastAsia="Calibri"/>
        </w:rPr>
      </w:pPr>
      <w:r w:rsidRPr="006F084A">
        <w:t>51.</w:t>
      </w:r>
      <w:r w:rsidR="008B075D">
        <w:tab/>
        <w:t>C</w:t>
      </w:r>
      <w:r w:rsidRPr="006F084A">
        <w:t>omo continuación de estos esfuerzos, en 2019, el Consejo Nacional indemnizó a 624</w:t>
      </w:r>
      <w:r w:rsidR="00656701">
        <w:t> </w:t>
      </w:r>
      <w:r w:rsidRPr="006F084A">
        <w:t>víctimas y derechohabientes, incluidas 80 víctimas civiles secuestradas por miembros del Frente Polisario.</w:t>
      </w:r>
    </w:p>
    <w:p w14:paraId="283606BB" w14:textId="6678532E" w:rsidR="004E0684" w:rsidRPr="006F084A" w:rsidRDefault="004E0684" w:rsidP="004E0684">
      <w:pPr>
        <w:pStyle w:val="SingleTxtG"/>
        <w:rPr>
          <w:rFonts w:eastAsia="Calibri"/>
          <w:b/>
          <w:bCs/>
        </w:rPr>
      </w:pPr>
      <w:r w:rsidRPr="006F084A">
        <w:t>52.</w:t>
      </w:r>
      <w:r w:rsidR="008B075D">
        <w:tab/>
      </w:r>
      <w:r w:rsidRPr="006F084A">
        <w:t xml:space="preserve">En cuanto a la preservación de la memoria, el Consejo Nacional continúa su labor en materia de creación de espacios de preservación de la memoria en las zonas objeto de las recomendaciones de la Comisión de Equidad y Reconciliación, mediante la organización de diversos encuentros y reuniones con los responsables pertinentes con el fin de acelerar la ejecución de los proyectos propuestos sobre la cuestión. </w:t>
      </w:r>
    </w:p>
    <w:p w14:paraId="3BAD0262" w14:textId="394835F7" w:rsidR="004E0684" w:rsidRPr="006F084A" w:rsidRDefault="008B075D" w:rsidP="008B075D">
      <w:pPr>
        <w:pStyle w:val="HChG"/>
        <w:rPr>
          <w:rFonts w:eastAsia="Calibri"/>
        </w:rPr>
      </w:pPr>
      <w:r>
        <w:tab/>
      </w:r>
      <w:r w:rsidR="004E0684" w:rsidRPr="006F084A">
        <w:t>II.</w:t>
      </w:r>
      <w:r>
        <w:tab/>
        <w:t>M</w:t>
      </w:r>
      <w:r w:rsidR="004E0684" w:rsidRPr="006F084A">
        <w:t>arco general de protección y promoción de los derechos</w:t>
      </w:r>
      <w:r>
        <w:t> </w:t>
      </w:r>
      <w:r w:rsidR="004E0684" w:rsidRPr="006F084A">
        <w:t>humanos</w:t>
      </w:r>
      <w:bookmarkStart w:id="3" w:name="_Toc64366038"/>
      <w:bookmarkEnd w:id="3"/>
    </w:p>
    <w:p w14:paraId="77414A42" w14:textId="4EC18F38" w:rsidR="004E0684" w:rsidRPr="006F084A" w:rsidRDefault="008B075D" w:rsidP="008B075D">
      <w:pPr>
        <w:pStyle w:val="H1G"/>
        <w:rPr>
          <w:rFonts w:eastAsia="Calibri"/>
        </w:rPr>
      </w:pPr>
      <w:r>
        <w:tab/>
      </w:r>
      <w:r w:rsidR="004E0684" w:rsidRPr="006F084A">
        <w:t>A.</w:t>
      </w:r>
      <w:r>
        <w:tab/>
      </w:r>
      <w:r w:rsidR="004E0684" w:rsidRPr="006F084A">
        <w:t>Aceptación de las normas internacionales de derechos humanos</w:t>
      </w:r>
      <w:bookmarkStart w:id="4" w:name="_Toc64366039"/>
      <w:bookmarkEnd w:id="4"/>
    </w:p>
    <w:p w14:paraId="1ECAABF5" w14:textId="0868D448" w:rsidR="004E0684" w:rsidRPr="006F084A" w:rsidRDefault="004E0684" w:rsidP="004E0684">
      <w:pPr>
        <w:pStyle w:val="SingleTxtG"/>
        <w:rPr>
          <w:rFonts w:eastAsia="Calibri"/>
        </w:rPr>
      </w:pPr>
      <w:r w:rsidRPr="006F084A">
        <w:t>53.</w:t>
      </w:r>
      <w:r w:rsidR="008B075D">
        <w:tab/>
      </w:r>
      <w:r w:rsidRPr="006F084A">
        <w:t>Desde su independencia en 1956, Marruecos ha contribuido activamente al proceso de desarrollo del derecho internacional de los derechos humanos y el derecho internacional humanitario, y ello mediante la elaboración de determinados convenios y protocolos y la firma, ratificación y adhesión a los convenios internacionales de derechos humanos y sus protocolos. El Reino también ha cumplido con los compromisos internacionales derivados de dichos convenios y protocolos, ya sea adaptando la legislación nacional a las normas internacionales, presentando informes a los órganos creados en virtud de tratados o abordando sus recomendaciones y dándoles respuesta. Asimismo, desde 1992, la Constitución Nacional ha ratificado su adhesión a los derechos humanos reconocidos universalmente. Esta tendencia, que se reforzó en la Constitución de 2011, que es un documento clave que garantiza una protección integral e integrada de los derechos humanos y el derecho internacional humanitario de conformidad con las normas internacionales, confirma que Marruecos ha estado trabajando para alinear su sistema constitucional y jurídico con los derechos humanos internacionales y las normas democráticas, en lo que constituye la culminación de su participación en el sistema internacional de los derechos humanos y del derecho internacional humanitario.</w:t>
      </w:r>
    </w:p>
    <w:p w14:paraId="603391B8" w14:textId="1730BA35" w:rsidR="004E0684" w:rsidRPr="006F084A" w:rsidRDefault="004E0684" w:rsidP="004E0684">
      <w:pPr>
        <w:pStyle w:val="SingleTxtG"/>
        <w:rPr>
          <w:rFonts w:eastAsia="Calibri"/>
        </w:rPr>
      </w:pPr>
      <w:r w:rsidRPr="006F084A">
        <w:t>54.</w:t>
      </w:r>
      <w:r w:rsidR="008B075D">
        <w:tab/>
      </w:r>
      <w:r w:rsidRPr="006F084A">
        <w:t>A este respecto, hay que recordar que Marruecos ha ratificado o se ha adherido a la mayoría de los instrumentos internacionales en este ámbito, como se indica en el siguiente cuadro</w:t>
      </w:r>
      <w:r w:rsidR="007D4AFD">
        <w:t>.</w:t>
      </w:r>
      <w:r w:rsidRPr="006F084A">
        <w:t xml:space="preserve"> </w:t>
      </w:r>
    </w:p>
    <w:p w14:paraId="356A3721" w14:textId="312077F5" w:rsidR="004E0684" w:rsidRPr="00D51553" w:rsidRDefault="004E0684" w:rsidP="00656701">
      <w:pPr>
        <w:pStyle w:val="Bullet1G"/>
        <w:keepNext/>
        <w:keepLines/>
        <w:spacing w:before="240" w:line="240" w:lineRule="exact"/>
        <w:ind w:left="1134"/>
        <w:jc w:val="left"/>
        <w:rPr>
          <w:b/>
          <w:bCs/>
        </w:rPr>
      </w:pPr>
      <w:r w:rsidRPr="00D51553">
        <w:rPr>
          <w:b/>
          <w:bCs/>
        </w:rPr>
        <w:lastRenderedPageBreak/>
        <w:t xml:space="preserve">Convenios fundamentales de derechos humanos y sus protocolos anexos </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5130"/>
        <w:gridCol w:w="2240"/>
      </w:tblGrid>
      <w:tr w:rsidR="004E0684" w:rsidRPr="004E2640" w14:paraId="34B493B5" w14:textId="77777777" w:rsidTr="004E2640">
        <w:trPr>
          <w:trHeight w:val="240"/>
          <w:tblHeader/>
        </w:trPr>
        <w:tc>
          <w:tcPr>
            <w:tcW w:w="6075" w:type="dxa"/>
            <w:tcBorders>
              <w:top w:val="single" w:sz="4" w:space="0" w:color="auto"/>
              <w:bottom w:val="single" w:sz="12" w:space="0" w:color="auto"/>
            </w:tcBorders>
            <w:shd w:val="clear" w:color="auto" w:fill="auto"/>
            <w:vAlign w:val="bottom"/>
          </w:tcPr>
          <w:p w14:paraId="46D1CD6C" w14:textId="77777777" w:rsidR="004E0684" w:rsidRPr="004E2640" w:rsidRDefault="004E0684" w:rsidP="00656701">
            <w:pPr>
              <w:pStyle w:val="SingleTxtG"/>
              <w:keepNext/>
              <w:keepLines/>
              <w:tabs>
                <w:tab w:val="clear" w:pos="1701"/>
                <w:tab w:val="clear" w:pos="2268"/>
                <w:tab w:val="clear" w:pos="2835"/>
              </w:tabs>
              <w:spacing w:before="80" w:after="80" w:line="200" w:lineRule="exact"/>
              <w:ind w:left="0" w:right="0"/>
              <w:jc w:val="left"/>
              <w:rPr>
                <w:rFonts w:eastAsia="Calibri"/>
                <w:bCs/>
                <w:i/>
                <w:sz w:val="16"/>
                <w:lang w:val="es-ES_tradnl"/>
              </w:rPr>
            </w:pPr>
            <w:r w:rsidRPr="004E2640">
              <w:rPr>
                <w:bCs/>
                <w:i/>
                <w:sz w:val="16"/>
                <w:lang w:val="es-ES_tradnl"/>
              </w:rPr>
              <w:t>Instrumentos internacionales</w:t>
            </w:r>
          </w:p>
        </w:tc>
        <w:tc>
          <w:tcPr>
            <w:tcW w:w="2429" w:type="dxa"/>
            <w:tcBorders>
              <w:top w:val="single" w:sz="4" w:space="0" w:color="auto"/>
              <w:bottom w:val="single" w:sz="12" w:space="0" w:color="auto"/>
            </w:tcBorders>
            <w:shd w:val="clear" w:color="auto" w:fill="auto"/>
            <w:vAlign w:val="bottom"/>
          </w:tcPr>
          <w:p w14:paraId="79C2794E" w14:textId="041FF3D6" w:rsidR="004E0684" w:rsidRPr="004E2640" w:rsidRDefault="004E0684" w:rsidP="00656701">
            <w:pPr>
              <w:pStyle w:val="SingleTxtG"/>
              <w:keepNext/>
              <w:keepLines/>
              <w:tabs>
                <w:tab w:val="clear" w:pos="1701"/>
                <w:tab w:val="clear" w:pos="2268"/>
                <w:tab w:val="clear" w:pos="2835"/>
              </w:tabs>
              <w:spacing w:before="80" w:after="80" w:line="200" w:lineRule="exact"/>
              <w:ind w:left="0" w:right="0"/>
              <w:jc w:val="left"/>
              <w:rPr>
                <w:rFonts w:eastAsia="Calibri"/>
                <w:bCs/>
                <w:i/>
                <w:sz w:val="16"/>
                <w:lang w:val="es-ES_tradnl"/>
              </w:rPr>
            </w:pPr>
            <w:r w:rsidRPr="004E2640">
              <w:rPr>
                <w:bCs/>
                <w:i/>
                <w:sz w:val="16"/>
                <w:lang w:val="es-ES_tradnl"/>
              </w:rPr>
              <w:t>Fecha de ratificación</w:t>
            </w:r>
            <w:r w:rsidR="00656701">
              <w:rPr>
                <w:bCs/>
                <w:i/>
                <w:sz w:val="16"/>
                <w:lang w:val="es-ES_tradnl"/>
              </w:rPr>
              <w:t>/</w:t>
            </w:r>
            <w:r w:rsidRPr="004E2640">
              <w:rPr>
                <w:bCs/>
                <w:i/>
                <w:sz w:val="16"/>
                <w:lang w:val="es-ES_tradnl"/>
              </w:rPr>
              <w:t>adhesión</w:t>
            </w:r>
          </w:p>
        </w:tc>
      </w:tr>
      <w:tr w:rsidR="004E0684" w:rsidRPr="004E2640" w14:paraId="451A20ED" w14:textId="77777777" w:rsidTr="004E2640">
        <w:trPr>
          <w:trHeight w:hRule="exact" w:val="113"/>
        </w:trPr>
        <w:tc>
          <w:tcPr>
            <w:tcW w:w="6075" w:type="dxa"/>
            <w:tcBorders>
              <w:top w:val="single" w:sz="12" w:space="0" w:color="auto"/>
            </w:tcBorders>
            <w:shd w:val="clear" w:color="auto" w:fill="auto"/>
          </w:tcPr>
          <w:p w14:paraId="0E934FAA" w14:textId="1638B689" w:rsidR="004E0684" w:rsidRPr="004E2640" w:rsidRDefault="004E0684" w:rsidP="00656701">
            <w:pPr>
              <w:pStyle w:val="SingleTxtG"/>
              <w:keepNext/>
              <w:keepLines/>
              <w:tabs>
                <w:tab w:val="clear" w:pos="1701"/>
                <w:tab w:val="clear" w:pos="2268"/>
                <w:tab w:val="clear" w:pos="2835"/>
              </w:tabs>
              <w:spacing w:before="40"/>
              <w:ind w:left="0" w:right="0"/>
              <w:jc w:val="left"/>
              <w:rPr>
                <w:rFonts w:eastAsia="Calibri"/>
              </w:rPr>
            </w:pPr>
          </w:p>
        </w:tc>
        <w:tc>
          <w:tcPr>
            <w:tcW w:w="2429" w:type="dxa"/>
            <w:tcBorders>
              <w:top w:val="single" w:sz="12" w:space="0" w:color="auto"/>
            </w:tcBorders>
            <w:shd w:val="clear" w:color="auto" w:fill="auto"/>
          </w:tcPr>
          <w:p w14:paraId="4463D61E" w14:textId="3230D3C3" w:rsidR="004E0684" w:rsidRPr="004E2640" w:rsidRDefault="004E0684" w:rsidP="00656701">
            <w:pPr>
              <w:pStyle w:val="SingleTxtG"/>
              <w:keepNext/>
              <w:keepLines/>
              <w:tabs>
                <w:tab w:val="clear" w:pos="1701"/>
                <w:tab w:val="clear" w:pos="2268"/>
                <w:tab w:val="clear" w:pos="2835"/>
              </w:tabs>
              <w:spacing w:before="40"/>
              <w:ind w:left="0" w:right="0"/>
              <w:jc w:val="left"/>
              <w:rPr>
                <w:rFonts w:eastAsia="Calibri"/>
                <w:lang w:val="es-ES_tradnl"/>
              </w:rPr>
            </w:pPr>
          </w:p>
        </w:tc>
      </w:tr>
      <w:tr w:rsidR="004F510C" w:rsidRPr="004E2640" w14:paraId="6DF71121" w14:textId="77777777" w:rsidTr="004E2640">
        <w:trPr>
          <w:trHeight w:val="240"/>
        </w:trPr>
        <w:tc>
          <w:tcPr>
            <w:tcW w:w="6075" w:type="dxa"/>
            <w:shd w:val="clear" w:color="auto" w:fill="auto"/>
          </w:tcPr>
          <w:p w14:paraId="081C7113" w14:textId="3F55DA8D" w:rsidR="004F510C" w:rsidRPr="004E2640" w:rsidRDefault="004F510C" w:rsidP="00656701">
            <w:pPr>
              <w:pStyle w:val="SingleTxtG"/>
              <w:keepNext/>
              <w:keepLines/>
              <w:tabs>
                <w:tab w:val="clear" w:pos="1701"/>
                <w:tab w:val="clear" w:pos="2268"/>
                <w:tab w:val="clear" w:pos="2835"/>
              </w:tabs>
              <w:spacing w:before="40"/>
              <w:ind w:left="0" w:right="0"/>
              <w:jc w:val="left"/>
            </w:pPr>
            <w:r w:rsidRPr="004E2640">
              <w:t xml:space="preserve">Convención Internacional sobre la Eliminación de </w:t>
            </w:r>
            <w:r w:rsidR="00656701" w:rsidRPr="004E2640">
              <w:t xml:space="preserve">Todas </w:t>
            </w:r>
            <w:r w:rsidRPr="004E2640">
              <w:t>las Formas de Discriminación Racial</w:t>
            </w:r>
          </w:p>
        </w:tc>
        <w:tc>
          <w:tcPr>
            <w:tcW w:w="2429" w:type="dxa"/>
            <w:shd w:val="clear" w:color="auto" w:fill="auto"/>
          </w:tcPr>
          <w:p w14:paraId="462AAB36" w14:textId="5DF0CFF6" w:rsidR="004F510C" w:rsidRPr="004E2640" w:rsidRDefault="004F510C" w:rsidP="00656701">
            <w:pPr>
              <w:pStyle w:val="SingleTxtG"/>
              <w:keepNext/>
              <w:keepLines/>
              <w:tabs>
                <w:tab w:val="clear" w:pos="1701"/>
                <w:tab w:val="clear" w:pos="2268"/>
                <w:tab w:val="clear" w:pos="2835"/>
              </w:tabs>
              <w:spacing w:before="40"/>
              <w:ind w:left="0" w:right="0"/>
              <w:jc w:val="left"/>
              <w:rPr>
                <w:lang w:val="es-ES_tradnl"/>
              </w:rPr>
            </w:pPr>
            <w:r w:rsidRPr="004E2640">
              <w:rPr>
                <w:lang w:val="es-ES_tradnl"/>
              </w:rPr>
              <w:t>18 de diciembre de 1970</w:t>
            </w:r>
          </w:p>
        </w:tc>
      </w:tr>
      <w:tr w:rsidR="004F510C" w:rsidRPr="004E2640" w14:paraId="6BC4F0DE" w14:textId="77777777" w:rsidTr="004E2640">
        <w:trPr>
          <w:trHeight w:val="240"/>
        </w:trPr>
        <w:tc>
          <w:tcPr>
            <w:tcW w:w="6075" w:type="dxa"/>
            <w:shd w:val="clear" w:color="auto" w:fill="auto"/>
          </w:tcPr>
          <w:p w14:paraId="166E10BF" w14:textId="77777777" w:rsidR="004F510C" w:rsidRPr="004E2640" w:rsidRDefault="004F510C" w:rsidP="004E2640">
            <w:pPr>
              <w:pStyle w:val="SingleTxtG"/>
              <w:tabs>
                <w:tab w:val="clear" w:pos="1701"/>
                <w:tab w:val="clear" w:pos="2268"/>
                <w:tab w:val="clear" w:pos="2835"/>
              </w:tabs>
              <w:spacing w:before="40"/>
              <w:ind w:left="0" w:right="0"/>
              <w:jc w:val="left"/>
              <w:rPr>
                <w:rFonts w:eastAsia="Calibri"/>
              </w:rPr>
            </w:pPr>
            <w:r w:rsidRPr="004E2640">
              <w:t xml:space="preserve">Pacto Internacional de Derechos Económicos, Sociales y Culturales </w:t>
            </w:r>
          </w:p>
        </w:tc>
        <w:tc>
          <w:tcPr>
            <w:tcW w:w="2429" w:type="dxa"/>
            <w:shd w:val="clear" w:color="auto" w:fill="auto"/>
          </w:tcPr>
          <w:p w14:paraId="17853167" w14:textId="77777777" w:rsidR="004F510C" w:rsidRPr="004E2640" w:rsidRDefault="004F510C" w:rsidP="004E2640">
            <w:pPr>
              <w:pStyle w:val="SingleTxtG"/>
              <w:tabs>
                <w:tab w:val="clear" w:pos="1701"/>
                <w:tab w:val="clear" w:pos="2268"/>
                <w:tab w:val="clear" w:pos="2835"/>
              </w:tabs>
              <w:spacing w:before="40"/>
              <w:ind w:left="0" w:right="0"/>
              <w:jc w:val="left"/>
              <w:rPr>
                <w:rFonts w:eastAsia="Calibri"/>
                <w:lang w:val="es-ES_tradnl"/>
              </w:rPr>
            </w:pPr>
            <w:r w:rsidRPr="004E2640">
              <w:rPr>
                <w:lang w:val="es-ES_tradnl"/>
              </w:rPr>
              <w:t>3 de mayo de 1979</w:t>
            </w:r>
          </w:p>
        </w:tc>
      </w:tr>
      <w:tr w:rsidR="004F510C" w:rsidRPr="004E2640" w14:paraId="6D12C5A7" w14:textId="77777777" w:rsidTr="004E2640">
        <w:trPr>
          <w:trHeight w:val="240"/>
        </w:trPr>
        <w:tc>
          <w:tcPr>
            <w:tcW w:w="6075" w:type="dxa"/>
            <w:shd w:val="clear" w:color="auto" w:fill="auto"/>
          </w:tcPr>
          <w:p w14:paraId="7D59542E" w14:textId="77777777" w:rsidR="004F510C" w:rsidRPr="004E2640" w:rsidRDefault="004F510C" w:rsidP="004E2640">
            <w:pPr>
              <w:pStyle w:val="SingleTxtG"/>
              <w:tabs>
                <w:tab w:val="clear" w:pos="1701"/>
                <w:tab w:val="clear" w:pos="2268"/>
                <w:tab w:val="clear" w:pos="2835"/>
              </w:tabs>
              <w:spacing w:before="40"/>
              <w:ind w:left="0" w:right="0"/>
              <w:jc w:val="left"/>
              <w:rPr>
                <w:rFonts w:eastAsia="Calibri"/>
              </w:rPr>
            </w:pPr>
            <w:r w:rsidRPr="004E2640">
              <w:t xml:space="preserve">Pacto Internacional de Derechos Civiles y Políticos </w:t>
            </w:r>
          </w:p>
        </w:tc>
        <w:tc>
          <w:tcPr>
            <w:tcW w:w="2429" w:type="dxa"/>
            <w:shd w:val="clear" w:color="auto" w:fill="auto"/>
          </w:tcPr>
          <w:p w14:paraId="66FF5953" w14:textId="77777777" w:rsidR="004F510C" w:rsidRPr="004E2640" w:rsidRDefault="004F510C" w:rsidP="004E2640">
            <w:pPr>
              <w:pStyle w:val="SingleTxtG"/>
              <w:tabs>
                <w:tab w:val="clear" w:pos="1701"/>
                <w:tab w:val="clear" w:pos="2268"/>
                <w:tab w:val="clear" w:pos="2835"/>
              </w:tabs>
              <w:spacing w:before="40"/>
              <w:ind w:left="0" w:right="0"/>
              <w:jc w:val="left"/>
              <w:rPr>
                <w:rFonts w:eastAsia="Calibri"/>
                <w:lang w:val="es-ES_tradnl"/>
              </w:rPr>
            </w:pPr>
            <w:r w:rsidRPr="004E2640">
              <w:rPr>
                <w:lang w:val="es-ES_tradnl"/>
              </w:rPr>
              <w:t>3 de mayo de 1979</w:t>
            </w:r>
          </w:p>
        </w:tc>
      </w:tr>
      <w:tr w:rsidR="004F510C" w:rsidRPr="004E2640" w14:paraId="1CF22EEF" w14:textId="77777777" w:rsidTr="004E2640">
        <w:trPr>
          <w:trHeight w:val="240"/>
        </w:trPr>
        <w:tc>
          <w:tcPr>
            <w:tcW w:w="6075" w:type="dxa"/>
            <w:shd w:val="clear" w:color="auto" w:fill="auto"/>
          </w:tcPr>
          <w:p w14:paraId="04358538" w14:textId="77777777" w:rsidR="004F510C" w:rsidRPr="004E2640" w:rsidRDefault="004F510C" w:rsidP="004E2640">
            <w:pPr>
              <w:pStyle w:val="SingleTxtG"/>
              <w:tabs>
                <w:tab w:val="clear" w:pos="1701"/>
                <w:tab w:val="clear" w:pos="2268"/>
                <w:tab w:val="clear" w:pos="2835"/>
              </w:tabs>
              <w:spacing w:before="40"/>
              <w:ind w:left="0" w:right="0"/>
              <w:jc w:val="left"/>
              <w:rPr>
                <w:rFonts w:eastAsia="Calibri"/>
              </w:rPr>
            </w:pPr>
            <w:r w:rsidRPr="004E2640">
              <w:t>Convención contra la Tortura y Otros Tratos o Penas Crueles, Inhumanos o Degradantes</w:t>
            </w:r>
          </w:p>
        </w:tc>
        <w:tc>
          <w:tcPr>
            <w:tcW w:w="2429" w:type="dxa"/>
            <w:shd w:val="clear" w:color="auto" w:fill="auto"/>
          </w:tcPr>
          <w:p w14:paraId="1444580A" w14:textId="77777777" w:rsidR="004F510C" w:rsidRPr="004E2640" w:rsidRDefault="004F510C" w:rsidP="004E2640">
            <w:pPr>
              <w:pStyle w:val="SingleTxtG"/>
              <w:tabs>
                <w:tab w:val="clear" w:pos="1701"/>
                <w:tab w:val="clear" w:pos="2268"/>
                <w:tab w:val="clear" w:pos="2835"/>
              </w:tabs>
              <w:spacing w:before="40"/>
              <w:ind w:left="0" w:right="0"/>
              <w:jc w:val="left"/>
              <w:rPr>
                <w:rFonts w:eastAsia="Calibri"/>
                <w:lang w:val="es-ES_tradnl"/>
              </w:rPr>
            </w:pPr>
            <w:r w:rsidRPr="004E2640">
              <w:rPr>
                <w:lang w:val="es-ES_tradnl"/>
              </w:rPr>
              <w:t>21 de junio de 1993</w:t>
            </w:r>
          </w:p>
        </w:tc>
      </w:tr>
      <w:tr w:rsidR="004F510C" w:rsidRPr="004E2640" w14:paraId="18DDED7E" w14:textId="77777777" w:rsidTr="004E2640">
        <w:trPr>
          <w:trHeight w:val="240"/>
        </w:trPr>
        <w:tc>
          <w:tcPr>
            <w:tcW w:w="6075" w:type="dxa"/>
            <w:shd w:val="clear" w:color="auto" w:fill="auto"/>
          </w:tcPr>
          <w:p w14:paraId="11FF3C40" w14:textId="77777777" w:rsidR="004F510C" w:rsidRPr="004E2640" w:rsidRDefault="004F510C" w:rsidP="004E2640">
            <w:pPr>
              <w:pStyle w:val="SingleTxtG"/>
              <w:tabs>
                <w:tab w:val="clear" w:pos="1701"/>
                <w:tab w:val="clear" w:pos="2268"/>
                <w:tab w:val="clear" w:pos="2835"/>
              </w:tabs>
              <w:spacing w:before="40"/>
              <w:ind w:left="0" w:right="0"/>
              <w:jc w:val="left"/>
              <w:rPr>
                <w:rFonts w:eastAsia="Calibri"/>
              </w:rPr>
            </w:pPr>
            <w:r w:rsidRPr="004E2640">
              <w:t>Convención sobre los Derechos del Niño</w:t>
            </w:r>
          </w:p>
        </w:tc>
        <w:tc>
          <w:tcPr>
            <w:tcW w:w="2429" w:type="dxa"/>
            <w:shd w:val="clear" w:color="auto" w:fill="auto"/>
          </w:tcPr>
          <w:p w14:paraId="07B72A49" w14:textId="77777777" w:rsidR="004F510C" w:rsidRPr="004E2640" w:rsidRDefault="004F510C" w:rsidP="004E2640">
            <w:pPr>
              <w:pStyle w:val="SingleTxtG"/>
              <w:tabs>
                <w:tab w:val="clear" w:pos="1701"/>
                <w:tab w:val="clear" w:pos="2268"/>
                <w:tab w:val="clear" w:pos="2835"/>
              </w:tabs>
              <w:spacing w:before="40"/>
              <w:ind w:left="0" w:right="0"/>
              <w:jc w:val="left"/>
              <w:rPr>
                <w:rFonts w:eastAsia="Calibri"/>
                <w:lang w:val="es-ES_tradnl"/>
              </w:rPr>
            </w:pPr>
            <w:r w:rsidRPr="004E2640">
              <w:rPr>
                <w:lang w:val="es-ES_tradnl"/>
              </w:rPr>
              <w:t>21 de junio de 1993</w:t>
            </w:r>
          </w:p>
        </w:tc>
      </w:tr>
      <w:tr w:rsidR="004F510C" w:rsidRPr="004E2640" w14:paraId="7D2E45DB" w14:textId="77777777" w:rsidTr="004E2640">
        <w:trPr>
          <w:trHeight w:val="240"/>
        </w:trPr>
        <w:tc>
          <w:tcPr>
            <w:tcW w:w="6075" w:type="dxa"/>
            <w:shd w:val="clear" w:color="auto" w:fill="auto"/>
          </w:tcPr>
          <w:p w14:paraId="14ECAC61" w14:textId="44768B50" w:rsidR="004F510C" w:rsidRPr="004E2640" w:rsidRDefault="004F510C" w:rsidP="004E2640">
            <w:pPr>
              <w:pStyle w:val="SingleTxtG"/>
              <w:tabs>
                <w:tab w:val="clear" w:pos="1701"/>
                <w:tab w:val="clear" w:pos="2268"/>
                <w:tab w:val="clear" w:pos="2835"/>
              </w:tabs>
              <w:spacing w:before="40"/>
              <w:ind w:left="0" w:right="0"/>
              <w:jc w:val="left"/>
              <w:rPr>
                <w:rFonts w:eastAsia="Calibri"/>
              </w:rPr>
            </w:pPr>
            <w:r w:rsidRPr="004E2640">
              <w:t xml:space="preserve">Convención Internacional sobre la Protección de los Derechos de Todos los Trabajadores Migratorios y de </w:t>
            </w:r>
            <w:r w:rsidR="00656701" w:rsidRPr="004E2640">
              <w:t xml:space="preserve">Sus </w:t>
            </w:r>
            <w:r w:rsidRPr="004E2640">
              <w:t>Familiares</w:t>
            </w:r>
          </w:p>
        </w:tc>
        <w:tc>
          <w:tcPr>
            <w:tcW w:w="2429" w:type="dxa"/>
            <w:shd w:val="clear" w:color="auto" w:fill="auto"/>
          </w:tcPr>
          <w:p w14:paraId="569DC227" w14:textId="77777777" w:rsidR="004F510C" w:rsidRPr="004E2640" w:rsidRDefault="004F510C" w:rsidP="004E2640">
            <w:pPr>
              <w:pStyle w:val="SingleTxtG"/>
              <w:tabs>
                <w:tab w:val="clear" w:pos="1701"/>
                <w:tab w:val="clear" w:pos="2268"/>
                <w:tab w:val="clear" w:pos="2835"/>
              </w:tabs>
              <w:spacing w:before="40"/>
              <w:ind w:left="0" w:right="0"/>
              <w:jc w:val="left"/>
              <w:rPr>
                <w:rFonts w:eastAsia="Calibri"/>
                <w:lang w:val="es-ES_tradnl"/>
              </w:rPr>
            </w:pPr>
            <w:r w:rsidRPr="004E2640">
              <w:rPr>
                <w:lang w:val="es-ES_tradnl"/>
              </w:rPr>
              <w:t>21 de junio de 1993</w:t>
            </w:r>
          </w:p>
        </w:tc>
      </w:tr>
      <w:tr w:rsidR="004F510C" w:rsidRPr="004E2640" w14:paraId="29F69D8A" w14:textId="77777777" w:rsidTr="004E2640">
        <w:trPr>
          <w:trHeight w:val="240"/>
        </w:trPr>
        <w:tc>
          <w:tcPr>
            <w:tcW w:w="6075" w:type="dxa"/>
            <w:shd w:val="clear" w:color="auto" w:fill="auto"/>
          </w:tcPr>
          <w:p w14:paraId="733ACDC7" w14:textId="77777777" w:rsidR="004F510C" w:rsidRPr="004E2640" w:rsidRDefault="004F510C" w:rsidP="004E2640">
            <w:pPr>
              <w:pStyle w:val="SingleTxtG"/>
              <w:tabs>
                <w:tab w:val="clear" w:pos="1701"/>
                <w:tab w:val="clear" w:pos="2268"/>
                <w:tab w:val="clear" w:pos="2835"/>
              </w:tabs>
              <w:spacing w:before="40"/>
              <w:ind w:left="0" w:right="0"/>
              <w:jc w:val="left"/>
              <w:rPr>
                <w:rFonts w:eastAsia="Calibri"/>
              </w:rPr>
            </w:pPr>
            <w:r w:rsidRPr="004E2640">
              <w:t>Convención sobre la Eliminación de Todas las Formas de Discriminación contra la Mujer</w:t>
            </w:r>
          </w:p>
        </w:tc>
        <w:tc>
          <w:tcPr>
            <w:tcW w:w="2429" w:type="dxa"/>
            <w:shd w:val="clear" w:color="auto" w:fill="auto"/>
          </w:tcPr>
          <w:p w14:paraId="31F548CD" w14:textId="77777777" w:rsidR="004F510C" w:rsidRPr="004E2640" w:rsidRDefault="004F510C" w:rsidP="004E2640">
            <w:pPr>
              <w:pStyle w:val="SingleTxtG"/>
              <w:tabs>
                <w:tab w:val="clear" w:pos="1701"/>
                <w:tab w:val="clear" w:pos="2268"/>
                <w:tab w:val="clear" w:pos="2835"/>
              </w:tabs>
              <w:spacing w:before="40"/>
              <w:ind w:left="0" w:right="0"/>
              <w:jc w:val="left"/>
              <w:rPr>
                <w:rFonts w:eastAsia="Calibri"/>
                <w:lang w:val="es-ES_tradnl"/>
              </w:rPr>
            </w:pPr>
            <w:r w:rsidRPr="004E2640">
              <w:rPr>
                <w:lang w:val="es-ES_tradnl"/>
              </w:rPr>
              <w:t>21 de junio de 1993</w:t>
            </w:r>
          </w:p>
        </w:tc>
      </w:tr>
      <w:tr w:rsidR="004F510C" w:rsidRPr="004E2640" w14:paraId="47051160" w14:textId="77777777" w:rsidTr="004E2640">
        <w:trPr>
          <w:trHeight w:val="240"/>
        </w:trPr>
        <w:tc>
          <w:tcPr>
            <w:tcW w:w="6075" w:type="dxa"/>
            <w:shd w:val="clear" w:color="auto" w:fill="auto"/>
          </w:tcPr>
          <w:p w14:paraId="75069264" w14:textId="1BE52507" w:rsidR="004F510C" w:rsidRPr="004E2640" w:rsidRDefault="004F510C" w:rsidP="004E2640">
            <w:pPr>
              <w:pStyle w:val="SingleTxtG"/>
              <w:tabs>
                <w:tab w:val="clear" w:pos="1701"/>
                <w:tab w:val="clear" w:pos="2268"/>
                <w:tab w:val="clear" w:pos="2835"/>
              </w:tabs>
              <w:spacing w:before="40"/>
              <w:ind w:left="0" w:right="0"/>
              <w:jc w:val="left"/>
              <w:rPr>
                <w:rFonts w:eastAsia="Calibri"/>
              </w:rPr>
            </w:pPr>
            <w:r w:rsidRPr="004E2640">
              <w:t xml:space="preserve">Protocolo </w:t>
            </w:r>
            <w:r w:rsidR="00656701" w:rsidRPr="004E2640">
              <w:t xml:space="preserve">Facultativo </w:t>
            </w:r>
            <w:r w:rsidRPr="004E2640">
              <w:t>de la Convención sobre los Derechos del Niño relativo a la venta de niños, la prostitución infantil y la utilización de niños en la pornografía</w:t>
            </w:r>
          </w:p>
        </w:tc>
        <w:tc>
          <w:tcPr>
            <w:tcW w:w="2429" w:type="dxa"/>
            <w:shd w:val="clear" w:color="auto" w:fill="auto"/>
          </w:tcPr>
          <w:p w14:paraId="182B0FAD" w14:textId="77777777" w:rsidR="004F510C" w:rsidRPr="004E2640" w:rsidRDefault="004F510C" w:rsidP="004E2640">
            <w:pPr>
              <w:pStyle w:val="SingleTxtG"/>
              <w:tabs>
                <w:tab w:val="clear" w:pos="1701"/>
                <w:tab w:val="clear" w:pos="2268"/>
                <w:tab w:val="clear" w:pos="2835"/>
              </w:tabs>
              <w:spacing w:before="40"/>
              <w:ind w:left="0" w:right="0"/>
              <w:jc w:val="left"/>
              <w:rPr>
                <w:rFonts w:eastAsia="Calibri"/>
                <w:lang w:val="es-ES_tradnl"/>
              </w:rPr>
            </w:pPr>
            <w:r w:rsidRPr="004E2640">
              <w:rPr>
                <w:lang w:val="es-ES_tradnl"/>
              </w:rPr>
              <w:t>2 de octubre de 2001</w:t>
            </w:r>
          </w:p>
        </w:tc>
      </w:tr>
      <w:tr w:rsidR="004F510C" w:rsidRPr="004E2640" w14:paraId="2C084EF3" w14:textId="77777777" w:rsidTr="004E2640">
        <w:trPr>
          <w:trHeight w:val="240"/>
        </w:trPr>
        <w:tc>
          <w:tcPr>
            <w:tcW w:w="6075" w:type="dxa"/>
            <w:shd w:val="clear" w:color="auto" w:fill="auto"/>
          </w:tcPr>
          <w:p w14:paraId="28786C30" w14:textId="278DE114" w:rsidR="004F510C" w:rsidRPr="004E2640" w:rsidRDefault="004F510C" w:rsidP="004E2640">
            <w:pPr>
              <w:pStyle w:val="SingleTxtG"/>
              <w:tabs>
                <w:tab w:val="clear" w:pos="1701"/>
                <w:tab w:val="clear" w:pos="2268"/>
                <w:tab w:val="clear" w:pos="2835"/>
              </w:tabs>
              <w:spacing w:before="40"/>
              <w:ind w:left="0" w:right="0"/>
              <w:jc w:val="left"/>
              <w:rPr>
                <w:rFonts w:eastAsia="Calibri"/>
              </w:rPr>
            </w:pPr>
            <w:r w:rsidRPr="004E2640">
              <w:t xml:space="preserve">Protocolo </w:t>
            </w:r>
            <w:r w:rsidR="00656701" w:rsidRPr="004E2640">
              <w:t xml:space="preserve">Facultativo </w:t>
            </w:r>
            <w:r w:rsidRPr="004E2640">
              <w:t xml:space="preserve">de la Convención sobre los Derechos del Niño sobre la participación de los niños en los conflictos armados </w:t>
            </w:r>
          </w:p>
        </w:tc>
        <w:tc>
          <w:tcPr>
            <w:tcW w:w="2429" w:type="dxa"/>
            <w:shd w:val="clear" w:color="auto" w:fill="auto"/>
          </w:tcPr>
          <w:p w14:paraId="2EDB3EE3" w14:textId="77777777" w:rsidR="004F510C" w:rsidRPr="004E2640" w:rsidRDefault="004F510C" w:rsidP="004E2640">
            <w:pPr>
              <w:pStyle w:val="SingleTxtG"/>
              <w:tabs>
                <w:tab w:val="clear" w:pos="1701"/>
                <w:tab w:val="clear" w:pos="2268"/>
                <w:tab w:val="clear" w:pos="2835"/>
              </w:tabs>
              <w:spacing w:before="40"/>
              <w:ind w:left="0" w:right="0"/>
              <w:jc w:val="left"/>
              <w:rPr>
                <w:rFonts w:eastAsia="Calibri"/>
                <w:lang w:val="es-ES_tradnl"/>
              </w:rPr>
            </w:pPr>
            <w:r w:rsidRPr="004E2640">
              <w:rPr>
                <w:lang w:val="es-ES_tradnl"/>
              </w:rPr>
              <w:t>22 de mayo de 2002</w:t>
            </w:r>
          </w:p>
        </w:tc>
      </w:tr>
      <w:tr w:rsidR="004F510C" w:rsidRPr="004E2640" w14:paraId="6908D755" w14:textId="77777777" w:rsidTr="004E2640">
        <w:trPr>
          <w:trHeight w:val="240"/>
        </w:trPr>
        <w:tc>
          <w:tcPr>
            <w:tcW w:w="6075" w:type="dxa"/>
            <w:shd w:val="clear" w:color="auto" w:fill="auto"/>
          </w:tcPr>
          <w:p w14:paraId="55C99ADD" w14:textId="77777777" w:rsidR="004F510C" w:rsidRPr="004E2640" w:rsidRDefault="004F510C" w:rsidP="004E2640">
            <w:pPr>
              <w:pStyle w:val="SingleTxtG"/>
              <w:tabs>
                <w:tab w:val="clear" w:pos="1701"/>
                <w:tab w:val="clear" w:pos="2268"/>
                <w:tab w:val="clear" w:pos="2835"/>
              </w:tabs>
              <w:spacing w:before="40"/>
              <w:ind w:left="0" w:right="0"/>
              <w:jc w:val="left"/>
              <w:rPr>
                <w:rFonts w:eastAsia="Calibri"/>
              </w:rPr>
            </w:pPr>
            <w:r w:rsidRPr="004E2640">
              <w:t>Convención sobre los Derechos de las Personas con Discapacidad</w:t>
            </w:r>
          </w:p>
        </w:tc>
        <w:tc>
          <w:tcPr>
            <w:tcW w:w="2429" w:type="dxa"/>
            <w:shd w:val="clear" w:color="auto" w:fill="auto"/>
          </w:tcPr>
          <w:p w14:paraId="32470147" w14:textId="77777777" w:rsidR="004F510C" w:rsidRPr="004E2640" w:rsidRDefault="004F510C" w:rsidP="004E2640">
            <w:pPr>
              <w:pStyle w:val="SingleTxtG"/>
              <w:tabs>
                <w:tab w:val="clear" w:pos="1701"/>
                <w:tab w:val="clear" w:pos="2268"/>
                <w:tab w:val="clear" w:pos="2835"/>
              </w:tabs>
              <w:spacing w:before="40"/>
              <w:ind w:left="0" w:right="0"/>
              <w:jc w:val="left"/>
              <w:rPr>
                <w:rFonts w:eastAsia="Calibri"/>
                <w:lang w:val="es-ES_tradnl"/>
              </w:rPr>
            </w:pPr>
            <w:r w:rsidRPr="004E2640">
              <w:rPr>
                <w:lang w:val="es-ES_tradnl"/>
              </w:rPr>
              <w:t>8 de abril de 2009</w:t>
            </w:r>
          </w:p>
        </w:tc>
      </w:tr>
      <w:tr w:rsidR="004F510C" w:rsidRPr="004E2640" w14:paraId="089047D9" w14:textId="77777777" w:rsidTr="004E2640">
        <w:trPr>
          <w:trHeight w:val="240"/>
        </w:trPr>
        <w:tc>
          <w:tcPr>
            <w:tcW w:w="6075" w:type="dxa"/>
            <w:shd w:val="clear" w:color="auto" w:fill="auto"/>
          </w:tcPr>
          <w:p w14:paraId="1339D038" w14:textId="77777777" w:rsidR="004F510C" w:rsidRPr="004E2640" w:rsidRDefault="004F510C" w:rsidP="004E2640">
            <w:pPr>
              <w:pStyle w:val="SingleTxtG"/>
              <w:tabs>
                <w:tab w:val="clear" w:pos="1701"/>
                <w:tab w:val="clear" w:pos="2268"/>
                <w:tab w:val="clear" w:pos="2835"/>
              </w:tabs>
              <w:spacing w:before="40"/>
              <w:ind w:left="0" w:right="0"/>
              <w:jc w:val="left"/>
              <w:rPr>
                <w:rFonts w:eastAsia="Calibri"/>
              </w:rPr>
            </w:pPr>
            <w:r w:rsidRPr="004E2640">
              <w:t>Protocolo facultativo de la Convención sobre los Derechos de las Personas con Discapacidad</w:t>
            </w:r>
          </w:p>
        </w:tc>
        <w:tc>
          <w:tcPr>
            <w:tcW w:w="2429" w:type="dxa"/>
            <w:shd w:val="clear" w:color="auto" w:fill="auto"/>
          </w:tcPr>
          <w:p w14:paraId="2BF59CE2" w14:textId="77777777" w:rsidR="004F510C" w:rsidRPr="004E2640" w:rsidRDefault="004F510C" w:rsidP="004E2640">
            <w:pPr>
              <w:pStyle w:val="SingleTxtG"/>
              <w:tabs>
                <w:tab w:val="clear" w:pos="1701"/>
                <w:tab w:val="clear" w:pos="2268"/>
                <w:tab w:val="clear" w:pos="2835"/>
              </w:tabs>
              <w:spacing w:before="40"/>
              <w:ind w:left="0" w:right="0"/>
              <w:jc w:val="left"/>
              <w:rPr>
                <w:rFonts w:eastAsia="Calibri"/>
                <w:lang w:val="es-ES_tradnl"/>
              </w:rPr>
            </w:pPr>
            <w:r w:rsidRPr="004E2640">
              <w:rPr>
                <w:lang w:val="es-ES_tradnl"/>
              </w:rPr>
              <w:t>8 de abril de 2009</w:t>
            </w:r>
          </w:p>
        </w:tc>
      </w:tr>
      <w:tr w:rsidR="004F510C" w:rsidRPr="004E2640" w14:paraId="25ECFB46" w14:textId="77777777" w:rsidTr="004E2640">
        <w:trPr>
          <w:trHeight w:val="240"/>
        </w:trPr>
        <w:tc>
          <w:tcPr>
            <w:tcW w:w="6075" w:type="dxa"/>
            <w:shd w:val="clear" w:color="auto" w:fill="auto"/>
          </w:tcPr>
          <w:p w14:paraId="2220F6B9" w14:textId="77777777" w:rsidR="004F510C" w:rsidRPr="004E2640" w:rsidRDefault="004F510C" w:rsidP="004E2640">
            <w:pPr>
              <w:pStyle w:val="SingleTxtG"/>
              <w:tabs>
                <w:tab w:val="clear" w:pos="1701"/>
                <w:tab w:val="clear" w:pos="2268"/>
                <w:tab w:val="clear" w:pos="2835"/>
              </w:tabs>
              <w:spacing w:before="40"/>
              <w:ind w:left="0" w:right="0"/>
              <w:jc w:val="left"/>
              <w:rPr>
                <w:rFonts w:eastAsia="Calibri"/>
              </w:rPr>
            </w:pPr>
            <w:r w:rsidRPr="004E2640">
              <w:t>Convención Internacional para la Protección de Todas las Personas contra las Desapariciones Forzadas</w:t>
            </w:r>
          </w:p>
        </w:tc>
        <w:tc>
          <w:tcPr>
            <w:tcW w:w="2429" w:type="dxa"/>
            <w:shd w:val="clear" w:color="auto" w:fill="auto"/>
          </w:tcPr>
          <w:p w14:paraId="65A5D519" w14:textId="77777777" w:rsidR="004F510C" w:rsidRPr="004E2640" w:rsidRDefault="004F510C" w:rsidP="004E2640">
            <w:pPr>
              <w:pStyle w:val="SingleTxtG"/>
              <w:tabs>
                <w:tab w:val="clear" w:pos="1701"/>
                <w:tab w:val="clear" w:pos="2268"/>
                <w:tab w:val="clear" w:pos="2835"/>
              </w:tabs>
              <w:spacing w:before="40"/>
              <w:ind w:left="0" w:right="0"/>
              <w:jc w:val="left"/>
              <w:rPr>
                <w:rFonts w:eastAsia="Calibri"/>
                <w:lang w:val="es-ES_tradnl"/>
              </w:rPr>
            </w:pPr>
            <w:r w:rsidRPr="004E2640">
              <w:rPr>
                <w:lang w:val="es-ES_tradnl"/>
              </w:rPr>
              <w:t>14 de mayo de 2013</w:t>
            </w:r>
          </w:p>
        </w:tc>
      </w:tr>
      <w:tr w:rsidR="004F510C" w:rsidRPr="004E2640" w14:paraId="7FF020DB" w14:textId="77777777" w:rsidTr="004E2640">
        <w:trPr>
          <w:trHeight w:val="240"/>
        </w:trPr>
        <w:tc>
          <w:tcPr>
            <w:tcW w:w="6075" w:type="dxa"/>
            <w:tcBorders>
              <w:bottom w:val="single" w:sz="12" w:space="0" w:color="auto"/>
            </w:tcBorders>
            <w:shd w:val="clear" w:color="auto" w:fill="auto"/>
          </w:tcPr>
          <w:p w14:paraId="0F706215" w14:textId="77777777" w:rsidR="004F510C" w:rsidRPr="004E2640" w:rsidRDefault="004F510C" w:rsidP="004E2640">
            <w:pPr>
              <w:pStyle w:val="SingleTxtG"/>
              <w:tabs>
                <w:tab w:val="clear" w:pos="1701"/>
                <w:tab w:val="clear" w:pos="2268"/>
                <w:tab w:val="clear" w:pos="2835"/>
              </w:tabs>
              <w:spacing w:before="40"/>
              <w:ind w:left="0" w:right="0"/>
              <w:jc w:val="left"/>
              <w:rPr>
                <w:rFonts w:eastAsia="Calibri"/>
              </w:rPr>
            </w:pPr>
            <w:r w:rsidRPr="004E2640">
              <w:t>Protocolo Facultativo de la Convención contra la Tortura y Otros Tratos o Penas Crueles, Inhumanos o Degradantes</w:t>
            </w:r>
          </w:p>
        </w:tc>
        <w:tc>
          <w:tcPr>
            <w:tcW w:w="2429" w:type="dxa"/>
            <w:tcBorders>
              <w:bottom w:val="single" w:sz="12" w:space="0" w:color="auto"/>
            </w:tcBorders>
            <w:shd w:val="clear" w:color="auto" w:fill="auto"/>
          </w:tcPr>
          <w:p w14:paraId="656F7533" w14:textId="77777777" w:rsidR="004F510C" w:rsidRPr="004E2640" w:rsidRDefault="004F510C" w:rsidP="004E2640">
            <w:pPr>
              <w:pStyle w:val="SingleTxtG"/>
              <w:tabs>
                <w:tab w:val="clear" w:pos="1701"/>
                <w:tab w:val="clear" w:pos="2268"/>
                <w:tab w:val="clear" w:pos="2835"/>
              </w:tabs>
              <w:spacing w:before="40"/>
              <w:ind w:left="0" w:right="0"/>
              <w:jc w:val="left"/>
              <w:rPr>
                <w:rFonts w:eastAsia="Calibri"/>
                <w:lang w:val="es-ES_tradnl"/>
              </w:rPr>
            </w:pPr>
            <w:r w:rsidRPr="004E2640">
              <w:rPr>
                <w:lang w:val="es-ES_tradnl"/>
              </w:rPr>
              <w:t>14 de noviembre de 2014</w:t>
            </w:r>
          </w:p>
        </w:tc>
      </w:tr>
    </w:tbl>
    <w:p w14:paraId="3A297103" w14:textId="4AC32E3C" w:rsidR="004E0684" w:rsidRPr="009B12A0" w:rsidRDefault="004E0684" w:rsidP="00D51553">
      <w:pPr>
        <w:pStyle w:val="Bullet1G"/>
        <w:spacing w:before="240" w:line="240" w:lineRule="exact"/>
        <w:ind w:left="1134"/>
        <w:jc w:val="left"/>
        <w:rPr>
          <w:b/>
          <w:bCs/>
        </w:rPr>
      </w:pPr>
      <w:r w:rsidRPr="009B12A0">
        <w:rPr>
          <w:b/>
          <w:bCs/>
        </w:rPr>
        <w:t>Convenios del derecho internacional humanitario</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5135"/>
        <w:gridCol w:w="2235"/>
      </w:tblGrid>
      <w:tr w:rsidR="004E0684" w:rsidRPr="004E2640" w14:paraId="0EE11446" w14:textId="77777777" w:rsidTr="004E2640">
        <w:trPr>
          <w:trHeight w:val="240"/>
          <w:tblHeader/>
        </w:trPr>
        <w:tc>
          <w:tcPr>
            <w:tcW w:w="6075" w:type="dxa"/>
            <w:tcBorders>
              <w:top w:val="single" w:sz="4" w:space="0" w:color="auto"/>
              <w:bottom w:val="single" w:sz="12" w:space="0" w:color="auto"/>
            </w:tcBorders>
            <w:shd w:val="clear" w:color="auto" w:fill="auto"/>
            <w:vAlign w:val="bottom"/>
            <w:hideMark/>
          </w:tcPr>
          <w:p w14:paraId="62E158E1" w14:textId="77777777" w:rsidR="004E0684" w:rsidRPr="004E2640" w:rsidRDefault="004E0684" w:rsidP="004E2640">
            <w:pPr>
              <w:pStyle w:val="SingleTxtG"/>
              <w:tabs>
                <w:tab w:val="clear" w:pos="1701"/>
                <w:tab w:val="clear" w:pos="2268"/>
                <w:tab w:val="clear" w:pos="2835"/>
              </w:tabs>
              <w:spacing w:before="80" w:after="80" w:line="200" w:lineRule="exact"/>
              <w:ind w:left="0" w:right="0"/>
              <w:jc w:val="left"/>
              <w:rPr>
                <w:bCs/>
                <w:i/>
                <w:sz w:val="16"/>
                <w:lang w:val="es-ES_tradnl"/>
              </w:rPr>
            </w:pPr>
            <w:r w:rsidRPr="004E2640">
              <w:rPr>
                <w:bCs/>
                <w:i/>
                <w:sz w:val="16"/>
                <w:lang w:val="es-ES_tradnl"/>
              </w:rPr>
              <w:t>Instrumentos internacionales</w:t>
            </w:r>
          </w:p>
        </w:tc>
        <w:tc>
          <w:tcPr>
            <w:tcW w:w="2429" w:type="dxa"/>
            <w:tcBorders>
              <w:top w:val="single" w:sz="4" w:space="0" w:color="auto"/>
              <w:bottom w:val="single" w:sz="12" w:space="0" w:color="auto"/>
            </w:tcBorders>
            <w:shd w:val="clear" w:color="auto" w:fill="auto"/>
            <w:vAlign w:val="bottom"/>
            <w:hideMark/>
          </w:tcPr>
          <w:p w14:paraId="7A1B92F1" w14:textId="77777777" w:rsidR="004E0684" w:rsidRPr="004E2640" w:rsidRDefault="004E0684" w:rsidP="004E2640">
            <w:pPr>
              <w:pStyle w:val="SingleTxtG"/>
              <w:tabs>
                <w:tab w:val="clear" w:pos="1701"/>
                <w:tab w:val="clear" w:pos="2268"/>
                <w:tab w:val="clear" w:pos="2835"/>
              </w:tabs>
              <w:spacing w:before="80" w:after="80" w:line="200" w:lineRule="exact"/>
              <w:ind w:left="0" w:right="0"/>
              <w:jc w:val="left"/>
              <w:rPr>
                <w:rFonts w:eastAsia="Calibri"/>
                <w:bCs/>
                <w:i/>
                <w:sz w:val="16"/>
                <w:lang w:val="es-ES_tradnl"/>
              </w:rPr>
            </w:pPr>
            <w:r w:rsidRPr="004E2640">
              <w:rPr>
                <w:bCs/>
                <w:i/>
                <w:sz w:val="16"/>
                <w:lang w:val="es-ES_tradnl"/>
              </w:rPr>
              <w:t>Fecha de adhesión/ratificación</w:t>
            </w:r>
          </w:p>
        </w:tc>
      </w:tr>
      <w:tr w:rsidR="004E0684" w:rsidRPr="004E2640" w14:paraId="6C79BFB0" w14:textId="77777777" w:rsidTr="004E2640">
        <w:trPr>
          <w:trHeight w:hRule="exact" w:val="113"/>
          <w:tblHeader/>
        </w:trPr>
        <w:tc>
          <w:tcPr>
            <w:tcW w:w="6075" w:type="dxa"/>
            <w:tcBorders>
              <w:top w:val="single" w:sz="12" w:space="0" w:color="auto"/>
            </w:tcBorders>
            <w:shd w:val="clear" w:color="auto" w:fill="auto"/>
          </w:tcPr>
          <w:p w14:paraId="6BD38A7C" w14:textId="3B1039D6" w:rsidR="004E0684" w:rsidRPr="004E2640" w:rsidRDefault="004E0684" w:rsidP="004E2640">
            <w:pPr>
              <w:pStyle w:val="SingleTxtG"/>
              <w:tabs>
                <w:tab w:val="clear" w:pos="1701"/>
                <w:tab w:val="clear" w:pos="2268"/>
                <w:tab w:val="clear" w:pos="2835"/>
              </w:tabs>
              <w:spacing w:before="40"/>
              <w:ind w:left="0" w:right="0"/>
              <w:jc w:val="left"/>
              <w:rPr>
                <w:lang w:val="es-ES_tradnl"/>
              </w:rPr>
            </w:pPr>
          </w:p>
        </w:tc>
        <w:tc>
          <w:tcPr>
            <w:tcW w:w="2429" w:type="dxa"/>
            <w:tcBorders>
              <w:top w:val="single" w:sz="12" w:space="0" w:color="auto"/>
            </w:tcBorders>
            <w:shd w:val="clear" w:color="auto" w:fill="auto"/>
          </w:tcPr>
          <w:p w14:paraId="2D7494B5" w14:textId="5F8CE3E9" w:rsidR="004E0684" w:rsidRPr="004E2640" w:rsidRDefault="004E0684" w:rsidP="004E2640">
            <w:pPr>
              <w:pStyle w:val="SingleTxtG"/>
              <w:tabs>
                <w:tab w:val="clear" w:pos="1701"/>
                <w:tab w:val="clear" w:pos="2268"/>
                <w:tab w:val="clear" w:pos="2835"/>
              </w:tabs>
              <w:spacing w:before="40"/>
              <w:ind w:left="0" w:right="0"/>
              <w:jc w:val="left"/>
              <w:rPr>
                <w:lang w:val="es-ES_tradnl"/>
              </w:rPr>
            </w:pPr>
          </w:p>
        </w:tc>
      </w:tr>
      <w:tr w:rsidR="004F510C" w:rsidRPr="004E2640" w14:paraId="7E708795" w14:textId="77777777" w:rsidTr="004E2640">
        <w:trPr>
          <w:trHeight w:val="240"/>
        </w:trPr>
        <w:tc>
          <w:tcPr>
            <w:tcW w:w="6075" w:type="dxa"/>
            <w:shd w:val="clear" w:color="auto" w:fill="auto"/>
          </w:tcPr>
          <w:p w14:paraId="451B7A47" w14:textId="05C8D64C" w:rsidR="004F510C" w:rsidRPr="004E2640" w:rsidRDefault="004F510C" w:rsidP="00E0252E">
            <w:pPr>
              <w:pStyle w:val="SingleTxtG"/>
              <w:tabs>
                <w:tab w:val="clear" w:pos="1701"/>
                <w:tab w:val="clear" w:pos="2268"/>
                <w:tab w:val="clear" w:pos="2835"/>
                <w:tab w:val="left" w:pos="300"/>
              </w:tabs>
              <w:spacing w:before="40"/>
              <w:ind w:left="0" w:right="0"/>
              <w:jc w:val="left"/>
            </w:pPr>
            <w:r w:rsidRPr="004E2640">
              <w:t>I.</w:t>
            </w:r>
            <w:r w:rsidR="00E0252E">
              <w:tab/>
            </w:r>
            <w:r w:rsidRPr="004E2640">
              <w:t>Convenio de Ginebra para aliviar la suerte que corren los heridos y los enfermos de las fuerzas armadas en campaña</w:t>
            </w:r>
          </w:p>
        </w:tc>
        <w:tc>
          <w:tcPr>
            <w:tcW w:w="2429" w:type="dxa"/>
            <w:shd w:val="clear" w:color="auto" w:fill="auto"/>
          </w:tcPr>
          <w:p w14:paraId="4A2EBF5F" w14:textId="47AD6429"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26 de julio de 1956</w:t>
            </w:r>
          </w:p>
        </w:tc>
      </w:tr>
      <w:tr w:rsidR="004F510C" w:rsidRPr="004E2640" w14:paraId="515334FD" w14:textId="77777777" w:rsidTr="004E2640">
        <w:trPr>
          <w:trHeight w:val="240"/>
        </w:trPr>
        <w:tc>
          <w:tcPr>
            <w:tcW w:w="6075" w:type="dxa"/>
            <w:shd w:val="clear" w:color="auto" w:fill="auto"/>
            <w:hideMark/>
          </w:tcPr>
          <w:p w14:paraId="15BBBE46" w14:textId="251B8476" w:rsidR="004F510C" w:rsidRPr="004E2640" w:rsidRDefault="004F510C" w:rsidP="00E0252E">
            <w:pPr>
              <w:pStyle w:val="SingleTxtG"/>
              <w:tabs>
                <w:tab w:val="clear" w:pos="1701"/>
                <w:tab w:val="clear" w:pos="2268"/>
                <w:tab w:val="clear" w:pos="2835"/>
                <w:tab w:val="left" w:pos="300"/>
              </w:tabs>
              <w:spacing w:before="40"/>
              <w:ind w:left="0" w:right="0"/>
              <w:jc w:val="left"/>
            </w:pPr>
            <w:r w:rsidRPr="004E2640">
              <w:t>II.</w:t>
            </w:r>
            <w:r w:rsidR="00E0252E">
              <w:tab/>
            </w:r>
            <w:r w:rsidRPr="004E2640">
              <w:t>Convenio de Ginebra para aliviar la suerte que corren los heridos, los enfermos y los náufragos de las fuerzas armadas en el mar</w:t>
            </w:r>
          </w:p>
        </w:tc>
        <w:tc>
          <w:tcPr>
            <w:tcW w:w="2429" w:type="dxa"/>
            <w:shd w:val="clear" w:color="auto" w:fill="auto"/>
            <w:hideMark/>
          </w:tcPr>
          <w:p w14:paraId="5E7F364E"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26 de julio de 1956</w:t>
            </w:r>
          </w:p>
        </w:tc>
      </w:tr>
      <w:tr w:rsidR="004F510C" w:rsidRPr="004E2640" w14:paraId="5140BF27" w14:textId="77777777" w:rsidTr="004E2640">
        <w:trPr>
          <w:trHeight w:val="240"/>
        </w:trPr>
        <w:tc>
          <w:tcPr>
            <w:tcW w:w="6075" w:type="dxa"/>
            <w:shd w:val="clear" w:color="auto" w:fill="auto"/>
            <w:hideMark/>
          </w:tcPr>
          <w:p w14:paraId="0024A1E9" w14:textId="6AE0100C" w:rsidR="004F510C" w:rsidRPr="004E2640" w:rsidRDefault="004F510C" w:rsidP="00E0252E">
            <w:pPr>
              <w:pStyle w:val="SingleTxtG"/>
              <w:tabs>
                <w:tab w:val="clear" w:pos="1701"/>
                <w:tab w:val="clear" w:pos="2268"/>
                <w:tab w:val="clear" w:pos="2835"/>
                <w:tab w:val="left" w:pos="300"/>
              </w:tabs>
              <w:spacing w:before="40"/>
              <w:ind w:left="0" w:right="0"/>
              <w:jc w:val="left"/>
            </w:pPr>
            <w:r w:rsidRPr="004E2640">
              <w:t>III.</w:t>
            </w:r>
            <w:r w:rsidR="00E0252E">
              <w:tab/>
            </w:r>
            <w:r w:rsidRPr="004E2640">
              <w:t>Convenio de Ginebra relativo al trato debido a los prisioneros de guerra</w:t>
            </w:r>
          </w:p>
        </w:tc>
        <w:tc>
          <w:tcPr>
            <w:tcW w:w="2429" w:type="dxa"/>
            <w:shd w:val="clear" w:color="auto" w:fill="auto"/>
            <w:hideMark/>
          </w:tcPr>
          <w:p w14:paraId="18640C83"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26 de julio de 1956</w:t>
            </w:r>
          </w:p>
        </w:tc>
      </w:tr>
      <w:tr w:rsidR="004F510C" w:rsidRPr="004E2640" w14:paraId="3912678E" w14:textId="77777777" w:rsidTr="004E2640">
        <w:trPr>
          <w:trHeight w:val="240"/>
        </w:trPr>
        <w:tc>
          <w:tcPr>
            <w:tcW w:w="6075" w:type="dxa"/>
            <w:shd w:val="clear" w:color="auto" w:fill="auto"/>
            <w:hideMark/>
          </w:tcPr>
          <w:p w14:paraId="3BF220E7" w14:textId="6467F603" w:rsidR="004F510C" w:rsidRPr="004E2640" w:rsidRDefault="004F510C" w:rsidP="00E0252E">
            <w:pPr>
              <w:pStyle w:val="SingleTxtG"/>
              <w:tabs>
                <w:tab w:val="clear" w:pos="1701"/>
                <w:tab w:val="clear" w:pos="2268"/>
                <w:tab w:val="clear" w:pos="2835"/>
                <w:tab w:val="left" w:pos="300"/>
              </w:tabs>
              <w:spacing w:before="40"/>
              <w:ind w:left="0" w:right="0"/>
              <w:jc w:val="left"/>
            </w:pPr>
            <w:r w:rsidRPr="004E2640">
              <w:t>IV.</w:t>
            </w:r>
            <w:r w:rsidR="00E0252E">
              <w:tab/>
            </w:r>
            <w:r w:rsidRPr="004E2640">
              <w:t>Convenio de Ginebra relativo a la protección debida a las personas civiles en tiempo de guerra</w:t>
            </w:r>
          </w:p>
        </w:tc>
        <w:tc>
          <w:tcPr>
            <w:tcW w:w="2429" w:type="dxa"/>
            <w:shd w:val="clear" w:color="auto" w:fill="auto"/>
            <w:hideMark/>
          </w:tcPr>
          <w:p w14:paraId="52E512E3"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26 de julio de 1956</w:t>
            </w:r>
          </w:p>
        </w:tc>
      </w:tr>
      <w:tr w:rsidR="004F510C" w:rsidRPr="004E2640" w14:paraId="54551318" w14:textId="77777777" w:rsidTr="004E2640">
        <w:trPr>
          <w:trHeight w:val="240"/>
        </w:trPr>
        <w:tc>
          <w:tcPr>
            <w:tcW w:w="6075" w:type="dxa"/>
            <w:shd w:val="clear" w:color="auto" w:fill="auto"/>
            <w:hideMark/>
          </w:tcPr>
          <w:p w14:paraId="121B8B4E" w14:textId="540FF824" w:rsidR="004F510C" w:rsidRPr="004E2640" w:rsidRDefault="004F510C" w:rsidP="004E2640">
            <w:pPr>
              <w:pStyle w:val="SingleTxtG"/>
              <w:tabs>
                <w:tab w:val="clear" w:pos="1701"/>
                <w:tab w:val="clear" w:pos="2268"/>
                <w:tab w:val="clear" w:pos="2835"/>
              </w:tabs>
              <w:spacing w:before="40"/>
              <w:ind w:left="0" w:right="0"/>
              <w:jc w:val="left"/>
            </w:pPr>
            <w:r w:rsidRPr="004E2640">
              <w:t xml:space="preserve">Protocolo I </w:t>
            </w:r>
            <w:r w:rsidR="00E0252E" w:rsidRPr="004E2640">
              <w:t xml:space="preserve">Adicional </w:t>
            </w:r>
            <w:r w:rsidRPr="004E2640">
              <w:t xml:space="preserve">a los Convenios de Ginebra de 1949 relativo a la </w:t>
            </w:r>
            <w:r w:rsidR="00E0252E" w:rsidRPr="004E2640">
              <w:t xml:space="preserve">Protección </w:t>
            </w:r>
            <w:r w:rsidRPr="004E2640">
              <w:t xml:space="preserve">de las </w:t>
            </w:r>
            <w:r w:rsidR="00E0252E" w:rsidRPr="004E2640">
              <w:t xml:space="preserve">Víctimas </w:t>
            </w:r>
            <w:r w:rsidRPr="004E2640">
              <w:t xml:space="preserve">de los </w:t>
            </w:r>
            <w:r w:rsidR="00E0252E" w:rsidRPr="004E2640">
              <w:t>Conflictos Armados Internacionales</w:t>
            </w:r>
          </w:p>
        </w:tc>
        <w:tc>
          <w:tcPr>
            <w:tcW w:w="2429" w:type="dxa"/>
            <w:shd w:val="clear" w:color="auto" w:fill="auto"/>
            <w:hideMark/>
          </w:tcPr>
          <w:p w14:paraId="45BBE536"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3 de junio de 2011</w:t>
            </w:r>
          </w:p>
        </w:tc>
      </w:tr>
      <w:tr w:rsidR="004F510C" w:rsidRPr="004E2640" w14:paraId="3D151652" w14:textId="77777777" w:rsidTr="004E2640">
        <w:trPr>
          <w:trHeight w:val="240"/>
        </w:trPr>
        <w:tc>
          <w:tcPr>
            <w:tcW w:w="6075" w:type="dxa"/>
            <w:shd w:val="clear" w:color="auto" w:fill="auto"/>
            <w:hideMark/>
          </w:tcPr>
          <w:p w14:paraId="5ECA6EB0" w14:textId="3AE14553" w:rsidR="004F510C" w:rsidRPr="004E2640" w:rsidRDefault="004F510C" w:rsidP="004E2640">
            <w:pPr>
              <w:pStyle w:val="SingleTxtG"/>
              <w:tabs>
                <w:tab w:val="clear" w:pos="1701"/>
                <w:tab w:val="clear" w:pos="2268"/>
                <w:tab w:val="clear" w:pos="2835"/>
              </w:tabs>
              <w:spacing w:before="40"/>
              <w:ind w:left="0" w:right="0"/>
              <w:jc w:val="left"/>
            </w:pPr>
            <w:r w:rsidRPr="004E2640">
              <w:lastRenderedPageBreak/>
              <w:t xml:space="preserve">Protocolo II </w:t>
            </w:r>
            <w:r w:rsidR="008263FA" w:rsidRPr="004E2640">
              <w:t xml:space="preserve">Adicional </w:t>
            </w:r>
            <w:r w:rsidRPr="004E2640">
              <w:t xml:space="preserve">a los Convenios de Ginebra de 1949 relativo a la </w:t>
            </w:r>
            <w:r w:rsidR="008263FA" w:rsidRPr="004E2640">
              <w:t xml:space="preserve">Protección </w:t>
            </w:r>
            <w:r w:rsidRPr="004E2640">
              <w:t xml:space="preserve">de las </w:t>
            </w:r>
            <w:r w:rsidR="008263FA" w:rsidRPr="004E2640">
              <w:t xml:space="preserve">Víctimas </w:t>
            </w:r>
            <w:r w:rsidRPr="004E2640">
              <w:t xml:space="preserve">de los </w:t>
            </w:r>
            <w:r w:rsidR="008263FA" w:rsidRPr="004E2640">
              <w:t>Conflictos Armados Sin Carácter Internacional</w:t>
            </w:r>
          </w:p>
        </w:tc>
        <w:tc>
          <w:tcPr>
            <w:tcW w:w="2429" w:type="dxa"/>
            <w:shd w:val="clear" w:color="auto" w:fill="auto"/>
            <w:hideMark/>
          </w:tcPr>
          <w:p w14:paraId="17053027"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3 de junio de 2011</w:t>
            </w:r>
          </w:p>
        </w:tc>
      </w:tr>
      <w:tr w:rsidR="004F510C" w:rsidRPr="004E2640" w14:paraId="274D9616" w14:textId="77777777" w:rsidTr="004E2640">
        <w:trPr>
          <w:trHeight w:val="240"/>
        </w:trPr>
        <w:tc>
          <w:tcPr>
            <w:tcW w:w="6075" w:type="dxa"/>
            <w:shd w:val="clear" w:color="auto" w:fill="auto"/>
            <w:hideMark/>
          </w:tcPr>
          <w:p w14:paraId="6D060C92" w14:textId="77777777" w:rsidR="004F510C" w:rsidRPr="004E2640" w:rsidRDefault="004F510C" w:rsidP="004E2640">
            <w:pPr>
              <w:pStyle w:val="SingleTxtG"/>
              <w:tabs>
                <w:tab w:val="clear" w:pos="1701"/>
                <w:tab w:val="clear" w:pos="2268"/>
                <w:tab w:val="clear" w:pos="2835"/>
              </w:tabs>
              <w:spacing w:before="40"/>
              <w:ind w:left="0" w:right="0"/>
              <w:jc w:val="left"/>
            </w:pPr>
            <w:r w:rsidRPr="004E2640">
              <w:t>Convención de La Haya para la Protección de los Bienes Culturales en caso de Conflicto Armado</w:t>
            </w:r>
          </w:p>
        </w:tc>
        <w:tc>
          <w:tcPr>
            <w:tcW w:w="2429" w:type="dxa"/>
            <w:shd w:val="clear" w:color="auto" w:fill="auto"/>
            <w:hideMark/>
          </w:tcPr>
          <w:p w14:paraId="1C1D3381"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30 de agosto de 1968</w:t>
            </w:r>
          </w:p>
        </w:tc>
      </w:tr>
      <w:tr w:rsidR="004F510C" w:rsidRPr="004E2640" w14:paraId="1436328D" w14:textId="77777777" w:rsidTr="004E2640">
        <w:trPr>
          <w:trHeight w:val="240"/>
        </w:trPr>
        <w:tc>
          <w:tcPr>
            <w:tcW w:w="6075" w:type="dxa"/>
            <w:shd w:val="clear" w:color="auto" w:fill="auto"/>
            <w:hideMark/>
          </w:tcPr>
          <w:p w14:paraId="668382A3" w14:textId="77777777" w:rsidR="004F510C" w:rsidRPr="004E2640" w:rsidRDefault="004F510C" w:rsidP="004E2640">
            <w:pPr>
              <w:pStyle w:val="SingleTxtG"/>
              <w:tabs>
                <w:tab w:val="clear" w:pos="1701"/>
                <w:tab w:val="clear" w:pos="2268"/>
                <w:tab w:val="clear" w:pos="2835"/>
              </w:tabs>
              <w:spacing w:before="40"/>
              <w:ind w:left="0" w:right="0"/>
              <w:jc w:val="left"/>
            </w:pPr>
            <w:r w:rsidRPr="004E2640">
              <w:t>Primer Protocolo a la Convención de La Haya para la Protección de los Bienes Culturales en caso de Conflicto Armado</w:t>
            </w:r>
          </w:p>
        </w:tc>
        <w:tc>
          <w:tcPr>
            <w:tcW w:w="2429" w:type="dxa"/>
            <w:shd w:val="clear" w:color="auto" w:fill="auto"/>
            <w:hideMark/>
          </w:tcPr>
          <w:p w14:paraId="5E378D57"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30 de agosto de 1968</w:t>
            </w:r>
          </w:p>
        </w:tc>
      </w:tr>
      <w:tr w:rsidR="004F510C" w:rsidRPr="004E2640" w14:paraId="185B45A5" w14:textId="77777777" w:rsidTr="004E2640">
        <w:trPr>
          <w:trHeight w:val="240"/>
        </w:trPr>
        <w:tc>
          <w:tcPr>
            <w:tcW w:w="6075" w:type="dxa"/>
            <w:shd w:val="clear" w:color="auto" w:fill="auto"/>
            <w:hideMark/>
          </w:tcPr>
          <w:p w14:paraId="7E3E0CEE" w14:textId="77777777" w:rsidR="004F510C" w:rsidRPr="004E2640" w:rsidRDefault="004F510C" w:rsidP="004E2640">
            <w:pPr>
              <w:pStyle w:val="SingleTxtG"/>
              <w:tabs>
                <w:tab w:val="clear" w:pos="1701"/>
                <w:tab w:val="clear" w:pos="2268"/>
                <w:tab w:val="clear" w:pos="2835"/>
              </w:tabs>
              <w:spacing w:before="40"/>
              <w:ind w:left="0" w:right="0"/>
              <w:jc w:val="left"/>
            </w:pPr>
            <w:r w:rsidRPr="004E2640">
              <w:t>Segundo Protocolo a la Convención de La Haya para la Protección de los Bienes Culturales en caso de Conflicto Armado</w:t>
            </w:r>
          </w:p>
        </w:tc>
        <w:tc>
          <w:tcPr>
            <w:tcW w:w="2429" w:type="dxa"/>
            <w:shd w:val="clear" w:color="auto" w:fill="auto"/>
            <w:hideMark/>
          </w:tcPr>
          <w:p w14:paraId="2D831221"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5 de diciembre de 2013</w:t>
            </w:r>
          </w:p>
        </w:tc>
      </w:tr>
      <w:tr w:rsidR="004F510C" w:rsidRPr="004E2640" w14:paraId="105BDCF3" w14:textId="77777777" w:rsidTr="004E2640">
        <w:trPr>
          <w:trHeight w:val="240"/>
        </w:trPr>
        <w:tc>
          <w:tcPr>
            <w:tcW w:w="6075" w:type="dxa"/>
            <w:shd w:val="clear" w:color="auto" w:fill="auto"/>
          </w:tcPr>
          <w:p w14:paraId="008B93A0" w14:textId="77777777" w:rsidR="004F510C" w:rsidRPr="004E2640" w:rsidRDefault="004F510C" w:rsidP="004E2640">
            <w:pPr>
              <w:pStyle w:val="SingleTxtG"/>
              <w:tabs>
                <w:tab w:val="clear" w:pos="1701"/>
                <w:tab w:val="clear" w:pos="2268"/>
                <w:tab w:val="clear" w:pos="2835"/>
              </w:tabs>
              <w:spacing w:before="40"/>
              <w:ind w:left="0" w:right="0"/>
              <w:jc w:val="left"/>
            </w:pPr>
            <w:r w:rsidRPr="004E2640">
              <w:t>Convención para la Prevención y la Sanción del Delito de Genocidio</w:t>
            </w:r>
          </w:p>
        </w:tc>
        <w:tc>
          <w:tcPr>
            <w:tcW w:w="2429" w:type="dxa"/>
            <w:shd w:val="clear" w:color="auto" w:fill="auto"/>
          </w:tcPr>
          <w:p w14:paraId="05AB1BF3"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24 de enero de 1958</w:t>
            </w:r>
          </w:p>
        </w:tc>
      </w:tr>
      <w:tr w:rsidR="004F510C" w:rsidRPr="004E2640" w14:paraId="0870CE33" w14:textId="77777777" w:rsidTr="004E2640">
        <w:trPr>
          <w:trHeight w:val="240"/>
        </w:trPr>
        <w:tc>
          <w:tcPr>
            <w:tcW w:w="6075" w:type="dxa"/>
            <w:shd w:val="clear" w:color="auto" w:fill="auto"/>
          </w:tcPr>
          <w:p w14:paraId="2F380092" w14:textId="77777777" w:rsidR="004F510C" w:rsidRPr="004E2640" w:rsidRDefault="004F510C" w:rsidP="004E2640">
            <w:pPr>
              <w:pStyle w:val="SingleTxtG"/>
              <w:tabs>
                <w:tab w:val="clear" w:pos="1701"/>
                <w:tab w:val="clear" w:pos="2268"/>
                <w:tab w:val="clear" w:pos="2835"/>
              </w:tabs>
              <w:spacing w:before="40"/>
              <w:ind w:left="0" w:right="0"/>
              <w:jc w:val="left"/>
            </w:pPr>
            <w:r w:rsidRPr="004E2640">
              <w:t>Convención sobre el Estatuto de los Refugiados</w:t>
            </w:r>
          </w:p>
        </w:tc>
        <w:tc>
          <w:tcPr>
            <w:tcW w:w="2429" w:type="dxa"/>
            <w:shd w:val="clear" w:color="auto" w:fill="auto"/>
          </w:tcPr>
          <w:p w14:paraId="127AB4A5"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26 de agosto de 1957</w:t>
            </w:r>
          </w:p>
        </w:tc>
      </w:tr>
      <w:tr w:rsidR="004F510C" w:rsidRPr="004E2640" w14:paraId="355C71F9" w14:textId="77777777" w:rsidTr="004E2640">
        <w:trPr>
          <w:trHeight w:val="240"/>
        </w:trPr>
        <w:tc>
          <w:tcPr>
            <w:tcW w:w="6075" w:type="dxa"/>
            <w:shd w:val="clear" w:color="auto" w:fill="auto"/>
          </w:tcPr>
          <w:p w14:paraId="6AA32D1A" w14:textId="77777777" w:rsidR="004F510C" w:rsidRPr="004E2640" w:rsidRDefault="004F510C" w:rsidP="004E2640">
            <w:pPr>
              <w:pStyle w:val="SingleTxtG"/>
              <w:tabs>
                <w:tab w:val="clear" w:pos="1701"/>
                <w:tab w:val="clear" w:pos="2268"/>
                <w:tab w:val="clear" w:pos="2835"/>
              </w:tabs>
              <w:spacing w:before="40"/>
              <w:ind w:left="0" w:right="0"/>
              <w:jc w:val="left"/>
            </w:pPr>
            <w:r w:rsidRPr="004E2640">
              <w:t>Protocolo sobre el Estatuto de los Refugiados</w:t>
            </w:r>
          </w:p>
        </w:tc>
        <w:tc>
          <w:tcPr>
            <w:tcW w:w="2429" w:type="dxa"/>
            <w:shd w:val="clear" w:color="auto" w:fill="auto"/>
          </w:tcPr>
          <w:p w14:paraId="11062F97"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20 de abril de 1971</w:t>
            </w:r>
          </w:p>
        </w:tc>
      </w:tr>
      <w:tr w:rsidR="004F510C" w:rsidRPr="004E2640" w14:paraId="0D19250E" w14:textId="77777777" w:rsidTr="004E2640">
        <w:trPr>
          <w:trHeight w:val="240"/>
        </w:trPr>
        <w:tc>
          <w:tcPr>
            <w:tcW w:w="6075" w:type="dxa"/>
            <w:shd w:val="clear" w:color="auto" w:fill="auto"/>
          </w:tcPr>
          <w:p w14:paraId="368D2730" w14:textId="663C0D81" w:rsidR="004F510C" w:rsidRPr="004E2640" w:rsidRDefault="004F510C" w:rsidP="004E2640">
            <w:pPr>
              <w:pStyle w:val="SingleTxtG"/>
              <w:tabs>
                <w:tab w:val="clear" w:pos="1701"/>
                <w:tab w:val="clear" w:pos="2268"/>
                <w:tab w:val="clear" w:pos="2835"/>
              </w:tabs>
              <w:spacing w:before="40"/>
              <w:ind w:left="0" w:right="0"/>
              <w:jc w:val="left"/>
            </w:pPr>
            <w:r w:rsidRPr="004E2640">
              <w:t>Protocolo relativo a la Prohibición del Empleo en la Guerra</w:t>
            </w:r>
            <w:r w:rsidR="008263FA">
              <w:br/>
            </w:r>
            <w:r w:rsidRPr="004E2640">
              <w:t xml:space="preserve">de Gases Asfixiantes, Tóxicos o Similares y de Medios Bacteriológicos </w:t>
            </w:r>
          </w:p>
        </w:tc>
        <w:tc>
          <w:tcPr>
            <w:tcW w:w="2429" w:type="dxa"/>
            <w:shd w:val="clear" w:color="auto" w:fill="auto"/>
          </w:tcPr>
          <w:p w14:paraId="60252C16"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13 de octubre de 1970</w:t>
            </w:r>
          </w:p>
        </w:tc>
      </w:tr>
      <w:tr w:rsidR="004F510C" w:rsidRPr="004E2640" w14:paraId="2679C57B" w14:textId="77777777" w:rsidTr="004E2640">
        <w:trPr>
          <w:trHeight w:val="240"/>
        </w:trPr>
        <w:tc>
          <w:tcPr>
            <w:tcW w:w="6075" w:type="dxa"/>
            <w:shd w:val="clear" w:color="auto" w:fill="auto"/>
          </w:tcPr>
          <w:p w14:paraId="18AF547E" w14:textId="0CD2DA64" w:rsidR="004F510C" w:rsidRPr="004E2640" w:rsidRDefault="004F510C" w:rsidP="004E2640">
            <w:pPr>
              <w:pStyle w:val="SingleTxtG"/>
              <w:tabs>
                <w:tab w:val="clear" w:pos="1701"/>
                <w:tab w:val="clear" w:pos="2268"/>
                <w:tab w:val="clear" w:pos="2835"/>
              </w:tabs>
              <w:spacing w:before="40"/>
              <w:ind w:left="0" w:right="0"/>
              <w:jc w:val="left"/>
            </w:pPr>
            <w:r w:rsidRPr="004E2640">
              <w:t xml:space="preserve">Convención sobre la Prohibición del Desarrollo, la Producción, el Almacenamiento y el Empleo de Armas Químicas y sobre </w:t>
            </w:r>
            <w:r w:rsidR="008263FA" w:rsidRPr="004E2640">
              <w:t xml:space="preserve">Su </w:t>
            </w:r>
            <w:r w:rsidRPr="004E2640">
              <w:t>Destrucción</w:t>
            </w:r>
          </w:p>
        </w:tc>
        <w:tc>
          <w:tcPr>
            <w:tcW w:w="2429" w:type="dxa"/>
            <w:shd w:val="clear" w:color="auto" w:fill="auto"/>
          </w:tcPr>
          <w:p w14:paraId="1949276A"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28 de diciembre de 1995</w:t>
            </w:r>
          </w:p>
        </w:tc>
      </w:tr>
      <w:tr w:rsidR="004F510C" w:rsidRPr="004E2640" w14:paraId="5AE9ACB0" w14:textId="77777777" w:rsidTr="004E2640">
        <w:trPr>
          <w:trHeight w:val="240"/>
        </w:trPr>
        <w:tc>
          <w:tcPr>
            <w:tcW w:w="6075" w:type="dxa"/>
            <w:shd w:val="clear" w:color="auto" w:fill="auto"/>
          </w:tcPr>
          <w:p w14:paraId="2899CD76" w14:textId="72B36D81" w:rsidR="004F510C" w:rsidRPr="004E2640" w:rsidRDefault="004F510C" w:rsidP="004E2640">
            <w:pPr>
              <w:pStyle w:val="SingleTxtG"/>
              <w:tabs>
                <w:tab w:val="clear" w:pos="1701"/>
                <w:tab w:val="clear" w:pos="2268"/>
                <w:tab w:val="clear" w:pos="2835"/>
              </w:tabs>
              <w:spacing w:before="40"/>
              <w:ind w:left="0" w:right="0"/>
              <w:jc w:val="left"/>
            </w:pPr>
            <w:r w:rsidRPr="004E2640">
              <w:t xml:space="preserve">Convención sobre la Prohibición del Desarrollo, la Producción y el Almacenamiento de Armas Bacteriológicas (Biológicas) y </w:t>
            </w:r>
            <w:proofErr w:type="spellStart"/>
            <w:r w:rsidRPr="004E2640">
              <w:t>Toxínicas</w:t>
            </w:r>
            <w:proofErr w:type="spellEnd"/>
            <w:r w:rsidRPr="004E2640">
              <w:t xml:space="preserve"> y sobre </w:t>
            </w:r>
            <w:r w:rsidR="008263FA" w:rsidRPr="004E2640">
              <w:t xml:space="preserve">Su </w:t>
            </w:r>
            <w:r w:rsidRPr="004E2640">
              <w:t>Destrucción</w:t>
            </w:r>
          </w:p>
        </w:tc>
        <w:tc>
          <w:tcPr>
            <w:tcW w:w="2429" w:type="dxa"/>
            <w:shd w:val="clear" w:color="auto" w:fill="auto"/>
          </w:tcPr>
          <w:p w14:paraId="2F6BF02D"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21 de marzo de 2002</w:t>
            </w:r>
          </w:p>
        </w:tc>
      </w:tr>
      <w:tr w:rsidR="004F510C" w:rsidRPr="004E2640" w14:paraId="464CAA1F" w14:textId="77777777" w:rsidTr="004E2640">
        <w:trPr>
          <w:trHeight w:val="240"/>
        </w:trPr>
        <w:tc>
          <w:tcPr>
            <w:tcW w:w="6075" w:type="dxa"/>
            <w:shd w:val="clear" w:color="auto" w:fill="auto"/>
          </w:tcPr>
          <w:p w14:paraId="5192BA92" w14:textId="77777777" w:rsidR="004F510C" w:rsidRPr="004E2640" w:rsidRDefault="004F510C" w:rsidP="004E2640">
            <w:pPr>
              <w:pStyle w:val="SingleTxtG"/>
              <w:tabs>
                <w:tab w:val="clear" w:pos="1701"/>
                <w:tab w:val="clear" w:pos="2268"/>
                <w:tab w:val="clear" w:pos="2835"/>
              </w:tabs>
              <w:spacing w:before="40"/>
              <w:ind w:left="0" w:right="0"/>
              <w:jc w:val="left"/>
            </w:pPr>
            <w:r w:rsidRPr="004E2640">
              <w:t>Convención sobre Prohibiciones o Restricciones del Empleo de Ciertas Armas Convencionales que Puedan Considerarse Excesivamente Nocivas o de Efectos Indiscriminados</w:t>
            </w:r>
          </w:p>
        </w:tc>
        <w:tc>
          <w:tcPr>
            <w:tcW w:w="2429" w:type="dxa"/>
            <w:shd w:val="clear" w:color="auto" w:fill="auto"/>
          </w:tcPr>
          <w:p w14:paraId="050C5CB1"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19 de marzo de 2002</w:t>
            </w:r>
          </w:p>
        </w:tc>
      </w:tr>
      <w:tr w:rsidR="004F510C" w:rsidRPr="004E2640" w14:paraId="4D7F1C3F" w14:textId="77777777" w:rsidTr="004E2640">
        <w:trPr>
          <w:trHeight w:val="240"/>
        </w:trPr>
        <w:tc>
          <w:tcPr>
            <w:tcW w:w="6075" w:type="dxa"/>
            <w:shd w:val="clear" w:color="auto" w:fill="auto"/>
          </w:tcPr>
          <w:p w14:paraId="06274D78" w14:textId="77777777" w:rsidR="004F510C" w:rsidRPr="004E2640" w:rsidRDefault="004F510C" w:rsidP="004E2640">
            <w:pPr>
              <w:pStyle w:val="SingleTxtG"/>
              <w:tabs>
                <w:tab w:val="clear" w:pos="1701"/>
                <w:tab w:val="clear" w:pos="2268"/>
                <w:tab w:val="clear" w:pos="2835"/>
              </w:tabs>
              <w:spacing w:before="40"/>
              <w:ind w:left="0" w:right="0"/>
              <w:jc w:val="left"/>
            </w:pPr>
            <w:r w:rsidRPr="004E2640">
              <w:t>Protocolo II a la Convención sobre Prohibiciones o Restricciones del Empleo de Ciertas Armas Convencionales que Puedan Considerarse Excesivamente Nocivas o de Efectos Indiscriminados relativo a la Prohibición o Restricción del Empleo de Minas, Armas Trampa y otros Artefactos</w:t>
            </w:r>
          </w:p>
        </w:tc>
        <w:tc>
          <w:tcPr>
            <w:tcW w:w="2429" w:type="dxa"/>
            <w:shd w:val="clear" w:color="auto" w:fill="auto"/>
          </w:tcPr>
          <w:p w14:paraId="2CD39EC8"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19 de marzo de 2002</w:t>
            </w:r>
          </w:p>
        </w:tc>
      </w:tr>
      <w:tr w:rsidR="004F510C" w:rsidRPr="004E2640" w14:paraId="671771A3" w14:textId="77777777" w:rsidTr="004E2640">
        <w:trPr>
          <w:trHeight w:val="240"/>
        </w:trPr>
        <w:tc>
          <w:tcPr>
            <w:tcW w:w="6075" w:type="dxa"/>
            <w:tcBorders>
              <w:bottom w:val="single" w:sz="12" w:space="0" w:color="auto"/>
            </w:tcBorders>
            <w:shd w:val="clear" w:color="auto" w:fill="auto"/>
          </w:tcPr>
          <w:p w14:paraId="206B8291" w14:textId="77777777" w:rsidR="004F510C" w:rsidRPr="004E2640" w:rsidRDefault="004F510C" w:rsidP="004E2640">
            <w:pPr>
              <w:pStyle w:val="SingleTxtG"/>
              <w:tabs>
                <w:tab w:val="clear" w:pos="1701"/>
                <w:tab w:val="clear" w:pos="2268"/>
                <w:tab w:val="clear" w:pos="2835"/>
              </w:tabs>
              <w:spacing w:before="40"/>
              <w:ind w:left="0" w:right="0"/>
              <w:jc w:val="left"/>
            </w:pPr>
            <w:r w:rsidRPr="004E2640">
              <w:t>Protocolo IV a la Convención sobre Prohibiciones o Restricciones del Empleo de Ciertas Armas Convencionales que Puedan Considerarse Excesivamente Nocivas o de Efectos Indiscriminados sobre Armas Láser Cegadoras</w:t>
            </w:r>
          </w:p>
        </w:tc>
        <w:tc>
          <w:tcPr>
            <w:tcW w:w="2429" w:type="dxa"/>
            <w:tcBorders>
              <w:bottom w:val="single" w:sz="12" w:space="0" w:color="auto"/>
            </w:tcBorders>
            <w:shd w:val="clear" w:color="auto" w:fill="auto"/>
          </w:tcPr>
          <w:p w14:paraId="577CBACF"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19 de marzo de 2002</w:t>
            </w:r>
          </w:p>
        </w:tc>
      </w:tr>
    </w:tbl>
    <w:p w14:paraId="096F5D46" w14:textId="7C3CB959" w:rsidR="004E0684" w:rsidRPr="006F084A" w:rsidRDefault="004E0684" w:rsidP="00F81780">
      <w:pPr>
        <w:pStyle w:val="Bullet1G"/>
        <w:keepNext/>
        <w:keepLines/>
        <w:spacing w:before="240" w:line="240" w:lineRule="exact"/>
        <w:ind w:left="1134"/>
        <w:jc w:val="left"/>
      </w:pPr>
      <w:r w:rsidRPr="00D51553">
        <w:rPr>
          <w:rFonts w:eastAsia="Calibri"/>
          <w:b/>
          <w:bCs/>
        </w:rPr>
        <w:t>Otros convenios relacionados con los derechos humanos</w:t>
      </w:r>
    </w:p>
    <w:tbl>
      <w:tblPr>
        <w:tblW w:w="7370" w:type="dxa"/>
        <w:tblInd w:w="1134" w:type="dxa"/>
        <w:tblBorders>
          <w:top w:val="single" w:sz="4" w:space="0" w:color="auto"/>
        </w:tblBorders>
        <w:tblCellMar>
          <w:left w:w="0" w:type="dxa"/>
          <w:right w:w="113" w:type="dxa"/>
        </w:tblCellMar>
        <w:tblLook w:val="0420" w:firstRow="1" w:lastRow="0" w:firstColumn="0" w:lastColumn="0" w:noHBand="0" w:noVBand="1"/>
      </w:tblPr>
      <w:tblGrid>
        <w:gridCol w:w="2282"/>
        <w:gridCol w:w="5088"/>
      </w:tblGrid>
      <w:tr w:rsidR="004E0684" w:rsidRPr="004E2640" w14:paraId="043958D1" w14:textId="77777777" w:rsidTr="008263FA">
        <w:trPr>
          <w:trHeight w:val="240"/>
          <w:tblHeader/>
        </w:trPr>
        <w:tc>
          <w:tcPr>
            <w:tcW w:w="2282" w:type="dxa"/>
            <w:tcBorders>
              <w:top w:val="single" w:sz="4" w:space="0" w:color="auto"/>
              <w:bottom w:val="single" w:sz="12" w:space="0" w:color="auto"/>
            </w:tcBorders>
            <w:shd w:val="clear" w:color="auto" w:fill="auto"/>
            <w:vAlign w:val="bottom"/>
            <w:hideMark/>
          </w:tcPr>
          <w:p w14:paraId="1059FEDB" w14:textId="77777777" w:rsidR="004E0684" w:rsidRPr="004E2640" w:rsidRDefault="004E0684" w:rsidP="00F81780">
            <w:pPr>
              <w:pStyle w:val="SingleTxtG"/>
              <w:keepNext/>
              <w:keepLines/>
              <w:tabs>
                <w:tab w:val="clear" w:pos="1701"/>
                <w:tab w:val="clear" w:pos="2268"/>
                <w:tab w:val="clear" w:pos="2835"/>
              </w:tabs>
              <w:spacing w:before="80" w:after="80" w:line="200" w:lineRule="exact"/>
              <w:ind w:left="0" w:right="0"/>
              <w:jc w:val="left"/>
              <w:rPr>
                <w:bCs/>
                <w:i/>
                <w:sz w:val="16"/>
                <w:lang w:val="es-ES_tradnl"/>
              </w:rPr>
            </w:pPr>
            <w:r w:rsidRPr="004E2640">
              <w:rPr>
                <w:bCs/>
                <w:i/>
                <w:sz w:val="16"/>
                <w:lang w:val="es-ES_tradnl"/>
              </w:rPr>
              <w:t>Fecha de ratificación/adhesión</w:t>
            </w:r>
          </w:p>
        </w:tc>
        <w:tc>
          <w:tcPr>
            <w:tcW w:w="5088" w:type="dxa"/>
            <w:tcBorders>
              <w:top w:val="single" w:sz="4" w:space="0" w:color="auto"/>
              <w:bottom w:val="single" w:sz="12" w:space="0" w:color="auto"/>
            </w:tcBorders>
            <w:shd w:val="clear" w:color="auto" w:fill="auto"/>
            <w:vAlign w:val="bottom"/>
            <w:hideMark/>
          </w:tcPr>
          <w:p w14:paraId="6792C26A" w14:textId="77777777" w:rsidR="004E0684" w:rsidRPr="004E2640" w:rsidRDefault="004E0684" w:rsidP="00F81780">
            <w:pPr>
              <w:pStyle w:val="SingleTxtG"/>
              <w:keepNext/>
              <w:keepLines/>
              <w:tabs>
                <w:tab w:val="clear" w:pos="1701"/>
                <w:tab w:val="clear" w:pos="2268"/>
                <w:tab w:val="clear" w:pos="2835"/>
              </w:tabs>
              <w:spacing w:before="80" w:after="80" w:line="200" w:lineRule="exact"/>
              <w:ind w:left="0" w:right="0"/>
              <w:jc w:val="left"/>
              <w:rPr>
                <w:bCs/>
                <w:i/>
                <w:sz w:val="16"/>
                <w:lang w:val="es-ES_tradnl"/>
              </w:rPr>
            </w:pPr>
            <w:r w:rsidRPr="004E2640">
              <w:rPr>
                <w:bCs/>
                <w:i/>
                <w:sz w:val="16"/>
                <w:lang w:val="es-ES_tradnl"/>
              </w:rPr>
              <w:t>Instrumentos internacionales</w:t>
            </w:r>
          </w:p>
        </w:tc>
      </w:tr>
      <w:tr w:rsidR="004E0684" w:rsidRPr="004E2640" w14:paraId="023BF09D" w14:textId="77777777" w:rsidTr="008263FA">
        <w:trPr>
          <w:trHeight w:hRule="exact" w:val="113"/>
          <w:tblHeader/>
        </w:trPr>
        <w:tc>
          <w:tcPr>
            <w:tcW w:w="2282" w:type="dxa"/>
            <w:tcBorders>
              <w:top w:val="single" w:sz="12" w:space="0" w:color="auto"/>
            </w:tcBorders>
            <w:shd w:val="clear" w:color="auto" w:fill="auto"/>
          </w:tcPr>
          <w:p w14:paraId="27110A84" w14:textId="6FCD694F" w:rsidR="004E0684" w:rsidRPr="004E2640" w:rsidRDefault="004E0684" w:rsidP="00F81780">
            <w:pPr>
              <w:pStyle w:val="SingleTxtG"/>
              <w:keepNext/>
              <w:keepLines/>
              <w:tabs>
                <w:tab w:val="clear" w:pos="1701"/>
                <w:tab w:val="clear" w:pos="2268"/>
                <w:tab w:val="clear" w:pos="2835"/>
              </w:tabs>
              <w:spacing w:before="40"/>
              <w:ind w:left="0" w:right="0"/>
              <w:jc w:val="left"/>
              <w:rPr>
                <w:lang w:val="es-ES_tradnl"/>
              </w:rPr>
            </w:pPr>
          </w:p>
        </w:tc>
        <w:tc>
          <w:tcPr>
            <w:tcW w:w="5088" w:type="dxa"/>
            <w:tcBorders>
              <w:top w:val="single" w:sz="12" w:space="0" w:color="auto"/>
            </w:tcBorders>
            <w:shd w:val="clear" w:color="auto" w:fill="auto"/>
          </w:tcPr>
          <w:p w14:paraId="53CD3375" w14:textId="67B397A4" w:rsidR="004E0684" w:rsidRPr="004E2640" w:rsidRDefault="004E0684" w:rsidP="00F81780">
            <w:pPr>
              <w:pStyle w:val="SingleTxtG"/>
              <w:keepNext/>
              <w:keepLines/>
              <w:tabs>
                <w:tab w:val="clear" w:pos="1701"/>
                <w:tab w:val="clear" w:pos="2268"/>
                <w:tab w:val="clear" w:pos="2835"/>
              </w:tabs>
              <w:spacing w:before="40"/>
              <w:ind w:left="0" w:right="0"/>
              <w:jc w:val="left"/>
              <w:rPr>
                <w:lang w:val="es-ES_tradnl"/>
              </w:rPr>
            </w:pPr>
          </w:p>
        </w:tc>
      </w:tr>
      <w:tr w:rsidR="004F510C" w:rsidRPr="004E2640" w14:paraId="1B104918" w14:textId="77777777" w:rsidTr="004E2640">
        <w:trPr>
          <w:trHeight w:val="240"/>
        </w:trPr>
        <w:tc>
          <w:tcPr>
            <w:tcW w:w="2282" w:type="dxa"/>
            <w:shd w:val="clear" w:color="auto" w:fill="auto"/>
          </w:tcPr>
          <w:p w14:paraId="55E22DEB" w14:textId="2DF9A032" w:rsidR="004F510C" w:rsidRPr="004E2640" w:rsidRDefault="004F510C" w:rsidP="00F81780">
            <w:pPr>
              <w:pStyle w:val="SingleTxtG"/>
              <w:keepNext/>
              <w:keepLines/>
              <w:tabs>
                <w:tab w:val="clear" w:pos="1701"/>
                <w:tab w:val="clear" w:pos="2268"/>
                <w:tab w:val="clear" w:pos="2835"/>
              </w:tabs>
              <w:spacing w:before="40"/>
              <w:ind w:left="0" w:right="0"/>
              <w:jc w:val="left"/>
              <w:rPr>
                <w:lang w:val="es-ES_tradnl"/>
              </w:rPr>
            </w:pPr>
            <w:r w:rsidRPr="004E2640">
              <w:rPr>
                <w:lang w:val="es-ES_tradnl"/>
              </w:rPr>
              <w:t>19 de junio de 1973</w:t>
            </w:r>
          </w:p>
        </w:tc>
        <w:tc>
          <w:tcPr>
            <w:tcW w:w="5088" w:type="dxa"/>
            <w:shd w:val="clear" w:color="auto" w:fill="auto"/>
          </w:tcPr>
          <w:p w14:paraId="61086B7B" w14:textId="17A878B7" w:rsidR="004F510C" w:rsidRPr="004E2640" w:rsidRDefault="004F510C" w:rsidP="00F81780">
            <w:pPr>
              <w:pStyle w:val="SingleTxtG"/>
              <w:keepNext/>
              <w:keepLines/>
              <w:tabs>
                <w:tab w:val="clear" w:pos="1701"/>
                <w:tab w:val="clear" w:pos="2268"/>
                <w:tab w:val="clear" w:pos="2835"/>
              </w:tabs>
              <w:spacing w:before="40"/>
              <w:ind w:left="0" w:right="0"/>
              <w:jc w:val="left"/>
              <w:rPr>
                <w:lang w:val="es-ES_tradnl"/>
              </w:rPr>
            </w:pPr>
            <w:r w:rsidRPr="004E2640">
              <w:rPr>
                <w:lang w:val="es-ES_tradnl"/>
              </w:rPr>
              <w:t>Convenio para la Represión de la Trata de Personas y de la Explotación de la Prostitución Ajena, 1949</w:t>
            </w:r>
          </w:p>
        </w:tc>
      </w:tr>
      <w:tr w:rsidR="004F510C" w:rsidRPr="004E2640" w14:paraId="631804FD" w14:textId="77777777" w:rsidTr="004E2640">
        <w:trPr>
          <w:trHeight w:val="240"/>
        </w:trPr>
        <w:tc>
          <w:tcPr>
            <w:tcW w:w="2282" w:type="dxa"/>
            <w:shd w:val="clear" w:color="auto" w:fill="auto"/>
            <w:hideMark/>
          </w:tcPr>
          <w:p w14:paraId="508A7A18"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19 de septiembre de 2002</w:t>
            </w:r>
          </w:p>
        </w:tc>
        <w:tc>
          <w:tcPr>
            <w:tcW w:w="5088" w:type="dxa"/>
            <w:shd w:val="clear" w:color="auto" w:fill="auto"/>
            <w:hideMark/>
          </w:tcPr>
          <w:p w14:paraId="6B7ADA5D"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Convención de las Naciones Unidas contra la Delincuencia Organizada Transnacional, 2000</w:t>
            </w:r>
          </w:p>
        </w:tc>
      </w:tr>
      <w:tr w:rsidR="004F510C" w:rsidRPr="004E2640" w14:paraId="035D4F13" w14:textId="77777777" w:rsidTr="004E2640">
        <w:trPr>
          <w:trHeight w:val="240"/>
        </w:trPr>
        <w:tc>
          <w:tcPr>
            <w:tcW w:w="2282" w:type="dxa"/>
            <w:shd w:val="clear" w:color="auto" w:fill="auto"/>
            <w:hideMark/>
          </w:tcPr>
          <w:p w14:paraId="2B844AA2"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lastRenderedPageBreak/>
              <w:t>5 de marzo de 2011</w:t>
            </w:r>
          </w:p>
        </w:tc>
        <w:tc>
          <w:tcPr>
            <w:tcW w:w="5088" w:type="dxa"/>
            <w:shd w:val="clear" w:color="auto" w:fill="auto"/>
            <w:hideMark/>
          </w:tcPr>
          <w:p w14:paraId="0D2FF1D6"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 xml:space="preserve">Protocolo para Prevenir, Reprimir y Sancionar la Trata de Personas, Especialmente Mujeres y Niños, que complementa la Convención de las Naciones Unidas contra la Delincuencia Organizada Transnacional, 2000 </w:t>
            </w:r>
          </w:p>
        </w:tc>
      </w:tr>
      <w:tr w:rsidR="004F510C" w:rsidRPr="004E2640" w14:paraId="28DE6E2E" w14:textId="77777777" w:rsidTr="004E2640">
        <w:trPr>
          <w:trHeight w:val="240"/>
        </w:trPr>
        <w:tc>
          <w:tcPr>
            <w:tcW w:w="2282" w:type="dxa"/>
            <w:tcBorders>
              <w:bottom w:val="single" w:sz="12" w:space="0" w:color="auto"/>
            </w:tcBorders>
            <w:shd w:val="clear" w:color="auto" w:fill="auto"/>
            <w:hideMark/>
          </w:tcPr>
          <w:p w14:paraId="2DAF4573"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8 de abril de 2009</w:t>
            </w:r>
          </w:p>
        </w:tc>
        <w:tc>
          <w:tcPr>
            <w:tcW w:w="5088" w:type="dxa"/>
            <w:tcBorders>
              <w:bottom w:val="single" w:sz="12" w:space="0" w:color="auto"/>
            </w:tcBorders>
            <w:shd w:val="clear" w:color="auto" w:fill="auto"/>
            <w:hideMark/>
          </w:tcPr>
          <w:p w14:paraId="3808136F" w14:textId="77777777" w:rsidR="004F510C" w:rsidRPr="004E2640" w:rsidRDefault="004F510C" w:rsidP="004E2640">
            <w:pPr>
              <w:pStyle w:val="SingleTxtG"/>
              <w:tabs>
                <w:tab w:val="clear" w:pos="1701"/>
                <w:tab w:val="clear" w:pos="2268"/>
                <w:tab w:val="clear" w:pos="2835"/>
              </w:tabs>
              <w:spacing w:before="40"/>
              <w:ind w:left="0" w:right="0"/>
              <w:jc w:val="left"/>
              <w:rPr>
                <w:lang w:val="es-ES_tradnl"/>
              </w:rPr>
            </w:pPr>
            <w:r w:rsidRPr="004E2640">
              <w:rPr>
                <w:lang w:val="es-ES_tradnl"/>
              </w:rPr>
              <w:t>Protocolo de 2001 contra la Fabricación y el Tráfico Ilícitos de Armas de Fuego, sus Piezas y Componentes y Municiones, que complementa la Convención de las Naciones Unidas contra la Delincuencia Organizada Transnacional</w:t>
            </w:r>
          </w:p>
        </w:tc>
      </w:tr>
    </w:tbl>
    <w:p w14:paraId="7835A0EA"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Convenios de la Organización Internacional del Trabajo (OIT)</w:t>
      </w:r>
    </w:p>
    <w:p w14:paraId="3C6B38C7" w14:textId="012E690E" w:rsidR="004E0684" w:rsidRPr="006F084A" w:rsidRDefault="004E0684" w:rsidP="004E0684">
      <w:pPr>
        <w:pStyle w:val="SingleTxtG"/>
        <w:rPr>
          <w:rFonts w:eastAsia="Calibri"/>
        </w:rPr>
      </w:pPr>
      <w:r w:rsidRPr="006F084A">
        <w:t>55.</w:t>
      </w:r>
      <w:r w:rsidR="008B075D">
        <w:tab/>
      </w:r>
      <w:r w:rsidRPr="006F084A">
        <w:t xml:space="preserve">El Reino de Marruecos ha ratificado y se ha adherido a 65 </w:t>
      </w:r>
      <w:r w:rsidR="008263FA" w:rsidRPr="006F084A">
        <w:t xml:space="preserve">Convenios </w:t>
      </w:r>
      <w:r w:rsidRPr="006F084A">
        <w:t>de la OIT, incluidos 7 convenios fundamentales, a saber</w:t>
      </w:r>
      <w:r w:rsidR="008B075D">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070"/>
        <w:gridCol w:w="4509"/>
        <w:gridCol w:w="791"/>
      </w:tblGrid>
      <w:tr w:rsidR="004E0684" w:rsidRPr="00B53F22" w14:paraId="03DEEDCC" w14:textId="77777777" w:rsidTr="008263FA">
        <w:trPr>
          <w:trHeight w:val="240"/>
          <w:tblHeader/>
        </w:trPr>
        <w:tc>
          <w:tcPr>
            <w:tcW w:w="2070" w:type="dxa"/>
            <w:tcBorders>
              <w:top w:val="single" w:sz="4" w:space="0" w:color="auto"/>
              <w:bottom w:val="single" w:sz="12" w:space="0" w:color="auto"/>
            </w:tcBorders>
            <w:shd w:val="clear" w:color="auto" w:fill="auto"/>
            <w:vAlign w:val="bottom"/>
          </w:tcPr>
          <w:p w14:paraId="786E0939" w14:textId="77777777" w:rsidR="004E0684" w:rsidRPr="00B53F22" w:rsidRDefault="004E0684" w:rsidP="00B53F22">
            <w:pPr>
              <w:pStyle w:val="SingleTxtG"/>
              <w:tabs>
                <w:tab w:val="clear" w:pos="1701"/>
                <w:tab w:val="clear" w:pos="2268"/>
                <w:tab w:val="clear" w:pos="2835"/>
              </w:tabs>
              <w:spacing w:before="80" w:after="80" w:line="200" w:lineRule="exact"/>
              <w:ind w:left="0" w:right="0"/>
              <w:jc w:val="left"/>
              <w:rPr>
                <w:rFonts w:eastAsia="Calibri"/>
                <w:bCs/>
                <w:i/>
                <w:sz w:val="16"/>
                <w:lang w:val="es-ES_tradnl"/>
              </w:rPr>
            </w:pPr>
            <w:r w:rsidRPr="00B53F22">
              <w:rPr>
                <w:bCs/>
                <w:i/>
                <w:sz w:val="16"/>
                <w:lang w:val="es-ES_tradnl"/>
              </w:rPr>
              <w:t>Fecha de ratificación/adhesión</w:t>
            </w:r>
          </w:p>
        </w:tc>
        <w:tc>
          <w:tcPr>
            <w:tcW w:w="4509" w:type="dxa"/>
            <w:tcBorders>
              <w:top w:val="single" w:sz="4" w:space="0" w:color="auto"/>
              <w:bottom w:val="single" w:sz="12" w:space="0" w:color="auto"/>
            </w:tcBorders>
            <w:shd w:val="clear" w:color="auto" w:fill="auto"/>
            <w:vAlign w:val="bottom"/>
          </w:tcPr>
          <w:p w14:paraId="3064D53B" w14:textId="77777777" w:rsidR="004E0684" w:rsidRPr="00B53F22" w:rsidRDefault="004E0684" w:rsidP="00B53F22">
            <w:pPr>
              <w:pStyle w:val="SingleTxtG"/>
              <w:tabs>
                <w:tab w:val="clear" w:pos="1701"/>
                <w:tab w:val="clear" w:pos="2268"/>
                <w:tab w:val="clear" w:pos="2835"/>
              </w:tabs>
              <w:spacing w:before="80" w:after="80" w:line="200" w:lineRule="exact"/>
              <w:ind w:left="113" w:right="0"/>
              <w:jc w:val="left"/>
              <w:rPr>
                <w:rFonts w:eastAsia="Calibri"/>
                <w:bCs/>
                <w:i/>
                <w:sz w:val="16"/>
                <w:lang w:val="es-ES_tradnl"/>
              </w:rPr>
            </w:pPr>
            <w:r w:rsidRPr="00B53F22">
              <w:rPr>
                <w:bCs/>
                <w:i/>
                <w:sz w:val="16"/>
                <w:lang w:val="es-ES_tradnl"/>
              </w:rPr>
              <w:t>Convenio</w:t>
            </w:r>
          </w:p>
        </w:tc>
        <w:tc>
          <w:tcPr>
            <w:tcW w:w="791" w:type="dxa"/>
            <w:tcBorders>
              <w:top w:val="single" w:sz="4" w:space="0" w:color="auto"/>
              <w:bottom w:val="single" w:sz="12" w:space="0" w:color="auto"/>
            </w:tcBorders>
            <w:shd w:val="clear" w:color="auto" w:fill="auto"/>
            <w:vAlign w:val="bottom"/>
          </w:tcPr>
          <w:p w14:paraId="27550649" w14:textId="77777777" w:rsidR="004E0684" w:rsidRPr="00B53F22" w:rsidRDefault="004E0684" w:rsidP="00B53F22">
            <w:pPr>
              <w:pStyle w:val="SingleTxtG"/>
              <w:tabs>
                <w:tab w:val="clear" w:pos="1701"/>
                <w:tab w:val="clear" w:pos="2268"/>
                <w:tab w:val="clear" w:pos="2835"/>
              </w:tabs>
              <w:spacing w:before="80" w:after="80" w:line="200" w:lineRule="exact"/>
              <w:ind w:left="113" w:right="0"/>
              <w:jc w:val="right"/>
              <w:rPr>
                <w:rFonts w:eastAsia="Calibri"/>
                <w:bCs/>
                <w:i/>
                <w:sz w:val="16"/>
                <w:lang w:val="en-US"/>
              </w:rPr>
            </w:pPr>
            <w:proofErr w:type="spellStart"/>
            <w:r w:rsidRPr="00B53F22">
              <w:rPr>
                <w:bCs/>
                <w:i/>
                <w:sz w:val="16"/>
                <w:lang w:val="en-US"/>
              </w:rPr>
              <w:t>Número</w:t>
            </w:r>
            <w:proofErr w:type="spellEnd"/>
          </w:p>
        </w:tc>
      </w:tr>
      <w:tr w:rsidR="00B53F22" w:rsidRPr="00B53F22" w14:paraId="323376C8" w14:textId="77777777" w:rsidTr="008263FA">
        <w:trPr>
          <w:trHeight w:val="240"/>
        </w:trPr>
        <w:tc>
          <w:tcPr>
            <w:tcW w:w="2070" w:type="dxa"/>
            <w:tcBorders>
              <w:top w:val="single" w:sz="12" w:space="0" w:color="auto"/>
            </w:tcBorders>
            <w:shd w:val="clear" w:color="auto" w:fill="auto"/>
          </w:tcPr>
          <w:p w14:paraId="1A556555" w14:textId="1E18EF09"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14 de octubre de 1960</w:t>
            </w:r>
          </w:p>
        </w:tc>
        <w:tc>
          <w:tcPr>
            <w:tcW w:w="4509" w:type="dxa"/>
            <w:tcBorders>
              <w:top w:val="single" w:sz="12" w:space="0" w:color="auto"/>
            </w:tcBorders>
            <w:shd w:val="clear" w:color="auto" w:fill="auto"/>
            <w:vAlign w:val="bottom"/>
          </w:tcPr>
          <w:p w14:paraId="591D2686" w14:textId="3D96E3CB"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el Desempleo</w:t>
            </w:r>
          </w:p>
        </w:tc>
        <w:tc>
          <w:tcPr>
            <w:tcW w:w="791" w:type="dxa"/>
            <w:tcBorders>
              <w:top w:val="single" w:sz="12" w:space="0" w:color="auto"/>
            </w:tcBorders>
            <w:shd w:val="clear" w:color="auto" w:fill="auto"/>
            <w:vAlign w:val="bottom"/>
          </w:tcPr>
          <w:p w14:paraId="4E5BC8CE" w14:textId="60ADAD13"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2</w:t>
            </w:r>
          </w:p>
        </w:tc>
      </w:tr>
      <w:tr w:rsidR="00B53F22" w:rsidRPr="00B53F22" w14:paraId="0FA404CB" w14:textId="77777777" w:rsidTr="00B53F22">
        <w:trPr>
          <w:trHeight w:val="240"/>
        </w:trPr>
        <w:tc>
          <w:tcPr>
            <w:tcW w:w="2070" w:type="dxa"/>
            <w:shd w:val="clear" w:color="auto" w:fill="auto"/>
            <w:hideMark/>
          </w:tcPr>
          <w:p w14:paraId="7B60985D" w14:textId="772FB65B"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13</w:t>
            </w:r>
            <w:r w:rsidR="008263FA">
              <w:rPr>
                <w:sz w:val="18"/>
                <w:lang w:val="es-ES_tradnl"/>
              </w:rPr>
              <w:t xml:space="preserve"> de</w:t>
            </w:r>
            <w:r w:rsidRPr="00B53F22">
              <w:rPr>
                <w:sz w:val="18"/>
                <w:lang w:val="es-ES_tradnl"/>
              </w:rPr>
              <w:t xml:space="preserve"> junio </w:t>
            </w:r>
            <w:r w:rsidR="008263FA">
              <w:rPr>
                <w:sz w:val="18"/>
                <w:lang w:val="es-ES_tradnl"/>
              </w:rPr>
              <w:t xml:space="preserve">de </w:t>
            </w:r>
            <w:r w:rsidRPr="00B53F22">
              <w:rPr>
                <w:sz w:val="18"/>
                <w:lang w:val="es-ES_tradnl"/>
              </w:rPr>
              <w:t>1956</w:t>
            </w:r>
          </w:p>
        </w:tc>
        <w:tc>
          <w:tcPr>
            <w:tcW w:w="4509" w:type="dxa"/>
            <w:shd w:val="clear" w:color="auto" w:fill="auto"/>
            <w:vAlign w:val="bottom"/>
            <w:hideMark/>
          </w:tcPr>
          <w:p w14:paraId="43C23374"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el Trabajo Nocturno (Mujeres)</w:t>
            </w:r>
          </w:p>
        </w:tc>
        <w:tc>
          <w:tcPr>
            <w:tcW w:w="791" w:type="dxa"/>
            <w:shd w:val="clear" w:color="auto" w:fill="auto"/>
            <w:vAlign w:val="bottom"/>
            <w:hideMark/>
          </w:tcPr>
          <w:p w14:paraId="0C3CB2CC"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4</w:t>
            </w:r>
          </w:p>
        </w:tc>
      </w:tr>
      <w:tr w:rsidR="00B53F22" w:rsidRPr="00B53F22" w14:paraId="7C1E5795" w14:textId="77777777" w:rsidTr="00B53F22">
        <w:trPr>
          <w:trHeight w:val="240"/>
        </w:trPr>
        <w:tc>
          <w:tcPr>
            <w:tcW w:w="2070" w:type="dxa"/>
            <w:shd w:val="clear" w:color="auto" w:fill="auto"/>
            <w:hideMark/>
          </w:tcPr>
          <w:p w14:paraId="22589A91"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20 de mayo de 1957</w:t>
            </w:r>
          </w:p>
        </w:tc>
        <w:tc>
          <w:tcPr>
            <w:tcW w:w="4509" w:type="dxa"/>
            <w:shd w:val="clear" w:color="auto" w:fill="auto"/>
            <w:vAlign w:val="bottom"/>
            <w:hideMark/>
          </w:tcPr>
          <w:p w14:paraId="3C2E76B5"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el Derecho de Asociación (Agricultura)</w:t>
            </w:r>
          </w:p>
        </w:tc>
        <w:tc>
          <w:tcPr>
            <w:tcW w:w="791" w:type="dxa"/>
            <w:shd w:val="clear" w:color="auto" w:fill="auto"/>
            <w:vAlign w:val="bottom"/>
            <w:hideMark/>
          </w:tcPr>
          <w:p w14:paraId="5D8CC2E9"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11</w:t>
            </w:r>
          </w:p>
        </w:tc>
      </w:tr>
      <w:tr w:rsidR="00B53F22" w:rsidRPr="00B53F22" w14:paraId="6869746F" w14:textId="77777777" w:rsidTr="00B53F22">
        <w:trPr>
          <w:trHeight w:val="240"/>
        </w:trPr>
        <w:tc>
          <w:tcPr>
            <w:tcW w:w="2070" w:type="dxa"/>
            <w:shd w:val="clear" w:color="auto" w:fill="auto"/>
            <w:hideMark/>
          </w:tcPr>
          <w:p w14:paraId="3312E165"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20 de septiembre de 1956</w:t>
            </w:r>
          </w:p>
        </w:tc>
        <w:tc>
          <w:tcPr>
            <w:tcW w:w="4509" w:type="dxa"/>
            <w:shd w:val="clear" w:color="auto" w:fill="auto"/>
            <w:vAlign w:val="bottom"/>
            <w:hideMark/>
          </w:tcPr>
          <w:p w14:paraId="765DB9AD"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Indemnización por Accidentes del Trabajo (Agricultura)</w:t>
            </w:r>
          </w:p>
        </w:tc>
        <w:tc>
          <w:tcPr>
            <w:tcW w:w="791" w:type="dxa"/>
            <w:shd w:val="clear" w:color="auto" w:fill="auto"/>
            <w:vAlign w:val="bottom"/>
            <w:hideMark/>
          </w:tcPr>
          <w:p w14:paraId="04A927D3"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12</w:t>
            </w:r>
          </w:p>
        </w:tc>
      </w:tr>
      <w:tr w:rsidR="00B53F22" w:rsidRPr="00B53F22" w14:paraId="1B8A26D7" w14:textId="77777777" w:rsidTr="00B53F22">
        <w:trPr>
          <w:trHeight w:val="240"/>
        </w:trPr>
        <w:tc>
          <w:tcPr>
            <w:tcW w:w="2070" w:type="dxa"/>
            <w:shd w:val="clear" w:color="auto" w:fill="auto"/>
            <w:hideMark/>
          </w:tcPr>
          <w:p w14:paraId="30A4BBAA"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13 de junio de 1956</w:t>
            </w:r>
          </w:p>
        </w:tc>
        <w:tc>
          <w:tcPr>
            <w:tcW w:w="4509" w:type="dxa"/>
            <w:shd w:val="clear" w:color="auto" w:fill="auto"/>
            <w:vAlign w:val="bottom"/>
            <w:hideMark/>
          </w:tcPr>
          <w:p w14:paraId="3AC02D78"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Cerusa (Pintura)</w:t>
            </w:r>
          </w:p>
        </w:tc>
        <w:tc>
          <w:tcPr>
            <w:tcW w:w="791" w:type="dxa"/>
            <w:shd w:val="clear" w:color="auto" w:fill="auto"/>
            <w:vAlign w:val="bottom"/>
            <w:hideMark/>
          </w:tcPr>
          <w:p w14:paraId="799D1DB8"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13</w:t>
            </w:r>
          </w:p>
        </w:tc>
      </w:tr>
      <w:tr w:rsidR="00B53F22" w:rsidRPr="00B53F22" w14:paraId="12A37DD6" w14:textId="77777777" w:rsidTr="00B53F22">
        <w:trPr>
          <w:trHeight w:val="240"/>
        </w:trPr>
        <w:tc>
          <w:tcPr>
            <w:tcW w:w="2070" w:type="dxa"/>
            <w:shd w:val="clear" w:color="auto" w:fill="auto"/>
            <w:hideMark/>
          </w:tcPr>
          <w:p w14:paraId="1E00B77C"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20 de septiembre de 1956</w:t>
            </w:r>
          </w:p>
        </w:tc>
        <w:tc>
          <w:tcPr>
            <w:tcW w:w="4509" w:type="dxa"/>
            <w:shd w:val="clear" w:color="auto" w:fill="auto"/>
            <w:vAlign w:val="bottom"/>
            <w:hideMark/>
          </w:tcPr>
          <w:p w14:paraId="1C8BDE6D"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el Descanso Semanal (Industria)</w:t>
            </w:r>
          </w:p>
        </w:tc>
        <w:tc>
          <w:tcPr>
            <w:tcW w:w="791" w:type="dxa"/>
            <w:shd w:val="clear" w:color="auto" w:fill="auto"/>
            <w:vAlign w:val="bottom"/>
            <w:hideMark/>
          </w:tcPr>
          <w:p w14:paraId="3CE0AEED"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14</w:t>
            </w:r>
          </w:p>
        </w:tc>
      </w:tr>
      <w:tr w:rsidR="00B53F22" w:rsidRPr="00B53F22" w14:paraId="7B0D77C7" w14:textId="77777777" w:rsidTr="00B53F22">
        <w:trPr>
          <w:trHeight w:val="240"/>
        </w:trPr>
        <w:tc>
          <w:tcPr>
            <w:tcW w:w="2070" w:type="dxa"/>
            <w:shd w:val="clear" w:color="auto" w:fill="auto"/>
            <w:hideMark/>
          </w:tcPr>
          <w:p w14:paraId="251F3603"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14 de marzo de 1958</w:t>
            </w:r>
          </w:p>
        </w:tc>
        <w:tc>
          <w:tcPr>
            <w:tcW w:w="4509" w:type="dxa"/>
            <w:shd w:val="clear" w:color="auto" w:fill="auto"/>
            <w:vAlign w:val="bottom"/>
            <w:hideMark/>
          </w:tcPr>
          <w:p w14:paraId="3967DE91"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Edad Mínima (Pañoleros y Fogoneros)</w:t>
            </w:r>
          </w:p>
        </w:tc>
        <w:tc>
          <w:tcPr>
            <w:tcW w:w="791" w:type="dxa"/>
            <w:shd w:val="clear" w:color="auto" w:fill="auto"/>
            <w:vAlign w:val="bottom"/>
            <w:hideMark/>
          </w:tcPr>
          <w:p w14:paraId="60D23378"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15</w:t>
            </w:r>
          </w:p>
        </w:tc>
      </w:tr>
      <w:tr w:rsidR="00B53F22" w:rsidRPr="00B53F22" w14:paraId="0566E9E6" w14:textId="77777777" w:rsidTr="00B53F22">
        <w:trPr>
          <w:trHeight w:val="240"/>
        </w:trPr>
        <w:tc>
          <w:tcPr>
            <w:tcW w:w="2070" w:type="dxa"/>
            <w:shd w:val="clear" w:color="auto" w:fill="auto"/>
            <w:hideMark/>
          </w:tcPr>
          <w:p w14:paraId="4EB910CB"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20 de septiembre de 1956</w:t>
            </w:r>
          </w:p>
        </w:tc>
        <w:tc>
          <w:tcPr>
            <w:tcW w:w="4509" w:type="dxa"/>
            <w:shd w:val="clear" w:color="auto" w:fill="auto"/>
            <w:vAlign w:val="bottom"/>
            <w:hideMark/>
          </w:tcPr>
          <w:p w14:paraId="2CC60D32"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Indemnización por Accidentes del Trabajo</w:t>
            </w:r>
          </w:p>
        </w:tc>
        <w:tc>
          <w:tcPr>
            <w:tcW w:w="791" w:type="dxa"/>
            <w:shd w:val="clear" w:color="auto" w:fill="auto"/>
            <w:vAlign w:val="bottom"/>
            <w:hideMark/>
          </w:tcPr>
          <w:p w14:paraId="44F4FBA6"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17</w:t>
            </w:r>
          </w:p>
        </w:tc>
      </w:tr>
      <w:tr w:rsidR="00B53F22" w:rsidRPr="00B53F22" w14:paraId="628EF298" w14:textId="77777777" w:rsidTr="00B53F22">
        <w:trPr>
          <w:trHeight w:val="240"/>
        </w:trPr>
        <w:tc>
          <w:tcPr>
            <w:tcW w:w="2070" w:type="dxa"/>
            <w:shd w:val="clear" w:color="auto" w:fill="auto"/>
            <w:hideMark/>
          </w:tcPr>
          <w:p w14:paraId="5827C0D2"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20 de septiembre de 1956</w:t>
            </w:r>
          </w:p>
        </w:tc>
        <w:tc>
          <w:tcPr>
            <w:tcW w:w="4509" w:type="dxa"/>
            <w:shd w:val="clear" w:color="auto" w:fill="auto"/>
            <w:vAlign w:val="bottom"/>
            <w:hideMark/>
          </w:tcPr>
          <w:p w14:paraId="081D0ED6"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las Enfermedades Profesionales</w:t>
            </w:r>
          </w:p>
        </w:tc>
        <w:tc>
          <w:tcPr>
            <w:tcW w:w="791" w:type="dxa"/>
            <w:shd w:val="clear" w:color="auto" w:fill="auto"/>
            <w:vAlign w:val="bottom"/>
            <w:hideMark/>
          </w:tcPr>
          <w:p w14:paraId="5DCED359"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18</w:t>
            </w:r>
          </w:p>
        </w:tc>
      </w:tr>
      <w:tr w:rsidR="00B53F22" w:rsidRPr="00B53F22" w14:paraId="24F896AD" w14:textId="77777777" w:rsidTr="00B53F22">
        <w:trPr>
          <w:trHeight w:val="240"/>
        </w:trPr>
        <w:tc>
          <w:tcPr>
            <w:tcW w:w="2070" w:type="dxa"/>
            <w:shd w:val="clear" w:color="auto" w:fill="auto"/>
            <w:hideMark/>
          </w:tcPr>
          <w:p w14:paraId="20FD9553"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13 de junio de 1956</w:t>
            </w:r>
          </w:p>
        </w:tc>
        <w:tc>
          <w:tcPr>
            <w:tcW w:w="4509" w:type="dxa"/>
            <w:shd w:val="clear" w:color="auto" w:fill="auto"/>
            <w:vAlign w:val="bottom"/>
            <w:hideMark/>
          </w:tcPr>
          <w:p w14:paraId="3B565E67"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Igualdad de Trato (Accidentes del Trabajo)</w:t>
            </w:r>
          </w:p>
        </w:tc>
        <w:tc>
          <w:tcPr>
            <w:tcW w:w="791" w:type="dxa"/>
            <w:shd w:val="clear" w:color="auto" w:fill="auto"/>
            <w:vAlign w:val="bottom"/>
            <w:hideMark/>
          </w:tcPr>
          <w:p w14:paraId="7B7079AB"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19</w:t>
            </w:r>
          </w:p>
        </w:tc>
      </w:tr>
      <w:tr w:rsidR="00B53F22" w:rsidRPr="00B53F22" w14:paraId="69D6114D" w14:textId="77777777" w:rsidTr="00B53F22">
        <w:trPr>
          <w:trHeight w:val="240"/>
        </w:trPr>
        <w:tc>
          <w:tcPr>
            <w:tcW w:w="2070" w:type="dxa"/>
            <w:shd w:val="clear" w:color="auto" w:fill="auto"/>
            <w:hideMark/>
          </w:tcPr>
          <w:p w14:paraId="6FB92092"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14 de marzo de 1958</w:t>
            </w:r>
          </w:p>
        </w:tc>
        <w:tc>
          <w:tcPr>
            <w:tcW w:w="4509" w:type="dxa"/>
            <w:shd w:val="clear" w:color="auto" w:fill="auto"/>
            <w:vAlign w:val="bottom"/>
            <w:hideMark/>
          </w:tcPr>
          <w:p w14:paraId="2C2363F2" w14:textId="27EC57A8"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el Contrato de Enrolamiento de la</w:t>
            </w:r>
            <w:r w:rsidR="008263FA">
              <w:rPr>
                <w:sz w:val="18"/>
                <w:lang w:val="es-ES_tradnl"/>
              </w:rPr>
              <w:br/>
            </w:r>
            <w:r w:rsidRPr="00B53F22">
              <w:rPr>
                <w:sz w:val="18"/>
                <w:lang w:val="es-ES_tradnl"/>
              </w:rPr>
              <w:t>Gente de Mar</w:t>
            </w:r>
          </w:p>
        </w:tc>
        <w:tc>
          <w:tcPr>
            <w:tcW w:w="791" w:type="dxa"/>
            <w:shd w:val="clear" w:color="auto" w:fill="auto"/>
            <w:vAlign w:val="bottom"/>
            <w:hideMark/>
          </w:tcPr>
          <w:p w14:paraId="64BE0BC3"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22</w:t>
            </w:r>
          </w:p>
        </w:tc>
      </w:tr>
      <w:tr w:rsidR="00B53F22" w:rsidRPr="00B53F22" w14:paraId="64D18AE8" w14:textId="77777777" w:rsidTr="00B53F22">
        <w:trPr>
          <w:trHeight w:val="240"/>
        </w:trPr>
        <w:tc>
          <w:tcPr>
            <w:tcW w:w="2070" w:type="dxa"/>
            <w:shd w:val="clear" w:color="auto" w:fill="auto"/>
            <w:hideMark/>
          </w:tcPr>
          <w:p w14:paraId="5462B287"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14 de marzo de 1958</w:t>
            </w:r>
          </w:p>
        </w:tc>
        <w:tc>
          <w:tcPr>
            <w:tcW w:w="4509" w:type="dxa"/>
            <w:shd w:val="clear" w:color="auto" w:fill="auto"/>
            <w:vAlign w:val="bottom"/>
            <w:hideMark/>
          </w:tcPr>
          <w:p w14:paraId="6967D309"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los Métodos para la Fijación de Salarios Mínimos</w:t>
            </w:r>
          </w:p>
        </w:tc>
        <w:tc>
          <w:tcPr>
            <w:tcW w:w="791" w:type="dxa"/>
            <w:shd w:val="clear" w:color="auto" w:fill="auto"/>
            <w:vAlign w:val="bottom"/>
            <w:hideMark/>
          </w:tcPr>
          <w:p w14:paraId="4F17F2FC"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26</w:t>
            </w:r>
          </w:p>
        </w:tc>
      </w:tr>
      <w:tr w:rsidR="00B53F22" w:rsidRPr="00B53F22" w14:paraId="5A4435DD" w14:textId="77777777" w:rsidTr="00B53F22">
        <w:trPr>
          <w:trHeight w:val="240"/>
        </w:trPr>
        <w:tc>
          <w:tcPr>
            <w:tcW w:w="2070" w:type="dxa"/>
            <w:shd w:val="clear" w:color="auto" w:fill="auto"/>
            <w:hideMark/>
          </w:tcPr>
          <w:p w14:paraId="55CACC8F"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20 de septiembre de 1956</w:t>
            </w:r>
          </w:p>
        </w:tc>
        <w:tc>
          <w:tcPr>
            <w:tcW w:w="4509" w:type="dxa"/>
            <w:shd w:val="clear" w:color="auto" w:fill="auto"/>
            <w:vAlign w:val="bottom"/>
            <w:hideMark/>
          </w:tcPr>
          <w:p w14:paraId="60166177"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Indicación del Peso en los Fardos Transportados por Barco</w:t>
            </w:r>
          </w:p>
        </w:tc>
        <w:tc>
          <w:tcPr>
            <w:tcW w:w="791" w:type="dxa"/>
            <w:shd w:val="clear" w:color="auto" w:fill="auto"/>
            <w:vAlign w:val="bottom"/>
            <w:hideMark/>
          </w:tcPr>
          <w:p w14:paraId="55A5F210"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27</w:t>
            </w:r>
          </w:p>
        </w:tc>
      </w:tr>
      <w:tr w:rsidR="00B53F22" w:rsidRPr="00B53F22" w14:paraId="2785A230" w14:textId="77777777" w:rsidTr="00B53F22">
        <w:trPr>
          <w:trHeight w:val="240"/>
        </w:trPr>
        <w:tc>
          <w:tcPr>
            <w:tcW w:w="2070" w:type="dxa"/>
            <w:shd w:val="clear" w:color="auto" w:fill="auto"/>
          </w:tcPr>
          <w:p w14:paraId="05D34843"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B53F22">
              <w:rPr>
                <w:sz w:val="18"/>
                <w:lang w:val="es-ES_tradnl"/>
              </w:rPr>
              <w:t>20 de mayo de 1957</w:t>
            </w:r>
          </w:p>
        </w:tc>
        <w:tc>
          <w:tcPr>
            <w:tcW w:w="4509" w:type="dxa"/>
            <w:shd w:val="clear" w:color="auto" w:fill="auto"/>
            <w:vAlign w:val="bottom"/>
          </w:tcPr>
          <w:p w14:paraId="1587F82D"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rFonts w:eastAsia="Calibri"/>
                <w:sz w:val="18"/>
                <w:lang w:val="es-ES_tradnl"/>
              </w:rPr>
            </w:pPr>
            <w:r w:rsidRPr="00B53F22">
              <w:rPr>
                <w:sz w:val="18"/>
                <w:lang w:val="es-ES_tradnl"/>
              </w:rPr>
              <w:t>Convenio sobre el Trabajo Forzoso</w:t>
            </w:r>
          </w:p>
        </w:tc>
        <w:tc>
          <w:tcPr>
            <w:tcW w:w="791" w:type="dxa"/>
            <w:vMerge w:val="restart"/>
            <w:shd w:val="clear" w:color="auto" w:fill="auto"/>
            <w:vAlign w:val="bottom"/>
          </w:tcPr>
          <w:p w14:paraId="1C4894EA"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B53F22">
              <w:rPr>
                <w:sz w:val="18"/>
                <w:lang w:val="en-US"/>
              </w:rPr>
              <w:t>29</w:t>
            </w:r>
          </w:p>
        </w:tc>
      </w:tr>
      <w:tr w:rsidR="00B53F22" w:rsidRPr="00B53F22" w14:paraId="6D432F92" w14:textId="77777777" w:rsidTr="00B53F22">
        <w:trPr>
          <w:trHeight w:val="240"/>
        </w:trPr>
        <w:tc>
          <w:tcPr>
            <w:tcW w:w="2070" w:type="dxa"/>
            <w:shd w:val="clear" w:color="auto" w:fill="auto"/>
          </w:tcPr>
          <w:p w14:paraId="4CABC25C"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B53F22">
              <w:rPr>
                <w:sz w:val="18"/>
                <w:lang w:val="es-ES_tradnl"/>
              </w:rPr>
              <w:t>23 de agosto de 2018</w:t>
            </w:r>
          </w:p>
        </w:tc>
        <w:tc>
          <w:tcPr>
            <w:tcW w:w="4509" w:type="dxa"/>
            <w:shd w:val="clear" w:color="auto" w:fill="auto"/>
            <w:vAlign w:val="bottom"/>
          </w:tcPr>
          <w:p w14:paraId="744C22BA"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rFonts w:eastAsia="Calibri"/>
                <w:sz w:val="18"/>
                <w:lang w:val="es-ES_tradnl"/>
              </w:rPr>
            </w:pPr>
            <w:r w:rsidRPr="00B53F22">
              <w:rPr>
                <w:sz w:val="18"/>
                <w:lang w:val="es-ES_tradnl"/>
              </w:rPr>
              <w:t xml:space="preserve">Además, tras ser aprobado por el Parlamento el 24 de julio de 2018 y en virtud de la Ley núm. 16-81 publicada en el </w:t>
            </w:r>
            <w:r w:rsidRPr="008263FA">
              <w:rPr>
                <w:i/>
                <w:sz w:val="18"/>
                <w:lang w:val="es-ES_tradnl"/>
              </w:rPr>
              <w:t>Boletín Oficial</w:t>
            </w:r>
            <w:r w:rsidRPr="00B53F22">
              <w:rPr>
                <w:sz w:val="18"/>
                <w:lang w:val="es-ES_tradnl"/>
              </w:rPr>
              <w:t xml:space="preserve"> núm. 6.702, el Reino de Marruecos ratificó el Protocolo de 2014 relativo al Convenio sobre el Trabajo Forzoso (núm. 29). </w:t>
            </w:r>
          </w:p>
        </w:tc>
        <w:tc>
          <w:tcPr>
            <w:tcW w:w="791" w:type="dxa"/>
            <w:vMerge/>
            <w:shd w:val="clear" w:color="auto" w:fill="auto"/>
            <w:vAlign w:val="bottom"/>
          </w:tcPr>
          <w:p w14:paraId="27DD3B93"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rFonts w:eastAsia="Calibri"/>
                <w:sz w:val="18"/>
              </w:rPr>
            </w:pPr>
          </w:p>
        </w:tc>
      </w:tr>
      <w:tr w:rsidR="00B53F22" w:rsidRPr="00B53F22" w14:paraId="72EFCA36" w14:textId="77777777" w:rsidTr="00B53F22">
        <w:trPr>
          <w:trHeight w:val="240"/>
        </w:trPr>
        <w:tc>
          <w:tcPr>
            <w:tcW w:w="2070" w:type="dxa"/>
            <w:shd w:val="clear" w:color="auto" w:fill="auto"/>
            <w:hideMark/>
          </w:tcPr>
          <w:p w14:paraId="4584E495"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22 de junio de 1974</w:t>
            </w:r>
          </w:p>
        </w:tc>
        <w:tc>
          <w:tcPr>
            <w:tcW w:w="4509" w:type="dxa"/>
            <w:shd w:val="clear" w:color="auto" w:fill="auto"/>
            <w:vAlign w:val="bottom"/>
            <w:hideMark/>
          </w:tcPr>
          <w:p w14:paraId="1641FB61"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las Horas de Trabajo (Comercio y Oficinas)</w:t>
            </w:r>
          </w:p>
        </w:tc>
        <w:tc>
          <w:tcPr>
            <w:tcW w:w="791" w:type="dxa"/>
            <w:shd w:val="clear" w:color="auto" w:fill="auto"/>
            <w:vAlign w:val="bottom"/>
            <w:hideMark/>
          </w:tcPr>
          <w:p w14:paraId="7C556425"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30</w:t>
            </w:r>
          </w:p>
        </w:tc>
      </w:tr>
      <w:tr w:rsidR="00B53F22" w:rsidRPr="00B53F22" w14:paraId="422A45D6" w14:textId="77777777" w:rsidTr="00B53F22">
        <w:trPr>
          <w:trHeight w:val="240"/>
        </w:trPr>
        <w:tc>
          <w:tcPr>
            <w:tcW w:w="2070" w:type="dxa"/>
            <w:shd w:val="clear" w:color="auto" w:fill="auto"/>
            <w:hideMark/>
          </w:tcPr>
          <w:p w14:paraId="742D73AC"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13 de junio de 1956</w:t>
            </w:r>
          </w:p>
        </w:tc>
        <w:tc>
          <w:tcPr>
            <w:tcW w:w="4509" w:type="dxa"/>
            <w:shd w:val="clear" w:color="auto" w:fill="auto"/>
            <w:vAlign w:val="bottom"/>
            <w:hideMark/>
          </w:tcPr>
          <w:p w14:paraId="0EBB89A5"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(revisado) sobre el Trabajo Nocturno (Mujeres)</w:t>
            </w:r>
          </w:p>
        </w:tc>
        <w:tc>
          <w:tcPr>
            <w:tcW w:w="791" w:type="dxa"/>
            <w:shd w:val="clear" w:color="auto" w:fill="auto"/>
            <w:vAlign w:val="bottom"/>
            <w:hideMark/>
          </w:tcPr>
          <w:p w14:paraId="4B9C31AB"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41</w:t>
            </w:r>
          </w:p>
        </w:tc>
      </w:tr>
      <w:tr w:rsidR="00B53F22" w:rsidRPr="00B53F22" w14:paraId="2DBE58BE" w14:textId="77777777" w:rsidTr="00B53F22">
        <w:trPr>
          <w:trHeight w:val="240"/>
        </w:trPr>
        <w:tc>
          <w:tcPr>
            <w:tcW w:w="2070" w:type="dxa"/>
            <w:shd w:val="clear" w:color="auto" w:fill="auto"/>
            <w:hideMark/>
          </w:tcPr>
          <w:p w14:paraId="6AC5FEFA"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20 de mayo de 1957</w:t>
            </w:r>
          </w:p>
        </w:tc>
        <w:tc>
          <w:tcPr>
            <w:tcW w:w="4509" w:type="dxa"/>
            <w:shd w:val="clear" w:color="auto" w:fill="auto"/>
            <w:vAlign w:val="bottom"/>
            <w:hideMark/>
          </w:tcPr>
          <w:p w14:paraId="48D3ADAA"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las Enfermedades Profesionales (Revisado)</w:t>
            </w:r>
          </w:p>
        </w:tc>
        <w:tc>
          <w:tcPr>
            <w:tcW w:w="791" w:type="dxa"/>
            <w:shd w:val="clear" w:color="auto" w:fill="auto"/>
            <w:vAlign w:val="bottom"/>
            <w:hideMark/>
          </w:tcPr>
          <w:p w14:paraId="7BBA1B83"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42</w:t>
            </w:r>
          </w:p>
        </w:tc>
      </w:tr>
      <w:tr w:rsidR="00B53F22" w:rsidRPr="00B53F22" w14:paraId="56006420" w14:textId="77777777" w:rsidTr="00B53F22">
        <w:trPr>
          <w:trHeight w:val="240"/>
        </w:trPr>
        <w:tc>
          <w:tcPr>
            <w:tcW w:w="2070" w:type="dxa"/>
            <w:shd w:val="clear" w:color="auto" w:fill="auto"/>
            <w:hideMark/>
          </w:tcPr>
          <w:p w14:paraId="7A5F3714"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20 de septiembre de 1956</w:t>
            </w:r>
          </w:p>
        </w:tc>
        <w:tc>
          <w:tcPr>
            <w:tcW w:w="4509" w:type="dxa"/>
            <w:shd w:val="clear" w:color="auto" w:fill="auto"/>
            <w:vAlign w:val="bottom"/>
            <w:hideMark/>
          </w:tcPr>
          <w:p w14:paraId="31D0F41A"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Convención sobre el Trabajo Subterráneo (Mujeres)</w:t>
            </w:r>
          </w:p>
        </w:tc>
        <w:tc>
          <w:tcPr>
            <w:tcW w:w="791" w:type="dxa"/>
            <w:shd w:val="clear" w:color="auto" w:fill="auto"/>
            <w:vAlign w:val="bottom"/>
            <w:hideMark/>
          </w:tcPr>
          <w:p w14:paraId="38314A69"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45</w:t>
            </w:r>
          </w:p>
        </w:tc>
      </w:tr>
      <w:tr w:rsidR="00B53F22" w:rsidRPr="00B53F22" w14:paraId="47FDB6B9" w14:textId="77777777" w:rsidTr="00B53F22">
        <w:trPr>
          <w:trHeight w:val="240"/>
        </w:trPr>
        <w:tc>
          <w:tcPr>
            <w:tcW w:w="2070" w:type="dxa"/>
            <w:shd w:val="clear" w:color="auto" w:fill="auto"/>
          </w:tcPr>
          <w:p w14:paraId="680E127D"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20 de septiembre de 1956</w:t>
            </w:r>
          </w:p>
        </w:tc>
        <w:tc>
          <w:tcPr>
            <w:tcW w:w="4509" w:type="dxa"/>
            <w:shd w:val="clear" w:color="auto" w:fill="auto"/>
            <w:vAlign w:val="bottom"/>
          </w:tcPr>
          <w:p w14:paraId="7EE830B4"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las Vacaciones Pagadas</w:t>
            </w:r>
          </w:p>
        </w:tc>
        <w:tc>
          <w:tcPr>
            <w:tcW w:w="791" w:type="dxa"/>
            <w:shd w:val="clear" w:color="auto" w:fill="auto"/>
            <w:vAlign w:val="bottom"/>
          </w:tcPr>
          <w:p w14:paraId="2CA16DCA"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52</w:t>
            </w:r>
          </w:p>
        </w:tc>
      </w:tr>
      <w:tr w:rsidR="00B53F22" w:rsidRPr="00B53F22" w14:paraId="72A8B0B9" w14:textId="77777777" w:rsidTr="00B53F22">
        <w:trPr>
          <w:trHeight w:val="240"/>
        </w:trPr>
        <w:tc>
          <w:tcPr>
            <w:tcW w:w="2070" w:type="dxa"/>
            <w:shd w:val="clear" w:color="auto" w:fill="auto"/>
          </w:tcPr>
          <w:p w14:paraId="6B57B6F7"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14 de marzo de 1958</w:t>
            </w:r>
          </w:p>
        </w:tc>
        <w:tc>
          <w:tcPr>
            <w:tcW w:w="4509" w:type="dxa"/>
            <w:shd w:val="clear" w:color="auto" w:fill="auto"/>
            <w:vAlign w:val="bottom"/>
          </w:tcPr>
          <w:p w14:paraId="1F1300D1"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las Obligaciones del Armador en caso de Enfermedad o Accidentes de la Gente de Mar</w:t>
            </w:r>
          </w:p>
        </w:tc>
        <w:tc>
          <w:tcPr>
            <w:tcW w:w="791" w:type="dxa"/>
            <w:shd w:val="clear" w:color="auto" w:fill="auto"/>
            <w:vAlign w:val="bottom"/>
          </w:tcPr>
          <w:p w14:paraId="371318BC"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55</w:t>
            </w:r>
          </w:p>
        </w:tc>
      </w:tr>
      <w:tr w:rsidR="00B53F22" w:rsidRPr="00B53F22" w14:paraId="0A47711E" w14:textId="77777777" w:rsidTr="00B53F22">
        <w:trPr>
          <w:trHeight w:val="240"/>
        </w:trPr>
        <w:tc>
          <w:tcPr>
            <w:tcW w:w="2070" w:type="dxa"/>
            <w:shd w:val="clear" w:color="auto" w:fill="auto"/>
          </w:tcPr>
          <w:p w14:paraId="4C908D89"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27 de marzo de 1963</w:t>
            </w:r>
          </w:p>
        </w:tc>
        <w:tc>
          <w:tcPr>
            <w:tcW w:w="4509" w:type="dxa"/>
            <w:shd w:val="clear" w:color="auto" w:fill="auto"/>
            <w:vAlign w:val="bottom"/>
          </w:tcPr>
          <w:p w14:paraId="6092A300"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las Sanciones Penales (Trabajadores Indígenas)</w:t>
            </w:r>
          </w:p>
        </w:tc>
        <w:tc>
          <w:tcPr>
            <w:tcW w:w="791" w:type="dxa"/>
            <w:shd w:val="clear" w:color="auto" w:fill="auto"/>
            <w:vAlign w:val="bottom"/>
          </w:tcPr>
          <w:p w14:paraId="748415DB"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65</w:t>
            </w:r>
          </w:p>
        </w:tc>
      </w:tr>
      <w:tr w:rsidR="00B53F22" w:rsidRPr="00B53F22" w14:paraId="372F42FC" w14:textId="77777777" w:rsidTr="00B53F22">
        <w:trPr>
          <w:trHeight w:val="240"/>
        </w:trPr>
        <w:tc>
          <w:tcPr>
            <w:tcW w:w="2070" w:type="dxa"/>
            <w:shd w:val="clear" w:color="auto" w:fill="auto"/>
          </w:tcPr>
          <w:p w14:paraId="71CB376E" w14:textId="77777777" w:rsidR="00B53F22" w:rsidRPr="00B53F22" w:rsidRDefault="00B53F22" w:rsidP="008263FA">
            <w:pPr>
              <w:pStyle w:val="SingleTxtG"/>
              <w:keepNext/>
              <w:keepLines/>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lastRenderedPageBreak/>
              <w:t>20 de mayo de 1957</w:t>
            </w:r>
          </w:p>
        </w:tc>
        <w:tc>
          <w:tcPr>
            <w:tcW w:w="4509" w:type="dxa"/>
            <w:shd w:val="clear" w:color="auto" w:fill="auto"/>
            <w:vAlign w:val="bottom"/>
          </w:tcPr>
          <w:p w14:paraId="1C1A6542" w14:textId="77777777" w:rsidR="00B53F22" w:rsidRPr="00B53F22" w:rsidRDefault="00B53F22" w:rsidP="008263FA">
            <w:pPr>
              <w:pStyle w:val="SingleTxtG"/>
              <w:keepNext/>
              <w:keepLines/>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revisión parcial de los convenios adoptados por la Conferencia General de la OIT en sus 28 primeras reuniones, a fin de reglamentar el ejercicio futuro de ciertas funciones de cancillería, confiadas por dichos convenios al Secretario General de la Sociedad de las Naciones, y de introducir las enmiendas complementarias requeridas por la disolución de la Sociedad de las Naciones y por la enmienda a la Constitución de la Organización Internacional del Trabajo [Convenio sobre la Revisión de los Artículos Finales]</w:t>
            </w:r>
          </w:p>
        </w:tc>
        <w:tc>
          <w:tcPr>
            <w:tcW w:w="791" w:type="dxa"/>
            <w:shd w:val="clear" w:color="auto" w:fill="auto"/>
            <w:vAlign w:val="bottom"/>
          </w:tcPr>
          <w:p w14:paraId="3BAB56D7" w14:textId="77777777" w:rsidR="00B53F22" w:rsidRPr="00B53F22" w:rsidRDefault="00B53F22" w:rsidP="008263FA">
            <w:pPr>
              <w:pStyle w:val="SingleTxtG"/>
              <w:keepNext/>
              <w:keepLines/>
              <w:tabs>
                <w:tab w:val="clear" w:pos="1701"/>
                <w:tab w:val="clear" w:pos="2268"/>
                <w:tab w:val="clear" w:pos="2835"/>
              </w:tabs>
              <w:spacing w:before="40" w:after="40" w:line="220" w:lineRule="exact"/>
              <w:ind w:left="113" w:right="0"/>
              <w:jc w:val="right"/>
              <w:rPr>
                <w:sz w:val="18"/>
                <w:lang w:val="en-US"/>
              </w:rPr>
            </w:pPr>
            <w:r w:rsidRPr="00B53F22">
              <w:rPr>
                <w:sz w:val="18"/>
                <w:lang w:val="en-US"/>
              </w:rPr>
              <w:t>80</w:t>
            </w:r>
          </w:p>
        </w:tc>
      </w:tr>
      <w:tr w:rsidR="00B53F22" w:rsidRPr="00B53F22" w14:paraId="63AD6681" w14:textId="77777777" w:rsidTr="00B53F22">
        <w:trPr>
          <w:trHeight w:val="240"/>
        </w:trPr>
        <w:tc>
          <w:tcPr>
            <w:tcW w:w="2070" w:type="dxa"/>
            <w:shd w:val="clear" w:color="auto" w:fill="auto"/>
          </w:tcPr>
          <w:p w14:paraId="2B297EF6"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14 de marzo de 1958</w:t>
            </w:r>
          </w:p>
        </w:tc>
        <w:tc>
          <w:tcPr>
            <w:tcW w:w="4509" w:type="dxa"/>
            <w:shd w:val="clear" w:color="auto" w:fill="auto"/>
            <w:vAlign w:val="bottom"/>
          </w:tcPr>
          <w:p w14:paraId="71F86CCB"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Inspección del Trabajo (Industria y Comercio)</w:t>
            </w:r>
          </w:p>
        </w:tc>
        <w:tc>
          <w:tcPr>
            <w:tcW w:w="791" w:type="dxa"/>
            <w:shd w:val="clear" w:color="auto" w:fill="auto"/>
            <w:vAlign w:val="bottom"/>
          </w:tcPr>
          <w:p w14:paraId="6272A83F"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81</w:t>
            </w:r>
          </w:p>
        </w:tc>
      </w:tr>
      <w:tr w:rsidR="00B53F22" w:rsidRPr="00B53F22" w14:paraId="373BC7F7" w14:textId="77777777" w:rsidTr="00B53F22">
        <w:trPr>
          <w:trHeight w:val="240"/>
        </w:trPr>
        <w:tc>
          <w:tcPr>
            <w:tcW w:w="2070" w:type="dxa"/>
            <w:shd w:val="clear" w:color="auto" w:fill="auto"/>
          </w:tcPr>
          <w:p w14:paraId="0E42591A"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20 de septiembre de 1956</w:t>
            </w:r>
          </w:p>
        </w:tc>
        <w:tc>
          <w:tcPr>
            <w:tcW w:w="4509" w:type="dxa"/>
            <w:shd w:val="clear" w:color="auto" w:fill="auto"/>
            <w:vAlign w:val="bottom"/>
          </w:tcPr>
          <w:p w14:paraId="2261060D"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 xml:space="preserve">Convenio sobre las Cláusulas de Trabajo (Contratos Celebrados por las </w:t>
            </w:r>
            <w:proofErr w:type="gramStart"/>
            <w:r w:rsidRPr="00B53F22">
              <w:rPr>
                <w:sz w:val="18"/>
                <w:lang w:val="es-ES_tradnl"/>
              </w:rPr>
              <w:t>Autoridades Públicas</w:t>
            </w:r>
            <w:proofErr w:type="gramEnd"/>
            <w:r w:rsidRPr="00B53F22">
              <w:rPr>
                <w:sz w:val="18"/>
                <w:lang w:val="es-ES_tradnl"/>
              </w:rPr>
              <w:t>)</w:t>
            </w:r>
          </w:p>
        </w:tc>
        <w:tc>
          <w:tcPr>
            <w:tcW w:w="791" w:type="dxa"/>
            <w:shd w:val="clear" w:color="auto" w:fill="auto"/>
            <w:vAlign w:val="bottom"/>
          </w:tcPr>
          <w:p w14:paraId="7F31DEC2"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94</w:t>
            </w:r>
          </w:p>
        </w:tc>
      </w:tr>
      <w:tr w:rsidR="00B53F22" w:rsidRPr="00B53F22" w14:paraId="479C063B" w14:textId="77777777" w:rsidTr="00B53F22">
        <w:trPr>
          <w:trHeight w:val="240"/>
        </w:trPr>
        <w:tc>
          <w:tcPr>
            <w:tcW w:w="2070" w:type="dxa"/>
            <w:shd w:val="clear" w:color="auto" w:fill="auto"/>
          </w:tcPr>
          <w:p w14:paraId="0B732294"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B53F22">
              <w:rPr>
                <w:sz w:val="18"/>
                <w:lang w:val="es-ES_tradnl"/>
              </w:rPr>
              <w:t>14 de junio de 2019</w:t>
            </w:r>
          </w:p>
        </w:tc>
        <w:tc>
          <w:tcPr>
            <w:tcW w:w="4509" w:type="dxa"/>
            <w:shd w:val="clear" w:color="auto" w:fill="auto"/>
            <w:vAlign w:val="bottom"/>
          </w:tcPr>
          <w:p w14:paraId="5B02450E" w14:textId="7071ECFE" w:rsidR="00B53F22" w:rsidRPr="00B53F22" w:rsidRDefault="00B53F22" w:rsidP="00B53F22">
            <w:pPr>
              <w:pStyle w:val="SingleTxtG"/>
              <w:tabs>
                <w:tab w:val="clear" w:pos="1701"/>
                <w:tab w:val="clear" w:pos="2268"/>
                <w:tab w:val="clear" w:pos="2835"/>
              </w:tabs>
              <w:spacing w:before="40" w:after="40" w:line="220" w:lineRule="exact"/>
              <w:ind w:left="113" w:right="0"/>
              <w:jc w:val="left"/>
              <w:rPr>
                <w:rFonts w:eastAsia="Calibri"/>
                <w:sz w:val="18"/>
                <w:lang w:val="es-ES_tradnl"/>
              </w:rPr>
            </w:pPr>
            <w:r w:rsidRPr="00B53F22">
              <w:rPr>
                <w:sz w:val="18"/>
                <w:lang w:val="es-ES_tradnl"/>
              </w:rPr>
              <w:t>Convenio sobre los Trabajadores Migrantes (Revisado)</w:t>
            </w:r>
          </w:p>
        </w:tc>
        <w:tc>
          <w:tcPr>
            <w:tcW w:w="791" w:type="dxa"/>
            <w:shd w:val="clear" w:color="auto" w:fill="auto"/>
            <w:vAlign w:val="bottom"/>
          </w:tcPr>
          <w:p w14:paraId="01201A42"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B53F22">
              <w:rPr>
                <w:sz w:val="18"/>
                <w:lang w:val="en-US"/>
              </w:rPr>
              <w:t>97</w:t>
            </w:r>
          </w:p>
        </w:tc>
      </w:tr>
      <w:tr w:rsidR="00B53F22" w:rsidRPr="00B53F22" w14:paraId="7216CECE" w14:textId="77777777" w:rsidTr="00B53F22">
        <w:trPr>
          <w:trHeight w:val="240"/>
        </w:trPr>
        <w:tc>
          <w:tcPr>
            <w:tcW w:w="2070" w:type="dxa"/>
            <w:shd w:val="clear" w:color="auto" w:fill="auto"/>
            <w:hideMark/>
          </w:tcPr>
          <w:p w14:paraId="47A7DE60"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B53F22">
              <w:rPr>
                <w:sz w:val="18"/>
                <w:lang w:val="es-ES_tradnl"/>
              </w:rPr>
              <w:t>20 de mayo de 1957</w:t>
            </w:r>
          </w:p>
        </w:tc>
        <w:tc>
          <w:tcPr>
            <w:tcW w:w="4509" w:type="dxa"/>
            <w:shd w:val="clear" w:color="auto" w:fill="auto"/>
            <w:vAlign w:val="bottom"/>
            <w:hideMark/>
          </w:tcPr>
          <w:p w14:paraId="0E0ADF1F"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rFonts w:eastAsia="Calibri"/>
                <w:sz w:val="18"/>
                <w:lang w:val="es-ES_tradnl"/>
              </w:rPr>
            </w:pPr>
            <w:r w:rsidRPr="00B53F22">
              <w:rPr>
                <w:sz w:val="18"/>
                <w:lang w:val="es-ES_tradnl"/>
              </w:rPr>
              <w:t>Convenio sobre el Derecho de Sindicación y de Negociación Colectiva</w:t>
            </w:r>
          </w:p>
        </w:tc>
        <w:tc>
          <w:tcPr>
            <w:tcW w:w="791" w:type="dxa"/>
            <w:shd w:val="clear" w:color="auto" w:fill="auto"/>
            <w:vAlign w:val="bottom"/>
            <w:hideMark/>
          </w:tcPr>
          <w:p w14:paraId="521E5E5C"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B53F22">
              <w:rPr>
                <w:sz w:val="18"/>
                <w:lang w:val="en-US"/>
              </w:rPr>
              <w:t>98</w:t>
            </w:r>
          </w:p>
        </w:tc>
      </w:tr>
      <w:tr w:rsidR="00B53F22" w:rsidRPr="00B53F22" w14:paraId="6C49B492" w14:textId="77777777" w:rsidTr="00B53F22">
        <w:trPr>
          <w:trHeight w:val="240"/>
        </w:trPr>
        <w:tc>
          <w:tcPr>
            <w:tcW w:w="2070" w:type="dxa"/>
            <w:shd w:val="clear" w:color="auto" w:fill="auto"/>
          </w:tcPr>
          <w:p w14:paraId="70089770"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14 de octubre de 1960</w:t>
            </w:r>
          </w:p>
        </w:tc>
        <w:tc>
          <w:tcPr>
            <w:tcW w:w="4509" w:type="dxa"/>
            <w:shd w:val="clear" w:color="auto" w:fill="auto"/>
            <w:vAlign w:val="bottom"/>
          </w:tcPr>
          <w:p w14:paraId="14A6A564"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los Métodos para la Fijación de Salarios Mínimos (Agricultura)</w:t>
            </w:r>
          </w:p>
        </w:tc>
        <w:tc>
          <w:tcPr>
            <w:tcW w:w="791" w:type="dxa"/>
            <w:shd w:val="clear" w:color="auto" w:fill="auto"/>
            <w:vAlign w:val="bottom"/>
          </w:tcPr>
          <w:p w14:paraId="5823B0FD"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99</w:t>
            </w:r>
          </w:p>
        </w:tc>
      </w:tr>
      <w:tr w:rsidR="00B53F22" w:rsidRPr="00B53F22" w14:paraId="3F01F966" w14:textId="77777777" w:rsidTr="00B53F22">
        <w:trPr>
          <w:trHeight w:val="240"/>
        </w:trPr>
        <w:tc>
          <w:tcPr>
            <w:tcW w:w="2070" w:type="dxa"/>
            <w:shd w:val="clear" w:color="auto" w:fill="auto"/>
            <w:hideMark/>
          </w:tcPr>
          <w:p w14:paraId="62A13CFF"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B53F22">
              <w:rPr>
                <w:sz w:val="18"/>
                <w:lang w:val="es-ES_tradnl"/>
              </w:rPr>
              <w:t>11 de mayo de 1979</w:t>
            </w:r>
          </w:p>
        </w:tc>
        <w:tc>
          <w:tcPr>
            <w:tcW w:w="4509" w:type="dxa"/>
            <w:shd w:val="clear" w:color="auto" w:fill="auto"/>
            <w:vAlign w:val="bottom"/>
            <w:hideMark/>
          </w:tcPr>
          <w:p w14:paraId="5EADFB7F"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rFonts w:eastAsia="Calibri"/>
                <w:sz w:val="18"/>
                <w:lang w:val="es-ES_tradnl"/>
              </w:rPr>
            </w:pPr>
            <w:r w:rsidRPr="00B53F22">
              <w:rPr>
                <w:sz w:val="18"/>
                <w:lang w:val="es-ES_tradnl"/>
              </w:rPr>
              <w:t xml:space="preserve">Convenio sobre Igualdad de Remuneración </w:t>
            </w:r>
            <w:r w:rsidRPr="00B53F22">
              <w:rPr>
                <w:rFonts w:eastAsiaTheme="minorEastAsia"/>
                <w:sz w:val="18"/>
                <w:lang w:val="es-ES_tradnl"/>
              </w:rPr>
              <w:t>entre la Mano de Obra Masculina y la Mano de Obra Femenina por un Trabajo de Igual Valor</w:t>
            </w:r>
          </w:p>
        </w:tc>
        <w:tc>
          <w:tcPr>
            <w:tcW w:w="791" w:type="dxa"/>
            <w:shd w:val="clear" w:color="auto" w:fill="auto"/>
            <w:vAlign w:val="bottom"/>
            <w:hideMark/>
          </w:tcPr>
          <w:p w14:paraId="53961073"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B53F22">
              <w:rPr>
                <w:sz w:val="18"/>
                <w:lang w:val="en-US"/>
              </w:rPr>
              <w:t>100</w:t>
            </w:r>
          </w:p>
        </w:tc>
      </w:tr>
      <w:tr w:rsidR="00B53F22" w:rsidRPr="00B53F22" w14:paraId="7CE1701A" w14:textId="77777777" w:rsidTr="00B53F22">
        <w:trPr>
          <w:trHeight w:val="240"/>
        </w:trPr>
        <w:tc>
          <w:tcPr>
            <w:tcW w:w="2070" w:type="dxa"/>
            <w:shd w:val="clear" w:color="auto" w:fill="auto"/>
          </w:tcPr>
          <w:p w14:paraId="49C98DEE"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14 de octubre de 1960</w:t>
            </w:r>
          </w:p>
        </w:tc>
        <w:tc>
          <w:tcPr>
            <w:tcW w:w="4509" w:type="dxa"/>
            <w:shd w:val="clear" w:color="auto" w:fill="auto"/>
            <w:vAlign w:val="bottom"/>
          </w:tcPr>
          <w:p w14:paraId="5456AF10"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las Vacaciones Pagadas (Agricultura)</w:t>
            </w:r>
          </w:p>
        </w:tc>
        <w:tc>
          <w:tcPr>
            <w:tcW w:w="791" w:type="dxa"/>
            <w:shd w:val="clear" w:color="auto" w:fill="auto"/>
            <w:vAlign w:val="bottom"/>
          </w:tcPr>
          <w:p w14:paraId="1C86DD38"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101</w:t>
            </w:r>
          </w:p>
        </w:tc>
      </w:tr>
      <w:tr w:rsidR="00B53F22" w:rsidRPr="00B53F22" w14:paraId="1A442B26" w14:textId="77777777" w:rsidTr="00B53F22">
        <w:trPr>
          <w:trHeight w:val="240"/>
        </w:trPr>
        <w:tc>
          <w:tcPr>
            <w:tcW w:w="2070" w:type="dxa"/>
            <w:shd w:val="clear" w:color="auto" w:fill="auto"/>
          </w:tcPr>
          <w:p w14:paraId="6F968F93"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B53F22">
              <w:rPr>
                <w:sz w:val="18"/>
                <w:lang w:val="es-ES_tradnl"/>
              </w:rPr>
              <w:t>14 de junio de 2019</w:t>
            </w:r>
          </w:p>
        </w:tc>
        <w:tc>
          <w:tcPr>
            <w:tcW w:w="4509" w:type="dxa"/>
            <w:shd w:val="clear" w:color="auto" w:fill="auto"/>
            <w:vAlign w:val="bottom"/>
          </w:tcPr>
          <w:p w14:paraId="7E0EFD99"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rFonts w:eastAsia="Calibri"/>
                <w:sz w:val="18"/>
                <w:lang w:val="es-ES_tradnl"/>
              </w:rPr>
            </w:pPr>
            <w:r w:rsidRPr="00B53F22">
              <w:rPr>
                <w:sz w:val="18"/>
                <w:lang w:val="es-ES_tradnl"/>
              </w:rPr>
              <w:t>Convenio sobre la Seguridad Social (Norma Mínima)</w:t>
            </w:r>
          </w:p>
        </w:tc>
        <w:tc>
          <w:tcPr>
            <w:tcW w:w="791" w:type="dxa"/>
            <w:shd w:val="clear" w:color="auto" w:fill="auto"/>
            <w:vAlign w:val="bottom"/>
          </w:tcPr>
          <w:p w14:paraId="2023D8E2"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B53F22">
              <w:rPr>
                <w:sz w:val="18"/>
                <w:lang w:val="en-US"/>
              </w:rPr>
              <w:t>102</w:t>
            </w:r>
          </w:p>
        </w:tc>
      </w:tr>
      <w:tr w:rsidR="00B53F22" w:rsidRPr="00B53F22" w14:paraId="67B391D5" w14:textId="77777777" w:rsidTr="00B53F22">
        <w:trPr>
          <w:trHeight w:val="240"/>
        </w:trPr>
        <w:tc>
          <w:tcPr>
            <w:tcW w:w="2070" w:type="dxa"/>
            <w:shd w:val="clear" w:color="auto" w:fill="auto"/>
          </w:tcPr>
          <w:p w14:paraId="44380A80"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27 de marzo de 1963</w:t>
            </w:r>
          </w:p>
        </w:tc>
        <w:tc>
          <w:tcPr>
            <w:tcW w:w="4509" w:type="dxa"/>
            <w:shd w:val="clear" w:color="auto" w:fill="auto"/>
            <w:vAlign w:val="bottom"/>
          </w:tcPr>
          <w:p w14:paraId="34F7A518"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Abolición de las Sanciones Penales (Trabajadores Indígenas)</w:t>
            </w:r>
          </w:p>
        </w:tc>
        <w:tc>
          <w:tcPr>
            <w:tcW w:w="791" w:type="dxa"/>
            <w:shd w:val="clear" w:color="auto" w:fill="auto"/>
            <w:vAlign w:val="bottom"/>
          </w:tcPr>
          <w:p w14:paraId="1B856655"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104</w:t>
            </w:r>
          </w:p>
        </w:tc>
      </w:tr>
      <w:tr w:rsidR="00B53F22" w:rsidRPr="00B53F22" w14:paraId="3DF2AFCD" w14:textId="77777777" w:rsidTr="00B53F22">
        <w:trPr>
          <w:trHeight w:val="240"/>
        </w:trPr>
        <w:tc>
          <w:tcPr>
            <w:tcW w:w="2070" w:type="dxa"/>
            <w:shd w:val="clear" w:color="auto" w:fill="auto"/>
            <w:hideMark/>
          </w:tcPr>
          <w:p w14:paraId="6EEE991A"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B53F22">
              <w:rPr>
                <w:sz w:val="18"/>
                <w:lang w:val="es-ES_tradnl"/>
              </w:rPr>
              <w:t>1 de diciembre de 1966</w:t>
            </w:r>
          </w:p>
        </w:tc>
        <w:tc>
          <w:tcPr>
            <w:tcW w:w="4509" w:type="dxa"/>
            <w:shd w:val="clear" w:color="auto" w:fill="auto"/>
            <w:vAlign w:val="bottom"/>
            <w:hideMark/>
          </w:tcPr>
          <w:p w14:paraId="52747CE5"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rFonts w:eastAsia="Calibri"/>
                <w:sz w:val="18"/>
                <w:lang w:val="es-ES_tradnl"/>
              </w:rPr>
            </w:pPr>
            <w:r w:rsidRPr="00B53F22">
              <w:rPr>
                <w:sz w:val="18"/>
                <w:lang w:val="es-ES_tradnl"/>
              </w:rPr>
              <w:t>Convenio sobre la Abolición del Trabajo Forzoso</w:t>
            </w:r>
          </w:p>
        </w:tc>
        <w:tc>
          <w:tcPr>
            <w:tcW w:w="791" w:type="dxa"/>
            <w:shd w:val="clear" w:color="auto" w:fill="auto"/>
            <w:vAlign w:val="bottom"/>
            <w:hideMark/>
          </w:tcPr>
          <w:p w14:paraId="59E8402C"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B53F22">
              <w:rPr>
                <w:sz w:val="18"/>
                <w:lang w:val="en-US"/>
              </w:rPr>
              <w:t>105</w:t>
            </w:r>
          </w:p>
        </w:tc>
      </w:tr>
      <w:tr w:rsidR="00B53F22" w:rsidRPr="00B53F22" w14:paraId="11ECAA00" w14:textId="77777777" w:rsidTr="00B53F22">
        <w:trPr>
          <w:trHeight w:val="240"/>
        </w:trPr>
        <w:tc>
          <w:tcPr>
            <w:tcW w:w="2070" w:type="dxa"/>
            <w:shd w:val="clear" w:color="auto" w:fill="auto"/>
          </w:tcPr>
          <w:p w14:paraId="224F20D1"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22 de julio de 1974</w:t>
            </w:r>
          </w:p>
        </w:tc>
        <w:tc>
          <w:tcPr>
            <w:tcW w:w="4509" w:type="dxa"/>
            <w:shd w:val="clear" w:color="auto" w:fill="auto"/>
            <w:vAlign w:val="bottom"/>
          </w:tcPr>
          <w:p w14:paraId="50AAC77E"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el Descanso Semanal (Comercio y Oficinas)</w:t>
            </w:r>
          </w:p>
        </w:tc>
        <w:tc>
          <w:tcPr>
            <w:tcW w:w="791" w:type="dxa"/>
            <w:shd w:val="clear" w:color="auto" w:fill="auto"/>
            <w:vAlign w:val="bottom"/>
          </w:tcPr>
          <w:p w14:paraId="42B4173F"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106</w:t>
            </w:r>
          </w:p>
        </w:tc>
      </w:tr>
      <w:tr w:rsidR="00B53F22" w:rsidRPr="00B53F22" w14:paraId="774565A7" w14:textId="77777777" w:rsidTr="00B53F22">
        <w:trPr>
          <w:trHeight w:val="240"/>
        </w:trPr>
        <w:tc>
          <w:tcPr>
            <w:tcW w:w="2070" w:type="dxa"/>
            <w:shd w:val="clear" w:color="auto" w:fill="auto"/>
          </w:tcPr>
          <w:p w14:paraId="3F427ADF"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15 de octubre de 2001</w:t>
            </w:r>
          </w:p>
        </w:tc>
        <w:tc>
          <w:tcPr>
            <w:tcW w:w="4509" w:type="dxa"/>
            <w:shd w:val="clear" w:color="auto" w:fill="auto"/>
            <w:vAlign w:val="bottom"/>
          </w:tcPr>
          <w:p w14:paraId="747091AE"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los Documentos de Identidad de la Gente de Mar</w:t>
            </w:r>
          </w:p>
        </w:tc>
        <w:tc>
          <w:tcPr>
            <w:tcW w:w="791" w:type="dxa"/>
            <w:shd w:val="clear" w:color="auto" w:fill="auto"/>
            <w:vAlign w:val="bottom"/>
          </w:tcPr>
          <w:p w14:paraId="1D91A3CB"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108</w:t>
            </w:r>
          </w:p>
        </w:tc>
      </w:tr>
      <w:tr w:rsidR="00B53F22" w:rsidRPr="00B53F22" w14:paraId="76ADF03E" w14:textId="77777777" w:rsidTr="00B53F22">
        <w:trPr>
          <w:trHeight w:val="240"/>
        </w:trPr>
        <w:tc>
          <w:tcPr>
            <w:tcW w:w="2070" w:type="dxa"/>
            <w:shd w:val="clear" w:color="auto" w:fill="auto"/>
            <w:hideMark/>
          </w:tcPr>
          <w:p w14:paraId="3C59BFBD"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B53F22">
              <w:rPr>
                <w:sz w:val="18"/>
                <w:lang w:val="es-ES_tradnl"/>
              </w:rPr>
              <w:t>27 de marzo de 1963</w:t>
            </w:r>
          </w:p>
        </w:tc>
        <w:tc>
          <w:tcPr>
            <w:tcW w:w="4509" w:type="dxa"/>
            <w:shd w:val="clear" w:color="auto" w:fill="auto"/>
            <w:vAlign w:val="bottom"/>
            <w:hideMark/>
          </w:tcPr>
          <w:p w14:paraId="5A1D8A1A"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rFonts w:eastAsia="Calibri"/>
                <w:sz w:val="18"/>
                <w:lang w:val="es-ES_tradnl"/>
              </w:rPr>
            </w:pPr>
            <w:r w:rsidRPr="00B53F22">
              <w:rPr>
                <w:sz w:val="18"/>
                <w:lang w:val="es-ES_tradnl"/>
              </w:rPr>
              <w:t>Convenio sobre la Discriminación (Empleo y Ocupación)</w:t>
            </w:r>
          </w:p>
        </w:tc>
        <w:tc>
          <w:tcPr>
            <w:tcW w:w="791" w:type="dxa"/>
            <w:shd w:val="clear" w:color="auto" w:fill="auto"/>
            <w:vAlign w:val="bottom"/>
            <w:hideMark/>
          </w:tcPr>
          <w:p w14:paraId="3A47FC7C"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B53F22">
              <w:rPr>
                <w:sz w:val="18"/>
                <w:lang w:val="en-US"/>
              </w:rPr>
              <w:t>111</w:t>
            </w:r>
          </w:p>
        </w:tc>
      </w:tr>
      <w:tr w:rsidR="00B53F22" w:rsidRPr="00B53F22" w14:paraId="6CF8009F" w14:textId="77777777" w:rsidTr="00B53F22">
        <w:trPr>
          <w:trHeight w:val="240"/>
        </w:trPr>
        <w:tc>
          <w:tcPr>
            <w:tcW w:w="2070" w:type="dxa"/>
            <w:shd w:val="clear" w:color="auto" w:fill="auto"/>
          </w:tcPr>
          <w:p w14:paraId="09E67A81"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14 de noviembre de 1962</w:t>
            </w:r>
          </w:p>
        </w:tc>
        <w:tc>
          <w:tcPr>
            <w:tcW w:w="4509" w:type="dxa"/>
            <w:shd w:val="clear" w:color="auto" w:fill="auto"/>
            <w:vAlign w:val="bottom"/>
          </w:tcPr>
          <w:p w14:paraId="69F663A1"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revisión parcial de los convenios adoptados por la Conferencia General de la OIT en sus 32 primeras sesiones, a fin de lograr la uniformidad de las disposiciones relativas a la preparación, por el Consejo de Administración de la Oficina Internacional del Trabajo, de las memorias sobre la aplicación de convenios. [Convenio sobre la Revisión de los Artículos Finales]</w:t>
            </w:r>
          </w:p>
        </w:tc>
        <w:tc>
          <w:tcPr>
            <w:tcW w:w="791" w:type="dxa"/>
            <w:shd w:val="clear" w:color="auto" w:fill="auto"/>
            <w:vAlign w:val="bottom"/>
          </w:tcPr>
          <w:p w14:paraId="2C58FD3E"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116</w:t>
            </w:r>
          </w:p>
        </w:tc>
      </w:tr>
      <w:tr w:rsidR="00B53F22" w:rsidRPr="00B53F22" w14:paraId="0F88A966" w14:textId="77777777" w:rsidTr="00B53F22">
        <w:trPr>
          <w:trHeight w:val="240"/>
        </w:trPr>
        <w:tc>
          <w:tcPr>
            <w:tcW w:w="2070" w:type="dxa"/>
            <w:shd w:val="clear" w:color="auto" w:fill="auto"/>
          </w:tcPr>
          <w:p w14:paraId="013CD072"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22 de julio de 1974</w:t>
            </w:r>
          </w:p>
        </w:tc>
        <w:tc>
          <w:tcPr>
            <w:tcW w:w="4509" w:type="dxa"/>
            <w:shd w:val="clear" w:color="auto" w:fill="auto"/>
            <w:vAlign w:val="bottom"/>
          </w:tcPr>
          <w:p w14:paraId="1515627C"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Protección de la Maquinaria</w:t>
            </w:r>
          </w:p>
        </w:tc>
        <w:tc>
          <w:tcPr>
            <w:tcW w:w="791" w:type="dxa"/>
            <w:shd w:val="clear" w:color="auto" w:fill="auto"/>
            <w:vAlign w:val="bottom"/>
          </w:tcPr>
          <w:p w14:paraId="706FE3F2"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119</w:t>
            </w:r>
          </w:p>
        </w:tc>
      </w:tr>
      <w:tr w:rsidR="00B53F22" w:rsidRPr="00B53F22" w14:paraId="3A59A5BA" w14:textId="77777777" w:rsidTr="00B53F22">
        <w:trPr>
          <w:trHeight w:val="240"/>
        </w:trPr>
        <w:tc>
          <w:tcPr>
            <w:tcW w:w="2070" w:type="dxa"/>
            <w:shd w:val="clear" w:color="auto" w:fill="auto"/>
          </w:tcPr>
          <w:p w14:paraId="08D76E46"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11 de mayo de 1979</w:t>
            </w:r>
          </w:p>
        </w:tc>
        <w:tc>
          <w:tcPr>
            <w:tcW w:w="4509" w:type="dxa"/>
            <w:shd w:val="clear" w:color="auto" w:fill="auto"/>
            <w:vAlign w:val="bottom"/>
          </w:tcPr>
          <w:p w14:paraId="4BAE1A18"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Política del Empleo</w:t>
            </w:r>
          </w:p>
        </w:tc>
        <w:tc>
          <w:tcPr>
            <w:tcW w:w="791" w:type="dxa"/>
            <w:shd w:val="clear" w:color="auto" w:fill="auto"/>
            <w:vAlign w:val="bottom"/>
          </w:tcPr>
          <w:p w14:paraId="712BDA11"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122</w:t>
            </w:r>
          </w:p>
        </w:tc>
      </w:tr>
      <w:tr w:rsidR="00B53F22" w:rsidRPr="00B53F22" w14:paraId="75B59AE4" w14:textId="77777777" w:rsidTr="00B53F22">
        <w:trPr>
          <w:trHeight w:val="240"/>
        </w:trPr>
        <w:tc>
          <w:tcPr>
            <w:tcW w:w="2070" w:type="dxa"/>
            <w:shd w:val="clear" w:color="auto" w:fill="auto"/>
          </w:tcPr>
          <w:p w14:paraId="1C37AB9C"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11 de mayo de 1979</w:t>
            </w:r>
          </w:p>
        </w:tc>
        <w:tc>
          <w:tcPr>
            <w:tcW w:w="4509" w:type="dxa"/>
            <w:shd w:val="clear" w:color="auto" w:fill="auto"/>
            <w:vAlign w:val="bottom"/>
          </w:tcPr>
          <w:p w14:paraId="1EBF4DC0"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Inspección del Trabajo (Agricultura)</w:t>
            </w:r>
          </w:p>
        </w:tc>
        <w:tc>
          <w:tcPr>
            <w:tcW w:w="791" w:type="dxa"/>
            <w:shd w:val="clear" w:color="auto" w:fill="auto"/>
            <w:vAlign w:val="bottom"/>
          </w:tcPr>
          <w:p w14:paraId="2C167C91"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129</w:t>
            </w:r>
          </w:p>
        </w:tc>
      </w:tr>
      <w:tr w:rsidR="00B53F22" w:rsidRPr="00B53F22" w14:paraId="7CD8C7AD" w14:textId="77777777" w:rsidTr="00B53F22">
        <w:trPr>
          <w:trHeight w:val="240"/>
        </w:trPr>
        <w:tc>
          <w:tcPr>
            <w:tcW w:w="2070" w:type="dxa"/>
            <w:shd w:val="clear" w:color="auto" w:fill="auto"/>
          </w:tcPr>
          <w:p w14:paraId="53042353"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16 de mayo de 2013</w:t>
            </w:r>
          </w:p>
        </w:tc>
        <w:tc>
          <w:tcPr>
            <w:tcW w:w="4509" w:type="dxa"/>
            <w:shd w:val="clear" w:color="auto" w:fill="auto"/>
            <w:vAlign w:val="bottom"/>
          </w:tcPr>
          <w:p w14:paraId="60CC02CA"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Fijación de Salarios Mínimos</w:t>
            </w:r>
          </w:p>
        </w:tc>
        <w:tc>
          <w:tcPr>
            <w:tcW w:w="791" w:type="dxa"/>
            <w:shd w:val="clear" w:color="auto" w:fill="auto"/>
            <w:vAlign w:val="bottom"/>
          </w:tcPr>
          <w:p w14:paraId="0D93DED8"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131</w:t>
            </w:r>
          </w:p>
        </w:tc>
      </w:tr>
      <w:tr w:rsidR="00B53F22" w:rsidRPr="00B53F22" w14:paraId="567584C2" w14:textId="77777777" w:rsidTr="00B53F22">
        <w:trPr>
          <w:trHeight w:val="240"/>
        </w:trPr>
        <w:tc>
          <w:tcPr>
            <w:tcW w:w="2070" w:type="dxa"/>
            <w:shd w:val="clear" w:color="auto" w:fill="auto"/>
          </w:tcPr>
          <w:p w14:paraId="2371356E"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5 de abril de 2002</w:t>
            </w:r>
          </w:p>
        </w:tc>
        <w:tc>
          <w:tcPr>
            <w:tcW w:w="4509" w:type="dxa"/>
            <w:shd w:val="clear" w:color="auto" w:fill="auto"/>
            <w:vAlign w:val="bottom"/>
          </w:tcPr>
          <w:p w14:paraId="491B80EC"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los Representantes de los Trabajadores</w:t>
            </w:r>
          </w:p>
        </w:tc>
        <w:tc>
          <w:tcPr>
            <w:tcW w:w="791" w:type="dxa"/>
            <w:shd w:val="clear" w:color="auto" w:fill="auto"/>
            <w:vAlign w:val="bottom"/>
          </w:tcPr>
          <w:p w14:paraId="3F2DADE8"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135</w:t>
            </w:r>
          </w:p>
        </w:tc>
      </w:tr>
      <w:tr w:rsidR="00B53F22" w:rsidRPr="00B53F22" w14:paraId="0AE4050A" w14:textId="77777777" w:rsidTr="00B53F22">
        <w:trPr>
          <w:trHeight w:val="240"/>
        </w:trPr>
        <w:tc>
          <w:tcPr>
            <w:tcW w:w="2070" w:type="dxa"/>
            <w:shd w:val="clear" w:color="auto" w:fill="auto"/>
          </w:tcPr>
          <w:p w14:paraId="7572DA65"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22 de julio de 1974</w:t>
            </w:r>
          </w:p>
        </w:tc>
        <w:tc>
          <w:tcPr>
            <w:tcW w:w="4509" w:type="dxa"/>
            <w:shd w:val="clear" w:color="auto" w:fill="auto"/>
            <w:vAlign w:val="bottom"/>
          </w:tcPr>
          <w:p w14:paraId="52313F50"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 xml:space="preserve"> Convenio sobre el Benceno</w:t>
            </w:r>
          </w:p>
        </w:tc>
        <w:tc>
          <w:tcPr>
            <w:tcW w:w="791" w:type="dxa"/>
            <w:shd w:val="clear" w:color="auto" w:fill="auto"/>
            <w:vAlign w:val="bottom"/>
          </w:tcPr>
          <w:p w14:paraId="4656CC2F"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136</w:t>
            </w:r>
          </w:p>
        </w:tc>
      </w:tr>
      <w:tr w:rsidR="00B53F22" w:rsidRPr="00B53F22" w14:paraId="2FA57908" w14:textId="77777777" w:rsidTr="00B53F22">
        <w:trPr>
          <w:trHeight w:val="240"/>
        </w:trPr>
        <w:tc>
          <w:tcPr>
            <w:tcW w:w="2070" w:type="dxa"/>
            <w:shd w:val="clear" w:color="auto" w:fill="auto"/>
            <w:hideMark/>
          </w:tcPr>
          <w:p w14:paraId="68A1FB91"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B53F22">
              <w:rPr>
                <w:sz w:val="18"/>
                <w:lang w:val="es-ES_tradnl"/>
              </w:rPr>
              <w:t>6 de enero de 2000</w:t>
            </w:r>
          </w:p>
        </w:tc>
        <w:tc>
          <w:tcPr>
            <w:tcW w:w="4509" w:type="dxa"/>
            <w:shd w:val="clear" w:color="auto" w:fill="auto"/>
            <w:vAlign w:val="bottom"/>
            <w:hideMark/>
          </w:tcPr>
          <w:p w14:paraId="293CC697"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rFonts w:eastAsia="Calibri"/>
                <w:sz w:val="18"/>
                <w:lang w:val="es-ES_tradnl"/>
              </w:rPr>
            </w:pPr>
            <w:r w:rsidRPr="00B53F22">
              <w:rPr>
                <w:sz w:val="18"/>
                <w:lang w:val="es-ES_tradnl"/>
              </w:rPr>
              <w:t>Convenio sobre la Edad Mínima de Admisión a Empleo</w:t>
            </w:r>
          </w:p>
        </w:tc>
        <w:tc>
          <w:tcPr>
            <w:tcW w:w="791" w:type="dxa"/>
            <w:shd w:val="clear" w:color="auto" w:fill="auto"/>
            <w:vAlign w:val="bottom"/>
            <w:hideMark/>
          </w:tcPr>
          <w:p w14:paraId="1B9B4B53"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B53F22">
              <w:rPr>
                <w:sz w:val="18"/>
                <w:lang w:val="en-US"/>
              </w:rPr>
              <w:t>138</w:t>
            </w:r>
          </w:p>
        </w:tc>
      </w:tr>
      <w:tr w:rsidR="00B53F22" w:rsidRPr="00B53F22" w14:paraId="0B842679" w14:textId="77777777" w:rsidTr="00B53F22">
        <w:trPr>
          <w:trHeight w:val="240"/>
        </w:trPr>
        <w:tc>
          <w:tcPr>
            <w:tcW w:w="2070" w:type="dxa"/>
            <w:shd w:val="clear" w:color="auto" w:fill="auto"/>
            <w:hideMark/>
          </w:tcPr>
          <w:p w14:paraId="7A21057D"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16 de mayo de 2013</w:t>
            </w:r>
          </w:p>
        </w:tc>
        <w:tc>
          <w:tcPr>
            <w:tcW w:w="4509" w:type="dxa"/>
            <w:shd w:val="clear" w:color="auto" w:fill="auto"/>
            <w:vAlign w:val="bottom"/>
            <w:hideMark/>
          </w:tcPr>
          <w:p w14:paraId="5FDC8797"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Consulta Tripartita (Normas Internacionales del Trabajo)</w:t>
            </w:r>
          </w:p>
        </w:tc>
        <w:tc>
          <w:tcPr>
            <w:tcW w:w="791" w:type="dxa"/>
            <w:shd w:val="clear" w:color="auto" w:fill="auto"/>
            <w:vAlign w:val="bottom"/>
            <w:hideMark/>
          </w:tcPr>
          <w:p w14:paraId="2A4A9D60"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144</w:t>
            </w:r>
          </w:p>
        </w:tc>
      </w:tr>
      <w:tr w:rsidR="00B53F22" w:rsidRPr="00B53F22" w14:paraId="2DBF094E" w14:textId="77777777" w:rsidTr="00B53F22">
        <w:trPr>
          <w:trHeight w:val="240"/>
        </w:trPr>
        <w:tc>
          <w:tcPr>
            <w:tcW w:w="2070" w:type="dxa"/>
            <w:shd w:val="clear" w:color="auto" w:fill="auto"/>
            <w:hideMark/>
          </w:tcPr>
          <w:p w14:paraId="67C4A514"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7 de marzo de 1980</w:t>
            </w:r>
          </w:p>
        </w:tc>
        <w:tc>
          <w:tcPr>
            <w:tcW w:w="4509" w:type="dxa"/>
            <w:shd w:val="clear" w:color="auto" w:fill="auto"/>
            <w:vAlign w:val="bottom"/>
            <w:hideMark/>
          </w:tcPr>
          <w:p w14:paraId="7DFDE826"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Continuidad del Empleo (Gente de Mar)</w:t>
            </w:r>
          </w:p>
        </w:tc>
        <w:tc>
          <w:tcPr>
            <w:tcW w:w="791" w:type="dxa"/>
            <w:shd w:val="clear" w:color="auto" w:fill="auto"/>
            <w:vAlign w:val="bottom"/>
            <w:hideMark/>
          </w:tcPr>
          <w:p w14:paraId="10BFEBA0"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145</w:t>
            </w:r>
          </w:p>
        </w:tc>
      </w:tr>
      <w:tr w:rsidR="00B53F22" w:rsidRPr="00B53F22" w14:paraId="03FA8A31" w14:textId="77777777" w:rsidTr="00B53F22">
        <w:trPr>
          <w:trHeight w:val="240"/>
        </w:trPr>
        <w:tc>
          <w:tcPr>
            <w:tcW w:w="2070" w:type="dxa"/>
            <w:shd w:val="clear" w:color="auto" w:fill="auto"/>
            <w:hideMark/>
          </w:tcPr>
          <w:p w14:paraId="14D4C74F"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10 de julio de 1980</w:t>
            </w:r>
          </w:p>
        </w:tc>
        <w:tc>
          <w:tcPr>
            <w:tcW w:w="4509" w:type="dxa"/>
            <w:shd w:val="clear" w:color="auto" w:fill="auto"/>
            <w:vAlign w:val="bottom"/>
            <w:hideMark/>
          </w:tcPr>
          <w:p w14:paraId="41EEF099" w14:textId="23153DD9"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las Vacaciones Anuales Pagadas</w:t>
            </w:r>
            <w:r w:rsidR="008263FA">
              <w:rPr>
                <w:sz w:val="18"/>
                <w:lang w:val="es-ES_tradnl"/>
              </w:rPr>
              <w:br/>
            </w:r>
            <w:r w:rsidRPr="00B53F22">
              <w:rPr>
                <w:sz w:val="18"/>
                <w:lang w:val="es-ES_tradnl"/>
              </w:rPr>
              <w:t>(Gente de Mar)</w:t>
            </w:r>
          </w:p>
        </w:tc>
        <w:tc>
          <w:tcPr>
            <w:tcW w:w="791" w:type="dxa"/>
            <w:shd w:val="clear" w:color="auto" w:fill="auto"/>
            <w:vAlign w:val="bottom"/>
            <w:hideMark/>
          </w:tcPr>
          <w:p w14:paraId="069101B1"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146</w:t>
            </w:r>
          </w:p>
        </w:tc>
      </w:tr>
      <w:tr w:rsidR="00B53F22" w:rsidRPr="00B53F22" w14:paraId="3D66222C" w14:textId="77777777" w:rsidTr="00B53F22">
        <w:trPr>
          <w:trHeight w:val="240"/>
        </w:trPr>
        <w:tc>
          <w:tcPr>
            <w:tcW w:w="2070" w:type="dxa"/>
            <w:shd w:val="clear" w:color="auto" w:fill="auto"/>
            <w:hideMark/>
          </w:tcPr>
          <w:p w14:paraId="3D9437B1"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15 de junio de 1981</w:t>
            </w:r>
          </w:p>
        </w:tc>
        <w:tc>
          <w:tcPr>
            <w:tcW w:w="4509" w:type="dxa"/>
            <w:shd w:val="clear" w:color="auto" w:fill="auto"/>
            <w:vAlign w:val="bottom"/>
            <w:hideMark/>
          </w:tcPr>
          <w:p w14:paraId="7A295C7C"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Marina Mercante (Normas Mínimas)</w:t>
            </w:r>
          </w:p>
        </w:tc>
        <w:tc>
          <w:tcPr>
            <w:tcW w:w="791" w:type="dxa"/>
            <w:shd w:val="clear" w:color="auto" w:fill="auto"/>
            <w:vAlign w:val="bottom"/>
            <w:hideMark/>
          </w:tcPr>
          <w:p w14:paraId="1FCE036D"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147</w:t>
            </w:r>
          </w:p>
        </w:tc>
      </w:tr>
      <w:tr w:rsidR="00B53F22" w:rsidRPr="00B53F22" w14:paraId="6513B18A" w14:textId="77777777" w:rsidTr="00B53F22">
        <w:trPr>
          <w:trHeight w:val="240"/>
        </w:trPr>
        <w:tc>
          <w:tcPr>
            <w:tcW w:w="2070" w:type="dxa"/>
            <w:shd w:val="clear" w:color="auto" w:fill="auto"/>
            <w:hideMark/>
          </w:tcPr>
          <w:p w14:paraId="1239C6F5"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3 de abril de 2009</w:t>
            </w:r>
          </w:p>
        </w:tc>
        <w:tc>
          <w:tcPr>
            <w:tcW w:w="4509" w:type="dxa"/>
            <w:shd w:val="clear" w:color="auto" w:fill="auto"/>
            <w:vAlign w:val="bottom"/>
            <w:hideMark/>
          </w:tcPr>
          <w:p w14:paraId="4D9257BB"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Administración del Trabajo</w:t>
            </w:r>
          </w:p>
        </w:tc>
        <w:tc>
          <w:tcPr>
            <w:tcW w:w="791" w:type="dxa"/>
            <w:shd w:val="clear" w:color="auto" w:fill="auto"/>
            <w:vAlign w:val="bottom"/>
            <w:hideMark/>
          </w:tcPr>
          <w:p w14:paraId="023C79A7"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150</w:t>
            </w:r>
          </w:p>
        </w:tc>
      </w:tr>
      <w:tr w:rsidR="00B53F22" w:rsidRPr="00B53F22" w14:paraId="128A1726" w14:textId="77777777" w:rsidTr="00B53F22">
        <w:trPr>
          <w:trHeight w:val="240"/>
        </w:trPr>
        <w:tc>
          <w:tcPr>
            <w:tcW w:w="2070" w:type="dxa"/>
            <w:shd w:val="clear" w:color="auto" w:fill="auto"/>
            <w:hideMark/>
          </w:tcPr>
          <w:p w14:paraId="3F8EEBFA"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lastRenderedPageBreak/>
              <w:t>4 de junio de 2013</w:t>
            </w:r>
          </w:p>
        </w:tc>
        <w:tc>
          <w:tcPr>
            <w:tcW w:w="4509" w:type="dxa"/>
            <w:shd w:val="clear" w:color="auto" w:fill="auto"/>
            <w:vAlign w:val="bottom"/>
            <w:hideMark/>
          </w:tcPr>
          <w:p w14:paraId="68FFB56D"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las Relaciones de Trabajo en la Administración Pública</w:t>
            </w:r>
          </w:p>
        </w:tc>
        <w:tc>
          <w:tcPr>
            <w:tcW w:w="791" w:type="dxa"/>
            <w:shd w:val="clear" w:color="auto" w:fill="auto"/>
            <w:vAlign w:val="bottom"/>
            <w:hideMark/>
          </w:tcPr>
          <w:p w14:paraId="34E00E1C"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151</w:t>
            </w:r>
          </w:p>
        </w:tc>
      </w:tr>
      <w:tr w:rsidR="00B53F22" w:rsidRPr="00B53F22" w14:paraId="1F8F4BA5" w14:textId="77777777" w:rsidTr="00B53F22">
        <w:trPr>
          <w:trHeight w:val="240"/>
        </w:trPr>
        <w:tc>
          <w:tcPr>
            <w:tcW w:w="2070" w:type="dxa"/>
            <w:shd w:val="clear" w:color="auto" w:fill="auto"/>
            <w:hideMark/>
          </w:tcPr>
          <w:p w14:paraId="56A6D183"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3 de abril de 2009</w:t>
            </w:r>
          </w:p>
        </w:tc>
        <w:tc>
          <w:tcPr>
            <w:tcW w:w="4509" w:type="dxa"/>
            <w:shd w:val="clear" w:color="auto" w:fill="auto"/>
            <w:vAlign w:val="bottom"/>
            <w:hideMark/>
          </w:tcPr>
          <w:p w14:paraId="58C07E15"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Negociación Colectiva</w:t>
            </w:r>
          </w:p>
        </w:tc>
        <w:tc>
          <w:tcPr>
            <w:tcW w:w="791" w:type="dxa"/>
            <w:shd w:val="clear" w:color="auto" w:fill="auto"/>
            <w:vAlign w:val="bottom"/>
            <w:hideMark/>
          </w:tcPr>
          <w:p w14:paraId="6BB1D041"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154</w:t>
            </w:r>
          </w:p>
        </w:tc>
      </w:tr>
      <w:tr w:rsidR="00B53F22" w:rsidRPr="00B53F22" w14:paraId="0DA22809" w14:textId="77777777" w:rsidTr="00B53F22">
        <w:trPr>
          <w:trHeight w:val="240"/>
        </w:trPr>
        <w:tc>
          <w:tcPr>
            <w:tcW w:w="2070" w:type="dxa"/>
            <w:shd w:val="clear" w:color="auto" w:fill="auto"/>
            <w:hideMark/>
          </w:tcPr>
          <w:p w14:paraId="5755C07F"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7 de octubre de 1993</w:t>
            </w:r>
          </w:p>
        </w:tc>
        <w:tc>
          <w:tcPr>
            <w:tcW w:w="4509" w:type="dxa"/>
            <w:shd w:val="clear" w:color="auto" w:fill="auto"/>
            <w:vAlign w:val="bottom"/>
            <w:hideMark/>
          </w:tcPr>
          <w:p w14:paraId="0FC6B3E3"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Terminación de la Relación de Trabajo</w:t>
            </w:r>
          </w:p>
        </w:tc>
        <w:tc>
          <w:tcPr>
            <w:tcW w:w="791" w:type="dxa"/>
            <w:shd w:val="clear" w:color="auto" w:fill="auto"/>
            <w:vAlign w:val="bottom"/>
            <w:hideMark/>
          </w:tcPr>
          <w:p w14:paraId="54EFC695"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158</w:t>
            </w:r>
          </w:p>
        </w:tc>
      </w:tr>
      <w:tr w:rsidR="00B53F22" w:rsidRPr="00B53F22" w14:paraId="61155E93" w14:textId="77777777" w:rsidTr="00B53F22">
        <w:trPr>
          <w:trHeight w:val="240"/>
        </w:trPr>
        <w:tc>
          <w:tcPr>
            <w:tcW w:w="2070" w:type="dxa"/>
            <w:shd w:val="clear" w:color="auto" w:fill="auto"/>
            <w:hideMark/>
          </w:tcPr>
          <w:p w14:paraId="20E695F2"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13 de abril de 2011</w:t>
            </w:r>
          </w:p>
        </w:tc>
        <w:tc>
          <w:tcPr>
            <w:tcW w:w="4509" w:type="dxa"/>
            <w:shd w:val="clear" w:color="auto" w:fill="auto"/>
            <w:vAlign w:val="bottom"/>
            <w:hideMark/>
          </w:tcPr>
          <w:p w14:paraId="491332FD"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el Asbesto</w:t>
            </w:r>
          </w:p>
        </w:tc>
        <w:tc>
          <w:tcPr>
            <w:tcW w:w="791" w:type="dxa"/>
            <w:shd w:val="clear" w:color="auto" w:fill="auto"/>
            <w:vAlign w:val="bottom"/>
            <w:hideMark/>
          </w:tcPr>
          <w:p w14:paraId="0097F818"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162</w:t>
            </w:r>
          </w:p>
        </w:tc>
      </w:tr>
      <w:tr w:rsidR="00B53F22" w:rsidRPr="00B53F22" w14:paraId="44516A1D" w14:textId="77777777" w:rsidTr="00B53F22">
        <w:trPr>
          <w:trHeight w:val="240"/>
        </w:trPr>
        <w:tc>
          <w:tcPr>
            <w:tcW w:w="2070" w:type="dxa"/>
            <w:shd w:val="clear" w:color="auto" w:fill="auto"/>
            <w:hideMark/>
          </w:tcPr>
          <w:p w14:paraId="0BDA0D8A"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10 de septiembre de 2012</w:t>
            </w:r>
          </w:p>
        </w:tc>
        <w:tc>
          <w:tcPr>
            <w:tcW w:w="4509" w:type="dxa"/>
            <w:shd w:val="clear" w:color="auto" w:fill="auto"/>
            <w:vAlign w:val="bottom"/>
            <w:hideMark/>
          </w:tcPr>
          <w:p w14:paraId="474627CC"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el Bienestar de la Gente de Mar</w:t>
            </w:r>
          </w:p>
        </w:tc>
        <w:tc>
          <w:tcPr>
            <w:tcW w:w="791" w:type="dxa"/>
            <w:shd w:val="clear" w:color="auto" w:fill="auto"/>
            <w:vAlign w:val="bottom"/>
            <w:hideMark/>
          </w:tcPr>
          <w:p w14:paraId="69718D95"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163</w:t>
            </w:r>
          </w:p>
        </w:tc>
      </w:tr>
      <w:tr w:rsidR="00B53F22" w:rsidRPr="00B53F22" w14:paraId="589A93AB" w14:textId="77777777" w:rsidTr="00B53F22">
        <w:trPr>
          <w:trHeight w:val="240"/>
        </w:trPr>
        <w:tc>
          <w:tcPr>
            <w:tcW w:w="2070" w:type="dxa"/>
            <w:shd w:val="clear" w:color="auto" w:fill="auto"/>
            <w:hideMark/>
          </w:tcPr>
          <w:p w14:paraId="0260C457"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10 de septiembre de 2012</w:t>
            </w:r>
          </w:p>
        </w:tc>
        <w:tc>
          <w:tcPr>
            <w:tcW w:w="4509" w:type="dxa"/>
            <w:shd w:val="clear" w:color="auto" w:fill="auto"/>
            <w:vAlign w:val="bottom"/>
            <w:hideMark/>
          </w:tcPr>
          <w:p w14:paraId="5558DD00"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Protección de la Salud y la Asistencia Médica (Gente de Mar)</w:t>
            </w:r>
          </w:p>
        </w:tc>
        <w:tc>
          <w:tcPr>
            <w:tcW w:w="791" w:type="dxa"/>
            <w:shd w:val="clear" w:color="auto" w:fill="auto"/>
            <w:vAlign w:val="bottom"/>
            <w:hideMark/>
          </w:tcPr>
          <w:p w14:paraId="4D2326F6"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164</w:t>
            </w:r>
          </w:p>
        </w:tc>
      </w:tr>
      <w:tr w:rsidR="00B53F22" w:rsidRPr="00B53F22" w14:paraId="5A75C02F" w14:textId="77777777" w:rsidTr="00B53F22">
        <w:trPr>
          <w:trHeight w:val="240"/>
        </w:trPr>
        <w:tc>
          <w:tcPr>
            <w:tcW w:w="2070" w:type="dxa"/>
            <w:shd w:val="clear" w:color="auto" w:fill="auto"/>
            <w:hideMark/>
          </w:tcPr>
          <w:p w14:paraId="3D1FDAF7"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10 de septiembre de 2012</w:t>
            </w:r>
          </w:p>
        </w:tc>
        <w:tc>
          <w:tcPr>
            <w:tcW w:w="4509" w:type="dxa"/>
            <w:shd w:val="clear" w:color="auto" w:fill="auto"/>
            <w:vAlign w:val="bottom"/>
            <w:hideMark/>
          </w:tcPr>
          <w:p w14:paraId="0A201964"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Repatriación de la Gente de Mar (Revisado)</w:t>
            </w:r>
          </w:p>
        </w:tc>
        <w:tc>
          <w:tcPr>
            <w:tcW w:w="791" w:type="dxa"/>
            <w:shd w:val="clear" w:color="auto" w:fill="auto"/>
            <w:vAlign w:val="bottom"/>
            <w:hideMark/>
          </w:tcPr>
          <w:p w14:paraId="0C7AB4C6"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166</w:t>
            </w:r>
          </w:p>
        </w:tc>
      </w:tr>
      <w:tr w:rsidR="00B53F22" w:rsidRPr="00B53F22" w14:paraId="2019417B" w14:textId="77777777" w:rsidTr="00B53F22">
        <w:trPr>
          <w:trHeight w:val="240"/>
        </w:trPr>
        <w:tc>
          <w:tcPr>
            <w:tcW w:w="2070" w:type="dxa"/>
            <w:shd w:val="clear" w:color="auto" w:fill="auto"/>
            <w:hideMark/>
          </w:tcPr>
          <w:p w14:paraId="725AA403"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4 de junio de 2013</w:t>
            </w:r>
          </w:p>
        </w:tc>
        <w:tc>
          <w:tcPr>
            <w:tcW w:w="4509" w:type="dxa"/>
            <w:shd w:val="clear" w:color="auto" w:fill="auto"/>
            <w:vAlign w:val="bottom"/>
            <w:hideMark/>
          </w:tcPr>
          <w:p w14:paraId="1A52F83C"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Seguridad y Salud en las Minas</w:t>
            </w:r>
          </w:p>
        </w:tc>
        <w:tc>
          <w:tcPr>
            <w:tcW w:w="791" w:type="dxa"/>
            <w:shd w:val="clear" w:color="auto" w:fill="auto"/>
            <w:vAlign w:val="bottom"/>
            <w:hideMark/>
          </w:tcPr>
          <w:p w14:paraId="7C09D40F"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176</w:t>
            </w:r>
          </w:p>
        </w:tc>
      </w:tr>
      <w:tr w:rsidR="00B53F22" w:rsidRPr="00B53F22" w14:paraId="35ECF5D1" w14:textId="77777777" w:rsidTr="00B53F22">
        <w:trPr>
          <w:trHeight w:val="240"/>
        </w:trPr>
        <w:tc>
          <w:tcPr>
            <w:tcW w:w="2070" w:type="dxa"/>
            <w:shd w:val="clear" w:color="auto" w:fill="auto"/>
            <w:hideMark/>
          </w:tcPr>
          <w:p w14:paraId="03F1D33E"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 de diciembre de 2000</w:t>
            </w:r>
          </w:p>
        </w:tc>
        <w:tc>
          <w:tcPr>
            <w:tcW w:w="4509" w:type="dxa"/>
            <w:shd w:val="clear" w:color="auto" w:fill="auto"/>
            <w:vAlign w:val="bottom"/>
            <w:hideMark/>
          </w:tcPr>
          <w:p w14:paraId="6F41B6E8"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Inspección del Trabajo (Gente de Mar)</w:t>
            </w:r>
          </w:p>
        </w:tc>
        <w:tc>
          <w:tcPr>
            <w:tcW w:w="791" w:type="dxa"/>
            <w:shd w:val="clear" w:color="auto" w:fill="auto"/>
            <w:vAlign w:val="bottom"/>
            <w:hideMark/>
          </w:tcPr>
          <w:p w14:paraId="4712C3C3"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178</w:t>
            </w:r>
          </w:p>
        </w:tc>
      </w:tr>
      <w:tr w:rsidR="00B53F22" w:rsidRPr="00B53F22" w14:paraId="074C6189" w14:textId="77777777" w:rsidTr="00B53F22">
        <w:trPr>
          <w:trHeight w:val="240"/>
        </w:trPr>
        <w:tc>
          <w:tcPr>
            <w:tcW w:w="2070" w:type="dxa"/>
            <w:shd w:val="clear" w:color="auto" w:fill="auto"/>
            <w:hideMark/>
          </w:tcPr>
          <w:p w14:paraId="5E9F34EE"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 de diciembre de 2000</w:t>
            </w:r>
          </w:p>
        </w:tc>
        <w:tc>
          <w:tcPr>
            <w:tcW w:w="4509" w:type="dxa"/>
            <w:shd w:val="clear" w:color="auto" w:fill="auto"/>
            <w:vAlign w:val="bottom"/>
            <w:hideMark/>
          </w:tcPr>
          <w:p w14:paraId="1CBE7EC8" w14:textId="77782352"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Contratación y la Colocación de</w:t>
            </w:r>
            <w:r w:rsidR="008263FA">
              <w:rPr>
                <w:sz w:val="18"/>
                <w:lang w:val="es-ES_tradnl"/>
              </w:rPr>
              <w:br/>
            </w:r>
            <w:r w:rsidRPr="00B53F22">
              <w:rPr>
                <w:sz w:val="18"/>
                <w:lang w:val="es-ES_tradnl"/>
              </w:rPr>
              <w:t>la Gente de Mar</w:t>
            </w:r>
          </w:p>
        </w:tc>
        <w:tc>
          <w:tcPr>
            <w:tcW w:w="791" w:type="dxa"/>
            <w:shd w:val="clear" w:color="auto" w:fill="auto"/>
            <w:vAlign w:val="bottom"/>
            <w:hideMark/>
          </w:tcPr>
          <w:p w14:paraId="53127CD9"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179</w:t>
            </w:r>
          </w:p>
        </w:tc>
      </w:tr>
      <w:tr w:rsidR="00B53F22" w:rsidRPr="00B53F22" w14:paraId="777BF619" w14:textId="77777777" w:rsidTr="00B53F22">
        <w:trPr>
          <w:trHeight w:val="240"/>
        </w:trPr>
        <w:tc>
          <w:tcPr>
            <w:tcW w:w="2070" w:type="dxa"/>
            <w:shd w:val="clear" w:color="auto" w:fill="auto"/>
            <w:hideMark/>
          </w:tcPr>
          <w:p w14:paraId="184669F0"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 de diciembre de 2000</w:t>
            </w:r>
          </w:p>
        </w:tc>
        <w:tc>
          <w:tcPr>
            <w:tcW w:w="4509" w:type="dxa"/>
            <w:shd w:val="clear" w:color="auto" w:fill="auto"/>
            <w:vAlign w:val="bottom"/>
            <w:hideMark/>
          </w:tcPr>
          <w:p w14:paraId="605AD342"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las Horas de Trabajo a Bordo y la Dotación de los Buques</w:t>
            </w:r>
          </w:p>
        </w:tc>
        <w:tc>
          <w:tcPr>
            <w:tcW w:w="791" w:type="dxa"/>
            <w:shd w:val="clear" w:color="auto" w:fill="auto"/>
            <w:vAlign w:val="bottom"/>
            <w:hideMark/>
          </w:tcPr>
          <w:p w14:paraId="1767783A"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180</w:t>
            </w:r>
          </w:p>
        </w:tc>
      </w:tr>
      <w:tr w:rsidR="00B53F22" w:rsidRPr="00B53F22" w14:paraId="4CA17743" w14:textId="77777777" w:rsidTr="00B53F22">
        <w:trPr>
          <w:trHeight w:val="240"/>
        </w:trPr>
        <w:tc>
          <w:tcPr>
            <w:tcW w:w="2070" w:type="dxa"/>
            <w:shd w:val="clear" w:color="auto" w:fill="auto"/>
            <w:hideMark/>
          </w:tcPr>
          <w:p w14:paraId="699D23A7"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10 de mayo de 1999</w:t>
            </w:r>
          </w:p>
        </w:tc>
        <w:tc>
          <w:tcPr>
            <w:tcW w:w="4509" w:type="dxa"/>
            <w:shd w:val="clear" w:color="auto" w:fill="auto"/>
            <w:vAlign w:val="bottom"/>
            <w:hideMark/>
          </w:tcPr>
          <w:p w14:paraId="4C6DA033"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las Agencias de Empleo Privadas</w:t>
            </w:r>
          </w:p>
        </w:tc>
        <w:tc>
          <w:tcPr>
            <w:tcW w:w="791" w:type="dxa"/>
            <w:shd w:val="clear" w:color="auto" w:fill="auto"/>
            <w:vAlign w:val="bottom"/>
            <w:hideMark/>
          </w:tcPr>
          <w:p w14:paraId="24A798E6"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181</w:t>
            </w:r>
          </w:p>
        </w:tc>
      </w:tr>
      <w:tr w:rsidR="00B53F22" w:rsidRPr="00B53F22" w14:paraId="41918602" w14:textId="77777777" w:rsidTr="00B53F22">
        <w:trPr>
          <w:trHeight w:val="240"/>
        </w:trPr>
        <w:tc>
          <w:tcPr>
            <w:tcW w:w="2070" w:type="dxa"/>
            <w:shd w:val="clear" w:color="auto" w:fill="auto"/>
          </w:tcPr>
          <w:p w14:paraId="696918A8"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rFonts w:eastAsia="Calibri"/>
                <w:sz w:val="18"/>
                <w:lang w:val="es-ES_tradnl"/>
              </w:rPr>
            </w:pPr>
            <w:r w:rsidRPr="00B53F22">
              <w:rPr>
                <w:sz w:val="18"/>
                <w:lang w:val="es-ES_tradnl"/>
              </w:rPr>
              <w:t>26 de enero de 2001</w:t>
            </w:r>
          </w:p>
        </w:tc>
        <w:tc>
          <w:tcPr>
            <w:tcW w:w="4509" w:type="dxa"/>
            <w:shd w:val="clear" w:color="auto" w:fill="auto"/>
            <w:vAlign w:val="bottom"/>
          </w:tcPr>
          <w:p w14:paraId="7FE3E4A1"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rFonts w:eastAsia="Calibri"/>
                <w:sz w:val="18"/>
                <w:lang w:val="es-ES_tradnl"/>
              </w:rPr>
            </w:pPr>
            <w:r w:rsidRPr="00B53F22">
              <w:rPr>
                <w:sz w:val="18"/>
                <w:lang w:val="es-ES_tradnl"/>
              </w:rPr>
              <w:t>Convenio sobre la Prohibición de las Peores Formas de Trabajo Infantil y la Acción Inmediata para su Erradicación</w:t>
            </w:r>
          </w:p>
        </w:tc>
        <w:tc>
          <w:tcPr>
            <w:tcW w:w="791" w:type="dxa"/>
            <w:shd w:val="clear" w:color="auto" w:fill="auto"/>
            <w:vAlign w:val="bottom"/>
          </w:tcPr>
          <w:p w14:paraId="64C70180"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rFonts w:eastAsia="Calibri"/>
                <w:sz w:val="18"/>
                <w:lang w:val="en-US"/>
              </w:rPr>
            </w:pPr>
            <w:r w:rsidRPr="00B53F22">
              <w:rPr>
                <w:sz w:val="18"/>
                <w:lang w:val="en-US"/>
              </w:rPr>
              <w:t>182</w:t>
            </w:r>
          </w:p>
        </w:tc>
      </w:tr>
      <w:tr w:rsidR="00B53F22" w:rsidRPr="00B53F22" w14:paraId="701CD89B" w14:textId="77777777" w:rsidTr="00B53F22">
        <w:trPr>
          <w:trHeight w:val="240"/>
        </w:trPr>
        <w:tc>
          <w:tcPr>
            <w:tcW w:w="2070" w:type="dxa"/>
            <w:shd w:val="clear" w:color="auto" w:fill="auto"/>
            <w:hideMark/>
          </w:tcPr>
          <w:p w14:paraId="06CED3E5"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13 de abril de 2011</w:t>
            </w:r>
          </w:p>
        </w:tc>
        <w:tc>
          <w:tcPr>
            <w:tcW w:w="4509" w:type="dxa"/>
            <w:shd w:val="clear" w:color="auto" w:fill="auto"/>
            <w:vAlign w:val="bottom"/>
            <w:hideMark/>
          </w:tcPr>
          <w:p w14:paraId="47A3B183"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la Protección de la Maternidad (Revisado)</w:t>
            </w:r>
          </w:p>
        </w:tc>
        <w:tc>
          <w:tcPr>
            <w:tcW w:w="791" w:type="dxa"/>
            <w:shd w:val="clear" w:color="auto" w:fill="auto"/>
            <w:vAlign w:val="bottom"/>
            <w:hideMark/>
          </w:tcPr>
          <w:p w14:paraId="6DDDC6B4"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183</w:t>
            </w:r>
          </w:p>
        </w:tc>
      </w:tr>
      <w:tr w:rsidR="00B53F22" w:rsidRPr="00B53F22" w14:paraId="0C060217" w14:textId="77777777" w:rsidTr="00B53F22">
        <w:trPr>
          <w:trHeight w:val="240"/>
        </w:trPr>
        <w:tc>
          <w:tcPr>
            <w:tcW w:w="2070" w:type="dxa"/>
            <w:shd w:val="clear" w:color="auto" w:fill="auto"/>
            <w:hideMark/>
          </w:tcPr>
          <w:p w14:paraId="1DAE9DD5"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10 de septiembre de 2012</w:t>
            </w:r>
          </w:p>
        </w:tc>
        <w:tc>
          <w:tcPr>
            <w:tcW w:w="4509" w:type="dxa"/>
            <w:shd w:val="clear" w:color="auto" w:fill="auto"/>
            <w:vAlign w:val="bottom"/>
            <w:hideMark/>
          </w:tcPr>
          <w:p w14:paraId="4EE9C108"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el Trabajo Marítimo</w:t>
            </w:r>
          </w:p>
        </w:tc>
        <w:tc>
          <w:tcPr>
            <w:tcW w:w="791" w:type="dxa"/>
            <w:shd w:val="clear" w:color="auto" w:fill="auto"/>
            <w:vAlign w:val="bottom"/>
            <w:hideMark/>
          </w:tcPr>
          <w:p w14:paraId="789F22C6"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MLC</w:t>
            </w:r>
          </w:p>
        </w:tc>
      </w:tr>
      <w:tr w:rsidR="00B53F22" w:rsidRPr="00B53F22" w14:paraId="0055E0BD" w14:textId="77777777" w:rsidTr="00B53F22">
        <w:trPr>
          <w:trHeight w:val="240"/>
        </w:trPr>
        <w:tc>
          <w:tcPr>
            <w:tcW w:w="2070" w:type="dxa"/>
            <w:tcBorders>
              <w:bottom w:val="single" w:sz="12" w:space="0" w:color="auto"/>
            </w:tcBorders>
            <w:shd w:val="clear" w:color="auto" w:fill="auto"/>
            <w:hideMark/>
          </w:tcPr>
          <w:p w14:paraId="5D8ADF15" w14:textId="77777777" w:rsidR="00B53F22" w:rsidRPr="00B53F22" w:rsidRDefault="00B53F22" w:rsidP="00B53F22">
            <w:pPr>
              <w:pStyle w:val="SingleTxtG"/>
              <w:tabs>
                <w:tab w:val="clear" w:pos="1701"/>
                <w:tab w:val="clear" w:pos="2268"/>
                <w:tab w:val="clear" w:pos="2835"/>
              </w:tabs>
              <w:spacing w:before="40" w:after="40" w:line="220" w:lineRule="exact"/>
              <w:ind w:left="0" w:right="0"/>
              <w:jc w:val="left"/>
              <w:rPr>
                <w:sz w:val="18"/>
                <w:lang w:val="es-ES_tradnl"/>
              </w:rPr>
            </w:pPr>
            <w:r w:rsidRPr="00B53F22">
              <w:rPr>
                <w:sz w:val="18"/>
                <w:lang w:val="es-ES_tradnl"/>
              </w:rPr>
              <w:t>16 de mayo de 2013</w:t>
            </w:r>
          </w:p>
        </w:tc>
        <w:tc>
          <w:tcPr>
            <w:tcW w:w="4509" w:type="dxa"/>
            <w:tcBorders>
              <w:bottom w:val="single" w:sz="12" w:space="0" w:color="auto"/>
            </w:tcBorders>
            <w:shd w:val="clear" w:color="auto" w:fill="auto"/>
            <w:vAlign w:val="bottom"/>
            <w:hideMark/>
          </w:tcPr>
          <w:p w14:paraId="339D0158"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left"/>
              <w:rPr>
                <w:sz w:val="18"/>
                <w:lang w:val="es-ES_tradnl"/>
              </w:rPr>
            </w:pPr>
            <w:r w:rsidRPr="00B53F22">
              <w:rPr>
                <w:sz w:val="18"/>
                <w:lang w:val="es-ES_tradnl"/>
              </w:rPr>
              <w:t>Convenio sobre el Trabajo en la Pesca</w:t>
            </w:r>
          </w:p>
        </w:tc>
        <w:tc>
          <w:tcPr>
            <w:tcW w:w="791" w:type="dxa"/>
            <w:tcBorders>
              <w:bottom w:val="single" w:sz="12" w:space="0" w:color="auto"/>
            </w:tcBorders>
            <w:shd w:val="clear" w:color="auto" w:fill="auto"/>
            <w:vAlign w:val="bottom"/>
            <w:hideMark/>
          </w:tcPr>
          <w:p w14:paraId="29496935" w14:textId="77777777" w:rsidR="00B53F22" w:rsidRPr="00B53F22" w:rsidRDefault="00B53F22" w:rsidP="00B53F22">
            <w:pPr>
              <w:pStyle w:val="SingleTxtG"/>
              <w:tabs>
                <w:tab w:val="clear" w:pos="1701"/>
                <w:tab w:val="clear" w:pos="2268"/>
                <w:tab w:val="clear" w:pos="2835"/>
              </w:tabs>
              <w:spacing w:before="40" w:after="40" w:line="220" w:lineRule="exact"/>
              <w:ind w:left="113" w:right="0"/>
              <w:jc w:val="right"/>
              <w:rPr>
                <w:sz w:val="18"/>
                <w:lang w:val="en-US"/>
              </w:rPr>
            </w:pPr>
            <w:r w:rsidRPr="00B53F22">
              <w:rPr>
                <w:sz w:val="18"/>
                <w:lang w:val="en-US"/>
              </w:rPr>
              <w:t>188</w:t>
            </w:r>
          </w:p>
        </w:tc>
      </w:tr>
    </w:tbl>
    <w:p w14:paraId="799B54E6" w14:textId="4FC1E943" w:rsidR="004E0684" w:rsidRPr="006F084A" w:rsidRDefault="004E0684" w:rsidP="008B075D">
      <w:pPr>
        <w:pStyle w:val="SingleTxtG"/>
        <w:spacing w:before="240"/>
        <w:rPr>
          <w:rFonts w:eastAsia="Calibri"/>
        </w:rPr>
      </w:pPr>
      <w:r w:rsidRPr="006F084A">
        <w:t>56.</w:t>
      </w:r>
      <w:r w:rsidR="008B075D">
        <w:tab/>
      </w:r>
      <w:r w:rsidR="002D1B4A">
        <w:t>E</w:t>
      </w:r>
      <w:r w:rsidRPr="006F084A">
        <w:t xml:space="preserve">n relación con otros instrumentos internacionales básicos de derechos humanos, se señala que el Reino de Marruecos firmó el Estatuto de Roma de la Corte Penal Internacional y el Protocolo </w:t>
      </w:r>
      <w:r w:rsidR="008263FA" w:rsidRPr="006F084A">
        <w:t xml:space="preserve">Facultativo </w:t>
      </w:r>
      <w:r w:rsidRPr="006F084A">
        <w:t>de la Convención sobre los Derechos del Niño relativo a un procedimiento de comunicaciones el 28 de febrero de 2012</w:t>
      </w:r>
      <w:r w:rsidRPr="006F084A">
        <w:rPr>
          <w:rStyle w:val="Refdenotaalpie"/>
          <w:rFonts w:eastAsia="Calibri"/>
          <w:lang w:val="en-GB"/>
        </w:rPr>
        <w:footnoteReference w:id="18"/>
      </w:r>
      <w:r w:rsidRPr="006F084A">
        <w:t>. Asimismo, el Reino ha iniciado los procedimientos para adherirse a otros dos protocolos facultativos relativos a un procedimiento de comunicaciones, a saber: el Protocolo Facultativo del Pacto Internacional de Derechos Civiles y Políticos</w:t>
      </w:r>
      <w:r w:rsidRPr="006F084A">
        <w:rPr>
          <w:rStyle w:val="Refdenotaalpie"/>
          <w:rFonts w:eastAsia="Calibri"/>
          <w:lang w:val="en-GB"/>
        </w:rPr>
        <w:footnoteReference w:id="19"/>
      </w:r>
      <w:r w:rsidRPr="006F084A">
        <w:t xml:space="preserve"> y el Protocolo Facultativo de la Convención sobre la Eliminación de Todas las Formas de Discriminación contra la Mujer</w:t>
      </w:r>
      <w:r w:rsidRPr="006F084A">
        <w:rPr>
          <w:rStyle w:val="Refdenotaalpie"/>
          <w:rFonts w:eastAsia="Calibri"/>
          <w:lang w:val="en-GB"/>
        </w:rPr>
        <w:footnoteReference w:id="20"/>
      </w:r>
      <w:r w:rsidRPr="006F084A">
        <w:t xml:space="preserve">. </w:t>
      </w:r>
    </w:p>
    <w:p w14:paraId="5714FC22" w14:textId="2CAD5206" w:rsidR="004E0684" w:rsidRPr="006F084A" w:rsidRDefault="004E0684" w:rsidP="004E0684">
      <w:pPr>
        <w:pStyle w:val="SingleTxtG"/>
        <w:rPr>
          <w:rFonts w:eastAsia="Calibri"/>
        </w:rPr>
      </w:pPr>
      <w:r w:rsidRPr="006F084A">
        <w:t>57.</w:t>
      </w:r>
      <w:r w:rsidR="002D1B4A">
        <w:tab/>
      </w:r>
      <w:r w:rsidRPr="006F084A">
        <w:t xml:space="preserve">El 19 de mayo de 2017, el Reino de Marruecos inició el proceso de ratificación de la Convención para Reducir los Casos de Apatridia de 1961 y la Convención sobre el Estatuto de los Apátridas de 1954.  </w:t>
      </w:r>
    </w:p>
    <w:p w14:paraId="5B1980E3" w14:textId="68EF2989" w:rsidR="004E0684" w:rsidRPr="006F084A" w:rsidRDefault="004E0684" w:rsidP="004E0684">
      <w:pPr>
        <w:pStyle w:val="SingleTxtG"/>
        <w:rPr>
          <w:rFonts w:eastAsia="Calibri"/>
        </w:rPr>
      </w:pPr>
      <w:r w:rsidRPr="006F084A">
        <w:t>58.</w:t>
      </w:r>
      <w:r w:rsidR="002D1B4A">
        <w:tab/>
      </w:r>
      <w:r w:rsidRPr="006F084A">
        <w:t xml:space="preserve">Por otra parte, el Reino de Marruecos votó a favor de la </w:t>
      </w:r>
      <w:r w:rsidR="008263FA">
        <w:t>r</w:t>
      </w:r>
      <w:r w:rsidRPr="006F084A">
        <w:t xml:space="preserve">esolución núm. 195/73, que adoptó el Pacto Mundial para la Migración Segura, Ordenada y Regular, también conocido como el Pacto de Marrakech sobre la Migración. La Asamblea General de las Naciones Unidas adoptó este Pacto el 19 de diciembre de 2018; el Pacto fue resultado de la Conferencia </w:t>
      </w:r>
      <w:r w:rsidRPr="006F084A">
        <w:lastRenderedPageBreak/>
        <w:t xml:space="preserve">Intergubernamental encargada de Aprobar el Pacto Mundial para la Migración Segura, Ordenada y Regular, celebrada en Marrakech los días 10 y 11 de diciembre de 2018. El Reino también votó a favor de la resolución de la Asamblea General de las Naciones Unidas de 17 de diciembre de 2018, en virtud de la cual los Estados </w:t>
      </w:r>
      <w:r w:rsidR="008263FA" w:rsidRPr="006F084A">
        <w:t xml:space="preserve">Miembros </w:t>
      </w:r>
      <w:r w:rsidRPr="006F084A">
        <w:t xml:space="preserve">de la Asamblea General de las Naciones Unidas acordaron un nuevo marco internacional conocido como el </w:t>
      </w:r>
      <w:r w:rsidR="00B56649">
        <w:t>“</w:t>
      </w:r>
      <w:r w:rsidRPr="006F084A">
        <w:t>pacto mundial sobre los refugiados</w:t>
      </w:r>
      <w:r w:rsidR="00B56649">
        <w:t>”</w:t>
      </w:r>
      <w:r w:rsidRPr="006F084A">
        <w:t>.</w:t>
      </w:r>
    </w:p>
    <w:p w14:paraId="7C726AD0" w14:textId="3523D825" w:rsidR="004E0684" w:rsidRPr="006F084A" w:rsidRDefault="004E0684" w:rsidP="004E0684">
      <w:pPr>
        <w:pStyle w:val="SingleTxtG"/>
        <w:rPr>
          <w:rFonts w:eastAsia="Calibri"/>
        </w:rPr>
      </w:pPr>
      <w:r w:rsidRPr="006F084A">
        <w:t>59.</w:t>
      </w:r>
      <w:r w:rsidR="002D1B4A">
        <w:tab/>
      </w:r>
      <w:r w:rsidRPr="006F084A">
        <w:t xml:space="preserve">Además, en 2011, el Reino de Marruecos revisó las reservas formuladas en relación con el artículo 9, párrafo 2, y el artículo 16 de la Convención sobre la Eliminación de Todas las Formas de Discriminación contra la Mujer, que las reformas legislativas de la Ley de Nacionalidad y el Código de la Familia habían dejado obsoletas. </w:t>
      </w:r>
    </w:p>
    <w:p w14:paraId="4C78B269" w14:textId="7BD8453D" w:rsidR="004E0684" w:rsidRPr="006F084A" w:rsidRDefault="004E0684" w:rsidP="004E0684">
      <w:pPr>
        <w:pStyle w:val="SingleTxtG"/>
        <w:rPr>
          <w:rFonts w:eastAsia="Calibri"/>
        </w:rPr>
      </w:pPr>
      <w:r w:rsidRPr="006F084A">
        <w:t>60.</w:t>
      </w:r>
      <w:r w:rsidR="002D1B4A">
        <w:tab/>
      </w:r>
      <w:r w:rsidRPr="006F084A">
        <w:t xml:space="preserve">Desde 2000, Marruecos ha recibido a 12 procedimientos especiales, consistentes en relatores especiales, expertos independientes y grupos de trabajo sobre diversas cuestiones de derechos humanos. Desde la adopción de la Constitución de 2011 y hasta finales de 2018, el número de procedimientos especiales que visitaron Marruecos fue de </w:t>
      </w:r>
      <w:r w:rsidR="008263FA">
        <w:t>8</w:t>
      </w:r>
      <w:r w:rsidRPr="006F084A">
        <w:t>, a saber: la Experta Independiente sobre los derechos culturales (2011); el Relator Especial sobre la tortura (2012); el Grupo de Trabajo sobre la cuestión de la discriminación contra la mujer en la legislación y en la práctica (2012); la Relatora Especial sobre la trata de personas, especialmente mujeres y niños (2013); el Grupo de Trabajo sobre la detención arbitraria (2013); la Relatora Especial sobre el derecho a la alimentación (2015); la Experta Independiente sobre los derechos humanos y la solidaridad internacional (2016); y la Relatora Especial sobre las formas contemporáneas de racismo, discriminación racial, xenofobia y formas conexas de intolerancia (2018).</w:t>
      </w:r>
    </w:p>
    <w:p w14:paraId="4D6141EE" w14:textId="1DA4A977" w:rsidR="004E0684" w:rsidRPr="006F084A" w:rsidRDefault="004E0684" w:rsidP="004E0684">
      <w:pPr>
        <w:pStyle w:val="SingleTxtG"/>
        <w:rPr>
          <w:rFonts w:eastAsia="Calibri"/>
        </w:rPr>
      </w:pPr>
      <w:r w:rsidRPr="006F084A">
        <w:t>61.</w:t>
      </w:r>
      <w:r w:rsidR="002D1B4A">
        <w:tab/>
      </w:r>
      <w:r w:rsidRPr="006F084A">
        <w:t xml:space="preserve">En octubre de 2017, el Reino de Marruecos recibió la visita del Subcomité para la Prevención de la Tortura y </w:t>
      </w:r>
      <w:r w:rsidR="008263FA" w:rsidRPr="006F084A">
        <w:t xml:space="preserve">Otros </w:t>
      </w:r>
      <w:r w:rsidRPr="006F084A">
        <w:t xml:space="preserve">Tratos o Penas crueles, Inhumanos o Degradantes, al que se le proporcionaron las condiciones necesarias para que pudiera llevar a cabo su misión, como facilitar sus desplazamientos y visitas a todos los lugares de privación de libertad que quiso visitar sobre el terreno. A petición de Subcomité, el Reino desclasificó el informe derivado de la visita y lo hizo de dominio público. </w:t>
      </w:r>
    </w:p>
    <w:p w14:paraId="272B34DC" w14:textId="3EACD742" w:rsidR="004E0684" w:rsidRPr="006F084A" w:rsidRDefault="002D1B4A" w:rsidP="002D1B4A">
      <w:pPr>
        <w:pStyle w:val="H1G"/>
      </w:pPr>
      <w:r>
        <w:tab/>
      </w:r>
      <w:r w:rsidR="004E0684" w:rsidRPr="006F084A">
        <w:t>B.</w:t>
      </w:r>
      <w:r>
        <w:tab/>
      </w:r>
      <w:r w:rsidR="004E0684" w:rsidRPr="006F084A">
        <w:t>Marco jurídico e institucional de protección de los derechos humanos</w:t>
      </w:r>
      <w:r>
        <w:t> </w:t>
      </w:r>
      <w:r w:rsidR="004E0684" w:rsidRPr="006F084A">
        <w:t>en el plano nacional</w:t>
      </w:r>
      <w:bookmarkStart w:id="5" w:name="_Toc64366040"/>
      <w:bookmarkEnd w:id="5"/>
    </w:p>
    <w:p w14:paraId="3F9796E4" w14:textId="0A546DF7" w:rsidR="004E0684" w:rsidRPr="006F084A" w:rsidRDefault="004E0684" w:rsidP="004E0684">
      <w:pPr>
        <w:pStyle w:val="SingleTxtG"/>
        <w:rPr>
          <w:rFonts w:eastAsia="Calibri"/>
        </w:rPr>
      </w:pPr>
      <w:r w:rsidRPr="006F084A">
        <w:t>62.</w:t>
      </w:r>
      <w:r w:rsidR="002D1B4A">
        <w:tab/>
      </w:r>
      <w:r w:rsidRPr="006F084A">
        <w:t xml:space="preserve">En consonancia con sus obligaciones internacionales en materia de derechos humanos, Marruecos sigue fortaleciendo el marco jurídico e institucional de derechos humanos del Reino, vigente desde la década de 1990. Así, el ritmo de las reformas se ha agilizado mediante la promulgación de enmiendas constitucionales y nuevas leyes, y la legislación nacional se ha adaptado a las normas internacionales resultantes de los tratados a los que Marruecos se ha adherido. También se han establecido estructuras e instituciones gubernamentales involucradas en la protección y el avance de los derechos humanos. </w:t>
      </w:r>
    </w:p>
    <w:p w14:paraId="358480CB" w14:textId="640B597F" w:rsidR="004E0684" w:rsidRPr="006F084A" w:rsidRDefault="002D1B4A" w:rsidP="002D1B4A">
      <w:pPr>
        <w:pStyle w:val="H23G"/>
      </w:pPr>
      <w:r>
        <w:tab/>
      </w:r>
      <w:r w:rsidR="004E0684" w:rsidRPr="006F084A">
        <w:tab/>
        <w:t>Consagración constitucional de la protección de los derechos humanos</w:t>
      </w:r>
    </w:p>
    <w:p w14:paraId="374DCF07" w14:textId="0793F1EF" w:rsidR="004E0684" w:rsidRPr="006F084A" w:rsidRDefault="004E0684" w:rsidP="004E0684">
      <w:pPr>
        <w:pStyle w:val="SingleTxtG"/>
        <w:rPr>
          <w:rFonts w:eastAsia="Calibri"/>
        </w:rPr>
      </w:pPr>
      <w:r w:rsidRPr="006F084A">
        <w:t>63.</w:t>
      </w:r>
      <w:r w:rsidR="002D1B4A">
        <w:tab/>
      </w:r>
      <w:r w:rsidRPr="006F084A">
        <w:t>La Constitución de 2011 sentó los fundamentos, principios y garantías de la protección de los derechos humanos. Ya en el Preámbulo de la Constitución se afirma la adhesión del Reino de Marruecos a los derechos humanos reconocidos universalmente, así como su compromiso con los principios, derechos y deberes que imponen los instrumentos internacionales. El Reino también se compromete a proteger, promover y contribuir al desarrollo de los sistemas de derechos humanos y del derecho internacional humanitario teniendo en cuenta la naturaleza universal e indivisible de los mismos. Además, el Reino prohíbe cualesquiera formas de discriminación por razón de sexo, color, creencia, cultura, afiliación social o regional, idioma, discapacidad o cualquier condición personal. La Constitución también estipula que, tras su publicación, los convenios internacionales ratificados por el Reino prevalecerán sobre la legislación nacional y que, por tanto, esta deberá ajustarse a los requisitos exigidos en virtud de la ratificación de esos convenios.</w:t>
      </w:r>
    </w:p>
    <w:p w14:paraId="3F0C0CDF" w14:textId="29DE6EB9" w:rsidR="004E0684" w:rsidRPr="006F084A" w:rsidRDefault="004E0684" w:rsidP="004E0684">
      <w:pPr>
        <w:pStyle w:val="SingleTxtG"/>
        <w:rPr>
          <w:rFonts w:eastAsia="Calibri"/>
        </w:rPr>
      </w:pPr>
      <w:r w:rsidRPr="006F084A">
        <w:t>64.</w:t>
      </w:r>
      <w:r w:rsidR="002D1B4A">
        <w:tab/>
      </w:r>
      <w:r w:rsidRPr="006F084A">
        <w:t xml:space="preserve">El título II de la Constitución está dedicado a los derechos y libertades fundamentales. Sus 22 capítulos versan sobre las garantías constitucionales para la protección de los derechos y libertades individuales y colectivos, cuestiones estas tratadas también en otros capítulos </w:t>
      </w:r>
      <w:r w:rsidRPr="006F084A">
        <w:lastRenderedPageBreak/>
        <w:t>dispersos del texto constitucional. Algunos de estos derechos y libertades individuales y colectivos hacen referencia a: los principios de equidad, igualdad de oportunidades y no retroactividad de la ley; la protección del derecho a la vida; la libertad de pensamiento, expresión, opinión, reunión, asociación, manifestación pacífica, creación, publicación, prensa y libre competencia; el derecho a la integridad física y familiar y el derecho a la protección de los bienes; el derecho a la información; el derecho de huelga; el derecho a votar; el derecho a presentarse a elecciones; el derecho a la educación y la formación; el derecho a la salud, la vivienda y el empleo; el derecho a la propiedad y el derecho al desarrollo. La Constitución también ampara la prohibición del trato cruel, inhumano o degradante de la dignidad humana, y de la detención, el arresto, el seguimiento o la condena de cualquier persona, excepto con arreglo a derecho. Prohíbe asimismo la discriminación, el odio, el racismo y la violencia, y penaliza las detenciones arbitrarias o secretas, las desapariciones forzadas, la tortura, el genocidio, los crímenes de lesa humanidad, los crímenes de guerra y las violaciones graves de los derechos humanos. La Constitución garantiza los principios de juicio justo, los derechos de los litigantes y las normas de funcionamiento del sistema judicial. Todo esto sin olvidar que la igualdad entre mujeres y hombres y la realización del principio de igualdad de géneros están amparados constitucionalmente, por medio de la creación de la Autoridad para la Paridad y la Lucha contra Todas las Formas de Discriminación. Por otra parte, la Constitución consagra los derechos de colectivos como los niños, los jóvenes, las personas con discapacidad, los migrantes y los refugiados.</w:t>
      </w:r>
    </w:p>
    <w:p w14:paraId="4C568BDF" w14:textId="27AF0093" w:rsidR="004E0684" w:rsidRPr="006F084A" w:rsidRDefault="004E0684" w:rsidP="004E0684">
      <w:pPr>
        <w:pStyle w:val="SingleTxtG"/>
        <w:rPr>
          <w:rFonts w:eastAsia="Calibri"/>
        </w:rPr>
      </w:pPr>
      <w:r w:rsidRPr="006F084A">
        <w:t>65.</w:t>
      </w:r>
      <w:r w:rsidR="002D1B4A">
        <w:tab/>
      </w:r>
      <w:r w:rsidRPr="006F084A">
        <w:t>Con miras a preservar los progresos realizados en la esfera de los derechos humanos, la Constitución de 2011 incorporó la elección democrática al conjunto de principios aglutinantes de la nación. En la misma línea, los avances en la esfera de las libertades y los derechos fundamentas consagrados en la Constitución quedaron blindados ante cualquier regresión, en tanto que ninguna revisión constitucional, por profunda que sea, se hará extensiva de forma que menoscabe la opción democrática de la nación ni los logros conseguidos en materia de derechos humanos. Asimismo, las libertades y los derechos fundamentales consagrados en la Constitución quedan garantizados incluso en aquellos casos declarados como excepcionales por constituir una amenaza a la integridad del territorio nacional o un obstáculo para el curso normal de las instituciones constitucionales.</w:t>
      </w:r>
    </w:p>
    <w:p w14:paraId="2F40C114" w14:textId="04C20196" w:rsidR="004E0684" w:rsidRPr="007754D2" w:rsidRDefault="002D1B4A" w:rsidP="002D1B4A">
      <w:pPr>
        <w:pStyle w:val="H23G"/>
        <w:rPr>
          <w:rFonts w:eastAsia="Calibri"/>
          <w:lang w:val="es-ES_tradnl"/>
        </w:rPr>
      </w:pPr>
      <w:r>
        <w:tab/>
      </w:r>
      <w:r w:rsidR="004E0684" w:rsidRPr="006F084A">
        <w:tab/>
      </w:r>
      <w:r w:rsidR="004E0684" w:rsidRPr="007754D2">
        <w:rPr>
          <w:lang w:val="es-ES_tradnl"/>
        </w:rPr>
        <w:t>Fortalecimiento del marco institucional para la protección de los</w:t>
      </w:r>
      <w:r w:rsidRPr="007754D2">
        <w:rPr>
          <w:lang w:val="es-ES_tradnl"/>
        </w:rPr>
        <w:br/>
      </w:r>
      <w:r w:rsidR="004E0684" w:rsidRPr="007754D2">
        <w:rPr>
          <w:lang w:val="es-ES_tradnl"/>
        </w:rPr>
        <w:t>derechos humanos</w:t>
      </w:r>
    </w:p>
    <w:p w14:paraId="623BF8A7" w14:textId="1BD37CF6"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Las instituciones constitucionales</w:t>
      </w:r>
    </w:p>
    <w:p w14:paraId="31BEF716" w14:textId="6BBF2773" w:rsidR="004E0684" w:rsidRPr="007754D2" w:rsidRDefault="004E0684" w:rsidP="004E0684">
      <w:pPr>
        <w:pStyle w:val="SingleTxtG"/>
        <w:rPr>
          <w:rFonts w:eastAsia="Calibri"/>
          <w:lang w:val="es-ES_tradnl"/>
        </w:rPr>
      </w:pPr>
      <w:r w:rsidRPr="007754D2">
        <w:rPr>
          <w:lang w:val="es-ES_tradnl"/>
        </w:rPr>
        <w:t>66.</w:t>
      </w:r>
      <w:r w:rsidR="008263FA">
        <w:rPr>
          <w:lang w:val="es-ES_tradnl"/>
        </w:rPr>
        <w:tab/>
      </w:r>
      <w:r w:rsidRPr="007754D2">
        <w:rPr>
          <w:lang w:val="es-ES_tradnl"/>
        </w:rPr>
        <w:t>Con el fin de cumplir con sus obligaciones internacionales en materia de derechos humanos, Marruecos trabaja desde 2011 para modernizar y fortalecer el marco institucional para la protección y el avance de los derechos humanos. En este contexto, se han creado instituciones constitucionales nuevas y varias de las existentes se han elevado al rango de instituciones constitucionales.</w:t>
      </w:r>
    </w:p>
    <w:p w14:paraId="0619C75C"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El Consejo Nacional de Derechos Humanos</w:t>
      </w:r>
    </w:p>
    <w:p w14:paraId="2601C906" w14:textId="163AC4D1" w:rsidR="004E0684" w:rsidRPr="006F084A" w:rsidRDefault="004E0684" w:rsidP="004E0684">
      <w:pPr>
        <w:pStyle w:val="SingleTxtG"/>
        <w:rPr>
          <w:rFonts w:eastAsia="Calibri"/>
        </w:rPr>
      </w:pPr>
      <w:r w:rsidRPr="007754D2">
        <w:rPr>
          <w:lang w:val="es-ES_tradnl"/>
        </w:rPr>
        <w:t>67.</w:t>
      </w:r>
      <w:r w:rsidR="002D1B4A" w:rsidRPr="007754D2">
        <w:rPr>
          <w:lang w:val="es-ES_tradnl"/>
        </w:rPr>
        <w:tab/>
      </w:r>
      <w:r w:rsidRPr="007754D2">
        <w:rPr>
          <w:lang w:val="es-ES_tradnl"/>
        </w:rPr>
        <w:t>El Consejo Nacional de Derechos Humanos (CNDH) es una institución constitucional, nacional, pluralista e independiente</w:t>
      </w:r>
      <w:r w:rsidRPr="006F084A">
        <w:t xml:space="preserve">, creada en marzo de 2011 para relevar al Consejo Consultivo de Derechos Humanos establecido en 1990. El CNDH es una institución nacional cuyo objetivo es promover y proteger los derechos humanos. El hecho de haber sido clasificado de categoría </w:t>
      </w:r>
      <w:r w:rsidR="00B56649">
        <w:t>“</w:t>
      </w:r>
      <w:r w:rsidRPr="006F084A">
        <w:t>A</w:t>
      </w:r>
      <w:r w:rsidR="00B56649">
        <w:t>”</w:t>
      </w:r>
      <w:r w:rsidRPr="006F084A">
        <w:t xml:space="preserve"> desde 1999 por la Alianza Global de Instituciones Nacionales de Derechos Humanos, anteriormente denominada Comité Internacional de Coordinación de las Instituciones Nacionales para la Promoción y Protección de los Derechos Humanos, refleja la plena sujeción del Consejo a los Principios de París que rigen la labor de estas instituciones. El Consejo abarca todas las regiones del Reino de Marruecos, con lo que, además de su sede en Rabat, dispone de 12 delegaciones regionales.  </w:t>
      </w:r>
    </w:p>
    <w:p w14:paraId="2D89B24A" w14:textId="419FF46B" w:rsidR="004E0684" w:rsidRPr="006F084A" w:rsidRDefault="004E0684" w:rsidP="004E0684">
      <w:pPr>
        <w:pStyle w:val="SingleTxtG"/>
        <w:rPr>
          <w:rFonts w:eastAsia="Calibri"/>
        </w:rPr>
      </w:pPr>
      <w:r w:rsidRPr="006F084A">
        <w:t>68.</w:t>
      </w:r>
      <w:r w:rsidR="002D1B4A">
        <w:tab/>
      </w:r>
      <w:r w:rsidRPr="006F084A">
        <w:t xml:space="preserve">El 22 de febrero de 2018 se adoptó la Ley núm. 76-15 sobre la </w:t>
      </w:r>
      <w:r w:rsidR="008263FA" w:rsidRPr="006F084A">
        <w:t xml:space="preserve">Reorganización </w:t>
      </w:r>
      <w:r w:rsidRPr="006F084A">
        <w:t>del CNDH, de conformidad con el artículo 171 de la Constitución</w:t>
      </w:r>
      <w:r w:rsidRPr="006F084A">
        <w:rPr>
          <w:rStyle w:val="Refdenotaalpie"/>
          <w:rFonts w:eastAsia="Calibri"/>
          <w:lang w:val="en-GB"/>
        </w:rPr>
        <w:footnoteReference w:id="21"/>
      </w:r>
      <w:r w:rsidRPr="006F084A">
        <w:t xml:space="preserve">, que amplió las competencias </w:t>
      </w:r>
      <w:r w:rsidRPr="006F084A">
        <w:lastRenderedPageBreak/>
        <w:t>del Consejo, en particular las relativas a la protección, mediante la creación de tres mecanismos nacionales estipulados en los instrumentos internacionales de derechos humanos que Marruecos ha ratificado:</w:t>
      </w:r>
    </w:p>
    <w:p w14:paraId="168982D3" w14:textId="058B02FC" w:rsidR="004E0684" w:rsidRPr="006F084A" w:rsidRDefault="004E0684" w:rsidP="002D1B4A">
      <w:pPr>
        <w:pStyle w:val="Bullet1G"/>
        <w:rPr>
          <w:rFonts w:eastAsia="Calibri"/>
        </w:rPr>
      </w:pPr>
      <w:r w:rsidRPr="006F084A">
        <w:t>El Mecanismo Nacional de Prevención de la Tortura (</w:t>
      </w:r>
      <w:proofErr w:type="spellStart"/>
      <w:r w:rsidRPr="006F084A">
        <w:t>MNPT</w:t>
      </w:r>
      <w:proofErr w:type="spellEnd"/>
      <w:r w:rsidRPr="006F084A">
        <w:t xml:space="preserve">), en cumplimiento de las obligaciones que impone el Protocolo Facultativo de la Convención contra la Tortura, ratificado en noviembre de 2014. El </w:t>
      </w:r>
      <w:proofErr w:type="spellStart"/>
      <w:r w:rsidRPr="006F084A">
        <w:t>MNPT</w:t>
      </w:r>
      <w:proofErr w:type="spellEnd"/>
      <w:r w:rsidRPr="006F084A">
        <w:t xml:space="preserve"> se encarga de: visitar regularmente lugares en los que haya o pueda haber personas privadas de libertad; elaborar recomendaciones con miras a mejorar el trato y las condiciones de las personas privadas de libertad, y prevenir la tortura; presentar las observaciones y propuestas sobre la legislación vigente o sobre los proyectos y observaciones relacionados con la prevención de la tortura.</w:t>
      </w:r>
    </w:p>
    <w:p w14:paraId="346C8623" w14:textId="40FE3FDC" w:rsidR="004E0684" w:rsidRPr="006F084A" w:rsidRDefault="004E0684" w:rsidP="002D1B4A">
      <w:pPr>
        <w:pStyle w:val="Bullet1G"/>
        <w:rPr>
          <w:rFonts w:eastAsia="Calibri"/>
        </w:rPr>
      </w:pPr>
      <w:r w:rsidRPr="006F084A">
        <w:rPr>
          <w:rFonts w:ascii="Symbol" w:hAnsi="Symbol"/>
        </w:rPr>
        <w:tab/>
      </w:r>
      <w:r w:rsidRPr="006F084A">
        <w:t>El Mecanismo Nacional de Denuncia para los Niños Víctimas de Violaciones de los Derechos del Niño, que se estableció de conformidad con los requisitos de la Convención sobre los Derechos del Niño, ratificada el 21 de junio de 1993. Este Mecanismo se encarga de: recibir las denuncias presentadas bien directamente por los niños víctimas de violaciones o sus representantes legales, bien por terceras personas; llevar a cabo todas las investigaciones relacionadas con la denuncia presentada con el fin de atenderla y resolverla; convocar audiencias e invitar a las partes afectadas, como a los testigos, expertos y cualesquiera personas interesadas, a asistir a la vista del caso objeto de la violación o la denuncia; este mecanismo puede asimismo intervenir de oficio en cualesquiera casos de vulneración o violación de los derechos del niño que lleguen a su conocimiento.</w:t>
      </w:r>
    </w:p>
    <w:p w14:paraId="4262AA02" w14:textId="476D3CFD" w:rsidR="004E0684" w:rsidRPr="006F084A" w:rsidRDefault="004E0684" w:rsidP="002D1B4A">
      <w:pPr>
        <w:pStyle w:val="Bullet1G"/>
        <w:rPr>
          <w:rFonts w:eastAsia="Calibri"/>
        </w:rPr>
      </w:pPr>
      <w:r w:rsidRPr="006F084A">
        <w:rPr>
          <w:rFonts w:ascii="Symbol" w:hAnsi="Symbol"/>
        </w:rPr>
        <w:tab/>
      </w:r>
      <w:r w:rsidRPr="006F084A">
        <w:t xml:space="preserve">El Mecanismo de Protección de los Derechos de las Personas con Discapacidad, que se estableció de conformidad con los requisitos del artículo 33, párrafo 2, de la Convención sobre los Derechos de las Personas con Discapacidad, ratificado el 8 de abril de 2009. Este </w:t>
      </w:r>
      <w:r w:rsidR="008263FA" w:rsidRPr="006F084A">
        <w:t xml:space="preserve">Mecanismo </w:t>
      </w:r>
      <w:r w:rsidRPr="006F084A">
        <w:t xml:space="preserve">tiene competencias para: recibir denuncias; llevar a cabo todas las investigaciones necesarias en relación con la denuncia que haya presentado bien directamente la persona con discapacidad o su representante legal, bien terceras personas, cuando se haya violado alguno de sus derechos; llevar a cabo todas las investigaciones relacionadas con la denuncia presentada con el fin de examinarla, tramitarla y resolverla; convocar audiencias e invitar tanto a las partes afectadas como a los testigos, expertos y cualesquiera personas interesadas en asistir a la vista del caso objeto de la violación o la denuncia. Este </w:t>
      </w:r>
      <w:r w:rsidR="008263FA" w:rsidRPr="006F084A">
        <w:t xml:space="preserve">Mecanismo </w:t>
      </w:r>
      <w:r w:rsidRPr="006F084A">
        <w:t>puede asimismo intervenir de oficio en cualesquiera casos de vulneración o violación de los derechos de las personas con discapacidad que lleguen a su conocimiento.</w:t>
      </w:r>
    </w:p>
    <w:p w14:paraId="5E20D888"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 xml:space="preserve">La Institución del Mediador del Reino </w:t>
      </w:r>
    </w:p>
    <w:p w14:paraId="2D1FB006" w14:textId="50D7913A" w:rsidR="004E0684" w:rsidRPr="006F084A" w:rsidRDefault="004E0684" w:rsidP="004E0684">
      <w:pPr>
        <w:pStyle w:val="SingleTxtG"/>
        <w:rPr>
          <w:rFonts w:eastAsia="Calibri"/>
        </w:rPr>
      </w:pPr>
      <w:r w:rsidRPr="006F084A">
        <w:t>69.</w:t>
      </w:r>
      <w:r w:rsidR="002D1B4A">
        <w:tab/>
      </w:r>
      <w:r w:rsidRPr="006F084A">
        <w:t>De conformidad con el capítulo 162 de la Constitución, la Institución del Mediador se elevó a la categoría de institución constitucional para la protección y promoción de los derechos humanos. Como tal, se encarga de: defender los derechos de las ciudadanas y ciudadanos en su relación con la Administración Pública; hacer justicia a estos ciudadanos en caso de que se cometan irregularidades en el ámbito del estado de derecho; consolidar los principios de justicia y equidad; esforzarse por moralizar la vida pública, promover la transparencia y la buena gobernanza en materia de gestión de los servicios públicos; y velar por que exista una comunicación fluida entre los ciudadanos, las instituciones y las autoridades públicas. La Institución del Mediador del Reino se creó en 2011 como institución nacional, independiente y especializada para reemplazar a la Cancillería de Agravios [</w:t>
      </w:r>
      <w:proofErr w:type="spellStart"/>
      <w:r w:rsidRPr="006F084A">
        <w:t>Diwan</w:t>
      </w:r>
      <w:proofErr w:type="spellEnd"/>
      <w:r w:rsidRPr="006F084A">
        <w:t xml:space="preserve"> al-</w:t>
      </w:r>
      <w:proofErr w:type="spellStart"/>
      <w:r w:rsidRPr="006F084A">
        <w:t>Mazalim</w:t>
      </w:r>
      <w:proofErr w:type="spellEnd"/>
      <w:r w:rsidRPr="006F084A">
        <w:t xml:space="preserve">], que había sido creada en 2001. </w:t>
      </w:r>
    </w:p>
    <w:p w14:paraId="33B0AF1F" w14:textId="5FB59B14" w:rsidR="004E0684" w:rsidRPr="006F084A" w:rsidRDefault="004E0684" w:rsidP="004E0684">
      <w:pPr>
        <w:pStyle w:val="SingleTxtG"/>
        <w:rPr>
          <w:rFonts w:eastAsia="Calibri"/>
        </w:rPr>
      </w:pPr>
      <w:r w:rsidRPr="006F084A">
        <w:t>70.</w:t>
      </w:r>
      <w:r w:rsidR="002D1B4A">
        <w:tab/>
      </w:r>
      <w:r w:rsidRPr="006F084A">
        <w:t xml:space="preserve">Con el fin de fortalecer sus funciones en la protección de los usuarios, de acuerdo con las normas de justicia y equidad, se promulgó la Ley núm. 14-16, sobre la </w:t>
      </w:r>
      <w:r w:rsidR="008B165A" w:rsidRPr="006F084A">
        <w:t xml:space="preserve">Reorganización </w:t>
      </w:r>
      <w:r w:rsidRPr="006F084A">
        <w:t xml:space="preserve">de esta </w:t>
      </w:r>
      <w:r w:rsidR="008B165A" w:rsidRPr="006F084A">
        <w:t>Institución</w:t>
      </w:r>
      <w:r w:rsidRPr="006F084A">
        <w:rPr>
          <w:rStyle w:val="Refdenotaalpie"/>
          <w:rFonts w:eastAsia="Calibri"/>
          <w:lang w:val="en-GB"/>
        </w:rPr>
        <w:footnoteReference w:id="22"/>
      </w:r>
      <w:r w:rsidRPr="006F084A">
        <w:t xml:space="preserve">. La Ley tiene como objetivo consolidar la labor de la Institución del Mediador como institución constitucional, moderna y eficaz a la hora de defender los derechos de los ciudadanos, y como órgano de amparo al que poder presentar recursos contra cualquier abuso, exceso o irregularidad por parte de la Administración Pública o ante </w:t>
      </w:r>
      <w:r w:rsidRPr="006F084A">
        <w:lastRenderedPageBreak/>
        <w:t xml:space="preserve">cualquier conducta contraria a los principios de justicia y equidad. Asimismo, la Institución del Mediador actúa como mecanismo de referencia con potestad para presentar propuestas en materia de reforma y modernización de la Administración Pública. Esta </w:t>
      </w:r>
      <w:r w:rsidR="008B165A" w:rsidRPr="006F084A">
        <w:t xml:space="preserve">Ley </w:t>
      </w:r>
      <w:r w:rsidRPr="006F084A">
        <w:t>presenta diversas novedades, entre las que destacan: la posibilidad de recurrir al Mediador para reducir el plazo de apelación e impedir que corra el plazo de prescripción, de forma que la queja se resuelva en un tiempo inferior a seis meses, y la posibilidad de exigir la incoación del procedimiento disciplinario o judicial contra los funcionarios públicos que hayan cometido abusos.</w:t>
      </w:r>
    </w:p>
    <w:p w14:paraId="1C3B030B"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El Consejo Económico, Social y Ambiental</w:t>
      </w:r>
    </w:p>
    <w:p w14:paraId="1EF07B1D" w14:textId="42D81155" w:rsidR="004E0684" w:rsidRPr="006F084A" w:rsidRDefault="004E0684" w:rsidP="004E0684">
      <w:pPr>
        <w:pStyle w:val="SingleTxtG"/>
        <w:rPr>
          <w:rFonts w:eastAsia="Calibri"/>
        </w:rPr>
      </w:pPr>
      <w:r w:rsidRPr="006F084A">
        <w:t>71.</w:t>
      </w:r>
      <w:r w:rsidR="00652D48">
        <w:tab/>
      </w:r>
      <w:r w:rsidRPr="006F084A">
        <w:t xml:space="preserve">El Consejo Económico, Social y Ambiental es una institución constitucional independiente que lleva a cabo funciones consultivas y que se pronuncia acerca de las principales opciones relativas al desarrollo y las políticas públicas en las esferas económica, social, de desarrollo sostenible y de regionalización avanzada.  A tenor de la multiplicidad de sensibilidades y experiencias </w:t>
      </w:r>
      <w:proofErr w:type="spellStart"/>
      <w:r w:rsidRPr="006F084A">
        <w:t>socioprofesionales</w:t>
      </w:r>
      <w:proofErr w:type="spellEnd"/>
      <w:r w:rsidRPr="006F084A">
        <w:t xml:space="preserve"> de sus integrantes, el Consejo adopta una metodología participativa basada en la escucha, el debate y el acercamiento de posiciones tanto de los grupos económicos y sociales como de las organizaciones y grupos de la sociedad civil, y ello con la perspectiva de establecer un pacto social que abarque al conjunto de</w:t>
      </w:r>
      <w:r w:rsidRPr="006F084A">
        <w:rPr>
          <w:b/>
          <w:bCs/>
        </w:rPr>
        <w:t xml:space="preserve"> </w:t>
      </w:r>
      <w:r w:rsidRPr="006F084A">
        <w:t>la ciudadanía. En el proceso de elaboración de informes y opiniones formuladas ante el Gobierno y ambas cámaras del Parlamento, el Consejo adopta un enfoque integrador, en tanto que concilia los planos económico, social y ambiental, y se rige por una visión a largo plazo.</w:t>
      </w:r>
    </w:p>
    <w:p w14:paraId="0AAFD145" w14:textId="6B0260EF" w:rsidR="004E0684" w:rsidRPr="006F084A" w:rsidRDefault="004E0684" w:rsidP="004E0684">
      <w:pPr>
        <w:pStyle w:val="SingleTxtG"/>
        <w:rPr>
          <w:rFonts w:eastAsia="Calibri"/>
        </w:rPr>
      </w:pPr>
      <w:r w:rsidRPr="006F084A">
        <w:t>72.</w:t>
      </w:r>
      <w:r w:rsidR="00652D48">
        <w:tab/>
      </w:r>
      <w:r w:rsidRPr="006F084A">
        <w:t>En uso de sus competencias, el Consejo prepara dictámenes, informes y estudios a petición del Gobierno, la Cámara de Representantes o la Cámara de Consejeros (por remisión) o por propia iniciativa (de oficio). El presidente del Consejo presenta a S</w:t>
      </w:r>
      <w:r w:rsidR="00F0059D">
        <w:t xml:space="preserve">u </w:t>
      </w:r>
      <w:r w:rsidRPr="006F084A">
        <w:t>M</w:t>
      </w:r>
      <w:r w:rsidR="00F0059D">
        <w:t>ajestad</w:t>
      </w:r>
      <w:r w:rsidRPr="006F084A">
        <w:t xml:space="preserve"> el Rey un informe anual sobre la situación económica, social y ambiental del país, así como sobre las actividades del Consejo tras su ratificación por la Asamblea General. Previa publicación en el </w:t>
      </w:r>
      <w:r w:rsidRPr="006F084A">
        <w:rPr>
          <w:i/>
          <w:iCs/>
        </w:rPr>
        <w:t>Boletín Oficial</w:t>
      </w:r>
      <w:r w:rsidRPr="006F084A">
        <w:t>, el informe se hace llegar también al Primer Ministro, al presidente de la Cámara de Representantes y al presidente de la Cámara de Consejeros</w:t>
      </w:r>
      <w:r w:rsidRPr="006F084A">
        <w:rPr>
          <w:rStyle w:val="Refdenotaalpie"/>
          <w:rFonts w:eastAsia="Calibri"/>
          <w:lang w:val="en-GB"/>
        </w:rPr>
        <w:footnoteReference w:id="23"/>
      </w:r>
      <w:r w:rsidRPr="006F084A">
        <w:t xml:space="preserve">. </w:t>
      </w:r>
    </w:p>
    <w:p w14:paraId="15FBED5B"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El Consejo de la Comunidad Marroquí en el Extranjero</w:t>
      </w:r>
    </w:p>
    <w:p w14:paraId="7CCD72C1" w14:textId="31885D82" w:rsidR="004E0684" w:rsidRPr="006F084A" w:rsidRDefault="004E0684" w:rsidP="004E0684">
      <w:pPr>
        <w:pStyle w:val="SingleTxtG"/>
        <w:rPr>
          <w:rFonts w:eastAsia="Calibri"/>
        </w:rPr>
      </w:pPr>
      <w:r w:rsidRPr="006F084A">
        <w:t>73.</w:t>
      </w:r>
      <w:r w:rsidR="00652D48">
        <w:tab/>
      </w:r>
      <w:r w:rsidRPr="006F084A">
        <w:t xml:space="preserve">El Consejo de la Comunidad Marroquí en el Extranjero se elevó a la categoría de institución constitucional en virtud del artículo 163 de la Constitución de 2011 y, como tal, le han sido encomendadas las tareas de: expresar su opinión sobre asuntos migratorios y, en particular, sobre aquellas cuestiones que preocupan a los ciudadanos marroquíes residentes en el extranjero; garantizar el seguimiento y la evaluación de las políticas públicas relativas a los marroquíes residentes en el extranjero; y promover la participación de los marroquíes residentes en el extranjero en la vida política, económica, cultural y social del país. </w:t>
      </w:r>
    </w:p>
    <w:p w14:paraId="70B846E1" w14:textId="3382CDBE" w:rsidR="004E0684" w:rsidRPr="006F084A" w:rsidRDefault="004E0684" w:rsidP="004E0684">
      <w:pPr>
        <w:pStyle w:val="SingleTxtG"/>
        <w:rPr>
          <w:rFonts w:eastAsia="Calibri"/>
        </w:rPr>
      </w:pPr>
      <w:r w:rsidRPr="006F084A">
        <w:t>74.</w:t>
      </w:r>
      <w:r w:rsidR="00652D48">
        <w:tab/>
      </w:r>
      <w:r w:rsidRPr="006F084A">
        <w:t>Por consiguiente, el Consejo de la Comunidad Marroquí en el Extranjero lleva a cabo las funciones de abordar y anticipar las cuestiones migratorias y contribuir al desarrollo de las relaciones entre Marruecos y los gobiernos y las comunidades de los países extranjeros en los que residen marroquíes. Además, el Consejo emite su opinión acerca de: los anteproyectos de los textos legislativos o reglamentarios sobre cuestiones relativas a la migración y otras de interés para los marroquíes residentes en el extranjero; las directrices principales de las políticas públicas encaminadas a garantizar los estrechos vínculos de los marroquíes residentes en el extranjero con su identidad marroquí, en particular en relación a la enseñanza de idiomas, la educación religiosa y las actividades culturales, y las medidas destinadas a garantizar los derechos y a preservar los intereses de los marroquíes residentes en el extranjero.</w:t>
      </w:r>
    </w:p>
    <w:p w14:paraId="68840DD0" w14:textId="0559311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La Autoridad para la Paridad y la Lucha contra Todas las Formas</w:t>
      </w:r>
      <w:r w:rsidR="00652D48" w:rsidRPr="00D51553">
        <w:rPr>
          <w:rFonts w:eastAsia="Calibri"/>
          <w:b/>
          <w:bCs/>
        </w:rPr>
        <w:br/>
      </w:r>
      <w:r w:rsidRPr="00D51553">
        <w:rPr>
          <w:rFonts w:eastAsia="Calibri"/>
          <w:b/>
          <w:bCs/>
        </w:rPr>
        <w:t>de Discriminación</w:t>
      </w:r>
    </w:p>
    <w:p w14:paraId="2D12C9F1" w14:textId="1D23529B" w:rsidR="004E0684" w:rsidRPr="006F084A" w:rsidRDefault="004E0684" w:rsidP="004E0684">
      <w:pPr>
        <w:pStyle w:val="SingleTxtG"/>
        <w:rPr>
          <w:rFonts w:eastAsia="Calibri"/>
        </w:rPr>
      </w:pPr>
      <w:r w:rsidRPr="006F084A">
        <w:t>75.</w:t>
      </w:r>
      <w:r w:rsidR="00652D48">
        <w:tab/>
      </w:r>
      <w:r w:rsidRPr="006F084A">
        <w:t xml:space="preserve">Con miras a cumplir con las obligaciones resultantes de la ratificación y adhesión de Marruecos a los convenios internacionales de derechos humanos, y en particular a la Convención Internacional sobre la Eliminación de </w:t>
      </w:r>
      <w:r w:rsidR="00F0059D" w:rsidRPr="006F084A">
        <w:t xml:space="preserve">Todas </w:t>
      </w:r>
      <w:r w:rsidRPr="006F084A">
        <w:t xml:space="preserve">las Formas de Discriminación </w:t>
      </w:r>
      <w:r w:rsidRPr="006F084A">
        <w:lastRenderedPageBreak/>
        <w:t>Racial (</w:t>
      </w:r>
      <w:proofErr w:type="spellStart"/>
      <w:r w:rsidRPr="006F084A">
        <w:t>ICERD</w:t>
      </w:r>
      <w:proofErr w:type="spellEnd"/>
      <w:r w:rsidRPr="006F084A">
        <w:t>) y la Convención sobre la Eliminación de Todas las Formas de Discriminación contra la Mujer,  se creó la Autoridad para la Paridad y la Lucha contra Todas las Formas de Discriminación como institución constitucional, cuyas competencias, composición, organización y funcionamiento se establecen en la ley pertinente aprobada en septiembre de</w:t>
      </w:r>
      <w:r w:rsidR="00652D48">
        <w:t> </w:t>
      </w:r>
      <w:r w:rsidRPr="006F084A">
        <w:t>2017</w:t>
      </w:r>
      <w:r w:rsidRPr="006F084A">
        <w:rPr>
          <w:rStyle w:val="Refdenotaalpie"/>
          <w:rFonts w:eastAsia="Calibri"/>
          <w:lang w:val="en-GB"/>
        </w:rPr>
        <w:footnoteReference w:id="24"/>
      </w:r>
      <w:r w:rsidRPr="006F084A">
        <w:t xml:space="preserve">. A la Comisión se le encomendaron tareas como presentar toda propuesta o recomendación al Gobierno o a una de las dos cámaras del Parlamento que tenga por objeto promover, perpetuar y difundir los valores de igualdad, paridad y no discriminación; recibir las denuncias sobre los casos de discriminación que presenten las presuntas víctimas; emitir un dictamen sobre las propuestas, los proyectos de ley y los proyectos de textos reglamentarios; y formular todas aquellas recomendaciones que contribuyan a que el ordenamiento jurídico nacional se adapte a las disposiciones de los convenios internacionales ratificados. </w:t>
      </w:r>
    </w:p>
    <w:p w14:paraId="44D9F32C"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El Consejo Superior de Comunicación Audiovisual</w:t>
      </w:r>
    </w:p>
    <w:p w14:paraId="7852C9E7" w14:textId="736B54FC" w:rsidR="004E0684" w:rsidRPr="006F084A" w:rsidRDefault="004E0684" w:rsidP="004E0684">
      <w:pPr>
        <w:pStyle w:val="SingleTxtG"/>
        <w:rPr>
          <w:b/>
          <w:bCs/>
        </w:rPr>
      </w:pPr>
      <w:r w:rsidRPr="006F084A">
        <w:t>76.</w:t>
      </w:r>
      <w:r w:rsidR="00652D48">
        <w:tab/>
      </w:r>
      <w:r w:rsidRPr="006F084A">
        <w:t xml:space="preserve">En 2002 se creó el Consejo Superior de Comunicación Audiovisual con el objetivo de prevenir cualesquiera formas de monopolio en el sector de los medios audiovisuales. Con el fin de fortalecer el papel del Consejo a la hora de velar por el respeto de las normas de expresión en el marco de la multiplicidad de corrientes de pensamiento e ideologías, y para dotarlo de mecanismos que le permitieran consagrar la multiplicidad de opiniones existente la sociedad marroquí, el Consejo se elevó al rango de institución constitucional en 2011. Asimismo, a fin de reforzar las funciones de esta institución en materia de regulación, legalización, control y sanción, se prepararon una serie de textos legislativos y reglamentarios nuevos en virtud de la Ley núm. 11-15, de </w:t>
      </w:r>
      <w:r w:rsidR="00F0059D" w:rsidRPr="006F084A">
        <w:t xml:space="preserve">Regulación </w:t>
      </w:r>
      <w:r w:rsidRPr="006F084A">
        <w:t>del Consejo Superior de Comunicación Audiovisual</w:t>
      </w:r>
      <w:r w:rsidRPr="006F084A">
        <w:rPr>
          <w:rStyle w:val="Refdenotaalpie"/>
          <w:rFonts w:eastAsia="Calibri"/>
          <w:lang w:val="en-US"/>
        </w:rPr>
        <w:footnoteReference w:id="25"/>
      </w:r>
      <w:r w:rsidRPr="006F084A">
        <w:t xml:space="preserve">, la Ley núm. 77-03, de Comunicación Audiovisual, modificada y complementada, y el Decreto Real núm. 1-04-257, de 25 de </w:t>
      </w:r>
      <w:proofErr w:type="spellStart"/>
      <w:r w:rsidRPr="006F084A">
        <w:rPr>
          <w:i/>
          <w:iCs/>
        </w:rPr>
        <w:t>Dhu</w:t>
      </w:r>
      <w:proofErr w:type="spellEnd"/>
      <w:r w:rsidRPr="006F084A">
        <w:rPr>
          <w:i/>
          <w:iCs/>
        </w:rPr>
        <w:t>-l-</w:t>
      </w:r>
      <w:proofErr w:type="spellStart"/>
      <w:r w:rsidRPr="006F084A">
        <w:rPr>
          <w:i/>
          <w:iCs/>
        </w:rPr>
        <w:t>qaada</w:t>
      </w:r>
      <w:proofErr w:type="spellEnd"/>
      <w:r w:rsidRPr="006F084A">
        <w:t xml:space="preserve"> de 1425 (7 de enero de 2005), de aplicación de la Ley núm. 77-03, de Comunicación Audiovisual</w:t>
      </w:r>
      <w:r w:rsidRPr="006F084A">
        <w:rPr>
          <w:rStyle w:val="Refdenotaalpie"/>
          <w:rFonts w:eastAsia="Calibri"/>
          <w:lang w:val="en-US"/>
        </w:rPr>
        <w:footnoteReference w:id="26"/>
      </w:r>
      <w:r w:rsidRPr="006F084A">
        <w:t>.</w:t>
      </w:r>
    </w:p>
    <w:p w14:paraId="1B18AAD7"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El Consejo de la Competencia</w:t>
      </w:r>
    </w:p>
    <w:p w14:paraId="1C5EC0C4" w14:textId="67C62E12" w:rsidR="004E0684" w:rsidRPr="006F084A" w:rsidRDefault="004E0684" w:rsidP="004E0684">
      <w:pPr>
        <w:pStyle w:val="SingleTxtG"/>
        <w:rPr>
          <w:rFonts w:eastAsia="Calibri"/>
        </w:rPr>
      </w:pPr>
      <w:r w:rsidRPr="006F084A">
        <w:t>77.</w:t>
      </w:r>
      <w:r w:rsidR="00652D48">
        <w:tab/>
      </w:r>
      <w:r w:rsidRPr="006F084A">
        <w:t>De conformidad con la Ley núm. 06-99, de la Libertad de Precios y la Competencia, en 2001 se creó el Consejo de la Competencia, cuyo objetivo es emitir dictámenes sobre la libre competencia, las operaciones monopolísticas y la imposición de prácticas uniformes relativas a los precios o condiciones de venta. El Consejo fue aupado en 2011 al rango de institución constitucional, año en que Marruecos inició los procesos de reforma del marco jurídico sobre la libertad de precios y la competencia</w:t>
      </w:r>
      <w:r w:rsidRPr="006F084A">
        <w:rPr>
          <w:rStyle w:val="Refdenotaalpie"/>
          <w:rFonts w:eastAsia="Calibri"/>
          <w:lang w:val="en-GB"/>
        </w:rPr>
        <w:footnoteReference w:id="27"/>
      </w:r>
      <w:r w:rsidRPr="006F084A">
        <w:t>, y de mejora tanto de los mandatos como de la esfera de actividad del Consejo de la Competencia</w:t>
      </w:r>
      <w:r w:rsidRPr="006F084A">
        <w:rPr>
          <w:rStyle w:val="Refdenotaalpie"/>
          <w:rFonts w:eastAsia="Calibri"/>
          <w:lang w:val="en-GB"/>
        </w:rPr>
        <w:footnoteReference w:id="28"/>
      </w:r>
      <w:r w:rsidRPr="006F084A">
        <w:t xml:space="preserve">. Como consecuencia de ello, el Consejo pasó a tener la facultad de decidir, investigar e imponer sanciones en relación con el control de las prácticas contrarias a las normas de competencia, las prácticas comerciales ilegales y las operaciones de concentración económica y monopolísticas. </w:t>
      </w:r>
    </w:p>
    <w:p w14:paraId="7A15DDB1" w14:textId="69601DBE" w:rsidR="004E0684" w:rsidRPr="006F084A" w:rsidRDefault="004E0684" w:rsidP="004E0684">
      <w:pPr>
        <w:pStyle w:val="SingleTxtG"/>
      </w:pPr>
      <w:r w:rsidRPr="006F084A">
        <w:t>78.</w:t>
      </w:r>
      <w:r w:rsidR="00652D48">
        <w:tab/>
      </w:r>
      <w:r w:rsidRPr="006F084A">
        <w:t>El Consejo de la Competencia es consultado obligatoriamente por el Gobierno en materia de proyectos de leyes o reglamentarios relativos a la creación de un sistema nuevo o la modificación de un sistema ya existente destinado directamente a:</w:t>
      </w:r>
    </w:p>
    <w:p w14:paraId="33E6BBDF" w14:textId="47B1DE90" w:rsidR="004E0684" w:rsidRPr="006F084A" w:rsidRDefault="00E34D4B" w:rsidP="00E34D4B">
      <w:pPr>
        <w:pStyle w:val="SingleTxtG"/>
        <w:rPr>
          <w:rFonts w:eastAsia="Calibri"/>
        </w:rPr>
      </w:pPr>
      <w:r>
        <w:tab/>
      </w:r>
      <w:r w:rsidR="004E0684" w:rsidRPr="006F084A">
        <w:t>1)</w:t>
      </w:r>
      <w:r w:rsidR="004E0684" w:rsidRPr="006F084A">
        <w:tab/>
        <w:t>Imponer restricciones numéricas al ejercicio de la profesión o para acceder al mercado;</w:t>
      </w:r>
    </w:p>
    <w:p w14:paraId="35C23B7F" w14:textId="4AC37975" w:rsidR="004E0684" w:rsidRPr="006F084A" w:rsidRDefault="00E34D4B" w:rsidP="00E34D4B">
      <w:pPr>
        <w:pStyle w:val="SingleTxtG"/>
        <w:rPr>
          <w:rFonts w:eastAsia="Calibri"/>
        </w:rPr>
      </w:pPr>
      <w:r>
        <w:tab/>
      </w:r>
      <w:r w:rsidR="004E0684" w:rsidRPr="006F084A">
        <w:t>2)</w:t>
      </w:r>
      <w:r w:rsidR="004E0684" w:rsidRPr="006F084A">
        <w:tab/>
      </w:r>
      <w:r w:rsidR="004E0684" w:rsidRPr="00E34D4B">
        <w:rPr>
          <w:rFonts w:eastAsia="Calibri"/>
        </w:rPr>
        <w:t>Establecer</w:t>
      </w:r>
      <w:r w:rsidR="004E0684" w:rsidRPr="006F084A">
        <w:t xml:space="preserve"> monopolios o derechos exclusivos o especiales de otro tipo en territorio marroquí o una parte importante del mismo;</w:t>
      </w:r>
    </w:p>
    <w:p w14:paraId="777136AC" w14:textId="4817497B" w:rsidR="004E0684" w:rsidRPr="006F084A" w:rsidRDefault="00E34D4B" w:rsidP="00E34D4B">
      <w:pPr>
        <w:pStyle w:val="SingleTxtG"/>
        <w:rPr>
          <w:rFonts w:eastAsia="Calibri"/>
        </w:rPr>
      </w:pPr>
      <w:r>
        <w:tab/>
      </w:r>
      <w:r w:rsidR="004E0684" w:rsidRPr="006F084A">
        <w:t>3)</w:t>
      </w:r>
      <w:r w:rsidR="004E0684" w:rsidRPr="006F084A">
        <w:tab/>
      </w:r>
      <w:r w:rsidR="004E0684" w:rsidRPr="00E34D4B">
        <w:rPr>
          <w:rFonts w:eastAsia="Calibri"/>
        </w:rPr>
        <w:t>Imponer</w:t>
      </w:r>
      <w:r w:rsidR="004E0684" w:rsidRPr="006F084A">
        <w:t xml:space="preserve"> prácticas unificadas en relación con los precios o las condiciones de venta;</w:t>
      </w:r>
    </w:p>
    <w:p w14:paraId="4D4B65E3" w14:textId="406AD491" w:rsidR="004E0684" w:rsidRPr="006F084A" w:rsidRDefault="00E34D4B" w:rsidP="00E34D4B">
      <w:pPr>
        <w:pStyle w:val="SingleTxtG"/>
        <w:rPr>
          <w:rFonts w:eastAsia="Calibri"/>
        </w:rPr>
      </w:pPr>
      <w:r>
        <w:lastRenderedPageBreak/>
        <w:tab/>
      </w:r>
      <w:r w:rsidR="004E0684" w:rsidRPr="006F084A">
        <w:t>4)</w:t>
      </w:r>
      <w:r w:rsidR="004E0684" w:rsidRPr="006F084A">
        <w:tab/>
        <w:t>Conceder subvenciones estatales o de colectividades territoriales de conformidad con la legislación pertinente.</w:t>
      </w:r>
    </w:p>
    <w:p w14:paraId="6090839D"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La Instancia Nacional para la Integridad y la Prevención y Lucha contra la Corrupción</w:t>
      </w:r>
    </w:p>
    <w:p w14:paraId="2316092F" w14:textId="3698D92E" w:rsidR="004E0684" w:rsidRPr="006F084A" w:rsidRDefault="004E0684" w:rsidP="004E0684">
      <w:pPr>
        <w:pStyle w:val="SingleTxtG"/>
        <w:rPr>
          <w:rFonts w:eastAsia="Calibri"/>
        </w:rPr>
      </w:pPr>
      <w:r w:rsidRPr="006F084A">
        <w:t>79.</w:t>
      </w:r>
      <w:r w:rsidR="002145F2">
        <w:tab/>
      </w:r>
      <w:r w:rsidRPr="006F084A">
        <w:t>En 2007, después de que Marruecos ratificara la Convención de las Naciones Unidas contra la Corrupción ese mismo año, se creó la Instancia Central de Prevención de la Corrupción. Posteriormente, tras la aprobación de la Constitución de 2011, la Instancia Central de Prevención de la Corrupción se elevó a institución constitucional adoptando el nombre de Instancia Nacional para la Integridad y la Prevención y Lucha contra la Corrupción. Con arreglo a la Ley núm. 113-12</w:t>
      </w:r>
      <w:r w:rsidRPr="006F084A">
        <w:rPr>
          <w:rStyle w:val="Refdenotaalpie"/>
          <w:rFonts w:eastAsia="Calibri"/>
          <w:lang w:val="en-GB"/>
        </w:rPr>
        <w:footnoteReference w:id="29"/>
      </w:r>
      <w:r w:rsidRPr="006F084A">
        <w:t>, a la Comisión se le encomendaron las funciones de liderar, coordinar, supervisar y garantizar el seguimiento de la aplicación de las políticas anticorrupción, además de reunir y difundir la información al respecto. Otras de las funciones encomendadas a la Comisión fueron que contribuyera a la moralización de la vida pública y a la consolidación de la buena gobernanza, la cultura de servicio público y los valores de ciudadanía responsable.</w:t>
      </w:r>
    </w:p>
    <w:p w14:paraId="1F6B202D" w14:textId="60C348E3" w:rsidR="004E0684" w:rsidRPr="006F084A" w:rsidRDefault="004E0684" w:rsidP="004E0684">
      <w:pPr>
        <w:pStyle w:val="SingleTxtG"/>
        <w:rPr>
          <w:rFonts w:eastAsia="Calibri"/>
        </w:rPr>
      </w:pPr>
      <w:r w:rsidRPr="006F084A">
        <w:t>80.</w:t>
      </w:r>
      <w:r w:rsidR="002145F2">
        <w:tab/>
      </w:r>
      <w:r w:rsidRPr="006F084A">
        <w:t xml:space="preserve">Además, el jueves 11 de junio de 2020, el Consejo de Gobierno fue convocado para aprobar el proyecto de </w:t>
      </w:r>
      <w:r w:rsidR="00F0059D">
        <w:t>l</w:t>
      </w:r>
      <w:r w:rsidRPr="006F084A">
        <w:t xml:space="preserve">ey núm. 46-19 relativo a la </w:t>
      </w:r>
      <w:r w:rsidR="00F0059D">
        <w:t>i</w:t>
      </w:r>
      <w:r w:rsidRPr="006F084A">
        <w:t xml:space="preserve">nstancia </w:t>
      </w:r>
      <w:r w:rsidR="00F0059D">
        <w:t>n</w:t>
      </w:r>
      <w:r w:rsidRPr="006F084A">
        <w:t xml:space="preserve">acional para la </w:t>
      </w:r>
      <w:r w:rsidR="00F0059D">
        <w:t>i</w:t>
      </w:r>
      <w:r w:rsidRPr="006F084A">
        <w:t xml:space="preserve">ntegridad y la </w:t>
      </w:r>
      <w:r w:rsidR="00F0059D">
        <w:t>p</w:t>
      </w:r>
      <w:r w:rsidRPr="006F084A">
        <w:t xml:space="preserve">revención y </w:t>
      </w:r>
      <w:r w:rsidR="00F0059D">
        <w:t>l</w:t>
      </w:r>
      <w:r w:rsidRPr="006F084A">
        <w:t xml:space="preserve">ucha contra la </w:t>
      </w:r>
      <w:r w:rsidR="00F0059D">
        <w:t>c</w:t>
      </w:r>
      <w:r w:rsidRPr="006F084A">
        <w:t xml:space="preserve">orrupción, que fue remitido para su examen por la Cámara de Representantes el 2 de julio de 2020. Este proyecto de ley confiere a la Instancia facultades nuevas, en particular la posibilidad de recibir comunicaciones, denuncias e información sobre delitos de corrupción e irregularidades administrativas y financieras de cualquier otra instancia, así como llevar a cabo procedimientos de búsqueda, investigación y remisión al Ministerio Público (título IV de la Constitución). El proyecto de ley también amplió la definición de los delitos de corrupción para incluir diversos actos que, de conformidad con los requisitos de la Constitución, la legislación nacional y la Convención de las Naciones Unidas contra la Corrupción, caen dentro de su ámbito de responsabilidad (título II de la Constitución). El proyecto de ley encomendó a la Instancia </w:t>
      </w:r>
      <w:r w:rsidR="00B56649">
        <w:t>“</w:t>
      </w:r>
      <w:r w:rsidRPr="006F084A">
        <w:t>llevar a cabo labores de coordinación y seguimiento a nivel nacional para aplicar las obligaciones internacionales derivadas de los tratados internacionales ratificados por Marruecos en materia de prevención y lucha contra la corrupción</w:t>
      </w:r>
      <w:r w:rsidR="00B56649">
        <w:t>”</w:t>
      </w:r>
      <w:r w:rsidRPr="006F084A">
        <w:t>.</w:t>
      </w:r>
    </w:p>
    <w:p w14:paraId="6BBE187D" w14:textId="49990F1B" w:rsidR="004E0684" w:rsidRPr="006F084A" w:rsidRDefault="004E0684" w:rsidP="004E0684">
      <w:pPr>
        <w:pStyle w:val="SingleTxtG"/>
        <w:rPr>
          <w:rFonts w:eastAsia="Calibri"/>
        </w:rPr>
      </w:pPr>
      <w:r w:rsidRPr="006F084A">
        <w:t>81.</w:t>
      </w:r>
      <w:r w:rsidR="002145F2">
        <w:tab/>
      </w:r>
      <w:r w:rsidRPr="006F084A">
        <w:t xml:space="preserve">El primer informe anual de la Instancia Nacional para la Integridad y la Prevención y Lucha contra la Corrupción, publicado en 2019, establece el marco de referencia global adoptado por la Instancia con miras a preparar </w:t>
      </w:r>
      <w:r w:rsidR="00B56649">
        <w:t>“</w:t>
      </w:r>
      <w:r w:rsidRPr="006F084A">
        <w:t>el terreno para un salto cualitativo en la lucha contra la corrupción adoptando una visión estratégica integrada, que se base en los imperativos constitucionales pertinentes y se nutra de los afluentes de una integración institucional comprometida</w:t>
      </w:r>
      <w:r w:rsidR="00B56649">
        <w:t>”</w:t>
      </w:r>
      <w:r w:rsidRPr="006F084A">
        <w:rPr>
          <w:rStyle w:val="Refdenotaalpie"/>
          <w:rFonts w:eastAsia="Calibri"/>
          <w:lang w:val="en-GB"/>
        </w:rPr>
        <w:footnoteReference w:id="30"/>
      </w:r>
      <w:r w:rsidRPr="006F084A">
        <w:t>.</w:t>
      </w:r>
    </w:p>
    <w:p w14:paraId="76BE71D0"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El Consejo Supremo de Educación, Formación e Investigación Científica</w:t>
      </w:r>
    </w:p>
    <w:p w14:paraId="032122E4" w14:textId="6C614BA8" w:rsidR="004E0684" w:rsidRPr="006F084A" w:rsidRDefault="004E0684" w:rsidP="004E0684">
      <w:pPr>
        <w:pStyle w:val="SingleTxtG"/>
        <w:rPr>
          <w:rFonts w:eastAsia="Calibri"/>
          <w:b/>
          <w:bCs/>
        </w:rPr>
      </w:pPr>
      <w:r w:rsidRPr="006F084A">
        <w:t>82.</w:t>
      </w:r>
      <w:r w:rsidR="002145F2">
        <w:tab/>
      </w:r>
      <w:r w:rsidRPr="006F084A">
        <w:t>El Consejo Supremo de Educación, Formación e Investigación Científica se creó como órgano constitucional independiente, en virtud del artículo 168 de la Constitución y de conformidad con la Ley núm. 105-12 del Consejo, promulgada el 19 de mayo de 2014</w:t>
      </w:r>
      <w:r w:rsidRPr="006F084A">
        <w:rPr>
          <w:rStyle w:val="Refdenotaalpie"/>
          <w:rFonts w:eastAsia="Calibri"/>
          <w:lang w:val="en-GB"/>
        </w:rPr>
        <w:footnoteReference w:id="31"/>
      </w:r>
      <w:r w:rsidRPr="006F084A">
        <w:t>. Se trata de un órgano consultivo cuya misión es expresar opiniones sobre todas las políticas públicas; las cuestiones nacionales de interés para la educación, la formación y la investigación científica, y también sobre los objetivos y el funcionamiento de las instancias públicas al cargo de estos ámbitos; además, contribuye a la evaluación de las políticas y programas públicos en la materia.</w:t>
      </w:r>
    </w:p>
    <w:p w14:paraId="29442EB7" w14:textId="77777777" w:rsidR="004E0684" w:rsidRPr="00D51553" w:rsidRDefault="004E0684" w:rsidP="00B8196D">
      <w:pPr>
        <w:pStyle w:val="Bullet1G"/>
        <w:keepNext/>
        <w:keepLines/>
        <w:spacing w:before="240" w:line="240" w:lineRule="exact"/>
        <w:ind w:left="1134"/>
        <w:jc w:val="left"/>
        <w:rPr>
          <w:rFonts w:eastAsia="Calibri"/>
          <w:b/>
          <w:bCs/>
        </w:rPr>
      </w:pPr>
      <w:r w:rsidRPr="00D51553">
        <w:rPr>
          <w:rFonts w:eastAsia="Calibri"/>
          <w:b/>
          <w:bCs/>
        </w:rPr>
        <w:lastRenderedPageBreak/>
        <w:t>El Consejo Consultivo de la Familia y la Infancia</w:t>
      </w:r>
    </w:p>
    <w:p w14:paraId="37C0EA91" w14:textId="257690FE" w:rsidR="004E0684" w:rsidRPr="006F084A" w:rsidRDefault="004E0684" w:rsidP="00B8196D">
      <w:pPr>
        <w:pStyle w:val="SingleTxtG"/>
        <w:keepNext/>
        <w:keepLines/>
        <w:rPr>
          <w:rFonts w:eastAsia="Calibri"/>
        </w:rPr>
      </w:pPr>
      <w:r w:rsidRPr="006F084A">
        <w:t>83.</w:t>
      </w:r>
      <w:r w:rsidR="002145F2">
        <w:tab/>
      </w:r>
      <w:r w:rsidRPr="006F084A">
        <w:t>El Consejo Consultivo de la Familia y la Infancia se creó como institución constitucional en virtud del artículo 32 de la Constitución y de conformidad con lo dispuesto en la Ley núm. 78-14 del Consejo, de julio de 2016</w:t>
      </w:r>
      <w:r w:rsidRPr="006F084A">
        <w:rPr>
          <w:rStyle w:val="Refdenotaalpie"/>
          <w:rFonts w:eastAsia="Calibri"/>
          <w:lang w:val="en-GB"/>
        </w:rPr>
        <w:footnoteReference w:id="32"/>
      </w:r>
      <w:r w:rsidRPr="006F084A">
        <w:t>. El Consejo asumirá la tarea de garantizar el seguimiento de la situación de la familia y la infancia, expresará opiniones sobre los planes nacionales relacionados con estos campos, enriquecerá el debate público sobre las políticas públicas en la esfera de la familia y garantizará el seguimiento y la finalización de los programas nacionales.</w:t>
      </w:r>
    </w:p>
    <w:p w14:paraId="7EF37D1C"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El Consejo Asesor para la Juventud y la Acción Asociativa</w:t>
      </w:r>
    </w:p>
    <w:p w14:paraId="5E13A377" w14:textId="01A7ACF0" w:rsidR="004E0684" w:rsidRPr="006F084A" w:rsidRDefault="004E0684" w:rsidP="004E0684">
      <w:pPr>
        <w:pStyle w:val="SingleTxtG"/>
        <w:rPr>
          <w:rFonts w:eastAsia="Calibri"/>
        </w:rPr>
      </w:pPr>
      <w:r w:rsidRPr="006F084A">
        <w:t>84.</w:t>
      </w:r>
      <w:r w:rsidR="002145F2">
        <w:tab/>
      </w:r>
      <w:r w:rsidRPr="006F084A">
        <w:t xml:space="preserve">El Consejo Asesor para la Juventud y la Acción </w:t>
      </w:r>
      <w:r w:rsidR="00D82712">
        <w:t>Asociativa</w:t>
      </w:r>
      <w:r w:rsidRPr="006F084A">
        <w:t xml:space="preserve"> se creó en calidad de institución constitucional en virtud del artículo 33 de la Constitución, y de conformidad con lo dispuesto en la Ley núm. 89-15 del Consejo, de 18 de enero de 2018</w:t>
      </w:r>
      <w:r w:rsidRPr="006F084A">
        <w:rPr>
          <w:rStyle w:val="Refdenotaalpie"/>
          <w:rFonts w:eastAsia="Calibri"/>
          <w:lang w:val="en-GB"/>
        </w:rPr>
        <w:footnoteReference w:id="33"/>
      </w:r>
      <w:r w:rsidRPr="006F084A">
        <w:t xml:space="preserve">. Es un órgano consultivo en los ámbitos de la protección de la juventud y el desarrollo de la vida asociativa y, como tal, se encarga de estudiar y rastrear temas que afectan a estas esferas. Asimismo, presenta propuestas sobre todas aquellas cuestiones económicas, sociales y culturales que atañen directamente a la promoción de la situación de los jóvenes y el trabajo comunitario, con miras a potenciar su energía creativa y motivarles para que participen en la vida nacional con un espíritu de ciudadanía responsable. </w:t>
      </w:r>
    </w:p>
    <w:p w14:paraId="3272F5A8"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El Consejo Nacional de las Lenguas y de la Cultura Marroquí</w:t>
      </w:r>
    </w:p>
    <w:p w14:paraId="7F46F74F" w14:textId="72089365" w:rsidR="004E0684" w:rsidRPr="006F084A" w:rsidRDefault="004E0684" w:rsidP="004E0684">
      <w:pPr>
        <w:pStyle w:val="SingleTxtG"/>
        <w:rPr>
          <w:rFonts w:eastAsia="Calibri"/>
        </w:rPr>
      </w:pPr>
      <w:r w:rsidRPr="006F084A">
        <w:t>85.</w:t>
      </w:r>
      <w:r w:rsidR="002145F2">
        <w:tab/>
      </w:r>
      <w:r w:rsidRPr="006F084A">
        <w:t>El Consejo Nacional de las Lenguas y de la Cultura Marroquí se creó en virtud del artículo 5 de la Constitución de 2011</w:t>
      </w:r>
      <w:r w:rsidRPr="006F084A">
        <w:rPr>
          <w:rStyle w:val="Refdenotaalpie"/>
          <w:rFonts w:eastAsia="Calibri"/>
          <w:lang w:val="en-GB"/>
        </w:rPr>
        <w:footnoteReference w:id="34"/>
      </w:r>
      <w:r w:rsidRPr="006F084A">
        <w:t xml:space="preserve"> y su misión se centra en proteger y desarrollar tanto los idiomas árabe y </w:t>
      </w:r>
      <w:proofErr w:type="spellStart"/>
      <w:r w:rsidRPr="006F084A">
        <w:t>amazigh</w:t>
      </w:r>
      <w:proofErr w:type="spellEnd"/>
      <w:r w:rsidRPr="006F084A">
        <w:t xml:space="preserve"> como las diversas expresiones culturales marroquíes, por considerarse estas un patrimonio nacional genuino y una expresión de la moderna creatividad. El Consejo propone al Estado las directrices estratégicas en esferas como la política lingüística y cultural; el desarrollo de la cultura nacional en sus diversas manifestaciones; la preservación, el cuidado y la puesta en valor del patrimonio cultural; la facilitación del aprendizaje y el dominio de las lenguas extranjeras de mayor proyección internacional; y la contribución al seguimiento de la aplicación de estas directrices, en coordinación con las autoridades y organismos pertinentes. El Consejo está integrado por diversas instituciones implicadas en estos ámbitos, entre las que figura el Real Instituto de la Cultura </w:t>
      </w:r>
      <w:proofErr w:type="spellStart"/>
      <w:r w:rsidRPr="006F084A">
        <w:t>Amazigh</w:t>
      </w:r>
      <w:proofErr w:type="spellEnd"/>
      <w:r w:rsidRPr="006F084A">
        <w:t xml:space="preserve"> (</w:t>
      </w:r>
      <w:proofErr w:type="spellStart"/>
      <w:r w:rsidRPr="006F084A">
        <w:t>IRCAM</w:t>
      </w:r>
      <w:proofErr w:type="spellEnd"/>
      <w:r w:rsidRPr="006F084A">
        <w:t xml:space="preserve">). Creado en 2001, la misión del </w:t>
      </w:r>
      <w:proofErr w:type="spellStart"/>
      <w:r w:rsidRPr="006F084A">
        <w:t>IRCAM</w:t>
      </w:r>
      <w:proofErr w:type="spellEnd"/>
      <w:r w:rsidRPr="006F084A">
        <w:t xml:space="preserve"> es pronunciarse sobre las medidas encaminadas a preservar y promover la cultura </w:t>
      </w:r>
      <w:proofErr w:type="spellStart"/>
      <w:r w:rsidRPr="006F084A">
        <w:t>amazigh</w:t>
      </w:r>
      <w:proofErr w:type="spellEnd"/>
      <w:r w:rsidRPr="006F084A">
        <w:t xml:space="preserve"> en todas sus manifestaciones, así como garantizar su irradiación al espacio social, cultural y mediático a nivel nacional, regional y local. </w:t>
      </w:r>
    </w:p>
    <w:p w14:paraId="608A8443"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Estructuras de apoyo a la arquitectura institucional de derechos humanos</w:t>
      </w:r>
    </w:p>
    <w:p w14:paraId="3D00F434"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La Comisión Nacional del Derecho Internacional Humanitario</w:t>
      </w:r>
    </w:p>
    <w:p w14:paraId="68A53E03" w14:textId="57774E9C" w:rsidR="004E0684" w:rsidRPr="006F084A" w:rsidRDefault="004E0684" w:rsidP="004E0684">
      <w:pPr>
        <w:pStyle w:val="SingleTxtG"/>
        <w:rPr>
          <w:rFonts w:eastAsia="Calibri"/>
        </w:rPr>
      </w:pPr>
      <w:r w:rsidRPr="006F084A">
        <w:t>86.</w:t>
      </w:r>
      <w:r w:rsidR="002145F2">
        <w:tab/>
      </w:r>
      <w:r w:rsidRPr="006F084A">
        <w:t>La Comisión Nacional del Derecho Internacional Humanitario se creó en 2008 y tiene por tarea ayudar a los poderes públicos a aplicar, desarrollar y difundir el conocimiento relativo al derecho internacional humanitario, así como trabajar para adecuar la legislación nacional a las disposiciones del derecho internacional humanitario y propiciar la adhesión a las convenciones internacionales pertinentes.</w:t>
      </w:r>
    </w:p>
    <w:p w14:paraId="2648F21A"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La Comisión Nacional para el Control de la Protección de Datos Personales</w:t>
      </w:r>
    </w:p>
    <w:p w14:paraId="577C9055" w14:textId="62AE54FA" w:rsidR="004E0684" w:rsidRPr="006F084A" w:rsidRDefault="004E0684" w:rsidP="004E0684">
      <w:pPr>
        <w:pStyle w:val="SingleTxtG"/>
        <w:rPr>
          <w:rFonts w:eastAsia="Calibri"/>
        </w:rPr>
      </w:pPr>
      <w:r w:rsidRPr="006F084A">
        <w:t>87.</w:t>
      </w:r>
      <w:r w:rsidR="002145F2">
        <w:tab/>
      </w:r>
      <w:r w:rsidRPr="006F084A">
        <w:t xml:space="preserve">En virtud de la Ley núm. 09-08 de </w:t>
      </w:r>
      <w:r w:rsidR="00F0059D" w:rsidRPr="006F084A">
        <w:t xml:space="preserve">Protección </w:t>
      </w:r>
      <w:r w:rsidRPr="006F084A">
        <w:t xml:space="preserve">de las </w:t>
      </w:r>
      <w:r w:rsidR="00F0059D" w:rsidRPr="006F084A">
        <w:t xml:space="preserve">Personas Físicas </w:t>
      </w:r>
      <w:r w:rsidRPr="006F084A">
        <w:t xml:space="preserve">en relación con el tratamiento de los datos de carácter personal, se creó en 2009 la Comisión Nacional para el Control de la Protección de Datos Personales. Esta Comisión se encarga, por un lado, de informar a las personas sobre sus derechos en materia de tratamiento de los datos de carácter </w:t>
      </w:r>
      <w:r w:rsidRPr="006F084A">
        <w:lastRenderedPageBreak/>
        <w:t>personal y también de orientarles en relación con la protección frente a cualesquiera usos abusivos de sus datos personales, y, por otro, procura sensibilizar a los organismos públicos y privados acerca de las obligaciones impuestas por la ley en lo tocante a los mejores procedimientos a la hora de abordar el tratamiento de datos personales, y aclarar las normas y mecanismos que rigen la transferencia internacional de datos personales en beneficio de los agentes económicos.</w:t>
      </w:r>
    </w:p>
    <w:p w14:paraId="60B9F241" w14:textId="62E5A656" w:rsidR="004E0684" w:rsidRPr="006F084A" w:rsidRDefault="004E0684" w:rsidP="004E0684">
      <w:pPr>
        <w:pStyle w:val="SingleTxtG"/>
      </w:pPr>
      <w:r w:rsidRPr="006F084A">
        <w:t>88.</w:t>
      </w:r>
      <w:r w:rsidR="002145F2">
        <w:tab/>
      </w:r>
      <w:r w:rsidRPr="006F084A">
        <w:t>De conformidad con la Ley núm. 09-08, la Comisión Nacional para el Control de la Protección de Datos Personales garantiza que las normas a seguir por instituciones públicas y privadas sean respetadas antes y durante el tratamiento de los datos personales. En el caso de que los responsables del tratamiento no cumplan con estas normas, la Comisión Nacional da seguimiento a las quejas de las personas y les ayuda a ejercer sus derechos exigiendo responsabilidades a los responsables del tratamiento, controlando a los organismos que explotan los datos personales sobre el terreno y, en su caso, adoptando sanciones</w:t>
      </w:r>
      <w:r w:rsidRPr="006F084A">
        <w:rPr>
          <w:rStyle w:val="Refdenotaalpie"/>
          <w:lang w:val="en-GB"/>
        </w:rPr>
        <w:footnoteReference w:id="35"/>
      </w:r>
      <w:r w:rsidRPr="006F084A">
        <w:t>.</w:t>
      </w:r>
    </w:p>
    <w:p w14:paraId="588F9E99" w14:textId="53F2B82B" w:rsidR="004E0684" w:rsidRPr="006F084A" w:rsidRDefault="004E0684" w:rsidP="004E0684">
      <w:pPr>
        <w:pStyle w:val="SingleTxtG"/>
      </w:pPr>
      <w:r w:rsidRPr="006F084A">
        <w:t>89.</w:t>
      </w:r>
      <w:r w:rsidR="002145F2">
        <w:tab/>
      </w:r>
      <w:r w:rsidRPr="006F084A">
        <w:t xml:space="preserve">Como parte de sus actividades de sensibilización y concienciación para establecer una cultura de protección de datos personales en nuestro entorno nacional, en junio de 2020, la Comisión Nacional lanzó el primer número de su boletín, titulado </w:t>
      </w:r>
      <w:r w:rsidRPr="006F084A">
        <w:rPr>
          <w:i/>
          <w:iCs/>
        </w:rPr>
        <w:t xml:space="preserve">Terceros de la confianza digital </w:t>
      </w:r>
      <w:r w:rsidRPr="004A2305">
        <w:rPr>
          <w:i/>
          <w:iCs/>
        </w:rPr>
        <w:t>(</w:t>
      </w:r>
      <w:proofErr w:type="spellStart"/>
      <w:r w:rsidRPr="004A2305">
        <w:rPr>
          <w:i/>
          <w:iCs/>
        </w:rPr>
        <w:t>Tiers</w:t>
      </w:r>
      <w:proofErr w:type="spellEnd"/>
      <w:r w:rsidRPr="004A2305">
        <w:rPr>
          <w:i/>
          <w:iCs/>
        </w:rPr>
        <w:t xml:space="preserve"> de </w:t>
      </w:r>
      <w:proofErr w:type="spellStart"/>
      <w:r w:rsidRPr="004A2305">
        <w:rPr>
          <w:i/>
          <w:iCs/>
        </w:rPr>
        <w:t>Confiance</w:t>
      </w:r>
      <w:proofErr w:type="spellEnd"/>
      <w:r w:rsidRPr="004A2305">
        <w:rPr>
          <w:i/>
          <w:iCs/>
        </w:rPr>
        <w:t xml:space="preserve"> </w:t>
      </w:r>
      <w:proofErr w:type="spellStart"/>
      <w:r w:rsidRPr="004A2305">
        <w:rPr>
          <w:i/>
          <w:iCs/>
        </w:rPr>
        <w:t>Numérique</w:t>
      </w:r>
      <w:proofErr w:type="spellEnd"/>
      <w:r w:rsidRPr="004A2305">
        <w:rPr>
          <w:i/>
          <w:iCs/>
        </w:rPr>
        <w:t>)</w:t>
      </w:r>
      <w:r w:rsidRPr="006F084A">
        <w:t xml:space="preserve">. También conmemoró el Día Internacional de la Protección de Datos, cuya última edición tuvo lugar en Fez el 28 de enero de 2019 con motivo de la presentación de la </w:t>
      </w:r>
      <w:r w:rsidR="00B56649">
        <w:t>“</w:t>
      </w:r>
      <w:r w:rsidRPr="006F084A">
        <w:t>Plataforma digital</w:t>
      </w:r>
      <w:r w:rsidR="00B56649">
        <w:t>”</w:t>
      </w:r>
      <w:r w:rsidRPr="006F084A">
        <w:t xml:space="preserve">, un proyecto centrado en la protección de la vida digital de los niños y adolescentes que auspicia la participación de las diversas instituciones y eventos de la sociedad civil.  </w:t>
      </w:r>
    </w:p>
    <w:p w14:paraId="18C43E82" w14:textId="3170DA42" w:rsidR="004E0684" w:rsidRPr="006F084A" w:rsidRDefault="004E0684" w:rsidP="004E0684">
      <w:pPr>
        <w:pStyle w:val="SingleTxtG"/>
      </w:pPr>
      <w:r w:rsidRPr="006F084A">
        <w:t>90.</w:t>
      </w:r>
      <w:r w:rsidR="002145F2">
        <w:tab/>
      </w:r>
      <w:r w:rsidRPr="006F084A">
        <w:t xml:space="preserve">Por otro lado, después de las dos ediciones previas celebradas en entornos de jóvenes activos en las redes sociales, el Comité Nacional organizó, entre el 3 de noviembre y el 19 de diciembre de 2019, la tercera edición del Premio Nacional para la Promoción de la Protección de la Vida Privada y los Datos Personales. Los vídeos producidos para este concurso procuran sensibilizar acerca de los problemas y riesgos asociados a la vulneración de los datos personales. </w:t>
      </w:r>
    </w:p>
    <w:p w14:paraId="3B9EBC6C"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El Consejo Real Consultivo para los Asuntos del Sáhara</w:t>
      </w:r>
    </w:p>
    <w:p w14:paraId="53AF41BE" w14:textId="16B188A6" w:rsidR="004E0684" w:rsidRPr="006F084A" w:rsidRDefault="004E0684" w:rsidP="004E0684">
      <w:pPr>
        <w:pStyle w:val="SingleTxtG"/>
        <w:rPr>
          <w:rFonts w:eastAsia="Calibri"/>
        </w:rPr>
      </w:pPr>
      <w:r w:rsidRPr="006F084A">
        <w:t>91.</w:t>
      </w:r>
      <w:r w:rsidR="002145F2">
        <w:tab/>
      </w:r>
      <w:r w:rsidRPr="006F084A">
        <w:t xml:space="preserve">El Consejo Real Consultivo para los Asuntos del Sáhara se creó en 2005 y se le encomendó la tarea de ayudar en todas las cuestiones relacionadas con la defensa de la integridad territorial del Reino, así como en la consecución del desarrollo económico y social de las regiones meridionales y la preservación de su identidad cultural. </w:t>
      </w:r>
    </w:p>
    <w:p w14:paraId="0579ECF2"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La estructura gubernamental de derechos humanos</w:t>
      </w:r>
    </w:p>
    <w:p w14:paraId="3183A800" w14:textId="23DA8187" w:rsidR="004E0684" w:rsidRPr="006F084A" w:rsidRDefault="004E0684" w:rsidP="004E0684">
      <w:pPr>
        <w:pStyle w:val="SingleTxtG"/>
        <w:rPr>
          <w:rFonts w:eastAsia="Calibri"/>
        </w:rPr>
      </w:pPr>
      <w:r w:rsidRPr="006F084A">
        <w:t>92.</w:t>
      </w:r>
      <w:r w:rsidR="002145F2">
        <w:tab/>
      </w:r>
      <w:r w:rsidRPr="006F084A">
        <w:t>De acuerdo con el enfoque de dotar a Marruecos de un sistema de derechos nacional coherente, el 11 de abril de 2011, el Reino estableció una Delegación Interministerial de Derechos Humanos. La Delegación se encarga de preparar y coordinar las políticas gubernamentales en materia de defensa, protección y avance de los derechos humanos y el derecho internacional humanitario, así como de proponer todas las medidas encaminadas a garantizar la aplicación de las convenciones internacionales de derechos humanos y el derecho humanitario en las que Marruecos es parte, y de adoptar todas las iniciativas que promuevan el firme compromiso del Reino con los derechos humanos. Con el fin de fortalecer la coordinación de la política gubernamental de derechos humanos, en abril de</w:t>
      </w:r>
      <w:r w:rsidR="00B8196D">
        <w:t> </w:t>
      </w:r>
      <w:r w:rsidRPr="006F084A">
        <w:t xml:space="preserve">2017 se creó un Ministerio de Estado encargado de los Derechos Humanos. </w:t>
      </w:r>
    </w:p>
    <w:p w14:paraId="22D0E8A9" w14:textId="27618D83" w:rsidR="004E0684" w:rsidRPr="006F084A" w:rsidRDefault="002145F2" w:rsidP="00B8196D">
      <w:pPr>
        <w:pStyle w:val="H1G"/>
        <w:rPr>
          <w:rFonts w:eastAsia="Calibri"/>
        </w:rPr>
      </w:pPr>
      <w:r>
        <w:lastRenderedPageBreak/>
        <w:tab/>
      </w:r>
      <w:r w:rsidR="004E0684" w:rsidRPr="006F084A">
        <w:t>C.</w:t>
      </w:r>
      <w:r>
        <w:tab/>
      </w:r>
      <w:r w:rsidR="004E0684" w:rsidRPr="006F084A">
        <w:t>Marco de la promoción de los derechos humanos en el</w:t>
      </w:r>
      <w:r>
        <w:br/>
      </w:r>
      <w:r w:rsidR="004E0684" w:rsidRPr="006F084A">
        <w:t>plano nacional</w:t>
      </w:r>
      <w:bookmarkStart w:id="6" w:name="_Toc64366041"/>
      <w:bookmarkEnd w:id="6"/>
    </w:p>
    <w:p w14:paraId="437A5B02" w14:textId="77777777" w:rsidR="004E0684" w:rsidRPr="00D51553" w:rsidRDefault="004E0684" w:rsidP="00B8196D">
      <w:pPr>
        <w:pStyle w:val="Bullet1G"/>
        <w:keepNext/>
        <w:keepLines/>
        <w:spacing w:before="240" w:line="240" w:lineRule="exact"/>
        <w:ind w:left="1134"/>
        <w:jc w:val="left"/>
        <w:rPr>
          <w:rFonts w:eastAsia="Calibri"/>
          <w:b/>
          <w:bCs/>
        </w:rPr>
      </w:pPr>
      <w:r w:rsidRPr="00D51553">
        <w:rPr>
          <w:rFonts w:eastAsia="Calibri"/>
          <w:b/>
          <w:bCs/>
        </w:rPr>
        <w:t>Medidas y procedimientos relativos a la promoción de los derechos humanos</w:t>
      </w:r>
    </w:p>
    <w:p w14:paraId="48023DBC" w14:textId="77777777" w:rsidR="004E0684" w:rsidRPr="00D51553" w:rsidRDefault="004E0684" w:rsidP="00B8196D">
      <w:pPr>
        <w:pStyle w:val="Bullet1G"/>
        <w:keepNext/>
        <w:keepLines/>
        <w:spacing w:before="240" w:line="240" w:lineRule="exact"/>
        <w:ind w:left="1134"/>
        <w:jc w:val="left"/>
        <w:rPr>
          <w:rFonts w:eastAsia="Calibri"/>
          <w:b/>
          <w:bCs/>
        </w:rPr>
      </w:pPr>
      <w:r w:rsidRPr="00D51553">
        <w:rPr>
          <w:rFonts w:eastAsia="Calibri"/>
          <w:b/>
          <w:bCs/>
        </w:rPr>
        <w:t>Planificación estratégica en la esfera de los derechos humanos</w:t>
      </w:r>
    </w:p>
    <w:p w14:paraId="19071F41" w14:textId="6F75FBA9" w:rsidR="004E0684" w:rsidRPr="006F084A" w:rsidRDefault="004E0684" w:rsidP="00B8196D">
      <w:pPr>
        <w:pStyle w:val="SingleTxtG"/>
        <w:keepNext/>
        <w:keepLines/>
        <w:rPr>
          <w:rFonts w:eastAsia="Calibri"/>
        </w:rPr>
      </w:pPr>
      <w:r w:rsidRPr="006F084A">
        <w:t>93.</w:t>
      </w:r>
      <w:r w:rsidR="002145F2">
        <w:tab/>
      </w:r>
      <w:r w:rsidRPr="006F084A">
        <w:t xml:space="preserve">De conformidad con las recomendaciones de la Declaración y el Programa de Acción de Viena de 1993, en particular la recomendación 71, Marruecos preparó un plan nacional al que denominó </w:t>
      </w:r>
      <w:r w:rsidR="00B56649">
        <w:t>“</w:t>
      </w:r>
      <w:r w:rsidRPr="006F084A">
        <w:t>Plan nacional de acción para la democracia y los derechos humanos 2018</w:t>
      </w:r>
      <w:r w:rsidR="002145F2">
        <w:noBreakHyphen/>
      </w:r>
      <w:r w:rsidRPr="006F084A">
        <w:t>2021</w:t>
      </w:r>
      <w:r w:rsidR="00B56649">
        <w:t>”</w:t>
      </w:r>
      <w:r w:rsidRPr="006F084A">
        <w:t xml:space="preserve">. El Plan es el resultado de una acción participativa puesta en marcha oficialmente en abril de 2008, y posteriormente es llevado a cabo por etapas. El Plan se adoptó formalmente durante la reunión del Consejo de Ministros del 21 de diciembre de 2017, tomándose como referencia, además de la Constitución del Reino, las obligaciones internacionales en materia de derechos humanos, las recomendaciones de la Comisión de Equidad y Reconciliación, el conjunto del capital nacional en la esfera de la preparación y adopción de planes, estrategias y programas relacionados con cuestiones de derechos humanos, y los contenidos del programa gubernamental. </w:t>
      </w:r>
    </w:p>
    <w:p w14:paraId="4146BECE" w14:textId="67507EE5" w:rsidR="004E0684" w:rsidRPr="006F084A" w:rsidRDefault="004E0684" w:rsidP="004E0684">
      <w:pPr>
        <w:pStyle w:val="SingleTxtG"/>
        <w:rPr>
          <w:rFonts w:eastAsia="Calibri"/>
        </w:rPr>
      </w:pPr>
      <w:r w:rsidRPr="006F084A">
        <w:t>94.</w:t>
      </w:r>
      <w:r w:rsidR="002145F2">
        <w:tab/>
      </w:r>
      <w:r w:rsidRPr="006F084A">
        <w:t>Este Plan tiene como objetivo consolidar el proceso de reforma política, institucionalizar los derechos humanos, promover la dinámica de la concienciación sobre los derechos humanos y fortalecer iniciativas que contribuyan al surgimiento de una democracia participativa. Consta de cuatro ejes centrales, a saber: 1) la democracia y la gobernanza; 2)</w:t>
      </w:r>
      <w:r w:rsidR="00F0059D">
        <w:t> </w:t>
      </w:r>
      <w:r w:rsidRPr="006F084A">
        <w:t xml:space="preserve">los derechos económicos, sociales, culturales y ambientales; 3) la protección y promoción de los derechos de colectivos concretos; y 4) el marco jurídico e institucional. El contenido de cada uno de estos cuatro ejes se subdivide en temas prioritarios, dentro de los cuales se identifican los actores que son considerados aliados y colaboradores, así como los objetivos que se prevé cumplir durante el período que dure el Plan. Las 435 medidas que se propone llevar a cabo han sido clasificadas en medidas de carácter legislativo o institucional, o relacionadas con la sensibilización, la comunicación o el fortalecimiento de las capacidades de los actores. </w:t>
      </w:r>
    </w:p>
    <w:p w14:paraId="5212B588" w14:textId="410C96ED" w:rsidR="004E0684" w:rsidRPr="006F084A" w:rsidRDefault="004E0684" w:rsidP="004E0684">
      <w:pPr>
        <w:pStyle w:val="SingleTxtG"/>
        <w:rPr>
          <w:b/>
          <w:bCs/>
        </w:rPr>
      </w:pPr>
      <w:r w:rsidRPr="006F084A">
        <w:t>95.</w:t>
      </w:r>
      <w:r w:rsidR="002145F2">
        <w:tab/>
      </w:r>
      <w:r w:rsidRPr="006F084A">
        <w:t xml:space="preserve">Con el fin de facilitar la aplicación de las medidas propuestas en este Plan Nacional, se ha elaborado un plan de ejecución y se ha iniciado la elaboración de planes de ejecución sobre el terreno en todas las regiones del Reino, teniendo en cuenta las particularidades y prioridades fundamentales en materia de derechos humanos de cada una de ellas. </w:t>
      </w:r>
    </w:p>
    <w:p w14:paraId="32CB144C"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Políticas públicas relacionadas con los derechos humanos</w:t>
      </w:r>
    </w:p>
    <w:p w14:paraId="33D6850C"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La reforma del poder judicial</w:t>
      </w:r>
    </w:p>
    <w:p w14:paraId="47BAE43E" w14:textId="28910C27" w:rsidR="004E0684" w:rsidRPr="006F084A" w:rsidRDefault="004E0684" w:rsidP="004E0684">
      <w:pPr>
        <w:pStyle w:val="SingleTxtG"/>
      </w:pPr>
      <w:r w:rsidRPr="006F084A">
        <w:t>96.</w:t>
      </w:r>
      <w:r w:rsidR="002145F2">
        <w:tab/>
      </w:r>
      <w:r w:rsidRPr="006F084A">
        <w:t>De conformidad con lo estipulado en la Constitución y las normas internacionales pertinentes, Marruecos llevó a cabo en 2013 una profunda reforma del poder judicial, mediante el establecimiento de una judicatura independiente que garantizase el respeto de los derechos humanos y la supremacía de la ley, y la adopción, tras amplias consultas con los distintos agentes a nivel nacional, de la Carta para la Reforma del Poder Judicial.</w:t>
      </w:r>
    </w:p>
    <w:p w14:paraId="67D2F1EB" w14:textId="386D7147" w:rsidR="004E0684" w:rsidRPr="006F084A" w:rsidRDefault="004E0684" w:rsidP="004E0684">
      <w:pPr>
        <w:pStyle w:val="SingleTxtG"/>
      </w:pPr>
      <w:r w:rsidRPr="006F084A">
        <w:t>97.</w:t>
      </w:r>
      <w:r w:rsidR="002145F2">
        <w:tab/>
      </w:r>
      <w:r w:rsidRPr="006F084A">
        <w:t>Con el fin de promover el principio de independencia judicial y establecer medidas de recurso frente a las injusticias derivadas del abuso de poder, se aprobaron la Ley Orgánica del Consejo Superior del Poder Judicial</w:t>
      </w:r>
      <w:r w:rsidRPr="006F084A">
        <w:rPr>
          <w:rStyle w:val="Refdenotaalpie"/>
          <w:lang w:val="en-GB"/>
        </w:rPr>
        <w:footnoteReference w:id="36"/>
      </w:r>
      <w:r w:rsidRPr="006F084A">
        <w:t xml:space="preserve"> y la Ley Orgánica del Estatuto de los Jueces</w:t>
      </w:r>
      <w:r w:rsidRPr="006F084A">
        <w:rPr>
          <w:rStyle w:val="Refdenotaalpie"/>
          <w:lang w:val="en-GB"/>
        </w:rPr>
        <w:footnoteReference w:id="37"/>
      </w:r>
      <w:r w:rsidRPr="006F084A">
        <w:t xml:space="preserve">, que otorga a los jueces salvaguardias relacionadas con la independencia, el nombramiento, el ascenso, la jubilación y los expedientes disciplinarios, y que establece los requisitos para su representación en el seno del Consejo Superior del Poder Judicial. </w:t>
      </w:r>
    </w:p>
    <w:p w14:paraId="2297A495" w14:textId="2E27A828" w:rsidR="004E0684" w:rsidRPr="006F084A" w:rsidRDefault="004E0684" w:rsidP="004E0684">
      <w:pPr>
        <w:pStyle w:val="SingleTxtG"/>
      </w:pPr>
      <w:r w:rsidRPr="006F084A">
        <w:t>98.</w:t>
      </w:r>
      <w:r w:rsidR="002145F2">
        <w:tab/>
      </w:r>
      <w:r w:rsidRPr="006F084A">
        <w:t xml:space="preserve">El </w:t>
      </w:r>
      <w:r w:rsidR="00F0059D">
        <w:t>p</w:t>
      </w:r>
      <w:r w:rsidRPr="006F084A">
        <w:t xml:space="preserve">royecto de </w:t>
      </w:r>
      <w:r w:rsidR="00F0059D">
        <w:t>l</w:t>
      </w:r>
      <w:r w:rsidRPr="006F084A">
        <w:t xml:space="preserve">ey núm. 38-15, de la Organización Judicial del Reino, se enmarca en los esfuerzos por completar el arsenal jurídico que permita </w:t>
      </w:r>
      <w:r w:rsidR="00D82712">
        <w:t>hacer efectivo</w:t>
      </w:r>
      <w:r w:rsidRPr="006F084A">
        <w:t xml:space="preserve"> el proyecto de reforma del sistema judicial. El objetivo de este proyecto de ley es reglamentar en los tribunales las relaciones entre el poder judicial, la presidencia de la Fiscalía General y el </w:t>
      </w:r>
      <w:r w:rsidRPr="006F084A">
        <w:lastRenderedPageBreak/>
        <w:t>Ministerio que tiene a su cargo la administración de justicia, así como definir las prerrogativas del Ministerio en el ámbito de la gestión de la administración de justicia</w:t>
      </w:r>
      <w:r w:rsidRPr="006F084A">
        <w:rPr>
          <w:rStyle w:val="Refdenotaalpie"/>
          <w:lang w:val="en-GB"/>
        </w:rPr>
        <w:footnoteReference w:id="38"/>
      </w:r>
      <w:r w:rsidRPr="006F084A">
        <w:t>.</w:t>
      </w:r>
    </w:p>
    <w:p w14:paraId="2E91A44C" w14:textId="5F8BF128" w:rsidR="004E0684" w:rsidRPr="006F084A" w:rsidRDefault="004E0684" w:rsidP="004E0684">
      <w:pPr>
        <w:pStyle w:val="SingleTxtG"/>
      </w:pPr>
      <w:r w:rsidRPr="006F084A">
        <w:t>99.</w:t>
      </w:r>
      <w:r w:rsidR="002145F2">
        <w:tab/>
      </w:r>
      <w:r w:rsidRPr="006F084A">
        <w:t xml:space="preserve">Como parte de la aplicación de las recomendaciones de la Carta para la Reforma del Sistema Judicial, se han elaborado dos proyectos nuevos del Código Penal y del Código de Procedimiento Penal, que incluyen requisitos destinados a promover los derechos humanos teniendo en cuenta los derechos de los litigantes aprobados por la Constitución y los convenios internacionales, en particular el derecho a un juicio en un plazo razonable, la protección del derecho a la defensa y la garantía de los derechos de las víctimas y los acusados. </w:t>
      </w:r>
    </w:p>
    <w:p w14:paraId="2458CBFB" w14:textId="01479204" w:rsidR="004E0684" w:rsidRPr="006F084A" w:rsidRDefault="004E0684" w:rsidP="004E0684">
      <w:pPr>
        <w:pStyle w:val="SingleTxtG"/>
      </w:pPr>
      <w:r w:rsidRPr="006F084A">
        <w:t>100.</w:t>
      </w:r>
      <w:r w:rsidR="002145F2">
        <w:tab/>
      </w:r>
      <w:r w:rsidRPr="006F084A">
        <w:t>Con el fin de fortalecer la independencia del poder judicial y de conformidad con el artículo 80 de la Ley Orgánica del Consejo Superior del Poder Judicial, el 25 de julio de</w:t>
      </w:r>
      <w:r w:rsidR="002145F2">
        <w:t> </w:t>
      </w:r>
      <w:r w:rsidRPr="006F084A">
        <w:t xml:space="preserve">2017, la Cámara de Representantes aprobó la Ley núm. 17-33, de las Facultades y el Estatuto de la Presidencia del Ministerio Público. De esta forma se reforzó esta independencia mediante la transferencia de las competencias del Ministerio de Justicia al Procurador General del Rey. Inmediatamente después de su investidura, el Fiscal General emitió una circular a los procuradores del Rey de diversos tribunales del Reino sobre las prioridades en materia de política penal, solicitando que: se escuchara a los demandantes; se hiciera un seguimiento riguroso de los expedientes; se aplicara la ley de protección de los denunciantes; se protegieran los derechos y libertades; se moralizara la vida pública; se protegiera el orden público y la seguridad de las personas; y se fortaleciera la cooperación judicial. Asimismo, el Fiscal General emitió otras circulares a los procuradores del Rey sobre la protección de las víctimas de la trata de personas, la gestión de los casos de detención preventiva y la lucha contra la violencia contra las mujeres, </w:t>
      </w:r>
      <w:proofErr w:type="spellStart"/>
      <w:r w:rsidRPr="006F084A">
        <w:t>etc</w:t>
      </w:r>
      <w:proofErr w:type="spellEnd"/>
      <w:r w:rsidRPr="006F084A">
        <w:rPr>
          <w:rStyle w:val="Refdenotaalpie"/>
          <w:lang w:val="en-GB"/>
        </w:rPr>
        <w:footnoteReference w:id="39"/>
      </w:r>
      <w:r w:rsidRPr="006F084A">
        <w:t>.</w:t>
      </w:r>
    </w:p>
    <w:p w14:paraId="7D9623E3" w14:textId="7607FE6C" w:rsidR="004E0684" w:rsidRPr="006F084A" w:rsidRDefault="004E0684" w:rsidP="004E0684">
      <w:pPr>
        <w:pStyle w:val="SingleTxtG"/>
      </w:pPr>
      <w:r w:rsidRPr="006F084A">
        <w:t>101.</w:t>
      </w:r>
      <w:r w:rsidR="002145F2">
        <w:tab/>
      </w:r>
      <w:r w:rsidRPr="006F084A">
        <w:t>El Código de Procedimiento Penal veló además por la celebración de juicios justos al enumerar expresamente otras salvaguardias, entre ellas:</w:t>
      </w:r>
    </w:p>
    <w:p w14:paraId="03EBB527" w14:textId="4B7EB9F4" w:rsidR="004E0684" w:rsidRPr="006F084A" w:rsidRDefault="004E0684" w:rsidP="002145F2">
      <w:pPr>
        <w:pStyle w:val="Bullet1G"/>
      </w:pPr>
      <w:r w:rsidRPr="006F084A">
        <w:t>La obligatoriedad, por parte del funcionario de la policía judicial, bien de contratar un intérprete (en el caso de que el declarante hable un idioma o dialecto que el funcionario no domine) o de recurrir a una persona que tenga la capacidad de comunicarse fluidamente con el interesado (en el caso de que el declarante fuese sordo o mudo), además de requerirse la firma del intérprete en el acta judicial (art</w:t>
      </w:r>
      <w:r w:rsidR="002145F2">
        <w:t>.</w:t>
      </w:r>
      <w:r w:rsidRPr="006F084A">
        <w:t xml:space="preserve"> 21)</w:t>
      </w:r>
      <w:r w:rsidR="002145F2">
        <w:t>.</w:t>
      </w:r>
    </w:p>
    <w:p w14:paraId="04914C0C" w14:textId="5F12FC71" w:rsidR="004E0684" w:rsidRPr="006F084A" w:rsidRDefault="004E0684" w:rsidP="002145F2">
      <w:pPr>
        <w:pStyle w:val="Bullet1G"/>
      </w:pPr>
      <w:r w:rsidRPr="006F084A">
        <w:t>Contar con esta misma garantía ante el Fiscal General (art</w:t>
      </w:r>
      <w:r w:rsidR="002145F2">
        <w:t>.</w:t>
      </w:r>
      <w:r w:rsidRPr="006F084A">
        <w:t xml:space="preserve"> 47), así como ante el juez de instrucción y el juez natural</w:t>
      </w:r>
      <w:r w:rsidR="002145F2">
        <w:t>.</w:t>
      </w:r>
    </w:p>
    <w:p w14:paraId="551F28A6" w14:textId="7E4D192D" w:rsidR="004E0684" w:rsidRPr="006F084A" w:rsidRDefault="004E0684" w:rsidP="002145F2">
      <w:pPr>
        <w:pStyle w:val="Bullet1G"/>
      </w:pPr>
      <w:r w:rsidRPr="006F084A">
        <w:t>Reforzar el papel del abogado durante el interrogatorio que la Fiscalía General lleva a cabo con el acusado de un delito flagrante; el abogado tiene derecho a solicitar un examen médico de su cliente, presentar documentos o pruebas escritas en su nombre u ofrecer una fianza a cambio de su puesta en libertad (arts</w:t>
      </w:r>
      <w:r w:rsidR="002145F2">
        <w:t>.</w:t>
      </w:r>
      <w:r w:rsidRPr="006F084A">
        <w:t xml:space="preserve"> 73 y 74). </w:t>
      </w:r>
    </w:p>
    <w:p w14:paraId="27673C4D" w14:textId="194F3EB3" w:rsidR="004E0684" w:rsidRPr="006F084A" w:rsidRDefault="004E0684" w:rsidP="004E0684">
      <w:pPr>
        <w:pStyle w:val="SingleTxtG"/>
      </w:pPr>
      <w:r w:rsidRPr="006F084A">
        <w:t>102.</w:t>
      </w:r>
      <w:r w:rsidR="002145F2">
        <w:tab/>
      </w:r>
      <w:r w:rsidRPr="006F084A">
        <w:t xml:space="preserve">De conformidad con el artículo 473, se ha reforzado la protección de los menores en conflicto con la ley, de modo que no podrá internarse a los menores de 12 años en una institución penitenciaria ni siquiera temporalmente, sea cual fuere el tipo de delito cometido. Del mismo modo, solo podrá internarse a los menores de entre 12 y 18 años en una institución penitenciaria, incluso temporalmente, si tal medida fuese necesaria o resultase imposible recurrir a una medida alternativa, en cuyo caso se mantendrá al menor en un pabellón especial o, en su defecto, en una zona aislada de los pabellones para adultos. De ser posible, por las noches se mantendrá al menor aislado. Por su parte, el juez de menores inspeccionará a los menores detenidos, así como a los menores detenidos en puestos de guardia o en instituciones </w:t>
      </w:r>
      <w:r w:rsidRPr="006F084A">
        <w:lastRenderedPageBreak/>
        <w:t>de cuidado de menores (art. 471). En el caso de delitos menos graves, el juez de menores se encargará en persona u ordenará a terceros llevar a cabo las investigaciones necesarias con el fin de determinar las medidas que cabrá tomar para garantizar la protección del menor y ponerlo a salvo (art. 474)</w:t>
      </w:r>
      <w:r w:rsidRPr="006F084A">
        <w:rPr>
          <w:rStyle w:val="Refdenotaalpie"/>
          <w:lang w:val="en-GB"/>
        </w:rPr>
        <w:footnoteReference w:id="40"/>
      </w:r>
      <w:r w:rsidRPr="006F084A">
        <w:t>.</w:t>
      </w:r>
    </w:p>
    <w:p w14:paraId="3E812133"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El Plan Gubernamental para la Igualdad (</w:t>
      </w:r>
      <w:proofErr w:type="spellStart"/>
      <w:r w:rsidRPr="00D51553">
        <w:rPr>
          <w:rFonts w:eastAsia="Calibri"/>
          <w:b/>
          <w:bCs/>
        </w:rPr>
        <w:t>ICRAM</w:t>
      </w:r>
      <w:proofErr w:type="spellEnd"/>
      <w:r w:rsidRPr="00D51553">
        <w:rPr>
          <w:rFonts w:eastAsia="Calibri"/>
          <w:b/>
          <w:bCs/>
        </w:rPr>
        <w:t xml:space="preserve"> 1 y 2) </w:t>
      </w:r>
    </w:p>
    <w:p w14:paraId="7AE38973" w14:textId="1C772443" w:rsidR="004E0684" w:rsidRPr="006F084A" w:rsidRDefault="004E0684" w:rsidP="004E0684">
      <w:pPr>
        <w:pStyle w:val="SingleTxtG"/>
        <w:rPr>
          <w:rFonts w:eastAsia="Calibri"/>
        </w:rPr>
      </w:pPr>
      <w:r w:rsidRPr="006F084A">
        <w:t>103.</w:t>
      </w:r>
      <w:r w:rsidR="002145F2">
        <w:tab/>
      </w:r>
      <w:r w:rsidRPr="006F084A">
        <w:t xml:space="preserve">El Plan Gubernamental para la Igualdad </w:t>
      </w:r>
      <w:proofErr w:type="spellStart"/>
      <w:r w:rsidRPr="006F084A">
        <w:t>ICRAM</w:t>
      </w:r>
      <w:proofErr w:type="spellEnd"/>
      <w:r w:rsidRPr="006F084A">
        <w:t xml:space="preserve"> 1 para el período 2012-2016 constituye el marco de trabajo común para armonizar todas las iniciativas encaminadas a integrar los derechos de las mujeres en la esfera de las políticas públicas. El </w:t>
      </w:r>
      <w:r w:rsidR="00CC326A" w:rsidRPr="006F084A">
        <w:t xml:space="preserve">Plan </w:t>
      </w:r>
      <w:r w:rsidRPr="006F084A">
        <w:t xml:space="preserve">se articula en torno a </w:t>
      </w:r>
      <w:r w:rsidR="00CC326A">
        <w:t>8</w:t>
      </w:r>
      <w:r w:rsidRPr="006F084A">
        <w:t xml:space="preserve"> áreas de trabajo basadas en 24 objetivos y 156 procedimientos. En 2014 se estableció, por un lado, un Comité Interministerial para la Igualdad como mecanismo de seguimiento de la ejecución de este plan, y, por otro lado, un Comité Técnico Interministerial y un sistema de información para el seguimiento </w:t>
      </w:r>
      <w:proofErr w:type="gramStart"/>
      <w:r w:rsidRPr="006F084A">
        <w:t>del mismo</w:t>
      </w:r>
      <w:proofErr w:type="gramEnd"/>
      <w:r w:rsidRPr="006F084A">
        <w:t xml:space="preserve">. Con respecto a los resultados del Plan, el informe final sobre la evaluación de su aplicación, elaborado en 2016, indica que el 75 % de los procedimientos previstos se llevaron a cabo en su totalidad, mientras que el 25 % restante está en fases de ejecución muy avanzadas. En reconocimiento del valor de los logros conseguidos, el 20 de julio de 2018 el Comité Interministerial para la Igualdad aprobó el Plan Gubernamental para la Igualdad </w:t>
      </w:r>
      <w:proofErr w:type="spellStart"/>
      <w:r w:rsidRPr="006F084A">
        <w:t>ICRAM</w:t>
      </w:r>
      <w:proofErr w:type="spellEnd"/>
      <w:r w:rsidRPr="006F084A">
        <w:t xml:space="preserve"> 2 para el período 2017-2021, pues lo considera el principal estímulo gubernamental para el apoyo a la confluencia de las políticas públicas en materia de igualdad de género, así como, en virtud de sus ejes, objetivos e indicadores de calidad y cantidad, el mecanismo fundamental para contribuir a la aplicación sobre el terreno de las disposiciones constitucionales en este ámbito. El Plan Gubernamental para la Igualdad </w:t>
      </w:r>
      <w:proofErr w:type="spellStart"/>
      <w:r w:rsidRPr="006F084A">
        <w:t>ICRAM</w:t>
      </w:r>
      <w:proofErr w:type="spellEnd"/>
      <w:r w:rsidRPr="006F084A">
        <w:t xml:space="preserve"> 2 se elaboró de acuerdo con un enfoque participativo que tomaba</w:t>
      </w:r>
      <w:r w:rsidR="007754D2">
        <w:t> </w:t>
      </w:r>
      <w:r w:rsidRPr="006F084A">
        <w:t xml:space="preserve">como punto de partida la evaluación global del Plan Gubernamental para la Igualdad </w:t>
      </w:r>
      <w:proofErr w:type="spellStart"/>
      <w:r w:rsidRPr="006F084A">
        <w:t>ICRAM</w:t>
      </w:r>
      <w:proofErr w:type="spellEnd"/>
      <w:r w:rsidRPr="006F084A">
        <w:t xml:space="preserve"> 1. El Plan Gubernamental para la Igualdad </w:t>
      </w:r>
      <w:proofErr w:type="spellStart"/>
      <w:r w:rsidRPr="006F084A">
        <w:t>ICRAM</w:t>
      </w:r>
      <w:proofErr w:type="spellEnd"/>
      <w:r w:rsidRPr="006F084A">
        <w:t xml:space="preserve"> 2 gira en torno a </w:t>
      </w:r>
      <w:r w:rsidR="00CC326A">
        <w:t>7</w:t>
      </w:r>
      <w:r w:rsidRPr="006F084A">
        <w:t xml:space="preserve"> ejes, de los cuales </w:t>
      </w:r>
      <w:r w:rsidR="00CC326A">
        <w:t>4</w:t>
      </w:r>
      <w:r w:rsidRPr="006F084A">
        <w:t xml:space="preserve"> son temáticos y </w:t>
      </w:r>
      <w:r w:rsidR="00CC326A">
        <w:t>3</w:t>
      </w:r>
      <w:r w:rsidRPr="006F084A">
        <w:t xml:space="preserve"> transversales, reforzados todos por un sistema de gobernanza, seguimiento y evaluación. El Plan incluye también 23 objetivos y 83 procedimientos basados en los indicadores para medir la incidencia y el efecto de los procedimientos del Plan.</w:t>
      </w:r>
    </w:p>
    <w:p w14:paraId="061CFE83"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 xml:space="preserve">La Política Pública Integrada para la Protección de la Infancia </w:t>
      </w:r>
    </w:p>
    <w:p w14:paraId="215C9346" w14:textId="14AB2062" w:rsidR="004E0684" w:rsidRPr="006F084A" w:rsidRDefault="004E0684" w:rsidP="004E0684">
      <w:pPr>
        <w:pStyle w:val="SingleTxtG"/>
        <w:rPr>
          <w:rFonts w:eastAsia="Calibri"/>
        </w:rPr>
      </w:pPr>
      <w:r w:rsidRPr="006F084A">
        <w:t>104.</w:t>
      </w:r>
      <w:r w:rsidR="002145F2">
        <w:tab/>
      </w:r>
      <w:r w:rsidRPr="006F084A">
        <w:t>Esta Política se adoptó en 2015 tras una evaluación participativa provisional del Plan Nacional para la Infancia en 2011, que puso de manifiesto las limitaciones del plan en el ámbito de la protección. La política se estructura en torno a cinco ejes estratégicos centrados en proteger a los niños de todas las formas de violencia, abuso, negligencia y explotación, incluida la explotación sexual. Los resultados provisionales mostraron que alrededor del 56</w:t>
      </w:r>
      <w:r w:rsidR="00CC326A">
        <w:t> </w:t>
      </w:r>
      <w:r w:rsidRPr="006F084A">
        <w:t>% de las medidas programadas en el Plan de Ejecución Nacional para el período 2015</w:t>
      </w:r>
      <w:r w:rsidR="00CC326A">
        <w:noBreakHyphen/>
      </w:r>
      <w:r w:rsidRPr="006F084A">
        <w:t>2020 se habían llevado a cabo.</w:t>
      </w:r>
    </w:p>
    <w:p w14:paraId="778ABA4B"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La Política Pública Integrada para Promover los Derechos de las Personas con Discapacidad</w:t>
      </w:r>
    </w:p>
    <w:p w14:paraId="2019D598" w14:textId="3F0CDF0C" w:rsidR="004E0684" w:rsidRPr="006F084A" w:rsidRDefault="004E0684" w:rsidP="004E0684">
      <w:pPr>
        <w:pStyle w:val="SingleTxtG"/>
        <w:rPr>
          <w:rFonts w:eastAsia="Calibri"/>
        </w:rPr>
      </w:pPr>
      <w:r w:rsidRPr="006F084A">
        <w:t>105.</w:t>
      </w:r>
      <w:r w:rsidR="002145F2">
        <w:tab/>
      </w:r>
      <w:r w:rsidRPr="006F084A">
        <w:t xml:space="preserve">Después de una amplia serie de diálogos y consultas, en 2015 el Gobierno adoptó una Política Pública Integrada para Promover los Derechos de las Personas con Discapacidad. Esta </w:t>
      </w:r>
      <w:r w:rsidR="00CC326A" w:rsidRPr="006F084A">
        <w:t>Política</w:t>
      </w:r>
      <w:r w:rsidRPr="006F084A">
        <w:t xml:space="preserve">, que cuenta con un mecanismo gubernamental para el seguimiento de su implementación, tiene como objetivo garantizar el acceso a los derechos y fomentar la participación social de las personas con discapacidad, y se estructura en torno a </w:t>
      </w:r>
      <w:r w:rsidR="00CC326A">
        <w:t>9</w:t>
      </w:r>
      <w:r w:rsidRPr="006F084A">
        <w:t xml:space="preserve"> ejes transversales y </w:t>
      </w:r>
      <w:r w:rsidR="00CC326A">
        <w:t>5</w:t>
      </w:r>
      <w:r w:rsidRPr="006F084A">
        <w:t xml:space="preserve"> ejes temáticos estratégicos, incluido </w:t>
      </w:r>
      <w:r w:rsidR="00CC326A">
        <w:t>1</w:t>
      </w:r>
      <w:r w:rsidRPr="006F084A">
        <w:t xml:space="preserve"> eje sobre la sinergia, la gestión y la gobernanza. Paralelamente, se elaboró un plan de acción gubernamental para hacer efectiva esta política, que incluye 6 ejes, 24 talleres y 150 proyectos.</w:t>
      </w:r>
    </w:p>
    <w:p w14:paraId="1A23F5EC" w14:textId="36E6712B" w:rsidR="004E0684" w:rsidRPr="006F084A" w:rsidRDefault="004E0684" w:rsidP="004E0684">
      <w:pPr>
        <w:pStyle w:val="SingleTxtG"/>
        <w:rPr>
          <w:rFonts w:eastAsia="Calibri"/>
        </w:rPr>
      </w:pPr>
      <w:r w:rsidRPr="006F084A">
        <w:t>106.</w:t>
      </w:r>
      <w:r w:rsidR="002145F2">
        <w:tab/>
      </w:r>
      <w:r w:rsidRPr="006F084A">
        <w:t xml:space="preserve">Con miras a ajustar los textos legislativos, jurídicos y reglamentarios sobre discapacidad a las obligaciones de Marruecos en virtud de la Convención Internacional sobre los Derechos de las Personas con Discapacidad y su Protocolo, el 27 de abril de 2016 se adoptó la Ley núm. 97-13, de Protección y Promoción de los Derechos de las Personas con </w:t>
      </w:r>
      <w:r w:rsidRPr="006F084A">
        <w:lastRenderedPageBreak/>
        <w:t>Discapacidad. También se revisó la Ley núm. 10-03, de Accesibilidad, de 12 de mayo de</w:t>
      </w:r>
      <w:r w:rsidR="002145F2">
        <w:t> </w:t>
      </w:r>
      <w:r w:rsidRPr="006F084A">
        <w:t xml:space="preserve">2003. </w:t>
      </w:r>
    </w:p>
    <w:p w14:paraId="709E2012"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La política nacional de migración y asilo</w:t>
      </w:r>
    </w:p>
    <w:p w14:paraId="7D413B5C" w14:textId="7D19AE98" w:rsidR="004E0684" w:rsidRPr="006F084A" w:rsidRDefault="004E0684" w:rsidP="004E0684">
      <w:pPr>
        <w:pStyle w:val="SingleTxtG"/>
        <w:rPr>
          <w:rFonts w:eastAsia="Calibri"/>
        </w:rPr>
      </w:pPr>
      <w:r w:rsidRPr="006F084A">
        <w:t>107.</w:t>
      </w:r>
      <w:r w:rsidR="002145F2">
        <w:tab/>
      </w:r>
      <w:r w:rsidRPr="006F084A">
        <w:t>En septiembre de 2013, y en aplicación de las directrices reales que reflejan la voluntad de Marruecos de cumplir con sus obligaciones internacionales en materia de derechos humanos, se puso en marcha una nueva política de migración y asilo</w:t>
      </w:r>
      <w:r w:rsidRPr="006F084A">
        <w:rPr>
          <w:rStyle w:val="Refdenotaalpie"/>
          <w:lang w:val="en-GB"/>
        </w:rPr>
        <w:footnoteReference w:id="41"/>
      </w:r>
      <w:r w:rsidRPr="006F084A">
        <w:t xml:space="preserve">. Para ello se adoptó una política humanitaria dotada de una filosofía integradora y pionera a nivel regional, en particular a nivel africano. Esta política también refleja el nivel de implicación de Marruecos en los esfuerzos internacionales, así como su solidaridad frente a las violaciones de los derechos humanos resultantes de las crisis actuales asociadas con la migración y el asilo. El Gobierno ha elaborado una política nacional integrada para proteger y promover los derechos de la comunidad de marroquíes residentes en el extranjero mediante el desarrollo de programas económicos, sociales, culturales, educativos y jurídicos. Con este fin, el Gobierno se coordina con los </w:t>
      </w:r>
      <w:r w:rsidR="00CC326A" w:rsidRPr="006F084A">
        <w:t xml:space="preserve">Ministerios </w:t>
      </w:r>
      <w:r w:rsidRPr="006F084A">
        <w:t xml:space="preserve">e instituciones pertinentes, como el Ministerio de Asuntos Exteriores y de Cooperación Internacional, el Ministerio de Estado encargado de los Marroquíes Residentes en el Extranjero y los Asuntos de Migración, la Fundación Hassan II para los Marroquíes Residentes en el Extranjero, y el Consejo de la Comunidad Marroquí en el Extranjero. </w:t>
      </w:r>
    </w:p>
    <w:p w14:paraId="4A8F3D1F" w14:textId="5D4C0151" w:rsidR="004E0684" w:rsidRPr="006F084A" w:rsidRDefault="004E0684" w:rsidP="004E0684">
      <w:pPr>
        <w:pStyle w:val="SingleTxtG"/>
        <w:rPr>
          <w:rFonts w:eastAsia="Calibri"/>
        </w:rPr>
      </w:pPr>
      <w:r w:rsidRPr="006F084A">
        <w:t>108.</w:t>
      </w:r>
      <w:r w:rsidR="002145F2">
        <w:tab/>
      </w:r>
      <w:r w:rsidRPr="006F084A">
        <w:t>Paralelamente a esta nueva política, desde 2014 se han adoptado medidas administrativas para regularizar la situación de los extranjeros. Así, hasta julio de 2019, se había regularizado la situación de 803 solicitantes de asilo registrados ante la Oficina del Alto Comisionado de las Naciones Unidas para los Refugiados (ACNUR) en Rabat. Por otro lado, entre el 2 de enero y el 31 de diciembre de 2014, las autoridades llevaron a cabo un proceso excepcional de regularización de inmigrantes en situación irregular, que dio lugar a la aprobación de 23.096 casos, es decir, un 83 % de total de las solicitudes presentadas. De conformidad con las Altas Directivas Reales, entre el 15 de diciembre de 2016 y el 31 de diciembre de 2017, tuvo lugar la segunda fase de regularización de inmigrantes en situación ilegal, durante la cual se tramitaron 28.400 solicitudes de 113 nacionalidades, de las que 20.000 fueron aprobadas por los comités pertinentes. Los 8.400 casos restantes siguen en estudio por el Comité Nacional de Apelaciones creado en 2014 a nivel del Consejo Nacional de Derechos Humanos.</w:t>
      </w:r>
    </w:p>
    <w:p w14:paraId="74289C1C" w14:textId="1823CEA9" w:rsidR="004E0684" w:rsidRPr="006F084A" w:rsidRDefault="004E0684" w:rsidP="004E0684">
      <w:pPr>
        <w:pStyle w:val="SingleTxtG"/>
        <w:rPr>
          <w:rFonts w:eastAsia="Calibri"/>
        </w:rPr>
      </w:pPr>
      <w:r w:rsidRPr="006F084A">
        <w:t>109.</w:t>
      </w:r>
      <w:r w:rsidR="002145F2">
        <w:tab/>
      </w:r>
      <w:r w:rsidRPr="006F084A">
        <w:t xml:space="preserve">Con el objetivo de tipificar el marco jurídico relativo a la situación de los extranjeros en Marruecos, el 25 de agosto de 2016 se aprobó la Ley núm. 27-14, de Lucha contra la Trata de Personas, y se redactaron el proyecto de </w:t>
      </w:r>
      <w:r w:rsidR="00CC326A">
        <w:t>l</w:t>
      </w:r>
      <w:r w:rsidRPr="006F084A">
        <w:t xml:space="preserve">ey núm. 66-17, del </w:t>
      </w:r>
      <w:r w:rsidR="00CC326A">
        <w:t>a</w:t>
      </w:r>
      <w:r w:rsidRPr="006F084A">
        <w:t xml:space="preserve">silo y las </w:t>
      </w:r>
      <w:r w:rsidR="00CC326A">
        <w:t>c</w:t>
      </w:r>
      <w:r w:rsidRPr="006F084A">
        <w:t xml:space="preserve">ondiciones para </w:t>
      </w:r>
      <w:r w:rsidR="00CC326A">
        <w:t>c</w:t>
      </w:r>
      <w:r w:rsidRPr="006F084A">
        <w:t xml:space="preserve">oncederlo, y el proyecto de </w:t>
      </w:r>
      <w:r w:rsidR="00CC326A">
        <w:t>l</w:t>
      </w:r>
      <w:r w:rsidRPr="006F084A">
        <w:t xml:space="preserve">ey núm. 72-17, de la </w:t>
      </w:r>
      <w:r w:rsidR="00CC326A">
        <w:t>e</w:t>
      </w:r>
      <w:r w:rsidRPr="006F084A">
        <w:t xml:space="preserve">ntrada y </w:t>
      </w:r>
      <w:r w:rsidR="00CC326A">
        <w:t>r</w:t>
      </w:r>
      <w:r w:rsidRPr="006F084A">
        <w:t xml:space="preserve">esidencia de </w:t>
      </w:r>
      <w:r w:rsidR="00CC326A">
        <w:t>e</w:t>
      </w:r>
      <w:r w:rsidRPr="006F084A">
        <w:t xml:space="preserve">xtranjeros en el Reino de Marruecos y la </w:t>
      </w:r>
      <w:r w:rsidR="00CC326A">
        <w:t>i</w:t>
      </w:r>
      <w:r w:rsidRPr="006F084A">
        <w:t>nmigración, que complementa y revisa la Ley núm. 02-03, de la Entrada y Residencia de Extranjeros en el Reino de Marruecos y la Inmigración Irregular, de</w:t>
      </w:r>
      <w:r w:rsidR="004A2305">
        <w:t> </w:t>
      </w:r>
      <w:r w:rsidRPr="006F084A">
        <w:t xml:space="preserve">2003. </w:t>
      </w:r>
    </w:p>
    <w:p w14:paraId="54F9D3CF"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 xml:space="preserve">La visión estratégica para reformar el sistema de educación y formación </w:t>
      </w:r>
    </w:p>
    <w:p w14:paraId="0F3F8CEF" w14:textId="336945F3" w:rsidR="004E0684" w:rsidRPr="006F084A" w:rsidRDefault="004E0684" w:rsidP="004E0684">
      <w:pPr>
        <w:pStyle w:val="SingleTxtG"/>
        <w:rPr>
          <w:rFonts w:eastAsia="Calibri"/>
          <w:b/>
          <w:bCs/>
        </w:rPr>
      </w:pPr>
      <w:r w:rsidRPr="006F084A">
        <w:t>110.</w:t>
      </w:r>
      <w:r w:rsidR="002145F2">
        <w:tab/>
      </w:r>
      <w:r w:rsidRPr="006F084A">
        <w:t xml:space="preserve">En 1999, se aprobó la Carta Nacional de Educación y de Formación, que es un proyecto consensuado y ambicioso dirigido a renovar el sistema de educación y formación. En 2014, el Consejo Superior de Educación y Formación elaboró un amplio informe en el que se analizaba la aplicación de esta Carta entre 2000 y 2013, en particular en lo que respecta a la gobernanza y gestión de la reforma, la escasa participación de todos los interesados en los asuntos escolares y la falta de mecanismos para realizar un acompañamiento y evaluación. A tenor de las conclusiones de este informe, en 2015, el Consejo preparó, adoptando una metodología participativa y llevando a cabo amplias consultas, la Visión Estratégica de la Reforma para el período 2015-2030, que se basa en tres principios rectores: equidad e igualdad de oportunidades, calidad, y promoción individual y comunitaria. Estos principios se tradujeron en 23 vectores para el cambio. De acuerdo con esta visión, las opciones y objetivos estratégicos de la Carta debían convertirse en una ley-marco que encarne un pacto nacional que implique al conjunto de la ciudadanía. </w:t>
      </w:r>
    </w:p>
    <w:p w14:paraId="140E7369" w14:textId="443E2486" w:rsidR="004E0684" w:rsidRPr="006F084A" w:rsidRDefault="004E0684" w:rsidP="004E0684">
      <w:pPr>
        <w:pStyle w:val="SingleTxtG"/>
      </w:pPr>
      <w:r w:rsidRPr="006F084A">
        <w:lastRenderedPageBreak/>
        <w:t>111.</w:t>
      </w:r>
      <w:r w:rsidR="002145F2">
        <w:tab/>
      </w:r>
      <w:r w:rsidRPr="006F084A">
        <w:t xml:space="preserve">De conformidad con lo dispuesto en la Constitución y los convenios internacionales de derechos humanos ratificados por el Reino y en aplicación de la Visión Estratégica de la Reforma para el período 2015-2030, este ámbito se vio reforzado con la aprobación de la Ley-Marco núm. 17-51, del Sistema de Educación, Formación e Investigación Científica. Por su parte, la investigación científica apunta hacia la creación de una nueva escuela que, abierta a todos, contemple la capacitación del capital humano; una escuela basada, por un lado, en la equidad e igualdad de oportunidades y, por otro lado, en la provisión de calidad para todos, y ello con miras a lograr el objetivo primordial de impulsar al individuo al tiempo que se hace avanzar a la sociedad. La consecución de ese objetivo se basa en una serie de líneas maestras, las más importantes de las cuales son: </w:t>
      </w:r>
    </w:p>
    <w:p w14:paraId="096E3AAC" w14:textId="53932179" w:rsidR="004E0684" w:rsidRPr="006F084A" w:rsidRDefault="004E0684" w:rsidP="002145F2">
      <w:pPr>
        <w:pStyle w:val="Bullet1G"/>
      </w:pPr>
      <w:r w:rsidRPr="006F084A">
        <w:t>Universalizar una educación integradora y solidaria en beneficio de todos los niños sin excepción</w:t>
      </w:r>
      <w:r w:rsidR="007754D2">
        <w:t>.</w:t>
      </w:r>
      <w:r w:rsidRPr="006F084A">
        <w:t xml:space="preserve"> </w:t>
      </w:r>
    </w:p>
    <w:p w14:paraId="64CD7C73" w14:textId="6F7BAEA5" w:rsidR="004E0684" w:rsidRPr="006F084A" w:rsidRDefault="004E0684" w:rsidP="002145F2">
      <w:pPr>
        <w:pStyle w:val="Bullet1G"/>
      </w:pPr>
      <w:r w:rsidRPr="006F084A">
        <w:t>Hacer de la escuela un espacio que promueva la educación para la ciudadanía, los derechos humanos y el comportamiento cívico</w:t>
      </w:r>
      <w:r w:rsidR="007754D2">
        <w:t>.</w:t>
      </w:r>
      <w:r w:rsidRPr="006F084A">
        <w:t xml:space="preserve"> </w:t>
      </w:r>
    </w:p>
    <w:p w14:paraId="3A2C28CF" w14:textId="3811CE80" w:rsidR="004E0684" w:rsidRPr="006F084A" w:rsidRDefault="004E0684" w:rsidP="002145F2">
      <w:pPr>
        <w:pStyle w:val="Bullet1G"/>
      </w:pPr>
      <w:r w:rsidRPr="006F084A">
        <w:t>Lograr la obligatoriedad de la educación primaria para el Estado y las familias</w:t>
      </w:r>
      <w:r w:rsidR="007754D2">
        <w:t>.</w:t>
      </w:r>
      <w:r w:rsidRPr="006F084A">
        <w:t xml:space="preserve"> </w:t>
      </w:r>
    </w:p>
    <w:p w14:paraId="4B266FA8" w14:textId="13C403DE" w:rsidR="004E0684" w:rsidRPr="006F084A" w:rsidRDefault="004E0684" w:rsidP="002145F2">
      <w:pPr>
        <w:pStyle w:val="Bullet1G"/>
      </w:pPr>
      <w:r w:rsidRPr="006F084A">
        <w:t>Autorizar la discriminación positiva de los niños en las zonas rurales y semiurbanas, así como en las zonas afectadas por carencias o insuficiencias</w:t>
      </w:r>
      <w:r w:rsidR="007754D2">
        <w:t>.</w:t>
      </w:r>
    </w:p>
    <w:p w14:paraId="1C964D6F" w14:textId="467B473E" w:rsidR="004E0684" w:rsidRPr="006F084A" w:rsidRDefault="004E0684" w:rsidP="002145F2">
      <w:pPr>
        <w:pStyle w:val="Bullet1G"/>
      </w:pPr>
      <w:r w:rsidRPr="006F084A">
        <w:t>Garantizar el acceso a la educación y la formación de los niños con discapacidad o en situaciones especiales</w:t>
      </w:r>
      <w:r w:rsidR="007754D2">
        <w:t>.</w:t>
      </w:r>
    </w:p>
    <w:p w14:paraId="4D256727" w14:textId="1165756C" w:rsidR="004E0684" w:rsidRPr="006F084A" w:rsidRDefault="004E0684" w:rsidP="002145F2">
      <w:pPr>
        <w:pStyle w:val="Bullet1G"/>
      </w:pPr>
      <w:r w:rsidRPr="006F084A">
        <w:t>Continuar con los esfuerzos encaminados a luchar contra el abandono escolar, y establecer programas de motivación para movilizar y concienciar a las familias sobre el peligro de la deserción escolar en edades tempranas</w:t>
      </w:r>
      <w:r w:rsidR="007754D2">
        <w:t>.</w:t>
      </w:r>
    </w:p>
    <w:p w14:paraId="2EF3161D" w14:textId="08896ADB" w:rsidR="004E0684" w:rsidRPr="006F084A" w:rsidRDefault="004E0684" w:rsidP="002145F2">
      <w:pPr>
        <w:pStyle w:val="Bullet1G"/>
      </w:pPr>
      <w:r w:rsidRPr="006F084A">
        <w:t>Trabajar para crear las condiciones para erradicar el analfabetismo</w:t>
      </w:r>
      <w:r w:rsidRPr="006F084A">
        <w:rPr>
          <w:rStyle w:val="Refdenotaalpie"/>
          <w:lang w:val="en-US"/>
        </w:rPr>
        <w:footnoteReference w:id="42"/>
      </w:r>
      <w:r w:rsidRPr="006F084A">
        <w:t xml:space="preserve">. </w:t>
      </w:r>
    </w:p>
    <w:p w14:paraId="3EA4334C"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La Estrategia Nacional de Empleo y su Plan Nacional</w:t>
      </w:r>
    </w:p>
    <w:p w14:paraId="3C50BF81" w14:textId="4AD89700" w:rsidR="004E0684" w:rsidRPr="006F084A" w:rsidRDefault="004E0684" w:rsidP="004E0684">
      <w:pPr>
        <w:pStyle w:val="SingleTxtG"/>
      </w:pPr>
      <w:r w:rsidRPr="006F084A">
        <w:t>112.</w:t>
      </w:r>
      <w:r w:rsidR="002145F2">
        <w:tab/>
      </w:r>
      <w:r w:rsidRPr="006F084A">
        <w:t>Con el fin de mantener la tasa de desempleo en un valor mínimo del 8,5 % para 2021, especialmente ante la transformación demográfica que experimenta la sociedad marroquí debido al incremento de su población en edad activa, que representa un 63 % de la población total y que aumenta anualmente en 370.000 personas, y a la migración rural hacia zonas urbanas, y para hacer frente a las dificultades a las que se enfrentan los graduados a la hora de incorporarse en el mercado laboral, entre las que figuran el desajuste existente entre las habilidades y competencias formativas y las necesidades del mercado de trabajo, en particular en el sector privado, el Reino ha preparado la Estrategia Nacional de Empleo 2025 y ha aprobado el mecanismo de aplicación de la misma, que no es otro que el Plan Nacional de la Promoción del Empleo para 2021.</w:t>
      </w:r>
    </w:p>
    <w:p w14:paraId="00CF89FD" w14:textId="3387F800" w:rsidR="004E0684" w:rsidRPr="006F084A" w:rsidRDefault="004E0684" w:rsidP="004E0684">
      <w:pPr>
        <w:pStyle w:val="SingleTxtG"/>
        <w:rPr>
          <w:rFonts w:eastAsia="Calibri"/>
        </w:rPr>
      </w:pPr>
      <w:r w:rsidRPr="006F084A">
        <w:t>113.</w:t>
      </w:r>
      <w:r w:rsidR="002145F2">
        <w:tab/>
      </w:r>
      <w:r w:rsidRPr="006F084A">
        <w:t>Además de armonizar el sistema legislativo y normativo de empleo mediante la consolidación de las garantías del Código del Trabajo de 2003, y de aprobar, el 10 de agosto de 2016, nuevas leyes que regulan las condiciones de trabajo y el empleo de los trabajadores domésticos, y la Ley de Indemnización por Accidentes de Trabajo, de 29 de diciembre de</w:t>
      </w:r>
      <w:r w:rsidR="00CC326A">
        <w:t> </w:t>
      </w:r>
      <w:r w:rsidRPr="006F084A">
        <w:t xml:space="preserve">2014, siguen vigentes varios programas de promoción del empleo, como el Programa de </w:t>
      </w:r>
      <w:r w:rsidRPr="006F084A">
        <w:lastRenderedPageBreak/>
        <w:t>Capacitación</w:t>
      </w:r>
      <w:r w:rsidRPr="006F084A">
        <w:rPr>
          <w:rStyle w:val="Refdenotaalpie"/>
          <w:lang w:val="en-GB"/>
        </w:rPr>
        <w:footnoteReference w:id="43"/>
      </w:r>
      <w:r w:rsidRPr="006F084A">
        <w:t>, el Programa de Autoempleo</w:t>
      </w:r>
      <w:r w:rsidRPr="006F084A">
        <w:rPr>
          <w:rStyle w:val="Refdenotaalpie"/>
          <w:lang w:val="en-GB"/>
        </w:rPr>
        <w:footnoteReference w:id="44"/>
      </w:r>
      <w:r w:rsidRPr="006F084A">
        <w:t>, el Programa de Integración</w:t>
      </w:r>
      <w:r w:rsidRPr="006F084A">
        <w:rPr>
          <w:rStyle w:val="Refdenotaalpie"/>
          <w:lang w:val="en-GB"/>
        </w:rPr>
        <w:footnoteReference w:id="45"/>
      </w:r>
      <w:r w:rsidRPr="006F084A">
        <w:t xml:space="preserve"> y el Programa Estimulación</w:t>
      </w:r>
      <w:r w:rsidRPr="006F084A">
        <w:rPr>
          <w:rStyle w:val="Refdenotaalpie"/>
          <w:lang w:val="en-GB"/>
        </w:rPr>
        <w:footnoteReference w:id="46"/>
      </w:r>
      <w:r w:rsidRPr="006F084A">
        <w:t xml:space="preserve">. </w:t>
      </w:r>
    </w:p>
    <w:p w14:paraId="34ED6562" w14:textId="0103BEF4" w:rsidR="004E0684" w:rsidRPr="006F084A" w:rsidRDefault="004E0684" w:rsidP="004E0684">
      <w:pPr>
        <w:pStyle w:val="SingleTxtG"/>
        <w:rPr>
          <w:b/>
          <w:bCs/>
        </w:rPr>
      </w:pPr>
      <w:r w:rsidRPr="006F084A">
        <w:t>114.</w:t>
      </w:r>
      <w:r w:rsidR="002145F2">
        <w:tab/>
      </w:r>
      <w:r w:rsidRPr="006F084A">
        <w:t>En relación con el derecho a la negociación colectiva, como mecanismo para garantizar la estabilidad de las relaciones profesionales de forma que contribuya a estabilizar y equilibrar las relaciones laborales entre todas las partes, se ha establecido un programa nacional para promover la negociación colectiva y también la legislación laboral contractual, que propició la firma de 39 convenios laborales colectivos durante el período comprendido entre 2012 y 2018.</w:t>
      </w:r>
    </w:p>
    <w:p w14:paraId="12573C78" w14:textId="37A82E1D" w:rsidR="004E0684" w:rsidRPr="006F084A" w:rsidRDefault="004E0684" w:rsidP="004E0684">
      <w:pPr>
        <w:pStyle w:val="SingleTxtG"/>
      </w:pPr>
      <w:r w:rsidRPr="006F084A">
        <w:t>115.</w:t>
      </w:r>
      <w:r w:rsidR="002145F2">
        <w:tab/>
      </w:r>
      <w:r w:rsidRPr="006F084A">
        <w:t>Paralelamente, entre 2012 y 2017, el número de empleados declarados ante la Caja Nacional de la Seguridad Social pasó de 2,71 millones a 3,38 millones, y el número de empresas participantes de la Caja durante el mismo per</w:t>
      </w:r>
      <w:r w:rsidR="00CC326A">
        <w:t>í</w:t>
      </w:r>
      <w:r w:rsidRPr="006F084A">
        <w:t>odo pasó de 156.665 a 217.534. Es decir, en los últimos años ha habido una tendencia al alza tanto de empresas como de empleados afiliados a la Caja Nacional de la Seguridad Social, con un promedio de incremento anual del 7 %.</w:t>
      </w:r>
    </w:p>
    <w:p w14:paraId="37B77ABC" w14:textId="2EBB2CFE" w:rsidR="004E0684" w:rsidRPr="006F084A" w:rsidRDefault="004E0684" w:rsidP="004E0684">
      <w:pPr>
        <w:pStyle w:val="SingleTxtG"/>
      </w:pPr>
      <w:r w:rsidRPr="006F084A">
        <w:t>116.</w:t>
      </w:r>
      <w:r w:rsidR="002145F2">
        <w:tab/>
      </w:r>
      <w:r w:rsidRPr="006F084A">
        <w:t xml:space="preserve">De conformidad con los compromisos del Convenio núm. 131 de la Organización Internacional del Trabajo (OIT) sobre la Fijación de Salarios Mínimos, ratificado por el Reino en 2013, y con el fin de mantener el poder adquisitivo de los trabajadores y mejorar sus condiciones de vida, el salario mínimo legal en el sector privado aumentó durante los años 2011, 2014 y 2019-2020, en un 15 %, 10 % y 10 %, respectivamente. </w:t>
      </w:r>
    </w:p>
    <w:p w14:paraId="14EC43CC" w14:textId="3B21BD4C" w:rsidR="004E0684" w:rsidRPr="006F084A" w:rsidRDefault="004E0684" w:rsidP="004E0684">
      <w:pPr>
        <w:pStyle w:val="SingleTxtG"/>
      </w:pPr>
      <w:r w:rsidRPr="006F084A">
        <w:t>117.</w:t>
      </w:r>
      <w:r w:rsidR="002145F2">
        <w:tab/>
      </w:r>
      <w:r w:rsidRPr="006F084A">
        <w:t xml:space="preserve">En cuanto al salario mínimo legal en los sectores de la industria, el comercio, las profesiones liberales y la agricultura, de acuerdo con el Decreto núm. 2.19.424 sobre la fijación de un salario mínimo en la industria, el comercio, las profesiones liberales y la agricultura, publicado en el </w:t>
      </w:r>
      <w:r w:rsidRPr="006F084A">
        <w:rPr>
          <w:i/>
          <w:iCs/>
        </w:rPr>
        <w:t>Boletín Oficial</w:t>
      </w:r>
      <w:r w:rsidRPr="006F084A">
        <w:t xml:space="preserve"> núm. 6.790, de 27 de junio de 2019, se fijó en 14,13 </w:t>
      </w:r>
      <w:proofErr w:type="spellStart"/>
      <w:r w:rsidRPr="006F084A">
        <w:t>DH</w:t>
      </w:r>
      <w:proofErr w:type="spellEnd"/>
      <w:r w:rsidRPr="006F084A">
        <w:t xml:space="preserve"> a partir del 1 de julio de 2019, para pasar posteriormente a 14,81 </w:t>
      </w:r>
      <w:proofErr w:type="spellStart"/>
      <w:r w:rsidRPr="006F084A">
        <w:t>DH</w:t>
      </w:r>
      <w:proofErr w:type="spellEnd"/>
      <w:r w:rsidRPr="006F084A">
        <w:t xml:space="preserve"> a partir del 1 de julio de 2020. </w:t>
      </w:r>
    </w:p>
    <w:p w14:paraId="46F19B76" w14:textId="629C56FE" w:rsidR="004E0684" w:rsidRPr="006F084A" w:rsidRDefault="004E0684" w:rsidP="004E0684">
      <w:pPr>
        <w:pStyle w:val="SingleTxtG"/>
      </w:pPr>
      <w:r w:rsidRPr="006F084A">
        <w:lastRenderedPageBreak/>
        <w:t>118.</w:t>
      </w:r>
      <w:r w:rsidR="002145F2">
        <w:tab/>
      </w:r>
      <w:r w:rsidRPr="006F084A">
        <w:t xml:space="preserve">El importe del salario mínimo legal pagado en efectivo por un día de empleo para el sector agrícola se fijó, a partir del 1 de julio de 2019, en 73,22 </w:t>
      </w:r>
      <w:proofErr w:type="spellStart"/>
      <w:r w:rsidRPr="006F084A">
        <w:t>DH</w:t>
      </w:r>
      <w:proofErr w:type="spellEnd"/>
      <w:r w:rsidRPr="006F084A">
        <w:t xml:space="preserve">, sin que ello incurriera en la eliminación o reducción de las retribuciones en especie concedidas a los trabajadores del sector agrícola. A partir del 1 de julio de 2020, dicho importe pasaría a ser de 76,70 </w:t>
      </w:r>
      <w:proofErr w:type="spellStart"/>
      <w:r w:rsidRPr="006F084A">
        <w:t>DH</w:t>
      </w:r>
      <w:proofErr w:type="spellEnd"/>
      <w:r w:rsidRPr="006F084A">
        <w:t>.</w:t>
      </w:r>
    </w:p>
    <w:p w14:paraId="3DE5DA1B" w14:textId="0A593C37" w:rsidR="004E0684" w:rsidRPr="006F084A" w:rsidRDefault="004E0684" w:rsidP="004E0684">
      <w:pPr>
        <w:pStyle w:val="SingleTxtG"/>
      </w:pPr>
      <w:r w:rsidRPr="006F084A">
        <w:t>119.</w:t>
      </w:r>
      <w:r w:rsidR="002145F2">
        <w:tab/>
      </w:r>
      <w:r w:rsidRPr="006F084A">
        <w:t>En cuanto a la función pública se refiere, el salario medio mensual neto entre 2009 y</w:t>
      </w:r>
      <w:r w:rsidR="00CC326A">
        <w:t> </w:t>
      </w:r>
      <w:r w:rsidRPr="006F084A">
        <w:t xml:space="preserve">2019 aumentó en un 32,21 %, lo que equivale a un porcentaje de aumento anual del 2,83 %, que en cifras se traduce en un aumento de 6.051 </w:t>
      </w:r>
      <w:proofErr w:type="spellStart"/>
      <w:r w:rsidRPr="006F084A">
        <w:t>DH</w:t>
      </w:r>
      <w:proofErr w:type="spellEnd"/>
      <w:r w:rsidRPr="006F084A">
        <w:t xml:space="preserve"> en 2009 a 8.000 </w:t>
      </w:r>
      <w:proofErr w:type="spellStart"/>
      <w:r w:rsidRPr="006F084A">
        <w:t>DH</w:t>
      </w:r>
      <w:proofErr w:type="spellEnd"/>
      <w:r w:rsidRPr="006F084A">
        <w:t xml:space="preserve"> en 2019. A raíz de los recientes aumentos salariales de los empleados en virtud del Acuerdo de Diálogo Social, de 25 de abril de 2019, el salario neto mensual medio de la función pública aumentó un 5,97 % entre 2018 y 2019.</w:t>
      </w:r>
    </w:p>
    <w:p w14:paraId="35ED084A" w14:textId="3C4EF5D2" w:rsidR="004E0684" w:rsidRPr="006F084A" w:rsidRDefault="004E0684" w:rsidP="004E0684">
      <w:pPr>
        <w:pStyle w:val="SingleTxtG"/>
      </w:pPr>
      <w:r w:rsidRPr="006F084A">
        <w:t>120.</w:t>
      </w:r>
      <w:r w:rsidR="002145F2">
        <w:tab/>
      </w:r>
      <w:r w:rsidRPr="006F084A">
        <w:t xml:space="preserve">El Acuerdo de Diálogo Social de abril de 2019, el quinto desde 1996, dio lugar a los siguientes avances: </w:t>
      </w:r>
    </w:p>
    <w:p w14:paraId="6163C77D" w14:textId="3C395DAF" w:rsidR="004E0684" w:rsidRPr="006F084A" w:rsidRDefault="004E0684" w:rsidP="002145F2">
      <w:pPr>
        <w:pStyle w:val="Bullet1G"/>
      </w:pPr>
      <w:r w:rsidRPr="006F084A">
        <w:rPr>
          <w:rFonts w:ascii="Symbol" w:hAnsi="Symbol"/>
        </w:rPr>
        <w:tab/>
      </w:r>
      <w:r w:rsidRPr="006F084A">
        <w:t xml:space="preserve">Un aumento salarial de entre 400 y 500 </w:t>
      </w:r>
      <w:proofErr w:type="spellStart"/>
      <w:r w:rsidRPr="006F084A">
        <w:t>DH</w:t>
      </w:r>
      <w:proofErr w:type="spellEnd"/>
      <w:r w:rsidRPr="006F084A">
        <w:t xml:space="preserve">, repartidos en tres pagas, del que se beneficiaron 800.000 empleados de la Administración General del Estado, colectividades territoriales e instituciones públicas de carácter administrativo, con una dotación financiera total de 2.500 millones de </w:t>
      </w:r>
      <w:proofErr w:type="spellStart"/>
      <w:r w:rsidRPr="006F084A">
        <w:t>DH</w:t>
      </w:r>
      <w:proofErr w:type="spellEnd"/>
      <w:r w:rsidRPr="006F084A">
        <w:t xml:space="preserve"> en 2019, con miras a alcanzar los 7.000 millones de </w:t>
      </w:r>
      <w:proofErr w:type="spellStart"/>
      <w:r w:rsidRPr="006F084A">
        <w:t>DH</w:t>
      </w:r>
      <w:proofErr w:type="spellEnd"/>
      <w:r w:rsidRPr="006F084A">
        <w:t xml:space="preserve"> en 2021.</w:t>
      </w:r>
    </w:p>
    <w:p w14:paraId="4BE8E0A0" w14:textId="7FCBDC69" w:rsidR="004E0684" w:rsidRPr="006F084A" w:rsidRDefault="004E0684" w:rsidP="002145F2">
      <w:pPr>
        <w:pStyle w:val="Bullet1G"/>
      </w:pPr>
      <w:r w:rsidRPr="006F084A">
        <w:rPr>
          <w:rFonts w:ascii="Symbol" w:hAnsi="Symbol"/>
        </w:rPr>
        <w:tab/>
      </w:r>
      <w:r w:rsidRPr="006F084A">
        <w:t>Un aumento del 10 % en el salario mínimo en el sector privado.</w:t>
      </w:r>
    </w:p>
    <w:p w14:paraId="3FFE2847" w14:textId="4AD3A02E" w:rsidR="004E0684" w:rsidRPr="006F084A" w:rsidRDefault="004E0684" w:rsidP="002145F2">
      <w:pPr>
        <w:pStyle w:val="Bullet1G"/>
      </w:pPr>
      <w:r w:rsidRPr="006F084A">
        <w:rPr>
          <w:rFonts w:ascii="Symbol" w:hAnsi="Symbol"/>
        </w:rPr>
        <w:tab/>
      </w:r>
      <w:r w:rsidRPr="006F084A">
        <w:t xml:space="preserve">Un aumento de las prestaciones familiares para los empleados del sector público y privado de 100 </w:t>
      </w:r>
      <w:proofErr w:type="spellStart"/>
      <w:r w:rsidRPr="006F084A">
        <w:t>DH</w:t>
      </w:r>
      <w:proofErr w:type="spellEnd"/>
      <w:r w:rsidRPr="006F084A">
        <w:t xml:space="preserve"> por cada uno de los tres primeros hijos, del que se beneficiaron unos 400.000 empleados, con una dotación financiera anual de 1.000 millones de </w:t>
      </w:r>
      <w:proofErr w:type="spellStart"/>
      <w:r w:rsidRPr="006F084A">
        <w:t>DH</w:t>
      </w:r>
      <w:proofErr w:type="spellEnd"/>
      <w:r w:rsidRPr="006F084A">
        <w:t>.</w:t>
      </w:r>
    </w:p>
    <w:p w14:paraId="145BF095" w14:textId="33B4DE40" w:rsidR="004E0684" w:rsidRPr="006F084A" w:rsidRDefault="004E0684" w:rsidP="002145F2">
      <w:pPr>
        <w:pStyle w:val="Bullet1G"/>
      </w:pPr>
      <w:r w:rsidRPr="006F084A">
        <w:rPr>
          <w:rFonts w:ascii="Symbol" w:hAnsi="Symbol"/>
        </w:rPr>
        <w:tab/>
      </w:r>
      <w:r w:rsidRPr="006F084A">
        <w:t xml:space="preserve">La creación de una nueva categoría de asalariados en los escalafones inferiores y la mejora de las condiciones de promoción de una serie de colectivos del sector educativo nacional, un procedimiento que ha beneficiado a más de 24.000 empleados, con una dotación económica superior a los 200 millones de </w:t>
      </w:r>
      <w:proofErr w:type="spellStart"/>
      <w:r w:rsidRPr="006F084A">
        <w:t>DH</w:t>
      </w:r>
      <w:proofErr w:type="spellEnd"/>
      <w:r w:rsidRPr="006F084A">
        <w:t>.</w:t>
      </w:r>
    </w:p>
    <w:p w14:paraId="26292DDE" w14:textId="52255D56" w:rsidR="004E0684" w:rsidRPr="006F084A" w:rsidRDefault="004E0684" w:rsidP="004E0684">
      <w:pPr>
        <w:pStyle w:val="SingleTxtG"/>
        <w:rPr>
          <w:rFonts w:eastAsia="Calibri"/>
          <w:b/>
          <w:bCs/>
        </w:rPr>
      </w:pPr>
      <w:r w:rsidRPr="006F084A">
        <w:t>121.</w:t>
      </w:r>
      <w:r w:rsidR="002145F2">
        <w:tab/>
      </w:r>
      <w:r w:rsidRPr="006F084A">
        <w:t>Además de mejorar los ingresos, el Acuerdo Tripartito 2019-2021 incluyó otros resultados relacionados con la institucionalización del diálogo social, el fortalecimiento de los mecanismos de solución de controversias, la promoción de las libertades sindicales, la protección social, la reforma del sistema de jubilación, la consulta para establecer un pacto social y la continuación en la aplicación de los puntos restantes del acuerdo de 26 de abril de</w:t>
      </w:r>
      <w:r w:rsidR="002145F2">
        <w:t> </w:t>
      </w:r>
      <w:r w:rsidRPr="006F084A">
        <w:t>2011.</w:t>
      </w:r>
    </w:p>
    <w:p w14:paraId="14D157CC" w14:textId="4D72081E"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 xml:space="preserve">El Programa Integrado </w:t>
      </w:r>
      <w:r w:rsidR="00B56649" w:rsidRPr="00D51553">
        <w:rPr>
          <w:rFonts w:eastAsia="Calibri"/>
          <w:b/>
          <w:bCs/>
        </w:rPr>
        <w:t>“</w:t>
      </w:r>
      <w:proofErr w:type="spellStart"/>
      <w:proofErr w:type="gramStart"/>
      <w:r w:rsidRPr="00D51553">
        <w:rPr>
          <w:rFonts w:eastAsia="Calibri"/>
          <w:b/>
          <w:bCs/>
        </w:rPr>
        <w:t>StartUP</w:t>
      </w:r>
      <w:proofErr w:type="spellEnd"/>
      <w:proofErr w:type="gramEnd"/>
      <w:r w:rsidRPr="00D51553">
        <w:rPr>
          <w:rFonts w:eastAsia="Calibri"/>
          <w:b/>
          <w:bCs/>
        </w:rPr>
        <w:t xml:space="preserve"> </w:t>
      </w:r>
      <w:proofErr w:type="spellStart"/>
      <w:r w:rsidRPr="00D51553">
        <w:rPr>
          <w:rFonts w:eastAsia="Calibri"/>
          <w:b/>
          <w:bCs/>
        </w:rPr>
        <w:t>Maroc</w:t>
      </w:r>
      <w:proofErr w:type="spellEnd"/>
      <w:r w:rsidR="00B56649" w:rsidRPr="00D51553">
        <w:rPr>
          <w:rFonts w:eastAsia="Calibri"/>
          <w:b/>
          <w:bCs/>
        </w:rPr>
        <w:t>”</w:t>
      </w:r>
      <w:r w:rsidRPr="00D51553">
        <w:rPr>
          <w:rFonts w:eastAsia="Calibri"/>
          <w:b/>
          <w:bCs/>
        </w:rPr>
        <w:t xml:space="preserve"> para Apoyar y Financiar el Emprendimiento Juvenil </w:t>
      </w:r>
    </w:p>
    <w:p w14:paraId="3E21DECA" w14:textId="26236612" w:rsidR="004E0684" w:rsidRPr="006F084A" w:rsidRDefault="004E0684" w:rsidP="004E0684">
      <w:pPr>
        <w:pStyle w:val="SingleTxtG"/>
      </w:pPr>
      <w:r w:rsidRPr="006F084A">
        <w:t>122.</w:t>
      </w:r>
      <w:r w:rsidR="006F4396">
        <w:tab/>
      </w:r>
      <w:r w:rsidRPr="006F084A">
        <w:t xml:space="preserve">Con arreglo a las Altas Directivas Reales, el lunes 3 de febrero de 2020 se puso oficialmente en marcha el Programa Integrado de Apoyo y Financiación de las Empresas en Marruecos (Programa </w:t>
      </w:r>
      <w:r w:rsidR="00B56649">
        <w:t>“</w:t>
      </w:r>
      <w:proofErr w:type="spellStart"/>
      <w:proofErr w:type="gramStart"/>
      <w:r w:rsidRPr="006F084A">
        <w:t>StartUP</w:t>
      </w:r>
      <w:proofErr w:type="spellEnd"/>
      <w:proofErr w:type="gramEnd"/>
      <w:r w:rsidRPr="006F084A">
        <w:t xml:space="preserve"> </w:t>
      </w:r>
      <w:proofErr w:type="spellStart"/>
      <w:r w:rsidRPr="006F084A">
        <w:t>Maroc</w:t>
      </w:r>
      <w:proofErr w:type="spellEnd"/>
      <w:r w:rsidR="00B56649">
        <w:t>”</w:t>
      </w:r>
      <w:r w:rsidRPr="006F084A">
        <w:t xml:space="preserve"> para Apoyar y Financiar el Emprendimiento Juvenil). El programa </w:t>
      </w:r>
      <w:r w:rsidR="00B56649">
        <w:t>“</w:t>
      </w:r>
      <w:proofErr w:type="spellStart"/>
      <w:r w:rsidRPr="006F084A">
        <w:t>StarUP</w:t>
      </w:r>
      <w:proofErr w:type="spellEnd"/>
      <w:r w:rsidRPr="006F084A">
        <w:t xml:space="preserve"> </w:t>
      </w:r>
      <w:proofErr w:type="spellStart"/>
      <w:r w:rsidRPr="006F084A">
        <w:t>Maroc</w:t>
      </w:r>
      <w:proofErr w:type="spellEnd"/>
      <w:r w:rsidR="00B56649">
        <w:t>”</w:t>
      </w:r>
      <w:r w:rsidRPr="006F084A">
        <w:t xml:space="preserve"> tiene como objetivo poner al alcance de las microempresas, los jóvenes emprendedores, el mundo rural, el sector informal y las empresas de exportación una nueva gama de servicios de garantía financiera y de financiación. También se propone poner en marcha una nueva dinámica de apoyo a las iniciativas de emprendimiento empresarial y promover la integración social y económica de los jóvenes, en particular en el medio rural. </w:t>
      </w:r>
    </w:p>
    <w:p w14:paraId="346CAF45" w14:textId="6A2149BF" w:rsidR="004E0684" w:rsidRPr="006F084A" w:rsidRDefault="004E0684" w:rsidP="004E0684">
      <w:pPr>
        <w:pStyle w:val="SingleTxtG"/>
      </w:pPr>
      <w:r w:rsidRPr="006F084A">
        <w:t>123.</w:t>
      </w:r>
      <w:r w:rsidR="006F4396">
        <w:tab/>
      </w:r>
      <w:r w:rsidRPr="006F084A">
        <w:t>Se trata de apoyar los tres productos siguientes:</w:t>
      </w:r>
    </w:p>
    <w:p w14:paraId="488CB345" w14:textId="04902A48" w:rsidR="004E0684" w:rsidRPr="006F084A" w:rsidRDefault="004E0684" w:rsidP="006F4396">
      <w:pPr>
        <w:pStyle w:val="Bullet1G"/>
      </w:pPr>
      <w:r w:rsidRPr="006F084A">
        <w:t xml:space="preserve">El producto </w:t>
      </w:r>
      <w:r w:rsidR="00B56649">
        <w:t>“</w:t>
      </w:r>
      <w:r w:rsidRPr="006F084A">
        <w:t>Avales para el emprendimiento</w:t>
      </w:r>
      <w:r w:rsidR="00B56649">
        <w:t>”</w:t>
      </w:r>
      <w:r w:rsidRPr="006F084A">
        <w:t>, que ofrece una garantía a los empresarios autónomos, los emprendedores y las microempresas;</w:t>
      </w:r>
    </w:p>
    <w:p w14:paraId="58C649AA" w14:textId="4A06D4AB" w:rsidR="004E0684" w:rsidRPr="006F084A" w:rsidRDefault="004E0684" w:rsidP="006F4396">
      <w:pPr>
        <w:pStyle w:val="Bullet1G"/>
      </w:pPr>
      <w:r w:rsidRPr="006F084A">
        <w:t xml:space="preserve">El producto </w:t>
      </w:r>
      <w:r w:rsidR="00B56649">
        <w:t>“</w:t>
      </w:r>
      <w:r w:rsidRPr="006F084A">
        <w:t>Avales para el emprendimiento del inversor rural</w:t>
      </w:r>
      <w:r w:rsidR="00B56649">
        <w:t>”</w:t>
      </w:r>
      <w:r w:rsidRPr="006F084A">
        <w:t>, que ofrece avales a proyectos llevados a cabo en pequeñas aldeas agrícolas, microempresas, emprendedores y empresarios autónomos en el mundo rural;</w:t>
      </w:r>
    </w:p>
    <w:p w14:paraId="4A04D24D" w14:textId="05B42484" w:rsidR="004E0684" w:rsidRPr="006F084A" w:rsidRDefault="004E0684" w:rsidP="006F4396">
      <w:pPr>
        <w:pStyle w:val="Bullet1G"/>
      </w:pPr>
      <w:r w:rsidRPr="006F084A">
        <w:t xml:space="preserve">El producto </w:t>
      </w:r>
      <w:r w:rsidR="00B56649">
        <w:t>“</w:t>
      </w:r>
      <w:proofErr w:type="spellStart"/>
      <w:r w:rsidRPr="006F084A">
        <w:t>Start</w:t>
      </w:r>
      <w:proofErr w:type="spellEnd"/>
      <w:r w:rsidRPr="006F084A">
        <w:t xml:space="preserve"> para microempresas (</w:t>
      </w:r>
      <w:proofErr w:type="spellStart"/>
      <w:r w:rsidRPr="006F084A">
        <w:t>Start-TPE</w:t>
      </w:r>
      <w:proofErr w:type="spellEnd"/>
      <w:r w:rsidRPr="006F084A">
        <w:t>)</w:t>
      </w:r>
      <w:r w:rsidR="00B56649">
        <w:t>”</w:t>
      </w:r>
      <w:r w:rsidRPr="006F084A">
        <w:t xml:space="preserve">, que es un crédito de financiación a devolver en un período de cinco años sin intereses ni avales dirigido a los empresarios autónomos, los emprendedores con proyectos en marcha y las microempresas. </w:t>
      </w:r>
    </w:p>
    <w:p w14:paraId="3604C21E" w14:textId="1BDA4705" w:rsidR="004E0684" w:rsidRPr="006F084A" w:rsidRDefault="004E0684" w:rsidP="004E0684">
      <w:pPr>
        <w:pStyle w:val="SingleTxtG"/>
      </w:pPr>
      <w:r w:rsidRPr="006F084A">
        <w:lastRenderedPageBreak/>
        <w:t>124.</w:t>
      </w:r>
      <w:r w:rsidR="006F4396">
        <w:tab/>
      </w:r>
      <w:r w:rsidRPr="006F084A">
        <w:t xml:space="preserve">Con el fin de garantizar la liquidez del programa durante los próximos tres años, el sector bancario aportó 3.000 millones de </w:t>
      </w:r>
      <w:proofErr w:type="spellStart"/>
      <w:r w:rsidRPr="006F084A">
        <w:t>DH</w:t>
      </w:r>
      <w:proofErr w:type="spellEnd"/>
      <w:r w:rsidRPr="006F084A">
        <w:t xml:space="preserve"> para financiarlo, mientras que otros 3.000 millones de </w:t>
      </w:r>
      <w:proofErr w:type="spellStart"/>
      <w:r w:rsidRPr="006F084A">
        <w:t>DH</w:t>
      </w:r>
      <w:proofErr w:type="spellEnd"/>
      <w:r w:rsidRPr="006F084A">
        <w:t xml:space="preserve"> se asignaron con cargo al presupuesto estatal, sin contar con los 2.000 millones de </w:t>
      </w:r>
      <w:proofErr w:type="spellStart"/>
      <w:r w:rsidRPr="006F084A">
        <w:t>DH</w:t>
      </w:r>
      <w:proofErr w:type="spellEnd"/>
      <w:r w:rsidRPr="006F084A">
        <w:t xml:space="preserve"> previstos por el Fondo Hassan II para el Desarrollo Económico y Social como contribución complementaria al programa integrado. El monto total de financiación asciende, pues, a 8.000 millones de </w:t>
      </w:r>
      <w:proofErr w:type="spellStart"/>
      <w:r w:rsidRPr="006F084A">
        <w:t>DH</w:t>
      </w:r>
      <w:proofErr w:type="spellEnd"/>
      <w:r w:rsidRPr="006F084A">
        <w:t xml:space="preserve">. </w:t>
      </w:r>
    </w:p>
    <w:p w14:paraId="6F97D32F" w14:textId="5576E52C" w:rsidR="004E0684" w:rsidRPr="006F084A" w:rsidRDefault="004E0684" w:rsidP="004E0684">
      <w:pPr>
        <w:pStyle w:val="SingleTxtG"/>
      </w:pPr>
      <w:r w:rsidRPr="006F084A">
        <w:t>125.</w:t>
      </w:r>
      <w:r w:rsidR="006F4396">
        <w:tab/>
      </w:r>
      <w:r w:rsidRPr="006F084A">
        <w:t>Cabe señalar que este programa otorga préstamos a un tipo de interés bajo, fijado en el 1,75 % para los beneficiarios de las zonas rurales, y el 2 % para los de las zonas urbanas. A través de este programa, la financiación a estos tipos de interés podría alcanzar los 1,2</w:t>
      </w:r>
      <w:r w:rsidR="00CC326A">
        <w:t> </w:t>
      </w:r>
      <w:r w:rsidRPr="006F084A">
        <w:t xml:space="preserve">millones de </w:t>
      </w:r>
      <w:proofErr w:type="spellStart"/>
      <w:r w:rsidRPr="006F084A">
        <w:t>DH</w:t>
      </w:r>
      <w:proofErr w:type="spellEnd"/>
      <w:r w:rsidRPr="006F084A">
        <w:t xml:space="preserve">, de los cuales el Fondo Central de Garantía avala hasta el 80 % del préstamo. </w:t>
      </w:r>
    </w:p>
    <w:p w14:paraId="2E8DAD8F"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Programas para facilitar el acceso a la vivienda</w:t>
      </w:r>
    </w:p>
    <w:p w14:paraId="0C48079E" w14:textId="10CF05EE" w:rsidR="004E0684" w:rsidRPr="006F084A" w:rsidRDefault="004E0684" w:rsidP="004E0684">
      <w:pPr>
        <w:pStyle w:val="SingleTxtG"/>
        <w:rPr>
          <w:b/>
          <w:bCs/>
        </w:rPr>
      </w:pPr>
      <w:r w:rsidRPr="006F084A">
        <w:t>126.</w:t>
      </w:r>
      <w:r w:rsidR="006F4396">
        <w:tab/>
      </w:r>
      <w:r w:rsidRPr="006F084A">
        <w:t xml:space="preserve">Desde la década de 1960, Marruecos ha sido testigo de una aceleración de la actividad urbanística y de la migración rural hacia las ciudades, lo que se ha traducido en un aumento gradual del fenómeno de las viviendas ilegales, los barrios </w:t>
      </w:r>
      <w:r w:rsidR="00B56649">
        <w:t>“</w:t>
      </w:r>
      <w:r w:rsidRPr="006F084A">
        <w:t>de chapa</w:t>
      </w:r>
      <w:r w:rsidR="00B56649">
        <w:t>”</w:t>
      </w:r>
      <w:r w:rsidRPr="006F084A">
        <w:t xml:space="preserve"> y la ampliación de los cinturones de pobreza en los suburbios de las principales ciudades. En los últimos años, las intervenciones de las </w:t>
      </w:r>
      <w:proofErr w:type="gramStart"/>
      <w:r w:rsidRPr="006F084A">
        <w:t>autoridades públicas</w:t>
      </w:r>
      <w:proofErr w:type="gramEnd"/>
      <w:r w:rsidRPr="006F084A">
        <w:t xml:space="preserve"> se han centrado en involucrar a todos los actores, en particular a los promotores privados, las instituciones y empresas públicas, los consejos electos, y a la población meta, con el fin de acelerar el ritmo de producción de vivienda a través de una serie de medidas e incentivos financieros, fiscales y reglamentarios. Esto ha implicado una profunda revisión de la intervención pública en materia de vivienda. Así, los esfuerzos del Gobierno mediante la aplicación de diversos programas han reducido el déficit de acceso a una vivienda digna, que ha pasado de ser de 1.240.000 viviendas en 2002 a 425.000 en 2018. Los programas más importantes para facilitar el acceso a la vivienda han sido</w:t>
      </w:r>
      <w:r w:rsidR="00CC326A">
        <w:t>.</w:t>
      </w:r>
      <w:r w:rsidRPr="006F084A">
        <w:t xml:space="preserve"> </w:t>
      </w:r>
    </w:p>
    <w:p w14:paraId="4258E282" w14:textId="73674B74"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 xml:space="preserve">El Programa </w:t>
      </w:r>
      <w:r w:rsidR="00B56649" w:rsidRPr="00D51553">
        <w:rPr>
          <w:rFonts w:eastAsia="Calibri"/>
          <w:b/>
          <w:bCs/>
        </w:rPr>
        <w:t>“</w:t>
      </w:r>
      <w:r w:rsidRPr="00D51553">
        <w:rPr>
          <w:rFonts w:eastAsia="Calibri"/>
          <w:b/>
          <w:bCs/>
        </w:rPr>
        <w:t>Ciudades sin barrios de chabolas</w:t>
      </w:r>
      <w:r w:rsidR="00B56649" w:rsidRPr="00D51553">
        <w:rPr>
          <w:rFonts w:eastAsia="Calibri"/>
          <w:b/>
          <w:bCs/>
        </w:rPr>
        <w:t>”</w:t>
      </w:r>
      <w:r w:rsidR="006F4396" w:rsidRPr="00D51553">
        <w:rPr>
          <w:rFonts w:eastAsia="Calibri"/>
          <w:b/>
          <w:bCs/>
        </w:rPr>
        <w:t xml:space="preserve"> </w:t>
      </w:r>
      <w:r w:rsidRPr="00D51553">
        <w:rPr>
          <w:rFonts w:eastAsia="Calibri"/>
          <w:b/>
          <w:bCs/>
          <w:i/>
        </w:rPr>
        <w:t>[</w:t>
      </w:r>
      <w:proofErr w:type="spellStart"/>
      <w:r w:rsidRPr="00D51553">
        <w:rPr>
          <w:rFonts w:eastAsia="Calibri"/>
          <w:b/>
          <w:bCs/>
          <w:i/>
        </w:rPr>
        <w:t>Villes</w:t>
      </w:r>
      <w:proofErr w:type="spellEnd"/>
      <w:r w:rsidRPr="00D51553">
        <w:rPr>
          <w:rFonts w:eastAsia="Calibri"/>
          <w:b/>
          <w:bCs/>
          <w:i/>
        </w:rPr>
        <w:t xml:space="preserve"> </w:t>
      </w:r>
      <w:proofErr w:type="spellStart"/>
      <w:r w:rsidRPr="00D51553">
        <w:rPr>
          <w:rFonts w:eastAsia="Calibri"/>
          <w:b/>
          <w:bCs/>
          <w:i/>
        </w:rPr>
        <w:t>sans</w:t>
      </w:r>
      <w:proofErr w:type="spellEnd"/>
      <w:r w:rsidRPr="00D51553">
        <w:rPr>
          <w:rFonts w:eastAsia="Calibri"/>
          <w:b/>
          <w:bCs/>
          <w:i/>
        </w:rPr>
        <w:t xml:space="preserve"> </w:t>
      </w:r>
      <w:proofErr w:type="spellStart"/>
      <w:r w:rsidRPr="00D51553">
        <w:rPr>
          <w:rFonts w:eastAsia="Calibri"/>
          <w:b/>
          <w:bCs/>
          <w:i/>
        </w:rPr>
        <w:t>bidonvilles</w:t>
      </w:r>
      <w:proofErr w:type="spellEnd"/>
      <w:r w:rsidRPr="00D51553">
        <w:rPr>
          <w:rFonts w:eastAsia="Calibri"/>
          <w:b/>
          <w:bCs/>
          <w:i/>
        </w:rPr>
        <w:t>]</w:t>
      </w:r>
    </w:p>
    <w:p w14:paraId="66F67236" w14:textId="6FBAE89D" w:rsidR="004E0684" w:rsidRPr="007754D2" w:rsidRDefault="004E0684" w:rsidP="004E0684">
      <w:pPr>
        <w:pStyle w:val="SingleTxtG"/>
        <w:rPr>
          <w:lang w:val="es-ES_tradnl"/>
        </w:rPr>
      </w:pPr>
      <w:r w:rsidRPr="006F084A">
        <w:t>127.</w:t>
      </w:r>
      <w:r w:rsidR="006F4396">
        <w:tab/>
      </w:r>
      <w:r w:rsidRPr="006F084A">
        <w:t xml:space="preserve">La puesta en marcha del Programa </w:t>
      </w:r>
      <w:r w:rsidR="00B56649">
        <w:t>“</w:t>
      </w:r>
      <w:r w:rsidRPr="006F084A">
        <w:t>Ciudades sin barrios de chabolas</w:t>
      </w:r>
      <w:r w:rsidR="00B56649">
        <w:t>”</w:t>
      </w:r>
      <w:r w:rsidRPr="006F084A">
        <w:t xml:space="preserve"> en 2004 supuso un avance significativo en la eliminación de infraviviendas y la mejora de las condiciones de vivienda de las familias afectadas. En este contexto, se asignaron importantes recursos financieros, estimados en un costo total de 32.000 millones de </w:t>
      </w:r>
      <w:proofErr w:type="spellStart"/>
      <w:r w:rsidRPr="006F084A">
        <w:t>DH</w:t>
      </w:r>
      <w:proofErr w:type="spellEnd"/>
      <w:r w:rsidRPr="006F084A">
        <w:t xml:space="preserve">. Desde sus inicios, el </w:t>
      </w:r>
      <w:r w:rsidR="00CC326A" w:rsidRPr="006F084A">
        <w:t xml:space="preserve">Programa </w:t>
      </w:r>
      <w:r w:rsidRPr="006F084A">
        <w:t xml:space="preserve">ha asistido a un total de 471.259 familias repartidas en 85 ciudades y núcleos urbanos; además, hasta finales de 2018, 59 ciudades fueron declaradas libres de infraviviendas. Se espera que, a principios de 2020, otras 7 ciudades sean declaradas también </w:t>
      </w:r>
      <w:r w:rsidRPr="007754D2">
        <w:rPr>
          <w:lang w:val="es-ES_tradnl"/>
        </w:rPr>
        <w:t>ciudades sin chabolas.</w:t>
      </w:r>
    </w:p>
    <w:p w14:paraId="17886B6B"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Programas de vivienda social</w:t>
      </w:r>
    </w:p>
    <w:p w14:paraId="678DADA1" w14:textId="6A0A0096" w:rsidR="004E0684" w:rsidRPr="007754D2" w:rsidRDefault="004E0684" w:rsidP="004E0684">
      <w:pPr>
        <w:pStyle w:val="SingleTxtG"/>
        <w:rPr>
          <w:rFonts w:eastAsia="Calibri"/>
          <w:lang w:val="es-ES_tradnl"/>
        </w:rPr>
      </w:pPr>
      <w:r w:rsidRPr="007754D2">
        <w:rPr>
          <w:lang w:val="es-ES_tradnl"/>
        </w:rPr>
        <w:t>128.</w:t>
      </w:r>
      <w:r w:rsidR="006F4396" w:rsidRPr="007754D2">
        <w:rPr>
          <w:lang w:val="es-ES_tradnl"/>
        </w:rPr>
        <w:tab/>
      </w:r>
      <w:r w:rsidRPr="007754D2">
        <w:rPr>
          <w:lang w:val="es-ES_tradnl"/>
        </w:rPr>
        <w:t xml:space="preserve">Como continuación de la política adoptada en 2002, cuyo objetivo era proporcionar viviendas dignas que respetasen las especificaciones arquitectónicas y urbanísticas a precios razonables, se crearon varios programas de vivienda, como el Programa </w:t>
      </w:r>
      <w:r w:rsidR="00B56649" w:rsidRPr="007754D2">
        <w:rPr>
          <w:lang w:val="es-ES_tradnl"/>
        </w:rPr>
        <w:t>“</w:t>
      </w:r>
      <w:r w:rsidRPr="007754D2">
        <w:rPr>
          <w:lang w:val="es-ES_tradnl"/>
        </w:rPr>
        <w:t>Viviendas de Bajo Costo</w:t>
      </w:r>
      <w:r w:rsidR="00B56649" w:rsidRPr="007754D2">
        <w:rPr>
          <w:lang w:val="es-ES_tradnl"/>
        </w:rPr>
        <w:t>”</w:t>
      </w:r>
      <w:r w:rsidRPr="007754D2">
        <w:rPr>
          <w:lang w:val="es-ES_tradnl"/>
        </w:rPr>
        <w:t xml:space="preserve">, con financiación por valor de 140.000 </w:t>
      </w:r>
      <w:proofErr w:type="spellStart"/>
      <w:r w:rsidRPr="007754D2">
        <w:rPr>
          <w:lang w:val="es-ES_tradnl"/>
        </w:rPr>
        <w:t>DH</w:t>
      </w:r>
      <w:proofErr w:type="spellEnd"/>
      <w:r w:rsidRPr="007754D2">
        <w:rPr>
          <w:lang w:val="es-ES_tradnl"/>
        </w:rPr>
        <w:t xml:space="preserve"> (renovado en 2008), y el Programa </w:t>
      </w:r>
      <w:r w:rsidR="00B56649" w:rsidRPr="007754D2">
        <w:rPr>
          <w:lang w:val="es-ES_tradnl"/>
        </w:rPr>
        <w:t>“</w:t>
      </w:r>
      <w:r w:rsidRPr="007754D2">
        <w:rPr>
          <w:lang w:val="es-ES_tradnl"/>
        </w:rPr>
        <w:t>Vivienda Social</w:t>
      </w:r>
      <w:r w:rsidR="00B56649" w:rsidRPr="007754D2">
        <w:rPr>
          <w:lang w:val="es-ES_tradnl"/>
        </w:rPr>
        <w:t>”</w:t>
      </w:r>
      <w:r w:rsidRPr="007754D2">
        <w:rPr>
          <w:lang w:val="es-ES_tradnl"/>
        </w:rPr>
        <w:t xml:space="preserve">, dotado con 250.000 </w:t>
      </w:r>
      <w:proofErr w:type="spellStart"/>
      <w:r w:rsidRPr="007754D2">
        <w:rPr>
          <w:lang w:val="es-ES_tradnl"/>
        </w:rPr>
        <w:t>DH</w:t>
      </w:r>
      <w:proofErr w:type="spellEnd"/>
      <w:r w:rsidRPr="007754D2">
        <w:rPr>
          <w:lang w:val="es-ES_tradnl"/>
        </w:rPr>
        <w:t xml:space="preserve"> (renovado en 2010). Estos programas han permitido llevar a cabo la construcción de un número significativo de viviendas, a raíz de lo cual el déficit de vivienda se ha reducido en casi un 50 %. </w:t>
      </w:r>
    </w:p>
    <w:p w14:paraId="414AD773" w14:textId="5CE74885"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 xml:space="preserve">Programa integral de puesta en valor sostenible de palacios </w:t>
      </w:r>
      <w:r w:rsidRPr="00D51553">
        <w:rPr>
          <w:rFonts w:eastAsia="Calibri"/>
          <w:b/>
          <w:bCs/>
          <w:i/>
        </w:rPr>
        <w:t>(</w:t>
      </w:r>
      <w:proofErr w:type="spellStart"/>
      <w:r w:rsidRPr="00D51553">
        <w:rPr>
          <w:rFonts w:eastAsia="Calibri"/>
          <w:b/>
          <w:bCs/>
          <w:i/>
        </w:rPr>
        <w:t>ksour</w:t>
      </w:r>
      <w:proofErr w:type="spellEnd"/>
      <w:r w:rsidRPr="00D51553">
        <w:rPr>
          <w:rFonts w:eastAsia="Calibri"/>
          <w:b/>
          <w:bCs/>
          <w:i/>
        </w:rPr>
        <w:t>)</w:t>
      </w:r>
      <w:r w:rsidR="006F4396" w:rsidRPr="00D51553">
        <w:rPr>
          <w:rFonts w:eastAsia="Calibri"/>
          <w:b/>
          <w:bCs/>
        </w:rPr>
        <w:br/>
      </w:r>
      <w:r w:rsidRPr="00D51553">
        <w:rPr>
          <w:rFonts w:eastAsia="Calibri"/>
          <w:b/>
          <w:bCs/>
        </w:rPr>
        <w:t xml:space="preserve">y casbas </w:t>
      </w:r>
      <w:r w:rsidRPr="00D51553">
        <w:rPr>
          <w:rFonts w:eastAsia="Calibri"/>
          <w:b/>
          <w:bCs/>
          <w:i/>
        </w:rPr>
        <w:t>(</w:t>
      </w:r>
      <w:proofErr w:type="spellStart"/>
      <w:r w:rsidRPr="00D51553">
        <w:rPr>
          <w:rFonts w:eastAsia="Calibri"/>
          <w:b/>
          <w:bCs/>
          <w:i/>
        </w:rPr>
        <w:t>kasbah</w:t>
      </w:r>
      <w:proofErr w:type="spellEnd"/>
      <w:r w:rsidRPr="00D51553">
        <w:rPr>
          <w:rFonts w:eastAsia="Calibri"/>
          <w:b/>
          <w:bCs/>
          <w:i/>
        </w:rPr>
        <w:t>)</w:t>
      </w:r>
      <w:r w:rsidRPr="00D51553">
        <w:rPr>
          <w:rFonts w:eastAsia="Calibri"/>
          <w:b/>
          <w:bCs/>
        </w:rPr>
        <w:t xml:space="preserve"> </w:t>
      </w:r>
    </w:p>
    <w:p w14:paraId="6F382812" w14:textId="621D8744" w:rsidR="004E0684" w:rsidRPr="006F084A" w:rsidRDefault="004E0684" w:rsidP="004E0684">
      <w:pPr>
        <w:pStyle w:val="SingleTxtG"/>
        <w:rPr>
          <w:rFonts w:eastAsia="SimSun"/>
        </w:rPr>
      </w:pPr>
      <w:r w:rsidRPr="007754D2">
        <w:rPr>
          <w:lang w:val="es-ES_tradnl"/>
        </w:rPr>
        <w:t>129.</w:t>
      </w:r>
      <w:r w:rsidR="006F4396" w:rsidRPr="007754D2">
        <w:rPr>
          <w:lang w:val="es-ES_tradnl"/>
        </w:rPr>
        <w:tab/>
      </w:r>
      <w:r w:rsidRPr="007754D2">
        <w:rPr>
          <w:lang w:val="es-ES_tradnl"/>
        </w:rPr>
        <w:t xml:space="preserve">La aplicación de este </w:t>
      </w:r>
      <w:r w:rsidR="00CC326A" w:rsidRPr="007754D2">
        <w:rPr>
          <w:lang w:val="es-ES_tradnl"/>
        </w:rPr>
        <w:t xml:space="preserve">Programa </w:t>
      </w:r>
      <w:r w:rsidRPr="007754D2">
        <w:rPr>
          <w:lang w:val="es-ES_tradnl"/>
        </w:rPr>
        <w:t>forma parte del cuidado del patrimonio histórico material, inmaterial y cultural</w:t>
      </w:r>
      <w:r w:rsidRPr="006F084A">
        <w:t xml:space="preserve"> del Reino, así como de la necesidad de preservar el carácter arquitectónico y urbanístico de cada región. Su objetivo es aumentar la oferta de vivienda y también reducir el déficit registrado en esta esfera abordando las diferentes manifestaciones de infravivienda. Por consiguiente, las </w:t>
      </w:r>
      <w:proofErr w:type="gramStart"/>
      <w:r w:rsidRPr="006F084A">
        <w:t>autoridades públicas</w:t>
      </w:r>
      <w:proofErr w:type="gramEnd"/>
      <w:r w:rsidRPr="006F084A">
        <w:t xml:space="preserve"> continúan trabajando para aplicar, en asociación con el Programa de las Naciones Unidas para el Desarrollo (PNUD), el </w:t>
      </w:r>
      <w:r w:rsidR="00B56649">
        <w:t>“</w:t>
      </w:r>
      <w:r w:rsidRPr="006F084A">
        <w:t xml:space="preserve">Programa integral de puesta en valor sostenible de palacios </w:t>
      </w:r>
      <w:r w:rsidRPr="00CC326A">
        <w:rPr>
          <w:i/>
          <w:iCs/>
        </w:rPr>
        <w:t>(</w:t>
      </w:r>
      <w:proofErr w:type="spellStart"/>
      <w:r w:rsidRPr="00CC326A">
        <w:rPr>
          <w:i/>
          <w:iCs/>
        </w:rPr>
        <w:t>ksour</w:t>
      </w:r>
      <w:proofErr w:type="spellEnd"/>
      <w:r w:rsidRPr="00CC326A">
        <w:rPr>
          <w:i/>
          <w:iCs/>
        </w:rPr>
        <w:t>)</w:t>
      </w:r>
      <w:r w:rsidRPr="006F084A">
        <w:t xml:space="preserve"> y casbas </w:t>
      </w:r>
      <w:r w:rsidRPr="00CC326A">
        <w:rPr>
          <w:i/>
          <w:iCs/>
        </w:rPr>
        <w:t>(</w:t>
      </w:r>
      <w:proofErr w:type="spellStart"/>
      <w:r w:rsidRPr="00CC326A">
        <w:rPr>
          <w:i/>
          <w:iCs/>
        </w:rPr>
        <w:t>kasbah</w:t>
      </w:r>
      <w:proofErr w:type="spellEnd"/>
      <w:r w:rsidRPr="00CC326A">
        <w:rPr>
          <w:i/>
          <w:iCs/>
        </w:rPr>
        <w:t>)</w:t>
      </w:r>
      <w:r w:rsidR="00B56649">
        <w:t>”</w:t>
      </w:r>
      <w:r w:rsidRPr="006F084A">
        <w:t xml:space="preserve">, que, desde 2015, trabaja para rehabilitar 16 emplazamientos piloto, de lo que se beneficiarán 21.400 habitantes. A este </w:t>
      </w:r>
      <w:r w:rsidR="00CC326A" w:rsidRPr="006F084A">
        <w:t xml:space="preserve">Programa </w:t>
      </w:r>
      <w:r w:rsidRPr="006F084A">
        <w:t xml:space="preserve">se le asignó un presupuesto de 134 millones de </w:t>
      </w:r>
      <w:proofErr w:type="spellStart"/>
      <w:r w:rsidRPr="006F084A">
        <w:t>DH</w:t>
      </w:r>
      <w:proofErr w:type="spellEnd"/>
      <w:r w:rsidRPr="006F084A">
        <w:t>.</w:t>
      </w:r>
    </w:p>
    <w:p w14:paraId="58663DD0" w14:textId="3A92644A" w:rsidR="004E0684" w:rsidRPr="007754D2" w:rsidRDefault="004E0684" w:rsidP="004E0684">
      <w:pPr>
        <w:pStyle w:val="SingleTxtG"/>
        <w:rPr>
          <w:rFonts w:eastAsia="SimSun"/>
          <w:lang w:val="es-ES_tradnl"/>
        </w:rPr>
      </w:pPr>
      <w:r w:rsidRPr="006F084A">
        <w:lastRenderedPageBreak/>
        <w:t>130.</w:t>
      </w:r>
      <w:r w:rsidR="006F4396">
        <w:tab/>
      </w:r>
      <w:r w:rsidRPr="006F084A">
        <w:t>Con el fin de acompañar a estos proyectos en la consecución de sus objetivos, el Reino revisó una serie de textos jurídicos y reglamentarios relacionados con: las infracciones urbanísticas</w:t>
      </w:r>
      <w:r w:rsidRPr="006F084A">
        <w:rPr>
          <w:rStyle w:val="Refdenotaalpie"/>
          <w:rFonts w:eastAsia="SimSun"/>
          <w:lang w:val="en-GB"/>
        </w:rPr>
        <w:footnoteReference w:id="47"/>
      </w:r>
      <w:r w:rsidRPr="006F084A">
        <w:t xml:space="preserve">; los inmuebles declarados en ruinas y la regulación de operaciones de </w:t>
      </w:r>
      <w:r w:rsidRPr="007754D2">
        <w:rPr>
          <w:lang w:val="es-ES_tradnl"/>
        </w:rPr>
        <w:t>renovación urbana</w:t>
      </w:r>
      <w:r w:rsidRPr="007754D2">
        <w:rPr>
          <w:rStyle w:val="Refdenotaalpie"/>
          <w:rFonts w:eastAsia="SimSun"/>
          <w:lang w:val="es-ES_tradnl"/>
        </w:rPr>
        <w:footnoteReference w:id="48"/>
      </w:r>
      <w:r w:rsidRPr="007754D2">
        <w:rPr>
          <w:lang w:val="es-ES_tradnl"/>
        </w:rPr>
        <w:t>; la copropiedad</w:t>
      </w:r>
      <w:r w:rsidRPr="007754D2">
        <w:rPr>
          <w:rStyle w:val="Refdenotaalpie"/>
          <w:rFonts w:eastAsia="SimSun"/>
          <w:lang w:val="es-ES_tradnl"/>
        </w:rPr>
        <w:footnoteReference w:id="49"/>
      </w:r>
      <w:r w:rsidRPr="007754D2">
        <w:rPr>
          <w:lang w:val="es-ES_tradnl"/>
        </w:rPr>
        <w:t>; la regulación de la relación contractual entre propietario e inquilino</w:t>
      </w:r>
      <w:r w:rsidRPr="007754D2">
        <w:rPr>
          <w:rStyle w:val="Refdenotaalpie"/>
          <w:rFonts w:eastAsia="SimSun"/>
          <w:lang w:val="es-ES_tradnl"/>
        </w:rPr>
        <w:footnoteReference w:id="50"/>
      </w:r>
      <w:r w:rsidRPr="007754D2">
        <w:rPr>
          <w:lang w:val="es-ES_tradnl"/>
        </w:rPr>
        <w:t>; y la venta de inmuebles en construcción</w:t>
      </w:r>
      <w:r w:rsidRPr="007754D2">
        <w:rPr>
          <w:rStyle w:val="Refdenotaalpie"/>
          <w:rFonts w:eastAsia="SimSun"/>
          <w:lang w:val="es-ES_tradnl"/>
        </w:rPr>
        <w:footnoteReference w:id="51"/>
      </w:r>
      <w:r w:rsidRPr="007754D2">
        <w:rPr>
          <w:lang w:val="es-ES_tradnl"/>
        </w:rPr>
        <w:t>.</w:t>
      </w:r>
    </w:p>
    <w:p w14:paraId="655E3764" w14:textId="252D5151"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Promoción de la protección social</w:t>
      </w:r>
    </w:p>
    <w:p w14:paraId="6A7FE792" w14:textId="389138A0" w:rsidR="004E0684" w:rsidRPr="007754D2" w:rsidRDefault="004E0684" w:rsidP="004E0684">
      <w:pPr>
        <w:pStyle w:val="SingleTxtG"/>
        <w:rPr>
          <w:lang w:val="es-ES_tradnl"/>
        </w:rPr>
      </w:pPr>
      <w:r w:rsidRPr="007754D2">
        <w:rPr>
          <w:lang w:val="es-ES_tradnl"/>
        </w:rPr>
        <w:t>131.</w:t>
      </w:r>
      <w:r w:rsidR="006F4396" w:rsidRPr="007754D2">
        <w:rPr>
          <w:lang w:val="es-ES_tradnl"/>
        </w:rPr>
        <w:tab/>
      </w:r>
      <w:r w:rsidRPr="007754D2">
        <w:rPr>
          <w:lang w:val="es-ES_tradnl"/>
        </w:rPr>
        <w:t>El sistema de protección social en Marruecos, como mecanismo esencial para reducir diversas formas de pobreza, vulnerabilidad y exclusión social, y mejorar las condiciones de vida de la población, ofrece dos modelos: a) el modelo de seguro social, que se basa en la contribución y la participación e incluye todo lo relacionado con la cobertura sanitaria, la jubilación y todas las prestaciones de la Seguridad Social; b) el modelo de asistencia social, que es un sistema no contributivo que abarca todos los mecanismos y fondos destinados a proporcionar apoyo directo o indirecto a los grupos más pobres y vulnerables de la sociedad.</w:t>
      </w:r>
    </w:p>
    <w:p w14:paraId="47E3A9A0"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En relación con la Seguridad Social</w:t>
      </w:r>
    </w:p>
    <w:p w14:paraId="03EF33F3" w14:textId="6E90F340" w:rsidR="004E0684" w:rsidRPr="007754D2" w:rsidRDefault="004E0684" w:rsidP="004E0684">
      <w:pPr>
        <w:pStyle w:val="SingleTxtG"/>
        <w:rPr>
          <w:lang w:val="es-ES_tradnl"/>
        </w:rPr>
      </w:pPr>
      <w:r w:rsidRPr="007754D2">
        <w:rPr>
          <w:lang w:val="es-ES_tradnl"/>
        </w:rPr>
        <w:t>132.</w:t>
      </w:r>
      <w:r w:rsidR="006F4396" w:rsidRPr="007754D2">
        <w:rPr>
          <w:lang w:val="es-ES_tradnl"/>
        </w:rPr>
        <w:tab/>
      </w:r>
      <w:r w:rsidRPr="007754D2">
        <w:rPr>
          <w:lang w:val="es-ES_tradnl"/>
        </w:rPr>
        <w:t xml:space="preserve">Establecido en 1959, el sistema de la Seguridad Social se encarga de ofrecer una protección a sus afiliados contra el riesgo de pérdida de ingresos mediante la asignación de: prestaciones familiares; prestaciones a corto plazo de carácter diario (por enfermedad, maternidad o fallecimiento); prestaciones a largo plazo (pensión de vejez, por discapacidad o viudedad); el seguro obligatorio de enfermedad; tratamientos médicos a través de los centros de salud; y la prestación por pérdida de empleo. Su gestión fue encomendada a la Caja Nacional de la Seguridad Social. Desde su establecimiento en 1961, los trabajadores que se afiliaron a este sistema pertenecían a los sectores de la industria, el comercio y las profesiones liberales. Posteriormente, se unieron a ellos los sectores tradicionales de la agricultura y la industria. En virtud de la Ley núm. 117-12, que completa el Decreto Real Ley núm. 1-72-184, relativo al </w:t>
      </w:r>
      <w:r w:rsidR="00CC326A" w:rsidRPr="007754D2">
        <w:rPr>
          <w:lang w:val="es-ES_tradnl"/>
        </w:rPr>
        <w:t xml:space="preserve">Sistema </w:t>
      </w:r>
      <w:r w:rsidRPr="007754D2">
        <w:rPr>
          <w:lang w:val="es-ES_tradnl"/>
        </w:rPr>
        <w:t xml:space="preserve">de la Seguridad Social, de 27 de julio de 1972, las personas que, habiéndose jubilado a partir de 2000, no habían disfrutado de su prestación durante 3.240 días obtuvieron su prestación en calidad de asegurados, o de derechohabientes, en caso de fallecimiento del titular. </w:t>
      </w:r>
    </w:p>
    <w:p w14:paraId="0AA89612" w14:textId="69C27E9D" w:rsidR="004E0684" w:rsidRPr="007754D2" w:rsidRDefault="004E0684" w:rsidP="004E0684">
      <w:pPr>
        <w:pStyle w:val="SingleTxtG"/>
        <w:rPr>
          <w:lang w:val="es-ES_tradnl"/>
        </w:rPr>
      </w:pPr>
      <w:r w:rsidRPr="007754D2">
        <w:rPr>
          <w:lang w:val="es-ES_tradnl"/>
        </w:rPr>
        <w:t>133.</w:t>
      </w:r>
      <w:r w:rsidR="006F4396" w:rsidRPr="007754D2">
        <w:rPr>
          <w:lang w:val="es-ES_tradnl"/>
        </w:rPr>
        <w:tab/>
      </w:r>
      <w:r w:rsidRPr="007754D2">
        <w:rPr>
          <w:lang w:val="es-ES_tradnl"/>
        </w:rPr>
        <w:t xml:space="preserve">De conformidad con lo dispuesto en los artículos 53 y 59 del Código del Trabajo, se aprobó la Ley núm. 03-14, que modifica y complementa el Decreto Real Ley núm. 1-72-184 sobre el </w:t>
      </w:r>
      <w:r w:rsidR="00CC326A" w:rsidRPr="007754D2">
        <w:rPr>
          <w:lang w:val="es-ES_tradnl"/>
        </w:rPr>
        <w:t xml:space="preserve">Sistema </w:t>
      </w:r>
      <w:r w:rsidRPr="007754D2">
        <w:rPr>
          <w:lang w:val="es-ES_tradnl"/>
        </w:rPr>
        <w:t>de Seguridad Social, de 27 de julio de 1972. Esta Ley entró en vigor el 1 de diciembre de 2014 y refuerza el sistema de protección social de un segmento significativo de trabajadores desempleados por razones ajenas a su voluntad. Así, en consonancia con el Convenio núm. 102 sobre la Seguridad Social (Norma Mínima) de la OIT, esta Ley permite al asalariado en situación de desempleo beneficiarse de una prestación equivalente al 70 % del salario medio percibido durante los últimos 36 meses, sin detrimento del derecho al seguro básico obligatorio por enfermedad ni a las prestaciones familiares. El período de percepción de la prestación se computará como período de cotización del asalariado en el régimen de la Seguridad Social a los efectos de la pensión.</w:t>
      </w:r>
    </w:p>
    <w:p w14:paraId="0091EB23" w14:textId="213FFC21" w:rsidR="004E0684" w:rsidRPr="006F084A" w:rsidRDefault="004E0684" w:rsidP="004E0684">
      <w:pPr>
        <w:pStyle w:val="SingleTxtG"/>
      </w:pPr>
      <w:r w:rsidRPr="007754D2">
        <w:rPr>
          <w:lang w:val="es-ES_tradnl"/>
        </w:rPr>
        <w:t>134.</w:t>
      </w:r>
      <w:r w:rsidR="006F4396" w:rsidRPr="007754D2">
        <w:rPr>
          <w:lang w:val="es-ES_tradnl"/>
        </w:rPr>
        <w:tab/>
      </w:r>
      <w:r w:rsidRPr="007754D2">
        <w:rPr>
          <w:lang w:val="es-ES_tradnl"/>
        </w:rPr>
        <w:t xml:space="preserve">Además de haberse incrementado el número de beneficiarios de la cobertura social gracias a diversos fondos de pensiones, tanto para empleados del sector público como para los del semipúblico y privado, la prestación mínima de jubilación ha aumentado a 1.500 </w:t>
      </w:r>
      <w:proofErr w:type="spellStart"/>
      <w:r w:rsidRPr="007754D2">
        <w:rPr>
          <w:lang w:val="es-ES_tradnl"/>
        </w:rPr>
        <w:t>DH</w:t>
      </w:r>
      <w:proofErr w:type="spellEnd"/>
      <w:r w:rsidRPr="007754D2">
        <w:rPr>
          <w:lang w:val="es-ES_tradnl"/>
        </w:rPr>
        <w:t xml:space="preserve"> para el sector público, y el número de beneficiarios a principios de 2018 ascendía a 74.000, en lo que respecta a la Caja de </w:t>
      </w:r>
      <w:r w:rsidRPr="00CC326A">
        <w:rPr>
          <w:lang w:val="es-ES_tradnl"/>
        </w:rPr>
        <w:t>Pensiones Marroquí</w:t>
      </w:r>
      <w:r w:rsidRPr="006F084A">
        <w:t xml:space="preserve">. </w:t>
      </w:r>
    </w:p>
    <w:p w14:paraId="78F652D6" w14:textId="1DCCEFE6" w:rsidR="004E0684" w:rsidRPr="006F084A" w:rsidRDefault="004E0684" w:rsidP="004E0684">
      <w:pPr>
        <w:pStyle w:val="SingleTxtG"/>
      </w:pPr>
      <w:r w:rsidRPr="006F084A">
        <w:lastRenderedPageBreak/>
        <w:t>135.</w:t>
      </w:r>
      <w:r w:rsidR="006F4396">
        <w:tab/>
      </w:r>
      <w:r w:rsidRPr="006F084A">
        <w:t>La cobertura social y de salud se ha ampliado a las categorías de profesionales y trabajadores autónomos, cuya gestión ha sido asignada a la Caja Nacional de la Seguridad Social.</w:t>
      </w:r>
    </w:p>
    <w:p w14:paraId="1CD4D3A2" w14:textId="03F510A5" w:rsidR="004E0684" w:rsidRPr="006F084A" w:rsidRDefault="004E0684" w:rsidP="004E0684">
      <w:pPr>
        <w:pStyle w:val="SingleTxtG"/>
      </w:pPr>
      <w:r w:rsidRPr="006F084A">
        <w:t>136.</w:t>
      </w:r>
      <w:r w:rsidR="006F4396">
        <w:tab/>
      </w:r>
      <w:r w:rsidRPr="006F084A">
        <w:t>La medida más importante a este respecto es la aprobación de la Ley núm. 99-15, de introducción de un régimen de pensiones para las categorías de profesionales, trabajadores autónomos y personas no asalariadas que ejercen una actividad liberal, de 21 de diciembre de 2017.</w:t>
      </w:r>
    </w:p>
    <w:p w14:paraId="2BC79E7B" w14:textId="3C391892" w:rsidR="004E0684" w:rsidRPr="006F084A" w:rsidRDefault="004E0684" w:rsidP="004E0684">
      <w:pPr>
        <w:pStyle w:val="SingleTxtG"/>
        <w:rPr>
          <w:rFonts w:eastAsia="Calibri"/>
        </w:rPr>
      </w:pPr>
      <w:r w:rsidRPr="006F084A">
        <w:t>137.</w:t>
      </w:r>
      <w:r w:rsidR="006F4396">
        <w:tab/>
      </w:r>
      <w:r w:rsidRPr="006F084A">
        <w:t xml:space="preserve">Se ha iniciado la reforma de los sistemas de jubilación para garantizar la sostenibilidad de sus servicios y reducir el déficit de gobernanza en su gestión administrativa y financiera, así como el impacto de la multiplicidad de sistemas de jubilación y las diferentes formas en que operan. A pesar de las reformas estándares introducidas por la Caja de Pensiones Marroquí, la ratio demográfica no ha dejado de disminuir. Así, si el número de trabajadores en activo por cada pensionista en 1982 era de 12,5, y en 2000, de 6, esta cifra se situó en 2,24 en 2016 y 2,12 en 2017. Esta disminución requiere proseguir adelante tanto con las reformas encaminadas a aumentar la media de cobertura de los colectivos en activo, como continuar con la reforma de los sistemas de pensiones conforme a la opción consistente en crear un polo unificado del sector público a fin de establecer un sistema de pensiones que responda a los requisitos de equilibrio y sostenibilidad y se rija por las normas de buena gobernanza. </w:t>
      </w:r>
    </w:p>
    <w:p w14:paraId="2417AA1B" w14:textId="77777777" w:rsidR="004E0684" w:rsidRPr="00D51553" w:rsidRDefault="004E0684" w:rsidP="00D51553">
      <w:pPr>
        <w:pStyle w:val="Bullet1G"/>
        <w:spacing w:before="240" w:line="240" w:lineRule="exact"/>
        <w:ind w:left="1134"/>
        <w:jc w:val="left"/>
        <w:rPr>
          <w:rFonts w:eastAsia="Calibri"/>
          <w:b/>
          <w:bCs/>
        </w:rPr>
      </w:pPr>
      <w:proofErr w:type="gramStart"/>
      <w:r w:rsidRPr="00D51553">
        <w:rPr>
          <w:rFonts w:eastAsia="Calibri"/>
          <w:b/>
          <w:bCs/>
        </w:rPr>
        <w:t>En relación a</w:t>
      </w:r>
      <w:proofErr w:type="gramEnd"/>
      <w:r w:rsidRPr="00D51553">
        <w:rPr>
          <w:rFonts w:eastAsia="Calibri"/>
          <w:b/>
          <w:bCs/>
        </w:rPr>
        <w:t xml:space="preserve"> la Asistencia Social</w:t>
      </w:r>
    </w:p>
    <w:p w14:paraId="3AE583FB"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El Fondo de Apoyo a la Cohesión Social</w:t>
      </w:r>
    </w:p>
    <w:p w14:paraId="12051A8A" w14:textId="716ADE45" w:rsidR="004E0684" w:rsidRPr="006F084A" w:rsidRDefault="004E0684" w:rsidP="004E0684">
      <w:pPr>
        <w:pStyle w:val="SingleTxtG"/>
        <w:rPr>
          <w:rFonts w:eastAsia="Calibri"/>
        </w:rPr>
      </w:pPr>
      <w:r w:rsidRPr="006F084A">
        <w:t>138.</w:t>
      </w:r>
      <w:r w:rsidR="006F4396">
        <w:tab/>
      </w:r>
      <w:r w:rsidRPr="006F084A">
        <w:t xml:space="preserve">Creado en virtud del artículo 18 de la Ley de Finanzas de 2012, el objetivo del Fondo de Apoyo a la Cohesión Social es financiar y fortalecer las actividades de carácter social dirigidas a la población desfavorecida. Las disposiciones de este artículo han sido objeto de sucesivas modificaciones en virtud de leyes de hacienda aprobadas posteriormente con el objetivo de permitir a la cuenta del Fondo disponer de unos recursos estables, y ampliar tanto el ámbito de intervención del Fondo como el número de personas que se benefician de sus servicios. Así, entre 2015 y 2017, el registro de gastos anuales del Fondo aumentó un 14 %, pasando de 2.190 millones a 2.870 millones de </w:t>
      </w:r>
      <w:proofErr w:type="spellStart"/>
      <w:r w:rsidRPr="006F084A">
        <w:t>DH</w:t>
      </w:r>
      <w:proofErr w:type="spellEnd"/>
      <w:r w:rsidRPr="006F084A">
        <w:t>. El presupuesto asignado al Fondo se ha destinado a las siguientes actividades:</w:t>
      </w:r>
    </w:p>
    <w:p w14:paraId="68D7D840" w14:textId="2BDDEF55" w:rsidR="004E0684" w:rsidRPr="006F084A" w:rsidRDefault="004E0684" w:rsidP="006F4396">
      <w:pPr>
        <w:pStyle w:val="Bullet1G"/>
        <w:rPr>
          <w:rFonts w:eastAsia="Calibri"/>
        </w:rPr>
      </w:pPr>
      <w:r w:rsidRPr="006F084A">
        <w:rPr>
          <w:rFonts w:ascii="Symbol" w:hAnsi="Symbol"/>
        </w:rPr>
        <w:tab/>
      </w:r>
      <w:r w:rsidRPr="006F084A">
        <w:t>Financiar gastos derivados del sistema de asistencia médica.</w:t>
      </w:r>
    </w:p>
    <w:p w14:paraId="3B901153" w14:textId="7C3369DD" w:rsidR="004E0684" w:rsidRPr="006F084A" w:rsidRDefault="004E0684" w:rsidP="006F4396">
      <w:pPr>
        <w:pStyle w:val="Bullet1G"/>
        <w:rPr>
          <w:rFonts w:eastAsia="Calibri"/>
        </w:rPr>
      </w:pPr>
      <w:r w:rsidRPr="006F084A">
        <w:rPr>
          <w:rFonts w:ascii="Symbol" w:hAnsi="Symbol"/>
        </w:rPr>
        <w:tab/>
      </w:r>
      <w:r w:rsidRPr="006F084A">
        <w:t xml:space="preserve">Financiar gastos derivados del Programa </w:t>
      </w:r>
      <w:r w:rsidR="00B56649">
        <w:t>“</w:t>
      </w:r>
      <w:proofErr w:type="spellStart"/>
      <w:r w:rsidRPr="006F084A">
        <w:t>Tayssir</w:t>
      </w:r>
      <w:proofErr w:type="spellEnd"/>
      <w:r w:rsidR="00B56649">
        <w:t>”</w:t>
      </w:r>
      <w:r w:rsidRPr="006F084A">
        <w:t>.</w:t>
      </w:r>
    </w:p>
    <w:p w14:paraId="20F58395" w14:textId="5B714941" w:rsidR="004E0684" w:rsidRPr="006F084A" w:rsidRDefault="004E0684" w:rsidP="006F4396">
      <w:pPr>
        <w:pStyle w:val="Bullet1G"/>
        <w:rPr>
          <w:rFonts w:eastAsia="Calibri"/>
        </w:rPr>
      </w:pPr>
      <w:r w:rsidRPr="006F084A">
        <w:rPr>
          <w:rFonts w:ascii="Symbol" w:hAnsi="Symbol"/>
        </w:rPr>
        <w:tab/>
      </w:r>
      <w:r w:rsidRPr="006F084A">
        <w:t xml:space="preserve">Financiar gastos derivados de la iniciativa real </w:t>
      </w:r>
      <w:r w:rsidR="00B56649">
        <w:t>“</w:t>
      </w:r>
      <w:r w:rsidRPr="006F084A">
        <w:t>Un Millón de Carteras Escolares</w:t>
      </w:r>
      <w:r w:rsidR="00B56649" w:rsidRPr="007754D2">
        <w:rPr>
          <w:i/>
          <w:iCs/>
        </w:rPr>
        <w:t>”</w:t>
      </w:r>
      <w:r w:rsidRPr="007754D2">
        <w:rPr>
          <w:i/>
          <w:iCs/>
        </w:rPr>
        <w:t xml:space="preserve"> [Un </w:t>
      </w:r>
      <w:proofErr w:type="spellStart"/>
      <w:r w:rsidRPr="007754D2">
        <w:rPr>
          <w:i/>
          <w:iCs/>
        </w:rPr>
        <w:t>million</w:t>
      </w:r>
      <w:proofErr w:type="spellEnd"/>
      <w:r w:rsidRPr="007754D2">
        <w:rPr>
          <w:i/>
          <w:iCs/>
        </w:rPr>
        <w:t xml:space="preserve"> de </w:t>
      </w:r>
      <w:proofErr w:type="spellStart"/>
      <w:r w:rsidRPr="007754D2">
        <w:rPr>
          <w:i/>
          <w:iCs/>
        </w:rPr>
        <w:t>cartables</w:t>
      </w:r>
      <w:proofErr w:type="spellEnd"/>
      <w:r w:rsidRPr="007754D2">
        <w:rPr>
          <w:i/>
          <w:iCs/>
        </w:rPr>
        <w:t>]</w:t>
      </w:r>
      <w:r w:rsidRPr="006F084A">
        <w:t>.</w:t>
      </w:r>
    </w:p>
    <w:p w14:paraId="05C5AA39" w14:textId="24143A20" w:rsidR="004E0684" w:rsidRPr="006F084A" w:rsidRDefault="004E0684" w:rsidP="006F4396">
      <w:pPr>
        <w:pStyle w:val="Bullet1G"/>
        <w:rPr>
          <w:rFonts w:eastAsia="Calibri"/>
        </w:rPr>
      </w:pPr>
      <w:r w:rsidRPr="006F084A">
        <w:rPr>
          <w:rFonts w:ascii="Symbol" w:hAnsi="Symbol"/>
        </w:rPr>
        <w:tab/>
      </w:r>
      <w:r w:rsidRPr="006F084A">
        <w:t xml:space="preserve">Proporcionar asistencia a personas con discapacidad, con una asignación presupuestaria proveniente del Fondo de Servicios para las Personas con Discapacidad por un total de 714,5 millones de </w:t>
      </w:r>
      <w:proofErr w:type="spellStart"/>
      <w:r w:rsidRPr="006F084A">
        <w:t>DH</w:t>
      </w:r>
      <w:proofErr w:type="spellEnd"/>
      <w:r w:rsidRPr="006F084A">
        <w:t xml:space="preserve"> entre 2015 y 2019.</w:t>
      </w:r>
    </w:p>
    <w:p w14:paraId="0B1FFDF0" w14:textId="161854A8" w:rsidR="004E0684" w:rsidRPr="006F084A" w:rsidRDefault="004E0684" w:rsidP="006F4396">
      <w:pPr>
        <w:pStyle w:val="Bullet1G"/>
        <w:rPr>
          <w:rFonts w:eastAsia="Calibri"/>
        </w:rPr>
      </w:pPr>
      <w:r w:rsidRPr="006F084A">
        <w:t>Proporcionar asistencia directa a las viudas en situación de vulnerabilidad que están al cuidado de sus hijos huérfanos. Hasta 2019, el número de beneficiarios de este tipo de apoyo directo ha sido de 179.000 niños huérfanos y 105.268 viudas con hijos a cargo.</w:t>
      </w:r>
    </w:p>
    <w:p w14:paraId="655DA0A0" w14:textId="3435A0B8" w:rsidR="004E0684" w:rsidRPr="006F084A" w:rsidRDefault="004E0684" w:rsidP="004E0684">
      <w:pPr>
        <w:pStyle w:val="SingleTxtG"/>
        <w:rPr>
          <w:rFonts w:eastAsia="Calibri"/>
        </w:rPr>
      </w:pPr>
      <w:r w:rsidRPr="006F084A">
        <w:t>139.</w:t>
      </w:r>
      <w:r w:rsidR="006F4396">
        <w:tab/>
      </w:r>
      <w:r w:rsidRPr="006F084A">
        <w:t>Hasta 2018, la asignación de partidas para el sistema de asistencia médica supuso un</w:t>
      </w:r>
      <w:r w:rsidR="006F4396">
        <w:t> </w:t>
      </w:r>
      <w:r w:rsidRPr="006F084A">
        <w:t xml:space="preserve">49,2 % del total de gastos del Fondo de Apoyo a la Cohesión Social. Por su parte, las provisiones para el programa </w:t>
      </w:r>
      <w:r w:rsidR="00B56649">
        <w:t>“</w:t>
      </w:r>
      <w:proofErr w:type="spellStart"/>
      <w:r w:rsidRPr="006F084A">
        <w:t>Tayssir</w:t>
      </w:r>
      <w:proofErr w:type="spellEnd"/>
      <w:r w:rsidR="00B56649">
        <w:t>”</w:t>
      </w:r>
      <w:r w:rsidRPr="006F084A">
        <w:t xml:space="preserve"> y la iniciativa real </w:t>
      </w:r>
      <w:r w:rsidR="00B56649">
        <w:t>“</w:t>
      </w:r>
      <w:r w:rsidRPr="006F084A">
        <w:t>Un Millón de Carteras Escolares</w:t>
      </w:r>
      <w:r w:rsidR="00B56649">
        <w:t>”</w:t>
      </w:r>
      <w:r w:rsidRPr="006F084A">
        <w:t xml:space="preserve"> supusieron el 36 % de esos gastos, y las provisiones del programa </w:t>
      </w:r>
      <w:r w:rsidR="00B56649">
        <w:t>“</w:t>
      </w:r>
      <w:r w:rsidRPr="006F084A">
        <w:t>Asistencia directa a viudas en situación de vulnerabilidad</w:t>
      </w:r>
      <w:r w:rsidR="00B56649">
        <w:t>”</w:t>
      </w:r>
      <w:r w:rsidRPr="006F084A">
        <w:t xml:space="preserve"> el 11,8 %. La cobertura financiera para proporcionar asistencia a las personas con discapacidad, en cambio, no superó el 3 %. </w:t>
      </w:r>
    </w:p>
    <w:p w14:paraId="53E7FC0E"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El Fondo de Solidaridad Familiar</w:t>
      </w:r>
    </w:p>
    <w:p w14:paraId="05BD8E70" w14:textId="5FD96F10" w:rsidR="004E0684" w:rsidRPr="006F084A" w:rsidRDefault="004E0684" w:rsidP="004E0684">
      <w:pPr>
        <w:pStyle w:val="SingleTxtG"/>
        <w:rPr>
          <w:rFonts w:eastAsia="Calibri"/>
        </w:rPr>
      </w:pPr>
      <w:r w:rsidRPr="006F084A">
        <w:t>140.</w:t>
      </w:r>
      <w:r w:rsidR="006F4396">
        <w:tab/>
      </w:r>
      <w:r w:rsidRPr="006F084A">
        <w:t xml:space="preserve">El Fondo de Solidaridad Familiar se creó en virtud de la Ley núm. 41-10, de los Términos y Condiciones de Acceso al Fondo de Solidaridad Familiar, promulgada el 13 de diciembre de 2010. El Fondo se propone garantizar los derechos de las madres en situación de pobreza y proteger a los niños de padres divorciados del sinhogarismo que puede derivarse </w:t>
      </w:r>
      <w:r w:rsidRPr="006F084A">
        <w:lastRenderedPageBreak/>
        <w:t>del divorcio. La Ley sobre los términos y condiciones de acceso al Fondo de Solidaridad Familiar fue modificada por la Ley núm. 83-17, de 22 de febrero de 2018, que amplió el número de beneficiarios de estos servicios, pasando a partir de entonces a cubrir a:</w:t>
      </w:r>
    </w:p>
    <w:p w14:paraId="540E2100" w14:textId="4F27919C" w:rsidR="004E0684" w:rsidRPr="006F084A" w:rsidRDefault="004E0684" w:rsidP="006F4396">
      <w:pPr>
        <w:pStyle w:val="Bullet1G"/>
        <w:rPr>
          <w:rFonts w:eastAsia="Calibri"/>
        </w:rPr>
      </w:pPr>
      <w:r w:rsidRPr="006F084A">
        <w:t xml:space="preserve">Niños con derecho a alimentos reconocido mediante sentencia judicial, independientemente de si la unión conyugal entre los padres persiste o se ha disuelto. </w:t>
      </w:r>
    </w:p>
    <w:p w14:paraId="3D14CD53" w14:textId="65172656" w:rsidR="004E0684" w:rsidRPr="006F084A" w:rsidRDefault="004E0684" w:rsidP="006F4396">
      <w:pPr>
        <w:pStyle w:val="Bullet1G"/>
        <w:rPr>
          <w:rFonts w:eastAsia="Calibri"/>
        </w:rPr>
      </w:pPr>
      <w:r w:rsidRPr="006F084A">
        <w:t>Niños con el derecho a percibir una pensión tras el fallecimiento de la madre.</w:t>
      </w:r>
    </w:p>
    <w:p w14:paraId="6215B833" w14:textId="165C0EAC" w:rsidR="004E0684" w:rsidRPr="006F084A" w:rsidRDefault="004E0684" w:rsidP="006F4396">
      <w:pPr>
        <w:pStyle w:val="Bullet1G"/>
        <w:rPr>
          <w:rFonts w:eastAsia="Calibri"/>
        </w:rPr>
      </w:pPr>
      <w:r w:rsidRPr="006F084A">
        <w:t>Niños internados en un orfanato a los que se les ha reconocido judicialmente el derecho a percibir una pensión.</w:t>
      </w:r>
    </w:p>
    <w:p w14:paraId="76486E91" w14:textId="287BD6FA" w:rsidR="004E0684" w:rsidRPr="006F084A" w:rsidRDefault="004E0684" w:rsidP="006F4396">
      <w:pPr>
        <w:pStyle w:val="Bullet1G"/>
        <w:rPr>
          <w:rFonts w:eastAsia="Calibri"/>
        </w:rPr>
      </w:pPr>
      <w:r w:rsidRPr="006F084A">
        <w:t>Esposas desvalidas a las que se les ha reconocido judicialmente el derecho a una pensión alimenticia.</w:t>
      </w:r>
    </w:p>
    <w:p w14:paraId="53C69C0C" w14:textId="4CBC7393" w:rsidR="004E0684" w:rsidRPr="006F084A" w:rsidRDefault="004E0684" w:rsidP="004E0684">
      <w:pPr>
        <w:pStyle w:val="SingleTxtG"/>
        <w:rPr>
          <w:rFonts w:eastAsia="Calibri"/>
        </w:rPr>
      </w:pPr>
      <w:r w:rsidRPr="006F084A">
        <w:t>141.</w:t>
      </w:r>
      <w:r w:rsidR="006F4396">
        <w:tab/>
      </w:r>
      <w:r w:rsidRPr="006F084A">
        <w:t xml:space="preserve">Entre 2011 y 2018, los recursos del Fondo ascendieron a más de 1.200 millones de </w:t>
      </w:r>
      <w:proofErr w:type="spellStart"/>
      <w:r w:rsidRPr="006F084A">
        <w:t>DH</w:t>
      </w:r>
      <w:proofErr w:type="spellEnd"/>
      <w:r w:rsidRPr="006F084A">
        <w:t xml:space="preserve">. En cuanto a sus gastos, entre 2012 y junio de 2019, superaron los 269 millones de </w:t>
      </w:r>
      <w:proofErr w:type="spellStart"/>
      <w:r w:rsidRPr="006F084A">
        <w:t>DH</w:t>
      </w:r>
      <w:proofErr w:type="spellEnd"/>
      <w:r w:rsidRPr="006F084A">
        <w:t xml:space="preserve">. En 2019, se le adjudicó al Fondo una partida financiera de 160 millones de </w:t>
      </w:r>
      <w:proofErr w:type="spellStart"/>
      <w:r w:rsidRPr="006F084A">
        <w:t>DH</w:t>
      </w:r>
      <w:proofErr w:type="spellEnd"/>
      <w:r w:rsidRPr="006F084A">
        <w:t xml:space="preserve">. En relación con el número de beneficiarios de sus servicios, hasta agosto de 2018 se contabilizaron un total de 21.830. </w:t>
      </w:r>
    </w:p>
    <w:p w14:paraId="055D5D71"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Alojamiento para grupos en una situación extremadamente difícil</w:t>
      </w:r>
    </w:p>
    <w:p w14:paraId="69D66CCC" w14:textId="738C5DF8" w:rsidR="004E0684" w:rsidRPr="006F084A" w:rsidRDefault="004E0684" w:rsidP="004E0684">
      <w:pPr>
        <w:pStyle w:val="SingleTxtG"/>
      </w:pPr>
      <w:r w:rsidRPr="006F084A">
        <w:t>142.</w:t>
      </w:r>
      <w:r w:rsidR="006F4396">
        <w:tab/>
      </w:r>
      <w:r w:rsidRPr="006F084A">
        <w:t>Las instituciones de bienestar social hacen las veces de centros de refugio para las personas en una situación difícil. Son además uno de los pilares del sistema de bienestar social de Marruecos y un mecanismo para contribuir a la estabilidad social. El alojamiento en estas instituciones se toma como una medida excepcional a la que se recurre tras agotar todas las vías de inserción en el medio familiar.</w:t>
      </w:r>
    </w:p>
    <w:p w14:paraId="6218C984" w14:textId="00BE160B" w:rsidR="004E0684" w:rsidRPr="006F084A" w:rsidRDefault="004E0684" w:rsidP="004E0684">
      <w:pPr>
        <w:pStyle w:val="SingleTxtG"/>
      </w:pPr>
      <w:r w:rsidRPr="006F084A">
        <w:t>143.</w:t>
      </w:r>
      <w:r w:rsidR="006F4396">
        <w:tab/>
      </w:r>
      <w:r w:rsidRPr="006F084A">
        <w:t xml:space="preserve">Estas instituciones se encuadraron legalmente por primera vez en 2006 en virtud de la Ley núm. 14-05, de las Condiciones de Apertura y Gestión de las Instituciones de Bienestar Social, cuyo objetivo es brindar atención a las personas en una situación difícil, inestable o necesitada. Para superar algunos de los defectos de esta </w:t>
      </w:r>
      <w:r w:rsidR="00CC326A" w:rsidRPr="006F084A">
        <w:t>Ley</w:t>
      </w:r>
      <w:r w:rsidRPr="006F084A">
        <w:t>, en particular los planteados por las organizaciones de la sociedad civil que gestionan las instituciones de bienestar social, el 12 de abril de 2018 se aprobó una nueva ley, la Ley núm. 65-15, de las Instituciones de Bienestar Social.</w:t>
      </w:r>
    </w:p>
    <w:p w14:paraId="6BF7AD02" w14:textId="0CA83947" w:rsidR="004E0684" w:rsidRPr="006F084A" w:rsidRDefault="004E0684" w:rsidP="004E0684">
      <w:pPr>
        <w:pStyle w:val="SingleTxtG"/>
      </w:pPr>
      <w:r w:rsidRPr="006F084A">
        <w:t>144.</w:t>
      </w:r>
      <w:r w:rsidR="006F4396">
        <w:tab/>
      </w:r>
      <w:r w:rsidRPr="006F084A">
        <w:t>Hasta diciembre de 2016, se autorizaron 1.051 instituciones de bienestar social, que acogen a un total de 92.163 beneficiarios y beneficiarias, y emplean a más de 8.500 personas. Sesenta y una de ellas son instituciones infantiles que acogen a cerca de 5.335 niños. Las instituciones de bienestar social se dividen en dos categorías: las de apoyo al sistema de educación y formación del alumnado, formada por 845 instituciones; y las que acogen a personas en una situación difícil, formada por 1.155 instituciones. Esta última categoría atiende principalmente a personas con discapacidad, personas mayores, niños abandonados y mujeres y niños en una situación difícil.</w:t>
      </w:r>
    </w:p>
    <w:p w14:paraId="17B520B0"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La Caja de Compensación</w:t>
      </w:r>
    </w:p>
    <w:p w14:paraId="1AB3B643" w14:textId="6A10E8F6" w:rsidR="004E0684" w:rsidRPr="006F084A" w:rsidRDefault="004E0684" w:rsidP="004E0684">
      <w:pPr>
        <w:pStyle w:val="SingleTxtG"/>
        <w:rPr>
          <w:rFonts w:eastAsia="Calibri"/>
        </w:rPr>
      </w:pPr>
      <w:r w:rsidRPr="006F084A">
        <w:t>145.</w:t>
      </w:r>
      <w:r w:rsidR="006F4396">
        <w:tab/>
      </w:r>
      <w:r w:rsidRPr="006F084A">
        <w:t xml:space="preserve">La Caja de Compensación se estableció en 1941 en calidad de institución pública para mantener la estabilidad de los precios de una serie de productos de consumo, mejorando así el poder adquisitivo de los hogares. En virtud de la Ley de Finanzas de 2019, se asignaron fondos por 17.670 millones de </w:t>
      </w:r>
      <w:proofErr w:type="spellStart"/>
      <w:r w:rsidRPr="006F084A">
        <w:t>DH</w:t>
      </w:r>
      <w:proofErr w:type="spellEnd"/>
      <w:r w:rsidRPr="006F084A">
        <w:t xml:space="preserve"> destinados a apoyar los productos de consumo básicos, frente a los 15.580 millones de </w:t>
      </w:r>
      <w:proofErr w:type="spellStart"/>
      <w:r w:rsidRPr="006F084A">
        <w:t>DH</w:t>
      </w:r>
      <w:proofErr w:type="spellEnd"/>
      <w:r w:rsidRPr="006F084A">
        <w:t xml:space="preserve"> que se habían destinado en 2017.</w:t>
      </w:r>
    </w:p>
    <w:p w14:paraId="7B63F643" w14:textId="043150A8" w:rsidR="004E0684" w:rsidRPr="006F084A" w:rsidRDefault="004E0684" w:rsidP="004E0684">
      <w:pPr>
        <w:pStyle w:val="SingleTxtG"/>
        <w:rPr>
          <w:rFonts w:eastAsia="Calibri"/>
        </w:rPr>
      </w:pPr>
      <w:r w:rsidRPr="006F084A">
        <w:t>146.</w:t>
      </w:r>
      <w:r w:rsidR="006F4396">
        <w:tab/>
      </w:r>
      <w:r w:rsidRPr="006F084A">
        <w:t>Con el objetivo de construir un sistema integrado y preciso de protección social, y a tenor de los resultados de la evaluación de los 135 programas de protección social existentes (caracterizados por una coordinación, gobernanza y rendimiento insuficientes y por los limitados medios financieros destinados a ellos, que no solían superar el 6 % de PIB), en</w:t>
      </w:r>
      <w:r w:rsidR="00CC326A">
        <w:t> </w:t>
      </w:r>
      <w:r w:rsidRPr="006F084A">
        <w:t xml:space="preserve">2018 Marruecos empezó a revisar este sistema. Para ello, en primer lugar, elaboró el proyecto de </w:t>
      </w:r>
      <w:r w:rsidR="00CC326A">
        <w:t>l</w:t>
      </w:r>
      <w:r w:rsidRPr="006F084A">
        <w:t>ey núm. 72-18 sobre el sistema de focalización de los beneficiarios de los programas de protección social, que busca:</w:t>
      </w:r>
    </w:p>
    <w:p w14:paraId="44EB64F2" w14:textId="0C6B3E76" w:rsidR="004E0684" w:rsidRPr="006F084A" w:rsidRDefault="004E0684" w:rsidP="006F4396">
      <w:pPr>
        <w:pStyle w:val="Bullet1G"/>
      </w:pPr>
      <w:r w:rsidRPr="006F084A">
        <w:t xml:space="preserve">Crear el Registro Nacional de Población, que incluirá a todos los ciudadanos y extranjeros que residen legalmente en Marruecos y que asignará un identificador digital cívico-social a cada persona. La elaboración de este registro nacional se basará </w:t>
      </w:r>
      <w:r w:rsidRPr="006F084A">
        <w:lastRenderedPageBreak/>
        <w:t>en los registros administrativos actualmente disponibles, en particular el registro del estado civil, la tarjeta nacional biométrica y el registro de extranjeros residentes en Marruecos.</w:t>
      </w:r>
    </w:p>
    <w:p w14:paraId="158C7474" w14:textId="24D1DEDA" w:rsidR="004E0684" w:rsidRPr="006F084A" w:rsidRDefault="004E0684" w:rsidP="006F4396">
      <w:pPr>
        <w:pStyle w:val="Bullet1G"/>
      </w:pPr>
      <w:r w:rsidRPr="006F084A">
        <w:t>Establecer un registro social unificado que incluya información sobre la situación socioeconómica de las personas y las familias, y que permitirá la identificación de los colectivos más vulnerables que cumplan los requisitos para beneficiarse de las prestaciones sociales. Este registro también permitirá el desarrollo de programas de apoyo social coherentes e integrados que respondan a las necesidades de los grupos destinatarios, así como la mejora de la gobernanza de estos programas</w:t>
      </w:r>
      <w:r w:rsidRPr="006F084A">
        <w:rPr>
          <w:rStyle w:val="Refdenotaalpie"/>
          <w:lang w:val="en-US"/>
        </w:rPr>
        <w:footnoteReference w:id="52"/>
      </w:r>
      <w:r w:rsidRPr="006F084A">
        <w:t>.</w:t>
      </w:r>
    </w:p>
    <w:p w14:paraId="485C4621" w14:textId="35BE2411" w:rsidR="004E0684" w:rsidRPr="006F084A" w:rsidRDefault="004E0684" w:rsidP="004E0684">
      <w:pPr>
        <w:pStyle w:val="SingleTxtG"/>
      </w:pPr>
      <w:r w:rsidRPr="006F084A">
        <w:t>147.</w:t>
      </w:r>
      <w:r w:rsidR="006F4396">
        <w:tab/>
      </w:r>
      <w:r w:rsidRPr="006F084A">
        <w:t xml:space="preserve">Además de las asignaciones presupuestarias, diversos sectores sociales cuentan con sus propios datos, visiones, políticas y planes sectoriales, como es el caso de: el nuevo plan </w:t>
      </w:r>
      <w:r w:rsidR="00B56649">
        <w:t>“</w:t>
      </w:r>
      <w:r w:rsidRPr="006F084A">
        <w:t>Salud 2025</w:t>
      </w:r>
      <w:r w:rsidR="00B56649">
        <w:t>”</w:t>
      </w:r>
      <w:r w:rsidRPr="006F084A">
        <w:t xml:space="preserve">; el Plan Nacional de Fomento de Empleo; la Política Integrada de Protección de la Infancia (2015-2025); el Programa Nacional Integrado de Empoderamiento Económico de las Mujeres para 2030; y el Programa de Reducción de la Desigualdad Social y Cultural del Mundo Rural (2017-2023), entre otros. Con respecto a las inversiones públicas destinadas al desarrollo económico y social, el Gobierno ha realizado importantes esfuerzos en aras de aumentar las partidas financieras necesarias, y el monto total de la inversión pública pasó de 135.000 millones de </w:t>
      </w:r>
      <w:proofErr w:type="spellStart"/>
      <w:r w:rsidRPr="006F084A">
        <w:t>DH</w:t>
      </w:r>
      <w:proofErr w:type="spellEnd"/>
      <w:r w:rsidRPr="006F084A">
        <w:t xml:space="preserve"> en 2009 a 195.000 millones en 2019</w:t>
      </w:r>
      <w:r w:rsidRPr="006F084A">
        <w:rPr>
          <w:rStyle w:val="Refdenotaalpie"/>
          <w:lang w:val="en-GB"/>
        </w:rPr>
        <w:footnoteReference w:id="53"/>
      </w:r>
      <w:r w:rsidRPr="006F084A">
        <w:t>.</w:t>
      </w:r>
    </w:p>
    <w:p w14:paraId="16FB3E7A" w14:textId="53C29A5D" w:rsidR="004E0684" w:rsidRPr="006F4396" w:rsidRDefault="004E0684" w:rsidP="006F4396">
      <w:pPr>
        <w:pStyle w:val="H23G"/>
        <w:numPr>
          <w:ilvl w:val="0"/>
          <w:numId w:val="18"/>
        </w:numPr>
        <w:tabs>
          <w:tab w:val="clear" w:pos="851"/>
        </w:tabs>
        <w:ind w:left="1134" w:hanging="280"/>
        <w:rPr>
          <w:b w:val="0"/>
        </w:rPr>
      </w:pPr>
      <w:r w:rsidRPr="006F4396">
        <w:t>Plan Nacional de Recursos Hídricos</w:t>
      </w:r>
      <w:r w:rsidRPr="006F4396">
        <w:rPr>
          <w:b w:val="0"/>
        </w:rPr>
        <w:t xml:space="preserve"> </w:t>
      </w:r>
    </w:p>
    <w:p w14:paraId="3F9883AB" w14:textId="47320CC2" w:rsidR="004E0684" w:rsidRPr="006F084A" w:rsidRDefault="004E0684" w:rsidP="004E0684">
      <w:pPr>
        <w:pStyle w:val="SingleTxtG"/>
      </w:pPr>
      <w:r w:rsidRPr="006F084A">
        <w:t>148.</w:t>
      </w:r>
      <w:r w:rsidR="006F4396">
        <w:tab/>
      </w:r>
      <w:r w:rsidRPr="006F084A">
        <w:t xml:space="preserve">El Plan Nacional de Recursos Hídricos tiene como objetivo gestionar de forma más eficaz el riesgo de falta de suministro de agua y la demanda de agua potable. Para ello se quiere elevar la media nacional de rendimiento de los sistemas de distribución de agua potable al 80 % para 2025, y mantenerlo al mismo nivel hasta 2030. Para ello se llevarán a cabo trabajos de rehabilitación y mantenimiento en las redes de distribución, y se desarrollará sistema de medición del consumo. La medida reducirá la demanda de agua potable en unos 120 millones de </w:t>
      </w:r>
      <w:proofErr w:type="spellStart"/>
      <w:r w:rsidRPr="006F084A">
        <w:t>m</w:t>
      </w:r>
      <w:r w:rsidRPr="006F084A">
        <w:rPr>
          <w:vertAlign w:val="superscript"/>
        </w:rPr>
        <w:t>3</w:t>
      </w:r>
      <w:proofErr w:type="spellEnd"/>
      <w:r w:rsidRPr="006F084A">
        <w:t xml:space="preserve"> anuales hasta 2030. </w:t>
      </w:r>
    </w:p>
    <w:p w14:paraId="59001D8C" w14:textId="7E132DA6" w:rsidR="004E0684" w:rsidRPr="006F084A" w:rsidRDefault="004E0684" w:rsidP="004E0684">
      <w:pPr>
        <w:pStyle w:val="SingleTxtG"/>
      </w:pPr>
      <w:r w:rsidRPr="006F084A">
        <w:t>149.</w:t>
      </w:r>
      <w:r w:rsidR="006F4396">
        <w:tab/>
      </w:r>
      <w:r w:rsidRPr="006F084A">
        <w:t xml:space="preserve">En el contexto de la convergencia de los programas y planes nacionales y sectoriales, el Plan Nacional de Recursos Hídricos, junto con las medidas del Plan Marruecos Verde, tiene como objetivo sustituir los sistemas de riego por desnivel (acequias) a sistemas de riego por goteo a un ritmo de 50.000 ha al año, para alcanzar el objetivo de 550.000 ha en 2020. Asimismo, el Plan continuará los esfuerzos en la esfera de la economía de agua de riego, con miras a ahorrar 2.400 millones de </w:t>
      </w:r>
      <w:proofErr w:type="spellStart"/>
      <w:r w:rsidRPr="006F084A">
        <w:t>m</w:t>
      </w:r>
      <w:r w:rsidRPr="007754D2">
        <w:rPr>
          <w:sz w:val="18"/>
          <w:szCs w:val="18"/>
          <w:vertAlign w:val="superscript"/>
        </w:rPr>
        <w:t>3</w:t>
      </w:r>
      <w:proofErr w:type="spellEnd"/>
      <w:r w:rsidRPr="006F084A">
        <w:t xml:space="preserve"> para 2020. Además, continuarán los programas de conservación de las fuentes hídricas superficiales y subterráneas, y del espacio natural, así como los programas de lucha contra la contaminación a través de medidas de abastecimiento artificial de la </w:t>
      </w:r>
      <w:proofErr w:type="spellStart"/>
      <w:r w:rsidRPr="006F084A">
        <w:t>napa</w:t>
      </w:r>
      <w:proofErr w:type="spellEnd"/>
      <w:r w:rsidRPr="006F084A">
        <w:t xml:space="preserve"> freática, la protección de los lagos naturales y la preservación de los oasis y humedales. Asimismo, se continuará aplicando el Programa Nacional de Protección contra Inundaciones.</w:t>
      </w:r>
    </w:p>
    <w:p w14:paraId="747A694F" w14:textId="51345C22" w:rsidR="004E0684" w:rsidRPr="006F084A" w:rsidRDefault="004E0684" w:rsidP="004E0684">
      <w:pPr>
        <w:pStyle w:val="SingleTxtG"/>
        <w:rPr>
          <w:rFonts w:eastAsia="Calibri"/>
        </w:rPr>
      </w:pPr>
      <w:r w:rsidRPr="006F084A">
        <w:t>150.</w:t>
      </w:r>
      <w:r w:rsidR="006F4396">
        <w:tab/>
      </w:r>
      <w:r w:rsidRPr="006F084A">
        <w:t>Con miras a alcanzar los objetivos del Plan Nacional citado, se aprobó la Ley núm.</w:t>
      </w:r>
      <w:r w:rsidR="006F4396">
        <w:t> </w:t>
      </w:r>
      <w:r w:rsidRPr="006F084A">
        <w:t>36</w:t>
      </w:r>
      <w:r w:rsidR="006F4396">
        <w:noBreakHyphen/>
      </w:r>
      <w:r w:rsidRPr="006F084A">
        <w:t>15, del Agua</w:t>
      </w:r>
      <w:r w:rsidRPr="006F084A">
        <w:rPr>
          <w:rStyle w:val="Refdenotaalpie"/>
          <w:rFonts w:eastAsia="Calibri"/>
          <w:lang w:val="en-GB"/>
        </w:rPr>
        <w:footnoteReference w:id="54"/>
      </w:r>
      <w:r w:rsidRPr="006F084A">
        <w:t xml:space="preserve">, con el objetivo de aumentar la capacidad de gestión y gobernanza en este ámbito a través de la simplificación de las normas y el aprovechamiento del agua de lluvia y las aguas residuales. Por otra parte, se estableció un marco jurídico para la desalinización del agua de mar y orientar sobre los factores que dificultan la eficacia y durabilidad de la gestión de los recursos hídricos y la incidencia del cambio climático. Del mismo modo, se establecieron unos principios de buena gobernanza, participación y consulta con las partes interesadas. </w:t>
      </w:r>
    </w:p>
    <w:p w14:paraId="1726F9A8" w14:textId="0D037725" w:rsidR="004E0684" w:rsidRPr="006F084A" w:rsidRDefault="004E0684" w:rsidP="004E0684">
      <w:pPr>
        <w:pStyle w:val="SingleTxtG"/>
        <w:rPr>
          <w:rFonts w:eastAsia="Calibri"/>
        </w:rPr>
      </w:pPr>
      <w:r w:rsidRPr="006F084A">
        <w:lastRenderedPageBreak/>
        <w:t>151.</w:t>
      </w:r>
      <w:r w:rsidR="006F4396">
        <w:tab/>
      </w:r>
      <w:r w:rsidRPr="006F084A">
        <w:t>Sabiendo de la gran importancia de esta cuestión, el lunes 13 de enero de 2020 se firmó, en un acto presidido por Su Majestad el Rey, el Acuerdo Marco para la ejecución del</w:t>
      </w:r>
      <w:r w:rsidR="00B8306A">
        <w:t> </w:t>
      </w:r>
      <w:r w:rsidRPr="006F084A">
        <w:t>Programa Nacional de Abastecimiento de Agua Potable y de Riego para el período 2020</w:t>
      </w:r>
      <w:r w:rsidR="00B8306A">
        <w:noBreakHyphen/>
      </w:r>
      <w:r w:rsidRPr="006F084A">
        <w:t xml:space="preserve">027, que requiere una inversión de 115.400 millones de </w:t>
      </w:r>
      <w:proofErr w:type="spellStart"/>
      <w:r w:rsidRPr="006F084A">
        <w:t>DH</w:t>
      </w:r>
      <w:proofErr w:type="spellEnd"/>
      <w:r w:rsidRPr="006F084A">
        <w:t xml:space="preserve">. Este </w:t>
      </w:r>
      <w:r w:rsidR="00B8306A" w:rsidRPr="006F084A">
        <w:t xml:space="preserve">Acuerdo </w:t>
      </w:r>
      <w:r w:rsidRPr="006F084A">
        <w:t xml:space="preserve">establece las condiciones y modalidades para ejecutar y financiar este </w:t>
      </w:r>
      <w:r w:rsidR="00B8306A" w:rsidRPr="006F084A">
        <w:t>Programa</w:t>
      </w:r>
      <w:r w:rsidRPr="006F084A">
        <w:t>, que tiene como objetivo apoyar y diversificar las fuentes de suministro de agua potable, satisfacer la demanda de este valioso recurso, garantizar la seguridad de los recursos hídricos y reducir los efectos del cambio climático.</w:t>
      </w:r>
    </w:p>
    <w:p w14:paraId="4D44628B" w14:textId="16800B09" w:rsidR="004E0684" w:rsidRPr="006F084A" w:rsidRDefault="004E0684" w:rsidP="004E0684">
      <w:pPr>
        <w:pStyle w:val="SingleTxtG"/>
        <w:rPr>
          <w:rFonts w:eastAsia="Calibri"/>
        </w:rPr>
      </w:pPr>
      <w:r w:rsidRPr="006F084A">
        <w:t>152.</w:t>
      </w:r>
      <w:r w:rsidR="006F4396">
        <w:tab/>
      </w:r>
      <w:r w:rsidRPr="006F084A">
        <w:t xml:space="preserve">El Programa tiene como objetivo desarrollar las infraestructuras de suministro de agua, especialmente a través de la construcción de presas (61.000 millones de </w:t>
      </w:r>
      <w:proofErr w:type="spellStart"/>
      <w:r w:rsidRPr="006F084A">
        <w:t>DH</w:t>
      </w:r>
      <w:proofErr w:type="spellEnd"/>
      <w:r w:rsidRPr="006F084A">
        <w:t xml:space="preserve">); la gestión de la demanda y la puesta en valor del agua, en particular en el sector agrícola (25.100 millones de </w:t>
      </w:r>
      <w:proofErr w:type="spellStart"/>
      <w:r w:rsidRPr="006F084A">
        <w:t>DH</w:t>
      </w:r>
      <w:proofErr w:type="spellEnd"/>
      <w:r w:rsidRPr="006F084A">
        <w:t xml:space="preserve">); el fortalecimiento del suministro de agua potable en las zonas rurales (26.900 millones de </w:t>
      </w:r>
      <w:proofErr w:type="spellStart"/>
      <w:r w:rsidRPr="006F084A">
        <w:t>DH</w:t>
      </w:r>
      <w:proofErr w:type="spellEnd"/>
      <w:r w:rsidRPr="006F084A">
        <w:t xml:space="preserve">); la reutilización de aguas residuales tratadas para el riego de espacios verdes (2.300 millones de </w:t>
      </w:r>
      <w:proofErr w:type="spellStart"/>
      <w:r w:rsidRPr="006F084A">
        <w:t>DH</w:t>
      </w:r>
      <w:proofErr w:type="spellEnd"/>
      <w:r w:rsidRPr="006F084A">
        <w:t xml:space="preserve">); y la comunicación y concienciación sobre la importancia de preservar los recursos hídricos y racionalizar su uso (50 millones de </w:t>
      </w:r>
      <w:proofErr w:type="spellStart"/>
      <w:r w:rsidRPr="006F084A">
        <w:t>DH</w:t>
      </w:r>
      <w:proofErr w:type="spellEnd"/>
      <w:r w:rsidRPr="006F084A">
        <w:t>).</w:t>
      </w:r>
    </w:p>
    <w:p w14:paraId="53855765" w14:textId="35951E2C" w:rsidR="004E0684" w:rsidRPr="006F084A" w:rsidRDefault="004E0684" w:rsidP="004E0684">
      <w:pPr>
        <w:pStyle w:val="SingleTxtG"/>
        <w:rPr>
          <w:rFonts w:eastAsia="Calibri"/>
        </w:rPr>
      </w:pPr>
      <w:r w:rsidRPr="006F084A">
        <w:t>153.</w:t>
      </w:r>
      <w:r w:rsidR="006F4396">
        <w:tab/>
      </w:r>
      <w:r w:rsidRPr="006F084A">
        <w:t xml:space="preserve">El </w:t>
      </w:r>
      <w:r w:rsidR="00B8306A" w:rsidRPr="006F084A">
        <w:t xml:space="preserve">Acuerdo </w:t>
      </w:r>
      <w:r w:rsidRPr="006F084A">
        <w:t xml:space="preserve">definió asimismo varios aspectos relativos a la financiación de este programa, cuyo costo se sufraga al 60 % por el presupuesto estatal y al 39 % por los actores interesados. Se aprobó, además, el establecimiento de una alianza entre los sectores público y privado, a la que se le asignó un mecanismo de seguimiento y aplicación que serán supervisados por comités conjuntos, como el Comité Directivo, encabezado por el Primer Ministro; el Comité Técnico, presidido por el Ministro de Equipamiento, Transporte, Logística y Agua; además, se crearán diversos comités regionales, presididos por los gobernadores de las regiones económicas. </w:t>
      </w:r>
    </w:p>
    <w:p w14:paraId="3D76A2EC"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 xml:space="preserve">La estrategia del Plan Marruecos Verde </w:t>
      </w:r>
    </w:p>
    <w:p w14:paraId="0B54FA6D" w14:textId="0B11CFB1" w:rsidR="004E0684" w:rsidRPr="006F084A" w:rsidRDefault="004E0684" w:rsidP="004E0684">
      <w:pPr>
        <w:pStyle w:val="SingleTxtG"/>
        <w:rPr>
          <w:rFonts w:eastAsia="Calibri"/>
        </w:rPr>
      </w:pPr>
      <w:r w:rsidRPr="006F084A">
        <w:t>154.</w:t>
      </w:r>
      <w:r w:rsidR="006F4396">
        <w:tab/>
      </w:r>
      <w:r w:rsidRPr="006F084A">
        <w:t xml:space="preserve">Marruecos continúa aplicando el Plan Marruecos Verde, su estrategia nacional de desarrollo agrícola basada en dos pilares que combinan las necesidades de desarrollo, económicas y sociales con las necesidades de protección del medio ambiente: la agricultura moderna y la agricultura solidaria. </w:t>
      </w:r>
    </w:p>
    <w:p w14:paraId="5617CE09" w14:textId="12F6BCBC" w:rsidR="004E0684" w:rsidRPr="006F084A" w:rsidRDefault="004E0684" w:rsidP="004E0684">
      <w:pPr>
        <w:pStyle w:val="SingleTxtG"/>
        <w:rPr>
          <w:rFonts w:eastAsia="Calibri"/>
        </w:rPr>
      </w:pPr>
      <w:r w:rsidRPr="006F084A">
        <w:t>155.</w:t>
      </w:r>
      <w:r w:rsidR="006F4396">
        <w:tab/>
      </w:r>
      <w:r w:rsidRPr="006F084A">
        <w:t xml:space="preserve">La agricultura solidaria se ha centrado en combatir la pobreza mejorando los ingresos agrícolas de los agricultores más vulnerables, especialmente en las zonas marginales. El Fondo de Desarrollo Agrícola está orientado a promover la inversión agrícola privada y, tras su modificación a tenor del Plan Marruecos Verde, conceder un lugar importante a los pequeños agricultores. En este contexto, aproximadamente el 50 % de los agricultores que se beneficiaron de las subvenciones del Fondo entre 2012 y 2014 son pequeños agricultores que se dedican a explotar tierras con una superficie inferior a 10 ha. </w:t>
      </w:r>
    </w:p>
    <w:p w14:paraId="6A481013" w14:textId="5C60A88E" w:rsidR="004E0684" w:rsidRPr="006F084A" w:rsidRDefault="004E0684" w:rsidP="004E0684">
      <w:pPr>
        <w:pStyle w:val="SingleTxtG"/>
        <w:rPr>
          <w:rFonts w:eastAsia="Calibri"/>
        </w:rPr>
      </w:pPr>
      <w:r w:rsidRPr="006F084A">
        <w:t>156.</w:t>
      </w:r>
      <w:r w:rsidR="006F4396">
        <w:tab/>
      </w:r>
      <w:r w:rsidRPr="006F084A">
        <w:t xml:space="preserve">El Plan Marruecos Verde también ha impulsado el empleo. Así, el número de días trabajados en el sector agrícola durante el período entre 2012 y 2015 aumentó un 16 % en comparación con el período comprendido entre 2005 y 2007. </w:t>
      </w:r>
    </w:p>
    <w:p w14:paraId="699D9CD0" w14:textId="51DFC5E0" w:rsidR="004E0684" w:rsidRPr="006F084A" w:rsidRDefault="004E0684" w:rsidP="004E0684">
      <w:pPr>
        <w:pStyle w:val="SingleTxtG"/>
        <w:rPr>
          <w:rFonts w:eastAsia="Calibri"/>
        </w:rPr>
      </w:pPr>
      <w:r w:rsidRPr="006F084A">
        <w:t>157.</w:t>
      </w:r>
      <w:r w:rsidR="006F4396">
        <w:tab/>
      </w:r>
      <w:r w:rsidRPr="006F084A">
        <w:t xml:space="preserve">El Plan Marruecos Verde dedica muchos programas a combatir las disparidades regionales, la pobreza y la marginación, como el Programa </w:t>
      </w:r>
      <w:r w:rsidR="00B56649">
        <w:t>“</w:t>
      </w:r>
      <w:r w:rsidRPr="006F084A">
        <w:t>Itinerancia</w:t>
      </w:r>
      <w:r w:rsidR="00B56649">
        <w:t>”</w:t>
      </w:r>
      <w:r w:rsidRPr="006F084A">
        <w:t xml:space="preserve"> dirigido a los pequeños agricultores y ganaderos que no poseen tierras. Otros programas apuntan al desarrollo de las regiones ricas en oasis y árboles de argán (conocidos por su fragilidad), así como a la valoración de los recursos naturales, la protección del medio ambiente y la conservación de los ecosistemas. </w:t>
      </w:r>
    </w:p>
    <w:p w14:paraId="5E95D7B0" w14:textId="5FC9E4FC" w:rsidR="004E0684" w:rsidRPr="006F084A" w:rsidRDefault="004E0684" w:rsidP="004E0684">
      <w:pPr>
        <w:pStyle w:val="SingleTxtG"/>
        <w:rPr>
          <w:rFonts w:eastAsia="Calibri"/>
        </w:rPr>
      </w:pPr>
      <w:r w:rsidRPr="006F084A">
        <w:t>158.</w:t>
      </w:r>
      <w:r w:rsidR="006F4396">
        <w:tab/>
      </w:r>
      <w:r w:rsidRPr="006F084A">
        <w:t xml:space="preserve">El Plan Marruecos Verde promueve la conservación y racionalización de los recursos hídricos a través del Programa Nacional de Economía del Agua de Riego, que tiene como objetivo racionalizar el riego superficial recurriendo al riego por aspersión y goteo, lo que, en un período de unos 10 años, permitirá ahorrar agua sobre una superficie estimada en 550.000 ha. En la misma línea, la superficie de tierras equipada con un sistema de riego por goteo pasó de 160.000 ha en 2008 a 450.000 ha en 2015, un aumento que representa un logro del 82 % de los objetivos contemplados por el Plan Marruecos Verde para 2020. Por otro lado, el porcentaje de tierras agrícolas utilizadas en el marco de ejecución de estos proyectos alcanzó el 80 % de aquellas cuya superficie es igual o inferior a </w:t>
      </w:r>
      <w:r w:rsidR="00B8306A">
        <w:t>5</w:t>
      </w:r>
      <w:r w:rsidRPr="006F084A">
        <w:t xml:space="preserve"> ha. </w:t>
      </w:r>
    </w:p>
    <w:p w14:paraId="35806C01" w14:textId="10B70B0E" w:rsidR="004E0684" w:rsidRPr="006F084A" w:rsidRDefault="004E0684" w:rsidP="004E0684">
      <w:pPr>
        <w:pStyle w:val="SingleTxtG"/>
        <w:rPr>
          <w:rFonts w:eastAsia="Calibri"/>
        </w:rPr>
      </w:pPr>
      <w:r w:rsidRPr="006F084A">
        <w:lastRenderedPageBreak/>
        <w:t>159.</w:t>
      </w:r>
      <w:r w:rsidR="006F4396">
        <w:tab/>
      </w:r>
      <w:r w:rsidRPr="006F084A">
        <w:t xml:space="preserve">A principios de noviembre de 2020, Marruecos puso en marcha la nueva estrategia para el desarrollo del sector agrícola, </w:t>
      </w:r>
      <w:r w:rsidR="00B56649">
        <w:t>“</w:t>
      </w:r>
      <w:r w:rsidRPr="006F084A">
        <w:t>Generación Verde 2020-2030</w:t>
      </w:r>
      <w:r w:rsidR="00B56649">
        <w:t>”</w:t>
      </w:r>
      <w:r w:rsidRPr="006F084A">
        <w:t xml:space="preserve">, y la estrategia asociada para el desarrollo del sector del agua y la silvicultura, </w:t>
      </w:r>
      <w:r w:rsidR="00B56649">
        <w:t>“</w:t>
      </w:r>
      <w:r w:rsidRPr="006F084A">
        <w:t>Bosques de Marruecos</w:t>
      </w:r>
      <w:r w:rsidR="00B56649">
        <w:t>”</w:t>
      </w:r>
      <w:r w:rsidRPr="006F084A">
        <w:t xml:space="preserve">. Esta estrategia se formuló sobre la base de una evaluación objetiva de los resultados del Plan Marruecos Verde, con el objetivo de mejorar los logros y continuar la dinámica del desarrollo agrícola a través de iniciativas que respondan a las necesidades inmediatas y futuras del sector. </w:t>
      </w:r>
    </w:p>
    <w:p w14:paraId="1ABC3FE0" w14:textId="62CF24A8" w:rsidR="004E0684" w:rsidRPr="006F084A" w:rsidRDefault="004E0684" w:rsidP="004E0684">
      <w:pPr>
        <w:pStyle w:val="SingleTxtG"/>
        <w:rPr>
          <w:rFonts w:eastAsia="Calibri"/>
        </w:rPr>
      </w:pPr>
      <w:r w:rsidRPr="006F084A">
        <w:t>160.</w:t>
      </w:r>
      <w:r w:rsidR="006F4396">
        <w:tab/>
      </w:r>
      <w:r w:rsidRPr="006F084A">
        <w:t xml:space="preserve">De conformidad con las altas instrucciones reales, esta estrategia contempla el surgimiento de una nueva generación de jóvenes emprendedores en el sector agrario, mediante la movilización y valoración de </w:t>
      </w:r>
      <w:r w:rsidR="00B8306A">
        <w:t>1</w:t>
      </w:r>
      <w:r w:rsidRPr="006F084A">
        <w:t xml:space="preserve"> millón de hectáreas de terreno colectivo. Señala, además, que esto se traducirá en 350.000 agricultores y empresas que emergerán en el sector de la agricultura o servicios conexos, así como en la capacitación de más de 150.000 jóvenes en el ámbito de la agricultura y el surgimiento de una nueva generación de organizaciones agrícolas con carácter innovador. Para ello, se reforzará el tejido organizativo agrícola a través de las cooperativas agrícolas de nueva generación y se promoverá la independencia de las organizaciones semiprofesionales con el objetivo de que sean plenamente capaces de desempeñar su papel en el desarrollo, mantenimiento y aplicación de los talleres abiertos organizados en el marco de la nueva estrategia agrícola.</w:t>
      </w:r>
    </w:p>
    <w:p w14:paraId="42EB423A"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 xml:space="preserve">La Estrategia Nacional de Desarrollo Sostenible 2030 </w:t>
      </w:r>
    </w:p>
    <w:p w14:paraId="56587A58" w14:textId="7BE005C2" w:rsidR="004E0684" w:rsidRPr="006F084A" w:rsidRDefault="004E0684" w:rsidP="004E0684">
      <w:pPr>
        <w:pStyle w:val="SingleTxtG"/>
        <w:rPr>
          <w:rFonts w:eastAsia="Calibri"/>
        </w:rPr>
      </w:pPr>
      <w:r w:rsidRPr="006F084A">
        <w:t>161.</w:t>
      </w:r>
      <w:r w:rsidR="006F4396">
        <w:tab/>
      </w:r>
      <w:r w:rsidRPr="006F084A">
        <w:t>Después de que los enfoques sectoriales pusieran de manifiesto sus limitaciones en relación con la rehabilitación socioeconómica y la creación de líneas maestras para acelerar el proceso de desarrollo de Marruecos, la Constitución de 2011 constituyó la base para crear contratos de valor constitucional con miras a la consecución del desarrollo socioeconómico sostenible. En este contexto, en 2014 se promulgó la Ley núm. 99-12, de la Carta Nacional para el Medioambiente y el Desarrollo Sostenible</w:t>
      </w:r>
      <w:r w:rsidRPr="006F084A">
        <w:rPr>
          <w:rStyle w:val="Refdenotaalpie"/>
          <w:rFonts w:eastAsia="Calibri"/>
          <w:lang w:val="en-GB"/>
        </w:rPr>
        <w:footnoteReference w:id="55"/>
      </w:r>
      <w:r w:rsidRPr="006F084A">
        <w:t xml:space="preserve">, que dispone la elaboración de una estrategia nacional en materia de desarrollo sostenible. Los objetivos de esta </w:t>
      </w:r>
      <w:r w:rsidR="00B8306A" w:rsidRPr="006F084A">
        <w:t xml:space="preserve">Ley </w:t>
      </w:r>
      <w:r w:rsidRPr="006F084A">
        <w:t>son proporcionar las condiciones para una economía verde, proteger los derechos de las generaciones futuras, reducir las desigualdades sociales y sectoriales, hacer frente a los desafíos del cambio climático, combatir la desertificación y proteger la biodiversidad</w:t>
      </w:r>
      <w:r w:rsidRPr="006F084A">
        <w:rPr>
          <w:rStyle w:val="Refdenotaalpie"/>
          <w:rFonts w:eastAsia="Calibri"/>
          <w:lang w:val="en-GB"/>
        </w:rPr>
        <w:footnoteReference w:id="56"/>
      </w:r>
      <w:r w:rsidRPr="006F084A">
        <w:t>.</w:t>
      </w:r>
    </w:p>
    <w:p w14:paraId="1B5A628E" w14:textId="41C82E97" w:rsidR="004E0684" w:rsidRPr="006F084A" w:rsidRDefault="004E0684" w:rsidP="004E0684">
      <w:pPr>
        <w:pStyle w:val="SingleTxtG"/>
        <w:rPr>
          <w:rFonts w:eastAsia="Calibri"/>
        </w:rPr>
      </w:pPr>
      <w:r w:rsidRPr="006F084A">
        <w:t>162.</w:t>
      </w:r>
      <w:r w:rsidR="006F4396">
        <w:tab/>
      </w:r>
      <w:r w:rsidRPr="006F084A">
        <w:t>Por consiguiente, se elaboró la Estrategia Nacional para el Desarrollo Sostenible 2017-2030, aprobada por el Consejo Ministerial celebrado el 25 de junio de 2017, que identificó siete desafíos estratégicos, incluida la aceleración de la activación de la política nacional sobre el cambio climático. A este respecto, la estrategia identificó tres ejes estratégicos: mejorar la gobernanza climática, popularizar los planes climáticos territoriales y mejorar el sistema financiero actual.</w:t>
      </w:r>
    </w:p>
    <w:p w14:paraId="75839A3B" w14:textId="77777777"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Los talleres de la Iniciativa Nacional para el Desarrollo Humano</w:t>
      </w:r>
    </w:p>
    <w:p w14:paraId="54C0AF8F" w14:textId="00A2D5DD" w:rsidR="004E0684" w:rsidRPr="006F084A" w:rsidRDefault="004E0684" w:rsidP="004E0684">
      <w:pPr>
        <w:pStyle w:val="SingleTxtG"/>
        <w:rPr>
          <w:rFonts w:eastAsia="Calibri"/>
        </w:rPr>
      </w:pPr>
      <w:r w:rsidRPr="006F084A">
        <w:t>163.</w:t>
      </w:r>
      <w:r w:rsidR="006F4396">
        <w:tab/>
      </w:r>
      <w:r w:rsidRPr="006F084A">
        <w:t xml:space="preserve">La Iniciativa Nacional para el Desarrollo Humano se puso en marcha el 18 de mayo de 2005 bajo la modalidad de talleres, celebrados bajo los auspicios del monarca, que aspiran a abordar la pobreza y la vulnerabilidad mediante la orientación hacia las territorios y grupos que disfrutan de menores derechos socioeconómicos básicos. Esta iniciativa se ha ganado la confianza de los ciudadanos y los elogios frecuentes de la comunidad internacional, que lo considera un logro de la creatividad marroquí al servicio del desarrollo humano, cuyo propósito primordial es lograr la justicia social y sectorial y salvaguardar la dignidad de las ciudadanas y ciudadanos. </w:t>
      </w:r>
    </w:p>
    <w:p w14:paraId="7F1BF0F7" w14:textId="67966F8A" w:rsidR="004E0684" w:rsidRPr="006F084A" w:rsidRDefault="004E0684" w:rsidP="004E0684">
      <w:pPr>
        <w:pStyle w:val="SingleTxtG"/>
        <w:rPr>
          <w:rFonts w:eastAsia="Calibri"/>
        </w:rPr>
      </w:pPr>
      <w:r w:rsidRPr="006F084A">
        <w:t>164.</w:t>
      </w:r>
      <w:r w:rsidR="006F4396">
        <w:tab/>
      </w:r>
      <w:r w:rsidRPr="006F084A">
        <w:t xml:space="preserve">Tras las dos primeras fases, correspondientes a los períodos 2005-2010 y 2011-2018, el miércoles 19 de septiembre de 2018 arrancó oficialmente la tercera fase de esta Iniciativa </w:t>
      </w:r>
      <w:r w:rsidRPr="006F084A">
        <w:lastRenderedPageBreak/>
        <w:t xml:space="preserve">Nacional (2019-2023), según un nuevo funcionamiento basado en un sistema de focalización preciso de las intervenciones, conforme a una directiva programática que aspira a promocionar el capital humano. Para esta fase se ha asignado un presupuesto total de 18.000 millones de </w:t>
      </w:r>
      <w:proofErr w:type="spellStart"/>
      <w:r w:rsidRPr="006F084A">
        <w:t>DH</w:t>
      </w:r>
      <w:proofErr w:type="spellEnd"/>
      <w:r w:rsidRPr="006F084A">
        <w:t>, que se destinarán a financiar cuatro programas, a saber:</w:t>
      </w:r>
    </w:p>
    <w:p w14:paraId="6DF822C6" w14:textId="45A4D6A2" w:rsidR="004E0684" w:rsidRPr="006F084A" w:rsidRDefault="004E0684" w:rsidP="006F4396">
      <w:pPr>
        <w:pStyle w:val="Bullet1G"/>
        <w:rPr>
          <w:rFonts w:eastAsia="Calibri"/>
        </w:rPr>
      </w:pPr>
      <w:r w:rsidRPr="006F084A">
        <w:rPr>
          <w:rFonts w:ascii="Symbol" w:hAnsi="Symbol"/>
        </w:rPr>
        <w:tab/>
      </w:r>
      <w:r w:rsidRPr="006F084A">
        <w:t>El programa dirigido a subsanar el déficit registrado en la infraestructura y los servicios básicos en los territorios menos equipados, a través de proyectos relacionados con la salud, la educación, la electrificación rural y el suministro de agua potable, además de la construcción de carreteras, caminos rurales e instalaciones técnicas.</w:t>
      </w:r>
    </w:p>
    <w:p w14:paraId="635AE742" w14:textId="5FCAD7B8" w:rsidR="004E0684" w:rsidRPr="006F084A" w:rsidRDefault="004E0684" w:rsidP="006F4396">
      <w:pPr>
        <w:pStyle w:val="Bullet1G"/>
        <w:rPr>
          <w:rFonts w:eastAsia="Calibri"/>
        </w:rPr>
      </w:pPr>
      <w:r w:rsidRPr="006F084A">
        <w:rPr>
          <w:rFonts w:ascii="Symbol" w:hAnsi="Symbol"/>
        </w:rPr>
        <w:tab/>
      </w:r>
      <w:r w:rsidRPr="006F084A">
        <w:t>El programa de acompañamiento de las personas en situación de vulnerabilidad, cuyas intervenciones abarcarán a 11 grupos prioritarios de personas en esa situación.</w:t>
      </w:r>
    </w:p>
    <w:p w14:paraId="3166CD62" w14:textId="5E009B03" w:rsidR="004E0684" w:rsidRPr="006F084A" w:rsidRDefault="004E0684" w:rsidP="006F4396">
      <w:pPr>
        <w:pStyle w:val="Bullet1G"/>
        <w:rPr>
          <w:rFonts w:eastAsia="Calibri"/>
        </w:rPr>
      </w:pPr>
      <w:r w:rsidRPr="006F084A">
        <w:t>El programa de mejora del ingreso salarial e integración económica juvenil, cuyo objetivo principal es proporcionar ingresos y la creación de empleo para los jóvenes, en particular a través de la formación de empresarios y emprendedores y su acompañamiento en el proceso de incorporación al mercado de trabajo, facilitando así la integración socioeconómica de los jóvenes.</w:t>
      </w:r>
    </w:p>
    <w:p w14:paraId="4FE1EC7C" w14:textId="52BF16E2" w:rsidR="004E0684" w:rsidRPr="006F084A" w:rsidRDefault="004E0684" w:rsidP="006F4396">
      <w:pPr>
        <w:pStyle w:val="Bullet1G"/>
        <w:rPr>
          <w:rFonts w:eastAsia="Calibri"/>
        </w:rPr>
      </w:pPr>
      <w:r w:rsidRPr="006F084A">
        <w:t xml:space="preserve">El programa de apoyo al desarrollo humano para las generaciones más jóvenes, cuyas intervenciones girarán en torno a dos ejes, a saber, el desarrollo en la primera infancia y el acompañamiento de la infancia y la juventud. </w:t>
      </w:r>
    </w:p>
    <w:p w14:paraId="293A409E" w14:textId="5505FEB0" w:rsidR="004E0684" w:rsidRPr="00D51553" w:rsidRDefault="004E0684" w:rsidP="00D51553">
      <w:pPr>
        <w:pStyle w:val="Bullet1G"/>
        <w:spacing w:before="240" w:line="240" w:lineRule="exact"/>
        <w:ind w:left="1134"/>
        <w:jc w:val="left"/>
        <w:rPr>
          <w:rFonts w:eastAsia="Calibri"/>
          <w:b/>
          <w:bCs/>
        </w:rPr>
      </w:pPr>
      <w:r w:rsidRPr="00D51553">
        <w:rPr>
          <w:rFonts w:eastAsia="Calibri"/>
          <w:b/>
          <w:bCs/>
        </w:rPr>
        <w:t>Programa para reducir las disparidades sociales y territoriales en</w:t>
      </w:r>
      <w:r w:rsidR="006F4396" w:rsidRPr="00D51553">
        <w:rPr>
          <w:rFonts w:eastAsia="Calibri"/>
          <w:b/>
          <w:bCs/>
        </w:rPr>
        <w:br/>
      </w:r>
      <w:r w:rsidRPr="00D51553">
        <w:rPr>
          <w:rFonts w:eastAsia="Calibri"/>
          <w:b/>
          <w:bCs/>
        </w:rPr>
        <w:t>el mundo rural</w:t>
      </w:r>
    </w:p>
    <w:p w14:paraId="3ACDB2A2" w14:textId="2DCE7D22" w:rsidR="004E0684" w:rsidRPr="006F084A" w:rsidRDefault="004E0684" w:rsidP="004E0684">
      <w:pPr>
        <w:pStyle w:val="SingleTxtG"/>
      </w:pPr>
      <w:r w:rsidRPr="006F084A">
        <w:t>165.</w:t>
      </w:r>
      <w:r w:rsidR="006F4396">
        <w:tab/>
      </w:r>
      <w:r w:rsidRPr="006F084A">
        <w:t>Desde 1995, los programas nacionales de carreteras rurales han servido como mecanismo para romper el aislamiento del mundo rural. Gracias a la finalización de 11.000</w:t>
      </w:r>
      <w:r w:rsidR="00B8306A">
        <w:t> </w:t>
      </w:r>
      <w:r w:rsidRPr="006F084A">
        <w:t>km de caminos rurales en el marco del primer programa (1995-2005), y de 15.000 km en el marco del segundo (puesto en marcha en 2005), y a partir de los resultados del programa de rehabilitación territorial llevado a cabo durante el período 2011-2015, que propició la construcción de 766 km de carreteras, la pavimentación de otros 1.547 km y la construcción de 90 infraestructuras de vado y conexión (de las cuales 68 para zonas aisladas), a finales de</w:t>
      </w:r>
      <w:r w:rsidR="00B8306A">
        <w:t> </w:t>
      </w:r>
      <w:r w:rsidRPr="006F084A">
        <w:t>2018 la tasa de conectividad del mundo rural con la red nacional de carreteras alcanzó el</w:t>
      </w:r>
      <w:r w:rsidR="00B8306A">
        <w:t> </w:t>
      </w:r>
      <w:r w:rsidRPr="006F084A">
        <w:t>79</w:t>
      </w:r>
      <w:r w:rsidR="006F4396">
        <w:t> </w:t>
      </w:r>
      <w:r w:rsidRPr="006F084A">
        <w:t>%, lo cual permitió romper el aislamiento de unos 2,7 millones de personas.</w:t>
      </w:r>
    </w:p>
    <w:p w14:paraId="004AC467" w14:textId="442278AD" w:rsidR="004E0684" w:rsidRPr="006F084A" w:rsidRDefault="004E0684" w:rsidP="004E0684">
      <w:pPr>
        <w:pStyle w:val="SingleTxtG"/>
      </w:pPr>
      <w:r w:rsidRPr="006F084A">
        <w:t>166.</w:t>
      </w:r>
      <w:r w:rsidR="006F4396">
        <w:tab/>
      </w:r>
      <w:r w:rsidRPr="006F084A">
        <w:t xml:space="preserve">Desde su puesta en marcha en virtud de las altas directivas reales, el Gobierno viene ejecutando el Programa para reducir las disparidades territoriales y sociales en el mundo rural a lo largo de siete años (2017-2023), cuyo presupuesto total se ha estimado en un total de 50.000 millones de </w:t>
      </w:r>
      <w:proofErr w:type="spellStart"/>
      <w:r w:rsidRPr="006F084A">
        <w:t>DH</w:t>
      </w:r>
      <w:proofErr w:type="spellEnd"/>
      <w:r w:rsidRPr="006F084A">
        <w:t xml:space="preserve">. Las aportaciones para la financiación de este programa son realizadas por el Fondo para el Desarrollo de las Zonas Rurales y Montañosas (21 %), los consejos regionales (40 %), la Iniciativa Nacional para el Desarrollo Humano (8 %), la Oficina Nacional de Electricidad y Agua Potable (5 %) y varios sectores gubernamentales (26 %). La asignación de los fondos necesarios para llevar a cabo los proyectos de este programa se inició el 10 de agosto de 2017, con un presupuesto para el programa de trabajo de 2017 que ascendía aproximadamente a 8.340 millones de </w:t>
      </w:r>
      <w:proofErr w:type="spellStart"/>
      <w:r w:rsidRPr="006F084A">
        <w:t>DH</w:t>
      </w:r>
      <w:proofErr w:type="spellEnd"/>
      <w:r w:rsidRPr="006F084A">
        <w:t xml:space="preserve">, de los cuales 3.460 millones fueron financiados por el Fondo para el Desarrollo de las Zonas Rurales y Montañosas. En cuanto al presupuesto total para la aplicación del programa durante el año 2018, ascendió aproximadamente a 7.200 millones de </w:t>
      </w:r>
      <w:proofErr w:type="spellStart"/>
      <w:r w:rsidRPr="006F084A">
        <w:t>DH</w:t>
      </w:r>
      <w:proofErr w:type="spellEnd"/>
      <w:r w:rsidRPr="006F084A">
        <w:t xml:space="preserve">, de los cuales 3.480 millones fueron financiados por el Fondo para el Desarrollo de las Zonas Rurales y Montañosas. Las operaciones llevadas a cabo permitieron romper el aislamiento de 5.190 aldeas y que más de </w:t>
      </w:r>
      <w:r w:rsidR="00B8306A">
        <w:t>6</w:t>
      </w:r>
      <w:r w:rsidRPr="006F084A">
        <w:t xml:space="preserve"> millones de beneficiarios de 1.100 municipios tuvieran acceso a los servicios de salud, educación, agua y electrificación rural. Se estima que el presupuesto asignado para las intervenciones previstas en el marco de este programa en 2019 sea de 6.530 millones de </w:t>
      </w:r>
      <w:proofErr w:type="spellStart"/>
      <w:r w:rsidRPr="006F084A">
        <w:t>DH</w:t>
      </w:r>
      <w:proofErr w:type="spellEnd"/>
      <w:r w:rsidRPr="006F084A">
        <w:t>, cuyo 52 % será financiado por el Fondo para el Desarrollo de las Zonas Rurales y Montañosas.</w:t>
      </w:r>
    </w:p>
    <w:p w14:paraId="4F5D44D6" w14:textId="79FB53E5" w:rsidR="004E0684" w:rsidRPr="006F084A" w:rsidRDefault="004E0684" w:rsidP="004E0684">
      <w:pPr>
        <w:pStyle w:val="SingleTxtG"/>
      </w:pPr>
      <w:r w:rsidRPr="006F084A">
        <w:t>167.</w:t>
      </w:r>
      <w:r w:rsidR="006F4396">
        <w:tab/>
      </w:r>
      <w:r w:rsidRPr="006F084A">
        <w:t xml:space="preserve">En cuanto a la línea de actuación relativa a las carreteras del Programa para reducir las disparidades territoriales y sociales en el mundo rural, se ha elaborado un plan para reconstruir carreteras rurales clasificadas y construir en ellas equipamientos viales de carácter técnico. Para ello, el Fondo para el Desarrollo de Zonas Rurales y Montañosas ha asignado 36.000 millones de </w:t>
      </w:r>
      <w:proofErr w:type="spellStart"/>
      <w:r w:rsidRPr="006F084A">
        <w:t>DH</w:t>
      </w:r>
      <w:proofErr w:type="spellEnd"/>
      <w:r w:rsidRPr="006F084A">
        <w:t xml:space="preserve"> para construir 25.000 km y rehabilitar 10.000 km en un período de diez años (2016-2025).</w:t>
      </w:r>
    </w:p>
    <w:p w14:paraId="4826A008" w14:textId="77777777" w:rsidR="004E0684" w:rsidRPr="00D51553" w:rsidRDefault="004E0684" w:rsidP="00D51553">
      <w:pPr>
        <w:pStyle w:val="Bullet1G"/>
        <w:spacing w:before="240" w:line="240" w:lineRule="exact"/>
        <w:ind w:left="1134"/>
        <w:rPr>
          <w:rFonts w:eastAsia="Calibri"/>
          <w:b/>
          <w:bCs/>
        </w:rPr>
      </w:pPr>
      <w:r w:rsidRPr="00D51553">
        <w:rPr>
          <w:rFonts w:eastAsia="Calibri"/>
          <w:b/>
          <w:bCs/>
        </w:rPr>
        <w:lastRenderedPageBreak/>
        <w:t>El Programa integral de electrificación rural</w:t>
      </w:r>
    </w:p>
    <w:p w14:paraId="0CD6366A" w14:textId="18341569" w:rsidR="004E0684" w:rsidRPr="007754D2" w:rsidRDefault="004E0684" w:rsidP="004E0684">
      <w:pPr>
        <w:pStyle w:val="SingleTxtG"/>
        <w:rPr>
          <w:lang w:val="es-ES_tradnl"/>
        </w:rPr>
      </w:pPr>
      <w:r w:rsidRPr="006F084A">
        <w:t>168.</w:t>
      </w:r>
      <w:r w:rsidR="006F4396">
        <w:tab/>
      </w:r>
      <w:r w:rsidRPr="006F084A">
        <w:t xml:space="preserve">El Programa integral de </w:t>
      </w:r>
      <w:r w:rsidRPr="007754D2">
        <w:rPr>
          <w:lang w:val="es-ES_tradnl"/>
        </w:rPr>
        <w:t>electrificación rural se puso en marcha en 1996 con el objetivo de suministrar electricidad al mundo rural. Frente al 18 % de electrificación que había en 1995, la aplicación de este programa permitió que se alcanzara, hasta noviembre de 2018, una tasa del 99,63 %. Además, tras la electrificación de las 951 aldeas (25.086 viviendas) que estaban programadas para 2019 y 2020, se alcanzó una tasa del 99,86 %.</w:t>
      </w:r>
    </w:p>
    <w:p w14:paraId="10F23C61" w14:textId="77777777" w:rsidR="004E0684" w:rsidRPr="00D51553" w:rsidRDefault="004E0684" w:rsidP="00D51553">
      <w:pPr>
        <w:pStyle w:val="Bullet1G"/>
        <w:spacing w:before="240" w:line="240" w:lineRule="exact"/>
        <w:ind w:left="1134"/>
        <w:rPr>
          <w:rFonts w:eastAsia="Calibri"/>
          <w:b/>
          <w:bCs/>
        </w:rPr>
      </w:pPr>
      <w:r w:rsidRPr="00D51553">
        <w:rPr>
          <w:rFonts w:eastAsia="Calibri"/>
          <w:b/>
          <w:bCs/>
        </w:rPr>
        <w:t>La Estrategia Nacional Anticorrupción</w:t>
      </w:r>
    </w:p>
    <w:p w14:paraId="38030DBC" w14:textId="63A6AB7B" w:rsidR="004E0684" w:rsidRPr="007754D2" w:rsidRDefault="004E0684" w:rsidP="004E0684">
      <w:pPr>
        <w:pStyle w:val="SingleTxtG"/>
        <w:rPr>
          <w:rFonts w:eastAsia="Calibri"/>
          <w:lang w:val="es-ES_tradnl"/>
        </w:rPr>
      </w:pPr>
      <w:r w:rsidRPr="007754D2">
        <w:rPr>
          <w:lang w:val="es-ES_tradnl"/>
        </w:rPr>
        <w:t>169.</w:t>
      </w:r>
      <w:r w:rsidR="006F4396" w:rsidRPr="007754D2">
        <w:rPr>
          <w:lang w:val="es-ES_tradnl"/>
        </w:rPr>
        <w:tab/>
      </w:r>
      <w:r w:rsidRPr="007754D2">
        <w:rPr>
          <w:lang w:val="es-ES_tradnl"/>
        </w:rPr>
        <w:t xml:space="preserve">En el marco de la moralización de la vida pública, y en particular de la Administración Pública, el fortalecimiento del sistema nacional de integridad y la promoción de una cultura de la transparencia, el sentido de la responsabilidad y los principios de buena gobernanza en las instancias públicas, se adoptó la Estrategia Nacional Anticorrupción 2016-2025, y se creó la Comisión Nacional Anticorrupción. De conformidad con lo dispuesto en el artículo 2 del Decreto núm. 582.17.2, de 6 de noviembre de 2017, la Comisión está presidida por el Primer Ministro y entre sus miembros figuran representantes de algunas autoridades gubernamentales, de organismos y organizaciones pertinentes, así como representantes del sector privado y la sociedad civil. El sector de Reforma de la Administración y la Función Pública asumió su secretaría permanente. </w:t>
      </w:r>
    </w:p>
    <w:p w14:paraId="6832BD7C" w14:textId="0DF10000" w:rsidR="004E0684" w:rsidRPr="007754D2" w:rsidRDefault="004E0684" w:rsidP="004E0684">
      <w:pPr>
        <w:pStyle w:val="SingleTxtG"/>
        <w:rPr>
          <w:rFonts w:eastAsia="Calibri"/>
          <w:lang w:val="es-ES_tradnl"/>
        </w:rPr>
      </w:pPr>
      <w:r w:rsidRPr="007754D2">
        <w:rPr>
          <w:lang w:val="es-ES_tradnl"/>
        </w:rPr>
        <w:t>170.</w:t>
      </w:r>
      <w:r w:rsidR="006F4396" w:rsidRPr="007754D2">
        <w:rPr>
          <w:lang w:val="es-ES_tradnl"/>
        </w:rPr>
        <w:tab/>
      </w:r>
      <w:r w:rsidRPr="007754D2">
        <w:rPr>
          <w:lang w:val="es-ES_tradnl"/>
        </w:rPr>
        <w:t>La estrategia comprende 187 proyectos distribuidos en diez programas, entre los cuales figuran: el Programa de Mejora del Servicio al Ciudadano, el Programa de Digitalización de los Servicios Administrativos, el Programa de Transparencia y Acceso a la Información y el Programa de Seguimiento y Rendición de Cuentas. Paralelamente, se estableció la Comisión Nacional Anticorrupción como un mecanismo institucional para el seguimiento de la ejecución de la estrategia. Con el fin de garantizar la continuidad de la labor de la Administración Pública y mejorar los servicios que ofrece a sus usuarios, la Estrategia aspira a elaborar un marco jurídico en el que resolver los conflictos de intereses, adoptar un código de ética y conducta profesional de los funcionarios, revisar el sistema de declaración de bienes y elaborar una lista de puestos concernidos mediante un sistema electrónico de declaración y publicación. Asimismo, la estrategia garantiza los mecanismos y procedimientos para denunciar los casos de corrupción y soborno.</w:t>
      </w:r>
    </w:p>
    <w:p w14:paraId="7D9C363A" w14:textId="31C54912" w:rsidR="004E0684" w:rsidRPr="007754D2" w:rsidRDefault="004E0684" w:rsidP="004E0684">
      <w:pPr>
        <w:pStyle w:val="SingleTxtG"/>
        <w:rPr>
          <w:rFonts w:eastAsia="Calibri"/>
          <w:lang w:val="es-ES_tradnl"/>
        </w:rPr>
      </w:pPr>
      <w:r w:rsidRPr="007754D2">
        <w:rPr>
          <w:lang w:val="es-ES_tradnl"/>
        </w:rPr>
        <w:t>171.</w:t>
      </w:r>
      <w:r w:rsidR="00B8306A">
        <w:rPr>
          <w:lang w:val="es-ES_tradnl"/>
        </w:rPr>
        <w:tab/>
      </w:r>
      <w:r w:rsidRPr="007754D2">
        <w:rPr>
          <w:lang w:val="es-ES_tradnl"/>
        </w:rPr>
        <w:t xml:space="preserve">Gracias a estos esfuerzos, la calificación de Marruecos según el Índice de Percepción de la Corrupción (IPC) ha mejorado, pasando del puesto 89 en 2009 al 73 en 2018. En la misma línea, Marruecos ascendió al puesto 53 a nivel mundial según el índice </w:t>
      </w:r>
      <w:proofErr w:type="spellStart"/>
      <w:r w:rsidRPr="007754D2">
        <w:rPr>
          <w:i/>
          <w:iCs/>
          <w:lang w:val="es-ES_tradnl"/>
        </w:rPr>
        <w:t>Doing</w:t>
      </w:r>
      <w:proofErr w:type="spellEnd"/>
      <w:r w:rsidRPr="007754D2">
        <w:rPr>
          <w:i/>
          <w:iCs/>
          <w:lang w:val="es-ES_tradnl"/>
        </w:rPr>
        <w:t xml:space="preserve"> Business 2020</w:t>
      </w:r>
      <w:r w:rsidRPr="007754D2">
        <w:rPr>
          <w:lang w:val="es-ES_tradnl"/>
        </w:rPr>
        <w:t xml:space="preserve"> del Banco Mundial.</w:t>
      </w:r>
    </w:p>
    <w:p w14:paraId="6CD95CC2" w14:textId="50AACF3D" w:rsidR="004E0684" w:rsidRPr="007754D2" w:rsidRDefault="009C135B" w:rsidP="009C135B">
      <w:pPr>
        <w:pStyle w:val="H23G"/>
        <w:rPr>
          <w:rFonts w:eastAsia="Calibri"/>
          <w:lang w:val="es-ES_tradnl"/>
        </w:rPr>
      </w:pPr>
      <w:r w:rsidRPr="007754D2">
        <w:rPr>
          <w:lang w:val="es-ES_tradnl"/>
        </w:rPr>
        <w:tab/>
      </w:r>
      <w:r w:rsidR="004E0684" w:rsidRPr="007754D2">
        <w:rPr>
          <w:lang w:val="es-ES_tradnl"/>
        </w:rPr>
        <w:tab/>
        <w:t>Medidas legislativas para la protección de los derechos y las libertades</w:t>
      </w:r>
      <w:r w:rsidR="004E0684" w:rsidRPr="007754D2">
        <w:rPr>
          <w:rStyle w:val="Refdenotaalpie"/>
          <w:rFonts w:eastAsia="Calibri"/>
          <w:b w:val="0"/>
          <w:bCs/>
          <w:lang w:val="es-ES_tradnl"/>
        </w:rPr>
        <w:footnoteReference w:id="57"/>
      </w:r>
    </w:p>
    <w:p w14:paraId="69C86AE5" w14:textId="77777777" w:rsidR="004E0684" w:rsidRPr="00D51553" w:rsidRDefault="004E0684" w:rsidP="00D51553">
      <w:pPr>
        <w:pStyle w:val="Bullet1G"/>
        <w:spacing w:before="240" w:line="240" w:lineRule="exact"/>
        <w:ind w:left="1134"/>
        <w:rPr>
          <w:rFonts w:eastAsia="Calibri"/>
          <w:b/>
          <w:bCs/>
        </w:rPr>
      </w:pPr>
      <w:r w:rsidRPr="00D51553">
        <w:rPr>
          <w:rFonts w:eastAsia="Calibri"/>
          <w:b/>
          <w:bCs/>
        </w:rPr>
        <w:t>Protección legislativa de los derechos de la mujer</w:t>
      </w:r>
    </w:p>
    <w:p w14:paraId="48B9CD19" w14:textId="0D1E8BF2" w:rsidR="004E0684" w:rsidRPr="007754D2" w:rsidRDefault="004E0684" w:rsidP="004E0684">
      <w:pPr>
        <w:pStyle w:val="SingleTxtG"/>
        <w:rPr>
          <w:rFonts w:eastAsia="Calibri"/>
          <w:lang w:val="es-ES_tradnl"/>
        </w:rPr>
      </w:pPr>
      <w:r w:rsidRPr="007754D2">
        <w:rPr>
          <w:lang w:val="es-ES_tradnl"/>
        </w:rPr>
        <w:t>172.</w:t>
      </w:r>
      <w:r w:rsidR="009C135B" w:rsidRPr="007754D2">
        <w:rPr>
          <w:lang w:val="es-ES_tradnl"/>
        </w:rPr>
        <w:tab/>
      </w:r>
      <w:r w:rsidRPr="007754D2">
        <w:rPr>
          <w:lang w:val="es-ES_tradnl"/>
        </w:rPr>
        <w:t xml:space="preserve">Desde hace casi 20 años, Marruecos viene siendo testigo de una renovación legislativa que atañe al conjunto de derechos y libertades. Además de consagrar la igualdad entre hombres y mujeres mediante la aprobación de la Ley núm. 70-03, del Código de la Familia, de 2004, y la aprobación de la Ley de la Nacionalidad Marroquí de 2006, el 22 de febrero de 2018 se promulgó la Ley núm. 103-13, de Lucha contra la Violencia contra la Mujer, con el fin de protegerla de cualesquiera formas de violencia sexual, física, psicológica y económica. </w:t>
      </w:r>
    </w:p>
    <w:p w14:paraId="1AFE263B" w14:textId="50BC19E5" w:rsidR="004E0684" w:rsidRPr="007754D2" w:rsidRDefault="004E0684" w:rsidP="004E0684">
      <w:pPr>
        <w:pStyle w:val="SingleTxtG"/>
        <w:rPr>
          <w:rFonts w:eastAsia="Calibri"/>
          <w:lang w:val="es-ES_tradnl"/>
        </w:rPr>
      </w:pPr>
      <w:r w:rsidRPr="007754D2">
        <w:rPr>
          <w:lang w:val="es-ES_tradnl"/>
        </w:rPr>
        <w:t>173.</w:t>
      </w:r>
      <w:r w:rsidR="009C135B" w:rsidRPr="007754D2">
        <w:rPr>
          <w:lang w:val="es-ES_tradnl"/>
        </w:rPr>
        <w:tab/>
      </w:r>
      <w:r w:rsidRPr="007754D2">
        <w:rPr>
          <w:lang w:val="es-ES_tradnl"/>
        </w:rPr>
        <w:t>Con el fin de reforzar la participación de las mujeres en la vida pública, se han aprobado nuevas leyes para promover la implicación política de las mujeres a nivel nacional y regional, a saber:</w:t>
      </w:r>
    </w:p>
    <w:p w14:paraId="230D595C" w14:textId="6D692988" w:rsidR="004E0684" w:rsidRPr="006F084A" w:rsidRDefault="004E0684" w:rsidP="009C135B">
      <w:pPr>
        <w:pStyle w:val="Bullet1G"/>
        <w:rPr>
          <w:rFonts w:eastAsia="Calibri"/>
        </w:rPr>
      </w:pPr>
      <w:r w:rsidRPr="006F084A">
        <w:t xml:space="preserve">La creación de una circunscripción electoral nacional de 60 mujeres en virtud de la Ley Orgánica de la Cámara de Representantes núm. 20-16, que modifica y complementa la Ley Orgánica núm. 27-11, de 2016. Así, en virtud del artículo 23 de esta </w:t>
      </w:r>
      <w:r w:rsidR="00B8306A" w:rsidRPr="006F084A">
        <w:t>Ley</w:t>
      </w:r>
      <w:r w:rsidRPr="006F084A">
        <w:t xml:space="preserve">, se reserva la segunda parte de la lista nacional, a saber, 30 escaños, para </w:t>
      </w:r>
      <w:r w:rsidRPr="006F084A">
        <w:lastRenderedPageBreak/>
        <w:t>candidatos jóvenes de ambos sexos conjuntamente, después de que la Ley Orgánica de 2011 asignara esta parte de la lista a candidatos varones únicamente; con ello se ha podido incrementar esta representación femenina.</w:t>
      </w:r>
    </w:p>
    <w:p w14:paraId="5229F38A" w14:textId="62603E4C" w:rsidR="004E0684" w:rsidRPr="006F084A" w:rsidRDefault="004E0684" w:rsidP="009C135B">
      <w:pPr>
        <w:pStyle w:val="Bullet1G"/>
        <w:rPr>
          <w:rFonts w:eastAsia="Calibri"/>
        </w:rPr>
      </w:pPr>
      <w:r w:rsidRPr="006F084A">
        <w:t>En lo que respecta a la Cámara de Consejeros, el artículo 24 de la Ley Orgánica núm.</w:t>
      </w:r>
      <w:r w:rsidR="00B8306A">
        <w:t> </w:t>
      </w:r>
      <w:r w:rsidRPr="006F084A">
        <w:t>28-11, de la Cámara de Consejeros, modificada y completada el 23 de julio de</w:t>
      </w:r>
      <w:r w:rsidR="00B8306A">
        <w:t> </w:t>
      </w:r>
      <w:r w:rsidRPr="006F084A">
        <w:t>2015, regula el principio de alternancia de ambos sexos en las listas, que garantiza que ninguna lista de candidatos incluya dos nombres consecutivos de personas del mismo sexo.</w:t>
      </w:r>
    </w:p>
    <w:p w14:paraId="2E70DC29" w14:textId="0C9924E3" w:rsidR="004E0684" w:rsidRPr="006F084A" w:rsidRDefault="004E0684" w:rsidP="009C135B">
      <w:pPr>
        <w:pStyle w:val="Bullet1G"/>
        <w:rPr>
          <w:rFonts w:eastAsia="Calibri"/>
        </w:rPr>
      </w:pPr>
      <w:r w:rsidRPr="006F084A">
        <w:t>En relación con las colectividades territoriales: la Ley Orgánica núm. 34-15, que modifica y complementa la Ley Orgánica núm. 59-11 de 2015, de la Elección de Miembros de los Consejos de las Colectividades Territoriales, incluyó las siguientes novedades:</w:t>
      </w:r>
    </w:p>
    <w:p w14:paraId="3ABAE15E" w14:textId="3858C2EA" w:rsidR="004E0684" w:rsidRPr="006F084A" w:rsidRDefault="004E0684" w:rsidP="00B8306A">
      <w:pPr>
        <w:pStyle w:val="Bullet2G"/>
        <w:rPr>
          <w:rFonts w:eastAsia="Calibri"/>
        </w:rPr>
      </w:pPr>
      <w:r w:rsidRPr="006F084A">
        <w:t xml:space="preserve">Con respecto a los consejos regionales, al menos un tercio de los escaños se reservarán a mujeres de cada circunscripción. </w:t>
      </w:r>
    </w:p>
    <w:p w14:paraId="2E64B023" w14:textId="1C3E5EDE" w:rsidR="004E0684" w:rsidRPr="006F084A" w:rsidRDefault="004E0684" w:rsidP="00B8306A">
      <w:pPr>
        <w:pStyle w:val="Bullet2G"/>
        <w:rPr>
          <w:rFonts w:eastAsia="Calibri"/>
        </w:rPr>
      </w:pPr>
      <w:r w:rsidRPr="006F084A">
        <w:t>Con respecto a los consejos municipales y provinciales, además de los escaños establecidos para cada municipio o provincia, se reservarán a mujeres no menos de cuatro escaños suplementarios.</w:t>
      </w:r>
    </w:p>
    <w:p w14:paraId="67C5F226" w14:textId="29C9EE17" w:rsidR="004E0684" w:rsidRPr="006F084A" w:rsidRDefault="004E0684" w:rsidP="00B8306A">
      <w:pPr>
        <w:pStyle w:val="Bullet2G"/>
        <w:rPr>
          <w:rFonts w:eastAsia="Calibri"/>
        </w:rPr>
      </w:pPr>
      <w:r w:rsidRPr="006F084A">
        <w:t>Con respecto a los consejos regionales, al igual que a los municipales y regionales, cuyos miembros son elegidos mediante lista, cada lista de candidatos deberá componerse necesariamente de dos partes, de modo que la segunda parte de la lista incluya necesaria y exclusivamente nombres de candidatas solamente, en número igual al de los escaños asignados a mujeres de la circunspección electoral respectiva. Este hecho no invalidará, en ninguno de los dos casos, el derecho de estas mujeres a optar a otros escaños, considerándose que la candidata cuyo nombre figure en el primer puesto de la sección reservada a las mujeres será la cabeza de lista y, como tal, tendrá los mismos derechos otorgados al cabeza de lista de la candidatura en cuestión.</w:t>
      </w:r>
    </w:p>
    <w:p w14:paraId="2FE787ED" w14:textId="4DEC337A" w:rsidR="004E0684" w:rsidRPr="006F084A" w:rsidRDefault="004E0684" w:rsidP="004E0684">
      <w:pPr>
        <w:pStyle w:val="SingleTxtG"/>
        <w:rPr>
          <w:rFonts w:eastAsia="Calibri"/>
        </w:rPr>
      </w:pPr>
      <w:r w:rsidRPr="006F084A">
        <w:t>174.</w:t>
      </w:r>
      <w:r w:rsidR="009C135B">
        <w:tab/>
      </w:r>
      <w:r w:rsidRPr="006F084A">
        <w:t>Con el fin de promover y desarrollar la representación política de las mujeres, se han tomado medidas normativas encaminadas a proporcionar incentivos financieros a los partidos políticos cuyos escaños, con ocasión de la celebración de elecciones generales legislativas, municipales y regionales, sean ocupados por afiliadas, siempre y cuando estos escaños no correspondan a los asignados exclusivamente a mujeres.</w:t>
      </w:r>
    </w:p>
    <w:p w14:paraId="60566D0E" w14:textId="1C8F021C" w:rsidR="004E0684" w:rsidRPr="006F084A" w:rsidRDefault="004E0684" w:rsidP="004E0684">
      <w:pPr>
        <w:pStyle w:val="SingleTxtG"/>
      </w:pPr>
      <w:r w:rsidRPr="006F084A">
        <w:t>175.</w:t>
      </w:r>
      <w:r w:rsidR="009C135B">
        <w:tab/>
      </w:r>
      <w:r w:rsidRPr="006F084A">
        <w:t>En 2009, se creó el Fondo de Apoyo y Promoción de la Representación de la Mujer con el objetivo de fortalecer las capacidades representativas de las mujeres mediante la participación de partidos políticos y asociaciones de la sociedad civil en la ejecución de los programas y actividades propuestos en este ámbito. Tras una evaluación preliminar, esta experiencia se vio reforzada mediante la promulgación de un nuevo decreto en octubre de 2013 con el objetivo de reconsiderar las funciones de este Fondo. En 2013 y 2014 se introdujeron varias modificaciones en el marco normativo del Fondo con miras a lograr una mayor eficacia y provecho en su labor. Añádase a ello la designación, a partir de junio de</w:t>
      </w:r>
      <w:r w:rsidR="00B8306A">
        <w:t> </w:t>
      </w:r>
      <w:r w:rsidRPr="006F084A">
        <w:t>2017 y con arreglo a los requisitos reglamentarios vigentes, de nuevos miembros del comité encargado de gestionar el Fondo de Apoyo.</w:t>
      </w:r>
    </w:p>
    <w:p w14:paraId="6EA2A9BE" w14:textId="77777777" w:rsidR="004E0684" w:rsidRPr="00D51553" w:rsidRDefault="004E0684" w:rsidP="00D51553">
      <w:pPr>
        <w:pStyle w:val="Bullet1G"/>
        <w:spacing w:before="240" w:line="240" w:lineRule="exact"/>
        <w:ind w:left="1134"/>
        <w:rPr>
          <w:rFonts w:eastAsia="Calibri"/>
          <w:b/>
          <w:bCs/>
        </w:rPr>
      </w:pPr>
      <w:r w:rsidRPr="00D51553">
        <w:rPr>
          <w:rFonts w:eastAsia="Calibri"/>
          <w:b/>
          <w:bCs/>
        </w:rPr>
        <w:t xml:space="preserve">La protección legislativa de los derechos del niño </w:t>
      </w:r>
    </w:p>
    <w:p w14:paraId="7156E14C" w14:textId="1DEBF70C" w:rsidR="004E0684" w:rsidRPr="006F084A" w:rsidRDefault="004E0684" w:rsidP="004E0684">
      <w:pPr>
        <w:pStyle w:val="SingleTxtG"/>
        <w:rPr>
          <w:rFonts w:eastAsia="Calibri"/>
        </w:rPr>
      </w:pPr>
      <w:r w:rsidRPr="006F084A">
        <w:t>176.</w:t>
      </w:r>
      <w:r w:rsidR="009C135B">
        <w:tab/>
      </w:r>
      <w:r w:rsidRPr="006F084A">
        <w:t>Desde 2002, el sistema legislativo del Reino ha ido renovando sucesivamente todos los aspectos relacionados con los derechos del niño, invocando las obligaciones internacionales de Marruecos en materia de derechos humanos con relación al proceso de adecuación de la legislación vigente entonces, así como al proceso de elaboración de leyes especiales. Estas renovaciones afectan a:</w:t>
      </w:r>
    </w:p>
    <w:p w14:paraId="2D0E0371" w14:textId="1709E5F4" w:rsidR="004E0684" w:rsidRPr="006F084A" w:rsidRDefault="004E0684" w:rsidP="009C135B">
      <w:pPr>
        <w:pStyle w:val="Bullet1G"/>
        <w:rPr>
          <w:rFonts w:eastAsia="Calibri"/>
        </w:rPr>
      </w:pPr>
      <w:r w:rsidRPr="006F084A">
        <w:t>La Ley núm. 70-03, del Código de la Familia, de 3 de febrero de 2004.</w:t>
      </w:r>
    </w:p>
    <w:p w14:paraId="0DA6D002" w14:textId="637F6E17" w:rsidR="004E0684" w:rsidRPr="006F084A" w:rsidRDefault="004E0684" w:rsidP="009C135B">
      <w:pPr>
        <w:pStyle w:val="Bullet1G"/>
        <w:rPr>
          <w:rFonts w:eastAsia="Calibri"/>
        </w:rPr>
      </w:pPr>
      <w:r w:rsidRPr="006F084A">
        <w:t>La Ley núm. 37-99, del Estado Civil, de 3 de octubre de 2002.</w:t>
      </w:r>
    </w:p>
    <w:p w14:paraId="53869AEB" w14:textId="71C78AC5" w:rsidR="004E0684" w:rsidRPr="006F084A" w:rsidRDefault="004E0684" w:rsidP="009C135B">
      <w:pPr>
        <w:pStyle w:val="Bullet1G"/>
        <w:rPr>
          <w:rFonts w:eastAsia="Calibri"/>
        </w:rPr>
      </w:pPr>
      <w:r w:rsidRPr="006F084A">
        <w:rPr>
          <w:rFonts w:ascii="Symbol" w:hAnsi="Symbol"/>
        </w:rPr>
        <w:tab/>
      </w:r>
      <w:r w:rsidRPr="006F084A">
        <w:t xml:space="preserve">La Ley núm. 15-01, de Acogimiento </w:t>
      </w:r>
      <w:r w:rsidRPr="007754D2">
        <w:rPr>
          <w:i/>
          <w:iCs/>
        </w:rPr>
        <w:t>(</w:t>
      </w:r>
      <w:proofErr w:type="spellStart"/>
      <w:r w:rsidRPr="007754D2">
        <w:rPr>
          <w:i/>
          <w:iCs/>
        </w:rPr>
        <w:t>kafala</w:t>
      </w:r>
      <w:proofErr w:type="spellEnd"/>
      <w:r w:rsidRPr="007754D2">
        <w:rPr>
          <w:i/>
          <w:iCs/>
        </w:rPr>
        <w:t>)</w:t>
      </w:r>
      <w:r w:rsidRPr="006F084A">
        <w:t xml:space="preserve"> de Niños Abandonados, de 13 de junio de 2002.</w:t>
      </w:r>
    </w:p>
    <w:p w14:paraId="6DF1FA11" w14:textId="0FADDDB7" w:rsidR="004E0684" w:rsidRPr="006F084A" w:rsidRDefault="004E0684" w:rsidP="009C135B">
      <w:pPr>
        <w:pStyle w:val="Bullet1G"/>
        <w:rPr>
          <w:rFonts w:eastAsia="Calibri"/>
        </w:rPr>
      </w:pPr>
      <w:r w:rsidRPr="006F084A">
        <w:rPr>
          <w:rFonts w:ascii="Symbol" w:hAnsi="Symbol"/>
        </w:rPr>
        <w:lastRenderedPageBreak/>
        <w:tab/>
      </w:r>
      <w:r w:rsidRPr="006F084A">
        <w:t>La Ley núm. 62-06, de promulgación de la Ley de la Nacionalidad Marroquí, de 23 de marzo de 2007.</w:t>
      </w:r>
    </w:p>
    <w:p w14:paraId="77135010" w14:textId="7E4936CF" w:rsidR="004E0684" w:rsidRPr="006F084A" w:rsidRDefault="004E0684" w:rsidP="009C135B">
      <w:pPr>
        <w:pStyle w:val="Bullet1G"/>
        <w:rPr>
          <w:rFonts w:eastAsia="Calibri"/>
        </w:rPr>
      </w:pPr>
      <w:r w:rsidRPr="006F084A">
        <w:t>La Ley núm. 65-15, de las Instituciones de Bienestar Social, de 23 de abril de 2018.</w:t>
      </w:r>
    </w:p>
    <w:p w14:paraId="3AF3799D" w14:textId="7E575903" w:rsidR="004E0684" w:rsidRPr="006F084A" w:rsidRDefault="004E0684" w:rsidP="009C135B">
      <w:pPr>
        <w:pStyle w:val="Bullet1G"/>
        <w:rPr>
          <w:rFonts w:eastAsia="Calibri"/>
        </w:rPr>
      </w:pPr>
      <w:r w:rsidRPr="006F084A">
        <w:t>La Ley núm. 19-12, de las Condiciones de Contratación y Empleo de las Trabajadoras Domésticas, de 23 de agosto de 2016.</w:t>
      </w:r>
    </w:p>
    <w:p w14:paraId="298D42FE" w14:textId="0134BB01" w:rsidR="004E0684" w:rsidRPr="006F084A" w:rsidRDefault="004E0684" w:rsidP="009C135B">
      <w:pPr>
        <w:pStyle w:val="Bullet1G"/>
        <w:rPr>
          <w:rFonts w:eastAsia="Calibri"/>
        </w:rPr>
      </w:pPr>
      <w:r w:rsidRPr="006F084A">
        <w:t>El Decreto núm. 2-17-355, por el que se establece el modelo de contrato de trabajo para trabajadoras y trabajadores domésticos, de 31 de agosto de 2017.</w:t>
      </w:r>
    </w:p>
    <w:p w14:paraId="2B4FE4A3" w14:textId="3C4A345E" w:rsidR="004E0684" w:rsidRPr="006F084A" w:rsidRDefault="004E0684" w:rsidP="009C135B">
      <w:pPr>
        <w:pStyle w:val="Bullet1G"/>
        <w:rPr>
          <w:rFonts w:eastAsia="Calibri"/>
        </w:rPr>
      </w:pPr>
      <w:r w:rsidRPr="006F084A">
        <w:t>El Decreto núm. 2-17-356, que completa la lista de empleos para los que se prohíbe la contratación de trabajadoras y trabajadores domésticos de entre 16 y 18 años, de 27 de septiembre de 2017.</w:t>
      </w:r>
    </w:p>
    <w:p w14:paraId="68DCF887" w14:textId="77B8699F" w:rsidR="007E1B71" w:rsidRPr="007E1B71" w:rsidRDefault="007E1B71" w:rsidP="007E1B71">
      <w:pPr>
        <w:pStyle w:val="Bullet1G"/>
        <w:spacing w:before="240" w:line="240" w:lineRule="exact"/>
        <w:ind w:left="1134"/>
        <w:rPr>
          <w:rFonts w:eastAsia="Calibri"/>
          <w:b/>
          <w:bCs/>
        </w:rPr>
      </w:pPr>
      <w:r w:rsidRPr="007E1B71">
        <w:rPr>
          <w:b/>
          <w:bCs/>
        </w:rPr>
        <w:t>Protección de la integridad física de las personas y prevención de la tortura</w:t>
      </w:r>
    </w:p>
    <w:p w14:paraId="1987F5E1" w14:textId="729902FF" w:rsidR="004E0684" w:rsidRPr="006F084A" w:rsidRDefault="004E0684" w:rsidP="004E0684">
      <w:pPr>
        <w:pStyle w:val="SingleTxtG"/>
        <w:rPr>
          <w:i/>
          <w:iCs/>
        </w:rPr>
      </w:pPr>
      <w:r w:rsidRPr="006F084A">
        <w:t>177.</w:t>
      </w:r>
      <w:r w:rsidR="009C135B">
        <w:tab/>
      </w:r>
      <w:r w:rsidRPr="006F084A">
        <w:t>Además de las garantías jurídicas que reforzaron la protección de las personas contra la tortura y los malos tratos mediante la modificación del artículo 293 del Código Penal en</w:t>
      </w:r>
      <w:r w:rsidR="00B8306A">
        <w:t> </w:t>
      </w:r>
      <w:r w:rsidRPr="006F084A">
        <w:t xml:space="preserve">2003, sobre el no reconocimiento de confesiones resultantes de la violencia o la coacción, y la Ley de Penalización de la Tortura núm. 04-43 aprobada en 2006, que modifica y complementa el artículo 231-1 del Código Penal, que tipifica como delito la tortura y castiga a quienes la cometan, de conformidad con las normas de la Convención contra la Tortura y Otros Tratos o Penas Crueles, Inhumanos o Degradantes, el capítulo 22 de la Constitución de 2011 establece que: </w:t>
      </w:r>
      <w:r w:rsidR="00B56649">
        <w:t>“</w:t>
      </w:r>
      <w:r w:rsidRPr="006F084A">
        <w:t>Ninguna persona, privada o pública, podrá atentar contra la integridad física y moral de nadie, en ninguna circunstancia; y ninguna persona podrá infligir a nadie, bajo ningún pretexto, un trato cruel, inhumano o degradante. La práctica de la tortura, en todas sus formas y por cualquier persona, constituye un delito castigado por la ley</w:t>
      </w:r>
      <w:r w:rsidR="00B56649">
        <w:t>”</w:t>
      </w:r>
      <w:r w:rsidRPr="006F084A">
        <w:t xml:space="preserve">. </w:t>
      </w:r>
    </w:p>
    <w:p w14:paraId="0FF08997" w14:textId="5189B295" w:rsidR="004E0684" w:rsidRPr="006F084A" w:rsidRDefault="004E0684" w:rsidP="004E0684">
      <w:pPr>
        <w:pStyle w:val="SingleTxtG"/>
      </w:pPr>
      <w:r w:rsidRPr="006F084A">
        <w:t>178.</w:t>
      </w:r>
      <w:r w:rsidR="009C135B">
        <w:tab/>
      </w:r>
      <w:r w:rsidRPr="006F084A">
        <w:t xml:space="preserve">En virtud de las sucesivas reformas del sistema penal, se han reforzado las medidas en materia de derechos humanos relativas a la detención bajo custodia policial </w:t>
      </w:r>
      <w:r w:rsidRPr="00B8306A">
        <w:rPr>
          <w:i/>
          <w:iCs/>
        </w:rPr>
        <w:t>(</w:t>
      </w:r>
      <w:proofErr w:type="spellStart"/>
      <w:r w:rsidRPr="00B8306A">
        <w:rPr>
          <w:i/>
          <w:iCs/>
        </w:rPr>
        <w:t>garde</w:t>
      </w:r>
      <w:proofErr w:type="spellEnd"/>
      <w:r w:rsidRPr="00B8306A">
        <w:rPr>
          <w:i/>
          <w:iCs/>
        </w:rPr>
        <w:t xml:space="preserve"> à </w:t>
      </w:r>
      <w:proofErr w:type="spellStart"/>
      <w:r w:rsidRPr="00B8306A">
        <w:rPr>
          <w:i/>
          <w:iCs/>
        </w:rPr>
        <w:t>vue</w:t>
      </w:r>
      <w:proofErr w:type="spellEnd"/>
      <w:r w:rsidRPr="00B8306A">
        <w:rPr>
          <w:i/>
          <w:iCs/>
        </w:rPr>
        <w:t>)</w:t>
      </w:r>
      <w:r w:rsidRPr="006F084A">
        <w:t xml:space="preserve"> y la racionalización de la detención preventiva considerando su uso un recurso de carácter excepcional. Asimismo, se ha reforzado la lucha contra la tortura obligando al funcionariado de la policía judicial, previa notificación a la Fiscalía General, a someter a las personas bajo detención policial a un examen médico, siempre que se encuentren evidencias de que estas personas puedan haber padecido una enfermedad o presenten cualquier signo que exija la realización de dicho examen. También se ha reforzado el control judicial sobre la labor llevada a cabo por la policía judicial. </w:t>
      </w:r>
    </w:p>
    <w:p w14:paraId="19DB18F6" w14:textId="2C4D89D6" w:rsidR="004E0684" w:rsidRPr="00874808" w:rsidRDefault="004E0684" w:rsidP="00874808">
      <w:pPr>
        <w:pStyle w:val="Bullet1G"/>
        <w:spacing w:before="240" w:line="240" w:lineRule="exact"/>
        <w:ind w:left="1134"/>
        <w:jc w:val="left"/>
        <w:rPr>
          <w:b/>
          <w:bCs/>
        </w:rPr>
      </w:pPr>
      <w:r w:rsidRPr="00874808">
        <w:rPr>
          <w:b/>
          <w:bCs/>
        </w:rPr>
        <w:t>Revisión de las definiciones y penas para los delitos que constituyen</w:t>
      </w:r>
      <w:r w:rsidR="009C135B" w:rsidRPr="00874808">
        <w:rPr>
          <w:b/>
          <w:bCs/>
        </w:rPr>
        <w:br/>
      </w:r>
      <w:r w:rsidRPr="00874808">
        <w:rPr>
          <w:b/>
          <w:bCs/>
        </w:rPr>
        <w:t>una violación grave de los derechos humanos</w:t>
      </w:r>
    </w:p>
    <w:p w14:paraId="05594434" w14:textId="64A721B8" w:rsidR="004E0684" w:rsidRPr="006F084A" w:rsidRDefault="004E0684" w:rsidP="004E0684">
      <w:pPr>
        <w:pStyle w:val="SingleTxtG"/>
      </w:pPr>
      <w:r w:rsidRPr="006F084A">
        <w:t>179.</w:t>
      </w:r>
      <w:r w:rsidR="009C135B">
        <w:tab/>
      </w:r>
      <w:r w:rsidRPr="006F084A">
        <w:t xml:space="preserve">De conformidad con el artículo 23 de la Constitución y en aplicación de las obligaciones de Marruecos en virtud de las convenciones y el derecho internacional de los derechos humanos, el derecho internacional humanitario y las que le imponen a nivel internacional los compromisos en materia de lucha contra la corrupción, y sobre la base de las disposiciones del Estatuto de Roma de la Corte Penal Internacional, se elaboró el </w:t>
      </w:r>
      <w:r w:rsidR="00B8306A">
        <w:t>p</w:t>
      </w:r>
      <w:r w:rsidRPr="006F084A">
        <w:t xml:space="preserve">royecto de </w:t>
      </w:r>
      <w:r w:rsidR="00B8306A">
        <w:t>l</w:t>
      </w:r>
      <w:r w:rsidRPr="006F084A">
        <w:t>ey núm. 10-16, que modifica y complementa el Código Penal, por el que se amplió el ámbito de la tipificación delictiva en el ordenamiento penal nacional, y se definieron estos delitos de forma ajustada a las normas internacionales, como en el caso de las desapariciones forzadas (art</w:t>
      </w:r>
      <w:r w:rsidR="007754D2">
        <w:t>.</w:t>
      </w:r>
      <w:r w:rsidRPr="006F084A">
        <w:t xml:space="preserve"> 231-9); el contrabando de migrantes (art</w:t>
      </w:r>
      <w:r w:rsidR="007754D2">
        <w:t>.</w:t>
      </w:r>
      <w:r w:rsidRPr="006F084A">
        <w:t xml:space="preserve"> 231-18); el enriquecimiento ilícito (art</w:t>
      </w:r>
      <w:r w:rsidR="007754D2">
        <w:t>.</w:t>
      </w:r>
      <w:r w:rsidRPr="006F084A">
        <w:t xml:space="preserve"> 256-7); el delito de genocidio (art</w:t>
      </w:r>
      <w:r w:rsidR="007754D2">
        <w:t>.</w:t>
      </w:r>
      <w:r w:rsidRPr="006F084A">
        <w:t xml:space="preserve"> 448-1); los crímenes de lesa humanidad (art</w:t>
      </w:r>
      <w:r w:rsidR="007754D2">
        <w:t>.</w:t>
      </w:r>
      <w:r w:rsidRPr="006F084A">
        <w:t xml:space="preserve"> 448-3); y los crímenes de guerra (art</w:t>
      </w:r>
      <w:r w:rsidR="007754D2">
        <w:t>.</w:t>
      </w:r>
      <w:r w:rsidRPr="006F084A">
        <w:t xml:space="preserve"> 448-6). Del mismo modo, el </w:t>
      </w:r>
      <w:r w:rsidR="00B8306A">
        <w:t>p</w:t>
      </w:r>
      <w:r w:rsidRPr="006F084A">
        <w:t xml:space="preserve">royecto de </w:t>
      </w:r>
      <w:r w:rsidR="00B8306A">
        <w:t>l</w:t>
      </w:r>
      <w:r w:rsidRPr="006F084A">
        <w:t>ey previó la revisión de las exigencias establecidas por la comisión de algunos delitos como el aborto (arts</w:t>
      </w:r>
      <w:r w:rsidR="007754D2">
        <w:t>.</w:t>
      </w:r>
      <w:r w:rsidRPr="006F084A">
        <w:t xml:space="preserve"> 449</w:t>
      </w:r>
      <w:r w:rsidR="007754D2">
        <w:t xml:space="preserve"> a </w:t>
      </w:r>
      <w:r w:rsidRPr="006F084A">
        <w:t>453), la discriminación (art</w:t>
      </w:r>
      <w:r w:rsidR="007754D2">
        <w:t>.</w:t>
      </w:r>
      <w:r w:rsidRPr="006F084A">
        <w:t xml:space="preserve"> 431-1) y el abuso sexual de niños (arts</w:t>
      </w:r>
      <w:r w:rsidR="007754D2">
        <w:t>.</w:t>
      </w:r>
      <w:r w:rsidRPr="006F084A">
        <w:t xml:space="preserve"> 448 y 497).</w:t>
      </w:r>
    </w:p>
    <w:p w14:paraId="4C9A2029" w14:textId="77777777" w:rsidR="004E0684" w:rsidRPr="004A2305" w:rsidRDefault="004E0684" w:rsidP="004A2305">
      <w:pPr>
        <w:pStyle w:val="Bullet1G"/>
        <w:spacing w:before="240" w:line="240" w:lineRule="exact"/>
        <w:ind w:left="1134"/>
        <w:jc w:val="left"/>
        <w:rPr>
          <w:b/>
          <w:bCs/>
        </w:rPr>
      </w:pPr>
      <w:r w:rsidRPr="004A2305">
        <w:rPr>
          <w:b/>
          <w:bCs/>
        </w:rPr>
        <w:t>La lucha contra la trata de personas</w:t>
      </w:r>
    </w:p>
    <w:p w14:paraId="4FD0913F" w14:textId="2244283F" w:rsidR="004E0684" w:rsidRPr="007754D2" w:rsidRDefault="004E0684" w:rsidP="004E0684">
      <w:pPr>
        <w:pStyle w:val="SingleTxtG"/>
        <w:rPr>
          <w:lang w:val="es-ES_tradnl"/>
        </w:rPr>
      </w:pPr>
      <w:r w:rsidRPr="006F084A">
        <w:t>180.</w:t>
      </w:r>
      <w:r w:rsidR="009C135B">
        <w:tab/>
      </w:r>
      <w:r w:rsidRPr="006F084A">
        <w:t xml:space="preserve">La Ley núm. 27-14, de Lucha contra la Trata de Personas, de 25 de agosto de 2016, contiene una definición del delito de trata de personas y de todas las formas de explotación asociada de conformidad con el Protocolo para Prevenir, Reprimir y Sancionar la Trata de Personas, Especialmente Mujeres y Niños, ratificado por Marruecos en 2011. La Ley, que modifica y completa el conjunto del derecho penal y la Ley núm. 22-01, del Código de </w:t>
      </w:r>
      <w:r w:rsidRPr="006F084A">
        <w:lastRenderedPageBreak/>
        <w:t xml:space="preserve">Procedimiento Penal, en materia de lucha contra la trata de personas y la promulgación de disposiciones especiales, incorpora requisitos sobre la protección de las víctimas de trata de personas, que se traducen en el castigo de los autores de ese delito y la provisión de mecanismos de protección tales como: la atención sanitaria, el apoyo psicosocial a las víctimas de trata de personas, la apertura de centros de refugio y asistencia jurídica, así como facilidades para su integración en la vida social. En virtud de esta Ley, también se creó la Comisión Nacional para la Prevención de la Lucha contra la Trata de Personas. El 6 de julio de 2018 se adoptó el Decreto núm. 2-17-740, que establece la composición y el funcionamiento de esta comisión. El 23 de mayo de 2019, el Primer Ministro supervisó la </w:t>
      </w:r>
      <w:r w:rsidRPr="007754D2">
        <w:rPr>
          <w:lang w:val="es-ES_tradnl"/>
        </w:rPr>
        <w:t>toma de posesión de los miembros de esta comisión.</w:t>
      </w:r>
    </w:p>
    <w:p w14:paraId="0F60FB40" w14:textId="77777777" w:rsidR="004E0684" w:rsidRPr="004A2305" w:rsidRDefault="004E0684" w:rsidP="004A2305">
      <w:pPr>
        <w:pStyle w:val="Bullet1G"/>
        <w:spacing w:before="240" w:line="240" w:lineRule="exact"/>
        <w:ind w:left="1134"/>
        <w:jc w:val="left"/>
        <w:rPr>
          <w:b/>
          <w:bCs/>
        </w:rPr>
      </w:pPr>
      <w:r w:rsidRPr="004A2305">
        <w:rPr>
          <w:b/>
          <w:bCs/>
        </w:rPr>
        <w:t>Acceso a la información</w:t>
      </w:r>
    </w:p>
    <w:p w14:paraId="1693862B" w14:textId="28C76A1B" w:rsidR="004E0684" w:rsidRPr="006F084A" w:rsidRDefault="004E0684" w:rsidP="004E0684">
      <w:pPr>
        <w:pStyle w:val="SingleTxtG"/>
        <w:rPr>
          <w:rFonts w:eastAsia="Calibri"/>
        </w:rPr>
      </w:pPr>
      <w:r w:rsidRPr="007754D2">
        <w:rPr>
          <w:lang w:val="es-ES_tradnl"/>
        </w:rPr>
        <w:t>181.</w:t>
      </w:r>
      <w:r w:rsidR="009C135B" w:rsidRPr="007754D2">
        <w:rPr>
          <w:lang w:val="es-ES_tradnl"/>
        </w:rPr>
        <w:tab/>
      </w:r>
      <w:r w:rsidRPr="007754D2">
        <w:rPr>
          <w:lang w:val="es-ES_tradnl"/>
        </w:rPr>
        <w:t>A fin de hacer cumplir</w:t>
      </w:r>
      <w:r w:rsidRPr="006F084A">
        <w:t xml:space="preserve"> el artículo 27 de la Constitución, se emitió la Ley núm. 31-13, del Derecho a la Información, de 22 de febrero de 2018, que determina el alcance de la aplicación del derecho al acceso a la información que obra en poder de la Administración Pública, las instituciones electas y los organismos responsables de la labor de los organismos públicos. La </w:t>
      </w:r>
      <w:r w:rsidR="00B8306A" w:rsidRPr="006F084A">
        <w:t xml:space="preserve">Ley </w:t>
      </w:r>
      <w:r w:rsidRPr="006F084A">
        <w:t xml:space="preserve">obliga a las instituciones y organismos concernidos a adoptar medidas proactivas de divulgación dentro de sus jurisdicciones, a través de las cuales publicarán, siempre y cuando no contravengan la ley, el máximo posible de información en su poder a través de todos los medios de difusión disponibles, en particular los electrónicos, incluidos los portales nacionales de información al público. En virtud del artículo 4 de la Ley se otorga a los extranjeros que residen legalmente en el Reino de Marruecos el derecho a acceder a la información de conformidad con las condiciones y procedimientos previstos en la misma. De conformidad con las disposiciones del título V de esta </w:t>
      </w:r>
      <w:r w:rsidR="00B8306A" w:rsidRPr="006F084A">
        <w:t>Ley</w:t>
      </w:r>
      <w:r w:rsidRPr="006F084A">
        <w:t>, el 13 de marzo de 2019 se nombró a los miembros de la Comisión sobre el Derecho a la Información, que depende del Primer Ministro; la Comisión está presidida por el Presidente del Comisión Nacional para el Control de la Protección de Datos Personales (</w:t>
      </w:r>
      <w:proofErr w:type="spellStart"/>
      <w:r w:rsidRPr="006F084A">
        <w:t>CNDP</w:t>
      </w:r>
      <w:proofErr w:type="spellEnd"/>
      <w:r w:rsidRPr="006F084A">
        <w:t>).</w:t>
      </w:r>
    </w:p>
    <w:p w14:paraId="348ED0C6" w14:textId="77777777" w:rsidR="004E0684" w:rsidRPr="004A2305" w:rsidRDefault="004E0684" w:rsidP="004A2305">
      <w:pPr>
        <w:pStyle w:val="Bullet1G"/>
        <w:spacing w:before="240" w:line="240" w:lineRule="exact"/>
        <w:ind w:left="1134"/>
        <w:jc w:val="left"/>
        <w:rPr>
          <w:b/>
          <w:bCs/>
        </w:rPr>
      </w:pPr>
      <w:r w:rsidRPr="004A2305">
        <w:rPr>
          <w:b/>
          <w:bCs/>
        </w:rPr>
        <w:t>Libertad de prensa y de publicación</w:t>
      </w:r>
    </w:p>
    <w:p w14:paraId="65EC1BC3" w14:textId="548AE84F" w:rsidR="004E0684" w:rsidRPr="006F084A" w:rsidRDefault="004E0684" w:rsidP="004E0684">
      <w:pPr>
        <w:pStyle w:val="SingleTxtG"/>
        <w:rPr>
          <w:rFonts w:eastAsia="Calibri"/>
        </w:rPr>
      </w:pPr>
      <w:r w:rsidRPr="006F084A">
        <w:t>182.</w:t>
      </w:r>
      <w:r w:rsidR="009C135B">
        <w:tab/>
      </w:r>
      <w:r w:rsidRPr="006F084A">
        <w:t xml:space="preserve">La Ley núm. 88-13, de Prensa y Publicaciones, de 15 de agosto de 2016, prevé varias garantías que consagran la libertad de opinión y expresión, para lo que recurre a reconocer mayores libertades a los medios de comunicación y a la promoción de los principios de responsabilidad profesional. Asimismo, prevé seguir el ritmo de las transformaciones tecnológicas y absorber su impacto en el sector de la prensa, manteniendo y poniendo en valor los logros obtenidos en el ámbito de la libertad de prensa. Con ese fin, prevé fortalecer las garantías de libertad en la práctica periodística mediante la supresión de las penas privativas de libertad y su sustitución por multas moderadas, en contra de lo que disponía la Ley núm. 00-77 de Prensa y Publicaciones, de 2002, que contemplaba 31 penas de encarcelamiento. Además, prevé proteger los derechos y libertades de la sociedad y de las personas a través de disposiciones relativas a la prevención de la incitación al odio, la discriminación y la violencia, la protección de la vida privada y la prohibición de cualquier publicidad que menoscabe la imagen de las mujeres, los niños y las personas con discapacidad. Por otro lado, prevé otorgar al poder judicial competencia exclusiva para tratar las causas relacionadas con el periodismo, así como promover su papel en materia de protección de la libertad de prensa y de promoción de la libertad de prensa electrónica. Esto último se manifiesta en el reconocimiento legal del periodismo digital y el reconocimiento de su derecho a ejercer su labor bajo las mismas condiciones impuestas al ejercicio de la </w:t>
      </w:r>
      <w:proofErr w:type="gramStart"/>
      <w:r w:rsidRPr="006F084A">
        <w:t>prensa escrita</w:t>
      </w:r>
      <w:proofErr w:type="gramEnd"/>
      <w:r w:rsidRPr="006F084A">
        <w:t>. La Ley prevé también promocionar las inversiones y la transparencia en el sector a través del establecimiento de garantías para la libertad de expresión, la promoción de la inversión en los medios de comunicación y la prensa, y la aplicación del principio de transparencia, igualdad de oportunidades y neutralidad para beneficiarse de subvenciones públicas.</w:t>
      </w:r>
    </w:p>
    <w:p w14:paraId="2DF1EDE5" w14:textId="268875AA" w:rsidR="004E0684" w:rsidRPr="006F084A" w:rsidRDefault="004E0684" w:rsidP="004E0684">
      <w:pPr>
        <w:pStyle w:val="SingleTxtG"/>
        <w:rPr>
          <w:rFonts w:eastAsia="Calibri"/>
        </w:rPr>
      </w:pPr>
      <w:r w:rsidRPr="006F084A">
        <w:t>183.</w:t>
      </w:r>
      <w:r w:rsidR="009C135B">
        <w:tab/>
      </w:r>
      <w:r w:rsidRPr="006F084A">
        <w:t>La Ley núm. 89-13, del Estatuto Básico de los Periodistas Profesionales, de 19 de mayo de 2016</w:t>
      </w:r>
      <w:r w:rsidRPr="006F084A">
        <w:rPr>
          <w:rStyle w:val="Refdenotaalpie"/>
          <w:rFonts w:eastAsia="Calibri"/>
          <w:lang w:val="en-GB"/>
        </w:rPr>
        <w:footnoteReference w:id="58"/>
      </w:r>
      <w:r w:rsidRPr="006F084A">
        <w:t xml:space="preserve">, establece un conjunto de requisitos que reconocen y consolidan los derechos </w:t>
      </w:r>
      <w:r w:rsidRPr="006F084A">
        <w:lastRenderedPageBreak/>
        <w:t>y libertades de los periodistas profesionales, en particular la protección judicial de la confidencialidad de sus fuentes y su derecho a tener acceso a la información, el refuerzo de su independencia, la exigencia de mayores conocimientos teóricos para poder ejercer la profesión y la provisión de protección social.</w:t>
      </w:r>
    </w:p>
    <w:p w14:paraId="35402CCE" w14:textId="72C7048A" w:rsidR="004E0684" w:rsidRPr="006F084A" w:rsidRDefault="004E0684" w:rsidP="004E0684">
      <w:pPr>
        <w:pStyle w:val="SingleTxtG"/>
        <w:rPr>
          <w:rFonts w:eastAsia="Calibri"/>
        </w:rPr>
      </w:pPr>
      <w:r w:rsidRPr="006F084A">
        <w:t>184.</w:t>
      </w:r>
      <w:r w:rsidR="009C135B">
        <w:tab/>
      </w:r>
      <w:r w:rsidRPr="006F084A">
        <w:t xml:space="preserve">Para fortalecer la protección institucional de la libertad de prensa y publicación, se creó el Consejo Nacional de Prensa en virtud del artículo 1 de la Ley núm. 13-90, de 10 de marzo de 2016, en calidad de órgano que goza de personalidad jurídica propia y autonomía financiera. Su ámbito de competencia incluye a los periodistas profesionales y los órganos de prensa, y se compromete a garantizar el mantenimiento de los principios subyacentes a la deontología de esta profesión y el cumplimiento de su Código Ético Profesional, así como las leyes y reglamentos relativos al desempeño de </w:t>
      </w:r>
      <w:proofErr w:type="gramStart"/>
      <w:r w:rsidRPr="006F084A">
        <w:t>la misma</w:t>
      </w:r>
      <w:proofErr w:type="gramEnd"/>
      <w:r w:rsidRPr="006F084A">
        <w:t xml:space="preserve">. </w:t>
      </w:r>
    </w:p>
    <w:p w14:paraId="7A03A0AA" w14:textId="29C17126" w:rsidR="004E0684" w:rsidRPr="006F084A" w:rsidRDefault="004E0684" w:rsidP="004E0684">
      <w:pPr>
        <w:pStyle w:val="SingleTxtG"/>
        <w:rPr>
          <w:rFonts w:eastAsia="Calibri"/>
        </w:rPr>
      </w:pPr>
      <w:r w:rsidRPr="006F084A">
        <w:t>185.</w:t>
      </w:r>
      <w:r w:rsidR="009C135B">
        <w:tab/>
      </w:r>
      <w:r w:rsidR="00D82712">
        <w:t>En aplicación d</w:t>
      </w:r>
      <w:r w:rsidRPr="006F084A">
        <w:t xml:space="preserve">el artículo 5 de la Ley núm. 90-13, y sobre la base de los resultados de la votación especial para la elección de los miembros de este Consejo, celebrada el 22 de junio de 2018, así como de conformidad con la Decisión del Comité de Supervisión sobre el proceso de elección de los representantes de los periodistas profesionales y editores de periódicos núm. 7-18, de 14 de septiembre de 2018, el viernes 5 de octubre de 2018 fueron elegidos el Presidente y Vicepresidente del Consejo Nacional de la Prensa. </w:t>
      </w:r>
    </w:p>
    <w:p w14:paraId="7837A50C" w14:textId="053E53A5" w:rsidR="004E0684" w:rsidRPr="006F084A" w:rsidRDefault="004E0684" w:rsidP="004E0684">
      <w:pPr>
        <w:pStyle w:val="SingleTxtG"/>
        <w:rPr>
          <w:rFonts w:eastAsia="Calibri"/>
        </w:rPr>
      </w:pPr>
      <w:r w:rsidRPr="006F084A">
        <w:t>186.</w:t>
      </w:r>
      <w:r w:rsidR="009C135B">
        <w:tab/>
      </w:r>
      <w:r w:rsidRPr="006F084A">
        <w:t xml:space="preserve">Inmediatamente después de su toma de posesión, el Consejo Nacional de la Prensa empezó a trabajar en el proyecto de </w:t>
      </w:r>
      <w:r w:rsidR="00B56649">
        <w:t>“</w:t>
      </w:r>
      <w:r w:rsidRPr="006F084A">
        <w:t>Código Ético Profesional</w:t>
      </w:r>
      <w:r w:rsidR="00B56649">
        <w:t>”</w:t>
      </w:r>
      <w:r w:rsidRPr="006F084A">
        <w:t>. Tras consultar con organizaciones civiles especializadas, figuras académicas, especialistas en derechos humanos y medios de comunicación sobre su proyecto preliminar, a los que se sumaron las múltiples contribuciones recibidas de parte de periodistas de ambos sexos, el Consejo Nacional ratificó el Código en su reunión de 7 de marzo de 2019</w:t>
      </w:r>
      <w:r w:rsidRPr="006F084A">
        <w:rPr>
          <w:rStyle w:val="Refdenotaalpie"/>
          <w:rFonts w:eastAsia="Calibri"/>
          <w:lang w:val="en-GB"/>
        </w:rPr>
        <w:footnoteReference w:id="59"/>
      </w:r>
      <w:r w:rsidRPr="006F084A">
        <w:t>.</w:t>
      </w:r>
    </w:p>
    <w:p w14:paraId="09C3B0FA" w14:textId="4FF8EBA9" w:rsidR="004E0684" w:rsidRPr="006F084A" w:rsidRDefault="004E0684" w:rsidP="004E0684">
      <w:pPr>
        <w:pStyle w:val="SingleTxtG"/>
        <w:rPr>
          <w:rFonts w:eastAsia="Calibri"/>
        </w:rPr>
      </w:pPr>
      <w:r w:rsidRPr="006F084A">
        <w:t>187.</w:t>
      </w:r>
      <w:r w:rsidR="009C135B">
        <w:tab/>
      </w:r>
      <w:r w:rsidRPr="006F084A">
        <w:t>Se ha ratificado el estatuto del Consejo Nacional de la Prensa</w:t>
      </w:r>
      <w:r w:rsidRPr="006F084A">
        <w:rPr>
          <w:rStyle w:val="Refdenotaalpie"/>
          <w:rFonts w:eastAsia="Calibri"/>
          <w:lang w:val="en-GB"/>
        </w:rPr>
        <w:footnoteReference w:id="60"/>
      </w:r>
      <w:r w:rsidRPr="006F084A">
        <w:t xml:space="preserve">. </w:t>
      </w:r>
    </w:p>
    <w:p w14:paraId="336924C9" w14:textId="7414D6D7" w:rsidR="004E0684" w:rsidRPr="006F084A" w:rsidRDefault="004E0684" w:rsidP="004E0684">
      <w:pPr>
        <w:pStyle w:val="SingleTxtG"/>
        <w:rPr>
          <w:rFonts w:eastAsia="Calibri"/>
        </w:rPr>
      </w:pPr>
      <w:r w:rsidRPr="006F084A">
        <w:t>188.</w:t>
      </w:r>
      <w:r w:rsidR="009C135B">
        <w:tab/>
      </w:r>
      <w:r w:rsidRPr="006F084A">
        <w:t xml:space="preserve">Siempre en el contexto de la armonización de las leyes nacionales con las normas internacionales, se promulgaron otras leyes relativas a la protección de los derechos humanos, la protección del consumidor, la libertad de precios y de la competencia, la protección de las víctimas, testigos, peritos y denunciantes de casos de soborno y tráfico de influencias, y la obligación de declarar los bienes a la que están sujetos algunos responsables y altos cargos en las instituciones y dependencias del Estado. </w:t>
      </w:r>
    </w:p>
    <w:p w14:paraId="63B5152C" w14:textId="77777777" w:rsidR="004E0684" w:rsidRPr="004A2305" w:rsidRDefault="004E0684" w:rsidP="004A2305">
      <w:pPr>
        <w:pStyle w:val="Bullet1G"/>
        <w:spacing w:before="240" w:line="240" w:lineRule="exact"/>
        <w:ind w:left="1134"/>
        <w:jc w:val="left"/>
        <w:rPr>
          <w:b/>
          <w:bCs/>
        </w:rPr>
      </w:pPr>
      <w:r w:rsidRPr="004A2305">
        <w:rPr>
          <w:b/>
          <w:bCs/>
        </w:rPr>
        <w:t>La sensibilización sobre la cultura de los derechos humanos</w:t>
      </w:r>
    </w:p>
    <w:p w14:paraId="34FA373D" w14:textId="61C85F84" w:rsidR="004E0684" w:rsidRPr="006F084A" w:rsidRDefault="004E0684" w:rsidP="004E0684">
      <w:pPr>
        <w:pStyle w:val="SingleTxtG"/>
        <w:rPr>
          <w:rFonts w:eastAsia="Calibri"/>
        </w:rPr>
      </w:pPr>
      <w:r w:rsidRPr="006F084A">
        <w:t>189.</w:t>
      </w:r>
      <w:r w:rsidR="009C135B">
        <w:tab/>
      </w:r>
      <w:r w:rsidRPr="006F084A">
        <w:t xml:space="preserve">En lo que concierne a los medios de comunicación y publicación, el Gobierno ha publicado los convenios internacionales sobre derechos humanos, el derecho internacional humanitario y los protocolos anexos que Marruecos ha ratificado en el </w:t>
      </w:r>
      <w:r w:rsidRPr="006F084A">
        <w:rPr>
          <w:i/>
          <w:iCs/>
        </w:rPr>
        <w:t xml:space="preserve">Boletín Oficial </w:t>
      </w:r>
      <w:r w:rsidRPr="006F084A">
        <w:t>y en los sitios web oficiales. Del mismo modo, las estructuras administrativas, los centros del sector público, las instituciones nacionales y la universidad contribuyen a crear programas de investigación, formación y capacitación en el ámbito de los derechos humanos, así como a la publicación y distribución de los convenios internacionales de derechos humanos, sus protocolos anexos y diversos informes y recomendaciones relativos a los compromisos de Marruecos con el sistema de derechos humanos de las Naciones Unidas.</w:t>
      </w:r>
    </w:p>
    <w:p w14:paraId="7E25FB78" w14:textId="65135DE3" w:rsidR="004E0684" w:rsidRPr="006F084A" w:rsidRDefault="004E0684" w:rsidP="004E0684">
      <w:pPr>
        <w:pStyle w:val="SingleTxtG"/>
      </w:pPr>
      <w:r w:rsidRPr="006F084A">
        <w:t>190.</w:t>
      </w:r>
      <w:r w:rsidR="009C135B">
        <w:tab/>
      </w:r>
      <w:r w:rsidRPr="006F084A">
        <w:t xml:space="preserve">Desde marzo de 2016, Marruecos viene poniendo en práctica un programa nacional de movilización comunitaria en torno a la </w:t>
      </w:r>
      <w:r w:rsidR="00B56649">
        <w:t>“</w:t>
      </w:r>
      <w:r w:rsidRPr="006F084A">
        <w:t>Escuela de la Ciudadanía</w:t>
      </w:r>
      <w:r w:rsidR="00B56649">
        <w:t>”</w:t>
      </w:r>
      <w:r w:rsidRPr="006F084A">
        <w:t xml:space="preserve">, que se inscribe en el marco del proyecto núm. 18 para elaboración de la visión estratégica de la reforma para el período 2015-2030 sobre </w:t>
      </w:r>
      <w:r w:rsidR="00B56649">
        <w:t>“</w:t>
      </w:r>
      <w:r w:rsidRPr="006F084A">
        <w:t>La promoción de los valores de la ciudadanía, la democracia y la igualdad de género en el sistema educativo</w:t>
      </w:r>
      <w:r w:rsidR="00B56649">
        <w:t>”</w:t>
      </w:r>
      <w:r w:rsidRPr="006F084A">
        <w:t xml:space="preserve">. Este programa tiene como objetivo fortalecer y desarrollar las capacidades y funciones de la escuela social, educativa, cultural y cívica </w:t>
      </w:r>
      <w:r w:rsidRPr="006F084A">
        <w:lastRenderedPageBreak/>
        <w:t>marroquí, así como promover los clubes de la ciudadanía, los derechos humanos y la integridad en las instituciones educativas. También aspira a fortalecer su posición y funciones en el entorno escolar y ampliar su tejido en las diferentes regiones y provincias. Además, apunta a movilizar a los interlocutores sociales, culturales, educativos y de los medios de comunicación para que participen en el adelanto de la ciudadanía, los derechos humanos y la convivencia en la vida escolar y su entorno.</w:t>
      </w:r>
    </w:p>
    <w:p w14:paraId="122D2268" w14:textId="15C30B68" w:rsidR="004E0684" w:rsidRPr="006F084A" w:rsidRDefault="004E0684" w:rsidP="004E0684">
      <w:pPr>
        <w:pStyle w:val="SingleTxtG"/>
      </w:pPr>
      <w:r w:rsidRPr="006F084A">
        <w:t>191.</w:t>
      </w:r>
      <w:r w:rsidR="009C135B">
        <w:tab/>
      </w:r>
      <w:r w:rsidRPr="006F084A">
        <w:t xml:space="preserve">Como parte de una asociación entre el sector nacional de la educación y la Liga </w:t>
      </w:r>
      <w:proofErr w:type="spellStart"/>
      <w:r w:rsidRPr="006F084A">
        <w:t>Mohammadia</w:t>
      </w:r>
      <w:proofErr w:type="spellEnd"/>
      <w:r w:rsidRPr="006F084A">
        <w:t xml:space="preserve"> de Ulemas, y con el apoyo de la Oficina del Programa de las Naciones Unidas para el Desarrollo (PNUD), Marruecos sigue ejecutando un programa de apoyo a la promoción de la tolerancia, el comportamiento cívico y la educación ciudadana, y para prevenir los comportamientos deshonrosos en el entorno escolar (</w:t>
      </w:r>
      <w:proofErr w:type="spellStart"/>
      <w:r w:rsidRPr="006F084A">
        <w:t>APT2C</w:t>
      </w:r>
      <w:proofErr w:type="spellEnd"/>
      <w:r w:rsidRPr="006F084A">
        <w:t xml:space="preserve">) para el período 2018-2022. Este </w:t>
      </w:r>
      <w:r w:rsidR="00B8306A" w:rsidRPr="006F084A">
        <w:t xml:space="preserve">Programa </w:t>
      </w:r>
      <w:r w:rsidRPr="006F084A">
        <w:t xml:space="preserve">tiene como objetivo aumentar la capacidad de los coordinadores escolares en el campo de la educación para la tolerancia, el comportamiento cívico y la educación de la ciudadanía, así como su capacidad de manejo y uso de la tecnología moderna con el fin de ayudar a los jóvenes a adquirir los valores de la verdadera ciudadanía, integrarse de manera efectiva y sin problemas en el estudio y la vida profesional, prevenir conductas desviadas, y reducir los comportamientos vergonzosos en el entorno escolar. </w:t>
      </w:r>
    </w:p>
    <w:p w14:paraId="688DB457" w14:textId="71FA17B2" w:rsidR="004E0684" w:rsidRPr="006F084A" w:rsidRDefault="004E0684" w:rsidP="004E0684">
      <w:pPr>
        <w:pStyle w:val="SingleTxtG"/>
      </w:pPr>
      <w:r w:rsidRPr="006F084A">
        <w:t>192.</w:t>
      </w:r>
      <w:r w:rsidR="009C135B">
        <w:tab/>
      </w:r>
      <w:r w:rsidRPr="006F084A">
        <w:t xml:space="preserve">De conformidad con las medidas del Plan Nacional de Acción para la Democracia y los Derechos Humanos 2018-2021, en octubre de 2019 Marruecos puso en marcha una nueva dinámica participativa que reúne a los agentes institucionales y civiles mediante la aplicación del Programa </w:t>
      </w:r>
      <w:r w:rsidR="00B56649">
        <w:t>“</w:t>
      </w:r>
      <w:r w:rsidRPr="006F084A">
        <w:t>Desarrollo de la Escuela de Derechos Humanos 2019-2021</w:t>
      </w:r>
      <w:r w:rsidR="00B56649">
        <w:t>”</w:t>
      </w:r>
      <w:r w:rsidRPr="006F084A">
        <w:t xml:space="preserve">. Este </w:t>
      </w:r>
      <w:r w:rsidR="00B8306A" w:rsidRPr="006F084A">
        <w:t xml:space="preserve">Programa </w:t>
      </w:r>
      <w:r w:rsidRPr="006F084A">
        <w:t>tiene como objetivo movilizar y rehabilitar los diversos componentes de la vida escolar y sus socios educativos, culturales, sociales y de medios de comunicación con el fin de realizar y consolidar los valores y principios de los derechos humanos en los programas del sistema educativo y en las relaciones escolares. Además, se quiere reforzar y desarrollar la capacidad y el papel de la escuela marroquí con miras a promover una cultura de derechos humanos mediante el desarrollo de programas, actividades y pilares de sensibilización, educación y formación en ese ámbito. También tiene como objetivo desarrollar clubes de educación en derechos humanos en instituciones educativas, fortalecer su posición y roles en la vida escolar y ampliar su tejido en las diversas regiones y provincias.</w:t>
      </w:r>
    </w:p>
    <w:p w14:paraId="1F4C4F2A" w14:textId="25BB9E4B" w:rsidR="004E0684" w:rsidRPr="006F084A" w:rsidRDefault="004E0684" w:rsidP="004E0684">
      <w:pPr>
        <w:pStyle w:val="SingleTxtG"/>
      </w:pPr>
      <w:r w:rsidRPr="006F084A">
        <w:t>193.</w:t>
      </w:r>
      <w:r w:rsidR="009C135B">
        <w:tab/>
      </w:r>
      <w:r w:rsidRPr="006F084A">
        <w:t xml:space="preserve">En el mismo contexto de sensibilización sobre la cultura de los derechos humanos, el Consejo Nacional de Derechos Humanos fundó en 2015 el Instituto Nacional de Formación en Derechos Humanos (Instituto Driss </w:t>
      </w:r>
      <w:proofErr w:type="spellStart"/>
      <w:r w:rsidRPr="006F084A">
        <w:t>Benzekri</w:t>
      </w:r>
      <w:proofErr w:type="spellEnd"/>
      <w:r w:rsidRPr="006F084A">
        <w:t>). El Instituto fue reestructurado en mayo de</w:t>
      </w:r>
      <w:r w:rsidR="00B8306A">
        <w:t> </w:t>
      </w:r>
      <w:r w:rsidRPr="006F084A">
        <w:t>2019 mediante el establecimiento de un comité científico compuesto por expertos, investigadores, profesores y juristas marroquíes y extranjeros. Además de convertirlo en un centro de referencia en el ámbito de los derechos humanos y el fortalecimiento de las capacidades, el objetivo de la reestructuración del Instituto era crear un espacio de debate sobre una serie de cuestiones de derechos humanos y un centro de investigación y divulgación, en particular mediante el uso de tecnologías modernas de la comunicación y la consolidación de conocimientos relacionados con los derechos humanos. Desde su creación en 2015, el Instituto ha organizado más de 300 cursos de capacitación para miembros del Consejo, personal, funcionarios públicos y funcionarios encargados de hacer cumplir la ley, así como organizaciones de la sociedad civil, el sector privado y otras partes, marroquíes y extranjeras, interesadas en los derechos humanos.</w:t>
      </w:r>
    </w:p>
    <w:p w14:paraId="4D85C4C4" w14:textId="093DF834" w:rsidR="004E0684" w:rsidRPr="006F084A" w:rsidRDefault="004E0684" w:rsidP="004E0684">
      <w:pPr>
        <w:pStyle w:val="SingleTxtG"/>
      </w:pPr>
      <w:r w:rsidRPr="006F084A">
        <w:t>194.</w:t>
      </w:r>
      <w:r w:rsidR="009C135B">
        <w:tab/>
      </w:r>
      <w:r w:rsidRPr="006F084A">
        <w:t xml:space="preserve">En relación con la promoción del diálogo entre religiones y culturas, la divulgación de valores como la moderación y el respeto a los demás, la lucha contra el discurso del odio, la incitación a la discriminación, la hostilidad y la violencia, y la promoción de la tolerancia religiosa y espiritual de un territorio en el que conviven diversas religiones desde hace más de 12 siglos (como lo prueban las numerosas mezquitas, iglesias y templos erigidos en las diferentes ciudades marroquíes), Marruecos presta especial interés a estas y otras cuestiones, tanto a nivel nacional como internacional. Esto se refleja claramente en la implicación proactiva del Reino en el Diálogo de Alto Nivel sobre la Comprensión entre Religiones y Culturas y la Cooperación en pro de la Paz, y en su contribución al proceso de elaboración y seguimiento de la aplicación del </w:t>
      </w:r>
      <w:r w:rsidR="00B56649">
        <w:t>“</w:t>
      </w:r>
      <w:r w:rsidRPr="006F084A">
        <w:t xml:space="preserve">Plan de Acción de Rabat sobre la prohibición de la apología del odio nacional, racial o religioso que constituye incitación a la discriminación, la hostilidad </w:t>
      </w:r>
      <w:r w:rsidRPr="006F084A">
        <w:lastRenderedPageBreak/>
        <w:t>o la violencia</w:t>
      </w:r>
      <w:r w:rsidR="00B56649">
        <w:t>”</w:t>
      </w:r>
      <w:r w:rsidRPr="006F084A">
        <w:t xml:space="preserve"> para 2012</w:t>
      </w:r>
      <w:r w:rsidRPr="006F084A">
        <w:rPr>
          <w:rStyle w:val="Refdenotaalpie"/>
          <w:lang w:val="en-GB"/>
        </w:rPr>
        <w:footnoteReference w:id="61"/>
      </w:r>
      <w:r w:rsidRPr="006F084A">
        <w:t xml:space="preserve">. Asimismo, se refleja en los efectos derivados de la histórica visita del Papa Francisco al Reino de Marruecos en marzo de 2019, y en la aprobación, en julio de 2019, por la Asamblea General de las Naciones Unidas del proyecto de resolución patrocinado por Marruecos sobre la lucha contra el discurso del odio titulado: </w:t>
      </w:r>
      <w:r w:rsidR="00B56649">
        <w:t>“</w:t>
      </w:r>
      <w:r w:rsidRPr="006F084A">
        <w:t>La lucha contra el discurso de odio: Promoción del diálogo y la tolerancia entre religiones y culturas para combatir el discurso de odio</w:t>
      </w:r>
      <w:r w:rsidR="00B56649">
        <w:t>”</w:t>
      </w:r>
      <w:r w:rsidRPr="006F084A">
        <w:rPr>
          <w:rStyle w:val="Refdenotaalpie"/>
          <w:lang w:val="en-GB"/>
        </w:rPr>
        <w:footnoteReference w:id="62"/>
      </w:r>
      <w:r w:rsidRPr="006F084A">
        <w:t xml:space="preserve">. </w:t>
      </w:r>
    </w:p>
    <w:p w14:paraId="1FDA6A1F" w14:textId="6BCB5B53" w:rsidR="004E0684" w:rsidRPr="006F084A" w:rsidRDefault="009C135B" w:rsidP="009C135B">
      <w:pPr>
        <w:pStyle w:val="H1G"/>
        <w:rPr>
          <w:rFonts w:eastAsia="Calibri"/>
        </w:rPr>
      </w:pPr>
      <w:r>
        <w:tab/>
      </w:r>
      <w:r w:rsidR="004E0684" w:rsidRPr="006F084A">
        <w:t>D.</w:t>
      </w:r>
      <w:r>
        <w:tab/>
      </w:r>
      <w:r w:rsidR="004E0684" w:rsidRPr="006F084A">
        <w:t>Proceso de elaboración de informes en el plano nacional</w:t>
      </w:r>
      <w:bookmarkStart w:id="7" w:name="_Toc64366042"/>
      <w:bookmarkEnd w:id="7"/>
    </w:p>
    <w:p w14:paraId="1925F5B7" w14:textId="5F3CCC92" w:rsidR="004E0684" w:rsidRPr="006F084A" w:rsidRDefault="004E0684" w:rsidP="004E0684">
      <w:pPr>
        <w:pStyle w:val="SingleTxtG"/>
        <w:rPr>
          <w:rFonts w:eastAsia="Calibri"/>
        </w:rPr>
      </w:pPr>
      <w:r w:rsidRPr="006F084A">
        <w:t>195.</w:t>
      </w:r>
      <w:r w:rsidR="009C135B">
        <w:tab/>
      </w:r>
      <w:r w:rsidRPr="006F084A">
        <w:t xml:space="preserve">El Gobierno marroquí ha cumplido con sus obligaciones internacionales en cuanto a la elaboración y presentación de los informes nacionales se refiere, encargando a los sectores gubernamentales pertinentes la elaboración de los informes relativos a las cuestiones que tienen a su cargo. Sin embargo, en vista del retraso en la preparación de algunos informes, y en respuesta a las recomendaciones de las instituciones nacionales de derechos humanos y las demandas de las organizaciones de la sociedad civil, el 11 de abril de 2011 se creó la Delegación Interministerial de Derechos Humanos. La Delegación tiene poderes para coordinar la política gubernamental en materia de derechos humanos y derecho internacional humanitario, en particular para llevar a cabo todas las tareas y tomar todas las iniciativas encaminadas a reforzar la adhesión a los derechos humanos, así como para proponer todas las medidas cuyo objetivo sea aplicar los convenios internacionales de derechos humanos y el derecho internacional humanitario en los que Marruecos es parte. Ello requiere promover la adhesión y ratificación de los instrumentos internacionales de derechos humanos, así como hacer un seguimiento de su aplicación efectiva, revisar las reservas formuladas, preparar informes nacionales periódicos y hacer un seguimiento de la aplicación de las recomendaciones formuladas por los organismos internacionales, así como de las comunicaciones e informes emitidos por los gobiernos y las organizaciones internacionales. </w:t>
      </w:r>
    </w:p>
    <w:p w14:paraId="605027C6" w14:textId="7BC04768" w:rsidR="004E0684" w:rsidRPr="006F084A" w:rsidRDefault="004E0684" w:rsidP="004E0684">
      <w:pPr>
        <w:pStyle w:val="SingleTxtG"/>
        <w:rPr>
          <w:rFonts w:eastAsia="Calibri"/>
        </w:rPr>
      </w:pPr>
      <w:r w:rsidRPr="006F084A">
        <w:t>196.</w:t>
      </w:r>
      <w:r w:rsidR="009C135B">
        <w:tab/>
      </w:r>
      <w:r w:rsidRPr="006F084A">
        <w:t>La Delegación también se ha encargado de desarrollar la cooperación con las organizaciones nacionales e internacionales de derechos humanos, contribuir al fortalecimiento de la capacidad de las organizaciones nacionales de la sociedad civil que trabajan en el ámbito de los derechos humanos y coordinar su participación en foros internacionales de derechos humanos. Del mismo modo, se ha encargado de dar su opinión y su apoyo a la acción gubernamental para adecuar las leyes nacionales a las normas internacionales de derechos humanos, y de coordinar la labor del Gobierno en materia de promoción, educación y formación en derechos humanos.</w:t>
      </w:r>
    </w:p>
    <w:p w14:paraId="7E12BCE7" w14:textId="09D6C1B2" w:rsidR="004E0684" w:rsidRPr="006F084A" w:rsidRDefault="004E0684" w:rsidP="004E0684">
      <w:pPr>
        <w:pStyle w:val="SingleTxtG"/>
        <w:rPr>
          <w:rFonts w:eastAsia="Calibri"/>
        </w:rPr>
      </w:pPr>
      <w:r w:rsidRPr="006F084A">
        <w:t>197.</w:t>
      </w:r>
      <w:r w:rsidR="009C135B">
        <w:tab/>
      </w:r>
      <w:r w:rsidRPr="006F084A">
        <w:t>El siguiente cuadro presenta la situación de Marruecos en relación con la presentación de informes ante los órganos creados en virtud de su adhesión a los convenios internacionales de derechos humanos</w:t>
      </w:r>
      <w:r w:rsidR="00B8306A">
        <w:t>.</w:t>
      </w:r>
      <w:r w:rsidRPr="006F084A">
        <w:t xml:space="preserve"> </w:t>
      </w:r>
    </w:p>
    <w:tbl>
      <w:tblPr>
        <w:tblW w:w="7370" w:type="dxa"/>
        <w:tblInd w:w="1134" w:type="dxa"/>
        <w:tblBorders>
          <w:top w:val="single" w:sz="4" w:space="0" w:color="auto"/>
        </w:tblBorders>
        <w:tblLayout w:type="fixed"/>
        <w:tblCellMar>
          <w:left w:w="0" w:type="dxa"/>
          <w:right w:w="113" w:type="dxa"/>
        </w:tblCellMar>
        <w:tblLook w:val="04A0" w:firstRow="1" w:lastRow="0" w:firstColumn="1" w:lastColumn="0" w:noHBand="0" w:noVBand="1"/>
      </w:tblPr>
      <w:tblGrid>
        <w:gridCol w:w="2996"/>
        <w:gridCol w:w="2099"/>
        <w:gridCol w:w="2275"/>
      </w:tblGrid>
      <w:tr w:rsidR="004E0684" w:rsidRPr="009C135B" w14:paraId="379E2C4F" w14:textId="77777777" w:rsidTr="00610536">
        <w:trPr>
          <w:trHeight w:val="240"/>
          <w:tblHeader/>
        </w:trPr>
        <w:tc>
          <w:tcPr>
            <w:tcW w:w="2996" w:type="dxa"/>
            <w:tcBorders>
              <w:top w:val="single" w:sz="4" w:space="0" w:color="auto"/>
              <w:bottom w:val="single" w:sz="12" w:space="0" w:color="auto"/>
            </w:tcBorders>
            <w:shd w:val="clear" w:color="auto" w:fill="auto"/>
            <w:vAlign w:val="bottom"/>
          </w:tcPr>
          <w:p w14:paraId="2FE5F24A" w14:textId="77777777" w:rsidR="004E0684" w:rsidRPr="007754D2" w:rsidRDefault="004E0684" w:rsidP="009C135B">
            <w:pPr>
              <w:pStyle w:val="SingleTxtG"/>
              <w:tabs>
                <w:tab w:val="clear" w:pos="1701"/>
                <w:tab w:val="clear" w:pos="2268"/>
                <w:tab w:val="clear" w:pos="2835"/>
              </w:tabs>
              <w:spacing w:before="80" w:after="80" w:line="200" w:lineRule="exact"/>
              <w:ind w:left="0" w:right="0"/>
              <w:jc w:val="left"/>
              <w:rPr>
                <w:bCs/>
                <w:i/>
                <w:sz w:val="16"/>
                <w:lang w:val="es-ES_tradnl"/>
              </w:rPr>
            </w:pPr>
            <w:r w:rsidRPr="007754D2">
              <w:rPr>
                <w:bCs/>
                <w:i/>
                <w:sz w:val="16"/>
                <w:lang w:val="es-ES_tradnl"/>
              </w:rPr>
              <w:t>Convenciones</w:t>
            </w:r>
          </w:p>
        </w:tc>
        <w:tc>
          <w:tcPr>
            <w:tcW w:w="2099" w:type="dxa"/>
            <w:tcBorders>
              <w:top w:val="single" w:sz="4" w:space="0" w:color="auto"/>
              <w:bottom w:val="single" w:sz="12" w:space="0" w:color="auto"/>
            </w:tcBorders>
            <w:shd w:val="clear" w:color="auto" w:fill="auto"/>
            <w:vAlign w:val="bottom"/>
          </w:tcPr>
          <w:p w14:paraId="238CCAD7" w14:textId="77777777" w:rsidR="004E0684" w:rsidRPr="007754D2" w:rsidRDefault="004E0684" w:rsidP="009C135B">
            <w:pPr>
              <w:pStyle w:val="SingleTxtG"/>
              <w:tabs>
                <w:tab w:val="clear" w:pos="1701"/>
                <w:tab w:val="clear" w:pos="2268"/>
                <w:tab w:val="clear" w:pos="2835"/>
              </w:tabs>
              <w:spacing w:before="80" w:after="80" w:line="200" w:lineRule="exact"/>
              <w:ind w:left="0" w:right="0"/>
              <w:jc w:val="left"/>
              <w:rPr>
                <w:bCs/>
                <w:i/>
                <w:sz w:val="16"/>
                <w:lang w:val="es-ES_tradnl"/>
              </w:rPr>
            </w:pPr>
            <w:r w:rsidRPr="007754D2">
              <w:rPr>
                <w:bCs/>
                <w:i/>
                <w:sz w:val="16"/>
                <w:lang w:val="es-ES_tradnl"/>
              </w:rPr>
              <w:t>Número de informes</w:t>
            </w:r>
          </w:p>
        </w:tc>
        <w:tc>
          <w:tcPr>
            <w:tcW w:w="2275" w:type="dxa"/>
            <w:tcBorders>
              <w:top w:val="single" w:sz="4" w:space="0" w:color="auto"/>
              <w:bottom w:val="single" w:sz="12" w:space="0" w:color="auto"/>
            </w:tcBorders>
            <w:shd w:val="clear" w:color="auto" w:fill="auto"/>
            <w:tcMar>
              <w:right w:w="0" w:type="dxa"/>
            </w:tcMar>
            <w:vAlign w:val="bottom"/>
          </w:tcPr>
          <w:p w14:paraId="6B4E584B" w14:textId="77777777" w:rsidR="004E0684" w:rsidRPr="007754D2" w:rsidRDefault="004E0684" w:rsidP="009C135B">
            <w:pPr>
              <w:pStyle w:val="SingleTxtG"/>
              <w:tabs>
                <w:tab w:val="clear" w:pos="1701"/>
                <w:tab w:val="clear" w:pos="2268"/>
                <w:tab w:val="clear" w:pos="2835"/>
              </w:tabs>
              <w:spacing w:before="80" w:after="80" w:line="200" w:lineRule="exact"/>
              <w:ind w:left="0" w:right="0"/>
              <w:jc w:val="left"/>
              <w:rPr>
                <w:bCs/>
                <w:i/>
                <w:sz w:val="16"/>
                <w:lang w:val="es-ES_tradnl"/>
              </w:rPr>
            </w:pPr>
            <w:r w:rsidRPr="007754D2">
              <w:rPr>
                <w:bCs/>
                <w:i/>
                <w:sz w:val="16"/>
                <w:lang w:val="es-ES_tradnl"/>
              </w:rPr>
              <w:t>Fecha de presentación del informe</w:t>
            </w:r>
          </w:p>
        </w:tc>
      </w:tr>
      <w:tr w:rsidR="004E0684" w:rsidRPr="009C135B" w14:paraId="259CA8C7" w14:textId="77777777" w:rsidTr="00610536">
        <w:trPr>
          <w:trHeight w:hRule="exact" w:val="113"/>
          <w:tblHeader/>
        </w:trPr>
        <w:tc>
          <w:tcPr>
            <w:tcW w:w="2996" w:type="dxa"/>
            <w:tcBorders>
              <w:top w:val="single" w:sz="12" w:space="0" w:color="auto"/>
            </w:tcBorders>
            <w:shd w:val="clear" w:color="auto" w:fill="auto"/>
          </w:tcPr>
          <w:p w14:paraId="4A169E4D" w14:textId="0CDEF496" w:rsidR="004E0684" w:rsidRPr="007754D2" w:rsidRDefault="004E0684" w:rsidP="009C135B">
            <w:pPr>
              <w:pStyle w:val="SingleTxtG"/>
              <w:tabs>
                <w:tab w:val="clear" w:pos="1701"/>
                <w:tab w:val="clear" w:pos="2268"/>
                <w:tab w:val="clear" w:pos="2835"/>
              </w:tabs>
              <w:spacing w:before="40"/>
              <w:ind w:left="0" w:right="0"/>
              <w:jc w:val="left"/>
              <w:rPr>
                <w:lang w:val="es-ES_tradnl"/>
              </w:rPr>
            </w:pPr>
          </w:p>
        </w:tc>
        <w:tc>
          <w:tcPr>
            <w:tcW w:w="2099" w:type="dxa"/>
            <w:tcBorders>
              <w:top w:val="single" w:sz="12" w:space="0" w:color="auto"/>
            </w:tcBorders>
            <w:shd w:val="clear" w:color="auto" w:fill="auto"/>
          </w:tcPr>
          <w:p w14:paraId="28871F87" w14:textId="414B9D51" w:rsidR="004E0684" w:rsidRPr="007754D2" w:rsidRDefault="004E0684" w:rsidP="009C135B">
            <w:pPr>
              <w:pStyle w:val="SingleTxtG"/>
              <w:tabs>
                <w:tab w:val="clear" w:pos="1701"/>
                <w:tab w:val="clear" w:pos="2268"/>
                <w:tab w:val="clear" w:pos="2835"/>
              </w:tabs>
              <w:spacing w:before="40"/>
              <w:ind w:left="0" w:right="0"/>
              <w:jc w:val="left"/>
              <w:rPr>
                <w:lang w:val="es-ES_tradnl"/>
              </w:rPr>
            </w:pPr>
          </w:p>
        </w:tc>
        <w:tc>
          <w:tcPr>
            <w:tcW w:w="2275" w:type="dxa"/>
            <w:tcBorders>
              <w:top w:val="single" w:sz="12" w:space="0" w:color="auto"/>
            </w:tcBorders>
            <w:shd w:val="clear" w:color="auto" w:fill="auto"/>
            <w:tcMar>
              <w:right w:w="0" w:type="dxa"/>
            </w:tcMar>
          </w:tcPr>
          <w:p w14:paraId="65D4891A" w14:textId="6CE8FD55" w:rsidR="004E0684" w:rsidRPr="007754D2" w:rsidRDefault="004E0684" w:rsidP="009C135B">
            <w:pPr>
              <w:pStyle w:val="SingleTxtG"/>
              <w:tabs>
                <w:tab w:val="clear" w:pos="1701"/>
                <w:tab w:val="clear" w:pos="2268"/>
                <w:tab w:val="clear" w:pos="2835"/>
              </w:tabs>
              <w:spacing w:before="40"/>
              <w:ind w:left="0" w:right="0"/>
              <w:jc w:val="left"/>
              <w:rPr>
                <w:lang w:val="es-ES_tradnl"/>
              </w:rPr>
            </w:pPr>
          </w:p>
        </w:tc>
      </w:tr>
      <w:tr w:rsidR="007754D2" w:rsidRPr="009C135B" w14:paraId="0F21F9AE" w14:textId="77777777" w:rsidTr="00610536">
        <w:trPr>
          <w:trHeight w:val="240"/>
        </w:trPr>
        <w:tc>
          <w:tcPr>
            <w:tcW w:w="2996" w:type="dxa"/>
            <w:shd w:val="clear" w:color="auto" w:fill="auto"/>
          </w:tcPr>
          <w:p w14:paraId="6C0BF68A" w14:textId="184162A8"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 xml:space="preserve">Convención Internacional sobre la Eliminación de </w:t>
            </w:r>
            <w:r w:rsidR="00B8306A" w:rsidRPr="007754D2">
              <w:rPr>
                <w:lang w:val="es-ES_tradnl"/>
              </w:rPr>
              <w:t xml:space="preserve">Todas </w:t>
            </w:r>
            <w:r w:rsidRPr="007754D2">
              <w:rPr>
                <w:lang w:val="es-ES_tradnl"/>
              </w:rPr>
              <w:t>las Formas de Discriminación Racial</w:t>
            </w:r>
          </w:p>
        </w:tc>
        <w:tc>
          <w:tcPr>
            <w:tcW w:w="2099" w:type="dxa"/>
            <w:shd w:val="clear" w:color="auto" w:fill="auto"/>
          </w:tcPr>
          <w:p w14:paraId="1CE4C070"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Informe inicial</w:t>
            </w:r>
          </w:p>
          <w:p w14:paraId="0EB74323"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Segundo informe</w:t>
            </w:r>
          </w:p>
          <w:p w14:paraId="27973CE7"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 xml:space="preserve">Tercer informe </w:t>
            </w:r>
          </w:p>
          <w:p w14:paraId="700843AE"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Cuarto informe</w:t>
            </w:r>
          </w:p>
          <w:p w14:paraId="08195B48"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 xml:space="preserve">Quinto informe </w:t>
            </w:r>
          </w:p>
          <w:p w14:paraId="4FCF9061"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 xml:space="preserve">Sexto informe </w:t>
            </w:r>
          </w:p>
          <w:p w14:paraId="68E2AE0E"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 xml:space="preserve">Séptimo informe </w:t>
            </w:r>
          </w:p>
          <w:p w14:paraId="5B3C409A"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 xml:space="preserve">Octavo informe </w:t>
            </w:r>
          </w:p>
          <w:p w14:paraId="318734E7"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Informes 9º, 10º y 11º</w:t>
            </w:r>
          </w:p>
          <w:p w14:paraId="2B055D68"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lastRenderedPageBreak/>
              <w:t>Informes 12º y 13º</w:t>
            </w:r>
          </w:p>
          <w:p w14:paraId="07DD304F"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Informes 14º, 15º y 16º</w:t>
            </w:r>
          </w:p>
          <w:p w14:paraId="4B92EBCA"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Informes 17º y 18º</w:t>
            </w:r>
          </w:p>
          <w:p w14:paraId="21FE0F7C" w14:textId="5E6C7AD9"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Informes 19º, 20º y 21º</w:t>
            </w:r>
          </w:p>
        </w:tc>
        <w:tc>
          <w:tcPr>
            <w:tcW w:w="2275" w:type="dxa"/>
            <w:shd w:val="clear" w:color="auto" w:fill="auto"/>
            <w:tcMar>
              <w:right w:w="0" w:type="dxa"/>
            </w:tcMar>
          </w:tcPr>
          <w:p w14:paraId="02B1C834"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lastRenderedPageBreak/>
              <w:t>17 de enero de 1972</w:t>
            </w:r>
          </w:p>
          <w:p w14:paraId="795A1F8B"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7 de febrero de 1974</w:t>
            </w:r>
          </w:p>
          <w:p w14:paraId="11792198"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9 de diciembre de 1976</w:t>
            </w:r>
          </w:p>
          <w:p w14:paraId="6F0A85A1"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7 de octubre de 1977</w:t>
            </w:r>
          </w:p>
          <w:p w14:paraId="01B56149"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23 de enero de 1980</w:t>
            </w:r>
          </w:p>
          <w:p w14:paraId="2661E14C"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29 de octubre de 1982</w:t>
            </w:r>
          </w:p>
          <w:p w14:paraId="140CE7CC"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7 de septiembre de 1984</w:t>
            </w:r>
          </w:p>
          <w:p w14:paraId="4E2536A7"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14 de julio de 1986</w:t>
            </w:r>
          </w:p>
          <w:p w14:paraId="04AE91B1"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22 de abril de 1993</w:t>
            </w:r>
          </w:p>
          <w:p w14:paraId="3817F1CB"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lastRenderedPageBreak/>
              <w:t>6 de noviembre de 1997</w:t>
            </w:r>
          </w:p>
          <w:p w14:paraId="09A3BEF5"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31 de enero de 2002</w:t>
            </w:r>
          </w:p>
          <w:p w14:paraId="69E1780C" w14:textId="77777777"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12 de enero de 2009</w:t>
            </w:r>
          </w:p>
          <w:p w14:paraId="2AA4CB8F" w14:textId="09C7434C" w:rsidR="007754D2" w:rsidRPr="007754D2" w:rsidRDefault="007754D2" w:rsidP="007754D2">
            <w:pPr>
              <w:pStyle w:val="SingleTxtG"/>
              <w:tabs>
                <w:tab w:val="clear" w:pos="1701"/>
                <w:tab w:val="clear" w:pos="2268"/>
                <w:tab w:val="clear" w:pos="2835"/>
              </w:tabs>
              <w:spacing w:before="40"/>
              <w:ind w:left="0" w:right="0"/>
              <w:jc w:val="left"/>
              <w:rPr>
                <w:lang w:val="es-ES_tradnl"/>
              </w:rPr>
            </w:pPr>
            <w:r w:rsidRPr="007754D2">
              <w:rPr>
                <w:lang w:val="es-ES_tradnl"/>
              </w:rPr>
              <w:t>30 de julio de 2019</w:t>
            </w:r>
          </w:p>
        </w:tc>
      </w:tr>
      <w:tr w:rsidR="007754D2" w:rsidRPr="009C135B" w14:paraId="2F0E0124" w14:textId="77777777" w:rsidTr="00610536">
        <w:trPr>
          <w:trHeight w:val="240"/>
        </w:trPr>
        <w:tc>
          <w:tcPr>
            <w:tcW w:w="2996" w:type="dxa"/>
            <w:shd w:val="clear" w:color="auto" w:fill="auto"/>
          </w:tcPr>
          <w:p w14:paraId="06039737" w14:textId="77777777" w:rsidR="007754D2" w:rsidRPr="009C135B" w:rsidRDefault="007754D2" w:rsidP="007754D2">
            <w:pPr>
              <w:pStyle w:val="SingleTxtG"/>
              <w:tabs>
                <w:tab w:val="clear" w:pos="1701"/>
                <w:tab w:val="clear" w:pos="2268"/>
                <w:tab w:val="clear" w:pos="2835"/>
              </w:tabs>
              <w:spacing w:before="40"/>
              <w:ind w:left="0" w:right="0"/>
              <w:jc w:val="left"/>
            </w:pPr>
            <w:r w:rsidRPr="009C135B">
              <w:lastRenderedPageBreak/>
              <w:t>Pacto Internacional de Derechos Económicos, Sociales y Culturales</w:t>
            </w:r>
          </w:p>
        </w:tc>
        <w:tc>
          <w:tcPr>
            <w:tcW w:w="2099" w:type="dxa"/>
            <w:shd w:val="clear" w:color="auto" w:fill="auto"/>
          </w:tcPr>
          <w:p w14:paraId="52CCBFF1" w14:textId="77777777" w:rsidR="007754D2" w:rsidRPr="009C135B" w:rsidRDefault="007754D2" w:rsidP="007754D2">
            <w:pPr>
              <w:pStyle w:val="SingleTxtG"/>
              <w:tabs>
                <w:tab w:val="clear" w:pos="1701"/>
                <w:tab w:val="clear" w:pos="2268"/>
                <w:tab w:val="clear" w:pos="2835"/>
              </w:tabs>
              <w:spacing w:before="40"/>
              <w:ind w:left="0" w:right="0"/>
              <w:jc w:val="left"/>
            </w:pPr>
            <w:r w:rsidRPr="009C135B">
              <w:t>Informe inicial</w:t>
            </w:r>
          </w:p>
          <w:p w14:paraId="13EC6BC7" w14:textId="77777777" w:rsidR="007754D2" w:rsidRPr="009C135B" w:rsidRDefault="007754D2" w:rsidP="007754D2">
            <w:pPr>
              <w:pStyle w:val="SingleTxtG"/>
              <w:tabs>
                <w:tab w:val="clear" w:pos="1701"/>
                <w:tab w:val="clear" w:pos="2268"/>
                <w:tab w:val="clear" w:pos="2835"/>
              </w:tabs>
              <w:spacing w:before="40"/>
              <w:ind w:left="0" w:right="0"/>
              <w:jc w:val="left"/>
            </w:pPr>
            <w:r w:rsidRPr="009C135B">
              <w:t xml:space="preserve">Segundo informe </w:t>
            </w:r>
          </w:p>
          <w:p w14:paraId="6FEF61FE" w14:textId="77777777" w:rsidR="007754D2" w:rsidRPr="009C135B" w:rsidRDefault="007754D2" w:rsidP="007754D2">
            <w:pPr>
              <w:pStyle w:val="SingleTxtG"/>
              <w:tabs>
                <w:tab w:val="clear" w:pos="1701"/>
                <w:tab w:val="clear" w:pos="2268"/>
                <w:tab w:val="clear" w:pos="2835"/>
              </w:tabs>
              <w:spacing w:before="40"/>
              <w:ind w:left="0" w:right="0"/>
              <w:jc w:val="left"/>
            </w:pPr>
            <w:r w:rsidRPr="009C135B">
              <w:t>Tercer informe</w:t>
            </w:r>
          </w:p>
          <w:p w14:paraId="4D8F5006" w14:textId="77777777" w:rsidR="007754D2" w:rsidRPr="009C135B" w:rsidRDefault="007754D2" w:rsidP="007754D2">
            <w:pPr>
              <w:pStyle w:val="SingleTxtG"/>
              <w:tabs>
                <w:tab w:val="clear" w:pos="1701"/>
                <w:tab w:val="clear" w:pos="2268"/>
                <w:tab w:val="clear" w:pos="2835"/>
              </w:tabs>
              <w:spacing w:before="40"/>
              <w:ind w:left="0" w:right="0"/>
              <w:jc w:val="left"/>
            </w:pPr>
            <w:r w:rsidRPr="009C135B">
              <w:t>Cuarto informe</w:t>
            </w:r>
          </w:p>
        </w:tc>
        <w:tc>
          <w:tcPr>
            <w:tcW w:w="2275" w:type="dxa"/>
            <w:shd w:val="clear" w:color="auto" w:fill="auto"/>
            <w:tcMar>
              <w:right w:w="0" w:type="dxa"/>
            </w:tcMar>
          </w:tcPr>
          <w:p w14:paraId="0DFDCEAC" w14:textId="77777777" w:rsidR="007754D2" w:rsidRPr="009C135B" w:rsidRDefault="007754D2" w:rsidP="007754D2">
            <w:pPr>
              <w:pStyle w:val="SingleTxtG"/>
              <w:tabs>
                <w:tab w:val="clear" w:pos="1701"/>
                <w:tab w:val="clear" w:pos="2268"/>
                <w:tab w:val="clear" w:pos="2835"/>
              </w:tabs>
              <w:spacing w:before="40"/>
              <w:ind w:left="0" w:right="0"/>
              <w:jc w:val="left"/>
            </w:pPr>
            <w:r w:rsidRPr="009C135B">
              <w:t>16 de marzo de 1993</w:t>
            </w:r>
          </w:p>
          <w:p w14:paraId="5CEE63D1" w14:textId="77777777" w:rsidR="007754D2" w:rsidRPr="009C135B" w:rsidRDefault="007754D2" w:rsidP="007754D2">
            <w:pPr>
              <w:pStyle w:val="SingleTxtG"/>
              <w:tabs>
                <w:tab w:val="clear" w:pos="1701"/>
                <w:tab w:val="clear" w:pos="2268"/>
                <w:tab w:val="clear" w:pos="2835"/>
              </w:tabs>
              <w:spacing w:before="40"/>
              <w:ind w:left="0" w:right="0"/>
              <w:jc w:val="left"/>
            </w:pPr>
            <w:r w:rsidRPr="009C135B">
              <w:t>27 de agosto de 1998</w:t>
            </w:r>
          </w:p>
          <w:p w14:paraId="40781FC5" w14:textId="77777777" w:rsidR="007754D2" w:rsidRPr="009C135B" w:rsidRDefault="007754D2" w:rsidP="007754D2">
            <w:pPr>
              <w:pStyle w:val="SingleTxtG"/>
              <w:tabs>
                <w:tab w:val="clear" w:pos="1701"/>
                <w:tab w:val="clear" w:pos="2268"/>
                <w:tab w:val="clear" w:pos="2835"/>
              </w:tabs>
              <w:spacing w:before="40"/>
              <w:ind w:left="0" w:right="0"/>
              <w:jc w:val="left"/>
            </w:pPr>
            <w:r w:rsidRPr="009C135B">
              <w:t>27 de octubre de 2004</w:t>
            </w:r>
          </w:p>
          <w:p w14:paraId="5B67900C" w14:textId="77777777" w:rsidR="007754D2" w:rsidRPr="009C135B" w:rsidRDefault="007754D2" w:rsidP="007754D2">
            <w:pPr>
              <w:pStyle w:val="SingleTxtG"/>
              <w:tabs>
                <w:tab w:val="clear" w:pos="1701"/>
                <w:tab w:val="clear" w:pos="2268"/>
                <w:tab w:val="clear" w:pos="2835"/>
              </w:tabs>
              <w:spacing w:before="40"/>
              <w:ind w:left="0" w:right="0"/>
              <w:jc w:val="left"/>
            </w:pPr>
            <w:r w:rsidRPr="009C135B">
              <w:t>24 de enero de 2013</w:t>
            </w:r>
          </w:p>
        </w:tc>
      </w:tr>
      <w:tr w:rsidR="007754D2" w:rsidRPr="009C135B" w14:paraId="3B9F9023" w14:textId="77777777" w:rsidTr="00610536">
        <w:trPr>
          <w:trHeight w:val="240"/>
        </w:trPr>
        <w:tc>
          <w:tcPr>
            <w:tcW w:w="2996" w:type="dxa"/>
            <w:shd w:val="clear" w:color="auto" w:fill="auto"/>
          </w:tcPr>
          <w:p w14:paraId="474E8151" w14:textId="77777777" w:rsidR="007754D2" w:rsidRPr="009C135B" w:rsidRDefault="007754D2" w:rsidP="007754D2">
            <w:pPr>
              <w:pStyle w:val="SingleTxtG"/>
              <w:tabs>
                <w:tab w:val="clear" w:pos="1701"/>
                <w:tab w:val="clear" w:pos="2268"/>
                <w:tab w:val="clear" w:pos="2835"/>
              </w:tabs>
              <w:spacing w:before="40"/>
              <w:ind w:left="0" w:right="0"/>
              <w:jc w:val="left"/>
            </w:pPr>
            <w:r w:rsidRPr="009C135B">
              <w:t>Pacto Internacional de Derechos Civiles y Políticos</w:t>
            </w:r>
          </w:p>
        </w:tc>
        <w:tc>
          <w:tcPr>
            <w:tcW w:w="2099" w:type="dxa"/>
            <w:shd w:val="clear" w:color="auto" w:fill="auto"/>
          </w:tcPr>
          <w:p w14:paraId="29C3E5F5" w14:textId="77777777" w:rsidR="007754D2" w:rsidRPr="009C135B" w:rsidRDefault="007754D2" w:rsidP="007754D2">
            <w:pPr>
              <w:pStyle w:val="SingleTxtG"/>
              <w:tabs>
                <w:tab w:val="clear" w:pos="1701"/>
                <w:tab w:val="clear" w:pos="2268"/>
                <w:tab w:val="clear" w:pos="2835"/>
              </w:tabs>
              <w:spacing w:before="40"/>
              <w:ind w:left="0" w:right="0"/>
              <w:jc w:val="left"/>
            </w:pPr>
            <w:r w:rsidRPr="009C135B">
              <w:t>Informe inicial</w:t>
            </w:r>
          </w:p>
          <w:p w14:paraId="5B59A033" w14:textId="77777777" w:rsidR="007754D2" w:rsidRPr="009C135B" w:rsidRDefault="007754D2" w:rsidP="007754D2">
            <w:pPr>
              <w:pStyle w:val="SingleTxtG"/>
              <w:tabs>
                <w:tab w:val="clear" w:pos="1701"/>
                <w:tab w:val="clear" w:pos="2268"/>
                <w:tab w:val="clear" w:pos="2835"/>
              </w:tabs>
              <w:spacing w:before="40"/>
              <w:ind w:left="0" w:right="0"/>
              <w:jc w:val="left"/>
            </w:pPr>
            <w:r w:rsidRPr="009C135B">
              <w:t xml:space="preserve">Segundo informe </w:t>
            </w:r>
          </w:p>
          <w:p w14:paraId="1863A736" w14:textId="77777777" w:rsidR="007754D2" w:rsidRPr="009C135B" w:rsidRDefault="007754D2" w:rsidP="007754D2">
            <w:pPr>
              <w:pStyle w:val="SingleTxtG"/>
              <w:tabs>
                <w:tab w:val="clear" w:pos="1701"/>
                <w:tab w:val="clear" w:pos="2268"/>
                <w:tab w:val="clear" w:pos="2835"/>
              </w:tabs>
              <w:spacing w:before="40"/>
              <w:ind w:left="0" w:right="0"/>
              <w:jc w:val="left"/>
            </w:pPr>
            <w:r w:rsidRPr="009C135B">
              <w:t xml:space="preserve">Tercer informe </w:t>
            </w:r>
          </w:p>
          <w:p w14:paraId="42127E8F" w14:textId="77777777" w:rsidR="007754D2" w:rsidRPr="009C135B" w:rsidRDefault="007754D2" w:rsidP="007754D2">
            <w:pPr>
              <w:pStyle w:val="SingleTxtG"/>
              <w:tabs>
                <w:tab w:val="clear" w:pos="1701"/>
                <w:tab w:val="clear" w:pos="2268"/>
                <w:tab w:val="clear" w:pos="2835"/>
              </w:tabs>
              <w:spacing w:before="40"/>
              <w:ind w:left="0" w:right="0"/>
              <w:jc w:val="left"/>
            </w:pPr>
            <w:r w:rsidRPr="009C135B">
              <w:t xml:space="preserve">Cuarto informe </w:t>
            </w:r>
          </w:p>
          <w:p w14:paraId="5A8E19C7" w14:textId="77777777" w:rsidR="007754D2" w:rsidRPr="009C135B" w:rsidRDefault="007754D2" w:rsidP="007754D2">
            <w:pPr>
              <w:pStyle w:val="SingleTxtG"/>
              <w:tabs>
                <w:tab w:val="clear" w:pos="1701"/>
                <w:tab w:val="clear" w:pos="2268"/>
                <w:tab w:val="clear" w:pos="2835"/>
              </w:tabs>
              <w:spacing w:before="40"/>
              <w:ind w:left="0" w:right="0"/>
              <w:jc w:val="left"/>
            </w:pPr>
            <w:r w:rsidRPr="009C135B">
              <w:t xml:space="preserve">Quinto informe </w:t>
            </w:r>
          </w:p>
          <w:p w14:paraId="187FBB5E" w14:textId="77777777" w:rsidR="007754D2" w:rsidRPr="009C135B" w:rsidRDefault="007754D2" w:rsidP="007754D2">
            <w:pPr>
              <w:pStyle w:val="SingleTxtG"/>
              <w:tabs>
                <w:tab w:val="clear" w:pos="1701"/>
                <w:tab w:val="clear" w:pos="2268"/>
                <w:tab w:val="clear" w:pos="2835"/>
              </w:tabs>
              <w:spacing w:before="40"/>
              <w:ind w:left="0" w:right="0"/>
              <w:jc w:val="left"/>
            </w:pPr>
            <w:r w:rsidRPr="009C135B">
              <w:t xml:space="preserve">Sexto informe </w:t>
            </w:r>
          </w:p>
        </w:tc>
        <w:tc>
          <w:tcPr>
            <w:tcW w:w="2275" w:type="dxa"/>
            <w:shd w:val="clear" w:color="auto" w:fill="auto"/>
            <w:tcMar>
              <w:right w:w="0" w:type="dxa"/>
            </w:tcMar>
          </w:tcPr>
          <w:p w14:paraId="7743B0FA" w14:textId="77777777" w:rsidR="007754D2" w:rsidRPr="009C135B" w:rsidRDefault="007754D2" w:rsidP="007754D2">
            <w:pPr>
              <w:pStyle w:val="SingleTxtG"/>
              <w:tabs>
                <w:tab w:val="clear" w:pos="1701"/>
                <w:tab w:val="clear" w:pos="2268"/>
                <w:tab w:val="clear" w:pos="2835"/>
              </w:tabs>
              <w:spacing w:before="40"/>
              <w:ind w:left="0" w:right="0"/>
              <w:jc w:val="left"/>
            </w:pPr>
            <w:r w:rsidRPr="009C135B">
              <w:t>9 de febrero de 1981</w:t>
            </w:r>
          </w:p>
          <w:p w14:paraId="7AE970FC" w14:textId="77777777" w:rsidR="007754D2" w:rsidRPr="009C135B" w:rsidRDefault="007754D2" w:rsidP="007754D2">
            <w:pPr>
              <w:pStyle w:val="SingleTxtG"/>
              <w:tabs>
                <w:tab w:val="clear" w:pos="1701"/>
                <w:tab w:val="clear" w:pos="2268"/>
                <w:tab w:val="clear" w:pos="2835"/>
              </w:tabs>
              <w:spacing w:before="40"/>
              <w:ind w:left="0" w:right="0"/>
              <w:jc w:val="left"/>
            </w:pPr>
            <w:r w:rsidRPr="009C135B">
              <w:t>22 de marzo de 1990</w:t>
            </w:r>
          </w:p>
          <w:p w14:paraId="68A071A6" w14:textId="77777777" w:rsidR="007754D2" w:rsidRPr="009C135B" w:rsidRDefault="007754D2" w:rsidP="007754D2">
            <w:pPr>
              <w:pStyle w:val="SingleTxtG"/>
              <w:tabs>
                <w:tab w:val="clear" w:pos="1701"/>
                <w:tab w:val="clear" w:pos="2268"/>
                <w:tab w:val="clear" w:pos="2835"/>
              </w:tabs>
              <w:spacing w:before="40"/>
              <w:ind w:left="0" w:right="0"/>
              <w:jc w:val="left"/>
            </w:pPr>
            <w:r w:rsidRPr="009C135B">
              <w:t>20 de julio de 1993</w:t>
            </w:r>
          </w:p>
          <w:p w14:paraId="6E34E21E" w14:textId="77777777" w:rsidR="007754D2" w:rsidRPr="009C135B" w:rsidRDefault="007754D2" w:rsidP="007754D2">
            <w:pPr>
              <w:pStyle w:val="SingleTxtG"/>
              <w:tabs>
                <w:tab w:val="clear" w:pos="1701"/>
                <w:tab w:val="clear" w:pos="2268"/>
                <w:tab w:val="clear" w:pos="2835"/>
              </w:tabs>
              <w:spacing w:before="40"/>
              <w:ind w:left="0" w:right="0"/>
              <w:jc w:val="left"/>
            </w:pPr>
            <w:r w:rsidRPr="009C135B">
              <w:t>27 de enero de 1997</w:t>
            </w:r>
          </w:p>
          <w:p w14:paraId="7DD3798D" w14:textId="77777777" w:rsidR="007754D2" w:rsidRPr="009C135B" w:rsidRDefault="007754D2" w:rsidP="007754D2">
            <w:pPr>
              <w:pStyle w:val="SingleTxtG"/>
              <w:tabs>
                <w:tab w:val="clear" w:pos="1701"/>
                <w:tab w:val="clear" w:pos="2268"/>
                <w:tab w:val="clear" w:pos="2835"/>
              </w:tabs>
              <w:spacing w:before="40"/>
              <w:ind w:left="0" w:right="0"/>
              <w:jc w:val="left"/>
            </w:pPr>
            <w:r w:rsidRPr="009C135B">
              <w:t>10 de marzo de 2004</w:t>
            </w:r>
          </w:p>
          <w:p w14:paraId="34EB22B7" w14:textId="77777777" w:rsidR="007754D2" w:rsidRPr="009C135B" w:rsidRDefault="007754D2" w:rsidP="007754D2">
            <w:pPr>
              <w:pStyle w:val="SingleTxtG"/>
              <w:tabs>
                <w:tab w:val="clear" w:pos="1701"/>
                <w:tab w:val="clear" w:pos="2268"/>
                <w:tab w:val="clear" w:pos="2835"/>
              </w:tabs>
              <w:spacing w:before="40"/>
              <w:ind w:left="0" w:right="0"/>
              <w:jc w:val="left"/>
            </w:pPr>
            <w:r w:rsidRPr="009C135B">
              <w:t>7 de julio de 2015</w:t>
            </w:r>
          </w:p>
        </w:tc>
      </w:tr>
      <w:tr w:rsidR="007754D2" w:rsidRPr="009C135B" w14:paraId="5198603C" w14:textId="77777777" w:rsidTr="00610536">
        <w:trPr>
          <w:trHeight w:val="240"/>
        </w:trPr>
        <w:tc>
          <w:tcPr>
            <w:tcW w:w="2996" w:type="dxa"/>
            <w:shd w:val="clear" w:color="auto" w:fill="auto"/>
          </w:tcPr>
          <w:p w14:paraId="73695764" w14:textId="77777777" w:rsidR="007754D2" w:rsidRPr="009C135B" w:rsidRDefault="007754D2" w:rsidP="007754D2">
            <w:pPr>
              <w:pStyle w:val="SingleTxtG"/>
              <w:tabs>
                <w:tab w:val="clear" w:pos="1701"/>
                <w:tab w:val="clear" w:pos="2268"/>
                <w:tab w:val="clear" w:pos="2835"/>
              </w:tabs>
              <w:spacing w:before="40"/>
              <w:ind w:left="0" w:right="0"/>
              <w:jc w:val="left"/>
            </w:pPr>
            <w:r w:rsidRPr="009C135B">
              <w:t>Convención sobre la Eliminación de Todas las Formas de Discriminación contra la Mujer</w:t>
            </w:r>
          </w:p>
        </w:tc>
        <w:tc>
          <w:tcPr>
            <w:tcW w:w="2099" w:type="dxa"/>
            <w:shd w:val="clear" w:color="auto" w:fill="auto"/>
          </w:tcPr>
          <w:p w14:paraId="2B4A9EE0" w14:textId="77777777" w:rsidR="007754D2" w:rsidRPr="009C135B" w:rsidRDefault="007754D2" w:rsidP="007754D2">
            <w:pPr>
              <w:pStyle w:val="SingleTxtG"/>
              <w:tabs>
                <w:tab w:val="clear" w:pos="1701"/>
                <w:tab w:val="clear" w:pos="2268"/>
                <w:tab w:val="clear" w:pos="2835"/>
              </w:tabs>
              <w:spacing w:before="40"/>
              <w:ind w:left="0" w:right="0"/>
              <w:jc w:val="left"/>
            </w:pPr>
            <w:r w:rsidRPr="009C135B">
              <w:t>Informe inicial</w:t>
            </w:r>
          </w:p>
          <w:p w14:paraId="68BDC17A" w14:textId="77777777" w:rsidR="007754D2" w:rsidRPr="009C135B" w:rsidRDefault="007754D2" w:rsidP="007754D2">
            <w:pPr>
              <w:pStyle w:val="SingleTxtG"/>
              <w:tabs>
                <w:tab w:val="clear" w:pos="1701"/>
                <w:tab w:val="clear" w:pos="2268"/>
                <w:tab w:val="clear" w:pos="2835"/>
              </w:tabs>
              <w:spacing w:before="40"/>
              <w:ind w:left="0" w:right="0"/>
              <w:jc w:val="left"/>
            </w:pPr>
            <w:r w:rsidRPr="009C135B">
              <w:t xml:space="preserve">Segundo informe </w:t>
            </w:r>
          </w:p>
          <w:p w14:paraId="52B457CF" w14:textId="77777777" w:rsidR="007754D2" w:rsidRPr="009C135B" w:rsidRDefault="007754D2" w:rsidP="007754D2">
            <w:pPr>
              <w:pStyle w:val="SingleTxtG"/>
              <w:tabs>
                <w:tab w:val="clear" w:pos="1701"/>
                <w:tab w:val="clear" w:pos="2268"/>
                <w:tab w:val="clear" w:pos="2835"/>
              </w:tabs>
              <w:spacing w:before="40"/>
              <w:ind w:left="0" w:right="0"/>
              <w:jc w:val="left"/>
            </w:pPr>
            <w:r w:rsidRPr="009C135B">
              <w:t>Informes 3º y 4º</w:t>
            </w:r>
          </w:p>
          <w:p w14:paraId="6B998F04" w14:textId="77777777" w:rsidR="007754D2" w:rsidRPr="009C135B" w:rsidRDefault="007754D2" w:rsidP="007754D2">
            <w:pPr>
              <w:pStyle w:val="SingleTxtG"/>
              <w:tabs>
                <w:tab w:val="clear" w:pos="1701"/>
                <w:tab w:val="clear" w:pos="2268"/>
                <w:tab w:val="clear" w:pos="2835"/>
              </w:tabs>
              <w:spacing w:before="40"/>
              <w:ind w:left="0" w:right="0"/>
              <w:jc w:val="left"/>
            </w:pPr>
            <w:r w:rsidRPr="009C135B">
              <w:t>Informes 5º y 6º</w:t>
            </w:r>
          </w:p>
        </w:tc>
        <w:tc>
          <w:tcPr>
            <w:tcW w:w="2275" w:type="dxa"/>
            <w:shd w:val="clear" w:color="auto" w:fill="auto"/>
            <w:tcMar>
              <w:right w:w="0" w:type="dxa"/>
            </w:tcMar>
          </w:tcPr>
          <w:p w14:paraId="7D107F17" w14:textId="77777777" w:rsidR="007754D2" w:rsidRPr="009C135B" w:rsidRDefault="007754D2" w:rsidP="007754D2">
            <w:pPr>
              <w:pStyle w:val="SingleTxtG"/>
              <w:tabs>
                <w:tab w:val="clear" w:pos="1701"/>
                <w:tab w:val="clear" w:pos="2268"/>
                <w:tab w:val="clear" w:pos="2835"/>
              </w:tabs>
              <w:spacing w:before="40"/>
              <w:ind w:left="0" w:right="0"/>
              <w:jc w:val="left"/>
            </w:pPr>
            <w:r w:rsidRPr="009C135B">
              <w:t>14 de septiembre de 1994</w:t>
            </w:r>
          </w:p>
          <w:p w14:paraId="7CE89242" w14:textId="77777777" w:rsidR="007754D2" w:rsidRPr="009C135B" w:rsidRDefault="007754D2" w:rsidP="007754D2">
            <w:pPr>
              <w:pStyle w:val="SingleTxtG"/>
              <w:tabs>
                <w:tab w:val="clear" w:pos="1701"/>
                <w:tab w:val="clear" w:pos="2268"/>
                <w:tab w:val="clear" w:pos="2835"/>
              </w:tabs>
              <w:spacing w:before="40"/>
              <w:ind w:left="0" w:right="0"/>
              <w:jc w:val="left"/>
            </w:pPr>
            <w:r w:rsidRPr="009C135B">
              <w:t>29 de febrero de 2000</w:t>
            </w:r>
          </w:p>
          <w:p w14:paraId="013FE664" w14:textId="77777777" w:rsidR="007754D2" w:rsidRPr="009C135B" w:rsidRDefault="007754D2" w:rsidP="007754D2">
            <w:pPr>
              <w:pStyle w:val="SingleTxtG"/>
              <w:tabs>
                <w:tab w:val="clear" w:pos="1701"/>
                <w:tab w:val="clear" w:pos="2268"/>
                <w:tab w:val="clear" w:pos="2835"/>
              </w:tabs>
              <w:spacing w:before="40"/>
              <w:ind w:left="0" w:right="0"/>
              <w:jc w:val="left"/>
            </w:pPr>
            <w:r w:rsidRPr="009C135B">
              <w:t>18 de septiembre de 2006</w:t>
            </w:r>
          </w:p>
          <w:p w14:paraId="0B7639E9" w14:textId="77777777" w:rsidR="007754D2" w:rsidRPr="009C135B" w:rsidRDefault="007754D2" w:rsidP="007754D2">
            <w:pPr>
              <w:pStyle w:val="SingleTxtG"/>
              <w:tabs>
                <w:tab w:val="clear" w:pos="1701"/>
                <w:tab w:val="clear" w:pos="2268"/>
                <w:tab w:val="clear" w:pos="2835"/>
              </w:tabs>
              <w:spacing w:before="40"/>
              <w:ind w:left="0" w:right="0"/>
              <w:jc w:val="left"/>
            </w:pPr>
            <w:r w:rsidRPr="009C135B">
              <w:t xml:space="preserve"> 30 de diciembre de 2019</w:t>
            </w:r>
          </w:p>
        </w:tc>
      </w:tr>
      <w:tr w:rsidR="007754D2" w:rsidRPr="009C135B" w14:paraId="06FF3581" w14:textId="77777777" w:rsidTr="00610536">
        <w:trPr>
          <w:trHeight w:val="240"/>
        </w:trPr>
        <w:tc>
          <w:tcPr>
            <w:tcW w:w="2996" w:type="dxa"/>
            <w:shd w:val="clear" w:color="auto" w:fill="auto"/>
          </w:tcPr>
          <w:p w14:paraId="5DB0B2CD" w14:textId="04C74AEE" w:rsidR="007754D2" w:rsidRPr="009C135B" w:rsidRDefault="007754D2" w:rsidP="007754D2">
            <w:pPr>
              <w:pStyle w:val="SingleTxtG"/>
              <w:tabs>
                <w:tab w:val="clear" w:pos="1701"/>
                <w:tab w:val="clear" w:pos="2268"/>
                <w:tab w:val="clear" w:pos="2835"/>
              </w:tabs>
              <w:spacing w:before="40"/>
              <w:ind w:left="0" w:right="0"/>
              <w:jc w:val="left"/>
            </w:pPr>
            <w:r w:rsidRPr="009C135B">
              <w:t>Convención Internacional contra</w:t>
            </w:r>
            <w:r w:rsidR="00B8306A">
              <w:br/>
            </w:r>
            <w:r w:rsidRPr="009C135B">
              <w:t>la Tortura</w:t>
            </w:r>
          </w:p>
        </w:tc>
        <w:tc>
          <w:tcPr>
            <w:tcW w:w="2099" w:type="dxa"/>
            <w:shd w:val="clear" w:color="auto" w:fill="auto"/>
          </w:tcPr>
          <w:p w14:paraId="5EC85244" w14:textId="77777777" w:rsidR="007754D2" w:rsidRPr="009C135B" w:rsidRDefault="007754D2" w:rsidP="007754D2">
            <w:pPr>
              <w:pStyle w:val="SingleTxtG"/>
              <w:tabs>
                <w:tab w:val="clear" w:pos="1701"/>
                <w:tab w:val="clear" w:pos="2268"/>
                <w:tab w:val="clear" w:pos="2835"/>
              </w:tabs>
              <w:spacing w:before="40"/>
              <w:ind w:left="0" w:right="0"/>
              <w:jc w:val="left"/>
            </w:pPr>
            <w:r w:rsidRPr="009C135B">
              <w:t>Informe inicial</w:t>
            </w:r>
          </w:p>
          <w:p w14:paraId="4608D4D8" w14:textId="77777777" w:rsidR="007754D2" w:rsidRPr="009C135B" w:rsidRDefault="007754D2" w:rsidP="007754D2">
            <w:pPr>
              <w:pStyle w:val="SingleTxtG"/>
              <w:tabs>
                <w:tab w:val="clear" w:pos="1701"/>
                <w:tab w:val="clear" w:pos="2268"/>
                <w:tab w:val="clear" w:pos="2835"/>
              </w:tabs>
              <w:spacing w:before="40"/>
              <w:ind w:left="0" w:right="0"/>
              <w:jc w:val="left"/>
            </w:pPr>
            <w:r w:rsidRPr="009C135B">
              <w:t xml:space="preserve">Segundo informe </w:t>
            </w:r>
          </w:p>
          <w:p w14:paraId="5BDA29A6" w14:textId="77777777" w:rsidR="007754D2" w:rsidRPr="009C135B" w:rsidRDefault="007754D2" w:rsidP="007754D2">
            <w:pPr>
              <w:pStyle w:val="SingleTxtG"/>
              <w:tabs>
                <w:tab w:val="clear" w:pos="1701"/>
                <w:tab w:val="clear" w:pos="2268"/>
                <w:tab w:val="clear" w:pos="2835"/>
              </w:tabs>
              <w:spacing w:before="40"/>
              <w:ind w:left="0" w:right="0"/>
              <w:jc w:val="left"/>
            </w:pPr>
            <w:r w:rsidRPr="009C135B">
              <w:t xml:space="preserve">Tercero informe </w:t>
            </w:r>
          </w:p>
          <w:p w14:paraId="5B7CB492" w14:textId="77777777" w:rsidR="007754D2" w:rsidRPr="009C135B" w:rsidRDefault="007754D2" w:rsidP="007754D2">
            <w:pPr>
              <w:pStyle w:val="SingleTxtG"/>
              <w:tabs>
                <w:tab w:val="clear" w:pos="1701"/>
                <w:tab w:val="clear" w:pos="2268"/>
                <w:tab w:val="clear" w:pos="2835"/>
              </w:tabs>
              <w:spacing w:before="40"/>
              <w:ind w:left="0" w:right="0"/>
              <w:jc w:val="left"/>
            </w:pPr>
            <w:r w:rsidRPr="009C135B">
              <w:t xml:space="preserve">Cuarto informe </w:t>
            </w:r>
          </w:p>
        </w:tc>
        <w:tc>
          <w:tcPr>
            <w:tcW w:w="2275" w:type="dxa"/>
            <w:shd w:val="clear" w:color="auto" w:fill="auto"/>
            <w:tcMar>
              <w:right w:w="0" w:type="dxa"/>
            </w:tcMar>
          </w:tcPr>
          <w:p w14:paraId="5A283B20" w14:textId="77777777" w:rsidR="007754D2" w:rsidRPr="009C135B" w:rsidRDefault="007754D2" w:rsidP="007754D2">
            <w:pPr>
              <w:pStyle w:val="SingleTxtG"/>
              <w:tabs>
                <w:tab w:val="clear" w:pos="1701"/>
                <w:tab w:val="clear" w:pos="2268"/>
                <w:tab w:val="clear" w:pos="2835"/>
              </w:tabs>
              <w:spacing w:before="40"/>
              <w:ind w:left="0" w:right="0"/>
              <w:jc w:val="left"/>
            </w:pPr>
            <w:r w:rsidRPr="009C135B">
              <w:t>28 de julio de 1994</w:t>
            </w:r>
          </w:p>
          <w:p w14:paraId="54711EA7" w14:textId="77777777" w:rsidR="007754D2" w:rsidRPr="009C135B" w:rsidRDefault="007754D2" w:rsidP="007754D2">
            <w:pPr>
              <w:pStyle w:val="SingleTxtG"/>
              <w:tabs>
                <w:tab w:val="clear" w:pos="1701"/>
                <w:tab w:val="clear" w:pos="2268"/>
                <w:tab w:val="clear" w:pos="2835"/>
              </w:tabs>
              <w:spacing w:before="40"/>
              <w:ind w:left="0" w:right="0"/>
              <w:jc w:val="left"/>
            </w:pPr>
            <w:r w:rsidRPr="009C135B">
              <w:t>2 de septiembre de 1998</w:t>
            </w:r>
          </w:p>
          <w:p w14:paraId="12B1D951" w14:textId="77777777" w:rsidR="007754D2" w:rsidRPr="009C135B" w:rsidRDefault="007754D2" w:rsidP="007754D2">
            <w:pPr>
              <w:pStyle w:val="SingleTxtG"/>
              <w:tabs>
                <w:tab w:val="clear" w:pos="1701"/>
                <w:tab w:val="clear" w:pos="2268"/>
                <w:tab w:val="clear" w:pos="2835"/>
              </w:tabs>
              <w:spacing w:before="40"/>
              <w:ind w:left="0" w:right="0"/>
              <w:jc w:val="left"/>
            </w:pPr>
            <w:r w:rsidRPr="009C135B">
              <w:t>24 de marzo de 2003</w:t>
            </w:r>
          </w:p>
          <w:p w14:paraId="4BEABA70" w14:textId="77777777" w:rsidR="007754D2" w:rsidRPr="009C135B" w:rsidRDefault="007754D2" w:rsidP="007754D2">
            <w:pPr>
              <w:pStyle w:val="SingleTxtG"/>
              <w:tabs>
                <w:tab w:val="clear" w:pos="1701"/>
                <w:tab w:val="clear" w:pos="2268"/>
                <w:tab w:val="clear" w:pos="2835"/>
              </w:tabs>
              <w:spacing w:before="40"/>
              <w:ind w:left="0" w:right="0"/>
              <w:jc w:val="left"/>
            </w:pPr>
            <w:r w:rsidRPr="009C135B">
              <w:t>27 de abril de 2009</w:t>
            </w:r>
          </w:p>
        </w:tc>
      </w:tr>
      <w:tr w:rsidR="007754D2" w:rsidRPr="009C135B" w14:paraId="6060ED7B" w14:textId="77777777" w:rsidTr="00610536">
        <w:trPr>
          <w:trHeight w:val="240"/>
        </w:trPr>
        <w:tc>
          <w:tcPr>
            <w:tcW w:w="2996" w:type="dxa"/>
            <w:shd w:val="clear" w:color="auto" w:fill="auto"/>
          </w:tcPr>
          <w:p w14:paraId="07B44F0A" w14:textId="418C0D48" w:rsidR="007754D2" w:rsidRPr="009C135B" w:rsidRDefault="007754D2" w:rsidP="007754D2">
            <w:pPr>
              <w:pStyle w:val="SingleTxtG"/>
              <w:tabs>
                <w:tab w:val="clear" w:pos="1701"/>
                <w:tab w:val="clear" w:pos="2268"/>
                <w:tab w:val="clear" w:pos="2835"/>
              </w:tabs>
              <w:spacing w:before="40"/>
              <w:ind w:left="0" w:right="0"/>
              <w:jc w:val="left"/>
            </w:pPr>
            <w:r w:rsidRPr="009C135B">
              <w:t>Convención sobre los Derechos</w:t>
            </w:r>
            <w:r w:rsidR="00B8306A">
              <w:br/>
            </w:r>
            <w:r w:rsidRPr="009C135B">
              <w:t>del Niño</w:t>
            </w:r>
          </w:p>
        </w:tc>
        <w:tc>
          <w:tcPr>
            <w:tcW w:w="2099" w:type="dxa"/>
            <w:shd w:val="clear" w:color="auto" w:fill="auto"/>
          </w:tcPr>
          <w:p w14:paraId="2B48D673" w14:textId="77777777" w:rsidR="007754D2" w:rsidRPr="009C135B" w:rsidRDefault="007754D2" w:rsidP="007754D2">
            <w:pPr>
              <w:pStyle w:val="SingleTxtG"/>
              <w:tabs>
                <w:tab w:val="clear" w:pos="1701"/>
                <w:tab w:val="clear" w:pos="2268"/>
                <w:tab w:val="clear" w:pos="2835"/>
              </w:tabs>
              <w:spacing w:before="40"/>
              <w:ind w:left="0" w:right="0"/>
              <w:jc w:val="left"/>
            </w:pPr>
            <w:r w:rsidRPr="009C135B">
              <w:t>Informe inicial</w:t>
            </w:r>
          </w:p>
          <w:p w14:paraId="058768EF" w14:textId="77777777" w:rsidR="00B8306A" w:rsidRDefault="007754D2" w:rsidP="007754D2">
            <w:pPr>
              <w:pStyle w:val="SingleTxtG"/>
              <w:tabs>
                <w:tab w:val="clear" w:pos="1701"/>
                <w:tab w:val="clear" w:pos="2268"/>
                <w:tab w:val="clear" w:pos="2835"/>
              </w:tabs>
              <w:spacing w:before="40"/>
              <w:ind w:left="0" w:right="0"/>
              <w:jc w:val="left"/>
            </w:pPr>
            <w:r w:rsidRPr="009C135B">
              <w:t>Segundo informe</w:t>
            </w:r>
          </w:p>
          <w:p w14:paraId="2457CCE0" w14:textId="36D13A78" w:rsidR="007754D2" w:rsidRPr="009C135B" w:rsidRDefault="007754D2" w:rsidP="007754D2">
            <w:pPr>
              <w:pStyle w:val="SingleTxtG"/>
              <w:tabs>
                <w:tab w:val="clear" w:pos="1701"/>
                <w:tab w:val="clear" w:pos="2268"/>
                <w:tab w:val="clear" w:pos="2835"/>
              </w:tabs>
              <w:spacing w:before="40"/>
              <w:ind w:left="0" w:right="0"/>
              <w:jc w:val="left"/>
            </w:pPr>
            <w:r w:rsidRPr="009C135B">
              <w:t>Informes 3º y 4º</w:t>
            </w:r>
          </w:p>
        </w:tc>
        <w:tc>
          <w:tcPr>
            <w:tcW w:w="2275" w:type="dxa"/>
            <w:shd w:val="clear" w:color="auto" w:fill="auto"/>
            <w:tcMar>
              <w:right w:w="0" w:type="dxa"/>
            </w:tcMar>
          </w:tcPr>
          <w:p w14:paraId="575B71B5" w14:textId="77777777" w:rsidR="007754D2" w:rsidRPr="009C135B" w:rsidRDefault="007754D2" w:rsidP="007754D2">
            <w:pPr>
              <w:pStyle w:val="SingleTxtG"/>
              <w:tabs>
                <w:tab w:val="clear" w:pos="1701"/>
                <w:tab w:val="clear" w:pos="2268"/>
                <w:tab w:val="clear" w:pos="2835"/>
              </w:tabs>
              <w:spacing w:before="40"/>
              <w:ind w:left="0" w:right="0"/>
              <w:jc w:val="left"/>
            </w:pPr>
            <w:r w:rsidRPr="009C135B">
              <w:t>27 de julio de 1995</w:t>
            </w:r>
          </w:p>
          <w:p w14:paraId="6A261FC4" w14:textId="77777777" w:rsidR="007754D2" w:rsidRPr="009C135B" w:rsidRDefault="007754D2" w:rsidP="007754D2">
            <w:pPr>
              <w:pStyle w:val="SingleTxtG"/>
              <w:tabs>
                <w:tab w:val="clear" w:pos="1701"/>
                <w:tab w:val="clear" w:pos="2268"/>
                <w:tab w:val="clear" w:pos="2835"/>
              </w:tabs>
              <w:spacing w:before="40"/>
              <w:ind w:left="0" w:right="0"/>
              <w:jc w:val="left"/>
            </w:pPr>
            <w:r w:rsidRPr="009C135B">
              <w:t>4 de septiembre de 2000</w:t>
            </w:r>
          </w:p>
          <w:p w14:paraId="539D9B70" w14:textId="77777777" w:rsidR="007754D2" w:rsidRPr="009C135B" w:rsidRDefault="007754D2" w:rsidP="007754D2">
            <w:pPr>
              <w:pStyle w:val="SingleTxtG"/>
              <w:tabs>
                <w:tab w:val="clear" w:pos="1701"/>
                <w:tab w:val="clear" w:pos="2268"/>
                <w:tab w:val="clear" w:pos="2835"/>
              </w:tabs>
              <w:spacing w:before="40"/>
              <w:ind w:left="0" w:right="0"/>
              <w:jc w:val="left"/>
              <w:rPr>
                <w:lang w:val="en-US"/>
              </w:rPr>
            </w:pPr>
            <w:r w:rsidRPr="009C135B">
              <w:rPr>
                <w:lang w:val="en-US"/>
              </w:rPr>
              <w:t>30 de mayo de 2012</w:t>
            </w:r>
          </w:p>
        </w:tc>
      </w:tr>
      <w:tr w:rsidR="007754D2" w:rsidRPr="009C135B" w14:paraId="07196C7E" w14:textId="77777777" w:rsidTr="00610536">
        <w:trPr>
          <w:trHeight w:val="240"/>
        </w:trPr>
        <w:tc>
          <w:tcPr>
            <w:tcW w:w="2996" w:type="dxa"/>
            <w:shd w:val="clear" w:color="auto" w:fill="auto"/>
          </w:tcPr>
          <w:p w14:paraId="018360B4" w14:textId="77777777" w:rsidR="007754D2" w:rsidRPr="00B8306A" w:rsidRDefault="007754D2" w:rsidP="007754D2">
            <w:pPr>
              <w:pStyle w:val="SingleTxtG"/>
              <w:tabs>
                <w:tab w:val="clear" w:pos="1701"/>
                <w:tab w:val="clear" w:pos="2268"/>
                <w:tab w:val="clear" w:pos="2835"/>
              </w:tabs>
              <w:spacing w:before="40"/>
              <w:ind w:left="0" w:right="0"/>
              <w:jc w:val="left"/>
              <w:rPr>
                <w:lang w:val="es-ES_tradnl"/>
              </w:rPr>
            </w:pPr>
            <w:r w:rsidRPr="00B8306A">
              <w:rPr>
                <w:lang w:val="es-ES_tradnl"/>
              </w:rPr>
              <w:t>Convención Internacional sobre la Protección de los Derechos de Todos los Trabajadores Migratorios y de Sus Familiares</w:t>
            </w:r>
          </w:p>
        </w:tc>
        <w:tc>
          <w:tcPr>
            <w:tcW w:w="2099" w:type="dxa"/>
            <w:shd w:val="clear" w:color="auto" w:fill="auto"/>
          </w:tcPr>
          <w:p w14:paraId="282184C7" w14:textId="77777777" w:rsidR="007754D2" w:rsidRPr="00B8306A" w:rsidRDefault="007754D2" w:rsidP="007754D2">
            <w:pPr>
              <w:pStyle w:val="SingleTxtG"/>
              <w:tabs>
                <w:tab w:val="clear" w:pos="1701"/>
                <w:tab w:val="clear" w:pos="2268"/>
                <w:tab w:val="clear" w:pos="2835"/>
              </w:tabs>
              <w:spacing w:before="40"/>
              <w:ind w:left="0" w:right="0"/>
              <w:jc w:val="left"/>
              <w:rPr>
                <w:lang w:val="es-ES_tradnl"/>
              </w:rPr>
            </w:pPr>
            <w:r w:rsidRPr="00B8306A">
              <w:rPr>
                <w:lang w:val="es-ES_tradnl"/>
              </w:rPr>
              <w:t>Informe inicial</w:t>
            </w:r>
          </w:p>
        </w:tc>
        <w:tc>
          <w:tcPr>
            <w:tcW w:w="2275" w:type="dxa"/>
            <w:shd w:val="clear" w:color="auto" w:fill="auto"/>
            <w:tcMar>
              <w:right w:w="0" w:type="dxa"/>
            </w:tcMar>
          </w:tcPr>
          <w:p w14:paraId="28EF804A" w14:textId="77777777" w:rsidR="007754D2" w:rsidRPr="00B8306A" w:rsidRDefault="007754D2" w:rsidP="007754D2">
            <w:pPr>
              <w:pStyle w:val="SingleTxtG"/>
              <w:tabs>
                <w:tab w:val="clear" w:pos="1701"/>
                <w:tab w:val="clear" w:pos="2268"/>
                <w:tab w:val="clear" w:pos="2835"/>
              </w:tabs>
              <w:spacing w:before="40"/>
              <w:ind w:left="0" w:right="0"/>
              <w:jc w:val="left"/>
              <w:rPr>
                <w:lang w:val="es-ES_tradnl"/>
              </w:rPr>
            </w:pPr>
            <w:r w:rsidRPr="00B8306A">
              <w:rPr>
                <w:lang w:val="es-ES_tradnl"/>
              </w:rPr>
              <w:t>12 de julio de 2012</w:t>
            </w:r>
          </w:p>
        </w:tc>
      </w:tr>
      <w:tr w:rsidR="007754D2" w:rsidRPr="009C135B" w14:paraId="1FE629B5" w14:textId="77777777" w:rsidTr="00610536">
        <w:trPr>
          <w:trHeight w:val="240"/>
        </w:trPr>
        <w:tc>
          <w:tcPr>
            <w:tcW w:w="2996" w:type="dxa"/>
            <w:shd w:val="clear" w:color="auto" w:fill="auto"/>
          </w:tcPr>
          <w:p w14:paraId="7563D22F" w14:textId="77777777" w:rsidR="007754D2" w:rsidRPr="00B8306A" w:rsidRDefault="007754D2" w:rsidP="007754D2">
            <w:pPr>
              <w:pStyle w:val="SingleTxtG"/>
              <w:tabs>
                <w:tab w:val="clear" w:pos="1701"/>
                <w:tab w:val="clear" w:pos="2268"/>
                <w:tab w:val="clear" w:pos="2835"/>
              </w:tabs>
              <w:spacing w:before="40"/>
              <w:ind w:left="0" w:right="0"/>
              <w:jc w:val="left"/>
              <w:rPr>
                <w:lang w:val="es-ES_tradnl"/>
              </w:rPr>
            </w:pPr>
            <w:r w:rsidRPr="00B8306A">
              <w:rPr>
                <w:lang w:val="es-ES_tradnl"/>
              </w:rPr>
              <w:t>Protocolo Facultativo relativo a la venta de niños, la prostitución infantil y la utilización de niños en la pornografía</w:t>
            </w:r>
          </w:p>
        </w:tc>
        <w:tc>
          <w:tcPr>
            <w:tcW w:w="2099" w:type="dxa"/>
            <w:shd w:val="clear" w:color="auto" w:fill="auto"/>
          </w:tcPr>
          <w:p w14:paraId="1183444F" w14:textId="77777777" w:rsidR="007754D2" w:rsidRPr="00B8306A" w:rsidRDefault="007754D2" w:rsidP="007754D2">
            <w:pPr>
              <w:pStyle w:val="SingleTxtG"/>
              <w:tabs>
                <w:tab w:val="clear" w:pos="1701"/>
                <w:tab w:val="clear" w:pos="2268"/>
                <w:tab w:val="clear" w:pos="2835"/>
              </w:tabs>
              <w:spacing w:before="40"/>
              <w:ind w:left="0" w:right="0"/>
              <w:jc w:val="left"/>
              <w:rPr>
                <w:lang w:val="es-ES_tradnl"/>
              </w:rPr>
            </w:pPr>
            <w:r w:rsidRPr="00B8306A">
              <w:rPr>
                <w:lang w:val="es-ES_tradnl"/>
              </w:rPr>
              <w:t>Informe inicial</w:t>
            </w:r>
          </w:p>
          <w:p w14:paraId="73E043DE" w14:textId="77777777" w:rsidR="007754D2" w:rsidRPr="00B8306A" w:rsidRDefault="007754D2" w:rsidP="007754D2">
            <w:pPr>
              <w:pStyle w:val="SingleTxtG"/>
              <w:tabs>
                <w:tab w:val="clear" w:pos="1701"/>
                <w:tab w:val="clear" w:pos="2268"/>
                <w:tab w:val="clear" w:pos="2835"/>
              </w:tabs>
              <w:spacing w:before="40"/>
              <w:ind w:left="0" w:right="0"/>
              <w:jc w:val="left"/>
              <w:rPr>
                <w:lang w:val="es-ES_tradnl"/>
              </w:rPr>
            </w:pPr>
            <w:r w:rsidRPr="00B8306A">
              <w:rPr>
                <w:lang w:val="es-ES_tradnl"/>
              </w:rPr>
              <w:t xml:space="preserve">Segundo informe </w:t>
            </w:r>
          </w:p>
        </w:tc>
        <w:tc>
          <w:tcPr>
            <w:tcW w:w="2275" w:type="dxa"/>
            <w:shd w:val="clear" w:color="auto" w:fill="auto"/>
            <w:tcMar>
              <w:right w:w="0" w:type="dxa"/>
            </w:tcMar>
          </w:tcPr>
          <w:p w14:paraId="7D988C30" w14:textId="77777777" w:rsidR="007754D2" w:rsidRPr="00B8306A" w:rsidRDefault="007754D2" w:rsidP="007754D2">
            <w:pPr>
              <w:pStyle w:val="SingleTxtG"/>
              <w:tabs>
                <w:tab w:val="clear" w:pos="1701"/>
                <w:tab w:val="clear" w:pos="2268"/>
                <w:tab w:val="clear" w:pos="2835"/>
              </w:tabs>
              <w:spacing w:before="40"/>
              <w:ind w:left="0" w:right="0"/>
              <w:jc w:val="left"/>
              <w:rPr>
                <w:lang w:val="es-ES_tradnl"/>
              </w:rPr>
            </w:pPr>
            <w:r w:rsidRPr="00B8306A">
              <w:rPr>
                <w:lang w:val="es-ES_tradnl"/>
              </w:rPr>
              <w:t>28 de julio de 2004</w:t>
            </w:r>
          </w:p>
          <w:p w14:paraId="6047070B" w14:textId="77777777" w:rsidR="007754D2" w:rsidRPr="00B8306A" w:rsidRDefault="007754D2" w:rsidP="007754D2">
            <w:pPr>
              <w:pStyle w:val="SingleTxtG"/>
              <w:tabs>
                <w:tab w:val="clear" w:pos="1701"/>
                <w:tab w:val="clear" w:pos="2268"/>
                <w:tab w:val="clear" w:pos="2835"/>
              </w:tabs>
              <w:spacing w:before="40"/>
              <w:ind w:left="0" w:right="0"/>
              <w:jc w:val="left"/>
              <w:rPr>
                <w:lang w:val="es-ES_tradnl"/>
              </w:rPr>
            </w:pPr>
            <w:r w:rsidRPr="00B8306A">
              <w:rPr>
                <w:lang w:val="es-ES_tradnl"/>
              </w:rPr>
              <w:t>30 de mayo de 2012</w:t>
            </w:r>
          </w:p>
        </w:tc>
      </w:tr>
      <w:tr w:rsidR="007754D2" w:rsidRPr="009C135B" w14:paraId="3A19DD70" w14:textId="77777777" w:rsidTr="00610536">
        <w:trPr>
          <w:trHeight w:val="240"/>
        </w:trPr>
        <w:tc>
          <w:tcPr>
            <w:tcW w:w="2996" w:type="dxa"/>
            <w:shd w:val="clear" w:color="auto" w:fill="auto"/>
          </w:tcPr>
          <w:p w14:paraId="5BDAD021" w14:textId="77777777" w:rsidR="007754D2" w:rsidRPr="009C135B" w:rsidRDefault="007754D2" w:rsidP="007754D2">
            <w:pPr>
              <w:pStyle w:val="SingleTxtG"/>
              <w:tabs>
                <w:tab w:val="clear" w:pos="1701"/>
                <w:tab w:val="clear" w:pos="2268"/>
                <w:tab w:val="clear" w:pos="2835"/>
              </w:tabs>
              <w:spacing w:before="40"/>
              <w:ind w:left="0" w:right="0"/>
              <w:jc w:val="left"/>
            </w:pPr>
            <w:r w:rsidRPr="009C135B">
              <w:t>Protocolo relativo a la participación de niños en los conflictos armados</w:t>
            </w:r>
          </w:p>
        </w:tc>
        <w:tc>
          <w:tcPr>
            <w:tcW w:w="2099" w:type="dxa"/>
            <w:shd w:val="clear" w:color="auto" w:fill="auto"/>
          </w:tcPr>
          <w:p w14:paraId="746F77D9" w14:textId="77777777" w:rsidR="007754D2" w:rsidRPr="009C135B" w:rsidRDefault="007754D2" w:rsidP="007754D2">
            <w:pPr>
              <w:pStyle w:val="SingleTxtG"/>
              <w:tabs>
                <w:tab w:val="clear" w:pos="1701"/>
                <w:tab w:val="clear" w:pos="2268"/>
                <w:tab w:val="clear" w:pos="2835"/>
              </w:tabs>
              <w:spacing w:before="40"/>
              <w:ind w:left="0" w:right="0"/>
              <w:jc w:val="left"/>
              <w:rPr>
                <w:lang w:val="en-US"/>
              </w:rPr>
            </w:pPr>
            <w:r w:rsidRPr="009C135B">
              <w:rPr>
                <w:lang w:val="en-US"/>
              </w:rPr>
              <w:t xml:space="preserve">Informe </w:t>
            </w:r>
            <w:proofErr w:type="spellStart"/>
            <w:r w:rsidRPr="009C135B">
              <w:rPr>
                <w:lang w:val="en-US"/>
              </w:rPr>
              <w:t>inicial</w:t>
            </w:r>
            <w:proofErr w:type="spellEnd"/>
          </w:p>
        </w:tc>
        <w:tc>
          <w:tcPr>
            <w:tcW w:w="2275" w:type="dxa"/>
            <w:shd w:val="clear" w:color="auto" w:fill="auto"/>
            <w:tcMar>
              <w:right w:w="0" w:type="dxa"/>
            </w:tcMar>
          </w:tcPr>
          <w:p w14:paraId="7355B551" w14:textId="77777777" w:rsidR="007754D2" w:rsidRPr="009C135B" w:rsidRDefault="007754D2" w:rsidP="007754D2">
            <w:pPr>
              <w:pStyle w:val="SingleTxtG"/>
              <w:tabs>
                <w:tab w:val="clear" w:pos="1701"/>
                <w:tab w:val="clear" w:pos="2268"/>
                <w:tab w:val="clear" w:pos="2835"/>
              </w:tabs>
              <w:spacing w:before="40"/>
              <w:ind w:left="0" w:right="0"/>
              <w:jc w:val="left"/>
              <w:rPr>
                <w:lang w:val="en-US"/>
              </w:rPr>
            </w:pPr>
            <w:r w:rsidRPr="009C135B">
              <w:rPr>
                <w:lang w:val="en-US"/>
              </w:rPr>
              <w:t>30 de mayo de 2012</w:t>
            </w:r>
          </w:p>
        </w:tc>
      </w:tr>
      <w:tr w:rsidR="007754D2" w:rsidRPr="009C135B" w14:paraId="7E1049FD" w14:textId="77777777" w:rsidTr="00610536">
        <w:trPr>
          <w:trHeight w:val="240"/>
        </w:trPr>
        <w:tc>
          <w:tcPr>
            <w:tcW w:w="2996" w:type="dxa"/>
            <w:tcBorders>
              <w:bottom w:val="single" w:sz="12" w:space="0" w:color="auto"/>
            </w:tcBorders>
            <w:shd w:val="clear" w:color="auto" w:fill="auto"/>
          </w:tcPr>
          <w:p w14:paraId="0D50D2A7" w14:textId="77777777" w:rsidR="007754D2" w:rsidRPr="009C135B" w:rsidRDefault="007754D2" w:rsidP="007754D2">
            <w:pPr>
              <w:pStyle w:val="SingleTxtG"/>
              <w:tabs>
                <w:tab w:val="clear" w:pos="1701"/>
                <w:tab w:val="clear" w:pos="2268"/>
                <w:tab w:val="clear" w:pos="2835"/>
              </w:tabs>
              <w:spacing w:before="40"/>
              <w:ind w:left="0" w:right="0"/>
              <w:jc w:val="left"/>
            </w:pPr>
            <w:r w:rsidRPr="009C135B">
              <w:t>Convención sobre los Derechos de las Personas con Discapacidad</w:t>
            </w:r>
          </w:p>
        </w:tc>
        <w:tc>
          <w:tcPr>
            <w:tcW w:w="2099" w:type="dxa"/>
            <w:tcBorders>
              <w:bottom w:val="single" w:sz="12" w:space="0" w:color="auto"/>
            </w:tcBorders>
            <w:shd w:val="clear" w:color="auto" w:fill="auto"/>
          </w:tcPr>
          <w:p w14:paraId="70AE16A6" w14:textId="77777777" w:rsidR="007754D2" w:rsidRPr="009C135B" w:rsidRDefault="007754D2" w:rsidP="007754D2">
            <w:pPr>
              <w:pStyle w:val="SingleTxtG"/>
              <w:tabs>
                <w:tab w:val="clear" w:pos="1701"/>
                <w:tab w:val="clear" w:pos="2268"/>
                <w:tab w:val="clear" w:pos="2835"/>
              </w:tabs>
              <w:spacing w:before="40"/>
              <w:ind w:left="0" w:right="0"/>
              <w:jc w:val="left"/>
              <w:rPr>
                <w:lang w:val="en-US"/>
              </w:rPr>
            </w:pPr>
            <w:r w:rsidRPr="009C135B">
              <w:rPr>
                <w:lang w:val="en-US"/>
              </w:rPr>
              <w:t xml:space="preserve">Informe </w:t>
            </w:r>
            <w:proofErr w:type="spellStart"/>
            <w:r w:rsidRPr="009C135B">
              <w:rPr>
                <w:lang w:val="en-US"/>
              </w:rPr>
              <w:t>inicial</w:t>
            </w:r>
            <w:proofErr w:type="spellEnd"/>
          </w:p>
        </w:tc>
        <w:tc>
          <w:tcPr>
            <w:tcW w:w="2275" w:type="dxa"/>
            <w:tcBorders>
              <w:bottom w:val="single" w:sz="12" w:space="0" w:color="auto"/>
            </w:tcBorders>
            <w:shd w:val="clear" w:color="auto" w:fill="auto"/>
            <w:tcMar>
              <w:right w:w="0" w:type="dxa"/>
            </w:tcMar>
          </w:tcPr>
          <w:p w14:paraId="61A7D12B" w14:textId="77777777" w:rsidR="007754D2" w:rsidRPr="009C135B" w:rsidRDefault="007754D2" w:rsidP="007754D2">
            <w:pPr>
              <w:pStyle w:val="SingleTxtG"/>
              <w:tabs>
                <w:tab w:val="clear" w:pos="1701"/>
                <w:tab w:val="clear" w:pos="2268"/>
                <w:tab w:val="clear" w:pos="2835"/>
              </w:tabs>
              <w:spacing w:before="40"/>
              <w:ind w:left="0" w:right="0"/>
              <w:jc w:val="left"/>
              <w:rPr>
                <w:lang w:val="en-US"/>
              </w:rPr>
            </w:pPr>
            <w:r w:rsidRPr="009C135B">
              <w:rPr>
                <w:lang w:val="en-US"/>
              </w:rPr>
              <w:t xml:space="preserve">17 de </w:t>
            </w:r>
            <w:proofErr w:type="spellStart"/>
            <w:r w:rsidRPr="009C135B">
              <w:rPr>
                <w:lang w:val="en-US"/>
              </w:rPr>
              <w:t>marzo</w:t>
            </w:r>
            <w:proofErr w:type="spellEnd"/>
            <w:r w:rsidRPr="009C135B">
              <w:rPr>
                <w:lang w:val="en-US"/>
              </w:rPr>
              <w:t xml:space="preserve"> de 2014</w:t>
            </w:r>
            <w:r w:rsidRPr="009C135B">
              <w:rPr>
                <w:lang w:val="en-US"/>
              </w:rPr>
              <w:tab/>
            </w:r>
          </w:p>
        </w:tc>
      </w:tr>
    </w:tbl>
    <w:p w14:paraId="51F37A47" w14:textId="3376F4D7" w:rsidR="004E0684" w:rsidRPr="006F084A" w:rsidRDefault="004E0684" w:rsidP="009C135B">
      <w:pPr>
        <w:pStyle w:val="SingleTxtG"/>
        <w:spacing w:before="240"/>
        <w:rPr>
          <w:rFonts w:eastAsia="Calibri"/>
        </w:rPr>
      </w:pPr>
      <w:r w:rsidRPr="006F084A">
        <w:t>198.</w:t>
      </w:r>
      <w:r w:rsidR="009C135B">
        <w:tab/>
      </w:r>
      <w:r w:rsidRPr="006F084A">
        <w:t xml:space="preserve">Continuando con la preparación de estos informes y de conformidad con los plazos establecidos para su entrega, antes de finales de 2020 se presentarán tres informes: el quinto informe periódico sobre la Convención contra la Tortura, el informe inicial sobre la </w:t>
      </w:r>
      <w:r w:rsidRPr="006F084A">
        <w:lastRenderedPageBreak/>
        <w:t xml:space="preserve">Convención Internacional para la Protección de </w:t>
      </w:r>
      <w:r w:rsidR="00B8306A" w:rsidRPr="006F084A">
        <w:t xml:space="preserve">Todas </w:t>
      </w:r>
      <w:r w:rsidRPr="006F084A">
        <w:t xml:space="preserve">las Personas contra las Desapariciones Forzadas y el segundo informe periódico sobre la aplicación de la Convención Internacional sobre la Protección de los Derechos de Todos los Trabajadores Migratorios y de </w:t>
      </w:r>
      <w:r w:rsidR="00B8306A" w:rsidRPr="006F084A">
        <w:t xml:space="preserve">Sus </w:t>
      </w:r>
      <w:r w:rsidRPr="006F084A">
        <w:t>Familiares.</w:t>
      </w:r>
    </w:p>
    <w:p w14:paraId="04A6C9F1" w14:textId="0388D00D" w:rsidR="004E0684" w:rsidRPr="006F084A" w:rsidRDefault="004E0684" w:rsidP="009C135B">
      <w:pPr>
        <w:pStyle w:val="HChG"/>
        <w:rPr>
          <w:rFonts w:eastAsia="Calibri"/>
        </w:rPr>
      </w:pPr>
      <w:r w:rsidRPr="006F084A">
        <w:tab/>
        <w:t>III.</w:t>
      </w:r>
      <w:r w:rsidR="009C135B">
        <w:tab/>
      </w:r>
      <w:r w:rsidRPr="006F084A">
        <w:t>Información sobre la no discriminación, la igualdad y los</w:t>
      </w:r>
      <w:r w:rsidR="009C135B">
        <w:t> </w:t>
      </w:r>
      <w:r w:rsidRPr="006F084A">
        <w:t>recursos efectivos</w:t>
      </w:r>
      <w:bookmarkStart w:id="8" w:name="_Toc64366043"/>
      <w:bookmarkEnd w:id="8"/>
    </w:p>
    <w:p w14:paraId="0D9DD55B" w14:textId="76FA217A" w:rsidR="004E0684" w:rsidRPr="006F084A" w:rsidRDefault="004E0684" w:rsidP="009C135B">
      <w:pPr>
        <w:pStyle w:val="H1G"/>
        <w:rPr>
          <w:rFonts w:eastAsia="Calibri"/>
        </w:rPr>
      </w:pPr>
      <w:r w:rsidRPr="006F084A">
        <w:tab/>
        <w:t>A.</w:t>
      </w:r>
      <w:r w:rsidR="009C135B">
        <w:tab/>
      </w:r>
      <w:r w:rsidRPr="006F084A">
        <w:t>No discriminación e igualdad</w:t>
      </w:r>
      <w:bookmarkStart w:id="9" w:name="_Toc64366044"/>
      <w:bookmarkEnd w:id="9"/>
    </w:p>
    <w:p w14:paraId="7B0EBD60" w14:textId="4D5F3DE4" w:rsidR="004E0684" w:rsidRPr="006F084A" w:rsidRDefault="004E0684" w:rsidP="004E0684">
      <w:pPr>
        <w:pStyle w:val="SingleTxtG"/>
        <w:rPr>
          <w:rFonts w:eastAsia="Calibri"/>
        </w:rPr>
      </w:pPr>
      <w:r w:rsidRPr="006F084A">
        <w:t>199.</w:t>
      </w:r>
      <w:r w:rsidR="009C135B">
        <w:tab/>
      </w:r>
      <w:r w:rsidRPr="006F084A">
        <w:t>Paralelamente al reconocimiento constitucional y jurídico de la igualdad y a la prohibición y lucha contra todas las formas de discriminación por motivo de género, color, creencias, cultura, afiliación social o regional, lengua, discapacidad o cualquier situación personal, la integración del enfoque de género se ha basado en la elaboración y aplicación de políticas y programas nacionales. Este enfoque ya no se limita a las políticas públicas relativas a los derechos de las mujeres, sino que repercute en todas las políticas públicas, planes nacionales y programas sectoriales. Puede decirse, por tanto, que el enfoque se ha institucionalizado en las políticas nacionales y territoriales.</w:t>
      </w:r>
    </w:p>
    <w:p w14:paraId="7F840A5A" w14:textId="77777777" w:rsidR="004E0684" w:rsidRPr="004A2305" w:rsidRDefault="004E0684" w:rsidP="004A2305">
      <w:pPr>
        <w:pStyle w:val="Bullet1G"/>
        <w:spacing w:before="240" w:line="240" w:lineRule="exact"/>
        <w:ind w:left="1134"/>
        <w:jc w:val="left"/>
        <w:rPr>
          <w:b/>
          <w:bCs/>
        </w:rPr>
      </w:pPr>
      <w:r w:rsidRPr="004A2305">
        <w:rPr>
          <w:b/>
          <w:bCs/>
        </w:rPr>
        <w:t>El empoderamiento político de la mujer</w:t>
      </w:r>
    </w:p>
    <w:p w14:paraId="078E0FEA" w14:textId="0430754E" w:rsidR="004E0684" w:rsidRPr="006F084A" w:rsidRDefault="004E0684" w:rsidP="004E0684">
      <w:pPr>
        <w:pStyle w:val="SingleTxtG"/>
      </w:pPr>
      <w:r w:rsidRPr="006F084A">
        <w:t>200.</w:t>
      </w:r>
      <w:r w:rsidR="009C135B">
        <w:tab/>
      </w:r>
      <w:r w:rsidRPr="006F084A">
        <w:t xml:space="preserve">Gracias a las sucesivas reformas legislativas, la participación política y la representación de las mujeres en los consejos electos ha logrado una evolución notable. En particular, tras la aprobación de la Constitución de 2011, la representación de las mujeres en la Cámara de Representantes aumentó del 10 % al 21 %, pasando de 34 mujeres electas durante las elecciones legislativas de 2007 a 81 durante las elecciones legislativas de 2016. </w:t>
      </w:r>
    </w:p>
    <w:p w14:paraId="7005492A" w14:textId="6A721066" w:rsidR="004E0684" w:rsidRPr="006F084A" w:rsidRDefault="004E0684" w:rsidP="004E0684">
      <w:pPr>
        <w:pStyle w:val="SingleTxtG"/>
      </w:pPr>
      <w:r w:rsidRPr="006F084A">
        <w:t>201.</w:t>
      </w:r>
      <w:r w:rsidR="009C135B">
        <w:tab/>
      </w:r>
      <w:r w:rsidRPr="006F084A">
        <w:t xml:space="preserve">En lo que concierne a la Cámara de Consejeros, y como resultado de los mecanismos adoptados, la representación de las mujeres en 2016 fue del 11,67 %. Aunque modesto, este porcentaje sigue siendo significativo en comparación con la representación de la mujer en la anterior Cámara, que no superaba el 2,2 %. </w:t>
      </w:r>
    </w:p>
    <w:p w14:paraId="15D4C333" w14:textId="5FDCB2CB" w:rsidR="004E0684" w:rsidRPr="006F084A" w:rsidRDefault="004E0684" w:rsidP="004E0684">
      <w:pPr>
        <w:pStyle w:val="SingleTxtG"/>
      </w:pPr>
      <w:r w:rsidRPr="006F084A">
        <w:t>202.</w:t>
      </w:r>
      <w:r w:rsidR="009C135B">
        <w:tab/>
      </w:r>
      <w:r w:rsidRPr="006F084A">
        <w:t xml:space="preserve">Los procedimientos previstos en la normativa de las colectividades territoriales permitieron aumentar la representación de la mujer en estos consejos, pasando del 12,38 % durante las elecciones de 2009 al 21 % en las elecciones a los consejos de las agrupaciones territoriales en 2015. </w:t>
      </w:r>
    </w:p>
    <w:p w14:paraId="1E514795" w14:textId="77777777" w:rsidR="004E0684" w:rsidRPr="004A2305" w:rsidRDefault="004E0684" w:rsidP="004A2305">
      <w:pPr>
        <w:pStyle w:val="Bullet1G"/>
        <w:spacing w:before="240" w:line="240" w:lineRule="exact"/>
        <w:ind w:left="1134"/>
        <w:jc w:val="left"/>
        <w:rPr>
          <w:b/>
          <w:bCs/>
        </w:rPr>
      </w:pPr>
      <w:r w:rsidRPr="004A2305">
        <w:rPr>
          <w:b/>
          <w:bCs/>
        </w:rPr>
        <w:t>La promoción de un enfoque de género en la función pública</w:t>
      </w:r>
    </w:p>
    <w:p w14:paraId="2F33E09E" w14:textId="6C238D1D" w:rsidR="004E0684" w:rsidRPr="006F084A" w:rsidRDefault="004E0684" w:rsidP="004E0684">
      <w:pPr>
        <w:pStyle w:val="SingleTxtG"/>
        <w:rPr>
          <w:rFonts w:eastAsia="Calibri"/>
        </w:rPr>
      </w:pPr>
      <w:r w:rsidRPr="006F084A">
        <w:t>203.</w:t>
      </w:r>
      <w:r w:rsidR="009C135B">
        <w:tab/>
      </w:r>
      <w:r w:rsidRPr="006F084A">
        <w:t>El porcentaje de acceso de las mujeres a la Administración Pública ha aumentado, pasando del 38,5 % en 2012 al 40 % en 2019. En lo que se refiere a la distribución de las funcionarias según su nivel de cualificación, la categoría básica constituye el 76 %, la de supervisoras, el 15 % y la de ejecutivas, el 19 %. El acceso de las mujeres a puestos directivos y superiores representó el 23,02 % del total.</w:t>
      </w:r>
    </w:p>
    <w:p w14:paraId="743CDDCB" w14:textId="5A2D5800" w:rsidR="004E0684" w:rsidRPr="006F084A" w:rsidRDefault="004E0684" w:rsidP="004E0684">
      <w:pPr>
        <w:pStyle w:val="SingleTxtG"/>
        <w:rPr>
          <w:rFonts w:eastAsia="Calibri"/>
        </w:rPr>
      </w:pPr>
      <w:r w:rsidRPr="006F084A">
        <w:t>204.</w:t>
      </w:r>
      <w:r w:rsidR="009C135B">
        <w:tab/>
      </w:r>
      <w:r w:rsidRPr="006F084A">
        <w:t xml:space="preserve">Con miras a supervisar las medidas destinadas a aumentar el nivel de representación de las mujeres en puestos de alto nivel y de responsabilidad, y en puestos de toma de decisiones dentro de la función pública, en 2014 se creó el Observatorio de Enfoque de Género de la Función Pública con el objetivo de realizar investigaciones, y recopilar y analizar datos e indicadores relacionados con la situación de la mujer en la administración. </w:t>
      </w:r>
    </w:p>
    <w:p w14:paraId="5E15B120" w14:textId="77777777" w:rsidR="004E0684" w:rsidRPr="004A2305" w:rsidRDefault="004E0684" w:rsidP="004A2305">
      <w:pPr>
        <w:pStyle w:val="Bullet1G"/>
        <w:spacing w:before="240" w:line="240" w:lineRule="exact"/>
        <w:ind w:left="1134"/>
        <w:jc w:val="left"/>
        <w:rPr>
          <w:b/>
          <w:bCs/>
        </w:rPr>
      </w:pPr>
      <w:r w:rsidRPr="004A2305">
        <w:rPr>
          <w:b/>
          <w:bCs/>
        </w:rPr>
        <w:t>El empoderamiento económico</w:t>
      </w:r>
    </w:p>
    <w:p w14:paraId="0139068D" w14:textId="1AA487F4" w:rsidR="004E0684" w:rsidRPr="006F084A" w:rsidRDefault="004E0684" w:rsidP="004E0684">
      <w:pPr>
        <w:pStyle w:val="SingleTxtG"/>
        <w:rPr>
          <w:rFonts w:eastAsia="Calibri"/>
        </w:rPr>
      </w:pPr>
      <w:r w:rsidRPr="006F084A">
        <w:t>205.</w:t>
      </w:r>
      <w:r w:rsidR="009C135B">
        <w:tab/>
      </w:r>
      <w:r w:rsidRPr="006F084A">
        <w:t xml:space="preserve">Como parte de los programas de recuperación del empleo, el Programa </w:t>
      </w:r>
      <w:r w:rsidR="00B56649">
        <w:t>“</w:t>
      </w:r>
      <w:r w:rsidRPr="006F084A">
        <w:t>Integración</w:t>
      </w:r>
      <w:r w:rsidR="00B56649">
        <w:t>”</w:t>
      </w:r>
      <w:r w:rsidRPr="006F084A">
        <w:t xml:space="preserve"> permitió que 102.773 personas se insertaran en el mercado laboral hasta finales de diciembre de 2018, de las cuales el 50 % eran mujeres. En cuanto al Programa </w:t>
      </w:r>
      <w:r w:rsidR="00B56649">
        <w:t>“</w:t>
      </w:r>
      <w:r w:rsidRPr="006F084A">
        <w:t>Capacitación</w:t>
      </w:r>
      <w:r w:rsidR="00B56649">
        <w:t>”</w:t>
      </w:r>
      <w:r w:rsidRPr="006F084A">
        <w:t xml:space="preserve">, hasta finales de diciembre de 2018, 27.125 solicitantes de empleo se beneficiaron de sus servicios, de los cuales un 60 % eran mujeres, en lo relativo a la </w:t>
      </w:r>
      <w:r w:rsidR="00B56649">
        <w:t>“</w:t>
      </w:r>
      <w:r w:rsidRPr="006F084A">
        <w:t>Formación Contractual de cara al Empleo</w:t>
      </w:r>
      <w:r w:rsidR="00B56649">
        <w:t>”</w:t>
      </w:r>
      <w:r w:rsidRPr="006F084A">
        <w:t xml:space="preserve">. En relación con el autoempleo, que contempla la revitalización y creación de microempresas, durante 2018, 2.785 emprendedores se beneficiaron de un servicio de </w:t>
      </w:r>
      <w:r w:rsidRPr="006F084A">
        <w:lastRenderedPageBreak/>
        <w:t>acompañamiento, de los cuales el 30 % eran mujeres. Sin embargo, la participación de las mujeres en el mercado laboral debe aún reforzarse, ya que la tasa de actividad femenina en 2018 fue del 22,2 %, frente a una tasa de actividad masculina del 70,9 %. Esta débil participación se tradujo en un descenso en la tasa de actividad femenina, que pasó del 28,1</w:t>
      </w:r>
      <w:r w:rsidR="009C135B">
        <w:t> </w:t>
      </w:r>
      <w:r w:rsidRPr="006F084A">
        <w:t xml:space="preserve">% en 2000 al 22,2 % en 2018. </w:t>
      </w:r>
    </w:p>
    <w:p w14:paraId="03BCEE3F" w14:textId="77777777" w:rsidR="004E0684" w:rsidRPr="004A2305" w:rsidRDefault="004E0684" w:rsidP="004A2305">
      <w:pPr>
        <w:pStyle w:val="Bullet1G"/>
        <w:spacing w:before="240" w:line="240" w:lineRule="exact"/>
        <w:ind w:left="1134"/>
        <w:jc w:val="left"/>
        <w:rPr>
          <w:b/>
          <w:bCs/>
        </w:rPr>
      </w:pPr>
      <w:r w:rsidRPr="004A2305">
        <w:rPr>
          <w:b/>
          <w:bCs/>
        </w:rPr>
        <w:t xml:space="preserve">El derecho a la educación </w:t>
      </w:r>
    </w:p>
    <w:p w14:paraId="020CA203" w14:textId="259AFB5B" w:rsidR="004E0684" w:rsidRPr="006F084A" w:rsidRDefault="004E0684" w:rsidP="004E0684">
      <w:pPr>
        <w:pStyle w:val="SingleTxtG"/>
        <w:rPr>
          <w:rFonts w:eastAsia="Calibri"/>
        </w:rPr>
      </w:pPr>
      <w:r w:rsidRPr="006F084A">
        <w:t>206.</w:t>
      </w:r>
      <w:r w:rsidR="009C135B">
        <w:tab/>
      </w:r>
      <w:r w:rsidRPr="006F084A">
        <w:t>El índice de paridad de género en la educación primaria pública aumentó significativamente a nivel nacional, pasando de 0,84 durante el curso académico 2000/01 a 0,95 (es decir, 95 niñas por cada 100 niños matriculados) durante el curso académico</w:t>
      </w:r>
      <w:r w:rsidR="009C135B">
        <w:t> </w:t>
      </w:r>
      <w:r w:rsidRPr="006F084A">
        <w:t>2018/19. A nivel secundario y preparatorio, este indicador pasó de 0,75 a 0,90, respectivamente. En relación con el bachillerato general y a nivel nacional, este indicador pasó de 0,85 durante el curso académico 2000/01 a 1,00 durante el curso académico 2018/19. Sin embargo, a pesar de esta evolución positiva, sigue habiendo diferencias de género en la educación secundaria preparatoria y el bachillerato dependiendo del medio al que nos referimos. Así, la tasa de escolarización de las niñas de entre 12 y 14 años es del 86,7</w:t>
      </w:r>
      <w:r w:rsidR="009C135B">
        <w:t> </w:t>
      </w:r>
      <w:r w:rsidRPr="006F084A">
        <w:t>% a nivel nacional, pero solo del 72,3 % en las zonas rurales. En cuanto a la tasa de escolarización de las niñas de entre 15 a 17 años, a nivel nacional es del 63,6 % y en las zonas rurales, del 33 %.</w:t>
      </w:r>
    </w:p>
    <w:p w14:paraId="39AFF1C3" w14:textId="15BFED29" w:rsidR="004E0684" w:rsidRPr="006F084A" w:rsidRDefault="004E0684" w:rsidP="004E0684">
      <w:pPr>
        <w:pStyle w:val="SingleTxtG"/>
        <w:rPr>
          <w:rFonts w:eastAsia="Calibri"/>
        </w:rPr>
      </w:pPr>
      <w:r w:rsidRPr="006F084A">
        <w:t>207.</w:t>
      </w:r>
      <w:r w:rsidR="009C135B">
        <w:tab/>
      </w:r>
      <w:r w:rsidRPr="006F084A">
        <w:t xml:space="preserve">En cuanto al acceso a la educación superior, se alcanzó la paridad de género, como lo demuestra que el 49 % del número total de estudiantes de educación superior durante el curso académico 2018/19 eran mujeres. Cabe señalar que la tasa de feminización supera el 50 % en algunas instituciones de educación superior y que el número de mujeres con títulos constituyó el 49,75 % del total de graduados en el curso académico 2017/18. </w:t>
      </w:r>
    </w:p>
    <w:p w14:paraId="2DDAA7E7" w14:textId="77777777" w:rsidR="004E0684" w:rsidRPr="004A2305" w:rsidRDefault="004E0684" w:rsidP="004A2305">
      <w:pPr>
        <w:pStyle w:val="Bullet1G"/>
        <w:spacing w:before="240" w:line="240" w:lineRule="exact"/>
        <w:ind w:left="1134"/>
        <w:jc w:val="left"/>
        <w:rPr>
          <w:rFonts w:eastAsia="Calibri"/>
          <w:b/>
          <w:bCs/>
        </w:rPr>
      </w:pPr>
      <w:r w:rsidRPr="004A2305">
        <w:rPr>
          <w:b/>
          <w:bCs/>
        </w:rPr>
        <w:t>El acceso a los servicios de atención de la salud</w:t>
      </w:r>
      <w:r w:rsidRPr="004A2305">
        <w:rPr>
          <w:rStyle w:val="Refdenotaalpie"/>
          <w:rFonts w:eastAsia="Calibri"/>
          <w:lang w:val="en-US"/>
        </w:rPr>
        <w:footnoteReference w:id="63"/>
      </w:r>
    </w:p>
    <w:p w14:paraId="38680AB5" w14:textId="56711263" w:rsidR="004E0684" w:rsidRPr="006F084A" w:rsidRDefault="004E0684" w:rsidP="004E0684">
      <w:pPr>
        <w:pStyle w:val="SingleTxtG"/>
        <w:rPr>
          <w:rFonts w:eastAsia="Calibri"/>
        </w:rPr>
      </w:pPr>
      <w:r w:rsidRPr="006F084A">
        <w:t>208.</w:t>
      </w:r>
      <w:r w:rsidR="009C135B">
        <w:tab/>
      </w:r>
      <w:r w:rsidRPr="006F084A">
        <w:t>Según datos nacionales de investigación sobre la población y la salud familiar de</w:t>
      </w:r>
      <w:r w:rsidR="00B8306A">
        <w:t> </w:t>
      </w:r>
      <w:r w:rsidRPr="006F084A">
        <w:t xml:space="preserve">2018, los servicios de salud han mejorado significativamente en lo que respecta a los indicadores clave de acceso a la atención de la salud. La tasa de acceso al examen prenatal fue del 88,5 %, y la tasa de parto asistido médicamente fue del 86,6 %. En 2019, el 52 % de todos los beneficiarios del sistema de asistencia médica fueron mujeres. </w:t>
      </w:r>
    </w:p>
    <w:p w14:paraId="0A6F87AA" w14:textId="77777777" w:rsidR="004E0684" w:rsidRPr="004A2305" w:rsidRDefault="004E0684" w:rsidP="004A2305">
      <w:pPr>
        <w:pStyle w:val="Bullet1G"/>
        <w:spacing w:before="240" w:line="240" w:lineRule="exact"/>
        <w:ind w:left="1134"/>
        <w:jc w:val="left"/>
        <w:rPr>
          <w:rFonts w:eastAsia="Calibri"/>
          <w:b/>
          <w:bCs/>
        </w:rPr>
      </w:pPr>
      <w:r w:rsidRPr="004A2305">
        <w:rPr>
          <w:rFonts w:eastAsia="Calibri"/>
          <w:b/>
          <w:bCs/>
        </w:rPr>
        <w:t>La lucha contra la violencia contra las mujeres</w:t>
      </w:r>
    </w:p>
    <w:p w14:paraId="73B44A4A" w14:textId="548EE882" w:rsidR="004E0684" w:rsidRPr="006F084A" w:rsidRDefault="004E0684" w:rsidP="004E0684">
      <w:pPr>
        <w:pStyle w:val="SingleTxtG"/>
        <w:rPr>
          <w:rFonts w:eastAsia="Calibri"/>
        </w:rPr>
      </w:pPr>
      <w:r w:rsidRPr="006F084A">
        <w:t>209.</w:t>
      </w:r>
      <w:r w:rsidR="009C135B">
        <w:tab/>
      </w:r>
      <w:r w:rsidRPr="006F084A">
        <w:t>El Gobierno ha puesto en marcha una Estrategia nacional de lucha contra la violencia contra las mujeres para el período 2018-2030 de acuerdo con un enfoque participativo que incluye a todos los actores de los sectores gubernamentales, la sociedad civil, las organizaciones de derechos humanos y desarrollo, las colectividades territoriales, los medios de comunicación y grupos específicos de mujeres víctimas de violencia, tanto hombres como niños. Los objetivos principales de esta Estrategia son:</w:t>
      </w:r>
    </w:p>
    <w:p w14:paraId="6692E84D" w14:textId="7B2D31C6" w:rsidR="004E0684" w:rsidRPr="006F084A" w:rsidRDefault="004E0684" w:rsidP="009C135B">
      <w:pPr>
        <w:pStyle w:val="Bullet1G"/>
        <w:rPr>
          <w:rFonts w:eastAsia="Calibri"/>
        </w:rPr>
      </w:pPr>
      <w:r w:rsidRPr="006F084A">
        <w:t>Planear la acción gubernamental bajo una visión estratégica clara y compartida entre los actores que intervienen</w:t>
      </w:r>
      <w:r w:rsidR="009C135B">
        <w:t>.</w:t>
      </w:r>
    </w:p>
    <w:p w14:paraId="2CE6AFB6" w14:textId="708F4CDC" w:rsidR="004E0684" w:rsidRPr="006F084A" w:rsidRDefault="004E0684" w:rsidP="009C135B">
      <w:pPr>
        <w:pStyle w:val="Bullet1G"/>
        <w:rPr>
          <w:rFonts w:eastAsia="Calibri"/>
        </w:rPr>
      </w:pPr>
      <w:r w:rsidRPr="006F084A">
        <w:t>Unificar los conceptos y enfoques de acción y crear la armonía e integración necesarias entre los actores que intervienen para conseguir erradicar el fenómeno totalmente</w:t>
      </w:r>
      <w:r w:rsidR="009C135B">
        <w:t>.</w:t>
      </w:r>
    </w:p>
    <w:p w14:paraId="28EF9583" w14:textId="004A9CB8" w:rsidR="004E0684" w:rsidRPr="006F084A" w:rsidRDefault="004E0684" w:rsidP="009C135B">
      <w:pPr>
        <w:pStyle w:val="Bullet1G"/>
        <w:rPr>
          <w:rFonts w:eastAsia="Calibri"/>
        </w:rPr>
      </w:pPr>
      <w:r w:rsidRPr="006F084A">
        <w:t>Realizar un acompañamiento de las reformas jurídicas introducidas en lo tocante a la protección de las mujeres contra la violencia, la discriminación, la explotación, la tortura y la trata de personas</w:t>
      </w:r>
      <w:r w:rsidR="009C135B">
        <w:t>.</w:t>
      </w:r>
    </w:p>
    <w:p w14:paraId="0A478581" w14:textId="2643CC73" w:rsidR="004E0684" w:rsidRPr="006F084A" w:rsidRDefault="004E0684" w:rsidP="009C135B">
      <w:pPr>
        <w:pStyle w:val="Bullet1G"/>
        <w:rPr>
          <w:rFonts w:eastAsia="Calibri"/>
        </w:rPr>
      </w:pPr>
      <w:r w:rsidRPr="006F084A">
        <w:t>Promover los objetivos y metas de las estrategias nacionales relacionadas con los derechos humanos en general, en particular el Plan de Igualdad del Gobierno (2017-2021) y el Plan de Acción Nacional para la Democracia y los Derechos Humanos (2018-2021), así como otras estrategias sectoriales y convenciones internacionales ratificadas por Marruecos</w:t>
      </w:r>
      <w:r w:rsidR="009C135B">
        <w:t>.</w:t>
      </w:r>
    </w:p>
    <w:p w14:paraId="74D96134" w14:textId="18B88CE8" w:rsidR="004E0684" w:rsidRPr="006F084A" w:rsidRDefault="004E0684" w:rsidP="009C135B">
      <w:pPr>
        <w:pStyle w:val="Bullet1G"/>
        <w:rPr>
          <w:rFonts w:eastAsia="Calibri"/>
        </w:rPr>
      </w:pPr>
      <w:r w:rsidRPr="006F084A">
        <w:rPr>
          <w:rFonts w:ascii="Symbol" w:hAnsi="Symbol"/>
        </w:rPr>
        <w:lastRenderedPageBreak/>
        <w:tab/>
      </w:r>
      <w:r w:rsidRPr="006F084A">
        <w:t>Promover un enfoque preventivo y medidas disuasorias, sociales, institucionales y culturales que refuercen la protección de las mujeres contra cualesquiera formas de violencia de género</w:t>
      </w:r>
      <w:r w:rsidR="009C135B">
        <w:t>.</w:t>
      </w:r>
    </w:p>
    <w:p w14:paraId="527302B3" w14:textId="2ACD48F4" w:rsidR="004E0684" w:rsidRPr="006F084A" w:rsidRDefault="004E0684" w:rsidP="009C135B">
      <w:pPr>
        <w:pStyle w:val="Bullet1G"/>
        <w:rPr>
          <w:rFonts w:eastAsia="Calibri"/>
        </w:rPr>
      </w:pPr>
      <w:r w:rsidRPr="006F084A">
        <w:rPr>
          <w:rFonts w:ascii="Symbol" w:hAnsi="Symbol"/>
        </w:rPr>
        <w:tab/>
      </w:r>
      <w:r w:rsidRPr="006F084A">
        <w:t xml:space="preserve">Contribuir a la protección y empoderamiento de las mujeres en circunstancias difíciles, como </w:t>
      </w:r>
      <w:r w:rsidRPr="009C135B">
        <w:rPr>
          <w:rFonts w:eastAsia="Calibri"/>
        </w:rPr>
        <w:t>las</w:t>
      </w:r>
      <w:r w:rsidRPr="006F084A">
        <w:t xml:space="preserve"> mujeres trabajadoras, migrantes y víctimas de explotación sexual y trata de personas</w:t>
      </w:r>
      <w:r w:rsidR="009C135B">
        <w:t>.</w:t>
      </w:r>
    </w:p>
    <w:p w14:paraId="213B5BC7" w14:textId="756E7322" w:rsidR="004E0684" w:rsidRPr="006F084A" w:rsidRDefault="004E0684" w:rsidP="009C135B">
      <w:pPr>
        <w:pStyle w:val="Bullet1G"/>
        <w:rPr>
          <w:rFonts w:eastAsia="Calibri"/>
        </w:rPr>
      </w:pPr>
      <w:r w:rsidRPr="006F084A">
        <w:rPr>
          <w:rFonts w:ascii="Symbol" w:hAnsi="Symbol"/>
        </w:rPr>
        <w:tab/>
      </w:r>
      <w:r w:rsidRPr="006F084A">
        <w:t>Contribuir a la revisión de los valores y las referencias culturales que alimentan las manifestaciones de violencia y las diversas prácticas discriminatorias ancladas en los roles estereotipados de hombres y mujeres, adoptando para ello una visión holística que promueva la lucha contra el fenómeno y parta de un enfoque de prevención y protección basado en la igualdad y el respeto de los derechos humanos y en una visión proactiva de las transformaciones sociales.</w:t>
      </w:r>
    </w:p>
    <w:p w14:paraId="7D3CB775" w14:textId="5B3937FC" w:rsidR="004E0684" w:rsidRPr="006F084A" w:rsidRDefault="004E0684" w:rsidP="004E0684">
      <w:pPr>
        <w:pStyle w:val="SingleTxtG"/>
        <w:rPr>
          <w:rFonts w:eastAsia="Calibri"/>
        </w:rPr>
      </w:pPr>
      <w:r w:rsidRPr="006F084A">
        <w:t>210.</w:t>
      </w:r>
      <w:r w:rsidR="009C135B">
        <w:tab/>
      </w:r>
      <w:r w:rsidRPr="006F084A">
        <w:t xml:space="preserve">La Ley núm. 103-13, de Lucha contra la Violencia contra la Mujer, constituyó un punto de inflexión respecto al arsenal jurídico nacional, que permitió a Marruecos contar con un marco jurídico amplio para la lucha contra la violencia contra las mujeres. La </w:t>
      </w:r>
      <w:r w:rsidR="00B8306A" w:rsidRPr="006F084A">
        <w:t>Ley</w:t>
      </w:r>
      <w:r w:rsidRPr="006F084A">
        <w:t>, que entró en vigor en septiembre de 2018, tiene como objetivo proporcionar protección jurídica a las mujeres víctimas de violencia, y abarca cuatro dimensiones: la preventiva, la de protección, la disuasoria y la de toma a cargo de las víctimas.</w:t>
      </w:r>
    </w:p>
    <w:p w14:paraId="1D56FF5D" w14:textId="06C143E3" w:rsidR="004E0684" w:rsidRPr="006F084A" w:rsidRDefault="004E0684" w:rsidP="004E0684">
      <w:pPr>
        <w:pStyle w:val="SingleTxtG"/>
        <w:rPr>
          <w:rFonts w:eastAsia="Calibri"/>
        </w:rPr>
      </w:pPr>
      <w:r w:rsidRPr="006F084A">
        <w:t>211.</w:t>
      </w:r>
      <w:r w:rsidR="009C135B">
        <w:tab/>
      </w:r>
      <w:r w:rsidRPr="006F084A">
        <w:t xml:space="preserve">Con respecto a las medidas preventivas y de protección para hacer frente a la violencia contra la mujer, la Ley </w:t>
      </w:r>
      <w:r w:rsidR="00B8306A">
        <w:t xml:space="preserve">núm. </w:t>
      </w:r>
      <w:r w:rsidRPr="006F084A">
        <w:t xml:space="preserve">103-13 recomendó la creación de mecanismos institucionales para la atención de las mujeres víctimas de violencia. Así, el 5 de septiembre de 2019 se estableció la Comisión Nacional de Atención a las Mujeres Víctimas de la Violencia. Integrada por 19 sectores que representan a diversos sectores gubernamentales y departamentos centrales, esta comisión garantiza la sinergia entre todas las intervenciones y actores como parte de un enfoque integrado para abordar las manifestaciones de violencia contra las mujeres. Asimismo, se han incorporado dependencias de asistencia a mujeres y niños víctimas de violencia a los juzgados, hospitales públicos, centros de seguridad y cuarteles de la Gendarmería Real, lo cual es reflejo de la movilización emprendida a nivel nacional para luchar contra este fenómeno y atender a las víctimas. </w:t>
      </w:r>
    </w:p>
    <w:p w14:paraId="2D8F5001" w14:textId="6DA2DA8F" w:rsidR="004E0684" w:rsidRPr="006F084A" w:rsidRDefault="004E0684" w:rsidP="004E0684">
      <w:pPr>
        <w:pStyle w:val="SingleTxtG"/>
        <w:rPr>
          <w:rFonts w:eastAsia="Calibri"/>
        </w:rPr>
      </w:pPr>
      <w:r w:rsidRPr="006F084A">
        <w:t>212.</w:t>
      </w:r>
      <w:r w:rsidR="009C135B">
        <w:tab/>
      </w:r>
      <w:r w:rsidRPr="006F084A">
        <w:t>Por otro lado, en virtud de la Resolución Ministerial núm. 2852-</w:t>
      </w:r>
      <w:r w:rsidRPr="00D82712">
        <w:t xml:space="preserve">14, de </w:t>
      </w:r>
      <w:r w:rsidR="00D82712" w:rsidRPr="00D82712">
        <w:t>10</w:t>
      </w:r>
      <w:r w:rsidRPr="00D82712">
        <w:t xml:space="preserve"> de </w:t>
      </w:r>
      <w:proofErr w:type="spellStart"/>
      <w:r w:rsidRPr="00D82712">
        <w:t>Shawwal</w:t>
      </w:r>
      <w:proofErr w:type="spellEnd"/>
      <w:r w:rsidRPr="006F084A">
        <w:t xml:space="preserve"> de 1435 (7 de agosto de 2014), se estableció un Observatorio Nacional de la Violencia contra la Mujer. En calidad de mecanismo nacional especializado, este </w:t>
      </w:r>
      <w:r w:rsidR="00B8306A" w:rsidRPr="006F084A">
        <w:t xml:space="preserve">Observatorio </w:t>
      </w:r>
      <w:r w:rsidRPr="006F084A">
        <w:t xml:space="preserve">integra a diversos socios institucionales representados, por un lado, por los sectores gubernamentales implicados en la lucha contra la violencia contra las mujeres y, por otro, por los colectivos e investigadores que representan a los centros de estudio e investigación en las universidades. Este mecanismo hace las veces de marco para establecer y consolidar el enfoque participativo adoptado por los distintos actores implicados en la lucha contra el fenómeno de la violencia contra las mujeres, tanto como opción estratégica, para vigilar y dar seguimiento a las diversas dimensiones y aspectos de este fenómeno, como para contribuir al desarrollo del conocimiento en la esfera de la violencia contra las mujeres y a la divulgación de una cultura del respeto a sus derechos. </w:t>
      </w:r>
    </w:p>
    <w:p w14:paraId="6DFCF932" w14:textId="1F0A1E7F" w:rsidR="004E0684" w:rsidRPr="006F084A" w:rsidRDefault="004E0684" w:rsidP="004E0684">
      <w:pPr>
        <w:pStyle w:val="SingleTxtG"/>
      </w:pPr>
      <w:r w:rsidRPr="006F084A">
        <w:t>213.</w:t>
      </w:r>
      <w:r w:rsidR="009C135B">
        <w:tab/>
      </w:r>
      <w:r w:rsidRPr="006F084A">
        <w:t>A partir de 2015, se empezaron a reforzar las instituciones de bienestar social para las mujeres en situación difícil, siendo 40 los centros establecidos para tal fin hasta 2019. Estas estructuras continúan fortaleciéndose mediante la creación de otros 25 centros que abarcarán un amplio espectro de regiones y provincias del Reino, así como la creación de espacios multifuncionales para garantizar la atención de las mujeres víctimas de violencia a nivel local. Estos espacios constituyen estructuras sociales de proximidad que prestan varios servicios a las mujeres en situación difícil, incluidos servicios de apoyo, atención y acompañamiento, el fortalecimiento de las capacidades, la sensibilización sobre los derechos de las mujeres y la provisión de refugio. Marruecos trabaja para difundir esta red de espacios en todas las comunas y provincias del Reino, así como para mejorar y desarrollar sus servicios a través de un registro de obligaciones que se ajuste a las normas internacionales en materia de gestión de instituciones sociales dedicadas a la toma a cargo y la provisión de alojamiento.</w:t>
      </w:r>
    </w:p>
    <w:p w14:paraId="1CF0F445" w14:textId="651A4EFB" w:rsidR="004E0684" w:rsidRPr="006F084A" w:rsidRDefault="004E0684" w:rsidP="004E0684">
      <w:pPr>
        <w:pStyle w:val="SingleTxtG"/>
      </w:pPr>
      <w:r w:rsidRPr="006F084A">
        <w:t>214.</w:t>
      </w:r>
      <w:r w:rsidR="009C135B">
        <w:tab/>
      </w:r>
      <w:r w:rsidRPr="006F084A">
        <w:t xml:space="preserve">Con motivo de la celebración del Día Internacional para la Eliminación de la Violencia contra la Mujer (25 de noviembre), Marruecos organizó una campaña nacional anual contra la violencia contra las mujeres, eligiendo para la 17ª edición de 2019 el lema </w:t>
      </w:r>
      <w:r w:rsidR="00B56649">
        <w:lastRenderedPageBreak/>
        <w:t>“</w:t>
      </w:r>
      <w:r w:rsidRPr="006F084A">
        <w:t>La juventud, socia en la lucha contra la violencia contra las mujeres y las niñas</w:t>
      </w:r>
      <w:r w:rsidR="00B56649">
        <w:t>”</w:t>
      </w:r>
      <w:r w:rsidRPr="006F084A">
        <w:t>. La elección de los jóvenes fue motivada por diversas consideraciones, encaminadas a transformar la interactuación con el colectivo de los jóvenes afectados por el fenómeno, ya sea como víctimas o como agresores, involucrándolos y convirtiéndolos en una fuerza motriz positiva capaz de generar un cambio en la mentalidad masculina y consolidar los principios de igualdad, justicia y equidad.</w:t>
      </w:r>
    </w:p>
    <w:p w14:paraId="62D7AD57" w14:textId="30989B3B" w:rsidR="004E0684" w:rsidRPr="006F084A" w:rsidRDefault="004E0684" w:rsidP="004E0684">
      <w:pPr>
        <w:pStyle w:val="SingleTxtG"/>
        <w:rPr>
          <w:rFonts w:eastAsia="Calibri"/>
        </w:rPr>
      </w:pPr>
      <w:r w:rsidRPr="006F084A">
        <w:t>215.</w:t>
      </w:r>
      <w:r w:rsidR="009C135B">
        <w:tab/>
      </w:r>
      <w:r w:rsidRPr="006F084A">
        <w:t>Sin embargo, las estadísticas y cifras de los resultados preliminares de la segunda investigación nacional sobre la prevalencia de la violencia contra la mujer en Marruecos, publicados en mayo de 2019, muestran que los esfuerzos para reducir la violencia de género deben redoblarse aún más, ya que la prevalencia de la violencia contra la mujer en los 12</w:t>
      </w:r>
      <w:r w:rsidR="00B8306A">
        <w:t> </w:t>
      </w:r>
      <w:r w:rsidRPr="006F084A">
        <w:t xml:space="preserve">meses anteriores a la fecha de la investigación fue del 54,4 %, y la distribución según el medio muestra que la prevalencia entre las mujeres en el medio urbano (55,8 %) es mayor que entre las mujeres del medio rural (51,6 %). </w:t>
      </w:r>
    </w:p>
    <w:p w14:paraId="0721DE3E" w14:textId="77777777" w:rsidR="004E0684" w:rsidRPr="004A2305" w:rsidRDefault="004E0684" w:rsidP="004A2305">
      <w:pPr>
        <w:pStyle w:val="Bullet1G"/>
        <w:spacing w:before="240" w:line="240" w:lineRule="exact"/>
        <w:ind w:left="1134"/>
        <w:jc w:val="left"/>
        <w:rPr>
          <w:rFonts w:eastAsia="Calibri"/>
          <w:b/>
          <w:bCs/>
        </w:rPr>
      </w:pPr>
      <w:r w:rsidRPr="004A2305">
        <w:rPr>
          <w:b/>
          <w:bCs/>
        </w:rPr>
        <w:t xml:space="preserve">La mejora de la imagen de la mujer en los medios de comunicación </w:t>
      </w:r>
    </w:p>
    <w:p w14:paraId="395798C3" w14:textId="143EA3C1" w:rsidR="004E0684" w:rsidRPr="006F084A" w:rsidRDefault="004E0684" w:rsidP="004E0684">
      <w:pPr>
        <w:pStyle w:val="SingleTxtG"/>
        <w:rPr>
          <w:rFonts w:eastAsia="Calibri"/>
        </w:rPr>
      </w:pPr>
      <w:r w:rsidRPr="006F084A">
        <w:t>216.</w:t>
      </w:r>
      <w:r w:rsidR="009C135B">
        <w:tab/>
      </w:r>
      <w:r w:rsidRPr="006F084A">
        <w:t xml:space="preserve">Desde la adopción de la Carta Nacional para Mejorar la Imagen de la Mujer en los medios de Comunicación en 2005, Marruecos ha acumulado importantes logros en relación con la mejora de la imagen de las mujeres en los medios de comunicación y la lucha contra los estereotipos, mediante las siguientes iniciativas: </w:t>
      </w:r>
    </w:p>
    <w:p w14:paraId="708C3911" w14:textId="1EB66F2D" w:rsidR="004E0684" w:rsidRPr="006F084A" w:rsidRDefault="004E0684" w:rsidP="009C135B">
      <w:pPr>
        <w:pStyle w:val="Bullet1G"/>
        <w:rPr>
          <w:rFonts w:eastAsia="Calibri"/>
        </w:rPr>
      </w:pPr>
      <w:r w:rsidRPr="006F084A">
        <w:rPr>
          <w:rFonts w:ascii="Symbol" w:hAnsi="Symbol"/>
        </w:rPr>
        <w:tab/>
      </w:r>
      <w:r w:rsidRPr="006F084A">
        <w:t xml:space="preserve">Aprobación de la Ley núm. 83-13, que complementa la Ley núm. 77-03 de Comunicación Audiovisual, de 4 de agosto de 2015, por la que se garantiza la prohibición de la publicidad que contenga abusos a la mujer, difunda imágenes estereotipadas o negativas de la mujer, consagre su inferioridad o promueva la discriminación por razón de género. Esta </w:t>
      </w:r>
      <w:r w:rsidR="00B8306A" w:rsidRPr="006F084A">
        <w:t xml:space="preserve">Ley </w:t>
      </w:r>
      <w:r w:rsidRPr="006F084A">
        <w:t>insta a los operadores audiovisuales a contribuir a la lucha contra la discriminación de género, incluidos los estereotipos de género, y a la promoción de una cultura de la igualdad entre los géneros, además de prohibir la instigación directa o indirecta contra las mujeres o las vejaciones a su dignidad.</w:t>
      </w:r>
    </w:p>
    <w:p w14:paraId="4E764546" w14:textId="6B74A194" w:rsidR="004E0684" w:rsidRPr="006F084A" w:rsidRDefault="004E0684" w:rsidP="009C135B">
      <w:pPr>
        <w:pStyle w:val="Bullet1G"/>
        <w:rPr>
          <w:rFonts w:eastAsia="Calibri"/>
        </w:rPr>
      </w:pPr>
      <w:r w:rsidRPr="006F084A">
        <w:rPr>
          <w:rFonts w:ascii="Symbol" w:hAnsi="Symbol"/>
        </w:rPr>
        <w:tab/>
      </w:r>
      <w:r w:rsidRPr="006F084A">
        <w:t xml:space="preserve">Aprobación de la Ley núm. 88-13 de Prensa y Publicaciones, de 10 de agosto de 2016, cuyo artículo 64 dispone que </w:t>
      </w:r>
      <w:r w:rsidR="00B56649">
        <w:t>“</w:t>
      </w:r>
      <w:r w:rsidRPr="006F084A">
        <w:t>respetando la libertad de creación, queda prohibida cualquier publicidad en la prensa escrita y digital que conlleve [...] el abuso o la denigración de las personas por motivos de religión, sexo o color; o el abuso o la denigración de la mujer, o que difunda mensajes que por su naturaleza consagren la inferioridad de la mujer o promuevan la discriminación contra la mujer por motivos de sexo; o el abuso y la denigración de los jóvenes o que difunda mensajes que por su naturaleza supongan el abuso de un niño menor de edad, una provocación o alienten la discriminación entre los niños por motivo de sexo</w:t>
      </w:r>
      <w:r w:rsidR="00B56649">
        <w:t>”</w:t>
      </w:r>
      <w:r w:rsidRPr="006F084A">
        <w:t>.</w:t>
      </w:r>
    </w:p>
    <w:p w14:paraId="2A4C7143" w14:textId="7467AABE" w:rsidR="004E0684" w:rsidRPr="006F084A" w:rsidRDefault="004E0684" w:rsidP="009C135B">
      <w:pPr>
        <w:pStyle w:val="Bullet1G"/>
        <w:rPr>
          <w:rFonts w:eastAsia="Calibri"/>
        </w:rPr>
      </w:pPr>
      <w:r w:rsidRPr="006F084A">
        <w:rPr>
          <w:rFonts w:ascii="Symbol" w:hAnsi="Symbol"/>
        </w:rPr>
        <w:tab/>
      </w:r>
      <w:r w:rsidRPr="006F084A">
        <w:t>Aprobación de la Ley núm. 11-15, del Consejo Superior de Comunicación Audiovisual, cuyos artículos 2, 6 y 9 establecen que el Consejo vela por la creación de un panorama audiovisual que respete el pluralismo [...] y la dignidad humana, que trabaje para combatir todas las formas de discriminación y violencia, contribuyendo a la promoción de una cultura de la equidad e igualdad de oportunidades entre hombres y mujeres, y que vele por combatir todas las formas de discriminación y los estereotipos que atentan contra la dignidad de la mujer.</w:t>
      </w:r>
    </w:p>
    <w:p w14:paraId="51A1E138" w14:textId="480E1E27" w:rsidR="004E0684" w:rsidRPr="006F084A" w:rsidRDefault="004E0684" w:rsidP="009C135B">
      <w:pPr>
        <w:pStyle w:val="Bullet1G"/>
        <w:rPr>
          <w:rFonts w:eastAsia="Calibri"/>
        </w:rPr>
      </w:pPr>
      <w:r w:rsidRPr="006F084A">
        <w:rPr>
          <w:rFonts w:ascii="Symbol" w:hAnsi="Symbol"/>
        </w:rPr>
        <w:tab/>
      </w:r>
      <w:r w:rsidRPr="006F084A">
        <w:t xml:space="preserve">La preparación de pliegos de responsabilidades de los canales públicos y su inclusión en los requisitos encaminados a promocionar la presencia de las mujeres en los medios de comunicación, con el fin de mejorar su imagen y elevar su consideración en estos medios. </w:t>
      </w:r>
    </w:p>
    <w:p w14:paraId="4A49FEEE" w14:textId="296795B2" w:rsidR="004E0684" w:rsidRPr="006F084A" w:rsidRDefault="004E0684" w:rsidP="009C135B">
      <w:pPr>
        <w:pStyle w:val="Bullet1G"/>
        <w:rPr>
          <w:rFonts w:eastAsia="Calibri"/>
        </w:rPr>
      </w:pPr>
      <w:r w:rsidRPr="006F084A">
        <w:rPr>
          <w:rFonts w:ascii="Symbol" w:hAnsi="Symbol"/>
        </w:rPr>
        <w:tab/>
      </w:r>
      <w:r w:rsidRPr="006F084A">
        <w:t xml:space="preserve">La creación, en virtud del Decreto Ministerial núm. 2852-14, de 10 de </w:t>
      </w:r>
      <w:proofErr w:type="spellStart"/>
      <w:r w:rsidRPr="006F084A">
        <w:t>Shawwal</w:t>
      </w:r>
      <w:proofErr w:type="spellEnd"/>
      <w:r w:rsidRPr="006F084A">
        <w:t xml:space="preserve"> de 1435 (7 de agosto de 2014), del Observatorio Nacional para la Imagen de la Mujer en los Medios de Comunicación, considerado un mecanismo nacional de rastreo y seguimiento de la imagen de la mujer en los diversos medios de comunicación (escritos, orales, visuales y digitales), y que se caracteriza por una composición tripartita en la que participan los sectores gubernamentales, representantes de asociaciones de la sociedad civil y los organismos profesionales, además de representantes de centros universitarios de investigación. </w:t>
      </w:r>
    </w:p>
    <w:p w14:paraId="13C5C548" w14:textId="1A4B41B5" w:rsidR="004E0684" w:rsidRPr="006F084A" w:rsidRDefault="004E0684" w:rsidP="009C135B">
      <w:pPr>
        <w:pStyle w:val="Bullet1G"/>
        <w:rPr>
          <w:rFonts w:eastAsia="Calibri"/>
        </w:rPr>
      </w:pPr>
      <w:r w:rsidRPr="006F084A">
        <w:rPr>
          <w:rFonts w:ascii="Symbol" w:hAnsi="Symbol"/>
        </w:rPr>
        <w:lastRenderedPageBreak/>
        <w:tab/>
      </w:r>
      <w:r w:rsidRPr="006F084A">
        <w:t>La creación, en 2017, del Comité de Paridad y Vigilancia en el seno de la Sociedad Nacional de Radio y Televisión, con el fin de consagrar los valores de equidad e igualdad de oportunidades para ambos sexos.</w:t>
      </w:r>
    </w:p>
    <w:p w14:paraId="252E2650" w14:textId="77777777" w:rsidR="004E0684" w:rsidRPr="004A2305" w:rsidRDefault="004E0684" w:rsidP="004A2305">
      <w:pPr>
        <w:pStyle w:val="Bullet1G"/>
        <w:spacing w:before="240" w:line="240" w:lineRule="exact"/>
        <w:ind w:left="1134"/>
        <w:jc w:val="left"/>
        <w:rPr>
          <w:rFonts w:eastAsia="Calibri"/>
          <w:b/>
          <w:bCs/>
        </w:rPr>
      </w:pPr>
      <w:r w:rsidRPr="004A2305">
        <w:rPr>
          <w:rFonts w:eastAsia="Calibri"/>
          <w:b/>
          <w:bCs/>
        </w:rPr>
        <w:t>El presupuesto sensible en materia de género</w:t>
      </w:r>
    </w:p>
    <w:p w14:paraId="768085A7" w14:textId="198CE416" w:rsidR="004E0684" w:rsidRPr="006F084A" w:rsidRDefault="004E0684" w:rsidP="004E0684">
      <w:pPr>
        <w:pStyle w:val="SingleTxtG"/>
        <w:rPr>
          <w:rFonts w:eastAsia="Calibri"/>
        </w:rPr>
      </w:pPr>
      <w:r w:rsidRPr="006F084A">
        <w:t>217.</w:t>
      </w:r>
      <w:r w:rsidR="009C135B">
        <w:tab/>
      </w:r>
      <w:r w:rsidRPr="006F084A">
        <w:t xml:space="preserve">El Centro de Excelencia para el Presupuesto de Género, creado en febrero de 2013, es una plataforma para la asociación, la cooperación y el intercambio de conocimientos en el ámbito de los presupuestos sensibles al género. Una de las características del enfoque de género es que se basa en una metodología analítica horizontal, en tanto que adopta una visión integrada que tiene en cuenta el principio de la unidad e indivisibilidad de los derechos humanos. El presupuesto sensible al género forma parte de un enfoque basado en la democracia, la buena gobernanza y la identificación de las necesidades de los diversos grupos sociales (especialmente los niños, las personas con discapacidad y los migrantes), teniendo en cuenta la relación entre el género, el cambio climático y el territorio. </w:t>
      </w:r>
    </w:p>
    <w:p w14:paraId="3B945985" w14:textId="7F6AF7E2" w:rsidR="004E0684" w:rsidRPr="006F084A" w:rsidRDefault="004E0684" w:rsidP="004E0684">
      <w:pPr>
        <w:pStyle w:val="SingleTxtG"/>
        <w:rPr>
          <w:rFonts w:eastAsia="Calibri"/>
        </w:rPr>
      </w:pPr>
      <w:r w:rsidRPr="006F084A">
        <w:t>218.</w:t>
      </w:r>
      <w:r w:rsidR="009C135B">
        <w:tab/>
      </w:r>
      <w:r w:rsidRPr="006F084A">
        <w:t xml:space="preserve">Marruecos continúa aplicando el enfoque presupuestario con perspectiva de género puesto en marcha en 2002, según el cual 33 sectores gubernamentales contribuyen a la elaboración del informe sobre el presupuesto basado en los resultados, teniendo en cuenta el aspecto de género de la Ley de Presupuestos. El sector gubernamental de economía y finanzas ha venido preparando un informe presupuestario basado en los resultados desde una perspectiva de género desde el año fiscal 2011. </w:t>
      </w:r>
    </w:p>
    <w:p w14:paraId="453B14EA" w14:textId="0A44B21D" w:rsidR="004E0684" w:rsidRPr="006F084A" w:rsidRDefault="004E0684" w:rsidP="004E0684">
      <w:pPr>
        <w:pStyle w:val="SingleTxtG"/>
        <w:rPr>
          <w:rFonts w:eastAsia="Calibri"/>
        </w:rPr>
      </w:pPr>
      <w:r w:rsidRPr="006F084A">
        <w:t>219.</w:t>
      </w:r>
      <w:r w:rsidR="009C135B">
        <w:tab/>
      </w:r>
      <w:r w:rsidRPr="006F084A">
        <w:t xml:space="preserve">Los esfuerzos de Marruecos para aplicar una programación presupuestaria con perspectiva de género se vieron reforzados gracias a la adopción, a partir del 1 de enero de 2016, de la Ley Orgánica núm. 130-13, de Presupuestos, en virtud de la cual se otorgaban facultades sin precedentes a los sectores ministeriales para elaborar una programación presupuestaria basada en la eficiencia y la equidad. La nueva versión del informe presupuestario basado en resultados y con una perspectiva de género, que acompaña al </w:t>
      </w:r>
      <w:r w:rsidR="00B8306A">
        <w:t>p</w:t>
      </w:r>
      <w:r w:rsidRPr="006F084A">
        <w:t xml:space="preserve">royecto de </w:t>
      </w:r>
      <w:r w:rsidR="00B8306A">
        <w:t>l</w:t>
      </w:r>
      <w:r w:rsidRPr="006F084A">
        <w:t xml:space="preserve">ey de </w:t>
      </w:r>
      <w:r w:rsidR="00B8306A">
        <w:t>f</w:t>
      </w:r>
      <w:r w:rsidRPr="006F084A">
        <w:t xml:space="preserve">inanzas de 2020, refleja el comienzo de la aplicación de estos cambios positivos, con la adopción de un nuevo enfoque centrado en el análisis de los beneficios económicos resultantes de la reducción de las diferencias entre ambos sexos. </w:t>
      </w:r>
    </w:p>
    <w:p w14:paraId="069E276F" w14:textId="77777777" w:rsidR="004E0684" w:rsidRPr="007754D2" w:rsidRDefault="004E0684" w:rsidP="009C135B">
      <w:pPr>
        <w:pStyle w:val="H1G"/>
        <w:rPr>
          <w:rFonts w:eastAsia="Calibri"/>
          <w:lang w:val="es-ES_tradnl"/>
        </w:rPr>
      </w:pPr>
      <w:r w:rsidRPr="006F084A">
        <w:tab/>
        <w:t>B.</w:t>
      </w:r>
      <w:r w:rsidRPr="006F084A">
        <w:tab/>
      </w:r>
      <w:bookmarkStart w:id="10" w:name="_Toc64366045"/>
      <w:bookmarkEnd w:id="10"/>
      <w:r w:rsidRPr="007754D2">
        <w:rPr>
          <w:lang w:val="es-ES_tradnl"/>
        </w:rPr>
        <w:t>Medidas de recurso efectivo</w:t>
      </w:r>
    </w:p>
    <w:p w14:paraId="7C5B794E" w14:textId="770AEA1E" w:rsidR="004E0684" w:rsidRPr="004A2305" w:rsidRDefault="004E0684" w:rsidP="004A2305">
      <w:pPr>
        <w:pStyle w:val="Bullet1G"/>
        <w:spacing w:before="240" w:line="240" w:lineRule="exact"/>
        <w:ind w:left="1134"/>
        <w:jc w:val="left"/>
        <w:rPr>
          <w:rFonts w:eastAsia="Calibri"/>
          <w:b/>
          <w:bCs/>
        </w:rPr>
      </w:pPr>
      <w:r w:rsidRPr="004A2305">
        <w:rPr>
          <w:rFonts w:eastAsia="Calibri"/>
          <w:b/>
          <w:bCs/>
        </w:rPr>
        <w:t>Los recursos judiciales</w:t>
      </w:r>
    </w:p>
    <w:p w14:paraId="5C499713" w14:textId="15B3BB54" w:rsidR="004E0684" w:rsidRPr="006F084A" w:rsidRDefault="004E0684" w:rsidP="004E0684">
      <w:pPr>
        <w:pStyle w:val="SingleTxtG"/>
        <w:rPr>
          <w:rFonts w:eastAsia="Calibri"/>
        </w:rPr>
      </w:pPr>
      <w:r w:rsidRPr="007754D2">
        <w:rPr>
          <w:lang w:val="es-ES_tradnl"/>
        </w:rPr>
        <w:t>220.</w:t>
      </w:r>
      <w:r w:rsidR="00514A0D" w:rsidRPr="007754D2">
        <w:rPr>
          <w:lang w:val="es-ES_tradnl"/>
        </w:rPr>
        <w:tab/>
      </w:r>
      <w:r w:rsidRPr="007754D2">
        <w:rPr>
          <w:lang w:val="es-ES_tradnl"/>
        </w:rPr>
        <w:t>Las víctimas cuyos derechos hayan sido violados podrán apelar ante los tribunales, tanto si se trata de derechos consagrados en la Constitución, como convenios en los que Marruecos es parte o derechos reconocidos por la ley. A tenor del tipo de derecho que haya sido vulnerado, las apelaciones</w:t>
      </w:r>
      <w:r w:rsidRPr="006F084A">
        <w:t xml:space="preserve"> se presentarán ante tribunales civiles, penales o administrativos.</w:t>
      </w:r>
    </w:p>
    <w:p w14:paraId="0E35A9EB" w14:textId="3099615F" w:rsidR="004E0684" w:rsidRPr="006F084A" w:rsidRDefault="004E0684" w:rsidP="004E0684">
      <w:pPr>
        <w:pStyle w:val="SingleTxtG"/>
        <w:rPr>
          <w:rFonts w:eastAsia="Calibri"/>
        </w:rPr>
      </w:pPr>
      <w:r w:rsidRPr="006F084A">
        <w:t>221.</w:t>
      </w:r>
      <w:r w:rsidR="00514A0D">
        <w:tab/>
      </w:r>
      <w:r w:rsidRPr="006F084A">
        <w:t>La organización judicial de Marruecos se compone, en virtud de la enmienda del Decreto</w:t>
      </w:r>
      <w:r w:rsidR="00B8306A">
        <w:t>-l</w:t>
      </w:r>
      <w:r w:rsidRPr="006F084A">
        <w:t xml:space="preserve">ey de 15 de julio de 1974 sobre la Organización Judicial del Reino, del Tribunal de Casación (anteriormente Consejo Supremo), los tribunales de apelación, los tribunales administrativos de apelación, los tribunales de apelación de lo mercantil, los tribunales de primera instancia, los tribunales administrativos y los tribunales de lo mercantil. En el marco de la puesta al día del arsenal jurídico del sistema judicial, se elaboró el </w:t>
      </w:r>
      <w:r w:rsidR="00B8306A">
        <w:t>p</w:t>
      </w:r>
      <w:r w:rsidRPr="006F084A">
        <w:t xml:space="preserve">royecto de </w:t>
      </w:r>
      <w:r w:rsidR="00B8306A">
        <w:t>l</w:t>
      </w:r>
      <w:r w:rsidRPr="006F084A">
        <w:t>ey núm.</w:t>
      </w:r>
      <w:r w:rsidR="00B8306A">
        <w:t> </w:t>
      </w:r>
      <w:r w:rsidRPr="006F084A">
        <w:t>38-15, de la Organización Judicial</w:t>
      </w:r>
      <w:r w:rsidRPr="006F084A">
        <w:rPr>
          <w:rStyle w:val="Refdenotaalpie"/>
          <w:rFonts w:eastAsia="Calibri"/>
          <w:lang w:val="en-GB"/>
        </w:rPr>
        <w:footnoteReference w:id="64"/>
      </w:r>
      <w:r w:rsidRPr="006F084A">
        <w:t xml:space="preserve">, que fija las normas por las que se rige la Administración de Justicia, para garantizar su eficacia y seguir acercando la justicia a los ciudadanos. </w:t>
      </w:r>
    </w:p>
    <w:p w14:paraId="3BC45312" w14:textId="77777777" w:rsidR="004E0684" w:rsidRPr="004A2305" w:rsidRDefault="004E0684" w:rsidP="004A2305">
      <w:pPr>
        <w:pStyle w:val="Bullet1G"/>
        <w:spacing w:before="240" w:line="240" w:lineRule="exact"/>
        <w:ind w:left="1134"/>
        <w:jc w:val="left"/>
        <w:rPr>
          <w:rFonts w:eastAsia="Calibri"/>
          <w:b/>
          <w:bCs/>
        </w:rPr>
      </w:pPr>
      <w:r w:rsidRPr="004A2305">
        <w:rPr>
          <w:rFonts w:eastAsia="Calibri"/>
          <w:b/>
          <w:bCs/>
        </w:rPr>
        <w:t>Los tribunales de primera instancia</w:t>
      </w:r>
    </w:p>
    <w:p w14:paraId="75B3A3F1" w14:textId="67482EE9" w:rsidR="004E0684" w:rsidRPr="006F084A" w:rsidRDefault="004E0684" w:rsidP="004E0684">
      <w:pPr>
        <w:pStyle w:val="SingleTxtG"/>
        <w:rPr>
          <w:rFonts w:eastAsia="Calibri"/>
        </w:rPr>
      </w:pPr>
      <w:r w:rsidRPr="006F084A">
        <w:t>222.</w:t>
      </w:r>
      <w:r w:rsidR="00514A0D">
        <w:tab/>
      </w:r>
      <w:r w:rsidRPr="006F084A">
        <w:t xml:space="preserve">Los tribunales de primera instancia están compuestos por un presidente, un juez, un fiscal y un secretario. Disponen de jurisdicción para examinar todos los temas y atender a todos los litigantes, excepto cuando estos sean asignados a otro órgano judicial en virtud de </w:t>
      </w:r>
      <w:r w:rsidRPr="006F084A">
        <w:lastRenderedPageBreak/>
        <w:t xml:space="preserve">una disposición legal. La jurisdicción general de la que gozan les otorga competencia en todos los casos civiles, inmobiliarios, penales, sociales y del estatuto personal. </w:t>
      </w:r>
    </w:p>
    <w:p w14:paraId="07A53C8E" w14:textId="3EE6042A" w:rsidR="004E0684" w:rsidRPr="007754D2" w:rsidRDefault="004E0684" w:rsidP="004E0684">
      <w:pPr>
        <w:pStyle w:val="SingleTxtG"/>
        <w:rPr>
          <w:rFonts w:eastAsia="Calibri"/>
          <w:lang w:val="es-ES_tradnl"/>
        </w:rPr>
      </w:pPr>
      <w:r w:rsidRPr="006F084A">
        <w:t>223.</w:t>
      </w:r>
      <w:r w:rsidR="00514A0D">
        <w:tab/>
      </w:r>
      <w:r w:rsidRPr="006F084A">
        <w:t xml:space="preserve">Conforme al ordenamiento judicial nacional, estos tribunales atienden delitos graves y menos graves en casos penales. Asimismo, atienden casos de matrimonio, divorcio y herencia a través de los tribunales de la familia, y son competentes en casos relacionados con conflictos laborales, accidentes de trabajo, enfermedades profesionales y cuestiones sociales. Estos tribunales tienen también competencias para examinar los casos de transacciones civiles, como la compraventa, el alquiler y las hipotecas, excepto en lo relacionado con las transacciones comerciales, en cuyo caso son asignados a los tribunales de lo mercantil. Existen 83 tribunales </w:t>
      </w:r>
      <w:r w:rsidRPr="007754D2">
        <w:rPr>
          <w:lang w:val="es-ES_tradnl"/>
        </w:rPr>
        <w:t>de primera instancia.</w:t>
      </w:r>
    </w:p>
    <w:p w14:paraId="6910CB8E" w14:textId="77777777" w:rsidR="004E0684" w:rsidRPr="004A2305" w:rsidRDefault="004E0684" w:rsidP="004A2305">
      <w:pPr>
        <w:pStyle w:val="Bullet1G"/>
        <w:spacing w:before="240" w:line="240" w:lineRule="exact"/>
        <w:ind w:left="1134"/>
        <w:jc w:val="left"/>
        <w:rPr>
          <w:rFonts w:eastAsia="Calibri"/>
          <w:b/>
          <w:bCs/>
        </w:rPr>
      </w:pPr>
      <w:r w:rsidRPr="004A2305">
        <w:rPr>
          <w:rFonts w:eastAsia="Calibri"/>
          <w:b/>
          <w:bCs/>
        </w:rPr>
        <w:t>Los tribunales de apelación</w:t>
      </w:r>
    </w:p>
    <w:p w14:paraId="445DFABA" w14:textId="4A05C674" w:rsidR="004E0684" w:rsidRPr="007754D2" w:rsidRDefault="004E0684" w:rsidP="004E0684">
      <w:pPr>
        <w:pStyle w:val="SingleTxtG"/>
        <w:rPr>
          <w:rFonts w:eastAsia="Calibri"/>
          <w:lang w:val="es-ES_tradnl"/>
        </w:rPr>
      </w:pPr>
      <w:r w:rsidRPr="007754D2">
        <w:rPr>
          <w:lang w:val="es-ES_tradnl"/>
        </w:rPr>
        <w:t>224.</w:t>
      </w:r>
      <w:r w:rsidR="00514A0D" w:rsidRPr="007754D2">
        <w:rPr>
          <w:lang w:val="es-ES_tradnl"/>
        </w:rPr>
        <w:tab/>
      </w:r>
      <w:r w:rsidRPr="007754D2">
        <w:rPr>
          <w:lang w:val="es-ES_tradnl"/>
        </w:rPr>
        <w:t>Están formados por un presidente, jueces, un fiscal y un secretario, y atienden apelaciones de casos que atañen a los tribunales de primera instancia y apelaciones contra las órdenes emitidas por los presidentes de esos tribunales. Por otro lado, a través de las salas de primera instancia y apelación estos tribunales atienden los casos de delitos graves, así como las apelaciones a las decisiones del juez instructor y otras decisiones. El número de tribunales de apelación a nivel nacional asciende a 22.</w:t>
      </w:r>
    </w:p>
    <w:p w14:paraId="646879E0" w14:textId="77777777" w:rsidR="004E0684" w:rsidRPr="004A2305" w:rsidRDefault="004E0684" w:rsidP="004A2305">
      <w:pPr>
        <w:pStyle w:val="Bullet1G"/>
        <w:spacing w:before="240" w:line="240" w:lineRule="exact"/>
        <w:ind w:left="1134"/>
        <w:jc w:val="left"/>
        <w:rPr>
          <w:rFonts w:eastAsia="Calibri"/>
          <w:b/>
          <w:bCs/>
        </w:rPr>
      </w:pPr>
      <w:r w:rsidRPr="004A2305">
        <w:rPr>
          <w:rFonts w:eastAsia="Calibri"/>
          <w:b/>
          <w:bCs/>
        </w:rPr>
        <w:t>El Tribunal de Casación</w:t>
      </w:r>
    </w:p>
    <w:p w14:paraId="17186B15" w14:textId="0E640B53" w:rsidR="004E0684" w:rsidRPr="006F084A" w:rsidRDefault="004E0684" w:rsidP="004E0684">
      <w:pPr>
        <w:pStyle w:val="SingleTxtG"/>
        <w:rPr>
          <w:rFonts w:eastAsia="Calibri"/>
        </w:rPr>
      </w:pPr>
      <w:r w:rsidRPr="006F084A">
        <w:t>225.</w:t>
      </w:r>
      <w:r w:rsidR="00514A0D">
        <w:tab/>
      </w:r>
      <w:r w:rsidRPr="006F084A">
        <w:t xml:space="preserve">El Tribunal de Casación figura en la cúspide de la jerarquía judicial de Marruecos y su autoridad abarca todo el territorio nacional. Se estableció en virtud de la Ley núm. 58-11, del Tribunal de Casación, de 25 de octubre de 2011. </w:t>
      </w:r>
    </w:p>
    <w:p w14:paraId="1ED0BCE7" w14:textId="0B8ED2E3" w:rsidR="004E0684" w:rsidRPr="006F084A" w:rsidRDefault="004E0684" w:rsidP="004E0684">
      <w:pPr>
        <w:pStyle w:val="SingleTxtG"/>
        <w:rPr>
          <w:rFonts w:eastAsia="Calibri"/>
        </w:rPr>
      </w:pPr>
      <w:r w:rsidRPr="006F084A">
        <w:t>226.</w:t>
      </w:r>
      <w:r w:rsidR="00514A0D">
        <w:tab/>
      </w:r>
      <w:r w:rsidRPr="006F084A">
        <w:t>Las decisiones judiciales del Tribunal de Casación son colegiadas, por cuanto que son adoptadas por cinco jueces, entre los que hay un presidente de sala. En algunos casos, el carácter colegiado en la toma de decisiones se refuerza, habiendo sentencias que son dictadas por dos salas conjuntamente o por todas las salas reunidas en sesión plenaria.</w:t>
      </w:r>
    </w:p>
    <w:p w14:paraId="48EBAD34" w14:textId="05E686FD" w:rsidR="004E0684" w:rsidRPr="006F084A" w:rsidRDefault="004E0684" w:rsidP="004E0684">
      <w:pPr>
        <w:pStyle w:val="SingleTxtG"/>
        <w:rPr>
          <w:rFonts w:eastAsia="Calibri"/>
        </w:rPr>
      </w:pPr>
      <w:r w:rsidRPr="006F084A">
        <w:t>227.</w:t>
      </w:r>
      <w:r w:rsidR="00514A0D">
        <w:tab/>
      </w:r>
      <w:r w:rsidRPr="006F084A">
        <w:t>La función principal de esta institución judicial es supervisar la aplicación de la ley por parte de los tribunales ordinarios, bien sea en relación con las leyes de forma o de fondo. En este sentido, el Tribunal de Casación escucha casos de recursos contra tribunales de apelación, sentencias firmes dictadas por tribunales de apelación o tribunales de otro tipo, y solicitudes de anulación de las decisiones de las autoridades administrativas, sobre las que se alega abuso de poder.</w:t>
      </w:r>
    </w:p>
    <w:p w14:paraId="14608214" w14:textId="3529B46C" w:rsidR="004E0684" w:rsidRPr="006F084A" w:rsidRDefault="004E0684" w:rsidP="004E0684">
      <w:pPr>
        <w:pStyle w:val="SingleTxtG"/>
        <w:rPr>
          <w:rFonts w:eastAsia="Calibri"/>
        </w:rPr>
      </w:pPr>
      <w:r w:rsidRPr="006F084A">
        <w:t>228.</w:t>
      </w:r>
      <w:r w:rsidR="00514A0D">
        <w:tab/>
      </w:r>
      <w:r w:rsidRPr="006F084A">
        <w:t>Además de estos casos, el Tribunal de Casación también examina:</w:t>
      </w:r>
    </w:p>
    <w:p w14:paraId="556AF91B" w14:textId="464D5AAB" w:rsidR="004E0684" w:rsidRPr="006F084A" w:rsidRDefault="004E0684" w:rsidP="00514A0D">
      <w:pPr>
        <w:pStyle w:val="Bullet1G"/>
      </w:pPr>
      <w:r w:rsidRPr="006F084A">
        <w:rPr>
          <w:rFonts w:ascii="Symbol" w:hAnsi="Symbol"/>
        </w:rPr>
        <w:tab/>
      </w:r>
      <w:r w:rsidRPr="006F084A">
        <w:t>Las apelaciones contra actuaciones en las que los jueces se han excedido en su autoridad</w:t>
      </w:r>
      <w:r w:rsidR="00B8306A">
        <w:t>.</w:t>
      </w:r>
    </w:p>
    <w:p w14:paraId="03E3515C" w14:textId="23520267" w:rsidR="004E0684" w:rsidRPr="006F084A" w:rsidRDefault="004E0684" w:rsidP="00514A0D">
      <w:pPr>
        <w:pStyle w:val="Bullet1G"/>
      </w:pPr>
      <w:r w:rsidRPr="006F084A">
        <w:t>Las decisiones sobre una disputa de jurisdicción entre tribunales que no están supeditados a ningún otro tribunal supremo común que el Tribunal de Casación</w:t>
      </w:r>
      <w:r w:rsidR="00B8306A">
        <w:t>.</w:t>
      </w:r>
    </w:p>
    <w:p w14:paraId="42B4F403" w14:textId="1D193372" w:rsidR="004E0684" w:rsidRPr="006F084A" w:rsidRDefault="004E0684" w:rsidP="00514A0D">
      <w:pPr>
        <w:pStyle w:val="Bullet1G"/>
      </w:pPr>
      <w:r w:rsidRPr="006F084A">
        <w:t>Las solicitudes de revisión de disposiciones penales o disciplinarias según los términos fijados por el Código de Procedimiento Penal.</w:t>
      </w:r>
    </w:p>
    <w:p w14:paraId="3301FCC5" w14:textId="682879A7" w:rsidR="004E0684" w:rsidRPr="006F084A" w:rsidRDefault="004E0684" w:rsidP="00514A0D">
      <w:pPr>
        <w:pStyle w:val="Bullet1G"/>
      </w:pPr>
      <w:r w:rsidRPr="006F084A">
        <w:t xml:space="preserve">Las acciones </w:t>
      </w:r>
      <w:proofErr w:type="spellStart"/>
      <w:r w:rsidRPr="006F084A">
        <w:t>recusatorias</w:t>
      </w:r>
      <w:proofErr w:type="spellEnd"/>
      <w:r w:rsidRPr="006F084A">
        <w:t xml:space="preserve"> presentadas contra jueces y tribunales distintos del Tribunal de Casación</w:t>
      </w:r>
      <w:r w:rsidR="00B8306A">
        <w:t>.</w:t>
      </w:r>
    </w:p>
    <w:p w14:paraId="6E4AD7B2" w14:textId="0960D555" w:rsidR="004E0684" w:rsidRPr="006F084A" w:rsidRDefault="004E0684" w:rsidP="00514A0D">
      <w:pPr>
        <w:pStyle w:val="Bullet1G"/>
      </w:pPr>
      <w:r w:rsidRPr="006F084A">
        <w:t>Los casos que cuestionan la imparcialidad de una sentencia</w:t>
      </w:r>
      <w:r w:rsidR="00B8306A">
        <w:t>.</w:t>
      </w:r>
    </w:p>
    <w:p w14:paraId="4841C877" w14:textId="7CD37DA9" w:rsidR="004E0684" w:rsidRPr="006F084A" w:rsidRDefault="004E0684" w:rsidP="00514A0D">
      <w:pPr>
        <w:pStyle w:val="Bullet1G"/>
      </w:pPr>
      <w:r w:rsidRPr="006F084A">
        <w:t>Los casos que deben ser retirados de un tribunal concreto en aras de la seguridad pública</w:t>
      </w:r>
      <w:r w:rsidR="00B8306A">
        <w:t>.</w:t>
      </w:r>
    </w:p>
    <w:p w14:paraId="1EB4605D" w14:textId="7C39D204" w:rsidR="004E0684" w:rsidRPr="007754D2" w:rsidRDefault="004E0684" w:rsidP="00514A0D">
      <w:pPr>
        <w:pStyle w:val="Bullet1G"/>
        <w:rPr>
          <w:lang w:val="es-ES_tradnl"/>
        </w:rPr>
      </w:pPr>
      <w:r w:rsidRPr="007754D2">
        <w:rPr>
          <w:lang w:val="es-ES_tradnl"/>
        </w:rPr>
        <w:t xml:space="preserve">Las solicitudes de extradición de delincuentes. </w:t>
      </w:r>
    </w:p>
    <w:p w14:paraId="08E18F2E" w14:textId="77777777" w:rsidR="004E0684" w:rsidRPr="004A2305" w:rsidRDefault="004E0684" w:rsidP="004A2305">
      <w:pPr>
        <w:pStyle w:val="Bullet1G"/>
        <w:spacing w:before="240" w:line="240" w:lineRule="exact"/>
        <w:ind w:left="1134"/>
        <w:jc w:val="left"/>
        <w:rPr>
          <w:rFonts w:eastAsia="Calibri"/>
          <w:b/>
          <w:bCs/>
        </w:rPr>
      </w:pPr>
      <w:r w:rsidRPr="004A2305">
        <w:rPr>
          <w:rFonts w:eastAsia="Calibri"/>
          <w:b/>
          <w:bCs/>
        </w:rPr>
        <w:t>La justicia militar</w:t>
      </w:r>
    </w:p>
    <w:p w14:paraId="503E7E73" w14:textId="11D1BEA8" w:rsidR="004E0684" w:rsidRPr="006F084A" w:rsidRDefault="004E0684" w:rsidP="004E0684">
      <w:pPr>
        <w:pStyle w:val="SingleTxtG"/>
        <w:rPr>
          <w:rFonts w:eastAsia="Calibri"/>
        </w:rPr>
      </w:pPr>
      <w:r w:rsidRPr="007754D2">
        <w:rPr>
          <w:lang w:val="es-ES_tradnl"/>
        </w:rPr>
        <w:t>229.</w:t>
      </w:r>
      <w:r w:rsidR="007671AA" w:rsidRPr="007754D2">
        <w:rPr>
          <w:lang w:val="es-ES_tradnl"/>
        </w:rPr>
        <w:tab/>
      </w:r>
      <w:r w:rsidRPr="007754D2">
        <w:rPr>
          <w:lang w:val="es-ES_tradnl"/>
        </w:rPr>
        <w:t>La aprobación de la Ley núm. 108-13, de Justicia Militar, promulgada el 1 de enero de 2015, representó un hito en el proceso de reforma de la justicia militar de Marruecos, y se produjo en el contexto de la aplicación de las disposiciones de la Constitución de 2011, cuyo artículo 127 prohíbe la</w:t>
      </w:r>
      <w:r w:rsidRPr="006F084A">
        <w:t xml:space="preserve"> creación de tribunales especiales. Esta Ley es un paso importante en </w:t>
      </w:r>
      <w:r w:rsidRPr="006F084A">
        <w:lastRenderedPageBreak/>
        <w:t>la reforma del sistema de justicia, ya que revisa profundamente la Ley de Justicia Militar de</w:t>
      </w:r>
      <w:r w:rsidR="00B8306A">
        <w:t> </w:t>
      </w:r>
      <w:r w:rsidRPr="006F084A">
        <w:t xml:space="preserve">1956, particularmente en relación con la condición de la justicia militar como poder judicial especializado comprometido con las garantías en materia de juicio justo reconocidas y ajustado a las normas internacionales sobre justicia militar. </w:t>
      </w:r>
    </w:p>
    <w:p w14:paraId="0885D819" w14:textId="09B16FC6" w:rsidR="004E0684" w:rsidRPr="006F084A" w:rsidRDefault="004E0684" w:rsidP="004E0684">
      <w:pPr>
        <w:pStyle w:val="SingleTxtG"/>
        <w:rPr>
          <w:rFonts w:eastAsia="Calibri"/>
        </w:rPr>
      </w:pPr>
      <w:r w:rsidRPr="006F084A">
        <w:t>230.</w:t>
      </w:r>
      <w:r w:rsidR="007671AA">
        <w:tab/>
      </w:r>
      <w:r w:rsidRPr="006F084A">
        <w:t xml:space="preserve">Esta revisión incluyó la competencia jurisdiccional y personal del Tribunal Militar, así como otros aspectos relacionados con la organización, composición y funcionamiento del Tribunal. ‏En virtud de esta </w:t>
      </w:r>
      <w:r w:rsidR="00B8306A" w:rsidRPr="006F084A">
        <w:t>Ley</w:t>
      </w:r>
      <w:r w:rsidRPr="006F084A">
        <w:t>, se creó un tribunal militar especializado para entender de los casos que le sean sometidos en primera instancia y en apelación. Las decisiones del Tribunal Militar son susceptibles de apelación ante el Tribunal de Casación (art</w:t>
      </w:r>
      <w:r w:rsidR="00B8306A">
        <w:t>.</w:t>
      </w:r>
      <w:r w:rsidRPr="006F084A">
        <w:t xml:space="preserve"> 122), en tanto que su mandato se limita a los delitos militares, los delitos cometidos por prisioneros de guerra y los delitos cometidos durante el estado de guerra. </w:t>
      </w:r>
    </w:p>
    <w:p w14:paraId="11BFF427" w14:textId="31DADA90" w:rsidR="004E0684" w:rsidRPr="006F084A" w:rsidRDefault="004E0684" w:rsidP="004E0684">
      <w:pPr>
        <w:pStyle w:val="SingleTxtG"/>
        <w:rPr>
          <w:rFonts w:eastAsia="Calibri"/>
        </w:rPr>
      </w:pPr>
      <w:r w:rsidRPr="006F084A">
        <w:t>231.</w:t>
      </w:r>
      <w:r w:rsidR="007671AA">
        <w:tab/>
        <w:t>E</w:t>
      </w:r>
      <w:r w:rsidRPr="006F084A">
        <w:t>n cambio, no entran bajo su jurisdicción los delitos de derecho común cometidos por militares o paramilitares, ni los delitos menos graves cometidos por oficiales, suboficiales o agentes de la Gendarmería Real durante el desempeño de sus funciones dentro del cuerpo de la policía judicial y administrativa, como tampoco los hechos imputables a menores de 18</w:t>
      </w:r>
      <w:r w:rsidR="00B8306A">
        <w:t> </w:t>
      </w:r>
      <w:r w:rsidRPr="006F084A">
        <w:t xml:space="preserve">años en el momento de ser cometidos, ni los hechos imputables al personal civil al servicio del Ejército Real de Marruecos. </w:t>
      </w:r>
    </w:p>
    <w:p w14:paraId="0C063112" w14:textId="3BDB1201" w:rsidR="004E0684" w:rsidRPr="007754D2" w:rsidRDefault="004E0684" w:rsidP="004E0684">
      <w:pPr>
        <w:pStyle w:val="SingleTxtG"/>
        <w:rPr>
          <w:rFonts w:eastAsia="Calibri"/>
          <w:lang w:val="es-ES_tradnl"/>
        </w:rPr>
      </w:pPr>
      <w:r w:rsidRPr="006F084A">
        <w:t>232.</w:t>
      </w:r>
      <w:r w:rsidR="007671AA">
        <w:tab/>
      </w:r>
      <w:r w:rsidRPr="006F084A">
        <w:t xml:space="preserve">El tribunal militar tiene competencia para entender de los delitos cometidos por militares y cuasi militares a los que se otorga esa condición en virtud de disposiciones especiales y que se encuentran en activo; los delitos cometidos por prisioneros de guerra, independientemente de la condición de los autores; y los delitos cometidos en estado de guerra o cuando la ley así lo disponga expresamente. Se considerará personal en activo: los militares nuevos pertenecientes al Ejército Real de Marruecos; los soldados de reemplazo; los soldados reenganchados; los soldados que están temporalmente de baja por motivo de enfermedad o incapacidad física; los militares de distintos rangos que se encuentren disfrutando de un permiso por tiempo ilimitado; y los que, estando en situación de disponibilidad o en la reserva, son llamados para reincorporarse al servicio del Ejército Real de </w:t>
      </w:r>
      <w:r w:rsidRPr="007754D2">
        <w:rPr>
          <w:lang w:val="es-ES_tradnl"/>
        </w:rPr>
        <w:t>Marruecos (artículos 3</w:t>
      </w:r>
      <w:r w:rsidR="00B8306A">
        <w:rPr>
          <w:lang w:val="es-ES_tradnl"/>
        </w:rPr>
        <w:t xml:space="preserve"> a </w:t>
      </w:r>
      <w:r w:rsidRPr="007754D2">
        <w:rPr>
          <w:lang w:val="es-ES_tradnl"/>
        </w:rPr>
        <w:t>6 de la Ley).</w:t>
      </w:r>
    </w:p>
    <w:p w14:paraId="64953C27" w14:textId="77777777" w:rsidR="004E0684" w:rsidRPr="007754D2" w:rsidRDefault="004E0684" w:rsidP="004A2305">
      <w:pPr>
        <w:pStyle w:val="Bullet1G"/>
        <w:spacing w:before="240" w:line="240" w:lineRule="exact"/>
        <w:ind w:left="1134"/>
        <w:jc w:val="left"/>
        <w:rPr>
          <w:rFonts w:eastAsia="Calibri"/>
          <w:lang w:val="es-ES_tradnl"/>
        </w:rPr>
      </w:pPr>
      <w:r w:rsidRPr="004A2305">
        <w:rPr>
          <w:rFonts w:eastAsia="Calibri"/>
          <w:b/>
          <w:bCs/>
        </w:rPr>
        <w:t>La jurisdicción constitucional</w:t>
      </w:r>
    </w:p>
    <w:p w14:paraId="4C31A259" w14:textId="060F0003" w:rsidR="004E0684" w:rsidRPr="006F084A" w:rsidRDefault="004E0684" w:rsidP="004E0684">
      <w:pPr>
        <w:pStyle w:val="SingleTxtG"/>
      </w:pPr>
      <w:r w:rsidRPr="007754D2">
        <w:rPr>
          <w:lang w:val="es-ES_tradnl"/>
        </w:rPr>
        <w:t>233.</w:t>
      </w:r>
      <w:r w:rsidR="007671AA" w:rsidRPr="007754D2">
        <w:rPr>
          <w:lang w:val="es-ES_tradnl"/>
        </w:rPr>
        <w:tab/>
      </w:r>
      <w:r w:rsidRPr="007754D2">
        <w:rPr>
          <w:lang w:val="es-ES_tradnl"/>
        </w:rPr>
        <w:t xml:space="preserve">A partir de la aprobación de la Constitución de 2011, la estructura institucional para la protección de los derechos humanos se ha caracterizado por el fortalecimiento de las garantías de los derechos y libertades mediante la ampliación del control constitucional sobre las leyes. Así, además de invocar el concepto de poder judicial constitucional con ocasión de la primera experiencia </w:t>
      </w:r>
      <w:proofErr w:type="spellStart"/>
      <w:r w:rsidRPr="007754D2">
        <w:rPr>
          <w:lang w:val="es-ES_tradnl"/>
        </w:rPr>
        <w:t>cons</w:t>
      </w:r>
      <w:r w:rsidRPr="006F084A">
        <w:t>titucional</w:t>
      </w:r>
      <w:proofErr w:type="spellEnd"/>
      <w:r w:rsidRPr="006F084A">
        <w:t xml:space="preserve"> de Marruecos en 1962, cuando se creó la Sala Constitucional del Consejo Supremo, que se desarrolló en respuesta a las exigencias de la revisión constitucional a principios de la década de 1990 mediante la creación del Consejo Constitucional en virtud del Título VI de la Constitución de 1992, este último fue elevado a la categoría de Tribunal Constitucional en aplicación de lo dispuesto en el título VIII de la Constitución de 2011.</w:t>
      </w:r>
    </w:p>
    <w:p w14:paraId="272E05AD" w14:textId="707530E6" w:rsidR="004E0684" w:rsidRPr="006F084A" w:rsidRDefault="004E0684" w:rsidP="004E0684">
      <w:pPr>
        <w:pStyle w:val="SingleTxtG"/>
        <w:rPr>
          <w:rFonts w:eastAsia="Calibri"/>
        </w:rPr>
      </w:pPr>
      <w:r w:rsidRPr="006F084A">
        <w:t>234.</w:t>
      </w:r>
      <w:r w:rsidR="007671AA">
        <w:tab/>
      </w:r>
      <w:r w:rsidRPr="006F084A">
        <w:t xml:space="preserve">Gracias a la ampliación de las atribuciones del Tribunal Constitucional, se reforzaron sus funciones de protección en materia de derechos y libertades. Así, además de las competencias heredadas tras la experiencia del Consejo Constitucional (que incluían el control de la constitucionalidad de las leyes orgánicas previa publicación de la orden para su entrada en vigor; la revisión del reglamento de ambas cámaras del Parlamento con anterioridad a su aplicación; el examen de la legislación ordinaria tras su remisión al Consejo por parte de los ponentes y antes de dictarse su orden de entrada en vigor; y el control de la legalidad de la elección de los miembros del Parlamento y referéndums, y de la desposesión de un parlamentario de su acta de diputado), la Constitución de 2011 amplió las atribuciones este Tribunal en materia de control de la constitucionalidad de las leyes, que pasó a ser un control posterior a la entrada en vigor. Las condiciones y modalidades para efectuar este control quedan estipuladas en el </w:t>
      </w:r>
      <w:r w:rsidR="00B8306A">
        <w:t>p</w:t>
      </w:r>
      <w:r w:rsidRPr="006F084A">
        <w:t xml:space="preserve">royecto de </w:t>
      </w:r>
      <w:r w:rsidR="00B8306A">
        <w:t>le</w:t>
      </w:r>
      <w:r w:rsidRPr="006F084A">
        <w:t xml:space="preserve">y </w:t>
      </w:r>
      <w:r w:rsidR="00B8306A">
        <w:t>o</w:t>
      </w:r>
      <w:r w:rsidRPr="006F084A">
        <w:t>rgánica núm. 86-15</w:t>
      </w:r>
      <w:r w:rsidRPr="006F084A">
        <w:rPr>
          <w:rStyle w:val="Refdenotaalpie"/>
          <w:rFonts w:eastAsia="Calibri"/>
          <w:lang w:val="en-GB"/>
        </w:rPr>
        <w:footnoteReference w:id="65"/>
      </w:r>
      <w:r w:rsidRPr="006F084A">
        <w:t xml:space="preserve">, de las Condiciones </w:t>
      </w:r>
      <w:r w:rsidRPr="006F084A">
        <w:lastRenderedPageBreak/>
        <w:t xml:space="preserve">y Requisitos para la Aplicación del artículo 133 de la Constitución, que atañe a las leyes que afectan a los derechos y libertades amparados en la Constitución. Asimismo, el mandato del Tribunal Constitucional se amplió para abarcar el control sobre la constitucionalidad de los convenios internacionales y los reglamentos internos de las instituciones constitucionales creadas en virtud de una ley orgánica antes de su entrada en vigor, así como el control de la validez de los procedimientos de revisión constitucional. </w:t>
      </w:r>
    </w:p>
    <w:p w14:paraId="2B9C936B" w14:textId="07AE11A1" w:rsidR="004E0684" w:rsidRPr="006F084A" w:rsidRDefault="004E0684" w:rsidP="004E0684">
      <w:pPr>
        <w:pStyle w:val="SingleTxtG"/>
        <w:rPr>
          <w:rFonts w:eastAsia="Calibri"/>
        </w:rPr>
      </w:pPr>
      <w:r w:rsidRPr="006F084A">
        <w:t>235.</w:t>
      </w:r>
      <w:r w:rsidR="007671AA">
        <w:tab/>
      </w:r>
      <w:r w:rsidRPr="006F084A">
        <w:t xml:space="preserve">Paralelamente a la ampliación de la capacidad de intervención del Tribunal Constitucional con el objetivo de proteger los derechos de las personas y grupos, en virtud del artículo 132 de la Constitución de 2011 se simplificaron las condiciones para remitir las leyes ordinarias al Tribunal Constitucional antes de que se dicte la orden para su entrada en vigor. </w:t>
      </w:r>
    </w:p>
    <w:p w14:paraId="30D033FB" w14:textId="77777777" w:rsidR="004E0684" w:rsidRPr="004A2305" w:rsidRDefault="004E0684" w:rsidP="004A2305">
      <w:pPr>
        <w:pStyle w:val="Bullet1G"/>
        <w:spacing w:before="240" w:line="240" w:lineRule="exact"/>
        <w:ind w:left="1134"/>
        <w:jc w:val="left"/>
        <w:rPr>
          <w:rFonts w:eastAsia="Calibri"/>
          <w:b/>
          <w:bCs/>
        </w:rPr>
      </w:pPr>
      <w:r w:rsidRPr="004A2305">
        <w:rPr>
          <w:rFonts w:eastAsia="Calibri"/>
          <w:b/>
          <w:bCs/>
        </w:rPr>
        <w:t>Los tribunales de proximidad</w:t>
      </w:r>
    </w:p>
    <w:p w14:paraId="3E67024B" w14:textId="2AF414AF" w:rsidR="004E0684" w:rsidRPr="006F084A" w:rsidRDefault="004E0684" w:rsidP="004E0684">
      <w:pPr>
        <w:pStyle w:val="SingleTxtG"/>
        <w:rPr>
          <w:rFonts w:eastAsia="Calibri"/>
        </w:rPr>
      </w:pPr>
      <w:r w:rsidRPr="007754D2">
        <w:rPr>
          <w:lang w:val="es-ES_tradnl"/>
        </w:rPr>
        <w:t>236.</w:t>
      </w:r>
      <w:r w:rsidR="007671AA" w:rsidRPr="007754D2">
        <w:rPr>
          <w:lang w:val="es-ES_tradnl"/>
        </w:rPr>
        <w:tab/>
      </w:r>
      <w:r w:rsidRPr="007754D2">
        <w:rPr>
          <w:lang w:val="es-ES_tradnl"/>
        </w:rPr>
        <w:t xml:space="preserve">En 2011, de </w:t>
      </w:r>
      <w:r w:rsidRPr="00B8306A">
        <w:rPr>
          <w:lang w:val="es-ES_tradnl"/>
        </w:rPr>
        <w:t>conformidad con la Ley núm. 42-10, de la Organización de la Justicia de Proximidad y la definición de su mandato, los tribunales de proximidad sustituyeron a los tribunales municipales y de distrito. Estos tribunales forman parte de los tribunales de primera instancia y se encargan de examinar los casos</w:t>
      </w:r>
      <w:r w:rsidRPr="006F084A">
        <w:t xml:space="preserve"> civiles por cuantías que no superan los 5.000 </w:t>
      </w:r>
      <w:proofErr w:type="spellStart"/>
      <w:r w:rsidRPr="006F084A">
        <w:t>DH</w:t>
      </w:r>
      <w:proofErr w:type="spellEnd"/>
      <w:r w:rsidRPr="006F084A">
        <w:t xml:space="preserve">, quedando fuera de su jurisdicción los litigios relacionados con el Código de la Familia, los bienes raíces, los casos sociales y los desahucios. Los tribunales de proximidad se ocupan también de dirimir disputas, siempre que la multa imponible en virtud de la sentencia no supere los 1.200 </w:t>
      </w:r>
      <w:proofErr w:type="spellStart"/>
      <w:r w:rsidRPr="006F084A">
        <w:t>DH</w:t>
      </w:r>
      <w:proofErr w:type="spellEnd"/>
      <w:r w:rsidRPr="006F084A">
        <w:t>. Los tribunales de proximidad dictan sentencia en un plazo de 30 días, y sus resoluciones, si bien pueden ser anuladas por el Presidente del Tribunal de Primera Instancia en casos especiales, son firmes y no susceptibles de apelación.</w:t>
      </w:r>
    </w:p>
    <w:p w14:paraId="10CFD67C" w14:textId="77777777" w:rsidR="004E0684" w:rsidRPr="004A2305" w:rsidRDefault="004E0684" w:rsidP="004A2305">
      <w:pPr>
        <w:pStyle w:val="Bullet1G"/>
        <w:spacing w:before="240" w:line="240" w:lineRule="exact"/>
        <w:ind w:left="1134"/>
        <w:jc w:val="left"/>
        <w:rPr>
          <w:rFonts w:eastAsia="Calibri"/>
          <w:b/>
          <w:bCs/>
        </w:rPr>
      </w:pPr>
      <w:r w:rsidRPr="004A2305">
        <w:rPr>
          <w:rFonts w:eastAsia="Calibri"/>
          <w:b/>
          <w:bCs/>
        </w:rPr>
        <w:t>Las secciones de justicia de familia</w:t>
      </w:r>
    </w:p>
    <w:p w14:paraId="1064015B" w14:textId="78FCB91C" w:rsidR="004E0684" w:rsidRPr="006F084A" w:rsidRDefault="004E0684" w:rsidP="004E0684">
      <w:pPr>
        <w:pStyle w:val="SingleTxtG"/>
      </w:pPr>
      <w:r w:rsidRPr="006F084A">
        <w:t>237.</w:t>
      </w:r>
      <w:r w:rsidR="007671AA">
        <w:tab/>
      </w:r>
      <w:r w:rsidRPr="006F084A">
        <w:t xml:space="preserve">Las secciones de justicia de familia, establecidas paulatinamente a partir de 2001, son tribunales vinculados a los tribunales de primera instancia. Su presencia se generalizó a partir de febrero de 2004, al entrar en vigor el Código de la Familia, que sustituyó a la Ley del Estatuto Personal vigente hasta entonces, y que se ocupa de las cuestiones relativas a las familias, los niños y el estatuto personal de las personas. De acuerdo con la Ley núm. 73-03, que modifica la ordenación judicial de las competencias de la sección de justicia de familia, </w:t>
      </w:r>
      <w:r w:rsidR="00B56649">
        <w:t>“</w:t>
      </w:r>
      <w:r w:rsidRPr="006F084A">
        <w:t>las secciones de justicia de la familia entienden de los casos relativos al estatuto personal, la herencia, el estado civil, las cuestiones relativas a actos jurídicos documentados, los menores y personas sin capacidad legal, el acogimiento y todas las cuestiones relacionadas con el cuidado y protección de la familia</w:t>
      </w:r>
      <w:r w:rsidR="00B56649">
        <w:t>”</w:t>
      </w:r>
      <w:r w:rsidRPr="006F084A">
        <w:t xml:space="preserve">. </w:t>
      </w:r>
    </w:p>
    <w:p w14:paraId="6794BD46" w14:textId="52F27DC0" w:rsidR="004E0684" w:rsidRPr="006F084A" w:rsidRDefault="004E0684" w:rsidP="004E0684">
      <w:pPr>
        <w:pStyle w:val="SingleTxtG"/>
        <w:rPr>
          <w:rFonts w:eastAsia="Calibri"/>
        </w:rPr>
      </w:pPr>
      <w:r w:rsidRPr="006F084A">
        <w:t>238.</w:t>
      </w:r>
      <w:r w:rsidR="007671AA">
        <w:tab/>
      </w:r>
      <w:r w:rsidRPr="006F084A">
        <w:t>Con el fin de habilitar las secciones de justicia de familia, que durante el período 2013</w:t>
      </w:r>
      <w:r w:rsidR="00B8306A">
        <w:noBreakHyphen/>
      </w:r>
      <w:r w:rsidRPr="006F084A">
        <w:t>2014 contaban únicamente con 29 sedes dedicadas a esta jurisdicción, y teniendo presentes los resultados de la Carta para la Reforma del Sistema de Justicia, a partir de 2018 el número de secciones de justicia de la familia albergados en los tribunales de primera instancia fue aumentando gradualmente hasta alcanzar las 83. Esto fue posible tras la aprobación del Gobierno, el 16 de noviembre de 2017, del Decreto núm. 2-17-688, de modificación del Decreto núm. 2-</w:t>
      </w:r>
      <w:r w:rsidR="00B8306A">
        <w:t>7</w:t>
      </w:r>
      <w:r w:rsidRPr="006F084A">
        <w:t xml:space="preserve">4-498, de la Organización Judicial del Reino, que tenía como objetivo aumentar el número de tribunales y distribuirlos por todas las regiones de Marruecos. </w:t>
      </w:r>
    </w:p>
    <w:p w14:paraId="502E0FA1" w14:textId="4D3204DD" w:rsidR="004E0684" w:rsidRPr="006F084A" w:rsidRDefault="004E0684" w:rsidP="004E0684">
      <w:pPr>
        <w:pStyle w:val="SingleTxtG"/>
        <w:rPr>
          <w:rFonts w:eastAsia="Calibri"/>
        </w:rPr>
      </w:pPr>
      <w:r w:rsidRPr="006F084A">
        <w:t>239.</w:t>
      </w:r>
      <w:r w:rsidR="007671AA">
        <w:tab/>
      </w:r>
      <w:r w:rsidRPr="006F084A">
        <w:t>El programa de habilitación de las secciones de justicia de familia anunciado por el Gobierno contempla la reestructuración de sus sedes con el fin de promover iniciativas de asesoramiento en aras de la reconciliación (habilitando lugares adecuados para iniciativas de reconciliación entre cónyuges y ofreciendo espacios seguros donde colocar a los hijos) así como capacitar a los recursos humanos en los ámbitos de la justicia de familia y la mediación familiar.</w:t>
      </w:r>
    </w:p>
    <w:p w14:paraId="121A6E3B" w14:textId="77777777" w:rsidR="004E0684" w:rsidRPr="004A2305" w:rsidRDefault="004E0684" w:rsidP="004A2305">
      <w:pPr>
        <w:pStyle w:val="Bullet1G"/>
        <w:spacing w:before="240" w:line="240" w:lineRule="exact"/>
        <w:ind w:left="1134"/>
        <w:jc w:val="left"/>
        <w:rPr>
          <w:rFonts w:eastAsia="Calibri"/>
          <w:b/>
          <w:bCs/>
        </w:rPr>
      </w:pPr>
      <w:r w:rsidRPr="004A2305">
        <w:rPr>
          <w:rFonts w:eastAsia="Calibri"/>
          <w:b/>
          <w:bCs/>
        </w:rPr>
        <w:t>El Poder Judicial Contencioso-Administrativo</w:t>
      </w:r>
    </w:p>
    <w:p w14:paraId="1B037FA3" w14:textId="11A8CD99" w:rsidR="004E0684" w:rsidRPr="006F084A" w:rsidRDefault="004E0684" w:rsidP="004E0684">
      <w:pPr>
        <w:pStyle w:val="SingleTxtG"/>
        <w:rPr>
          <w:rFonts w:eastAsia="Calibri"/>
        </w:rPr>
      </w:pPr>
      <w:r w:rsidRPr="006F084A">
        <w:t>240.</w:t>
      </w:r>
      <w:r w:rsidR="007671AA">
        <w:tab/>
      </w:r>
      <w:r w:rsidRPr="006F084A">
        <w:t xml:space="preserve">En 1993, en virtud de la Ley núm. 41-90, se establecieron los Tribunales de lo Contencioso-Administrativo con el fin de examinar las quejas relativas a la derogación de las decisiones administrativas viciadas de abuso de poder, las reclamaciones por daños causados por el mal funcionamiento de los servicios públicos, las disputas sobre contratos </w:t>
      </w:r>
      <w:r w:rsidRPr="006F084A">
        <w:lastRenderedPageBreak/>
        <w:t xml:space="preserve">administrativos, las controversias fiscales, los litigios electorales a nivel local y las disputas derivadas de la aplicación de disposiciones relativas a la indemnización por fallecimiento de los empleados del Estado, las comunidades locales, las instituciones públicas y la administración de la Cámara de Representantes. La creación de este poder judicial especializado se enmarca en la consecución del estado de derecho, el acercamiento de la justicia a los litigantes y el respeto de los derechos humanos. Los órganos de </w:t>
      </w:r>
      <w:r w:rsidR="00B8306A" w:rsidRPr="006F084A">
        <w:t xml:space="preserve">Gobierno </w:t>
      </w:r>
      <w:r w:rsidRPr="006F084A">
        <w:t xml:space="preserve">que emiten las sentencias de estos tribunales son colegiados y están compuestos por un presidente, varios jueces vocales, un comisario de la Gendarmería Real y una secretaría. Actualmente existen siete tribunales de lo contencioso-administrativo, cada uno de los cuales se divide en varias salas especializadas. </w:t>
      </w:r>
    </w:p>
    <w:p w14:paraId="70445E83" w14:textId="13D2C80E" w:rsidR="004E0684" w:rsidRPr="007754D2" w:rsidRDefault="004E0684" w:rsidP="004E0684">
      <w:pPr>
        <w:pStyle w:val="SingleTxtG"/>
        <w:rPr>
          <w:rFonts w:eastAsia="Calibri"/>
          <w:lang w:val="es-ES_tradnl"/>
        </w:rPr>
      </w:pPr>
      <w:r w:rsidRPr="006F084A">
        <w:t>241.</w:t>
      </w:r>
      <w:r w:rsidR="007671AA">
        <w:tab/>
      </w:r>
      <w:r w:rsidRPr="006F084A">
        <w:t>En 2007 se establecieron los tribunales de apelación de lo contencioso-administrativo en virtud de la Ley núm. 80-03, cuyo mandato les permite escuchar las apelaciones contra las decisiones de los tribunales de lo contencioso-administrativo y los mandamientos de sus presidentes. Los tribunales de apelación de lo contencioso-administrativo están formados por un presidente primero, presidentes de sala y asesores, así como por un Delegado del Rey para la Defensa de la Ley y el Derecho y una secretaría. La jurisprudencia contencioso-administrativa acumula un buen número de precedentes positivos en el ámbito de la aplicación de los convenios internacionales de derechos humanos ratificados por Marruecos, y en especial, el abordaje del fenómeno del abuso de poder; la protección contra los daños causados por la gestión de la cosa pública; el respeto de la legitimidad de las decisiones administrativas relativas al funcionario y la obligación de fundamentar las decisiones administrativas. Se ha determinado la creación de dos tribunales de apelación de lo contencioso</w:t>
      </w:r>
      <w:r w:rsidRPr="007754D2">
        <w:rPr>
          <w:lang w:val="es-ES_tradnl"/>
        </w:rPr>
        <w:t xml:space="preserve">-administrativo: uno en Rabat y otro en Marrakech. </w:t>
      </w:r>
    </w:p>
    <w:p w14:paraId="09EAC0AD" w14:textId="77777777" w:rsidR="004E0684" w:rsidRPr="004A2305" w:rsidRDefault="004E0684" w:rsidP="004A2305">
      <w:pPr>
        <w:pStyle w:val="Bullet1G"/>
        <w:spacing w:before="240" w:line="240" w:lineRule="exact"/>
        <w:ind w:left="1134"/>
        <w:jc w:val="left"/>
        <w:rPr>
          <w:rFonts w:eastAsia="Calibri"/>
          <w:b/>
          <w:bCs/>
        </w:rPr>
      </w:pPr>
      <w:r w:rsidRPr="004A2305">
        <w:rPr>
          <w:rFonts w:eastAsia="Calibri"/>
          <w:b/>
          <w:bCs/>
        </w:rPr>
        <w:t>El Poder Judicial Mercantil</w:t>
      </w:r>
    </w:p>
    <w:p w14:paraId="0DEE74B5" w14:textId="277D1E24" w:rsidR="004E0684" w:rsidRPr="007754D2" w:rsidRDefault="004E0684" w:rsidP="004E0684">
      <w:pPr>
        <w:pStyle w:val="SingleTxtG"/>
        <w:rPr>
          <w:rFonts w:eastAsia="Calibri"/>
          <w:lang w:val="es-ES_tradnl"/>
        </w:rPr>
      </w:pPr>
      <w:r w:rsidRPr="007754D2">
        <w:rPr>
          <w:lang w:val="es-ES_tradnl"/>
        </w:rPr>
        <w:t>242.</w:t>
      </w:r>
      <w:r w:rsidR="007671AA" w:rsidRPr="007754D2">
        <w:rPr>
          <w:lang w:val="es-ES_tradnl"/>
        </w:rPr>
        <w:tab/>
      </w:r>
      <w:r w:rsidRPr="007754D2">
        <w:rPr>
          <w:lang w:val="es-ES_tradnl"/>
        </w:rPr>
        <w:t>Los tribunales de lo mercantil y los tribunales de apelación de lo mercantil se establecieron en virtud de la Ley núm. 95-53/1997, y tienen competencias para examinar las controversias de carácter mercantil. Se creó un total de ocho tribunales de lo mercantil y tres tribunales de apelación de lo mercantil, con sedes en Fez, Casablanca y Marrakech.</w:t>
      </w:r>
    </w:p>
    <w:p w14:paraId="0FFFFEA7" w14:textId="52764CE1" w:rsidR="004E0684" w:rsidRPr="007754D2" w:rsidRDefault="004E0684" w:rsidP="007671AA">
      <w:pPr>
        <w:pStyle w:val="H23G"/>
        <w:rPr>
          <w:rFonts w:eastAsia="Calibri"/>
          <w:lang w:val="es-ES_tradnl"/>
        </w:rPr>
      </w:pPr>
      <w:r w:rsidRPr="007754D2">
        <w:rPr>
          <w:lang w:val="es-ES_tradnl"/>
        </w:rPr>
        <w:tab/>
      </w:r>
      <w:r w:rsidR="007671AA" w:rsidRPr="007754D2">
        <w:rPr>
          <w:lang w:val="es-ES_tradnl"/>
        </w:rPr>
        <w:tab/>
      </w:r>
      <w:r w:rsidRPr="007754D2">
        <w:rPr>
          <w:lang w:val="es-ES_tradnl"/>
        </w:rPr>
        <w:t xml:space="preserve">Las apelaciones </w:t>
      </w:r>
      <w:proofErr w:type="spellStart"/>
      <w:r w:rsidRPr="007754D2">
        <w:rPr>
          <w:lang w:val="es-ES_tradnl"/>
        </w:rPr>
        <w:t>cuasijudiciales</w:t>
      </w:r>
      <w:proofErr w:type="spellEnd"/>
    </w:p>
    <w:p w14:paraId="6AD8F74D" w14:textId="77777777" w:rsidR="004E0684" w:rsidRPr="004A2305" w:rsidRDefault="004E0684" w:rsidP="004A2305">
      <w:pPr>
        <w:pStyle w:val="Bullet1G"/>
        <w:spacing w:before="240" w:line="240" w:lineRule="exact"/>
        <w:ind w:left="1134"/>
        <w:jc w:val="left"/>
        <w:rPr>
          <w:rFonts w:eastAsia="Calibri"/>
          <w:b/>
          <w:bCs/>
        </w:rPr>
      </w:pPr>
      <w:r w:rsidRPr="004A2305">
        <w:rPr>
          <w:rFonts w:eastAsia="Calibri"/>
          <w:b/>
          <w:bCs/>
        </w:rPr>
        <w:t xml:space="preserve">Las competencias </w:t>
      </w:r>
      <w:proofErr w:type="spellStart"/>
      <w:r w:rsidRPr="004A2305">
        <w:rPr>
          <w:rFonts w:eastAsia="Calibri"/>
          <w:b/>
          <w:bCs/>
        </w:rPr>
        <w:t>cuasijudiciales</w:t>
      </w:r>
      <w:proofErr w:type="spellEnd"/>
      <w:r w:rsidRPr="004A2305">
        <w:rPr>
          <w:rFonts w:eastAsia="Calibri"/>
          <w:b/>
          <w:bCs/>
        </w:rPr>
        <w:t xml:space="preserve"> del Consejo Nacional de Derechos Humanos</w:t>
      </w:r>
    </w:p>
    <w:p w14:paraId="20942C60" w14:textId="0E633F91" w:rsidR="004E0684" w:rsidRPr="006F084A" w:rsidRDefault="004E0684" w:rsidP="004E0684">
      <w:pPr>
        <w:pStyle w:val="SingleTxtG"/>
        <w:rPr>
          <w:rFonts w:eastAsia="Calibri"/>
        </w:rPr>
      </w:pPr>
      <w:r w:rsidRPr="007754D2">
        <w:rPr>
          <w:lang w:val="es-ES_tradnl"/>
        </w:rPr>
        <w:t>243.</w:t>
      </w:r>
      <w:r w:rsidR="007671AA" w:rsidRPr="007754D2">
        <w:rPr>
          <w:lang w:val="es-ES_tradnl"/>
        </w:rPr>
        <w:tab/>
      </w:r>
      <w:r w:rsidRPr="007754D2">
        <w:rPr>
          <w:lang w:val="es-ES_tradnl"/>
        </w:rPr>
        <w:t xml:space="preserve">Marruecos ha optado por dotar a la Fundación Nacional de Derechos Humanos de una jurisdicción </w:t>
      </w:r>
      <w:proofErr w:type="spellStart"/>
      <w:r w:rsidRPr="007754D2">
        <w:rPr>
          <w:lang w:val="es-ES_tradnl"/>
        </w:rPr>
        <w:t>cuasijudicial</w:t>
      </w:r>
      <w:proofErr w:type="spellEnd"/>
      <w:r w:rsidRPr="007754D2">
        <w:rPr>
          <w:lang w:val="es-ES_tradnl"/>
        </w:rPr>
        <w:t>, en tanto que la Ley de Reorganización del Consejo le otorga competencias para llevar a cabo las investigaciones necesarias sobre violaciones de los derechos humanos y elaborar informes sobre</w:t>
      </w:r>
      <w:r w:rsidRPr="006F084A">
        <w:t xml:space="preserve"> las acciones realizadas por el Consejo, que, junto con sus recomendaciones, serán remitidos a las autoridades competentes. </w:t>
      </w:r>
    </w:p>
    <w:p w14:paraId="6F772BD3" w14:textId="655C2017" w:rsidR="004E0684" w:rsidRPr="006F084A" w:rsidRDefault="004E0684" w:rsidP="004E0684">
      <w:pPr>
        <w:pStyle w:val="SingleTxtG"/>
        <w:rPr>
          <w:rFonts w:eastAsia="Calibri"/>
        </w:rPr>
      </w:pPr>
      <w:r w:rsidRPr="006F084A">
        <w:t>244.</w:t>
      </w:r>
      <w:r w:rsidR="007671AA">
        <w:tab/>
      </w:r>
      <w:r w:rsidRPr="006F084A">
        <w:t xml:space="preserve">El Consejo examinará todos los casos de violación de derechos humanos bien sea de oficio, bien atendiendo a una queja. Las reclamaciones son examinadas, tramitadas y se les da seguimiento, y se informa a las partes interesadas de su resultado. Las autoridades, órganos y entidades relacionados con la reclamación que el Consejo les ha remitido deben informar de todas las medidas que tomarán en un plazo de 90 días, pudiendo reducirse este plazo a 60 días si el Consejo estimara el caso como urgente. El Consejo podrá organizar audiencias en las que se convocará a las partes implicadas en la infracción o denuncia, así como a los testigos, peritos y cualesquiera personas cuyo testimonio pueda resultar útil. Podrá también solicitar a los departamentos y organismos públicos, privados o concernidos que faciliten informes, declaraciones o información relativa a las reclamaciones a examen o los casos que aborde de oficio. </w:t>
      </w:r>
    </w:p>
    <w:p w14:paraId="49D92C65" w14:textId="54CFA53D" w:rsidR="004E0684" w:rsidRPr="006F084A" w:rsidRDefault="004E0684" w:rsidP="004E0684">
      <w:pPr>
        <w:pStyle w:val="SingleTxtG"/>
        <w:rPr>
          <w:rFonts w:eastAsia="Calibri"/>
          <w:b/>
          <w:bCs/>
        </w:rPr>
      </w:pPr>
      <w:r w:rsidRPr="006F084A">
        <w:t>245.</w:t>
      </w:r>
      <w:r w:rsidR="007671AA">
        <w:tab/>
      </w:r>
      <w:r w:rsidRPr="006F084A">
        <w:t xml:space="preserve">En el caso de constatarse que se trata de un acto tipificado como delito por la ley, el Consejo podrá remitir las conclusiones al Ministerio Fiscal competente. En caso de que el Consejo considere que la reclamación que se le presenta no es de su competencia, la remitirá a la autoridad u organismo competente en el asunto objeto de la reclamación e informará al reclamante. Como parte del seguimiento de las reclamaciones que le son presentadas, el Consejo también deberá, dentro del marco de sus competencias, informar a los reclamantes </w:t>
      </w:r>
      <w:r w:rsidRPr="006F084A">
        <w:lastRenderedPageBreak/>
        <w:t>afectados, orientarlos y aconsejarlos, así como tomar todas las medidas necesarias para ayudarles</w:t>
      </w:r>
      <w:r w:rsidRPr="006F084A">
        <w:rPr>
          <w:rStyle w:val="Refdenotaalpie"/>
          <w:rFonts w:eastAsia="Calibri"/>
          <w:lang w:val="en-GB"/>
        </w:rPr>
        <w:footnoteReference w:id="66"/>
      </w:r>
      <w:r w:rsidRPr="006F084A">
        <w:t xml:space="preserve">. </w:t>
      </w:r>
    </w:p>
    <w:p w14:paraId="2B890A84" w14:textId="77777777" w:rsidR="004E0684" w:rsidRPr="004A2305" w:rsidRDefault="004E0684" w:rsidP="004A2305">
      <w:pPr>
        <w:pStyle w:val="Bullet1G"/>
        <w:spacing w:before="240" w:line="240" w:lineRule="exact"/>
        <w:ind w:left="1134"/>
        <w:jc w:val="left"/>
        <w:rPr>
          <w:rFonts w:eastAsia="Calibri"/>
          <w:b/>
          <w:bCs/>
        </w:rPr>
      </w:pPr>
      <w:r w:rsidRPr="004A2305">
        <w:rPr>
          <w:rFonts w:eastAsia="Calibri"/>
          <w:b/>
          <w:bCs/>
        </w:rPr>
        <w:t>Quejas presentadas ante la Institución del Mediador del Reino</w:t>
      </w:r>
    </w:p>
    <w:p w14:paraId="43652C0A" w14:textId="6AAAB7B5" w:rsidR="004E0684" w:rsidRPr="006F084A" w:rsidRDefault="004E0684" w:rsidP="004E0684">
      <w:pPr>
        <w:pStyle w:val="SingleTxtG"/>
        <w:rPr>
          <w:rFonts w:eastAsia="Calibri"/>
        </w:rPr>
      </w:pPr>
      <w:r w:rsidRPr="006F084A">
        <w:t>246.</w:t>
      </w:r>
      <w:r w:rsidR="007671AA">
        <w:tab/>
      </w:r>
      <w:r w:rsidRPr="006F084A">
        <w:t xml:space="preserve">De conformidad con las disposiciones de la Constitución, y teniendo en cuenta la experiencia previa de la Institución del Defensor del Pueblo y lo establecido en el </w:t>
      </w:r>
      <w:r w:rsidRPr="006F084A">
        <w:rPr>
          <w:i/>
          <w:iCs/>
        </w:rPr>
        <w:t>Dahir</w:t>
      </w:r>
      <w:r w:rsidRPr="006F084A">
        <w:t xml:space="preserve"> de su creación, la Institución del Mediador del Reino se estableció como institución nacional independiente especializada que recibe las quejas y denuncias relacionadas con los casos que afectan a personas físicas o jurídicas, sean marroquíes o extranjeros, como consecuencia de un acto ilegal por parte de la Administración, en particular los actos viciados de abuso de poder o contrarios a los principios de justicia y equidad.</w:t>
      </w:r>
    </w:p>
    <w:p w14:paraId="1B575D6B" w14:textId="3EA624A2" w:rsidR="004E0684" w:rsidRPr="006F084A" w:rsidRDefault="004E0684" w:rsidP="004E0684">
      <w:pPr>
        <w:pStyle w:val="SingleTxtG"/>
        <w:rPr>
          <w:rFonts w:eastAsia="Calibri"/>
        </w:rPr>
      </w:pPr>
      <w:r w:rsidRPr="006F084A">
        <w:t>247.</w:t>
      </w:r>
      <w:r w:rsidR="007671AA">
        <w:tab/>
      </w:r>
      <w:r w:rsidRPr="006F084A">
        <w:t>La Ley relativa a la Institución del Mediador del Reino</w:t>
      </w:r>
      <w:r w:rsidRPr="006F084A">
        <w:rPr>
          <w:rStyle w:val="Refdenotaalpie"/>
          <w:rFonts w:eastAsia="Calibri"/>
          <w:lang w:val="en-GB"/>
        </w:rPr>
        <w:footnoteReference w:id="67"/>
      </w:r>
      <w:r w:rsidRPr="006F084A">
        <w:t xml:space="preserve"> presta especial atención a los procesos de recepción de quejas y denuncias, su tramitación y las investigaciones llevadas a cabo al respecto, ya que constituyen un derecho fundamental de todos los afectados y las partes interesadas en la relación entre los individuos y colectivos con los servicios públicos. En este contexto, dicho </w:t>
      </w:r>
      <w:r w:rsidRPr="006F084A">
        <w:rPr>
          <w:i/>
          <w:iCs/>
        </w:rPr>
        <w:t>Dahir</w:t>
      </w:r>
      <w:r w:rsidRPr="006F084A">
        <w:t xml:space="preserve"> establece: el derecho de las víctimas a presentar denuncias y las condiciones de admisibilidad de </w:t>
      </w:r>
      <w:proofErr w:type="gramStart"/>
      <w:r w:rsidRPr="006F084A">
        <w:t>las mismas</w:t>
      </w:r>
      <w:proofErr w:type="gramEnd"/>
      <w:r w:rsidRPr="006F084A">
        <w:t xml:space="preserve">; las entidades que deben encargarse de tramitarlas; y los mecanismos de actuación, solución y reparación de los que dispone la Institución del Mediador. En aplicación de la política de proximidad, el </w:t>
      </w:r>
      <w:r w:rsidRPr="006F084A">
        <w:rPr>
          <w:i/>
          <w:iCs/>
        </w:rPr>
        <w:t>Dahir</w:t>
      </w:r>
      <w:r w:rsidRPr="006F084A">
        <w:t xml:space="preserve"> relativo a la creación de la Institución del Mediador prestó atención a su función a nivel local y regional en la resolución de quejas y reclamaciones a través de los mediadores regionales y provinciales. También creó tres delegaciones especiales en las esferas del acceso a la información y los servicios públicos y el seguimiento de la aplicación de las decisiones judiciales dictadas contra la Administración. </w:t>
      </w:r>
    </w:p>
    <w:p w14:paraId="01A786ED" w14:textId="35997AAF" w:rsidR="004E0684" w:rsidRPr="004A2305" w:rsidRDefault="004E0684" w:rsidP="004A2305">
      <w:pPr>
        <w:pStyle w:val="Bullet1G"/>
        <w:spacing w:before="240" w:line="240" w:lineRule="exact"/>
        <w:ind w:left="1134"/>
        <w:jc w:val="left"/>
        <w:rPr>
          <w:rFonts w:eastAsia="Calibri"/>
          <w:b/>
          <w:bCs/>
        </w:rPr>
      </w:pPr>
      <w:r w:rsidRPr="004A2305">
        <w:rPr>
          <w:rFonts w:eastAsia="Calibri"/>
          <w:b/>
          <w:bCs/>
        </w:rPr>
        <w:t>Recepción y tramitación de las reclamaciones de los denunciantes por parte</w:t>
      </w:r>
      <w:r w:rsidR="007671AA" w:rsidRPr="004A2305">
        <w:rPr>
          <w:rFonts w:eastAsia="Calibri"/>
          <w:b/>
          <w:bCs/>
        </w:rPr>
        <w:br/>
      </w:r>
      <w:r w:rsidRPr="004A2305">
        <w:rPr>
          <w:rFonts w:eastAsia="Calibri"/>
          <w:b/>
          <w:bCs/>
        </w:rPr>
        <w:t>de la Administración Pública</w:t>
      </w:r>
    </w:p>
    <w:p w14:paraId="12EFD64B" w14:textId="091D4E2D" w:rsidR="004E0684" w:rsidRPr="006F084A" w:rsidRDefault="004E0684" w:rsidP="004E0684">
      <w:pPr>
        <w:pStyle w:val="SingleTxtG"/>
        <w:rPr>
          <w:rFonts w:eastAsia="Calibri"/>
        </w:rPr>
      </w:pPr>
      <w:r w:rsidRPr="006F084A">
        <w:t>248.</w:t>
      </w:r>
      <w:r w:rsidR="007671AA">
        <w:tab/>
      </w:r>
      <w:r w:rsidRPr="006F084A">
        <w:t xml:space="preserve">De conformidad con los requisitos del artículo 156 de la Constitución, que dispone que </w:t>
      </w:r>
      <w:r w:rsidR="00B56649">
        <w:t>“</w:t>
      </w:r>
      <w:r w:rsidRPr="006F084A">
        <w:t>los servicios públicos recibirán las observaciones, propuestas y reclamaciones de sus usuarios y velarán por que se realice un seguimiento de las mismas</w:t>
      </w:r>
      <w:r w:rsidR="00B56649">
        <w:t>”</w:t>
      </w:r>
      <w:r w:rsidRPr="006F084A">
        <w:t>, siguiendo instrucciones de Su Majestad el Rey al respecto</w:t>
      </w:r>
      <w:r w:rsidRPr="006F084A">
        <w:rPr>
          <w:rStyle w:val="Refdenotaalpie"/>
          <w:rFonts w:eastAsia="Calibri"/>
          <w:lang w:val="en-GB"/>
        </w:rPr>
        <w:footnoteReference w:id="68"/>
      </w:r>
      <w:r w:rsidRPr="006F084A">
        <w:t xml:space="preserve"> y teniendo en cuenta que el deber de orientar a los usuarios es un principio establecido en el Derecho Administrativo, el 23 de junio de 2017 se aprobó el Decreto núm. 2-17-265, que regula cómo se recibirán, tramitarán y resolverán las observaciones, propuestas y reclamaciones de los usuarios, con el objetivo de desarrollar y unificar un sistema integrado de reclamaciones dirigidas a las administraciones públicas, así como de implicar a los ciudadanos en la mejora de la calidad de los servicios públicos. </w:t>
      </w:r>
    </w:p>
    <w:p w14:paraId="15FCA476" w14:textId="4ED48FC2" w:rsidR="004E0684" w:rsidRPr="006F084A" w:rsidRDefault="004E0684" w:rsidP="004E0684">
      <w:pPr>
        <w:pStyle w:val="SingleTxtG"/>
        <w:rPr>
          <w:rFonts w:eastAsia="Calibri"/>
        </w:rPr>
      </w:pPr>
      <w:r w:rsidRPr="006F084A">
        <w:t>249.</w:t>
      </w:r>
      <w:r w:rsidR="007671AA">
        <w:tab/>
      </w:r>
      <w:r w:rsidRPr="006F084A">
        <w:t>Para simplificar el procedimiento de recepción de los comentarios y reclamaciones de los denunciantes, que de ninguna manera invalidan la posibilidad de recurrir a otras medidas de reparación disponibles, se ha puesto a disposición de los ciudadanos un portal nacional para recibir las reclamaciones vía electrónica. En cualquier caso, si fuera necesario, los ciudadanos podrán también tramitar sus reclamaciones a través del centro de contacto de este portal o por escrito, vía correo ordinario o certificado. En aplicación del artículo 13 de dicho Decreto, que prevé la creación de una o más dependencias para recibir y atender las quejas a nivel de cada institución pública y cada administración central de cada sector ministerial y, cuando proceda, a nivel de las dependencias no centralizadas, hasta enero de 2019 se establecieron 119 de estas dependencias en las administraciones públicas.</w:t>
      </w:r>
    </w:p>
    <w:p w14:paraId="183DFE1A" w14:textId="66049FB1" w:rsidR="004E0684" w:rsidRPr="006F084A" w:rsidRDefault="004E0684" w:rsidP="004E0684">
      <w:pPr>
        <w:pStyle w:val="SingleTxtG"/>
        <w:rPr>
          <w:rFonts w:eastAsia="Calibri"/>
        </w:rPr>
      </w:pPr>
      <w:r w:rsidRPr="006F084A">
        <w:lastRenderedPageBreak/>
        <w:t>250.</w:t>
      </w:r>
      <w:r w:rsidR="007671AA">
        <w:tab/>
      </w:r>
      <w:r w:rsidRPr="006F084A">
        <w:t>Desde el lanzamiento oficial del Portal Nacional de Reclamaciones el 9 de enero de</w:t>
      </w:r>
      <w:r w:rsidR="002378F4">
        <w:t> </w:t>
      </w:r>
      <w:r w:rsidRPr="006F084A">
        <w:t>2018 y hasta enero de 2020, las administraciones públicas recibieron 719.185 reclamaciones a través de este portal. El porcentaje de reclamaciones atendidas fue del 30,67</w:t>
      </w:r>
      <w:r w:rsidR="002378F4">
        <w:t> </w:t>
      </w:r>
      <w:r w:rsidRPr="006F084A">
        <w:t>% y se reabrieron otras 20.738. Si bien el Decreto fija un máximo de 60 días para atender las reclamaciones y notificar la respuesta al interesado, el promedio de días para tramitar estas reclamaciones fue de 29, y el índice de satisfacción con la gestión de las reclamaciones se estima en el 59,56 %.</w:t>
      </w:r>
    </w:p>
    <w:p w14:paraId="1D49E242" w14:textId="77777777" w:rsidR="004E0684" w:rsidRPr="004A2305" w:rsidRDefault="004E0684" w:rsidP="004A2305">
      <w:pPr>
        <w:pStyle w:val="Bullet1G"/>
        <w:spacing w:before="240" w:line="240" w:lineRule="exact"/>
        <w:ind w:left="1134"/>
        <w:jc w:val="left"/>
        <w:rPr>
          <w:rFonts w:eastAsia="Calibri"/>
          <w:b/>
          <w:bCs/>
        </w:rPr>
      </w:pPr>
      <w:r w:rsidRPr="004A2305">
        <w:rPr>
          <w:rFonts w:eastAsia="Calibri"/>
          <w:b/>
          <w:bCs/>
        </w:rPr>
        <w:t>Recepción y tramitación de quejas por mecanismos nacionales especializados</w:t>
      </w:r>
    </w:p>
    <w:p w14:paraId="3679BFA7" w14:textId="7C3CCACB" w:rsidR="004E0684" w:rsidRPr="006F084A" w:rsidRDefault="004E0684" w:rsidP="004E0684">
      <w:pPr>
        <w:pStyle w:val="SingleTxtG"/>
        <w:rPr>
          <w:rFonts w:eastAsia="Calibri"/>
        </w:rPr>
      </w:pPr>
      <w:r w:rsidRPr="006F084A">
        <w:t>251.</w:t>
      </w:r>
      <w:r w:rsidR="007671AA">
        <w:tab/>
      </w:r>
      <w:r w:rsidRPr="006F084A">
        <w:t xml:space="preserve">También se ha tenido en cuenta el criterio de especialización para atender los diversos tipos de reclamaciones y prevenir las violaciones de los derechos humanos mediante la creación de tres mecanismos nacionales especializados, de modo que, en virtud de la legislación reguladora, se encomendó a la Comisión para la Igualdad y la Lucha contra todas las Formas de Discriminación, el Consejo Asesor para la Juventud y la Acción Colectiva y el Consejo Asesor para la Familia y la Infancia el mandato de recibir y atender las quejas que sean presentadas por individuos, grupos u organizaciones de la sociedad civil. </w:t>
      </w:r>
    </w:p>
    <w:p w14:paraId="77BA384D" w14:textId="6E5804C9" w:rsidR="004E0684" w:rsidRPr="004A2305" w:rsidRDefault="004E0684" w:rsidP="004A2305">
      <w:pPr>
        <w:pStyle w:val="Bullet1G"/>
        <w:spacing w:before="240" w:line="240" w:lineRule="exact"/>
        <w:ind w:left="1134"/>
        <w:jc w:val="left"/>
        <w:rPr>
          <w:rFonts w:eastAsia="Calibri"/>
          <w:b/>
          <w:bCs/>
        </w:rPr>
      </w:pPr>
      <w:r w:rsidRPr="004A2305">
        <w:rPr>
          <w:rFonts w:eastAsia="Calibri"/>
          <w:b/>
          <w:bCs/>
        </w:rPr>
        <w:t>Aceptación de mecanismos de quejas de conformidad con los mecanismos</w:t>
      </w:r>
      <w:r w:rsidR="00D9448F">
        <w:rPr>
          <w:rFonts w:eastAsia="Calibri"/>
          <w:b/>
          <w:bCs/>
        </w:rPr>
        <w:br/>
      </w:r>
      <w:r w:rsidRPr="004A2305">
        <w:rPr>
          <w:rFonts w:eastAsia="Calibri"/>
          <w:b/>
          <w:bCs/>
        </w:rPr>
        <w:t>de derechos humanos de las Naciones Unidas</w:t>
      </w:r>
    </w:p>
    <w:p w14:paraId="5C4602A8" w14:textId="261CF8C2" w:rsidR="006F35EE" w:rsidRDefault="004E0684" w:rsidP="007671AA">
      <w:pPr>
        <w:pStyle w:val="SingleTxtG"/>
      </w:pPr>
      <w:r w:rsidRPr="006F084A">
        <w:t>252.</w:t>
      </w:r>
      <w:r w:rsidR="007671AA">
        <w:tab/>
      </w:r>
      <w:r w:rsidRPr="006F084A">
        <w:t>Además de su interacción con los mecanismos de procedimientos especiales en lo que respecta a la recepción y el tratamiento de las reclamaciones, desde 2006 Marruecos reconoce la validez de una serie de organismos creados en virtud de tratados para recibir comunicaciones de particulares y grupos. De este modo, el 19 de octubre de 2006, el Reino notificó al Secretario General de las Naciones Unidas la aceptación del mandato del Comité contra la Tortura y del Comité para la Eliminación de la Discriminación Racial en lo relativo a recibir quejas. Por otro lado, el 8 de abril de 2009, Marruecos se adhirió al Protocolo Facultativo de la Convención sobre los Derechos de las Personas con Discapacidad. El Gobierno ha tomado además medidas, muy avanzadas, con el fin de adherirse a cuatro protocolos convencionales, a saber: el Protocolo Facultativo de la Convención sobre los Derechos del Niño relativo a un procedimiento de comunicaciones (al que Marruecos se adhirió el 28 de febrero de 2012)</w:t>
      </w:r>
      <w:r w:rsidRPr="006F084A">
        <w:rPr>
          <w:rStyle w:val="Refdenotaalpie"/>
          <w:rFonts w:eastAsia="Calibri"/>
          <w:lang w:val="en-GB"/>
        </w:rPr>
        <w:footnoteReference w:id="69"/>
      </w:r>
      <w:r w:rsidRPr="006F084A">
        <w:t>; el Protocolo Facultativo de la Convención contra la Tortura y Otros Tratos o Penas Crueles, Inhumanos o Degradantes (al que Marruecos se adhirió el 24 de noviembre de 2014)</w:t>
      </w:r>
      <w:r w:rsidRPr="006F084A">
        <w:rPr>
          <w:rStyle w:val="Refdenotaalpie"/>
          <w:rFonts w:eastAsia="Calibri"/>
          <w:lang w:val="en-GB"/>
        </w:rPr>
        <w:footnoteReference w:id="70"/>
      </w:r>
      <w:r w:rsidRPr="006F084A">
        <w:t>; el Protocolo Facultativo de la Convención sobre la Eliminación de Todas las Formas de Discriminación contra la Mujer, y el primer Protocolo del Pacto Internacional de Derechos Civiles y Políticos</w:t>
      </w:r>
      <w:r w:rsidRPr="006F084A">
        <w:rPr>
          <w:rStyle w:val="Refdenotaalpie"/>
          <w:rFonts w:eastAsia="Calibri"/>
          <w:lang w:val="en-GB"/>
        </w:rPr>
        <w:footnoteReference w:id="71"/>
      </w:r>
      <w:r w:rsidRPr="006F084A">
        <w:t>.</w:t>
      </w:r>
    </w:p>
    <w:p w14:paraId="407FE0A6" w14:textId="04DA26A9" w:rsidR="007671AA" w:rsidRPr="007671AA" w:rsidRDefault="007671AA" w:rsidP="007671AA">
      <w:pPr>
        <w:pStyle w:val="SingleTxtG"/>
        <w:suppressAutoHyphens/>
        <w:spacing w:before="240" w:after="0"/>
        <w:jc w:val="center"/>
        <w:rPr>
          <w:u w:val="single"/>
        </w:rPr>
      </w:pPr>
      <w:r>
        <w:rPr>
          <w:u w:val="single"/>
        </w:rPr>
        <w:tab/>
      </w:r>
      <w:r>
        <w:rPr>
          <w:u w:val="single"/>
        </w:rPr>
        <w:tab/>
      </w:r>
      <w:r>
        <w:rPr>
          <w:u w:val="single"/>
        </w:rPr>
        <w:tab/>
      </w:r>
    </w:p>
    <w:sectPr w:rsidR="007671AA" w:rsidRPr="007671AA" w:rsidSect="005C491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40B46" w14:textId="77777777" w:rsidR="00694EFF" w:rsidRPr="00AC76E8" w:rsidRDefault="00694EFF" w:rsidP="00AC76E8">
      <w:pPr>
        <w:pStyle w:val="Piedepgina"/>
      </w:pPr>
    </w:p>
  </w:endnote>
  <w:endnote w:type="continuationSeparator" w:id="0">
    <w:p w14:paraId="27DEC10D" w14:textId="77777777" w:rsidR="00694EFF" w:rsidRPr="00AC76E8" w:rsidRDefault="00694EFF"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189C3" w14:textId="77777777" w:rsidR="00694EFF" w:rsidRPr="005C491F" w:rsidRDefault="00694EFF" w:rsidP="005C491F">
    <w:pPr>
      <w:pStyle w:val="Piedepgina"/>
      <w:tabs>
        <w:tab w:val="right" w:pos="9638"/>
      </w:tabs>
    </w:pPr>
    <w:r w:rsidRPr="005C491F">
      <w:rPr>
        <w:b/>
        <w:sz w:val="18"/>
      </w:rPr>
      <w:fldChar w:fldCharType="begin"/>
    </w:r>
    <w:r w:rsidRPr="005C491F">
      <w:rPr>
        <w:b/>
        <w:sz w:val="18"/>
      </w:rPr>
      <w:instrText xml:space="preserve"> PAGE  \* MERGEFORMAT </w:instrText>
    </w:r>
    <w:r w:rsidRPr="005C491F">
      <w:rPr>
        <w:b/>
        <w:sz w:val="18"/>
      </w:rPr>
      <w:fldChar w:fldCharType="separate"/>
    </w:r>
    <w:r w:rsidRPr="005C491F">
      <w:rPr>
        <w:b/>
        <w:noProof/>
        <w:sz w:val="18"/>
      </w:rPr>
      <w:t>2</w:t>
    </w:r>
    <w:r w:rsidRPr="005C491F">
      <w:rPr>
        <w:b/>
        <w:sz w:val="18"/>
      </w:rPr>
      <w:fldChar w:fldCharType="end"/>
    </w:r>
    <w:r>
      <w:rPr>
        <w:b/>
        <w:sz w:val="18"/>
      </w:rPr>
      <w:tab/>
    </w:r>
    <w:proofErr w:type="spellStart"/>
    <w:r>
      <w:t>GE.21</w:t>
    </w:r>
    <w:proofErr w:type="spellEnd"/>
    <w:r>
      <w:t>-02184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8CFB" w14:textId="77777777" w:rsidR="00694EFF" w:rsidRPr="005C491F" w:rsidRDefault="00694EFF" w:rsidP="005C491F">
    <w:pPr>
      <w:pStyle w:val="Piedepgina"/>
      <w:tabs>
        <w:tab w:val="right" w:pos="9638"/>
      </w:tabs>
      <w:rPr>
        <w:b/>
        <w:sz w:val="18"/>
      </w:rPr>
    </w:pPr>
    <w:proofErr w:type="spellStart"/>
    <w:r>
      <w:t>GE.21</w:t>
    </w:r>
    <w:proofErr w:type="spellEnd"/>
    <w:r>
      <w:t>-02184</w:t>
    </w:r>
    <w:r>
      <w:tab/>
    </w:r>
    <w:r w:rsidRPr="005C491F">
      <w:rPr>
        <w:b/>
        <w:sz w:val="18"/>
      </w:rPr>
      <w:fldChar w:fldCharType="begin"/>
    </w:r>
    <w:r w:rsidRPr="005C491F">
      <w:rPr>
        <w:b/>
        <w:sz w:val="18"/>
      </w:rPr>
      <w:instrText xml:space="preserve"> PAGE  \* MERGEFORMAT </w:instrText>
    </w:r>
    <w:r w:rsidRPr="005C491F">
      <w:rPr>
        <w:b/>
        <w:sz w:val="18"/>
      </w:rPr>
      <w:fldChar w:fldCharType="separate"/>
    </w:r>
    <w:r w:rsidRPr="005C491F">
      <w:rPr>
        <w:b/>
        <w:noProof/>
        <w:sz w:val="18"/>
      </w:rPr>
      <w:t>3</w:t>
    </w:r>
    <w:r w:rsidRPr="005C49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6341F" w14:textId="70202543" w:rsidR="00694EFF" w:rsidRPr="005C491F" w:rsidRDefault="00694EFF" w:rsidP="005C491F">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63300279" wp14:editId="43DBBD3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02184  (</w:t>
    </w:r>
    <w:proofErr w:type="gramEnd"/>
    <w:r>
      <w:rPr>
        <w:sz w:val="20"/>
      </w:rPr>
      <w:t>S)</w:t>
    </w:r>
    <w:r>
      <w:rPr>
        <w:noProof/>
        <w:sz w:val="20"/>
      </w:rPr>
      <w:drawing>
        <wp:anchor distT="0" distB="0" distL="114300" distR="114300" simplePos="0" relativeHeight="251658752" behindDoc="0" locked="0" layoutInCell="1" allowOverlap="1" wp14:anchorId="7ADA5F38" wp14:editId="2683EFD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070521    120521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0140A" w14:textId="77777777" w:rsidR="00694EFF" w:rsidRPr="001075E9" w:rsidRDefault="00694EFF" w:rsidP="001075E9">
      <w:pPr>
        <w:tabs>
          <w:tab w:val="right" w:pos="2155"/>
        </w:tabs>
        <w:spacing w:after="80" w:line="240" w:lineRule="auto"/>
        <w:ind w:left="680"/>
        <w:rPr>
          <w:u w:val="single"/>
        </w:rPr>
      </w:pPr>
      <w:r>
        <w:rPr>
          <w:u w:val="single"/>
        </w:rPr>
        <w:tab/>
      </w:r>
    </w:p>
  </w:footnote>
  <w:footnote w:type="continuationSeparator" w:id="0">
    <w:p w14:paraId="5C31ACBD" w14:textId="77777777" w:rsidR="00694EFF" w:rsidRDefault="00694EFF" w:rsidP="00AC76E8">
      <w:pPr>
        <w:tabs>
          <w:tab w:val="right" w:pos="2155"/>
        </w:tabs>
        <w:spacing w:after="80" w:line="240" w:lineRule="auto"/>
        <w:ind w:left="680"/>
        <w:rPr>
          <w:u w:val="single"/>
        </w:rPr>
      </w:pPr>
      <w:r>
        <w:rPr>
          <w:u w:val="single"/>
        </w:rPr>
        <w:tab/>
      </w:r>
    </w:p>
  </w:footnote>
  <w:footnote w:id="1">
    <w:p w14:paraId="25B57F46" w14:textId="4D441FD1" w:rsidR="00694EFF" w:rsidRPr="00114AD4" w:rsidRDefault="00694EFF">
      <w:pPr>
        <w:pStyle w:val="Textonotapie"/>
        <w:rPr>
          <w:sz w:val="20"/>
        </w:rPr>
      </w:pPr>
      <w:r>
        <w:tab/>
      </w:r>
      <w:r w:rsidRPr="00114AD4">
        <w:rPr>
          <w:rStyle w:val="Refdenotaalpie"/>
          <w:sz w:val="20"/>
          <w:vertAlign w:val="baseline"/>
        </w:rPr>
        <w:t>*</w:t>
      </w:r>
      <w:r w:rsidRPr="00114AD4">
        <w:rPr>
          <w:rStyle w:val="Refdenotaalpie"/>
          <w:vertAlign w:val="baseline"/>
        </w:rPr>
        <w:tab/>
      </w:r>
      <w:r w:rsidRPr="00114AD4">
        <w:t>La versión original del presente documento se publica sin haber sido objeto de revisión editorial oficial</w:t>
      </w:r>
      <w:r>
        <w:t>.</w:t>
      </w:r>
    </w:p>
  </w:footnote>
  <w:footnote w:id="2">
    <w:p w14:paraId="6DC79FD8" w14:textId="30E59FC0" w:rsidR="00694EFF" w:rsidRPr="006F084A" w:rsidRDefault="00694EFF" w:rsidP="004E0684">
      <w:pPr>
        <w:pStyle w:val="Textonotapie"/>
        <w:rPr>
          <w:lang w:val="fr-CH"/>
        </w:rPr>
      </w:pPr>
      <w:r>
        <w:rPr>
          <w:lang w:val="fr-CH"/>
        </w:rPr>
        <w:tab/>
      </w:r>
      <w:r w:rsidRPr="007518EE">
        <w:rPr>
          <w:rStyle w:val="Refdenotaalpie"/>
        </w:rPr>
        <w:footnoteRef/>
      </w:r>
      <w:r w:rsidRPr="006F084A">
        <w:rPr>
          <w:lang w:val="fr-CH"/>
        </w:rPr>
        <w:tab/>
      </w:r>
      <w:proofErr w:type="spellStart"/>
      <w:proofErr w:type="gramStart"/>
      <w:r w:rsidRPr="006F084A">
        <w:rPr>
          <w:lang w:val="fr-CH"/>
        </w:rPr>
        <w:t>Véase</w:t>
      </w:r>
      <w:proofErr w:type="spellEnd"/>
      <w:r w:rsidRPr="006F084A">
        <w:rPr>
          <w:lang w:val="fr-CH"/>
        </w:rPr>
        <w:t>:</w:t>
      </w:r>
      <w:proofErr w:type="gramEnd"/>
      <w:r w:rsidRPr="006F084A">
        <w:rPr>
          <w:lang w:val="fr-CH"/>
        </w:rPr>
        <w:t xml:space="preserve"> </w:t>
      </w:r>
      <w:hyperlink r:id="rId1" w:history="1">
        <w:r w:rsidRPr="00694EFF">
          <w:rPr>
            <w:rStyle w:val="Hipervnculo"/>
            <w:lang w:val="fr-CH"/>
          </w:rPr>
          <w:t>https://</w:t>
        </w:r>
        <w:proofErr w:type="spellStart"/>
        <w:r w:rsidRPr="00694EFF">
          <w:rPr>
            <w:rStyle w:val="Hipervnculo"/>
            <w:lang w:val="fr-CH"/>
          </w:rPr>
          <w:t>www.hcp.ma</w:t>
        </w:r>
        <w:proofErr w:type="spellEnd"/>
        <w:r w:rsidRPr="00694EFF">
          <w:rPr>
            <w:rStyle w:val="Hipervnculo"/>
            <w:lang w:val="fr-CH"/>
          </w:rPr>
          <w:t>/Indices-</w:t>
        </w:r>
        <w:proofErr w:type="spellStart"/>
        <w:r w:rsidRPr="00694EFF">
          <w:rPr>
            <w:rStyle w:val="Hipervnculo"/>
            <w:lang w:val="fr-CH"/>
          </w:rPr>
          <w:t>statistiques_r102.html</w:t>
        </w:r>
        <w:proofErr w:type="spellEnd"/>
      </w:hyperlink>
      <w:r w:rsidRPr="006F084A">
        <w:rPr>
          <w:lang w:val="fr-CH"/>
        </w:rPr>
        <w:t xml:space="preserve">. </w:t>
      </w:r>
    </w:p>
  </w:footnote>
  <w:footnote w:id="3">
    <w:p w14:paraId="1E4C0E91" w14:textId="5ABCB05A" w:rsidR="00694EFF" w:rsidRPr="006F084A" w:rsidRDefault="00694EFF" w:rsidP="004E0684">
      <w:pPr>
        <w:pStyle w:val="Textonotapie"/>
      </w:pPr>
      <w:r>
        <w:tab/>
      </w:r>
      <w:r w:rsidRPr="007518EE">
        <w:rPr>
          <w:rStyle w:val="Refdenotaalpie"/>
        </w:rPr>
        <w:footnoteRef/>
      </w:r>
      <w:r w:rsidRPr="006F084A">
        <w:tab/>
        <w:t xml:space="preserve">En el siguiente enlace se puede acceder a los indicadores del Censo General de Población y Vivienda atendiendo a criterios de perfil demográfico, tipo de discapacidad, nivel educativo, tasa de analfabetismo, lenguas locales utilizadas, ocupación, empleo y condiciones de vivienda por región, provincia, comuna, centro urbano, así como a nivel nacional: </w:t>
      </w:r>
      <w:hyperlink r:id="rId2" w:history="1">
        <w:r w:rsidRPr="00694EFF">
          <w:rPr>
            <w:rStyle w:val="Hipervnculo"/>
          </w:rPr>
          <w:t>http://</w:t>
        </w:r>
        <w:proofErr w:type="spellStart"/>
        <w:r w:rsidRPr="00694EFF">
          <w:rPr>
            <w:rStyle w:val="Hipervnculo"/>
          </w:rPr>
          <w:t>rgphentableaux.hcp.ma</w:t>
        </w:r>
        <w:proofErr w:type="spellEnd"/>
        <w:r w:rsidRPr="00694EFF">
          <w:rPr>
            <w:rStyle w:val="Hipervnculo"/>
          </w:rPr>
          <w:t>/</w:t>
        </w:r>
        <w:proofErr w:type="spellStart"/>
        <w:r w:rsidRPr="00694EFF">
          <w:rPr>
            <w:rStyle w:val="Hipervnculo"/>
          </w:rPr>
          <w:t>Default1</w:t>
        </w:r>
        <w:proofErr w:type="spellEnd"/>
        <w:r w:rsidRPr="00694EFF">
          <w:rPr>
            <w:rStyle w:val="Hipervnculo"/>
          </w:rPr>
          <w:t>/</w:t>
        </w:r>
      </w:hyperlink>
      <w:r>
        <w:t>.</w:t>
      </w:r>
    </w:p>
  </w:footnote>
  <w:footnote w:id="4">
    <w:p w14:paraId="66D79622" w14:textId="3FC7E919" w:rsidR="00694EFF" w:rsidRPr="006F084A" w:rsidRDefault="00694EFF" w:rsidP="004E0684">
      <w:pPr>
        <w:pStyle w:val="Textonotapie"/>
        <w:rPr>
          <w:rFonts w:asciiTheme="majorBidi" w:hAnsiTheme="majorBidi" w:cstheme="majorBidi"/>
        </w:rPr>
      </w:pPr>
      <w:r>
        <w:tab/>
      </w:r>
      <w:r w:rsidRPr="007518EE">
        <w:rPr>
          <w:rStyle w:val="Refdenotaalpie"/>
        </w:rPr>
        <w:footnoteRef/>
      </w:r>
      <w:r w:rsidRPr="006F084A">
        <w:tab/>
        <w:t>Datos del Ministerio del Interior.</w:t>
      </w:r>
    </w:p>
  </w:footnote>
  <w:footnote w:id="5">
    <w:p w14:paraId="77A77ECC" w14:textId="6DF75630" w:rsidR="00694EFF" w:rsidRPr="006F084A" w:rsidRDefault="00694EFF" w:rsidP="004E0684">
      <w:pPr>
        <w:pStyle w:val="Textonotapie"/>
        <w:rPr>
          <w:rFonts w:asciiTheme="majorBidi" w:eastAsia="Arial" w:hAnsiTheme="majorBidi" w:cstheme="majorBidi"/>
        </w:rPr>
      </w:pPr>
      <w:r>
        <w:tab/>
      </w:r>
      <w:r w:rsidRPr="007518EE">
        <w:rPr>
          <w:rStyle w:val="Refdenotaalpie"/>
        </w:rPr>
        <w:footnoteRef/>
      </w:r>
      <w:r w:rsidRPr="006F084A">
        <w:tab/>
        <w:t xml:space="preserve">Estudio sobre los </w:t>
      </w:r>
      <w:r>
        <w:t>“</w:t>
      </w:r>
      <w:r w:rsidRPr="006F084A">
        <w:t>Extranjeros residentes en Marruecos según el Censo General de Población y Vivienda de 2014</w:t>
      </w:r>
      <w:r>
        <w:t>”</w:t>
      </w:r>
      <w:r w:rsidRPr="006F084A">
        <w:t>. Alto Comisionado de Planificación.</w:t>
      </w:r>
    </w:p>
  </w:footnote>
  <w:footnote w:id="6">
    <w:p w14:paraId="6FB86040" w14:textId="44B2745C" w:rsidR="00694EFF" w:rsidRPr="006F084A" w:rsidRDefault="00694EFF" w:rsidP="004E0684">
      <w:pPr>
        <w:pStyle w:val="Textonotapie"/>
        <w:rPr>
          <w:rFonts w:asciiTheme="majorBidi" w:eastAsia="Arial" w:hAnsiTheme="majorBidi" w:cstheme="majorBidi"/>
        </w:rPr>
      </w:pPr>
      <w:r>
        <w:tab/>
      </w:r>
      <w:r w:rsidRPr="007518EE">
        <w:rPr>
          <w:rStyle w:val="Refdenotaalpie"/>
        </w:rPr>
        <w:footnoteRef/>
      </w:r>
      <w:r w:rsidRPr="006F084A">
        <w:tab/>
        <w:t>Datos del Ministerio del Interior.</w:t>
      </w:r>
    </w:p>
  </w:footnote>
  <w:footnote w:id="7">
    <w:p w14:paraId="0F51791B" w14:textId="0D26D041" w:rsidR="00694EFF" w:rsidRPr="006F084A" w:rsidRDefault="00694EFF" w:rsidP="004E0684">
      <w:pPr>
        <w:pStyle w:val="Textonotapie"/>
        <w:rPr>
          <w:rFonts w:asciiTheme="majorBidi" w:hAnsiTheme="majorBidi" w:cstheme="majorBidi"/>
        </w:rPr>
      </w:pPr>
      <w:r>
        <w:tab/>
      </w:r>
      <w:r w:rsidRPr="007518EE">
        <w:rPr>
          <w:rStyle w:val="Refdenotaalpie"/>
        </w:rPr>
        <w:footnoteRef/>
      </w:r>
      <w:r w:rsidRPr="006F084A">
        <w:tab/>
      </w:r>
      <w:r w:rsidRPr="006F084A">
        <w:rPr>
          <w:i/>
          <w:iCs/>
        </w:rPr>
        <w:t>Panorama de la Inmigración en Marruecos. Presentación de los resultados del Estudio sobre la Estrategia Nacional de Inmigración y Asilo</w:t>
      </w:r>
      <w:r w:rsidRPr="006F084A">
        <w:t>, 10 de septiembre de 2014.</w:t>
      </w:r>
    </w:p>
  </w:footnote>
  <w:footnote w:id="8">
    <w:p w14:paraId="439FAC0B" w14:textId="2510177F" w:rsidR="00694EFF" w:rsidRPr="006F084A" w:rsidRDefault="00694EFF" w:rsidP="004E0684">
      <w:pPr>
        <w:pStyle w:val="Textonotapie"/>
        <w:rPr>
          <w:rFonts w:asciiTheme="majorBidi" w:hAnsiTheme="majorBidi" w:cstheme="majorBidi"/>
        </w:rPr>
      </w:pPr>
      <w:r>
        <w:tab/>
      </w:r>
      <w:r w:rsidRPr="007518EE">
        <w:rPr>
          <w:rStyle w:val="Refdenotaalpie"/>
        </w:rPr>
        <w:footnoteRef/>
      </w:r>
      <w:r w:rsidRPr="006F084A">
        <w:tab/>
        <w:t>Datos del Ministerio del Interior.</w:t>
      </w:r>
    </w:p>
  </w:footnote>
  <w:footnote w:id="9">
    <w:p w14:paraId="5F97F46A" w14:textId="75621A5B" w:rsidR="00694EFF" w:rsidRPr="006F084A" w:rsidRDefault="00694EFF" w:rsidP="004E0684">
      <w:pPr>
        <w:pStyle w:val="Textonotapie"/>
        <w:rPr>
          <w:rFonts w:eastAsia="Arial"/>
        </w:rPr>
      </w:pPr>
      <w:r>
        <w:tab/>
      </w:r>
      <w:r w:rsidRPr="007518EE">
        <w:rPr>
          <w:rStyle w:val="Refdenotaalpie"/>
        </w:rPr>
        <w:footnoteRef/>
      </w:r>
      <w:r w:rsidRPr="006F084A">
        <w:tab/>
        <w:t>Variedad del árabe que se habla en Marruecos.</w:t>
      </w:r>
    </w:p>
  </w:footnote>
  <w:footnote w:id="10">
    <w:p w14:paraId="63887F37" w14:textId="4F9A103D" w:rsidR="00694EFF" w:rsidRPr="006F084A" w:rsidRDefault="00694EFF" w:rsidP="00B56649">
      <w:pPr>
        <w:pStyle w:val="Textonotapie"/>
        <w:spacing w:after="60"/>
      </w:pPr>
      <w:r>
        <w:tab/>
      </w:r>
      <w:r w:rsidRPr="007518EE">
        <w:rPr>
          <w:rStyle w:val="Refdenotaalpie"/>
        </w:rPr>
        <w:footnoteRef/>
      </w:r>
      <w:r w:rsidRPr="006F084A">
        <w:tab/>
      </w:r>
      <w:r w:rsidRPr="006F084A">
        <w:rPr>
          <w:i/>
          <w:iCs/>
        </w:rPr>
        <w:t>Fuentes</w:t>
      </w:r>
      <w:r w:rsidRPr="006F084A">
        <w:t>: Ministerio de Educación Nacional, Formación Profesional, Educación Superior e Investigación Científica y Alto Comisionado de Planificación.</w:t>
      </w:r>
    </w:p>
    <w:p w14:paraId="068552BA" w14:textId="646DE5AD" w:rsidR="00694EFF" w:rsidRPr="006F084A" w:rsidRDefault="00694EFF" w:rsidP="00825CEC">
      <w:pPr>
        <w:pStyle w:val="Textonotapie"/>
        <w:tabs>
          <w:tab w:val="clear" w:pos="1021"/>
        </w:tabs>
        <w:spacing w:after="60"/>
        <w:ind w:left="1123" w:hanging="1123"/>
      </w:pPr>
      <w:r>
        <w:tab/>
      </w:r>
      <w:r w:rsidRPr="006F084A">
        <w:t>1)</w:t>
      </w:r>
      <w:r w:rsidRPr="006F084A">
        <w:tab/>
        <w:t>Proyecciones del Centro de Estudios e Investigaciones Demográficas.</w:t>
      </w:r>
    </w:p>
    <w:p w14:paraId="43C352B5" w14:textId="6710FECE" w:rsidR="00694EFF" w:rsidRPr="006F084A" w:rsidRDefault="00694EFF" w:rsidP="00825CEC">
      <w:pPr>
        <w:pStyle w:val="Textonotapie"/>
        <w:tabs>
          <w:tab w:val="clear" w:pos="1021"/>
        </w:tabs>
        <w:spacing w:after="60"/>
        <w:ind w:left="1123" w:hanging="1123"/>
      </w:pPr>
      <w:r>
        <w:tab/>
      </w:r>
      <w:r w:rsidRPr="006F084A">
        <w:t>2)</w:t>
      </w:r>
      <w:r w:rsidRPr="006F084A">
        <w:tab/>
        <w:t>Sin contar las familias nómadas.</w:t>
      </w:r>
    </w:p>
    <w:p w14:paraId="3748B8E1" w14:textId="592F95E8" w:rsidR="00694EFF" w:rsidRPr="006F084A" w:rsidRDefault="00694EFF" w:rsidP="00825CEC">
      <w:pPr>
        <w:pStyle w:val="Textonotapie"/>
        <w:tabs>
          <w:tab w:val="clear" w:pos="1021"/>
        </w:tabs>
        <w:spacing w:after="60"/>
        <w:ind w:left="1123" w:hanging="1123"/>
      </w:pPr>
      <w:r>
        <w:tab/>
      </w:r>
      <w:r w:rsidRPr="006F084A">
        <w:t>3)</w:t>
      </w:r>
      <w:r w:rsidRPr="006F084A">
        <w:tab/>
        <w:t>Porcentaje de población escolarizada en la franja de edad comprendida entre los 6 y los 11</w:t>
      </w:r>
      <w:r>
        <w:t> </w:t>
      </w:r>
      <w:r w:rsidRPr="006F084A">
        <w:t>años, independientemente del nivel de estudios.</w:t>
      </w:r>
    </w:p>
    <w:p w14:paraId="7BE96261" w14:textId="717541AC" w:rsidR="00694EFF" w:rsidRPr="006F084A" w:rsidRDefault="00694EFF" w:rsidP="00825CEC">
      <w:pPr>
        <w:pStyle w:val="Textonotapie"/>
        <w:tabs>
          <w:tab w:val="clear" w:pos="1021"/>
        </w:tabs>
        <w:ind w:left="1120" w:hanging="1120"/>
      </w:pPr>
      <w:r>
        <w:tab/>
      </w:r>
      <w:r w:rsidRPr="006F084A">
        <w:t>4)</w:t>
      </w:r>
      <w:r w:rsidRPr="006F084A">
        <w:tab/>
        <w:t>Sin contar la formación de directivos y la formación profesional posterior al bachillerato.</w:t>
      </w:r>
    </w:p>
  </w:footnote>
  <w:footnote w:id="11">
    <w:p w14:paraId="437030DA" w14:textId="12E399F7" w:rsidR="00694EFF" w:rsidRPr="006F084A" w:rsidRDefault="00694EFF" w:rsidP="00521126">
      <w:pPr>
        <w:pStyle w:val="Textonotapie"/>
        <w:spacing w:after="60"/>
      </w:pPr>
      <w:r>
        <w:tab/>
      </w:r>
      <w:r w:rsidRPr="007518EE">
        <w:rPr>
          <w:rStyle w:val="Refdenotaalpie"/>
        </w:rPr>
        <w:footnoteRef/>
      </w:r>
      <w:r w:rsidRPr="006F084A">
        <w:tab/>
      </w:r>
      <w:r w:rsidRPr="00B56649">
        <w:rPr>
          <w:i/>
          <w:iCs/>
        </w:rPr>
        <w:t>Fuentes</w:t>
      </w:r>
      <w:r w:rsidRPr="00B56649">
        <w:rPr>
          <w:i/>
        </w:rPr>
        <w:t>:</w:t>
      </w:r>
      <w:r>
        <w:t xml:space="preserve"> </w:t>
      </w:r>
      <w:r w:rsidRPr="006F084A">
        <w:t>Ministerio de Economía, Finanzas y Reforma de la Administración y Alto Comisionado de Planificación</w:t>
      </w:r>
      <w:r>
        <w:t>:</w:t>
      </w:r>
    </w:p>
    <w:p w14:paraId="420F00B9" w14:textId="394513DA" w:rsidR="00694EFF" w:rsidRPr="006F084A" w:rsidRDefault="00694EFF" w:rsidP="00521126">
      <w:pPr>
        <w:pStyle w:val="Textonotapie"/>
        <w:tabs>
          <w:tab w:val="clear" w:pos="1021"/>
        </w:tabs>
        <w:spacing w:after="60"/>
        <w:ind w:left="1123" w:hanging="1123"/>
      </w:pPr>
      <w:r>
        <w:tab/>
      </w:r>
      <w:r w:rsidRPr="006F084A">
        <w:t>1)</w:t>
      </w:r>
      <w:r w:rsidRPr="006F084A">
        <w:tab/>
        <w:t xml:space="preserve">Tanto en el sector público como en el privado. </w:t>
      </w:r>
    </w:p>
  </w:footnote>
  <w:footnote w:id="12">
    <w:p w14:paraId="701A1CE2" w14:textId="3E5FBB06" w:rsidR="00694EFF" w:rsidRPr="006F084A" w:rsidRDefault="00694EFF" w:rsidP="004D7088">
      <w:pPr>
        <w:pStyle w:val="Textonotapie"/>
      </w:pPr>
      <w:r>
        <w:tab/>
      </w:r>
      <w:r w:rsidRPr="007518EE">
        <w:rPr>
          <w:rStyle w:val="Refdenotaalpie"/>
        </w:rPr>
        <w:footnoteRef/>
      </w:r>
      <w:r w:rsidRPr="006F084A">
        <w:tab/>
      </w:r>
      <w:r w:rsidRPr="006F084A">
        <w:rPr>
          <w:i/>
          <w:iCs/>
        </w:rPr>
        <w:t>Fuentes</w:t>
      </w:r>
      <w:r w:rsidRPr="00725B46">
        <w:rPr>
          <w:i/>
        </w:rPr>
        <w:t>:</w:t>
      </w:r>
      <w:r w:rsidRPr="006F084A">
        <w:t xml:space="preserve"> Alto Comisionado de Planificación, Ministerio de Salud y Oficina Nacional de Agua y Electricidad. En general, en lo relativo a estos datos puede consultarse el siguiente enlace:</w:t>
      </w:r>
      <w:r>
        <w:br/>
      </w:r>
      <w:r>
        <w:tab/>
      </w:r>
      <w:hyperlink r:id="rId3" w:history="1">
        <w:r w:rsidRPr="00656701">
          <w:rPr>
            <w:rStyle w:val="Hipervnculo"/>
          </w:rPr>
          <w:t>https://www.finances.gov.ma/ArMa/Pages/Statistiques.aspx?m=%D9%85%D9%87%D9%86%D9%86%D8%A7&amp;m2=%D8%A7%D9%84%D8%AF%D8%B1%D8%A7%D8%B3%D8%A7%D8%AA%20%D9%88%D8%A7%D9%84%D8%A5%D8%AD%D8%B5%D8%A7%D8%A6%D9%8A%D8%A7%D8%AA</w:t>
        </w:r>
      </w:hyperlink>
      <w:r>
        <w:t>.</w:t>
      </w:r>
    </w:p>
  </w:footnote>
  <w:footnote w:id="13">
    <w:p w14:paraId="34D2EC69" w14:textId="7326C7D8" w:rsidR="00694EFF" w:rsidRPr="006F084A" w:rsidRDefault="00694EFF" w:rsidP="004E0684">
      <w:pPr>
        <w:pStyle w:val="Textonotapie"/>
      </w:pPr>
      <w:r>
        <w:tab/>
      </w:r>
      <w:r w:rsidRPr="007518EE">
        <w:rPr>
          <w:rStyle w:val="Refdenotaalpie"/>
        </w:rPr>
        <w:footnoteRef/>
      </w:r>
      <w:r w:rsidRPr="006F084A">
        <w:tab/>
      </w:r>
      <w:r w:rsidRPr="006F084A">
        <w:rPr>
          <w:i/>
          <w:iCs/>
        </w:rPr>
        <w:t>Boletín Oficial</w:t>
      </w:r>
      <w:r w:rsidRPr="006F084A">
        <w:t xml:space="preserve"> núm. 6.492, de 14 de </w:t>
      </w:r>
      <w:proofErr w:type="spellStart"/>
      <w:r w:rsidRPr="006F084A">
        <w:t>Dhu</w:t>
      </w:r>
      <w:proofErr w:type="spellEnd"/>
      <w:r w:rsidRPr="006F084A">
        <w:t>-l-</w:t>
      </w:r>
      <w:proofErr w:type="spellStart"/>
      <w:r w:rsidRPr="006F084A">
        <w:t>qaada</w:t>
      </w:r>
      <w:proofErr w:type="spellEnd"/>
      <w:r w:rsidRPr="006F084A">
        <w:t xml:space="preserve"> de 1437 (18 de agosto de 2016), y Decreto núm. 2.16.403, que establece la forma en que la solicitud debe ser presentada ante el presidente del Consejo de la Municipalidad, así como los documentos que deberán adjuntarse a la misma [</w:t>
      </w:r>
      <w:r w:rsidRPr="006F084A">
        <w:rPr>
          <w:i/>
          <w:iCs/>
        </w:rPr>
        <w:t>Boletín Oficial</w:t>
      </w:r>
      <w:r w:rsidRPr="006F084A">
        <w:t xml:space="preserve"> núm. 6.511, de 22 de </w:t>
      </w:r>
      <w:proofErr w:type="spellStart"/>
      <w:r w:rsidRPr="006F084A">
        <w:t>Muharram</w:t>
      </w:r>
      <w:proofErr w:type="spellEnd"/>
      <w:r w:rsidRPr="006F084A">
        <w:t xml:space="preserve"> de 1438 (24 de octubre de 2016)].</w:t>
      </w:r>
    </w:p>
  </w:footnote>
  <w:footnote w:id="14">
    <w:p w14:paraId="1AC4379D" w14:textId="31CDADCB" w:rsidR="00694EFF" w:rsidRPr="006F084A" w:rsidRDefault="00694EFF" w:rsidP="004E0684">
      <w:pPr>
        <w:pStyle w:val="Textonotapie"/>
        <w:rPr>
          <w:spacing w:val="-2"/>
        </w:rPr>
      </w:pPr>
      <w:r>
        <w:tab/>
      </w:r>
      <w:r w:rsidRPr="007518EE">
        <w:rPr>
          <w:rStyle w:val="Refdenotaalpie"/>
        </w:rPr>
        <w:footnoteRef/>
      </w:r>
      <w:r w:rsidRPr="006F084A">
        <w:tab/>
        <w:t xml:space="preserve">Ley Orgánica núm. </w:t>
      </w:r>
      <w:r w:rsidRPr="002A0D23">
        <w:t>113-14, de Municipios; Ley Orgánica núm. 112-14, de Prefecturas y Provincias; Ley Orgánica núm. 111-14, de Regiones</w:t>
      </w:r>
      <w:r w:rsidRPr="006F084A">
        <w:t xml:space="preserve">. Estas leyes se publicaron en el </w:t>
      </w:r>
      <w:r w:rsidRPr="006F084A">
        <w:rPr>
          <w:i/>
          <w:iCs/>
        </w:rPr>
        <w:t>Boletín Oficial</w:t>
      </w:r>
      <w:r w:rsidRPr="006F084A">
        <w:t xml:space="preserve"> núm. 6.380 (23 de julio de 2015).</w:t>
      </w:r>
    </w:p>
    <w:p w14:paraId="74962FBD" w14:textId="77777777" w:rsidR="00694EFF" w:rsidRPr="006F084A" w:rsidRDefault="00694EFF" w:rsidP="004E0684">
      <w:pPr>
        <w:pStyle w:val="Textonotapie"/>
        <w:rPr>
          <w:szCs w:val="2"/>
          <w:rtl/>
        </w:rPr>
      </w:pPr>
    </w:p>
  </w:footnote>
  <w:footnote w:id="15">
    <w:p w14:paraId="40B25E38" w14:textId="43F452B2" w:rsidR="00694EFF" w:rsidRPr="006F084A" w:rsidRDefault="00694EFF" w:rsidP="004E0684">
      <w:pPr>
        <w:pStyle w:val="Textonotapie"/>
      </w:pPr>
      <w:r>
        <w:tab/>
      </w:r>
      <w:r w:rsidRPr="007518EE">
        <w:rPr>
          <w:rStyle w:val="Refdenotaalpie"/>
        </w:rPr>
        <w:footnoteRef/>
      </w:r>
      <w:r w:rsidRPr="006F084A">
        <w:tab/>
        <w:t xml:space="preserve">Véase el informe en el siguiente enlace: </w:t>
      </w:r>
      <w:hyperlink r:id="rId4" w:history="1">
        <w:r w:rsidRPr="00656701">
          <w:rPr>
            <w:rStyle w:val="Hipervnculo"/>
          </w:rPr>
          <w:t>https://</w:t>
        </w:r>
        <w:proofErr w:type="spellStart"/>
        <w:r w:rsidRPr="00656701">
          <w:rPr>
            <w:rStyle w:val="Hipervnculo"/>
          </w:rPr>
          <w:t>www.mmsp.gov.ma</w:t>
        </w:r>
        <w:proofErr w:type="spellEnd"/>
        <w:r w:rsidRPr="00656701">
          <w:rPr>
            <w:rStyle w:val="Hipervnculo"/>
          </w:rPr>
          <w:t>/</w:t>
        </w:r>
        <w:proofErr w:type="spellStart"/>
        <w:r w:rsidRPr="00656701">
          <w:rPr>
            <w:rStyle w:val="Hipervnculo"/>
          </w:rPr>
          <w:t>uploads</w:t>
        </w:r>
        <w:proofErr w:type="spellEnd"/>
        <w:r w:rsidRPr="00656701">
          <w:rPr>
            <w:rStyle w:val="Hipervnculo"/>
          </w:rPr>
          <w:t>/file/</w:t>
        </w:r>
        <w:r w:rsidR="00656701">
          <w:rPr>
            <w:rStyle w:val="Hipervnculo"/>
          </w:rPr>
          <w:br/>
        </w:r>
        <w:proofErr w:type="spellStart"/>
        <w:r w:rsidRPr="00656701">
          <w:rPr>
            <w:rStyle w:val="Hipervnculo"/>
          </w:rPr>
          <w:t>Morocco_Final_Arabic_Report.pdf</w:t>
        </w:r>
        <w:proofErr w:type="spellEnd"/>
      </w:hyperlink>
      <w:r>
        <w:t>.</w:t>
      </w:r>
      <w:r w:rsidRPr="006F084A">
        <w:t xml:space="preserve"> </w:t>
      </w:r>
    </w:p>
  </w:footnote>
  <w:footnote w:id="16">
    <w:p w14:paraId="15D56E3A" w14:textId="5E879A1B" w:rsidR="00694EFF" w:rsidRPr="006F084A" w:rsidRDefault="00694EFF" w:rsidP="004E0684">
      <w:pPr>
        <w:pStyle w:val="Textonotapie"/>
      </w:pPr>
      <w:r>
        <w:tab/>
      </w:r>
      <w:r w:rsidRPr="007518EE">
        <w:rPr>
          <w:rStyle w:val="Refdenotaalpie"/>
        </w:rPr>
        <w:footnoteRef/>
      </w:r>
      <w:r w:rsidRPr="006F084A">
        <w:tab/>
        <w:t>Así, el número de decisiones relativas al disfrute de un servicio de asistencia jurídica pasó de 9.302 en</w:t>
      </w:r>
      <w:r>
        <w:t> </w:t>
      </w:r>
      <w:r w:rsidRPr="006F084A">
        <w:t xml:space="preserve">2018 a 13.844 en 2019. Además, según el proyecto de </w:t>
      </w:r>
      <w:r w:rsidR="00656701">
        <w:t>l</w:t>
      </w:r>
      <w:r w:rsidRPr="006F084A">
        <w:t xml:space="preserve">ey de </w:t>
      </w:r>
      <w:r w:rsidR="00656701">
        <w:t>p</w:t>
      </w:r>
      <w:r w:rsidRPr="006F084A">
        <w:t>resupuestos de 2020, se espera que esta cifra alcance las 16.000 decisiones.</w:t>
      </w:r>
    </w:p>
  </w:footnote>
  <w:footnote w:id="17">
    <w:p w14:paraId="37F25F6B" w14:textId="311702F2" w:rsidR="00694EFF" w:rsidRPr="006F084A" w:rsidRDefault="00694EFF" w:rsidP="004E0684">
      <w:pPr>
        <w:pStyle w:val="Textonotapie"/>
        <w:rPr>
          <w:spacing w:val="-2"/>
        </w:rPr>
      </w:pPr>
      <w:r>
        <w:tab/>
      </w:r>
      <w:r w:rsidRPr="007518EE">
        <w:rPr>
          <w:rStyle w:val="Refdenotaalpie"/>
        </w:rPr>
        <w:footnoteRef/>
      </w:r>
      <w:r w:rsidRPr="006F084A">
        <w:tab/>
        <w:t xml:space="preserve">Resolución conjunta de los </w:t>
      </w:r>
      <w:r w:rsidR="00656701" w:rsidRPr="006F084A">
        <w:t xml:space="preserve">Ministros </w:t>
      </w:r>
      <w:r w:rsidRPr="006F084A">
        <w:t xml:space="preserve">de Justicia y de Economía, Finanzas y Reforma de la Administración núm. 19.2787, de 15 de Rabia I de 1441 (13 de noviembre de 2019), de revisión de la fijación de los montos considerados costas abonadas por los abogados a cambio de los servicios que prestan en el marco de la asistencia jurídica. </w:t>
      </w:r>
      <w:r w:rsidRPr="006F084A">
        <w:rPr>
          <w:i/>
          <w:iCs/>
        </w:rPr>
        <w:t>Boletín Oficial</w:t>
      </w:r>
      <w:r w:rsidRPr="006F084A">
        <w:t xml:space="preserve"> núm. 6.840, de 22 Rabia II de 1441 (19 de diciembre de 2019).</w:t>
      </w:r>
    </w:p>
  </w:footnote>
  <w:footnote w:id="18">
    <w:p w14:paraId="6843561F" w14:textId="3B44E15B" w:rsidR="00694EFF" w:rsidRPr="006F084A" w:rsidRDefault="00694EFF" w:rsidP="004E0684">
      <w:pPr>
        <w:pStyle w:val="Textonotapie"/>
      </w:pPr>
      <w:r>
        <w:tab/>
      </w:r>
      <w:r w:rsidRPr="007518EE">
        <w:rPr>
          <w:rStyle w:val="Refdenotaalpie"/>
        </w:rPr>
        <w:footnoteRef/>
      </w:r>
      <w:r w:rsidRPr="006F084A">
        <w:tab/>
        <w:t xml:space="preserve">El 12 de julio de 2012, el Consejo de Gobierno aprobó el </w:t>
      </w:r>
      <w:r w:rsidR="008263FA">
        <w:t>p</w:t>
      </w:r>
      <w:r w:rsidRPr="006F084A">
        <w:t xml:space="preserve">royecto de </w:t>
      </w:r>
      <w:r w:rsidR="008263FA">
        <w:t>l</w:t>
      </w:r>
      <w:r w:rsidRPr="006F084A">
        <w:t xml:space="preserve">ey núm. 59-12, en virtud del cual el Reino se adhirió a este Protocolo </w:t>
      </w:r>
      <w:r w:rsidR="008263FA" w:rsidRPr="006F084A">
        <w:t>Facultativo</w:t>
      </w:r>
      <w:r w:rsidRPr="006F084A">
        <w:t>; el 18 de diciembre de 2012, lo aprobó la Cámara de Representantes; el 12 de febrero de 2013, lo aprobó la Cámara de Consejeros. El 13 de marzo de</w:t>
      </w:r>
      <w:r w:rsidR="008263FA">
        <w:t> </w:t>
      </w:r>
      <w:r w:rsidRPr="006F084A">
        <w:t>2013, se ratificó el Decreto Real</w:t>
      </w:r>
      <w:r w:rsidRPr="006F084A">
        <w:rPr>
          <w:b/>
          <w:bCs/>
        </w:rPr>
        <w:t xml:space="preserve"> </w:t>
      </w:r>
      <w:r w:rsidRPr="006F084A">
        <w:t xml:space="preserve">núm. 1-13-40 de aplicación de la Ley núm. 59-12, que se publicó en el </w:t>
      </w:r>
      <w:r w:rsidRPr="006F084A">
        <w:rPr>
          <w:i/>
          <w:iCs/>
        </w:rPr>
        <w:t>Boletín Oficial</w:t>
      </w:r>
      <w:r w:rsidRPr="006F084A">
        <w:t xml:space="preserve"> núm. 6.140 (4 de abril de 2013).</w:t>
      </w:r>
    </w:p>
  </w:footnote>
  <w:footnote w:id="19">
    <w:p w14:paraId="7A4BE3B0" w14:textId="23AA5DC4" w:rsidR="00694EFF" w:rsidRPr="006F084A" w:rsidRDefault="00694EFF" w:rsidP="004E0684">
      <w:pPr>
        <w:pStyle w:val="Textonotapie"/>
      </w:pPr>
      <w:r>
        <w:tab/>
      </w:r>
      <w:r w:rsidRPr="007518EE">
        <w:rPr>
          <w:rStyle w:val="Refdenotaalpie"/>
        </w:rPr>
        <w:footnoteRef/>
      </w:r>
      <w:r w:rsidRPr="006F084A">
        <w:tab/>
        <w:t xml:space="preserve">El 1 de noviembre de 2012, el Consejo de Gobierno aprobó el </w:t>
      </w:r>
      <w:r w:rsidR="008263FA">
        <w:t>p</w:t>
      </w:r>
      <w:r w:rsidRPr="006F084A">
        <w:t xml:space="preserve">royecto de </w:t>
      </w:r>
      <w:r w:rsidR="008263FA">
        <w:t>l</w:t>
      </w:r>
      <w:r w:rsidRPr="006F084A">
        <w:t xml:space="preserve">ey núm. 126-12 por el que se aprobaba este Protocolo </w:t>
      </w:r>
      <w:r w:rsidR="008263FA" w:rsidRPr="006F084A">
        <w:t>Facultativo</w:t>
      </w:r>
      <w:r w:rsidRPr="006F084A">
        <w:t xml:space="preserve">. Por su parte, la Cámara de Representantes lo aprobó el 7 de julio de 2015 y, el 21 de julio de 2015, la Cámara de Consejeros. El 4 de agosto de 2015, se ratificó el Decreto Real núm. 1-15-113 de aplicación de la Ley núm. 126-12, que se publicó en el </w:t>
      </w:r>
      <w:r w:rsidRPr="006F084A">
        <w:rPr>
          <w:i/>
          <w:iCs/>
        </w:rPr>
        <w:t>Boletín Oficial</w:t>
      </w:r>
      <w:r w:rsidRPr="006F084A">
        <w:t xml:space="preserve"> núm. 6.387 (17 de agosto de 2015).</w:t>
      </w:r>
    </w:p>
  </w:footnote>
  <w:footnote w:id="20">
    <w:p w14:paraId="4C6ABD84" w14:textId="65A8C1C4" w:rsidR="00694EFF" w:rsidRPr="006F084A" w:rsidRDefault="00694EFF" w:rsidP="004E0684">
      <w:pPr>
        <w:pStyle w:val="Textonotapie"/>
      </w:pPr>
      <w:r>
        <w:tab/>
      </w:r>
      <w:r w:rsidRPr="007518EE">
        <w:rPr>
          <w:rStyle w:val="Refdenotaalpie"/>
        </w:rPr>
        <w:footnoteRef/>
      </w:r>
      <w:r w:rsidRPr="006F084A">
        <w:tab/>
        <w:t xml:space="preserve">El 1 de noviembre de 2012, el Consejo de Gobierno aprobó el </w:t>
      </w:r>
      <w:r w:rsidR="008263FA">
        <w:t>p</w:t>
      </w:r>
      <w:r w:rsidRPr="006F084A">
        <w:t xml:space="preserve">royecto de </w:t>
      </w:r>
      <w:r w:rsidR="008263FA">
        <w:t>l</w:t>
      </w:r>
      <w:r w:rsidRPr="006F084A">
        <w:t xml:space="preserve">ey núm. 125-12 por el que se aprobaba este Protocolo </w:t>
      </w:r>
      <w:r w:rsidR="008263FA" w:rsidRPr="006F084A">
        <w:t>Facultativo</w:t>
      </w:r>
      <w:r w:rsidRPr="006F084A">
        <w:t xml:space="preserve">. Por su parte, la Cámara de Representantes lo aprobó el 7 de julio de 2015, y, el 21 de julio de 2015, la Cámara de Consejeros. El 4 de agosto de 2015, se promulgó el Decreto Real núm. 1-15-112 de aplicación de la Ley núm. 125-12, que se publicó en el </w:t>
      </w:r>
      <w:r w:rsidRPr="006F084A">
        <w:rPr>
          <w:i/>
          <w:iCs/>
        </w:rPr>
        <w:t>Boletín Oficial</w:t>
      </w:r>
      <w:r w:rsidRPr="006F084A">
        <w:t xml:space="preserve"> núm. 6.387 (17 de agosto de 2015).</w:t>
      </w:r>
    </w:p>
  </w:footnote>
  <w:footnote w:id="21">
    <w:p w14:paraId="35F53E0E" w14:textId="5F22C6CC" w:rsidR="00694EFF" w:rsidRPr="006F084A" w:rsidRDefault="00694EFF" w:rsidP="004E0684">
      <w:pPr>
        <w:pStyle w:val="Textonotapie"/>
      </w:pPr>
      <w:r>
        <w:tab/>
      </w:r>
      <w:r w:rsidRPr="007518EE">
        <w:rPr>
          <w:rStyle w:val="Refdenotaalpie"/>
        </w:rPr>
        <w:footnoteRef/>
      </w:r>
      <w:r w:rsidRPr="006F084A">
        <w:tab/>
        <w:t xml:space="preserve">Ley núm. 76-15, publicada en el </w:t>
      </w:r>
      <w:r w:rsidRPr="006F084A">
        <w:rPr>
          <w:i/>
          <w:iCs/>
        </w:rPr>
        <w:t>Boletín Oficial</w:t>
      </w:r>
      <w:r w:rsidRPr="006F084A">
        <w:t xml:space="preserve"> núm. 6.652 (1 de marzo de 2018). </w:t>
      </w:r>
    </w:p>
  </w:footnote>
  <w:footnote w:id="22">
    <w:p w14:paraId="1C5A7568" w14:textId="6032A9F6" w:rsidR="00694EFF" w:rsidRPr="006F084A" w:rsidRDefault="00694EFF" w:rsidP="004E0684">
      <w:pPr>
        <w:pStyle w:val="Textonotapie"/>
      </w:pPr>
      <w:r>
        <w:tab/>
      </w:r>
      <w:r w:rsidRPr="007518EE">
        <w:rPr>
          <w:rStyle w:val="Refdenotaalpie"/>
        </w:rPr>
        <w:footnoteRef/>
      </w:r>
      <w:r w:rsidRPr="006F084A">
        <w:tab/>
        <w:t xml:space="preserve">Ley núm. 14-16, publicada en el </w:t>
      </w:r>
      <w:r w:rsidRPr="006F084A">
        <w:rPr>
          <w:i/>
          <w:iCs/>
        </w:rPr>
        <w:t>Boletín Oficial</w:t>
      </w:r>
      <w:r w:rsidRPr="006F084A">
        <w:t xml:space="preserve"> núm. 6.765 (1 de abril de 2019).</w:t>
      </w:r>
    </w:p>
  </w:footnote>
  <w:footnote w:id="23">
    <w:p w14:paraId="5556D3D9" w14:textId="0BC9CF16" w:rsidR="00694EFF" w:rsidRPr="006F084A" w:rsidRDefault="00694EFF" w:rsidP="004E0684">
      <w:pPr>
        <w:pStyle w:val="Textonotapie"/>
      </w:pPr>
      <w:r>
        <w:tab/>
      </w:r>
      <w:r w:rsidRPr="007518EE">
        <w:rPr>
          <w:rStyle w:val="Refdenotaalpie"/>
        </w:rPr>
        <w:footnoteRef/>
      </w:r>
      <w:r w:rsidRPr="006F084A">
        <w:tab/>
        <w:t xml:space="preserve">Ley Orgánica núm. 128-12, publicada en el </w:t>
      </w:r>
      <w:r w:rsidRPr="006F084A">
        <w:rPr>
          <w:i/>
          <w:iCs/>
        </w:rPr>
        <w:t>Boletín Oficial</w:t>
      </w:r>
      <w:r w:rsidRPr="006F084A">
        <w:t xml:space="preserve"> núm. 6.282 (14 de agosto de 2014).</w:t>
      </w:r>
    </w:p>
  </w:footnote>
  <w:footnote w:id="24">
    <w:p w14:paraId="7F0A0717" w14:textId="38E259FB" w:rsidR="00694EFF" w:rsidRPr="006F084A" w:rsidRDefault="00694EFF" w:rsidP="004E0684">
      <w:pPr>
        <w:pStyle w:val="Textonotapie"/>
      </w:pPr>
      <w:r>
        <w:tab/>
      </w:r>
      <w:r w:rsidRPr="007518EE">
        <w:rPr>
          <w:rStyle w:val="Refdenotaalpie"/>
        </w:rPr>
        <w:footnoteRef/>
      </w:r>
      <w:r w:rsidRPr="006F084A">
        <w:tab/>
        <w:t xml:space="preserve">Ley núm. 79-14, publicada en el </w:t>
      </w:r>
      <w:r w:rsidRPr="006F084A">
        <w:rPr>
          <w:i/>
          <w:iCs/>
        </w:rPr>
        <w:t>Boletín Oficial</w:t>
      </w:r>
      <w:r w:rsidRPr="006F084A">
        <w:t xml:space="preserve"> núm. 6.612 (12 de octubre de 2017).</w:t>
      </w:r>
    </w:p>
  </w:footnote>
  <w:footnote w:id="25">
    <w:p w14:paraId="3EBF06B3" w14:textId="5EA2CC2C" w:rsidR="00694EFF" w:rsidRPr="006F084A" w:rsidRDefault="00694EFF" w:rsidP="004E0684">
      <w:pPr>
        <w:pStyle w:val="Textonotapie"/>
      </w:pPr>
      <w:r>
        <w:tab/>
      </w:r>
      <w:r w:rsidRPr="007518EE">
        <w:rPr>
          <w:rStyle w:val="Refdenotaalpie"/>
        </w:rPr>
        <w:footnoteRef/>
      </w:r>
      <w:r w:rsidRPr="006F084A">
        <w:tab/>
        <w:t xml:space="preserve">Ley núm. 11-15, publicada en el </w:t>
      </w:r>
      <w:r w:rsidRPr="006F084A">
        <w:rPr>
          <w:i/>
          <w:iCs/>
        </w:rPr>
        <w:t>Boletín Oficial</w:t>
      </w:r>
      <w:r w:rsidRPr="006F084A">
        <w:t xml:space="preserve"> núm. 6.502 (22 de septiembre de 2016).</w:t>
      </w:r>
    </w:p>
  </w:footnote>
  <w:footnote w:id="26">
    <w:p w14:paraId="4170D8EB" w14:textId="564A881F" w:rsidR="00694EFF" w:rsidRPr="006F084A" w:rsidRDefault="00694EFF" w:rsidP="004E0684">
      <w:pPr>
        <w:pStyle w:val="Textonotapie"/>
      </w:pPr>
      <w:r>
        <w:tab/>
      </w:r>
      <w:r w:rsidRPr="007518EE">
        <w:rPr>
          <w:rStyle w:val="Refdenotaalpie"/>
        </w:rPr>
        <w:footnoteRef/>
      </w:r>
      <w:r w:rsidRPr="006F084A">
        <w:tab/>
        <w:t xml:space="preserve">Publicada en el </w:t>
      </w:r>
      <w:r w:rsidRPr="006F084A">
        <w:rPr>
          <w:i/>
          <w:iCs/>
        </w:rPr>
        <w:t>Boletín Oficial</w:t>
      </w:r>
      <w:r w:rsidRPr="006F084A">
        <w:t xml:space="preserve"> núm. 5.288, del jueves 3 de febrero de 2005.</w:t>
      </w:r>
    </w:p>
  </w:footnote>
  <w:footnote w:id="27">
    <w:p w14:paraId="213E8BAF" w14:textId="0B40403F" w:rsidR="00694EFF" w:rsidRPr="006F084A" w:rsidRDefault="00694EFF" w:rsidP="004E0684">
      <w:pPr>
        <w:pStyle w:val="Textonotapie"/>
      </w:pPr>
      <w:r>
        <w:tab/>
      </w:r>
      <w:r w:rsidRPr="007518EE">
        <w:rPr>
          <w:rStyle w:val="Refdenotaalpie"/>
        </w:rPr>
        <w:footnoteRef/>
      </w:r>
      <w:r w:rsidRPr="006F084A">
        <w:tab/>
        <w:t xml:space="preserve">La Ley núm. 104-12, de la Libertad de Precios y la Competencia, publicada en el </w:t>
      </w:r>
      <w:r w:rsidRPr="006F084A">
        <w:rPr>
          <w:i/>
          <w:iCs/>
        </w:rPr>
        <w:t xml:space="preserve">Boletín Oficial </w:t>
      </w:r>
      <w:r w:rsidRPr="006F084A">
        <w:t>núm.</w:t>
      </w:r>
      <w:r w:rsidR="00F0059D">
        <w:t> </w:t>
      </w:r>
      <w:r w:rsidRPr="006F084A">
        <w:t>6.280 (7 de agosto de 2014).</w:t>
      </w:r>
    </w:p>
  </w:footnote>
  <w:footnote w:id="28">
    <w:p w14:paraId="77818A05" w14:textId="3F7DDD7A" w:rsidR="00694EFF" w:rsidRPr="006F084A" w:rsidRDefault="00694EFF" w:rsidP="004E0684">
      <w:pPr>
        <w:pStyle w:val="Textonotapie"/>
      </w:pPr>
      <w:r>
        <w:tab/>
      </w:r>
      <w:r w:rsidRPr="007518EE">
        <w:rPr>
          <w:rStyle w:val="Refdenotaalpie"/>
        </w:rPr>
        <w:footnoteRef/>
      </w:r>
      <w:r w:rsidRPr="006F084A">
        <w:tab/>
        <w:t xml:space="preserve">Ley núm. 20-13 del Consejo de la Competencia, publicada en el </w:t>
      </w:r>
      <w:r w:rsidRPr="006F084A">
        <w:rPr>
          <w:i/>
          <w:iCs/>
        </w:rPr>
        <w:t>Boletín Oficial</w:t>
      </w:r>
      <w:r w:rsidRPr="006F084A">
        <w:t xml:space="preserve"> núm. 6.276</w:t>
      </w:r>
      <w:r w:rsidR="00F0059D">
        <w:br/>
      </w:r>
      <w:r w:rsidRPr="006F084A">
        <w:t>(24 de julio de 2014).</w:t>
      </w:r>
    </w:p>
  </w:footnote>
  <w:footnote w:id="29">
    <w:p w14:paraId="3F98CCAA" w14:textId="6BA054A1" w:rsidR="00694EFF" w:rsidRPr="006F084A" w:rsidRDefault="00694EFF" w:rsidP="004E0684">
      <w:pPr>
        <w:pStyle w:val="Textonotapie"/>
      </w:pPr>
      <w:r>
        <w:tab/>
      </w:r>
      <w:r w:rsidRPr="007518EE">
        <w:rPr>
          <w:rStyle w:val="Refdenotaalpie"/>
        </w:rPr>
        <w:footnoteRef/>
      </w:r>
      <w:r w:rsidRPr="006F084A">
        <w:tab/>
        <w:t>Ley núm</w:t>
      </w:r>
      <w:r w:rsidRPr="00D82712">
        <w:t>. 113-12</w:t>
      </w:r>
      <w:r w:rsidRPr="006F084A">
        <w:t xml:space="preserve">, publicada en el </w:t>
      </w:r>
      <w:r w:rsidRPr="006F084A">
        <w:rPr>
          <w:i/>
          <w:iCs/>
        </w:rPr>
        <w:t>Boletín Oficial</w:t>
      </w:r>
      <w:r w:rsidRPr="006F084A">
        <w:t xml:space="preserve"> núm. 6.374 (2 de julio de 2015).</w:t>
      </w:r>
    </w:p>
  </w:footnote>
  <w:footnote w:id="30">
    <w:p w14:paraId="63F0707E" w14:textId="17A6B553" w:rsidR="00694EFF" w:rsidRPr="006F084A" w:rsidRDefault="00694EFF" w:rsidP="004E0684">
      <w:pPr>
        <w:pStyle w:val="Textonotapie"/>
      </w:pPr>
      <w:r>
        <w:tab/>
      </w:r>
      <w:r w:rsidRPr="007518EE">
        <w:rPr>
          <w:rStyle w:val="Refdenotaalpie"/>
        </w:rPr>
        <w:footnoteRef/>
      </w:r>
      <w:r w:rsidRPr="006F084A">
        <w:tab/>
        <w:t xml:space="preserve">Véase el informe en: </w:t>
      </w:r>
      <w:hyperlink r:id="rId5" w:history="1">
        <w:r w:rsidRPr="00F0059D">
          <w:rPr>
            <w:rStyle w:val="Hipervnculo"/>
          </w:rPr>
          <w:t>http://</w:t>
        </w:r>
        <w:proofErr w:type="spellStart"/>
        <w:r w:rsidRPr="00F0059D">
          <w:rPr>
            <w:rStyle w:val="Hipervnculo"/>
          </w:rPr>
          <w:t>www.icpc.ma</w:t>
        </w:r>
        <w:proofErr w:type="spellEnd"/>
        <w:r w:rsidRPr="00F0059D">
          <w:rPr>
            <w:rStyle w:val="Hipervnculo"/>
          </w:rPr>
          <w:t>/</w:t>
        </w:r>
        <w:proofErr w:type="spellStart"/>
        <w:r w:rsidRPr="00F0059D">
          <w:rPr>
            <w:rStyle w:val="Hipervnculo"/>
          </w:rPr>
          <w:t>wps</w:t>
        </w:r>
        <w:proofErr w:type="spellEnd"/>
        <w:r w:rsidRPr="00F0059D">
          <w:rPr>
            <w:rStyle w:val="Hipervnculo"/>
          </w:rPr>
          <w:t>/portal/</w:t>
        </w:r>
        <w:proofErr w:type="spellStart"/>
        <w:r w:rsidRPr="00F0059D">
          <w:rPr>
            <w:rStyle w:val="Hipervnculo"/>
          </w:rPr>
          <w:t>Details_arabe_vr</w:t>
        </w:r>
        <w:proofErr w:type="spellEnd"/>
        <w:r w:rsidRPr="00F0059D">
          <w:rPr>
            <w:rStyle w:val="Hipervnculo"/>
          </w:rPr>
          <w:t>/?</w:t>
        </w:r>
        <w:proofErr w:type="spellStart"/>
        <w:r w:rsidRPr="00F0059D">
          <w:rPr>
            <w:rStyle w:val="Hipervnculo"/>
          </w:rPr>
          <w:t>WCM_GLOBAL</w:t>
        </w:r>
        <w:proofErr w:type="spellEnd"/>
        <w:r w:rsidRPr="00F0059D">
          <w:rPr>
            <w:rStyle w:val="Hipervnculo"/>
          </w:rPr>
          <w:t>_</w:t>
        </w:r>
        <w:r w:rsidR="00F0059D">
          <w:rPr>
            <w:rStyle w:val="Hipervnculo"/>
          </w:rPr>
          <w:br/>
        </w:r>
        <w:r w:rsidRPr="00F0059D">
          <w:rPr>
            <w:rStyle w:val="Hipervnculo"/>
          </w:rPr>
          <w:t>CONTEXT=/wps/wcm/connect/interneticpc_ar/ICPC_AR/Accueil/Espace+Publication/Rapports/Rapports+ICPC/</w:t>
        </w:r>
      </w:hyperlink>
      <w:r>
        <w:t>.</w:t>
      </w:r>
    </w:p>
  </w:footnote>
  <w:footnote w:id="31">
    <w:p w14:paraId="1A1890B4" w14:textId="417A36AD" w:rsidR="00694EFF" w:rsidRPr="006F084A" w:rsidRDefault="00694EFF" w:rsidP="004E0684">
      <w:pPr>
        <w:pStyle w:val="Textonotapie"/>
      </w:pPr>
      <w:r>
        <w:tab/>
      </w:r>
      <w:r w:rsidRPr="007518EE">
        <w:rPr>
          <w:rStyle w:val="Refdenotaalpie"/>
        </w:rPr>
        <w:footnoteRef/>
      </w:r>
      <w:r w:rsidRPr="006F084A">
        <w:tab/>
        <w:t xml:space="preserve">Ley núm. </w:t>
      </w:r>
      <w:r w:rsidRPr="00D82712">
        <w:t>105-12, por la que se crea el Consejo Supremo de Educación, Formación e Investigación Científica, publicada</w:t>
      </w:r>
      <w:r w:rsidRPr="006F084A">
        <w:t xml:space="preserve"> en el </w:t>
      </w:r>
      <w:r w:rsidRPr="006F084A">
        <w:rPr>
          <w:i/>
          <w:iCs/>
        </w:rPr>
        <w:t xml:space="preserve">Boletín Oficial </w:t>
      </w:r>
      <w:r w:rsidRPr="006F084A">
        <w:t>núm. 2.657 (19 de mayo de 2014).</w:t>
      </w:r>
    </w:p>
  </w:footnote>
  <w:footnote w:id="32">
    <w:p w14:paraId="3B7417B1" w14:textId="0E490E7D" w:rsidR="00694EFF" w:rsidRPr="006F084A" w:rsidRDefault="00694EFF" w:rsidP="004E0684">
      <w:pPr>
        <w:pStyle w:val="Textonotapie"/>
      </w:pPr>
      <w:r>
        <w:tab/>
      </w:r>
      <w:r w:rsidRPr="007518EE">
        <w:rPr>
          <w:rStyle w:val="Refdenotaalpie"/>
        </w:rPr>
        <w:footnoteRef/>
      </w:r>
      <w:r w:rsidRPr="006F084A">
        <w:tab/>
        <w:t xml:space="preserve">Ley núm. 78-14, publicada en el </w:t>
      </w:r>
      <w:r w:rsidRPr="006F084A">
        <w:rPr>
          <w:i/>
          <w:iCs/>
        </w:rPr>
        <w:t xml:space="preserve">Boletín Oficial </w:t>
      </w:r>
      <w:r w:rsidRPr="006F084A">
        <w:t>núm. 6.491 (15 de agosto de 2016).</w:t>
      </w:r>
    </w:p>
  </w:footnote>
  <w:footnote w:id="33">
    <w:p w14:paraId="6FBDB405" w14:textId="23BD7CDF" w:rsidR="00694EFF" w:rsidRPr="006F084A" w:rsidRDefault="00694EFF" w:rsidP="004E0684">
      <w:pPr>
        <w:pStyle w:val="Textonotapie"/>
      </w:pPr>
      <w:r>
        <w:tab/>
      </w:r>
      <w:r w:rsidRPr="007518EE">
        <w:rPr>
          <w:rStyle w:val="Refdenotaalpie"/>
        </w:rPr>
        <w:footnoteRef/>
      </w:r>
      <w:r w:rsidRPr="006F084A">
        <w:tab/>
        <w:t xml:space="preserve">Ley núm. 89-15, publicada en el </w:t>
      </w:r>
      <w:r w:rsidRPr="006F084A">
        <w:rPr>
          <w:i/>
          <w:iCs/>
        </w:rPr>
        <w:t xml:space="preserve">Boletín Oficial </w:t>
      </w:r>
      <w:r w:rsidRPr="006F084A">
        <w:t>núm. 6.640 (18 de enero de 2018).</w:t>
      </w:r>
    </w:p>
  </w:footnote>
  <w:footnote w:id="34">
    <w:p w14:paraId="5BB01209" w14:textId="376C37FA" w:rsidR="00694EFF" w:rsidRPr="006F084A" w:rsidRDefault="00694EFF" w:rsidP="004E0684">
      <w:pPr>
        <w:pStyle w:val="Textonotapie"/>
      </w:pPr>
      <w:r>
        <w:tab/>
      </w:r>
      <w:r w:rsidRPr="007518EE">
        <w:rPr>
          <w:rStyle w:val="Refdenotaalpie"/>
        </w:rPr>
        <w:footnoteRef/>
      </w:r>
      <w:r w:rsidRPr="006F084A">
        <w:tab/>
        <w:t xml:space="preserve">Decreto Real núm. 1-20-34, de 5 de </w:t>
      </w:r>
      <w:proofErr w:type="spellStart"/>
      <w:r w:rsidRPr="006F084A">
        <w:t>Shaaban</w:t>
      </w:r>
      <w:proofErr w:type="spellEnd"/>
      <w:r w:rsidRPr="006F084A">
        <w:t xml:space="preserve"> de 1441 (30 de marzo de 2020) para la aplicación de la Ley Orgánica núm. 16-04, relativa al Consejo Nacional de las Lenguas y de la Cultura Marroquí. </w:t>
      </w:r>
      <w:r w:rsidRPr="006F084A">
        <w:rPr>
          <w:i/>
          <w:iCs/>
        </w:rPr>
        <w:t xml:space="preserve">Boletín Oficial </w:t>
      </w:r>
      <w:r w:rsidRPr="006F084A">
        <w:t xml:space="preserve">núm. 6.870, de 8 de </w:t>
      </w:r>
      <w:proofErr w:type="spellStart"/>
      <w:r w:rsidRPr="006F084A">
        <w:t>Shaaban</w:t>
      </w:r>
      <w:proofErr w:type="spellEnd"/>
      <w:r w:rsidRPr="006F084A">
        <w:t xml:space="preserve"> de 1441 (2 de abril de 2020).</w:t>
      </w:r>
    </w:p>
  </w:footnote>
  <w:footnote w:id="35">
    <w:p w14:paraId="0CB0C49B" w14:textId="7CF949F1" w:rsidR="00694EFF" w:rsidRPr="006F084A" w:rsidRDefault="00694EFF" w:rsidP="004E0684">
      <w:pPr>
        <w:pStyle w:val="Textonotapie"/>
      </w:pPr>
      <w:r>
        <w:tab/>
      </w:r>
      <w:r w:rsidRPr="007518EE">
        <w:rPr>
          <w:rStyle w:val="Refdenotaalpie"/>
        </w:rPr>
        <w:footnoteRef/>
      </w:r>
      <w:r w:rsidRPr="006F084A">
        <w:tab/>
        <w:t xml:space="preserve">A este respecto, se puede contactar con el Comité a través del siguiente enlace: </w:t>
      </w:r>
      <w:hyperlink r:id="rId6" w:history="1">
        <w:r w:rsidRPr="00F0059D">
          <w:rPr>
            <w:rStyle w:val="Hipervnculo"/>
          </w:rPr>
          <w:t>https://www.cndp.ma/ar/service-en-ligne/personnes-concernees/modeles-de-courrier.html</w:t>
        </w:r>
      </w:hyperlink>
      <w:r w:rsidR="00F0059D">
        <w:t>.</w:t>
      </w:r>
      <w:r w:rsidRPr="006F084A">
        <w:t xml:space="preserve"> </w:t>
      </w:r>
    </w:p>
  </w:footnote>
  <w:footnote w:id="36">
    <w:p w14:paraId="74731FE9" w14:textId="599F7BCC" w:rsidR="00694EFF" w:rsidRPr="006F084A" w:rsidRDefault="00694EFF" w:rsidP="004E0684">
      <w:pPr>
        <w:pStyle w:val="Textonotapie"/>
      </w:pPr>
      <w:r>
        <w:tab/>
      </w:r>
      <w:r w:rsidRPr="007518EE">
        <w:rPr>
          <w:rStyle w:val="Refdenotaalpie"/>
        </w:rPr>
        <w:footnoteRef/>
      </w:r>
      <w:r w:rsidRPr="006F084A">
        <w:tab/>
        <w:t xml:space="preserve">Ley Orgánica núm. 100-13, del Consejo Superior del Poder Judicial, publicada en el </w:t>
      </w:r>
      <w:r w:rsidRPr="006F084A">
        <w:rPr>
          <w:i/>
          <w:iCs/>
        </w:rPr>
        <w:t xml:space="preserve">Boletín Oficial </w:t>
      </w:r>
      <w:r w:rsidRPr="006F084A">
        <w:t>núm. 6.456 (14 de abril de 2016).</w:t>
      </w:r>
    </w:p>
  </w:footnote>
  <w:footnote w:id="37">
    <w:p w14:paraId="7F9C10EC" w14:textId="7727F7BA" w:rsidR="00694EFF" w:rsidRPr="006F084A" w:rsidRDefault="00694EFF" w:rsidP="004E0684">
      <w:pPr>
        <w:pStyle w:val="Textonotapie"/>
        <w:rPr>
          <w:spacing w:val="-4"/>
        </w:rPr>
      </w:pPr>
      <w:r>
        <w:tab/>
      </w:r>
      <w:r w:rsidRPr="007518EE">
        <w:rPr>
          <w:rStyle w:val="Refdenotaalpie"/>
        </w:rPr>
        <w:footnoteRef/>
      </w:r>
      <w:r w:rsidRPr="006F084A">
        <w:tab/>
        <w:t xml:space="preserve">Ley Orgánica núm. 106-13, del Estatuto de los Jueces, publicada en el </w:t>
      </w:r>
      <w:r w:rsidRPr="006F084A">
        <w:rPr>
          <w:i/>
          <w:iCs/>
        </w:rPr>
        <w:t xml:space="preserve">Boletín Oficial </w:t>
      </w:r>
      <w:r w:rsidRPr="006F084A">
        <w:t>núm. 6.456 (14</w:t>
      </w:r>
      <w:r w:rsidR="00F0059D">
        <w:t> </w:t>
      </w:r>
      <w:r w:rsidRPr="006F084A">
        <w:t>de abril de 2016).</w:t>
      </w:r>
    </w:p>
  </w:footnote>
  <w:footnote w:id="38">
    <w:p w14:paraId="21422180" w14:textId="7413F05E" w:rsidR="00694EFF" w:rsidRPr="006F084A" w:rsidRDefault="00694EFF" w:rsidP="004E0684">
      <w:pPr>
        <w:pStyle w:val="Textonotapie"/>
      </w:pPr>
      <w:r>
        <w:tab/>
      </w:r>
      <w:r w:rsidRPr="007518EE">
        <w:rPr>
          <w:rStyle w:val="Refdenotaalpie"/>
        </w:rPr>
        <w:footnoteRef/>
      </w:r>
      <w:r w:rsidRPr="006F084A">
        <w:tab/>
        <w:t xml:space="preserve">El </w:t>
      </w:r>
      <w:r w:rsidR="00F0059D">
        <w:t>p</w:t>
      </w:r>
      <w:r w:rsidRPr="006F084A">
        <w:t xml:space="preserve">royecto de </w:t>
      </w:r>
      <w:r w:rsidR="00F0059D">
        <w:t>l</w:t>
      </w:r>
      <w:r w:rsidRPr="006F084A">
        <w:t xml:space="preserve">ey núm. 38-15, de la Organización Judicial del Reino, fue aprobado por la Cámara de Consejeros el 10 de </w:t>
      </w:r>
      <w:proofErr w:type="spellStart"/>
      <w:r w:rsidRPr="006F084A">
        <w:t>Dhu</w:t>
      </w:r>
      <w:proofErr w:type="spellEnd"/>
      <w:r w:rsidRPr="006F084A">
        <w:t>-l-</w:t>
      </w:r>
      <w:proofErr w:type="spellStart"/>
      <w:r w:rsidRPr="006F084A">
        <w:t>qaada</w:t>
      </w:r>
      <w:proofErr w:type="spellEnd"/>
      <w:r w:rsidRPr="006F084A">
        <w:t xml:space="preserve"> de 1439 (10 de julio de 2018), y por la Cámara de Representantes, en segunda lectura, por mayoría, el 16 de octubre de 2018. Posteriormente, y con el fin de determinar su conformidad con la Constitución, el Primer Ministro lo remitió al Tribunal Constitucional el 16 de enero de 2019, que, a su vez, emitió al respecto la Decisión núm. 89/19, de 8 de noviembre de 2019.</w:t>
      </w:r>
    </w:p>
  </w:footnote>
  <w:footnote w:id="39">
    <w:p w14:paraId="010BF768" w14:textId="13AE2D01" w:rsidR="00694EFF" w:rsidRPr="006F084A" w:rsidRDefault="00694EFF" w:rsidP="004E0684">
      <w:pPr>
        <w:pStyle w:val="Textonotapie"/>
      </w:pPr>
      <w:r>
        <w:tab/>
      </w:r>
      <w:r w:rsidRPr="007518EE">
        <w:rPr>
          <w:rStyle w:val="Refdenotaalpie"/>
        </w:rPr>
        <w:footnoteRef/>
      </w:r>
      <w:r w:rsidRPr="006F084A">
        <w:tab/>
        <w:t xml:space="preserve">Decreto Real núm. 1-11-164, de 19 de </w:t>
      </w:r>
      <w:proofErr w:type="spellStart"/>
      <w:r w:rsidRPr="006F084A">
        <w:t>Dhu</w:t>
      </w:r>
      <w:proofErr w:type="spellEnd"/>
      <w:r w:rsidRPr="006F084A">
        <w:t>-l-</w:t>
      </w:r>
      <w:proofErr w:type="spellStart"/>
      <w:r w:rsidRPr="006F084A">
        <w:t>qaada</w:t>
      </w:r>
      <w:proofErr w:type="spellEnd"/>
      <w:r w:rsidRPr="006F084A">
        <w:t xml:space="preserve"> de 1432 (17 de octubre de 2011) de aplicación de la Ley </w:t>
      </w:r>
      <w:r w:rsidR="00CC326A">
        <w:t xml:space="preserve">núm. </w:t>
      </w:r>
      <w:r w:rsidRPr="006F084A">
        <w:t xml:space="preserve">37-10, que modifica y complementa la Ley </w:t>
      </w:r>
      <w:r w:rsidR="00CC326A">
        <w:t xml:space="preserve">núm. </w:t>
      </w:r>
      <w:r w:rsidRPr="006F084A">
        <w:t xml:space="preserve">22-01, del Código de Procedimiento Penal, en lo relativo a la protección de víctimas, testigos, expertos y denunciantes de corrupción, malversación, tráfico de influencias, etc. </w:t>
      </w:r>
      <w:r w:rsidRPr="006F084A">
        <w:rPr>
          <w:i/>
          <w:iCs/>
        </w:rPr>
        <w:t>Boletín Oficial</w:t>
      </w:r>
      <w:r w:rsidRPr="006F084A">
        <w:t xml:space="preserve"> núm. 5.988, de 22 de </w:t>
      </w:r>
      <w:proofErr w:type="spellStart"/>
      <w:r w:rsidRPr="006F084A">
        <w:t>Dhu</w:t>
      </w:r>
      <w:proofErr w:type="spellEnd"/>
      <w:r w:rsidRPr="006F084A">
        <w:t>-l-</w:t>
      </w:r>
      <w:proofErr w:type="spellStart"/>
      <w:r w:rsidRPr="006F084A">
        <w:t>qaada</w:t>
      </w:r>
      <w:proofErr w:type="spellEnd"/>
      <w:r w:rsidRPr="006F084A">
        <w:t xml:space="preserve"> de 1432 (20 de octubre de 2011).</w:t>
      </w:r>
    </w:p>
  </w:footnote>
  <w:footnote w:id="40">
    <w:p w14:paraId="431F0455" w14:textId="495DB52E" w:rsidR="00694EFF" w:rsidRPr="006F084A" w:rsidRDefault="00694EFF" w:rsidP="004E0684">
      <w:pPr>
        <w:pStyle w:val="Textonotapie"/>
      </w:pPr>
      <w:r>
        <w:tab/>
      </w:r>
      <w:r w:rsidRPr="007518EE">
        <w:rPr>
          <w:rStyle w:val="Refdenotaalpie"/>
        </w:rPr>
        <w:footnoteRef/>
      </w:r>
      <w:r w:rsidRPr="006F084A">
        <w:tab/>
      </w:r>
      <w:r w:rsidRPr="00CC326A">
        <w:t>Código de Procedimiento Penal.</w:t>
      </w:r>
      <w:r w:rsidRPr="006F084A">
        <w:rPr>
          <w:i/>
          <w:iCs/>
        </w:rPr>
        <w:t xml:space="preserve"> </w:t>
      </w:r>
      <w:r w:rsidRPr="006F084A">
        <w:t>Publicaciones del Centro de Estudios e Investigación de Política Criminal de la Dirección de Asuntos Penales y Amnistía del Ministerio de Justicia. Serie de Textos Jurídicos, marzo de 2018, núm. 13.</w:t>
      </w:r>
    </w:p>
  </w:footnote>
  <w:footnote w:id="41">
    <w:p w14:paraId="17F60986" w14:textId="10A7CF32" w:rsidR="00694EFF" w:rsidRPr="006F084A" w:rsidRDefault="00694EFF" w:rsidP="004E0684">
      <w:pPr>
        <w:pStyle w:val="Textonotapie"/>
        <w:rPr>
          <w:szCs w:val="24"/>
          <w:lang w:eastAsia="es-ES_tradnl"/>
        </w:rPr>
      </w:pPr>
      <w:r>
        <w:tab/>
      </w:r>
      <w:r w:rsidRPr="007518EE">
        <w:rPr>
          <w:rStyle w:val="Refdenotaalpie"/>
        </w:rPr>
        <w:footnoteRef/>
      </w:r>
      <w:r w:rsidR="00B8196D">
        <w:tab/>
      </w:r>
    </w:p>
  </w:footnote>
  <w:footnote w:id="42">
    <w:p w14:paraId="54D8140C" w14:textId="63817A36" w:rsidR="00694EFF" w:rsidRPr="006F084A" w:rsidRDefault="00694EFF" w:rsidP="004E0684">
      <w:pPr>
        <w:pStyle w:val="Textonotapie"/>
      </w:pPr>
      <w:r>
        <w:tab/>
      </w:r>
      <w:r w:rsidRPr="007518EE">
        <w:rPr>
          <w:rStyle w:val="Refdenotaalpie"/>
        </w:rPr>
        <w:footnoteRef/>
      </w:r>
      <w:r w:rsidRPr="006F084A">
        <w:tab/>
        <w:t xml:space="preserve">Real Decreto núm. 1-19-113, publicado el 7 de </w:t>
      </w:r>
      <w:proofErr w:type="spellStart"/>
      <w:r w:rsidRPr="006F084A">
        <w:t>Dhu</w:t>
      </w:r>
      <w:proofErr w:type="spellEnd"/>
      <w:r w:rsidRPr="006F084A">
        <w:t>-l-</w:t>
      </w:r>
      <w:proofErr w:type="spellStart"/>
      <w:r w:rsidRPr="006F084A">
        <w:t>hiyya</w:t>
      </w:r>
      <w:proofErr w:type="spellEnd"/>
      <w:r w:rsidRPr="006F084A">
        <w:t xml:space="preserve"> de 1440 (9 de agosto de 2019), de aplicación de la Ley-Marco núm. 17-51, del Sistema de Educación, Formación e Investigación Científica [</w:t>
      </w:r>
      <w:r w:rsidRPr="006F084A">
        <w:rPr>
          <w:i/>
          <w:iCs/>
        </w:rPr>
        <w:t xml:space="preserve">Boletín Oficial </w:t>
      </w:r>
      <w:r w:rsidRPr="006F084A">
        <w:t xml:space="preserve">núm. 6.805, de 17 de </w:t>
      </w:r>
      <w:proofErr w:type="spellStart"/>
      <w:r w:rsidRPr="006F084A">
        <w:t>Dhu</w:t>
      </w:r>
      <w:proofErr w:type="spellEnd"/>
      <w:r w:rsidRPr="006F084A">
        <w:t>-l-</w:t>
      </w:r>
      <w:proofErr w:type="spellStart"/>
      <w:r w:rsidRPr="006F084A">
        <w:t>hiyya</w:t>
      </w:r>
      <w:proofErr w:type="spellEnd"/>
      <w:r w:rsidRPr="006F084A">
        <w:t xml:space="preserve"> de 1440 (19 de agosto de 2019)].</w:t>
      </w:r>
    </w:p>
  </w:footnote>
  <w:footnote w:id="43">
    <w:p w14:paraId="0085FD4F" w14:textId="22C24975" w:rsidR="00694EFF" w:rsidRPr="006F084A" w:rsidRDefault="00694EFF" w:rsidP="004E0684">
      <w:pPr>
        <w:pStyle w:val="Textonotapie"/>
      </w:pPr>
      <w:r>
        <w:tab/>
      </w:r>
      <w:r w:rsidRPr="007518EE">
        <w:rPr>
          <w:rStyle w:val="Refdenotaalpie"/>
        </w:rPr>
        <w:footnoteRef/>
      </w:r>
      <w:r w:rsidRPr="006F084A">
        <w:tab/>
        <w:t>Este programa tiene como objetivo mejorar las posibilidades laborales de los solicitantes de empleo que ya posean un título mediante la cualificación profesional para ocupar puestos de trabajo específicos o disponibles.  El programa incluye tres tipos de formación: 1) la formación contractual enfocada al empleo; 2) la formación de reciclaje o dirigida al cambio de profesión; y 3) la formación enfocada a sectores prometedores.</w:t>
      </w:r>
    </w:p>
  </w:footnote>
  <w:footnote w:id="44">
    <w:p w14:paraId="2F537739" w14:textId="2B950164" w:rsidR="00694EFF" w:rsidRPr="006F084A" w:rsidRDefault="00694EFF" w:rsidP="004E0684">
      <w:pPr>
        <w:pStyle w:val="Textonotapie"/>
      </w:pPr>
      <w:r>
        <w:tab/>
      </w:r>
      <w:r w:rsidRPr="007518EE">
        <w:rPr>
          <w:rStyle w:val="Refdenotaalpie"/>
        </w:rPr>
        <w:footnoteRef/>
      </w:r>
      <w:r w:rsidRPr="006F084A">
        <w:tab/>
        <w:t xml:space="preserve">El Programa Nacional de Apoyo a la Creación de Empresas tiene un doble objetivo: por un lado, apoyar a los titulares de proyectos y, por otro lado, garantizar la sostenibilidad gradual del tejido económico regional mediante el seguimiento de los contratos acordados, especialmente durante el período crítico de puesta en marcha del proyecto. El programa incluye incentivos para realizar un acompañamiento antes, durante y después de la creación de cada proyecto, así como para otorgar adelantos sin intereses de hasta un 10 % del monto total de una inversión de 15.000 </w:t>
      </w:r>
      <w:proofErr w:type="spellStart"/>
      <w:r w:rsidRPr="006F084A">
        <w:t>DH</w:t>
      </w:r>
      <w:proofErr w:type="spellEnd"/>
      <w:r w:rsidRPr="006F084A">
        <w:t xml:space="preserve">, a devolver en un período de hasta seis años, en tres de los cuales se difiere el pago de interés y capital. Este </w:t>
      </w:r>
      <w:r w:rsidR="00CC326A" w:rsidRPr="006F084A">
        <w:t xml:space="preserve">Programa </w:t>
      </w:r>
      <w:r w:rsidRPr="006F084A">
        <w:t>contribuyó a la creación de empleo, con un total de 12.702 puestos creados en el marco del Programa de Autoempleo entre 2012 y 2018.</w:t>
      </w:r>
    </w:p>
  </w:footnote>
  <w:footnote w:id="45">
    <w:p w14:paraId="3011900A" w14:textId="26EC85FE" w:rsidR="00694EFF" w:rsidRPr="006F084A" w:rsidRDefault="00694EFF" w:rsidP="004E0684">
      <w:pPr>
        <w:pStyle w:val="Textonotapie"/>
      </w:pPr>
      <w:r>
        <w:tab/>
      </w:r>
      <w:r w:rsidRPr="007518EE">
        <w:rPr>
          <w:rStyle w:val="Refdenotaalpie"/>
        </w:rPr>
        <w:footnoteRef/>
      </w:r>
      <w:r w:rsidRPr="006F084A">
        <w:tab/>
        <w:t>El Programa de Formación Profesional para la Integración tiene como objetivo aumentar las oportunidades laborales de los solicitantes de empleo que ya poseen titulaciones, proporcionándoles una formación profesional y una primera experiencia en la empresa; ello ayuda a estas personas a integrarse en el mundo laboral y, a su vez, a las empresas a desarrollar sus recursos humanos y mejorar su plantilla.</w:t>
      </w:r>
    </w:p>
  </w:footnote>
  <w:footnote w:id="46">
    <w:p w14:paraId="2CCF95CE" w14:textId="5ADD1665" w:rsidR="00694EFF" w:rsidRPr="006F084A" w:rsidRDefault="00694EFF" w:rsidP="002145F2">
      <w:pPr>
        <w:pStyle w:val="Textonotapie"/>
        <w:spacing w:after="60"/>
      </w:pPr>
      <w:r>
        <w:tab/>
      </w:r>
      <w:r w:rsidRPr="007518EE">
        <w:rPr>
          <w:rStyle w:val="Refdenotaalpie"/>
        </w:rPr>
        <w:footnoteRef/>
      </w:r>
      <w:r w:rsidRPr="006F084A">
        <w:tab/>
        <w:t>El Estado ha desarrollado un programa para incentivar a las empresas, asociaciones y cooperativas mediante tres medidas destinadas a reactivar el empleo, a saber:</w:t>
      </w:r>
    </w:p>
    <w:p w14:paraId="32B2CA94" w14:textId="149BC90B" w:rsidR="00694EFF" w:rsidRPr="006F084A" w:rsidRDefault="00694EFF" w:rsidP="002145F2">
      <w:pPr>
        <w:pStyle w:val="Textonotapie"/>
        <w:tabs>
          <w:tab w:val="left" w:pos="1418"/>
        </w:tabs>
        <w:spacing w:after="60"/>
      </w:pPr>
      <w:r w:rsidRPr="006F084A">
        <w:tab/>
      </w:r>
      <w:r>
        <w:tab/>
      </w:r>
      <w:r w:rsidRPr="006F084A">
        <w:t>1.</w:t>
      </w:r>
      <w:r>
        <w:tab/>
      </w:r>
      <w:r w:rsidRPr="006F084A">
        <w:t>El Estado garantiza la participación del empleador en las cotizaciones sociales a la Caja Nacional de la Seguridad Social, así como en los deberes relativos al impuesto de formación profesional para cada empleado beneficiario, por un período de 24 meses y con un tope de diez asalariados para las empresas, asociaciones y cooperativas creadas durante el periodo comprendido entre el 31 de enero de 2015 y el 31 de diciembre de 2022.</w:t>
      </w:r>
    </w:p>
    <w:p w14:paraId="10125D95" w14:textId="700B15B5" w:rsidR="00694EFF" w:rsidRPr="006F084A" w:rsidRDefault="00694EFF" w:rsidP="002145F2">
      <w:pPr>
        <w:pStyle w:val="Textonotapie"/>
        <w:tabs>
          <w:tab w:val="left" w:pos="1418"/>
        </w:tabs>
        <w:spacing w:after="60"/>
      </w:pPr>
      <w:r w:rsidRPr="006F084A">
        <w:tab/>
      </w:r>
      <w:r>
        <w:tab/>
      </w:r>
      <w:r w:rsidRPr="006F084A">
        <w:t>2.</w:t>
      </w:r>
      <w:r>
        <w:tab/>
      </w:r>
      <w:r w:rsidRPr="006F084A">
        <w:t>El Estado garantiza la cuota del empleador en las cotizaciones sociales a la Caja Nacional de la Seguridad Social, así como en las obligaciones relativas al impuesto de formación profesional de cada beneficiario, por un período de 12 meses por cada asalariado, siempre que la persona en formación pase a estar empleada con un contrato laboral durante o después del período de formación.</w:t>
      </w:r>
    </w:p>
    <w:p w14:paraId="2B9CD5BD" w14:textId="74761CCA" w:rsidR="00694EFF" w:rsidRPr="006F084A" w:rsidRDefault="00694EFF" w:rsidP="002145F2">
      <w:pPr>
        <w:pStyle w:val="Textonotapie"/>
        <w:tabs>
          <w:tab w:val="left" w:pos="1418"/>
        </w:tabs>
      </w:pPr>
      <w:r w:rsidRPr="006F084A">
        <w:tab/>
      </w:r>
      <w:r>
        <w:tab/>
      </w:r>
      <w:r w:rsidRPr="006F084A">
        <w:t>3.</w:t>
      </w:r>
      <w:r>
        <w:tab/>
        <w:t>E</w:t>
      </w:r>
      <w:r w:rsidRPr="006F084A">
        <w:t>l Estado garantiza la cuota del empleador y del asalariado por la cotización en el seguro médico obligatorio de la persona en formación, por un período de 24 meses para cada empleado.</w:t>
      </w:r>
    </w:p>
  </w:footnote>
  <w:footnote w:id="47">
    <w:p w14:paraId="3AC0831F" w14:textId="725B934A" w:rsidR="00694EFF" w:rsidRPr="006F084A" w:rsidRDefault="00694EFF" w:rsidP="004E0684">
      <w:pPr>
        <w:pStyle w:val="Textonotapie"/>
      </w:pPr>
      <w:r>
        <w:tab/>
      </w:r>
      <w:r w:rsidRPr="007518EE">
        <w:rPr>
          <w:rStyle w:val="Refdenotaalpie"/>
        </w:rPr>
        <w:footnoteRef/>
      </w:r>
      <w:r w:rsidRPr="006F084A">
        <w:tab/>
        <w:t xml:space="preserve">Ley núm. 66-12, de </w:t>
      </w:r>
      <w:r w:rsidR="00CC326A" w:rsidRPr="006F084A">
        <w:t xml:space="preserve">Control </w:t>
      </w:r>
      <w:r w:rsidRPr="006F084A">
        <w:t xml:space="preserve">y </w:t>
      </w:r>
      <w:r w:rsidR="00CC326A" w:rsidRPr="006F084A">
        <w:t xml:space="preserve">Sanción </w:t>
      </w:r>
      <w:r w:rsidRPr="006F084A">
        <w:t xml:space="preserve">de </w:t>
      </w:r>
      <w:r w:rsidR="00CC326A" w:rsidRPr="006F084A">
        <w:t xml:space="preserve">Infracciones </w:t>
      </w:r>
      <w:r w:rsidRPr="006F084A">
        <w:t xml:space="preserve">en el </w:t>
      </w:r>
      <w:r w:rsidR="00CC326A" w:rsidRPr="006F084A">
        <w:t xml:space="preserve">Urbanismo </w:t>
      </w:r>
      <w:r w:rsidRPr="006F084A">
        <w:t xml:space="preserve">y la </w:t>
      </w:r>
      <w:r w:rsidR="00CC326A" w:rsidRPr="006F084A">
        <w:t>Construcción</w:t>
      </w:r>
      <w:r w:rsidRPr="006F084A">
        <w:t>, de 25 de agosto de 2016.</w:t>
      </w:r>
    </w:p>
  </w:footnote>
  <w:footnote w:id="48">
    <w:p w14:paraId="06731B16" w14:textId="2F9BDB26" w:rsidR="00694EFF" w:rsidRPr="006F084A" w:rsidRDefault="00694EFF" w:rsidP="004E0684">
      <w:pPr>
        <w:pStyle w:val="Textonotapie"/>
      </w:pPr>
      <w:r>
        <w:tab/>
      </w:r>
      <w:r w:rsidRPr="007518EE">
        <w:rPr>
          <w:rStyle w:val="Refdenotaalpie"/>
        </w:rPr>
        <w:footnoteRef/>
      </w:r>
      <w:r w:rsidRPr="006F084A">
        <w:tab/>
        <w:t xml:space="preserve">Ley núm. 94-12, de </w:t>
      </w:r>
      <w:r w:rsidR="00CC326A" w:rsidRPr="006F084A">
        <w:t xml:space="preserve">Inmuebles Declarados </w:t>
      </w:r>
      <w:r w:rsidRPr="006F084A">
        <w:t xml:space="preserve">en </w:t>
      </w:r>
      <w:r w:rsidR="00CC326A" w:rsidRPr="006F084A">
        <w:t xml:space="preserve">Ruinas </w:t>
      </w:r>
      <w:r w:rsidRPr="006F084A">
        <w:t xml:space="preserve">y de </w:t>
      </w:r>
      <w:r w:rsidR="00CC326A" w:rsidRPr="006F084A">
        <w:t xml:space="preserve">Regulación </w:t>
      </w:r>
      <w:r w:rsidRPr="006F084A">
        <w:t xml:space="preserve">de </w:t>
      </w:r>
      <w:r w:rsidR="00CC326A" w:rsidRPr="006F084A">
        <w:t xml:space="preserve">Operaciones </w:t>
      </w:r>
      <w:r w:rsidRPr="006F084A">
        <w:t xml:space="preserve">de </w:t>
      </w:r>
      <w:r w:rsidR="00CC326A" w:rsidRPr="006F084A">
        <w:t>Renovación Urbana</w:t>
      </w:r>
      <w:r w:rsidRPr="006F084A">
        <w:t>, de 27 de abril de 2016.</w:t>
      </w:r>
    </w:p>
  </w:footnote>
  <w:footnote w:id="49">
    <w:p w14:paraId="08E2DC7C" w14:textId="05D9FC40" w:rsidR="00694EFF" w:rsidRPr="006F084A" w:rsidRDefault="00694EFF" w:rsidP="004E0684">
      <w:pPr>
        <w:pStyle w:val="Textonotapie"/>
      </w:pPr>
      <w:r>
        <w:tab/>
      </w:r>
      <w:r w:rsidRPr="007518EE">
        <w:rPr>
          <w:rStyle w:val="Refdenotaalpie"/>
        </w:rPr>
        <w:footnoteRef/>
      </w:r>
      <w:r w:rsidRPr="006F084A">
        <w:tab/>
        <w:t xml:space="preserve">Ley núm. 106-12, que modifica y complementa la Ley núm. 00-18, del </w:t>
      </w:r>
      <w:r w:rsidR="00CC326A" w:rsidRPr="006F084A">
        <w:t xml:space="preserve">Sistema </w:t>
      </w:r>
      <w:r w:rsidRPr="006F084A">
        <w:t xml:space="preserve">de </w:t>
      </w:r>
      <w:r w:rsidR="00CC326A" w:rsidRPr="006F084A">
        <w:t xml:space="preserve">Copropiedad </w:t>
      </w:r>
      <w:r w:rsidRPr="006F084A">
        <w:t xml:space="preserve">de </w:t>
      </w:r>
      <w:r w:rsidR="00CC326A" w:rsidRPr="006F084A">
        <w:t>Inmuebles Construidos</w:t>
      </w:r>
      <w:r w:rsidRPr="006F084A">
        <w:t>, de 27 de abril de 2016.</w:t>
      </w:r>
    </w:p>
  </w:footnote>
  <w:footnote w:id="50">
    <w:p w14:paraId="02312B16" w14:textId="27DBAC53" w:rsidR="00694EFF" w:rsidRPr="006F084A" w:rsidRDefault="00694EFF" w:rsidP="004E0684">
      <w:pPr>
        <w:pStyle w:val="Textonotapie"/>
      </w:pPr>
      <w:r>
        <w:tab/>
      </w:r>
      <w:r w:rsidRPr="007518EE">
        <w:rPr>
          <w:rStyle w:val="Refdenotaalpie"/>
        </w:rPr>
        <w:footnoteRef/>
      </w:r>
      <w:r w:rsidRPr="006F084A">
        <w:tab/>
        <w:t xml:space="preserve">Ley núm. 67-12, de </w:t>
      </w:r>
      <w:r w:rsidR="00CC326A" w:rsidRPr="006F084A">
        <w:t xml:space="preserve">Regulación </w:t>
      </w:r>
      <w:r w:rsidRPr="006F084A">
        <w:t xml:space="preserve">de las </w:t>
      </w:r>
      <w:r w:rsidR="00CC326A" w:rsidRPr="006F084A">
        <w:t xml:space="preserve">Relaciones Contractuales </w:t>
      </w:r>
      <w:r w:rsidRPr="006F084A">
        <w:t xml:space="preserve">entre el </w:t>
      </w:r>
      <w:r w:rsidR="00CC326A" w:rsidRPr="006F084A">
        <w:t xml:space="preserve">Propietario </w:t>
      </w:r>
      <w:r w:rsidRPr="006F084A">
        <w:t xml:space="preserve">y el </w:t>
      </w:r>
      <w:r w:rsidR="00CC326A" w:rsidRPr="006F084A">
        <w:t xml:space="preserve">Inquilino </w:t>
      </w:r>
      <w:r w:rsidRPr="006F084A">
        <w:t xml:space="preserve">para los </w:t>
      </w:r>
      <w:r w:rsidR="00CC326A" w:rsidRPr="006F084A">
        <w:t xml:space="preserve">Locales </w:t>
      </w:r>
      <w:r w:rsidRPr="006F084A">
        <w:t xml:space="preserve">destinados a la </w:t>
      </w:r>
      <w:r w:rsidR="00CC326A" w:rsidRPr="006F084A">
        <w:t xml:space="preserve">Vivienda </w:t>
      </w:r>
      <w:r w:rsidRPr="006F084A">
        <w:t xml:space="preserve">o al uso </w:t>
      </w:r>
      <w:r w:rsidR="00CC326A" w:rsidRPr="006F084A">
        <w:t>Profesional</w:t>
      </w:r>
      <w:r w:rsidRPr="006F084A">
        <w:t>, de 19 de noviembre de 2013.</w:t>
      </w:r>
    </w:p>
  </w:footnote>
  <w:footnote w:id="51">
    <w:p w14:paraId="334E9AA6" w14:textId="455FBC4E" w:rsidR="00694EFF" w:rsidRPr="006F084A" w:rsidRDefault="00694EFF" w:rsidP="004E0684">
      <w:pPr>
        <w:pStyle w:val="Textonotapie"/>
        <w:rPr>
          <w:spacing w:val="-4"/>
        </w:rPr>
      </w:pPr>
      <w:r>
        <w:tab/>
      </w:r>
      <w:r w:rsidRPr="007518EE">
        <w:rPr>
          <w:rStyle w:val="Refdenotaalpie"/>
        </w:rPr>
        <w:footnoteRef/>
      </w:r>
      <w:r w:rsidRPr="006F084A">
        <w:tab/>
        <w:t xml:space="preserve">Ley núm. 107-12, que modifica y complementa la Ley núm. 00-44, de </w:t>
      </w:r>
      <w:r w:rsidR="00CC326A" w:rsidRPr="006F084A">
        <w:t xml:space="preserve">Venta </w:t>
      </w:r>
      <w:r w:rsidRPr="006F084A">
        <w:t xml:space="preserve">de </w:t>
      </w:r>
      <w:r w:rsidR="00CC326A" w:rsidRPr="006F084A">
        <w:t xml:space="preserve">Inmuebles </w:t>
      </w:r>
      <w:r w:rsidRPr="006F084A">
        <w:t xml:space="preserve">en </w:t>
      </w:r>
      <w:r w:rsidR="00CC326A" w:rsidRPr="006F084A">
        <w:t>Construcción</w:t>
      </w:r>
      <w:r w:rsidRPr="006F084A">
        <w:t>, de 3 de febrero de 2016.</w:t>
      </w:r>
    </w:p>
  </w:footnote>
  <w:footnote w:id="52">
    <w:p w14:paraId="698F99DD" w14:textId="78860CEF" w:rsidR="00694EFF" w:rsidRPr="006F084A" w:rsidRDefault="00694EFF" w:rsidP="004E0684">
      <w:pPr>
        <w:pStyle w:val="Textonotapie"/>
      </w:pPr>
      <w:r>
        <w:tab/>
      </w:r>
      <w:r w:rsidRPr="007518EE">
        <w:rPr>
          <w:rStyle w:val="Refdenotaalpie"/>
        </w:rPr>
        <w:footnoteRef/>
      </w:r>
      <w:r w:rsidRPr="006F084A">
        <w:tab/>
        <w:t xml:space="preserve">La Cámara de Consejeros aprobó el proyecto de </w:t>
      </w:r>
      <w:r w:rsidR="00CC326A">
        <w:t>l</w:t>
      </w:r>
      <w:r w:rsidRPr="006F084A">
        <w:t>ey núm. 72-18, sobre el sistema de focalización de los beneficiarios de los programas de apoyo social y la creación de la Agencia Nacional de Registros, durante la sesión plenaria del 16 de junio de 2020, y la Cámara de Representantes lo aprobó el 20 de julio de 2020.</w:t>
      </w:r>
    </w:p>
  </w:footnote>
  <w:footnote w:id="53">
    <w:p w14:paraId="450E8FAC" w14:textId="29E35A8F" w:rsidR="00694EFF" w:rsidRPr="006F084A" w:rsidRDefault="00694EFF" w:rsidP="004E0684">
      <w:pPr>
        <w:pStyle w:val="Textonotapie"/>
      </w:pPr>
      <w:r>
        <w:tab/>
      </w:r>
      <w:r w:rsidRPr="007518EE">
        <w:rPr>
          <w:rStyle w:val="Refdenotaalpie"/>
        </w:rPr>
        <w:footnoteRef/>
      </w:r>
      <w:r w:rsidRPr="006F084A">
        <w:tab/>
      </w:r>
      <w:r w:rsidRPr="00CC326A">
        <w:rPr>
          <w:i/>
          <w:iCs/>
        </w:rPr>
        <w:t>Fuente:</w:t>
      </w:r>
      <w:r w:rsidRPr="006F084A">
        <w:rPr>
          <w:i/>
          <w:iCs/>
        </w:rPr>
        <w:t xml:space="preserve"> </w:t>
      </w:r>
      <w:r w:rsidRPr="006F084A">
        <w:t xml:space="preserve">Revista </w:t>
      </w:r>
      <w:r w:rsidRPr="006F084A">
        <w:rPr>
          <w:i/>
          <w:iCs/>
        </w:rPr>
        <w:t>Al-</w:t>
      </w:r>
      <w:proofErr w:type="spellStart"/>
      <w:r w:rsidRPr="006F084A">
        <w:rPr>
          <w:i/>
          <w:iCs/>
        </w:rPr>
        <w:t>Maliya</w:t>
      </w:r>
      <w:proofErr w:type="spellEnd"/>
      <w:r w:rsidRPr="006F084A">
        <w:t xml:space="preserve"> (Finanzas) del Ministerio de Economía y Finanzas, número especial, abril de 2019.</w:t>
      </w:r>
    </w:p>
  </w:footnote>
  <w:footnote w:id="54">
    <w:p w14:paraId="5AAA91E6" w14:textId="14D26FF5" w:rsidR="00694EFF" w:rsidRPr="006F084A" w:rsidRDefault="00694EFF" w:rsidP="004E0684">
      <w:pPr>
        <w:pStyle w:val="Textonotapie"/>
      </w:pPr>
      <w:r>
        <w:tab/>
      </w:r>
      <w:r w:rsidRPr="007518EE">
        <w:rPr>
          <w:rStyle w:val="Refdenotaalpie"/>
        </w:rPr>
        <w:footnoteRef/>
      </w:r>
      <w:r w:rsidRPr="006F084A">
        <w:tab/>
        <w:t xml:space="preserve">Ley núm. 15-36, del Agua, publicada en el </w:t>
      </w:r>
      <w:r w:rsidRPr="006F084A">
        <w:rPr>
          <w:i/>
          <w:iCs/>
        </w:rPr>
        <w:t>Boletín Oficial</w:t>
      </w:r>
      <w:r w:rsidRPr="006F084A">
        <w:t xml:space="preserve"> núm. 6.494, de 25 de agosto de 2016, que</w:t>
      </w:r>
      <w:r>
        <w:t> </w:t>
      </w:r>
      <w:r w:rsidRPr="006F084A">
        <w:t xml:space="preserve">sustituye a la Ley núm. 95-10, publicada en el </w:t>
      </w:r>
      <w:r w:rsidRPr="006F084A">
        <w:rPr>
          <w:i/>
          <w:iCs/>
        </w:rPr>
        <w:t>Boletín Oficial</w:t>
      </w:r>
      <w:r w:rsidRPr="006F084A">
        <w:t xml:space="preserve"> núm. 4.325, de 20 de septiembre de</w:t>
      </w:r>
      <w:r>
        <w:t> </w:t>
      </w:r>
      <w:r w:rsidRPr="006F084A">
        <w:t>1995.</w:t>
      </w:r>
    </w:p>
  </w:footnote>
  <w:footnote w:id="55">
    <w:p w14:paraId="5CAC0B48" w14:textId="1141F755" w:rsidR="00694EFF" w:rsidRPr="006F084A" w:rsidRDefault="00694EFF" w:rsidP="004E0684">
      <w:pPr>
        <w:pStyle w:val="Textonotapie"/>
      </w:pPr>
      <w:r>
        <w:tab/>
      </w:r>
      <w:r w:rsidRPr="007518EE">
        <w:rPr>
          <w:rStyle w:val="Refdenotaalpie"/>
        </w:rPr>
        <w:footnoteRef/>
      </w:r>
      <w:r w:rsidRPr="006F084A">
        <w:tab/>
        <w:t xml:space="preserve">Ley Marco núm. 99-12, de la Carta Nacional para el Medioambiente y el Desarrollo Sostenible, publicada en el </w:t>
      </w:r>
      <w:r w:rsidRPr="006F084A">
        <w:rPr>
          <w:i/>
          <w:iCs/>
        </w:rPr>
        <w:t>Boletín Oficial</w:t>
      </w:r>
      <w:r w:rsidRPr="006F084A">
        <w:t xml:space="preserve"> núm. 6.240 (20 de marzo de 2014).</w:t>
      </w:r>
    </w:p>
  </w:footnote>
  <w:footnote w:id="56">
    <w:p w14:paraId="4F39A41E" w14:textId="56CA3710" w:rsidR="00694EFF" w:rsidRPr="006F084A" w:rsidRDefault="00694EFF" w:rsidP="004E0684">
      <w:pPr>
        <w:pStyle w:val="Textonotapie"/>
      </w:pPr>
      <w:r>
        <w:tab/>
      </w:r>
      <w:r w:rsidRPr="007518EE">
        <w:rPr>
          <w:rStyle w:val="Refdenotaalpie"/>
        </w:rPr>
        <w:footnoteRef/>
      </w:r>
      <w:r w:rsidRPr="006F084A">
        <w:tab/>
        <w:t>Ley núm. 03-11, de Protección y Desarrollo del Medioambiente (</w:t>
      </w:r>
      <w:r w:rsidRPr="006F084A">
        <w:rPr>
          <w:i/>
          <w:iCs/>
        </w:rPr>
        <w:t>Boletín Oficial</w:t>
      </w:r>
      <w:r w:rsidRPr="006F084A">
        <w:t xml:space="preserve"> núm. 5.118, de 19 de junio de 2003); Ley núm. 03-12, de Estudios de Impacto Ambiental (</w:t>
      </w:r>
      <w:r w:rsidRPr="006F084A">
        <w:rPr>
          <w:i/>
          <w:iCs/>
        </w:rPr>
        <w:t>Boletín Oficial</w:t>
      </w:r>
      <w:r w:rsidRPr="006F084A">
        <w:t xml:space="preserve"> núm. 5.118, de 19 de junio de 2003); Ley núm. 13-03, de control de la contaminación atmosférica (</w:t>
      </w:r>
      <w:r w:rsidRPr="006F084A">
        <w:rPr>
          <w:i/>
          <w:iCs/>
        </w:rPr>
        <w:t>Boletín Oficial</w:t>
      </w:r>
      <w:r w:rsidRPr="006F084A">
        <w:t xml:space="preserve"> núm. 5.118, de 19 de junio de 2003); Ley núm. 28-00, de Gestión y Eliminación de Residuos (</w:t>
      </w:r>
      <w:r w:rsidRPr="006F084A">
        <w:rPr>
          <w:i/>
          <w:iCs/>
        </w:rPr>
        <w:t>Boletín</w:t>
      </w:r>
      <w:r>
        <w:rPr>
          <w:i/>
          <w:iCs/>
        </w:rPr>
        <w:t> </w:t>
      </w:r>
      <w:r w:rsidRPr="006F084A">
        <w:rPr>
          <w:i/>
          <w:iCs/>
        </w:rPr>
        <w:t>Oficial</w:t>
      </w:r>
      <w:r w:rsidRPr="006F084A">
        <w:t xml:space="preserve"> núm. 5.480, de 7 de diciembre de 2006); Ley núm. 81-12, de Costas (</w:t>
      </w:r>
      <w:r w:rsidRPr="006F084A">
        <w:rPr>
          <w:i/>
          <w:iCs/>
        </w:rPr>
        <w:t>Boletín Oficial</w:t>
      </w:r>
      <w:r w:rsidRPr="006F084A">
        <w:t xml:space="preserve"> núm. 6.384, de 6 de agosto de 2015). </w:t>
      </w:r>
    </w:p>
  </w:footnote>
  <w:footnote w:id="57">
    <w:p w14:paraId="715A005E" w14:textId="32A7FA00" w:rsidR="00694EFF" w:rsidRPr="006F084A" w:rsidRDefault="00694EFF" w:rsidP="004E0684">
      <w:pPr>
        <w:pStyle w:val="Textonotapie"/>
      </w:pPr>
      <w:r>
        <w:tab/>
      </w:r>
      <w:r w:rsidRPr="007518EE">
        <w:rPr>
          <w:rStyle w:val="Refdenotaalpie"/>
        </w:rPr>
        <w:footnoteRef/>
      </w:r>
      <w:r w:rsidRPr="006F084A">
        <w:tab/>
        <w:t>Este eje se limita a las medidas legislativos más importantes en el ámbito de la protección de los derechos y libertades fundamentales mientras que, según el tema a tratar, se hará referencia a otros textos legislativos jurídicos y reglamentarios.</w:t>
      </w:r>
    </w:p>
  </w:footnote>
  <w:footnote w:id="58">
    <w:p w14:paraId="24CCFE73" w14:textId="70CA5B91" w:rsidR="00694EFF" w:rsidRPr="00D51553" w:rsidRDefault="00694EFF" w:rsidP="009C135B">
      <w:pPr>
        <w:pStyle w:val="Textonotapie"/>
        <w:spacing w:after="60"/>
        <w:rPr>
          <w:szCs w:val="18"/>
        </w:rPr>
      </w:pPr>
      <w:r>
        <w:tab/>
      </w:r>
      <w:r w:rsidRPr="00D51553">
        <w:rPr>
          <w:rStyle w:val="Refdenotaalpie"/>
          <w:szCs w:val="18"/>
        </w:rPr>
        <w:footnoteRef/>
      </w:r>
      <w:r w:rsidRPr="00D51553">
        <w:rPr>
          <w:szCs w:val="18"/>
        </w:rPr>
        <w:tab/>
      </w:r>
      <w:r w:rsidRPr="00D51553">
        <w:rPr>
          <w:szCs w:val="18"/>
        </w:rPr>
        <w:tab/>
        <w:t>El 28 de febrero de 2019 se adoptaron dos disposiciones en materia de aplicación de la Ley, a saber:</w:t>
      </w:r>
    </w:p>
    <w:p w14:paraId="674A559F" w14:textId="79147C13" w:rsidR="00694EFF" w:rsidRPr="00D51553" w:rsidRDefault="00694EFF" w:rsidP="00F81780">
      <w:pPr>
        <w:pStyle w:val="Bullet1G"/>
        <w:tabs>
          <w:tab w:val="clear" w:pos="1701"/>
        </w:tabs>
        <w:ind w:left="1288" w:hanging="154"/>
        <w:rPr>
          <w:sz w:val="18"/>
          <w:szCs w:val="18"/>
        </w:rPr>
      </w:pPr>
      <w:r w:rsidRPr="00D51553">
        <w:rPr>
          <w:sz w:val="18"/>
          <w:szCs w:val="18"/>
        </w:rPr>
        <w:t>El Decreto núm. 2-19-121, sobre las modalidades de concesión y renovación de un carné de prensa profesional.</w:t>
      </w:r>
    </w:p>
    <w:p w14:paraId="29C3986B" w14:textId="739DAEA4" w:rsidR="00694EFF" w:rsidRPr="00D51553" w:rsidRDefault="00694EFF" w:rsidP="00F81780">
      <w:pPr>
        <w:pStyle w:val="Bullet1G"/>
        <w:tabs>
          <w:tab w:val="clear" w:pos="1701"/>
        </w:tabs>
        <w:spacing w:after="0"/>
        <w:ind w:left="1287" w:hanging="153"/>
        <w:rPr>
          <w:sz w:val="18"/>
          <w:szCs w:val="18"/>
        </w:rPr>
      </w:pPr>
      <w:r w:rsidRPr="00D51553">
        <w:rPr>
          <w:sz w:val="18"/>
          <w:szCs w:val="18"/>
        </w:rPr>
        <w:t>El Decreto núm. 2-19-121, sobre las modalidades de concesión y renovación de un carné de periodista profesional acreditado.</w:t>
      </w:r>
    </w:p>
  </w:footnote>
  <w:footnote w:id="59">
    <w:p w14:paraId="4FBB0AAD" w14:textId="0406F118" w:rsidR="00694EFF" w:rsidRPr="00D51553" w:rsidRDefault="00694EFF" w:rsidP="004E0684">
      <w:pPr>
        <w:pStyle w:val="Textonotapie"/>
        <w:rPr>
          <w:szCs w:val="18"/>
        </w:rPr>
      </w:pPr>
      <w:r w:rsidRPr="00D51553">
        <w:rPr>
          <w:szCs w:val="18"/>
        </w:rPr>
        <w:tab/>
      </w:r>
      <w:r w:rsidRPr="00D51553">
        <w:rPr>
          <w:rStyle w:val="Refdenotaalpie"/>
          <w:szCs w:val="18"/>
        </w:rPr>
        <w:footnoteRef/>
      </w:r>
      <w:r w:rsidRPr="00D51553">
        <w:rPr>
          <w:szCs w:val="18"/>
        </w:rPr>
        <w:tab/>
        <w:t xml:space="preserve">El Código Ético del Periodismo se publicó en el </w:t>
      </w:r>
      <w:r w:rsidRPr="00D51553">
        <w:rPr>
          <w:i/>
          <w:iCs/>
          <w:szCs w:val="18"/>
        </w:rPr>
        <w:t xml:space="preserve">Boletín Oficial </w:t>
      </w:r>
      <w:r w:rsidRPr="00D51553">
        <w:rPr>
          <w:szCs w:val="18"/>
        </w:rPr>
        <w:t>núm. 6.799, de 29 de julio de 2019.</w:t>
      </w:r>
    </w:p>
  </w:footnote>
  <w:footnote w:id="60">
    <w:p w14:paraId="55956577" w14:textId="195BCCE9" w:rsidR="00694EFF" w:rsidRPr="006F084A" w:rsidRDefault="00694EFF" w:rsidP="004E0684">
      <w:pPr>
        <w:pStyle w:val="Textonotapie"/>
      </w:pPr>
      <w:r w:rsidRPr="00D51553">
        <w:rPr>
          <w:szCs w:val="18"/>
        </w:rPr>
        <w:tab/>
      </w:r>
      <w:r w:rsidRPr="00D51553">
        <w:rPr>
          <w:rStyle w:val="Refdenotaalpie"/>
          <w:szCs w:val="18"/>
        </w:rPr>
        <w:footnoteRef/>
      </w:r>
      <w:r w:rsidRPr="00D51553">
        <w:rPr>
          <w:szCs w:val="18"/>
        </w:rPr>
        <w:tab/>
        <w:t xml:space="preserve">Decreto núm. 2.19.896 emitido el 17 de </w:t>
      </w:r>
      <w:proofErr w:type="spellStart"/>
      <w:r w:rsidRPr="00D51553">
        <w:rPr>
          <w:szCs w:val="18"/>
        </w:rPr>
        <w:t>Ramadan</w:t>
      </w:r>
      <w:proofErr w:type="spellEnd"/>
      <w:r w:rsidRPr="00D51553">
        <w:rPr>
          <w:szCs w:val="18"/>
        </w:rPr>
        <w:t xml:space="preserve"> de 1441 (11 de mayo de 2020). </w:t>
      </w:r>
      <w:r w:rsidRPr="00D51553">
        <w:rPr>
          <w:i/>
          <w:iCs/>
          <w:szCs w:val="18"/>
        </w:rPr>
        <w:t>Boletín Oficial</w:t>
      </w:r>
      <w:r w:rsidRPr="00D51553">
        <w:rPr>
          <w:szCs w:val="18"/>
        </w:rPr>
        <w:t xml:space="preserve"> núm. 6.885, de 2 </w:t>
      </w:r>
      <w:proofErr w:type="spellStart"/>
      <w:r w:rsidRPr="00D51553">
        <w:rPr>
          <w:szCs w:val="18"/>
        </w:rPr>
        <w:t>Shawwal</w:t>
      </w:r>
      <w:proofErr w:type="spellEnd"/>
      <w:r w:rsidRPr="00D51553">
        <w:rPr>
          <w:szCs w:val="18"/>
        </w:rPr>
        <w:t xml:space="preserve"> de 1441 (25 de mayo de 2020).</w:t>
      </w:r>
    </w:p>
  </w:footnote>
  <w:footnote w:id="61">
    <w:p w14:paraId="5F625F2B" w14:textId="403F172F" w:rsidR="00694EFF" w:rsidRPr="006F084A" w:rsidRDefault="00694EFF" w:rsidP="004E0684">
      <w:pPr>
        <w:pStyle w:val="Textonotapie"/>
      </w:pPr>
      <w:r>
        <w:tab/>
      </w:r>
      <w:r w:rsidRPr="007518EE">
        <w:rPr>
          <w:rStyle w:val="Refdenotaalpie"/>
        </w:rPr>
        <w:footnoteRef/>
      </w:r>
      <w:r w:rsidRPr="006F084A">
        <w:tab/>
        <w:t>Véase el documento Plan de Acción de Rabat (A/</w:t>
      </w:r>
      <w:proofErr w:type="spellStart"/>
      <w:r w:rsidRPr="006F084A">
        <w:t>HRC</w:t>
      </w:r>
      <w:proofErr w:type="spellEnd"/>
      <w:r w:rsidRPr="006F084A">
        <w:t>/22/17/</w:t>
      </w:r>
      <w:proofErr w:type="spellStart"/>
      <w:r w:rsidRPr="006F084A">
        <w:t>Add.4</w:t>
      </w:r>
      <w:proofErr w:type="spellEnd"/>
      <w:r w:rsidRPr="006F084A">
        <w:t>).</w:t>
      </w:r>
    </w:p>
  </w:footnote>
  <w:footnote w:id="62">
    <w:p w14:paraId="5BE9E5C3" w14:textId="4FB3C22E" w:rsidR="00694EFF" w:rsidRPr="006F084A" w:rsidRDefault="00694EFF" w:rsidP="004E0684">
      <w:pPr>
        <w:pStyle w:val="Textonotapie"/>
      </w:pPr>
      <w:r>
        <w:tab/>
      </w:r>
      <w:r w:rsidRPr="007518EE">
        <w:rPr>
          <w:rStyle w:val="Refdenotaalpie"/>
        </w:rPr>
        <w:footnoteRef/>
      </w:r>
      <w:r w:rsidRPr="006F084A">
        <w:tab/>
        <w:t>Resolución 73/328 de la Asamblea General sobre la promoción del diálogo y la tolerancia entre religiones y culturas para combatir el discurso de odio (A/RES/73/328).</w:t>
      </w:r>
    </w:p>
  </w:footnote>
  <w:footnote w:id="63">
    <w:p w14:paraId="37204E52" w14:textId="1207118D" w:rsidR="00694EFF" w:rsidRPr="006F084A" w:rsidRDefault="00694EFF" w:rsidP="004E0684">
      <w:pPr>
        <w:pStyle w:val="Textonotapie"/>
      </w:pPr>
      <w:r>
        <w:tab/>
      </w:r>
      <w:r w:rsidRPr="007518EE">
        <w:rPr>
          <w:rStyle w:val="Refdenotaalpie"/>
        </w:rPr>
        <w:footnoteRef/>
      </w:r>
      <w:r w:rsidRPr="006F084A">
        <w:tab/>
        <w:t xml:space="preserve">Para consultar los datos digitales relacionados con la salud, véase el apartado 16 </w:t>
      </w:r>
      <w:r w:rsidRPr="006F084A">
        <w:rPr>
          <w:i/>
          <w:iCs/>
        </w:rPr>
        <w:t>supra</w:t>
      </w:r>
      <w:r w:rsidRPr="006F084A">
        <w:t>.</w:t>
      </w:r>
    </w:p>
  </w:footnote>
  <w:footnote w:id="64">
    <w:p w14:paraId="6D696984" w14:textId="11B4CB1B" w:rsidR="00694EFF" w:rsidRPr="006F084A" w:rsidRDefault="00694EFF" w:rsidP="004E0684">
      <w:pPr>
        <w:pStyle w:val="Textonotapie"/>
      </w:pPr>
      <w:r>
        <w:tab/>
      </w:r>
      <w:r w:rsidRPr="007518EE">
        <w:rPr>
          <w:rStyle w:val="Refdenotaalpie"/>
        </w:rPr>
        <w:footnoteRef/>
      </w:r>
      <w:r w:rsidRPr="006F084A">
        <w:tab/>
        <w:t xml:space="preserve">Con respecto al </w:t>
      </w:r>
      <w:r w:rsidR="00B8306A">
        <w:t>p</w:t>
      </w:r>
      <w:r w:rsidRPr="006F084A">
        <w:t xml:space="preserve">royecto de </w:t>
      </w:r>
      <w:r w:rsidR="00B8306A">
        <w:t>l</w:t>
      </w:r>
      <w:r w:rsidRPr="006F084A">
        <w:t xml:space="preserve">ey núm. 38-15, de la Organización Judicial del Reino, véase la remisión núm. 32 </w:t>
      </w:r>
      <w:r w:rsidRPr="006F084A">
        <w:rPr>
          <w:i/>
          <w:iCs/>
        </w:rPr>
        <w:t>supra</w:t>
      </w:r>
      <w:r w:rsidRPr="006F084A">
        <w:t>.</w:t>
      </w:r>
    </w:p>
  </w:footnote>
  <w:footnote w:id="65">
    <w:p w14:paraId="0001E2F8" w14:textId="11C59882" w:rsidR="00694EFF" w:rsidRPr="006F084A" w:rsidRDefault="00694EFF" w:rsidP="004E0684">
      <w:pPr>
        <w:pStyle w:val="Textonotapie"/>
      </w:pPr>
      <w:r>
        <w:tab/>
      </w:r>
      <w:r w:rsidRPr="007518EE">
        <w:rPr>
          <w:rStyle w:val="Refdenotaalpie"/>
        </w:rPr>
        <w:footnoteRef/>
      </w:r>
      <w:r w:rsidRPr="006F084A">
        <w:tab/>
        <w:t xml:space="preserve">Este proyecto de ley está en curso de aprobación después de que se abolieran algunos de sus artículos en virtud de la </w:t>
      </w:r>
      <w:r>
        <w:t>r</w:t>
      </w:r>
      <w:r w:rsidRPr="006F084A">
        <w:t>esolución 70/18 MD de la Corte Constitucional, expediente</w:t>
      </w:r>
      <w:r w:rsidR="00B8306A">
        <w:t xml:space="preserve"> núm.</w:t>
      </w:r>
      <w:r w:rsidRPr="006F084A">
        <w:t xml:space="preserve"> 024/18, de 6 de marzo de</w:t>
      </w:r>
      <w:r>
        <w:t> </w:t>
      </w:r>
      <w:r w:rsidRPr="006F084A">
        <w:t>2018.</w:t>
      </w:r>
    </w:p>
  </w:footnote>
  <w:footnote w:id="66">
    <w:p w14:paraId="636CFADD" w14:textId="446ECA41" w:rsidR="00694EFF" w:rsidRPr="006F084A" w:rsidRDefault="00694EFF" w:rsidP="004E0684">
      <w:pPr>
        <w:pStyle w:val="Textonotapie"/>
      </w:pPr>
      <w:r>
        <w:tab/>
      </w:r>
      <w:r w:rsidRPr="007518EE">
        <w:rPr>
          <w:rStyle w:val="Refdenotaalpie"/>
        </w:rPr>
        <w:footnoteRef/>
      </w:r>
      <w:r w:rsidRPr="006F084A">
        <w:tab/>
      </w:r>
      <w:hyperlink r:id="rId7" w:history="1">
        <w:r w:rsidRPr="00B8306A">
          <w:rPr>
            <w:rStyle w:val="Hipervnculo"/>
          </w:rPr>
          <w:t>https://</w:t>
        </w:r>
        <w:proofErr w:type="spellStart"/>
        <w:r w:rsidRPr="00B8306A">
          <w:rPr>
            <w:rStyle w:val="Hipervnculo"/>
          </w:rPr>
          <w:t>cndh.ma</w:t>
        </w:r>
        <w:proofErr w:type="spellEnd"/>
        <w:r w:rsidRPr="00B8306A">
          <w:rPr>
            <w:rStyle w:val="Hipervnculo"/>
          </w:rPr>
          <w:t>/</w:t>
        </w:r>
        <w:proofErr w:type="spellStart"/>
        <w:r w:rsidRPr="00B8306A">
          <w:rPr>
            <w:rStyle w:val="Hipervnculo"/>
          </w:rPr>
          <w:t>sites</w:t>
        </w:r>
        <w:proofErr w:type="spellEnd"/>
        <w:r w:rsidRPr="00B8306A">
          <w:rPr>
            <w:rStyle w:val="Hipervnculo"/>
          </w:rPr>
          <w:t>/default/files/</w:t>
        </w:r>
        <w:proofErr w:type="spellStart"/>
        <w:r w:rsidRPr="00B8306A">
          <w:rPr>
            <w:rStyle w:val="Hipervnculo"/>
          </w:rPr>
          <w:t>lnzm_ldkhly_cndh_2.pdf</w:t>
        </w:r>
        <w:proofErr w:type="spellEnd"/>
      </w:hyperlink>
      <w:r w:rsidR="00B8306A">
        <w:t>.</w:t>
      </w:r>
    </w:p>
  </w:footnote>
  <w:footnote w:id="67">
    <w:p w14:paraId="66E0E805" w14:textId="307C9C21" w:rsidR="00694EFF" w:rsidRPr="006F084A" w:rsidRDefault="00694EFF" w:rsidP="004E0684">
      <w:pPr>
        <w:pStyle w:val="Textonotapie"/>
      </w:pPr>
      <w:r>
        <w:tab/>
      </w:r>
      <w:r w:rsidRPr="007518EE">
        <w:rPr>
          <w:rStyle w:val="Refdenotaalpie"/>
        </w:rPr>
        <w:footnoteRef/>
      </w:r>
      <w:r w:rsidRPr="006F084A">
        <w:tab/>
        <w:t xml:space="preserve">Ley núm. 14-16 relativa a la Institución del Mediador del Reino emitida el 11 de marzo de 2019 y publicada en el </w:t>
      </w:r>
      <w:r w:rsidRPr="006F084A">
        <w:rPr>
          <w:i/>
          <w:iCs/>
        </w:rPr>
        <w:t>Boletín Oficial</w:t>
      </w:r>
      <w:r w:rsidRPr="006F084A">
        <w:t xml:space="preserve"> núm. 6.765 (1 de abril de 2019).</w:t>
      </w:r>
    </w:p>
  </w:footnote>
  <w:footnote w:id="68">
    <w:p w14:paraId="5D31F98E" w14:textId="0596BE40" w:rsidR="00694EFF" w:rsidRPr="006F084A" w:rsidRDefault="00694EFF" w:rsidP="004E0684">
      <w:pPr>
        <w:pStyle w:val="Textonotapie"/>
      </w:pPr>
      <w:r>
        <w:tab/>
      </w:r>
      <w:r w:rsidRPr="007518EE">
        <w:rPr>
          <w:rStyle w:val="Refdenotaalpie"/>
        </w:rPr>
        <w:footnoteRef/>
      </w:r>
      <w:r w:rsidRPr="006F084A">
        <w:tab/>
      </w:r>
      <w:r>
        <w:t>“</w:t>
      </w:r>
      <w:r w:rsidRPr="006F084A">
        <w:t>[...] Es inaceptable que la Administración no responda a las quejas y preguntas de la gente, como si el ciudadano no valiera nada o fuera tan solo una pequeña parte de la visión general del espacio administrativo, ya que, sin el ciudadano, no habría Administración. El ciudadano tiene derecho a que la Administración responda y solucione los mensajes y problemas que este plantea. Por su parte, la Administración tiene la obligación de explicar las cuestiones a las personas y justificar sus decisiones, que deben tomarse con arreglo a la ley [...]</w:t>
      </w:r>
      <w:r>
        <w:t>”</w:t>
      </w:r>
      <w:r w:rsidRPr="006F084A">
        <w:t xml:space="preserve">. Extracto del discurso de Su Majestad el Rey con motivo de la apertura del Parlamento el 14 de octubre de 2016.   </w:t>
      </w:r>
    </w:p>
  </w:footnote>
  <w:footnote w:id="69">
    <w:p w14:paraId="613FB272" w14:textId="4DD91359" w:rsidR="00694EFF" w:rsidRPr="006F084A" w:rsidRDefault="00694EFF" w:rsidP="004E0684">
      <w:pPr>
        <w:pStyle w:val="Textonotapie"/>
        <w:rPr>
          <w:lang w:val="fr-CH"/>
        </w:rPr>
      </w:pPr>
      <w:r>
        <w:rPr>
          <w:lang w:val="fr-CH"/>
        </w:rPr>
        <w:tab/>
      </w:r>
      <w:r w:rsidRPr="007518EE">
        <w:rPr>
          <w:rStyle w:val="Refdenotaalpie"/>
        </w:rPr>
        <w:footnoteRef/>
      </w:r>
      <w:r w:rsidRPr="006F084A">
        <w:rPr>
          <w:lang w:val="fr-CH"/>
        </w:rPr>
        <w:tab/>
      </w:r>
      <w:proofErr w:type="spellStart"/>
      <w:proofErr w:type="gramStart"/>
      <w:r w:rsidRPr="006F084A">
        <w:rPr>
          <w:lang w:val="fr-CH"/>
        </w:rPr>
        <w:t>Véase</w:t>
      </w:r>
      <w:proofErr w:type="spellEnd"/>
      <w:r w:rsidRPr="006F084A">
        <w:rPr>
          <w:lang w:val="fr-CH"/>
        </w:rPr>
        <w:t>:</w:t>
      </w:r>
      <w:proofErr w:type="gramEnd"/>
      <w:r w:rsidRPr="006F084A">
        <w:rPr>
          <w:lang w:val="fr-CH"/>
        </w:rPr>
        <w:t xml:space="preserve"> </w:t>
      </w:r>
      <w:hyperlink r:id="rId8" w:history="1">
        <w:r w:rsidRPr="00D9448F">
          <w:rPr>
            <w:rStyle w:val="Hipervnculo"/>
            <w:lang w:val="fr-CH" w:bidi="ar-MA"/>
          </w:rPr>
          <w:t>https://treaties.un.org/Pages/ViewDetails.aspx?src=TREATY&amp;mtdsg_no=IV-11-d&amp;chapter=4&amp;clang=_fr</w:t>
        </w:r>
      </w:hyperlink>
      <w:r>
        <w:rPr>
          <w:rStyle w:val="Hipervnculo"/>
          <w:color w:val="auto"/>
          <w:lang w:val="fr-CH" w:bidi="ar-MA"/>
        </w:rPr>
        <w:t>.</w:t>
      </w:r>
      <w:r w:rsidRPr="006F084A">
        <w:rPr>
          <w:lang w:val="fr-CH"/>
        </w:rPr>
        <w:t xml:space="preserve"> </w:t>
      </w:r>
    </w:p>
  </w:footnote>
  <w:footnote w:id="70">
    <w:p w14:paraId="63ADB4E6" w14:textId="6A0901EE" w:rsidR="00694EFF" w:rsidRPr="006F084A" w:rsidRDefault="00694EFF" w:rsidP="004E0684">
      <w:pPr>
        <w:pStyle w:val="Textonotapie"/>
        <w:rPr>
          <w:lang w:val="fr-CH"/>
        </w:rPr>
      </w:pPr>
      <w:r>
        <w:rPr>
          <w:lang w:val="fr-CH"/>
        </w:rPr>
        <w:tab/>
      </w:r>
      <w:r w:rsidRPr="007518EE">
        <w:rPr>
          <w:rStyle w:val="Refdenotaalpie"/>
        </w:rPr>
        <w:footnoteRef/>
      </w:r>
      <w:r w:rsidRPr="006F084A">
        <w:rPr>
          <w:lang w:val="fr-CH"/>
        </w:rPr>
        <w:tab/>
      </w:r>
      <w:proofErr w:type="spellStart"/>
      <w:proofErr w:type="gramStart"/>
      <w:r w:rsidRPr="006F084A">
        <w:rPr>
          <w:lang w:val="fr-CH"/>
        </w:rPr>
        <w:t>Véase</w:t>
      </w:r>
      <w:proofErr w:type="spellEnd"/>
      <w:r w:rsidRPr="006F084A">
        <w:rPr>
          <w:lang w:val="fr-CH"/>
        </w:rPr>
        <w:t>:</w:t>
      </w:r>
      <w:proofErr w:type="gramEnd"/>
      <w:r w:rsidRPr="006F084A">
        <w:rPr>
          <w:lang w:val="fr-CH"/>
        </w:rPr>
        <w:t xml:space="preserve"> </w:t>
      </w:r>
      <w:hyperlink r:id="rId9" w:history="1">
        <w:r w:rsidRPr="00D9448F">
          <w:rPr>
            <w:rStyle w:val="Hipervnculo"/>
            <w:lang w:val="fr-CH" w:bidi="ar-MA"/>
          </w:rPr>
          <w:t>https://treaties.un.org/Pages/ViewDetails.aspx?src=TREATY&amp;mtdsg_no=IV-9-b&amp;chapter=4&amp;clang=_fr</w:t>
        </w:r>
      </w:hyperlink>
      <w:r>
        <w:rPr>
          <w:rStyle w:val="Hipervnculo"/>
          <w:color w:val="auto"/>
          <w:lang w:val="fr-CH" w:bidi="ar-MA"/>
        </w:rPr>
        <w:t>.</w:t>
      </w:r>
    </w:p>
  </w:footnote>
  <w:footnote w:id="71">
    <w:p w14:paraId="1A01D491" w14:textId="37F79863" w:rsidR="00694EFF" w:rsidRPr="006F084A" w:rsidRDefault="00694EFF" w:rsidP="004E0684">
      <w:pPr>
        <w:pStyle w:val="Textonotapie"/>
      </w:pPr>
      <w:r>
        <w:tab/>
      </w:r>
      <w:r w:rsidRPr="007518EE">
        <w:rPr>
          <w:rStyle w:val="Refdenotaalpie"/>
        </w:rPr>
        <w:footnoteRef/>
      </w:r>
      <w:r w:rsidRPr="006F084A">
        <w:tab/>
      </w:r>
      <w:r w:rsidRPr="006F084A">
        <w:rPr>
          <w:i/>
          <w:iCs/>
        </w:rPr>
        <w:t>Boletín Oficial</w:t>
      </w:r>
      <w:r w:rsidRPr="006F084A">
        <w:t xml:space="preserve"> núm. 6.387, publicado el 1 de </w:t>
      </w:r>
      <w:proofErr w:type="spellStart"/>
      <w:r w:rsidRPr="006F084A">
        <w:t>Dhu</w:t>
      </w:r>
      <w:proofErr w:type="spellEnd"/>
      <w:r w:rsidRPr="006F084A">
        <w:t>-l-</w:t>
      </w:r>
      <w:proofErr w:type="spellStart"/>
      <w:r w:rsidRPr="006F084A">
        <w:t>qaada</w:t>
      </w:r>
      <w:proofErr w:type="spellEnd"/>
      <w:r w:rsidRPr="006F084A">
        <w:t xml:space="preserve"> de 1436 (17 de agosto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AB80B" w14:textId="5484DAF7" w:rsidR="00694EFF" w:rsidRPr="005C491F" w:rsidRDefault="00694EFF">
    <w:pPr>
      <w:pStyle w:val="Encabezado"/>
    </w:pPr>
    <w:r>
      <w:fldChar w:fldCharType="begin"/>
    </w:r>
    <w:r>
      <w:instrText xml:space="preserve"> TITLE  \* MERGEFORMAT </w:instrText>
    </w:r>
    <w:r>
      <w:fldChar w:fldCharType="separate"/>
    </w:r>
    <w:proofErr w:type="spellStart"/>
    <w:r w:rsidR="002C2708">
      <w:t>HRI</w:t>
    </w:r>
    <w:proofErr w:type="spellEnd"/>
    <w:r w:rsidR="002C2708">
      <w:t>/CORE/MAR/2020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EA6EF" w14:textId="79F499BE" w:rsidR="00694EFF" w:rsidRPr="005C491F" w:rsidRDefault="00694EFF" w:rsidP="005C491F">
    <w:pPr>
      <w:pStyle w:val="Encabezado"/>
      <w:jc w:val="right"/>
    </w:pPr>
    <w:r>
      <w:fldChar w:fldCharType="begin"/>
    </w:r>
    <w:r>
      <w:instrText xml:space="preserve"> TITLE  \* MERGEFORMAT </w:instrText>
    </w:r>
    <w:r>
      <w:fldChar w:fldCharType="separate"/>
    </w:r>
    <w:proofErr w:type="spellStart"/>
    <w:r w:rsidR="002C2708">
      <w:t>HRI</w:t>
    </w:r>
    <w:proofErr w:type="spellEnd"/>
    <w:r w:rsidR="002C2708">
      <w:t>/CORE/MAR/2020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3088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54A05DD"/>
    <w:multiLevelType w:val="hybridMultilevel"/>
    <w:tmpl w:val="29F286EA"/>
    <w:lvl w:ilvl="0" w:tplc="04090001">
      <w:start w:val="1"/>
      <w:numFmt w:val="bullet"/>
      <w:lvlText w:val=""/>
      <w:lvlJc w:val="left"/>
      <w:pPr>
        <w:ind w:left="1851" w:hanging="360"/>
      </w:pPr>
      <w:rPr>
        <w:rFonts w:ascii="Symbol" w:hAnsi="Symbol"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1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6"/>
  </w:num>
  <w:num w:numId="3">
    <w:abstractNumId w:val="13"/>
  </w:num>
  <w:num w:numId="4">
    <w:abstractNumId w:val="15"/>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9E"/>
    <w:rsid w:val="00000A64"/>
    <w:rsid w:val="00033EE1"/>
    <w:rsid w:val="00051C51"/>
    <w:rsid w:val="000A29B8"/>
    <w:rsid w:val="000B57E7"/>
    <w:rsid w:val="000F09DF"/>
    <w:rsid w:val="000F4C6D"/>
    <w:rsid w:val="000F61B2"/>
    <w:rsid w:val="00100248"/>
    <w:rsid w:val="001075E9"/>
    <w:rsid w:val="00112C24"/>
    <w:rsid w:val="00114AD4"/>
    <w:rsid w:val="00122993"/>
    <w:rsid w:val="001256EA"/>
    <w:rsid w:val="001560AB"/>
    <w:rsid w:val="001611AC"/>
    <w:rsid w:val="0017589D"/>
    <w:rsid w:val="00180183"/>
    <w:rsid w:val="00181AFB"/>
    <w:rsid w:val="0018649F"/>
    <w:rsid w:val="00196389"/>
    <w:rsid w:val="001C7A89"/>
    <w:rsid w:val="002145F2"/>
    <w:rsid w:val="002378F4"/>
    <w:rsid w:val="002A0D23"/>
    <w:rsid w:val="002A2EFC"/>
    <w:rsid w:val="002B0F41"/>
    <w:rsid w:val="002C0E18"/>
    <w:rsid w:val="002C2708"/>
    <w:rsid w:val="002D1B4A"/>
    <w:rsid w:val="002D5AAC"/>
    <w:rsid w:val="00301299"/>
    <w:rsid w:val="00302D2B"/>
    <w:rsid w:val="00322004"/>
    <w:rsid w:val="00336940"/>
    <w:rsid w:val="003402C2"/>
    <w:rsid w:val="0036600C"/>
    <w:rsid w:val="00381C24"/>
    <w:rsid w:val="003958D0"/>
    <w:rsid w:val="003B00E5"/>
    <w:rsid w:val="003C77BF"/>
    <w:rsid w:val="00414A16"/>
    <w:rsid w:val="00427F10"/>
    <w:rsid w:val="00454E07"/>
    <w:rsid w:val="00465412"/>
    <w:rsid w:val="004705A5"/>
    <w:rsid w:val="00496962"/>
    <w:rsid w:val="004A2305"/>
    <w:rsid w:val="004C049E"/>
    <w:rsid w:val="004C662A"/>
    <w:rsid w:val="004D3D0B"/>
    <w:rsid w:val="004D45DB"/>
    <w:rsid w:val="004D7088"/>
    <w:rsid w:val="004E0684"/>
    <w:rsid w:val="004E2640"/>
    <w:rsid w:val="004F510C"/>
    <w:rsid w:val="0050108D"/>
    <w:rsid w:val="00501F38"/>
    <w:rsid w:val="00514A0D"/>
    <w:rsid w:val="00515B0A"/>
    <w:rsid w:val="00517B56"/>
    <w:rsid w:val="00521126"/>
    <w:rsid w:val="00522544"/>
    <w:rsid w:val="00523C1F"/>
    <w:rsid w:val="005332CE"/>
    <w:rsid w:val="00557AA7"/>
    <w:rsid w:val="00572E19"/>
    <w:rsid w:val="005A1AA8"/>
    <w:rsid w:val="005C43E4"/>
    <w:rsid w:val="005C491F"/>
    <w:rsid w:val="005E5D0D"/>
    <w:rsid w:val="005E692D"/>
    <w:rsid w:val="005F0B42"/>
    <w:rsid w:val="00610536"/>
    <w:rsid w:val="00652D48"/>
    <w:rsid w:val="00655B52"/>
    <w:rsid w:val="00656701"/>
    <w:rsid w:val="00666938"/>
    <w:rsid w:val="0069426E"/>
    <w:rsid w:val="00694EFF"/>
    <w:rsid w:val="006C1EF8"/>
    <w:rsid w:val="006E69AB"/>
    <w:rsid w:val="006F35EE"/>
    <w:rsid w:val="006F4396"/>
    <w:rsid w:val="007021FF"/>
    <w:rsid w:val="007053C4"/>
    <w:rsid w:val="0071693A"/>
    <w:rsid w:val="00717C81"/>
    <w:rsid w:val="00725B46"/>
    <w:rsid w:val="007358B2"/>
    <w:rsid w:val="00757357"/>
    <w:rsid w:val="00757538"/>
    <w:rsid w:val="00764249"/>
    <w:rsid w:val="007671AA"/>
    <w:rsid w:val="007754D2"/>
    <w:rsid w:val="007972A8"/>
    <w:rsid w:val="007D4AFD"/>
    <w:rsid w:val="007E1B71"/>
    <w:rsid w:val="00825CEC"/>
    <w:rsid w:val="008263FA"/>
    <w:rsid w:val="0082699E"/>
    <w:rsid w:val="00834B71"/>
    <w:rsid w:val="008476A6"/>
    <w:rsid w:val="008504FF"/>
    <w:rsid w:val="00853903"/>
    <w:rsid w:val="00862368"/>
    <w:rsid w:val="0086445C"/>
    <w:rsid w:val="00874808"/>
    <w:rsid w:val="008A08D7"/>
    <w:rsid w:val="008A1DA8"/>
    <w:rsid w:val="008B075D"/>
    <w:rsid w:val="008B165A"/>
    <w:rsid w:val="008B6578"/>
    <w:rsid w:val="008C1073"/>
    <w:rsid w:val="008E2DAA"/>
    <w:rsid w:val="00901CD5"/>
    <w:rsid w:val="00906890"/>
    <w:rsid w:val="00932CF7"/>
    <w:rsid w:val="00951972"/>
    <w:rsid w:val="0095700F"/>
    <w:rsid w:val="00961E41"/>
    <w:rsid w:val="0096216B"/>
    <w:rsid w:val="00992832"/>
    <w:rsid w:val="00996881"/>
    <w:rsid w:val="00996BF2"/>
    <w:rsid w:val="00997C96"/>
    <w:rsid w:val="009A04C4"/>
    <w:rsid w:val="009A2020"/>
    <w:rsid w:val="009A60E4"/>
    <w:rsid w:val="009B12A0"/>
    <w:rsid w:val="009C135B"/>
    <w:rsid w:val="00A917B3"/>
    <w:rsid w:val="00A93D69"/>
    <w:rsid w:val="00A95BE3"/>
    <w:rsid w:val="00AB4B51"/>
    <w:rsid w:val="00AC20D2"/>
    <w:rsid w:val="00AC76E8"/>
    <w:rsid w:val="00B10CC7"/>
    <w:rsid w:val="00B31513"/>
    <w:rsid w:val="00B43F85"/>
    <w:rsid w:val="00B460DE"/>
    <w:rsid w:val="00B53F22"/>
    <w:rsid w:val="00B56649"/>
    <w:rsid w:val="00B62458"/>
    <w:rsid w:val="00B8196D"/>
    <w:rsid w:val="00B8306A"/>
    <w:rsid w:val="00BA56B6"/>
    <w:rsid w:val="00BB6203"/>
    <w:rsid w:val="00BD33EE"/>
    <w:rsid w:val="00C057D5"/>
    <w:rsid w:val="00C57E42"/>
    <w:rsid w:val="00C60F0C"/>
    <w:rsid w:val="00C805C9"/>
    <w:rsid w:val="00CA1679"/>
    <w:rsid w:val="00CA190D"/>
    <w:rsid w:val="00CA619A"/>
    <w:rsid w:val="00CC326A"/>
    <w:rsid w:val="00CD5D3D"/>
    <w:rsid w:val="00CF3CC0"/>
    <w:rsid w:val="00D05606"/>
    <w:rsid w:val="00D33D63"/>
    <w:rsid w:val="00D4001E"/>
    <w:rsid w:val="00D51553"/>
    <w:rsid w:val="00D7319E"/>
    <w:rsid w:val="00D82712"/>
    <w:rsid w:val="00D90138"/>
    <w:rsid w:val="00D9448F"/>
    <w:rsid w:val="00DB6076"/>
    <w:rsid w:val="00DC036C"/>
    <w:rsid w:val="00DC7179"/>
    <w:rsid w:val="00DD0330"/>
    <w:rsid w:val="00DE21E9"/>
    <w:rsid w:val="00E0252E"/>
    <w:rsid w:val="00E17493"/>
    <w:rsid w:val="00E2391B"/>
    <w:rsid w:val="00E34D4B"/>
    <w:rsid w:val="00E60314"/>
    <w:rsid w:val="00E73F76"/>
    <w:rsid w:val="00E85A1E"/>
    <w:rsid w:val="00EA4B2C"/>
    <w:rsid w:val="00EC2B77"/>
    <w:rsid w:val="00EF1360"/>
    <w:rsid w:val="00EF3220"/>
    <w:rsid w:val="00F0059D"/>
    <w:rsid w:val="00F2520F"/>
    <w:rsid w:val="00F80811"/>
    <w:rsid w:val="00F81780"/>
    <w:rsid w:val="00F94155"/>
    <w:rsid w:val="00FD2EF7"/>
    <w:rsid w:val="00FE4F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F6B7FA"/>
  <w15:docId w15:val="{B150765F-4806-4893-BE4D-59FA036C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000A64"/>
    <w:pPr>
      <w:spacing w:line="240" w:lineRule="atLeast"/>
    </w:pPr>
    <w:rPr>
      <w:lang w:val="es-ES" w:eastAsia="es-ES"/>
    </w:rPr>
  </w:style>
  <w:style w:type="paragraph" w:styleId="Ttulo1">
    <w:name w:val="heading 1"/>
    <w:aliases w:val="Cuadro_G,Table_GA,Table_G"/>
    <w:basedOn w:val="SingleTxtG"/>
    <w:next w:val="SingleTxtG"/>
    <w:link w:val="Ttulo1Car"/>
    <w:uiPriority w:val="9"/>
    <w:qFormat/>
    <w:rsid w:val="00000A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000A64"/>
    <w:pPr>
      <w:keepNext/>
      <w:outlineLvl w:val="1"/>
    </w:pPr>
    <w:rPr>
      <w:rFonts w:cs="Arial"/>
      <w:bCs/>
      <w:iCs/>
      <w:szCs w:val="28"/>
    </w:rPr>
  </w:style>
  <w:style w:type="paragraph" w:styleId="Ttulo3">
    <w:name w:val="heading 3"/>
    <w:basedOn w:val="Normal"/>
    <w:next w:val="Normal"/>
    <w:link w:val="Ttulo3Car"/>
    <w:rsid w:val="00000A64"/>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000A64"/>
    <w:pPr>
      <w:keepNext/>
      <w:spacing w:before="240" w:after="60"/>
      <w:outlineLvl w:val="3"/>
    </w:pPr>
    <w:rPr>
      <w:b/>
      <w:bCs/>
      <w:sz w:val="28"/>
      <w:szCs w:val="28"/>
    </w:rPr>
  </w:style>
  <w:style w:type="paragraph" w:styleId="Ttulo5">
    <w:name w:val="heading 5"/>
    <w:basedOn w:val="Normal"/>
    <w:next w:val="Normal"/>
    <w:link w:val="Ttulo5Car"/>
    <w:rsid w:val="00000A64"/>
    <w:pPr>
      <w:spacing w:before="240" w:after="60"/>
      <w:outlineLvl w:val="4"/>
    </w:pPr>
    <w:rPr>
      <w:b/>
      <w:bCs/>
      <w:i/>
      <w:iCs/>
      <w:sz w:val="26"/>
      <w:szCs w:val="26"/>
    </w:rPr>
  </w:style>
  <w:style w:type="paragraph" w:styleId="Ttulo6">
    <w:name w:val="heading 6"/>
    <w:basedOn w:val="Normal"/>
    <w:next w:val="Normal"/>
    <w:link w:val="Ttulo6Car"/>
    <w:rsid w:val="00000A64"/>
    <w:pPr>
      <w:spacing w:before="240" w:after="60"/>
      <w:outlineLvl w:val="5"/>
    </w:pPr>
    <w:rPr>
      <w:b/>
      <w:bCs/>
      <w:sz w:val="22"/>
      <w:szCs w:val="22"/>
    </w:rPr>
  </w:style>
  <w:style w:type="paragraph" w:styleId="Ttulo7">
    <w:name w:val="heading 7"/>
    <w:basedOn w:val="Normal"/>
    <w:next w:val="Normal"/>
    <w:link w:val="Ttulo7Car"/>
    <w:rsid w:val="00000A64"/>
    <w:pPr>
      <w:spacing w:before="240" w:after="60"/>
      <w:outlineLvl w:val="6"/>
    </w:pPr>
    <w:rPr>
      <w:sz w:val="24"/>
      <w:szCs w:val="24"/>
    </w:rPr>
  </w:style>
  <w:style w:type="paragraph" w:styleId="Ttulo8">
    <w:name w:val="heading 8"/>
    <w:basedOn w:val="Normal"/>
    <w:next w:val="Normal"/>
    <w:link w:val="Ttulo8Car"/>
    <w:rsid w:val="00000A64"/>
    <w:pPr>
      <w:spacing w:before="240" w:after="60"/>
      <w:outlineLvl w:val="7"/>
    </w:pPr>
    <w:rPr>
      <w:i/>
      <w:iCs/>
      <w:sz w:val="24"/>
      <w:szCs w:val="24"/>
    </w:rPr>
  </w:style>
  <w:style w:type="paragraph" w:styleId="Ttulo9">
    <w:name w:val="heading 9"/>
    <w:basedOn w:val="Normal"/>
    <w:next w:val="Normal"/>
    <w:link w:val="Ttulo9Car"/>
    <w:rsid w:val="00000A6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ب,4_GA,-E Fußnotenzeichen,-E Fuίnotenzeichen,E FNZ,EN Footnote Reference,Exposant 3 Point,Footnote Reference Number,Footnote reference number,Footnote symbol,Footnote#,Ref,SUPERS,Times 10 Point,de nota al pie,note TESI"/>
    <w:uiPriority w:val="3"/>
    <w:qFormat/>
    <w:rsid w:val="00000A64"/>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000A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000A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000A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000A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000A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6_GA"/>
    <w:basedOn w:val="Normal"/>
    <w:next w:val="Normal"/>
    <w:link w:val="EncabezadoCar"/>
    <w:uiPriority w:val="3"/>
    <w:qFormat/>
    <w:rsid w:val="00000A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000A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000A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000A64"/>
    <w:pPr>
      <w:keepNext/>
      <w:keepLines/>
      <w:spacing w:before="240" w:after="240" w:line="580" w:lineRule="exact"/>
      <w:ind w:left="1134" w:right="1134"/>
    </w:pPr>
    <w:rPr>
      <w:b/>
      <w:sz w:val="56"/>
    </w:rPr>
  </w:style>
  <w:style w:type="paragraph" w:customStyle="1" w:styleId="SSG">
    <w:name w:val="__S_S_G"/>
    <w:basedOn w:val="Normal"/>
    <w:next w:val="Normal"/>
    <w:uiPriority w:val="5"/>
    <w:rsid w:val="00000A64"/>
    <w:pPr>
      <w:keepNext/>
      <w:keepLines/>
      <w:spacing w:before="240" w:after="240" w:line="300" w:lineRule="exact"/>
      <w:ind w:left="1134" w:right="1134"/>
    </w:pPr>
    <w:rPr>
      <w:b/>
      <w:sz w:val="28"/>
    </w:rPr>
  </w:style>
  <w:style w:type="paragraph" w:styleId="Piedepgina">
    <w:name w:val="footer"/>
    <w:aliases w:val="3_G,3_GA"/>
    <w:basedOn w:val="Normal"/>
    <w:next w:val="Normal"/>
    <w:link w:val="PiedepginaCar"/>
    <w:uiPriority w:val="3"/>
    <w:qFormat/>
    <w:rsid w:val="00000A64"/>
    <w:rPr>
      <w:sz w:val="16"/>
    </w:rPr>
  </w:style>
  <w:style w:type="paragraph" w:customStyle="1" w:styleId="XLargeG">
    <w:name w:val="__XLarge_G"/>
    <w:basedOn w:val="Normal"/>
    <w:next w:val="Normal"/>
    <w:uiPriority w:val="5"/>
    <w:rsid w:val="00000A64"/>
    <w:pPr>
      <w:keepNext/>
      <w:keepLines/>
      <w:spacing w:before="240" w:after="240" w:line="420" w:lineRule="exact"/>
      <w:ind w:left="1134" w:right="1134"/>
    </w:pPr>
    <w:rPr>
      <w:b/>
      <w:sz w:val="40"/>
    </w:rPr>
  </w:style>
  <w:style w:type="paragraph" w:styleId="Textonotapie">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TextonotapieCar"/>
    <w:uiPriority w:val="3"/>
    <w:qFormat/>
    <w:rsid w:val="00000A64"/>
    <w:pPr>
      <w:tabs>
        <w:tab w:val="right" w:pos="1021"/>
      </w:tabs>
      <w:spacing w:line="220" w:lineRule="exact"/>
      <w:ind w:left="1134" w:right="1134" w:hanging="1134"/>
    </w:pPr>
    <w:rPr>
      <w:sz w:val="18"/>
    </w:rPr>
  </w:style>
  <w:style w:type="table" w:styleId="Tablaconcuadrcula">
    <w:name w:val="Table Grid"/>
    <w:basedOn w:val="Tablanormal"/>
    <w:rsid w:val="00000A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000A64"/>
    <w:pPr>
      <w:numPr>
        <w:numId w:val="1"/>
      </w:numPr>
    </w:pPr>
  </w:style>
  <w:style w:type="numbering" w:styleId="1ai">
    <w:name w:val="Outline List 1"/>
    <w:basedOn w:val="Sinlista"/>
    <w:rsid w:val="00000A64"/>
    <w:pPr>
      <w:numPr>
        <w:numId w:val="2"/>
      </w:numPr>
    </w:pPr>
  </w:style>
  <w:style w:type="character" w:styleId="AcrnimoHTML">
    <w:name w:val="HTML Acronym"/>
    <w:basedOn w:val="Fuentedeprrafopredeter"/>
    <w:semiHidden/>
    <w:rsid w:val="00000A64"/>
  </w:style>
  <w:style w:type="numbering" w:styleId="ArtculoSeccin">
    <w:name w:val="Outline List 3"/>
    <w:basedOn w:val="Sinlista"/>
    <w:rsid w:val="00000A64"/>
    <w:pPr>
      <w:numPr>
        <w:numId w:val="3"/>
      </w:numPr>
    </w:pPr>
  </w:style>
  <w:style w:type="paragraph" w:styleId="Cierre">
    <w:name w:val="Closing"/>
    <w:basedOn w:val="Normal"/>
    <w:link w:val="CierreCar"/>
    <w:semiHidden/>
    <w:rsid w:val="00000A64"/>
    <w:pPr>
      <w:ind w:left="4252"/>
    </w:pPr>
  </w:style>
  <w:style w:type="character" w:styleId="CitaHTML">
    <w:name w:val="HTML Cite"/>
    <w:semiHidden/>
    <w:rsid w:val="00000A64"/>
    <w:rPr>
      <w:i/>
      <w:iCs/>
    </w:rPr>
  </w:style>
  <w:style w:type="character" w:styleId="CdigoHTML">
    <w:name w:val="HTML Code"/>
    <w:semiHidden/>
    <w:rsid w:val="00000A64"/>
    <w:rPr>
      <w:rFonts w:ascii="Courier New" w:hAnsi="Courier New" w:cs="Courier New"/>
      <w:sz w:val="20"/>
      <w:szCs w:val="20"/>
    </w:rPr>
  </w:style>
  <w:style w:type="paragraph" w:styleId="Continuarlista">
    <w:name w:val="List Continue"/>
    <w:basedOn w:val="Normal"/>
    <w:semiHidden/>
    <w:rsid w:val="00000A64"/>
    <w:pPr>
      <w:spacing w:after="120"/>
      <w:ind w:left="283"/>
    </w:pPr>
  </w:style>
  <w:style w:type="paragraph" w:styleId="Continuarlista2">
    <w:name w:val="List Continue 2"/>
    <w:basedOn w:val="Normal"/>
    <w:semiHidden/>
    <w:rsid w:val="00000A64"/>
    <w:pPr>
      <w:spacing w:after="120"/>
      <w:ind w:left="566"/>
    </w:pPr>
  </w:style>
  <w:style w:type="paragraph" w:styleId="Continuarlista3">
    <w:name w:val="List Continue 3"/>
    <w:basedOn w:val="Normal"/>
    <w:semiHidden/>
    <w:rsid w:val="00000A64"/>
    <w:pPr>
      <w:spacing w:after="120"/>
      <w:ind w:left="849"/>
    </w:pPr>
  </w:style>
  <w:style w:type="paragraph" w:styleId="Continuarlista4">
    <w:name w:val="List Continue 4"/>
    <w:basedOn w:val="Normal"/>
    <w:semiHidden/>
    <w:rsid w:val="00000A64"/>
    <w:pPr>
      <w:spacing w:after="120"/>
      <w:ind w:left="1132"/>
    </w:pPr>
  </w:style>
  <w:style w:type="paragraph" w:styleId="Continuarlista5">
    <w:name w:val="List Continue 5"/>
    <w:basedOn w:val="Normal"/>
    <w:semiHidden/>
    <w:rsid w:val="00000A64"/>
    <w:pPr>
      <w:spacing w:after="120"/>
      <w:ind w:left="1415"/>
    </w:pPr>
  </w:style>
  <w:style w:type="character" w:styleId="DefinicinHTML">
    <w:name w:val="HTML Definition"/>
    <w:semiHidden/>
    <w:rsid w:val="00000A64"/>
    <w:rPr>
      <w:i/>
      <w:iCs/>
    </w:rPr>
  </w:style>
  <w:style w:type="paragraph" w:styleId="DireccinHTML">
    <w:name w:val="HTML Address"/>
    <w:basedOn w:val="Normal"/>
    <w:link w:val="DireccinHTMLCar"/>
    <w:semiHidden/>
    <w:rsid w:val="00000A64"/>
    <w:rPr>
      <w:i/>
      <w:iCs/>
    </w:rPr>
  </w:style>
  <w:style w:type="paragraph" w:styleId="Direccinsobre">
    <w:name w:val="envelope address"/>
    <w:basedOn w:val="Normal"/>
    <w:semiHidden/>
    <w:rsid w:val="00000A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000A64"/>
    <w:rPr>
      <w:rFonts w:ascii="Courier New" w:hAnsi="Courier New" w:cs="Courier New"/>
    </w:rPr>
  </w:style>
  <w:style w:type="paragraph" w:styleId="Encabezadodemensaje">
    <w:name w:val="Message Header"/>
    <w:basedOn w:val="Normal"/>
    <w:link w:val="EncabezadodemensajeCar"/>
    <w:semiHidden/>
    <w:rsid w:val="00000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000A64"/>
  </w:style>
  <w:style w:type="character" w:styleId="nfasis">
    <w:name w:val="Emphasis"/>
    <w:rsid w:val="00000A64"/>
    <w:rPr>
      <w:i/>
      <w:iCs/>
    </w:rPr>
  </w:style>
  <w:style w:type="paragraph" w:styleId="Fecha">
    <w:name w:val="Date"/>
    <w:basedOn w:val="Normal"/>
    <w:next w:val="Normal"/>
    <w:link w:val="FechaCar"/>
    <w:semiHidden/>
    <w:rsid w:val="00000A64"/>
  </w:style>
  <w:style w:type="paragraph" w:styleId="Firma">
    <w:name w:val="Signature"/>
    <w:basedOn w:val="Normal"/>
    <w:link w:val="FirmaCar"/>
    <w:semiHidden/>
    <w:rsid w:val="00000A64"/>
    <w:pPr>
      <w:ind w:left="4252"/>
    </w:pPr>
  </w:style>
  <w:style w:type="paragraph" w:styleId="Firmadecorreoelectrnico">
    <w:name w:val="E-mail Signature"/>
    <w:basedOn w:val="Normal"/>
    <w:link w:val="FirmadecorreoelectrnicoCar"/>
    <w:semiHidden/>
    <w:rsid w:val="00000A64"/>
  </w:style>
  <w:style w:type="character" w:styleId="Hipervnculo">
    <w:name w:val="Hyperlink"/>
    <w:uiPriority w:val="4"/>
    <w:rsid w:val="00000A64"/>
    <w:rPr>
      <w:color w:val="0000FF"/>
      <w:u w:val="none"/>
    </w:rPr>
  </w:style>
  <w:style w:type="character" w:styleId="Hipervnculovisitado">
    <w:name w:val="FollowedHyperlink"/>
    <w:uiPriority w:val="4"/>
    <w:rsid w:val="00000A64"/>
    <w:rPr>
      <w:color w:val="0000FF"/>
      <w:u w:val="none"/>
    </w:rPr>
  </w:style>
  <w:style w:type="paragraph" w:styleId="HTMLconformatoprevio">
    <w:name w:val="HTML Preformatted"/>
    <w:basedOn w:val="Normal"/>
    <w:link w:val="HTMLconformatoprevioCar"/>
    <w:semiHidden/>
    <w:rsid w:val="00000A64"/>
    <w:rPr>
      <w:rFonts w:ascii="Courier New" w:hAnsi="Courier New" w:cs="Courier New"/>
    </w:rPr>
  </w:style>
  <w:style w:type="paragraph" w:styleId="Lista">
    <w:name w:val="List"/>
    <w:basedOn w:val="Normal"/>
    <w:semiHidden/>
    <w:rsid w:val="00000A64"/>
    <w:pPr>
      <w:ind w:left="283" w:hanging="283"/>
    </w:pPr>
  </w:style>
  <w:style w:type="paragraph" w:styleId="Lista2">
    <w:name w:val="List 2"/>
    <w:basedOn w:val="Normal"/>
    <w:semiHidden/>
    <w:rsid w:val="00000A64"/>
    <w:pPr>
      <w:ind w:left="566" w:hanging="283"/>
    </w:pPr>
  </w:style>
  <w:style w:type="paragraph" w:styleId="Lista3">
    <w:name w:val="List 3"/>
    <w:basedOn w:val="Normal"/>
    <w:semiHidden/>
    <w:rsid w:val="00000A64"/>
    <w:pPr>
      <w:ind w:left="849" w:hanging="283"/>
    </w:pPr>
  </w:style>
  <w:style w:type="paragraph" w:styleId="Lista4">
    <w:name w:val="List 4"/>
    <w:basedOn w:val="Normal"/>
    <w:semiHidden/>
    <w:rsid w:val="00000A64"/>
    <w:pPr>
      <w:ind w:left="1132" w:hanging="283"/>
    </w:pPr>
  </w:style>
  <w:style w:type="paragraph" w:styleId="Lista5">
    <w:name w:val="List 5"/>
    <w:basedOn w:val="Normal"/>
    <w:semiHidden/>
    <w:rsid w:val="00000A64"/>
    <w:pPr>
      <w:ind w:left="1415" w:hanging="283"/>
    </w:pPr>
  </w:style>
  <w:style w:type="paragraph" w:styleId="Listaconnmeros">
    <w:name w:val="List Number"/>
    <w:basedOn w:val="Normal"/>
    <w:semiHidden/>
    <w:rsid w:val="00000A64"/>
    <w:pPr>
      <w:numPr>
        <w:numId w:val="13"/>
      </w:numPr>
    </w:pPr>
  </w:style>
  <w:style w:type="paragraph" w:styleId="Listaconnmeros2">
    <w:name w:val="List Number 2"/>
    <w:basedOn w:val="Normal"/>
    <w:semiHidden/>
    <w:rsid w:val="00000A64"/>
    <w:pPr>
      <w:numPr>
        <w:numId w:val="14"/>
      </w:numPr>
    </w:pPr>
  </w:style>
  <w:style w:type="paragraph" w:styleId="Listaconnmeros3">
    <w:name w:val="List Number 3"/>
    <w:basedOn w:val="Normal"/>
    <w:semiHidden/>
    <w:rsid w:val="00000A64"/>
    <w:pPr>
      <w:numPr>
        <w:numId w:val="15"/>
      </w:numPr>
    </w:pPr>
  </w:style>
  <w:style w:type="paragraph" w:styleId="Listaconnmeros4">
    <w:name w:val="List Number 4"/>
    <w:basedOn w:val="Normal"/>
    <w:semiHidden/>
    <w:rsid w:val="00000A64"/>
    <w:pPr>
      <w:numPr>
        <w:numId w:val="16"/>
      </w:numPr>
    </w:pPr>
  </w:style>
  <w:style w:type="paragraph" w:styleId="Listaconnmeros5">
    <w:name w:val="List Number 5"/>
    <w:basedOn w:val="Normal"/>
    <w:semiHidden/>
    <w:rsid w:val="00000A64"/>
    <w:pPr>
      <w:numPr>
        <w:numId w:val="17"/>
      </w:numPr>
    </w:pPr>
  </w:style>
  <w:style w:type="paragraph" w:styleId="Listaconvietas">
    <w:name w:val="List Bullet"/>
    <w:basedOn w:val="Normal"/>
    <w:semiHidden/>
    <w:rsid w:val="00000A64"/>
    <w:pPr>
      <w:numPr>
        <w:numId w:val="8"/>
      </w:numPr>
    </w:pPr>
  </w:style>
  <w:style w:type="paragraph" w:styleId="Listaconvietas2">
    <w:name w:val="List Bullet 2"/>
    <w:basedOn w:val="Normal"/>
    <w:semiHidden/>
    <w:rsid w:val="00000A64"/>
    <w:pPr>
      <w:numPr>
        <w:numId w:val="9"/>
      </w:numPr>
    </w:pPr>
  </w:style>
  <w:style w:type="paragraph" w:styleId="Listaconvietas3">
    <w:name w:val="List Bullet 3"/>
    <w:basedOn w:val="Normal"/>
    <w:semiHidden/>
    <w:rsid w:val="00000A64"/>
    <w:pPr>
      <w:numPr>
        <w:numId w:val="10"/>
      </w:numPr>
    </w:pPr>
  </w:style>
  <w:style w:type="paragraph" w:styleId="Listaconvietas4">
    <w:name w:val="List Bullet 4"/>
    <w:basedOn w:val="Normal"/>
    <w:semiHidden/>
    <w:rsid w:val="00000A64"/>
    <w:pPr>
      <w:numPr>
        <w:numId w:val="11"/>
      </w:numPr>
    </w:pPr>
  </w:style>
  <w:style w:type="paragraph" w:styleId="Listaconvietas5">
    <w:name w:val="List Bullet 5"/>
    <w:basedOn w:val="Normal"/>
    <w:semiHidden/>
    <w:rsid w:val="00000A64"/>
    <w:pPr>
      <w:numPr>
        <w:numId w:val="12"/>
      </w:numPr>
    </w:pPr>
  </w:style>
  <w:style w:type="character" w:styleId="MquinadeescribirHTML">
    <w:name w:val="HTML Typewriter"/>
    <w:semiHidden/>
    <w:rsid w:val="00000A64"/>
    <w:rPr>
      <w:rFonts w:ascii="Courier New" w:hAnsi="Courier New" w:cs="Courier New"/>
      <w:sz w:val="20"/>
      <w:szCs w:val="20"/>
    </w:rPr>
  </w:style>
  <w:style w:type="paragraph" w:styleId="NormalWeb">
    <w:name w:val="Normal (Web)"/>
    <w:basedOn w:val="Normal"/>
    <w:rsid w:val="00000A64"/>
    <w:rPr>
      <w:sz w:val="24"/>
      <w:szCs w:val="24"/>
    </w:rPr>
  </w:style>
  <w:style w:type="character" w:styleId="Nmerodelnea">
    <w:name w:val="line number"/>
    <w:basedOn w:val="Fuentedeprrafopredeter"/>
    <w:rsid w:val="00000A64"/>
  </w:style>
  <w:style w:type="character" w:styleId="Nmerodepgina">
    <w:name w:val="page number"/>
    <w:aliases w:val="7_G,7_GA"/>
    <w:uiPriority w:val="3"/>
    <w:qFormat/>
    <w:rsid w:val="00000A64"/>
    <w:rPr>
      <w:b/>
      <w:sz w:val="18"/>
    </w:rPr>
  </w:style>
  <w:style w:type="character" w:styleId="Refdenotaalfinal">
    <w:name w:val="endnote reference"/>
    <w:aliases w:val="1_G"/>
    <w:uiPriority w:val="3"/>
    <w:qFormat/>
    <w:rsid w:val="00000A64"/>
    <w:rPr>
      <w:rFonts w:ascii="Times New Roman" w:hAnsi="Times New Roman"/>
      <w:sz w:val="18"/>
      <w:vertAlign w:val="superscript"/>
    </w:rPr>
  </w:style>
  <w:style w:type="paragraph" w:styleId="Remitedesobre">
    <w:name w:val="envelope return"/>
    <w:basedOn w:val="Normal"/>
    <w:semiHidden/>
    <w:rsid w:val="00000A64"/>
    <w:rPr>
      <w:rFonts w:ascii="Arial" w:hAnsi="Arial" w:cs="Arial"/>
    </w:rPr>
  </w:style>
  <w:style w:type="paragraph" w:styleId="Saludo">
    <w:name w:val="Salutation"/>
    <w:basedOn w:val="Normal"/>
    <w:next w:val="Normal"/>
    <w:link w:val="SaludoCar"/>
    <w:semiHidden/>
    <w:rsid w:val="00000A64"/>
  </w:style>
  <w:style w:type="paragraph" w:styleId="Sangra2detindependiente">
    <w:name w:val="Body Text Indent 2"/>
    <w:basedOn w:val="Normal"/>
    <w:link w:val="Sangra2detindependienteCar"/>
    <w:semiHidden/>
    <w:rsid w:val="00000A64"/>
    <w:pPr>
      <w:spacing w:after="120" w:line="480" w:lineRule="auto"/>
      <w:ind w:left="283"/>
    </w:pPr>
  </w:style>
  <w:style w:type="paragraph" w:styleId="Sangra3detindependiente">
    <w:name w:val="Body Text Indent 3"/>
    <w:basedOn w:val="Normal"/>
    <w:link w:val="Sangra3detindependienteCar"/>
    <w:semiHidden/>
    <w:rsid w:val="00000A64"/>
    <w:pPr>
      <w:spacing w:after="120"/>
      <w:ind w:left="283"/>
    </w:pPr>
    <w:rPr>
      <w:sz w:val="16"/>
      <w:szCs w:val="16"/>
    </w:rPr>
  </w:style>
  <w:style w:type="paragraph" w:styleId="Sangradetextonormal">
    <w:name w:val="Body Text Indent"/>
    <w:basedOn w:val="Normal"/>
    <w:link w:val="SangradetextonormalCar"/>
    <w:semiHidden/>
    <w:rsid w:val="00000A64"/>
    <w:pPr>
      <w:spacing w:after="120"/>
      <w:ind w:left="283"/>
    </w:pPr>
  </w:style>
  <w:style w:type="paragraph" w:styleId="Sangranormal">
    <w:name w:val="Normal Indent"/>
    <w:basedOn w:val="Normal"/>
    <w:semiHidden/>
    <w:rsid w:val="00000A64"/>
    <w:pPr>
      <w:ind w:left="567"/>
    </w:pPr>
  </w:style>
  <w:style w:type="paragraph" w:styleId="Subttulo">
    <w:name w:val="Subtitle"/>
    <w:basedOn w:val="Normal"/>
    <w:link w:val="SubttuloCar"/>
    <w:rsid w:val="00000A64"/>
    <w:pPr>
      <w:spacing w:after="60"/>
      <w:jc w:val="center"/>
      <w:outlineLvl w:val="1"/>
    </w:pPr>
    <w:rPr>
      <w:rFonts w:ascii="Arial" w:hAnsi="Arial" w:cs="Arial"/>
      <w:sz w:val="24"/>
      <w:szCs w:val="24"/>
    </w:rPr>
  </w:style>
  <w:style w:type="table" w:styleId="Tablabsica1">
    <w:name w:val="Table Simple 1"/>
    <w:basedOn w:val="Tablanormal"/>
    <w:rsid w:val="00000A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000A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000A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000A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000A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000A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000A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000A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000A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000A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000A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000A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000A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000A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000A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000A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000A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000A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000A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000A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000A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000A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000A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000A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000A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000A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000A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000A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000A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000A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000A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000A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000A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000A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000A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000A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000A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000A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000A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000A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000A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000A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000A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000A64"/>
    <w:rPr>
      <w:rFonts w:ascii="Courier New" w:hAnsi="Courier New" w:cs="Courier New"/>
      <w:sz w:val="20"/>
      <w:szCs w:val="20"/>
    </w:rPr>
  </w:style>
  <w:style w:type="paragraph" w:styleId="Textodebloque">
    <w:name w:val="Block Text"/>
    <w:basedOn w:val="Normal"/>
    <w:semiHidden/>
    <w:rsid w:val="00000A64"/>
    <w:pPr>
      <w:spacing w:after="120"/>
      <w:ind w:left="1440" w:right="1440"/>
    </w:pPr>
  </w:style>
  <w:style w:type="character" w:styleId="Textoennegrita">
    <w:name w:val="Strong"/>
    <w:rsid w:val="00000A64"/>
    <w:rPr>
      <w:b/>
      <w:bCs/>
    </w:rPr>
  </w:style>
  <w:style w:type="paragraph" w:styleId="Textoindependiente">
    <w:name w:val="Body Text"/>
    <w:basedOn w:val="Normal"/>
    <w:link w:val="TextoindependienteCar"/>
    <w:semiHidden/>
    <w:rsid w:val="00000A64"/>
    <w:pPr>
      <w:spacing w:after="120"/>
    </w:pPr>
  </w:style>
  <w:style w:type="paragraph" w:styleId="Textoindependiente2">
    <w:name w:val="Body Text 2"/>
    <w:basedOn w:val="Normal"/>
    <w:link w:val="Textoindependiente2Car"/>
    <w:semiHidden/>
    <w:rsid w:val="00000A64"/>
    <w:pPr>
      <w:spacing w:after="120" w:line="480" w:lineRule="auto"/>
    </w:pPr>
  </w:style>
  <w:style w:type="paragraph" w:styleId="Textoindependiente3">
    <w:name w:val="Body Text 3"/>
    <w:basedOn w:val="Normal"/>
    <w:link w:val="Textoindependiente3Car"/>
    <w:semiHidden/>
    <w:rsid w:val="00000A64"/>
    <w:pPr>
      <w:spacing w:after="120"/>
    </w:pPr>
    <w:rPr>
      <w:sz w:val="16"/>
      <w:szCs w:val="16"/>
    </w:rPr>
  </w:style>
  <w:style w:type="paragraph" w:styleId="Textoindependienteprimerasangra">
    <w:name w:val="Body Text First Indent"/>
    <w:basedOn w:val="Textoindependiente"/>
    <w:link w:val="TextoindependienteprimerasangraCar"/>
    <w:semiHidden/>
    <w:rsid w:val="00000A64"/>
    <w:pPr>
      <w:ind w:firstLine="210"/>
    </w:pPr>
  </w:style>
  <w:style w:type="paragraph" w:styleId="Textoindependienteprimerasangra2">
    <w:name w:val="Body Text First Indent 2"/>
    <w:basedOn w:val="Sangradetextonormal"/>
    <w:link w:val="Textoindependienteprimerasangra2Car"/>
    <w:semiHidden/>
    <w:rsid w:val="00000A64"/>
    <w:pPr>
      <w:ind w:firstLine="210"/>
    </w:pPr>
  </w:style>
  <w:style w:type="paragraph" w:styleId="Textonotaalfinal">
    <w:name w:val="endnote text"/>
    <w:aliases w:val="2_G,2_ GA"/>
    <w:basedOn w:val="Textonotapie"/>
    <w:link w:val="TextonotaalfinalCar"/>
    <w:uiPriority w:val="3"/>
    <w:qFormat/>
    <w:rsid w:val="00000A64"/>
  </w:style>
  <w:style w:type="paragraph" w:styleId="Textosinformato">
    <w:name w:val="Plain Text"/>
    <w:basedOn w:val="Normal"/>
    <w:link w:val="TextosinformatoCar"/>
    <w:semiHidden/>
    <w:rsid w:val="00000A64"/>
    <w:rPr>
      <w:rFonts w:ascii="Courier New" w:hAnsi="Courier New" w:cs="Courier New"/>
    </w:rPr>
  </w:style>
  <w:style w:type="paragraph" w:styleId="Ttulo">
    <w:name w:val="Title"/>
    <w:basedOn w:val="Normal"/>
    <w:link w:val="TtuloCar"/>
    <w:rsid w:val="00000A64"/>
    <w:pPr>
      <w:spacing w:before="240" w:after="60"/>
      <w:jc w:val="center"/>
      <w:outlineLvl w:val="0"/>
    </w:pPr>
    <w:rPr>
      <w:rFonts w:ascii="Arial" w:hAnsi="Arial" w:cs="Arial"/>
      <w:b/>
      <w:bCs/>
      <w:kern w:val="28"/>
      <w:sz w:val="32"/>
      <w:szCs w:val="32"/>
    </w:rPr>
  </w:style>
  <w:style w:type="character" w:styleId="VariableHTML">
    <w:name w:val="HTML Variable"/>
    <w:semiHidden/>
    <w:rsid w:val="00000A64"/>
    <w:rPr>
      <w:i/>
      <w:iCs/>
    </w:rPr>
  </w:style>
  <w:style w:type="paragraph" w:customStyle="1" w:styleId="Bullet1G">
    <w:name w:val="_Bullet 1_G"/>
    <w:basedOn w:val="Normal"/>
    <w:uiPriority w:val="1"/>
    <w:qFormat/>
    <w:rsid w:val="00000A64"/>
    <w:pPr>
      <w:numPr>
        <w:numId w:val="4"/>
      </w:numPr>
      <w:spacing w:after="120"/>
      <w:ind w:right="1134"/>
      <w:jc w:val="both"/>
    </w:pPr>
    <w:rPr>
      <w:lang w:eastAsia="en-US"/>
    </w:rPr>
  </w:style>
  <w:style w:type="paragraph" w:customStyle="1" w:styleId="Bullet2G">
    <w:name w:val="_Bullet 2_G"/>
    <w:basedOn w:val="Normal"/>
    <w:uiPriority w:val="1"/>
    <w:qFormat/>
    <w:rsid w:val="00000A64"/>
    <w:pPr>
      <w:numPr>
        <w:numId w:val="5"/>
      </w:numPr>
      <w:spacing w:after="120"/>
      <w:ind w:right="1134"/>
      <w:jc w:val="both"/>
    </w:pPr>
  </w:style>
  <w:style w:type="paragraph" w:styleId="Textodeglobo">
    <w:name w:val="Balloon Text"/>
    <w:basedOn w:val="Normal"/>
    <w:link w:val="TextodegloboCar"/>
    <w:semiHidden/>
    <w:unhideWhenUsed/>
    <w:rsid w:val="00000A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000A64"/>
    <w:rPr>
      <w:rFonts w:ascii="Segoe UI" w:hAnsi="Segoe UI" w:cs="Segoe UI"/>
      <w:sz w:val="18"/>
      <w:szCs w:val="18"/>
      <w:lang w:val="es-ES" w:eastAsia="es-ES"/>
    </w:rPr>
  </w:style>
  <w:style w:type="paragraph" w:customStyle="1" w:styleId="ParNoG">
    <w:name w:val="_ParNo_G"/>
    <w:basedOn w:val="Normal"/>
    <w:uiPriority w:val="1"/>
    <w:qFormat/>
    <w:rsid w:val="00000A64"/>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000A64"/>
    <w:rPr>
      <w:lang w:val="es-ES" w:eastAsia="es-ES"/>
    </w:rPr>
  </w:style>
  <w:style w:type="paragraph" w:customStyle="1" w:styleId="1ParNoG">
    <w:name w:val="1 _ParNo_G"/>
    <w:basedOn w:val="Normal"/>
    <w:uiPriority w:val="1"/>
    <w:qFormat/>
    <w:rsid w:val="00000A64"/>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000A64"/>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000A64"/>
    <w:rPr>
      <w:lang w:val="es-ES" w:eastAsia="es-ES"/>
    </w:rPr>
  </w:style>
  <w:style w:type="character" w:customStyle="1" w:styleId="Textoindependiente2Car">
    <w:name w:val="Texto independiente 2 Car"/>
    <w:basedOn w:val="Fuentedeprrafopredeter"/>
    <w:link w:val="Textoindependiente2"/>
    <w:semiHidden/>
    <w:rsid w:val="00000A64"/>
    <w:rPr>
      <w:lang w:val="es-ES" w:eastAsia="es-ES"/>
    </w:rPr>
  </w:style>
  <w:style w:type="character" w:customStyle="1" w:styleId="Textoindependiente3Car">
    <w:name w:val="Texto independiente 3 Car"/>
    <w:basedOn w:val="Fuentedeprrafopredeter"/>
    <w:link w:val="Textoindependiente3"/>
    <w:semiHidden/>
    <w:rsid w:val="00000A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000A64"/>
    <w:rPr>
      <w:lang w:val="es-ES" w:eastAsia="es-ES"/>
    </w:rPr>
  </w:style>
  <w:style w:type="character" w:customStyle="1" w:styleId="SangradetextonormalCar">
    <w:name w:val="Sangría de texto normal Car"/>
    <w:basedOn w:val="Fuentedeprrafopredeter"/>
    <w:link w:val="Sangradetextonormal"/>
    <w:semiHidden/>
    <w:rsid w:val="00000A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000A64"/>
    <w:rPr>
      <w:lang w:val="es-ES" w:eastAsia="es-ES"/>
    </w:rPr>
  </w:style>
  <w:style w:type="character" w:customStyle="1" w:styleId="Sangra2detindependienteCar">
    <w:name w:val="Sangría 2 de t. independiente Car"/>
    <w:basedOn w:val="Fuentedeprrafopredeter"/>
    <w:link w:val="Sangra2detindependiente"/>
    <w:semiHidden/>
    <w:rsid w:val="00000A64"/>
    <w:rPr>
      <w:lang w:val="es-ES" w:eastAsia="es-ES"/>
    </w:rPr>
  </w:style>
  <w:style w:type="character" w:customStyle="1" w:styleId="Sangra3detindependienteCar">
    <w:name w:val="Sangría 3 de t. independiente Car"/>
    <w:basedOn w:val="Fuentedeprrafopredeter"/>
    <w:link w:val="Sangra3detindependiente"/>
    <w:semiHidden/>
    <w:rsid w:val="00000A64"/>
    <w:rPr>
      <w:sz w:val="16"/>
      <w:szCs w:val="16"/>
      <w:lang w:val="es-ES" w:eastAsia="es-ES"/>
    </w:rPr>
  </w:style>
  <w:style w:type="character" w:customStyle="1" w:styleId="CierreCar">
    <w:name w:val="Cierre Car"/>
    <w:basedOn w:val="Fuentedeprrafopredeter"/>
    <w:link w:val="Cierre"/>
    <w:semiHidden/>
    <w:rsid w:val="00000A64"/>
    <w:rPr>
      <w:lang w:val="es-ES" w:eastAsia="es-ES"/>
    </w:rPr>
  </w:style>
  <w:style w:type="character" w:customStyle="1" w:styleId="FechaCar">
    <w:name w:val="Fecha Car"/>
    <w:basedOn w:val="Fuentedeprrafopredeter"/>
    <w:link w:val="Fecha"/>
    <w:semiHidden/>
    <w:rsid w:val="00000A64"/>
    <w:rPr>
      <w:lang w:val="es-ES" w:eastAsia="es-ES"/>
    </w:rPr>
  </w:style>
  <w:style w:type="character" w:customStyle="1" w:styleId="FirmadecorreoelectrnicoCar">
    <w:name w:val="Firma de correo electrónico Car"/>
    <w:basedOn w:val="Fuentedeprrafopredeter"/>
    <w:link w:val="Firmadecorreoelectrnico"/>
    <w:semiHidden/>
    <w:rsid w:val="00000A64"/>
    <w:rPr>
      <w:lang w:val="es-ES" w:eastAsia="es-ES"/>
    </w:rPr>
  </w:style>
  <w:style w:type="character" w:customStyle="1" w:styleId="TextonotapieCar">
    <w:name w:val="Texto nota pie Car"/>
    <w:aliases w:val="5_G Car,Footnote Quote Car,Footnote Quote1 Car,Footnote Quote2 Car,Footnote Quote3 Car,Footnote Quote4 Car,Footnote Quote5 Car,Footnote Quote6 Car,Footnote Quote7 Car,Footnote Quote8 Car,Footnote Quote9 Car,Footnote Quote10 Car"/>
    <w:basedOn w:val="Fuentedeprrafopredeter"/>
    <w:link w:val="Textonotapie"/>
    <w:uiPriority w:val="3"/>
    <w:rsid w:val="00000A64"/>
    <w:rPr>
      <w:sz w:val="18"/>
      <w:lang w:val="es-ES" w:eastAsia="es-ES"/>
    </w:rPr>
  </w:style>
  <w:style w:type="character" w:customStyle="1" w:styleId="TextonotaalfinalCar">
    <w:name w:val="Texto nota al final Car"/>
    <w:aliases w:val="2_G Car,2_ GA Car"/>
    <w:basedOn w:val="Fuentedeprrafopredeter"/>
    <w:link w:val="Textonotaalfinal"/>
    <w:uiPriority w:val="3"/>
    <w:rsid w:val="00000A64"/>
    <w:rPr>
      <w:sz w:val="18"/>
      <w:lang w:val="es-ES" w:eastAsia="es-ES"/>
    </w:rPr>
  </w:style>
  <w:style w:type="character" w:customStyle="1" w:styleId="PiedepginaCar">
    <w:name w:val="Pie de página Car"/>
    <w:aliases w:val="3_G Car,3_GA Car"/>
    <w:basedOn w:val="Fuentedeprrafopredeter"/>
    <w:link w:val="Piedepgina"/>
    <w:uiPriority w:val="3"/>
    <w:rsid w:val="00000A64"/>
    <w:rPr>
      <w:sz w:val="16"/>
      <w:lang w:val="es-ES" w:eastAsia="es-ES"/>
    </w:rPr>
  </w:style>
  <w:style w:type="character" w:customStyle="1" w:styleId="EncabezadoCar">
    <w:name w:val="Encabezado Car"/>
    <w:aliases w:val="6_G Car,6_GA Car"/>
    <w:basedOn w:val="Fuentedeprrafopredeter"/>
    <w:link w:val="Encabezado"/>
    <w:uiPriority w:val="3"/>
    <w:rsid w:val="00000A64"/>
    <w:rPr>
      <w:b/>
      <w:sz w:val="18"/>
      <w:lang w:val="es-ES" w:eastAsia="es-ES"/>
    </w:rPr>
  </w:style>
  <w:style w:type="character" w:customStyle="1" w:styleId="Ttulo1Car">
    <w:name w:val="Título 1 Car"/>
    <w:aliases w:val="Cuadro_G Car,Table_GA Car,Table_G Car"/>
    <w:basedOn w:val="Fuentedeprrafopredeter"/>
    <w:link w:val="Ttulo1"/>
    <w:uiPriority w:val="9"/>
    <w:rsid w:val="00000A64"/>
    <w:rPr>
      <w:lang w:val="fr-CH" w:eastAsia="en-US"/>
    </w:rPr>
  </w:style>
  <w:style w:type="character" w:customStyle="1" w:styleId="DireccinHTMLCar">
    <w:name w:val="Dirección HTML Car"/>
    <w:basedOn w:val="Fuentedeprrafopredeter"/>
    <w:link w:val="DireccinHTML"/>
    <w:semiHidden/>
    <w:rsid w:val="00000A64"/>
    <w:rPr>
      <w:i/>
      <w:iCs/>
      <w:lang w:val="es-ES" w:eastAsia="es-ES"/>
    </w:rPr>
  </w:style>
  <w:style w:type="character" w:customStyle="1" w:styleId="HTMLconformatoprevioCar">
    <w:name w:val="HTML con formato previo Car"/>
    <w:basedOn w:val="Fuentedeprrafopredeter"/>
    <w:link w:val="HTMLconformatoprevio"/>
    <w:semiHidden/>
    <w:rsid w:val="00000A64"/>
    <w:rPr>
      <w:rFonts w:ascii="Courier New" w:hAnsi="Courier New" w:cs="Courier New"/>
      <w:lang w:val="es-ES" w:eastAsia="es-ES"/>
    </w:rPr>
  </w:style>
  <w:style w:type="character" w:styleId="nfasisintenso">
    <w:name w:val="Intense Emphasis"/>
    <w:uiPriority w:val="21"/>
    <w:rsid w:val="00000A64"/>
    <w:rPr>
      <w:b/>
      <w:bCs/>
      <w:i/>
      <w:iCs/>
      <w:color w:val="4F81BD"/>
    </w:rPr>
  </w:style>
  <w:style w:type="paragraph" w:styleId="Citadestacada">
    <w:name w:val="Intense Quote"/>
    <w:basedOn w:val="Normal"/>
    <w:next w:val="Normal"/>
    <w:link w:val="CitadestacadaCar"/>
    <w:uiPriority w:val="30"/>
    <w:rsid w:val="00000A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000A64"/>
    <w:rPr>
      <w:b/>
      <w:bCs/>
      <w:i/>
      <w:iCs/>
      <w:color w:val="4F81BD"/>
      <w:lang w:val="es-ES" w:eastAsia="es-ES"/>
    </w:rPr>
  </w:style>
  <w:style w:type="character" w:customStyle="1" w:styleId="EncabezadodemensajeCar">
    <w:name w:val="Encabezado de mensaje Car"/>
    <w:basedOn w:val="Fuentedeprrafopredeter"/>
    <w:link w:val="Encabezadodemensaje"/>
    <w:semiHidden/>
    <w:rsid w:val="00000A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000A64"/>
    <w:rPr>
      <w:lang w:val="es-ES" w:eastAsia="es-ES"/>
    </w:rPr>
  </w:style>
  <w:style w:type="character" w:customStyle="1" w:styleId="TextosinformatoCar">
    <w:name w:val="Texto sin formato Car"/>
    <w:basedOn w:val="Fuentedeprrafopredeter"/>
    <w:link w:val="Textosinformato"/>
    <w:semiHidden/>
    <w:rsid w:val="00000A64"/>
    <w:rPr>
      <w:rFonts w:ascii="Courier New" w:hAnsi="Courier New" w:cs="Courier New"/>
      <w:lang w:val="es-ES" w:eastAsia="es-ES"/>
    </w:rPr>
  </w:style>
  <w:style w:type="character" w:customStyle="1" w:styleId="SaludoCar">
    <w:name w:val="Saludo Car"/>
    <w:basedOn w:val="Fuentedeprrafopredeter"/>
    <w:link w:val="Saludo"/>
    <w:semiHidden/>
    <w:rsid w:val="00000A64"/>
    <w:rPr>
      <w:lang w:val="es-ES" w:eastAsia="es-ES"/>
    </w:rPr>
  </w:style>
  <w:style w:type="character" w:customStyle="1" w:styleId="FirmaCar">
    <w:name w:val="Firma Car"/>
    <w:basedOn w:val="Fuentedeprrafopredeter"/>
    <w:link w:val="Firma"/>
    <w:semiHidden/>
    <w:rsid w:val="00000A64"/>
    <w:rPr>
      <w:lang w:val="es-ES" w:eastAsia="es-ES"/>
    </w:rPr>
  </w:style>
  <w:style w:type="character" w:customStyle="1" w:styleId="SubttuloCar">
    <w:name w:val="Subtítulo Car"/>
    <w:basedOn w:val="Fuentedeprrafopredeter"/>
    <w:link w:val="Subttulo"/>
    <w:rsid w:val="00000A64"/>
    <w:rPr>
      <w:rFonts w:ascii="Arial" w:hAnsi="Arial" w:cs="Arial"/>
      <w:sz w:val="24"/>
      <w:szCs w:val="24"/>
      <w:lang w:val="es-ES" w:eastAsia="es-ES"/>
    </w:rPr>
  </w:style>
  <w:style w:type="paragraph" w:customStyle="1" w:styleId="Table1G">
    <w:name w:val="Table_1_G"/>
    <w:basedOn w:val="Normal"/>
    <w:next w:val="Normal"/>
    <w:uiPriority w:val="2"/>
    <w:qFormat/>
    <w:rsid w:val="00000A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000A64"/>
    <w:pPr>
      <w:spacing w:after="120"/>
    </w:pPr>
    <w:rPr>
      <w:b/>
    </w:rPr>
  </w:style>
  <w:style w:type="paragraph" w:customStyle="1" w:styleId="Table1Line3G">
    <w:name w:val="Table_1_Line3_G"/>
    <w:basedOn w:val="Table1line2G"/>
    <w:next w:val="Normal"/>
    <w:uiPriority w:val="2"/>
    <w:qFormat/>
    <w:rsid w:val="00000A64"/>
    <w:rPr>
      <w:b w:val="0"/>
      <w:sz w:val="16"/>
    </w:rPr>
  </w:style>
  <w:style w:type="paragraph" w:customStyle="1" w:styleId="TableH23G">
    <w:name w:val="Table_H2/3_G"/>
    <w:basedOn w:val="H23G"/>
    <w:uiPriority w:val="2"/>
    <w:qFormat/>
    <w:rsid w:val="00000A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000A64"/>
    <w:rPr>
      <w:rFonts w:ascii="Arial" w:hAnsi="Arial" w:cs="Arial"/>
      <w:b/>
      <w:bCs/>
      <w:kern w:val="28"/>
      <w:sz w:val="32"/>
      <w:szCs w:val="32"/>
      <w:lang w:val="es-ES" w:eastAsia="es-ES"/>
    </w:rPr>
  </w:style>
  <w:style w:type="paragraph" w:styleId="TDC1">
    <w:name w:val="toc 1"/>
    <w:basedOn w:val="Normal"/>
    <w:next w:val="Normal"/>
    <w:link w:val="TDC1Car"/>
    <w:uiPriority w:val="5"/>
    <w:unhideWhenUsed/>
    <w:rsid w:val="00000A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link w:val="TDC2Car"/>
    <w:uiPriority w:val="5"/>
    <w:unhideWhenUsed/>
    <w:rsid w:val="00000A64"/>
    <w:pPr>
      <w:tabs>
        <w:tab w:val="clear" w:pos="851"/>
      </w:tabs>
      <w:ind w:left="1559" w:hanging="425"/>
    </w:pPr>
  </w:style>
  <w:style w:type="paragraph" w:styleId="TDC3">
    <w:name w:val="toc 3"/>
    <w:basedOn w:val="TDC2"/>
    <w:next w:val="Normal"/>
    <w:link w:val="TDC3Car"/>
    <w:uiPriority w:val="5"/>
    <w:unhideWhenUsed/>
    <w:rsid w:val="00000A64"/>
    <w:pPr>
      <w:tabs>
        <w:tab w:val="left" w:pos="1985"/>
      </w:tabs>
      <w:ind w:left="1984"/>
    </w:pPr>
  </w:style>
  <w:style w:type="paragraph" w:styleId="TDC4">
    <w:name w:val="toc 4"/>
    <w:basedOn w:val="TDC1"/>
    <w:next w:val="Normal"/>
    <w:link w:val="TDC4Car"/>
    <w:uiPriority w:val="5"/>
    <w:unhideWhenUsed/>
    <w:rsid w:val="00000A64"/>
    <w:pPr>
      <w:tabs>
        <w:tab w:val="clear" w:pos="9072"/>
        <w:tab w:val="left" w:leader="dot" w:pos="7938"/>
        <w:tab w:val="right" w:pos="8930"/>
      </w:tabs>
      <w:ind w:right="1701"/>
    </w:pPr>
  </w:style>
  <w:style w:type="paragraph" w:styleId="TDC5">
    <w:name w:val="toc 5"/>
    <w:basedOn w:val="TDC4"/>
    <w:next w:val="Normal"/>
    <w:link w:val="TDC5Car"/>
    <w:uiPriority w:val="5"/>
    <w:unhideWhenUsed/>
    <w:rsid w:val="00000A64"/>
    <w:pPr>
      <w:tabs>
        <w:tab w:val="clear" w:pos="851"/>
      </w:tabs>
      <w:ind w:left="1559" w:hanging="425"/>
    </w:pPr>
  </w:style>
  <w:style w:type="paragraph" w:styleId="TDC6">
    <w:name w:val="toc 6"/>
    <w:basedOn w:val="TDC5"/>
    <w:next w:val="Normal"/>
    <w:link w:val="TDC6Car"/>
    <w:uiPriority w:val="5"/>
    <w:unhideWhenUsed/>
    <w:rsid w:val="00000A64"/>
    <w:pPr>
      <w:tabs>
        <w:tab w:val="left" w:pos="1985"/>
      </w:tabs>
      <w:ind w:left="1984"/>
    </w:pPr>
  </w:style>
  <w:style w:type="character" w:customStyle="1" w:styleId="Ttulo2Car">
    <w:name w:val="Título 2 Car"/>
    <w:basedOn w:val="Fuentedeprrafopredeter"/>
    <w:link w:val="Ttulo2"/>
    <w:rsid w:val="004E0684"/>
    <w:rPr>
      <w:rFonts w:cs="Arial"/>
      <w:bCs/>
      <w:iCs/>
      <w:szCs w:val="28"/>
      <w:lang w:val="es-ES" w:eastAsia="es-ES"/>
    </w:rPr>
  </w:style>
  <w:style w:type="character" w:customStyle="1" w:styleId="Ttulo3Car">
    <w:name w:val="Título 3 Car"/>
    <w:basedOn w:val="Fuentedeprrafopredeter"/>
    <w:link w:val="Ttulo3"/>
    <w:rsid w:val="004E0684"/>
    <w:rPr>
      <w:rFonts w:ascii="Arial" w:hAnsi="Arial" w:cs="Arial"/>
      <w:b/>
      <w:bCs/>
      <w:sz w:val="26"/>
      <w:szCs w:val="26"/>
      <w:lang w:val="es-ES" w:eastAsia="es-ES"/>
    </w:rPr>
  </w:style>
  <w:style w:type="character" w:customStyle="1" w:styleId="Ttulo4Car">
    <w:name w:val="Título 4 Car"/>
    <w:basedOn w:val="Fuentedeprrafopredeter"/>
    <w:link w:val="Ttulo4"/>
    <w:rsid w:val="004E0684"/>
    <w:rPr>
      <w:b/>
      <w:bCs/>
      <w:sz w:val="28"/>
      <w:szCs w:val="28"/>
      <w:lang w:val="es-ES" w:eastAsia="es-ES"/>
    </w:rPr>
  </w:style>
  <w:style w:type="character" w:customStyle="1" w:styleId="Ttulo5Car">
    <w:name w:val="Título 5 Car"/>
    <w:basedOn w:val="Fuentedeprrafopredeter"/>
    <w:link w:val="Ttulo5"/>
    <w:rsid w:val="004E0684"/>
    <w:rPr>
      <w:b/>
      <w:bCs/>
      <w:i/>
      <w:iCs/>
      <w:sz w:val="26"/>
      <w:szCs w:val="26"/>
      <w:lang w:val="es-ES" w:eastAsia="es-ES"/>
    </w:rPr>
  </w:style>
  <w:style w:type="character" w:customStyle="1" w:styleId="Ttulo6Car">
    <w:name w:val="Título 6 Car"/>
    <w:basedOn w:val="Fuentedeprrafopredeter"/>
    <w:link w:val="Ttulo6"/>
    <w:rsid w:val="004E0684"/>
    <w:rPr>
      <w:b/>
      <w:bCs/>
      <w:sz w:val="22"/>
      <w:szCs w:val="22"/>
      <w:lang w:val="es-ES" w:eastAsia="es-ES"/>
    </w:rPr>
  </w:style>
  <w:style w:type="character" w:customStyle="1" w:styleId="Ttulo7Car">
    <w:name w:val="Título 7 Car"/>
    <w:basedOn w:val="Fuentedeprrafopredeter"/>
    <w:link w:val="Ttulo7"/>
    <w:rsid w:val="004E0684"/>
    <w:rPr>
      <w:sz w:val="24"/>
      <w:szCs w:val="24"/>
      <w:lang w:val="es-ES" w:eastAsia="es-ES"/>
    </w:rPr>
  </w:style>
  <w:style w:type="character" w:customStyle="1" w:styleId="Ttulo8Car">
    <w:name w:val="Título 8 Car"/>
    <w:basedOn w:val="Fuentedeprrafopredeter"/>
    <w:link w:val="Ttulo8"/>
    <w:rsid w:val="004E0684"/>
    <w:rPr>
      <w:i/>
      <w:iCs/>
      <w:sz w:val="24"/>
      <w:szCs w:val="24"/>
      <w:lang w:val="es-ES" w:eastAsia="es-ES"/>
    </w:rPr>
  </w:style>
  <w:style w:type="character" w:customStyle="1" w:styleId="Ttulo9Car">
    <w:name w:val="Título 9 Car"/>
    <w:basedOn w:val="Fuentedeprrafopredeter"/>
    <w:link w:val="Ttulo9"/>
    <w:rsid w:val="004E0684"/>
    <w:rPr>
      <w:rFonts w:ascii="Arial" w:hAnsi="Arial" w:cs="Arial"/>
      <w:sz w:val="22"/>
      <w:szCs w:val="22"/>
      <w:lang w:val="es-ES" w:eastAsia="es-ES"/>
    </w:rPr>
  </w:style>
  <w:style w:type="character" w:styleId="Ttulodellibro">
    <w:name w:val="Book Title"/>
    <w:uiPriority w:val="33"/>
    <w:rsid w:val="004E0684"/>
    <w:rPr>
      <w:b/>
      <w:bCs/>
      <w:smallCaps/>
      <w:spacing w:val="5"/>
    </w:rPr>
  </w:style>
  <w:style w:type="character" w:styleId="nfasissutil">
    <w:name w:val="Subtle Emphasis"/>
    <w:uiPriority w:val="19"/>
    <w:rsid w:val="004E0684"/>
    <w:rPr>
      <w:i/>
      <w:iCs/>
      <w:color w:val="808080"/>
    </w:rPr>
  </w:style>
  <w:style w:type="table" w:styleId="Cuadrculavistosa-nfasis6">
    <w:name w:val="Colorful Grid Accent 6"/>
    <w:basedOn w:val="Tablanormal"/>
    <w:uiPriority w:val="73"/>
    <w:rsid w:val="004E0684"/>
    <w:rPr>
      <w:rFonts w:ascii="Calibri" w:eastAsia="PMingLiU" w:hAnsi="Calibri" w:cs="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Cita">
    <w:name w:val="Quote"/>
    <w:basedOn w:val="Normal"/>
    <w:next w:val="Normal"/>
    <w:link w:val="CitaCar"/>
    <w:uiPriority w:val="29"/>
    <w:rsid w:val="004E0684"/>
    <w:pPr>
      <w:bidi/>
      <w:jc w:val="lowKashida"/>
    </w:pPr>
    <w:rPr>
      <w:rFonts w:eastAsia="PMingLiU" w:cs="Simplified Arabic"/>
      <w:i/>
      <w:iCs/>
      <w:color w:val="000000"/>
      <w:szCs w:val="22"/>
      <w:lang w:val="en-US" w:eastAsia="en-US"/>
    </w:rPr>
  </w:style>
  <w:style w:type="character" w:customStyle="1" w:styleId="CitaCar">
    <w:name w:val="Cita Car"/>
    <w:basedOn w:val="Fuentedeprrafopredeter"/>
    <w:link w:val="Cita"/>
    <w:uiPriority w:val="29"/>
    <w:rsid w:val="004E0684"/>
    <w:rPr>
      <w:rFonts w:eastAsia="PMingLiU" w:cs="Simplified Arabic"/>
      <w:i/>
      <w:iCs/>
      <w:color w:val="000000"/>
      <w:szCs w:val="22"/>
      <w:lang w:eastAsia="en-US"/>
    </w:rPr>
  </w:style>
  <w:style w:type="character" w:styleId="Referenciasutil">
    <w:name w:val="Subtle Reference"/>
    <w:uiPriority w:val="31"/>
    <w:rsid w:val="004E0684"/>
    <w:rPr>
      <w:smallCaps/>
      <w:color w:val="C0504D"/>
      <w:u w:val="single"/>
    </w:rPr>
  </w:style>
  <w:style w:type="character" w:styleId="Referenciaintensa">
    <w:name w:val="Intense Reference"/>
    <w:uiPriority w:val="32"/>
    <w:rsid w:val="004E0684"/>
    <w:rPr>
      <w:b/>
      <w:bCs/>
      <w:smallCaps/>
      <w:color w:val="C0504D"/>
      <w:spacing w:val="5"/>
      <w:u w:val="single"/>
    </w:rPr>
  </w:style>
  <w:style w:type="paragraph" w:styleId="Prrafodelista">
    <w:name w:val="List Paragraph"/>
    <w:aliases w:val="Numbered list,Paragraphe de liste du rapport,List Paragraph (numbered (a)),Table of contents numbered,List ParagraphCxSpLast,List ParagraphCxSpLastCxSpLast,List ParagraphCxSpLastCxSpLastCxSpLast,Bullets,List Paragraph2"/>
    <w:basedOn w:val="Normal"/>
    <w:link w:val="PrrafodelistaCar"/>
    <w:uiPriority w:val="34"/>
    <w:rsid w:val="004E0684"/>
    <w:pPr>
      <w:bidi/>
      <w:ind w:left="720"/>
      <w:contextualSpacing/>
      <w:jc w:val="lowKashida"/>
    </w:pPr>
    <w:rPr>
      <w:rFonts w:eastAsia="PMingLiU" w:cs="Simplified Arabic"/>
      <w:szCs w:val="22"/>
      <w:lang w:val="en-US" w:eastAsia="en-US"/>
    </w:rPr>
  </w:style>
  <w:style w:type="table" w:styleId="Sombreadomedio1-nfasis4">
    <w:name w:val="Medium Shading 1 Accent 4"/>
    <w:basedOn w:val="Tablanormal"/>
    <w:uiPriority w:val="63"/>
    <w:rsid w:val="004E0684"/>
    <w:rPr>
      <w:rFonts w:ascii="Calibri" w:eastAsia="PMingLiU"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customStyle="1" w:styleId="TDC1Car">
    <w:name w:val="TDC 1 Car"/>
    <w:basedOn w:val="Fuentedeprrafopredeter"/>
    <w:link w:val="TDC1"/>
    <w:uiPriority w:val="5"/>
    <w:rsid w:val="004E0684"/>
    <w:rPr>
      <w:rFonts w:eastAsiaTheme="minorHAnsi"/>
      <w:lang w:val="es-ES" w:eastAsia="en-US"/>
    </w:rPr>
  </w:style>
  <w:style w:type="character" w:customStyle="1" w:styleId="TDC2Car">
    <w:name w:val="TDC 2 Car"/>
    <w:basedOn w:val="Fuentedeprrafopredeter"/>
    <w:link w:val="TDC2"/>
    <w:uiPriority w:val="5"/>
    <w:rsid w:val="004E0684"/>
    <w:rPr>
      <w:rFonts w:eastAsiaTheme="minorHAnsi"/>
      <w:lang w:val="es-ES" w:eastAsia="en-US"/>
    </w:rPr>
  </w:style>
  <w:style w:type="character" w:customStyle="1" w:styleId="TDC3Car">
    <w:name w:val="TDC 3 Car"/>
    <w:basedOn w:val="TDC2Car"/>
    <w:link w:val="TDC3"/>
    <w:uiPriority w:val="5"/>
    <w:rsid w:val="004E0684"/>
    <w:rPr>
      <w:rFonts w:eastAsiaTheme="minorHAnsi"/>
      <w:lang w:val="es-ES" w:eastAsia="en-US"/>
    </w:rPr>
  </w:style>
  <w:style w:type="character" w:customStyle="1" w:styleId="TDC4Car">
    <w:name w:val="TDC 4 Car"/>
    <w:basedOn w:val="Fuentedeprrafopredeter"/>
    <w:link w:val="TDC4"/>
    <w:uiPriority w:val="5"/>
    <w:rsid w:val="004E0684"/>
    <w:rPr>
      <w:rFonts w:eastAsiaTheme="minorHAnsi"/>
      <w:lang w:val="es-ES" w:eastAsia="en-US"/>
    </w:rPr>
  </w:style>
  <w:style w:type="character" w:customStyle="1" w:styleId="TDC5Car">
    <w:name w:val="TDC 5 Car"/>
    <w:basedOn w:val="Fuentedeprrafopredeter"/>
    <w:link w:val="TDC5"/>
    <w:uiPriority w:val="5"/>
    <w:rsid w:val="004E0684"/>
    <w:rPr>
      <w:rFonts w:eastAsiaTheme="minorHAnsi"/>
      <w:lang w:val="es-ES" w:eastAsia="en-US"/>
    </w:rPr>
  </w:style>
  <w:style w:type="character" w:customStyle="1" w:styleId="TDC6Car">
    <w:name w:val="TDC 6 Car"/>
    <w:basedOn w:val="Fuentedeprrafopredeter"/>
    <w:link w:val="TDC6"/>
    <w:uiPriority w:val="5"/>
    <w:rsid w:val="004E0684"/>
    <w:rPr>
      <w:rFonts w:eastAsiaTheme="minorHAnsi"/>
      <w:lang w:val="es-ES" w:eastAsia="en-US"/>
    </w:rPr>
  </w:style>
  <w:style w:type="character" w:styleId="Refdecomentario">
    <w:name w:val="annotation reference"/>
    <w:uiPriority w:val="99"/>
    <w:semiHidden/>
    <w:rsid w:val="004E0684"/>
    <w:rPr>
      <w:sz w:val="6"/>
      <w:szCs w:val="9"/>
    </w:rPr>
  </w:style>
  <w:style w:type="paragraph" w:styleId="Textocomentario">
    <w:name w:val="annotation text"/>
    <w:basedOn w:val="Normal"/>
    <w:link w:val="TextocomentarioCar"/>
    <w:uiPriority w:val="99"/>
    <w:semiHidden/>
    <w:unhideWhenUsed/>
    <w:rsid w:val="004E0684"/>
    <w:pPr>
      <w:bidi/>
      <w:spacing w:line="240" w:lineRule="auto"/>
      <w:jc w:val="lowKashida"/>
    </w:pPr>
    <w:rPr>
      <w:rFonts w:eastAsia="PMingLiU" w:cs="Simplified Arabic"/>
      <w:kern w:val="14"/>
      <w:szCs w:val="22"/>
      <w:lang w:val="en-US" w:eastAsia="en-US"/>
    </w:rPr>
  </w:style>
  <w:style w:type="character" w:customStyle="1" w:styleId="TextocomentarioCar">
    <w:name w:val="Texto comentario Car"/>
    <w:basedOn w:val="Fuentedeprrafopredeter"/>
    <w:link w:val="Textocomentario"/>
    <w:uiPriority w:val="99"/>
    <w:semiHidden/>
    <w:rsid w:val="004E0684"/>
    <w:rPr>
      <w:rFonts w:eastAsia="PMingLiU" w:cs="Simplified Arabic"/>
      <w:kern w:val="14"/>
      <w:szCs w:val="22"/>
      <w:lang w:eastAsia="en-US"/>
    </w:rPr>
  </w:style>
  <w:style w:type="paragraph" w:styleId="Asuntodelcomentario">
    <w:name w:val="annotation subject"/>
    <w:basedOn w:val="Textocomentario"/>
    <w:next w:val="Textocomentario"/>
    <w:link w:val="AsuntodelcomentarioCar"/>
    <w:uiPriority w:val="99"/>
    <w:semiHidden/>
    <w:unhideWhenUsed/>
    <w:rsid w:val="004E0684"/>
    <w:rPr>
      <w:b/>
      <w:bCs/>
    </w:rPr>
  </w:style>
  <w:style w:type="character" w:customStyle="1" w:styleId="AsuntodelcomentarioCar">
    <w:name w:val="Asunto del comentario Car"/>
    <w:basedOn w:val="TextocomentarioCar"/>
    <w:link w:val="Asuntodelcomentario"/>
    <w:uiPriority w:val="99"/>
    <w:semiHidden/>
    <w:rsid w:val="004E0684"/>
    <w:rPr>
      <w:rFonts w:eastAsia="PMingLiU" w:cs="Simplified Arabic"/>
      <w:b/>
      <w:bCs/>
      <w:kern w:val="14"/>
      <w:szCs w:val="22"/>
      <w:lang w:eastAsia="en-US"/>
    </w:rPr>
  </w:style>
  <w:style w:type="paragraph" w:styleId="Revisin">
    <w:name w:val="Revision"/>
    <w:hidden/>
    <w:uiPriority w:val="99"/>
    <w:semiHidden/>
    <w:rsid w:val="004E0684"/>
    <w:rPr>
      <w:rFonts w:asciiTheme="minorHAnsi" w:eastAsiaTheme="minorEastAsia" w:hAnsiTheme="minorHAnsi" w:cstheme="minorBidi"/>
      <w:sz w:val="24"/>
      <w:szCs w:val="24"/>
      <w:lang w:val="fr-FR" w:eastAsia="fr-FR"/>
    </w:rPr>
  </w:style>
  <w:style w:type="character" w:customStyle="1" w:styleId="PrrafodelistaCar">
    <w:name w:val="Párrafo de lista Car"/>
    <w:aliases w:val="Numbered list Car,Paragraphe de liste du rapport Car,List Paragraph (numbered (a)) Car,Table of contents numbered Car,List ParagraphCxSpLast Car,List ParagraphCxSpLastCxSpLast Car,List ParagraphCxSpLastCxSpLastCxSpLast Car"/>
    <w:link w:val="Prrafodelista"/>
    <w:uiPriority w:val="34"/>
    <w:rsid w:val="004E0684"/>
    <w:rPr>
      <w:rFonts w:eastAsia="PMingLiU" w:cs="Simplified Arabic"/>
      <w:szCs w:val="22"/>
      <w:lang w:eastAsia="en-US"/>
    </w:rPr>
  </w:style>
  <w:style w:type="character" w:styleId="Mencinsinresolver">
    <w:name w:val="Unresolved Mention"/>
    <w:basedOn w:val="Fuentedeprrafopredeter"/>
    <w:uiPriority w:val="99"/>
    <w:semiHidden/>
    <w:unhideWhenUsed/>
    <w:rsid w:val="004E0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treaties.un.org/Pages/ViewDetails.aspx?src=TREATY&amp;mtdsg_no=IV-11-d&amp;chapter=4&amp;clang=_fr" TargetMode="External"/><Relationship Id="rId3" Type="http://schemas.openxmlformats.org/officeDocument/2006/relationships/hyperlink" Target="https://www.finances.gov.ma/ArMa/Pages/Statistiques.aspx?m=%D9%85%D9%87%D9%86%D9%86%D8%A7&amp;m2=%D8%A7%D9%84%D8%AF%D8%B1%D8%A7%D8%B3%D8%A7%D8%AA%20%D9%88%D8%A7%D9%84%D8%A5%D8%AD%D8%B5%D8%A7%D8%A6%D9%8A%D8%A7%D8%AA" TargetMode="External"/><Relationship Id="rId7" Type="http://schemas.openxmlformats.org/officeDocument/2006/relationships/hyperlink" Target="https://cndh.ma/sites/default/files/lnzm_ldkhly_cndh_2.pdf" TargetMode="External"/><Relationship Id="rId2" Type="http://schemas.openxmlformats.org/officeDocument/2006/relationships/hyperlink" Target="http://rgphentableaux.hcp.ma/Default1/" TargetMode="External"/><Relationship Id="rId1" Type="http://schemas.openxmlformats.org/officeDocument/2006/relationships/hyperlink" Target="https://www.hcp.ma/Indices-statistiques_r102.html" TargetMode="External"/><Relationship Id="rId6" Type="http://schemas.openxmlformats.org/officeDocument/2006/relationships/hyperlink" Target="https://www.cndp.ma/ar/service-en-ligne/personnes-concernees/modeles-de-courrier.html%20" TargetMode="External"/><Relationship Id="rId5" Type="http://schemas.openxmlformats.org/officeDocument/2006/relationships/hyperlink" Target="http://www.icpc.ma/wps/portal/Details_arabe_vr/?WCM_GLOBAL_CONTEXT=/wps/wcm/connect/interneticpc_ar/ICPC_AR/Accueil/Espace+Publication/Rapports/Rapports+ICPC/" TargetMode="External"/><Relationship Id="rId4" Type="http://schemas.openxmlformats.org/officeDocument/2006/relationships/hyperlink" Target="https://www.mmsp.gov.ma/uploads/file/Morocco_Final_Arabic_Report.pdf" TargetMode="External"/><Relationship Id="rId9" Type="http://schemas.openxmlformats.org/officeDocument/2006/relationships/hyperlink" Target="https://treaties.un.org/Pages/ViewDetails.aspx?src=TREATY&amp;mtdsg_no=IV-9-b&amp;chapter=4&amp;clang=_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3</TotalTime>
  <Pages>63</Pages>
  <Words>35571</Words>
  <Characters>184261</Characters>
  <Application>Microsoft Office Word</Application>
  <DocSecurity>0</DocSecurity>
  <Lines>4285</Lines>
  <Paragraphs>2243</Paragraphs>
  <ScaleCrop>false</ScaleCrop>
  <HeadingPairs>
    <vt:vector size="2" baseType="variant">
      <vt:variant>
        <vt:lpstr>Título</vt:lpstr>
      </vt:variant>
      <vt:variant>
        <vt:i4>1</vt:i4>
      </vt:variant>
    </vt:vector>
  </HeadingPairs>
  <TitlesOfParts>
    <vt:vector size="1" baseType="lpstr">
      <vt:lpstr>HRI/CORE/MAR/2020</vt:lpstr>
    </vt:vector>
  </TitlesOfParts>
  <Company/>
  <LinksUpToDate>false</LinksUpToDate>
  <CharactersWithSpaces>217589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HRI/CORE/MAR/2020</dc:title>
  <dc:subject/>
  <dc:creator>Romina Valeria MERINO MAC-KAY</dc:creator>
  <cp:keywords/>
  <cp:lastModifiedBy>Romina Valeria MERINO MAC-KAY</cp:lastModifiedBy>
  <cp:revision>3</cp:revision>
  <cp:lastPrinted>2021-05-12T15:18:00Z</cp:lastPrinted>
  <dcterms:created xsi:type="dcterms:W3CDTF">2021-05-12T15:18:00Z</dcterms:created>
  <dcterms:modified xsi:type="dcterms:W3CDTF">2021-05-12T15:21:00Z</dcterms:modified>
</cp:coreProperties>
</file>