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FB" w:rsidRDefault="00C001FB" w:rsidP="00C001FB">
      <w:pPr>
        <w:spacing w:line="240" w:lineRule="auto"/>
        <w:rPr>
          <w:sz w:val="2"/>
        </w:rPr>
        <w:sectPr w:rsidR="00C001FB" w:rsidSect="00C001F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BF1937" w:rsidRPr="00BF1937" w:rsidRDefault="00BF1937" w:rsidP="00BF193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BF1937">
        <w:rPr>
          <w:lang w:val="fr-FR"/>
        </w:rPr>
        <w:t xml:space="preserve">Document de base commun faisant partie </w:t>
      </w:r>
      <w:r w:rsidR="00575140">
        <w:rPr>
          <w:lang w:val="fr-FR"/>
        </w:rPr>
        <w:br/>
      </w:r>
      <w:r w:rsidRPr="00BF1937">
        <w:rPr>
          <w:lang w:val="fr-FR"/>
        </w:rPr>
        <w:t xml:space="preserve">intégrante des rapports présentés </w:t>
      </w:r>
      <w:r w:rsidR="00575140">
        <w:rPr>
          <w:lang w:val="fr-FR"/>
        </w:rPr>
        <w:br/>
      </w:r>
      <w:r w:rsidRPr="00BF1937">
        <w:rPr>
          <w:lang w:val="fr-FR"/>
        </w:rPr>
        <w:t>par les États parties</w:t>
      </w:r>
    </w:p>
    <w:p w:rsidR="00BF1937" w:rsidRPr="00BF1937" w:rsidRDefault="00BF1937" w:rsidP="00BF1937">
      <w:pPr>
        <w:pStyle w:val="SingleTxt"/>
        <w:spacing w:after="0" w:line="120" w:lineRule="exact"/>
        <w:rPr>
          <w:b/>
          <w:sz w:val="10"/>
          <w:lang w:val="fr-FR"/>
        </w:rPr>
      </w:pPr>
    </w:p>
    <w:p w:rsidR="00BF1937" w:rsidRPr="00575140" w:rsidRDefault="00BF1937" w:rsidP="00575140">
      <w:pPr>
        <w:pStyle w:val="SingleTxt"/>
        <w:spacing w:after="0" w:line="120" w:lineRule="exact"/>
        <w:rPr>
          <w:b/>
          <w:sz w:val="10"/>
          <w:lang w:val="fr-FR"/>
        </w:rPr>
      </w:pPr>
    </w:p>
    <w:p w:rsidR="00575140" w:rsidRPr="00BF1937" w:rsidRDefault="00575140" w:rsidP="00BF1937">
      <w:pPr>
        <w:pStyle w:val="SingleTxt"/>
        <w:spacing w:after="0" w:line="120" w:lineRule="exact"/>
        <w:rPr>
          <w:b/>
          <w:sz w:val="10"/>
          <w:lang w:val="fr-FR"/>
        </w:rPr>
      </w:pPr>
    </w:p>
    <w:p w:rsidR="00BF1937" w:rsidRPr="00BF1937" w:rsidRDefault="00BF1937" w:rsidP="00BF193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1937">
        <w:rPr>
          <w:lang w:val="fr-FR"/>
        </w:rPr>
        <w:tab/>
      </w:r>
      <w:r w:rsidRPr="00BF1937">
        <w:rPr>
          <w:lang w:val="fr-FR"/>
        </w:rPr>
        <w:tab/>
        <w:t>Chypre</w:t>
      </w:r>
      <w:r w:rsidRPr="00BF1937">
        <w:rPr>
          <w:rStyle w:val="FootnoteReference"/>
          <w:b w:val="0"/>
          <w:sz w:val="20"/>
          <w:szCs w:val="20"/>
          <w:vertAlign w:val="baseline"/>
          <w:lang w:val="fr-FR"/>
        </w:rPr>
        <w:footnoteReference w:customMarkFollows="1" w:id="1"/>
        <w:t>*</w:t>
      </w:r>
      <w:bookmarkStart w:id="1" w:name="insstart"/>
      <w:bookmarkEnd w:id="1"/>
    </w:p>
    <w:p w:rsidR="00BF1937" w:rsidRPr="00BF1937" w:rsidRDefault="00BF1937" w:rsidP="00BF1937">
      <w:pPr>
        <w:pStyle w:val="SingleTxt"/>
        <w:spacing w:after="0" w:line="120" w:lineRule="exact"/>
        <w:rPr>
          <w:sz w:val="10"/>
          <w:lang w:val="fr-FR"/>
        </w:rPr>
      </w:pPr>
    </w:p>
    <w:p w:rsidR="00BF1937" w:rsidRPr="00575140" w:rsidRDefault="00BF1937" w:rsidP="00575140">
      <w:pPr>
        <w:pStyle w:val="SingleTxt"/>
        <w:spacing w:after="0" w:line="120" w:lineRule="exact"/>
        <w:rPr>
          <w:sz w:val="10"/>
          <w:lang w:val="fr-FR"/>
        </w:rPr>
      </w:pPr>
    </w:p>
    <w:p w:rsidR="00575140" w:rsidRPr="00BF1937" w:rsidRDefault="00575140" w:rsidP="00BF1937">
      <w:pPr>
        <w:pStyle w:val="SingleTxt"/>
        <w:spacing w:after="0" w:line="120" w:lineRule="exact"/>
        <w:rPr>
          <w:sz w:val="10"/>
          <w:lang w:val="fr-FR"/>
        </w:rPr>
      </w:pPr>
    </w:p>
    <w:p w:rsidR="00BF1937" w:rsidRPr="00BF1937" w:rsidRDefault="00BF1937" w:rsidP="00BF1937">
      <w:pPr>
        <w:pStyle w:val="SingleTxt"/>
        <w:jc w:val="right"/>
        <w:rPr>
          <w:lang w:val="fr-CH"/>
        </w:rPr>
      </w:pPr>
      <w:r>
        <w:rPr>
          <w:lang w:val="fr-FR"/>
        </w:rPr>
        <w:t>[Date de réception </w:t>
      </w:r>
      <w:r w:rsidRPr="00BF1937">
        <w:rPr>
          <w:lang w:val="fr-FR"/>
        </w:rPr>
        <w:t>: 1</w:t>
      </w:r>
      <w:r w:rsidRPr="00BF1937">
        <w:rPr>
          <w:vertAlign w:val="superscript"/>
          <w:lang w:val="fr-FR"/>
        </w:rPr>
        <w:t>er</w:t>
      </w:r>
      <w:r w:rsidRPr="00BF1937">
        <w:rPr>
          <w:lang w:val="fr-FR"/>
        </w:rPr>
        <w:t xml:space="preserve"> juillet 2014]</w:t>
      </w:r>
    </w:p>
    <w:p w:rsidR="00BF1937" w:rsidRDefault="00BF1937">
      <w:pPr>
        <w:spacing w:line="240" w:lineRule="auto"/>
        <w:rPr>
          <w:lang w:val="fr-CH"/>
        </w:rPr>
      </w:pPr>
      <w:r>
        <w:rPr>
          <w:lang w:val="fr-CH"/>
        </w:rPr>
        <w:br w:type="page"/>
      </w:r>
    </w:p>
    <w:p w:rsidR="00BF1937" w:rsidRPr="00575140" w:rsidRDefault="00BF1937" w:rsidP="00BF1937">
      <w:pPr>
        <w:pStyle w:val="HCH"/>
        <w:spacing w:after="120"/>
        <w:rPr>
          <w:b w:val="0"/>
          <w:lang w:val="fr-CH"/>
        </w:rPr>
      </w:pPr>
      <w:r w:rsidRPr="00575140">
        <w:rPr>
          <w:b w:val="0"/>
          <w:lang w:val="fr-CH"/>
        </w:rP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BF1937" w:rsidRPr="00BF1937" w:rsidTr="00BF1937">
        <w:tc>
          <w:tcPr>
            <w:tcW w:w="1060" w:type="dxa"/>
            <w:shd w:val="clear" w:color="auto" w:fill="auto"/>
          </w:tcPr>
          <w:p w:rsidR="00BF1937" w:rsidRPr="00BF1937" w:rsidRDefault="00BF1937" w:rsidP="00BF1937">
            <w:pPr>
              <w:spacing w:after="120" w:line="240" w:lineRule="auto"/>
              <w:jc w:val="right"/>
              <w:rPr>
                <w:i/>
                <w:sz w:val="14"/>
                <w:lang w:val="fr-CH"/>
              </w:rPr>
            </w:pPr>
          </w:p>
        </w:tc>
        <w:tc>
          <w:tcPr>
            <w:tcW w:w="7315" w:type="dxa"/>
            <w:shd w:val="clear" w:color="auto" w:fill="auto"/>
          </w:tcPr>
          <w:p w:rsidR="00BF1937" w:rsidRPr="00BF1937" w:rsidRDefault="00BF1937" w:rsidP="00BF1937">
            <w:pPr>
              <w:spacing w:after="120" w:line="240" w:lineRule="auto"/>
              <w:rPr>
                <w:i/>
                <w:sz w:val="14"/>
                <w:lang w:val="fr-CH"/>
              </w:rPr>
            </w:pPr>
          </w:p>
        </w:tc>
        <w:tc>
          <w:tcPr>
            <w:tcW w:w="994" w:type="dxa"/>
            <w:shd w:val="clear" w:color="auto" w:fill="auto"/>
          </w:tcPr>
          <w:p w:rsidR="00BF1937" w:rsidRPr="00BF1937" w:rsidRDefault="00BF1937" w:rsidP="00BF1937">
            <w:pPr>
              <w:spacing w:after="120" w:line="240" w:lineRule="auto"/>
              <w:jc w:val="right"/>
              <w:rPr>
                <w:i/>
                <w:sz w:val="14"/>
                <w:lang w:val="fr-CH"/>
              </w:rPr>
            </w:pPr>
            <w:r>
              <w:rPr>
                <w:i/>
                <w:sz w:val="14"/>
                <w:lang w:val="fr-CH"/>
              </w:rPr>
              <w:t>Paragraphes</w:t>
            </w:r>
          </w:p>
        </w:tc>
        <w:tc>
          <w:tcPr>
            <w:tcW w:w="675" w:type="dxa"/>
            <w:shd w:val="clear" w:color="auto" w:fill="auto"/>
          </w:tcPr>
          <w:p w:rsidR="00BF1937" w:rsidRPr="00BF1937" w:rsidRDefault="00BF1937" w:rsidP="00BF1937">
            <w:pPr>
              <w:spacing w:after="120" w:line="240" w:lineRule="auto"/>
              <w:jc w:val="right"/>
              <w:rPr>
                <w:i/>
                <w:sz w:val="14"/>
                <w:lang w:val="fr-CH"/>
              </w:rPr>
            </w:pPr>
            <w:r>
              <w:rPr>
                <w:i/>
                <w:sz w:val="14"/>
                <w:lang w:val="fr-CH"/>
              </w:rPr>
              <w:t>Page</w:t>
            </w:r>
          </w:p>
        </w:tc>
      </w:tr>
      <w:tr w:rsidR="00BF1937" w:rsidRPr="00BF1937" w:rsidTr="00BF1937">
        <w:tc>
          <w:tcPr>
            <w:tcW w:w="8375" w:type="dxa"/>
            <w:gridSpan w:val="2"/>
            <w:shd w:val="clear" w:color="auto" w:fill="auto"/>
          </w:tcPr>
          <w:p w:rsidR="00BF1937" w:rsidRPr="00BF1937" w:rsidRDefault="008F6105" w:rsidP="008F6105">
            <w:pPr>
              <w:pStyle w:val="ListParagraph"/>
              <w:numPr>
                <w:ilvl w:val="0"/>
                <w:numId w:val="17"/>
              </w:numPr>
              <w:tabs>
                <w:tab w:val="left" w:pos="1296"/>
                <w:tab w:val="left" w:pos="1728"/>
                <w:tab w:val="right" w:leader="dot" w:pos="8381"/>
              </w:tabs>
              <w:suppressAutoHyphens/>
              <w:spacing w:after="120"/>
              <w:rPr>
                <w:lang w:val="fr-CH"/>
              </w:rPr>
            </w:pPr>
            <w:r w:rsidRPr="008F6105">
              <w:rPr>
                <w:lang w:val="fr-CH"/>
              </w:rPr>
              <w:t>Introduction</w:t>
            </w:r>
            <w:r>
              <w:rPr>
                <w:spacing w:val="60"/>
                <w:sz w:val="17"/>
                <w:lang w:val="fr-CH"/>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1–6</w:t>
            </w:r>
          </w:p>
        </w:tc>
        <w:tc>
          <w:tcPr>
            <w:tcW w:w="675" w:type="dxa"/>
            <w:shd w:val="clear" w:color="auto" w:fill="auto"/>
            <w:vAlign w:val="bottom"/>
          </w:tcPr>
          <w:p w:rsidR="00BF1937" w:rsidRPr="00BF1937" w:rsidRDefault="007F6AE0" w:rsidP="00BF1937">
            <w:pPr>
              <w:spacing w:after="120"/>
              <w:jc w:val="right"/>
              <w:rPr>
                <w:lang w:val="fr-CH"/>
              </w:rPr>
            </w:pPr>
            <w:r>
              <w:rPr>
                <w:lang w:val="fr-CH"/>
              </w:rPr>
              <w:t>3</w:t>
            </w:r>
          </w:p>
        </w:tc>
      </w:tr>
      <w:tr w:rsidR="00BF1937" w:rsidRPr="00BF1937" w:rsidTr="00BF1937">
        <w:tc>
          <w:tcPr>
            <w:tcW w:w="8375" w:type="dxa"/>
            <w:gridSpan w:val="2"/>
            <w:shd w:val="clear" w:color="auto" w:fill="auto"/>
          </w:tcPr>
          <w:p w:rsidR="00BF1937" w:rsidRPr="00BF1937" w:rsidRDefault="008F6105" w:rsidP="008F6105">
            <w:pPr>
              <w:pStyle w:val="ListParagraph"/>
              <w:numPr>
                <w:ilvl w:val="0"/>
                <w:numId w:val="17"/>
              </w:numPr>
              <w:tabs>
                <w:tab w:val="left" w:pos="1296"/>
                <w:tab w:val="left" w:pos="1728"/>
                <w:tab w:val="left" w:pos="2160"/>
                <w:tab w:val="left" w:pos="2592"/>
                <w:tab w:val="left" w:pos="3024"/>
                <w:tab w:val="left" w:pos="3456"/>
                <w:tab w:val="right" w:leader="dot" w:pos="8381"/>
              </w:tabs>
              <w:suppressAutoHyphens/>
              <w:spacing w:after="120"/>
              <w:rPr>
                <w:lang w:val="fr-CH"/>
              </w:rPr>
            </w:pPr>
            <w:r w:rsidRPr="008F6105">
              <w:rPr>
                <w:lang w:val="fr-CH"/>
              </w:rPr>
              <w:t>Renseignements d’ordre général</w:t>
            </w:r>
            <w:r>
              <w:rPr>
                <w:spacing w:val="60"/>
                <w:sz w:val="17"/>
                <w:lang w:val="fr-CH"/>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7–84</w:t>
            </w:r>
          </w:p>
        </w:tc>
        <w:tc>
          <w:tcPr>
            <w:tcW w:w="675" w:type="dxa"/>
            <w:shd w:val="clear" w:color="auto" w:fill="auto"/>
            <w:vAlign w:val="bottom"/>
          </w:tcPr>
          <w:p w:rsidR="00BF1937" w:rsidRPr="00BF1937" w:rsidRDefault="007F6AE0" w:rsidP="00BF1937">
            <w:pPr>
              <w:spacing w:after="120"/>
              <w:jc w:val="right"/>
              <w:rPr>
                <w:lang w:val="fr-CH"/>
              </w:rPr>
            </w:pPr>
            <w:r>
              <w:rPr>
                <w:lang w:val="fr-CH"/>
              </w:rPr>
              <w:t>3</w:t>
            </w:r>
          </w:p>
        </w:tc>
      </w:tr>
      <w:tr w:rsidR="00BF1937" w:rsidRPr="00BF1937" w:rsidTr="00BF1937">
        <w:tc>
          <w:tcPr>
            <w:tcW w:w="8375" w:type="dxa"/>
            <w:gridSpan w:val="2"/>
            <w:shd w:val="clear" w:color="auto" w:fill="auto"/>
          </w:tcPr>
          <w:p w:rsidR="00BF1937" w:rsidRPr="00BF1937" w:rsidRDefault="008F6105" w:rsidP="008F6105">
            <w:pPr>
              <w:pStyle w:val="ListParagraph"/>
              <w:numPr>
                <w:ilvl w:val="1"/>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CH"/>
              </w:rPr>
            </w:pPr>
            <w:r w:rsidRPr="008F6105">
              <w:rPr>
                <w:lang w:val="fr-CH"/>
              </w:rPr>
              <w:t>Caractéristiques démographiques, économiques, sociales et culturelles</w:t>
            </w:r>
            <w:r>
              <w:rPr>
                <w:spacing w:val="60"/>
                <w:sz w:val="17"/>
                <w:lang w:val="fr-CH"/>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7–43</w:t>
            </w:r>
          </w:p>
        </w:tc>
        <w:tc>
          <w:tcPr>
            <w:tcW w:w="675" w:type="dxa"/>
            <w:shd w:val="clear" w:color="auto" w:fill="auto"/>
            <w:vAlign w:val="bottom"/>
          </w:tcPr>
          <w:p w:rsidR="00BF1937" w:rsidRPr="00BF1937" w:rsidRDefault="007F6AE0" w:rsidP="00BF1937">
            <w:pPr>
              <w:spacing w:after="120"/>
              <w:jc w:val="right"/>
              <w:rPr>
                <w:lang w:val="fr-CH"/>
              </w:rPr>
            </w:pPr>
            <w:r>
              <w:rPr>
                <w:lang w:val="fr-CH"/>
              </w:rPr>
              <w:t>3</w:t>
            </w:r>
          </w:p>
        </w:tc>
      </w:tr>
      <w:tr w:rsidR="00BF1937" w:rsidRPr="00BF1937" w:rsidTr="00BF1937">
        <w:tc>
          <w:tcPr>
            <w:tcW w:w="8375" w:type="dxa"/>
            <w:gridSpan w:val="2"/>
            <w:shd w:val="clear" w:color="auto" w:fill="auto"/>
          </w:tcPr>
          <w:p w:rsidR="00BF1937" w:rsidRPr="00BF1937" w:rsidRDefault="008F6105" w:rsidP="008F6105">
            <w:pPr>
              <w:pStyle w:val="ListParagraph"/>
              <w:numPr>
                <w:ilvl w:val="1"/>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8F6105">
              <w:rPr>
                <w:lang w:val="fr-FR"/>
              </w:rPr>
              <w:t>Structure constitutionnelle, politique et juridique</w:t>
            </w:r>
            <w:r>
              <w:rPr>
                <w:spacing w:val="60"/>
                <w:sz w:val="17"/>
                <w:lang w:val="fr-FR"/>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44–84</w:t>
            </w:r>
          </w:p>
        </w:tc>
        <w:tc>
          <w:tcPr>
            <w:tcW w:w="675" w:type="dxa"/>
            <w:shd w:val="clear" w:color="auto" w:fill="auto"/>
            <w:vAlign w:val="bottom"/>
          </w:tcPr>
          <w:p w:rsidR="00BF1937" w:rsidRPr="00BF1937" w:rsidRDefault="007F6AE0" w:rsidP="00BF1937">
            <w:pPr>
              <w:spacing w:after="120"/>
              <w:jc w:val="right"/>
              <w:rPr>
                <w:lang w:val="fr-CH"/>
              </w:rPr>
            </w:pPr>
            <w:r>
              <w:rPr>
                <w:lang w:val="fr-CH"/>
              </w:rPr>
              <w:t>14</w:t>
            </w:r>
          </w:p>
        </w:tc>
      </w:tr>
      <w:tr w:rsidR="00BF1937" w:rsidRPr="00BF1937" w:rsidTr="00BF1937">
        <w:tc>
          <w:tcPr>
            <w:tcW w:w="8375" w:type="dxa"/>
            <w:gridSpan w:val="2"/>
            <w:shd w:val="clear" w:color="auto" w:fill="auto"/>
          </w:tcPr>
          <w:p w:rsidR="00BF1937" w:rsidRPr="00BF1937" w:rsidRDefault="008F6105" w:rsidP="008F6105">
            <w:pPr>
              <w:pStyle w:val="ListParagraph"/>
              <w:numPr>
                <w:ilvl w:val="0"/>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8F6105">
              <w:rPr>
                <w:lang w:val="fr-CH"/>
              </w:rPr>
              <w:t>Cadre général de la protection et de la promotion des droits de l’homme</w:t>
            </w:r>
            <w:r>
              <w:rPr>
                <w:spacing w:val="60"/>
                <w:sz w:val="17"/>
                <w:lang w:val="fr-CH"/>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85–131</w:t>
            </w:r>
          </w:p>
        </w:tc>
        <w:tc>
          <w:tcPr>
            <w:tcW w:w="675" w:type="dxa"/>
            <w:shd w:val="clear" w:color="auto" w:fill="auto"/>
            <w:vAlign w:val="bottom"/>
          </w:tcPr>
          <w:p w:rsidR="00BF1937" w:rsidRPr="00BF1937" w:rsidRDefault="007F6AE0" w:rsidP="00BF1937">
            <w:pPr>
              <w:spacing w:after="120"/>
              <w:jc w:val="right"/>
              <w:rPr>
                <w:lang w:val="fr-CH"/>
              </w:rPr>
            </w:pPr>
            <w:r>
              <w:rPr>
                <w:lang w:val="fr-CH"/>
              </w:rPr>
              <w:t>23</w:t>
            </w:r>
          </w:p>
        </w:tc>
      </w:tr>
      <w:tr w:rsidR="00BF1937" w:rsidRPr="00BF1937" w:rsidTr="00BF1937">
        <w:tc>
          <w:tcPr>
            <w:tcW w:w="8375" w:type="dxa"/>
            <w:gridSpan w:val="2"/>
            <w:shd w:val="clear" w:color="auto" w:fill="auto"/>
          </w:tcPr>
          <w:p w:rsidR="00BF1937" w:rsidRPr="00BF1937" w:rsidRDefault="008F6105" w:rsidP="008F6105">
            <w:pPr>
              <w:pStyle w:val="ListParagraph"/>
              <w:numPr>
                <w:ilvl w:val="1"/>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rPr>
                <w:lang w:val="fr-CH"/>
              </w:rPr>
            </w:pPr>
            <w:r w:rsidRPr="008F6105">
              <w:rPr>
                <w:lang w:val="fr-CH"/>
              </w:rPr>
              <w:t>Acceptation des normes internationales relatives aux droits de l’homme</w:t>
            </w:r>
            <w:r>
              <w:rPr>
                <w:spacing w:val="60"/>
                <w:sz w:val="17"/>
                <w:lang w:val="fr-CH"/>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85–89</w:t>
            </w:r>
          </w:p>
        </w:tc>
        <w:tc>
          <w:tcPr>
            <w:tcW w:w="675" w:type="dxa"/>
            <w:shd w:val="clear" w:color="auto" w:fill="auto"/>
            <w:vAlign w:val="bottom"/>
          </w:tcPr>
          <w:p w:rsidR="00BF1937" w:rsidRPr="00BF1937" w:rsidRDefault="007F6AE0" w:rsidP="00BF1937">
            <w:pPr>
              <w:spacing w:after="120"/>
              <w:jc w:val="right"/>
              <w:rPr>
                <w:lang w:val="fr-CH"/>
              </w:rPr>
            </w:pPr>
            <w:r>
              <w:rPr>
                <w:lang w:val="fr-CH"/>
              </w:rPr>
              <w:t>23</w:t>
            </w:r>
          </w:p>
        </w:tc>
      </w:tr>
      <w:tr w:rsidR="00BF1937" w:rsidRPr="00BF1937" w:rsidTr="00BF1937">
        <w:tc>
          <w:tcPr>
            <w:tcW w:w="8375" w:type="dxa"/>
            <w:gridSpan w:val="2"/>
            <w:shd w:val="clear" w:color="auto" w:fill="auto"/>
          </w:tcPr>
          <w:p w:rsidR="00BF1937" w:rsidRPr="00BF1937" w:rsidRDefault="008F6105" w:rsidP="008F6105">
            <w:pPr>
              <w:pStyle w:val="ListParagraph"/>
              <w:numPr>
                <w:ilvl w:val="1"/>
                <w:numId w:val="17"/>
              </w:numPr>
              <w:tabs>
                <w:tab w:val="left" w:pos="1296"/>
                <w:tab w:val="left" w:pos="1728"/>
                <w:tab w:val="left" w:pos="2160"/>
                <w:tab w:val="right" w:leader="dot" w:pos="8381"/>
              </w:tabs>
              <w:suppressAutoHyphens/>
              <w:spacing w:after="120"/>
              <w:rPr>
                <w:lang w:val="fr-CH"/>
              </w:rPr>
            </w:pPr>
            <w:r w:rsidRPr="008F6105">
              <w:rPr>
                <w:lang w:val="fr-CH"/>
              </w:rPr>
              <w:t xml:space="preserve">Cadre juridique de la protection des droits de l’homme au niveau </w:t>
            </w:r>
            <w:r>
              <w:rPr>
                <w:lang w:val="fr-CH"/>
              </w:rPr>
              <w:br/>
            </w:r>
            <w:r w:rsidRPr="008F6105">
              <w:rPr>
                <w:lang w:val="fr-CH"/>
              </w:rPr>
              <w:t>national</w:t>
            </w:r>
            <w:r>
              <w:rPr>
                <w:spacing w:val="60"/>
                <w:sz w:val="17"/>
                <w:lang w:val="fr-CH"/>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90–99</w:t>
            </w:r>
          </w:p>
        </w:tc>
        <w:tc>
          <w:tcPr>
            <w:tcW w:w="675" w:type="dxa"/>
            <w:shd w:val="clear" w:color="auto" w:fill="auto"/>
            <w:vAlign w:val="bottom"/>
          </w:tcPr>
          <w:p w:rsidR="00BF1937" w:rsidRPr="00BF1937" w:rsidRDefault="007F6AE0" w:rsidP="00BF1937">
            <w:pPr>
              <w:spacing w:after="120"/>
              <w:jc w:val="right"/>
              <w:rPr>
                <w:lang w:val="fr-CH"/>
              </w:rPr>
            </w:pPr>
            <w:r>
              <w:rPr>
                <w:lang w:val="fr-CH"/>
              </w:rPr>
              <w:t>24</w:t>
            </w:r>
          </w:p>
        </w:tc>
      </w:tr>
      <w:tr w:rsidR="00BF1937" w:rsidRPr="00BF1937" w:rsidTr="00BF1937">
        <w:tc>
          <w:tcPr>
            <w:tcW w:w="8375" w:type="dxa"/>
            <w:gridSpan w:val="2"/>
            <w:shd w:val="clear" w:color="auto" w:fill="auto"/>
          </w:tcPr>
          <w:p w:rsidR="00BF1937" w:rsidRPr="00BF1937" w:rsidRDefault="008F6105" w:rsidP="008F6105">
            <w:pPr>
              <w:pStyle w:val="ListParagraph"/>
              <w:numPr>
                <w:ilvl w:val="1"/>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8F6105">
              <w:rPr>
                <w:lang w:val="fr-FR"/>
              </w:rPr>
              <w:t>Cadre de la promotion des droits de l’homme au niveau national</w:t>
            </w:r>
            <w:r>
              <w:rPr>
                <w:spacing w:val="60"/>
                <w:sz w:val="17"/>
                <w:lang w:val="fr-FR"/>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100–125</w:t>
            </w:r>
          </w:p>
        </w:tc>
        <w:tc>
          <w:tcPr>
            <w:tcW w:w="675" w:type="dxa"/>
            <w:shd w:val="clear" w:color="auto" w:fill="auto"/>
            <w:vAlign w:val="bottom"/>
          </w:tcPr>
          <w:p w:rsidR="00BF1937" w:rsidRPr="00BF1937" w:rsidRDefault="007F6AE0" w:rsidP="00BF1937">
            <w:pPr>
              <w:spacing w:after="120"/>
              <w:jc w:val="right"/>
              <w:rPr>
                <w:lang w:val="fr-CH"/>
              </w:rPr>
            </w:pPr>
            <w:r>
              <w:rPr>
                <w:lang w:val="fr-CH"/>
              </w:rPr>
              <w:t>27</w:t>
            </w:r>
          </w:p>
        </w:tc>
      </w:tr>
      <w:tr w:rsidR="00BF1937" w:rsidRPr="00BF1937" w:rsidTr="00BF1937">
        <w:tc>
          <w:tcPr>
            <w:tcW w:w="8375" w:type="dxa"/>
            <w:gridSpan w:val="2"/>
            <w:shd w:val="clear" w:color="auto" w:fill="auto"/>
          </w:tcPr>
          <w:p w:rsidR="00BF1937" w:rsidRPr="00BF1937" w:rsidRDefault="008F6105" w:rsidP="008F6105">
            <w:pPr>
              <w:pStyle w:val="ListParagraph"/>
              <w:numPr>
                <w:ilvl w:val="1"/>
                <w:numId w:val="17"/>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CH"/>
              </w:rPr>
            </w:pPr>
            <w:r w:rsidRPr="008F6105">
              <w:rPr>
                <w:lang w:val="fr-FR"/>
              </w:rPr>
              <w:t>Processus d’établissement des rapports</w:t>
            </w:r>
            <w:r>
              <w:rPr>
                <w:spacing w:val="60"/>
                <w:sz w:val="17"/>
                <w:lang w:val="fr-FR"/>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126–130</w:t>
            </w:r>
          </w:p>
        </w:tc>
        <w:tc>
          <w:tcPr>
            <w:tcW w:w="675" w:type="dxa"/>
            <w:shd w:val="clear" w:color="auto" w:fill="auto"/>
            <w:vAlign w:val="bottom"/>
          </w:tcPr>
          <w:p w:rsidR="00BF1937" w:rsidRPr="00BF1937" w:rsidRDefault="007F6AE0" w:rsidP="00BF1937">
            <w:pPr>
              <w:spacing w:after="120"/>
              <w:jc w:val="right"/>
              <w:rPr>
                <w:lang w:val="fr-CH"/>
              </w:rPr>
            </w:pPr>
            <w:r>
              <w:rPr>
                <w:lang w:val="fr-CH"/>
              </w:rPr>
              <w:t>32</w:t>
            </w:r>
          </w:p>
        </w:tc>
      </w:tr>
      <w:tr w:rsidR="00BF1937" w:rsidRPr="00BF1937" w:rsidTr="00BF1937">
        <w:tc>
          <w:tcPr>
            <w:tcW w:w="8375" w:type="dxa"/>
            <w:gridSpan w:val="2"/>
            <w:shd w:val="clear" w:color="auto" w:fill="auto"/>
          </w:tcPr>
          <w:p w:rsidR="00BF1937" w:rsidRPr="00BF1937" w:rsidRDefault="008F6105" w:rsidP="008F6105">
            <w:pPr>
              <w:pStyle w:val="ListParagraph"/>
              <w:numPr>
                <w:ilvl w:val="1"/>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8F6105">
              <w:rPr>
                <w:lang w:val="fr-FR"/>
              </w:rPr>
              <w:t>Autres informations relatives aux droits de l’homme</w:t>
            </w:r>
            <w:r>
              <w:rPr>
                <w:spacing w:val="60"/>
                <w:sz w:val="17"/>
                <w:lang w:val="fr-FR"/>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131</w:t>
            </w:r>
          </w:p>
        </w:tc>
        <w:tc>
          <w:tcPr>
            <w:tcW w:w="675" w:type="dxa"/>
            <w:shd w:val="clear" w:color="auto" w:fill="auto"/>
            <w:vAlign w:val="bottom"/>
          </w:tcPr>
          <w:p w:rsidR="00BF1937" w:rsidRPr="00BF1937" w:rsidRDefault="007F6AE0" w:rsidP="00BF1937">
            <w:pPr>
              <w:spacing w:after="120"/>
              <w:jc w:val="right"/>
              <w:rPr>
                <w:lang w:val="fr-CH"/>
              </w:rPr>
            </w:pPr>
            <w:r>
              <w:rPr>
                <w:lang w:val="fr-CH"/>
              </w:rPr>
              <w:t>32</w:t>
            </w:r>
          </w:p>
        </w:tc>
      </w:tr>
      <w:tr w:rsidR="00BF1937" w:rsidRPr="00BF1937" w:rsidTr="00BF1937">
        <w:tc>
          <w:tcPr>
            <w:tcW w:w="8375" w:type="dxa"/>
            <w:gridSpan w:val="2"/>
            <w:shd w:val="clear" w:color="auto" w:fill="auto"/>
          </w:tcPr>
          <w:p w:rsidR="00BF1937" w:rsidRPr="00BF1937" w:rsidRDefault="008F6105" w:rsidP="008F6105">
            <w:pPr>
              <w:pStyle w:val="ListParagraph"/>
              <w:numPr>
                <w:ilvl w:val="0"/>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CH"/>
              </w:rPr>
            </w:pPr>
            <w:r w:rsidRPr="008F6105">
              <w:rPr>
                <w:lang w:val="fr-FR"/>
              </w:rPr>
              <w:t>Informations concernant la non-discrimination et l’égalité et les recours utiles</w:t>
            </w:r>
            <w:r>
              <w:rPr>
                <w:spacing w:val="60"/>
                <w:sz w:val="17"/>
                <w:lang w:val="fr-FR"/>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132–142</w:t>
            </w:r>
          </w:p>
        </w:tc>
        <w:tc>
          <w:tcPr>
            <w:tcW w:w="675" w:type="dxa"/>
            <w:shd w:val="clear" w:color="auto" w:fill="auto"/>
            <w:vAlign w:val="bottom"/>
          </w:tcPr>
          <w:p w:rsidR="00BF1937" w:rsidRPr="00BF1937" w:rsidRDefault="007F6AE0" w:rsidP="00BF1937">
            <w:pPr>
              <w:spacing w:after="120"/>
              <w:jc w:val="right"/>
              <w:rPr>
                <w:lang w:val="fr-CH"/>
              </w:rPr>
            </w:pPr>
            <w:r>
              <w:rPr>
                <w:lang w:val="fr-CH"/>
              </w:rPr>
              <w:t>32</w:t>
            </w:r>
          </w:p>
        </w:tc>
      </w:tr>
      <w:tr w:rsidR="00BF1937" w:rsidRPr="00BF1937" w:rsidTr="00BF1937">
        <w:tc>
          <w:tcPr>
            <w:tcW w:w="8375" w:type="dxa"/>
            <w:gridSpan w:val="2"/>
            <w:shd w:val="clear" w:color="auto" w:fill="auto"/>
          </w:tcPr>
          <w:p w:rsidR="00BF1937" w:rsidRPr="00BF1937" w:rsidRDefault="008F6105" w:rsidP="008F6105">
            <w:pPr>
              <w:pStyle w:val="ListParagraph"/>
              <w:numPr>
                <w:ilvl w:val="0"/>
                <w:numId w:val="17"/>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8F6105">
              <w:rPr>
                <w:lang w:val="fr-FR"/>
              </w:rPr>
              <w:t>Faits nouveaux concernant la question chy</w:t>
            </w:r>
            <w:bookmarkStart w:id="2" w:name="_GoBack"/>
            <w:bookmarkEnd w:id="2"/>
            <w:r w:rsidRPr="008F6105">
              <w:rPr>
                <w:lang w:val="fr-FR"/>
              </w:rPr>
              <w:t>priote</w:t>
            </w:r>
            <w:r>
              <w:rPr>
                <w:spacing w:val="60"/>
                <w:sz w:val="17"/>
                <w:lang w:val="fr-FR"/>
              </w:rPr>
              <w:tab/>
            </w:r>
          </w:p>
        </w:tc>
        <w:tc>
          <w:tcPr>
            <w:tcW w:w="994" w:type="dxa"/>
            <w:shd w:val="clear" w:color="auto" w:fill="auto"/>
            <w:vAlign w:val="bottom"/>
          </w:tcPr>
          <w:p w:rsidR="00BF1937" w:rsidRPr="00BF1937" w:rsidRDefault="00246F34" w:rsidP="00BF1937">
            <w:pPr>
              <w:spacing w:after="120"/>
              <w:jc w:val="right"/>
              <w:rPr>
                <w:lang w:val="fr-CH"/>
              </w:rPr>
            </w:pPr>
            <w:r>
              <w:rPr>
                <w:lang w:val="fr-CH"/>
              </w:rPr>
              <w:t>143–146</w:t>
            </w:r>
          </w:p>
        </w:tc>
        <w:tc>
          <w:tcPr>
            <w:tcW w:w="675" w:type="dxa"/>
            <w:shd w:val="clear" w:color="auto" w:fill="auto"/>
            <w:vAlign w:val="bottom"/>
          </w:tcPr>
          <w:p w:rsidR="00BF1937" w:rsidRPr="00BF1937" w:rsidRDefault="007F6AE0" w:rsidP="00BF1937">
            <w:pPr>
              <w:spacing w:after="120"/>
              <w:jc w:val="right"/>
              <w:rPr>
                <w:lang w:val="fr-CH"/>
              </w:rPr>
            </w:pPr>
            <w:r>
              <w:rPr>
                <w:lang w:val="fr-CH"/>
              </w:rPr>
              <w:t>34</w:t>
            </w:r>
          </w:p>
        </w:tc>
      </w:tr>
      <w:tr w:rsidR="00BF1937" w:rsidRPr="008F6105" w:rsidTr="00BF1937">
        <w:tc>
          <w:tcPr>
            <w:tcW w:w="9369" w:type="dxa"/>
            <w:gridSpan w:val="3"/>
            <w:shd w:val="clear" w:color="auto" w:fill="auto"/>
          </w:tcPr>
          <w:p w:rsidR="00BF1937" w:rsidRPr="008F6105" w:rsidRDefault="00BF1937" w:rsidP="00BF1937">
            <w:pPr>
              <w:tabs>
                <w:tab w:val="right" w:pos="1080"/>
                <w:tab w:val="left" w:pos="1296"/>
                <w:tab w:val="left" w:pos="1728"/>
                <w:tab w:val="left" w:pos="2160"/>
                <w:tab w:val="left" w:pos="2592"/>
                <w:tab w:val="left" w:pos="3024"/>
                <w:tab w:val="left" w:pos="3456"/>
                <w:tab w:val="left" w:pos="3888"/>
                <w:tab w:val="left" w:pos="4320"/>
                <w:tab w:val="left" w:pos="4752"/>
              </w:tabs>
              <w:spacing w:after="120"/>
              <w:rPr>
                <w:lang w:val="fr-CH"/>
              </w:rPr>
            </w:pPr>
            <w:r w:rsidRPr="008F6105">
              <w:rPr>
                <w:lang w:val="fr-CH"/>
              </w:rPr>
              <w:tab/>
              <w:t>Annexes I, II, III, IV, V</w:t>
            </w:r>
            <w:r w:rsidRPr="008F6105">
              <w:rPr>
                <w:rStyle w:val="FootnoteReference"/>
                <w:vertAlign w:val="baseline"/>
                <w:lang w:val="fr-CH"/>
              </w:rPr>
              <w:footnoteReference w:customMarkFollows="1" w:id="2"/>
              <w:t>**</w:t>
            </w:r>
          </w:p>
        </w:tc>
        <w:tc>
          <w:tcPr>
            <w:tcW w:w="675" w:type="dxa"/>
            <w:shd w:val="clear" w:color="auto" w:fill="auto"/>
            <w:vAlign w:val="bottom"/>
          </w:tcPr>
          <w:p w:rsidR="00BF1937" w:rsidRPr="008F6105" w:rsidRDefault="00BF1937" w:rsidP="00BF1937">
            <w:pPr>
              <w:spacing w:after="120"/>
              <w:jc w:val="right"/>
              <w:rPr>
                <w:lang w:val="fr-CH"/>
              </w:rPr>
            </w:pPr>
          </w:p>
        </w:tc>
      </w:tr>
    </w:tbl>
    <w:p w:rsidR="00BF1937" w:rsidRPr="008F6105" w:rsidRDefault="00BF1937" w:rsidP="00BF1937">
      <w:pPr>
        <w:pStyle w:val="SingleTxt"/>
        <w:rPr>
          <w:lang w:val="fr-CH"/>
        </w:rPr>
      </w:pPr>
    </w:p>
    <w:p w:rsidR="00BF1937" w:rsidRPr="008F6105" w:rsidRDefault="00BF1937" w:rsidP="00BF1937">
      <w:pPr>
        <w:pStyle w:val="SingleTxt"/>
        <w:rPr>
          <w:lang w:val="fr-CH"/>
        </w:rPr>
      </w:pPr>
      <w:r w:rsidRPr="008F6105">
        <w:rPr>
          <w:lang w:val="fr-CH"/>
        </w:rPr>
        <w:br w:type="page"/>
      </w:r>
    </w:p>
    <w:p w:rsidR="00BF1937" w:rsidRDefault="00246F34" w:rsidP="00246F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F6105">
        <w:rPr>
          <w:lang w:val="fr-CH"/>
        </w:rPr>
        <w:lastRenderedPageBreak/>
        <w:tab/>
      </w:r>
      <w:r w:rsidR="00BF1937" w:rsidRPr="00BF1937">
        <w:rPr>
          <w:lang w:val="fr-CH"/>
        </w:rPr>
        <w:t>I.</w:t>
      </w:r>
      <w:r w:rsidR="00BF1937" w:rsidRPr="00BF1937">
        <w:rPr>
          <w:lang w:val="fr-CH"/>
        </w:rPr>
        <w:tab/>
        <w:t>Introduction</w:t>
      </w:r>
    </w:p>
    <w:p w:rsidR="00246F34" w:rsidRPr="00246F34" w:rsidRDefault="00246F34" w:rsidP="00246F34">
      <w:pPr>
        <w:pStyle w:val="SingleTxt"/>
        <w:spacing w:after="0" w:line="120" w:lineRule="exact"/>
        <w:rPr>
          <w:sz w:val="10"/>
          <w:lang w:val="fr-CH"/>
        </w:rPr>
      </w:pPr>
    </w:p>
    <w:p w:rsidR="00246F34" w:rsidRPr="00246F34" w:rsidRDefault="00246F34" w:rsidP="00246F34">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Le document de base commun fait partie intégrante des rapports soumis par le Gouvernement de la République de Chypre aux organes conventionnels relatifs aux droits de l</w:t>
      </w:r>
      <w:r w:rsidR="008300FB">
        <w:rPr>
          <w:lang w:val="fr-CH"/>
        </w:rPr>
        <w:t>’</w:t>
      </w:r>
      <w:r w:rsidRPr="00BF1937">
        <w:rPr>
          <w:lang w:val="fr-CH"/>
        </w:rPr>
        <w:t>homme</w:t>
      </w:r>
      <w:r w:rsidR="00246F34">
        <w:rPr>
          <w:b/>
          <w:i/>
          <w:lang w:val="fr-CH"/>
        </w:rPr>
        <w:t xml:space="preserve"> </w:t>
      </w:r>
      <w:r w:rsidRPr="00BF1937">
        <w:rPr>
          <w:lang w:val="fr-CH"/>
        </w:rPr>
        <w:t>de l</w:t>
      </w:r>
      <w:r w:rsidR="008300FB">
        <w:rPr>
          <w:lang w:val="fr-CH"/>
        </w:rPr>
        <w:t>’</w:t>
      </w:r>
      <w:r w:rsidRPr="00BF1937">
        <w:rPr>
          <w:lang w:val="fr-CH"/>
        </w:rPr>
        <w:t>ONU pour s</w:t>
      </w:r>
      <w:r w:rsidR="008300FB">
        <w:rPr>
          <w:lang w:val="fr-CH"/>
        </w:rPr>
        <w:t>’</w:t>
      </w:r>
      <w:r w:rsidRPr="00BF1937">
        <w:rPr>
          <w:lang w:val="fr-CH"/>
        </w:rPr>
        <w:t>acquitter des obligations qui lui incombent en sa qualité d</w:t>
      </w:r>
      <w:r w:rsidR="008300FB">
        <w:rPr>
          <w:lang w:val="fr-CH"/>
        </w:rPr>
        <w:t>’</w:t>
      </w:r>
      <w:r w:rsidRPr="00BF1937">
        <w:rPr>
          <w:lang w:val="fr-CH"/>
        </w:rPr>
        <w:t>État partie aux instruments internationaux relatifs aux droits de l</w:t>
      </w:r>
      <w:r w:rsidR="008300FB">
        <w:rPr>
          <w:lang w:val="fr-CH"/>
        </w:rPr>
        <w:t>’</w:t>
      </w:r>
      <w:r w:rsidRPr="00BF1937">
        <w:rPr>
          <w:lang w:val="fr-CH"/>
        </w:rPr>
        <w:t xml:space="preserve">homme.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Le présent document de base commun est une version actualisée des précédents documents soumis par le Gouvernement chypriote; il a été élaboré conformément à la version révisée des Directives</w:t>
      </w:r>
      <w:r w:rsidR="003649E9">
        <w:rPr>
          <w:lang w:val="fr-CH"/>
        </w:rPr>
        <w:t xml:space="preserve"> </w:t>
      </w:r>
      <w:r w:rsidRPr="00BF1937">
        <w:rPr>
          <w:lang w:val="fr-CH"/>
        </w:rPr>
        <w:t>de l</w:t>
      </w:r>
      <w:r w:rsidR="008300FB">
        <w:rPr>
          <w:lang w:val="fr-CH"/>
        </w:rPr>
        <w:t>’</w:t>
      </w:r>
      <w:r w:rsidRPr="00BF1937">
        <w:rPr>
          <w:lang w:val="fr-CH"/>
        </w:rPr>
        <w:t>ONU (HRI/GEN/2/Rev.6).</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Il expose des données factuelles et statistiques générales de nature à aider les organes conventionnels à comprendre le contexte politique, juridique, social, économique et culturel de la mise en œuvre des droits de l</w:t>
      </w:r>
      <w:r w:rsidR="008300FB">
        <w:rPr>
          <w:lang w:val="fr-CH"/>
        </w:rPr>
        <w:t>’</w:t>
      </w:r>
      <w:r w:rsidRPr="00BF1937">
        <w:rPr>
          <w:lang w:val="fr-CH"/>
        </w:rPr>
        <w:t xml:space="preserve">homme à Chypre.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Toutes les données statistiques figurant dans le présent document de base commun (sous la forme de tableaux ou sous d</w:t>
      </w:r>
      <w:r w:rsidR="008300FB">
        <w:rPr>
          <w:lang w:val="fr-CH"/>
        </w:rPr>
        <w:t>’</w:t>
      </w:r>
      <w:r w:rsidRPr="00BF1937">
        <w:rPr>
          <w:lang w:val="fr-CH"/>
        </w:rPr>
        <w:t>autres formes) ont été fournies par le Service statistique</w:t>
      </w:r>
      <w:r w:rsidR="00246F34">
        <w:rPr>
          <w:b/>
          <w:i/>
          <w:lang w:val="fr-CH"/>
        </w:rPr>
        <w:t xml:space="preserve"> </w:t>
      </w:r>
      <w:r w:rsidRPr="00BF1937">
        <w:rPr>
          <w:lang w:val="fr-CH"/>
        </w:rPr>
        <w:t xml:space="preserve">et les ministères compétents de la République de Chypre.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Comme 36,2 % du territoire de la République de Chypre sont sous l</w:t>
      </w:r>
      <w:r w:rsidR="008300FB">
        <w:rPr>
          <w:lang w:val="fr-CH"/>
        </w:rPr>
        <w:t>’</w:t>
      </w:r>
      <w:r w:rsidRPr="00BF1937">
        <w:rPr>
          <w:lang w:val="fr-CH"/>
        </w:rPr>
        <w:t>occupation permanente et illégale des forces militaires turques depuis 1974, le Gouvernement n</w:t>
      </w:r>
      <w:r w:rsidR="008300FB">
        <w:rPr>
          <w:lang w:val="fr-CH"/>
        </w:rPr>
        <w:t>’</w:t>
      </w:r>
      <w:r w:rsidRPr="00BF1937">
        <w:rPr>
          <w:lang w:val="fr-CH"/>
        </w:rPr>
        <w:t>exerce pas un contrôle effectif sur la totalité de son territoire. Par conséquent, l</w:t>
      </w:r>
      <w:r w:rsidR="008300FB">
        <w:rPr>
          <w:lang w:val="fr-CH"/>
        </w:rPr>
        <w:t>’</w:t>
      </w:r>
      <w:r w:rsidRPr="00BF1937">
        <w:rPr>
          <w:lang w:val="fr-CH"/>
        </w:rPr>
        <w:t xml:space="preserve">ensemble des informations et des données figurant dans le présent document de base commun concernent les zones contrôlées par le Gouvernement. </w:t>
      </w:r>
    </w:p>
    <w:p w:rsidR="00BF1937" w:rsidRDefault="00BF1937" w:rsidP="00AD54C4">
      <w:pPr>
        <w:pStyle w:val="SingleTxt"/>
        <w:numPr>
          <w:ilvl w:val="0"/>
          <w:numId w:val="18"/>
        </w:numPr>
        <w:tabs>
          <w:tab w:val="clear" w:pos="475"/>
          <w:tab w:val="num" w:pos="1742"/>
        </w:tabs>
        <w:ind w:left="1267"/>
        <w:rPr>
          <w:lang w:val="fr-CH"/>
        </w:rPr>
      </w:pPr>
      <w:r w:rsidRPr="00BF1937">
        <w:rPr>
          <w:lang w:val="fr-CH"/>
        </w:rPr>
        <w:t>La présente version révisée du document de base commun a été élaborée sous la coordination du Ministère des affaires étrangères, avec le concours d</w:t>
      </w:r>
      <w:r w:rsidR="008300FB">
        <w:rPr>
          <w:lang w:val="fr-CH"/>
        </w:rPr>
        <w:t>’</w:t>
      </w:r>
      <w:r w:rsidRPr="00BF1937">
        <w:rPr>
          <w:lang w:val="fr-CH"/>
        </w:rPr>
        <w:t>autres ministères, départements et administrations ainsi que d</w:t>
      </w:r>
      <w:r w:rsidR="008300FB">
        <w:rPr>
          <w:lang w:val="fr-CH"/>
        </w:rPr>
        <w:t>’</w:t>
      </w:r>
      <w:r w:rsidRPr="00BF1937">
        <w:rPr>
          <w:lang w:val="fr-CH"/>
        </w:rPr>
        <w:t xml:space="preserve">organismes indépendants chypriotes. </w:t>
      </w:r>
    </w:p>
    <w:p w:rsidR="00246F34" w:rsidRPr="00246F34" w:rsidRDefault="00246F34" w:rsidP="00246F34">
      <w:pPr>
        <w:pStyle w:val="SingleTxt"/>
        <w:spacing w:after="0" w:line="120" w:lineRule="exact"/>
        <w:rPr>
          <w:sz w:val="10"/>
          <w:lang w:val="fr-CH"/>
        </w:rPr>
      </w:pPr>
    </w:p>
    <w:p w:rsidR="00246F34" w:rsidRPr="00246F34" w:rsidRDefault="00246F34" w:rsidP="00246F34">
      <w:pPr>
        <w:pStyle w:val="SingleTxt"/>
        <w:spacing w:after="0" w:line="120" w:lineRule="exact"/>
        <w:rPr>
          <w:sz w:val="10"/>
          <w:lang w:val="fr-CH"/>
        </w:rPr>
      </w:pPr>
    </w:p>
    <w:p w:rsidR="00BF1937" w:rsidRPr="00BF1937" w:rsidRDefault="00BF1937" w:rsidP="00246F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el-GR"/>
        </w:rPr>
        <w:t>Ι</w:t>
      </w:r>
      <w:r w:rsidRPr="00BF1937">
        <w:rPr>
          <w:lang w:val="fr-CH"/>
        </w:rPr>
        <w:t>I.</w:t>
      </w:r>
      <w:r w:rsidRPr="00BF1937">
        <w:rPr>
          <w:lang w:val="fr-CH"/>
        </w:rPr>
        <w:tab/>
        <w:t>Renseignements d</w:t>
      </w:r>
      <w:r w:rsidR="008300FB">
        <w:rPr>
          <w:lang w:val="fr-CH"/>
        </w:rPr>
        <w:t>’</w:t>
      </w:r>
      <w:r w:rsidRPr="00BF1937">
        <w:rPr>
          <w:lang w:val="fr-CH"/>
        </w:rPr>
        <w:t xml:space="preserve">ordre général </w:t>
      </w:r>
    </w:p>
    <w:p w:rsidR="00246F34" w:rsidRPr="00246F34" w:rsidRDefault="00246F34" w:rsidP="00246F34">
      <w:pPr>
        <w:pStyle w:val="SingleTxt"/>
        <w:spacing w:after="0" w:line="120" w:lineRule="exact"/>
        <w:rPr>
          <w:b/>
          <w:sz w:val="10"/>
          <w:lang w:val="fr-CH"/>
        </w:rPr>
      </w:pPr>
    </w:p>
    <w:p w:rsidR="00246F34" w:rsidRPr="00246F34" w:rsidRDefault="00246F34" w:rsidP="00246F34">
      <w:pPr>
        <w:pStyle w:val="SingleTxt"/>
        <w:spacing w:after="0" w:line="120" w:lineRule="exact"/>
        <w:rPr>
          <w:b/>
          <w:sz w:val="10"/>
          <w:lang w:val="fr-CH"/>
        </w:rPr>
      </w:pPr>
    </w:p>
    <w:p w:rsidR="00BF1937" w:rsidRPr="00BF1937" w:rsidRDefault="00BF1937" w:rsidP="00246F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t>A.</w:t>
      </w:r>
      <w:r w:rsidRPr="00BF1937">
        <w:rPr>
          <w:lang w:val="fr-CH"/>
        </w:rPr>
        <w:tab/>
        <w:t xml:space="preserve">Caractéristiques démographiques, économiques, sociales </w:t>
      </w:r>
      <w:r w:rsidR="00246F34">
        <w:rPr>
          <w:lang w:val="fr-CH"/>
        </w:rPr>
        <w:br/>
      </w:r>
      <w:r w:rsidRPr="00BF1937">
        <w:rPr>
          <w:lang w:val="fr-CH"/>
        </w:rPr>
        <w:t>et culturelles</w:t>
      </w:r>
    </w:p>
    <w:p w:rsidR="00246F34" w:rsidRPr="00246F34" w:rsidRDefault="00246F34" w:rsidP="00246F34">
      <w:pPr>
        <w:pStyle w:val="SingleTxt"/>
        <w:spacing w:after="0" w:line="120" w:lineRule="exact"/>
        <w:rPr>
          <w:sz w:val="10"/>
          <w:lang w:val="fr-CH"/>
        </w:rPr>
      </w:pPr>
    </w:p>
    <w:p w:rsidR="00246F34" w:rsidRPr="00246F34" w:rsidRDefault="00246F34" w:rsidP="00246F34">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S</w:t>
      </w:r>
      <w:r w:rsidR="008300FB">
        <w:rPr>
          <w:lang w:val="fr-FR"/>
        </w:rPr>
        <w:t>’</w:t>
      </w:r>
      <w:r w:rsidRPr="00BF1937">
        <w:rPr>
          <w:lang w:val="fr-FR"/>
        </w:rPr>
        <w:t>étendant sur 9 251 k</w:t>
      </w:r>
      <w:r w:rsidR="004342BE">
        <w:rPr>
          <w:lang w:val="fr-FR"/>
        </w:rPr>
        <w:t>ilomètres carrés</w:t>
      </w:r>
      <w:r w:rsidRPr="00BF1937">
        <w:rPr>
          <w:lang w:val="fr-FR"/>
        </w:rPr>
        <w:t xml:space="preserve">, Chypre est par sa superficie la troisième île de la Méditerranée et se situe à 33° de longitude est et 35° de latitude nord.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Elle se trouve au nord-est de la Méditerranée, à environ 360 </w:t>
      </w:r>
      <w:r w:rsidR="004342BE" w:rsidRPr="00BF1937">
        <w:rPr>
          <w:lang w:val="fr-FR"/>
        </w:rPr>
        <w:t>k</w:t>
      </w:r>
      <w:r w:rsidR="004342BE">
        <w:rPr>
          <w:lang w:val="fr-FR"/>
        </w:rPr>
        <w:t>ilomètres</w:t>
      </w:r>
      <w:r w:rsidR="004342BE" w:rsidRPr="00BF1937">
        <w:rPr>
          <w:lang w:val="fr-FR"/>
        </w:rPr>
        <w:t xml:space="preserve"> </w:t>
      </w:r>
      <w:r w:rsidRPr="00BF1937">
        <w:rPr>
          <w:lang w:val="fr-FR"/>
        </w:rPr>
        <w:t>à l</w:t>
      </w:r>
      <w:r w:rsidR="008300FB">
        <w:rPr>
          <w:lang w:val="fr-FR"/>
        </w:rPr>
        <w:t>’</w:t>
      </w:r>
      <w:r w:rsidRPr="00BF1937">
        <w:rPr>
          <w:lang w:val="fr-FR"/>
        </w:rPr>
        <w:t>est de la Grèce, 300 </w:t>
      </w:r>
      <w:r w:rsidR="004342BE" w:rsidRPr="00BF1937">
        <w:rPr>
          <w:lang w:val="fr-FR"/>
        </w:rPr>
        <w:t>k</w:t>
      </w:r>
      <w:r w:rsidR="004342BE">
        <w:rPr>
          <w:lang w:val="fr-FR"/>
        </w:rPr>
        <w:t>ilomètres</w:t>
      </w:r>
      <w:r w:rsidR="004342BE" w:rsidRPr="00BF1937">
        <w:rPr>
          <w:lang w:val="fr-FR"/>
        </w:rPr>
        <w:t xml:space="preserve"> </w:t>
      </w:r>
      <w:r w:rsidRPr="00BF1937">
        <w:rPr>
          <w:lang w:val="fr-FR"/>
        </w:rPr>
        <w:t>au nord de l</w:t>
      </w:r>
      <w:r w:rsidR="008300FB">
        <w:rPr>
          <w:lang w:val="fr-FR"/>
        </w:rPr>
        <w:t>’</w:t>
      </w:r>
      <w:r w:rsidRPr="00BF1937">
        <w:rPr>
          <w:lang w:val="fr-FR"/>
        </w:rPr>
        <w:t>Égypte, 105 </w:t>
      </w:r>
      <w:r w:rsidR="004342BE" w:rsidRPr="00BF1937">
        <w:rPr>
          <w:lang w:val="fr-FR"/>
        </w:rPr>
        <w:t>k</w:t>
      </w:r>
      <w:r w:rsidR="004342BE">
        <w:rPr>
          <w:lang w:val="fr-FR"/>
        </w:rPr>
        <w:t>ilomètres</w:t>
      </w:r>
      <w:r w:rsidR="004342BE" w:rsidRPr="00BF1937">
        <w:rPr>
          <w:lang w:val="fr-FR"/>
        </w:rPr>
        <w:t xml:space="preserve"> </w:t>
      </w:r>
      <w:r w:rsidRPr="00BF1937">
        <w:rPr>
          <w:lang w:val="fr-FR"/>
        </w:rPr>
        <w:t>à l</w:t>
      </w:r>
      <w:r w:rsidR="008300FB">
        <w:rPr>
          <w:lang w:val="fr-FR"/>
        </w:rPr>
        <w:t>’</w:t>
      </w:r>
      <w:r w:rsidRPr="00BF1937">
        <w:rPr>
          <w:lang w:val="fr-FR"/>
        </w:rPr>
        <w:t>ouest de la Syrie et 75 </w:t>
      </w:r>
      <w:r w:rsidR="004342BE" w:rsidRPr="00BF1937">
        <w:rPr>
          <w:lang w:val="fr-FR"/>
        </w:rPr>
        <w:t>k</w:t>
      </w:r>
      <w:r w:rsidR="004342BE">
        <w:rPr>
          <w:lang w:val="fr-FR"/>
        </w:rPr>
        <w:t>ilomètres</w:t>
      </w:r>
      <w:r w:rsidR="004342BE" w:rsidRPr="00BF1937">
        <w:rPr>
          <w:lang w:val="fr-FR"/>
        </w:rPr>
        <w:t xml:space="preserve"> </w:t>
      </w:r>
      <w:r w:rsidRPr="00BF1937">
        <w:rPr>
          <w:lang w:val="fr-FR"/>
        </w:rPr>
        <w:t>au sud de la Turquie.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Chypre est un pays essentiellement montagneux comportant deux chaînes de montagnes</w:t>
      </w:r>
      <w:r w:rsidR="00110459">
        <w:rPr>
          <w:lang w:val="fr-CH"/>
        </w:rPr>
        <w:t> :</w:t>
      </w:r>
      <w:r w:rsidRPr="00BF1937">
        <w:rPr>
          <w:lang w:val="fr-CH"/>
        </w:rPr>
        <w:t xml:space="preserve"> le massif du Pentadaktylos, au nord, et le massif du Troodos, au sud-ouest (dont le Mont Olympe est le point culminant avec une altitude de 1 952 m). La plaine de la </w:t>
      </w:r>
      <w:r w:rsidRPr="00BF1937">
        <w:rPr>
          <w:lang w:val="fr-FR"/>
        </w:rPr>
        <w:t xml:space="preserve">Mésorée, la </w:t>
      </w:r>
      <w:r w:rsidRPr="00BF1937">
        <w:rPr>
          <w:lang w:val="fr-CH"/>
        </w:rPr>
        <w:t>plus grande, s</w:t>
      </w:r>
      <w:r w:rsidR="008300FB">
        <w:rPr>
          <w:lang w:val="fr-CH"/>
        </w:rPr>
        <w:t>’</w:t>
      </w:r>
      <w:r w:rsidRPr="00BF1937">
        <w:rPr>
          <w:lang w:val="fr-CH"/>
        </w:rPr>
        <w:t xml:space="preserve">étend entre ces deux massifs montagneux.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Chypre jouit d</w:t>
      </w:r>
      <w:r w:rsidR="008300FB">
        <w:rPr>
          <w:lang w:val="fr-CH"/>
        </w:rPr>
        <w:t>’</w:t>
      </w:r>
      <w:r w:rsidRPr="00BF1937">
        <w:rPr>
          <w:lang w:val="fr-CH"/>
        </w:rPr>
        <w:t>un climat tempéré de type méditerranéen, caractérisé par un été chaud et sec, de la mi-mai à la mi-octobre, et par un hiver doux, pluvieux et plutôt changeant, de novembre à la mi-mars. Entre les deux, les saisons de l</w:t>
      </w:r>
      <w:r w:rsidR="008300FB">
        <w:rPr>
          <w:lang w:val="fr-CH"/>
        </w:rPr>
        <w:t>’</w:t>
      </w:r>
      <w:r w:rsidRPr="00BF1937">
        <w:rPr>
          <w:lang w:val="fr-CH"/>
        </w:rPr>
        <w:t>automne et du printemps sont courtes et marquées par des variations météorologiques rapides. Les précipitations annuelles sont en moyenne de 503 millimètres (</w:t>
      </w:r>
      <w:r w:rsidRPr="00BF1937">
        <w:rPr>
          <w:lang w:val="fr-FR"/>
        </w:rPr>
        <w:t xml:space="preserve">période de référence de 1961 à 1990), </w:t>
      </w:r>
      <w:r w:rsidRPr="00BF1937">
        <w:rPr>
          <w:lang w:val="fr-CH"/>
        </w:rPr>
        <w:t>les deux tiers du total annuel tombant de décembre à février</w:t>
      </w:r>
      <w:r w:rsidRPr="00BF1937">
        <w:rPr>
          <w:lang w:val="fr-FR"/>
        </w:rPr>
        <w:t>. Les p</w:t>
      </w:r>
      <w:r w:rsidR="00246F34">
        <w:rPr>
          <w:lang w:val="fr-FR"/>
        </w:rPr>
        <w:t>lus faibles précipitations (213 </w:t>
      </w:r>
      <w:r w:rsidRPr="00BF1937">
        <w:rPr>
          <w:lang w:val="fr-FR"/>
        </w:rPr>
        <w:t xml:space="preserve">mm) ont été enregistrées en 1972-1973 et les plus fortes (800 mm) en 1968-1969. Le pays souffre de temps à autre de la sécheresse. </w:t>
      </w:r>
    </w:p>
    <w:p w:rsidR="00246F34" w:rsidRPr="00246F34" w:rsidRDefault="00246F34" w:rsidP="00246F34">
      <w:pPr>
        <w:pStyle w:val="SingleTxt"/>
        <w:spacing w:after="0" w:line="120" w:lineRule="exact"/>
        <w:rPr>
          <w:b/>
          <w:sz w:val="10"/>
          <w:lang w:val="fr-CH"/>
        </w:rPr>
      </w:pPr>
    </w:p>
    <w:p w:rsidR="00BF1937" w:rsidRPr="00BF1937" w:rsidRDefault="00BF1937" w:rsidP="00434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t>1.</w:t>
      </w:r>
      <w:r w:rsidRPr="00BF1937">
        <w:rPr>
          <w:lang w:val="fr-CH"/>
        </w:rPr>
        <w:tab/>
        <w:t>Contexte historique</w:t>
      </w:r>
    </w:p>
    <w:p w:rsidR="00246F34" w:rsidRPr="00246F34" w:rsidRDefault="00246F34" w:rsidP="00434F82">
      <w:pPr>
        <w:pStyle w:val="SingleTxt"/>
        <w:keepNe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575140">
        <w:rPr>
          <w:spacing w:val="0"/>
          <w:lang w:val="fr-FR"/>
        </w:rPr>
        <w:lastRenderedPageBreak/>
        <w:t>L</w:t>
      </w:r>
      <w:r w:rsidR="008300FB" w:rsidRPr="00575140">
        <w:rPr>
          <w:spacing w:val="0"/>
          <w:lang w:val="fr-FR"/>
        </w:rPr>
        <w:t>’</w:t>
      </w:r>
      <w:r w:rsidRPr="00575140">
        <w:rPr>
          <w:spacing w:val="0"/>
          <w:lang w:val="fr-FR"/>
        </w:rPr>
        <w:t>histoire de Chypre s</w:t>
      </w:r>
      <w:r w:rsidR="008300FB" w:rsidRPr="00575140">
        <w:rPr>
          <w:spacing w:val="0"/>
          <w:lang w:val="fr-FR"/>
        </w:rPr>
        <w:t>’</w:t>
      </w:r>
      <w:r w:rsidRPr="00575140">
        <w:rPr>
          <w:spacing w:val="0"/>
          <w:lang w:val="fr-FR"/>
        </w:rPr>
        <w:t>étend sur neuf millénai</w:t>
      </w:r>
      <w:r w:rsidR="00575140" w:rsidRPr="00575140">
        <w:rPr>
          <w:spacing w:val="0"/>
          <w:lang w:val="fr-FR"/>
        </w:rPr>
        <w:t xml:space="preserve">res. Au second millénaire avant </w:t>
      </w:r>
      <w:r w:rsidRPr="00575140">
        <w:rPr>
          <w:spacing w:val="0"/>
          <w:lang w:val="fr-FR"/>
        </w:rPr>
        <w:t xml:space="preserve">J.-C., </w:t>
      </w:r>
      <w:r w:rsidRPr="00BF1937">
        <w:rPr>
          <w:lang w:val="fr-FR"/>
        </w:rPr>
        <w:t>les Achéens créent sur l</w:t>
      </w:r>
      <w:r w:rsidR="008300FB">
        <w:rPr>
          <w:lang w:val="fr-FR"/>
        </w:rPr>
        <w:t>’</w:t>
      </w:r>
      <w:r w:rsidRPr="00BF1937">
        <w:rPr>
          <w:lang w:val="fr-FR"/>
        </w:rPr>
        <w:t>île des cités-royaumes sur le modèle mycénien, apportant la langue et la culture grecques, préservées jusqu</w:t>
      </w:r>
      <w:r w:rsidR="008300FB">
        <w:rPr>
          <w:lang w:val="fr-FR"/>
        </w:rPr>
        <w:t>’</w:t>
      </w:r>
      <w:r w:rsidRPr="00BF1937">
        <w:rPr>
          <w:lang w:val="fr-FR"/>
        </w:rPr>
        <w:t>à aujourd</w:t>
      </w:r>
      <w:r w:rsidR="008300FB">
        <w:rPr>
          <w:lang w:val="fr-FR"/>
        </w:rPr>
        <w:t>’</w:t>
      </w:r>
      <w:r w:rsidRPr="00BF1937">
        <w:rPr>
          <w:lang w:val="fr-FR"/>
        </w:rPr>
        <w:t>hui en dépit des vicissitudes de l</w:t>
      </w:r>
      <w:r w:rsidR="008300FB">
        <w:rPr>
          <w:lang w:val="fr-FR"/>
        </w:rPr>
        <w:t>’</w:t>
      </w:r>
      <w:r w:rsidRPr="00BF1937">
        <w:rPr>
          <w:lang w:val="fr-FR"/>
        </w:rPr>
        <w:t>histoire</w:t>
      </w:r>
      <w:r w:rsidRPr="00BF1937">
        <w:rPr>
          <w:lang w:val="fr-CH"/>
        </w:rPr>
        <w:t>.</w:t>
      </w:r>
      <w:r w:rsidRPr="00BF1937">
        <w:rPr>
          <w:lang w:val="fr-FR"/>
        </w:rPr>
        <w:t xml:space="preserv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Dans l</w:t>
      </w:r>
      <w:r w:rsidR="008300FB">
        <w:rPr>
          <w:lang w:val="fr-FR"/>
        </w:rPr>
        <w:t>’</w:t>
      </w:r>
      <w:r w:rsidRPr="00BF1937">
        <w:rPr>
          <w:lang w:val="fr-FR"/>
        </w:rPr>
        <w:t>antiquité, Chypre est réputée pour ses mines de cuivre et ses forêts. Sa position géostratégique, à la croisée de trois continents, et sa richesse exp</w:t>
      </w:r>
      <w:r w:rsidR="00246F34">
        <w:rPr>
          <w:lang w:val="fr-FR"/>
        </w:rPr>
        <w:t>liquent que les conquérants s</w:t>
      </w:r>
      <w:r w:rsidR="008300FB">
        <w:rPr>
          <w:lang w:val="fr-FR"/>
        </w:rPr>
        <w:t>’</w:t>
      </w:r>
      <w:r w:rsidR="00246F34">
        <w:rPr>
          <w:lang w:val="fr-FR"/>
        </w:rPr>
        <w:t xml:space="preserve">y </w:t>
      </w:r>
      <w:r w:rsidRPr="00BF1937">
        <w:rPr>
          <w:lang w:val="fr-FR"/>
        </w:rPr>
        <w:t xml:space="preserve">succèdent, notamment les Assyriens (673-669 av. J.-C.), les Égyptiens (560-545 av. J.-C.) et les Perses (545-332 av. J.-C.).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Au V</w:t>
      </w:r>
      <w:r w:rsidRPr="00246F34">
        <w:rPr>
          <w:vertAlign w:val="superscript"/>
          <w:lang w:val="fr-CH"/>
        </w:rPr>
        <w:t>e</w:t>
      </w:r>
      <w:r w:rsidRPr="00BF1937">
        <w:rPr>
          <w:lang w:val="fr-CH"/>
        </w:rPr>
        <w:t xml:space="preserve"> siècle avant J.-C., Athènes entretient des liens étroits avec les cités-États de Chypre, en particulier avec la cité de Salamine.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À la faveur du démembrement de l</w:t>
      </w:r>
      <w:r w:rsidR="008300FB">
        <w:rPr>
          <w:lang w:val="fr-FR"/>
        </w:rPr>
        <w:t>’</w:t>
      </w:r>
      <w:r w:rsidRPr="00BF1937">
        <w:rPr>
          <w:lang w:val="fr-FR"/>
        </w:rPr>
        <w:t>empire d</w:t>
      </w:r>
      <w:r w:rsidR="008300FB">
        <w:rPr>
          <w:lang w:val="fr-FR"/>
        </w:rPr>
        <w:t>’</w:t>
      </w:r>
      <w:r w:rsidRPr="00BF1937">
        <w:rPr>
          <w:lang w:val="fr-FR"/>
        </w:rPr>
        <w:t>Alexandre le Grand, Chypre est intégrée dans l</w:t>
      </w:r>
      <w:r w:rsidR="008300FB">
        <w:rPr>
          <w:lang w:val="fr-FR"/>
        </w:rPr>
        <w:t>’</w:t>
      </w:r>
      <w:r w:rsidRPr="00BF1937">
        <w:rPr>
          <w:lang w:val="fr-FR"/>
        </w:rPr>
        <w:t>empire des Ptolémées d</w:t>
      </w:r>
      <w:r w:rsidR="008300FB">
        <w:rPr>
          <w:lang w:val="fr-FR"/>
        </w:rPr>
        <w:t>’</w:t>
      </w:r>
      <w:r w:rsidRPr="00BF1937">
        <w:rPr>
          <w:lang w:val="fr-FR"/>
        </w:rPr>
        <w:t>Égypte; la période hellénistique prend fin en 58 av</w:t>
      </w:r>
      <w:r w:rsidR="007339B5">
        <w:rPr>
          <w:lang w:val="fr-FR"/>
        </w:rPr>
        <w:t>.</w:t>
      </w:r>
      <w:r w:rsidRPr="00BF1937">
        <w:rPr>
          <w:lang w:val="fr-FR"/>
        </w:rPr>
        <w:t> J.-C. avec l</w:t>
      </w:r>
      <w:r w:rsidR="008300FB">
        <w:rPr>
          <w:lang w:val="fr-FR"/>
        </w:rPr>
        <w:t>’</w:t>
      </w:r>
      <w:r w:rsidRPr="00BF1937">
        <w:rPr>
          <w:lang w:val="fr-FR"/>
        </w:rPr>
        <w:t>arrivée des Romains.</w:t>
      </w:r>
      <w:r w:rsidRPr="00BF1937">
        <w:rPr>
          <w:lang w:val="fr-CH"/>
        </w:rPr>
        <w:t xml:space="preserv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En l</w:t>
      </w:r>
      <w:r w:rsidR="008300FB">
        <w:rPr>
          <w:lang w:val="fr-FR"/>
        </w:rPr>
        <w:t>’</w:t>
      </w:r>
      <w:r w:rsidRPr="00BF1937">
        <w:rPr>
          <w:lang w:val="fr-FR"/>
        </w:rPr>
        <w:t>an 45, Chypre est christianisée par les apôtres Paul et Barnabé, ce dernier étant chypriote.</w:t>
      </w:r>
    </w:p>
    <w:p w:rsidR="00BF1937" w:rsidRPr="00BF1937" w:rsidRDefault="00246F34" w:rsidP="00AD54C4">
      <w:pPr>
        <w:pStyle w:val="SingleTxt"/>
        <w:numPr>
          <w:ilvl w:val="0"/>
          <w:numId w:val="18"/>
        </w:numPr>
        <w:tabs>
          <w:tab w:val="clear" w:pos="475"/>
          <w:tab w:val="num" w:pos="1742"/>
        </w:tabs>
        <w:ind w:left="1267"/>
        <w:rPr>
          <w:lang w:val="fr-CH"/>
        </w:rPr>
      </w:pPr>
      <w:r>
        <w:rPr>
          <w:lang w:val="fr-FR"/>
        </w:rPr>
        <w:t xml:space="preserve">En </w:t>
      </w:r>
      <w:r w:rsidR="00BF1937" w:rsidRPr="00BF1937">
        <w:rPr>
          <w:lang w:val="fr-FR"/>
        </w:rPr>
        <w:t>330, Chypre devient une composante de l</w:t>
      </w:r>
      <w:r w:rsidR="008300FB">
        <w:rPr>
          <w:lang w:val="fr-FR"/>
        </w:rPr>
        <w:t>’</w:t>
      </w:r>
      <w:r w:rsidR="00BF1937" w:rsidRPr="00BF1937">
        <w:rPr>
          <w:lang w:val="fr-FR"/>
        </w:rPr>
        <w:t>Empire romain d</w:t>
      </w:r>
      <w:r w:rsidR="008300FB">
        <w:rPr>
          <w:lang w:val="fr-FR"/>
        </w:rPr>
        <w:t>’</w:t>
      </w:r>
      <w:r w:rsidR="00BF1937" w:rsidRPr="00BF1937">
        <w:rPr>
          <w:lang w:val="fr-FR"/>
        </w:rPr>
        <w:t>Orient puis, en 395, de l</w:t>
      </w:r>
      <w:r w:rsidR="008300FB">
        <w:rPr>
          <w:lang w:val="fr-FR"/>
        </w:rPr>
        <w:t>’</w:t>
      </w:r>
      <w:r w:rsidR="00BF1937" w:rsidRPr="00BF1937">
        <w:rPr>
          <w:lang w:val="fr-FR"/>
        </w:rPr>
        <w:t>Empire byzantin, auquel elle restera attachée jusqu</w:t>
      </w:r>
      <w:r w:rsidR="008300FB">
        <w:rPr>
          <w:lang w:val="fr-FR"/>
        </w:rPr>
        <w:t>’</w:t>
      </w:r>
      <w:r w:rsidR="00BF1937" w:rsidRPr="00BF1937">
        <w:rPr>
          <w:lang w:val="fr-FR"/>
        </w:rPr>
        <w:t>au XII</w:t>
      </w:r>
      <w:r w:rsidR="00BF1937" w:rsidRPr="00BF1937">
        <w:rPr>
          <w:vertAlign w:val="superscript"/>
          <w:lang w:val="fr-FR"/>
        </w:rPr>
        <w:t>e</w:t>
      </w:r>
      <w:r w:rsidR="00BF1937" w:rsidRPr="00BF1937">
        <w:rPr>
          <w:lang w:val="fr-FR"/>
        </w:rPr>
        <w:t> siècle.</w:t>
      </w:r>
      <w:r w:rsidR="00BF1937" w:rsidRPr="00BF1937">
        <w:rPr>
          <w:lang w:val="fr-CH"/>
        </w:rPr>
        <w:t xml:space="preserv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Durant les croisades, l</w:t>
      </w:r>
      <w:r w:rsidR="008300FB">
        <w:rPr>
          <w:lang w:val="fr-FR"/>
        </w:rPr>
        <w:t>’</w:t>
      </w:r>
      <w:r w:rsidRPr="00BF1937">
        <w:rPr>
          <w:lang w:val="fr-FR"/>
        </w:rPr>
        <w:t>île est conquise par Richard Cœur de Lion d</w:t>
      </w:r>
      <w:r w:rsidR="008300FB">
        <w:rPr>
          <w:lang w:val="fr-FR"/>
        </w:rPr>
        <w:t>’</w:t>
      </w:r>
      <w:r w:rsidRPr="00BF1937">
        <w:rPr>
          <w:lang w:val="fr-FR"/>
        </w:rPr>
        <w:t>Angleterre (1191), qui la vend</w:t>
      </w:r>
      <w:r w:rsidR="00246F34">
        <w:rPr>
          <w:lang w:val="fr-FR"/>
        </w:rPr>
        <w:t xml:space="preserve"> peu après aux Templiers. Entre 1192 et </w:t>
      </w:r>
      <w:r w:rsidRPr="00BF1937">
        <w:rPr>
          <w:lang w:val="fr-FR"/>
        </w:rPr>
        <w:t>1489, les seigneurs de Lusignan y établissent un royaume franc, sur le modèle féodal occidental. Chypre est ensuite gouvernée par la République de Venise, jusqu</w:t>
      </w:r>
      <w:r w:rsidR="008300FB">
        <w:rPr>
          <w:lang w:val="fr-FR"/>
        </w:rPr>
        <w:t>’</w:t>
      </w:r>
      <w:r w:rsidRPr="00BF1937">
        <w:rPr>
          <w:lang w:val="fr-FR"/>
        </w:rPr>
        <w:t>en 1571, année où elle est conquise par les Ottomans. L</w:t>
      </w:r>
      <w:r w:rsidR="008300FB">
        <w:rPr>
          <w:lang w:val="fr-FR"/>
        </w:rPr>
        <w:t>’</w:t>
      </w:r>
      <w:r w:rsidRPr="00BF1937">
        <w:rPr>
          <w:lang w:val="fr-FR"/>
        </w:rPr>
        <w:t>île restera sous l</w:t>
      </w:r>
      <w:r w:rsidR="008300FB">
        <w:rPr>
          <w:lang w:val="fr-FR"/>
        </w:rPr>
        <w:t>’</w:t>
      </w:r>
      <w:r w:rsidRPr="00BF1937">
        <w:rPr>
          <w:lang w:val="fr-FR"/>
        </w:rPr>
        <w:t>autori</w:t>
      </w:r>
      <w:r w:rsidR="00246F34">
        <w:rPr>
          <w:lang w:val="fr-FR"/>
        </w:rPr>
        <w:t>té de l</w:t>
      </w:r>
      <w:r w:rsidR="008300FB">
        <w:rPr>
          <w:lang w:val="fr-FR"/>
        </w:rPr>
        <w:t>’</w:t>
      </w:r>
      <w:r w:rsidR="00246F34">
        <w:rPr>
          <w:lang w:val="fr-FR"/>
        </w:rPr>
        <w:t>Empire ottoman jusqu</w:t>
      </w:r>
      <w:r w:rsidR="008300FB">
        <w:rPr>
          <w:lang w:val="fr-FR"/>
        </w:rPr>
        <w:t>’</w:t>
      </w:r>
      <w:r w:rsidR="00246F34">
        <w:rPr>
          <w:lang w:val="fr-FR"/>
        </w:rPr>
        <w:t xml:space="preserve">en </w:t>
      </w:r>
      <w:r w:rsidRPr="00BF1937">
        <w:rPr>
          <w:lang w:val="fr-FR"/>
        </w:rPr>
        <w:t>1878, année où elle est</w:t>
      </w:r>
      <w:r w:rsidR="00246F34">
        <w:rPr>
          <w:lang w:val="fr-FR"/>
        </w:rPr>
        <w:t xml:space="preserve"> cédée à la Grande-Bretagne. En </w:t>
      </w:r>
      <w:r w:rsidRPr="00BF1937">
        <w:rPr>
          <w:lang w:val="fr-FR"/>
        </w:rPr>
        <w:t>1923</w:t>
      </w:r>
      <w:r w:rsidR="00246F34">
        <w:rPr>
          <w:lang w:val="fr-FR"/>
        </w:rPr>
        <w:t xml:space="preserve">, par le Traité de Lausanne, la </w:t>
      </w:r>
      <w:r w:rsidRPr="00BF1937">
        <w:rPr>
          <w:lang w:val="fr-FR"/>
        </w:rPr>
        <w:t>Turquie renonce à tout droit sur Chypre et en reconnaît l</w:t>
      </w:r>
      <w:r w:rsidR="008300FB">
        <w:rPr>
          <w:lang w:val="fr-FR"/>
        </w:rPr>
        <w:t>’</w:t>
      </w:r>
      <w:r w:rsidRPr="00BF1937">
        <w:rPr>
          <w:lang w:val="fr-FR"/>
        </w:rPr>
        <w:t>annexion par la Grande-Bretagne, proclamée dès 1914 par le Gouvernement britannique.</w:t>
      </w:r>
      <w:r w:rsidRPr="00BF1937">
        <w:rPr>
          <w:lang w:val="fr-CH"/>
        </w:rPr>
        <w:t xml:space="preserv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Après des efforts politiques et diplomatiques prolongés, pacifiques mais infructueux – qui donnent lieu à un référendum d</w:t>
      </w:r>
      <w:r w:rsidR="008300FB">
        <w:rPr>
          <w:lang w:val="fr-CH"/>
        </w:rPr>
        <w:t>’</w:t>
      </w:r>
      <w:r w:rsidRPr="00BF1937">
        <w:rPr>
          <w:lang w:val="fr-CH"/>
        </w:rPr>
        <w:t xml:space="preserve">autodétermination en 1950, les Chypriotes grecs prennent les armes en 1955 contre le pouvoir colonial.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Le 16 août 1960, en vertu des Accords de Zurich et Londres, Chypre devient une république indépendante.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 xml:space="preserve">Le 15 juillet 1974, </w:t>
      </w:r>
      <w:r w:rsidRPr="00BF1937">
        <w:rPr>
          <w:lang w:val="fr-CH"/>
        </w:rPr>
        <w:t xml:space="preserve">avec la collusion de collaborateurs chypriotes grecs, </w:t>
      </w:r>
      <w:r w:rsidRPr="00BF1937">
        <w:rPr>
          <w:lang w:val="fr-FR"/>
        </w:rPr>
        <w:t>la junte militaire alors au pouvoir en Grèce procède à un coup d</w:t>
      </w:r>
      <w:r w:rsidR="008300FB">
        <w:rPr>
          <w:lang w:val="fr-FR"/>
        </w:rPr>
        <w:t>’</w:t>
      </w:r>
      <w:r w:rsidRPr="00BF1937">
        <w:rPr>
          <w:lang w:val="fr-FR"/>
        </w:rPr>
        <w:t>État pour renverser le Gouvernement chypriote démocrat</w:t>
      </w:r>
      <w:r w:rsidR="00246F34">
        <w:rPr>
          <w:lang w:val="fr-FR"/>
        </w:rPr>
        <w:t xml:space="preserve">iquement élu. Le 20 juillet, la </w:t>
      </w:r>
      <w:r w:rsidRPr="00BF1937">
        <w:rPr>
          <w:lang w:val="fr-FR"/>
        </w:rPr>
        <w:t>Turquie, invoquant ce coup d</w:t>
      </w:r>
      <w:r w:rsidR="008300FB">
        <w:rPr>
          <w:lang w:val="fr-FR"/>
        </w:rPr>
        <w:t>’</w:t>
      </w:r>
      <w:r w:rsidRPr="00BF1937">
        <w:rPr>
          <w:lang w:val="fr-FR"/>
        </w:rPr>
        <w:t>État et en violation des codes de conduite internationaux établis par des traités dont elle est signataire, envahit Chypre sous prétexte d</w:t>
      </w:r>
      <w:r w:rsidR="008300FB">
        <w:rPr>
          <w:lang w:val="fr-FR"/>
        </w:rPr>
        <w:t>’</w:t>
      </w:r>
      <w:r w:rsidRPr="00BF1937">
        <w:rPr>
          <w:lang w:val="fr-FR"/>
        </w:rPr>
        <w:t>y rétablir l</w:t>
      </w:r>
      <w:r w:rsidR="008300FB">
        <w:rPr>
          <w:lang w:val="fr-FR"/>
        </w:rPr>
        <w:t>’</w:t>
      </w:r>
      <w:r w:rsidRPr="00BF1937">
        <w:rPr>
          <w:lang w:val="fr-FR"/>
        </w:rPr>
        <w:t>ordre constitutionnel. Elle n</w:t>
      </w:r>
      <w:r w:rsidR="008300FB">
        <w:rPr>
          <w:lang w:val="fr-FR"/>
        </w:rPr>
        <w:t>’</w:t>
      </w:r>
      <w:r w:rsidRPr="00BF1937">
        <w:rPr>
          <w:lang w:val="fr-FR"/>
        </w:rPr>
        <w:t>en fait rien, mais s</w:t>
      </w:r>
      <w:r w:rsidR="008300FB">
        <w:rPr>
          <w:lang w:val="fr-FR"/>
        </w:rPr>
        <w:t>’</w:t>
      </w:r>
      <w:r w:rsidRPr="00BF1937">
        <w:rPr>
          <w:lang w:val="fr-FR"/>
        </w:rPr>
        <w:t>empare de 36,2 % du territoire souverain de la République de Chypre en vio</w:t>
      </w:r>
      <w:r w:rsidR="00246F34">
        <w:rPr>
          <w:lang w:val="fr-FR"/>
        </w:rPr>
        <w:t xml:space="preserve">lation de la Charte des Nations </w:t>
      </w:r>
      <w:r w:rsidRPr="00BF1937">
        <w:rPr>
          <w:lang w:val="fr-FR"/>
        </w:rPr>
        <w:t xml:space="preserve">Unies et des principes fondamentaux du droit international. </w:t>
      </w:r>
      <w:r w:rsidRPr="00BF1937">
        <w:rPr>
          <w:lang w:val="fr-CH"/>
        </w:rPr>
        <w:t>L</w:t>
      </w:r>
      <w:r w:rsidR="008300FB">
        <w:rPr>
          <w:lang w:val="fr-CH"/>
        </w:rPr>
        <w:t>’</w:t>
      </w:r>
      <w:r w:rsidRPr="00BF1937">
        <w:rPr>
          <w:lang w:val="fr-CH"/>
        </w:rPr>
        <w:t>agression militaire turque dont Chypre est la victime se poursuit depuis quatre décennies, malgré les résolutions de l</w:t>
      </w:r>
      <w:r w:rsidR="008300FB">
        <w:rPr>
          <w:lang w:val="fr-CH"/>
        </w:rPr>
        <w:t>’</w:t>
      </w:r>
      <w:r w:rsidRPr="00BF1937">
        <w:rPr>
          <w:lang w:val="fr-CH"/>
        </w:rPr>
        <w:t>ONU appelant au retrait des troupes étrangères de l</w:t>
      </w:r>
      <w:r w:rsidR="008300FB">
        <w:rPr>
          <w:lang w:val="fr-CH"/>
        </w:rPr>
        <w:t>’</w:t>
      </w:r>
      <w:r w:rsidRPr="00BF1937">
        <w:rPr>
          <w:lang w:val="fr-CH"/>
        </w:rPr>
        <w:t>île.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Le</w:t>
      </w:r>
      <w:r w:rsidR="00246F34">
        <w:rPr>
          <w:lang w:val="fr-CH"/>
        </w:rPr>
        <w:t xml:space="preserve"> </w:t>
      </w:r>
      <w:r w:rsidRPr="00BF1937">
        <w:rPr>
          <w:lang w:val="fr-CH"/>
        </w:rPr>
        <w:t>1</w:t>
      </w:r>
      <w:r w:rsidRPr="00BF1937">
        <w:rPr>
          <w:vertAlign w:val="superscript"/>
          <w:lang w:val="fr-CH"/>
        </w:rPr>
        <w:t>er</w:t>
      </w:r>
      <w:r w:rsidR="00246F34">
        <w:rPr>
          <w:lang w:val="fr-CH"/>
        </w:rPr>
        <w:t> </w:t>
      </w:r>
      <w:r w:rsidRPr="00BF1937">
        <w:rPr>
          <w:lang w:val="fr-CH"/>
        </w:rPr>
        <w:t>mai 2004, le République de Chypre est devenue membre de l</w:t>
      </w:r>
      <w:r w:rsidR="008300FB">
        <w:rPr>
          <w:lang w:val="fr-CH"/>
        </w:rPr>
        <w:t>’</w:t>
      </w:r>
      <w:r w:rsidRPr="00BF1937">
        <w:rPr>
          <w:lang w:val="fr-CH"/>
        </w:rPr>
        <w:t xml:space="preserve">Union européenne. </w:t>
      </w:r>
    </w:p>
    <w:p w:rsidR="00246F34" w:rsidRPr="00246F34" w:rsidRDefault="00246F34" w:rsidP="00246F34">
      <w:pPr>
        <w:pStyle w:val="SingleTxt"/>
        <w:spacing w:after="0" w:line="120" w:lineRule="exact"/>
        <w:rPr>
          <w:b/>
          <w:sz w:val="10"/>
          <w:lang w:val="fr-CH"/>
        </w:rPr>
      </w:pPr>
    </w:p>
    <w:p w:rsidR="00BF1937" w:rsidRPr="00BF1937" w:rsidRDefault="00BF1937" w:rsidP="00246F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t>2.</w:t>
      </w:r>
      <w:r w:rsidRPr="00BF1937">
        <w:rPr>
          <w:lang w:val="fr-CH"/>
        </w:rPr>
        <w:tab/>
        <w:t>Population</w:t>
      </w:r>
    </w:p>
    <w:p w:rsidR="00246F34" w:rsidRPr="00246F34" w:rsidRDefault="00246F34" w:rsidP="00246F34">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À la fin de 2012, Chypre comptait 865 900 habitants.</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répartition de la population par groupe ethnique était la suivante</w:t>
      </w:r>
      <w:r w:rsidR="00110459">
        <w:rPr>
          <w:lang w:val="fr-CH"/>
        </w:rPr>
        <w:t> :</w:t>
      </w:r>
      <w:r w:rsidRPr="00BF1937">
        <w:rPr>
          <w:lang w:val="fr-CH"/>
        </w:rPr>
        <w:t xml:space="preserve"> 71,9 % de Chypriotes grecs (dont 0,4 % d</w:t>
      </w:r>
      <w:r w:rsidR="008300FB">
        <w:rPr>
          <w:lang w:val="fr-CH"/>
        </w:rPr>
        <w:t>’</w:t>
      </w:r>
      <w:r w:rsidRPr="00BF1937">
        <w:rPr>
          <w:lang w:val="fr-CH"/>
        </w:rPr>
        <w:t>Arméniens; 0,7 % de membres de la communauté maronite</w:t>
      </w:r>
      <w:r w:rsidRPr="00BF1937">
        <w:rPr>
          <w:lang w:val="fr-FR"/>
        </w:rPr>
        <w:t xml:space="preserve">; 0,1 % de </w:t>
      </w:r>
      <w:r w:rsidRPr="00BF1937">
        <w:rPr>
          <w:lang w:val="fr-CH"/>
        </w:rPr>
        <w:t>personnes app</w:t>
      </w:r>
      <w:r w:rsidR="00246F34">
        <w:rPr>
          <w:lang w:val="fr-CH"/>
        </w:rPr>
        <w:t>artenant à la communauté latine</w:t>
      </w:r>
      <w:r w:rsidRPr="00BF1937">
        <w:rPr>
          <w:lang w:val="fr-FR"/>
        </w:rPr>
        <w:t>)</w:t>
      </w:r>
      <w:r w:rsidRPr="00BF1937">
        <w:rPr>
          <w:lang w:val="fr-CH"/>
        </w:rPr>
        <w:t xml:space="preserve">, 9,5 % de </w:t>
      </w:r>
      <w:r w:rsidRPr="00BF1937">
        <w:rPr>
          <w:lang w:val="fr-CH"/>
        </w:rPr>
        <w:lastRenderedPageBreak/>
        <w:t>Chypriotes turcs et 18,6 % de personnes appartenant à d</w:t>
      </w:r>
      <w:r w:rsidR="008300FB">
        <w:rPr>
          <w:lang w:val="fr-CH"/>
        </w:rPr>
        <w:t>’</w:t>
      </w:r>
      <w:r w:rsidRPr="00BF1937">
        <w:rPr>
          <w:lang w:val="fr-CH"/>
        </w:rPr>
        <w:t>autres groupes, c</w:t>
      </w:r>
      <w:r w:rsidR="008300FB">
        <w:rPr>
          <w:lang w:val="fr-CH"/>
        </w:rPr>
        <w:t>’</w:t>
      </w:r>
      <w:r w:rsidRPr="00BF1937">
        <w:rPr>
          <w:lang w:val="fr-CH"/>
        </w:rPr>
        <w:t>est-à-dire les résidents étrangers. Il est à noter que dans ces chiffres ne sont pas comptabilisés les quelque 160 à 170 000 colons transférés illégalement de Turquie depuis l</w:t>
      </w:r>
      <w:r w:rsidR="008300FB">
        <w:rPr>
          <w:lang w:val="fr-CH"/>
        </w:rPr>
        <w:t>’</w:t>
      </w:r>
      <w:r w:rsidRPr="00BF1937">
        <w:rPr>
          <w:lang w:val="fr-CH"/>
        </w:rPr>
        <w:t>invasion turque de 1974 dans le but de modifier l</w:t>
      </w:r>
      <w:r w:rsidR="008300FB">
        <w:rPr>
          <w:lang w:val="fr-CH"/>
        </w:rPr>
        <w:t>’</w:t>
      </w:r>
      <w:r w:rsidRPr="00BF1937">
        <w:rPr>
          <w:lang w:val="fr-CH"/>
        </w:rPr>
        <w:t>équilibre démographique de Chypre, en violation du droit international, ni les forces d</w:t>
      </w:r>
      <w:r w:rsidR="008300FB">
        <w:rPr>
          <w:lang w:val="fr-CH"/>
        </w:rPr>
        <w:t>’</w:t>
      </w:r>
      <w:r w:rsidR="00246F34">
        <w:rPr>
          <w:lang w:val="fr-CH"/>
        </w:rPr>
        <w:t>occupation turques (environ 40 000 </w:t>
      </w:r>
      <w:r w:rsidRPr="00BF1937">
        <w:rPr>
          <w:lang w:val="fr-CH"/>
        </w:rPr>
        <w:t>hommes). Se</w:t>
      </w:r>
      <w:r w:rsidR="00246F34">
        <w:rPr>
          <w:lang w:val="fr-CH"/>
        </w:rPr>
        <w:t>lon les estimations, plus de 57 </w:t>
      </w:r>
      <w:r w:rsidRPr="00BF1937">
        <w:rPr>
          <w:lang w:val="fr-CH"/>
        </w:rPr>
        <w:t xml:space="preserve">000 Chypriotes turcs ont émigré depuis 1974.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Avant l</w:t>
      </w:r>
      <w:r w:rsidR="008300FB">
        <w:rPr>
          <w:lang w:val="fr-CH"/>
        </w:rPr>
        <w:t>’</w:t>
      </w:r>
      <w:r w:rsidRPr="00BF1937">
        <w:rPr>
          <w:lang w:val="fr-CH"/>
        </w:rPr>
        <w:t>invasion turque, les deux communautés vivaient ensemble dans chacun des six districts administratifs du pays, qui comptaient tous à peu près quatre Chypriotes grecs pour un turc. Du fait de l</w:t>
      </w:r>
      <w:r w:rsidR="008300FB">
        <w:rPr>
          <w:lang w:val="fr-CH"/>
        </w:rPr>
        <w:t>’</w:t>
      </w:r>
      <w:r w:rsidRPr="00BF1937">
        <w:rPr>
          <w:lang w:val="fr-CH"/>
        </w:rPr>
        <w:t>invasion turque et de l</w:t>
      </w:r>
      <w:r w:rsidR="008300FB">
        <w:rPr>
          <w:lang w:val="fr-CH"/>
        </w:rPr>
        <w:t>’</w:t>
      </w:r>
      <w:r w:rsidRPr="00BF1937">
        <w:rPr>
          <w:lang w:val="fr-CH"/>
        </w:rPr>
        <w:t>occupation persistante de 36,2 % du territoire de la République de Chypre, les Chypriotes grecs qui vivaient dans le nord-est, zone occupée par l</w:t>
      </w:r>
      <w:r w:rsidR="008300FB">
        <w:rPr>
          <w:lang w:val="fr-CH"/>
        </w:rPr>
        <w:t>’</w:t>
      </w:r>
      <w:r w:rsidRPr="00BF1937">
        <w:rPr>
          <w:lang w:val="fr-CH"/>
        </w:rPr>
        <w:t>armée de l</w:t>
      </w:r>
      <w:r w:rsidR="008300FB">
        <w:rPr>
          <w:lang w:val="fr-CH"/>
        </w:rPr>
        <w:t>’</w:t>
      </w:r>
      <w:r w:rsidRPr="00BF1937">
        <w:rPr>
          <w:lang w:val="fr-CH"/>
        </w:rPr>
        <w:t>envahisseur, en ont été chassés et vivent désormais dans la région qui est sous le contrôle effectif du Gouvernement chypriote. Quant aux Chypriotes turcs qui vivaient dans le sud-est, presque tous ont été poussés par leurs dirigeants à s</w:t>
      </w:r>
      <w:r w:rsidR="008300FB">
        <w:rPr>
          <w:lang w:val="fr-CH"/>
        </w:rPr>
        <w:t>’</w:t>
      </w:r>
      <w:r w:rsidRPr="00BF1937">
        <w:rPr>
          <w:lang w:val="fr-CH"/>
        </w:rPr>
        <w:t>installer dans la zone occupée par les troupes tur</w:t>
      </w:r>
      <w:r w:rsidR="00246F34">
        <w:rPr>
          <w:lang w:val="fr-CH"/>
        </w:rPr>
        <w:t>ques. La grande majorité des 22 </w:t>
      </w:r>
      <w:r w:rsidRPr="00BF1937">
        <w:rPr>
          <w:lang w:val="fr-CH"/>
        </w:rPr>
        <w:t>000 Chypriotes grecs et maronites qui se sont retrouvés isolés dans la zone occupée par l</w:t>
      </w:r>
      <w:r w:rsidR="008300FB">
        <w:rPr>
          <w:lang w:val="fr-CH"/>
        </w:rPr>
        <w:t>’</w:t>
      </w:r>
      <w:r w:rsidRPr="00BF1937">
        <w:rPr>
          <w:lang w:val="fr-CH"/>
        </w:rPr>
        <w:t>armée turque en ont été expulsés par la suite. Malgré les Accords de Vienne III du 2 août 1975, qui disposent que « les Chypriotes grecs qui se trouvent actuellement dans le nord de l</w:t>
      </w:r>
      <w:r w:rsidR="008300FB">
        <w:rPr>
          <w:lang w:val="fr-CH"/>
        </w:rPr>
        <w:t>’</w:t>
      </w:r>
      <w:r w:rsidRPr="00BF1937">
        <w:rPr>
          <w:lang w:val="fr-CH"/>
        </w:rPr>
        <w:t>île sont libres d</w:t>
      </w:r>
      <w:r w:rsidR="008300FB">
        <w:rPr>
          <w:lang w:val="fr-CH"/>
        </w:rPr>
        <w:t>’</w:t>
      </w:r>
      <w:r w:rsidRPr="00BF1937">
        <w:rPr>
          <w:lang w:val="fr-CH"/>
        </w:rPr>
        <w:t>y rester et recevront toute l</w:t>
      </w:r>
      <w:r w:rsidR="008300FB">
        <w:rPr>
          <w:lang w:val="fr-CH"/>
        </w:rPr>
        <w:t>’</w:t>
      </w:r>
      <w:r w:rsidRPr="00BF1937">
        <w:rPr>
          <w:lang w:val="fr-CH"/>
        </w:rPr>
        <w:t>aide dont ils ont besoin pour mener une vie normale… », le régime d</w:t>
      </w:r>
      <w:r w:rsidR="008300FB">
        <w:rPr>
          <w:lang w:val="fr-CH"/>
        </w:rPr>
        <w:t>’</w:t>
      </w:r>
      <w:r w:rsidRPr="00BF1937">
        <w:rPr>
          <w:lang w:val="fr-CH"/>
        </w:rPr>
        <w:t>occupation n</w:t>
      </w:r>
      <w:r w:rsidR="008300FB">
        <w:rPr>
          <w:lang w:val="fr-CH"/>
        </w:rPr>
        <w:t>’</w:t>
      </w:r>
      <w:r w:rsidRPr="00BF1937">
        <w:rPr>
          <w:lang w:val="fr-CH"/>
        </w:rPr>
        <w:t>a jamais honoré ses engagements humanitaires et, au contraire, a mis en œuvre une politique d</w:t>
      </w:r>
      <w:r w:rsidR="008300FB">
        <w:rPr>
          <w:lang w:val="fr-CH"/>
        </w:rPr>
        <w:t>’</w:t>
      </w:r>
      <w:r w:rsidRPr="00BF1937">
        <w:rPr>
          <w:lang w:val="fr-CH"/>
        </w:rPr>
        <w:t>expulsion forcée. En janvier 2014, il ne restait dans la zone occupée que 441 personnes, âgées pour la plupart, apparten</w:t>
      </w:r>
      <w:r w:rsidR="00246F34">
        <w:rPr>
          <w:lang w:val="fr-CH"/>
        </w:rPr>
        <w:t>ant à ces deux communautés (336 </w:t>
      </w:r>
      <w:r w:rsidRPr="00BF1937">
        <w:rPr>
          <w:lang w:val="fr-CH"/>
        </w:rPr>
        <w:t xml:space="preserve">Chypriotes grecs et 105 </w:t>
      </w:r>
      <w:r w:rsidR="00AB37C5" w:rsidRPr="00BF1937">
        <w:rPr>
          <w:lang w:val="fr-CH"/>
        </w:rPr>
        <w:t>M</w:t>
      </w:r>
      <w:r w:rsidRPr="00BF1937">
        <w:rPr>
          <w:lang w:val="fr-CH"/>
        </w:rPr>
        <w:t xml:space="preserve">aronites).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politique et les pratiques appliquées par la Turquie dans la zone occupée depuis son invasion de Chypre constituent l</w:t>
      </w:r>
      <w:r w:rsidR="008300FB">
        <w:rPr>
          <w:lang w:val="fr-CH"/>
        </w:rPr>
        <w:t>’</w:t>
      </w:r>
      <w:r w:rsidRPr="00BF1937">
        <w:rPr>
          <w:lang w:val="fr-CH"/>
        </w:rPr>
        <w:t>un des premiers cas de nettoyage ethnique dans l</w:t>
      </w:r>
      <w:r w:rsidR="008300FB">
        <w:rPr>
          <w:lang w:val="fr-CH"/>
        </w:rPr>
        <w:t>’</w:t>
      </w:r>
      <w:r w:rsidRPr="00BF1937">
        <w:rPr>
          <w:lang w:val="fr-CH"/>
        </w:rPr>
        <w:t>Europe de l</w:t>
      </w:r>
      <w:r w:rsidR="008300FB">
        <w:rPr>
          <w:lang w:val="fr-CH"/>
        </w:rPr>
        <w:t>’</w:t>
      </w:r>
      <w:r w:rsidRPr="00BF1937">
        <w:rPr>
          <w:lang w:val="fr-CH"/>
        </w:rPr>
        <w:t xml:space="preserve">après-Seconde Guerre mondiale. </w:t>
      </w:r>
    </w:p>
    <w:p w:rsidR="00BF1937" w:rsidRDefault="00BF1937" w:rsidP="00AD54C4">
      <w:pPr>
        <w:pStyle w:val="SingleTxt"/>
        <w:numPr>
          <w:ilvl w:val="0"/>
          <w:numId w:val="18"/>
        </w:numPr>
        <w:tabs>
          <w:tab w:val="clear" w:pos="475"/>
          <w:tab w:val="num" w:pos="1742"/>
        </w:tabs>
        <w:ind w:left="1267"/>
        <w:rPr>
          <w:lang w:val="fr-CH"/>
        </w:rPr>
      </w:pPr>
      <w:r w:rsidRPr="00BF1937">
        <w:rPr>
          <w:lang w:val="fr-CH"/>
        </w:rPr>
        <w:t>Les langues officielles du pays sont le grec et le turc. La quasi-totalité des Chypriotes grecs sont orthodoxes, les Chypriotes turcs sont musulmans et les membres des minorités arménienne, maronite et latine se réclament respectivement de leur confession chrétienne d</w:t>
      </w:r>
      <w:r w:rsidR="008300FB">
        <w:rPr>
          <w:lang w:val="fr-CH"/>
        </w:rPr>
        <w:t>’</w:t>
      </w:r>
      <w:r w:rsidRPr="00BF1937">
        <w:rPr>
          <w:lang w:val="fr-CH"/>
        </w:rPr>
        <w:t>origine. En application du paragraphe 3 de l</w:t>
      </w:r>
      <w:r w:rsidR="008300FB">
        <w:rPr>
          <w:lang w:val="fr-CH"/>
        </w:rPr>
        <w:t>’</w:t>
      </w:r>
      <w:r w:rsidRPr="00BF1937">
        <w:rPr>
          <w:lang w:val="fr-CH"/>
        </w:rPr>
        <w:t>article 2 de la Constitution, ces minorités ont choisi d</w:t>
      </w:r>
      <w:r w:rsidR="008300FB">
        <w:rPr>
          <w:lang w:val="fr-CH"/>
        </w:rPr>
        <w:t>’</w:t>
      </w:r>
      <w:r w:rsidRPr="00BF1937">
        <w:rPr>
          <w:lang w:val="fr-CH"/>
        </w:rPr>
        <w:t xml:space="preserve">appartenir à la communauté grecque de Chypre. </w:t>
      </w:r>
    </w:p>
    <w:p w:rsidR="00246F34" w:rsidRPr="00246F34" w:rsidRDefault="00246F34" w:rsidP="00246F34">
      <w:pPr>
        <w:pStyle w:val="SingleTxt"/>
        <w:spacing w:after="0" w:line="120" w:lineRule="exact"/>
        <w:rPr>
          <w:sz w:val="10"/>
          <w:lang w:val="fr-CH"/>
        </w:rPr>
      </w:pPr>
    </w:p>
    <w:p w:rsidR="00246F34" w:rsidRPr="00246F34" w:rsidRDefault="00246F34" w:rsidP="00246F34">
      <w:pPr>
        <w:pStyle w:val="SingleTxt"/>
        <w:spacing w:after="0" w:line="120" w:lineRule="exact"/>
        <w:rPr>
          <w:sz w:val="10"/>
          <w:lang w:val="fr-CH"/>
        </w:rPr>
      </w:pPr>
    </w:p>
    <w:p w:rsidR="00BF1937" w:rsidRDefault="00BF1937" w:rsidP="00246F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Répartition de la population par langue maternelle dans les zones rurales </w:t>
      </w:r>
      <w:r w:rsidR="00246F34">
        <w:rPr>
          <w:lang w:val="fr-CH"/>
        </w:rPr>
        <w:br/>
      </w:r>
      <w:r w:rsidRPr="00BF1937">
        <w:rPr>
          <w:lang w:val="fr-CH"/>
        </w:rPr>
        <w:t>et urbaines</w:t>
      </w:r>
    </w:p>
    <w:p w:rsidR="00246F34" w:rsidRPr="00246F34" w:rsidRDefault="00246F34" w:rsidP="00246F34">
      <w:pPr>
        <w:pStyle w:val="SingleTxt"/>
        <w:spacing w:after="0" w:line="120" w:lineRule="exact"/>
        <w:rPr>
          <w:sz w:val="10"/>
          <w:lang w:val="fr-CH"/>
        </w:rPr>
      </w:pPr>
    </w:p>
    <w:p w:rsidR="00246F34" w:rsidRDefault="00246F34" w:rsidP="00246F34">
      <w:pPr>
        <w:pStyle w:val="SingleTxt"/>
        <w:spacing w:after="0" w:line="120" w:lineRule="exact"/>
        <w:rPr>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04"/>
        <w:gridCol w:w="1728"/>
        <w:gridCol w:w="1728"/>
        <w:gridCol w:w="1728"/>
      </w:tblGrid>
      <w:tr w:rsidR="00BF1937" w:rsidRPr="00BF1937" w:rsidTr="00DE3BD5">
        <w:trPr>
          <w:trHeight w:val="246"/>
          <w:tblHeader/>
        </w:trPr>
        <w:tc>
          <w:tcPr>
            <w:tcW w:w="2304" w:type="dxa"/>
            <w:tcBorders>
              <w:top w:val="single" w:sz="4" w:space="0" w:color="auto"/>
              <w:left w:val="nil"/>
              <w:bottom w:val="single" w:sz="12" w:space="0" w:color="auto"/>
              <w:right w:val="nil"/>
            </w:tcBorders>
            <w:vAlign w:val="bottom"/>
            <w:hideMark/>
          </w:tcPr>
          <w:p w:rsidR="00BF1937" w:rsidRPr="00BF1937" w:rsidRDefault="00BF1937" w:rsidP="00DE3BD5">
            <w:pPr>
              <w:tabs>
                <w:tab w:val="left" w:pos="288"/>
                <w:tab w:val="left" w:pos="576"/>
                <w:tab w:val="left" w:pos="864"/>
                <w:tab w:val="left" w:pos="1152"/>
              </w:tabs>
              <w:suppressAutoHyphens/>
              <w:spacing w:before="80" w:after="80" w:line="160" w:lineRule="exact"/>
              <w:ind w:right="40"/>
              <w:rPr>
                <w:lang w:val="fr-CH"/>
              </w:rPr>
            </w:pPr>
            <w:r w:rsidRPr="00DE3BD5">
              <w:rPr>
                <w:i/>
                <w:sz w:val="14"/>
                <w:lang w:val="fr-CH"/>
              </w:rPr>
              <w:t>Langue</w:t>
            </w:r>
            <w:r w:rsidRPr="00DE3BD5">
              <w:rPr>
                <w:sz w:val="14"/>
                <w:lang w:val="fr-CH"/>
              </w:rPr>
              <w:t>*</w:t>
            </w:r>
          </w:p>
        </w:tc>
        <w:tc>
          <w:tcPr>
            <w:tcW w:w="1728" w:type="dxa"/>
            <w:tcBorders>
              <w:top w:val="single" w:sz="4" w:space="0" w:color="auto"/>
              <w:left w:val="nil"/>
              <w:bottom w:val="single" w:sz="12" w:space="0" w:color="auto"/>
              <w:right w:val="nil"/>
            </w:tcBorders>
            <w:vAlign w:val="bottom"/>
            <w:hideMark/>
          </w:tcPr>
          <w:p w:rsidR="00BF1937" w:rsidRPr="00B57996" w:rsidRDefault="00BF1937" w:rsidP="00DE3BD5">
            <w:pPr>
              <w:tabs>
                <w:tab w:val="left" w:pos="288"/>
                <w:tab w:val="left" w:pos="576"/>
                <w:tab w:val="left" w:pos="864"/>
                <w:tab w:val="left" w:pos="1152"/>
              </w:tabs>
              <w:suppressAutoHyphens/>
              <w:spacing w:before="80" w:after="80" w:line="160" w:lineRule="exact"/>
              <w:ind w:right="43"/>
              <w:jc w:val="right"/>
              <w:rPr>
                <w:b/>
                <w:i/>
                <w:sz w:val="14"/>
                <w:lang w:val="fr-CH"/>
              </w:rPr>
            </w:pPr>
            <w:r w:rsidRPr="00B57996">
              <w:rPr>
                <w:b/>
                <w:i/>
                <w:sz w:val="14"/>
                <w:lang w:val="fr-CH"/>
              </w:rPr>
              <w:t>Total</w:t>
            </w:r>
          </w:p>
        </w:tc>
        <w:tc>
          <w:tcPr>
            <w:tcW w:w="1728" w:type="dxa"/>
            <w:tcBorders>
              <w:top w:val="single" w:sz="4" w:space="0" w:color="auto"/>
              <w:left w:val="nil"/>
              <w:bottom w:val="single" w:sz="12" w:space="0" w:color="auto"/>
              <w:right w:val="nil"/>
            </w:tcBorders>
            <w:vAlign w:val="bottom"/>
            <w:hideMark/>
          </w:tcPr>
          <w:p w:rsidR="00BF1937" w:rsidRPr="00DE3BD5" w:rsidRDefault="00BF1937" w:rsidP="00DE3BD5">
            <w:pPr>
              <w:tabs>
                <w:tab w:val="left" w:pos="288"/>
                <w:tab w:val="left" w:pos="576"/>
                <w:tab w:val="left" w:pos="864"/>
                <w:tab w:val="left" w:pos="1152"/>
              </w:tabs>
              <w:suppressAutoHyphens/>
              <w:spacing w:before="80" w:after="80" w:line="160" w:lineRule="exact"/>
              <w:ind w:right="43"/>
              <w:jc w:val="right"/>
              <w:rPr>
                <w:i/>
                <w:sz w:val="14"/>
                <w:lang w:val="fr-CH"/>
              </w:rPr>
            </w:pPr>
            <w:r w:rsidRPr="00DE3BD5">
              <w:rPr>
                <w:i/>
                <w:sz w:val="14"/>
                <w:lang w:val="fr-CH"/>
              </w:rPr>
              <w:t>Zones urbaines</w:t>
            </w:r>
          </w:p>
        </w:tc>
        <w:tc>
          <w:tcPr>
            <w:tcW w:w="1728" w:type="dxa"/>
            <w:tcBorders>
              <w:top w:val="single" w:sz="4" w:space="0" w:color="auto"/>
              <w:left w:val="nil"/>
              <w:bottom w:val="single" w:sz="12" w:space="0" w:color="auto"/>
              <w:right w:val="nil"/>
            </w:tcBorders>
            <w:vAlign w:val="bottom"/>
            <w:hideMark/>
          </w:tcPr>
          <w:p w:rsidR="00BF1937" w:rsidRPr="00DE3BD5" w:rsidRDefault="00BF1937" w:rsidP="00DE3BD5">
            <w:pPr>
              <w:tabs>
                <w:tab w:val="left" w:pos="288"/>
                <w:tab w:val="left" w:pos="576"/>
                <w:tab w:val="left" w:pos="864"/>
                <w:tab w:val="left" w:pos="1152"/>
              </w:tabs>
              <w:suppressAutoHyphens/>
              <w:spacing w:before="80" w:after="80" w:line="160" w:lineRule="exact"/>
              <w:ind w:right="43"/>
              <w:jc w:val="right"/>
              <w:rPr>
                <w:i/>
                <w:sz w:val="14"/>
                <w:lang w:val="fr-CH"/>
              </w:rPr>
            </w:pPr>
            <w:r w:rsidRPr="00DE3BD5">
              <w:rPr>
                <w:i/>
                <w:sz w:val="14"/>
                <w:lang w:val="fr-CH"/>
              </w:rPr>
              <w:t>Zones rurales</w:t>
            </w:r>
          </w:p>
        </w:tc>
      </w:tr>
      <w:tr w:rsidR="00BF1937" w:rsidRPr="00DE3BD5" w:rsidTr="00DE3BD5">
        <w:trPr>
          <w:trHeight w:val="246"/>
        </w:trPr>
        <w:tc>
          <w:tcPr>
            <w:tcW w:w="2304" w:type="dxa"/>
            <w:tcBorders>
              <w:top w:val="nil"/>
              <w:left w:val="nil"/>
              <w:bottom w:val="single" w:sz="4" w:space="0" w:color="auto"/>
              <w:right w:val="nil"/>
            </w:tcBorders>
            <w:shd w:val="clear" w:color="auto" w:fill="auto"/>
            <w:hideMark/>
          </w:tcPr>
          <w:p w:rsidR="00BF1937" w:rsidRPr="00DE3BD5" w:rsidRDefault="00DE3BD5" w:rsidP="00DE3BD5">
            <w:pPr>
              <w:tabs>
                <w:tab w:val="left" w:pos="288"/>
                <w:tab w:val="left" w:pos="576"/>
                <w:tab w:val="left" w:pos="864"/>
                <w:tab w:val="left" w:pos="1152"/>
              </w:tabs>
              <w:suppressAutoHyphens/>
              <w:spacing w:before="81" w:after="81" w:line="210" w:lineRule="exact"/>
              <w:ind w:right="40"/>
              <w:rPr>
                <w:b/>
                <w:sz w:val="17"/>
                <w:szCs w:val="17"/>
                <w:lang w:val="fr-CH"/>
              </w:rPr>
            </w:pPr>
            <w:r>
              <w:rPr>
                <w:b/>
                <w:sz w:val="17"/>
                <w:szCs w:val="17"/>
                <w:lang w:val="fr-CH"/>
              </w:rPr>
              <w:tab/>
            </w:r>
            <w:r w:rsidR="00BF1937" w:rsidRPr="00DE3BD5">
              <w:rPr>
                <w:b/>
                <w:sz w:val="17"/>
                <w:szCs w:val="17"/>
                <w:lang w:val="fr-CH"/>
              </w:rPr>
              <w:t>Total</w:t>
            </w:r>
          </w:p>
        </w:tc>
        <w:tc>
          <w:tcPr>
            <w:tcW w:w="1728" w:type="dxa"/>
            <w:tcBorders>
              <w:top w:val="nil"/>
              <w:left w:val="nil"/>
              <w:bottom w:val="single" w:sz="4" w:space="0" w:color="auto"/>
              <w:right w:val="nil"/>
            </w:tcBorders>
            <w:shd w:val="clear" w:color="auto" w:fill="auto"/>
            <w:noWrap/>
            <w:vAlign w:val="bottom"/>
            <w:hideMark/>
          </w:tcPr>
          <w:p w:rsidR="00BF1937" w:rsidRPr="00B57996" w:rsidRDefault="00BF1937" w:rsidP="00DE3BD5">
            <w:pPr>
              <w:tabs>
                <w:tab w:val="left" w:pos="288"/>
                <w:tab w:val="left" w:pos="576"/>
                <w:tab w:val="left" w:pos="864"/>
                <w:tab w:val="left" w:pos="1152"/>
              </w:tabs>
              <w:suppressAutoHyphens/>
              <w:spacing w:before="81" w:after="81" w:line="210" w:lineRule="exact"/>
              <w:ind w:right="43"/>
              <w:jc w:val="right"/>
              <w:rPr>
                <w:b/>
                <w:sz w:val="17"/>
                <w:lang w:val="fr-CH"/>
              </w:rPr>
            </w:pPr>
            <w:r w:rsidRPr="00B57996">
              <w:rPr>
                <w:b/>
                <w:sz w:val="17"/>
                <w:lang w:val="fr-CH"/>
              </w:rPr>
              <w:t>840 407</w:t>
            </w:r>
          </w:p>
        </w:tc>
        <w:tc>
          <w:tcPr>
            <w:tcW w:w="1728" w:type="dxa"/>
            <w:tcBorders>
              <w:top w:val="nil"/>
              <w:left w:val="nil"/>
              <w:bottom w:val="single" w:sz="4" w:space="0" w:color="auto"/>
              <w:right w:val="nil"/>
            </w:tcBorders>
            <w:shd w:val="clear" w:color="auto" w:fill="auto"/>
            <w:noWrap/>
            <w:vAlign w:val="bottom"/>
            <w:hideMark/>
          </w:tcPr>
          <w:p w:rsidR="00BF1937" w:rsidRPr="00DE3BD5" w:rsidRDefault="00BF1937" w:rsidP="00DE3BD5">
            <w:pPr>
              <w:tabs>
                <w:tab w:val="left" w:pos="288"/>
                <w:tab w:val="left" w:pos="576"/>
                <w:tab w:val="left" w:pos="864"/>
                <w:tab w:val="left" w:pos="1152"/>
              </w:tabs>
              <w:suppressAutoHyphens/>
              <w:spacing w:before="81" w:after="81" w:line="210" w:lineRule="exact"/>
              <w:ind w:right="43"/>
              <w:jc w:val="right"/>
              <w:rPr>
                <w:b/>
                <w:sz w:val="17"/>
                <w:lang w:val="fr-CH"/>
              </w:rPr>
            </w:pPr>
            <w:r w:rsidRPr="00DE3BD5">
              <w:rPr>
                <w:b/>
                <w:sz w:val="17"/>
                <w:lang w:val="fr-CH"/>
              </w:rPr>
              <w:t>566 191</w:t>
            </w:r>
          </w:p>
        </w:tc>
        <w:tc>
          <w:tcPr>
            <w:tcW w:w="1728" w:type="dxa"/>
            <w:tcBorders>
              <w:top w:val="nil"/>
              <w:left w:val="nil"/>
              <w:bottom w:val="single" w:sz="4" w:space="0" w:color="auto"/>
              <w:right w:val="nil"/>
            </w:tcBorders>
            <w:shd w:val="clear" w:color="auto" w:fill="auto"/>
            <w:noWrap/>
            <w:vAlign w:val="bottom"/>
            <w:hideMark/>
          </w:tcPr>
          <w:p w:rsidR="00BF1937" w:rsidRPr="00DE3BD5" w:rsidRDefault="00BF1937" w:rsidP="00DE3BD5">
            <w:pPr>
              <w:tabs>
                <w:tab w:val="left" w:pos="288"/>
                <w:tab w:val="left" w:pos="576"/>
                <w:tab w:val="left" w:pos="864"/>
                <w:tab w:val="left" w:pos="1152"/>
              </w:tabs>
              <w:suppressAutoHyphens/>
              <w:spacing w:before="81" w:after="81" w:line="210" w:lineRule="exact"/>
              <w:ind w:right="43"/>
              <w:jc w:val="right"/>
              <w:rPr>
                <w:b/>
                <w:sz w:val="17"/>
                <w:lang w:val="fr-CH"/>
              </w:rPr>
            </w:pPr>
            <w:r w:rsidRPr="00DE3BD5">
              <w:rPr>
                <w:b/>
                <w:sz w:val="17"/>
                <w:lang w:val="fr-CH"/>
              </w:rPr>
              <w:t>274 216</w:t>
            </w:r>
          </w:p>
        </w:tc>
      </w:tr>
      <w:tr w:rsidR="00BF1937" w:rsidRPr="00BF1937" w:rsidTr="00DE3BD5">
        <w:trPr>
          <w:trHeight w:val="246"/>
        </w:trPr>
        <w:tc>
          <w:tcPr>
            <w:tcW w:w="2304" w:type="dxa"/>
            <w:tcBorders>
              <w:top w:val="single" w:sz="4" w:space="0" w:color="auto"/>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81" w:after="40" w:line="210" w:lineRule="exact"/>
              <w:ind w:right="40"/>
              <w:rPr>
                <w:sz w:val="17"/>
                <w:lang w:val="fr-CH"/>
              </w:rPr>
            </w:pPr>
            <w:r w:rsidRPr="00DE3BD5">
              <w:rPr>
                <w:sz w:val="17"/>
                <w:lang w:val="fr-CH"/>
              </w:rPr>
              <w:t>Grec</w:t>
            </w:r>
          </w:p>
        </w:tc>
        <w:tc>
          <w:tcPr>
            <w:tcW w:w="1728" w:type="dxa"/>
            <w:tcBorders>
              <w:top w:val="single" w:sz="4" w:space="0" w:color="auto"/>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81" w:after="40" w:line="210" w:lineRule="exact"/>
              <w:ind w:right="43"/>
              <w:jc w:val="right"/>
              <w:rPr>
                <w:b/>
                <w:sz w:val="17"/>
                <w:lang w:val="fr-CH"/>
              </w:rPr>
            </w:pPr>
            <w:r w:rsidRPr="00B57996">
              <w:rPr>
                <w:b/>
                <w:sz w:val="17"/>
                <w:lang w:val="fr-CH"/>
              </w:rPr>
              <w:t>679 833</w:t>
            </w:r>
          </w:p>
        </w:tc>
        <w:tc>
          <w:tcPr>
            <w:tcW w:w="1728" w:type="dxa"/>
            <w:tcBorders>
              <w:top w:val="single" w:sz="4" w:space="0" w:color="auto"/>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81" w:after="40" w:line="210" w:lineRule="exact"/>
              <w:ind w:right="43"/>
              <w:jc w:val="right"/>
              <w:rPr>
                <w:sz w:val="17"/>
                <w:lang w:val="fr-CH"/>
              </w:rPr>
            </w:pPr>
            <w:r w:rsidRPr="00DE3BD5">
              <w:rPr>
                <w:sz w:val="17"/>
                <w:lang w:val="fr-CH"/>
              </w:rPr>
              <w:t>453 532</w:t>
            </w:r>
          </w:p>
        </w:tc>
        <w:tc>
          <w:tcPr>
            <w:tcW w:w="1728" w:type="dxa"/>
            <w:tcBorders>
              <w:top w:val="single" w:sz="4" w:space="0" w:color="auto"/>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81" w:after="40" w:line="210" w:lineRule="exact"/>
              <w:ind w:right="43"/>
              <w:jc w:val="right"/>
              <w:rPr>
                <w:sz w:val="17"/>
                <w:lang w:val="fr-CH"/>
              </w:rPr>
            </w:pPr>
            <w:r w:rsidRPr="00DE3BD5">
              <w:rPr>
                <w:sz w:val="17"/>
                <w:lang w:val="fr-CH"/>
              </w:rPr>
              <w:t>226 301</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Anglais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34 814</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17 767</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17 047</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Roumain</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24 270</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17 004</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7 266</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Russe</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20 984</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17 777</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3 207</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Bulgare</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18 388</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12 880</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5 508</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Arabe</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9 762</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7 807</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1 955</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127DE2">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Philip</w:t>
            </w:r>
            <w:r w:rsidR="00127DE2">
              <w:rPr>
                <w:sz w:val="17"/>
                <w:lang w:val="fr-CH"/>
              </w:rPr>
              <w:t>p</w:t>
            </w:r>
            <w:r w:rsidRPr="00DE3BD5">
              <w:rPr>
                <w:sz w:val="17"/>
                <w:lang w:val="fr-CH"/>
              </w:rPr>
              <w:t>in</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9 109</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7 612</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1 497</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Sri-lankais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7 157</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5 410</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1 747</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Vietnamien</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6 979</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4 029</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2 950</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Hindi</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3 160</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2 108</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1 052</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Polonais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2 805</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2 055</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750</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Ukrainien</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1 866</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1 485</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381</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Arménien</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1 409</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1 316</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93</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lastRenderedPageBreak/>
              <w:t>Turc</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1 405</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968</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437</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Allemand</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1 294</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782</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512</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Chinois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1 218</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996</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222</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Français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1 139</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970</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169</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Slovaque</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892</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594</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298</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Hongrois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593</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438</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155</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Espagnol</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522</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406</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116</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Yougoslave</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483</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401</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82</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Suédois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395</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231</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164</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Finnois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361</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259</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102</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Portugais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346</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242</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104</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Néerlandais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343</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193</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150</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Italien</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343</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265</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78</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Tchèque</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269</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196</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73</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Danois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157</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85</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72</w:t>
            </w:r>
          </w:p>
        </w:tc>
      </w:tr>
      <w:tr w:rsidR="00BF1937" w:rsidRPr="00BF1937" w:rsidTr="00DE3BD5">
        <w:trPr>
          <w:trHeight w:val="246"/>
        </w:trPr>
        <w:tc>
          <w:tcPr>
            <w:tcW w:w="2304" w:type="dxa"/>
            <w:tcBorders>
              <w:top w:val="nil"/>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Autres</w:t>
            </w:r>
          </w:p>
        </w:tc>
        <w:tc>
          <w:tcPr>
            <w:tcW w:w="1728" w:type="dxa"/>
            <w:tcBorders>
              <w:top w:val="nil"/>
              <w:left w:val="nil"/>
              <w:bottom w:val="nil"/>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4 817</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4 204</w:t>
            </w:r>
          </w:p>
        </w:tc>
        <w:tc>
          <w:tcPr>
            <w:tcW w:w="1728" w:type="dxa"/>
            <w:tcBorders>
              <w:top w:val="nil"/>
              <w:left w:val="nil"/>
              <w:bottom w:val="nil"/>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613</w:t>
            </w:r>
          </w:p>
        </w:tc>
      </w:tr>
      <w:tr w:rsidR="00BF1937" w:rsidRPr="00BF1937" w:rsidTr="00DE3BD5">
        <w:trPr>
          <w:trHeight w:val="246"/>
        </w:trPr>
        <w:tc>
          <w:tcPr>
            <w:tcW w:w="2304" w:type="dxa"/>
            <w:tcBorders>
              <w:top w:val="nil"/>
              <w:left w:val="nil"/>
              <w:bottom w:val="single" w:sz="12" w:space="0" w:color="auto"/>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 xml:space="preserve">Non spécifié </w:t>
            </w:r>
          </w:p>
        </w:tc>
        <w:tc>
          <w:tcPr>
            <w:tcW w:w="1728" w:type="dxa"/>
            <w:tcBorders>
              <w:top w:val="nil"/>
              <w:left w:val="nil"/>
              <w:bottom w:val="single" w:sz="12" w:space="0" w:color="auto"/>
              <w:right w:val="nil"/>
            </w:tcBorders>
            <w:noWrap/>
            <w:vAlign w:val="bottom"/>
            <w:hideMark/>
          </w:tcPr>
          <w:p w:rsidR="00BF1937" w:rsidRPr="00B57996" w:rsidRDefault="00BF1937" w:rsidP="00DE3BD5">
            <w:pPr>
              <w:tabs>
                <w:tab w:val="left" w:pos="288"/>
                <w:tab w:val="left" w:pos="576"/>
                <w:tab w:val="left" w:pos="864"/>
                <w:tab w:val="left" w:pos="1152"/>
              </w:tabs>
              <w:suppressAutoHyphens/>
              <w:spacing w:before="40" w:after="40" w:line="210" w:lineRule="exact"/>
              <w:ind w:right="43"/>
              <w:jc w:val="right"/>
              <w:rPr>
                <w:b/>
                <w:sz w:val="17"/>
                <w:lang w:val="fr-CH"/>
              </w:rPr>
            </w:pPr>
            <w:r w:rsidRPr="00B57996">
              <w:rPr>
                <w:b/>
                <w:sz w:val="17"/>
                <w:lang w:val="fr-CH"/>
              </w:rPr>
              <w:t>5 294</w:t>
            </w:r>
          </w:p>
        </w:tc>
        <w:tc>
          <w:tcPr>
            <w:tcW w:w="1728" w:type="dxa"/>
            <w:tcBorders>
              <w:top w:val="nil"/>
              <w:left w:val="nil"/>
              <w:bottom w:val="single" w:sz="12" w:space="0" w:color="auto"/>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4 179</w:t>
            </w:r>
          </w:p>
        </w:tc>
        <w:tc>
          <w:tcPr>
            <w:tcW w:w="1728" w:type="dxa"/>
            <w:tcBorders>
              <w:top w:val="nil"/>
              <w:left w:val="nil"/>
              <w:bottom w:val="single" w:sz="12" w:space="0" w:color="auto"/>
              <w:right w:val="nil"/>
            </w:tcBorders>
            <w:noWrap/>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1 115</w:t>
            </w:r>
          </w:p>
        </w:tc>
      </w:tr>
    </w:tbl>
    <w:p w:rsidR="00246F34" w:rsidRPr="00246F34" w:rsidRDefault="00246F34" w:rsidP="00246F34">
      <w:pPr>
        <w:pStyle w:val="FootnoteText"/>
        <w:tabs>
          <w:tab w:val="right" w:pos="1476"/>
          <w:tab w:val="left" w:pos="1548"/>
          <w:tab w:val="right" w:pos="1836"/>
          <w:tab w:val="left" w:pos="1908"/>
        </w:tabs>
        <w:spacing w:line="120" w:lineRule="exact"/>
        <w:ind w:left="1548" w:right="1267" w:hanging="288"/>
        <w:rPr>
          <w:i/>
          <w:sz w:val="10"/>
          <w:lang w:val="fr-CH"/>
        </w:rPr>
      </w:pPr>
    </w:p>
    <w:p w:rsidR="00BF1937" w:rsidRDefault="00BF1937" w:rsidP="00DE3BD5">
      <w:pPr>
        <w:pStyle w:val="FootnoteText"/>
        <w:tabs>
          <w:tab w:val="right" w:pos="1476"/>
          <w:tab w:val="left" w:pos="1548"/>
          <w:tab w:val="right" w:pos="1836"/>
          <w:tab w:val="left" w:pos="1908"/>
        </w:tabs>
        <w:ind w:left="1548" w:right="1267" w:hanging="288"/>
        <w:rPr>
          <w:lang w:val="fr-CH"/>
        </w:rPr>
      </w:pPr>
      <w:r w:rsidRPr="00BF1937">
        <w:rPr>
          <w:i/>
          <w:lang w:val="fr-CH"/>
        </w:rPr>
        <w:t>Source</w:t>
      </w:r>
      <w:r w:rsidR="00DE3BD5">
        <w:rPr>
          <w:i/>
          <w:lang w:val="fr-CH"/>
        </w:rPr>
        <w:t> </w:t>
      </w:r>
      <w:r w:rsidRPr="00BF1937">
        <w:rPr>
          <w:lang w:val="fr-CH"/>
        </w:rPr>
        <w:t>: Recensement de la population de 2011.</w:t>
      </w:r>
    </w:p>
    <w:p w:rsidR="00DE3BD5" w:rsidRPr="00DE3BD5" w:rsidRDefault="00DE3BD5" w:rsidP="00DE3BD5">
      <w:pPr>
        <w:pStyle w:val="FootnoteText"/>
        <w:tabs>
          <w:tab w:val="right" w:pos="1476"/>
          <w:tab w:val="left" w:pos="1548"/>
          <w:tab w:val="right" w:pos="1836"/>
          <w:tab w:val="left" w:pos="1908"/>
        </w:tabs>
        <w:spacing w:line="120" w:lineRule="exact"/>
        <w:ind w:left="1548" w:right="1267" w:hanging="288"/>
        <w:rPr>
          <w:sz w:val="10"/>
          <w:lang w:val="fr-CH"/>
        </w:rPr>
      </w:pPr>
    </w:p>
    <w:p w:rsidR="00BF1937" w:rsidRPr="00BF1937" w:rsidRDefault="00DE3BD5" w:rsidP="00DE3BD5">
      <w:pPr>
        <w:pStyle w:val="FootnoteText"/>
        <w:tabs>
          <w:tab w:val="right" w:pos="1476"/>
          <w:tab w:val="left" w:pos="1548"/>
          <w:tab w:val="right" w:pos="1836"/>
          <w:tab w:val="left" w:pos="1908"/>
        </w:tabs>
        <w:ind w:left="1548" w:right="1267" w:hanging="288"/>
        <w:rPr>
          <w:lang w:val="fr-CH"/>
        </w:rPr>
      </w:pPr>
      <w:r>
        <w:rPr>
          <w:lang w:val="fr-CH"/>
        </w:rPr>
        <w:tab/>
      </w:r>
      <w:r w:rsidR="00BF1937" w:rsidRPr="00BF1937">
        <w:rPr>
          <w:lang w:val="fr-CH"/>
        </w:rPr>
        <w:t>*</w:t>
      </w:r>
      <w:r>
        <w:rPr>
          <w:lang w:val="fr-CH"/>
        </w:rPr>
        <w:tab/>
      </w:r>
      <w:r w:rsidR="00BF1937" w:rsidRPr="00BF1937">
        <w:rPr>
          <w:lang w:val="fr-CH"/>
        </w:rPr>
        <w:t>Il a été tenu compte de la langue dans laquelle le répondant s</w:t>
      </w:r>
      <w:r w:rsidR="008300FB">
        <w:rPr>
          <w:lang w:val="fr-CH"/>
        </w:rPr>
        <w:t>’</w:t>
      </w:r>
      <w:r w:rsidR="00BF1937" w:rsidRPr="00BF1937">
        <w:rPr>
          <w:lang w:val="fr-CH"/>
        </w:rPr>
        <w:t>est exprimé.</w:t>
      </w:r>
    </w:p>
    <w:p w:rsidR="00246F34" w:rsidRPr="00246F34" w:rsidRDefault="00246F34" w:rsidP="00246F34">
      <w:pPr>
        <w:pStyle w:val="SingleTxt"/>
        <w:spacing w:after="0" w:line="120" w:lineRule="exact"/>
        <w:rPr>
          <w:sz w:val="10"/>
          <w:lang w:val="fr-CH"/>
        </w:rPr>
      </w:pPr>
    </w:p>
    <w:p w:rsidR="00246F34" w:rsidRPr="00246F34" w:rsidRDefault="00246F34" w:rsidP="00246F34">
      <w:pPr>
        <w:pStyle w:val="SingleTxt"/>
        <w:spacing w:after="0" w:line="120" w:lineRule="exact"/>
        <w:rPr>
          <w:sz w:val="10"/>
          <w:lang w:val="fr-CH"/>
        </w:rPr>
      </w:pPr>
    </w:p>
    <w:p w:rsidR="00BF1937" w:rsidRPr="00BF1937" w:rsidRDefault="00BF1937" w:rsidP="00246F34">
      <w:pPr>
        <w:pStyle w:val="SingleTxt"/>
        <w:rPr>
          <w:lang w:val="fr-CH"/>
        </w:rPr>
      </w:pPr>
      <w:r w:rsidRPr="00BF1937">
        <w:rPr>
          <w:lang w:val="fr-CH"/>
        </w:rPr>
        <w:t>Structure par âge</w:t>
      </w:r>
      <w:r w:rsidR="00246F34">
        <w:rPr>
          <w:b/>
          <w:i/>
          <w:lang w:val="fr-CH"/>
        </w:rPr>
        <w:t> </w:t>
      </w:r>
      <w:hyperlink r:id="rId16" w:history="1">
        <w:r w:rsidRPr="00BF1937">
          <w:rPr>
            <w:rStyle w:val="Hyperlink"/>
            <w:lang w:val="fr-CH"/>
          </w:rPr>
          <w:t>:</w:t>
        </w:r>
      </w:hyperlink>
      <w:r w:rsidRPr="00BF1937">
        <w:rPr>
          <w:lang w:val="fr-CH"/>
        </w:rPr>
        <w:t xml:space="preserve"> voir le tableau correspondant à l</w:t>
      </w:r>
      <w:r w:rsidR="008300FB">
        <w:rPr>
          <w:lang w:val="fr-CH"/>
        </w:rPr>
        <w:t>’</w:t>
      </w:r>
      <w:r w:rsidRPr="00BF1937">
        <w:rPr>
          <w:lang w:val="fr-CH"/>
        </w:rPr>
        <w:t xml:space="preserve">annexe I. </w:t>
      </w:r>
    </w:p>
    <w:p w:rsidR="00246F34" w:rsidRPr="00246F34" w:rsidRDefault="00246F34" w:rsidP="00246F34">
      <w:pPr>
        <w:pStyle w:val="SingleTxt"/>
        <w:spacing w:after="0" w:line="120" w:lineRule="exact"/>
        <w:rPr>
          <w:b/>
          <w:sz w:val="10"/>
          <w:lang w:val="fr-CH"/>
        </w:rPr>
      </w:pPr>
    </w:p>
    <w:p w:rsidR="00BF1937" w:rsidRDefault="00BF1937" w:rsidP="00246F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Taux de dépendance (pourcentage de la population ayant moins de 15 ans </w:t>
      </w:r>
      <w:r w:rsidR="00EA238B">
        <w:rPr>
          <w:lang w:val="fr-CH"/>
        </w:rPr>
        <w:br/>
      </w:r>
      <w:r w:rsidRPr="00BF1937">
        <w:rPr>
          <w:lang w:val="fr-CH"/>
        </w:rPr>
        <w:t xml:space="preserve">et plus de 65 ans) </w:t>
      </w:r>
    </w:p>
    <w:p w:rsidR="00246F34" w:rsidRPr="00434F82" w:rsidRDefault="00246F34" w:rsidP="00434F82">
      <w:pPr>
        <w:pStyle w:val="SingleTxt"/>
        <w:spacing w:after="0" w:line="120" w:lineRule="exact"/>
        <w:rPr>
          <w:sz w:val="10"/>
          <w:lang w:val="fr-CH"/>
        </w:rPr>
      </w:pPr>
    </w:p>
    <w:p w:rsidR="00434F82" w:rsidRPr="00246F34" w:rsidRDefault="00434F82" w:rsidP="00246F34">
      <w:pPr>
        <w:pStyle w:val="SingleTxt"/>
        <w:spacing w:after="0" w:line="120" w:lineRule="exact"/>
        <w:rPr>
          <w:sz w:val="10"/>
          <w:lang w:val="fr-CH"/>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3744"/>
        <w:gridCol w:w="3744"/>
      </w:tblGrid>
      <w:tr w:rsidR="00DE3BD5" w:rsidRPr="00DE3BD5" w:rsidTr="00DE3BD5">
        <w:trPr>
          <w:trHeight w:val="240"/>
        </w:trPr>
        <w:tc>
          <w:tcPr>
            <w:tcW w:w="3685" w:type="dxa"/>
            <w:tcBorders>
              <w:top w:val="single" w:sz="4" w:space="0" w:color="auto"/>
              <w:left w:val="nil"/>
              <w:bottom w:val="nil"/>
              <w:right w:val="nil"/>
            </w:tcBorders>
            <w:hideMark/>
          </w:tcPr>
          <w:p w:rsidR="00DE3BD5" w:rsidRPr="00DE3BD5" w:rsidRDefault="00DE3BD5" w:rsidP="00DE3BD5">
            <w:pPr>
              <w:pStyle w:val="SingleTxtG"/>
              <w:spacing w:before="40" w:after="40" w:line="210" w:lineRule="exact"/>
              <w:ind w:left="0" w:right="43"/>
              <w:jc w:val="left"/>
              <w:rPr>
                <w:rFonts w:ascii="Times New Roman" w:hAnsi="Times New Roman"/>
                <w:sz w:val="17"/>
                <w:szCs w:val="17"/>
                <w:lang w:val="es-ES_tradnl"/>
              </w:rPr>
            </w:pPr>
            <w:r w:rsidRPr="00DE3BD5">
              <w:rPr>
                <w:rFonts w:ascii="Times New Roman" w:hAnsi="Times New Roman"/>
                <w:sz w:val="17"/>
                <w:szCs w:val="17"/>
                <w:lang w:val="es-ES_tradnl"/>
              </w:rPr>
              <w:t>2008</w:t>
            </w:r>
          </w:p>
        </w:tc>
        <w:tc>
          <w:tcPr>
            <w:tcW w:w="3685" w:type="dxa"/>
            <w:tcBorders>
              <w:top w:val="single" w:sz="4" w:space="0" w:color="auto"/>
              <w:left w:val="nil"/>
              <w:bottom w:val="nil"/>
              <w:right w:val="nil"/>
            </w:tcBorders>
            <w:vAlign w:val="bottom"/>
            <w:hideMark/>
          </w:tcPr>
          <w:p w:rsidR="00DE3BD5" w:rsidRPr="00DE3BD5" w:rsidRDefault="00DE3BD5" w:rsidP="00DE3BD5">
            <w:pPr>
              <w:pStyle w:val="SingleTxtG"/>
              <w:spacing w:before="40" w:after="40" w:line="210" w:lineRule="exact"/>
              <w:ind w:left="113" w:right="43"/>
              <w:jc w:val="right"/>
              <w:rPr>
                <w:rFonts w:ascii="Times New Roman" w:hAnsi="Times New Roman"/>
                <w:sz w:val="17"/>
                <w:szCs w:val="17"/>
                <w:lang w:val="es-ES_tradnl"/>
              </w:rPr>
            </w:pPr>
            <w:r w:rsidRPr="00DE3BD5">
              <w:rPr>
                <w:rFonts w:ascii="Times New Roman" w:hAnsi="Times New Roman"/>
                <w:sz w:val="17"/>
                <w:szCs w:val="17"/>
                <w:lang w:val="es-ES_tradnl"/>
              </w:rPr>
              <w:t>43,1</w:t>
            </w:r>
          </w:p>
        </w:tc>
      </w:tr>
      <w:tr w:rsidR="00DE3BD5" w:rsidRPr="00DE3BD5" w:rsidTr="00DE3BD5">
        <w:trPr>
          <w:trHeight w:val="240"/>
        </w:trPr>
        <w:tc>
          <w:tcPr>
            <w:tcW w:w="3685" w:type="dxa"/>
            <w:tcBorders>
              <w:top w:val="nil"/>
              <w:left w:val="nil"/>
              <w:bottom w:val="nil"/>
              <w:right w:val="nil"/>
            </w:tcBorders>
            <w:hideMark/>
          </w:tcPr>
          <w:p w:rsidR="00DE3BD5" w:rsidRPr="00DE3BD5" w:rsidRDefault="00DE3BD5" w:rsidP="00DE3BD5">
            <w:pPr>
              <w:pStyle w:val="SingleTxtG"/>
              <w:spacing w:before="40" w:after="40" w:line="210" w:lineRule="exact"/>
              <w:ind w:left="0" w:right="43"/>
              <w:jc w:val="left"/>
              <w:rPr>
                <w:rFonts w:ascii="Times New Roman" w:hAnsi="Times New Roman"/>
                <w:sz w:val="17"/>
                <w:szCs w:val="17"/>
                <w:lang w:val="es-ES_tradnl"/>
              </w:rPr>
            </w:pPr>
            <w:r w:rsidRPr="00DE3BD5">
              <w:rPr>
                <w:rFonts w:ascii="Times New Roman" w:hAnsi="Times New Roman"/>
                <w:sz w:val="17"/>
                <w:szCs w:val="17"/>
                <w:lang w:val="es-ES_tradnl"/>
              </w:rPr>
              <w:t>2009</w:t>
            </w:r>
          </w:p>
        </w:tc>
        <w:tc>
          <w:tcPr>
            <w:tcW w:w="3685" w:type="dxa"/>
            <w:tcBorders>
              <w:top w:val="nil"/>
              <w:left w:val="nil"/>
              <w:bottom w:val="nil"/>
              <w:right w:val="nil"/>
            </w:tcBorders>
            <w:vAlign w:val="bottom"/>
            <w:hideMark/>
          </w:tcPr>
          <w:p w:rsidR="00DE3BD5" w:rsidRPr="00DE3BD5" w:rsidRDefault="00DE3BD5" w:rsidP="00DE3BD5">
            <w:pPr>
              <w:pStyle w:val="SingleTxtG"/>
              <w:spacing w:before="40" w:after="40" w:line="210" w:lineRule="exact"/>
              <w:ind w:left="113" w:right="43"/>
              <w:jc w:val="right"/>
              <w:rPr>
                <w:rFonts w:ascii="Times New Roman" w:hAnsi="Times New Roman"/>
                <w:sz w:val="17"/>
                <w:szCs w:val="17"/>
                <w:lang w:val="es-ES_tradnl"/>
              </w:rPr>
            </w:pPr>
            <w:r w:rsidRPr="00DE3BD5">
              <w:rPr>
                <w:rFonts w:ascii="Times New Roman" w:hAnsi="Times New Roman"/>
                <w:sz w:val="17"/>
                <w:szCs w:val="17"/>
                <w:lang w:val="es-ES_tradnl"/>
              </w:rPr>
              <w:t>42,3</w:t>
            </w:r>
          </w:p>
        </w:tc>
      </w:tr>
      <w:tr w:rsidR="00DE3BD5" w:rsidRPr="00DE3BD5" w:rsidTr="00DE3BD5">
        <w:trPr>
          <w:trHeight w:val="240"/>
        </w:trPr>
        <w:tc>
          <w:tcPr>
            <w:tcW w:w="3685" w:type="dxa"/>
            <w:tcBorders>
              <w:top w:val="nil"/>
              <w:left w:val="nil"/>
              <w:bottom w:val="nil"/>
              <w:right w:val="nil"/>
            </w:tcBorders>
            <w:hideMark/>
          </w:tcPr>
          <w:p w:rsidR="00DE3BD5" w:rsidRPr="00DE3BD5" w:rsidRDefault="00DE3BD5" w:rsidP="00DE3BD5">
            <w:pPr>
              <w:pStyle w:val="SingleTxtG"/>
              <w:spacing w:before="40" w:after="40" w:line="210" w:lineRule="exact"/>
              <w:ind w:left="0" w:right="43"/>
              <w:jc w:val="left"/>
              <w:rPr>
                <w:rFonts w:ascii="Times New Roman" w:hAnsi="Times New Roman"/>
                <w:sz w:val="17"/>
                <w:szCs w:val="17"/>
                <w:lang w:val="es-ES_tradnl"/>
              </w:rPr>
            </w:pPr>
            <w:r w:rsidRPr="00DE3BD5">
              <w:rPr>
                <w:rFonts w:ascii="Times New Roman" w:hAnsi="Times New Roman"/>
                <w:sz w:val="17"/>
                <w:szCs w:val="17"/>
                <w:lang w:val="es-ES_tradnl"/>
              </w:rPr>
              <w:t>2010</w:t>
            </w:r>
          </w:p>
        </w:tc>
        <w:tc>
          <w:tcPr>
            <w:tcW w:w="3685" w:type="dxa"/>
            <w:tcBorders>
              <w:top w:val="nil"/>
              <w:left w:val="nil"/>
              <w:bottom w:val="nil"/>
              <w:right w:val="nil"/>
            </w:tcBorders>
            <w:vAlign w:val="bottom"/>
            <w:hideMark/>
          </w:tcPr>
          <w:p w:rsidR="00DE3BD5" w:rsidRPr="00DE3BD5" w:rsidRDefault="00DE3BD5" w:rsidP="00DE3BD5">
            <w:pPr>
              <w:pStyle w:val="SingleTxtG"/>
              <w:spacing w:before="40" w:after="40" w:line="210" w:lineRule="exact"/>
              <w:ind w:left="113" w:right="43"/>
              <w:jc w:val="right"/>
              <w:rPr>
                <w:rFonts w:ascii="Times New Roman" w:hAnsi="Times New Roman"/>
                <w:sz w:val="17"/>
                <w:szCs w:val="17"/>
                <w:lang w:val="es-ES_tradnl"/>
              </w:rPr>
            </w:pPr>
            <w:r w:rsidRPr="00DE3BD5">
              <w:rPr>
                <w:rFonts w:ascii="Times New Roman" w:hAnsi="Times New Roman"/>
                <w:sz w:val="17"/>
                <w:szCs w:val="17"/>
                <w:lang w:val="es-ES_tradnl"/>
              </w:rPr>
              <w:t>41,9</w:t>
            </w:r>
          </w:p>
        </w:tc>
      </w:tr>
      <w:tr w:rsidR="00DE3BD5" w:rsidRPr="00DE3BD5" w:rsidTr="00DE3BD5">
        <w:trPr>
          <w:trHeight w:val="240"/>
        </w:trPr>
        <w:tc>
          <w:tcPr>
            <w:tcW w:w="3685" w:type="dxa"/>
            <w:tcBorders>
              <w:top w:val="nil"/>
              <w:left w:val="nil"/>
              <w:bottom w:val="nil"/>
              <w:right w:val="nil"/>
            </w:tcBorders>
            <w:hideMark/>
          </w:tcPr>
          <w:p w:rsidR="00DE3BD5" w:rsidRPr="00DE3BD5" w:rsidRDefault="00DE3BD5" w:rsidP="00DE3BD5">
            <w:pPr>
              <w:pStyle w:val="SingleTxtG"/>
              <w:spacing w:before="40" w:after="40" w:line="210" w:lineRule="exact"/>
              <w:ind w:left="0" w:right="43"/>
              <w:jc w:val="left"/>
              <w:rPr>
                <w:rFonts w:ascii="Times New Roman" w:hAnsi="Times New Roman"/>
                <w:sz w:val="17"/>
                <w:szCs w:val="17"/>
                <w:lang w:val="es-ES_tradnl"/>
              </w:rPr>
            </w:pPr>
            <w:r w:rsidRPr="00DE3BD5">
              <w:rPr>
                <w:rFonts w:ascii="Times New Roman" w:hAnsi="Times New Roman"/>
                <w:sz w:val="17"/>
                <w:szCs w:val="17"/>
                <w:lang w:val="es-ES_tradnl"/>
              </w:rPr>
              <w:t>2011</w:t>
            </w:r>
          </w:p>
        </w:tc>
        <w:tc>
          <w:tcPr>
            <w:tcW w:w="3685" w:type="dxa"/>
            <w:tcBorders>
              <w:top w:val="nil"/>
              <w:left w:val="nil"/>
              <w:bottom w:val="nil"/>
              <w:right w:val="nil"/>
            </w:tcBorders>
            <w:vAlign w:val="bottom"/>
            <w:hideMark/>
          </w:tcPr>
          <w:p w:rsidR="00DE3BD5" w:rsidRPr="00DE3BD5" w:rsidRDefault="00DE3BD5" w:rsidP="00DE3BD5">
            <w:pPr>
              <w:pStyle w:val="SingleTxtG"/>
              <w:spacing w:before="40" w:after="40" w:line="210" w:lineRule="exact"/>
              <w:ind w:left="113" w:right="43"/>
              <w:jc w:val="right"/>
              <w:rPr>
                <w:rFonts w:ascii="Times New Roman" w:hAnsi="Times New Roman"/>
                <w:sz w:val="17"/>
                <w:szCs w:val="17"/>
                <w:lang w:val="es-ES_tradnl"/>
              </w:rPr>
            </w:pPr>
            <w:r w:rsidRPr="00DE3BD5">
              <w:rPr>
                <w:rFonts w:ascii="Times New Roman" w:hAnsi="Times New Roman"/>
                <w:sz w:val="17"/>
                <w:szCs w:val="17"/>
                <w:lang w:val="es-ES_tradnl"/>
              </w:rPr>
              <w:t>41,5</w:t>
            </w:r>
          </w:p>
        </w:tc>
      </w:tr>
      <w:tr w:rsidR="00DE3BD5" w:rsidRPr="00DE3BD5" w:rsidTr="00DE3BD5">
        <w:trPr>
          <w:trHeight w:val="240"/>
        </w:trPr>
        <w:tc>
          <w:tcPr>
            <w:tcW w:w="3685" w:type="dxa"/>
            <w:tcBorders>
              <w:top w:val="nil"/>
              <w:left w:val="nil"/>
              <w:bottom w:val="single" w:sz="12" w:space="0" w:color="auto"/>
              <w:right w:val="nil"/>
            </w:tcBorders>
            <w:hideMark/>
          </w:tcPr>
          <w:p w:rsidR="00DE3BD5" w:rsidRPr="00DE3BD5" w:rsidRDefault="00DE3BD5" w:rsidP="00DE3BD5">
            <w:pPr>
              <w:pStyle w:val="SingleTxtG"/>
              <w:spacing w:before="40" w:after="40" w:line="210" w:lineRule="exact"/>
              <w:ind w:left="0" w:right="43"/>
              <w:jc w:val="left"/>
              <w:rPr>
                <w:rFonts w:ascii="Times New Roman" w:hAnsi="Times New Roman"/>
                <w:sz w:val="17"/>
                <w:szCs w:val="17"/>
                <w:lang w:val="es-ES_tradnl"/>
              </w:rPr>
            </w:pPr>
            <w:r w:rsidRPr="00DE3BD5">
              <w:rPr>
                <w:rFonts w:ascii="Times New Roman" w:hAnsi="Times New Roman"/>
                <w:sz w:val="17"/>
                <w:szCs w:val="17"/>
                <w:lang w:val="es-ES_tradnl"/>
              </w:rPr>
              <w:t>2012</w:t>
            </w:r>
          </w:p>
        </w:tc>
        <w:tc>
          <w:tcPr>
            <w:tcW w:w="3685" w:type="dxa"/>
            <w:tcBorders>
              <w:top w:val="nil"/>
              <w:left w:val="nil"/>
              <w:bottom w:val="single" w:sz="12" w:space="0" w:color="auto"/>
              <w:right w:val="nil"/>
            </w:tcBorders>
            <w:vAlign w:val="bottom"/>
            <w:hideMark/>
          </w:tcPr>
          <w:p w:rsidR="00DE3BD5" w:rsidRPr="00DE3BD5" w:rsidRDefault="00DE3BD5" w:rsidP="00DE3BD5">
            <w:pPr>
              <w:pStyle w:val="SingleTxtG"/>
              <w:spacing w:before="40" w:after="40" w:line="210" w:lineRule="exact"/>
              <w:ind w:left="113" w:right="43"/>
              <w:jc w:val="right"/>
              <w:rPr>
                <w:rFonts w:ascii="Times New Roman" w:hAnsi="Times New Roman"/>
                <w:sz w:val="17"/>
                <w:szCs w:val="17"/>
                <w:lang w:val="es-ES_tradnl"/>
              </w:rPr>
            </w:pPr>
            <w:r w:rsidRPr="00DE3BD5">
              <w:rPr>
                <w:rFonts w:ascii="Times New Roman" w:hAnsi="Times New Roman"/>
                <w:sz w:val="17"/>
                <w:szCs w:val="17"/>
                <w:lang w:val="es-ES_tradnl"/>
              </w:rPr>
              <w:t>42,0</w:t>
            </w:r>
          </w:p>
        </w:tc>
      </w:tr>
    </w:tbl>
    <w:p w:rsidR="00246F34" w:rsidRDefault="00246F34" w:rsidP="00246F34">
      <w:pPr>
        <w:pStyle w:val="SingleTxt"/>
        <w:spacing w:after="0" w:line="120" w:lineRule="exact"/>
        <w:rPr>
          <w:sz w:val="10"/>
          <w:lang w:val="fr-CH"/>
        </w:rPr>
      </w:pPr>
    </w:p>
    <w:p w:rsidR="00DE3BD5" w:rsidRDefault="00DE3BD5" w:rsidP="00246F34">
      <w:pPr>
        <w:pStyle w:val="SingleTxt"/>
        <w:spacing w:after="0" w:line="120" w:lineRule="exact"/>
        <w:rPr>
          <w:sz w:val="10"/>
          <w:lang w:val="fr-CH"/>
        </w:rPr>
      </w:pPr>
    </w:p>
    <w:p w:rsidR="00DE3BD5" w:rsidRPr="00246F34" w:rsidRDefault="00DE3BD5" w:rsidP="00246F34">
      <w:pPr>
        <w:pStyle w:val="SingleTxt"/>
        <w:spacing w:after="0" w:line="120" w:lineRule="exact"/>
        <w:rPr>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Taille moyenne des ménages </w:t>
      </w:r>
    </w:p>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5"/>
        <w:gridCol w:w="3743"/>
      </w:tblGrid>
      <w:tr w:rsidR="00BF1937" w:rsidRPr="00BF1937" w:rsidTr="000D2AB2">
        <w:tc>
          <w:tcPr>
            <w:tcW w:w="3683" w:type="dxa"/>
            <w:tcBorders>
              <w:top w:val="single" w:sz="4" w:space="0" w:color="auto"/>
              <w:left w:val="nil"/>
              <w:bottom w:val="single" w:sz="4" w:space="0" w:color="auto"/>
              <w:right w:val="nil"/>
            </w:tcBorders>
            <w:vAlign w:val="bottom"/>
            <w:hideMark/>
          </w:tcPr>
          <w:p w:rsidR="00BF1937" w:rsidRPr="00DE3BD5" w:rsidRDefault="00DE3BD5" w:rsidP="00DE3BD5">
            <w:pPr>
              <w:tabs>
                <w:tab w:val="left" w:pos="288"/>
                <w:tab w:val="left" w:pos="576"/>
                <w:tab w:val="left" w:pos="864"/>
                <w:tab w:val="left" w:pos="1152"/>
              </w:tabs>
              <w:suppressAutoHyphens/>
              <w:spacing w:before="81" w:after="81" w:line="210" w:lineRule="exact"/>
              <w:ind w:right="40"/>
              <w:rPr>
                <w:b/>
                <w:sz w:val="17"/>
                <w:lang w:val="fr-CH"/>
              </w:rPr>
            </w:pPr>
            <w:r>
              <w:rPr>
                <w:b/>
                <w:sz w:val="17"/>
                <w:lang w:val="fr-CH"/>
              </w:rPr>
              <w:tab/>
            </w:r>
            <w:r w:rsidR="00BF1937" w:rsidRPr="00DE3BD5">
              <w:rPr>
                <w:b/>
                <w:sz w:val="17"/>
                <w:lang w:val="fr-CH"/>
              </w:rPr>
              <w:t xml:space="preserve">Total </w:t>
            </w:r>
          </w:p>
        </w:tc>
        <w:tc>
          <w:tcPr>
            <w:tcW w:w="3682" w:type="dxa"/>
            <w:tcBorders>
              <w:top w:val="single" w:sz="4" w:space="0" w:color="auto"/>
              <w:left w:val="nil"/>
              <w:bottom w:val="single" w:sz="4" w:space="0" w:color="auto"/>
              <w:right w:val="nil"/>
            </w:tcBorders>
            <w:vAlign w:val="bottom"/>
            <w:hideMark/>
          </w:tcPr>
          <w:p w:rsidR="00BF1937" w:rsidRPr="00DE3BD5" w:rsidRDefault="00BF1937" w:rsidP="000D2AB2">
            <w:pPr>
              <w:tabs>
                <w:tab w:val="left" w:pos="288"/>
                <w:tab w:val="left" w:pos="576"/>
                <w:tab w:val="left" w:pos="864"/>
                <w:tab w:val="left" w:pos="1152"/>
              </w:tabs>
              <w:suppressAutoHyphens/>
              <w:spacing w:before="81" w:after="81" w:line="210" w:lineRule="exact"/>
              <w:ind w:right="43"/>
              <w:jc w:val="right"/>
              <w:rPr>
                <w:b/>
                <w:sz w:val="17"/>
                <w:lang w:val="fr-CH"/>
              </w:rPr>
            </w:pPr>
            <w:r w:rsidRPr="00DE3BD5">
              <w:rPr>
                <w:b/>
                <w:sz w:val="17"/>
                <w:lang w:val="fr-CH"/>
              </w:rPr>
              <w:t>2,79</w:t>
            </w:r>
          </w:p>
        </w:tc>
      </w:tr>
      <w:tr w:rsidR="00BF1937" w:rsidRPr="00BF1937" w:rsidTr="000D2AB2">
        <w:tc>
          <w:tcPr>
            <w:tcW w:w="3683" w:type="dxa"/>
            <w:tcBorders>
              <w:top w:val="single" w:sz="4" w:space="0" w:color="auto"/>
              <w:left w:val="nil"/>
              <w:bottom w:val="nil"/>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Zones urbaines</w:t>
            </w:r>
          </w:p>
        </w:tc>
        <w:tc>
          <w:tcPr>
            <w:tcW w:w="3682" w:type="dxa"/>
            <w:tcBorders>
              <w:top w:val="single" w:sz="4" w:space="0" w:color="auto"/>
              <w:left w:val="nil"/>
              <w:bottom w:val="nil"/>
              <w:right w:val="nil"/>
            </w:tcBorders>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2,73</w:t>
            </w:r>
          </w:p>
        </w:tc>
      </w:tr>
      <w:tr w:rsidR="00BF1937" w:rsidRPr="00BF1937" w:rsidTr="000D2AB2">
        <w:tc>
          <w:tcPr>
            <w:tcW w:w="3683" w:type="dxa"/>
            <w:tcBorders>
              <w:top w:val="nil"/>
              <w:left w:val="nil"/>
              <w:bottom w:val="single" w:sz="12" w:space="0" w:color="auto"/>
              <w:right w:val="nil"/>
            </w:tcBorders>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0"/>
              <w:rPr>
                <w:sz w:val="17"/>
                <w:lang w:val="fr-CH"/>
              </w:rPr>
            </w:pPr>
            <w:r w:rsidRPr="00DE3BD5">
              <w:rPr>
                <w:sz w:val="17"/>
                <w:lang w:val="fr-CH"/>
              </w:rPr>
              <w:t>Zones rurales</w:t>
            </w:r>
          </w:p>
        </w:tc>
        <w:tc>
          <w:tcPr>
            <w:tcW w:w="3682" w:type="dxa"/>
            <w:tcBorders>
              <w:top w:val="nil"/>
              <w:left w:val="nil"/>
              <w:bottom w:val="single" w:sz="12" w:space="0" w:color="auto"/>
              <w:right w:val="nil"/>
            </w:tcBorders>
            <w:vAlign w:val="bottom"/>
            <w:hideMark/>
          </w:tcPr>
          <w:p w:rsidR="00BF1937" w:rsidRPr="00DE3BD5" w:rsidRDefault="00BF1937" w:rsidP="00DE3BD5">
            <w:pPr>
              <w:tabs>
                <w:tab w:val="left" w:pos="288"/>
                <w:tab w:val="left" w:pos="576"/>
                <w:tab w:val="left" w:pos="864"/>
                <w:tab w:val="left" w:pos="1152"/>
              </w:tabs>
              <w:suppressAutoHyphens/>
              <w:spacing w:before="40" w:after="40" w:line="210" w:lineRule="exact"/>
              <w:ind w:right="43"/>
              <w:jc w:val="right"/>
              <w:rPr>
                <w:sz w:val="17"/>
                <w:lang w:val="fr-CH"/>
              </w:rPr>
            </w:pPr>
            <w:r w:rsidRPr="00DE3BD5">
              <w:rPr>
                <w:sz w:val="17"/>
                <w:lang w:val="fr-CH"/>
              </w:rPr>
              <w:t>2,90</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434F82" w:rsidRDefault="00434F82">
      <w:pPr>
        <w:spacing w:line="240" w:lineRule="auto"/>
        <w:rPr>
          <w:b/>
          <w:spacing w:val="2"/>
          <w:lang w:val="fr-CH"/>
        </w:rPr>
      </w:pPr>
      <w:r>
        <w:rPr>
          <w:lang w:val="fr-CH"/>
        </w:rPr>
        <w:br w:type="page"/>
      </w: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Taux de croissance de la population </w:t>
      </w:r>
      <w:r w:rsidR="00110459">
        <w:rPr>
          <w:lang w:val="fr-CH"/>
        </w:rPr>
        <w:br/>
      </w:r>
      <w:r w:rsidRPr="00110459">
        <w:rPr>
          <w:b w:val="0"/>
          <w:sz w:val="14"/>
          <w:szCs w:val="14"/>
          <w:lang w:val="fr-CH"/>
        </w:rPr>
        <w:t>(</w:t>
      </w:r>
      <w:r w:rsidR="00110459" w:rsidRPr="00110459">
        <w:rPr>
          <w:b w:val="0"/>
          <w:sz w:val="14"/>
          <w:szCs w:val="14"/>
          <w:lang w:val="fr-CH"/>
        </w:rPr>
        <w:t>E</w:t>
      </w:r>
      <w:r w:rsidRPr="00110459">
        <w:rPr>
          <w:b w:val="0"/>
          <w:sz w:val="14"/>
          <w:szCs w:val="14"/>
          <w:lang w:val="fr-CH"/>
        </w:rPr>
        <w:t xml:space="preserve">n </w:t>
      </w:r>
      <w:r w:rsidR="00110459" w:rsidRPr="00110459">
        <w:rPr>
          <w:b w:val="0"/>
          <w:sz w:val="14"/>
          <w:szCs w:val="14"/>
          <w:lang w:val="fr-CH"/>
        </w:rPr>
        <w:t>pourcentage)</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744"/>
      </w:tblGrid>
      <w:tr w:rsidR="00BF1937" w:rsidRPr="00BF1937" w:rsidTr="000D2AB2">
        <w:tc>
          <w:tcPr>
            <w:tcW w:w="3686" w:type="dxa"/>
            <w:tcBorders>
              <w:top w:val="single" w:sz="4" w:space="0" w:color="auto"/>
              <w:left w:val="nil"/>
              <w:bottom w:val="nil"/>
              <w:right w:val="nil"/>
            </w:tcBorders>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2008</w:t>
            </w:r>
          </w:p>
        </w:tc>
        <w:tc>
          <w:tcPr>
            <w:tcW w:w="3686" w:type="dxa"/>
            <w:tcBorders>
              <w:top w:val="single" w:sz="4" w:space="0" w:color="auto"/>
              <w:left w:val="nil"/>
              <w:bottom w:val="nil"/>
              <w:right w:val="nil"/>
            </w:tcBorders>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2,6</w:t>
            </w:r>
          </w:p>
        </w:tc>
      </w:tr>
      <w:tr w:rsidR="00BF1937" w:rsidRPr="00BF1937" w:rsidTr="000D2AB2">
        <w:tc>
          <w:tcPr>
            <w:tcW w:w="3686" w:type="dxa"/>
            <w:tcBorders>
              <w:top w:val="nil"/>
              <w:left w:val="nil"/>
              <w:bottom w:val="nil"/>
              <w:right w:val="nil"/>
            </w:tcBorders>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2009</w:t>
            </w:r>
          </w:p>
        </w:tc>
        <w:tc>
          <w:tcPr>
            <w:tcW w:w="3686" w:type="dxa"/>
            <w:tcBorders>
              <w:top w:val="nil"/>
              <w:left w:val="nil"/>
              <w:bottom w:val="nil"/>
              <w:right w:val="nil"/>
            </w:tcBorders>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2,8</w:t>
            </w:r>
          </w:p>
        </w:tc>
      </w:tr>
      <w:tr w:rsidR="00BF1937" w:rsidRPr="00BF1937" w:rsidTr="000D2AB2">
        <w:tc>
          <w:tcPr>
            <w:tcW w:w="3686" w:type="dxa"/>
            <w:tcBorders>
              <w:top w:val="nil"/>
              <w:left w:val="nil"/>
              <w:bottom w:val="nil"/>
              <w:right w:val="nil"/>
            </w:tcBorders>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2010</w:t>
            </w:r>
          </w:p>
        </w:tc>
        <w:tc>
          <w:tcPr>
            <w:tcW w:w="3686" w:type="dxa"/>
            <w:tcBorders>
              <w:top w:val="nil"/>
              <w:left w:val="nil"/>
              <w:bottom w:val="nil"/>
              <w:right w:val="nil"/>
            </w:tcBorders>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2,6</w:t>
            </w:r>
          </w:p>
        </w:tc>
      </w:tr>
      <w:tr w:rsidR="00BF1937" w:rsidRPr="00BF1937" w:rsidTr="000D2AB2">
        <w:tc>
          <w:tcPr>
            <w:tcW w:w="3686" w:type="dxa"/>
            <w:tcBorders>
              <w:top w:val="nil"/>
              <w:left w:val="nil"/>
              <w:bottom w:val="nil"/>
              <w:right w:val="nil"/>
            </w:tcBorders>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2011</w:t>
            </w:r>
          </w:p>
        </w:tc>
        <w:tc>
          <w:tcPr>
            <w:tcW w:w="3686" w:type="dxa"/>
            <w:tcBorders>
              <w:top w:val="nil"/>
              <w:left w:val="nil"/>
              <w:bottom w:val="nil"/>
              <w:right w:val="nil"/>
            </w:tcBorders>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2,6</w:t>
            </w:r>
          </w:p>
        </w:tc>
      </w:tr>
      <w:tr w:rsidR="00BF1937" w:rsidRPr="00BF1937" w:rsidTr="000D2AB2">
        <w:tc>
          <w:tcPr>
            <w:tcW w:w="3686" w:type="dxa"/>
            <w:tcBorders>
              <w:top w:val="nil"/>
              <w:left w:val="nil"/>
              <w:bottom w:val="single" w:sz="12" w:space="0" w:color="auto"/>
              <w:right w:val="nil"/>
            </w:tcBorders>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2012</w:t>
            </w:r>
          </w:p>
        </w:tc>
        <w:tc>
          <w:tcPr>
            <w:tcW w:w="3686" w:type="dxa"/>
            <w:tcBorders>
              <w:top w:val="nil"/>
              <w:left w:val="nil"/>
              <w:bottom w:val="single" w:sz="12" w:space="0" w:color="auto"/>
              <w:right w:val="nil"/>
            </w:tcBorders>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0,5</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110459"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Densité démographique</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744"/>
      </w:tblGrid>
      <w:tr w:rsidR="00BF1937" w:rsidRPr="00BF1937" w:rsidTr="000D2AB2">
        <w:trPr>
          <w:trHeight w:val="240"/>
          <w:tblHeader/>
        </w:trPr>
        <w:tc>
          <w:tcPr>
            <w:tcW w:w="3686" w:type="dxa"/>
            <w:tcBorders>
              <w:top w:val="single" w:sz="4" w:space="0" w:color="auto"/>
              <w:left w:val="nil"/>
              <w:bottom w:val="single" w:sz="12" w:space="0" w:color="auto"/>
              <w:right w:val="nil"/>
            </w:tcBorders>
            <w:noWrap/>
            <w:vAlign w:val="bottom"/>
            <w:hideMark/>
          </w:tcPr>
          <w:p w:rsidR="00BF1937" w:rsidRPr="00BF1937" w:rsidRDefault="00BF1937" w:rsidP="000D2AB2">
            <w:pPr>
              <w:tabs>
                <w:tab w:val="left" w:pos="288"/>
                <w:tab w:val="left" w:pos="576"/>
                <w:tab w:val="left" w:pos="864"/>
                <w:tab w:val="left" w:pos="1152"/>
              </w:tabs>
              <w:suppressAutoHyphens/>
              <w:spacing w:before="80" w:after="80" w:line="160" w:lineRule="exact"/>
              <w:ind w:right="40"/>
              <w:rPr>
                <w:lang w:val="fr-CH"/>
              </w:rPr>
            </w:pPr>
            <w:r w:rsidRPr="000D2AB2">
              <w:rPr>
                <w:i/>
                <w:sz w:val="14"/>
                <w:lang w:val="fr-CH"/>
              </w:rPr>
              <w:t>Année</w:t>
            </w:r>
          </w:p>
        </w:tc>
        <w:tc>
          <w:tcPr>
            <w:tcW w:w="3686" w:type="dxa"/>
            <w:tcBorders>
              <w:top w:val="single" w:sz="4" w:space="0" w:color="auto"/>
              <w:left w:val="nil"/>
              <w:bottom w:val="single" w:sz="12" w:space="0" w:color="auto"/>
              <w:right w:val="nil"/>
            </w:tcBorders>
            <w:noWrap/>
            <w:vAlign w:val="bottom"/>
            <w:hideMark/>
          </w:tcPr>
          <w:p w:rsidR="00BF1937" w:rsidRPr="00BF1937" w:rsidRDefault="00BF1937" w:rsidP="000D2AB2">
            <w:pPr>
              <w:tabs>
                <w:tab w:val="left" w:pos="288"/>
                <w:tab w:val="left" w:pos="576"/>
                <w:tab w:val="left" w:pos="864"/>
                <w:tab w:val="left" w:pos="1152"/>
              </w:tabs>
              <w:suppressAutoHyphens/>
              <w:spacing w:before="80" w:after="80" w:line="160" w:lineRule="exact"/>
              <w:ind w:right="43"/>
              <w:jc w:val="right"/>
              <w:rPr>
                <w:lang w:val="fr-CH"/>
              </w:rPr>
            </w:pPr>
            <w:r w:rsidRPr="000D2AB2">
              <w:rPr>
                <w:i/>
                <w:sz w:val="14"/>
                <w:lang w:val="fr-CH"/>
              </w:rPr>
              <w:t>Densité par km</w:t>
            </w:r>
            <w:r w:rsidRPr="000D2AB2">
              <w:rPr>
                <w:i/>
                <w:sz w:val="14"/>
                <w:vertAlign w:val="superscript"/>
                <w:lang w:val="fr-CH"/>
              </w:rPr>
              <w:t>2</w:t>
            </w:r>
          </w:p>
        </w:tc>
      </w:tr>
      <w:tr w:rsidR="000D2AB2" w:rsidRPr="00BF1937" w:rsidTr="000D2AB2">
        <w:trPr>
          <w:trHeight w:hRule="exact" w:val="115"/>
          <w:tblHeader/>
        </w:trPr>
        <w:tc>
          <w:tcPr>
            <w:tcW w:w="3686" w:type="dxa"/>
            <w:tcBorders>
              <w:top w:val="single" w:sz="12" w:space="0" w:color="auto"/>
              <w:left w:val="nil"/>
              <w:bottom w:val="nil"/>
              <w:right w:val="nil"/>
            </w:tcBorders>
            <w:noWrap/>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0"/>
              <w:rPr>
                <w:i/>
                <w:sz w:val="14"/>
                <w:lang w:val="fr-CH"/>
              </w:rPr>
            </w:pPr>
          </w:p>
        </w:tc>
        <w:tc>
          <w:tcPr>
            <w:tcW w:w="3686" w:type="dxa"/>
            <w:tcBorders>
              <w:top w:val="single" w:sz="12" w:space="0" w:color="auto"/>
              <w:left w:val="nil"/>
              <w:bottom w:val="nil"/>
              <w:right w:val="nil"/>
            </w:tcBorders>
            <w:noWrap/>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r>
      <w:tr w:rsidR="00BF1937" w:rsidRPr="00BF1937" w:rsidTr="00110459">
        <w:tc>
          <w:tcPr>
            <w:tcW w:w="3686"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2008</w:t>
            </w:r>
          </w:p>
        </w:tc>
        <w:tc>
          <w:tcPr>
            <w:tcW w:w="3686"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96</w:t>
            </w:r>
          </w:p>
        </w:tc>
      </w:tr>
      <w:tr w:rsidR="00BF1937" w:rsidRPr="00BF1937" w:rsidTr="00110459">
        <w:tc>
          <w:tcPr>
            <w:tcW w:w="3686"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2009</w:t>
            </w:r>
          </w:p>
        </w:tc>
        <w:tc>
          <w:tcPr>
            <w:tcW w:w="3686"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98</w:t>
            </w:r>
          </w:p>
        </w:tc>
      </w:tr>
      <w:tr w:rsidR="00BF1937" w:rsidRPr="00BF1937" w:rsidTr="00110459">
        <w:tc>
          <w:tcPr>
            <w:tcW w:w="3686"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lastRenderedPageBreak/>
              <w:t>2010</w:t>
            </w:r>
          </w:p>
        </w:tc>
        <w:tc>
          <w:tcPr>
            <w:tcW w:w="3686"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100</w:t>
            </w:r>
          </w:p>
        </w:tc>
      </w:tr>
      <w:tr w:rsidR="00BF1937" w:rsidRPr="00BF1937" w:rsidTr="00110459">
        <w:tc>
          <w:tcPr>
            <w:tcW w:w="3686"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2011</w:t>
            </w:r>
          </w:p>
        </w:tc>
        <w:tc>
          <w:tcPr>
            <w:tcW w:w="3686"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103</w:t>
            </w:r>
          </w:p>
        </w:tc>
      </w:tr>
      <w:tr w:rsidR="00BF1937" w:rsidRPr="00BF1937" w:rsidTr="00110459">
        <w:tc>
          <w:tcPr>
            <w:tcW w:w="3686" w:type="dxa"/>
            <w:tcBorders>
              <w:top w:val="nil"/>
              <w:left w:val="nil"/>
              <w:bottom w:val="single" w:sz="12" w:space="0" w:color="auto"/>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2012</w:t>
            </w:r>
          </w:p>
        </w:tc>
        <w:tc>
          <w:tcPr>
            <w:tcW w:w="3686" w:type="dxa"/>
            <w:tcBorders>
              <w:top w:val="nil"/>
              <w:left w:val="nil"/>
              <w:bottom w:val="single" w:sz="12" w:space="0" w:color="auto"/>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103</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Naissances vivantes par sexe et taux de natalité (2008-2012)</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623"/>
        <w:gridCol w:w="630"/>
        <w:gridCol w:w="720"/>
        <w:gridCol w:w="720"/>
        <w:gridCol w:w="630"/>
        <w:gridCol w:w="1388"/>
        <w:gridCol w:w="1388"/>
        <w:gridCol w:w="1389"/>
      </w:tblGrid>
      <w:tr w:rsidR="00BF1937" w:rsidRPr="00BF1937" w:rsidTr="000D2AB2">
        <w:trPr>
          <w:trHeight w:val="241"/>
          <w:tblHeader/>
        </w:trPr>
        <w:tc>
          <w:tcPr>
            <w:tcW w:w="623" w:type="dxa"/>
            <w:tcBorders>
              <w:top w:val="single" w:sz="4" w:space="0" w:color="auto"/>
              <w:left w:val="nil"/>
              <w:bottom w:val="single" w:sz="12" w:space="0" w:color="auto"/>
              <w:right w:val="nil"/>
            </w:tcBorders>
            <w:noWrap/>
            <w:vAlign w:val="bottom"/>
            <w:hideMark/>
          </w:tcPr>
          <w:p w:rsidR="00BF1937" w:rsidRPr="00BF1937" w:rsidRDefault="00BF1937" w:rsidP="000D2AB2">
            <w:pPr>
              <w:tabs>
                <w:tab w:val="left" w:pos="288"/>
                <w:tab w:val="left" w:pos="576"/>
                <w:tab w:val="left" w:pos="864"/>
                <w:tab w:val="left" w:pos="1152"/>
              </w:tabs>
              <w:suppressAutoHyphens/>
              <w:spacing w:before="80" w:after="80" w:line="160" w:lineRule="exact"/>
              <w:ind w:right="40"/>
            </w:pPr>
            <w:r w:rsidRPr="000D2AB2">
              <w:rPr>
                <w:i/>
                <w:sz w:val="14"/>
                <w:lang w:val="fr-CH"/>
              </w:rPr>
              <w:t>Année</w:t>
            </w:r>
          </w:p>
        </w:tc>
        <w:tc>
          <w:tcPr>
            <w:tcW w:w="630" w:type="dxa"/>
            <w:tcBorders>
              <w:top w:val="single" w:sz="4" w:space="0" w:color="auto"/>
              <w:left w:val="nil"/>
              <w:bottom w:val="single" w:sz="12" w:space="0" w:color="auto"/>
              <w:right w:val="nil"/>
            </w:tcBorders>
            <w:noWrap/>
            <w:vAlign w:val="bottom"/>
            <w:hideMark/>
          </w:tcPr>
          <w:p w:rsidR="00BF1937" w:rsidRPr="00B57996" w:rsidRDefault="00BF1937" w:rsidP="000D2AB2">
            <w:pPr>
              <w:tabs>
                <w:tab w:val="left" w:pos="288"/>
                <w:tab w:val="left" w:pos="576"/>
                <w:tab w:val="left" w:pos="864"/>
                <w:tab w:val="left" w:pos="1152"/>
              </w:tabs>
              <w:suppressAutoHyphens/>
              <w:spacing w:before="80" w:after="80" w:line="160" w:lineRule="exact"/>
              <w:ind w:right="43"/>
              <w:jc w:val="right"/>
              <w:rPr>
                <w:b/>
                <w:i/>
                <w:sz w:val="14"/>
                <w:lang w:val="fr-CH"/>
              </w:rPr>
            </w:pPr>
            <w:r w:rsidRPr="00B57996">
              <w:rPr>
                <w:b/>
                <w:i/>
                <w:sz w:val="14"/>
                <w:lang w:val="fr-CH"/>
              </w:rPr>
              <w:t>Total</w:t>
            </w:r>
          </w:p>
        </w:tc>
        <w:tc>
          <w:tcPr>
            <w:tcW w:w="720" w:type="dxa"/>
            <w:tcBorders>
              <w:top w:val="single" w:sz="4" w:space="0" w:color="auto"/>
              <w:left w:val="nil"/>
              <w:bottom w:val="single" w:sz="12" w:space="0" w:color="auto"/>
              <w:right w:val="nil"/>
            </w:tcBorders>
            <w:noWrap/>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Garçons</w:t>
            </w:r>
          </w:p>
        </w:tc>
        <w:tc>
          <w:tcPr>
            <w:tcW w:w="720" w:type="dxa"/>
            <w:tcBorders>
              <w:top w:val="single" w:sz="4" w:space="0" w:color="auto"/>
              <w:left w:val="nil"/>
              <w:bottom w:val="single" w:sz="12" w:space="0" w:color="auto"/>
              <w:right w:val="nil"/>
            </w:tcBorders>
            <w:noWrap/>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Filles</w:t>
            </w:r>
          </w:p>
        </w:tc>
        <w:tc>
          <w:tcPr>
            <w:tcW w:w="630" w:type="dxa"/>
            <w:tcBorders>
              <w:top w:val="single" w:sz="4" w:space="0" w:color="auto"/>
              <w:left w:val="nil"/>
              <w:bottom w:val="single" w:sz="12" w:space="0" w:color="auto"/>
              <w:right w:val="nil"/>
            </w:tcBorders>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Taux de natalité</w:t>
            </w:r>
          </w:p>
        </w:tc>
        <w:tc>
          <w:tcPr>
            <w:tcW w:w="1388" w:type="dxa"/>
            <w:tcBorders>
              <w:top w:val="single" w:sz="4" w:space="0" w:color="auto"/>
              <w:left w:val="nil"/>
              <w:bottom w:val="single" w:sz="12" w:space="0" w:color="auto"/>
              <w:right w:val="nil"/>
            </w:tcBorders>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 xml:space="preserve">Variation par </w:t>
            </w:r>
            <w:r w:rsidR="000D2AB2">
              <w:rPr>
                <w:i/>
                <w:sz w:val="14"/>
                <w:lang w:val="fr-CH"/>
              </w:rPr>
              <w:br/>
            </w:r>
            <w:r w:rsidRPr="000D2AB2">
              <w:rPr>
                <w:i/>
                <w:sz w:val="14"/>
                <w:lang w:val="fr-CH"/>
              </w:rPr>
              <w:t>rapport à l</w:t>
            </w:r>
            <w:r w:rsidR="008300FB" w:rsidRPr="000D2AB2">
              <w:rPr>
                <w:i/>
                <w:sz w:val="14"/>
                <w:lang w:val="fr-CH"/>
              </w:rPr>
              <w:t>’</w:t>
            </w:r>
            <w:r w:rsidRPr="000D2AB2">
              <w:rPr>
                <w:i/>
                <w:sz w:val="14"/>
                <w:lang w:val="fr-CH"/>
              </w:rPr>
              <w:t>année précédente (en %)</w:t>
            </w:r>
          </w:p>
        </w:tc>
        <w:tc>
          <w:tcPr>
            <w:tcW w:w="1388" w:type="dxa"/>
            <w:tcBorders>
              <w:top w:val="single" w:sz="4" w:space="0" w:color="auto"/>
              <w:left w:val="nil"/>
              <w:bottom w:val="single" w:sz="12" w:space="0" w:color="auto"/>
              <w:right w:val="nil"/>
            </w:tcBorders>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 xml:space="preserve">Rapport de masculinité </w:t>
            </w:r>
            <w:r w:rsidR="000D2AB2">
              <w:rPr>
                <w:i/>
                <w:sz w:val="14"/>
                <w:lang w:val="fr-CH"/>
              </w:rPr>
              <w:br/>
            </w:r>
            <w:r w:rsidRPr="000D2AB2">
              <w:rPr>
                <w:i/>
                <w:sz w:val="14"/>
                <w:lang w:val="fr-CH"/>
              </w:rPr>
              <w:t xml:space="preserve">des naissances </w:t>
            </w:r>
          </w:p>
        </w:tc>
        <w:tc>
          <w:tcPr>
            <w:tcW w:w="1389" w:type="dxa"/>
            <w:tcBorders>
              <w:top w:val="single" w:sz="4" w:space="0" w:color="auto"/>
              <w:left w:val="nil"/>
              <w:bottom w:val="single" w:sz="12" w:space="0" w:color="auto"/>
              <w:right w:val="nil"/>
            </w:tcBorders>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 xml:space="preserve">Taux de masculinité des naissances </w:t>
            </w:r>
          </w:p>
        </w:tc>
      </w:tr>
      <w:tr w:rsidR="000D2AB2" w:rsidRPr="00BF1937" w:rsidTr="000D2AB2">
        <w:trPr>
          <w:trHeight w:hRule="exact" w:val="115"/>
          <w:tblHeader/>
        </w:trPr>
        <w:tc>
          <w:tcPr>
            <w:tcW w:w="623" w:type="dxa"/>
            <w:tcBorders>
              <w:top w:val="single" w:sz="12" w:space="0" w:color="auto"/>
              <w:left w:val="nil"/>
              <w:bottom w:val="nil"/>
              <w:right w:val="nil"/>
            </w:tcBorders>
            <w:noWrap/>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0"/>
              <w:rPr>
                <w:i/>
                <w:sz w:val="14"/>
                <w:lang w:val="fr-CH"/>
              </w:rPr>
            </w:pPr>
          </w:p>
        </w:tc>
        <w:tc>
          <w:tcPr>
            <w:tcW w:w="630" w:type="dxa"/>
            <w:tcBorders>
              <w:top w:val="single" w:sz="12" w:space="0" w:color="auto"/>
              <w:left w:val="nil"/>
              <w:bottom w:val="nil"/>
              <w:right w:val="nil"/>
            </w:tcBorders>
            <w:noWrap/>
            <w:vAlign w:val="bottom"/>
          </w:tcPr>
          <w:p w:rsidR="000D2AB2" w:rsidRPr="00B57996" w:rsidRDefault="000D2AB2" w:rsidP="000D2AB2">
            <w:pPr>
              <w:tabs>
                <w:tab w:val="left" w:pos="288"/>
                <w:tab w:val="left" w:pos="576"/>
                <w:tab w:val="left" w:pos="864"/>
                <w:tab w:val="left" w:pos="1152"/>
              </w:tabs>
              <w:suppressAutoHyphens/>
              <w:spacing w:before="80" w:after="80" w:line="160" w:lineRule="exact"/>
              <w:ind w:right="43"/>
              <w:jc w:val="right"/>
              <w:rPr>
                <w:b/>
                <w:i/>
                <w:sz w:val="14"/>
                <w:lang w:val="fr-CH"/>
              </w:rPr>
            </w:pPr>
          </w:p>
        </w:tc>
        <w:tc>
          <w:tcPr>
            <w:tcW w:w="720" w:type="dxa"/>
            <w:tcBorders>
              <w:top w:val="single" w:sz="12" w:space="0" w:color="auto"/>
              <w:left w:val="nil"/>
              <w:bottom w:val="nil"/>
              <w:right w:val="nil"/>
            </w:tcBorders>
            <w:noWrap/>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c>
          <w:tcPr>
            <w:tcW w:w="720" w:type="dxa"/>
            <w:tcBorders>
              <w:top w:val="single" w:sz="12" w:space="0" w:color="auto"/>
              <w:left w:val="nil"/>
              <w:bottom w:val="nil"/>
              <w:right w:val="nil"/>
            </w:tcBorders>
            <w:noWrap/>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c>
          <w:tcPr>
            <w:tcW w:w="630" w:type="dxa"/>
            <w:tcBorders>
              <w:top w:val="single" w:sz="12" w:space="0" w:color="auto"/>
              <w:left w:val="nil"/>
              <w:bottom w:val="nil"/>
              <w:right w:val="nil"/>
            </w:tcBorders>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c>
          <w:tcPr>
            <w:tcW w:w="1388" w:type="dxa"/>
            <w:tcBorders>
              <w:top w:val="single" w:sz="12" w:space="0" w:color="auto"/>
              <w:left w:val="nil"/>
              <w:bottom w:val="nil"/>
              <w:right w:val="nil"/>
            </w:tcBorders>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c>
          <w:tcPr>
            <w:tcW w:w="1388" w:type="dxa"/>
            <w:tcBorders>
              <w:top w:val="single" w:sz="12" w:space="0" w:color="auto"/>
              <w:left w:val="nil"/>
              <w:bottom w:val="nil"/>
              <w:right w:val="nil"/>
            </w:tcBorders>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c>
          <w:tcPr>
            <w:tcW w:w="1389" w:type="dxa"/>
            <w:tcBorders>
              <w:top w:val="single" w:sz="12" w:space="0" w:color="auto"/>
              <w:left w:val="nil"/>
              <w:bottom w:val="nil"/>
              <w:right w:val="nil"/>
            </w:tcBorders>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r>
      <w:tr w:rsidR="00BF1937" w:rsidRPr="00BF1937" w:rsidTr="00110459">
        <w:tc>
          <w:tcPr>
            <w:tcW w:w="623"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2008</w:t>
            </w:r>
          </w:p>
        </w:tc>
        <w:tc>
          <w:tcPr>
            <w:tcW w:w="630" w:type="dxa"/>
            <w:tcBorders>
              <w:top w:val="nil"/>
              <w:left w:val="nil"/>
              <w:bottom w:val="nil"/>
              <w:right w:val="nil"/>
            </w:tcBorders>
            <w:noWrap/>
            <w:vAlign w:val="bottom"/>
            <w:hideMark/>
          </w:tcPr>
          <w:p w:rsidR="00BF1937" w:rsidRPr="00B57996" w:rsidRDefault="00BF1937" w:rsidP="00110459">
            <w:pPr>
              <w:tabs>
                <w:tab w:val="left" w:pos="288"/>
                <w:tab w:val="left" w:pos="576"/>
                <w:tab w:val="left" w:pos="864"/>
                <w:tab w:val="left" w:pos="1152"/>
              </w:tabs>
              <w:suppressAutoHyphens/>
              <w:spacing w:before="40" w:after="40" w:line="200" w:lineRule="exact"/>
              <w:ind w:right="43"/>
              <w:jc w:val="right"/>
              <w:rPr>
                <w:b/>
                <w:sz w:val="17"/>
                <w:lang w:val="fr-CH"/>
              </w:rPr>
            </w:pPr>
            <w:r w:rsidRPr="00B57996">
              <w:rPr>
                <w:b/>
                <w:sz w:val="17"/>
                <w:lang w:val="fr-CH"/>
              </w:rPr>
              <w:t>9 205</w:t>
            </w:r>
          </w:p>
        </w:tc>
        <w:tc>
          <w:tcPr>
            <w:tcW w:w="72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4 727</w:t>
            </w:r>
          </w:p>
        </w:tc>
        <w:tc>
          <w:tcPr>
            <w:tcW w:w="72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4 478</w:t>
            </w:r>
          </w:p>
        </w:tc>
        <w:tc>
          <w:tcPr>
            <w:tcW w:w="63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11,7</w:t>
            </w:r>
          </w:p>
        </w:tc>
        <w:tc>
          <w:tcPr>
            <w:tcW w:w="138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7,3</w:t>
            </w:r>
          </w:p>
        </w:tc>
        <w:tc>
          <w:tcPr>
            <w:tcW w:w="1388" w:type="dxa"/>
            <w:tcBorders>
              <w:top w:val="nil"/>
              <w:left w:val="nil"/>
              <w:bottom w:val="nil"/>
              <w:right w:val="nil"/>
            </w:tcBorders>
            <w:noWrap/>
            <w:vAlign w:val="bottom"/>
            <w:hideMark/>
          </w:tcPr>
          <w:p w:rsidR="00BF1937" w:rsidRPr="000D2AB2" w:rsidRDefault="00BF1937" w:rsidP="00B57996">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w:t>
            </w:r>
            <w:r w:rsidR="00B57996">
              <w:rPr>
                <w:sz w:val="17"/>
                <w:lang w:val="fr-CH"/>
              </w:rPr>
              <w:t xml:space="preserve"> </w:t>
            </w:r>
            <w:r w:rsidRPr="000D2AB2">
              <w:rPr>
                <w:sz w:val="17"/>
                <w:lang w:val="fr-CH"/>
              </w:rPr>
              <w:t>056</w:t>
            </w:r>
          </w:p>
        </w:tc>
        <w:tc>
          <w:tcPr>
            <w:tcW w:w="1389"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51,4</w:t>
            </w:r>
          </w:p>
        </w:tc>
      </w:tr>
      <w:tr w:rsidR="00BF1937" w:rsidRPr="00BF1937" w:rsidTr="00110459">
        <w:tc>
          <w:tcPr>
            <w:tcW w:w="623"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2009</w:t>
            </w:r>
          </w:p>
        </w:tc>
        <w:tc>
          <w:tcPr>
            <w:tcW w:w="630" w:type="dxa"/>
            <w:tcBorders>
              <w:top w:val="nil"/>
              <w:left w:val="nil"/>
              <w:bottom w:val="nil"/>
              <w:right w:val="nil"/>
            </w:tcBorders>
            <w:noWrap/>
            <w:vAlign w:val="bottom"/>
            <w:hideMark/>
          </w:tcPr>
          <w:p w:rsidR="00BF1937" w:rsidRPr="00B57996" w:rsidRDefault="00BF1937" w:rsidP="00110459">
            <w:pPr>
              <w:tabs>
                <w:tab w:val="left" w:pos="288"/>
                <w:tab w:val="left" w:pos="576"/>
                <w:tab w:val="left" w:pos="864"/>
                <w:tab w:val="left" w:pos="1152"/>
              </w:tabs>
              <w:suppressAutoHyphens/>
              <w:spacing w:before="40" w:after="40" w:line="200" w:lineRule="exact"/>
              <w:ind w:right="43"/>
              <w:jc w:val="right"/>
              <w:rPr>
                <w:b/>
                <w:sz w:val="17"/>
                <w:lang w:val="fr-CH"/>
              </w:rPr>
            </w:pPr>
            <w:r w:rsidRPr="00B57996">
              <w:rPr>
                <w:b/>
                <w:sz w:val="17"/>
                <w:lang w:val="fr-CH"/>
              </w:rPr>
              <w:t>9 608</w:t>
            </w:r>
          </w:p>
        </w:tc>
        <w:tc>
          <w:tcPr>
            <w:tcW w:w="72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4 904</w:t>
            </w:r>
          </w:p>
        </w:tc>
        <w:tc>
          <w:tcPr>
            <w:tcW w:w="72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4 704</w:t>
            </w:r>
          </w:p>
        </w:tc>
        <w:tc>
          <w:tcPr>
            <w:tcW w:w="63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11,9</w:t>
            </w:r>
          </w:p>
        </w:tc>
        <w:tc>
          <w:tcPr>
            <w:tcW w:w="138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4,4</w:t>
            </w:r>
          </w:p>
        </w:tc>
        <w:tc>
          <w:tcPr>
            <w:tcW w:w="1388" w:type="dxa"/>
            <w:tcBorders>
              <w:top w:val="nil"/>
              <w:left w:val="nil"/>
              <w:bottom w:val="nil"/>
              <w:right w:val="nil"/>
            </w:tcBorders>
            <w:noWrap/>
            <w:vAlign w:val="bottom"/>
            <w:hideMark/>
          </w:tcPr>
          <w:p w:rsidR="00BF1937" w:rsidRPr="000D2AB2" w:rsidRDefault="00B57996" w:rsidP="00110459">
            <w:pPr>
              <w:tabs>
                <w:tab w:val="left" w:pos="288"/>
                <w:tab w:val="left" w:pos="576"/>
                <w:tab w:val="left" w:pos="864"/>
                <w:tab w:val="left" w:pos="1152"/>
              </w:tabs>
              <w:suppressAutoHyphens/>
              <w:spacing w:before="40" w:after="40" w:line="200" w:lineRule="exact"/>
              <w:ind w:right="43"/>
              <w:jc w:val="right"/>
              <w:rPr>
                <w:sz w:val="17"/>
                <w:lang w:val="fr-CH"/>
              </w:rPr>
            </w:pPr>
            <w:r>
              <w:rPr>
                <w:sz w:val="17"/>
                <w:lang w:val="fr-CH"/>
              </w:rPr>
              <w:t xml:space="preserve">1 </w:t>
            </w:r>
            <w:r w:rsidR="00BF1937" w:rsidRPr="000D2AB2">
              <w:rPr>
                <w:sz w:val="17"/>
                <w:lang w:val="fr-CH"/>
              </w:rPr>
              <w:t>043</w:t>
            </w:r>
          </w:p>
        </w:tc>
        <w:tc>
          <w:tcPr>
            <w:tcW w:w="1389"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51,0</w:t>
            </w:r>
          </w:p>
        </w:tc>
      </w:tr>
      <w:tr w:rsidR="00BF1937" w:rsidRPr="00BF1937" w:rsidTr="00110459">
        <w:tc>
          <w:tcPr>
            <w:tcW w:w="623"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2010</w:t>
            </w:r>
          </w:p>
        </w:tc>
        <w:tc>
          <w:tcPr>
            <w:tcW w:w="630" w:type="dxa"/>
            <w:tcBorders>
              <w:top w:val="nil"/>
              <w:left w:val="nil"/>
              <w:bottom w:val="nil"/>
              <w:right w:val="nil"/>
            </w:tcBorders>
            <w:noWrap/>
            <w:vAlign w:val="bottom"/>
            <w:hideMark/>
          </w:tcPr>
          <w:p w:rsidR="00BF1937" w:rsidRPr="00B57996" w:rsidRDefault="00BF1937" w:rsidP="00110459">
            <w:pPr>
              <w:tabs>
                <w:tab w:val="left" w:pos="288"/>
                <w:tab w:val="left" w:pos="576"/>
                <w:tab w:val="left" w:pos="864"/>
                <w:tab w:val="left" w:pos="1152"/>
              </w:tabs>
              <w:suppressAutoHyphens/>
              <w:spacing w:before="40" w:after="40" w:line="200" w:lineRule="exact"/>
              <w:ind w:right="43"/>
              <w:jc w:val="right"/>
              <w:rPr>
                <w:b/>
                <w:sz w:val="17"/>
                <w:lang w:val="fr-CH"/>
              </w:rPr>
            </w:pPr>
            <w:r w:rsidRPr="00B57996">
              <w:rPr>
                <w:b/>
                <w:sz w:val="17"/>
                <w:lang w:val="fr-CH"/>
              </w:rPr>
              <w:t>9 801</w:t>
            </w:r>
          </w:p>
        </w:tc>
        <w:tc>
          <w:tcPr>
            <w:tcW w:w="72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4 994</w:t>
            </w:r>
          </w:p>
        </w:tc>
        <w:tc>
          <w:tcPr>
            <w:tcW w:w="72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4 807</w:t>
            </w:r>
          </w:p>
        </w:tc>
        <w:tc>
          <w:tcPr>
            <w:tcW w:w="63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11,8</w:t>
            </w:r>
          </w:p>
        </w:tc>
        <w:tc>
          <w:tcPr>
            <w:tcW w:w="138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2,0</w:t>
            </w:r>
          </w:p>
        </w:tc>
        <w:tc>
          <w:tcPr>
            <w:tcW w:w="1388" w:type="dxa"/>
            <w:tcBorders>
              <w:top w:val="nil"/>
              <w:left w:val="nil"/>
              <w:bottom w:val="nil"/>
              <w:right w:val="nil"/>
            </w:tcBorders>
            <w:noWrap/>
            <w:vAlign w:val="bottom"/>
            <w:hideMark/>
          </w:tcPr>
          <w:p w:rsidR="00BF1937" w:rsidRPr="000D2AB2" w:rsidRDefault="00B57996" w:rsidP="00110459">
            <w:pPr>
              <w:tabs>
                <w:tab w:val="left" w:pos="288"/>
                <w:tab w:val="left" w:pos="576"/>
                <w:tab w:val="left" w:pos="864"/>
                <w:tab w:val="left" w:pos="1152"/>
              </w:tabs>
              <w:suppressAutoHyphens/>
              <w:spacing w:before="40" w:after="40" w:line="200" w:lineRule="exact"/>
              <w:ind w:right="43"/>
              <w:jc w:val="right"/>
              <w:rPr>
                <w:sz w:val="17"/>
                <w:lang w:val="fr-CH"/>
              </w:rPr>
            </w:pPr>
            <w:r>
              <w:rPr>
                <w:sz w:val="17"/>
                <w:lang w:val="fr-CH"/>
              </w:rPr>
              <w:t xml:space="preserve">1 </w:t>
            </w:r>
            <w:r w:rsidR="00BF1937" w:rsidRPr="000D2AB2">
              <w:rPr>
                <w:sz w:val="17"/>
                <w:lang w:val="fr-CH"/>
              </w:rPr>
              <w:t>039</w:t>
            </w:r>
          </w:p>
        </w:tc>
        <w:tc>
          <w:tcPr>
            <w:tcW w:w="1389"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51,0</w:t>
            </w:r>
          </w:p>
        </w:tc>
      </w:tr>
      <w:tr w:rsidR="00BF1937" w:rsidRPr="00BF1937" w:rsidTr="00110459">
        <w:tc>
          <w:tcPr>
            <w:tcW w:w="623"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2011</w:t>
            </w:r>
          </w:p>
        </w:tc>
        <w:tc>
          <w:tcPr>
            <w:tcW w:w="630" w:type="dxa"/>
            <w:tcBorders>
              <w:top w:val="nil"/>
              <w:left w:val="nil"/>
              <w:bottom w:val="nil"/>
              <w:right w:val="nil"/>
            </w:tcBorders>
            <w:noWrap/>
            <w:vAlign w:val="bottom"/>
            <w:hideMark/>
          </w:tcPr>
          <w:p w:rsidR="00BF1937" w:rsidRPr="00B57996" w:rsidRDefault="00BF1937" w:rsidP="00110459">
            <w:pPr>
              <w:tabs>
                <w:tab w:val="left" w:pos="288"/>
                <w:tab w:val="left" w:pos="576"/>
                <w:tab w:val="left" w:pos="864"/>
                <w:tab w:val="left" w:pos="1152"/>
              </w:tabs>
              <w:suppressAutoHyphens/>
              <w:spacing w:before="40" w:after="40" w:line="200" w:lineRule="exact"/>
              <w:ind w:right="43"/>
              <w:jc w:val="right"/>
              <w:rPr>
                <w:b/>
                <w:sz w:val="17"/>
                <w:lang w:val="fr-CH"/>
              </w:rPr>
            </w:pPr>
            <w:r w:rsidRPr="00B57996">
              <w:rPr>
                <w:b/>
                <w:sz w:val="17"/>
                <w:lang w:val="fr-CH"/>
              </w:rPr>
              <w:t>9 622</w:t>
            </w:r>
          </w:p>
        </w:tc>
        <w:tc>
          <w:tcPr>
            <w:tcW w:w="72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4 891</w:t>
            </w:r>
          </w:p>
        </w:tc>
        <w:tc>
          <w:tcPr>
            <w:tcW w:w="72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4 731</w:t>
            </w:r>
          </w:p>
        </w:tc>
        <w:tc>
          <w:tcPr>
            <w:tcW w:w="630"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11,3</w:t>
            </w:r>
          </w:p>
        </w:tc>
        <w:tc>
          <w:tcPr>
            <w:tcW w:w="138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-1,8</w:t>
            </w:r>
          </w:p>
        </w:tc>
        <w:tc>
          <w:tcPr>
            <w:tcW w:w="1388" w:type="dxa"/>
            <w:tcBorders>
              <w:top w:val="nil"/>
              <w:left w:val="nil"/>
              <w:bottom w:val="nil"/>
              <w:right w:val="nil"/>
            </w:tcBorders>
            <w:noWrap/>
            <w:vAlign w:val="bottom"/>
            <w:hideMark/>
          </w:tcPr>
          <w:p w:rsidR="00BF1937" w:rsidRPr="000D2AB2" w:rsidRDefault="00B57996" w:rsidP="00110459">
            <w:pPr>
              <w:tabs>
                <w:tab w:val="left" w:pos="288"/>
                <w:tab w:val="left" w:pos="576"/>
                <w:tab w:val="left" w:pos="864"/>
                <w:tab w:val="left" w:pos="1152"/>
              </w:tabs>
              <w:suppressAutoHyphens/>
              <w:spacing w:before="40" w:after="40" w:line="200" w:lineRule="exact"/>
              <w:ind w:right="43"/>
              <w:jc w:val="right"/>
              <w:rPr>
                <w:sz w:val="17"/>
                <w:lang w:val="fr-CH"/>
              </w:rPr>
            </w:pPr>
            <w:r>
              <w:rPr>
                <w:sz w:val="17"/>
                <w:lang w:val="fr-CH"/>
              </w:rPr>
              <w:t xml:space="preserve">1 </w:t>
            </w:r>
            <w:r w:rsidR="00BF1937" w:rsidRPr="000D2AB2">
              <w:rPr>
                <w:sz w:val="17"/>
                <w:lang w:val="fr-CH"/>
              </w:rPr>
              <w:t>034</w:t>
            </w:r>
          </w:p>
        </w:tc>
        <w:tc>
          <w:tcPr>
            <w:tcW w:w="1389"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50,8</w:t>
            </w:r>
          </w:p>
        </w:tc>
      </w:tr>
      <w:tr w:rsidR="00BF1937" w:rsidRPr="00BF1937" w:rsidTr="00110459">
        <w:tc>
          <w:tcPr>
            <w:tcW w:w="623" w:type="dxa"/>
            <w:tcBorders>
              <w:top w:val="nil"/>
              <w:left w:val="nil"/>
              <w:bottom w:val="single" w:sz="12" w:space="0" w:color="auto"/>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2012</w:t>
            </w:r>
          </w:p>
        </w:tc>
        <w:tc>
          <w:tcPr>
            <w:tcW w:w="630" w:type="dxa"/>
            <w:tcBorders>
              <w:top w:val="nil"/>
              <w:left w:val="nil"/>
              <w:bottom w:val="single" w:sz="12" w:space="0" w:color="auto"/>
              <w:right w:val="nil"/>
            </w:tcBorders>
            <w:noWrap/>
            <w:vAlign w:val="bottom"/>
            <w:hideMark/>
          </w:tcPr>
          <w:p w:rsidR="00BF1937" w:rsidRPr="00B57996" w:rsidRDefault="00BF1937" w:rsidP="00110459">
            <w:pPr>
              <w:tabs>
                <w:tab w:val="left" w:pos="288"/>
                <w:tab w:val="left" w:pos="576"/>
                <w:tab w:val="left" w:pos="864"/>
                <w:tab w:val="left" w:pos="1152"/>
              </w:tabs>
              <w:suppressAutoHyphens/>
              <w:spacing w:before="40" w:after="40" w:line="200" w:lineRule="exact"/>
              <w:ind w:right="43"/>
              <w:jc w:val="right"/>
              <w:rPr>
                <w:b/>
                <w:sz w:val="17"/>
                <w:lang w:val="fr-CH"/>
              </w:rPr>
            </w:pPr>
            <w:r w:rsidRPr="00B57996">
              <w:rPr>
                <w:b/>
                <w:sz w:val="17"/>
                <w:lang w:val="fr-CH"/>
              </w:rPr>
              <w:t>10 161</w:t>
            </w:r>
          </w:p>
        </w:tc>
        <w:tc>
          <w:tcPr>
            <w:tcW w:w="720" w:type="dxa"/>
            <w:tcBorders>
              <w:top w:val="nil"/>
              <w:left w:val="nil"/>
              <w:bottom w:val="single" w:sz="12" w:space="0" w:color="auto"/>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5 304</w:t>
            </w:r>
          </w:p>
        </w:tc>
        <w:tc>
          <w:tcPr>
            <w:tcW w:w="720" w:type="dxa"/>
            <w:tcBorders>
              <w:top w:val="nil"/>
              <w:left w:val="nil"/>
              <w:bottom w:val="single" w:sz="12" w:space="0" w:color="auto"/>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4 857</w:t>
            </w:r>
          </w:p>
        </w:tc>
        <w:tc>
          <w:tcPr>
            <w:tcW w:w="630" w:type="dxa"/>
            <w:tcBorders>
              <w:top w:val="nil"/>
              <w:left w:val="nil"/>
              <w:bottom w:val="single" w:sz="12" w:space="0" w:color="auto"/>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11,8</w:t>
            </w:r>
          </w:p>
        </w:tc>
        <w:tc>
          <w:tcPr>
            <w:tcW w:w="1388" w:type="dxa"/>
            <w:tcBorders>
              <w:top w:val="nil"/>
              <w:left w:val="nil"/>
              <w:bottom w:val="single" w:sz="12" w:space="0" w:color="auto"/>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5,6</w:t>
            </w:r>
          </w:p>
        </w:tc>
        <w:tc>
          <w:tcPr>
            <w:tcW w:w="1388" w:type="dxa"/>
            <w:tcBorders>
              <w:top w:val="nil"/>
              <w:left w:val="nil"/>
              <w:bottom w:val="single" w:sz="12" w:space="0" w:color="auto"/>
              <w:right w:val="nil"/>
            </w:tcBorders>
            <w:noWrap/>
            <w:vAlign w:val="bottom"/>
            <w:hideMark/>
          </w:tcPr>
          <w:p w:rsidR="00BF1937" w:rsidRPr="000D2AB2" w:rsidRDefault="00B57996" w:rsidP="00110459">
            <w:pPr>
              <w:tabs>
                <w:tab w:val="left" w:pos="288"/>
                <w:tab w:val="left" w:pos="576"/>
                <w:tab w:val="left" w:pos="864"/>
                <w:tab w:val="left" w:pos="1152"/>
              </w:tabs>
              <w:suppressAutoHyphens/>
              <w:spacing w:before="40" w:after="40" w:line="200" w:lineRule="exact"/>
              <w:ind w:right="43"/>
              <w:jc w:val="right"/>
              <w:rPr>
                <w:sz w:val="17"/>
                <w:lang w:val="fr-CH"/>
              </w:rPr>
            </w:pPr>
            <w:r>
              <w:rPr>
                <w:sz w:val="17"/>
                <w:lang w:val="fr-CH"/>
              </w:rPr>
              <w:t xml:space="preserve">1 </w:t>
            </w:r>
            <w:r w:rsidR="00BF1937" w:rsidRPr="000D2AB2">
              <w:rPr>
                <w:sz w:val="17"/>
                <w:lang w:val="fr-CH"/>
              </w:rPr>
              <w:t>092</w:t>
            </w:r>
          </w:p>
        </w:tc>
        <w:tc>
          <w:tcPr>
            <w:tcW w:w="1389" w:type="dxa"/>
            <w:tcBorders>
              <w:top w:val="nil"/>
              <w:left w:val="nil"/>
              <w:bottom w:val="single" w:sz="12" w:space="0" w:color="auto"/>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52,2</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Espérance de vie à la naissance des hommes et des femmes </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2880"/>
        <w:gridCol w:w="2304"/>
        <w:gridCol w:w="2304"/>
      </w:tblGrid>
      <w:tr w:rsidR="00BF1937" w:rsidRPr="00BF1937" w:rsidTr="000D2AB2">
        <w:trPr>
          <w:trHeight w:val="252"/>
          <w:tblHeader/>
        </w:trPr>
        <w:tc>
          <w:tcPr>
            <w:tcW w:w="2835" w:type="dxa"/>
            <w:tcBorders>
              <w:top w:val="single" w:sz="4" w:space="0" w:color="auto"/>
              <w:left w:val="nil"/>
              <w:bottom w:val="single" w:sz="12" w:space="0" w:color="auto"/>
              <w:right w:val="nil"/>
            </w:tcBorders>
            <w:noWrap/>
            <w:vAlign w:val="bottom"/>
            <w:hideMark/>
          </w:tcPr>
          <w:p w:rsidR="00BF1937" w:rsidRPr="00BF1937" w:rsidRDefault="00BF1937" w:rsidP="000D2AB2">
            <w:pPr>
              <w:tabs>
                <w:tab w:val="left" w:pos="288"/>
                <w:tab w:val="left" w:pos="576"/>
                <w:tab w:val="left" w:pos="864"/>
                <w:tab w:val="left" w:pos="1152"/>
              </w:tabs>
              <w:suppressAutoHyphens/>
              <w:spacing w:before="80" w:after="80" w:line="160" w:lineRule="exact"/>
              <w:ind w:right="40"/>
              <w:rPr>
                <w:lang w:val="fr-CH"/>
              </w:rPr>
            </w:pPr>
            <w:r w:rsidRPr="000D2AB2">
              <w:rPr>
                <w:i/>
                <w:sz w:val="14"/>
                <w:lang w:val="fr-CH"/>
              </w:rPr>
              <w:t>Période</w:t>
            </w:r>
          </w:p>
        </w:tc>
        <w:tc>
          <w:tcPr>
            <w:tcW w:w="2268" w:type="dxa"/>
            <w:tcBorders>
              <w:top w:val="single" w:sz="4" w:space="0" w:color="auto"/>
              <w:left w:val="nil"/>
              <w:bottom w:val="single" w:sz="12" w:space="0" w:color="auto"/>
              <w:right w:val="nil"/>
            </w:tcBorders>
            <w:noWrap/>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Hommes</w:t>
            </w:r>
          </w:p>
        </w:tc>
        <w:tc>
          <w:tcPr>
            <w:tcW w:w="2268" w:type="dxa"/>
            <w:tcBorders>
              <w:top w:val="single" w:sz="4" w:space="0" w:color="auto"/>
              <w:left w:val="nil"/>
              <w:bottom w:val="single" w:sz="12" w:space="0" w:color="auto"/>
              <w:right w:val="nil"/>
            </w:tcBorders>
            <w:noWrap/>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Femmes</w:t>
            </w:r>
          </w:p>
        </w:tc>
      </w:tr>
      <w:tr w:rsidR="000D2AB2" w:rsidRPr="00BF1937" w:rsidTr="000D2AB2">
        <w:trPr>
          <w:trHeight w:hRule="exact" w:val="115"/>
          <w:tblHeader/>
        </w:trPr>
        <w:tc>
          <w:tcPr>
            <w:tcW w:w="2835" w:type="dxa"/>
            <w:tcBorders>
              <w:top w:val="single" w:sz="12" w:space="0" w:color="auto"/>
              <w:left w:val="nil"/>
              <w:bottom w:val="nil"/>
              <w:right w:val="nil"/>
            </w:tcBorders>
            <w:noWrap/>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0"/>
              <w:rPr>
                <w:i/>
                <w:sz w:val="14"/>
                <w:lang w:val="fr-CH"/>
              </w:rPr>
            </w:pPr>
          </w:p>
        </w:tc>
        <w:tc>
          <w:tcPr>
            <w:tcW w:w="2268" w:type="dxa"/>
            <w:tcBorders>
              <w:top w:val="single" w:sz="12" w:space="0" w:color="auto"/>
              <w:left w:val="nil"/>
              <w:bottom w:val="nil"/>
              <w:right w:val="nil"/>
            </w:tcBorders>
            <w:noWrap/>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c>
          <w:tcPr>
            <w:tcW w:w="2268" w:type="dxa"/>
            <w:tcBorders>
              <w:top w:val="single" w:sz="12" w:space="0" w:color="auto"/>
              <w:left w:val="nil"/>
              <w:bottom w:val="nil"/>
              <w:right w:val="nil"/>
            </w:tcBorders>
            <w:noWrap/>
            <w:vAlign w:val="bottom"/>
          </w:tcPr>
          <w:p w:rsidR="000D2AB2" w:rsidRPr="000D2AB2" w:rsidRDefault="000D2AB2" w:rsidP="000D2AB2">
            <w:pPr>
              <w:tabs>
                <w:tab w:val="left" w:pos="288"/>
                <w:tab w:val="left" w:pos="576"/>
                <w:tab w:val="left" w:pos="864"/>
                <w:tab w:val="left" w:pos="1152"/>
              </w:tabs>
              <w:suppressAutoHyphens/>
              <w:spacing w:before="80" w:after="80" w:line="160" w:lineRule="exact"/>
              <w:ind w:right="43"/>
              <w:jc w:val="right"/>
              <w:rPr>
                <w:i/>
                <w:sz w:val="14"/>
                <w:lang w:val="fr-CH"/>
              </w:rPr>
            </w:pPr>
          </w:p>
        </w:tc>
      </w:tr>
      <w:tr w:rsidR="00BF1937" w:rsidRPr="00BF1937" w:rsidTr="00110459">
        <w:tc>
          <w:tcPr>
            <w:tcW w:w="2835"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2000</w:t>
            </w:r>
            <w:r w:rsidR="000D2AB2">
              <w:rPr>
                <w:sz w:val="17"/>
                <w:lang w:val="fr-CH"/>
              </w:rPr>
              <w:t>-20</w:t>
            </w:r>
            <w:r w:rsidRPr="000D2AB2">
              <w:rPr>
                <w:sz w:val="17"/>
                <w:lang w:val="fr-CH"/>
              </w:rPr>
              <w:t>01</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76,1</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81,0</w:t>
            </w:r>
          </w:p>
        </w:tc>
      </w:tr>
      <w:tr w:rsidR="00BF1937" w:rsidRPr="00BF1937" w:rsidTr="00110459">
        <w:tc>
          <w:tcPr>
            <w:tcW w:w="2835"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2002</w:t>
            </w:r>
            <w:r w:rsidR="000D2AB2">
              <w:rPr>
                <w:sz w:val="17"/>
                <w:lang w:val="fr-CH"/>
              </w:rPr>
              <w:t>-20</w:t>
            </w:r>
            <w:r w:rsidRPr="000D2AB2">
              <w:rPr>
                <w:sz w:val="17"/>
                <w:lang w:val="fr-CH"/>
              </w:rPr>
              <w:t>03</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77,0</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81,4</w:t>
            </w:r>
          </w:p>
        </w:tc>
      </w:tr>
      <w:tr w:rsidR="00BF1937" w:rsidRPr="00BF1937" w:rsidTr="00110459">
        <w:tc>
          <w:tcPr>
            <w:tcW w:w="2835" w:type="dxa"/>
            <w:tcBorders>
              <w:top w:val="nil"/>
              <w:left w:val="nil"/>
              <w:bottom w:val="nil"/>
              <w:right w:val="nil"/>
            </w:tcBorders>
            <w:noWrap/>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2004</w:t>
            </w:r>
            <w:r w:rsidR="000D2AB2">
              <w:rPr>
                <w:sz w:val="17"/>
                <w:lang w:val="fr-CH"/>
              </w:rPr>
              <w:t>-20</w:t>
            </w:r>
            <w:r w:rsidRPr="000D2AB2">
              <w:rPr>
                <w:sz w:val="17"/>
                <w:lang w:val="fr-CH"/>
              </w:rPr>
              <w:t>05</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77,0</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81,7</w:t>
            </w:r>
          </w:p>
        </w:tc>
      </w:tr>
      <w:tr w:rsidR="00BF1937" w:rsidRPr="00BF1937" w:rsidTr="00110459">
        <w:tc>
          <w:tcPr>
            <w:tcW w:w="2835" w:type="dxa"/>
            <w:tcBorders>
              <w:top w:val="nil"/>
              <w:left w:val="nil"/>
              <w:bottom w:val="nil"/>
              <w:right w:val="nil"/>
            </w:tcBorders>
            <w:noWrap/>
            <w:hideMark/>
          </w:tcPr>
          <w:p w:rsidR="00BF1937" w:rsidRPr="000D2AB2" w:rsidRDefault="000D2AB2" w:rsidP="00110459">
            <w:pPr>
              <w:tabs>
                <w:tab w:val="left" w:pos="288"/>
                <w:tab w:val="left" w:pos="576"/>
                <w:tab w:val="left" w:pos="864"/>
                <w:tab w:val="left" w:pos="1152"/>
              </w:tabs>
              <w:suppressAutoHyphens/>
              <w:spacing w:before="40" w:after="40" w:line="200" w:lineRule="exact"/>
              <w:ind w:right="40"/>
              <w:rPr>
                <w:sz w:val="17"/>
                <w:lang w:val="fr-CH"/>
              </w:rPr>
            </w:pPr>
            <w:r>
              <w:rPr>
                <w:sz w:val="17"/>
                <w:lang w:val="fr-CH"/>
              </w:rPr>
              <w:t>2006-20</w:t>
            </w:r>
            <w:r w:rsidR="00BF1937" w:rsidRPr="000D2AB2">
              <w:rPr>
                <w:sz w:val="17"/>
                <w:lang w:val="fr-CH"/>
              </w:rPr>
              <w:t>07</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78,3</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81,9</w:t>
            </w:r>
          </w:p>
        </w:tc>
      </w:tr>
      <w:tr w:rsidR="00BF1937" w:rsidRPr="00BF1937" w:rsidTr="00110459">
        <w:tc>
          <w:tcPr>
            <w:tcW w:w="2835" w:type="dxa"/>
            <w:tcBorders>
              <w:top w:val="nil"/>
              <w:left w:val="nil"/>
              <w:bottom w:val="nil"/>
              <w:right w:val="nil"/>
            </w:tcBorders>
            <w:noWrap/>
            <w:hideMark/>
          </w:tcPr>
          <w:p w:rsidR="00BF1937" w:rsidRPr="000D2AB2" w:rsidRDefault="000D2AB2" w:rsidP="00110459">
            <w:pPr>
              <w:tabs>
                <w:tab w:val="left" w:pos="288"/>
                <w:tab w:val="left" w:pos="576"/>
                <w:tab w:val="left" w:pos="864"/>
                <w:tab w:val="left" w:pos="1152"/>
              </w:tabs>
              <w:suppressAutoHyphens/>
              <w:spacing w:before="40" w:after="40" w:line="200" w:lineRule="exact"/>
              <w:ind w:right="40"/>
              <w:rPr>
                <w:sz w:val="17"/>
                <w:lang w:val="fr-CH"/>
              </w:rPr>
            </w:pPr>
            <w:r>
              <w:rPr>
                <w:sz w:val="17"/>
                <w:lang w:val="fr-CH"/>
              </w:rPr>
              <w:t>2008-20</w:t>
            </w:r>
            <w:r w:rsidR="00BF1937" w:rsidRPr="000D2AB2">
              <w:rPr>
                <w:sz w:val="17"/>
                <w:lang w:val="fr-CH"/>
              </w:rPr>
              <w:t>09</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77,9</w:t>
            </w:r>
          </w:p>
        </w:tc>
        <w:tc>
          <w:tcPr>
            <w:tcW w:w="2268" w:type="dxa"/>
            <w:tcBorders>
              <w:top w:val="nil"/>
              <w:left w:val="nil"/>
              <w:bottom w:val="nil"/>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82,4</w:t>
            </w:r>
          </w:p>
        </w:tc>
      </w:tr>
      <w:tr w:rsidR="00BF1937" w:rsidRPr="00BF1937" w:rsidTr="00110459">
        <w:tc>
          <w:tcPr>
            <w:tcW w:w="2835" w:type="dxa"/>
            <w:tcBorders>
              <w:top w:val="nil"/>
              <w:left w:val="nil"/>
              <w:bottom w:val="single" w:sz="12" w:space="0" w:color="auto"/>
              <w:right w:val="nil"/>
            </w:tcBorders>
            <w:noWrap/>
            <w:hideMark/>
          </w:tcPr>
          <w:p w:rsidR="00BF1937" w:rsidRPr="000D2AB2" w:rsidRDefault="000D2AB2" w:rsidP="00110459">
            <w:pPr>
              <w:tabs>
                <w:tab w:val="left" w:pos="288"/>
                <w:tab w:val="left" w:pos="576"/>
                <w:tab w:val="left" w:pos="864"/>
                <w:tab w:val="left" w:pos="1152"/>
              </w:tabs>
              <w:suppressAutoHyphens/>
              <w:spacing w:before="40" w:after="40" w:line="200" w:lineRule="exact"/>
              <w:ind w:right="40"/>
              <w:rPr>
                <w:sz w:val="17"/>
                <w:lang w:val="fr-CH"/>
              </w:rPr>
            </w:pPr>
            <w:r>
              <w:rPr>
                <w:sz w:val="17"/>
                <w:lang w:val="fr-CH"/>
              </w:rPr>
              <w:t>2010-20</w:t>
            </w:r>
            <w:r w:rsidR="00BF1937" w:rsidRPr="000D2AB2">
              <w:rPr>
                <w:sz w:val="17"/>
                <w:lang w:val="fr-CH"/>
              </w:rPr>
              <w:t>11</w:t>
            </w:r>
          </w:p>
        </w:tc>
        <w:tc>
          <w:tcPr>
            <w:tcW w:w="2268" w:type="dxa"/>
            <w:tcBorders>
              <w:top w:val="nil"/>
              <w:left w:val="nil"/>
              <w:bottom w:val="single" w:sz="12" w:space="0" w:color="auto"/>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79,0</w:t>
            </w:r>
          </w:p>
        </w:tc>
        <w:tc>
          <w:tcPr>
            <w:tcW w:w="2268" w:type="dxa"/>
            <w:tcBorders>
              <w:top w:val="nil"/>
              <w:left w:val="nil"/>
              <w:bottom w:val="single" w:sz="12" w:space="0" w:color="auto"/>
              <w:right w:val="nil"/>
            </w:tcBorders>
            <w:noWrap/>
            <w:vAlign w:val="bottom"/>
            <w:hideMark/>
          </w:tcPr>
          <w:p w:rsidR="00BF1937" w:rsidRPr="000D2AB2" w:rsidRDefault="00BF1937" w:rsidP="00110459">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82,9</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Taux de fécondité total</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744"/>
      </w:tblGrid>
      <w:tr w:rsidR="00BF1937" w:rsidRPr="00BF1937" w:rsidTr="000D2AB2">
        <w:trPr>
          <w:tblHeader/>
        </w:trPr>
        <w:tc>
          <w:tcPr>
            <w:tcW w:w="3686" w:type="dxa"/>
            <w:tcBorders>
              <w:top w:val="single" w:sz="4" w:space="0" w:color="auto"/>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2008</w:t>
            </w:r>
          </w:p>
        </w:tc>
        <w:tc>
          <w:tcPr>
            <w:tcW w:w="3686" w:type="dxa"/>
            <w:tcBorders>
              <w:top w:val="single" w:sz="4" w:space="0" w:color="auto"/>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1,48</w:t>
            </w:r>
          </w:p>
        </w:tc>
      </w:tr>
      <w:tr w:rsidR="00BF1937" w:rsidRPr="00BF1937" w:rsidTr="000D2AB2">
        <w:tc>
          <w:tcPr>
            <w:tcW w:w="3686" w:type="dxa"/>
            <w:tcBorders>
              <w:top w:val="nil"/>
              <w:left w:val="nil"/>
              <w:bottom w:val="nil"/>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2009</w:t>
            </w:r>
          </w:p>
        </w:tc>
        <w:tc>
          <w:tcPr>
            <w:tcW w:w="3686"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1,48</w:t>
            </w:r>
          </w:p>
        </w:tc>
      </w:tr>
      <w:tr w:rsidR="00BF1937" w:rsidRPr="00BF1937" w:rsidTr="000D2AB2">
        <w:tc>
          <w:tcPr>
            <w:tcW w:w="3686" w:type="dxa"/>
            <w:tcBorders>
              <w:top w:val="nil"/>
              <w:left w:val="nil"/>
              <w:bottom w:val="nil"/>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2010</w:t>
            </w:r>
          </w:p>
        </w:tc>
        <w:tc>
          <w:tcPr>
            <w:tcW w:w="3686"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1,44</w:t>
            </w:r>
          </w:p>
        </w:tc>
      </w:tr>
      <w:tr w:rsidR="00BF1937" w:rsidRPr="00BF1937" w:rsidTr="000D2AB2">
        <w:tc>
          <w:tcPr>
            <w:tcW w:w="3686" w:type="dxa"/>
            <w:tcBorders>
              <w:top w:val="nil"/>
              <w:left w:val="nil"/>
              <w:bottom w:val="nil"/>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2011</w:t>
            </w:r>
          </w:p>
        </w:tc>
        <w:tc>
          <w:tcPr>
            <w:tcW w:w="3686"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1,35</w:t>
            </w:r>
          </w:p>
        </w:tc>
      </w:tr>
      <w:tr w:rsidR="00BF1937" w:rsidRPr="00BF1937" w:rsidTr="000D2AB2">
        <w:tc>
          <w:tcPr>
            <w:tcW w:w="3686" w:type="dxa"/>
            <w:tcBorders>
              <w:top w:val="nil"/>
              <w:left w:val="nil"/>
              <w:bottom w:val="single" w:sz="12" w:space="0" w:color="auto"/>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2012</w:t>
            </w:r>
          </w:p>
        </w:tc>
        <w:tc>
          <w:tcPr>
            <w:tcW w:w="3686" w:type="dxa"/>
            <w:tcBorders>
              <w:top w:val="nil"/>
              <w:left w:val="nil"/>
              <w:bottom w:val="single" w:sz="12" w:space="0" w:color="auto"/>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1,39</w:t>
            </w:r>
          </w:p>
        </w:tc>
      </w:tr>
    </w:tbl>
    <w:p w:rsidR="00BF1937" w:rsidRDefault="00BF1937" w:rsidP="00AD54C4">
      <w:pPr>
        <w:pStyle w:val="SingleTxt"/>
        <w:numPr>
          <w:ilvl w:val="0"/>
          <w:numId w:val="18"/>
        </w:numPr>
        <w:tabs>
          <w:tab w:val="clear" w:pos="475"/>
          <w:tab w:val="num" w:pos="1742"/>
        </w:tabs>
        <w:ind w:left="1267"/>
        <w:rPr>
          <w:lang w:val="fr-CH"/>
        </w:rPr>
      </w:pPr>
      <w:r w:rsidRPr="00BF1937">
        <w:rPr>
          <w:lang w:val="fr-CH"/>
        </w:rPr>
        <w:t>Proportion de ménages monoparentaux et de ménages dirigés par une femme</w:t>
      </w:r>
      <w:r w:rsidR="00246F34" w:rsidRPr="000D2AB2">
        <w:rPr>
          <w:lang w:val="fr-CH"/>
        </w:rPr>
        <w:t> </w:t>
      </w:r>
      <w:r w:rsidRPr="00BF1937">
        <w:rPr>
          <w:lang w:val="fr-CH"/>
        </w:rPr>
        <w:t>: 7 %.</w:t>
      </w:r>
    </w:p>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Pourcentage des dépenses de consommation (des ménages) consacré </w:t>
      </w:r>
      <w:r w:rsidR="00EA238B">
        <w:rPr>
          <w:lang w:val="fr-CH"/>
        </w:rPr>
        <w:br/>
      </w:r>
      <w:r w:rsidRPr="00BF1937">
        <w:rPr>
          <w:lang w:val="fr-CH"/>
        </w:rPr>
        <w:t>à l</w:t>
      </w:r>
      <w:r w:rsidR="008300FB">
        <w:rPr>
          <w:lang w:val="fr-CH"/>
        </w:rPr>
        <w:t>’</w:t>
      </w:r>
      <w:r w:rsidRPr="00BF1937">
        <w:rPr>
          <w:lang w:val="fr-CH"/>
        </w:rPr>
        <w:t>alimentation, au logement, à la santé et à l</w:t>
      </w:r>
      <w:r w:rsidR="008300FB">
        <w:rPr>
          <w:lang w:val="fr-CH"/>
        </w:rPr>
        <w:t>’</w:t>
      </w:r>
      <w:r w:rsidRPr="00BF1937">
        <w:rPr>
          <w:lang w:val="fr-CH"/>
        </w:rPr>
        <w:t>éducation (2009)</w:t>
      </w:r>
    </w:p>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37"/>
        <w:gridCol w:w="3751"/>
      </w:tblGrid>
      <w:tr w:rsidR="00BF1937" w:rsidRPr="00BF1937" w:rsidTr="000D2AB2">
        <w:trPr>
          <w:tblHeader/>
        </w:trPr>
        <w:tc>
          <w:tcPr>
            <w:tcW w:w="3737" w:type="dxa"/>
            <w:tcBorders>
              <w:top w:val="single" w:sz="4" w:space="0" w:color="auto"/>
              <w:left w:val="nil"/>
              <w:bottom w:val="nil"/>
              <w:right w:val="nil"/>
            </w:tcBorders>
            <w:vAlign w:val="bottom"/>
            <w:hideMark/>
          </w:tcPr>
          <w:p w:rsidR="00BF1937" w:rsidRPr="000D2AB2" w:rsidRDefault="00BF1937" w:rsidP="000D2AB2">
            <w:pPr>
              <w:tabs>
                <w:tab w:val="left" w:pos="288"/>
                <w:tab w:val="left" w:pos="576"/>
                <w:tab w:val="left" w:pos="864"/>
                <w:tab w:val="left" w:pos="1152"/>
              </w:tabs>
              <w:suppressAutoHyphens/>
              <w:spacing w:before="40" w:after="40" w:line="210" w:lineRule="exact"/>
              <w:ind w:right="40"/>
              <w:rPr>
                <w:sz w:val="17"/>
                <w:lang w:val="fr-CH"/>
              </w:rPr>
            </w:pPr>
            <w:r w:rsidRPr="000D2AB2">
              <w:rPr>
                <w:sz w:val="17"/>
                <w:lang w:val="fr-CH"/>
              </w:rPr>
              <w:t xml:space="preserve">Alimentation et boissons non alcoolisées </w:t>
            </w:r>
          </w:p>
        </w:tc>
        <w:tc>
          <w:tcPr>
            <w:tcW w:w="3751" w:type="dxa"/>
            <w:tcBorders>
              <w:top w:val="single" w:sz="4" w:space="0" w:color="auto"/>
              <w:left w:val="nil"/>
              <w:bottom w:val="nil"/>
              <w:right w:val="nil"/>
            </w:tcBorders>
            <w:vAlign w:val="bottom"/>
            <w:hideMark/>
          </w:tcPr>
          <w:p w:rsidR="00BF1937" w:rsidRPr="000D2AB2" w:rsidRDefault="00BF1937" w:rsidP="000D2AB2">
            <w:pPr>
              <w:tabs>
                <w:tab w:val="left" w:pos="288"/>
                <w:tab w:val="left" w:pos="576"/>
                <w:tab w:val="left" w:pos="864"/>
                <w:tab w:val="left" w:pos="1152"/>
              </w:tabs>
              <w:suppressAutoHyphens/>
              <w:spacing w:before="40" w:after="40" w:line="210" w:lineRule="exact"/>
              <w:ind w:right="43"/>
              <w:jc w:val="right"/>
              <w:rPr>
                <w:sz w:val="17"/>
                <w:lang w:val="fr-CH"/>
              </w:rPr>
            </w:pPr>
            <w:r w:rsidRPr="000D2AB2">
              <w:rPr>
                <w:sz w:val="17"/>
                <w:lang w:val="fr-CH"/>
              </w:rPr>
              <w:t>12,3 %</w:t>
            </w:r>
          </w:p>
        </w:tc>
      </w:tr>
      <w:tr w:rsidR="00BF1937" w:rsidRPr="00BF1937" w:rsidTr="000D2AB2">
        <w:tc>
          <w:tcPr>
            <w:tcW w:w="3737" w:type="dxa"/>
            <w:tcBorders>
              <w:top w:val="nil"/>
              <w:left w:val="nil"/>
              <w:bottom w:val="nil"/>
              <w:right w:val="nil"/>
            </w:tcBorders>
            <w:hideMark/>
          </w:tcPr>
          <w:p w:rsidR="00BF1937" w:rsidRPr="000D2AB2" w:rsidRDefault="00BF1937" w:rsidP="000D2AB2">
            <w:pPr>
              <w:tabs>
                <w:tab w:val="left" w:pos="288"/>
                <w:tab w:val="left" w:pos="576"/>
                <w:tab w:val="left" w:pos="864"/>
                <w:tab w:val="left" w:pos="1152"/>
              </w:tabs>
              <w:suppressAutoHyphens/>
              <w:spacing w:before="40" w:after="40" w:line="210" w:lineRule="exact"/>
              <w:ind w:right="40"/>
              <w:rPr>
                <w:sz w:val="17"/>
                <w:lang w:val="fr-CH"/>
              </w:rPr>
            </w:pPr>
            <w:r w:rsidRPr="000D2AB2">
              <w:rPr>
                <w:sz w:val="17"/>
                <w:lang w:val="fr-CH"/>
              </w:rPr>
              <w:t xml:space="preserve">Logement, électricité, eau et carburants </w:t>
            </w:r>
          </w:p>
        </w:tc>
        <w:tc>
          <w:tcPr>
            <w:tcW w:w="3751" w:type="dxa"/>
            <w:tcBorders>
              <w:top w:val="nil"/>
              <w:left w:val="nil"/>
              <w:bottom w:val="nil"/>
              <w:right w:val="nil"/>
            </w:tcBorders>
            <w:vAlign w:val="bottom"/>
            <w:hideMark/>
          </w:tcPr>
          <w:p w:rsidR="00BF1937" w:rsidRPr="000D2AB2" w:rsidRDefault="00BF1937" w:rsidP="000D2AB2">
            <w:pPr>
              <w:tabs>
                <w:tab w:val="left" w:pos="288"/>
                <w:tab w:val="left" w:pos="576"/>
                <w:tab w:val="left" w:pos="864"/>
                <w:tab w:val="left" w:pos="1152"/>
              </w:tabs>
              <w:suppressAutoHyphens/>
              <w:spacing w:before="40" w:after="40" w:line="210" w:lineRule="exact"/>
              <w:ind w:right="43"/>
              <w:jc w:val="right"/>
              <w:rPr>
                <w:sz w:val="17"/>
                <w:lang w:val="fr-CH"/>
              </w:rPr>
            </w:pPr>
            <w:r w:rsidRPr="000D2AB2">
              <w:rPr>
                <w:sz w:val="17"/>
                <w:lang w:val="fr-CH"/>
              </w:rPr>
              <w:t>26,6 %</w:t>
            </w:r>
          </w:p>
        </w:tc>
      </w:tr>
      <w:tr w:rsidR="00BF1937" w:rsidRPr="00BF1937" w:rsidTr="000D2AB2">
        <w:tc>
          <w:tcPr>
            <w:tcW w:w="3737" w:type="dxa"/>
            <w:tcBorders>
              <w:top w:val="nil"/>
              <w:left w:val="nil"/>
              <w:bottom w:val="nil"/>
              <w:right w:val="nil"/>
            </w:tcBorders>
            <w:hideMark/>
          </w:tcPr>
          <w:p w:rsidR="00BF1937" w:rsidRPr="000D2AB2" w:rsidRDefault="00BF1937" w:rsidP="000D2AB2">
            <w:pPr>
              <w:tabs>
                <w:tab w:val="left" w:pos="288"/>
                <w:tab w:val="left" w:pos="576"/>
                <w:tab w:val="left" w:pos="864"/>
                <w:tab w:val="left" w:pos="1152"/>
              </w:tabs>
              <w:suppressAutoHyphens/>
              <w:spacing w:before="40" w:after="40" w:line="210" w:lineRule="exact"/>
              <w:ind w:right="40"/>
              <w:rPr>
                <w:sz w:val="17"/>
                <w:lang w:val="fr-CH"/>
              </w:rPr>
            </w:pPr>
            <w:r w:rsidRPr="000D2AB2">
              <w:rPr>
                <w:sz w:val="17"/>
                <w:lang w:val="fr-CH"/>
              </w:rPr>
              <w:t>Santé</w:t>
            </w:r>
          </w:p>
        </w:tc>
        <w:tc>
          <w:tcPr>
            <w:tcW w:w="3751" w:type="dxa"/>
            <w:tcBorders>
              <w:top w:val="nil"/>
              <w:left w:val="nil"/>
              <w:bottom w:val="nil"/>
              <w:right w:val="nil"/>
            </w:tcBorders>
            <w:vAlign w:val="bottom"/>
            <w:hideMark/>
          </w:tcPr>
          <w:p w:rsidR="00BF1937" w:rsidRPr="000D2AB2" w:rsidRDefault="00BF1937" w:rsidP="000D2AB2">
            <w:pPr>
              <w:tabs>
                <w:tab w:val="left" w:pos="288"/>
                <w:tab w:val="left" w:pos="576"/>
                <w:tab w:val="left" w:pos="864"/>
                <w:tab w:val="left" w:pos="1152"/>
              </w:tabs>
              <w:suppressAutoHyphens/>
              <w:spacing w:before="40" w:after="40" w:line="210" w:lineRule="exact"/>
              <w:ind w:right="43"/>
              <w:jc w:val="right"/>
              <w:rPr>
                <w:sz w:val="17"/>
                <w:lang w:val="fr-CH"/>
              </w:rPr>
            </w:pPr>
            <w:r w:rsidRPr="000D2AB2">
              <w:rPr>
                <w:sz w:val="17"/>
                <w:lang w:val="fr-CH"/>
              </w:rPr>
              <w:t>5,4 %</w:t>
            </w:r>
          </w:p>
        </w:tc>
      </w:tr>
      <w:tr w:rsidR="00BF1937" w:rsidRPr="00BF1937" w:rsidTr="000D2AB2">
        <w:tc>
          <w:tcPr>
            <w:tcW w:w="3737" w:type="dxa"/>
            <w:tcBorders>
              <w:top w:val="nil"/>
              <w:left w:val="nil"/>
              <w:bottom w:val="single" w:sz="12" w:space="0" w:color="auto"/>
              <w:right w:val="nil"/>
            </w:tcBorders>
            <w:hideMark/>
          </w:tcPr>
          <w:p w:rsidR="00BF1937" w:rsidRPr="000D2AB2" w:rsidRDefault="00BF1937" w:rsidP="000D2AB2">
            <w:pPr>
              <w:tabs>
                <w:tab w:val="left" w:pos="288"/>
                <w:tab w:val="left" w:pos="576"/>
                <w:tab w:val="left" w:pos="864"/>
                <w:tab w:val="left" w:pos="1152"/>
              </w:tabs>
              <w:suppressAutoHyphens/>
              <w:spacing w:before="40" w:after="40" w:line="210" w:lineRule="exact"/>
              <w:ind w:right="40"/>
              <w:rPr>
                <w:sz w:val="17"/>
                <w:lang w:val="fr-CH"/>
              </w:rPr>
            </w:pPr>
            <w:r w:rsidRPr="000D2AB2">
              <w:rPr>
                <w:sz w:val="17"/>
                <w:lang w:val="fr-CH"/>
              </w:rPr>
              <w:t>Éducation</w:t>
            </w:r>
          </w:p>
        </w:tc>
        <w:tc>
          <w:tcPr>
            <w:tcW w:w="3751" w:type="dxa"/>
            <w:tcBorders>
              <w:top w:val="nil"/>
              <w:left w:val="nil"/>
              <w:bottom w:val="single" w:sz="12" w:space="0" w:color="auto"/>
              <w:right w:val="nil"/>
            </w:tcBorders>
            <w:vAlign w:val="bottom"/>
            <w:hideMark/>
          </w:tcPr>
          <w:p w:rsidR="00BF1937" w:rsidRPr="000D2AB2" w:rsidRDefault="00BF1937" w:rsidP="000D2AB2">
            <w:pPr>
              <w:tabs>
                <w:tab w:val="left" w:pos="288"/>
                <w:tab w:val="left" w:pos="576"/>
                <w:tab w:val="left" w:pos="864"/>
                <w:tab w:val="left" w:pos="1152"/>
              </w:tabs>
              <w:suppressAutoHyphens/>
              <w:spacing w:before="40" w:after="40" w:line="210" w:lineRule="exact"/>
              <w:ind w:right="43"/>
              <w:jc w:val="right"/>
              <w:rPr>
                <w:sz w:val="17"/>
                <w:lang w:val="fr-CH"/>
              </w:rPr>
            </w:pPr>
            <w:r w:rsidRPr="000D2AB2">
              <w:rPr>
                <w:sz w:val="17"/>
                <w:lang w:val="fr-CH"/>
              </w:rPr>
              <w:t>3,4 %</w:t>
            </w:r>
          </w:p>
        </w:tc>
      </w:tr>
    </w:tbl>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Pourcentage de la population vivant en dessous du seuil national de pauvreté (2012)</w:t>
      </w:r>
      <w:r w:rsidR="00434F82">
        <w:rPr>
          <w:lang w:val="fr-CH"/>
        </w:rPr>
        <w:t> </w:t>
      </w:r>
      <w:r w:rsidRPr="00BF1937">
        <w:rPr>
          <w:lang w:val="fr-CH"/>
        </w:rPr>
        <w:t xml:space="preserve">: 14,7 %, soit 126 716 personnes. </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Pourcentage de la population vivant en dessous du seuil de pauvreté, par âge </w:t>
      </w:r>
      <w:r w:rsidR="00EA238B">
        <w:rPr>
          <w:lang w:val="fr-CH"/>
        </w:rPr>
        <w:br/>
      </w:r>
      <w:r w:rsidRPr="00BF1937">
        <w:rPr>
          <w:lang w:val="fr-CH"/>
        </w:rPr>
        <w:t>et par sexe (2012)</w:t>
      </w:r>
    </w:p>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04"/>
        <w:gridCol w:w="1728"/>
        <w:gridCol w:w="1728"/>
        <w:gridCol w:w="1728"/>
      </w:tblGrid>
      <w:tr w:rsidR="00BF1937" w:rsidRPr="00BF1937" w:rsidTr="00E41A3F">
        <w:trPr>
          <w:tblHeader/>
        </w:trPr>
        <w:tc>
          <w:tcPr>
            <w:tcW w:w="2268" w:type="dxa"/>
            <w:tcBorders>
              <w:top w:val="single" w:sz="4" w:space="0" w:color="auto"/>
              <w:left w:val="nil"/>
              <w:bottom w:val="single" w:sz="12" w:space="0" w:color="auto"/>
              <w:right w:val="nil"/>
            </w:tcBorders>
            <w:vAlign w:val="bottom"/>
            <w:hideMark/>
          </w:tcPr>
          <w:p w:rsidR="00BF1937" w:rsidRPr="00BF1937" w:rsidRDefault="00BF1937" w:rsidP="000D2AB2">
            <w:pPr>
              <w:tabs>
                <w:tab w:val="left" w:pos="288"/>
                <w:tab w:val="left" w:pos="576"/>
                <w:tab w:val="left" w:pos="864"/>
                <w:tab w:val="left" w:pos="1152"/>
              </w:tabs>
              <w:suppressAutoHyphens/>
              <w:spacing w:before="80" w:after="80" w:line="160" w:lineRule="exact"/>
              <w:ind w:right="40"/>
              <w:rPr>
                <w:lang w:val="fr-CH"/>
              </w:rPr>
            </w:pPr>
            <w:r w:rsidRPr="000D2AB2">
              <w:rPr>
                <w:i/>
                <w:sz w:val="14"/>
                <w:lang w:val="fr-CH"/>
              </w:rPr>
              <w:t>Âge</w:t>
            </w:r>
          </w:p>
        </w:tc>
        <w:tc>
          <w:tcPr>
            <w:tcW w:w="1701" w:type="dxa"/>
            <w:tcBorders>
              <w:top w:val="single" w:sz="4" w:space="0" w:color="auto"/>
              <w:left w:val="nil"/>
              <w:bottom w:val="single" w:sz="12" w:space="0" w:color="auto"/>
              <w:right w:val="nil"/>
            </w:tcBorders>
            <w:vAlign w:val="bottom"/>
            <w:hideMark/>
          </w:tcPr>
          <w:p w:rsidR="00BF1937" w:rsidRPr="00AB37C5" w:rsidRDefault="00BF1937" w:rsidP="000D2AB2">
            <w:pPr>
              <w:tabs>
                <w:tab w:val="left" w:pos="288"/>
                <w:tab w:val="left" w:pos="576"/>
                <w:tab w:val="left" w:pos="864"/>
                <w:tab w:val="left" w:pos="1152"/>
              </w:tabs>
              <w:suppressAutoHyphens/>
              <w:spacing w:before="80" w:after="80" w:line="160" w:lineRule="exact"/>
              <w:ind w:right="43"/>
              <w:jc w:val="right"/>
              <w:rPr>
                <w:b/>
                <w:i/>
                <w:sz w:val="14"/>
                <w:lang w:val="fr-CH"/>
              </w:rPr>
            </w:pPr>
            <w:r w:rsidRPr="00AB37C5">
              <w:rPr>
                <w:b/>
                <w:i/>
                <w:sz w:val="14"/>
                <w:lang w:val="fr-CH"/>
              </w:rPr>
              <w:t>Total</w:t>
            </w:r>
          </w:p>
        </w:tc>
        <w:tc>
          <w:tcPr>
            <w:tcW w:w="1701" w:type="dxa"/>
            <w:tcBorders>
              <w:top w:val="single" w:sz="4" w:space="0" w:color="auto"/>
              <w:left w:val="nil"/>
              <w:bottom w:val="single" w:sz="12" w:space="0" w:color="auto"/>
              <w:right w:val="nil"/>
            </w:tcBorders>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Hommes</w:t>
            </w:r>
          </w:p>
        </w:tc>
        <w:tc>
          <w:tcPr>
            <w:tcW w:w="1701" w:type="dxa"/>
            <w:tcBorders>
              <w:top w:val="single" w:sz="4" w:space="0" w:color="auto"/>
              <w:left w:val="nil"/>
              <w:bottom w:val="single" w:sz="12" w:space="0" w:color="auto"/>
              <w:right w:val="nil"/>
            </w:tcBorders>
            <w:vAlign w:val="bottom"/>
            <w:hideMark/>
          </w:tcPr>
          <w:p w:rsidR="00BF1937" w:rsidRPr="000D2AB2" w:rsidRDefault="00BF1937" w:rsidP="000D2AB2">
            <w:pPr>
              <w:tabs>
                <w:tab w:val="left" w:pos="288"/>
                <w:tab w:val="left" w:pos="576"/>
                <w:tab w:val="left" w:pos="864"/>
                <w:tab w:val="left" w:pos="1152"/>
              </w:tabs>
              <w:suppressAutoHyphens/>
              <w:spacing w:before="80" w:after="80" w:line="160" w:lineRule="exact"/>
              <w:ind w:right="43"/>
              <w:jc w:val="right"/>
              <w:rPr>
                <w:i/>
                <w:sz w:val="14"/>
                <w:lang w:val="fr-CH"/>
              </w:rPr>
            </w:pPr>
            <w:r w:rsidRPr="000D2AB2">
              <w:rPr>
                <w:i/>
                <w:sz w:val="14"/>
                <w:lang w:val="fr-CH"/>
              </w:rPr>
              <w:t>Femmes</w:t>
            </w:r>
          </w:p>
        </w:tc>
      </w:tr>
      <w:tr w:rsidR="00E41A3F" w:rsidRPr="00BF1937" w:rsidTr="00E41A3F">
        <w:trPr>
          <w:trHeight w:hRule="exact" w:val="115"/>
          <w:tblHeader/>
        </w:trPr>
        <w:tc>
          <w:tcPr>
            <w:tcW w:w="2268" w:type="dxa"/>
            <w:tcBorders>
              <w:top w:val="single" w:sz="12" w:space="0" w:color="auto"/>
              <w:left w:val="nil"/>
              <w:bottom w:val="nil"/>
              <w:right w:val="nil"/>
            </w:tcBorders>
            <w:vAlign w:val="bottom"/>
          </w:tcPr>
          <w:p w:rsidR="00E41A3F" w:rsidRPr="000D2AB2" w:rsidRDefault="00E41A3F" w:rsidP="000D2AB2">
            <w:pPr>
              <w:tabs>
                <w:tab w:val="left" w:pos="288"/>
                <w:tab w:val="left" w:pos="576"/>
                <w:tab w:val="left" w:pos="864"/>
                <w:tab w:val="left" w:pos="1152"/>
              </w:tabs>
              <w:suppressAutoHyphens/>
              <w:spacing w:before="80" w:after="80" w:line="160" w:lineRule="exact"/>
              <w:ind w:right="40"/>
              <w:rPr>
                <w:i/>
                <w:sz w:val="14"/>
                <w:lang w:val="fr-CH"/>
              </w:rPr>
            </w:pPr>
          </w:p>
        </w:tc>
        <w:tc>
          <w:tcPr>
            <w:tcW w:w="1701" w:type="dxa"/>
            <w:tcBorders>
              <w:top w:val="single" w:sz="12" w:space="0" w:color="auto"/>
              <w:left w:val="nil"/>
              <w:bottom w:val="nil"/>
              <w:right w:val="nil"/>
            </w:tcBorders>
            <w:vAlign w:val="bottom"/>
          </w:tcPr>
          <w:p w:rsidR="00E41A3F" w:rsidRPr="00AB37C5" w:rsidRDefault="00E41A3F" w:rsidP="000D2AB2">
            <w:pPr>
              <w:tabs>
                <w:tab w:val="left" w:pos="288"/>
                <w:tab w:val="left" w:pos="576"/>
                <w:tab w:val="left" w:pos="864"/>
                <w:tab w:val="left" w:pos="1152"/>
              </w:tabs>
              <w:suppressAutoHyphens/>
              <w:spacing w:before="80" w:after="80" w:line="160" w:lineRule="exact"/>
              <w:ind w:right="43"/>
              <w:jc w:val="right"/>
              <w:rPr>
                <w:b/>
                <w:i/>
                <w:sz w:val="14"/>
                <w:lang w:val="fr-CH"/>
              </w:rPr>
            </w:pPr>
          </w:p>
        </w:tc>
        <w:tc>
          <w:tcPr>
            <w:tcW w:w="1701" w:type="dxa"/>
            <w:tcBorders>
              <w:top w:val="single" w:sz="12" w:space="0" w:color="auto"/>
              <w:left w:val="nil"/>
              <w:bottom w:val="nil"/>
              <w:right w:val="nil"/>
            </w:tcBorders>
            <w:vAlign w:val="bottom"/>
          </w:tcPr>
          <w:p w:rsidR="00E41A3F" w:rsidRPr="000D2AB2" w:rsidRDefault="00E41A3F" w:rsidP="000D2AB2">
            <w:pPr>
              <w:tabs>
                <w:tab w:val="left" w:pos="288"/>
                <w:tab w:val="left" w:pos="576"/>
                <w:tab w:val="left" w:pos="864"/>
                <w:tab w:val="left" w:pos="1152"/>
              </w:tabs>
              <w:suppressAutoHyphens/>
              <w:spacing w:before="80" w:after="80" w:line="160" w:lineRule="exact"/>
              <w:ind w:right="43"/>
              <w:jc w:val="right"/>
              <w:rPr>
                <w:i/>
                <w:sz w:val="14"/>
                <w:lang w:val="fr-CH"/>
              </w:rPr>
            </w:pPr>
          </w:p>
        </w:tc>
        <w:tc>
          <w:tcPr>
            <w:tcW w:w="1701" w:type="dxa"/>
            <w:tcBorders>
              <w:top w:val="single" w:sz="12" w:space="0" w:color="auto"/>
              <w:left w:val="nil"/>
              <w:bottom w:val="nil"/>
              <w:right w:val="nil"/>
            </w:tcBorders>
            <w:vAlign w:val="bottom"/>
          </w:tcPr>
          <w:p w:rsidR="00E41A3F" w:rsidRPr="000D2AB2" w:rsidRDefault="00E41A3F" w:rsidP="000D2AB2">
            <w:pPr>
              <w:tabs>
                <w:tab w:val="left" w:pos="288"/>
                <w:tab w:val="left" w:pos="576"/>
                <w:tab w:val="left" w:pos="864"/>
                <w:tab w:val="left" w:pos="1152"/>
              </w:tabs>
              <w:suppressAutoHyphens/>
              <w:spacing w:before="80" w:after="80" w:line="160" w:lineRule="exact"/>
              <w:ind w:right="43"/>
              <w:jc w:val="right"/>
              <w:rPr>
                <w:i/>
                <w:sz w:val="14"/>
                <w:lang w:val="fr-CH"/>
              </w:rPr>
            </w:pPr>
          </w:p>
        </w:tc>
      </w:tr>
      <w:tr w:rsidR="00BF1937" w:rsidRPr="00BF1937" w:rsidTr="00E41A3F">
        <w:tc>
          <w:tcPr>
            <w:tcW w:w="2268" w:type="dxa"/>
            <w:tcBorders>
              <w:top w:val="nil"/>
              <w:left w:val="nil"/>
              <w:bottom w:val="nil"/>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0-</w:t>
            </w:r>
            <w:r w:rsidRPr="00E41A3F">
              <w:rPr>
                <w:sz w:val="17"/>
                <w:lang w:val="fr-CH"/>
              </w:rPr>
              <w:t>17</w:t>
            </w:r>
          </w:p>
        </w:tc>
        <w:tc>
          <w:tcPr>
            <w:tcW w:w="1701" w:type="dxa"/>
            <w:tcBorders>
              <w:top w:val="nil"/>
              <w:left w:val="nil"/>
              <w:bottom w:val="nil"/>
              <w:right w:val="nil"/>
            </w:tcBorders>
            <w:vAlign w:val="bottom"/>
            <w:hideMark/>
          </w:tcPr>
          <w:p w:rsidR="00BF1937" w:rsidRPr="00AB37C5" w:rsidRDefault="00BF1937" w:rsidP="00434F82">
            <w:pPr>
              <w:tabs>
                <w:tab w:val="left" w:pos="288"/>
                <w:tab w:val="left" w:pos="576"/>
                <w:tab w:val="left" w:pos="864"/>
                <w:tab w:val="left" w:pos="1152"/>
              </w:tabs>
              <w:suppressAutoHyphens/>
              <w:spacing w:before="40" w:after="40" w:line="200" w:lineRule="exact"/>
              <w:ind w:right="43"/>
              <w:jc w:val="right"/>
              <w:rPr>
                <w:b/>
                <w:sz w:val="17"/>
                <w:lang w:val="fr-CH"/>
              </w:rPr>
            </w:pPr>
            <w:r w:rsidRPr="00AB37C5">
              <w:rPr>
                <w:b/>
                <w:sz w:val="17"/>
                <w:lang w:val="fr-CH"/>
              </w:rPr>
              <w:t>13,9</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14,4</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13,2</w:t>
            </w:r>
          </w:p>
        </w:tc>
      </w:tr>
      <w:tr w:rsidR="00BF1937" w:rsidRPr="00BF1937" w:rsidTr="00E41A3F">
        <w:tc>
          <w:tcPr>
            <w:tcW w:w="2268" w:type="dxa"/>
            <w:tcBorders>
              <w:top w:val="nil"/>
              <w:left w:val="nil"/>
              <w:bottom w:val="nil"/>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18-24</w:t>
            </w:r>
          </w:p>
        </w:tc>
        <w:tc>
          <w:tcPr>
            <w:tcW w:w="1701" w:type="dxa"/>
            <w:tcBorders>
              <w:top w:val="nil"/>
              <w:left w:val="nil"/>
              <w:bottom w:val="nil"/>
              <w:right w:val="nil"/>
            </w:tcBorders>
            <w:vAlign w:val="bottom"/>
            <w:hideMark/>
          </w:tcPr>
          <w:p w:rsidR="00BF1937" w:rsidRPr="00AB37C5" w:rsidRDefault="00BF1937" w:rsidP="00434F82">
            <w:pPr>
              <w:tabs>
                <w:tab w:val="left" w:pos="288"/>
                <w:tab w:val="left" w:pos="576"/>
                <w:tab w:val="left" w:pos="864"/>
                <w:tab w:val="left" w:pos="1152"/>
              </w:tabs>
              <w:suppressAutoHyphens/>
              <w:spacing w:before="40" w:after="40" w:line="200" w:lineRule="exact"/>
              <w:ind w:right="43"/>
              <w:jc w:val="right"/>
              <w:rPr>
                <w:b/>
                <w:sz w:val="17"/>
                <w:lang w:val="fr-CH"/>
              </w:rPr>
            </w:pPr>
            <w:r w:rsidRPr="00AB37C5">
              <w:rPr>
                <w:b/>
                <w:sz w:val="17"/>
                <w:lang w:val="fr-CH"/>
              </w:rPr>
              <w:t>11,2</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9,8</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12,7</w:t>
            </w:r>
          </w:p>
        </w:tc>
      </w:tr>
      <w:tr w:rsidR="00BF1937" w:rsidRPr="00BF1937" w:rsidTr="00E41A3F">
        <w:tc>
          <w:tcPr>
            <w:tcW w:w="2268" w:type="dxa"/>
            <w:tcBorders>
              <w:top w:val="nil"/>
              <w:left w:val="nil"/>
              <w:bottom w:val="nil"/>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25-49</w:t>
            </w:r>
          </w:p>
        </w:tc>
        <w:tc>
          <w:tcPr>
            <w:tcW w:w="1701" w:type="dxa"/>
            <w:tcBorders>
              <w:top w:val="nil"/>
              <w:left w:val="nil"/>
              <w:bottom w:val="nil"/>
              <w:right w:val="nil"/>
            </w:tcBorders>
            <w:vAlign w:val="bottom"/>
            <w:hideMark/>
          </w:tcPr>
          <w:p w:rsidR="00BF1937" w:rsidRPr="00AB37C5" w:rsidRDefault="00BF1937" w:rsidP="00434F82">
            <w:pPr>
              <w:tabs>
                <w:tab w:val="left" w:pos="288"/>
                <w:tab w:val="left" w:pos="576"/>
                <w:tab w:val="left" w:pos="864"/>
                <w:tab w:val="left" w:pos="1152"/>
              </w:tabs>
              <w:suppressAutoHyphens/>
              <w:spacing w:before="40" w:after="40" w:line="200" w:lineRule="exact"/>
              <w:ind w:right="43"/>
              <w:jc w:val="right"/>
              <w:rPr>
                <w:b/>
                <w:sz w:val="17"/>
                <w:lang w:val="fr-CH"/>
              </w:rPr>
            </w:pPr>
            <w:r w:rsidRPr="00AB37C5">
              <w:rPr>
                <w:b/>
                <w:sz w:val="17"/>
                <w:lang w:val="fr-CH"/>
              </w:rPr>
              <w:t>12,6</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11,1</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13,9</w:t>
            </w:r>
          </w:p>
        </w:tc>
      </w:tr>
      <w:tr w:rsidR="00BF1937" w:rsidRPr="00BF1937" w:rsidTr="00E41A3F">
        <w:tc>
          <w:tcPr>
            <w:tcW w:w="2268" w:type="dxa"/>
            <w:tcBorders>
              <w:top w:val="nil"/>
              <w:left w:val="nil"/>
              <w:bottom w:val="nil"/>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50-64</w:t>
            </w:r>
          </w:p>
        </w:tc>
        <w:tc>
          <w:tcPr>
            <w:tcW w:w="1701" w:type="dxa"/>
            <w:tcBorders>
              <w:top w:val="nil"/>
              <w:left w:val="nil"/>
              <w:bottom w:val="nil"/>
              <w:right w:val="nil"/>
            </w:tcBorders>
            <w:vAlign w:val="bottom"/>
            <w:hideMark/>
          </w:tcPr>
          <w:p w:rsidR="00BF1937" w:rsidRPr="00AB37C5" w:rsidRDefault="00BF1937" w:rsidP="00434F82">
            <w:pPr>
              <w:tabs>
                <w:tab w:val="left" w:pos="288"/>
                <w:tab w:val="left" w:pos="576"/>
                <w:tab w:val="left" w:pos="864"/>
                <w:tab w:val="left" w:pos="1152"/>
              </w:tabs>
              <w:suppressAutoHyphens/>
              <w:spacing w:before="40" w:after="40" w:line="200" w:lineRule="exact"/>
              <w:ind w:right="43"/>
              <w:jc w:val="right"/>
              <w:rPr>
                <w:b/>
                <w:sz w:val="17"/>
                <w:lang w:val="fr-CH"/>
              </w:rPr>
            </w:pPr>
            <w:r w:rsidRPr="00AB37C5">
              <w:rPr>
                <w:b/>
                <w:sz w:val="17"/>
                <w:lang w:val="fr-CH"/>
              </w:rPr>
              <w:t>11,9</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9,1</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14,6</w:t>
            </w:r>
          </w:p>
        </w:tc>
      </w:tr>
      <w:tr w:rsidR="00BF1937" w:rsidRPr="00BF1937" w:rsidTr="00E41A3F">
        <w:tc>
          <w:tcPr>
            <w:tcW w:w="2268" w:type="dxa"/>
            <w:tcBorders>
              <w:top w:val="nil"/>
              <w:left w:val="nil"/>
              <w:bottom w:val="nil"/>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65 et plus</w:t>
            </w:r>
          </w:p>
        </w:tc>
        <w:tc>
          <w:tcPr>
            <w:tcW w:w="1701" w:type="dxa"/>
            <w:tcBorders>
              <w:top w:val="nil"/>
              <w:left w:val="nil"/>
              <w:bottom w:val="nil"/>
              <w:right w:val="nil"/>
            </w:tcBorders>
            <w:vAlign w:val="bottom"/>
            <w:hideMark/>
          </w:tcPr>
          <w:p w:rsidR="00BF1937" w:rsidRPr="00AB37C5" w:rsidRDefault="00BF1937" w:rsidP="00434F82">
            <w:pPr>
              <w:tabs>
                <w:tab w:val="left" w:pos="288"/>
                <w:tab w:val="left" w:pos="576"/>
                <w:tab w:val="left" w:pos="864"/>
                <w:tab w:val="left" w:pos="1152"/>
              </w:tabs>
              <w:suppressAutoHyphens/>
              <w:spacing w:before="40" w:after="40" w:line="200" w:lineRule="exact"/>
              <w:ind w:right="43"/>
              <w:jc w:val="right"/>
              <w:rPr>
                <w:b/>
                <w:sz w:val="17"/>
                <w:lang w:val="fr-CH"/>
              </w:rPr>
            </w:pPr>
            <w:r w:rsidRPr="00AB37C5">
              <w:rPr>
                <w:b/>
                <w:sz w:val="17"/>
                <w:lang w:val="fr-CH"/>
              </w:rPr>
              <w:t>29,3</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24,2</w:t>
            </w:r>
          </w:p>
        </w:tc>
        <w:tc>
          <w:tcPr>
            <w:tcW w:w="1701" w:type="dxa"/>
            <w:tcBorders>
              <w:top w:val="nil"/>
              <w:left w:val="nil"/>
              <w:bottom w:val="nil"/>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33,6</w:t>
            </w:r>
          </w:p>
        </w:tc>
      </w:tr>
      <w:tr w:rsidR="00BF1937" w:rsidRPr="00BF1937" w:rsidTr="00E41A3F">
        <w:tc>
          <w:tcPr>
            <w:tcW w:w="2268" w:type="dxa"/>
            <w:tcBorders>
              <w:top w:val="nil"/>
              <w:left w:val="nil"/>
              <w:bottom w:val="single" w:sz="12" w:space="0" w:color="auto"/>
              <w:right w:val="nil"/>
            </w:tcBorders>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0D2AB2">
              <w:rPr>
                <w:sz w:val="17"/>
                <w:lang w:val="fr-CH"/>
              </w:rPr>
              <w:t>18-64</w:t>
            </w:r>
          </w:p>
        </w:tc>
        <w:tc>
          <w:tcPr>
            <w:tcW w:w="1701" w:type="dxa"/>
            <w:tcBorders>
              <w:top w:val="nil"/>
              <w:left w:val="nil"/>
              <w:bottom w:val="single" w:sz="12" w:space="0" w:color="auto"/>
              <w:right w:val="nil"/>
            </w:tcBorders>
            <w:vAlign w:val="bottom"/>
            <w:hideMark/>
          </w:tcPr>
          <w:p w:rsidR="00BF1937" w:rsidRPr="00AB37C5" w:rsidRDefault="00BF1937" w:rsidP="00434F82">
            <w:pPr>
              <w:tabs>
                <w:tab w:val="left" w:pos="288"/>
                <w:tab w:val="left" w:pos="576"/>
                <w:tab w:val="left" w:pos="864"/>
                <w:tab w:val="left" w:pos="1152"/>
              </w:tabs>
              <w:suppressAutoHyphens/>
              <w:spacing w:before="40" w:after="40" w:line="200" w:lineRule="exact"/>
              <w:ind w:right="43"/>
              <w:jc w:val="right"/>
              <w:rPr>
                <w:b/>
                <w:sz w:val="17"/>
                <w:lang w:val="fr-CH"/>
              </w:rPr>
            </w:pPr>
            <w:r w:rsidRPr="00AB37C5">
              <w:rPr>
                <w:b/>
                <w:sz w:val="17"/>
                <w:lang w:val="fr-CH"/>
              </w:rPr>
              <w:t>12,2</w:t>
            </w:r>
          </w:p>
        </w:tc>
        <w:tc>
          <w:tcPr>
            <w:tcW w:w="1701" w:type="dxa"/>
            <w:tcBorders>
              <w:top w:val="nil"/>
              <w:left w:val="nil"/>
              <w:bottom w:val="single" w:sz="12" w:space="0" w:color="auto"/>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10,3</w:t>
            </w:r>
          </w:p>
        </w:tc>
        <w:tc>
          <w:tcPr>
            <w:tcW w:w="1701" w:type="dxa"/>
            <w:tcBorders>
              <w:top w:val="nil"/>
              <w:left w:val="nil"/>
              <w:bottom w:val="single" w:sz="12" w:space="0" w:color="auto"/>
              <w:right w:val="nil"/>
            </w:tcBorders>
            <w:vAlign w:val="bottom"/>
            <w:hideMark/>
          </w:tcPr>
          <w:p w:rsidR="00BF1937" w:rsidRPr="000D2AB2"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0D2AB2">
              <w:rPr>
                <w:sz w:val="17"/>
                <w:lang w:val="fr-CH"/>
              </w:rPr>
              <w:t>13,9</w:t>
            </w:r>
          </w:p>
        </w:tc>
      </w:tr>
    </w:tbl>
    <w:p w:rsidR="00EA238B" w:rsidRPr="00EA238B" w:rsidRDefault="00EA238B" w:rsidP="00EA238B">
      <w:pPr>
        <w:pStyle w:val="SingleTxt"/>
        <w:spacing w:after="0" w:line="120" w:lineRule="exact"/>
        <w:rPr>
          <w:bCs/>
          <w:sz w:val="10"/>
          <w:lang w:val="fr-CH"/>
        </w:rPr>
      </w:pPr>
    </w:p>
    <w:p w:rsidR="00EA238B" w:rsidRPr="00EA238B" w:rsidRDefault="00EA238B" w:rsidP="00EA238B">
      <w:pPr>
        <w:pStyle w:val="SingleTxt"/>
        <w:spacing w:after="0" w:line="120" w:lineRule="exact"/>
        <w:rPr>
          <w:bCs/>
          <w:sz w:val="10"/>
          <w:lang w:val="fr-CH"/>
        </w:rPr>
      </w:pPr>
    </w:p>
    <w:p w:rsidR="00BF1937" w:rsidRPr="00BF1937" w:rsidRDefault="00BF1937" w:rsidP="00AD54C4">
      <w:pPr>
        <w:pStyle w:val="SingleTxt"/>
        <w:numPr>
          <w:ilvl w:val="0"/>
          <w:numId w:val="18"/>
        </w:numPr>
        <w:tabs>
          <w:tab w:val="clear" w:pos="475"/>
          <w:tab w:val="num" w:pos="1742"/>
        </w:tabs>
        <w:ind w:left="1267"/>
        <w:rPr>
          <w:bCs/>
          <w:lang w:val="fr-CH"/>
        </w:rPr>
      </w:pPr>
      <w:r w:rsidRPr="00BF1937">
        <w:rPr>
          <w:lang w:val="fr-CH"/>
        </w:rPr>
        <w:t>Coefficient de Gini (pour la répartition du revenu et des dépenses de consommation) (2012)</w:t>
      </w:r>
      <w:r w:rsidR="00434F82">
        <w:rPr>
          <w:lang w:val="fr-CH"/>
        </w:rPr>
        <w:t> </w:t>
      </w:r>
      <w:r w:rsidRPr="00BF1937">
        <w:rPr>
          <w:lang w:val="fr-CH"/>
        </w:rPr>
        <w:t>: 31 %</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Taux brut de scolarisation dans le primaire et le secondaire (2011)</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3745"/>
        <w:gridCol w:w="3743"/>
      </w:tblGrid>
      <w:tr w:rsidR="00BF1937" w:rsidRPr="00BF1937" w:rsidTr="00E41A3F">
        <w:tc>
          <w:tcPr>
            <w:tcW w:w="3683" w:type="dxa"/>
            <w:tcBorders>
              <w:top w:val="single" w:sz="4" w:space="0" w:color="auto"/>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Enseignement primaire</w:t>
            </w:r>
          </w:p>
        </w:tc>
        <w:tc>
          <w:tcPr>
            <w:tcW w:w="3682" w:type="dxa"/>
            <w:tcBorders>
              <w:top w:val="single" w:sz="4" w:space="0" w:color="auto"/>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100 %</w:t>
            </w:r>
          </w:p>
        </w:tc>
      </w:tr>
      <w:tr w:rsidR="00BF1937" w:rsidRPr="00BF1937" w:rsidTr="00E41A3F">
        <w:tc>
          <w:tcPr>
            <w:tcW w:w="3683" w:type="dxa"/>
            <w:tcBorders>
              <w:left w:val="nil"/>
              <w:bottom w:val="single" w:sz="12" w:space="0" w:color="auto"/>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Enseignement secondaire</w:t>
            </w:r>
          </w:p>
        </w:tc>
        <w:tc>
          <w:tcPr>
            <w:tcW w:w="3682" w:type="dxa"/>
            <w:tcBorders>
              <w:left w:val="nil"/>
              <w:bottom w:val="single" w:sz="12" w:space="0" w:color="auto"/>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97 %</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Taux de fréquentation et d</w:t>
      </w:r>
      <w:r w:rsidR="008300FB">
        <w:rPr>
          <w:lang w:val="fr-CH"/>
        </w:rPr>
        <w:t>’</w:t>
      </w:r>
      <w:r w:rsidRPr="00BF1937">
        <w:rPr>
          <w:lang w:val="fr-CH"/>
        </w:rPr>
        <w:t xml:space="preserve">abandon scolaires dans le primaire et le secondaire </w:t>
      </w:r>
      <w:r w:rsidR="00E41A3F">
        <w:rPr>
          <w:lang w:val="fr-CH"/>
        </w:rPr>
        <w:br/>
      </w:r>
      <w:r w:rsidR="00EA238B">
        <w:rPr>
          <w:lang w:val="fr-CH"/>
        </w:rPr>
        <w:t>–</w:t>
      </w:r>
      <w:r w:rsidRPr="00BF1937">
        <w:rPr>
          <w:lang w:val="fr-CH"/>
        </w:rPr>
        <w:t xml:space="preserve"> Jeunes ayant quitté prématurément le système éducatif (2013)</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3745"/>
        <w:gridCol w:w="3743"/>
      </w:tblGrid>
      <w:tr w:rsidR="00BF1937" w:rsidRPr="00BF1937" w:rsidTr="00E41A3F">
        <w:tc>
          <w:tcPr>
            <w:tcW w:w="3683" w:type="dxa"/>
            <w:tcBorders>
              <w:top w:val="single" w:sz="4" w:space="0" w:color="auto"/>
              <w:left w:val="nil"/>
              <w:bottom w:val="single" w:sz="4" w:space="0" w:color="auto"/>
              <w:right w:val="nil"/>
            </w:tcBorders>
            <w:vAlign w:val="bottom"/>
            <w:hideMark/>
          </w:tcPr>
          <w:p w:rsidR="00BF1937" w:rsidRPr="00E41A3F" w:rsidRDefault="00E41A3F" w:rsidP="00E41A3F">
            <w:pPr>
              <w:tabs>
                <w:tab w:val="left" w:pos="288"/>
                <w:tab w:val="left" w:pos="576"/>
                <w:tab w:val="left" w:pos="864"/>
                <w:tab w:val="left" w:pos="1152"/>
              </w:tabs>
              <w:suppressAutoHyphens/>
              <w:spacing w:before="81" w:after="81" w:line="210" w:lineRule="exact"/>
              <w:ind w:right="40"/>
              <w:rPr>
                <w:sz w:val="17"/>
                <w:lang w:val="fr-CH"/>
              </w:rPr>
            </w:pPr>
            <w:r>
              <w:rPr>
                <w:b/>
                <w:sz w:val="17"/>
                <w:lang w:val="fr-CH"/>
              </w:rPr>
              <w:tab/>
            </w:r>
            <w:r w:rsidR="00BF1937" w:rsidRPr="00E41A3F">
              <w:rPr>
                <w:b/>
                <w:sz w:val="17"/>
                <w:lang w:val="fr-CH"/>
              </w:rPr>
              <w:t>Total</w:t>
            </w:r>
          </w:p>
        </w:tc>
        <w:tc>
          <w:tcPr>
            <w:tcW w:w="3682" w:type="dxa"/>
            <w:tcBorders>
              <w:top w:val="single" w:sz="4" w:space="0" w:color="auto"/>
              <w:left w:val="nil"/>
              <w:bottom w:val="single" w:sz="4"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81" w:after="81" w:line="210" w:lineRule="exact"/>
              <w:ind w:right="43"/>
              <w:jc w:val="right"/>
              <w:rPr>
                <w:b/>
                <w:sz w:val="17"/>
                <w:lang w:val="fr-CH"/>
              </w:rPr>
            </w:pPr>
            <w:r w:rsidRPr="00E41A3F">
              <w:rPr>
                <w:b/>
                <w:sz w:val="17"/>
                <w:lang w:val="fr-CH"/>
              </w:rPr>
              <w:t>9,1 %</w:t>
            </w:r>
          </w:p>
        </w:tc>
      </w:tr>
      <w:tr w:rsidR="00BF1937" w:rsidRPr="00BF1937" w:rsidTr="00E41A3F">
        <w:tc>
          <w:tcPr>
            <w:tcW w:w="3683" w:type="dxa"/>
            <w:tcBorders>
              <w:top w:val="single" w:sz="4" w:space="0" w:color="auto"/>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Hommes</w:t>
            </w:r>
          </w:p>
        </w:tc>
        <w:tc>
          <w:tcPr>
            <w:tcW w:w="3682" w:type="dxa"/>
            <w:tcBorders>
              <w:top w:val="single" w:sz="4" w:space="0" w:color="auto"/>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14,8 %</w:t>
            </w:r>
          </w:p>
        </w:tc>
      </w:tr>
      <w:tr w:rsidR="00BF1937" w:rsidRPr="00BF1937" w:rsidTr="00E41A3F">
        <w:tc>
          <w:tcPr>
            <w:tcW w:w="3683" w:type="dxa"/>
            <w:tcBorders>
              <w:left w:val="nil"/>
              <w:bottom w:val="single" w:sz="12" w:space="0" w:color="auto"/>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Femmes</w:t>
            </w:r>
          </w:p>
        </w:tc>
        <w:tc>
          <w:tcPr>
            <w:tcW w:w="3682" w:type="dxa"/>
            <w:tcBorders>
              <w:left w:val="nil"/>
              <w:bottom w:val="single" w:sz="12" w:space="0" w:color="auto"/>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4,2 %</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Nombre d</w:t>
      </w:r>
      <w:r w:rsidR="008300FB">
        <w:rPr>
          <w:lang w:val="fr-CH"/>
        </w:rPr>
        <w:t>’</w:t>
      </w:r>
      <w:r w:rsidRPr="00BF1937">
        <w:rPr>
          <w:lang w:val="fr-CH"/>
        </w:rPr>
        <w:t>élèves par enseignant (total dans les établissements publics et privés) (2011/12)</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3745"/>
        <w:gridCol w:w="3743"/>
      </w:tblGrid>
      <w:tr w:rsidR="00BF1937" w:rsidRPr="00BF1937" w:rsidTr="00E41A3F">
        <w:tc>
          <w:tcPr>
            <w:tcW w:w="3683" w:type="dxa"/>
            <w:tcBorders>
              <w:top w:val="single" w:sz="4" w:space="0" w:color="auto"/>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 xml:space="preserve">Enseignement préscolaire et préprimaire </w:t>
            </w:r>
          </w:p>
        </w:tc>
        <w:tc>
          <w:tcPr>
            <w:tcW w:w="3682" w:type="dxa"/>
            <w:tcBorders>
              <w:top w:val="single" w:sz="4" w:space="0" w:color="auto"/>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14,2 %</w:t>
            </w:r>
          </w:p>
        </w:tc>
      </w:tr>
      <w:tr w:rsidR="00BF1937" w:rsidRPr="00BF1937" w:rsidTr="00E41A3F">
        <w:tc>
          <w:tcPr>
            <w:tcW w:w="3683" w:type="dxa"/>
            <w:tcBorders>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Enseignement primaire</w:t>
            </w:r>
          </w:p>
        </w:tc>
        <w:tc>
          <w:tcPr>
            <w:tcW w:w="3682" w:type="dxa"/>
            <w:tcBorders>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11,5 %</w:t>
            </w:r>
          </w:p>
        </w:tc>
      </w:tr>
      <w:tr w:rsidR="00BF1937" w:rsidRPr="00BF1937" w:rsidTr="00E41A3F">
        <w:tc>
          <w:tcPr>
            <w:tcW w:w="3683" w:type="dxa"/>
            <w:tcBorders>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Enseignement secondaire</w:t>
            </w:r>
          </w:p>
        </w:tc>
        <w:tc>
          <w:tcPr>
            <w:tcW w:w="3682" w:type="dxa"/>
            <w:tcBorders>
              <w:left w:val="nil"/>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8,2 %</w:t>
            </w:r>
          </w:p>
        </w:tc>
      </w:tr>
      <w:tr w:rsidR="00BF1937" w:rsidRPr="00BF1937" w:rsidTr="00E41A3F">
        <w:tc>
          <w:tcPr>
            <w:tcW w:w="3683" w:type="dxa"/>
            <w:tcBorders>
              <w:left w:val="nil"/>
              <w:bottom w:val="single" w:sz="12" w:space="0" w:color="auto"/>
              <w:right w:val="nil"/>
            </w:tcBorders>
            <w:vAlign w:val="bottom"/>
            <w:hideMark/>
          </w:tcPr>
          <w:p w:rsidR="00BF1937" w:rsidRPr="00E41A3F" w:rsidRDefault="00BF1937" w:rsidP="00110459">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Enseignement</w:t>
            </w:r>
            <w:r w:rsidR="00110459">
              <w:rPr>
                <w:sz w:val="17"/>
                <w:lang w:val="fr-CH"/>
              </w:rPr>
              <w:t xml:space="preserve"> </w:t>
            </w:r>
            <w:r w:rsidRPr="00E41A3F">
              <w:rPr>
                <w:sz w:val="17"/>
                <w:lang w:val="fr-CH"/>
              </w:rPr>
              <w:t xml:space="preserve">tertiaire </w:t>
            </w:r>
          </w:p>
        </w:tc>
        <w:tc>
          <w:tcPr>
            <w:tcW w:w="3682" w:type="dxa"/>
            <w:tcBorders>
              <w:left w:val="nil"/>
              <w:bottom w:val="single" w:sz="12" w:space="0" w:color="auto"/>
              <w:right w:val="nil"/>
            </w:tcBorders>
            <w:vAlign w:val="bottom"/>
            <w:hideMark/>
          </w:tcPr>
          <w:p w:rsidR="00BF1937" w:rsidRPr="00E41A3F" w:rsidRDefault="00BF1937" w:rsidP="00434F8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15,7 %</w:t>
            </w:r>
          </w:p>
        </w:tc>
      </w:tr>
    </w:tbl>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Revenu par habitant </w:t>
      </w:r>
      <w:r w:rsidR="003D7FE2">
        <w:rPr>
          <w:lang w:val="fr-CH"/>
        </w:rPr>
        <w:br/>
      </w:r>
      <w:r w:rsidRPr="003D7FE2">
        <w:rPr>
          <w:b w:val="0"/>
          <w:sz w:val="14"/>
          <w:szCs w:val="14"/>
          <w:lang w:val="fr-CH"/>
        </w:rPr>
        <w:t>(</w:t>
      </w:r>
      <w:r w:rsidR="003D7FE2" w:rsidRPr="003D7FE2">
        <w:rPr>
          <w:b w:val="0"/>
          <w:sz w:val="14"/>
          <w:szCs w:val="14"/>
          <w:lang w:val="fr-CH"/>
        </w:rPr>
        <w:t>E</w:t>
      </w:r>
      <w:r w:rsidRPr="003D7FE2">
        <w:rPr>
          <w:b w:val="0"/>
          <w:sz w:val="14"/>
          <w:szCs w:val="14"/>
          <w:lang w:val="fr-CH"/>
        </w:rPr>
        <w:t>n euros)</w:t>
      </w:r>
      <w:r w:rsidRPr="00BF1937">
        <w:rPr>
          <w:lang w:val="fr-CH"/>
        </w:rPr>
        <w:t xml:space="preserve"> </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744"/>
      </w:tblGrid>
      <w:tr w:rsidR="00BF1937" w:rsidRPr="00BF1937" w:rsidTr="00E41A3F">
        <w:trPr>
          <w:tblHeader/>
        </w:trPr>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2008</w:t>
            </w:r>
          </w:p>
        </w:tc>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21 546,4</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2009</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19 974,4</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2010</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20 310,8</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2011</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21 383,5</w:t>
            </w:r>
          </w:p>
        </w:tc>
      </w:tr>
      <w:tr w:rsidR="00BF1937" w:rsidRPr="00BF1937" w:rsidTr="00E41A3F">
        <w:tc>
          <w:tcPr>
            <w:tcW w:w="3686" w:type="dxa"/>
            <w:tcBorders>
              <w:top w:val="nil"/>
              <w:left w:val="nil"/>
              <w:bottom w:val="single" w:sz="12" w:space="0" w:color="auto"/>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2012</w:t>
            </w:r>
          </w:p>
        </w:tc>
        <w:tc>
          <w:tcPr>
            <w:tcW w:w="3686" w:type="dxa"/>
            <w:tcBorders>
              <w:top w:val="nil"/>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19 828,2</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Pr="003D7FE2"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CH"/>
        </w:rPr>
      </w:pPr>
      <w:r w:rsidRPr="00BF1937">
        <w:rPr>
          <w:lang w:val="fr-CH"/>
        </w:rPr>
        <w:tab/>
      </w:r>
      <w:r w:rsidRPr="00BF1937">
        <w:rPr>
          <w:lang w:val="fr-CH"/>
        </w:rPr>
        <w:tab/>
        <w:t xml:space="preserve">Produit intérieur brut (PIB) </w:t>
      </w:r>
      <w:r w:rsidR="003D7FE2">
        <w:rPr>
          <w:lang w:val="fr-CH"/>
        </w:rPr>
        <w:br/>
      </w:r>
      <w:r w:rsidRPr="003D7FE2">
        <w:rPr>
          <w:b w:val="0"/>
          <w:sz w:val="14"/>
          <w:szCs w:val="14"/>
          <w:lang w:val="fr-CH"/>
        </w:rPr>
        <w:t>(</w:t>
      </w:r>
      <w:r w:rsidR="003D7FE2" w:rsidRPr="003D7FE2">
        <w:rPr>
          <w:b w:val="0"/>
          <w:sz w:val="14"/>
          <w:szCs w:val="14"/>
          <w:lang w:val="fr-CH"/>
        </w:rPr>
        <w:t>E</w:t>
      </w:r>
      <w:r w:rsidRPr="003D7FE2">
        <w:rPr>
          <w:b w:val="0"/>
          <w:sz w:val="14"/>
          <w:szCs w:val="14"/>
          <w:lang w:val="fr-CH"/>
        </w:rPr>
        <w:t>n million d</w:t>
      </w:r>
      <w:r w:rsidR="008300FB" w:rsidRPr="003D7FE2">
        <w:rPr>
          <w:b w:val="0"/>
          <w:sz w:val="14"/>
          <w:szCs w:val="14"/>
          <w:lang w:val="fr-CH"/>
        </w:rPr>
        <w:t>’</w:t>
      </w:r>
      <w:r w:rsidRPr="003D7FE2">
        <w:rPr>
          <w:b w:val="0"/>
          <w:sz w:val="14"/>
          <w:szCs w:val="14"/>
          <w:lang w:val="fr-CH"/>
        </w:rPr>
        <w:t>euros)</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744"/>
      </w:tblGrid>
      <w:tr w:rsidR="00BF1937" w:rsidRPr="00BF1937" w:rsidTr="00E41A3F">
        <w:trPr>
          <w:tblHeader/>
        </w:trPr>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2008</w:t>
            </w:r>
          </w:p>
        </w:tc>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17 157,1</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2009</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16 853,5</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2010</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17 406,0</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2011</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17 878,0</w:t>
            </w:r>
          </w:p>
        </w:tc>
      </w:tr>
      <w:tr w:rsidR="00BF1937" w:rsidRPr="00BF1937" w:rsidTr="00E41A3F">
        <w:tc>
          <w:tcPr>
            <w:tcW w:w="3686" w:type="dxa"/>
            <w:tcBorders>
              <w:top w:val="nil"/>
              <w:left w:val="nil"/>
              <w:bottom w:val="single" w:sz="12" w:space="0" w:color="auto"/>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2012</w:t>
            </w:r>
          </w:p>
        </w:tc>
        <w:tc>
          <w:tcPr>
            <w:tcW w:w="3686" w:type="dxa"/>
            <w:tcBorders>
              <w:top w:val="nil"/>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17 720,2</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Taux de croissance annuel </w:t>
      </w:r>
      <w:r w:rsidR="003D7FE2">
        <w:rPr>
          <w:lang w:val="fr-CH"/>
        </w:rPr>
        <w:br/>
      </w:r>
      <w:r w:rsidRPr="003D7FE2">
        <w:rPr>
          <w:b w:val="0"/>
          <w:sz w:val="14"/>
          <w:szCs w:val="14"/>
          <w:lang w:val="fr-CH"/>
        </w:rPr>
        <w:t>(</w:t>
      </w:r>
      <w:r w:rsidR="003D7FE2" w:rsidRPr="003D7FE2">
        <w:rPr>
          <w:b w:val="0"/>
          <w:sz w:val="14"/>
          <w:szCs w:val="14"/>
          <w:lang w:val="fr-CH"/>
        </w:rPr>
        <w:t>E</w:t>
      </w:r>
      <w:r w:rsidRPr="003D7FE2">
        <w:rPr>
          <w:b w:val="0"/>
          <w:sz w:val="14"/>
          <w:szCs w:val="14"/>
          <w:lang w:val="fr-CH"/>
        </w:rPr>
        <w:t xml:space="preserve">n </w:t>
      </w:r>
      <w:r w:rsidR="003D7FE2" w:rsidRPr="003D7FE2">
        <w:rPr>
          <w:b w:val="0"/>
          <w:sz w:val="14"/>
          <w:szCs w:val="14"/>
          <w:lang w:val="fr-CH"/>
        </w:rPr>
        <w:t>pourcentage)</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744"/>
      </w:tblGrid>
      <w:tr w:rsidR="00BF1937" w:rsidRPr="00BF1937" w:rsidTr="00E41A3F">
        <w:trPr>
          <w:tblHeader/>
        </w:trPr>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2008</w:t>
            </w:r>
          </w:p>
        </w:tc>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3,6</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2009</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-1,9</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2010</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1,3</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2011</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0,4</w:t>
            </w:r>
          </w:p>
        </w:tc>
      </w:tr>
      <w:tr w:rsidR="00BF1937" w:rsidRPr="00BF1937" w:rsidTr="00E41A3F">
        <w:tc>
          <w:tcPr>
            <w:tcW w:w="3686" w:type="dxa"/>
            <w:tcBorders>
              <w:top w:val="nil"/>
              <w:left w:val="nil"/>
              <w:bottom w:val="single" w:sz="12" w:space="0" w:color="auto"/>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2012</w:t>
            </w:r>
          </w:p>
        </w:tc>
        <w:tc>
          <w:tcPr>
            <w:tcW w:w="3686" w:type="dxa"/>
            <w:tcBorders>
              <w:top w:val="nil"/>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-2,4</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Pr="003D7FE2"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CH"/>
        </w:rPr>
      </w:pPr>
      <w:r w:rsidRPr="00BF1937">
        <w:rPr>
          <w:lang w:val="fr-CH"/>
        </w:rPr>
        <w:tab/>
      </w:r>
      <w:r w:rsidRPr="00BF1937">
        <w:rPr>
          <w:lang w:val="fr-CH"/>
        </w:rPr>
        <w:tab/>
        <w:t xml:space="preserve">Revenu national brut (RNB) </w:t>
      </w:r>
      <w:r w:rsidR="003D7FE2">
        <w:rPr>
          <w:lang w:val="fr-CH"/>
        </w:rPr>
        <w:br/>
      </w:r>
      <w:r w:rsidRPr="003D7FE2">
        <w:rPr>
          <w:b w:val="0"/>
          <w:sz w:val="14"/>
          <w:szCs w:val="14"/>
          <w:lang w:val="fr-CH"/>
        </w:rPr>
        <w:t>(</w:t>
      </w:r>
      <w:r w:rsidR="003D7FE2" w:rsidRPr="003D7FE2">
        <w:rPr>
          <w:b w:val="0"/>
          <w:sz w:val="14"/>
          <w:szCs w:val="14"/>
          <w:lang w:val="fr-CH"/>
        </w:rPr>
        <w:t>E</w:t>
      </w:r>
      <w:r w:rsidRPr="003D7FE2">
        <w:rPr>
          <w:b w:val="0"/>
          <w:sz w:val="14"/>
          <w:szCs w:val="14"/>
          <w:lang w:val="fr-CH"/>
        </w:rPr>
        <w:t>n million d</w:t>
      </w:r>
      <w:r w:rsidR="008300FB" w:rsidRPr="003D7FE2">
        <w:rPr>
          <w:b w:val="0"/>
          <w:sz w:val="14"/>
          <w:szCs w:val="14"/>
          <w:lang w:val="fr-CH"/>
        </w:rPr>
        <w:t>’</w:t>
      </w:r>
      <w:r w:rsidRPr="003D7FE2">
        <w:rPr>
          <w:b w:val="0"/>
          <w:sz w:val="14"/>
          <w:szCs w:val="14"/>
          <w:lang w:val="fr-CH"/>
        </w:rPr>
        <w:t xml:space="preserve">euros) </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744"/>
      </w:tblGrid>
      <w:tr w:rsidR="00BF1937" w:rsidRPr="00BF1937" w:rsidTr="00E41A3F">
        <w:trPr>
          <w:tblHeader/>
        </w:trPr>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2008</w:t>
            </w:r>
          </w:p>
        </w:tc>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16 984,4</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2009</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16 139,3</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2010</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16 845,8</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2011</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18 195,2</w:t>
            </w:r>
          </w:p>
        </w:tc>
      </w:tr>
      <w:tr w:rsidR="00BF1937" w:rsidRPr="00BF1937" w:rsidTr="00E41A3F">
        <w:tc>
          <w:tcPr>
            <w:tcW w:w="3686" w:type="dxa"/>
            <w:tcBorders>
              <w:top w:val="nil"/>
              <w:left w:val="nil"/>
              <w:bottom w:val="single" w:sz="12" w:space="0" w:color="auto"/>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2012</w:t>
            </w:r>
          </w:p>
        </w:tc>
        <w:tc>
          <w:tcPr>
            <w:tcW w:w="3686" w:type="dxa"/>
            <w:tcBorders>
              <w:top w:val="nil"/>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17 129,6</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Pr="003D7FE2"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CH"/>
        </w:rPr>
      </w:pPr>
      <w:r w:rsidRPr="00BF1937">
        <w:rPr>
          <w:lang w:val="fr-CH"/>
        </w:rPr>
        <w:tab/>
      </w:r>
      <w:r w:rsidRPr="00BF1937">
        <w:rPr>
          <w:lang w:val="fr-CH"/>
        </w:rPr>
        <w:tab/>
        <w:t xml:space="preserve">Dette publique extérieure et intérieure </w:t>
      </w:r>
      <w:r w:rsidR="003D7FE2">
        <w:rPr>
          <w:lang w:val="fr-CH"/>
        </w:rPr>
        <w:br/>
      </w:r>
      <w:r w:rsidRPr="003D7FE2">
        <w:rPr>
          <w:b w:val="0"/>
          <w:sz w:val="14"/>
          <w:szCs w:val="14"/>
          <w:lang w:val="fr-CH"/>
        </w:rPr>
        <w:t>(</w:t>
      </w:r>
      <w:r w:rsidR="003D7FE2" w:rsidRPr="003D7FE2">
        <w:rPr>
          <w:b w:val="0"/>
          <w:sz w:val="14"/>
          <w:szCs w:val="14"/>
          <w:lang w:val="fr-CH"/>
        </w:rPr>
        <w:t>E</w:t>
      </w:r>
      <w:r w:rsidRPr="003D7FE2">
        <w:rPr>
          <w:b w:val="0"/>
          <w:sz w:val="14"/>
          <w:szCs w:val="14"/>
          <w:lang w:val="fr-CH"/>
        </w:rPr>
        <w:t>n million d</w:t>
      </w:r>
      <w:r w:rsidR="008300FB" w:rsidRPr="003D7FE2">
        <w:rPr>
          <w:b w:val="0"/>
          <w:sz w:val="14"/>
          <w:szCs w:val="14"/>
          <w:lang w:val="fr-CH"/>
        </w:rPr>
        <w:t>’</w:t>
      </w:r>
      <w:r w:rsidRPr="003D7FE2">
        <w:rPr>
          <w:b w:val="0"/>
          <w:sz w:val="14"/>
          <w:szCs w:val="14"/>
          <w:lang w:val="fr-CH"/>
        </w:rPr>
        <w:t xml:space="preserve">euros) </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744"/>
      </w:tblGrid>
      <w:tr w:rsidR="00BF1937" w:rsidRPr="00BF1937" w:rsidTr="00E41A3F">
        <w:trPr>
          <w:tblHeader/>
        </w:trPr>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2008</w:t>
            </w:r>
          </w:p>
        </w:tc>
        <w:tc>
          <w:tcPr>
            <w:tcW w:w="3686" w:type="dxa"/>
            <w:tcBorders>
              <w:top w:val="single" w:sz="4" w:space="0" w:color="auto"/>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8 388,2</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2009</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9 864,5</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2010</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10 674,5</w:t>
            </w:r>
          </w:p>
        </w:tc>
      </w:tr>
      <w:tr w:rsidR="00BF1937" w:rsidRPr="00BF1937" w:rsidTr="00E41A3F">
        <w:tc>
          <w:tcPr>
            <w:tcW w:w="3686" w:type="dxa"/>
            <w:tcBorders>
              <w:top w:val="nil"/>
              <w:left w:val="nil"/>
              <w:bottom w:val="nil"/>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2011</w:t>
            </w:r>
          </w:p>
        </w:tc>
        <w:tc>
          <w:tcPr>
            <w:tcW w:w="3686" w:type="dxa"/>
            <w:tcBorders>
              <w:top w:val="nil"/>
              <w:left w:val="nil"/>
              <w:bottom w:val="nil"/>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12 778,4</w:t>
            </w:r>
          </w:p>
        </w:tc>
      </w:tr>
      <w:tr w:rsidR="00BF1937" w:rsidRPr="00BF1937" w:rsidTr="00E41A3F">
        <w:tc>
          <w:tcPr>
            <w:tcW w:w="3686" w:type="dxa"/>
            <w:tcBorders>
              <w:top w:val="nil"/>
              <w:left w:val="nil"/>
              <w:bottom w:val="single" w:sz="12" w:space="0" w:color="auto"/>
              <w:right w:val="nil"/>
            </w:tcBorders>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0"/>
              <w:rPr>
                <w:sz w:val="17"/>
                <w:lang w:val="fr-CH"/>
              </w:rPr>
            </w:pPr>
            <w:r w:rsidRPr="00E41A3F">
              <w:rPr>
                <w:sz w:val="17"/>
                <w:lang w:val="fr-CH"/>
              </w:rPr>
              <w:t>2012</w:t>
            </w:r>
          </w:p>
        </w:tc>
        <w:tc>
          <w:tcPr>
            <w:tcW w:w="3686" w:type="dxa"/>
            <w:tcBorders>
              <w:top w:val="nil"/>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40" w:after="40" w:line="210" w:lineRule="exact"/>
              <w:ind w:right="43"/>
              <w:jc w:val="right"/>
              <w:rPr>
                <w:sz w:val="17"/>
                <w:lang w:val="fr-CH"/>
              </w:rPr>
            </w:pPr>
            <w:r w:rsidRPr="00E41A3F">
              <w:rPr>
                <w:sz w:val="17"/>
                <w:lang w:val="fr-CH"/>
              </w:rPr>
              <w:t>15 349,5</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BF1937">
        <w:rPr>
          <w:lang w:val="fr-CH"/>
        </w:rPr>
        <w:tab/>
      </w:r>
      <w:r w:rsidRPr="00BF1937">
        <w:rPr>
          <w:lang w:val="fr-CH"/>
        </w:rPr>
        <w:tab/>
        <w:t>Indice des prix à la consommation (IPC) (</w:t>
      </w:r>
      <w:r w:rsidRPr="00BF1937">
        <w:rPr>
          <w:bCs/>
          <w:lang w:val="fr-CH"/>
        </w:rPr>
        <w:t>2009-2013)</w:t>
      </w:r>
    </w:p>
    <w:p w:rsidR="00EA238B" w:rsidRPr="00EA238B" w:rsidRDefault="00EA238B" w:rsidP="00EA238B">
      <w:pPr>
        <w:pStyle w:val="SingleTxt"/>
        <w:spacing w:after="0" w:line="120" w:lineRule="exact"/>
        <w:rPr>
          <w:b/>
          <w:bCs/>
          <w:sz w:val="10"/>
          <w:lang w:val="fr-CH"/>
        </w:rPr>
      </w:pPr>
    </w:p>
    <w:p w:rsidR="00EA238B" w:rsidRPr="00EA238B" w:rsidRDefault="00EA238B" w:rsidP="00EA238B">
      <w:pPr>
        <w:pStyle w:val="SingleTxt"/>
        <w:spacing w:after="0" w:line="120" w:lineRule="exact"/>
        <w:rPr>
          <w:b/>
          <w:bCs/>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8"/>
        <w:gridCol w:w="2880"/>
        <w:gridCol w:w="2880"/>
      </w:tblGrid>
      <w:tr w:rsidR="00BF1937" w:rsidRPr="00BF1937" w:rsidTr="00E41A3F">
        <w:trPr>
          <w:tblHeader/>
        </w:trPr>
        <w:tc>
          <w:tcPr>
            <w:tcW w:w="1701" w:type="dxa"/>
            <w:tcBorders>
              <w:top w:val="single" w:sz="4" w:space="0" w:color="auto"/>
              <w:left w:val="nil"/>
              <w:bottom w:val="single" w:sz="12" w:space="0" w:color="auto"/>
              <w:right w:val="nil"/>
            </w:tcBorders>
            <w:vAlign w:val="bottom"/>
            <w:hideMark/>
          </w:tcPr>
          <w:p w:rsidR="00BF1937" w:rsidRPr="00BF1937" w:rsidRDefault="00BF1937" w:rsidP="00E41A3F">
            <w:pPr>
              <w:tabs>
                <w:tab w:val="left" w:pos="288"/>
                <w:tab w:val="left" w:pos="576"/>
                <w:tab w:val="left" w:pos="864"/>
                <w:tab w:val="left" w:pos="1152"/>
              </w:tabs>
              <w:suppressAutoHyphens/>
              <w:spacing w:before="80" w:after="80" w:line="160" w:lineRule="exact"/>
              <w:ind w:right="40"/>
              <w:rPr>
                <w:lang w:val="fr-CH"/>
              </w:rPr>
            </w:pPr>
            <w:r w:rsidRPr="00E41A3F">
              <w:rPr>
                <w:i/>
                <w:sz w:val="14"/>
                <w:lang w:val="fr-CH"/>
              </w:rPr>
              <w:t>Année</w:t>
            </w:r>
          </w:p>
        </w:tc>
        <w:tc>
          <w:tcPr>
            <w:tcW w:w="2835" w:type="dxa"/>
            <w:tcBorders>
              <w:top w:val="single" w:sz="4" w:space="0" w:color="auto"/>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80" w:after="80" w:line="160" w:lineRule="exact"/>
              <w:ind w:right="43"/>
              <w:jc w:val="right"/>
              <w:rPr>
                <w:i/>
                <w:sz w:val="14"/>
                <w:lang w:val="fr-CH"/>
              </w:rPr>
            </w:pPr>
            <w:r w:rsidRPr="00E41A3F">
              <w:rPr>
                <w:i/>
                <w:sz w:val="14"/>
                <w:lang w:val="fr-CH"/>
              </w:rPr>
              <w:t>Moyenne</w:t>
            </w:r>
          </w:p>
        </w:tc>
        <w:tc>
          <w:tcPr>
            <w:tcW w:w="2835" w:type="dxa"/>
            <w:tcBorders>
              <w:top w:val="single" w:sz="4" w:space="0" w:color="auto"/>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80" w:after="80" w:line="160" w:lineRule="exact"/>
              <w:ind w:right="43"/>
              <w:jc w:val="right"/>
              <w:rPr>
                <w:i/>
                <w:sz w:val="14"/>
                <w:lang w:val="fr-CH"/>
              </w:rPr>
            </w:pPr>
            <w:r w:rsidRPr="00E41A3F">
              <w:rPr>
                <w:i/>
                <w:sz w:val="14"/>
                <w:lang w:val="fr-CH"/>
              </w:rPr>
              <w:t>Taux d</w:t>
            </w:r>
            <w:r w:rsidR="008300FB" w:rsidRPr="00E41A3F">
              <w:rPr>
                <w:i/>
                <w:sz w:val="14"/>
                <w:lang w:val="fr-CH"/>
              </w:rPr>
              <w:t>’</w:t>
            </w:r>
            <w:r w:rsidRPr="00E41A3F">
              <w:rPr>
                <w:i/>
                <w:sz w:val="14"/>
                <w:lang w:val="fr-CH"/>
              </w:rPr>
              <w:t xml:space="preserve">inflation (en </w:t>
            </w:r>
            <w:r w:rsidR="003D7FE2">
              <w:rPr>
                <w:i/>
                <w:sz w:val="14"/>
                <w:lang w:val="fr-CH"/>
              </w:rPr>
              <w:t>pourcentage)</w:t>
            </w:r>
          </w:p>
        </w:tc>
      </w:tr>
      <w:tr w:rsidR="00E41A3F" w:rsidRPr="00BF1937" w:rsidTr="00E41A3F">
        <w:trPr>
          <w:trHeight w:hRule="exact" w:val="115"/>
          <w:tblHeader/>
        </w:trPr>
        <w:tc>
          <w:tcPr>
            <w:tcW w:w="1701"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0"/>
              <w:rPr>
                <w:i/>
                <w:sz w:val="14"/>
                <w:lang w:val="fr-CH"/>
              </w:rPr>
            </w:pPr>
          </w:p>
        </w:tc>
        <w:tc>
          <w:tcPr>
            <w:tcW w:w="2835"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3"/>
              <w:jc w:val="right"/>
              <w:rPr>
                <w:i/>
                <w:sz w:val="14"/>
                <w:lang w:val="fr-CH"/>
              </w:rPr>
            </w:pPr>
          </w:p>
        </w:tc>
        <w:tc>
          <w:tcPr>
            <w:tcW w:w="2835"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3"/>
              <w:jc w:val="right"/>
              <w:rPr>
                <w:i/>
                <w:sz w:val="14"/>
                <w:lang w:val="fr-CH"/>
              </w:rPr>
            </w:pPr>
          </w:p>
        </w:tc>
      </w:tr>
      <w:tr w:rsidR="00BF1937" w:rsidRPr="00BF1937" w:rsidTr="00E41A3F">
        <w:tc>
          <w:tcPr>
            <w:tcW w:w="1701"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2009</w:t>
            </w:r>
          </w:p>
        </w:tc>
        <w:tc>
          <w:tcPr>
            <w:tcW w:w="283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110,18</w:t>
            </w:r>
          </w:p>
        </w:tc>
        <w:tc>
          <w:tcPr>
            <w:tcW w:w="283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0,3</w:t>
            </w:r>
          </w:p>
        </w:tc>
      </w:tr>
      <w:tr w:rsidR="00BF1937" w:rsidRPr="00BF1937" w:rsidTr="00E41A3F">
        <w:tc>
          <w:tcPr>
            <w:tcW w:w="1701"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2010</w:t>
            </w:r>
          </w:p>
        </w:tc>
        <w:tc>
          <w:tcPr>
            <w:tcW w:w="283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112,86</w:t>
            </w:r>
          </w:p>
        </w:tc>
        <w:tc>
          <w:tcPr>
            <w:tcW w:w="283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2,4</w:t>
            </w:r>
          </w:p>
        </w:tc>
      </w:tr>
      <w:tr w:rsidR="00BF1937" w:rsidRPr="00BF1937" w:rsidTr="00E41A3F">
        <w:tc>
          <w:tcPr>
            <w:tcW w:w="1701"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2011</w:t>
            </w:r>
          </w:p>
        </w:tc>
        <w:tc>
          <w:tcPr>
            <w:tcW w:w="283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116,57</w:t>
            </w:r>
          </w:p>
        </w:tc>
        <w:tc>
          <w:tcPr>
            <w:tcW w:w="283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3,3</w:t>
            </w:r>
          </w:p>
        </w:tc>
      </w:tr>
      <w:tr w:rsidR="00BF1937" w:rsidRPr="00BF1937" w:rsidTr="00E41A3F">
        <w:tc>
          <w:tcPr>
            <w:tcW w:w="1701"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2012</w:t>
            </w:r>
          </w:p>
        </w:tc>
        <w:tc>
          <w:tcPr>
            <w:tcW w:w="283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119,36</w:t>
            </w:r>
          </w:p>
        </w:tc>
        <w:tc>
          <w:tcPr>
            <w:tcW w:w="283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2,4</w:t>
            </w:r>
          </w:p>
        </w:tc>
      </w:tr>
      <w:tr w:rsidR="00BF1937" w:rsidRPr="00BF1937" w:rsidTr="00E41A3F">
        <w:tc>
          <w:tcPr>
            <w:tcW w:w="1701" w:type="dxa"/>
            <w:tcBorders>
              <w:top w:val="nil"/>
              <w:left w:val="nil"/>
              <w:bottom w:val="single" w:sz="12" w:space="0" w:color="auto"/>
              <w:right w:val="nil"/>
            </w:tcBorders>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E41A3F">
              <w:rPr>
                <w:sz w:val="17"/>
                <w:lang w:val="fr-CH"/>
              </w:rPr>
              <w:t>2013</w:t>
            </w:r>
          </w:p>
        </w:tc>
        <w:tc>
          <w:tcPr>
            <w:tcW w:w="2835" w:type="dxa"/>
            <w:tcBorders>
              <w:top w:val="nil"/>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118,88</w:t>
            </w:r>
          </w:p>
        </w:tc>
        <w:tc>
          <w:tcPr>
            <w:tcW w:w="2835" w:type="dxa"/>
            <w:tcBorders>
              <w:top w:val="nil"/>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E41A3F">
              <w:rPr>
                <w:sz w:val="17"/>
                <w:lang w:val="fr-CH"/>
              </w:rPr>
              <w:t>-0,4</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CH"/>
        </w:rPr>
      </w:pPr>
      <w:r w:rsidRPr="00BF1937">
        <w:rPr>
          <w:lang w:val="fr-CH"/>
        </w:rPr>
        <w:tab/>
      </w:r>
      <w:r w:rsidRPr="00BF1937">
        <w:rPr>
          <w:lang w:val="fr-CH"/>
        </w:rPr>
        <w:tab/>
        <w:t xml:space="preserve">Dépenses sociales (alimentation, logement, santé, éducation, protection </w:t>
      </w:r>
      <w:r w:rsidR="00EA238B">
        <w:rPr>
          <w:lang w:val="fr-CH"/>
        </w:rPr>
        <w:br/>
      </w:r>
      <w:r w:rsidRPr="00BF1937">
        <w:rPr>
          <w:lang w:val="fr-CH"/>
        </w:rPr>
        <w:t xml:space="preserve">sociale, etc.) exprimées en proportion des dépenses publiques </w:t>
      </w:r>
      <w:r w:rsidR="00EA238B">
        <w:rPr>
          <w:lang w:val="fr-CH"/>
        </w:rPr>
        <w:br/>
      </w:r>
      <w:r w:rsidRPr="00BF1937">
        <w:rPr>
          <w:lang w:val="fr-CH"/>
        </w:rPr>
        <w:t>totales et du PIB</w:t>
      </w:r>
    </w:p>
    <w:p w:rsidR="00EA238B" w:rsidRPr="00EA238B" w:rsidRDefault="00EA238B" w:rsidP="00EA238B">
      <w:pPr>
        <w:pStyle w:val="SingleTxt"/>
        <w:spacing w:after="0" w:line="120" w:lineRule="exact"/>
        <w:rPr>
          <w:b/>
          <w:i/>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80"/>
        <w:gridCol w:w="584"/>
        <w:gridCol w:w="585"/>
        <w:gridCol w:w="585"/>
        <w:gridCol w:w="584"/>
        <w:gridCol w:w="585"/>
        <w:gridCol w:w="585"/>
      </w:tblGrid>
      <w:tr w:rsidR="00E41A3F" w:rsidRPr="00BF1937" w:rsidTr="00383D81">
        <w:trPr>
          <w:tblHeader/>
        </w:trPr>
        <w:tc>
          <w:tcPr>
            <w:tcW w:w="3980" w:type="dxa"/>
            <w:tcBorders>
              <w:top w:val="single" w:sz="4" w:space="0" w:color="auto"/>
              <w:left w:val="nil"/>
              <w:bottom w:val="single" w:sz="12" w:space="0" w:color="auto"/>
              <w:right w:val="nil"/>
            </w:tcBorders>
            <w:vAlign w:val="bottom"/>
          </w:tcPr>
          <w:p w:rsidR="00BF1937" w:rsidRPr="00BF1937" w:rsidRDefault="00BF1937" w:rsidP="00E41A3F">
            <w:pPr>
              <w:tabs>
                <w:tab w:val="left" w:pos="288"/>
                <w:tab w:val="left" w:pos="576"/>
                <w:tab w:val="left" w:pos="864"/>
                <w:tab w:val="left" w:pos="1152"/>
              </w:tabs>
              <w:suppressAutoHyphens/>
              <w:spacing w:before="80" w:after="80" w:line="160" w:lineRule="exact"/>
              <w:ind w:right="40"/>
              <w:rPr>
                <w:lang w:val="fr-CH"/>
              </w:rPr>
            </w:pPr>
          </w:p>
        </w:tc>
        <w:tc>
          <w:tcPr>
            <w:tcW w:w="584" w:type="dxa"/>
            <w:tcBorders>
              <w:top w:val="single" w:sz="4" w:space="0" w:color="auto"/>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80" w:after="80" w:line="160" w:lineRule="exact"/>
              <w:ind w:right="43"/>
              <w:jc w:val="right"/>
              <w:rPr>
                <w:i/>
                <w:sz w:val="14"/>
                <w:lang w:val="fr-CH"/>
              </w:rPr>
            </w:pPr>
            <w:r w:rsidRPr="00E41A3F">
              <w:rPr>
                <w:i/>
                <w:sz w:val="14"/>
                <w:lang w:val="fr-CH"/>
              </w:rPr>
              <w:t>2007</w:t>
            </w:r>
          </w:p>
        </w:tc>
        <w:tc>
          <w:tcPr>
            <w:tcW w:w="585" w:type="dxa"/>
            <w:tcBorders>
              <w:top w:val="single" w:sz="4" w:space="0" w:color="auto"/>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80" w:after="80" w:line="160" w:lineRule="exact"/>
              <w:ind w:right="43"/>
              <w:jc w:val="right"/>
              <w:rPr>
                <w:i/>
                <w:sz w:val="14"/>
                <w:lang w:val="fr-CH"/>
              </w:rPr>
            </w:pPr>
            <w:r w:rsidRPr="00E41A3F">
              <w:rPr>
                <w:i/>
                <w:sz w:val="14"/>
                <w:lang w:val="fr-CH"/>
              </w:rPr>
              <w:t>2008</w:t>
            </w:r>
          </w:p>
        </w:tc>
        <w:tc>
          <w:tcPr>
            <w:tcW w:w="585" w:type="dxa"/>
            <w:tcBorders>
              <w:top w:val="single" w:sz="4" w:space="0" w:color="auto"/>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80" w:after="80" w:line="160" w:lineRule="exact"/>
              <w:ind w:right="43"/>
              <w:jc w:val="right"/>
              <w:rPr>
                <w:i/>
                <w:sz w:val="14"/>
                <w:lang w:val="fr-CH"/>
              </w:rPr>
            </w:pPr>
            <w:r w:rsidRPr="00E41A3F">
              <w:rPr>
                <w:i/>
                <w:sz w:val="14"/>
                <w:lang w:val="fr-CH"/>
              </w:rPr>
              <w:t>2009</w:t>
            </w:r>
          </w:p>
        </w:tc>
        <w:tc>
          <w:tcPr>
            <w:tcW w:w="584" w:type="dxa"/>
            <w:tcBorders>
              <w:top w:val="single" w:sz="4" w:space="0" w:color="auto"/>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80" w:after="80" w:line="160" w:lineRule="exact"/>
              <w:ind w:right="43"/>
              <w:jc w:val="right"/>
              <w:rPr>
                <w:i/>
                <w:sz w:val="14"/>
                <w:lang w:val="fr-CH"/>
              </w:rPr>
            </w:pPr>
            <w:r w:rsidRPr="00E41A3F">
              <w:rPr>
                <w:i/>
                <w:sz w:val="14"/>
                <w:lang w:val="fr-CH"/>
              </w:rPr>
              <w:t>2010</w:t>
            </w:r>
          </w:p>
        </w:tc>
        <w:tc>
          <w:tcPr>
            <w:tcW w:w="585" w:type="dxa"/>
            <w:tcBorders>
              <w:top w:val="single" w:sz="4" w:space="0" w:color="auto"/>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80" w:after="80" w:line="160" w:lineRule="exact"/>
              <w:ind w:right="43"/>
              <w:jc w:val="right"/>
              <w:rPr>
                <w:i/>
                <w:sz w:val="14"/>
                <w:lang w:val="fr-CH"/>
              </w:rPr>
            </w:pPr>
            <w:r w:rsidRPr="00E41A3F">
              <w:rPr>
                <w:i/>
                <w:sz w:val="14"/>
                <w:lang w:val="fr-CH"/>
              </w:rPr>
              <w:t>2011</w:t>
            </w:r>
          </w:p>
        </w:tc>
        <w:tc>
          <w:tcPr>
            <w:tcW w:w="585" w:type="dxa"/>
            <w:tcBorders>
              <w:top w:val="single" w:sz="4" w:space="0" w:color="auto"/>
              <w:left w:val="nil"/>
              <w:bottom w:val="single" w:sz="12" w:space="0" w:color="auto"/>
              <w:right w:val="nil"/>
            </w:tcBorders>
            <w:vAlign w:val="bottom"/>
            <w:hideMark/>
          </w:tcPr>
          <w:p w:rsidR="00BF1937" w:rsidRPr="00E41A3F" w:rsidRDefault="00BF1937" w:rsidP="00E41A3F">
            <w:pPr>
              <w:tabs>
                <w:tab w:val="left" w:pos="288"/>
                <w:tab w:val="left" w:pos="576"/>
                <w:tab w:val="left" w:pos="864"/>
                <w:tab w:val="left" w:pos="1152"/>
              </w:tabs>
              <w:suppressAutoHyphens/>
              <w:spacing w:before="80" w:after="80" w:line="160" w:lineRule="exact"/>
              <w:ind w:right="43"/>
              <w:jc w:val="right"/>
              <w:rPr>
                <w:i/>
                <w:sz w:val="14"/>
                <w:lang w:val="fr-CH"/>
              </w:rPr>
            </w:pPr>
            <w:r w:rsidRPr="00E41A3F">
              <w:rPr>
                <w:i/>
                <w:sz w:val="14"/>
                <w:lang w:val="fr-CH"/>
              </w:rPr>
              <w:t>2012</w:t>
            </w:r>
          </w:p>
        </w:tc>
      </w:tr>
      <w:tr w:rsidR="00E41A3F" w:rsidRPr="00BF1937" w:rsidTr="00E41A3F">
        <w:trPr>
          <w:trHeight w:hRule="exact" w:val="115"/>
          <w:tblHeader/>
        </w:trPr>
        <w:tc>
          <w:tcPr>
            <w:tcW w:w="3980" w:type="dxa"/>
            <w:tcBorders>
              <w:top w:val="single" w:sz="12" w:space="0" w:color="auto"/>
              <w:left w:val="nil"/>
              <w:bottom w:val="nil"/>
              <w:right w:val="nil"/>
            </w:tcBorders>
            <w:vAlign w:val="bottom"/>
          </w:tcPr>
          <w:p w:rsidR="00E41A3F" w:rsidRPr="00BF1937" w:rsidRDefault="00E41A3F" w:rsidP="00BF1937">
            <w:pPr>
              <w:rPr>
                <w:lang w:val="fr-CH"/>
              </w:rPr>
            </w:pPr>
          </w:p>
        </w:tc>
        <w:tc>
          <w:tcPr>
            <w:tcW w:w="584"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3"/>
              <w:jc w:val="right"/>
              <w:rPr>
                <w:i/>
                <w:sz w:val="14"/>
                <w:lang w:val="fr-CH"/>
              </w:rPr>
            </w:pPr>
          </w:p>
        </w:tc>
        <w:tc>
          <w:tcPr>
            <w:tcW w:w="585"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3"/>
              <w:jc w:val="right"/>
              <w:rPr>
                <w:i/>
                <w:sz w:val="14"/>
                <w:lang w:val="fr-CH"/>
              </w:rPr>
            </w:pPr>
          </w:p>
        </w:tc>
        <w:tc>
          <w:tcPr>
            <w:tcW w:w="585"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3"/>
              <w:jc w:val="right"/>
              <w:rPr>
                <w:i/>
                <w:sz w:val="14"/>
                <w:lang w:val="fr-CH"/>
              </w:rPr>
            </w:pPr>
          </w:p>
        </w:tc>
        <w:tc>
          <w:tcPr>
            <w:tcW w:w="584"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3"/>
              <w:jc w:val="right"/>
              <w:rPr>
                <w:i/>
                <w:sz w:val="14"/>
                <w:lang w:val="fr-CH"/>
              </w:rPr>
            </w:pPr>
          </w:p>
        </w:tc>
        <w:tc>
          <w:tcPr>
            <w:tcW w:w="585"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3"/>
              <w:jc w:val="right"/>
              <w:rPr>
                <w:i/>
                <w:sz w:val="14"/>
                <w:lang w:val="fr-CH"/>
              </w:rPr>
            </w:pPr>
          </w:p>
        </w:tc>
        <w:tc>
          <w:tcPr>
            <w:tcW w:w="585" w:type="dxa"/>
            <w:tcBorders>
              <w:top w:val="single" w:sz="12" w:space="0" w:color="auto"/>
              <w:left w:val="nil"/>
              <w:bottom w:val="nil"/>
              <w:right w:val="nil"/>
            </w:tcBorders>
            <w:vAlign w:val="bottom"/>
          </w:tcPr>
          <w:p w:rsidR="00E41A3F" w:rsidRPr="00E41A3F" w:rsidRDefault="00E41A3F" w:rsidP="00E41A3F">
            <w:pPr>
              <w:tabs>
                <w:tab w:val="left" w:pos="288"/>
                <w:tab w:val="left" w:pos="576"/>
                <w:tab w:val="left" w:pos="864"/>
                <w:tab w:val="left" w:pos="1152"/>
              </w:tabs>
              <w:suppressAutoHyphens/>
              <w:spacing w:before="80" w:after="80" w:line="160" w:lineRule="exact"/>
              <w:ind w:right="43"/>
              <w:jc w:val="right"/>
              <w:rPr>
                <w:i/>
                <w:sz w:val="14"/>
                <w:lang w:val="fr-CH"/>
              </w:rPr>
            </w:pPr>
          </w:p>
        </w:tc>
      </w:tr>
      <w:tr w:rsidR="00E41A3F" w:rsidRPr="00BF1937" w:rsidTr="00E41A3F">
        <w:tc>
          <w:tcPr>
            <w:tcW w:w="3980"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0"/>
              <w:rPr>
                <w:sz w:val="17"/>
                <w:lang w:val="fr-CH"/>
              </w:rPr>
            </w:pPr>
            <w:r w:rsidRPr="00E41A3F">
              <w:rPr>
                <w:sz w:val="17"/>
                <w:lang w:val="fr-CH"/>
              </w:rPr>
              <w:t>Logement (pourcentage des dépenses totales)</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6,2</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6,4</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7,0</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6,1</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5,8</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5,0</w:t>
            </w:r>
          </w:p>
        </w:tc>
      </w:tr>
      <w:tr w:rsidR="00E41A3F" w:rsidRPr="00BF1937" w:rsidTr="00E41A3F">
        <w:tc>
          <w:tcPr>
            <w:tcW w:w="3980"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0"/>
              <w:rPr>
                <w:sz w:val="17"/>
                <w:lang w:val="fr-CH"/>
              </w:rPr>
            </w:pPr>
            <w:r w:rsidRPr="00E41A3F">
              <w:rPr>
                <w:sz w:val="17"/>
                <w:lang w:val="fr-CH"/>
              </w:rPr>
              <w:t>(pourcentage du PIB)</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2,5</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2,7</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3,2</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2,8</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2,7</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2,3</w:t>
            </w:r>
          </w:p>
        </w:tc>
      </w:tr>
      <w:tr w:rsidR="00E41A3F" w:rsidRPr="00BF1937" w:rsidTr="00E41A3F">
        <w:tc>
          <w:tcPr>
            <w:tcW w:w="3980"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0"/>
              <w:rPr>
                <w:sz w:val="17"/>
                <w:lang w:val="fr-CH"/>
              </w:rPr>
            </w:pPr>
            <w:r w:rsidRPr="00E41A3F">
              <w:rPr>
                <w:sz w:val="17"/>
                <w:lang w:val="fr-CH"/>
              </w:rPr>
              <w:t>Santé (pourcentage des dépenses totales)</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7,0</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7,1</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7,1</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7,2</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7,3</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7,1</w:t>
            </w:r>
          </w:p>
        </w:tc>
      </w:tr>
      <w:tr w:rsidR="00E41A3F" w:rsidRPr="00BF1937" w:rsidTr="00E41A3F">
        <w:tc>
          <w:tcPr>
            <w:tcW w:w="3980"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0"/>
              <w:rPr>
                <w:sz w:val="17"/>
                <w:lang w:val="fr-CH"/>
              </w:rPr>
            </w:pPr>
            <w:r w:rsidRPr="00E41A3F">
              <w:rPr>
                <w:sz w:val="17"/>
                <w:lang w:val="fr-CH"/>
              </w:rPr>
              <w:t>(pourcentage du PIB)</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2,9</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3,0</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3,3</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3,3</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3,4</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3,3</w:t>
            </w:r>
          </w:p>
        </w:tc>
      </w:tr>
      <w:tr w:rsidR="00E41A3F" w:rsidRPr="00BF1937" w:rsidTr="00E41A3F">
        <w:tc>
          <w:tcPr>
            <w:tcW w:w="3980"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0"/>
              <w:rPr>
                <w:sz w:val="17"/>
                <w:lang w:val="fr-CH"/>
              </w:rPr>
            </w:pPr>
            <w:r w:rsidRPr="00E41A3F">
              <w:rPr>
                <w:sz w:val="17"/>
                <w:lang w:val="fr-CH"/>
              </w:rPr>
              <w:t>Éducation (pourcentage des dépenses totales)</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15,3</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16,1</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15,7</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16,1</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15,6</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14,6</w:t>
            </w:r>
          </w:p>
        </w:tc>
      </w:tr>
      <w:tr w:rsidR="00E41A3F" w:rsidRPr="00BF1937" w:rsidTr="00E41A3F">
        <w:tc>
          <w:tcPr>
            <w:tcW w:w="3980"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0"/>
              <w:rPr>
                <w:sz w:val="17"/>
                <w:lang w:val="fr-CH"/>
              </w:rPr>
            </w:pPr>
            <w:r w:rsidRPr="00E41A3F">
              <w:rPr>
                <w:sz w:val="17"/>
                <w:lang w:val="fr-CH"/>
              </w:rPr>
              <w:t xml:space="preserve">(pourcentage du PIB) </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6,3</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6,8</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7,2</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7,5</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7,2</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6,7</w:t>
            </w:r>
          </w:p>
        </w:tc>
      </w:tr>
      <w:tr w:rsidR="00E41A3F" w:rsidRPr="00BF1937" w:rsidTr="00E41A3F">
        <w:tc>
          <w:tcPr>
            <w:tcW w:w="3980" w:type="dxa"/>
            <w:tcBorders>
              <w:top w:val="nil"/>
              <w:left w:val="nil"/>
              <w:bottom w:val="nil"/>
              <w:right w:val="nil"/>
            </w:tcBorders>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0"/>
              <w:rPr>
                <w:sz w:val="17"/>
                <w:lang w:val="fr-CH"/>
              </w:rPr>
            </w:pPr>
            <w:r w:rsidRPr="00E41A3F">
              <w:rPr>
                <w:sz w:val="17"/>
                <w:lang w:val="fr-CH"/>
              </w:rPr>
              <w:t xml:space="preserve">Protection sociale (pourcentage des dépenses totales) </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23</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23,3</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23,8</w:t>
            </w:r>
          </w:p>
        </w:tc>
        <w:tc>
          <w:tcPr>
            <w:tcW w:w="584"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25,3</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26,1</w:t>
            </w:r>
          </w:p>
        </w:tc>
        <w:tc>
          <w:tcPr>
            <w:tcW w:w="585" w:type="dxa"/>
            <w:tcBorders>
              <w:top w:val="nil"/>
              <w:left w:val="nil"/>
              <w:bottom w:val="nil"/>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27,2</w:t>
            </w:r>
          </w:p>
        </w:tc>
      </w:tr>
      <w:tr w:rsidR="00E41A3F" w:rsidRPr="00BF1937" w:rsidTr="00E41A3F">
        <w:tc>
          <w:tcPr>
            <w:tcW w:w="3980" w:type="dxa"/>
            <w:tcBorders>
              <w:top w:val="nil"/>
              <w:left w:val="nil"/>
              <w:bottom w:val="single" w:sz="12" w:space="0" w:color="auto"/>
              <w:right w:val="nil"/>
            </w:tcBorders>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0"/>
              <w:rPr>
                <w:sz w:val="17"/>
                <w:lang w:val="fr-CH"/>
              </w:rPr>
            </w:pPr>
            <w:r w:rsidRPr="00E41A3F">
              <w:rPr>
                <w:sz w:val="17"/>
                <w:lang w:val="fr-CH"/>
              </w:rPr>
              <w:t>(pourcentage du PIB)</w:t>
            </w:r>
          </w:p>
        </w:tc>
        <w:tc>
          <w:tcPr>
            <w:tcW w:w="584" w:type="dxa"/>
            <w:tcBorders>
              <w:top w:val="nil"/>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9,5</w:t>
            </w:r>
          </w:p>
        </w:tc>
        <w:tc>
          <w:tcPr>
            <w:tcW w:w="585" w:type="dxa"/>
            <w:tcBorders>
              <w:top w:val="nil"/>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9,8</w:t>
            </w:r>
          </w:p>
        </w:tc>
        <w:tc>
          <w:tcPr>
            <w:tcW w:w="585" w:type="dxa"/>
            <w:tcBorders>
              <w:top w:val="nil"/>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11,0</w:t>
            </w:r>
          </w:p>
        </w:tc>
        <w:tc>
          <w:tcPr>
            <w:tcW w:w="584" w:type="dxa"/>
            <w:tcBorders>
              <w:top w:val="nil"/>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11,7</w:t>
            </w:r>
          </w:p>
        </w:tc>
        <w:tc>
          <w:tcPr>
            <w:tcW w:w="585" w:type="dxa"/>
            <w:tcBorders>
              <w:top w:val="nil"/>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12,1</w:t>
            </w:r>
          </w:p>
        </w:tc>
        <w:tc>
          <w:tcPr>
            <w:tcW w:w="585" w:type="dxa"/>
            <w:tcBorders>
              <w:top w:val="nil"/>
              <w:left w:val="nil"/>
              <w:bottom w:val="single" w:sz="12" w:space="0" w:color="auto"/>
              <w:right w:val="nil"/>
            </w:tcBorders>
            <w:vAlign w:val="bottom"/>
            <w:hideMark/>
          </w:tcPr>
          <w:p w:rsidR="00BF1937" w:rsidRPr="00E41A3F" w:rsidRDefault="00BF1937" w:rsidP="003D7FE2">
            <w:pPr>
              <w:tabs>
                <w:tab w:val="left" w:pos="288"/>
                <w:tab w:val="left" w:pos="576"/>
                <w:tab w:val="left" w:pos="864"/>
                <w:tab w:val="left" w:pos="1152"/>
              </w:tabs>
              <w:suppressAutoHyphens/>
              <w:spacing w:before="30" w:after="30" w:line="200" w:lineRule="exact"/>
              <w:ind w:right="43"/>
              <w:jc w:val="right"/>
              <w:rPr>
                <w:sz w:val="17"/>
                <w:lang w:val="fr-CH"/>
              </w:rPr>
            </w:pPr>
            <w:r w:rsidRPr="00E41A3F">
              <w:rPr>
                <w:sz w:val="17"/>
                <w:lang w:val="fr-CH"/>
              </w:rPr>
              <w:t>12,4</w:t>
            </w:r>
          </w:p>
        </w:tc>
      </w:tr>
    </w:tbl>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Proportion de l</w:t>
      </w:r>
      <w:r w:rsidR="008300FB">
        <w:rPr>
          <w:lang w:val="fr-CH"/>
        </w:rPr>
        <w:t>’</w:t>
      </w:r>
      <w:r w:rsidRPr="00BF1937">
        <w:rPr>
          <w:lang w:val="fr-CH"/>
        </w:rPr>
        <w:t>aide internationale fournie par rapport au budget de l</w:t>
      </w:r>
      <w:r w:rsidR="008300FB">
        <w:rPr>
          <w:lang w:val="fr-CH"/>
        </w:rPr>
        <w:t>’</w:t>
      </w:r>
      <w:r w:rsidRPr="00BF1937">
        <w:rPr>
          <w:lang w:val="fr-CH"/>
        </w:rPr>
        <w:t>État par secteur et par rapport au RNB</w:t>
      </w:r>
      <w:r w:rsidR="00EA238B">
        <w:rPr>
          <w:b/>
          <w:i/>
          <w:lang w:val="fr-CH"/>
        </w:rPr>
        <w:t> </w:t>
      </w:r>
      <w:r w:rsidRPr="00BF1937">
        <w:rPr>
          <w:lang w:val="fr-CH"/>
        </w:rPr>
        <w:t>: sans objet.</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P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Taux de mortalité infantile et maternelle </w:t>
      </w:r>
      <w:r w:rsidR="003D7FE2">
        <w:rPr>
          <w:lang w:val="fr-CH"/>
        </w:rPr>
        <w:br/>
      </w:r>
      <w:r w:rsidRPr="003D7FE2">
        <w:rPr>
          <w:b w:val="0"/>
          <w:sz w:val="14"/>
          <w:szCs w:val="14"/>
          <w:lang w:val="fr-CH"/>
        </w:rPr>
        <w:t>(</w:t>
      </w:r>
      <w:r w:rsidR="003D7FE2" w:rsidRPr="003D7FE2">
        <w:rPr>
          <w:b w:val="0"/>
          <w:sz w:val="14"/>
          <w:szCs w:val="14"/>
          <w:lang w:val="fr-CH"/>
        </w:rPr>
        <w:t>E</w:t>
      </w:r>
      <w:r w:rsidRPr="003D7FE2">
        <w:rPr>
          <w:b w:val="0"/>
          <w:sz w:val="14"/>
          <w:szCs w:val="14"/>
          <w:lang w:val="fr-CH"/>
        </w:rPr>
        <w:t xml:space="preserve">n </w:t>
      </w:r>
      <w:r w:rsidR="003D7FE2" w:rsidRPr="003D7FE2">
        <w:rPr>
          <w:b w:val="0"/>
          <w:sz w:val="14"/>
          <w:szCs w:val="14"/>
          <w:lang w:val="fr-CH"/>
        </w:rPr>
        <w:t>pourcentage</w:t>
      </w:r>
      <w:r w:rsidRPr="003D7FE2">
        <w:rPr>
          <w:b w:val="0"/>
          <w:sz w:val="14"/>
          <w:szCs w:val="14"/>
          <w:lang w:val="fr-CH"/>
        </w:rPr>
        <w:t>)</w:t>
      </w:r>
    </w:p>
    <w:p w:rsidR="00BF1937" w:rsidRPr="00EA238B" w:rsidRDefault="00BF1937"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6338"/>
        <w:gridCol w:w="1150"/>
      </w:tblGrid>
      <w:tr w:rsidR="005C0C39" w:rsidRPr="00BF1937" w:rsidTr="00383D81">
        <w:trPr>
          <w:trHeight w:val="300"/>
          <w:tblHeader/>
        </w:trPr>
        <w:tc>
          <w:tcPr>
            <w:tcW w:w="7488" w:type="dxa"/>
            <w:gridSpan w:val="2"/>
            <w:tcBorders>
              <w:top w:val="single" w:sz="4" w:space="0" w:color="auto"/>
              <w:left w:val="nil"/>
              <w:bottom w:val="single" w:sz="12" w:space="0" w:color="auto"/>
              <w:right w:val="nil"/>
            </w:tcBorders>
            <w:noWrap/>
            <w:vAlign w:val="bottom"/>
            <w:hideMark/>
          </w:tcPr>
          <w:p w:rsidR="005C0C39" w:rsidRPr="00BF1937" w:rsidRDefault="005C0C39" w:rsidP="005C0C39">
            <w:pPr>
              <w:tabs>
                <w:tab w:val="left" w:pos="288"/>
                <w:tab w:val="left" w:pos="576"/>
                <w:tab w:val="left" w:pos="864"/>
                <w:tab w:val="left" w:pos="1152"/>
              </w:tabs>
              <w:suppressAutoHyphens/>
              <w:spacing w:before="80" w:after="80" w:line="160" w:lineRule="exact"/>
              <w:ind w:right="43"/>
              <w:jc w:val="center"/>
              <w:rPr>
                <w:lang w:val="en-US"/>
              </w:rPr>
            </w:pPr>
            <w:r w:rsidRPr="00E41A3F">
              <w:rPr>
                <w:i/>
                <w:sz w:val="14"/>
                <w:lang w:val="fr-CH"/>
              </w:rPr>
              <w:t>2011</w:t>
            </w:r>
          </w:p>
        </w:tc>
      </w:tr>
      <w:tr w:rsidR="005C0C39" w:rsidRPr="00BF1937" w:rsidTr="005C0C39">
        <w:trPr>
          <w:trHeight w:hRule="exact" w:val="115"/>
          <w:tblHeader/>
        </w:trPr>
        <w:tc>
          <w:tcPr>
            <w:tcW w:w="6338" w:type="dxa"/>
            <w:tcBorders>
              <w:top w:val="single" w:sz="12" w:space="0" w:color="auto"/>
              <w:left w:val="nil"/>
              <w:bottom w:val="nil"/>
              <w:right w:val="nil"/>
            </w:tcBorders>
            <w:noWrap/>
            <w:vAlign w:val="bottom"/>
          </w:tcPr>
          <w:p w:rsidR="005C0C39" w:rsidRPr="00E41A3F" w:rsidRDefault="005C0C39" w:rsidP="005C0C39">
            <w:pPr>
              <w:tabs>
                <w:tab w:val="left" w:pos="288"/>
                <w:tab w:val="left" w:pos="576"/>
                <w:tab w:val="left" w:pos="864"/>
                <w:tab w:val="left" w:pos="1152"/>
              </w:tabs>
              <w:suppressAutoHyphens/>
              <w:spacing w:before="80" w:after="80" w:line="160" w:lineRule="exact"/>
              <w:ind w:right="40"/>
              <w:jc w:val="center"/>
              <w:rPr>
                <w:i/>
                <w:sz w:val="14"/>
                <w:lang w:val="fr-CH"/>
              </w:rPr>
            </w:pPr>
          </w:p>
        </w:tc>
        <w:tc>
          <w:tcPr>
            <w:tcW w:w="1150" w:type="dxa"/>
            <w:tcBorders>
              <w:top w:val="single" w:sz="12" w:space="0" w:color="auto"/>
              <w:left w:val="nil"/>
              <w:bottom w:val="nil"/>
              <w:right w:val="nil"/>
            </w:tcBorders>
            <w:noWrap/>
            <w:vAlign w:val="bottom"/>
          </w:tcPr>
          <w:p w:rsidR="005C0C39" w:rsidRPr="00BF1937" w:rsidRDefault="005C0C39" w:rsidP="00E41A3F">
            <w:pPr>
              <w:tabs>
                <w:tab w:val="left" w:pos="288"/>
                <w:tab w:val="left" w:pos="576"/>
                <w:tab w:val="left" w:pos="864"/>
                <w:tab w:val="left" w:pos="1152"/>
              </w:tabs>
              <w:suppressAutoHyphens/>
              <w:spacing w:before="80" w:after="80" w:line="160" w:lineRule="exact"/>
              <w:ind w:right="43"/>
              <w:jc w:val="right"/>
              <w:rPr>
                <w:lang w:val="en-US"/>
              </w:rPr>
            </w:pPr>
          </w:p>
        </w:tc>
      </w:tr>
      <w:tr w:rsidR="00BF1937" w:rsidRPr="00BF1937" w:rsidTr="003D7FE2">
        <w:tc>
          <w:tcPr>
            <w:tcW w:w="6338" w:type="dxa"/>
            <w:tcBorders>
              <w:top w:val="nil"/>
              <w:left w:val="nil"/>
              <w:bottom w:val="nil"/>
              <w:right w:val="nil"/>
            </w:tcBorders>
            <w:noWrap/>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5C0C39">
              <w:rPr>
                <w:sz w:val="17"/>
                <w:lang w:val="fr-CH"/>
              </w:rPr>
              <w:t xml:space="preserve">Taux de mortalité maternelle </w:t>
            </w:r>
          </w:p>
        </w:tc>
        <w:tc>
          <w:tcPr>
            <w:tcW w:w="1150" w:type="dxa"/>
            <w:tcBorders>
              <w:top w:val="nil"/>
              <w:left w:val="nil"/>
              <w:bottom w:val="nil"/>
              <w:right w:val="nil"/>
            </w:tcBorders>
            <w:noWrap/>
            <w:vAlign w:val="bottom"/>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5C0C39">
              <w:rPr>
                <w:sz w:val="17"/>
                <w:lang w:val="fr-CH"/>
              </w:rPr>
              <w:t>0</w:t>
            </w:r>
          </w:p>
        </w:tc>
      </w:tr>
      <w:tr w:rsidR="00BF1937" w:rsidRPr="00BF1937" w:rsidTr="00383D81">
        <w:tc>
          <w:tcPr>
            <w:tcW w:w="6338" w:type="dxa"/>
            <w:tcBorders>
              <w:top w:val="nil"/>
              <w:left w:val="nil"/>
              <w:bottom w:val="single" w:sz="4" w:space="0" w:color="auto"/>
              <w:right w:val="nil"/>
            </w:tcBorders>
            <w:noWrap/>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5C0C39">
              <w:rPr>
                <w:sz w:val="17"/>
                <w:lang w:val="fr-CH"/>
              </w:rPr>
              <w:t>Taux de mortalité infantile (pour 1 000 naissances vivantes)</w:t>
            </w:r>
          </w:p>
        </w:tc>
        <w:tc>
          <w:tcPr>
            <w:tcW w:w="1150" w:type="dxa"/>
            <w:tcBorders>
              <w:top w:val="nil"/>
              <w:left w:val="nil"/>
              <w:bottom w:val="single" w:sz="4" w:space="0" w:color="auto"/>
              <w:right w:val="nil"/>
            </w:tcBorders>
            <w:noWrap/>
            <w:vAlign w:val="bottom"/>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5C0C39">
              <w:rPr>
                <w:sz w:val="17"/>
                <w:lang w:val="fr-CH"/>
              </w:rPr>
              <w:t>3,1</w:t>
            </w:r>
          </w:p>
        </w:tc>
      </w:tr>
      <w:tr w:rsidR="005C0C39" w:rsidRPr="00BF1937" w:rsidTr="00383D81">
        <w:tc>
          <w:tcPr>
            <w:tcW w:w="7488" w:type="dxa"/>
            <w:gridSpan w:val="2"/>
            <w:tcBorders>
              <w:top w:val="single" w:sz="4" w:space="0" w:color="auto"/>
              <w:left w:val="nil"/>
              <w:bottom w:val="single" w:sz="4" w:space="0" w:color="auto"/>
              <w:right w:val="nil"/>
            </w:tcBorders>
            <w:noWrap/>
            <w:hideMark/>
          </w:tcPr>
          <w:p w:rsidR="005C0C39" w:rsidRPr="005C0C39" w:rsidRDefault="005C0C39" w:rsidP="003D7FE2">
            <w:pPr>
              <w:tabs>
                <w:tab w:val="left" w:pos="288"/>
                <w:tab w:val="left" w:pos="576"/>
                <w:tab w:val="left" w:pos="864"/>
                <w:tab w:val="left" w:pos="1152"/>
              </w:tabs>
              <w:suppressAutoHyphens/>
              <w:spacing w:before="40" w:after="40" w:line="200" w:lineRule="exact"/>
              <w:ind w:right="43"/>
              <w:jc w:val="center"/>
              <w:rPr>
                <w:sz w:val="17"/>
                <w:lang w:val="fr-CH"/>
              </w:rPr>
            </w:pPr>
            <w:r w:rsidRPr="005C0C39">
              <w:rPr>
                <w:i/>
                <w:sz w:val="14"/>
                <w:lang w:val="fr-CH"/>
              </w:rPr>
              <w:t>2012</w:t>
            </w:r>
          </w:p>
        </w:tc>
      </w:tr>
      <w:tr w:rsidR="00BF1937" w:rsidRPr="00BF1937" w:rsidTr="003D7FE2">
        <w:tc>
          <w:tcPr>
            <w:tcW w:w="6338" w:type="dxa"/>
            <w:tcBorders>
              <w:top w:val="single" w:sz="4" w:space="0" w:color="auto"/>
              <w:left w:val="nil"/>
              <w:bottom w:val="nil"/>
              <w:right w:val="nil"/>
            </w:tcBorders>
            <w:noWrap/>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5C0C39">
              <w:rPr>
                <w:sz w:val="17"/>
                <w:lang w:val="fr-CH"/>
              </w:rPr>
              <w:t xml:space="preserve">Taux de mortalité maternelle </w:t>
            </w:r>
          </w:p>
        </w:tc>
        <w:tc>
          <w:tcPr>
            <w:tcW w:w="1150" w:type="dxa"/>
            <w:tcBorders>
              <w:top w:val="single" w:sz="4" w:space="0" w:color="auto"/>
              <w:left w:val="nil"/>
              <w:bottom w:val="nil"/>
              <w:right w:val="nil"/>
            </w:tcBorders>
            <w:noWrap/>
            <w:vAlign w:val="bottom"/>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5C0C39">
              <w:rPr>
                <w:sz w:val="17"/>
                <w:lang w:val="fr-CH"/>
              </w:rPr>
              <w:t>0</w:t>
            </w:r>
          </w:p>
        </w:tc>
      </w:tr>
      <w:tr w:rsidR="00BF1937" w:rsidRPr="00BF1937" w:rsidTr="003D7FE2">
        <w:tc>
          <w:tcPr>
            <w:tcW w:w="6338" w:type="dxa"/>
            <w:tcBorders>
              <w:top w:val="nil"/>
              <w:left w:val="nil"/>
              <w:bottom w:val="single" w:sz="12" w:space="0" w:color="auto"/>
              <w:right w:val="nil"/>
            </w:tcBorders>
            <w:noWrap/>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5C0C39">
              <w:rPr>
                <w:sz w:val="17"/>
                <w:lang w:val="fr-CH"/>
              </w:rPr>
              <w:t>Taux de mortalité infantile (pour 1 000 naissances vivantes)</w:t>
            </w:r>
          </w:p>
        </w:tc>
        <w:tc>
          <w:tcPr>
            <w:tcW w:w="1150" w:type="dxa"/>
            <w:tcBorders>
              <w:top w:val="nil"/>
              <w:left w:val="nil"/>
              <w:bottom w:val="single" w:sz="12" w:space="0" w:color="auto"/>
              <w:right w:val="nil"/>
            </w:tcBorders>
            <w:noWrap/>
            <w:vAlign w:val="bottom"/>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5C0C39">
              <w:rPr>
                <w:sz w:val="17"/>
                <w:lang w:val="fr-CH"/>
              </w:rPr>
              <w:t>3,5</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Taux d</w:t>
      </w:r>
      <w:r w:rsidR="008300FB">
        <w:rPr>
          <w:lang w:val="fr-CH"/>
        </w:rPr>
        <w:t>’</w:t>
      </w:r>
      <w:r w:rsidRPr="00BF1937">
        <w:rPr>
          <w:lang w:val="fr-CH"/>
        </w:rPr>
        <w:t>infection par le VIH/sida et les principales maladies transmissibles</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6356"/>
        <w:gridCol w:w="1132"/>
      </w:tblGrid>
      <w:tr w:rsidR="005C0C39" w:rsidRPr="00BF1937" w:rsidTr="00383D81">
        <w:trPr>
          <w:trHeight w:val="300"/>
          <w:tblHeader/>
        </w:trPr>
        <w:tc>
          <w:tcPr>
            <w:tcW w:w="7488" w:type="dxa"/>
            <w:gridSpan w:val="2"/>
            <w:tcBorders>
              <w:top w:val="single" w:sz="4" w:space="0" w:color="auto"/>
              <w:left w:val="nil"/>
              <w:bottom w:val="single" w:sz="12" w:space="0" w:color="auto"/>
              <w:right w:val="nil"/>
            </w:tcBorders>
            <w:noWrap/>
            <w:vAlign w:val="bottom"/>
            <w:hideMark/>
          </w:tcPr>
          <w:p w:rsidR="005C0C39" w:rsidRPr="005C0C39" w:rsidRDefault="005C0C39" w:rsidP="005C0C39">
            <w:pPr>
              <w:tabs>
                <w:tab w:val="left" w:pos="288"/>
                <w:tab w:val="left" w:pos="576"/>
                <w:tab w:val="left" w:pos="864"/>
                <w:tab w:val="left" w:pos="1152"/>
              </w:tabs>
              <w:suppressAutoHyphens/>
              <w:spacing w:before="80" w:after="80" w:line="160" w:lineRule="exact"/>
              <w:ind w:right="40"/>
              <w:jc w:val="center"/>
              <w:rPr>
                <w:i/>
                <w:sz w:val="14"/>
                <w:lang w:val="fr-CH"/>
              </w:rPr>
            </w:pPr>
            <w:r w:rsidRPr="005C0C39">
              <w:rPr>
                <w:i/>
                <w:sz w:val="14"/>
                <w:lang w:val="fr-CH"/>
              </w:rPr>
              <w:t>2012</w:t>
            </w:r>
          </w:p>
        </w:tc>
      </w:tr>
      <w:tr w:rsidR="005C0C39" w:rsidRPr="00BF1937" w:rsidTr="005C0C39">
        <w:trPr>
          <w:trHeight w:hRule="exact" w:val="115"/>
          <w:tblHeader/>
        </w:trPr>
        <w:tc>
          <w:tcPr>
            <w:tcW w:w="6356" w:type="dxa"/>
            <w:tcBorders>
              <w:top w:val="single" w:sz="12" w:space="0" w:color="auto"/>
              <w:left w:val="nil"/>
              <w:bottom w:val="nil"/>
              <w:right w:val="nil"/>
            </w:tcBorders>
            <w:noWrap/>
            <w:vAlign w:val="bottom"/>
          </w:tcPr>
          <w:p w:rsidR="005C0C39" w:rsidRPr="005C0C39" w:rsidRDefault="005C0C39" w:rsidP="005C0C39">
            <w:pPr>
              <w:tabs>
                <w:tab w:val="left" w:pos="288"/>
                <w:tab w:val="left" w:pos="576"/>
                <w:tab w:val="left" w:pos="864"/>
                <w:tab w:val="left" w:pos="1152"/>
              </w:tabs>
              <w:suppressAutoHyphens/>
              <w:spacing w:before="80" w:after="80" w:line="160" w:lineRule="exact"/>
              <w:ind w:right="40"/>
              <w:jc w:val="center"/>
              <w:rPr>
                <w:i/>
                <w:sz w:val="14"/>
                <w:lang w:val="fr-CH"/>
              </w:rPr>
            </w:pPr>
          </w:p>
        </w:tc>
        <w:tc>
          <w:tcPr>
            <w:tcW w:w="1132" w:type="dxa"/>
            <w:tcBorders>
              <w:top w:val="single" w:sz="12" w:space="0" w:color="auto"/>
              <w:left w:val="nil"/>
              <w:bottom w:val="nil"/>
              <w:right w:val="nil"/>
            </w:tcBorders>
            <w:noWrap/>
            <w:vAlign w:val="bottom"/>
          </w:tcPr>
          <w:p w:rsidR="005C0C39" w:rsidRPr="005C0C39" w:rsidRDefault="005C0C39" w:rsidP="005C0C39">
            <w:pPr>
              <w:tabs>
                <w:tab w:val="left" w:pos="288"/>
                <w:tab w:val="left" w:pos="576"/>
                <w:tab w:val="left" w:pos="864"/>
                <w:tab w:val="left" w:pos="1152"/>
              </w:tabs>
              <w:suppressAutoHyphens/>
              <w:spacing w:before="80" w:after="80" w:line="160" w:lineRule="exact"/>
              <w:ind w:right="40"/>
              <w:jc w:val="center"/>
              <w:rPr>
                <w:i/>
                <w:sz w:val="14"/>
                <w:lang w:val="fr-CH"/>
              </w:rPr>
            </w:pPr>
          </w:p>
        </w:tc>
      </w:tr>
      <w:tr w:rsidR="00BF1937" w:rsidRPr="00BF1937" w:rsidTr="003D7FE2">
        <w:tc>
          <w:tcPr>
            <w:tcW w:w="6356" w:type="dxa"/>
            <w:tcBorders>
              <w:top w:val="nil"/>
              <w:left w:val="nil"/>
              <w:bottom w:val="nil"/>
              <w:right w:val="nil"/>
            </w:tcBorders>
            <w:noWrap/>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5C0C39">
              <w:rPr>
                <w:sz w:val="17"/>
                <w:lang w:val="fr-CH"/>
              </w:rPr>
              <w:t>Nombre de cas de VIH/sida pour 100 000 personnes</w:t>
            </w:r>
          </w:p>
        </w:tc>
        <w:tc>
          <w:tcPr>
            <w:tcW w:w="1132" w:type="dxa"/>
            <w:tcBorders>
              <w:top w:val="nil"/>
              <w:left w:val="nil"/>
              <w:bottom w:val="nil"/>
              <w:right w:val="nil"/>
            </w:tcBorders>
            <w:noWrap/>
            <w:vAlign w:val="bottom"/>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5C0C39">
              <w:rPr>
                <w:sz w:val="17"/>
                <w:lang w:val="fr-CH"/>
              </w:rPr>
              <w:t>6,02</w:t>
            </w:r>
          </w:p>
        </w:tc>
      </w:tr>
      <w:tr w:rsidR="00BF1937" w:rsidRPr="00BF1937" w:rsidTr="00383D81">
        <w:tc>
          <w:tcPr>
            <w:tcW w:w="6356" w:type="dxa"/>
            <w:tcBorders>
              <w:top w:val="nil"/>
              <w:left w:val="nil"/>
              <w:bottom w:val="single" w:sz="4" w:space="0" w:color="auto"/>
              <w:right w:val="nil"/>
            </w:tcBorders>
            <w:noWrap/>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5C0C39">
              <w:rPr>
                <w:sz w:val="17"/>
                <w:lang w:val="fr-CH"/>
              </w:rPr>
              <w:t>(À l</w:t>
            </w:r>
            <w:r w:rsidR="008300FB" w:rsidRPr="005C0C39">
              <w:rPr>
                <w:sz w:val="17"/>
                <w:lang w:val="fr-CH"/>
              </w:rPr>
              <w:t>’</w:t>
            </w:r>
            <w:r w:rsidRPr="005C0C39">
              <w:rPr>
                <w:sz w:val="17"/>
                <w:lang w:val="fr-CH"/>
              </w:rPr>
              <w:t>exception des cas parmi les non-résidents de la zone contrôlée par le Gouvernement chypriote)</w:t>
            </w:r>
          </w:p>
        </w:tc>
        <w:tc>
          <w:tcPr>
            <w:tcW w:w="1132" w:type="dxa"/>
            <w:tcBorders>
              <w:top w:val="nil"/>
              <w:left w:val="nil"/>
              <w:bottom w:val="single" w:sz="6" w:space="0" w:color="auto"/>
              <w:right w:val="nil"/>
            </w:tcBorders>
            <w:noWrap/>
            <w:vAlign w:val="bottom"/>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p>
        </w:tc>
      </w:tr>
      <w:tr w:rsidR="00AB37C5" w:rsidRPr="00BF1937" w:rsidTr="000F6A76">
        <w:tc>
          <w:tcPr>
            <w:tcW w:w="7488" w:type="dxa"/>
            <w:gridSpan w:val="2"/>
            <w:tcBorders>
              <w:top w:val="single" w:sz="4" w:space="0" w:color="auto"/>
              <w:left w:val="nil"/>
              <w:bottom w:val="single" w:sz="4" w:space="0" w:color="auto"/>
              <w:right w:val="nil"/>
            </w:tcBorders>
            <w:noWrap/>
            <w:hideMark/>
          </w:tcPr>
          <w:p w:rsidR="00AB37C5" w:rsidRPr="005C0C39" w:rsidRDefault="00AB37C5" w:rsidP="003D7FE2">
            <w:pPr>
              <w:tabs>
                <w:tab w:val="left" w:pos="288"/>
                <w:tab w:val="left" w:pos="576"/>
                <w:tab w:val="left" w:pos="864"/>
                <w:tab w:val="left" w:pos="1152"/>
              </w:tabs>
              <w:suppressAutoHyphens/>
              <w:spacing w:before="40" w:after="40" w:line="200" w:lineRule="exact"/>
              <w:ind w:right="43"/>
              <w:jc w:val="center"/>
              <w:rPr>
                <w:i/>
                <w:sz w:val="14"/>
                <w:lang w:val="fr-CH"/>
              </w:rPr>
            </w:pPr>
            <w:r w:rsidRPr="005C0C39">
              <w:rPr>
                <w:i/>
                <w:sz w:val="14"/>
                <w:lang w:val="fr-CH"/>
              </w:rPr>
              <w:t>2013</w:t>
            </w:r>
          </w:p>
        </w:tc>
      </w:tr>
      <w:tr w:rsidR="00BF1937" w:rsidRPr="00BF1937" w:rsidTr="003D7FE2">
        <w:tc>
          <w:tcPr>
            <w:tcW w:w="6356" w:type="dxa"/>
            <w:tcBorders>
              <w:top w:val="single" w:sz="4" w:space="0" w:color="auto"/>
              <w:left w:val="nil"/>
              <w:bottom w:val="nil"/>
              <w:right w:val="nil"/>
            </w:tcBorders>
            <w:noWrap/>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5C0C39">
              <w:rPr>
                <w:sz w:val="17"/>
                <w:lang w:val="fr-CH"/>
              </w:rPr>
              <w:t>Nombre de cas de VIH/sida pour 100 000 personnes</w:t>
            </w:r>
          </w:p>
        </w:tc>
        <w:tc>
          <w:tcPr>
            <w:tcW w:w="1132" w:type="dxa"/>
            <w:tcBorders>
              <w:top w:val="single" w:sz="4" w:space="0" w:color="auto"/>
              <w:left w:val="nil"/>
              <w:bottom w:val="nil"/>
              <w:right w:val="nil"/>
            </w:tcBorders>
            <w:noWrap/>
            <w:vAlign w:val="bottom"/>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r w:rsidRPr="005C0C39">
              <w:rPr>
                <w:sz w:val="17"/>
                <w:lang w:val="fr-CH"/>
              </w:rPr>
              <w:t>5,4</w:t>
            </w:r>
          </w:p>
        </w:tc>
      </w:tr>
      <w:tr w:rsidR="00BF1937" w:rsidRPr="00BF1937" w:rsidTr="003D7FE2">
        <w:tc>
          <w:tcPr>
            <w:tcW w:w="6356" w:type="dxa"/>
            <w:tcBorders>
              <w:top w:val="nil"/>
              <w:left w:val="nil"/>
              <w:bottom w:val="single" w:sz="12" w:space="0" w:color="auto"/>
              <w:right w:val="nil"/>
            </w:tcBorders>
            <w:noWrap/>
            <w:hideMark/>
          </w:tcPr>
          <w:p w:rsidR="00BF1937" w:rsidRPr="005C0C39" w:rsidRDefault="00BF1937" w:rsidP="003D7FE2">
            <w:pPr>
              <w:tabs>
                <w:tab w:val="left" w:pos="288"/>
                <w:tab w:val="left" w:pos="576"/>
                <w:tab w:val="left" w:pos="864"/>
                <w:tab w:val="left" w:pos="1152"/>
              </w:tabs>
              <w:suppressAutoHyphens/>
              <w:spacing w:before="40" w:after="40" w:line="200" w:lineRule="exact"/>
              <w:ind w:right="40"/>
              <w:rPr>
                <w:sz w:val="17"/>
                <w:lang w:val="fr-CH"/>
              </w:rPr>
            </w:pPr>
            <w:r w:rsidRPr="005C0C39">
              <w:rPr>
                <w:sz w:val="17"/>
                <w:lang w:val="fr-CH"/>
              </w:rPr>
              <w:t>(À l</w:t>
            </w:r>
            <w:r w:rsidR="008300FB" w:rsidRPr="005C0C39">
              <w:rPr>
                <w:sz w:val="17"/>
                <w:lang w:val="fr-CH"/>
              </w:rPr>
              <w:t>’</w:t>
            </w:r>
            <w:r w:rsidRPr="005C0C39">
              <w:rPr>
                <w:sz w:val="17"/>
                <w:lang w:val="fr-CH"/>
              </w:rPr>
              <w:t>exception des cas parmi les non-résidents de la zone contrôlée par le Gouvernement chypriote)</w:t>
            </w:r>
          </w:p>
        </w:tc>
        <w:tc>
          <w:tcPr>
            <w:tcW w:w="1132" w:type="dxa"/>
            <w:tcBorders>
              <w:top w:val="nil"/>
              <w:left w:val="nil"/>
              <w:bottom w:val="single" w:sz="12" w:space="0" w:color="auto"/>
              <w:right w:val="nil"/>
            </w:tcBorders>
            <w:noWrap/>
            <w:vAlign w:val="bottom"/>
          </w:tcPr>
          <w:p w:rsidR="00BF1937" w:rsidRPr="005C0C39" w:rsidRDefault="00BF1937" w:rsidP="003D7FE2">
            <w:pPr>
              <w:tabs>
                <w:tab w:val="left" w:pos="288"/>
                <w:tab w:val="left" w:pos="576"/>
                <w:tab w:val="left" w:pos="864"/>
                <w:tab w:val="left" w:pos="1152"/>
              </w:tabs>
              <w:suppressAutoHyphens/>
              <w:spacing w:before="40" w:after="40" w:line="200" w:lineRule="exact"/>
              <w:ind w:right="43"/>
              <w:jc w:val="right"/>
              <w:rPr>
                <w:sz w:val="17"/>
                <w:lang w:val="fr-CH"/>
              </w:rPr>
            </w:pPr>
          </w:p>
        </w:tc>
      </w:tr>
    </w:tbl>
    <w:p w:rsidR="00BF1937" w:rsidRPr="00BF1937" w:rsidRDefault="00365D26" w:rsidP="00AD54C4">
      <w:pPr>
        <w:pStyle w:val="SingleTxt"/>
        <w:numPr>
          <w:ilvl w:val="0"/>
          <w:numId w:val="18"/>
        </w:numPr>
        <w:tabs>
          <w:tab w:val="clear" w:pos="475"/>
          <w:tab w:val="num" w:pos="1742"/>
        </w:tabs>
        <w:ind w:left="1267"/>
        <w:rPr>
          <w:lang w:val="fr-CH"/>
        </w:rPr>
      </w:pPr>
      <w:hyperlink r:id="rId17" w:history="1">
        <w:r w:rsidR="00BF1937" w:rsidRPr="00BF1937">
          <w:rPr>
            <w:rStyle w:val="Hyperlink"/>
            <w:lang w:val="fr-CH"/>
          </w:rPr>
          <w:t>Prévalence des grandes maladies transmissibles et non transmissibles</w:t>
        </w:r>
        <w:r w:rsidR="00EA238B">
          <w:rPr>
            <w:rStyle w:val="Hyperlink"/>
            <w:lang w:val="fr-CH"/>
          </w:rPr>
          <w:t> </w:t>
        </w:r>
        <w:r w:rsidR="00BF1937" w:rsidRPr="00BF1937">
          <w:rPr>
            <w:rStyle w:val="Hyperlink"/>
            <w:lang w:val="fr-CH"/>
          </w:rPr>
          <w:t>:</w:t>
        </w:r>
      </w:hyperlink>
      <w:r w:rsidR="00BF1937" w:rsidRPr="00BF1937">
        <w:rPr>
          <w:lang w:val="fr-CH"/>
        </w:rPr>
        <w:t xml:space="preserve"> voir le tableau correspondant à l</w:t>
      </w:r>
      <w:r w:rsidR="008300FB">
        <w:rPr>
          <w:lang w:val="fr-CH"/>
        </w:rPr>
        <w:t>’</w:t>
      </w:r>
      <w:r w:rsidR="00BF1937" w:rsidRPr="00BF1937">
        <w:rPr>
          <w:lang w:val="fr-CH"/>
        </w:rPr>
        <w:t>annexe II.</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CH"/>
        </w:rPr>
      </w:pPr>
      <w:r w:rsidRPr="00BF1937">
        <w:rPr>
          <w:lang w:val="fr-CH"/>
        </w:rPr>
        <w:tab/>
      </w:r>
      <w:r w:rsidRPr="00BF1937">
        <w:rPr>
          <w:lang w:val="fr-CH"/>
        </w:rPr>
        <w:tab/>
        <w:t>Dix principales causes de décès</w:t>
      </w:r>
    </w:p>
    <w:p w:rsidR="00EA238B" w:rsidRPr="00EA238B" w:rsidRDefault="00EA238B" w:rsidP="00EA238B">
      <w:pPr>
        <w:pStyle w:val="SingleTxt"/>
        <w:spacing w:after="0" w:line="120" w:lineRule="exact"/>
        <w:rPr>
          <w:b/>
          <w:i/>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4608"/>
        <w:gridCol w:w="1371"/>
        <w:gridCol w:w="1509"/>
      </w:tblGrid>
      <w:tr w:rsidR="005C0C39" w:rsidRPr="00BF1937" w:rsidTr="005C0C39">
        <w:trPr>
          <w:trHeight w:val="314"/>
          <w:tblHeader/>
        </w:trPr>
        <w:tc>
          <w:tcPr>
            <w:tcW w:w="7372" w:type="dxa"/>
            <w:gridSpan w:val="3"/>
            <w:tcBorders>
              <w:top w:val="single" w:sz="4" w:space="0" w:color="auto"/>
              <w:left w:val="nil"/>
              <w:bottom w:val="single" w:sz="4" w:space="0" w:color="auto"/>
              <w:right w:val="nil"/>
            </w:tcBorders>
            <w:noWrap/>
            <w:vAlign w:val="bottom"/>
            <w:hideMark/>
          </w:tcPr>
          <w:p w:rsidR="005C0C39" w:rsidRPr="005C0C39" w:rsidRDefault="005C0C39" w:rsidP="005C0C39">
            <w:pPr>
              <w:tabs>
                <w:tab w:val="left" w:pos="288"/>
                <w:tab w:val="left" w:pos="576"/>
                <w:tab w:val="left" w:pos="864"/>
                <w:tab w:val="left" w:pos="1152"/>
              </w:tabs>
              <w:suppressAutoHyphens/>
              <w:spacing w:before="80" w:after="80" w:line="160" w:lineRule="exact"/>
              <w:ind w:right="40"/>
              <w:jc w:val="center"/>
              <w:rPr>
                <w:i/>
                <w:sz w:val="14"/>
                <w:lang w:val="fr-CH"/>
              </w:rPr>
            </w:pPr>
            <w:r w:rsidRPr="005C0C39">
              <w:rPr>
                <w:i/>
                <w:sz w:val="14"/>
                <w:lang w:val="fr-CH"/>
              </w:rPr>
              <w:t>2011 </w:t>
            </w:r>
          </w:p>
        </w:tc>
      </w:tr>
      <w:tr w:rsidR="00BF1937" w:rsidRPr="00BF1937" w:rsidTr="005C0C39">
        <w:trPr>
          <w:trHeight w:val="314"/>
          <w:tblHeader/>
        </w:trPr>
        <w:tc>
          <w:tcPr>
            <w:tcW w:w="4536" w:type="dxa"/>
            <w:tcBorders>
              <w:top w:val="single" w:sz="4" w:space="0" w:color="auto"/>
              <w:left w:val="nil"/>
              <w:bottom w:val="single" w:sz="12" w:space="0" w:color="auto"/>
              <w:right w:val="nil"/>
            </w:tcBorders>
            <w:noWrap/>
            <w:hideMark/>
          </w:tcPr>
          <w:p w:rsidR="00BF1937" w:rsidRPr="00BF1937" w:rsidRDefault="00BF1937" w:rsidP="005C0C39">
            <w:pPr>
              <w:tabs>
                <w:tab w:val="left" w:pos="288"/>
                <w:tab w:val="left" w:pos="576"/>
                <w:tab w:val="left" w:pos="864"/>
                <w:tab w:val="left" w:pos="1152"/>
              </w:tabs>
              <w:suppressAutoHyphens/>
              <w:spacing w:before="80" w:after="80" w:line="160" w:lineRule="exact"/>
              <w:ind w:right="40"/>
              <w:rPr>
                <w:lang w:val="fr-CH"/>
              </w:rPr>
            </w:pPr>
            <w:r w:rsidRPr="005C0C39">
              <w:rPr>
                <w:i/>
                <w:sz w:val="14"/>
                <w:lang w:val="fr-CH"/>
              </w:rPr>
              <w:t>Cause de décès</w:t>
            </w:r>
          </w:p>
        </w:tc>
        <w:tc>
          <w:tcPr>
            <w:tcW w:w="1350" w:type="dxa"/>
            <w:tcBorders>
              <w:top w:val="single" w:sz="4" w:space="0" w:color="auto"/>
              <w:left w:val="nil"/>
              <w:bottom w:val="single" w:sz="12" w:space="0" w:color="auto"/>
              <w:right w:val="nil"/>
            </w:tcBorders>
            <w:noWrap/>
            <w:hideMark/>
          </w:tcPr>
          <w:p w:rsidR="00BF1937" w:rsidRPr="005C0C39" w:rsidRDefault="00BF1937" w:rsidP="005C0C39">
            <w:pPr>
              <w:tabs>
                <w:tab w:val="left" w:pos="288"/>
                <w:tab w:val="left" w:pos="576"/>
                <w:tab w:val="left" w:pos="864"/>
                <w:tab w:val="left" w:pos="1152"/>
              </w:tabs>
              <w:suppressAutoHyphens/>
              <w:spacing w:before="80" w:after="80" w:line="160" w:lineRule="exact"/>
              <w:ind w:right="43"/>
              <w:jc w:val="right"/>
              <w:rPr>
                <w:i/>
                <w:sz w:val="14"/>
                <w:lang w:val="fr-CH"/>
              </w:rPr>
            </w:pPr>
            <w:r w:rsidRPr="005C0C39">
              <w:rPr>
                <w:i/>
                <w:sz w:val="14"/>
                <w:lang w:val="fr-CH"/>
              </w:rPr>
              <w:t>Nombre de cas</w:t>
            </w:r>
          </w:p>
        </w:tc>
        <w:tc>
          <w:tcPr>
            <w:tcW w:w="1486" w:type="dxa"/>
            <w:tcBorders>
              <w:top w:val="single" w:sz="4" w:space="0" w:color="auto"/>
              <w:left w:val="nil"/>
              <w:bottom w:val="single" w:sz="12" w:space="0" w:color="auto"/>
              <w:right w:val="nil"/>
            </w:tcBorders>
            <w:noWrap/>
            <w:vAlign w:val="bottom"/>
            <w:hideMark/>
          </w:tcPr>
          <w:p w:rsidR="00BF1937" w:rsidRPr="005C0C39" w:rsidRDefault="00BF1937" w:rsidP="005C0C39">
            <w:pPr>
              <w:tabs>
                <w:tab w:val="left" w:pos="288"/>
                <w:tab w:val="left" w:pos="576"/>
                <w:tab w:val="left" w:pos="864"/>
                <w:tab w:val="left" w:pos="1152"/>
              </w:tabs>
              <w:suppressAutoHyphens/>
              <w:spacing w:before="80" w:after="80" w:line="160" w:lineRule="exact"/>
              <w:ind w:right="43"/>
              <w:jc w:val="right"/>
              <w:rPr>
                <w:i/>
                <w:sz w:val="14"/>
                <w:lang w:val="fr-CH"/>
              </w:rPr>
            </w:pPr>
            <w:r w:rsidRPr="005C0C39">
              <w:rPr>
                <w:i/>
                <w:sz w:val="14"/>
                <w:lang w:val="fr-CH"/>
              </w:rPr>
              <w:t xml:space="preserve">En pourcentage </w:t>
            </w:r>
          </w:p>
        </w:tc>
      </w:tr>
      <w:tr w:rsidR="005C0C39" w:rsidRPr="00BF1937" w:rsidTr="005C0C39">
        <w:trPr>
          <w:trHeight w:hRule="exact" w:val="115"/>
          <w:tblHeader/>
        </w:trPr>
        <w:tc>
          <w:tcPr>
            <w:tcW w:w="4536" w:type="dxa"/>
            <w:tcBorders>
              <w:top w:val="single" w:sz="12" w:space="0" w:color="auto"/>
              <w:left w:val="nil"/>
              <w:bottom w:val="nil"/>
              <w:right w:val="nil"/>
            </w:tcBorders>
            <w:noWrap/>
          </w:tcPr>
          <w:p w:rsidR="005C0C39" w:rsidRPr="005C0C39" w:rsidRDefault="005C0C39" w:rsidP="005C0C39">
            <w:pPr>
              <w:tabs>
                <w:tab w:val="left" w:pos="288"/>
                <w:tab w:val="left" w:pos="576"/>
                <w:tab w:val="left" w:pos="864"/>
                <w:tab w:val="left" w:pos="1152"/>
              </w:tabs>
              <w:suppressAutoHyphens/>
              <w:spacing w:before="80" w:after="80" w:line="160" w:lineRule="exact"/>
              <w:ind w:right="40"/>
              <w:rPr>
                <w:i/>
                <w:sz w:val="14"/>
                <w:lang w:val="fr-CH"/>
              </w:rPr>
            </w:pPr>
          </w:p>
        </w:tc>
        <w:tc>
          <w:tcPr>
            <w:tcW w:w="1350" w:type="dxa"/>
            <w:tcBorders>
              <w:top w:val="single" w:sz="12" w:space="0" w:color="auto"/>
              <w:left w:val="nil"/>
              <w:bottom w:val="nil"/>
              <w:right w:val="nil"/>
            </w:tcBorders>
            <w:noWrap/>
          </w:tcPr>
          <w:p w:rsidR="005C0C39" w:rsidRPr="005C0C39" w:rsidRDefault="005C0C39" w:rsidP="005C0C39">
            <w:pPr>
              <w:tabs>
                <w:tab w:val="left" w:pos="288"/>
                <w:tab w:val="left" w:pos="576"/>
                <w:tab w:val="left" w:pos="864"/>
                <w:tab w:val="left" w:pos="1152"/>
              </w:tabs>
              <w:suppressAutoHyphens/>
              <w:spacing w:before="80" w:after="80" w:line="160" w:lineRule="exact"/>
              <w:ind w:right="43"/>
              <w:jc w:val="right"/>
              <w:rPr>
                <w:i/>
                <w:sz w:val="14"/>
                <w:lang w:val="fr-CH"/>
              </w:rPr>
            </w:pPr>
          </w:p>
        </w:tc>
        <w:tc>
          <w:tcPr>
            <w:tcW w:w="1486" w:type="dxa"/>
            <w:tcBorders>
              <w:top w:val="single" w:sz="12" w:space="0" w:color="auto"/>
              <w:left w:val="nil"/>
              <w:bottom w:val="nil"/>
              <w:right w:val="nil"/>
            </w:tcBorders>
            <w:noWrap/>
            <w:vAlign w:val="bottom"/>
          </w:tcPr>
          <w:p w:rsidR="005C0C39" w:rsidRPr="005C0C39" w:rsidRDefault="005C0C39" w:rsidP="005C0C39">
            <w:pPr>
              <w:tabs>
                <w:tab w:val="left" w:pos="288"/>
                <w:tab w:val="left" w:pos="576"/>
                <w:tab w:val="left" w:pos="864"/>
                <w:tab w:val="left" w:pos="1152"/>
              </w:tabs>
              <w:suppressAutoHyphens/>
              <w:spacing w:before="80" w:after="80" w:line="160" w:lineRule="exact"/>
              <w:ind w:right="43"/>
              <w:jc w:val="right"/>
              <w:rPr>
                <w:i/>
                <w:sz w:val="14"/>
                <w:lang w:val="fr-CH"/>
              </w:rPr>
            </w:pP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Maladies de l</w:t>
            </w:r>
            <w:r w:rsidR="008300FB" w:rsidRPr="005C0C39">
              <w:rPr>
                <w:sz w:val="17"/>
                <w:lang w:val="fr-CH"/>
              </w:rPr>
              <w:t>’</w:t>
            </w:r>
            <w:r w:rsidRPr="005C0C39">
              <w:rPr>
                <w:sz w:val="17"/>
                <w:lang w:val="fr-CH"/>
              </w:rPr>
              <w:t xml:space="preserve">appareil circulatoire </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2 119</w:t>
            </w:r>
          </w:p>
        </w:tc>
        <w:tc>
          <w:tcPr>
            <w:tcW w:w="1486" w:type="dxa"/>
            <w:tcBorders>
              <w:top w:val="nil"/>
              <w:left w:val="nil"/>
              <w:bottom w:val="nil"/>
              <w:right w:val="nil"/>
            </w:tcBorders>
            <w:noWrap/>
            <w:vAlign w:val="bottom"/>
            <w:hideMark/>
          </w:tcPr>
          <w:p w:rsidR="00BF1937" w:rsidRPr="005C0C39" w:rsidRDefault="00BF1937" w:rsidP="00AB37C5">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39,2</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Tumeurs</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1 194</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22,1</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Maladies endocriniennes, nutritionnelles et métaboliques</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426</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7,9</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Maladies de l</w:t>
            </w:r>
            <w:r w:rsidR="008300FB" w:rsidRPr="005C0C39">
              <w:rPr>
                <w:sz w:val="17"/>
                <w:lang w:val="fr-CH"/>
              </w:rPr>
              <w:t>’</w:t>
            </w:r>
            <w:r w:rsidRPr="005C0C39">
              <w:rPr>
                <w:sz w:val="17"/>
                <w:lang w:val="fr-CH"/>
              </w:rPr>
              <w:t>appareil respiratoire</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366</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6,8</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Causes externes de morbidité et de mortalité</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278</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5,1</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Maladies de l</w:t>
            </w:r>
            <w:r w:rsidR="008300FB" w:rsidRPr="005C0C39">
              <w:rPr>
                <w:sz w:val="17"/>
                <w:lang w:val="fr-CH"/>
              </w:rPr>
              <w:t>’</w:t>
            </w:r>
            <w:r w:rsidRPr="005C0C39">
              <w:rPr>
                <w:sz w:val="17"/>
                <w:lang w:val="fr-CH"/>
              </w:rPr>
              <w:t>appareil digestif</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196</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3,6</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Maladies de l</w:t>
            </w:r>
            <w:r w:rsidR="008300FB" w:rsidRPr="005C0C39">
              <w:rPr>
                <w:sz w:val="17"/>
                <w:lang w:val="fr-CH"/>
              </w:rPr>
              <w:t>’</w:t>
            </w:r>
            <w:r w:rsidRPr="005C0C39">
              <w:rPr>
                <w:sz w:val="17"/>
                <w:lang w:val="fr-CH"/>
              </w:rPr>
              <w:t xml:space="preserve">appareil génito-urinaire </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174</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3,2</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 xml:space="preserve">Maladies du système nerveux et des organes des sens </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164</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3,0</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 xml:space="preserve">Maladies infectieuses et parasitaires </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85</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1,6</w:t>
            </w:r>
          </w:p>
        </w:tc>
      </w:tr>
      <w:tr w:rsidR="00BF1937" w:rsidRPr="00BF1937" w:rsidTr="005C0C39">
        <w:tc>
          <w:tcPr>
            <w:tcW w:w="4536"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t xml:space="preserve">Troubles mentaux et troubles du comportement </w:t>
            </w:r>
          </w:p>
        </w:tc>
        <w:tc>
          <w:tcPr>
            <w:tcW w:w="1350" w:type="dxa"/>
            <w:tcBorders>
              <w:top w:val="nil"/>
              <w:left w:val="nil"/>
              <w:bottom w:val="nil"/>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81</w:t>
            </w:r>
          </w:p>
        </w:tc>
        <w:tc>
          <w:tcPr>
            <w:tcW w:w="1486" w:type="dxa"/>
            <w:tcBorders>
              <w:top w:val="nil"/>
              <w:left w:val="nil"/>
              <w:bottom w:val="nil"/>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1,5</w:t>
            </w:r>
          </w:p>
        </w:tc>
      </w:tr>
      <w:tr w:rsidR="00BF1937" w:rsidRPr="00BF1937" w:rsidTr="005C0C39">
        <w:tc>
          <w:tcPr>
            <w:tcW w:w="4536" w:type="dxa"/>
            <w:tcBorders>
              <w:top w:val="nil"/>
              <w:left w:val="nil"/>
              <w:bottom w:val="single" w:sz="4" w:space="0" w:color="auto"/>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0"/>
              <w:rPr>
                <w:sz w:val="17"/>
                <w:lang w:val="fr-CH"/>
              </w:rPr>
            </w:pPr>
            <w:r w:rsidRPr="005C0C39">
              <w:rPr>
                <w:sz w:val="17"/>
                <w:lang w:val="fr-CH"/>
              </w:rPr>
              <w:lastRenderedPageBreak/>
              <w:t>Autres causes de décès</w:t>
            </w:r>
          </w:p>
        </w:tc>
        <w:tc>
          <w:tcPr>
            <w:tcW w:w="1350" w:type="dxa"/>
            <w:tcBorders>
              <w:top w:val="nil"/>
              <w:left w:val="nil"/>
              <w:bottom w:val="single" w:sz="4" w:space="0" w:color="auto"/>
              <w:right w:val="nil"/>
            </w:tcBorders>
            <w:noWrap/>
            <w:hideMark/>
          </w:tcPr>
          <w:p w:rsidR="00BF1937" w:rsidRPr="005C0C39" w:rsidRDefault="00BF1937" w:rsidP="005C0C39">
            <w:pPr>
              <w:tabs>
                <w:tab w:val="left" w:pos="288"/>
                <w:tab w:val="left" w:pos="576"/>
                <w:tab w:val="left" w:pos="864"/>
                <w:tab w:val="left" w:pos="1152"/>
              </w:tabs>
              <w:suppressAutoHyphens/>
              <w:spacing w:before="40" w:after="40" w:line="210" w:lineRule="exact"/>
              <w:ind w:right="43"/>
              <w:jc w:val="right"/>
              <w:rPr>
                <w:sz w:val="17"/>
                <w:lang w:val="fr-CH"/>
              </w:rPr>
            </w:pPr>
            <w:r w:rsidRPr="005C0C39">
              <w:rPr>
                <w:sz w:val="17"/>
                <w:lang w:val="fr-CH"/>
              </w:rPr>
              <w:t>318</w:t>
            </w:r>
          </w:p>
        </w:tc>
        <w:tc>
          <w:tcPr>
            <w:tcW w:w="1486" w:type="dxa"/>
            <w:tcBorders>
              <w:top w:val="nil"/>
              <w:left w:val="nil"/>
              <w:bottom w:val="single" w:sz="4" w:space="0" w:color="auto"/>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5,9</w:t>
            </w:r>
          </w:p>
        </w:tc>
      </w:tr>
      <w:tr w:rsidR="00BF1937" w:rsidRPr="00BF1937" w:rsidTr="005C0C39">
        <w:trPr>
          <w:trHeight w:val="314"/>
        </w:trPr>
        <w:tc>
          <w:tcPr>
            <w:tcW w:w="4536" w:type="dxa"/>
            <w:tcBorders>
              <w:top w:val="single" w:sz="4" w:space="0" w:color="auto"/>
              <w:left w:val="nil"/>
              <w:bottom w:val="single" w:sz="12" w:space="0" w:color="auto"/>
              <w:right w:val="nil"/>
            </w:tcBorders>
            <w:noWrap/>
            <w:hideMark/>
          </w:tcPr>
          <w:p w:rsidR="00BF1937" w:rsidRPr="005C0C39" w:rsidRDefault="00065439" w:rsidP="005C0C39">
            <w:pPr>
              <w:tabs>
                <w:tab w:val="left" w:pos="288"/>
                <w:tab w:val="left" w:pos="576"/>
                <w:tab w:val="left" w:pos="864"/>
                <w:tab w:val="left" w:pos="1152"/>
              </w:tabs>
              <w:suppressAutoHyphens/>
              <w:spacing w:before="81" w:after="81" w:line="210" w:lineRule="exact"/>
              <w:ind w:right="40"/>
              <w:rPr>
                <w:b/>
                <w:lang w:val="fr-CH"/>
              </w:rPr>
            </w:pPr>
            <w:r>
              <w:rPr>
                <w:b/>
                <w:sz w:val="17"/>
                <w:lang w:val="fr-CH"/>
              </w:rPr>
              <w:tab/>
            </w:r>
            <w:r w:rsidR="00BF1937" w:rsidRPr="005C0C39">
              <w:rPr>
                <w:b/>
                <w:sz w:val="17"/>
                <w:lang w:val="fr-CH"/>
              </w:rPr>
              <w:t>Nombre total de décès</w:t>
            </w:r>
            <w:r w:rsidR="00BF1937" w:rsidRPr="005C0C39">
              <w:rPr>
                <w:b/>
                <w:lang w:val="fr-CH"/>
              </w:rPr>
              <w:t xml:space="preserve"> </w:t>
            </w:r>
          </w:p>
        </w:tc>
        <w:tc>
          <w:tcPr>
            <w:tcW w:w="1350" w:type="dxa"/>
            <w:tcBorders>
              <w:top w:val="single" w:sz="4" w:space="0" w:color="auto"/>
              <w:left w:val="nil"/>
              <w:bottom w:val="single" w:sz="12" w:space="0" w:color="auto"/>
              <w:right w:val="nil"/>
            </w:tcBorders>
            <w:noWrap/>
            <w:hideMark/>
          </w:tcPr>
          <w:p w:rsidR="00BF1937" w:rsidRPr="005C0C39" w:rsidRDefault="00BF1937" w:rsidP="005C0C39">
            <w:pPr>
              <w:tabs>
                <w:tab w:val="left" w:pos="288"/>
                <w:tab w:val="left" w:pos="576"/>
                <w:tab w:val="left" w:pos="864"/>
                <w:tab w:val="left" w:pos="1152"/>
              </w:tabs>
              <w:suppressAutoHyphens/>
              <w:spacing w:before="81" w:after="81" w:line="210" w:lineRule="exact"/>
              <w:ind w:right="43"/>
              <w:jc w:val="right"/>
              <w:rPr>
                <w:b/>
                <w:sz w:val="17"/>
                <w:lang w:val="fr-CH"/>
              </w:rPr>
            </w:pPr>
            <w:r w:rsidRPr="005C0C39">
              <w:rPr>
                <w:b/>
                <w:sz w:val="17"/>
                <w:lang w:val="fr-CH"/>
              </w:rPr>
              <w:t>5 401</w:t>
            </w:r>
          </w:p>
        </w:tc>
        <w:tc>
          <w:tcPr>
            <w:tcW w:w="1486" w:type="dxa"/>
            <w:tcBorders>
              <w:top w:val="single" w:sz="4" w:space="0" w:color="auto"/>
              <w:left w:val="nil"/>
              <w:bottom w:val="single" w:sz="12" w:space="0" w:color="auto"/>
              <w:right w:val="nil"/>
            </w:tcBorders>
            <w:noWrap/>
            <w:vAlign w:val="bottom"/>
            <w:hideMark/>
          </w:tcPr>
          <w:p w:rsidR="00BF1937" w:rsidRPr="005C0C39" w:rsidRDefault="00AB37C5" w:rsidP="005C0C39">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100</w:t>
            </w:r>
          </w:p>
        </w:tc>
      </w:tr>
    </w:tbl>
    <w:p w:rsidR="00BF1937" w:rsidRPr="00EA238B" w:rsidRDefault="00BF1937"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4608"/>
        <w:gridCol w:w="1379"/>
        <w:gridCol w:w="1501"/>
      </w:tblGrid>
      <w:tr w:rsidR="005C0C39" w:rsidRPr="00BF1937" w:rsidTr="00065439">
        <w:trPr>
          <w:trHeight w:val="301"/>
          <w:tblHeader/>
        </w:trPr>
        <w:tc>
          <w:tcPr>
            <w:tcW w:w="7488" w:type="dxa"/>
            <w:gridSpan w:val="3"/>
            <w:tcBorders>
              <w:top w:val="single" w:sz="4" w:space="0" w:color="auto"/>
              <w:left w:val="nil"/>
              <w:bottom w:val="single" w:sz="4" w:space="0" w:color="auto"/>
              <w:right w:val="nil"/>
            </w:tcBorders>
            <w:noWrap/>
            <w:vAlign w:val="bottom"/>
            <w:hideMark/>
          </w:tcPr>
          <w:p w:rsidR="005C0C39" w:rsidRPr="00BF1937" w:rsidRDefault="005C0C39" w:rsidP="005C0C39">
            <w:pPr>
              <w:tabs>
                <w:tab w:val="left" w:pos="288"/>
                <w:tab w:val="left" w:pos="576"/>
                <w:tab w:val="left" w:pos="864"/>
                <w:tab w:val="left" w:pos="1152"/>
              </w:tabs>
              <w:suppressAutoHyphens/>
              <w:spacing w:before="80" w:after="80" w:line="160" w:lineRule="exact"/>
              <w:ind w:right="40"/>
              <w:jc w:val="center"/>
              <w:rPr>
                <w:lang w:val="fr-CH"/>
              </w:rPr>
            </w:pPr>
            <w:r w:rsidRPr="005C0C39">
              <w:rPr>
                <w:i/>
                <w:sz w:val="14"/>
                <w:lang w:val="fr-CH"/>
              </w:rPr>
              <w:t>2012</w:t>
            </w:r>
            <w:r w:rsidRPr="00BF1937">
              <w:rPr>
                <w:lang w:val="fr-CH"/>
              </w:rPr>
              <w:t> </w:t>
            </w:r>
          </w:p>
        </w:tc>
      </w:tr>
      <w:tr w:rsidR="00BF1937" w:rsidRPr="00BF1937" w:rsidTr="00065439">
        <w:trPr>
          <w:trHeight w:val="301"/>
          <w:tblHeader/>
        </w:trPr>
        <w:tc>
          <w:tcPr>
            <w:tcW w:w="4608" w:type="dxa"/>
            <w:tcBorders>
              <w:top w:val="single" w:sz="4" w:space="0" w:color="auto"/>
              <w:left w:val="nil"/>
              <w:bottom w:val="single" w:sz="12" w:space="0" w:color="auto"/>
              <w:right w:val="nil"/>
            </w:tcBorders>
            <w:noWrap/>
            <w:hideMark/>
          </w:tcPr>
          <w:p w:rsidR="00BF1937" w:rsidRPr="00BF1937" w:rsidRDefault="00BF1937" w:rsidP="00065439">
            <w:pPr>
              <w:tabs>
                <w:tab w:val="left" w:pos="288"/>
                <w:tab w:val="left" w:pos="576"/>
                <w:tab w:val="left" w:pos="864"/>
                <w:tab w:val="left" w:pos="1152"/>
              </w:tabs>
              <w:suppressAutoHyphens/>
              <w:spacing w:before="80" w:after="80" w:line="160" w:lineRule="exact"/>
              <w:ind w:right="40"/>
              <w:rPr>
                <w:lang w:val="fr-CH"/>
              </w:rPr>
            </w:pPr>
            <w:r w:rsidRPr="00065439">
              <w:rPr>
                <w:i/>
                <w:sz w:val="14"/>
                <w:lang w:val="fr-CH"/>
              </w:rPr>
              <w:t>Cause de décès</w:t>
            </w:r>
          </w:p>
        </w:tc>
        <w:tc>
          <w:tcPr>
            <w:tcW w:w="1379" w:type="dxa"/>
            <w:tcBorders>
              <w:top w:val="single" w:sz="4" w:space="0" w:color="auto"/>
              <w:left w:val="nil"/>
              <w:bottom w:val="single" w:sz="12" w:space="0" w:color="auto"/>
              <w:right w:val="nil"/>
            </w:tcBorders>
            <w:noWrap/>
            <w:hideMark/>
          </w:tcPr>
          <w:p w:rsidR="00BF1937" w:rsidRPr="00065439" w:rsidRDefault="00BF1937" w:rsidP="00065439">
            <w:pPr>
              <w:tabs>
                <w:tab w:val="left" w:pos="288"/>
                <w:tab w:val="left" w:pos="576"/>
                <w:tab w:val="left" w:pos="864"/>
                <w:tab w:val="left" w:pos="1152"/>
              </w:tabs>
              <w:suppressAutoHyphens/>
              <w:spacing w:before="80" w:after="80" w:line="160" w:lineRule="exact"/>
              <w:ind w:right="43"/>
              <w:jc w:val="right"/>
              <w:rPr>
                <w:i/>
                <w:sz w:val="14"/>
                <w:lang w:val="fr-CH"/>
              </w:rPr>
            </w:pPr>
            <w:r w:rsidRPr="00065439">
              <w:rPr>
                <w:i/>
                <w:sz w:val="14"/>
                <w:lang w:val="fr-CH"/>
              </w:rPr>
              <w:t>Nombre de cas</w:t>
            </w:r>
          </w:p>
        </w:tc>
        <w:tc>
          <w:tcPr>
            <w:tcW w:w="1501" w:type="dxa"/>
            <w:tcBorders>
              <w:top w:val="single" w:sz="4" w:space="0" w:color="auto"/>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0" w:after="80" w:line="160" w:lineRule="exact"/>
              <w:ind w:right="43"/>
              <w:jc w:val="right"/>
              <w:rPr>
                <w:i/>
                <w:sz w:val="14"/>
                <w:lang w:val="fr-CH"/>
              </w:rPr>
            </w:pPr>
            <w:r w:rsidRPr="00065439">
              <w:rPr>
                <w:i/>
                <w:sz w:val="14"/>
                <w:lang w:val="fr-CH"/>
              </w:rPr>
              <w:t>En pourcentage</w:t>
            </w:r>
          </w:p>
        </w:tc>
      </w:tr>
      <w:tr w:rsidR="00065439" w:rsidRPr="00BF1937" w:rsidTr="00065439">
        <w:trPr>
          <w:trHeight w:hRule="exact" w:val="115"/>
          <w:tblHeader/>
        </w:trPr>
        <w:tc>
          <w:tcPr>
            <w:tcW w:w="4608" w:type="dxa"/>
            <w:tcBorders>
              <w:top w:val="single" w:sz="12" w:space="0" w:color="auto"/>
              <w:left w:val="nil"/>
              <w:bottom w:val="nil"/>
              <w:right w:val="nil"/>
            </w:tcBorders>
            <w:noWrap/>
          </w:tcPr>
          <w:p w:rsidR="00065439" w:rsidRPr="00065439" w:rsidRDefault="00065439" w:rsidP="00065439">
            <w:pPr>
              <w:tabs>
                <w:tab w:val="left" w:pos="288"/>
                <w:tab w:val="left" w:pos="576"/>
                <w:tab w:val="left" w:pos="864"/>
                <w:tab w:val="left" w:pos="1152"/>
              </w:tabs>
              <w:suppressAutoHyphens/>
              <w:spacing w:before="80" w:after="80" w:line="160" w:lineRule="exact"/>
              <w:ind w:right="40"/>
              <w:rPr>
                <w:i/>
                <w:sz w:val="14"/>
                <w:lang w:val="fr-CH"/>
              </w:rPr>
            </w:pPr>
          </w:p>
        </w:tc>
        <w:tc>
          <w:tcPr>
            <w:tcW w:w="1379" w:type="dxa"/>
            <w:tcBorders>
              <w:top w:val="single" w:sz="12" w:space="0" w:color="auto"/>
              <w:left w:val="nil"/>
              <w:bottom w:val="nil"/>
              <w:right w:val="nil"/>
            </w:tcBorders>
            <w:noWrap/>
          </w:tcPr>
          <w:p w:rsidR="00065439" w:rsidRPr="00065439" w:rsidRDefault="00065439" w:rsidP="00065439">
            <w:pPr>
              <w:tabs>
                <w:tab w:val="left" w:pos="288"/>
                <w:tab w:val="left" w:pos="576"/>
                <w:tab w:val="left" w:pos="864"/>
                <w:tab w:val="left" w:pos="1152"/>
              </w:tabs>
              <w:suppressAutoHyphens/>
              <w:spacing w:before="80" w:after="80" w:line="160" w:lineRule="exact"/>
              <w:ind w:right="43"/>
              <w:jc w:val="right"/>
              <w:rPr>
                <w:i/>
                <w:sz w:val="14"/>
                <w:lang w:val="fr-CH"/>
              </w:rPr>
            </w:pPr>
          </w:p>
        </w:tc>
        <w:tc>
          <w:tcPr>
            <w:tcW w:w="1501" w:type="dxa"/>
            <w:tcBorders>
              <w:top w:val="single" w:sz="12" w:space="0" w:color="auto"/>
              <w:left w:val="nil"/>
              <w:bottom w:val="nil"/>
              <w:right w:val="nil"/>
            </w:tcBorders>
            <w:noWrap/>
            <w:vAlign w:val="bottom"/>
          </w:tcPr>
          <w:p w:rsidR="00065439" w:rsidRPr="00065439" w:rsidRDefault="00065439" w:rsidP="00065439">
            <w:pPr>
              <w:tabs>
                <w:tab w:val="left" w:pos="288"/>
                <w:tab w:val="left" w:pos="576"/>
                <w:tab w:val="left" w:pos="864"/>
                <w:tab w:val="left" w:pos="1152"/>
              </w:tabs>
              <w:suppressAutoHyphens/>
              <w:spacing w:before="80" w:after="80" w:line="160" w:lineRule="exact"/>
              <w:ind w:right="43"/>
              <w:jc w:val="right"/>
              <w:rPr>
                <w:i/>
                <w:sz w:val="14"/>
                <w:lang w:val="fr-CH"/>
              </w:rPr>
            </w:pP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Maladies de l</w:t>
            </w:r>
            <w:r w:rsidR="008300FB" w:rsidRPr="00065439">
              <w:rPr>
                <w:sz w:val="17"/>
                <w:lang w:val="fr-CH"/>
              </w:rPr>
              <w:t>’</w:t>
            </w:r>
            <w:r w:rsidRPr="00065439">
              <w:rPr>
                <w:sz w:val="17"/>
                <w:lang w:val="fr-CH"/>
              </w:rPr>
              <w:t xml:space="preserve">appareil circulatoire </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2 116</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37,4</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Tumeurs</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1 279</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22,6</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Maladies endocriniennes, nutritionnelles et métaboliques</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434</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7,7</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Maladies de l</w:t>
            </w:r>
            <w:r w:rsidR="008300FB" w:rsidRPr="00065439">
              <w:rPr>
                <w:sz w:val="17"/>
                <w:lang w:val="fr-CH"/>
              </w:rPr>
              <w:t>’</w:t>
            </w:r>
            <w:r w:rsidRPr="00065439">
              <w:rPr>
                <w:sz w:val="17"/>
                <w:lang w:val="fr-CH"/>
              </w:rPr>
              <w:t>appareil respiratoire</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434</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7,7</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Causes externes de morbidité et de mortalité</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293</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5,2</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Maladies de l</w:t>
            </w:r>
            <w:r w:rsidR="008300FB" w:rsidRPr="00065439">
              <w:rPr>
                <w:sz w:val="17"/>
                <w:lang w:val="fr-CH"/>
              </w:rPr>
              <w:t>’</w:t>
            </w:r>
            <w:r w:rsidRPr="00065439">
              <w:rPr>
                <w:sz w:val="17"/>
                <w:lang w:val="fr-CH"/>
              </w:rPr>
              <w:t xml:space="preserve">appareil génito-urinaire </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199</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3,5</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xml:space="preserve">Maladies du système nerveux et des organes des sens </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191</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3,4</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Maladies de l</w:t>
            </w:r>
            <w:r w:rsidR="008300FB" w:rsidRPr="00065439">
              <w:rPr>
                <w:sz w:val="17"/>
                <w:lang w:val="fr-CH"/>
              </w:rPr>
              <w:t>’</w:t>
            </w:r>
            <w:r w:rsidRPr="00065439">
              <w:rPr>
                <w:sz w:val="17"/>
                <w:lang w:val="fr-CH"/>
              </w:rPr>
              <w:t>appareil digestif</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163</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2,9</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Troubles mentaux et troubles du comportement</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90</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1,6</w:t>
            </w:r>
          </w:p>
        </w:tc>
      </w:tr>
      <w:tr w:rsidR="00BF1937" w:rsidRPr="00BF1937" w:rsidTr="00065439">
        <w:tc>
          <w:tcPr>
            <w:tcW w:w="4608"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xml:space="preserve">Maladies infectieuses et parasitaires </w:t>
            </w:r>
          </w:p>
        </w:tc>
        <w:tc>
          <w:tcPr>
            <w:tcW w:w="1379"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89</w:t>
            </w:r>
          </w:p>
        </w:tc>
        <w:tc>
          <w:tcPr>
            <w:tcW w:w="1501" w:type="dxa"/>
            <w:tcBorders>
              <w:top w:val="nil"/>
              <w:left w:val="nil"/>
              <w:bottom w:val="nil"/>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1,6</w:t>
            </w:r>
          </w:p>
        </w:tc>
      </w:tr>
      <w:tr w:rsidR="00BF1937" w:rsidRPr="00BF1937" w:rsidTr="00065439">
        <w:tc>
          <w:tcPr>
            <w:tcW w:w="4608" w:type="dxa"/>
            <w:tcBorders>
              <w:top w:val="nil"/>
              <w:left w:val="nil"/>
              <w:bottom w:val="single" w:sz="4" w:space="0" w:color="auto"/>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Autres causes de décès</w:t>
            </w:r>
          </w:p>
        </w:tc>
        <w:tc>
          <w:tcPr>
            <w:tcW w:w="1379" w:type="dxa"/>
            <w:tcBorders>
              <w:top w:val="nil"/>
              <w:left w:val="nil"/>
              <w:bottom w:val="single" w:sz="4" w:space="0" w:color="auto"/>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377</w:t>
            </w:r>
          </w:p>
        </w:tc>
        <w:tc>
          <w:tcPr>
            <w:tcW w:w="1501"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6</w:t>
            </w:r>
            <w:r w:rsidR="00AB37C5">
              <w:rPr>
                <w:sz w:val="17"/>
                <w:lang w:val="fr-CH"/>
              </w:rPr>
              <w:t>,7</w:t>
            </w:r>
          </w:p>
        </w:tc>
      </w:tr>
      <w:tr w:rsidR="00BF1937" w:rsidRPr="00BF1937" w:rsidTr="00065439">
        <w:trPr>
          <w:trHeight w:val="301"/>
        </w:trPr>
        <w:tc>
          <w:tcPr>
            <w:tcW w:w="4608" w:type="dxa"/>
            <w:tcBorders>
              <w:top w:val="single" w:sz="4" w:space="0" w:color="auto"/>
              <w:left w:val="nil"/>
              <w:bottom w:val="single" w:sz="12" w:space="0" w:color="auto"/>
              <w:right w:val="nil"/>
            </w:tcBorders>
            <w:noWrap/>
            <w:hideMark/>
          </w:tcPr>
          <w:p w:rsidR="00BF1937" w:rsidRPr="00BF1937" w:rsidRDefault="00065439" w:rsidP="00065439">
            <w:pPr>
              <w:tabs>
                <w:tab w:val="left" w:pos="288"/>
                <w:tab w:val="left" w:pos="576"/>
                <w:tab w:val="left" w:pos="864"/>
                <w:tab w:val="left" w:pos="1152"/>
              </w:tabs>
              <w:suppressAutoHyphens/>
              <w:spacing w:before="81" w:after="81" w:line="210" w:lineRule="exact"/>
              <w:ind w:right="40"/>
              <w:rPr>
                <w:b/>
                <w:lang w:val="fr-CH"/>
              </w:rPr>
            </w:pPr>
            <w:r>
              <w:rPr>
                <w:b/>
                <w:sz w:val="17"/>
                <w:lang w:val="fr-CH"/>
              </w:rPr>
              <w:tab/>
            </w:r>
            <w:r w:rsidR="00BF1937" w:rsidRPr="00065439">
              <w:rPr>
                <w:b/>
                <w:sz w:val="17"/>
                <w:lang w:val="fr-CH"/>
              </w:rPr>
              <w:t>Nombre total de décès</w:t>
            </w:r>
            <w:r w:rsidR="00BF1937" w:rsidRPr="00BF1937">
              <w:rPr>
                <w:b/>
                <w:lang w:val="fr-CH"/>
              </w:rPr>
              <w:t xml:space="preserve"> </w:t>
            </w:r>
          </w:p>
        </w:tc>
        <w:tc>
          <w:tcPr>
            <w:tcW w:w="1379" w:type="dxa"/>
            <w:tcBorders>
              <w:top w:val="single" w:sz="4" w:space="0" w:color="auto"/>
              <w:left w:val="nil"/>
              <w:bottom w:val="single" w:sz="12" w:space="0" w:color="auto"/>
              <w:right w:val="nil"/>
            </w:tcBorders>
            <w:noWrap/>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5</w:t>
            </w:r>
            <w:r w:rsidR="00AB37C5">
              <w:rPr>
                <w:b/>
                <w:sz w:val="17"/>
                <w:lang w:val="fr-CH"/>
              </w:rPr>
              <w:t xml:space="preserve"> </w:t>
            </w:r>
            <w:r w:rsidRPr="00065439">
              <w:rPr>
                <w:b/>
                <w:sz w:val="17"/>
                <w:lang w:val="fr-CH"/>
              </w:rPr>
              <w:t>665</w:t>
            </w:r>
          </w:p>
        </w:tc>
        <w:tc>
          <w:tcPr>
            <w:tcW w:w="1501" w:type="dxa"/>
            <w:tcBorders>
              <w:top w:val="single" w:sz="4" w:space="0" w:color="auto"/>
              <w:left w:val="nil"/>
              <w:bottom w:val="single" w:sz="12" w:space="0" w:color="auto"/>
              <w:right w:val="nil"/>
            </w:tcBorders>
            <w:noWrap/>
            <w:vAlign w:val="bottom"/>
            <w:hideMark/>
          </w:tcPr>
          <w:p w:rsidR="00BF1937" w:rsidRPr="00065439" w:rsidRDefault="00AB37C5" w:rsidP="00065439">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100</w:t>
            </w:r>
          </w:p>
        </w:tc>
      </w:tr>
    </w:tbl>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Taux de chômage par tranche d</w:t>
      </w:r>
      <w:r w:rsidR="008300FB">
        <w:rPr>
          <w:lang w:val="fr-CH"/>
        </w:rPr>
        <w:t>’</w:t>
      </w:r>
      <w:r w:rsidRPr="00BF1937">
        <w:rPr>
          <w:lang w:val="fr-CH"/>
        </w:rPr>
        <w:t>âge et par sexe (2009-2013)</w:t>
      </w:r>
    </w:p>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893"/>
        <w:gridCol w:w="990"/>
        <w:gridCol w:w="900"/>
        <w:gridCol w:w="900"/>
        <w:gridCol w:w="990"/>
        <w:gridCol w:w="900"/>
        <w:gridCol w:w="900"/>
        <w:gridCol w:w="1015"/>
      </w:tblGrid>
      <w:tr w:rsidR="00065439" w:rsidRPr="00BF1937" w:rsidTr="003D7FE2">
        <w:trPr>
          <w:trHeight w:val="251"/>
          <w:tblHeader/>
        </w:trPr>
        <w:tc>
          <w:tcPr>
            <w:tcW w:w="1883" w:type="dxa"/>
            <w:gridSpan w:val="2"/>
            <w:vMerge w:val="restart"/>
            <w:tcBorders>
              <w:top w:val="single" w:sz="4" w:space="0" w:color="auto"/>
              <w:left w:val="nil"/>
              <w:right w:val="nil"/>
            </w:tcBorders>
            <w:noWrap/>
            <w:vAlign w:val="bottom"/>
          </w:tcPr>
          <w:p w:rsidR="00065439" w:rsidRPr="00065439" w:rsidRDefault="00065439" w:rsidP="00065439">
            <w:pPr>
              <w:tabs>
                <w:tab w:val="left" w:pos="288"/>
                <w:tab w:val="left" w:pos="576"/>
                <w:tab w:val="left" w:pos="864"/>
                <w:tab w:val="left" w:pos="1152"/>
              </w:tabs>
              <w:suppressAutoHyphens/>
              <w:spacing w:before="80" w:after="80" w:line="160" w:lineRule="exact"/>
              <w:ind w:right="40"/>
              <w:rPr>
                <w:i/>
                <w:sz w:val="14"/>
                <w:lang w:val="fr-CH"/>
              </w:rPr>
            </w:pPr>
            <w:r w:rsidRPr="00065439">
              <w:rPr>
                <w:i/>
                <w:sz w:val="14"/>
                <w:lang w:val="fr-CH"/>
              </w:rPr>
              <w:t>Année/Sexe</w:t>
            </w:r>
          </w:p>
        </w:tc>
        <w:tc>
          <w:tcPr>
            <w:tcW w:w="5605" w:type="dxa"/>
            <w:gridSpan w:val="6"/>
            <w:tcBorders>
              <w:top w:val="single" w:sz="4" w:space="0" w:color="auto"/>
              <w:left w:val="nil"/>
              <w:bottom w:val="single" w:sz="4" w:space="0" w:color="auto"/>
              <w:right w:val="nil"/>
            </w:tcBorders>
            <w:noWrap/>
            <w:vAlign w:val="bottom"/>
            <w:hideMark/>
          </w:tcPr>
          <w:p w:rsidR="00065439" w:rsidRPr="00065439" w:rsidRDefault="00065439" w:rsidP="00065439">
            <w:pPr>
              <w:tabs>
                <w:tab w:val="left" w:pos="288"/>
                <w:tab w:val="left" w:pos="576"/>
                <w:tab w:val="left" w:pos="864"/>
                <w:tab w:val="left" w:pos="1152"/>
              </w:tabs>
              <w:suppressAutoHyphens/>
              <w:spacing w:before="80" w:after="80" w:line="160" w:lineRule="exact"/>
              <w:ind w:right="40"/>
              <w:jc w:val="center"/>
              <w:rPr>
                <w:i/>
                <w:sz w:val="14"/>
                <w:lang w:val="fr-CH"/>
              </w:rPr>
            </w:pPr>
            <w:r w:rsidRPr="00065439">
              <w:rPr>
                <w:i/>
                <w:sz w:val="14"/>
                <w:lang w:val="fr-CH"/>
              </w:rPr>
              <w:t>Tranches d’âge</w:t>
            </w:r>
          </w:p>
        </w:tc>
      </w:tr>
      <w:tr w:rsidR="00065439" w:rsidRPr="00BF1937" w:rsidTr="003D7FE2">
        <w:trPr>
          <w:trHeight w:val="251"/>
          <w:tblHeader/>
        </w:trPr>
        <w:tc>
          <w:tcPr>
            <w:tcW w:w="1883" w:type="dxa"/>
            <w:gridSpan w:val="2"/>
            <w:vMerge/>
            <w:tcBorders>
              <w:left w:val="nil"/>
              <w:bottom w:val="single" w:sz="12" w:space="0" w:color="auto"/>
              <w:right w:val="nil"/>
            </w:tcBorders>
            <w:noWrap/>
            <w:vAlign w:val="bottom"/>
            <w:hideMark/>
          </w:tcPr>
          <w:p w:rsidR="00065439" w:rsidRPr="00065439" w:rsidRDefault="00065439" w:rsidP="00065439">
            <w:pPr>
              <w:tabs>
                <w:tab w:val="left" w:pos="288"/>
                <w:tab w:val="left" w:pos="576"/>
                <w:tab w:val="left" w:pos="864"/>
                <w:tab w:val="left" w:pos="1152"/>
              </w:tabs>
              <w:suppressAutoHyphens/>
              <w:spacing w:before="80" w:after="80" w:line="160" w:lineRule="exact"/>
              <w:ind w:right="40"/>
              <w:rPr>
                <w:i/>
                <w:sz w:val="14"/>
                <w:lang w:val="fr-CH"/>
              </w:rPr>
            </w:pPr>
          </w:p>
        </w:tc>
        <w:tc>
          <w:tcPr>
            <w:tcW w:w="900" w:type="dxa"/>
            <w:tcBorders>
              <w:top w:val="single" w:sz="4" w:space="0" w:color="auto"/>
              <w:left w:val="nil"/>
              <w:bottom w:val="single" w:sz="12" w:space="0" w:color="auto"/>
              <w:right w:val="nil"/>
            </w:tcBorders>
            <w:noWrap/>
            <w:vAlign w:val="bottom"/>
            <w:hideMark/>
          </w:tcPr>
          <w:p w:rsidR="00065439" w:rsidRPr="00065439" w:rsidRDefault="00065439"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 xml:space="preserve">15 et plus </w:t>
            </w:r>
          </w:p>
        </w:tc>
        <w:tc>
          <w:tcPr>
            <w:tcW w:w="900" w:type="dxa"/>
            <w:tcBorders>
              <w:top w:val="single" w:sz="4" w:space="0" w:color="auto"/>
              <w:left w:val="nil"/>
              <w:bottom w:val="single" w:sz="12" w:space="0" w:color="auto"/>
              <w:right w:val="nil"/>
            </w:tcBorders>
            <w:noWrap/>
            <w:vAlign w:val="bottom"/>
            <w:hideMark/>
          </w:tcPr>
          <w:p w:rsidR="00065439" w:rsidRPr="00065439" w:rsidRDefault="00065439"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15-64</w:t>
            </w:r>
          </w:p>
        </w:tc>
        <w:tc>
          <w:tcPr>
            <w:tcW w:w="990" w:type="dxa"/>
            <w:tcBorders>
              <w:top w:val="single" w:sz="4" w:space="0" w:color="auto"/>
              <w:left w:val="nil"/>
              <w:bottom w:val="single" w:sz="12" w:space="0" w:color="auto"/>
              <w:right w:val="nil"/>
            </w:tcBorders>
            <w:noWrap/>
            <w:vAlign w:val="bottom"/>
            <w:hideMark/>
          </w:tcPr>
          <w:p w:rsidR="00065439" w:rsidRPr="00065439" w:rsidRDefault="00065439"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15-24</w:t>
            </w:r>
          </w:p>
        </w:tc>
        <w:tc>
          <w:tcPr>
            <w:tcW w:w="900" w:type="dxa"/>
            <w:tcBorders>
              <w:top w:val="single" w:sz="4" w:space="0" w:color="auto"/>
              <w:left w:val="nil"/>
              <w:bottom w:val="single" w:sz="12" w:space="0" w:color="auto"/>
              <w:right w:val="nil"/>
            </w:tcBorders>
            <w:noWrap/>
            <w:vAlign w:val="bottom"/>
            <w:hideMark/>
          </w:tcPr>
          <w:p w:rsidR="00065439" w:rsidRPr="00065439" w:rsidRDefault="00065439"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25-54</w:t>
            </w:r>
          </w:p>
        </w:tc>
        <w:tc>
          <w:tcPr>
            <w:tcW w:w="900" w:type="dxa"/>
            <w:tcBorders>
              <w:top w:val="single" w:sz="4" w:space="0" w:color="auto"/>
              <w:left w:val="nil"/>
              <w:bottom w:val="single" w:sz="12" w:space="0" w:color="auto"/>
              <w:right w:val="nil"/>
            </w:tcBorders>
            <w:noWrap/>
            <w:vAlign w:val="bottom"/>
            <w:hideMark/>
          </w:tcPr>
          <w:p w:rsidR="00065439" w:rsidRPr="00065439" w:rsidRDefault="00065439"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55-64</w:t>
            </w:r>
          </w:p>
        </w:tc>
        <w:tc>
          <w:tcPr>
            <w:tcW w:w="1015" w:type="dxa"/>
            <w:tcBorders>
              <w:top w:val="single" w:sz="4" w:space="0" w:color="auto"/>
              <w:left w:val="nil"/>
              <w:bottom w:val="single" w:sz="12" w:space="0" w:color="auto"/>
              <w:right w:val="nil"/>
            </w:tcBorders>
            <w:noWrap/>
            <w:vAlign w:val="bottom"/>
            <w:hideMark/>
          </w:tcPr>
          <w:p w:rsidR="00065439" w:rsidRPr="00065439" w:rsidRDefault="00065439"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 xml:space="preserve">65 et plus </w:t>
            </w:r>
          </w:p>
        </w:tc>
      </w:tr>
      <w:tr w:rsidR="00BF1937" w:rsidRPr="00BF1937" w:rsidTr="00383D81">
        <w:trPr>
          <w:trHeight w:val="251"/>
        </w:trPr>
        <w:tc>
          <w:tcPr>
            <w:tcW w:w="893" w:type="dxa"/>
            <w:tcBorders>
              <w:top w:val="single" w:sz="12"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0"/>
              <w:rPr>
                <w:sz w:val="17"/>
                <w:lang w:val="fr-CH"/>
              </w:rPr>
            </w:pPr>
            <w:r w:rsidRPr="00065439">
              <w:rPr>
                <w:sz w:val="17"/>
                <w:lang w:val="fr-CH"/>
              </w:rPr>
              <w:t>2009</w:t>
            </w:r>
          </w:p>
        </w:tc>
        <w:tc>
          <w:tcPr>
            <w:tcW w:w="990" w:type="dxa"/>
            <w:tcBorders>
              <w:top w:val="single" w:sz="12" w:space="0" w:color="auto"/>
              <w:left w:val="nil"/>
              <w:bottom w:val="single" w:sz="4" w:space="0" w:color="auto"/>
              <w:right w:val="nil"/>
            </w:tcBorders>
            <w:noWrap/>
            <w:vAlign w:val="bottom"/>
            <w:hideMark/>
          </w:tcPr>
          <w:p w:rsidR="00BF1937" w:rsidRPr="00065439" w:rsidRDefault="00F47D0B" w:rsidP="00065439">
            <w:pPr>
              <w:tabs>
                <w:tab w:val="left" w:pos="288"/>
                <w:tab w:val="left" w:pos="576"/>
                <w:tab w:val="left" w:pos="864"/>
                <w:tab w:val="left" w:pos="1152"/>
              </w:tabs>
              <w:suppressAutoHyphens/>
              <w:spacing w:before="81" w:after="81" w:line="210" w:lineRule="exact"/>
              <w:ind w:right="40"/>
              <w:rPr>
                <w:sz w:val="17"/>
                <w:lang w:val="fr-CH"/>
              </w:rPr>
            </w:pPr>
            <w:r>
              <w:rPr>
                <w:b/>
                <w:sz w:val="17"/>
                <w:lang w:val="fr-CH"/>
              </w:rPr>
              <w:tab/>
            </w:r>
            <w:r w:rsidR="00BF1937" w:rsidRPr="00065439">
              <w:rPr>
                <w:b/>
                <w:sz w:val="17"/>
                <w:lang w:val="fr-CH"/>
              </w:rPr>
              <w:t>Total</w:t>
            </w:r>
          </w:p>
        </w:tc>
        <w:tc>
          <w:tcPr>
            <w:tcW w:w="900" w:type="dxa"/>
            <w:tcBorders>
              <w:top w:val="single" w:sz="12" w:space="0" w:color="auto"/>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5,4</w:t>
            </w:r>
          </w:p>
        </w:tc>
        <w:tc>
          <w:tcPr>
            <w:tcW w:w="900" w:type="dxa"/>
            <w:tcBorders>
              <w:top w:val="single" w:sz="12" w:space="0" w:color="auto"/>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5,5</w:t>
            </w:r>
          </w:p>
        </w:tc>
        <w:tc>
          <w:tcPr>
            <w:tcW w:w="990" w:type="dxa"/>
            <w:tcBorders>
              <w:top w:val="single" w:sz="12" w:space="0" w:color="auto"/>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13,8</w:t>
            </w:r>
          </w:p>
        </w:tc>
        <w:tc>
          <w:tcPr>
            <w:tcW w:w="900" w:type="dxa"/>
            <w:tcBorders>
              <w:top w:val="single" w:sz="12" w:space="0" w:color="auto"/>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4,6</w:t>
            </w:r>
          </w:p>
        </w:tc>
        <w:tc>
          <w:tcPr>
            <w:tcW w:w="900" w:type="dxa"/>
            <w:tcBorders>
              <w:top w:val="single" w:sz="12" w:space="0" w:color="auto"/>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4,3</w:t>
            </w:r>
          </w:p>
        </w:tc>
        <w:tc>
          <w:tcPr>
            <w:tcW w:w="1015" w:type="dxa"/>
            <w:tcBorders>
              <w:top w:val="single" w:sz="12" w:space="0" w:color="auto"/>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0,6</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5,3</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5,5</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13,6</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4,6</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4,4</w:t>
            </w:r>
          </w:p>
        </w:tc>
        <w:tc>
          <w:tcPr>
            <w:tcW w:w="1015"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0,7</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5,5</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5,6</w:t>
            </w:r>
          </w:p>
        </w:tc>
        <w:tc>
          <w:tcPr>
            <w:tcW w:w="99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14,0</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4,5</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4,2</w:t>
            </w:r>
          </w:p>
        </w:tc>
        <w:tc>
          <w:tcPr>
            <w:tcW w:w="1015"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0,5</w:t>
            </w:r>
          </w:p>
        </w:tc>
      </w:tr>
      <w:tr w:rsidR="00BF1937" w:rsidRPr="00BF1937" w:rsidTr="00383D81">
        <w:trPr>
          <w:trHeight w:val="251"/>
        </w:trPr>
        <w:tc>
          <w:tcPr>
            <w:tcW w:w="893" w:type="dxa"/>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0"/>
              <w:rPr>
                <w:sz w:val="17"/>
                <w:lang w:val="fr-CH"/>
              </w:rPr>
            </w:pPr>
            <w:r w:rsidRPr="00065439">
              <w:rPr>
                <w:sz w:val="17"/>
                <w:lang w:val="fr-CH"/>
              </w:rPr>
              <w:t>2010</w:t>
            </w:r>
          </w:p>
        </w:tc>
        <w:tc>
          <w:tcPr>
            <w:tcW w:w="990" w:type="dxa"/>
            <w:tcBorders>
              <w:top w:val="single" w:sz="4" w:space="0" w:color="auto"/>
              <w:bottom w:val="single" w:sz="4" w:space="0" w:color="auto"/>
            </w:tcBorders>
            <w:noWrap/>
            <w:vAlign w:val="bottom"/>
            <w:hideMark/>
          </w:tcPr>
          <w:p w:rsidR="00BF1937" w:rsidRPr="00065439" w:rsidRDefault="00F47D0B" w:rsidP="00065439">
            <w:pPr>
              <w:tabs>
                <w:tab w:val="left" w:pos="288"/>
                <w:tab w:val="left" w:pos="576"/>
                <w:tab w:val="left" w:pos="864"/>
                <w:tab w:val="left" w:pos="1152"/>
              </w:tabs>
              <w:suppressAutoHyphens/>
              <w:spacing w:before="81" w:after="81" w:line="210" w:lineRule="exact"/>
              <w:ind w:right="40"/>
              <w:rPr>
                <w:sz w:val="17"/>
                <w:lang w:val="fr-CH"/>
              </w:rPr>
            </w:pPr>
            <w:r>
              <w:rPr>
                <w:b/>
                <w:sz w:val="17"/>
                <w:lang w:val="fr-CH"/>
              </w:rPr>
              <w:tab/>
            </w:r>
            <w:r w:rsidR="00BF1937" w:rsidRPr="00065439">
              <w:rPr>
                <w:b/>
                <w:sz w:val="17"/>
                <w:lang w:val="fr-CH"/>
              </w:rPr>
              <w:t>Total</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6,3</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6,5</w:t>
            </w:r>
          </w:p>
        </w:tc>
        <w:tc>
          <w:tcPr>
            <w:tcW w:w="99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16,6</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5,4</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4,7</w:t>
            </w:r>
          </w:p>
        </w:tc>
        <w:tc>
          <w:tcPr>
            <w:tcW w:w="1015"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0,2</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6,1</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6,4</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15,9</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5,5</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5,1</w:t>
            </w:r>
          </w:p>
        </w:tc>
        <w:tc>
          <w:tcPr>
            <w:tcW w:w="1015"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0,3</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6,4</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6,5</w:t>
            </w:r>
          </w:p>
        </w:tc>
        <w:tc>
          <w:tcPr>
            <w:tcW w:w="99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17,2</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5,3</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4,1</w:t>
            </w:r>
          </w:p>
        </w:tc>
        <w:tc>
          <w:tcPr>
            <w:tcW w:w="1015"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0,0</w:t>
            </w:r>
          </w:p>
        </w:tc>
      </w:tr>
      <w:tr w:rsidR="00BF1937" w:rsidRPr="00BF1937" w:rsidTr="00383D81">
        <w:trPr>
          <w:trHeight w:val="251"/>
        </w:trPr>
        <w:tc>
          <w:tcPr>
            <w:tcW w:w="893" w:type="dxa"/>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0"/>
              <w:rPr>
                <w:sz w:val="17"/>
                <w:lang w:val="fr-CH"/>
              </w:rPr>
            </w:pPr>
            <w:r w:rsidRPr="00065439">
              <w:rPr>
                <w:sz w:val="17"/>
                <w:lang w:val="fr-CH"/>
              </w:rPr>
              <w:t>2011</w:t>
            </w:r>
          </w:p>
        </w:tc>
        <w:tc>
          <w:tcPr>
            <w:tcW w:w="990" w:type="dxa"/>
            <w:tcBorders>
              <w:top w:val="single" w:sz="4" w:space="0" w:color="auto"/>
              <w:bottom w:val="single" w:sz="4" w:space="0" w:color="auto"/>
            </w:tcBorders>
            <w:noWrap/>
            <w:vAlign w:val="bottom"/>
            <w:hideMark/>
          </w:tcPr>
          <w:p w:rsidR="00BF1937" w:rsidRPr="00065439" w:rsidRDefault="00F47D0B" w:rsidP="00065439">
            <w:pPr>
              <w:tabs>
                <w:tab w:val="left" w:pos="288"/>
                <w:tab w:val="left" w:pos="576"/>
                <w:tab w:val="left" w:pos="864"/>
                <w:tab w:val="left" w:pos="1152"/>
              </w:tabs>
              <w:suppressAutoHyphens/>
              <w:spacing w:before="81" w:after="81" w:line="210" w:lineRule="exact"/>
              <w:ind w:right="40"/>
              <w:rPr>
                <w:sz w:val="17"/>
                <w:lang w:val="fr-CH"/>
              </w:rPr>
            </w:pPr>
            <w:r>
              <w:rPr>
                <w:b/>
                <w:sz w:val="17"/>
                <w:lang w:val="fr-CH"/>
              </w:rPr>
              <w:tab/>
            </w:r>
            <w:r w:rsidR="00BF1937" w:rsidRPr="00065439">
              <w:rPr>
                <w:b/>
                <w:sz w:val="17"/>
                <w:lang w:val="fr-CH"/>
              </w:rPr>
              <w:t>Total</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7,9</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8,1</w:t>
            </w:r>
          </w:p>
        </w:tc>
        <w:tc>
          <w:tcPr>
            <w:tcW w:w="99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22,4</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6,8</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4,9</w:t>
            </w:r>
          </w:p>
        </w:tc>
        <w:tc>
          <w:tcPr>
            <w:tcW w:w="1015"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0,6</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8,1</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8,4</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23,3</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7,2</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5,1</w:t>
            </w:r>
          </w:p>
        </w:tc>
        <w:tc>
          <w:tcPr>
            <w:tcW w:w="1015"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0,6</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7,6</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7,8</w:t>
            </w:r>
          </w:p>
        </w:tc>
        <w:tc>
          <w:tcPr>
            <w:tcW w:w="99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21,5</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6,4</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4,5</w:t>
            </w:r>
          </w:p>
        </w:tc>
        <w:tc>
          <w:tcPr>
            <w:tcW w:w="1015"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0,5</w:t>
            </w:r>
          </w:p>
        </w:tc>
      </w:tr>
      <w:tr w:rsidR="00BF1937" w:rsidRPr="00BF1937" w:rsidTr="00383D81">
        <w:trPr>
          <w:trHeight w:val="251"/>
        </w:trPr>
        <w:tc>
          <w:tcPr>
            <w:tcW w:w="893" w:type="dxa"/>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0"/>
              <w:rPr>
                <w:sz w:val="17"/>
                <w:lang w:val="fr-CH"/>
              </w:rPr>
            </w:pPr>
            <w:r w:rsidRPr="00065439">
              <w:rPr>
                <w:sz w:val="17"/>
                <w:lang w:val="fr-CH"/>
              </w:rPr>
              <w:t>2012</w:t>
            </w:r>
          </w:p>
        </w:tc>
        <w:tc>
          <w:tcPr>
            <w:tcW w:w="990" w:type="dxa"/>
            <w:tcBorders>
              <w:top w:val="single" w:sz="4" w:space="0" w:color="auto"/>
              <w:bottom w:val="single" w:sz="4" w:space="0" w:color="auto"/>
            </w:tcBorders>
            <w:noWrap/>
            <w:vAlign w:val="bottom"/>
            <w:hideMark/>
          </w:tcPr>
          <w:p w:rsidR="00BF1937" w:rsidRPr="00065439" w:rsidRDefault="00F47D0B" w:rsidP="00065439">
            <w:pPr>
              <w:tabs>
                <w:tab w:val="left" w:pos="288"/>
                <w:tab w:val="left" w:pos="576"/>
                <w:tab w:val="left" w:pos="864"/>
                <w:tab w:val="left" w:pos="1152"/>
              </w:tabs>
              <w:suppressAutoHyphens/>
              <w:spacing w:before="81" w:after="81" w:line="210" w:lineRule="exact"/>
              <w:ind w:right="40"/>
              <w:rPr>
                <w:sz w:val="17"/>
                <w:lang w:val="fr-CH"/>
              </w:rPr>
            </w:pPr>
            <w:r>
              <w:rPr>
                <w:b/>
                <w:sz w:val="17"/>
                <w:lang w:val="fr-CH"/>
              </w:rPr>
              <w:tab/>
            </w:r>
            <w:r w:rsidR="00BF1937" w:rsidRPr="00065439">
              <w:rPr>
                <w:b/>
                <w:sz w:val="17"/>
                <w:lang w:val="fr-CH"/>
              </w:rPr>
              <w:t>Total</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11,8</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12,1</w:t>
            </w:r>
          </w:p>
        </w:tc>
        <w:tc>
          <w:tcPr>
            <w:tcW w:w="99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27,8</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10,5</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9,7</w:t>
            </w:r>
          </w:p>
        </w:tc>
        <w:tc>
          <w:tcPr>
            <w:tcW w:w="1015"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1,1</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12,5</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12,8</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28,8</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11,2</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10,9</w:t>
            </w:r>
          </w:p>
        </w:tc>
        <w:tc>
          <w:tcPr>
            <w:tcW w:w="1015"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1,5</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11,1</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11,2</w:t>
            </w:r>
          </w:p>
        </w:tc>
        <w:tc>
          <w:tcPr>
            <w:tcW w:w="99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26,7</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9,8</w:t>
            </w:r>
          </w:p>
        </w:tc>
        <w:tc>
          <w:tcPr>
            <w:tcW w:w="900"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7,6</w:t>
            </w:r>
          </w:p>
        </w:tc>
        <w:tc>
          <w:tcPr>
            <w:tcW w:w="1015" w:type="dxa"/>
            <w:tcBorders>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0,0</w:t>
            </w:r>
          </w:p>
        </w:tc>
      </w:tr>
      <w:tr w:rsidR="00BF1937" w:rsidRPr="00BF1937" w:rsidTr="00383D81">
        <w:trPr>
          <w:trHeight w:val="251"/>
        </w:trPr>
        <w:tc>
          <w:tcPr>
            <w:tcW w:w="893" w:type="dxa"/>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0"/>
              <w:rPr>
                <w:sz w:val="17"/>
                <w:lang w:val="fr-CH"/>
              </w:rPr>
            </w:pPr>
            <w:r w:rsidRPr="00065439">
              <w:rPr>
                <w:sz w:val="17"/>
                <w:lang w:val="fr-CH"/>
              </w:rPr>
              <w:t>2013</w:t>
            </w:r>
          </w:p>
        </w:tc>
        <w:tc>
          <w:tcPr>
            <w:tcW w:w="990" w:type="dxa"/>
            <w:tcBorders>
              <w:top w:val="single" w:sz="4" w:space="0" w:color="auto"/>
              <w:bottom w:val="single" w:sz="4" w:space="0" w:color="auto"/>
            </w:tcBorders>
            <w:noWrap/>
            <w:vAlign w:val="bottom"/>
            <w:hideMark/>
          </w:tcPr>
          <w:p w:rsidR="00BF1937" w:rsidRPr="00065439" w:rsidRDefault="00F47D0B" w:rsidP="00065439">
            <w:pPr>
              <w:tabs>
                <w:tab w:val="left" w:pos="288"/>
                <w:tab w:val="left" w:pos="576"/>
                <w:tab w:val="left" w:pos="864"/>
                <w:tab w:val="left" w:pos="1152"/>
              </w:tabs>
              <w:suppressAutoHyphens/>
              <w:spacing w:before="81" w:after="81" w:line="210" w:lineRule="exact"/>
              <w:ind w:right="40"/>
              <w:rPr>
                <w:sz w:val="17"/>
                <w:lang w:val="fr-CH"/>
              </w:rPr>
            </w:pPr>
            <w:r>
              <w:rPr>
                <w:b/>
                <w:sz w:val="17"/>
                <w:lang w:val="fr-CH"/>
              </w:rPr>
              <w:tab/>
            </w:r>
            <w:r w:rsidR="00BF1937" w:rsidRPr="00065439">
              <w:rPr>
                <w:b/>
                <w:sz w:val="17"/>
                <w:lang w:val="fr-CH"/>
              </w:rPr>
              <w:t>Total</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15,9</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16,1</w:t>
            </w:r>
          </w:p>
        </w:tc>
        <w:tc>
          <w:tcPr>
            <w:tcW w:w="99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38,9</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13,9</w:t>
            </w:r>
          </w:p>
        </w:tc>
        <w:tc>
          <w:tcPr>
            <w:tcW w:w="900"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12,4</w:t>
            </w:r>
          </w:p>
        </w:tc>
        <w:tc>
          <w:tcPr>
            <w:tcW w:w="1015" w:type="dxa"/>
            <w:tcBorders>
              <w:top w:val="single" w:sz="4" w:space="0" w:color="auto"/>
              <w:bottom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81" w:after="81" w:line="210" w:lineRule="exact"/>
              <w:ind w:right="43"/>
              <w:jc w:val="right"/>
              <w:rPr>
                <w:b/>
                <w:sz w:val="17"/>
                <w:lang w:val="fr-CH"/>
              </w:rPr>
            </w:pPr>
            <w:r w:rsidRPr="00065439">
              <w:rPr>
                <w:b/>
                <w:sz w:val="17"/>
                <w:lang w:val="fr-CH"/>
              </w:rPr>
              <w:t>5,4</w:t>
            </w:r>
          </w:p>
        </w:tc>
      </w:tr>
      <w:tr w:rsidR="00BF1937" w:rsidRPr="00BF1937" w:rsidTr="00383D81">
        <w:trPr>
          <w:trHeight w:val="251"/>
        </w:trPr>
        <w:tc>
          <w:tcPr>
            <w:tcW w:w="893" w:type="dxa"/>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16,5</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16,8</w:t>
            </w:r>
          </w:p>
        </w:tc>
        <w:tc>
          <w:tcPr>
            <w:tcW w:w="99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41,1</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14,4</w:t>
            </w:r>
          </w:p>
        </w:tc>
        <w:tc>
          <w:tcPr>
            <w:tcW w:w="900"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14,2</w:t>
            </w:r>
          </w:p>
        </w:tc>
        <w:tc>
          <w:tcPr>
            <w:tcW w:w="1015" w:type="dxa"/>
            <w:tcBorders>
              <w:top w:val="single" w:sz="4" w:space="0" w:color="auto"/>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6,9</w:t>
            </w:r>
          </w:p>
        </w:tc>
      </w:tr>
      <w:tr w:rsidR="00BF1937" w:rsidRPr="00BF1937" w:rsidTr="00065439">
        <w:trPr>
          <w:trHeight w:val="251"/>
        </w:trPr>
        <w:tc>
          <w:tcPr>
            <w:tcW w:w="893" w:type="dxa"/>
            <w:tcBorders>
              <w:top w:val="nil"/>
              <w:left w:val="nil"/>
              <w:bottom w:val="single" w:sz="12" w:space="0" w:color="auto"/>
              <w:right w:val="nil"/>
            </w:tcBorders>
            <w:noWrap/>
            <w:vAlign w:val="center"/>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90" w:type="dxa"/>
            <w:tcBorders>
              <w:top w:val="nil"/>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0" w:type="dxa"/>
            <w:tcBorders>
              <w:top w:val="nil"/>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15,2</w:t>
            </w:r>
          </w:p>
        </w:tc>
        <w:tc>
          <w:tcPr>
            <w:tcW w:w="900" w:type="dxa"/>
            <w:tcBorders>
              <w:top w:val="nil"/>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15,3</w:t>
            </w:r>
          </w:p>
        </w:tc>
        <w:tc>
          <w:tcPr>
            <w:tcW w:w="990" w:type="dxa"/>
            <w:tcBorders>
              <w:top w:val="nil"/>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36,8</w:t>
            </w:r>
          </w:p>
        </w:tc>
        <w:tc>
          <w:tcPr>
            <w:tcW w:w="900" w:type="dxa"/>
            <w:tcBorders>
              <w:top w:val="nil"/>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13,4</w:t>
            </w:r>
          </w:p>
        </w:tc>
        <w:tc>
          <w:tcPr>
            <w:tcW w:w="900" w:type="dxa"/>
            <w:tcBorders>
              <w:top w:val="nil"/>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9,4</w:t>
            </w:r>
          </w:p>
        </w:tc>
        <w:tc>
          <w:tcPr>
            <w:tcW w:w="1015" w:type="dxa"/>
            <w:tcBorders>
              <w:top w:val="nil"/>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1,2</w:t>
            </w:r>
          </w:p>
        </w:tc>
      </w:tr>
    </w:tbl>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p w:rsidR="00BF1937" w:rsidRDefault="00BF1937" w:rsidP="00AD54C4">
      <w:pPr>
        <w:pStyle w:val="SingleTxt"/>
        <w:numPr>
          <w:ilvl w:val="0"/>
          <w:numId w:val="18"/>
        </w:numPr>
        <w:tabs>
          <w:tab w:val="clear" w:pos="475"/>
          <w:tab w:val="num" w:pos="1742"/>
        </w:tabs>
        <w:ind w:left="1267"/>
        <w:rPr>
          <w:lang w:val="fr-CH"/>
        </w:rPr>
      </w:pPr>
      <w:r w:rsidRPr="00BF1937">
        <w:rPr>
          <w:lang w:val="fr-CH"/>
        </w:rPr>
        <w:t>Répartition sectorielle de l</w:t>
      </w:r>
      <w:r w:rsidR="008300FB">
        <w:rPr>
          <w:lang w:val="fr-CH"/>
        </w:rPr>
        <w:t>’</w:t>
      </w:r>
      <w:r w:rsidRPr="00BF1937">
        <w:rPr>
          <w:lang w:val="fr-CH"/>
        </w:rPr>
        <w:t>emploi</w:t>
      </w:r>
      <w:r w:rsidR="00EA238B">
        <w:rPr>
          <w:b/>
          <w:i/>
          <w:lang w:val="fr-CH"/>
        </w:rPr>
        <w:t> </w:t>
      </w:r>
      <w:r w:rsidRPr="00BF1937">
        <w:rPr>
          <w:lang w:val="fr-CH"/>
        </w:rPr>
        <w:t>: voir le tableau correspondant à l</w:t>
      </w:r>
      <w:r w:rsidR="008300FB">
        <w:rPr>
          <w:lang w:val="fr-CH"/>
        </w:rPr>
        <w:t>’</w:t>
      </w:r>
      <w:r w:rsidRPr="00BF1937">
        <w:rPr>
          <w:lang w:val="fr-CH"/>
        </w:rPr>
        <w:t>annexe III.</w:t>
      </w:r>
    </w:p>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p w:rsidR="00BF1937" w:rsidRDefault="00BF1937"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Taux d</w:t>
      </w:r>
      <w:r w:rsidR="008300FB">
        <w:rPr>
          <w:lang w:val="fr-CH"/>
        </w:rPr>
        <w:t>’</w:t>
      </w:r>
      <w:r w:rsidRPr="00BF1937">
        <w:rPr>
          <w:lang w:val="fr-CH"/>
        </w:rPr>
        <w:t>activité par groupe de la population (2008-2012)</w:t>
      </w:r>
    </w:p>
    <w:p w:rsidR="00EA238B" w:rsidRPr="00EA238B" w:rsidRDefault="00EA238B" w:rsidP="00EA238B">
      <w:pPr>
        <w:pStyle w:val="SingleTxt"/>
        <w:spacing w:after="0" w:line="120" w:lineRule="exact"/>
        <w:rPr>
          <w:b/>
          <w:sz w:val="10"/>
          <w:lang w:val="fr-CH"/>
        </w:rPr>
      </w:pPr>
    </w:p>
    <w:p w:rsidR="00EA238B" w:rsidRPr="00EA238B" w:rsidRDefault="00EA238B" w:rsidP="00EA238B">
      <w:pPr>
        <w:pStyle w:val="SingleTxt"/>
        <w:spacing w:after="0" w:line="120" w:lineRule="exact"/>
        <w:rPr>
          <w:b/>
          <w:sz w:val="10"/>
          <w:lang w:val="fr-CH"/>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902"/>
        <w:gridCol w:w="972"/>
        <w:gridCol w:w="909"/>
        <w:gridCol w:w="900"/>
        <w:gridCol w:w="990"/>
        <w:gridCol w:w="891"/>
        <w:gridCol w:w="909"/>
        <w:gridCol w:w="1015"/>
      </w:tblGrid>
      <w:tr w:rsidR="00BF1937" w:rsidRPr="00BF1937" w:rsidTr="00F47D0B">
        <w:trPr>
          <w:trHeight w:val="240"/>
          <w:tblHeader/>
        </w:trPr>
        <w:tc>
          <w:tcPr>
            <w:tcW w:w="1874" w:type="dxa"/>
            <w:gridSpan w:val="2"/>
            <w:vMerge w:val="restart"/>
            <w:tcBorders>
              <w:top w:val="single" w:sz="4" w:space="0" w:color="auto"/>
              <w:left w:val="nil"/>
              <w:bottom w:val="single" w:sz="12" w:space="0" w:color="auto"/>
              <w:right w:val="nil"/>
            </w:tcBorders>
            <w:vAlign w:val="bottom"/>
            <w:hideMark/>
          </w:tcPr>
          <w:p w:rsidR="00BF1937" w:rsidRPr="00BF1937" w:rsidRDefault="00BF1937" w:rsidP="00065439">
            <w:pPr>
              <w:tabs>
                <w:tab w:val="left" w:pos="288"/>
                <w:tab w:val="left" w:pos="576"/>
                <w:tab w:val="left" w:pos="864"/>
                <w:tab w:val="left" w:pos="1152"/>
              </w:tabs>
              <w:suppressAutoHyphens/>
              <w:spacing w:before="80" w:after="80" w:line="160" w:lineRule="exact"/>
              <w:ind w:right="40"/>
              <w:rPr>
                <w:lang w:val="fr-CH"/>
              </w:rPr>
            </w:pPr>
            <w:r w:rsidRPr="00065439">
              <w:rPr>
                <w:i/>
                <w:sz w:val="14"/>
                <w:lang w:val="fr-CH"/>
              </w:rPr>
              <w:t>Année/Sexe</w:t>
            </w:r>
          </w:p>
        </w:tc>
        <w:tc>
          <w:tcPr>
            <w:tcW w:w="5614" w:type="dxa"/>
            <w:gridSpan w:val="6"/>
            <w:tcBorders>
              <w:top w:val="single" w:sz="4" w:space="0" w:color="auto"/>
              <w:left w:val="nil"/>
              <w:bottom w:val="single" w:sz="4" w:space="0" w:color="auto"/>
              <w:right w:val="nil"/>
            </w:tcBorders>
            <w:vAlign w:val="bottom"/>
            <w:hideMark/>
          </w:tcPr>
          <w:p w:rsidR="00BF1937" w:rsidRPr="00BF1937" w:rsidRDefault="00BF1937" w:rsidP="00065439">
            <w:pPr>
              <w:tabs>
                <w:tab w:val="left" w:pos="288"/>
                <w:tab w:val="left" w:pos="576"/>
                <w:tab w:val="left" w:pos="864"/>
                <w:tab w:val="left" w:pos="1152"/>
              </w:tabs>
              <w:suppressAutoHyphens/>
              <w:spacing w:before="80" w:after="80" w:line="160" w:lineRule="exact"/>
              <w:ind w:right="40"/>
              <w:jc w:val="center"/>
              <w:rPr>
                <w:lang w:val="fr-CH"/>
              </w:rPr>
            </w:pPr>
            <w:r w:rsidRPr="00065439">
              <w:rPr>
                <w:i/>
                <w:sz w:val="14"/>
                <w:lang w:val="fr-CH"/>
              </w:rPr>
              <w:t>Tranches d</w:t>
            </w:r>
            <w:r w:rsidR="008300FB" w:rsidRPr="00065439">
              <w:rPr>
                <w:i/>
                <w:sz w:val="14"/>
                <w:lang w:val="fr-CH"/>
              </w:rPr>
              <w:t>’</w:t>
            </w:r>
            <w:r w:rsidRPr="00065439">
              <w:rPr>
                <w:i/>
                <w:sz w:val="14"/>
                <w:lang w:val="fr-CH"/>
              </w:rPr>
              <w:t>âge</w:t>
            </w:r>
          </w:p>
        </w:tc>
      </w:tr>
      <w:tr w:rsidR="00BF1937" w:rsidRPr="00BF1937" w:rsidTr="00F47D0B">
        <w:trPr>
          <w:trHeight w:val="240"/>
          <w:tblHeader/>
        </w:trPr>
        <w:tc>
          <w:tcPr>
            <w:tcW w:w="1874" w:type="dxa"/>
            <w:gridSpan w:val="2"/>
            <w:vMerge/>
            <w:tcBorders>
              <w:top w:val="single" w:sz="4" w:space="0" w:color="auto"/>
              <w:left w:val="nil"/>
              <w:bottom w:val="single" w:sz="12" w:space="0" w:color="auto"/>
              <w:right w:val="nil"/>
            </w:tcBorders>
            <w:vAlign w:val="center"/>
            <w:hideMark/>
          </w:tcPr>
          <w:p w:rsidR="00BF1937" w:rsidRPr="00BF1937" w:rsidRDefault="00BF1937" w:rsidP="00BF1937">
            <w:pPr>
              <w:rPr>
                <w:lang w:val="fr-CH"/>
              </w:rPr>
            </w:pPr>
          </w:p>
        </w:tc>
        <w:tc>
          <w:tcPr>
            <w:tcW w:w="909" w:type="dxa"/>
            <w:tcBorders>
              <w:top w:val="single" w:sz="4" w:space="0" w:color="auto"/>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 xml:space="preserve">15 et plus </w:t>
            </w:r>
          </w:p>
        </w:tc>
        <w:tc>
          <w:tcPr>
            <w:tcW w:w="900" w:type="dxa"/>
            <w:tcBorders>
              <w:top w:val="single" w:sz="4" w:space="0" w:color="auto"/>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15-64</w:t>
            </w:r>
          </w:p>
        </w:tc>
        <w:tc>
          <w:tcPr>
            <w:tcW w:w="990" w:type="dxa"/>
            <w:tcBorders>
              <w:top w:val="single" w:sz="4" w:space="0" w:color="auto"/>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15-24</w:t>
            </w:r>
          </w:p>
        </w:tc>
        <w:tc>
          <w:tcPr>
            <w:tcW w:w="891" w:type="dxa"/>
            <w:tcBorders>
              <w:top w:val="single" w:sz="4" w:space="0" w:color="auto"/>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25-54</w:t>
            </w:r>
          </w:p>
        </w:tc>
        <w:tc>
          <w:tcPr>
            <w:tcW w:w="909" w:type="dxa"/>
            <w:tcBorders>
              <w:top w:val="single" w:sz="4" w:space="0" w:color="auto"/>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55-64</w:t>
            </w:r>
          </w:p>
        </w:tc>
        <w:tc>
          <w:tcPr>
            <w:tcW w:w="1015" w:type="dxa"/>
            <w:tcBorders>
              <w:top w:val="single" w:sz="4" w:space="0" w:color="auto"/>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80" w:after="80" w:line="160" w:lineRule="exact"/>
              <w:ind w:right="40"/>
              <w:jc w:val="right"/>
              <w:rPr>
                <w:i/>
                <w:sz w:val="14"/>
                <w:lang w:val="fr-CH"/>
              </w:rPr>
            </w:pPr>
            <w:r w:rsidRPr="00065439">
              <w:rPr>
                <w:i/>
                <w:sz w:val="14"/>
                <w:lang w:val="fr-CH"/>
              </w:rPr>
              <w:t>65 et plus</w:t>
            </w:r>
          </w:p>
        </w:tc>
      </w:tr>
      <w:tr w:rsidR="00BF1937" w:rsidRPr="00BF1937" w:rsidTr="00383D81">
        <w:trPr>
          <w:trHeight w:val="240"/>
        </w:trPr>
        <w:tc>
          <w:tcPr>
            <w:tcW w:w="902" w:type="dxa"/>
            <w:tcBorders>
              <w:top w:val="single" w:sz="12" w:space="0" w:color="auto"/>
              <w:left w:val="nil"/>
              <w:bottom w:val="nil"/>
              <w:right w:val="nil"/>
            </w:tcBorders>
            <w:noWrap/>
            <w:hideMark/>
          </w:tcPr>
          <w:p w:rsidR="00BF1937" w:rsidRPr="00BF1937" w:rsidRDefault="00BF1937" w:rsidP="00065439">
            <w:pPr>
              <w:tabs>
                <w:tab w:val="left" w:pos="288"/>
                <w:tab w:val="left" w:pos="576"/>
                <w:tab w:val="left" w:pos="864"/>
                <w:tab w:val="left" w:pos="1152"/>
              </w:tabs>
              <w:suppressAutoHyphens/>
              <w:spacing w:before="81" w:after="81" w:line="210" w:lineRule="exact"/>
              <w:ind w:right="40"/>
              <w:rPr>
                <w:lang w:val="fr-CH"/>
              </w:rPr>
            </w:pPr>
            <w:r w:rsidRPr="00065439">
              <w:rPr>
                <w:sz w:val="17"/>
                <w:lang w:val="fr-CH"/>
              </w:rPr>
              <w:t>2008</w:t>
            </w:r>
          </w:p>
        </w:tc>
        <w:tc>
          <w:tcPr>
            <w:tcW w:w="972" w:type="dxa"/>
            <w:tcBorders>
              <w:top w:val="single" w:sz="12" w:space="0" w:color="auto"/>
              <w:left w:val="nil"/>
              <w:bottom w:val="single" w:sz="4" w:space="0" w:color="auto"/>
              <w:right w:val="nil"/>
            </w:tcBorders>
            <w:noWrap/>
            <w:hideMark/>
          </w:tcPr>
          <w:p w:rsidR="00BF1937" w:rsidRPr="00BF1937" w:rsidRDefault="00F47D0B" w:rsidP="00F47D0B">
            <w:pPr>
              <w:tabs>
                <w:tab w:val="left" w:pos="288"/>
                <w:tab w:val="left" w:pos="576"/>
                <w:tab w:val="left" w:pos="864"/>
                <w:tab w:val="left" w:pos="1152"/>
              </w:tabs>
              <w:suppressAutoHyphens/>
              <w:spacing w:before="81" w:after="81" w:line="210" w:lineRule="exact"/>
              <w:ind w:right="40"/>
              <w:rPr>
                <w:lang w:val="fr-CH"/>
              </w:rPr>
            </w:pPr>
            <w:r>
              <w:rPr>
                <w:b/>
                <w:sz w:val="17"/>
                <w:lang w:val="fr-CH"/>
              </w:rPr>
              <w:tab/>
            </w:r>
            <w:r w:rsidR="00BF1937" w:rsidRPr="00F47D0B">
              <w:rPr>
                <w:b/>
                <w:sz w:val="17"/>
                <w:lang w:val="fr-CH"/>
              </w:rPr>
              <w:t>Total</w:t>
            </w:r>
          </w:p>
        </w:tc>
        <w:tc>
          <w:tcPr>
            <w:tcW w:w="909" w:type="dxa"/>
            <w:tcBorders>
              <w:top w:val="single" w:sz="12"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64,2</w:t>
            </w:r>
          </w:p>
        </w:tc>
        <w:tc>
          <w:tcPr>
            <w:tcW w:w="900" w:type="dxa"/>
            <w:tcBorders>
              <w:top w:val="single" w:sz="12"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73,6</w:t>
            </w:r>
          </w:p>
        </w:tc>
        <w:tc>
          <w:tcPr>
            <w:tcW w:w="990" w:type="dxa"/>
            <w:tcBorders>
              <w:top w:val="single" w:sz="12"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41,7</w:t>
            </w:r>
          </w:p>
        </w:tc>
        <w:tc>
          <w:tcPr>
            <w:tcW w:w="891" w:type="dxa"/>
            <w:tcBorders>
              <w:top w:val="single" w:sz="12"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86,5</w:t>
            </w:r>
          </w:p>
        </w:tc>
        <w:tc>
          <w:tcPr>
            <w:tcW w:w="909" w:type="dxa"/>
            <w:tcBorders>
              <w:top w:val="single" w:sz="12"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56,6</w:t>
            </w:r>
          </w:p>
        </w:tc>
        <w:tc>
          <w:tcPr>
            <w:tcW w:w="1015" w:type="dxa"/>
            <w:tcBorders>
              <w:top w:val="single" w:sz="12"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12,3</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9"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73,1</w:t>
            </w:r>
          </w:p>
        </w:tc>
        <w:tc>
          <w:tcPr>
            <w:tcW w:w="900"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82,0</w:t>
            </w:r>
          </w:p>
        </w:tc>
        <w:tc>
          <w:tcPr>
            <w:tcW w:w="990"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43,1</w:t>
            </w:r>
          </w:p>
        </w:tc>
        <w:tc>
          <w:tcPr>
            <w:tcW w:w="891"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94,0</w:t>
            </w:r>
          </w:p>
        </w:tc>
        <w:tc>
          <w:tcPr>
            <w:tcW w:w="909"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73,0</w:t>
            </w:r>
          </w:p>
        </w:tc>
        <w:tc>
          <w:tcPr>
            <w:tcW w:w="1015"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21,4</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9"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55,8</w:t>
            </w:r>
          </w:p>
        </w:tc>
        <w:tc>
          <w:tcPr>
            <w:tcW w:w="900"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65,7</w:t>
            </w:r>
          </w:p>
        </w:tc>
        <w:tc>
          <w:tcPr>
            <w:tcW w:w="990"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40,5</w:t>
            </w:r>
          </w:p>
        </w:tc>
        <w:tc>
          <w:tcPr>
            <w:tcW w:w="891"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79,1</w:t>
            </w:r>
          </w:p>
        </w:tc>
        <w:tc>
          <w:tcPr>
            <w:tcW w:w="909"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41,0</w:t>
            </w:r>
          </w:p>
        </w:tc>
        <w:tc>
          <w:tcPr>
            <w:tcW w:w="1015"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3"/>
              <w:jc w:val="right"/>
              <w:rPr>
                <w:sz w:val="17"/>
                <w:lang w:val="fr-CH"/>
              </w:rPr>
            </w:pPr>
            <w:r w:rsidRPr="00065439">
              <w:rPr>
                <w:sz w:val="17"/>
                <w:lang w:val="fr-CH"/>
              </w:rPr>
              <w:t>4,5</w:t>
            </w:r>
          </w:p>
        </w:tc>
      </w:tr>
      <w:tr w:rsidR="00BF1937" w:rsidRPr="00BF1937" w:rsidTr="00383D81">
        <w:trPr>
          <w:trHeight w:val="240"/>
        </w:trPr>
        <w:tc>
          <w:tcPr>
            <w:tcW w:w="902" w:type="dxa"/>
            <w:tcBorders>
              <w:top w:val="nil"/>
              <w:left w:val="nil"/>
              <w:bottom w:val="nil"/>
              <w:right w:val="nil"/>
            </w:tcBorders>
            <w:noWrap/>
            <w:hideMark/>
          </w:tcPr>
          <w:p w:rsidR="00BF1937" w:rsidRPr="00BF1937" w:rsidRDefault="00BF1937" w:rsidP="00065439">
            <w:pPr>
              <w:tabs>
                <w:tab w:val="left" w:pos="288"/>
                <w:tab w:val="left" w:pos="576"/>
                <w:tab w:val="left" w:pos="864"/>
                <w:tab w:val="left" w:pos="1152"/>
              </w:tabs>
              <w:suppressAutoHyphens/>
              <w:spacing w:before="81" w:after="81" w:line="210" w:lineRule="exact"/>
              <w:ind w:right="40"/>
              <w:rPr>
                <w:lang w:val="fr-CH"/>
              </w:rPr>
            </w:pPr>
            <w:r w:rsidRPr="00065439">
              <w:rPr>
                <w:sz w:val="17"/>
                <w:lang w:val="fr-CH"/>
              </w:rPr>
              <w:t>2009</w:t>
            </w:r>
          </w:p>
        </w:tc>
        <w:tc>
          <w:tcPr>
            <w:tcW w:w="972" w:type="dxa"/>
            <w:tcBorders>
              <w:top w:val="single" w:sz="4" w:space="0" w:color="auto"/>
              <w:left w:val="nil"/>
              <w:bottom w:val="single" w:sz="4" w:space="0" w:color="auto"/>
              <w:right w:val="nil"/>
            </w:tcBorders>
            <w:noWrap/>
            <w:hideMark/>
          </w:tcPr>
          <w:p w:rsidR="00BF1937" w:rsidRPr="00BF1937" w:rsidRDefault="00F47D0B" w:rsidP="00F47D0B">
            <w:pPr>
              <w:tabs>
                <w:tab w:val="left" w:pos="288"/>
                <w:tab w:val="left" w:pos="576"/>
                <w:tab w:val="left" w:pos="864"/>
                <w:tab w:val="left" w:pos="1152"/>
              </w:tabs>
              <w:suppressAutoHyphens/>
              <w:spacing w:before="81" w:after="81" w:line="210" w:lineRule="exact"/>
              <w:ind w:right="40"/>
              <w:rPr>
                <w:lang w:val="fr-CH"/>
              </w:rPr>
            </w:pPr>
            <w:r>
              <w:rPr>
                <w:b/>
                <w:sz w:val="17"/>
                <w:lang w:val="fr-CH"/>
              </w:rPr>
              <w:tab/>
            </w:r>
            <w:r w:rsidR="00BF1937" w:rsidRPr="00F47D0B">
              <w:rPr>
                <w:b/>
                <w:sz w:val="17"/>
                <w:lang w:val="fr-CH"/>
              </w:rPr>
              <w:t>Total</w:t>
            </w:r>
          </w:p>
        </w:tc>
        <w:tc>
          <w:tcPr>
            <w:tcW w:w="90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63,7</w:t>
            </w:r>
          </w:p>
        </w:tc>
        <w:tc>
          <w:tcPr>
            <w:tcW w:w="90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73,0</w:t>
            </w:r>
          </w:p>
        </w:tc>
        <w:tc>
          <w:tcPr>
            <w:tcW w:w="99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40,4</w:t>
            </w:r>
          </w:p>
        </w:tc>
        <w:tc>
          <w:tcPr>
            <w:tcW w:w="891"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86,3</w:t>
            </w:r>
          </w:p>
        </w:tc>
        <w:tc>
          <w:tcPr>
            <w:tcW w:w="90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58,2</w:t>
            </w:r>
          </w:p>
        </w:tc>
        <w:tc>
          <w:tcPr>
            <w:tcW w:w="1015"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12,4</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9"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71,5</w:t>
            </w:r>
          </w:p>
        </w:tc>
        <w:tc>
          <w:tcPr>
            <w:tcW w:w="900"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80,7</w:t>
            </w:r>
          </w:p>
        </w:tc>
        <w:tc>
          <w:tcPr>
            <w:tcW w:w="990"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42,1</w:t>
            </w:r>
          </w:p>
        </w:tc>
        <w:tc>
          <w:tcPr>
            <w:tcW w:w="891"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93,5</w:t>
            </w:r>
          </w:p>
        </w:tc>
        <w:tc>
          <w:tcPr>
            <w:tcW w:w="909"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74,4</w:t>
            </w:r>
          </w:p>
        </w:tc>
        <w:tc>
          <w:tcPr>
            <w:tcW w:w="1015"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19,0</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9"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56,7</w:t>
            </w:r>
          </w:p>
        </w:tc>
        <w:tc>
          <w:tcPr>
            <w:tcW w:w="900"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66,0</w:t>
            </w:r>
          </w:p>
        </w:tc>
        <w:tc>
          <w:tcPr>
            <w:tcW w:w="990"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38,8</w:t>
            </w:r>
          </w:p>
        </w:tc>
        <w:tc>
          <w:tcPr>
            <w:tcW w:w="891"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79,8</w:t>
            </w:r>
          </w:p>
        </w:tc>
        <w:tc>
          <w:tcPr>
            <w:tcW w:w="909"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42,3</w:t>
            </w:r>
          </w:p>
        </w:tc>
        <w:tc>
          <w:tcPr>
            <w:tcW w:w="1015"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6,6</w:t>
            </w:r>
          </w:p>
        </w:tc>
      </w:tr>
      <w:tr w:rsidR="00BF1937" w:rsidRPr="00BF1937" w:rsidTr="00383D81">
        <w:trPr>
          <w:trHeight w:val="240"/>
        </w:trPr>
        <w:tc>
          <w:tcPr>
            <w:tcW w:w="902" w:type="dxa"/>
            <w:tcBorders>
              <w:top w:val="nil"/>
              <w:left w:val="nil"/>
              <w:bottom w:val="nil"/>
              <w:right w:val="nil"/>
            </w:tcBorders>
            <w:noWrap/>
            <w:hideMark/>
          </w:tcPr>
          <w:p w:rsidR="00BF1937" w:rsidRPr="00BF1937" w:rsidRDefault="00BF1937" w:rsidP="00065439">
            <w:pPr>
              <w:tabs>
                <w:tab w:val="left" w:pos="288"/>
                <w:tab w:val="left" w:pos="576"/>
                <w:tab w:val="left" w:pos="864"/>
                <w:tab w:val="left" w:pos="1152"/>
              </w:tabs>
              <w:suppressAutoHyphens/>
              <w:spacing w:before="81" w:after="81" w:line="210" w:lineRule="exact"/>
              <w:ind w:right="40"/>
              <w:rPr>
                <w:lang w:val="fr-CH"/>
              </w:rPr>
            </w:pPr>
            <w:r w:rsidRPr="00065439">
              <w:rPr>
                <w:sz w:val="17"/>
                <w:lang w:val="fr-CH"/>
              </w:rPr>
              <w:t>2010</w:t>
            </w:r>
          </w:p>
        </w:tc>
        <w:tc>
          <w:tcPr>
            <w:tcW w:w="972" w:type="dxa"/>
            <w:tcBorders>
              <w:top w:val="single" w:sz="4" w:space="0" w:color="auto"/>
              <w:left w:val="nil"/>
              <w:bottom w:val="single" w:sz="4" w:space="0" w:color="auto"/>
              <w:right w:val="nil"/>
            </w:tcBorders>
            <w:noWrap/>
            <w:hideMark/>
          </w:tcPr>
          <w:p w:rsidR="00BF1937" w:rsidRPr="00BF1937" w:rsidRDefault="00F47D0B" w:rsidP="00F47D0B">
            <w:pPr>
              <w:tabs>
                <w:tab w:val="left" w:pos="288"/>
                <w:tab w:val="left" w:pos="576"/>
                <w:tab w:val="left" w:pos="864"/>
                <w:tab w:val="left" w:pos="1152"/>
              </w:tabs>
              <w:suppressAutoHyphens/>
              <w:spacing w:before="81" w:after="81" w:line="210" w:lineRule="exact"/>
              <w:ind w:right="40"/>
              <w:rPr>
                <w:lang w:val="fr-CH"/>
              </w:rPr>
            </w:pPr>
            <w:r>
              <w:rPr>
                <w:b/>
                <w:sz w:val="17"/>
                <w:lang w:val="fr-CH"/>
              </w:rPr>
              <w:tab/>
            </w:r>
            <w:r w:rsidR="00BF1937" w:rsidRPr="00F47D0B">
              <w:rPr>
                <w:b/>
                <w:sz w:val="17"/>
                <w:lang w:val="fr-CH"/>
              </w:rPr>
              <w:t>Total</w:t>
            </w:r>
          </w:p>
        </w:tc>
        <w:tc>
          <w:tcPr>
            <w:tcW w:w="90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64,3</w:t>
            </w:r>
          </w:p>
        </w:tc>
        <w:tc>
          <w:tcPr>
            <w:tcW w:w="90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73,6</w:t>
            </w:r>
          </w:p>
        </w:tc>
        <w:tc>
          <w:tcPr>
            <w:tcW w:w="99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40,6</w:t>
            </w:r>
          </w:p>
        </w:tc>
        <w:tc>
          <w:tcPr>
            <w:tcW w:w="891"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86,9</w:t>
            </w:r>
          </w:p>
        </w:tc>
        <w:tc>
          <w:tcPr>
            <w:tcW w:w="90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59,1</w:t>
            </w:r>
          </w:p>
        </w:tc>
        <w:tc>
          <w:tcPr>
            <w:tcW w:w="1015"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12,9</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9"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71,4</w:t>
            </w:r>
          </w:p>
        </w:tc>
        <w:tc>
          <w:tcPr>
            <w:tcW w:w="900"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80,4</w:t>
            </w:r>
          </w:p>
        </w:tc>
        <w:tc>
          <w:tcPr>
            <w:tcW w:w="990"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40,9</w:t>
            </w:r>
          </w:p>
        </w:tc>
        <w:tc>
          <w:tcPr>
            <w:tcW w:w="891"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93,4</w:t>
            </w:r>
          </w:p>
        </w:tc>
        <w:tc>
          <w:tcPr>
            <w:tcW w:w="909"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74,3</w:t>
            </w:r>
          </w:p>
        </w:tc>
        <w:tc>
          <w:tcPr>
            <w:tcW w:w="1015"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20,4</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9"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57,8</w:t>
            </w:r>
          </w:p>
        </w:tc>
        <w:tc>
          <w:tcPr>
            <w:tcW w:w="900"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67,4</w:t>
            </w:r>
          </w:p>
        </w:tc>
        <w:tc>
          <w:tcPr>
            <w:tcW w:w="990"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40,2</w:t>
            </w:r>
          </w:p>
        </w:tc>
        <w:tc>
          <w:tcPr>
            <w:tcW w:w="891"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81,0</w:t>
            </w:r>
          </w:p>
        </w:tc>
        <w:tc>
          <w:tcPr>
            <w:tcW w:w="909"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44,3</w:t>
            </w:r>
          </w:p>
        </w:tc>
        <w:tc>
          <w:tcPr>
            <w:tcW w:w="1015"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6,3</w:t>
            </w:r>
          </w:p>
        </w:tc>
      </w:tr>
      <w:tr w:rsidR="00BF1937" w:rsidRPr="00BF1937" w:rsidTr="00383D81">
        <w:trPr>
          <w:trHeight w:val="240"/>
        </w:trPr>
        <w:tc>
          <w:tcPr>
            <w:tcW w:w="902" w:type="dxa"/>
            <w:tcBorders>
              <w:top w:val="nil"/>
              <w:left w:val="nil"/>
              <w:bottom w:val="nil"/>
              <w:right w:val="nil"/>
            </w:tcBorders>
            <w:noWrap/>
            <w:hideMark/>
          </w:tcPr>
          <w:p w:rsidR="00BF1937" w:rsidRPr="00BF1937" w:rsidRDefault="00BF1937" w:rsidP="00065439">
            <w:pPr>
              <w:tabs>
                <w:tab w:val="left" w:pos="288"/>
                <w:tab w:val="left" w:pos="576"/>
                <w:tab w:val="left" w:pos="864"/>
                <w:tab w:val="left" w:pos="1152"/>
              </w:tabs>
              <w:suppressAutoHyphens/>
              <w:spacing w:before="81" w:after="81" w:line="210" w:lineRule="exact"/>
              <w:ind w:right="40"/>
              <w:rPr>
                <w:lang w:val="fr-CH"/>
              </w:rPr>
            </w:pPr>
            <w:r w:rsidRPr="00065439">
              <w:rPr>
                <w:sz w:val="17"/>
                <w:lang w:val="fr-CH"/>
              </w:rPr>
              <w:t>2011</w:t>
            </w:r>
          </w:p>
        </w:tc>
        <w:tc>
          <w:tcPr>
            <w:tcW w:w="972" w:type="dxa"/>
            <w:tcBorders>
              <w:top w:val="single" w:sz="4" w:space="0" w:color="auto"/>
              <w:left w:val="nil"/>
              <w:bottom w:val="single" w:sz="4" w:space="0" w:color="auto"/>
              <w:right w:val="nil"/>
            </w:tcBorders>
            <w:noWrap/>
            <w:hideMark/>
          </w:tcPr>
          <w:p w:rsidR="00BF1937" w:rsidRPr="00BF1937" w:rsidRDefault="00F47D0B" w:rsidP="00F47D0B">
            <w:pPr>
              <w:tabs>
                <w:tab w:val="left" w:pos="288"/>
                <w:tab w:val="left" w:pos="576"/>
                <w:tab w:val="left" w:pos="864"/>
                <w:tab w:val="left" w:pos="1152"/>
              </w:tabs>
              <w:suppressAutoHyphens/>
              <w:spacing w:before="81" w:after="81" w:line="210" w:lineRule="exact"/>
              <w:ind w:right="40"/>
              <w:rPr>
                <w:lang w:val="fr-CH"/>
              </w:rPr>
            </w:pPr>
            <w:r>
              <w:rPr>
                <w:b/>
                <w:sz w:val="17"/>
                <w:lang w:val="fr-CH"/>
              </w:rPr>
              <w:tab/>
            </w:r>
            <w:r w:rsidR="00BF1937" w:rsidRPr="00F47D0B">
              <w:rPr>
                <w:b/>
                <w:sz w:val="17"/>
                <w:lang w:val="fr-CH"/>
              </w:rPr>
              <w:t>Total</w:t>
            </w:r>
          </w:p>
        </w:tc>
        <w:tc>
          <w:tcPr>
            <w:tcW w:w="90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63,7</w:t>
            </w:r>
          </w:p>
        </w:tc>
        <w:tc>
          <w:tcPr>
            <w:tcW w:w="90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73,5</w:t>
            </w:r>
          </w:p>
        </w:tc>
        <w:tc>
          <w:tcPr>
            <w:tcW w:w="99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38,8</w:t>
            </w:r>
          </w:p>
        </w:tc>
        <w:tc>
          <w:tcPr>
            <w:tcW w:w="891"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87,3</w:t>
            </w:r>
          </w:p>
        </w:tc>
        <w:tc>
          <w:tcPr>
            <w:tcW w:w="90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57,6</w:t>
            </w:r>
          </w:p>
        </w:tc>
        <w:tc>
          <w:tcPr>
            <w:tcW w:w="1015"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11,2</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9"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70,7</w:t>
            </w:r>
          </w:p>
        </w:tc>
        <w:tc>
          <w:tcPr>
            <w:tcW w:w="900"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80,4</w:t>
            </w:r>
          </w:p>
        </w:tc>
        <w:tc>
          <w:tcPr>
            <w:tcW w:w="990"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41,4</w:t>
            </w:r>
          </w:p>
        </w:tc>
        <w:tc>
          <w:tcPr>
            <w:tcW w:w="891"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93,1</w:t>
            </w:r>
          </w:p>
        </w:tc>
        <w:tc>
          <w:tcPr>
            <w:tcW w:w="909"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72,9</w:t>
            </w:r>
          </w:p>
        </w:tc>
        <w:tc>
          <w:tcPr>
            <w:tcW w:w="1015"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17,5</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nil"/>
              <w:left w:val="nil"/>
              <w:bottom w:val="single" w:sz="4"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9"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57,5</w:t>
            </w:r>
          </w:p>
        </w:tc>
        <w:tc>
          <w:tcPr>
            <w:tcW w:w="900"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67,4</w:t>
            </w:r>
          </w:p>
        </w:tc>
        <w:tc>
          <w:tcPr>
            <w:tcW w:w="990"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36,6</w:t>
            </w:r>
          </w:p>
        </w:tc>
        <w:tc>
          <w:tcPr>
            <w:tcW w:w="891"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82,0</w:t>
            </w:r>
          </w:p>
        </w:tc>
        <w:tc>
          <w:tcPr>
            <w:tcW w:w="909"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42,7</w:t>
            </w:r>
          </w:p>
        </w:tc>
        <w:tc>
          <w:tcPr>
            <w:tcW w:w="1015"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5,8</w:t>
            </w:r>
          </w:p>
        </w:tc>
      </w:tr>
      <w:tr w:rsidR="00BF1937" w:rsidRPr="00BF1937" w:rsidTr="00383D81">
        <w:trPr>
          <w:trHeight w:val="240"/>
        </w:trPr>
        <w:tc>
          <w:tcPr>
            <w:tcW w:w="902" w:type="dxa"/>
            <w:tcBorders>
              <w:top w:val="nil"/>
              <w:left w:val="nil"/>
              <w:bottom w:val="nil"/>
              <w:right w:val="nil"/>
            </w:tcBorders>
            <w:noWrap/>
            <w:hideMark/>
          </w:tcPr>
          <w:p w:rsidR="00BF1937" w:rsidRPr="00BF1937" w:rsidRDefault="00BF1937" w:rsidP="00065439">
            <w:pPr>
              <w:tabs>
                <w:tab w:val="left" w:pos="288"/>
                <w:tab w:val="left" w:pos="576"/>
                <w:tab w:val="left" w:pos="864"/>
                <w:tab w:val="left" w:pos="1152"/>
              </w:tabs>
              <w:suppressAutoHyphens/>
              <w:spacing w:before="81" w:after="81" w:line="210" w:lineRule="exact"/>
              <w:ind w:right="40"/>
              <w:rPr>
                <w:lang w:val="fr-CH"/>
              </w:rPr>
            </w:pPr>
            <w:r w:rsidRPr="00065439">
              <w:rPr>
                <w:sz w:val="17"/>
                <w:lang w:val="fr-CH"/>
              </w:rPr>
              <w:t>2012</w:t>
            </w:r>
          </w:p>
        </w:tc>
        <w:tc>
          <w:tcPr>
            <w:tcW w:w="972" w:type="dxa"/>
            <w:tcBorders>
              <w:top w:val="single" w:sz="4" w:space="0" w:color="auto"/>
              <w:left w:val="nil"/>
              <w:bottom w:val="single" w:sz="4" w:space="0" w:color="auto"/>
              <w:right w:val="nil"/>
            </w:tcBorders>
            <w:noWrap/>
            <w:hideMark/>
          </w:tcPr>
          <w:p w:rsidR="00BF1937" w:rsidRPr="00BF1937" w:rsidRDefault="00F47D0B" w:rsidP="00F47D0B">
            <w:pPr>
              <w:tabs>
                <w:tab w:val="left" w:pos="288"/>
                <w:tab w:val="left" w:pos="576"/>
                <w:tab w:val="left" w:pos="864"/>
                <w:tab w:val="left" w:pos="1152"/>
              </w:tabs>
              <w:suppressAutoHyphens/>
              <w:spacing w:before="81" w:after="81" w:line="210" w:lineRule="exact"/>
              <w:ind w:right="40"/>
              <w:rPr>
                <w:lang w:val="fr-CH"/>
              </w:rPr>
            </w:pPr>
            <w:r>
              <w:rPr>
                <w:b/>
                <w:sz w:val="17"/>
                <w:lang w:val="fr-CH"/>
              </w:rPr>
              <w:tab/>
            </w:r>
            <w:r w:rsidR="00BF1937" w:rsidRPr="00F47D0B">
              <w:rPr>
                <w:b/>
                <w:sz w:val="17"/>
                <w:lang w:val="fr-CH"/>
              </w:rPr>
              <w:t>Total</w:t>
            </w:r>
          </w:p>
        </w:tc>
        <w:tc>
          <w:tcPr>
            <w:tcW w:w="90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63,4</w:t>
            </w:r>
          </w:p>
        </w:tc>
        <w:tc>
          <w:tcPr>
            <w:tcW w:w="90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73,5</w:t>
            </w:r>
          </w:p>
        </w:tc>
        <w:tc>
          <w:tcPr>
            <w:tcW w:w="99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39,0</w:t>
            </w:r>
          </w:p>
        </w:tc>
        <w:tc>
          <w:tcPr>
            <w:tcW w:w="891"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87,6</w:t>
            </w:r>
          </w:p>
        </w:tc>
        <w:tc>
          <w:tcPr>
            <w:tcW w:w="90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56,1</w:t>
            </w:r>
          </w:p>
        </w:tc>
        <w:tc>
          <w:tcPr>
            <w:tcW w:w="1015"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9,6</w:t>
            </w:r>
          </w:p>
        </w:tc>
      </w:tr>
      <w:tr w:rsidR="00BF1937" w:rsidRPr="00BF1937" w:rsidTr="00383D81">
        <w:trPr>
          <w:trHeight w:val="240"/>
        </w:trPr>
        <w:tc>
          <w:tcPr>
            <w:tcW w:w="902" w:type="dxa"/>
            <w:tcBorders>
              <w:top w:val="nil"/>
              <w:left w:val="nil"/>
              <w:bottom w:val="nil"/>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single" w:sz="4" w:space="0" w:color="auto"/>
              <w:left w:val="nil"/>
              <w:bottom w:val="nil"/>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Hommes</w:t>
            </w:r>
          </w:p>
        </w:tc>
        <w:tc>
          <w:tcPr>
            <w:tcW w:w="909"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70,6</w:t>
            </w:r>
          </w:p>
        </w:tc>
        <w:tc>
          <w:tcPr>
            <w:tcW w:w="900"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80,7</w:t>
            </w:r>
          </w:p>
        </w:tc>
        <w:tc>
          <w:tcPr>
            <w:tcW w:w="990"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42,8</w:t>
            </w:r>
          </w:p>
        </w:tc>
        <w:tc>
          <w:tcPr>
            <w:tcW w:w="891"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93,8</w:t>
            </w:r>
          </w:p>
        </w:tc>
        <w:tc>
          <w:tcPr>
            <w:tcW w:w="909"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71,2</w:t>
            </w:r>
          </w:p>
        </w:tc>
        <w:tc>
          <w:tcPr>
            <w:tcW w:w="1015" w:type="dxa"/>
            <w:tcBorders>
              <w:top w:val="single" w:sz="4" w:space="0" w:color="auto"/>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15,0</w:t>
            </w:r>
          </w:p>
        </w:tc>
      </w:tr>
      <w:tr w:rsidR="00BF1937" w:rsidRPr="00BF1937" w:rsidTr="00F47D0B">
        <w:trPr>
          <w:trHeight w:val="240"/>
        </w:trPr>
        <w:tc>
          <w:tcPr>
            <w:tcW w:w="902" w:type="dxa"/>
            <w:tcBorders>
              <w:top w:val="nil"/>
              <w:left w:val="nil"/>
              <w:bottom w:val="single" w:sz="12" w:space="0" w:color="auto"/>
              <w:right w:val="nil"/>
            </w:tcBorders>
            <w:noWrap/>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 </w:t>
            </w:r>
          </w:p>
        </w:tc>
        <w:tc>
          <w:tcPr>
            <w:tcW w:w="972" w:type="dxa"/>
            <w:tcBorders>
              <w:top w:val="nil"/>
              <w:left w:val="nil"/>
              <w:bottom w:val="single" w:sz="12" w:space="0" w:color="auto"/>
              <w:right w:val="nil"/>
            </w:tcBorders>
            <w:noWrap/>
            <w:vAlign w:val="bottom"/>
            <w:hideMark/>
          </w:tcPr>
          <w:p w:rsidR="00BF1937" w:rsidRPr="00065439" w:rsidRDefault="00BF1937" w:rsidP="00065439">
            <w:pPr>
              <w:tabs>
                <w:tab w:val="left" w:pos="288"/>
                <w:tab w:val="left" w:pos="576"/>
                <w:tab w:val="left" w:pos="864"/>
                <w:tab w:val="left" w:pos="1152"/>
              </w:tabs>
              <w:suppressAutoHyphens/>
              <w:spacing w:before="40" w:after="40" w:line="210" w:lineRule="exact"/>
              <w:ind w:right="40"/>
              <w:rPr>
                <w:sz w:val="17"/>
                <w:lang w:val="fr-CH"/>
              </w:rPr>
            </w:pPr>
            <w:r w:rsidRPr="00065439">
              <w:rPr>
                <w:sz w:val="17"/>
                <w:lang w:val="fr-CH"/>
              </w:rPr>
              <w:t>Femmes</w:t>
            </w:r>
          </w:p>
        </w:tc>
        <w:tc>
          <w:tcPr>
            <w:tcW w:w="909" w:type="dxa"/>
            <w:tcBorders>
              <w:top w:val="nil"/>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56,9</w:t>
            </w:r>
          </w:p>
        </w:tc>
        <w:tc>
          <w:tcPr>
            <w:tcW w:w="900" w:type="dxa"/>
            <w:tcBorders>
              <w:top w:val="nil"/>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66,9</w:t>
            </w:r>
          </w:p>
        </w:tc>
        <w:tc>
          <w:tcPr>
            <w:tcW w:w="990" w:type="dxa"/>
            <w:tcBorders>
              <w:top w:val="nil"/>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35,5</w:t>
            </w:r>
          </w:p>
        </w:tc>
        <w:tc>
          <w:tcPr>
            <w:tcW w:w="891" w:type="dxa"/>
            <w:tcBorders>
              <w:top w:val="nil"/>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82,0</w:t>
            </w:r>
          </w:p>
        </w:tc>
        <w:tc>
          <w:tcPr>
            <w:tcW w:w="909" w:type="dxa"/>
            <w:tcBorders>
              <w:top w:val="nil"/>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41,3</w:t>
            </w:r>
          </w:p>
        </w:tc>
        <w:tc>
          <w:tcPr>
            <w:tcW w:w="1015" w:type="dxa"/>
            <w:tcBorders>
              <w:top w:val="nil"/>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4,9</w:t>
            </w:r>
          </w:p>
        </w:tc>
      </w:tr>
    </w:tbl>
    <w:p w:rsidR="00EA238B" w:rsidRPr="00EA238B" w:rsidRDefault="00EA238B" w:rsidP="00EA238B">
      <w:pPr>
        <w:pStyle w:val="SingleTxt"/>
        <w:spacing w:after="0" w:line="120" w:lineRule="exact"/>
        <w:rPr>
          <w:sz w:val="10"/>
          <w:lang w:val="fr-CH"/>
        </w:rPr>
      </w:pPr>
    </w:p>
    <w:p w:rsidR="00EA238B" w:rsidRPr="00EA238B" w:rsidRDefault="00EA238B" w:rsidP="00EA238B">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Proportion de la population active affiliée à un syndicat</w:t>
      </w:r>
      <w:r w:rsidR="00EA238B">
        <w:rPr>
          <w:b/>
          <w:i/>
          <w:lang w:val="fr-CH"/>
        </w:rPr>
        <w:t> </w:t>
      </w:r>
      <w:r w:rsidRPr="00BF1937">
        <w:rPr>
          <w:lang w:val="fr-CH"/>
        </w:rPr>
        <w:t>: selon les dernières données officielles disponibles (2011) sur l</w:t>
      </w:r>
      <w:r w:rsidR="008300FB">
        <w:rPr>
          <w:lang w:val="fr-CH"/>
        </w:rPr>
        <w:t>’</w:t>
      </w:r>
      <w:r w:rsidRPr="00BF1937">
        <w:rPr>
          <w:lang w:val="fr-CH"/>
        </w:rPr>
        <w:t>affiliation syndicale, environ 52 % de la population active chypriote est membre de l</w:t>
      </w:r>
      <w:r w:rsidR="008300FB">
        <w:rPr>
          <w:lang w:val="fr-CH"/>
        </w:rPr>
        <w:t>’</w:t>
      </w:r>
      <w:r w:rsidRPr="00BF1937">
        <w:rPr>
          <w:lang w:val="fr-CH"/>
        </w:rPr>
        <w:t>une des deux principales confédérations syndicales – la Fédération panchypriote des travailleurs (PEO) et la Confédération des travailleurs chypriotes (SEK) – ou de la Fédération démocratique des travailleurs de Chypre (DEOK), un plus petit syndicat, et d</w:t>
      </w:r>
      <w:r w:rsidR="008300FB">
        <w:rPr>
          <w:lang w:val="fr-CH"/>
        </w:rPr>
        <w:t>’</w:t>
      </w:r>
      <w:r w:rsidRPr="00BF1937">
        <w:rPr>
          <w:lang w:val="fr-CH"/>
        </w:rPr>
        <w:t>autres syndicats indépendants représentant les travailleurs du secteur public et les employés de banque. Environ 40 % des effectifs du secteur privé sont affiliés à un syndicat. En 2013, le taux d</w:t>
      </w:r>
      <w:r w:rsidR="008300FB">
        <w:rPr>
          <w:lang w:val="fr-CH"/>
        </w:rPr>
        <w:t>’</w:t>
      </w:r>
      <w:r w:rsidRPr="00BF1937">
        <w:rPr>
          <w:lang w:val="fr-CH"/>
        </w:rPr>
        <w:t>affiliation syndicale devrait baisser et s</w:t>
      </w:r>
      <w:r w:rsidR="008300FB">
        <w:rPr>
          <w:lang w:val="fr-CH"/>
        </w:rPr>
        <w:t>’</w:t>
      </w:r>
      <w:r w:rsidRPr="00BF1937">
        <w:rPr>
          <w:lang w:val="fr-CH"/>
        </w:rPr>
        <w:t>établir à 48 %.</w:t>
      </w:r>
    </w:p>
    <w:p w:rsidR="00EA238B" w:rsidRPr="00EA238B" w:rsidRDefault="00EA238B" w:rsidP="00EA238B">
      <w:pPr>
        <w:pStyle w:val="SingleTxt"/>
        <w:spacing w:after="0" w:line="120" w:lineRule="exact"/>
        <w:rPr>
          <w:b/>
          <w:sz w:val="10"/>
          <w:lang w:val="fr-FR"/>
        </w:rPr>
      </w:pPr>
    </w:p>
    <w:p w:rsidR="00BF1937" w:rsidRPr="00BF1937" w:rsidRDefault="00EA238B" w:rsidP="00EA2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F1937" w:rsidRPr="00BF1937">
        <w:rPr>
          <w:lang w:val="fr-FR"/>
        </w:rPr>
        <w:t>3.</w:t>
      </w:r>
      <w:r>
        <w:rPr>
          <w:lang w:val="fr-FR"/>
        </w:rPr>
        <w:tab/>
      </w:r>
      <w:r w:rsidR="00BF1937" w:rsidRPr="00BF1937">
        <w:rPr>
          <w:lang w:val="fr-FR"/>
        </w:rPr>
        <w:t>Économie</w:t>
      </w:r>
    </w:p>
    <w:p w:rsidR="00EA238B" w:rsidRPr="00EA238B" w:rsidRDefault="00EA238B" w:rsidP="00EA238B">
      <w:pPr>
        <w:pStyle w:val="SingleTxt"/>
        <w:spacing w:after="0" w:line="120" w:lineRule="exact"/>
        <w:rPr>
          <w:sz w:val="10"/>
          <w:lang w:val="fr-FR"/>
        </w:rPr>
      </w:pP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w:t>
      </w:r>
      <w:r w:rsidR="008300FB">
        <w:rPr>
          <w:lang w:val="fr-FR"/>
        </w:rPr>
        <w:t>’</w:t>
      </w:r>
      <w:r w:rsidRPr="00BF1937">
        <w:rPr>
          <w:lang w:val="fr-FR"/>
        </w:rPr>
        <w:t>économie chypriote est une économie de marché, dont le secteur privé constitue l</w:t>
      </w:r>
      <w:r w:rsidR="008300FB">
        <w:rPr>
          <w:lang w:val="fr-FR"/>
        </w:rPr>
        <w:t>’</w:t>
      </w:r>
      <w:r w:rsidRPr="00BF1937">
        <w:rPr>
          <w:lang w:val="fr-FR"/>
        </w:rPr>
        <w:t>épine dorsale. Le rôle de l</w:t>
      </w:r>
      <w:r w:rsidR="008300FB">
        <w:rPr>
          <w:lang w:val="fr-FR"/>
        </w:rPr>
        <w:t>’</w:t>
      </w:r>
      <w:r w:rsidRPr="00BF1937">
        <w:rPr>
          <w:lang w:val="fr-FR"/>
        </w:rPr>
        <w:t>État se limite pour l</w:t>
      </w:r>
      <w:r w:rsidR="008300FB">
        <w:rPr>
          <w:lang w:val="fr-FR"/>
        </w:rPr>
        <w:t>’</w:t>
      </w:r>
      <w:r w:rsidRPr="00BF1937">
        <w:rPr>
          <w:lang w:val="fr-FR"/>
        </w:rPr>
        <w:t>essentiel à maintenir un cadre transparent permettant le fonctionnement du marché, à définir des orientations et à fournir des services publics et des services sociaux.</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Les échanges internationaux occupent une place considérable dans l</w:t>
      </w:r>
      <w:r w:rsidR="008300FB">
        <w:rPr>
          <w:lang w:val="fr-FR"/>
        </w:rPr>
        <w:t>’</w:t>
      </w:r>
      <w:r w:rsidRPr="00BF1937">
        <w:rPr>
          <w:lang w:val="fr-FR"/>
        </w:rPr>
        <w:t>économie chypriote. En ce qui concerne la production, le manque de matières premières et de ressources énergétiques et l</w:t>
      </w:r>
      <w:r w:rsidR="008300FB">
        <w:rPr>
          <w:lang w:val="fr-FR"/>
        </w:rPr>
        <w:t>’</w:t>
      </w:r>
      <w:r w:rsidRPr="00BF1937">
        <w:rPr>
          <w:lang w:val="fr-FR"/>
        </w:rPr>
        <w:t>absence d</w:t>
      </w:r>
      <w:r w:rsidR="008300FB">
        <w:rPr>
          <w:lang w:val="fr-FR"/>
        </w:rPr>
        <w:t>’</w:t>
      </w:r>
      <w:r w:rsidRPr="00BF1937">
        <w:rPr>
          <w:lang w:val="fr-FR"/>
        </w:rPr>
        <w:t>une industrie lourde capable de produire des biens d</w:t>
      </w:r>
      <w:r w:rsidR="008300FB">
        <w:rPr>
          <w:lang w:val="fr-FR"/>
        </w:rPr>
        <w:t>’</w:t>
      </w:r>
      <w:r w:rsidRPr="00BF1937">
        <w:rPr>
          <w:lang w:val="fr-FR"/>
        </w:rPr>
        <w:t>équipement rendent nécessaire l</w:t>
      </w:r>
      <w:r w:rsidR="008300FB">
        <w:rPr>
          <w:lang w:val="fr-FR"/>
        </w:rPr>
        <w:t>’</w:t>
      </w:r>
      <w:r w:rsidRPr="00BF1937">
        <w:rPr>
          <w:lang w:val="fr-FR"/>
        </w:rPr>
        <w:t>importation de tels biens. Du côté de la demande, l</w:t>
      </w:r>
      <w:r w:rsidR="008300FB">
        <w:rPr>
          <w:lang w:val="fr-FR"/>
        </w:rPr>
        <w:t>’</w:t>
      </w:r>
      <w:r w:rsidRPr="00BF1937">
        <w:rPr>
          <w:lang w:val="fr-FR"/>
        </w:rPr>
        <w:t>étroitesse du marché intérieur explique le rôle vital des exportations, qui soutiennent la demande globale de produits agricoles et manufacturés et de services chypriotes. Les principaux partenaires économiques de Chypre sont les pays membres de l</w:t>
      </w:r>
      <w:r w:rsidR="008300FB">
        <w:rPr>
          <w:lang w:val="fr-FR"/>
        </w:rPr>
        <w:t>’</w:t>
      </w:r>
      <w:r w:rsidRPr="00BF1937">
        <w:rPr>
          <w:lang w:val="fr-FR"/>
        </w:rPr>
        <w:t>Union européenne, les pays voisins du Moyen-Orient et les pays d</w:t>
      </w:r>
      <w:r w:rsidR="008300FB">
        <w:rPr>
          <w:lang w:val="fr-FR"/>
        </w:rPr>
        <w:t>’</w:t>
      </w:r>
      <w:r w:rsidRPr="00BF1937">
        <w:rPr>
          <w:lang w:val="fr-FR"/>
        </w:rPr>
        <w:t>Europe orientale.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Malgré le coup terrible que lui a porté l</w:t>
      </w:r>
      <w:r w:rsidR="008300FB">
        <w:rPr>
          <w:lang w:val="fr-FR"/>
        </w:rPr>
        <w:t>’</w:t>
      </w:r>
      <w:r w:rsidRPr="00BF1937">
        <w:rPr>
          <w:lang w:val="fr-FR"/>
        </w:rPr>
        <w:t>invasion turque de 1974 (à l</w:t>
      </w:r>
      <w:r w:rsidR="008300FB">
        <w:rPr>
          <w:lang w:val="fr-FR"/>
        </w:rPr>
        <w:t>’</w:t>
      </w:r>
      <w:r w:rsidRPr="00BF1937">
        <w:rPr>
          <w:lang w:val="fr-FR"/>
        </w:rPr>
        <w:t xml:space="preserve">époque la partie occupée du pays contribuait pour </w:t>
      </w:r>
      <w:r w:rsidR="00EA238B">
        <w:rPr>
          <w:lang w:val="fr-FR"/>
        </w:rPr>
        <w:t>près de 70 </w:t>
      </w:r>
      <w:r w:rsidRPr="00BF1937">
        <w:rPr>
          <w:lang w:val="fr-FR"/>
        </w:rPr>
        <w:t>% au PIB), l</w:t>
      </w:r>
      <w:r w:rsidR="008300FB">
        <w:rPr>
          <w:lang w:val="fr-FR"/>
        </w:rPr>
        <w:t>’</w:t>
      </w:r>
      <w:r w:rsidRPr="00BF1937">
        <w:rPr>
          <w:lang w:val="fr-FR"/>
        </w:rPr>
        <w:t>économie de Chypre a opéré un redressement remarquable. Après le recul observé en 1974, le volume de la production s</w:t>
      </w:r>
      <w:r w:rsidR="008300FB">
        <w:rPr>
          <w:lang w:val="fr-FR"/>
        </w:rPr>
        <w:t>’</w:t>
      </w:r>
      <w:r w:rsidRPr="00BF1937">
        <w:rPr>
          <w:lang w:val="fr-FR"/>
        </w:rPr>
        <w:t>est rapidement redressé, pour dépasser en 1977 le niveau d</w:t>
      </w:r>
      <w:r w:rsidR="008300FB">
        <w:rPr>
          <w:lang w:val="fr-FR"/>
        </w:rPr>
        <w:t>’</w:t>
      </w:r>
      <w:r w:rsidRPr="00BF1937">
        <w:rPr>
          <w:lang w:val="fr-FR"/>
        </w:rPr>
        <w:t>avant 1974. Une fois la confiance restaurée, les investissements ont progressé de manière spectaculaire. Dès 1979, le plein-emploi était rétabli. Le chômage, qui touchait près de 30</w:t>
      </w:r>
      <w:r w:rsidR="00EA238B">
        <w:rPr>
          <w:lang w:val="fr-FR"/>
        </w:rPr>
        <w:t> </w:t>
      </w:r>
      <w:r w:rsidRPr="00BF1937">
        <w:rPr>
          <w:lang w:val="fr-FR"/>
        </w:rPr>
        <w:t>% de la population active au second semestre de 1974, avait pratiquement disparu (1,8</w:t>
      </w:r>
      <w:r w:rsidR="00EA238B">
        <w:rPr>
          <w:lang w:val="fr-FR"/>
        </w:rPr>
        <w:t> </w:t>
      </w:r>
      <w:r w:rsidRPr="00BF1937">
        <w:rPr>
          <w:lang w:val="fr-FR"/>
        </w:rPr>
        <w:t>%). Les personnes déplacées avaient été provisoirement relogés en attendant de pouvoir regagner leur foyer d</w:t>
      </w:r>
      <w:r w:rsidR="008300FB">
        <w:rPr>
          <w:lang w:val="fr-FR"/>
        </w:rPr>
        <w:t>’</w:t>
      </w:r>
      <w:r w:rsidRPr="00BF1937">
        <w:rPr>
          <w:lang w:val="fr-FR"/>
        </w:rPr>
        <w:t>origine.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lastRenderedPageBreak/>
        <w:t>Depuis 1974, l</w:t>
      </w:r>
      <w:r w:rsidR="008300FB">
        <w:rPr>
          <w:lang w:val="fr-FR"/>
        </w:rPr>
        <w:t>’</w:t>
      </w:r>
      <w:r w:rsidRPr="00BF1937">
        <w:rPr>
          <w:lang w:val="fr-FR"/>
        </w:rPr>
        <w:t>économie a subi des transformations structurelles décisives. Si, durant la seconde moitié des années 1970 et au début des années 1980, le secteur manufacturier était le moteur de la croissance, ce rôle a été repris par le secteur du tourisme à la fin des années 1980 et par d</w:t>
      </w:r>
      <w:r w:rsidR="008300FB">
        <w:rPr>
          <w:lang w:val="fr-FR"/>
        </w:rPr>
        <w:t>’</w:t>
      </w:r>
      <w:r w:rsidRPr="00BF1937">
        <w:rPr>
          <w:lang w:val="fr-FR"/>
        </w:rPr>
        <w:t>autres branches du secteur des services au début des années 1990. La différenciation correspondante dans la part respective des activités en question dans le PIB et dans l</w:t>
      </w:r>
      <w:r w:rsidR="008300FB">
        <w:rPr>
          <w:lang w:val="fr-FR"/>
        </w:rPr>
        <w:t>’</w:t>
      </w:r>
      <w:r w:rsidRPr="00BF1937">
        <w:rPr>
          <w:lang w:val="fr-FR"/>
        </w:rPr>
        <w:t>emploi rémunéré témoigne de ces modifications structurelles. Jadis pays sous-développé dominé par le secteur primaire, Chypre s</w:t>
      </w:r>
      <w:r w:rsidR="008300FB">
        <w:rPr>
          <w:lang w:val="fr-FR"/>
        </w:rPr>
        <w:t>’</w:t>
      </w:r>
      <w:r w:rsidRPr="00BF1937">
        <w:rPr>
          <w:lang w:val="fr-FR"/>
        </w:rPr>
        <w:t>est progressivement transformée et son économie est aujourd</w:t>
      </w:r>
      <w:r w:rsidR="008300FB">
        <w:rPr>
          <w:lang w:val="fr-FR"/>
        </w:rPr>
        <w:t>’</w:t>
      </w:r>
      <w:r w:rsidRPr="00BF1937">
        <w:rPr>
          <w:lang w:val="fr-FR"/>
        </w:rPr>
        <w:t>hui axée sur les services.</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Le 1</w:t>
      </w:r>
      <w:r w:rsidRPr="00BF1937">
        <w:rPr>
          <w:vertAlign w:val="superscript"/>
          <w:lang w:val="fr-FR"/>
        </w:rPr>
        <w:t>er</w:t>
      </w:r>
      <w:r w:rsidR="00EA238B">
        <w:rPr>
          <w:lang w:val="fr-FR"/>
        </w:rPr>
        <w:t> </w:t>
      </w:r>
      <w:r w:rsidRPr="00BF1937">
        <w:rPr>
          <w:lang w:val="fr-FR"/>
        </w:rPr>
        <w:t>janvier 2008, l</w:t>
      </w:r>
      <w:r w:rsidR="008300FB">
        <w:rPr>
          <w:lang w:val="fr-FR"/>
        </w:rPr>
        <w:t>’</w:t>
      </w:r>
      <w:r w:rsidRPr="00BF1937">
        <w:rPr>
          <w:lang w:val="fr-FR"/>
        </w:rPr>
        <w:t>euro est devenu la nouvelle monnaie légale de Chypre, remplaçant la livre chypriote au taux de change fixe et irré</w:t>
      </w:r>
      <w:r w:rsidR="00EA238B">
        <w:rPr>
          <w:lang w:val="fr-FR"/>
        </w:rPr>
        <w:t>vocable de 1 euro pour 0,585274 </w:t>
      </w:r>
      <w:r w:rsidRPr="00BF1937">
        <w:rPr>
          <w:lang w:val="fr-FR"/>
        </w:rPr>
        <w:t>livre.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Avant le début de la crise économique mondiale, Chypre enregistrait une croissance économique convenable et bénéficiait d</w:t>
      </w:r>
      <w:r w:rsidR="008300FB">
        <w:rPr>
          <w:lang w:val="fr-FR"/>
        </w:rPr>
        <w:t>’</w:t>
      </w:r>
      <w:r w:rsidRPr="00BF1937">
        <w:rPr>
          <w:lang w:val="fr-FR"/>
        </w:rPr>
        <w:t>un faible taux de chômage et d</w:t>
      </w:r>
      <w:r w:rsidR="008300FB">
        <w:rPr>
          <w:lang w:val="fr-FR"/>
        </w:rPr>
        <w:t>’</w:t>
      </w:r>
      <w:r w:rsidRPr="00BF1937">
        <w:rPr>
          <w:lang w:val="fr-FR"/>
        </w:rPr>
        <w:t>un environnement macroéconomique relativement stable. La crise économique internationale a néanmoins fortement affecté l</w:t>
      </w:r>
      <w:r w:rsidR="008300FB">
        <w:rPr>
          <w:lang w:val="fr-FR"/>
        </w:rPr>
        <w:t>’</w:t>
      </w:r>
      <w:r w:rsidRPr="00BF1937">
        <w:rPr>
          <w:lang w:val="fr-FR"/>
        </w:rPr>
        <w:t>économie, comme le montrent les principaux indicateurs économiques. Les déséquilibres budgétaires et structurels, mais aussi la dépendance des grandes banques chypriotes vis-à-vis du marché grec et la détention d</w:t>
      </w:r>
      <w:r w:rsidR="008300FB">
        <w:rPr>
          <w:lang w:val="fr-FR"/>
        </w:rPr>
        <w:t>’</w:t>
      </w:r>
      <w:r w:rsidRPr="00BF1937">
        <w:rPr>
          <w:lang w:val="fr-FR"/>
        </w:rPr>
        <w:t>un stock important d</w:t>
      </w:r>
      <w:r w:rsidR="008300FB">
        <w:rPr>
          <w:lang w:val="fr-FR"/>
        </w:rPr>
        <w:t>’</w:t>
      </w:r>
      <w:r w:rsidRPr="00BF1937">
        <w:rPr>
          <w:lang w:val="fr-FR"/>
        </w:rPr>
        <w:t>obligations d</w:t>
      </w:r>
      <w:r w:rsidR="008300FB">
        <w:rPr>
          <w:lang w:val="fr-FR"/>
        </w:rPr>
        <w:t>’</w:t>
      </w:r>
      <w:r w:rsidRPr="00BF1937">
        <w:rPr>
          <w:lang w:val="fr-FR"/>
        </w:rPr>
        <w:t>État grecques, ont joué un grand rôle dans l</w:t>
      </w:r>
      <w:r w:rsidR="008300FB">
        <w:rPr>
          <w:lang w:val="fr-FR"/>
        </w:rPr>
        <w:t>’</w:t>
      </w:r>
      <w:r w:rsidRPr="00BF1937">
        <w:rPr>
          <w:lang w:val="fr-FR"/>
        </w:rPr>
        <w:t>augmentation considérable du coût des emprunts sur les marchés internationaux et, par voie de conséquence, dans la décision de solliciter l</w:t>
      </w:r>
      <w:r w:rsidR="008300FB">
        <w:rPr>
          <w:lang w:val="fr-FR"/>
        </w:rPr>
        <w:t>’</w:t>
      </w:r>
      <w:r w:rsidRPr="00BF1937">
        <w:rPr>
          <w:lang w:val="fr-FR"/>
        </w:rPr>
        <w:t>aide de la troïka.</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Fait plus important encore, la décision de l</w:t>
      </w:r>
      <w:r w:rsidR="008300FB">
        <w:rPr>
          <w:lang w:val="fr-FR"/>
        </w:rPr>
        <w:t>’</w:t>
      </w:r>
      <w:r w:rsidRPr="00BF1937">
        <w:rPr>
          <w:lang w:val="fr-FR"/>
        </w:rPr>
        <w:t>Eurogroupe d</w:t>
      </w:r>
      <w:r w:rsidR="008300FB">
        <w:rPr>
          <w:lang w:val="fr-FR"/>
        </w:rPr>
        <w:t>’</w:t>
      </w:r>
      <w:r w:rsidRPr="00BF1937">
        <w:rPr>
          <w:lang w:val="fr-FR"/>
        </w:rPr>
        <w:t>imposer une décote des dépôts non garantis effectués dans les deux plus grandes banques chypriotes a eu d</w:t>
      </w:r>
      <w:r w:rsidR="008300FB">
        <w:rPr>
          <w:lang w:val="fr-FR"/>
        </w:rPr>
        <w:t>’</w:t>
      </w:r>
      <w:r w:rsidRPr="00BF1937">
        <w:rPr>
          <w:lang w:val="fr-FR"/>
        </w:rPr>
        <w:t>importantes conséquences préjudiciables pour le secteur bancaire, qui est l</w:t>
      </w:r>
      <w:r w:rsidR="008300FB">
        <w:rPr>
          <w:lang w:val="fr-FR"/>
        </w:rPr>
        <w:t>’</w:t>
      </w:r>
      <w:r w:rsidRPr="00BF1937">
        <w:rPr>
          <w:lang w:val="fr-FR"/>
        </w:rPr>
        <w:t>un des principaux moteurs de l</w:t>
      </w:r>
      <w:r w:rsidR="008300FB">
        <w:rPr>
          <w:lang w:val="fr-FR"/>
        </w:rPr>
        <w:t>’</w:t>
      </w:r>
      <w:r w:rsidRPr="00BF1937">
        <w:rPr>
          <w:lang w:val="fr-FR"/>
        </w:rPr>
        <w:t>économie du pays. Le recul brutal et soudain de ce secteur et les pertes essuyées par les déposants ont fatalement une incidence sur l</w:t>
      </w:r>
      <w:r w:rsidR="008300FB">
        <w:rPr>
          <w:lang w:val="fr-FR"/>
        </w:rPr>
        <w:t>’</w:t>
      </w:r>
      <w:r w:rsidRPr="00BF1937">
        <w:rPr>
          <w:lang w:val="fr-FR"/>
        </w:rPr>
        <w:t>économie réelle.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w:t>
      </w:r>
      <w:r w:rsidR="008300FB">
        <w:rPr>
          <w:lang w:val="fr-FR"/>
        </w:rPr>
        <w:t>’</w:t>
      </w:r>
      <w:r w:rsidRPr="00BF1937">
        <w:rPr>
          <w:lang w:val="fr-FR"/>
        </w:rPr>
        <w:t>accord conclu avec la troïka (mémorandum d</w:t>
      </w:r>
      <w:r w:rsidR="008300FB">
        <w:rPr>
          <w:lang w:val="fr-FR"/>
        </w:rPr>
        <w:t>’</w:t>
      </w:r>
      <w:r w:rsidRPr="00BF1937">
        <w:rPr>
          <w:lang w:val="fr-FR"/>
        </w:rPr>
        <w:t>accord) au sujet d</w:t>
      </w:r>
      <w:r w:rsidR="008300FB">
        <w:rPr>
          <w:lang w:val="fr-FR"/>
        </w:rPr>
        <w:t>’</w:t>
      </w:r>
      <w:r w:rsidRPr="00BF1937">
        <w:rPr>
          <w:lang w:val="fr-FR"/>
        </w:rPr>
        <w:t>un programme d</w:t>
      </w:r>
      <w:r w:rsidR="008300FB">
        <w:rPr>
          <w:lang w:val="fr-FR"/>
        </w:rPr>
        <w:t>’</w:t>
      </w:r>
      <w:r w:rsidRPr="00BF1937">
        <w:rPr>
          <w:lang w:val="fr-FR"/>
        </w:rPr>
        <w:t>ajustement macroéconomique devrait restaurer la stabilité économique. Ce programme ambitieux vise à établir l</w:t>
      </w:r>
      <w:r w:rsidR="008300FB">
        <w:rPr>
          <w:lang w:val="fr-FR"/>
        </w:rPr>
        <w:t>’</w:t>
      </w:r>
      <w:r w:rsidRPr="00BF1937">
        <w:rPr>
          <w:lang w:val="fr-FR"/>
        </w:rPr>
        <w:t>excédent primaire à 4</w:t>
      </w:r>
      <w:r w:rsidR="00EA238B">
        <w:rPr>
          <w:lang w:val="fr-FR"/>
        </w:rPr>
        <w:t> </w:t>
      </w:r>
      <w:r w:rsidRPr="00BF1937">
        <w:rPr>
          <w:lang w:val="fr-FR"/>
        </w:rPr>
        <w:t>% du PIB d</w:t>
      </w:r>
      <w:r w:rsidR="008300FB">
        <w:rPr>
          <w:lang w:val="fr-FR"/>
        </w:rPr>
        <w:t>’</w:t>
      </w:r>
      <w:r w:rsidRPr="00BF1937">
        <w:rPr>
          <w:lang w:val="fr-FR"/>
        </w:rPr>
        <w:t>ici à 2018. Le programme d</w:t>
      </w:r>
      <w:r w:rsidR="008300FB">
        <w:rPr>
          <w:lang w:val="fr-FR"/>
        </w:rPr>
        <w:t>’</w:t>
      </w:r>
      <w:r w:rsidRPr="00BF1937">
        <w:rPr>
          <w:lang w:val="fr-FR"/>
        </w:rPr>
        <w:t>ajustement est déjà en cours d</w:t>
      </w:r>
      <w:r w:rsidR="008300FB">
        <w:rPr>
          <w:lang w:val="fr-FR"/>
        </w:rPr>
        <w:t>’</w:t>
      </w:r>
      <w:r w:rsidRPr="00BF1937">
        <w:rPr>
          <w:lang w:val="fr-FR"/>
        </w:rPr>
        <w:t>application et il est pour l</w:t>
      </w:r>
      <w:r w:rsidR="008300FB">
        <w:rPr>
          <w:lang w:val="fr-FR"/>
        </w:rPr>
        <w:t>’</w:t>
      </w:r>
      <w:r w:rsidRPr="00BF1937">
        <w:rPr>
          <w:lang w:val="fr-FR"/>
        </w:rPr>
        <w:t>instant considéré comme positif par la troïka. Le Gouvernement chypriote est fermement résolu et déterminé à poursuivre la stricte mise en œuvre du mémorandum d</w:t>
      </w:r>
      <w:r w:rsidR="008300FB">
        <w:rPr>
          <w:lang w:val="fr-FR"/>
        </w:rPr>
        <w:t>’</w:t>
      </w:r>
      <w:r w:rsidRPr="00BF1937">
        <w:rPr>
          <w:lang w:val="fr-FR"/>
        </w:rPr>
        <w:t>accord. Le programme s</w:t>
      </w:r>
      <w:r w:rsidR="008300FB">
        <w:rPr>
          <w:lang w:val="fr-FR"/>
        </w:rPr>
        <w:t>’</w:t>
      </w:r>
      <w:r w:rsidRPr="00BF1937">
        <w:rPr>
          <w:lang w:val="fr-FR"/>
        </w:rPr>
        <w:t>attaque à des problèmes relevant de trois grands domaines, à savoir le budget de l</w:t>
      </w:r>
      <w:r w:rsidR="008300FB">
        <w:rPr>
          <w:lang w:val="fr-FR"/>
        </w:rPr>
        <w:t>’</w:t>
      </w:r>
      <w:r w:rsidRPr="00BF1937">
        <w:rPr>
          <w:lang w:val="fr-FR"/>
        </w:rPr>
        <w:t>État, le secteur bancaire et les réformes structurelles.</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En raison de l</w:t>
      </w:r>
      <w:r w:rsidR="008300FB">
        <w:rPr>
          <w:lang w:val="fr-FR"/>
        </w:rPr>
        <w:t>’</w:t>
      </w:r>
      <w:r w:rsidRPr="00BF1937">
        <w:rPr>
          <w:lang w:val="fr-FR"/>
        </w:rPr>
        <w:t>évolution défavorable de la situation économique, le pays a connu en 2013 une croissance économique nég</w:t>
      </w:r>
      <w:r w:rsidR="00EA238B">
        <w:rPr>
          <w:lang w:val="fr-FR"/>
        </w:rPr>
        <w:t>ative très marquée (environ 5,4 </w:t>
      </w:r>
      <w:r w:rsidRPr="00BF1937">
        <w:rPr>
          <w:lang w:val="fr-FR"/>
        </w:rPr>
        <w:t>%). Le net ralentissement de l</w:t>
      </w:r>
      <w:r w:rsidR="008300FB">
        <w:rPr>
          <w:lang w:val="fr-FR"/>
        </w:rPr>
        <w:t>’</w:t>
      </w:r>
      <w:r w:rsidRPr="00BF1937">
        <w:rPr>
          <w:lang w:val="fr-FR"/>
        </w:rPr>
        <w:t>économie a entraîné une forte hauss</w:t>
      </w:r>
      <w:r w:rsidR="00EA238B">
        <w:rPr>
          <w:lang w:val="fr-FR"/>
        </w:rPr>
        <w:t>e du chômage, qui atteignait 16 </w:t>
      </w:r>
      <w:r w:rsidRPr="00BF1937">
        <w:rPr>
          <w:lang w:val="fr-FR"/>
        </w:rPr>
        <w:t>% en 2013, soit un taux très élevé pour Chypre.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En 2012, le PIB par habitant, exprimé en standards de pouvoir d</w:t>
      </w:r>
      <w:r w:rsidR="008300FB">
        <w:rPr>
          <w:lang w:val="fr-FR"/>
        </w:rPr>
        <w:t>’</w:t>
      </w:r>
      <w:r w:rsidRPr="00BF1937">
        <w:rPr>
          <w:lang w:val="fr-FR"/>
        </w:rPr>
        <w:t>achat, s</w:t>
      </w:r>
      <w:r w:rsidR="008300FB">
        <w:rPr>
          <w:lang w:val="fr-FR"/>
        </w:rPr>
        <w:t>’</w:t>
      </w:r>
      <w:r w:rsidRPr="00BF1937">
        <w:rPr>
          <w:lang w:val="fr-FR"/>
        </w:rPr>
        <w:t>établissait à 92,0 % de la moyenne des 28 pays que comptait à l</w:t>
      </w:r>
      <w:r w:rsidR="008300FB">
        <w:rPr>
          <w:lang w:val="fr-FR"/>
        </w:rPr>
        <w:t>’</w:t>
      </w:r>
      <w:r w:rsidRPr="00BF1937">
        <w:rPr>
          <w:lang w:val="fr-FR"/>
        </w:rPr>
        <w:t>époque l</w:t>
      </w:r>
      <w:r w:rsidR="008300FB">
        <w:rPr>
          <w:lang w:val="fr-FR"/>
        </w:rPr>
        <w:t>’</w:t>
      </w:r>
      <w:r w:rsidRPr="00BF1937">
        <w:rPr>
          <w:lang w:val="fr-FR"/>
        </w:rPr>
        <w:t>Union européenne.</w:t>
      </w:r>
    </w:p>
    <w:p w:rsidR="00EA238B" w:rsidRPr="00EA238B" w:rsidRDefault="00EA238B" w:rsidP="00EA238B">
      <w:pPr>
        <w:pStyle w:val="SingleTxt"/>
        <w:spacing w:after="0" w:line="120" w:lineRule="exact"/>
        <w:rPr>
          <w:b/>
          <w:sz w:val="10"/>
          <w:lang w:val="fr-FR"/>
        </w:rPr>
      </w:pPr>
    </w:p>
    <w:p w:rsidR="00EA238B" w:rsidRPr="00EA238B" w:rsidRDefault="00EA238B" w:rsidP="00EA238B">
      <w:pPr>
        <w:pStyle w:val="SingleTxt"/>
        <w:spacing w:after="0" w:line="120" w:lineRule="exact"/>
        <w:rPr>
          <w:b/>
          <w:sz w:val="10"/>
          <w:lang w:val="fr-FR"/>
        </w:rPr>
      </w:pPr>
    </w:p>
    <w:p w:rsidR="00BF1937" w:rsidRPr="00BF1937" w:rsidRDefault="00BF1937" w:rsidP="00EA23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1937">
        <w:rPr>
          <w:lang w:val="fr-FR"/>
        </w:rPr>
        <w:tab/>
        <w:t>Β.</w:t>
      </w:r>
      <w:r w:rsidR="00EA238B">
        <w:rPr>
          <w:lang w:val="fr-FR"/>
        </w:rPr>
        <w:tab/>
      </w:r>
      <w:r w:rsidRPr="00BF1937">
        <w:rPr>
          <w:lang w:val="fr-FR"/>
        </w:rPr>
        <w:t>Structure constitutionnelle, politique et juridique</w:t>
      </w:r>
    </w:p>
    <w:p w:rsidR="00EA238B" w:rsidRPr="00EA238B" w:rsidRDefault="00EA238B" w:rsidP="00EA238B">
      <w:pPr>
        <w:pStyle w:val="SingleTxt"/>
        <w:spacing w:after="0" w:line="120" w:lineRule="exact"/>
        <w:rPr>
          <w:sz w:val="10"/>
          <w:lang w:val="fr-FR"/>
        </w:rPr>
      </w:pPr>
    </w:p>
    <w:p w:rsidR="00EA238B" w:rsidRPr="00EA238B" w:rsidRDefault="00EA238B" w:rsidP="00EA238B">
      <w:pPr>
        <w:pStyle w:val="SingleTxt"/>
        <w:spacing w:after="0" w:line="120" w:lineRule="exact"/>
        <w:rPr>
          <w:sz w:val="10"/>
          <w:lang w:val="fr-FR"/>
        </w:rPr>
      </w:pP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 xml:space="preserve">La République </w:t>
      </w:r>
      <w:r w:rsidR="00EA238B">
        <w:rPr>
          <w:lang w:val="fr-FR"/>
        </w:rPr>
        <w:t>de Chypre a été instituée le 16 </w:t>
      </w:r>
      <w:r w:rsidRPr="00BF1937">
        <w:rPr>
          <w:lang w:val="fr-FR"/>
        </w:rPr>
        <w:t>août 1960, avec l</w:t>
      </w:r>
      <w:r w:rsidR="008300FB">
        <w:rPr>
          <w:lang w:val="fr-FR"/>
        </w:rPr>
        <w:t>’</w:t>
      </w:r>
      <w:r w:rsidRPr="00BF1937">
        <w:rPr>
          <w:lang w:val="fr-FR"/>
        </w:rPr>
        <w:t>entrée en vigueur de trois importants traités et de la Constitution, instruments qui découlent de l</w:t>
      </w:r>
      <w:r w:rsidR="008300FB">
        <w:rPr>
          <w:lang w:val="fr-FR"/>
        </w:rPr>
        <w:t>’</w:t>
      </w:r>
      <w:r w:rsidRPr="00BF1937">
        <w:rPr>
          <w:lang w:val="fr-FR"/>
        </w:rPr>
        <w:t>Accord de Zurich du 11 février 1959 entre la Grèce et la Turquie</w:t>
      </w:r>
      <w:r w:rsidR="00EA238B">
        <w:rPr>
          <w:lang w:val="fr-FR"/>
        </w:rPr>
        <w:t xml:space="preserve"> et à l</w:t>
      </w:r>
      <w:r w:rsidR="008300FB">
        <w:rPr>
          <w:lang w:val="fr-FR"/>
        </w:rPr>
        <w:t>’</w:t>
      </w:r>
      <w:r w:rsidR="00EA238B">
        <w:rPr>
          <w:lang w:val="fr-FR"/>
        </w:rPr>
        <w:t>Accord de Londres du 19 </w:t>
      </w:r>
      <w:r w:rsidRPr="00BF1937">
        <w:rPr>
          <w:lang w:val="fr-FR"/>
        </w:rPr>
        <w:t>février 1959 entre la Grèce, la Turquie et le Royaume-Uni. Les trois traités en question sont</w:t>
      </w:r>
      <w:r w:rsidR="00110459">
        <w:rPr>
          <w:lang w:val="fr-FR"/>
        </w:rPr>
        <w:t> :</w:t>
      </w:r>
    </w:p>
    <w:p w:rsidR="00BF1937" w:rsidRPr="00BF1937" w:rsidRDefault="00EA238B" w:rsidP="00BF1937">
      <w:pPr>
        <w:pStyle w:val="SingleTxt"/>
        <w:rPr>
          <w:lang w:val="fr-FR"/>
        </w:rPr>
      </w:pPr>
      <w:r>
        <w:rPr>
          <w:lang w:val="fr-FR"/>
        </w:rPr>
        <w:lastRenderedPageBreak/>
        <w:tab/>
      </w:r>
      <w:r w:rsidR="00BF1937" w:rsidRPr="00BF1937">
        <w:rPr>
          <w:lang w:val="fr-FR"/>
        </w:rPr>
        <w:t>a)</w:t>
      </w:r>
      <w:r>
        <w:rPr>
          <w:lang w:val="fr-FR"/>
        </w:rPr>
        <w:tab/>
      </w:r>
      <w:r w:rsidR="00BF1937" w:rsidRPr="00AB37C5">
        <w:rPr>
          <w:b/>
          <w:lang w:val="fr-FR"/>
        </w:rPr>
        <w:t>Le Traité relatif à la création de la République de Chypre</w:t>
      </w:r>
      <w:r w:rsidR="00BF1937" w:rsidRPr="00BF1937">
        <w:rPr>
          <w:lang w:val="fr-FR"/>
        </w:rPr>
        <w:t>, signé par Chypre, la Grèce, la Turquie et le Royaume-Uni. Cet instrument prévoyait la création de la République de Chypre et, entre autres, la création et le fonctionnement de deux bases militaires britanniques à Chypre, la coopération des Parties pour la défense commune de Chypre et la reconnaissance et le respect des droits de l</w:t>
      </w:r>
      <w:r w:rsidR="008300FB">
        <w:rPr>
          <w:lang w:val="fr-FR"/>
        </w:rPr>
        <w:t>’</w:t>
      </w:r>
      <w:r w:rsidR="00BF1937" w:rsidRPr="00BF1937">
        <w:rPr>
          <w:lang w:val="fr-FR"/>
        </w:rPr>
        <w:t>homme de toute personne relevant de la juridiction de la République, droits comparables à ceux énoncés dans la Convention européenne des droits de l</w:t>
      </w:r>
      <w:r w:rsidR="008300FB">
        <w:rPr>
          <w:lang w:val="fr-FR"/>
        </w:rPr>
        <w:t>’</w:t>
      </w:r>
      <w:r w:rsidR="00BF1937" w:rsidRPr="00BF1937">
        <w:rPr>
          <w:lang w:val="fr-FR"/>
        </w:rPr>
        <w:t xml:space="preserve">homme (Recueil des </w:t>
      </w:r>
      <w:r>
        <w:rPr>
          <w:lang w:val="fr-FR"/>
        </w:rPr>
        <w:t>Traités des Nations Unies, vol. </w:t>
      </w:r>
      <w:r w:rsidR="00BF1937" w:rsidRPr="00BF1937">
        <w:rPr>
          <w:lang w:val="fr-FR"/>
        </w:rPr>
        <w:t>382 (1960), n</w:t>
      </w:r>
      <w:r w:rsidRPr="00EA238B">
        <w:rPr>
          <w:vertAlign w:val="superscript"/>
          <w:lang w:val="fr-FR"/>
        </w:rPr>
        <w:t>o</w:t>
      </w:r>
      <w:r>
        <w:rPr>
          <w:lang w:val="fr-FR"/>
        </w:rPr>
        <w:t> </w:t>
      </w:r>
      <w:r w:rsidR="00BF1937" w:rsidRPr="00BF1937">
        <w:rPr>
          <w:lang w:val="fr-FR"/>
        </w:rPr>
        <w:t>5476)</w:t>
      </w:r>
      <w:r>
        <w:rPr>
          <w:lang w:val="fr-FR"/>
        </w:rPr>
        <w:t>;</w:t>
      </w:r>
    </w:p>
    <w:p w:rsidR="00BF1937" w:rsidRPr="00BF1937" w:rsidRDefault="00EA238B" w:rsidP="00BF1937">
      <w:pPr>
        <w:pStyle w:val="SingleTxt"/>
        <w:rPr>
          <w:lang w:val="fr-FR"/>
        </w:rPr>
      </w:pPr>
      <w:r>
        <w:rPr>
          <w:lang w:val="fr-FR"/>
        </w:rPr>
        <w:tab/>
      </w:r>
      <w:r w:rsidR="00BF1937" w:rsidRPr="00BF1937">
        <w:rPr>
          <w:lang w:val="fr-FR"/>
        </w:rPr>
        <w:t>b)</w:t>
      </w:r>
      <w:r>
        <w:rPr>
          <w:lang w:val="fr-FR"/>
        </w:rPr>
        <w:tab/>
      </w:r>
      <w:r w:rsidR="00BF1937" w:rsidRPr="00AB37C5">
        <w:rPr>
          <w:b/>
          <w:lang w:val="fr-FR"/>
        </w:rPr>
        <w:t>Le Traité de garantie</w:t>
      </w:r>
      <w:r w:rsidR="00BF1937" w:rsidRPr="00BF1937">
        <w:rPr>
          <w:lang w:val="fr-FR"/>
        </w:rPr>
        <w:t>, signé par Chypre, le Royaume-Uni, la Grèce et la Turquie, reconnaissant et garantissant l</w:t>
      </w:r>
      <w:r w:rsidR="008300FB">
        <w:rPr>
          <w:lang w:val="fr-FR"/>
        </w:rPr>
        <w:t>’</w:t>
      </w:r>
      <w:r w:rsidR="00BF1937" w:rsidRPr="00BF1937">
        <w:rPr>
          <w:lang w:val="fr-FR"/>
        </w:rPr>
        <w:t>indépendance, l</w:t>
      </w:r>
      <w:r w:rsidR="008300FB">
        <w:rPr>
          <w:lang w:val="fr-FR"/>
        </w:rPr>
        <w:t>’</w:t>
      </w:r>
      <w:r w:rsidR="00BF1937" w:rsidRPr="00BF1937">
        <w:rPr>
          <w:lang w:val="fr-FR"/>
        </w:rPr>
        <w:t>intégrité territoriale et la sécurité de la République de Chypre, ainsi que l</w:t>
      </w:r>
      <w:r w:rsidR="008300FB">
        <w:rPr>
          <w:lang w:val="fr-FR"/>
        </w:rPr>
        <w:t>’</w:t>
      </w:r>
      <w:r w:rsidR="00BF1937" w:rsidRPr="00BF1937">
        <w:rPr>
          <w:lang w:val="fr-FR"/>
        </w:rPr>
        <w:t xml:space="preserve">ordre des choses établi par les Articles fondamentaux de sa Constitution (Recueil des </w:t>
      </w:r>
      <w:r w:rsidR="008300FB">
        <w:rPr>
          <w:lang w:val="fr-FR"/>
        </w:rPr>
        <w:t>Traités des Nations Unies, vol. </w:t>
      </w:r>
      <w:r w:rsidR="00BF1937" w:rsidRPr="00BF1937">
        <w:rPr>
          <w:lang w:val="fr-FR"/>
        </w:rPr>
        <w:t>382 (1960), n</w:t>
      </w:r>
      <w:r w:rsidR="008300FB" w:rsidRPr="008300FB">
        <w:rPr>
          <w:vertAlign w:val="superscript"/>
          <w:lang w:val="fr-FR"/>
        </w:rPr>
        <w:t>o</w:t>
      </w:r>
      <w:r w:rsidR="008300FB">
        <w:rPr>
          <w:lang w:val="fr-FR"/>
        </w:rPr>
        <w:t> </w:t>
      </w:r>
      <w:r w:rsidR="00BF1937" w:rsidRPr="00BF1937">
        <w:rPr>
          <w:lang w:val="fr-FR"/>
        </w:rPr>
        <w:t>5475);</w:t>
      </w:r>
    </w:p>
    <w:p w:rsidR="00BF1937" w:rsidRPr="00BF1937" w:rsidRDefault="00EA238B" w:rsidP="00BF1937">
      <w:pPr>
        <w:pStyle w:val="SingleTxt"/>
        <w:rPr>
          <w:lang w:val="fr-FR"/>
        </w:rPr>
      </w:pPr>
      <w:r>
        <w:rPr>
          <w:lang w:val="fr-FR"/>
        </w:rPr>
        <w:tab/>
      </w:r>
      <w:r w:rsidR="00BF1937" w:rsidRPr="00BF1937">
        <w:rPr>
          <w:lang w:val="fr-FR"/>
        </w:rPr>
        <w:t>c)</w:t>
      </w:r>
      <w:r>
        <w:rPr>
          <w:lang w:val="fr-FR"/>
        </w:rPr>
        <w:tab/>
      </w:r>
      <w:r w:rsidR="00BF1937" w:rsidRPr="00AB37C5">
        <w:rPr>
          <w:b/>
          <w:lang w:val="fr-FR"/>
        </w:rPr>
        <w:t>Le Traité d</w:t>
      </w:r>
      <w:r w:rsidR="008300FB" w:rsidRPr="00AB37C5">
        <w:rPr>
          <w:b/>
          <w:lang w:val="fr-FR"/>
        </w:rPr>
        <w:t>’</w:t>
      </w:r>
      <w:r w:rsidR="00BF1937" w:rsidRPr="00AB37C5">
        <w:rPr>
          <w:b/>
          <w:lang w:val="fr-FR"/>
        </w:rPr>
        <w:t>alliance</w:t>
      </w:r>
      <w:r w:rsidR="00BF1937" w:rsidRPr="00BF1937">
        <w:rPr>
          <w:lang w:val="fr-FR"/>
        </w:rPr>
        <w:t xml:space="preserve"> signé par Chypre, la Grèce et la Turquie, destiné à protéger la République de Chypre contre toute attaque ou agression directe ou indirecte visant à porter atteinte à son indépendance ou à son intégrité territoriale (Recueil des </w:t>
      </w:r>
      <w:r>
        <w:rPr>
          <w:lang w:val="fr-FR"/>
        </w:rPr>
        <w:t>Traités des Nations Unies, vol. </w:t>
      </w:r>
      <w:r w:rsidR="00BF1937" w:rsidRPr="00BF1937">
        <w:rPr>
          <w:lang w:val="fr-FR"/>
        </w:rPr>
        <w:t>397 (1961), n</w:t>
      </w:r>
      <w:r w:rsidRPr="00EA238B">
        <w:rPr>
          <w:vertAlign w:val="superscript"/>
          <w:lang w:val="fr-FR"/>
        </w:rPr>
        <w:t>o</w:t>
      </w:r>
      <w:r>
        <w:rPr>
          <w:lang w:val="fr-FR"/>
        </w:rPr>
        <w:t> </w:t>
      </w:r>
      <w:r w:rsidR="00BF1937" w:rsidRPr="00BF1937">
        <w:rPr>
          <w:lang w:val="fr-FR"/>
        </w:rPr>
        <w:t>5712).</w:t>
      </w:r>
    </w:p>
    <w:p w:rsidR="00BF1937" w:rsidRPr="003D7FE2" w:rsidRDefault="00BF1937" w:rsidP="00AD54C4">
      <w:pPr>
        <w:pStyle w:val="SingleTxt"/>
        <w:numPr>
          <w:ilvl w:val="0"/>
          <w:numId w:val="18"/>
        </w:numPr>
        <w:tabs>
          <w:tab w:val="clear" w:pos="475"/>
          <w:tab w:val="num" w:pos="1742"/>
        </w:tabs>
        <w:ind w:left="1267"/>
        <w:rPr>
          <w:spacing w:val="2"/>
          <w:lang w:val="fr-FR"/>
        </w:rPr>
      </w:pPr>
      <w:r w:rsidRPr="003D7FE2">
        <w:rPr>
          <w:spacing w:val="2"/>
          <w:lang w:val="fr-FR"/>
        </w:rPr>
        <w:t>Fondement d</w:t>
      </w:r>
      <w:r w:rsidR="008300FB" w:rsidRPr="003D7FE2">
        <w:rPr>
          <w:spacing w:val="2"/>
          <w:lang w:val="fr-FR"/>
        </w:rPr>
        <w:t>’</w:t>
      </w:r>
      <w:r w:rsidRPr="003D7FE2">
        <w:rPr>
          <w:spacing w:val="2"/>
          <w:lang w:val="fr-FR"/>
        </w:rPr>
        <w:t xml:space="preserve">une république indépendante et souveraine, </w:t>
      </w:r>
      <w:r w:rsidRPr="00AB37C5">
        <w:rPr>
          <w:b/>
          <w:spacing w:val="2"/>
          <w:lang w:val="fr-FR"/>
        </w:rPr>
        <w:t>la Constitution</w:t>
      </w:r>
      <w:r w:rsidRPr="003D7FE2">
        <w:rPr>
          <w:spacing w:val="2"/>
          <w:lang w:val="fr-FR"/>
        </w:rPr>
        <w:t xml:space="preserve"> de la République de Chypre était « unique de par sa complexité inextricable et la multiplicité des garanties par lesquelles elle protégea</w:t>
      </w:r>
      <w:r w:rsidR="00EA238B" w:rsidRPr="003D7FE2">
        <w:rPr>
          <w:spacing w:val="2"/>
          <w:lang w:val="fr-FR"/>
        </w:rPr>
        <w:t>it la principale minorité » (S. </w:t>
      </w:r>
      <w:r w:rsidRPr="003D7FE2">
        <w:rPr>
          <w:spacing w:val="2"/>
          <w:lang w:val="fr-FR"/>
        </w:rPr>
        <w:t xml:space="preserve">A. de Smith, </w:t>
      </w:r>
      <w:r w:rsidRPr="003D7FE2">
        <w:rPr>
          <w:i/>
          <w:spacing w:val="2"/>
          <w:lang w:val="fr-FR"/>
        </w:rPr>
        <w:t xml:space="preserve">The </w:t>
      </w:r>
      <w:r w:rsidR="00AB37C5" w:rsidRPr="003D7FE2">
        <w:rPr>
          <w:i/>
          <w:spacing w:val="2"/>
          <w:lang w:val="fr-FR"/>
        </w:rPr>
        <w:t>n</w:t>
      </w:r>
      <w:r w:rsidRPr="003D7FE2">
        <w:rPr>
          <w:i/>
          <w:spacing w:val="2"/>
          <w:lang w:val="fr-FR"/>
        </w:rPr>
        <w:t>ew Commonwealth and its Constitutions</w:t>
      </w:r>
      <w:r w:rsidRPr="003D7FE2">
        <w:rPr>
          <w:spacing w:val="2"/>
          <w:lang w:val="fr-FR"/>
        </w:rPr>
        <w:t>, Londres, 1964, p</w:t>
      </w:r>
      <w:r w:rsidR="00EA238B" w:rsidRPr="003D7FE2">
        <w:rPr>
          <w:spacing w:val="2"/>
          <w:lang w:val="fr-FR"/>
        </w:rPr>
        <w:t>. </w:t>
      </w:r>
      <w:r w:rsidRPr="003D7FE2">
        <w:rPr>
          <w:spacing w:val="2"/>
          <w:lang w:val="fr-FR"/>
        </w:rPr>
        <w:t>296). En moins de trois ans, l</w:t>
      </w:r>
      <w:r w:rsidR="008300FB" w:rsidRPr="003D7FE2">
        <w:rPr>
          <w:spacing w:val="2"/>
          <w:lang w:val="fr-FR"/>
        </w:rPr>
        <w:t>’</w:t>
      </w:r>
      <w:r w:rsidRPr="003D7FE2">
        <w:rPr>
          <w:spacing w:val="2"/>
          <w:lang w:val="fr-FR"/>
        </w:rPr>
        <w:t>usage abusif de ces garanties par les responsables chypriotes turcs rendit la Constitution totalement inapplicable. En 1963, la Turquie a incité les responsables chypriotes turcs à s</w:t>
      </w:r>
      <w:r w:rsidR="008300FB" w:rsidRPr="003D7FE2">
        <w:rPr>
          <w:spacing w:val="2"/>
          <w:lang w:val="fr-FR"/>
        </w:rPr>
        <w:t>’</w:t>
      </w:r>
      <w:r w:rsidRPr="003D7FE2">
        <w:rPr>
          <w:spacing w:val="2"/>
          <w:lang w:val="fr-FR"/>
        </w:rPr>
        <w:t>insurger contre l</w:t>
      </w:r>
      <w:r w:rsidR="008300FB" w:rsidRPr="003D7FE2">
        <w:rPr>
          <w:spacing w:val="2"/>
          <w:lang w:val="fr-FR"/>
        </w:rPr>
        <w:t>’</w:t>
      </w:r>
      <w:r w:rsidRPr="003D7FE2">
        <w:rPr>
          <w:spacing w:val="2"/>
          <w:lang w:val="fr-FR"/>
        </w:rPr>
        <w:t>État, contraint les Chypriotes turcs membres des pouvoirs exécutif, législatif et judiciaire et de la fonction publique à démissionner de leur poste et constitué des enclaves militaires dans plusieurs parties de l</w:t>
      </w:r>
      <w:r w:rsidR="008300FB" w:rsidRPr="003D7FE2">
        <w:rPr>
          <w:spacing w:val="2"/>
          <w:lang w:val="fr-FR"/>
        </w:rPr>
        <w:t>’</w:t>
      </w:r>
      <w:r w:rsidRPr="003D7FE2">
        <w:rPr>
          <w:spacing w:val="2"/>
          <w:lang w:val="fr-FR"/>
        </w:rPr>
        <w:t xml:space="preserve">île. </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Comme suite aux violences intercommunautaires consécutives à ces événements, le Conseil de sécurité de l</w:t>
      </w:r>
      <w:r w:rsidR="008300FB">
        <w:rPr>
          <w:lang w:val="fr-FR"/>
        </w:rPr>
        <w:t>’</w:t>
      </w:r>
      <w:r w:rsidRPr="00BF1937">
        <w:rPr>
          <w:lang w:val="fr-FR"/>
        </w:rPr>
        <w:t>ONU a institué, pa</w:t>
      </w:r>
      <w:r w:rsidR="00EA238B">
        <w:rPr>
          <w:lang w:val="fr-FR"/>
        </w:rPr>
        <w:t>r la résolution 186 du 4 </w:t>
      </w:r>
      <w:r w:rsidRPr="00BF1937">
        <w:rPr>
          <w:lang w:val="fr-FR"/>
        </w:rPr>
        <w:t>mars 1964 et avec l</w:t>
      </w:r>
      <w:r w:rsidR="008300FB">
        <w:rPr>
          <w:lang w:val="fr-FR"/>
        </w:rPr>
        <w:t>’</w:t>
      </w:r>
      <w:r w:rsidRPr="00BF1937">
        <w:rPr>
          <w:lang w:val="fr-FR"/>
        </w:rPr>
        <w:t>assentiment de la République de Chypre, la Force des Nations Unies chargée du maintien de la paix à Chypre (UNFICYP).</w:t>
      </w:r>
    </w:p>
    <w:p w:rsidR="00BF1937" w:rsidRPr="00BF1937" w:rsidRDefault="00EA238B" w:rsidP="00AD54C4">
      <w:pPr>
        <w:pStyle w:val="SingleTxt"/>
        <w:numPr>
          <w:ilvl w:val="0"/>
          <w:numId w:val="18"/>
        </w:numPr>
        <w:tabs>
          <w:tab w:val="clear" w:pos="475"/>
          <w:tab w:val="num" w:pos="1742"/>
        </w:tabs>
        <w:ind w:left="1267"/>
        <w:rPr>
          <w:lang w:val="fr-FR"/>
        </w:rPr>
      </w:pPr>
      <w:r>
        <w:rPr>
          <w:lang w:val="fr-FR"/>
        </w:rPr>
        <w:t>Le 20 </w:t>
      </w:r>
      <w:r w:rsidR="00BF1937" w:rsidRPr="00BF1937">
        <w:rPr>
          <w:lang w:val="fr-FR"/>
        </w:rPr>
        <w:t>juillet 1974, la Turquie envahissait Chypre illégalement en prenant pour prétexte le coup d</w:t>
      </w:r>
      <w:r w:rsidR="008300FB">
        <w:rPr>
          <w:lang w:val="fr-FR"/>
        </w:rPr>
        <w:t>’</w:t>
      </w:r>
      <w:r w:rsidR="00BF1937" w:rsidRPr="00BF1937">
        <w:rPr>
          <w:lang w:val="fr-FR"/>
        </w:rPr>
        <w:t>État fomenté contre le gouvernement de la République par la junte militaire qui dirigeait à l</w:t>
      </w:r>
      <w:r w:rsidR="008300FB">
        <w:rPr>
          <w:lang w:val="fr-FR"/>
        </w:rPr>
        <w:t>’</w:t>
      </w:r>
      <w:r w:rsidR="00BF1937" w:rsidRPr="00BF1937">
        <w:rPr>
          <w:lang w:val="fr-FR"/>
        </w:rPr>
        <w:t>époque la Grèce. Depuis cette époque, 40 000 soldats turcs stationnent illégalement d</w:t>
      </w:r>
      <w:r>
        <w:rPr>
          <w:lang w:val="fr-FR"/>
        </w:rPr>
        <w:t>ans l</w:t>
      </w:r>
      <w:r w:rsidR="008300FB">
        <w:rPr>
          <w:lang w:val="fr-FR"/>
        </w:rPr>
        <w:t>’</w:t>
      </w:r>
      <w:r>
        <w:rPr>
          <w:lang w:val="fr-FR"/>
        </w:rPr>
        <w:t>île, où ils occupent 36,2 </w:t>
      </w:r>
      <w:r w:rsidR="00BF1937" w:rsidRPr="00BF1937">
        <w:rPr>
          <w:lang w:val="fr-FR"/>
        </w:rPr>
        <w:t>% du territoire de la République de Chypre au mépris de la Charte des Nations Unies, des Traités de garantie, de création et d</w:t>
      </w:r>
      <w:r w:rsidR="008300FB">
        <w:rPr>
          <w:lang w:val="fr-FR"/>
        </w:rPr>
        <w:t>’</w:t>
      </w:r>
      <w:r w:rsidR="00BF1937" w:rsidRPr="00BF1937">
        <w:rPr>
          <w:lang w:val="fr-FR"/>
        </w:rPr>
        <w:t>alliance et des règles et principes du droit international applicables. Quarante pour cent des Chypriotes grecs, qui représentaient</w:t>
      </w:r>
      <w:r>
        <w:rPr>
          <w:lang w:val="fr-FR"/>
        </w:rPr>
        <w:t xml:space="preserve"> 82 </w:t>
      </w:r>
      <w:r w:rsidR="00BF1937" w:rsidRPr="00BF1937">
        <w:rPr>
          <w:lang w:val="fr-FR"/>
        </w:rPr>
        <w:t>% de la population de la partie occupée de Chypre, en ont été expulsés. Des milliers de personnes, notamment des civils, ont été blessées, maltraitées ou tuées. On ne connaît toujours pas le sort de centaines de Chypriotes grecs, parmi lesquels figurent des femmes, des enfants et d</w:t>
      </w:r>
      <w:r w:rsidR="008300FB">
        <w:rPr>
          <w:lang w:val="fr-FR"/>
        </w:rPr>
        <w:t>’</w:t>
      </w:r>
      <w:r w:rsidR="00BF1937" w:rsidRPr="00BF1937">
        <w:rPr>
          <w:lang w:val="fr-FR"/>
        </w:rPr>
        <w:t>autres civils, dont il est établi que beaucoup ont été capturés par l</w:t>
      </w:r>
      <w:r w:rsidR="008300FB">
        <w:rPr>
          <w:lang w:val="fr-FR"/>
        </w:rPr>
        <w:t>’</w:t>
      </w:r>
      <w:r w:rsidR="00BF1937" w:rsidRPr="00BF1937">
        <w:rPr>
          <w:lang w:val="fr-FR"/>
        </w:rPr>
        <w:t>armée turque. Les Turcs ont systématiquement détruit le patrimoine culturel et religieux de la partie occupée de Chypre dans le cadre d</w:t>
      </w:r>
      <w:r w:rsidR="008300FB">
        <w:rPr>
          <w:lang w:val="fr-FR"/>
        </w:rPr>
        <w:t>’</w:t>
      </w:r>
      <w:r w:rsidR="00BF1937" w:rsidRPr="00BF1937">
        <w:rPr>
          <w:lang w:val="fr-FR"/>
        </w:rPr>
        <w:t>une politique concertée visant à modifier le caractère des régions concernées. Plus inquiétant encore, la Turquie poursuit une politique systématique de colonisation illégale qui a totalement changé la composition démographique des zones occupées. Les colons turcs seraient à présent au moins deux fois plus nombreux que les Chypriotes turcs.</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w:t>
      </w:r>
      <w:r w:rsidR="008300FB">
        <w:rPr>
          <w:lang w:val="fr-FR"/>
        </w:rPr>
        <w:t>’</w:t>
      </w:r>
      <w:r w:rsidRPr="00BF1937">
        <w:rPr>
          <w:lang w:val="fr-FR"/>
        </w:rPr>
        <w:t>Assemblée générale des Nations Unies et le Conseil de sécurité de l</w:t>
      </w:r>
      <w:r w:rsidR="008300FB">
        <w:rPr>
          <w:lang w:val="fr-FR"/>
        </w:rPr>
        <w:t>’</w:t>
      </w:r>
      <w:r w:rsidRPr="00BF1937">
        <w:rPr>
          <w:lang w:val="fr-FR"/>
        </w:rPr>
        <w:t>ONU ont dans leurs résolutions demandé à maintes reprises que la souveraineté, l</w:t>
      </w:r>
      <w:r w:rsidR="008300FB">
        <w:rPr>
          <w:lang w:val="fr-FR"/>
        </w:rPr>
        <w:t>’</w:t>
      </w:r>
      <w:r w:rsidRPr="00BF1937">
        <w:rPr>
          <w:lang w:val="fr-FR"/>
        </w:rPr>
        <w:t>indépendance et l</w:t>
      </w:r>
      <w:r w:rsidR="008300FB">
        <w:rPr>
          <w:lang w:val="fr-FR"/>
        </w:rPr>
        <w:t>’</w:t>
      </w:r>
      <w:r w:rsidRPr="00BF1937">
        <w:rPr>
          <w:lang w:val="fr-FR"/>
        </w:rPr>
        <w:t xml:space="preserve">intégrité territoriale de la République de Chypre soient respectées et que toutes les </w:t>
      </w:r>
      <w:r w:rsidRPr="00BF1937">
        <w:rPr>
          <w:lang w:val="fr-FR"/>
        </w:rPr>
        <w:lastRenderedPageBreak/>
        <w:t>forces militaires étrangères se retirent de l</w:t>
      </w:r>
      <w:r w:rsidR="008300FB">
        <w:rPr>
          <w:lang w:val="fr-FR"/>
        </w:rPr>
        <w:t>’</w:t>
      </w:r>
      <w:r w:rsidRPr="00BF1937">
        <w:rPr>
          <w:lang w:val="fr-FR"/>
        </w:rPr>
        <w:t>île. L</w:t>
      </w:r>
      <w:r w:rsidR="008300FB">
        <w:rPr>
          <w:lang w:val="fr-FR"/>
        </w:rPr>
        <w:t>’</w:t>
      </w:r>
      <w:r w:rsidRPr="00BF1937">
        <w:rPr>
          <w:lang w:val="fr-FR"/>
        </w:rPr>
        <w:t>Organisation des Nations Unies a en outre exigé que les personnes déplacées puissent regagner leur foyer en toute sécurité, que l</w:t>
      </w:r>
      <w:r w:rsidR="008300FB">
        <w:rPr>
          <w:lang w:val="fr-FR"/>
        </w:rPr>
        <w:t>’</w:t>
      </w:r>
      <w:r w:rsidRPr="00BF1937">
        <w:rPr>
          <w:lang w:val="fr-FR"/>
        </w:rPr>
        <w:t>on retrouve les personnes disparues et rende compte de leur sort et que l</w:t>
      </w:r>
      <w:r w:rsidR="008300FB">
        <w:rPr>
          <w:lang w:val="fr-FR"/>
        </w:rPr>
        <w:t>’</w:t>
      </w:r>
      <w:r w:rsidRPr="00BF1937">
        <w:rPr>
          <w:lang w:val="fr-FR"/>
        </w:rPr>
        <w:t>on respecte les droits fondamentaux des Chypriotes</w:t>
      </w:r>
      <w:r w:rsidRPr="00110459">
        <w:rPr>
          <w:rStyle w:val="FootnoteReference"/>
        </w:rPr>
        <w:footnoteReference w:id="3"/>
      </w:r>
      <w:r w:rsidRPr="00BF1937">
        <w:rPr>
          <w:lang w:val="fr-FR"/>
        </w:rPr>
        <w:t>.</w:t>
      </w:r>
    </w:p>
    <w:p w:rsidR="00BF1937" w:rsidRPr="00BF1937" w:rsidRDefault="008300FB" w:rsidP="00AD54C4">
      <w:pPr>
        <w:pStyle w:val="SingleTxt"/>
        <w:numPr>
          <w:ilvl w:val="0"/>
          <w:numId w:val="18"/>
        </w:numPr>
        <w:tabs>
          <w:tab w:val="clear" w:pos="475"/>
          <w:tab w:val="num" w:pos="1742"/>
        </w:tabs>
        <w:ind w:left="1267"/>
        <w:rPr>
          <w:lang w:val="fr-FR"/>
        </w:rPr>
      </w:pPr>
      <w:r>
        <w:rPr>
          <w:lang w:val="fr-FR"/>
        </w:rPr>
        <w:t>Le 15 </w:t>
      </w:r>
      <w:r w:rsidR="00BF1937" w:rsidRPr="00BF1937">
        <w:rPr>
          <w:lang w:val="fr-FR"/>
        </w:rPr>
        <w:t>novembre 1983, l</w:t>
      </w:r>
      <w:r>
        <w:rPr>
          <w:lang w:val="fr-FR"/>
        </w:rPr>
        <w:t>’</w:t>
      </w:r>
      <w:r w:rsidR="00BF1937" w:rsidRPr="00BF1937">
        <w:rPr>
          <w:lang w:val="fr-FR"/>
        </w:rPr>
        <w:t>administration locale illégale mise en place dans la partie de Chypre occupée par la Turquie et inféodée à ce pays a publié une déclaration unilatérale par laquelle elle prétendait créer un État indépendant baptisé République turque de Chypre-Nord. Le Conseil de sécurité de l</w:t>
      </w:r>
      <w:r>
        <w:rPr>
          <w:lang w:val="fr-FR"/>
        </w:rPr>
        <w:t>’</w:t>
      </w:r>
      <w:r w:rsidR="00BF1937" w:rsidRPr="00BF1937">
        <w:rPr>
          <w:lang w:val="fr-FR"/>
        </w:rPr>
        <w:t>ONU a condamné ladite proclamation unilatérale et tous les actes de sécession qui ont suivi dans ses résolutions 541 (1983) et 550 (1984), les a déclarés juridiquement nuls et a demandé leur retrait immédiat. Dans ces résolutions, le Conseil a également demandé à tous les États de ne pas reconnaître l</w:t>
      </w:r>
      <w:r>
        <w:rPr>
          <w:lang w:val="fr-FR"/>
        </w:rPr>
        <w:t>’</w:t>
      </w:r>
      <w:r w:rsidR="00BF1937" w:rsidRPr="00BF1937">
        <w:rPr>
          <w:lang w:val="fr-FR"/>
        </w:rPr>
        <w:t>entité sécessionniste et de ne pas l</w:t>
      </w:r>
      <w:r>
        <w:rPr>
          <w:lang w:val="fr-FR"/>
        </w:rPr>
        <w:t>’</w:t>
      </w:r>
      <w:r w:rsidR="00BF1937" w:rsidRPr="00BF1937">
        <w:rPr>
          <w:lang w:val="fr-FR"/>
        </w:rPr>
        <w:t>encourager ni l</w:t>
      </w:r>
      <w:r>
        <w:rPr>
          <w:lang w:val="fr-FR"/>
        </w:rPr>
        <w:t>’</w:t>
      </w:r>
      <w:r w:rsidR="00BF1937" w:rsidRPr="00BF1937">
        <w:rPr>
          <w:lang w:val="fr-FR"/>
        </w:rPr>
        <w:t>aider d</w:t>
      </w:r>
      <w:r>
        <w:rPr>
          <w:lang w:val="fr-FR"/>
        </w:rPr>
        <w:t>’</w:t>
      </w:r>
      <w:r w:rsidR="00BF1937" w:rsidRPr="00BF1937">
        <w:rPr>
          <w:lang w:val="fr-FR"/>
        </w:rPr>
        <w:t>aucune manière. Depuis lors, l</w:t>
      </w:r>
      <w:r>
        <w:rPr>
          <w:lang w:val="fr-FR"/>
        </w:rPr>
        <w:t>’</w:t>
      </w:r>
      <w:r w:rsidR="00BF1937" w:rsidRPr="00BF1937">
        <w:rPr>
          <w:lang w:val="fr-FR"/>
        </w:rPr>
        <w:t>entité sécessionniste n</w:t>
      </w:r>
      <w:r>
        <w:rPr>
          <w:lang w:val="fr-FR"/>
        </w:rPr>
        <w:t>’</w:t>
      </w:r>
      <w:r w:rsidR="00BF1937" w:rsidRPr="00BF1937">
        <w:rPr>
          <w:lang w:val="fr-FR"/>
        </w:rPr>
        <w:t>a été reconnue par aucun autre pays que la Turquie, qui est la puissance occupante.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Dans l</w:t>
      </w:r>
      <w:r w:rsidR="008300FB">
        <w:rPr>
          <w:lang w:val="fr-FR"/>
        </w:rPr>
        <w:t>’</w:t>
      </w:r>
      <w:r w:rsidRPr="00BF1937">
        <w:rPr>
          <w:lang w:val="fr-FR"/>
        </w:rPr>
        <w:t xml:space="preserve">affaire </w:t>
      </w:r>
      <w:r w:rsidRPr="00BF1937">
        <w:rPr>
          <w:i/>
          <w:lang w:val="fr-FR"/>
        </w:rPr>
        <w:t xml:space="preserve">Chypre </w:t>
      </w:r>
      <w:r w:rsidRPr="008300FB">
        <w:rPr>
          <w:lang w:val="fr-FR"/>
        </w:rPr>
        <w:t>c</w:t>
      </w:r>
      <w:r w:rsidRPr="00BF1937">
        <w:rPr>
          <w:i/>
          <w:lang w:val="fr-FR"/>
        </w:rPr>
        <w:t>. Turquie</w:t>
      </w:r>
      <w:r w:rsidRPr="00BF1937">
        <w:rPr>
          <w:lang w:val="fr-FR"/>
        </w:rPr>
        <w:t xml:space="preserve"> (requête n</w:t>
      </w:r>
      <w:r w:rsidRPr="00BF1937">
        <w:rPr>
          <w:vertAlign w:val="superscript"/>
          <w:lang w:val="fr-FR"/>
        </w:rPr>
        <w:t>o </w:t>
      </w:r>
      <w:r w:rsidR="008300FB">
        <w:rPr>
          <w:lang w:val="fr-FR"/>
        </w:rPr>
        <w:t>25781/94, du 10 </w:t>
      </w:r>
      <w:r w:rsidRPr="00BF1937">
        <w:rPr>
          <w:lang w:val="fr-FR"/>
        </w:rPr>
        <w:t>mai 2001), la Cour européenne des droits de l</w:t>
      </w:r>
      <w:r w:rsidR="008300FB">
        <w:rPr>
          <w:lang w:val="fr-FR"/>
        </w:rPr>
        <w:t>’</w:t>
      </w:r>
      <w:r w:rsidRPr="00BF1937">
        <w:rPr>
          <w:lang w:val="fr-FR"/>
        </w:rPr>
        <w:t>homme a statué sur les conséquences juridiques globales de l</w:t>
      </w:r>
      <w:r w:rsidR="008300FB">
        <w:rPr>
          <w:lang w:val="fr-FR"/>
        </w:rPr>
        <w:t>’</w:t>
      </w:r>
      <w:r w:rsidRPr="00BF1937">
        <w:rPr>
          <w:lang w:val="fr-FR"/>
        </w:rPr>
        <w:t>invasion de Chypre par la Turquie et de sa présence militaire continue sur l</w:t>
      </w:r>
      <w:r w:rsidR="008300FB">
        <w:rPr>
          <w:lang w:val="fr-FR"/>
        </w:rPr>
        <w:t>’</w:t>
      </w:r>
      <w:r w:rsidRPr="00BF1937">
        <w:rPr>
          <w:lang w:val="fr-FR"/>
        </w:rPr>
        <w:t>île. La Cour a réaffirmé que</w:t>
      </w:r>
      <w:r w:rsidR="008300FB">
        <w:rPr>
          <w:lang w:val="fr-FR"/>
        </w:rPr>
        <w:t> </w:t>
      </w:r>
      <w:r w:rsidRPr="00BF1937">
        <w:rPr>
          <w:lang w:val="fr-FR"/>
        </w:rPr>
        <w:t>:</w:t>
      </w:r>
    </w:p>
    <w:p w:rsidR="00BF1937" w:rsidRPr="00BF1937" w:rsidRDefault="00BF1937" w:rsidP="008300FB">
      <w:pPr>
        <w:pStyle w:val="Bullet1"/>
        <w:ind w:left="1743" w:hanging="130"/>
        <w:rPr>
          <w:lang w:val="fr-FR"/>
        </w:rPr>
      </w:pPr>
      <w:r w:rsidRPr="00BF1937">
        <w:rPr>
          <w:lang w:val="fr-FR"/>
        </w:rPr>
        <w:t>Le Gouvernement de la République de Chypre est l</w:t>
      </w:r>
      <w:r w:rsidR="008300FB">
        <w:rPr>
          <w:lang w:val="fr-FR"/>
        </w:rPr>
        <w:t>’</w:t>
      </w:r>
      <w:r w:rsidRPr="00BF1937">
        <w:rPr>
          <w:lang w:val="fr-FR"/>
        </w:rPr>
        <w:t>unique Gouvernement légitime de Chypre;</w:t>
      </w:r>
    </w:p>
    <w:p w:rsidR="00BF1937" w:rsidRPr="00BF1937" w:rsidRDefault="00BF1937" w:rsidP="008300FB">
      <w:pPr>
        <w:pStyle w:val="Bullet1"/>
        <w:ind w:left="1743" w:hanging="130"/>
        <w:rPr>
          <w:lang w:val="fr-FR"/>
        </w:rPr>
      </w:pPr>
      <w:r w:rsidRPr="00BF1937">
        <w:rPr>
          <w:lang w:val="fr-FR"/>
        </w:rPr>
        <w:t>La communauté internationale et la Cour ne considèrent pas la « République turque de Chypre-Nord » comme un État au regard du droit international;</w:t>
      </w:r>
    </w:p>
    <w:p w:rsidR="00BF1937" w:rsidRPr="00BF1937" w:rsidRDefault="00BF1937" w:rsidP="008300FB">
      <w:pPr>
        <w:pStyle w:val="Bullet1"/>
        <w:ind w:left="1743" w:hanging="130"/>
        <w:rPr>
          <w:lang w:val="fr-FR"/>
        </w:rPr>
      </w:pPr>
      <w:r w:rsidRPr="00BF1937">
        <w:rPr>
          <w:lang w:val="fr-FR"/>
        </w:rPr>
        <w:t>L</w:t>
      </w:r>
      <w:r w:rsidR="008300FB">
        <w:rPr>
          <w:lang w:val="fr-FR"/>
        </w:rPr>
        <w:t>’</w:t>
      </w:r>
      <w:r w:rsidRPr="00BF1937">
        <w:rPr>
          <w:lang w:val="fr-FR"/>
        </w:rPr>
        <w:t>administration locale inféodée à la Turquie mise en place par ce pays au nord de Chypre survit grâce à l</w:t>
      </w:r>
      <w:r w:rsidR="008300FB">
        <w:rPr>
          <w:lang w:val="fr-FR"/>
        </w:rPr>
        <w:t>’</w:t>
      </w:r>
      <w:r w:rsidRPr="00BF1937">
        <w:rPr>
          <w:lang w:val="fr-FR"/>
        </w:rPr>
        <w:t>occupation militaire turque et à l</w:t>
      </w:r>
      <w:r w:rsidR="008300FB">
        <w:rPr>
          <w:lang w:val="fr-FR"/>
        </w:rPr>
        <w:t>’</w:t>
      </w:r>
      <w:r w:rsidRPr="00BF1937">
        <w:rPr>
          <w:lang w:val="fr-FR"/>
        </w:rPr>
        <w:t>appui que lui apporte la Turquie;</w:t>
      </w:r>
    </w:p>
    <w:p w:rsidR="00BF1937" w:rsidRPr="00BF1937" w:rsidRDefault="00BF1937" w:rsidP="008300FB">
      <w:pPr>
        <w:pStyle w:val="Bullet1"/>
        <w:ind w:left="1743" w:hanging="130"/>
        <w:rPr>
          <w:lang w:val="fr-FR"/>
        </w:rPr>
      </w:pPr>
      <w:r w:rsidRPr="00BF1937">
        <w:rPr>
          <w:lang w:val="fr-FR"/>
        </w:rPr>
        <w:t>La Turquie « exerçant en pratique un contrôle global sur le nord de Chypre » est responsable de toutes les violations des droits de l</w:t>
      </w:r>
      <w:r w:rsidR="008300FB">
        <w:rPr>
          <w:lang w:val="fr-FR"/>
        </w:rPr>
        <w:t>’</w:t>
      </w:r>
      <w:r w:rsidRPr="00BF1937">
        <w:rPr>
          <w:lang w:val="fr-FR"/>
        </w:rPr>
        <w:t>homme commises par ses soldats, ses fonctionnaires ou l</w:t>
      </w:r>
      <w:r w:rsidR="008300FB">
        <w:rPr>
          <w:lang w:val="fr-FR"/>
        </w:rPr>
        <w:t>’</w:t>
      </w:r>
      <w:r w:rsidRPr="00BF1937">
        <w:rPr>
          <w:lang w:val="fr-FR"/>
        </w:rPr>
        <w:t>administration locale qui lui est inféodée.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lastRenderedPageBreak/>
        <w:t>La Cour a aussi rendu d</w:t>
      </w:r>
      <w:r w:rsidR="008300FB">
        <w:rPr>
          <w:lang w:val="fr-FR"/>
        </w:rPr>
        <w:t>’</w:t>
      </w:r>
      <w:r w:rsidRPr="00BF1937">
        <w:rPr>
          <w:lang w:val="fr-FR"/>
        </w:rPr>
        <w:t>importants arrêts au titre de requêtes individuelles formées par des Chypriotes. Dans un arrêt qui a fait date, rendu dans l</w:t>
      </w:r>
      <w:r w:rsidR="008300FB">
        <w:rPr>
          <w:lang w:val="fr-FR"/>
        </w:rPr>
        <w:t>’</w:t>
      </w:r>
      <w:r w:rsidRPr="00BF1937">
        <w:rPr>
          <w:lang w:val="fr-FR"/>
        </w:rPr>
        <w:t xml:space="preserve">affaire </w:t>
      </w:r>
      <w:r w:rsidRPr="00BF1937">
        <w:rPr>
          <w:i/>
          <w:lang w:val="fr-FR"/>
        </w:rPr>
        <w:t xml:space="preserve">Loizidou </w:t>
      </w:r>
      <w:r w:rsidRPr="008300FB">
        <w:rPr>
          <w:lang w:val="fr-FR"/>
        </w:rPr>
        <w:t>c.</w:t>
      </w:r>
      <w:r w:rsidRPr="00BF1937">
        <w:rPr>
          <w:i/>
          <w:lang w:val="fr-FR"/>
        </w:rPr>
        <w:t xml:space="preserve"> Turquie</w:t>
      </w:r>
      <w:r w:rsidRPr="00BF1937">
        <w:rPr>
          <w:lang w:val="fr-FR"/>
        </w:rPr>
        <w:t>, la Cour a ordonné au Gouvernement turc d</w:t>
      </w:r>
      <w:r w:rsidR="008300FB">
        <w:rPr>
          <w:lang w:val="fr-FR"/>
        </w:rPr>
        <w:t>’</w:t>
      </w:r>
      <w:r w:rsidRPr="00BF1937">
        <w:rPr>
          <w:lang w:val="fr-FR"/>
        </w:rPr>
        <w:t>indemniser la requérante pour la période pendant laquelle elle avait été privée de l</w:t>
      </w:r>
      <w:r w:rsidR="008300FB">
        <w:rPr>
          <w:lang w:val="fr-FR"/>
        </w:rPr>
        <w:t>’</w:t>
      </w:r>
      <w:r w:rsidRPr="00BF1937">
        <w:rPr>
          <w:lang w:val="fr-FR"/>
        </w:rPr>
        <w:t>utilisation de ses biens et de lui assurer la jouissance pacifique de ses biens situés à Kyrenia et le plein accès à ceux-ci.</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La République de Chypre est, avec l</w:t>
      </w:r>
      <w:r w:rsidR="008300FB">
        <w:rPr>
          <w:lang w:val="fr-FR"/>
        </w:rPr>
        <w:t>’</w:t>
      </w:r>
      <w:r w:rsidRPr="00BF1937">
        <w:rPr>
          <w:lang w:val="fr-FR"/>
        </w:rPr>
        <w:t>intégralité de son territoire, devenue membre de l</w:t>
      </w:r>
      <w:r w:rsidR="008300FB">
        <w:rPr>
          <w:lang w:val="fr-FR"/>
        </w:rPr>
        <w:t>’</w:t>
      </w:r>
      <w:r w:rsidRPr="00BF1937">
        <w:rPr>
          <w:lang w:val="fr-FR"/>
        </w:rPr>
        <w:t>Union européenne le 1</w:t>
      </w:r>
      <w:r w:rsidRPr="00BF1937">
        <w:rPr>
          <w:vertAlign w:val="superscript"/>
          <w:lang w:val="fr-FR"/>
        </w:rPr>
        <w:t>er</w:t>
      </w:r>
      <w:r w:rsidR="008300FB">
        <w:rPr>
          <w:lang w:val="fr-FR"/>
        </w:rPr>
        <w:t> </w:t>
      </w:r>
      <w:r w:rsidRPr="00BF1937">
        <w:rPr>
          <w:lang w:val="fr-FR"/>
        </w:rPr>
        <w:t>mai 2004. En vertu du Protocole 10 au Traité d</w:t>
      </w:r>
      <w:r w:rsidR="008300FB">
        <w:rPr>
          <w:lang w:val="fr-FR"/>
        </w:rPr>
        <w:t>’</w:t>
      </w:r>
      <w:r w:rsidRPr="00BF1937">
        <w:rPr>
          <w:lang w:val="fr-FR"/>
        </w:rPr>
        <w:t>adhésion de Chypre signé en 2003, « l</w:t>
      </w:r>
      <w:r w:rsidR="008300FB">
        <w:rPr>
          <w:lang w:val="fr-FR"/>
        </w:rPr>
        <w:t>’</w:t>
      </w:r>
      <w:r w:rsidRPr="00BF1937">
        <w:rPr>
          <w:lang w:val="fr-FR"/>
        </w:rPr>
        <w:t>application de l</w:t>
      </w:r>
      <w:r w:rsidR="008300FB">
        <w:rPr>
          <w:lang w:val="fr-FR"/>
        </w:rPr>
        <w:t>’</w:t>
      </w:r>
      <w:r w:rsidRPr="00BF1937">
        <w:rPr>
          <w:lang w:val="fr-FR"/>
        </w:rPr>
        <w:t>acquis est suspendue dans les zones de la République de Chypre où le Gouvernement chypriote n</w:t>
      </w:r>
      <w:r w:rsidR="008300FB">
        <w:rPr>
          <w:lang w:val="fr-FR"/>
        </w:rPr>
        <w:t>’</w:t>
      </w:r>
      <w:r w:rsidRPr="00BF1937">
        <w:rPr>
          <w:lang w:val="fr-FR"/>
        </w:rPr>
        <w:t xml:space="preserve">exerce pas un contrôle effectif ». </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La Cour européenne de justice, dans l</w:t>
      </w:r>
      <w:r w:rsidR="008300FB">
        <w:rPr>
          <w:lang w:val="fr-FR"/>
        </w:rPr>
        <w:t>’</w:t>
      </w:r>
      <w:r w:rsidRPr="00BF1937">
        <w:rPr>
          <w:lang w:val="fr-FR"/>
        </w:rPr>
        <w:t>arrêt qu</w:t>
      </w:r>
      <w:r w:rsidR="008300FB">
        <w:rPr>
          <w:lang w:val="fr-FR"/>
        </w:rPr>
        <w:t>’</w:t>
      </w:r>
      <w:r w:rsidRPr="00BF1937">
        <w:rPr>
          <w:lang w:val="fr-FR"/>
        </w:rPr>
        <w:t>elle a rendu dans l</w:t>
      </w:r>
      <w:r w:rsidR="008300FB">
        <w:rPr>
          <w:lang w:val="fr-FR"/>
        </w:rPr>
        <w:t>’</w:t>
      </w:r>
      <w:r w:rsidRPr="00BF1937">
        <w:rPr>
          <w:lang w:val="fr-FR"/>
        </w:rPr>
        <w:t xml:space="preserve">affaire </w:t>
      </w:r>
      <w:r w:rsidRPr="00BF1937">
        <w:rPr>
          <w:i/>
          <w:lang w:val="fr-FR"/>
        </w:rPr>
        <w:t>Meleti</w:t>
      </w:r>
      <w:r w:rsidR="00AB37C5">
        <w:rPr>
          <w:i/>
          <w:lang w:val="fr-FR"/>
        </w:rPr>
        <w:t>o</w:t>
      </w:r>
      <w:r w:rsidRPr="00BF1937">
        <w:rPr>
          <w:i/>
          <w:lang w:val="fr-FR"/>
        </w:rPr>
        <w:t xml:space="preserve">s Apostolides </w:t>
      </w:r>
      <w:r w:rsidRPr="003649E9">
        <w:rPr>
          <w:lang w:val="fr-FR"/>
        </w:rPr>
        <w:t>c.</w:t>
      </w:r>
      <w:r w:rsidRPr="00BF1937">
        <w:rPr>
          <w:i/>
          <w:lang w:val="fr-FR"/>
        </w:rPr>
        <w:t xml:space="preserve"> David Charles Orams et Linda Elizabeth Orams</w:t>
      </w:r>
      <w:r w:rsidRPr="00BF1937">
        <w:rPr>
          <w:lang w:val="fr-FR"/>
        </w:rPr>
        <w:t xml:space="preserve"> (28</w:t>
      </w:r>
      <w:r w:rsidR="00AB37C5">
        <w:rPr>
          <w:lang w:val="fr-FR"/>
        </w:rPr>
        <w:t xml:space="preserve"> avril </w:t>
      </w:r>
      <w:r w:rsidRPr="00BF1937">
        <w:rPr>
          <w:lang w:val="fr-FR"/>
        </w:rPr>
        <w:t>2009), a réaffirmé la souveraineté de la République et la compétence de ses tribunaux dans les zones échappant au contrôle effectif de l</w:t>
      </w:r>
      <w:r w:rsidR="008300FB">
        <w:rPr>
          <w:lang w:val="fr-FR"/>
        </w:rPr>
        <w:t>’</w:t>
      </w:r>
      <w:r w:rsidRPr="00BF1937">
        <w:rPr>
          <w:lang w:val="fr-FR"/>
        </w:rPr>
        <w:t>État. Les Chypriotes grecs qui possèdent des biens dans les zones occupées de la République demeurent les propriétaires légaux de ces biens, malgré l</w:t>
      </w:r>
      <w:r w:rsidR="008300FB">
        <w:rPr>
          <w:lang w:val="fr-FR"/>
        </w:rPr>
        <w:t>’</w:t>
      </w:r>
      <w:r w:rsidRPr="00BF1937">
        <w:rPr>
          <w:lang w:val="fr-FR"/>
        </w:rPr>
        <w:t>occupation illégale turque, et ont la faculté de saisir la justice pour en empêcher toute exploitation illicite.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Compte tenu de la poursuite de l</w:t>
      </w:r>
      <w:r w:rsidR="008300FB">
        <w:rPr>
          <w:lang w:val="fr-FR"/>
        </w:rPr>
        <w:t>’</w:t>
      </w:r>
      <w:r w:rsidRPr="00BF1937">
        <w:rPr>
          <w:lang w:val="fr-FR"/>
        </w:rPr>
        <w:t>occupation turque illégale, le Gouvernement chypriote est empêché par la force armée d</w:t>
      </w:r>
      <w:r w:rsidR="008300FB">
        <w:rPr>
          <w:lang w:val="fr-FR"/>
        </w:rPr>
        <w:t>’</w:t>
      </w:r>
      <w:r w:rsidRPr="00BF1937">
        <w:rPr>
          <w:lang w:val="fr-FR"/>
        </w:rPr>
        <w:t>exercer son autorité et son contrôle dans la zone occupée et d</w:t>
      </w:r>
      <w:r w:rsidR="008300FB">
        <w:rPr>
          <w:lang w:val="fr-FR"/>
        </w:rPr>
        <w:t>’</w:t>
      </w:r>
      <w:r w:rsidRPr="00BF1937">
        <w:rPr>
          <w:lang w:val="fr-FR"/>
        </w:rPr>
        <w:t>y assurer l</w:t>
      </w:r>
      <w:r w:rsidR="008300FB">
        <w:rPr>
          <w:lang w:val="fr-FR"/>
        </w:rPr>
        <w:t>’</w:t>
      </w:r>
      <w:r w:rsidRPr="00BF1937">
        <w:rPr>
          <w:lang w:val="fr-FR"/>
        </w:rPr>
        <w:t>exercice et le respect des droits de l</w:t>
      </w:r>
      <w:r w:rsidR="008300FB">
        <w:rPr>
          <w:lang w:val="fr-FR"/>
        </w:rPr>
        <w:t>’</w:t>
      </w:r>
      <w:r w:rsidRPr="00BF1937">
        <w:rPr>
          <w:lang w:val="fr-FR"/>
        </w:rPr>
        <w:t>homme.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Désireux de parvenir à une solution pacifique, le Gouvernement chypriote a accepté, malgré le maintien de l</w:t>
      </w:r>
      <w:r w:rsidR="008300FB">
        <w:rPr>
          <w:lang w:val="fr-FR"/>
        </w:rPr>
        <w:t>’</w:t>
      </w:r>
      <w:r w:rsidRPr="00BF1937">
        <w:rPr>
          <w:lang w:val="fr-FR"/>
        </w:rPr>
        <w:t>occupation illégale, que des négociations intercommunautaires soient menées conformément aux résolutions susmentionnées, dans le cadre de la mission de bons offices du Secrétaire général de l</w:t>
      </w:r>
      <w:r w:rsidR="008300FB">
        <w:rPr>
          <w:lang w:val="fr-FR"/>
        </w:rPr>
        <w:t>’</w:t>
      </w:r>
      <w:r w:rsidRPr="00BF1937">
        <w:rPr>
          <w:lang w:val="fr-FR"/>
        </w:rPr>
        <w:t>Organisation des Nations Unies.</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Le Gouvernement chypriote recherche une solution juste, viable, globale et fonctionnelle au problème de Chypre, dans le cadre d</w:t>
      </w:r>
      <w:r w:rsidR="008300FB">
        <w:rPr>
          <w:lang w:val="fr-FR"/>
        </w:rPr>
        <w:t>’</w:t>
      </w:r>
      <w:r w:rsidRPr="00BF1937">
        <w:rPr>
          <w:lang w:val="fr-FR"/>
        </w:rPr>
        <w:t>une structure fédérale bizonale et bicommunautaire garantissant l</w:t>
      </w:r>
      <w:r w:rsidR="008300FB">
        <w:rPr>
          <w:lang w:val="fr-FR"/>
        </w:rPr>
        <w:t>’</w:t>
      </w:r>
      <w:r w:rsidRPr="00BF1937">
        <w:rPr>
          <w:lang w:val="fr-FR"/>
        </w:rPr>
        <w:t>indépendance, l</w:t>
      </w:r>
      <w:r w:rsidR="008300FB">
        <w:rPr>
          <w:lang w:val="fr-FR"/>
        </w:rPr>
        <w:t>’</w:t>
      </w:r>
      <w:r w:rsidRPr="00BF1937">
        <w:rPr>
          <w:lang w:val="fr-FR"/>
        </w:rPr>
        <w:t>intégrité territoriale, l</w:t>
      </w:r>
      <w:r w:rsidR="008300FB">
        <w:rPr>
          <w:lang w:val="fr-FR"/>
        </w:rPr>
        <w:t>’</w:t>
      </w:r>
      <w:r w:rsidRPr="00BF1937">
        <w:rPr>
          <w:lang w:val="fr-FR"/>
        </w:rPr>
        <w:t>unité et la souveraineté de Chypre, et sans troupes d</w:t>
      </w:r>
      <w:r w:rsidR="008300FB">
        <w:rPr>
          <w:lang w:val="fr-FR"/>
        </w:rPr>
        <w:t>’</w:t>
      </w:r>
      <w:r w:rsidRPr="00BF1937">
        <w:rPr>
          <w:lang w:val="fr-FR"/>
        </w:rPr>
        <w:t>occupation et sans colons illégaux, c</w:t>
      </w:r>
      <w:r w:rsidR="008300FB">
        <w:rPr>
          <w:lang w:val="fr-FR"/>
        </w:rPr>
        <w:t>’</w:t>
      </w:r>
      <w:r w:rsidRPr="00BF1937">
        <w:rPr>
          <w:lang w:val="fr-FR"/>
        </w:rPr>
        <w:t>est-à-dire une solution propre à assurer la réunification de l</w:t>
      </w:r>
      <w:r w:rsidR="008300FB">
        <w:rPr>
          <w:lang w:val="fr-FR"/>
        </w:rPr>
        <w:t>’</w:t>
      </w:r>
      <w:r w:rsidRPr="00BF1937">
        <w:rPr>
          <w:lang w:val="fr-FR"/>
        </w:rPr>
        <w:t>île et de sa population et l</w:t>
      </w:r>
      <w:r w:rsidR="008300FB">
        <w:rPr>
          <w:lang w:val="fr-FR"/>
        </w:rPr>
        <w:t>’</w:t>
      </w:r>
      <w:r w:rsidRPr="00BF1937">
        <w:rPr>
          <w:lang w:val="fr-FR"/>
        </w:rPr>
        <w:t>entier respect des droits de l</w:t>
      </w:r>
      <w:r w:rsidR="008300FB">
        <w:rPr>
          <w:lang w:val="fr-FR"/>
        </w:rPr>
        <w:t>’</w:t>
      </w:r>
      <w:r w:rsidRPr="00BF1937">
        <w:rPr>
          <w:lang w:val="fr-FR"/>
        </w:rPr>
        <w:t>homme et des libertés fondamentales de tous les Chypriotes.</w:t>
      </w:r>
    </w:p>
    <w:p w:rsidR="008300FB" w:rsidRPr="008300FB" w:rsidRDefault="008300FB" w:rsidP="008300FB">
      <w:pPr>
        <w:pStyle w:val="SingleTxt"/>
        <w:spacing w:after="0" w:line="120" w:lineRule="exact"/>
        <w:rPr>
          <w:b/>
          <w:sz w:val="10"/>
          <w:lang w:val="fr-FR"/>
        </w:rPr>
      </w:pPr>
    </w:p>
    <w:p w:rsidR="00BF1937" w:rsidRPr="00BF1937" w:rsidRDefault="008300FB" w:rsidP="00830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BF1937" w:rsidRPr="00BF1937">
        <w:rPr>
          <w:lang w:val="fr-CH"/>
        </w:rPr>
        <w:tab/>
        <w:t>Structure constitutionnelle</w:t>
      </w:r>
    </w:p>
    <w:p w:rsidR="008300FB" w:rsidRPr="008300FB" w:rsidRDefault="008300FB" w:rsidP="008300FB">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Constitution a institué un régime présidentiel dans lequel le président est un Chypriote grec, et le vice-président un Chypriote turc, tous deux élus pour cinq ans par leur co</w:t>
      </w:r>
      <w:r w:rsidR="008300FB">
        <w:rPr>
          <w:lang w:val="fr-CH"/>
        </w:rPr>
        <w:t>mmunauté respective (art. 1).</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 xml:space="preserve">Aux termes de la Constitution, le pouvoir exécutif est exercé par président et le vice-président de la République, ainsi que le Conseil des ministres et les ministres, chacun dans son domaine de compétence. Le Conseil des ministres se compose de </w:t>
      </w:r>
      <w:r w:rsidR="008300FB">
        <w:rPr>
          <w:lang w:val="fr-CH"/>
        </w:rPr>
        <w:t>sept</w:t>
      </w:r>
      <w:r w:rsidRPr="00BF1937">
        <w:rPr>
          <w:lang w:val="fr-CH"/>
        </w:rPr>
        <w:t xml:space="preserve"> ministres chypriotes grecs et de </w:t>
      </w:r>
      <w:r w:rsidR="008300FB">
        <w:rPr>
          <w:lang w:val="fr-CH"/>
        </w:rPr>
        <w:t>trois</w:t>
      </w:r>
      <w:r w:rsidRPr="00BF1937">
        <w:rPr>
          <w:lang w:val="fr-CH"/>
        </w:rPr>
        <w:t xml:space="preserve"> ministres chypriotes turcs, proposés respectivement par le président et par le vice-président, mais nommés conjointement par ces derniers. Le Conseil des ministres exerce le pouvoir exé</w:t>
      </w:r>
      <w:r w:rsidR="008300FB">
        <w:rPr>
          <w:lang w:val="fr-CH"/>
        </w:rPr>
        <w:t xml:space="preserve">cutif dans tous les domaines, à </w:t>
      </w:r>
      <w:r w:rsidRPr="00BF1937">
        <w:rPr>
          <w:lang w:val="fr-CH"/>
        </w:rPr>
        <w:t>l</w:t>
      </w:r>
      <w:r w:rsidR="008300FB">
        <w:rPr>
          <w:lang w:val="fr-CH"/>
        </w:rPr>
        <w:t>’</w:t>
      </w:r>
      <w:r w:rsidRPr="00BF1937">
        <w:rPr>
          <w:lang w:val="fr-CH"/>
        </w:rPr>
        <w:t>exception de ceux qui, en vertu de dispositions expresses de la Constitution, relèvent de l</w:t>
      </w:r>
      <w:r w:rsidR="008300FB">
        <w:rPr>
          <w:lang w:val="fr-CH"/>
        </w:rPr>
        <w:t>’</w:t>
      </w:r>
      <w:r w:rsidRPr="00BF1937">
        <w:rPr>
          <w:lang w:val="fr-CH"/>
        </w:rPr>
        <w:t>autorité du président, du vice-président ou des chambres de chaque communauté (art. 54).</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Constitution dispose que la Chambre des représentants est l</w:t>
      </w:r>
      <w:r w:rsidR="008300FB">
        <w:rPr>
          <w:lang w:val="fr-CH"/>
        </w:rPr>
        <w:t>’</w:t>
      </w:r>
      <w:r w:rsidRPr="00BF1937">
        <w:rPr>
          <w:lang w:val="fr-CH"/>
        </w:rPr>
        <w:t>organe législatif monocaméral de la République. La communauté grecque élit 56 des 80 membres qui la composent et la communauté turque 24, pour un mandat de cinq ans; le président de la Chambre est Chypriote grec, le vice-président Chypriote turc et tous deux sont élus séparément.</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lastRenderedPageBreak/>
        <w:t>La Chambre des représentants exerce le pouvoir législatif dans tous les domaines, à l</w:t>
      </w:r>
      <w:r w:rsidR="008300FB">
        <w:rPr>
          <w:lang w:val="fr-CH"/>
        </w:rPr>
        <w:t>’</w:t>
      </w:r>
      <w:r w:rsidRPr="00BF1937">
        <w:rPr>
          <w:lang w:val="fr-CH"/>
        </w:rPr>
        <w:t>exception de ceux que la Constitution (art. 61) réserve expressément aux Chambres de communauté.</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Constitution institue deux Chambres de communauté devant exercer des fonctions législatives et administratives dans certains domaines restreints, dont les affaires religieuses, les questions culturelles et d</w:t>
      </w:r>
      <w:r w:rsidR="008300FB">
        <w:rPr>
          <w:lang w:val="fr-CH"/>
        </w:rPr>
        <w:t>’</w:t>
      </w:r>
      <w:r w:rsidRPr="00BF1937">
        <w:rPr>
          <w:lang w:val="fr-CH"/>
        </w:rPr>
        <w:t>éducation ainsi que les taxes et impôts locaux perçus pour assurer le fonctionnement des organes et institutions relevant de l</w:t>
      </w:r>
      <w:r w:rsidR="008300FB">
        <w:rPr>
          <w:lang w:val="fr-CH"/>
        </w:rPr>
        <w:t>’</w:t>
      </w:r>
      <w:r w:rsidRPr="00BF1937">
        <w:rPr>
          <w:lang w:val="fr-CH"/>
        </w:rPr>
        <w:t>au</w:t>
      </w:r>
      <w:r w:rsidR="008300FB">
        <w:rPr>
          <w:lang w:val="fr-CH"/>
        </w:rPr>
        <w:t xml:space="preserve">torité de la Chambre (art. 86 à </w:t>
      </w:r>
      <w:r w:rsidRPr="00BF1937">
        <w:rPr>
          <w:lang w:val="fr-CH"/>
        </w:rPr>
        <w:t>90).</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Constitution a prévu la mise en place d</w:t>
      </w:r>
      <w:r w:rsidR="008300FB">
        <w:rPr>
          <w:lang w:val="fr-CH"/>
        </w:rPr>
        <w:t>’</w:t>
      </w:r>
      <w:r w:rsidRPr="00BF1937">
        <w:rPr>
          <w:lang w:val="fr-CH"/>
        </w:rPr>
        <w:t>une Cour constitutionnelle suprême, composée d</w:t>
      </w:r>
      <w:r w:rsidR="008300FB">
        <w:rPr>
          <w:lang w:val="fr-CH"/>
        </w:rPr>
        <w:t>’</w:t>
      </w:r>
      <w:r w:rsidRPr="00BF1937">
        <w:rPr>
          <w:lang w:val="fr-CH"/>
        </w:rPr>
        <w:t>un président neutre, d</w:t>
      </w:r>
      <w:r w:rsidR="008300FB">
        <w:rPr>
          <w:lang w:val="fr-CH"/>
        </w:rPr>
        <w:t>’</w:t>
      </w:r>
      <w:r w:rsidRPr="00BF1937">
        <w:rPr>
          <w:lang w:val="fr-CH"/>
        </w:rPr>
        <w:t>un juge chypriote grec et d</w:t>
      </w:r>
      <w:r w:rsidR="008300FB">
        <w:rPr>
          <w:lang w:val="fr-CH"/>
        </w:rPr>
        <w:t>’</w:t>
      </w:r>
      <w:r w:rsidRPr="00BF1937">
        <w:rPr>
          <w:lang w:val="fr-CH"/>
        </w:rPr>
        <w:t>un juge chypriote turc nommés par le président et par le vice</w:t>
      </w:r>
      <w:r w:rsidR="003649E9">
        <w:rPr>
          <w:lang w:val="fr-CH"/>
        </w:rPr>
        <w:t>-</w:t>
      </w:r>
      <w:r w:rsidRPr="00BF1937">
        <w:rPr>
          <w:lang w:val="fr-CH"/>
        </w:rPr>
        <w:t>président de la République, et d</w:t>
      </w:r>
      <w:r w:rsidR="008300FB">
        <w:rPr>
          <w:lang w:val="fr-CH"/>
        </w:rPr>
        <w:t>’</w:t>
      </w:r>
      <w:r w:rsidRPr="00BF1937">
        <w:rPr>
          <w:lang w:val="fr-CH"/>
        </w:rPr>
        <w:t>une Haute Cour composée de deux juges chypriotes grecs, d</w:t>
      </w:r>
      <w:r w:rsidR="008300FB">
        <w:rPr>
          <w:lang w:val="fr-CH"/>
        </w:rPr>
        <w:t>’</w:t>
      </w:r>
      <w:r w:rsidRPr="00BF1937">
        <w:rPr>
          <w:lang w:val="fr-CH"/>
        </w:rPr>
        <w:t>un juge chypriote turc et d</w:t>
      </w:r>
      <w:r w:rsidR="008300FB">
        <w:rPr>
          <w:lang w:val="fr-CH"/>
        </w:rPr>
        <w:t>’</w:t>
      </w:r>
      <w:r w:rsidRPr="00BF1937">
        <w:rPr>
          <w:lang w:val="fr-CH"/>
        </w:rPr>
        <w:t>un président neutre, tous trois nommés de la même façon.</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Cour suprême constitutionnelle a compétence pour statuer sur toutes les questions de droit d</w:t>
      </w:r>
      <w:r w:rsidR="008300FB">
        <w:rPr>
          <w:lang w:val="fr-CH"/>
        </w:rPr>
        <w:t>’</w:t>
      </w:r>
      <w:r w:rsidRPr="00BF1937">
        <w:rPr>
          <w:lang w:val="fr-CH"/>
        </w:rPr>
        <w:t>ordre constitutionnel et administratif. La Haute Cour est l</w:t>
      </w:r>
      <w:r w:rsidR="008300FB">
        <w:rPr>
          <w:lang w:val="fr-CH"/>
        </w:rPr>
        <w:t>’</w:t>
      </w:r>
      <w:r w:rsidRPr="00BF1937">
        <w:rPr>
          <w:lang w:val="fr-CH"/>
        </w:rPr>
        <w:t>instance d</w:t>
      </w:r>
      <w:r w:rsidR="008300FB">
        <w:rPr>
          <w:lang w:val="fr-CH"/>
        </w:rPr>
        <w:t>’</w:t>
      </w:r>
      <w:r w:rsidRPr="00BF1937">
        <w:rPr>
          <w:lang w:val="fr-CH"/>
        </w:rPr>
        <w:t>appel suprême. Elle a un pouvoir de révision et peut rendre des ordonnances d</w:t>
      </w:r>
      <w:r w:rsidR="008300FB">
        <w:rPr>
          <w:lang w:val="fr-CH"/>
        </w:rPr>
        <w:t>’</w:t>
      </w:r>
      <w:r w:rsidRPr="00BF1937">
        <w:rPr>
          <w:i/>
          <w:lang w:val="fr-CH"/>
        </w:rPr>
        <w:t>habeas</w:t>
      </w:r>
      <w:r w:rsidRPr="00BF1937">
        <w:rPr>
          <w:lang w:val="fr-CH"/>
        </w:rPr>
        <w:t xml:space="preserve"> </w:t>
      </w:r>
      <w:r w:rsidRPr="00BF1937">
        <w:rPr>
          <w:i/>
          <w:lang w:val="fr-CH"/>
        </w:rPr>
        <w:t>corpus</w:t>
      </w:r>
      <w:r w:rsidRPr="00BF1937">
        <w:rPr>
          <w:lang w:val="fr-CH"/>
        </w:rPr>
        <w:t xml:space="preserve"> et autres ordonnances du même type. La compétence ordinaire en matière civile et pénale est exercée en première instance par les tribunaux de district et les cours d</w:t>
      </w:r>
      <w:r w:rsidR="008300FB">
        <w:rPr>
          <w:lang w:val="fr-CH"/>
        </w:rPr>
        <w:t>’</w:t>
      </w:r>
      <w:r w:rsidRPr="00BF1937">
        <w:rPr>
          <w:lang w:val="fr-CH"/>
        </w:rPr>
        <w:t>assises. La Constitution interdit en toutes circonstances la création de comités judiciaires ou de juridictions spéciales ou d</w:t>
      </w:r>
      <w:r w:rsidR="008300FB">
        <w:rPr>
          <w:lang w:val="fr-CH"/>
        </w:rPr>
        <w:t>’</w:t>
      </w:r>
      <w:r w:rsidRPr="00BF1937">
        <w:rPr>
          <w:lang w:val="fr-CH"/>
        </w:rPr>
        <w:t>exception.</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Les fonctionnaires indépendants de la République sont le Procureur général et son adjoint, le Contrôleur général des comptes et son adjoint et le Gouverneur et le vice-gouverneur de la Banque centrale, tous nommés par le président et le vice-président de la République selon un critère d</w:t>
      </w:r>
      <w:r w:rsidR="008300FB">
        <w:rPr>
          <w:lang w:val="fr-CH"/>
        </w:rPr>
        <w:t>’</w:t>
      </w:r>
      <w:r w:rsidRPr="00BF1937">
        <w:rPr>
          <w:lang w:val="fr-CH"/>
        </w:rPr>
        <w:t>appartenance communautaire. La fonction publique doit être composée de 70 % de Chypriotes grecs et 30 % de Chypriotes turcs, règle qui s</w:t>
      </w:r>
      <w:r w:rsidR="008300FB">
        <w:rPr>
          <w:lang w:val="fr-CH"/>
        </w:rPr>
        <w:t>’</w:t>
      </w:r>
      <w:r w:rsidRPr="00BF1937">
        <w:rPr>
          <w:lang w:val="fr-CH"/>
        </w:rPr>
        <w:t>applique également à la Commission de la fonction publique, responsable des nominations, des promotions, de la discipline, etc.</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Constitution a donné le droit à chacune des deux communautés d</w:t>
      </w:r>
      <w:r w:rsidR="008300FB">
        <w:rPr>
          <w:lang w:val="fr-CH"/>
        </w:rPr>
        <w:t>’</w:t>
      </w:r>
      <w:r w:rsidRPr="00BF1937">
        <w:rPr>
          <w:lang w:val="fr-CH"/>
        </w:rPr>
        <w:t>entretenir des relations privilégiées avec, respectivement, la Grèce et la Turquie et, en particulier, de recevoir des subventions des Gouvernements grec ou turc pour leurs institutions respectives consacrées à l</w:t>
      </w:r>
      <w:r w:rsidR="008300FB">
        <w:rPr>
          <w:lang w:val="fr-CH"/>
        </w:rPr>
        <w:t>’</w:t>
      </w:r>
      <w:r w:rsidRPr="00BF1937">
        <w:rPr>
          <w:lang w:val="fr-CH"/>
        </w:rPr>
        <w:t>enseignement, à la culture, aux sports et aux œuvres de bienfaisance; elles peuvent en outre recevoir et employer des maîtres d</w:t>
      </w:r>
      <w:r w:rsidR="008300FB">
        <w:rPr>
          <w:lang w:val="fr-CH"/>
        </w:rPr>
        <w:t>’</w:t>
      </w:r>
      <w:r w:rsidRPr="00BF1937">
        <w:rPr>
          <w:lang w:val="fr-CH"/>
        </w:rPr>
        <w:t>école, des professeurs et des ministres du culte fournis par les G</w:t>
      </w:r>
      <w:r w:rsidR="008300FB">
        <w:rPr>
          <w:lang w:val="fr-CH"/>
        </w:rPr>
        <w:t>ouvernements grec ou turc (art. </w:t>
      </w:r>
      <w:r w:rsidRPr="00BF1937">
        <w:rPr>
          <w:lang w:val="fr-CH"/>
        </w:rPr>
        <w:t>108).</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communautarisation affirmée qu</w:t>
      </w:r>
      <w:r w:rsidR="008300FB">
        <w:rPr>
          <w:lang w:val="fr-CH"/>
        </w:rPr>
        <w:t>’</w:t>
      </w:r>
      <w:r w:rsidRPr="00BF1937">
        <w:rPr>
          <w:lang w:val="fr-CH"/>
        </w:rPr>
        <w:t>instituait la Constitution se retrouvait dans le système électoral. Toutes les élections devaient se tenir sur la base de listes électorales présentées séparément par chacune des communautés (art. 63 et 94) et de scrutins séparés (art. 1</w:t>
      </w:r>
      <w:r w:rsidRPr="00BF1937">
        <w:rPr>
          <w:vertAlign w:val="superscript"/>
          <w:lang w:val="fr-CH"/>
        </w:rPr>
        <w:t>er</w:t>
      </w:r>
      <w:r w:rsidRPr="00BF1937">
        <w:rPr>
          <w:lang w:val="fr-CH"/>
        </w:rPr>
        <w:t>, 39, 62, 86, 173 et 178). À présent, les élections reposent sur le principe de la représentation proportionnelle.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En raison du retrait des responsables et des fonctionnaires chypriotes turcs et de leur refus d</w:t>
      </w:r>
      <w:r w:rsidR="008300FB">
        <w:rPr>
          <w:lang w:val="fr-CH"/>
        </w:rPr>
        <w:t>’</w:t>
      </w:r>
      <w:r w:rsidRPr="00BF1937">
        <w:rPr>
          <w:lang w:val="fr-CH"/>
        </w:rPr>
        <w:t>exercer leurs fonctions, le Gouvernement du pays a cessé d</w:t>
      </w:r>
      <w:r w:rsidR="008300FB">
        <w:rPr>
          <w:lang w:val="fr-CH"/>
        </w:rPr>
        <w:t>’</w:t>
      </w:r>
      <w:r w:rsidRPr="00BF1937">
        <w:rPr>
          <w:lang w:val="fr-CH"/>
        </w:rPr>
        <w:t>être en conformité avec certaines des dispositions de la Constitution.</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crise a éclaté lorsque les présidents neutres de la Cour suprême constitutionnelle et de la Haute Cour ont démissionné, respectivement en 1963 et 1964, ce qui a paralysé le fonctionnement de ces deux institutions. Il est à noter que les juges chypriotes turcs des tribunaux de district et des juridictions supérieures sont restés à leur poste jusqu</w:t>
      </w:r>
      <w:r w:rsidR="008300FB">
        <w:rPr>
          <w:lang w:val="fr-CH"/>
        </w:rPr>
        <w:t>’</w:t>
      </w:r>
      <w:r w:rsidRPr="00BF1937">
        <w:rPr>
          <w:lang w:val="fr-CH"/>
        </w:rPr>
        <w:t>en 1966, date à laquelle les autorités chypriotes turques les ont contraints à démissionner, à la suite de quoi la moitié d</w:t>
      </w:r>
      <w:r w:rsidR="008300FB">
        <w:rPr>
          <w:lang w:val="fr-CH"/>
        </w:rPr>
        <w:t>’</w:t>
      </w:r>
      <w:r w:rsidRPr="00BF1937">
        <w:rPr>
          <w:lang w:val="fr-CH"/>
        </w:rPr>
        <w:t>entre eux ont fui à l</w:t>
      </w:r>
      <w:r w:rsidR="008300FB">
        <w:rPr>
          <w:lang w:val="fr-CH"/>
        </w:rPr>
        <w:t>’</w:t>
      </w:r>
      <w:r w:rsidRPr="00BF1937">
        <w:rPr>
          <w:lang w:val="fr-CH"/>
        </w:rPr>
        <w:t>étranger.</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lastRenderedPageBreak/>
        <w:t>La crise décrite ci-dessus a conduit à l</w:t>
      </w:r>
      <w:r w:rsidR="008300FB">
        <w:rPr>
          <w:lang w:val="fr-CH"/>
        </w:rPr>
        <w:t>’</w:t>
      </w:r>
      <w:r w:rsidRPr="00BF1937">
        <w:rPr>
          <w:lang w:val="fr-CH"/>
        </w:rPr>
        <w:t>adoption de mesures législatives visant à remédier à la situation. Ainsi, en 1964, a été adoptée une loi sur l</w:t>
      </w:r>
      <w:r w:rsidR="008300FB">
        <w:rPr>
          <w:lang w:val="fr-CH"/>
        </w:rPr>
        <w:t>’</w:t>
      </w:r>
      <w:r w:rsidRPr="00BF1937">
        <w:rPr>
          <w:lang w:val="fr-CH"/>
        </w:rPr>
        <w:t>administration de la justice (dispositions diverses) portant création d</w:t>
      </w:r>
      <w:r w:rsidR="008300FB">
        <w:rPr>
          <w:lang w:val="fr-CH"/>
        </w:rPr>
        <w:t>’</w:t>
      </w:r>
      <w:r w:rsidRPr="00BF1937">
        <w:rPr>
          <w:lang w:val="fr-CH"/>
        </w:rPr>
        <w:t>une nouvelle Cour suprême réunissant les compétences de la Cour suprême constituti</w:t>
      </w:r>
      <w:r w:rsidR="008300FB">
        <w:rPr>
          <w:lang w:val="fr-CH"/>
        </w:rPr>
        <w:t xml:space="preserve">onnelle et de la Haute Cour. Le </w:t>
      </w:r>
      <w:r w:rsidRPr="00BF1937">
        <w:rPr>
          <w:lang w:val="fr-CH"/>
        </w:rPr>
        <w:t>premier président de la Cour suprême était un Chypriote turc, doyen des juges à la Haute Cour. La même loi a rétabli dans ses fonctions le Conseil supérieur de la magistrature, chargé d</w:t>
      </w:r>
      <w:r w:rsidR="008300FB">
        <w:rPr>
          <w:lang w:val="fr-CH"/>
        </w:rPr>
        <w:t>’</w:t>
      </w:r>
      <w:r w:rsidRPr="00BF1937">
        <w:rPr>
          <w:lang w:val="fr-CH"/>
        </w:rPr>
        <w:t>assurer l</w:t>
      </w:r>
      <w:r w:rsidR="008300FB">
        <w:rPr>
          <w:lang w:val="fr-CH"/>
        </w:rPr>
        <w:t>’</w:t>
      </w:r>
      <w:r w:rsidRPr="00BF1937">
        <w:rPr>
          <w:lang w:val="fr-CH"/>
        </w:rPr>
        <w:t>indépendance de la justice.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constitutionalité de la loi de 1964 sur l</w:t>
      </w:r>
      <w:r w:rsidR="008300FB">
        <w:rPr>
          <w:lang w:val="fr-CH"/>
        </w:rPr>
        <w:t>’</w:t>
      </w:r>
      <w:r w:rsidRPr="00BF1937">
        <w:rPr>
          <w:lang w:val="fr-CH"/>
        </w:rPr>
        <w:t>administration de la justice (dispositions diverses) a été contestée devant la Cour suprême qui, dans l</w:t>
      </w:r>
      <w:r w:rsidR="008300FB">
        <w:rPr>
          <w:lang w:val="fr-CH"/>
        </w:rPr>
        <w:t>’</w:t>
      </w:r>
      <w:r w:rsidRPr="00BF1937">
        <w:rPr>
          <w:lang w:val="fr-CH"/>
        </w:rPr>
        <w:t xml:space="preserve">affaire </w:t>
      </w:r>
      <w:r w:rsidR="008300FB">
        <w:rPr>
          <w:i/>
          <w:lang w:val="fr-CH"/>
        </w:rPr>
        <w:t xml:space="preserve">Attorney General of the </w:t>
      </w:r>
      <w:r w:rsidRPr="00BF1937">
        <w:rPr>
          <w:i/>
          <w:lang w:val="fr-CH"/>
        </w:rPr>
        <w:t xml:space="preserve">Republic </w:t>
      </w:r>
      <w:r w:rsidRPr="00AB37C5">
        <w:rPr>
          <w:lang w:val="fr-CH"/>
        </w:rPr>
        <w:t>v.</w:t>
      </w:r>
      <w:r w:rsidRPr="00BF1937">
        <w:rPr>
          <w:i/>
          <w:lang w:val="fr-CH"/>
        </w:rPr>
        <w:t> Mustafa Ibrahim</w:t>
      </w:r>
      <w:r w:rsidRPr="00BF1937">
        <w:rPr>
          <w:lang w:val="fr-CH"/>
        </w:rPr>
        <w:t xml:space="preserve"> (1964) (Cyprus Law Reports, p. 195), a estimé que cette loi se justifiait par la doctrine de la nécessité, compte tenu de la situation anormale qui régnait à Chypre. Par la suite, l</w:t>
      </w:r>
      <w:r w:rsidR="008300FB">
        <w:rPr>
          <w:lang w:val="fr-CH"/>
        </w:rPr>
        <w:t>’</w:t>
      </w:r>
      <w:r w:rsidRPr="00BF1937">
        <w:rPr>
          <w:lang w:val="fr-CH"/>
        </w:rPr>
        <w:t>administration de la justice a repris son fonctionnement normal.</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Parmi les autres domaines d</w:t>
      </w:r>
      <w:r w:rsidR="008300FB">
        <w:rPr>
          <w:lang w:val="fr-CH"/>
        </w:rPr>
        <w:t>’</w:t>
      </w:r>
      <w:r w:rsidRPr="00BF1937">
        <w:rPr>
          <w:lang w:val="fr-CH"/>
        </w:rPr>
        <w:t>importance dans lesquelles des mesures législatives ont dû être prises en vertu de la même doctrine pour remédier à des situations analogues, figurent la Chambre de communauté, la Commission de la fonction publique et la composition de la Chambre des représentants.</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w:t>
      </w:r>
      <w:r w:rsidR="008300FB">
        <w:rPr>
          <w:lang w:val="fr-CH"/>
        </w:rPr>
        <w:t>’</w:t>
      </w:r>
      <w:r w:rsidRPr="00BF1937">
        <w:rPr>
          <w:lang w:val="fr-CH"/>
        </w:rPr>
        <w:t>une des deux communautés chypriotes ayant refusé de participer, l</w:t>
      </w:r>
      <w:r w:rsidR="008300FB">
        <w:rPr>
          <w:lang w:val="fr-CH"/>
        </w:rPr>
        <w:t>’</w:t>
      </w:r>
      <w:r w:rsidRPr="00BF1937">
        <w:rPr>
          <w:lang w:val="fr-CH"/>
        </w:rPr>
        <w:t>exécutif et le législatif ne sont en fait pas bicommunauta</w:t>
      </w:r>
      <w:r w:rsidR="008300FB">
        <w:rPr>
          <w:lang w:val="fr-CH"/>
        </w:rPr>
        <w:t xml:space="preserve">ires (voir par. 53 à </w:t>
      </w:r>
      <w:r w:rsidRPr="00BF1937">
        <w:rPr>
          <w:lang w:val="fr-CH"/>
        </w:rPr>
        <w:t>56 concernant les événements de la période 1963</w:t>
      </w:r>
      <w:r w:rsidR="008300FB">
        <w:rPr>
          <w:lang w:val="fr-CH"/>
        </w:rPr>
        <w:t>-</w:t>
      </w:r>
      <w:r w:rsidRPr="00BF1937">
        <w:rPr>
          <w:lang w:val="fr-CH"/>
        </w:rPr>
        <w:t>1964). Mais lorsque, en 1985, le nombre de sièges à la Chambre des rep</w:t>
      </w:r>
      <w:r w:rsidR="008300FB">
        <w:rPr>
          <w:lang w:val="fr-CH"/>
        </w:rPr>
        <w:t xml:space="preserve">résentants a été relevé de 50 à </w:t>
      </w:r>
      <w:r w:rsidRPr="00BF1937">
        <w:rPr>
          <w:lang w:val="fr-CH"/>
        </w:rPr>
        <w:t>80, 24 sièges ont été attribués aux représentants censés être élus par la communauté turque aux termes de l</w:t>
      </w:r>
      <w:r w:rsidR="008300FB">
        <w:rPr>
          <w:lang w:val="fr-CH"/>
        </w:rPr>
        <w:t>’</w:t>
      </w:r>
      <w:r w:rsidRPr="00BF1937">
        <w:rPr>
          <w:lang w:val="fr-CH"/>
        </w:rPr>
        <w:t>article 62 de la Constitution. Ces sièges sont pour l</w:t>
      </w:r>
      <w:r w:rsidR="008300FB">
        <w:rPr>
          <w:lang w:val="fr-CH"/>
        </w:rPr>
        <w:t>’</w:t>
      </w:r>
      <w:r w:rsidRPr="00BF1937">
        <w:rPr>
          <w:lang w:val="fr-CH"/>
        </w:rPr>
        <w:t>instant vacants. C</w:t>
      </w:r>
      <w:r w:rsidR="008300FB">
        <w:rPr>
          <w:lang w:val="fr-CH"/>
        </w:rPr>
        <w:t>’</w:t>
      </w:r>
      <w:r w:rsidRPr="00BF1937">
        <w:rPr>
          <w:lang w:val="fr-CH"/>
        </w:rPr>
        <w:t>est ainsi que la communauté grecque élit en fait des représentants pour 56 de ces sièges seulement.</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En 2006, une loi spéciale, intitulée « Loi relative à l</w:t>
      </w:r>
      <w:r w:rsidR="008300FB">
        <w:rPr>
          <w:lang w:val="fr-CH"/>
        </w:rPr>
        <w:t>’</w:t>
      </w:r>
      <w:r w:rsidRPr="00BF1937">
        <w:rPr>
          <w:lang w:val="fr-CH"/>
        </w:rPr>
        <w:t>exercice du droit de vote et à l</w:t>
      </w:r>
      <w:r w:rsidR="008300FB">
        <w:rPr>
          <w:lang w:val="fr-CH"/>
        </w:rPr>
        <w:t>’</w:t>
      </w:r>
      <w:r w:rsidRPr="00BF1937">
        <w:rPr>
          <w:lang w:val="fr-CH"/>
        </w:rPr>
        <w:t>éligibilité des membres de la communauté turque ayant leur résidence habituelle dans les zones libres de la République (dispositions temporaires) » [L.2(</w:t>
      </w:r>
      <w:r w:rsidR="00AB37C5">
        <w:rPr>
          <w:lang w:val="fr-CH"/>
        </w:rPr>
        <w:t>I</w:t>
      </w:r>
      <w:r w:rsidRPr="00BF1937">
        <w:rPr>
          <w:lang w:val="fr-CH"/>
        </w:rPr>
        <w:t>)/2006] a été adoptée; en vertu cette loi, les Chypriotes turcs résidant dans la zone contrôlée par le Gouvernement ont reçu le droit d</w:t>
      </w:r>
      <w:r w:rsidR="008300FB">
        <w:rPr>
          <w:lang w:val="fr-CH"/>
        </w:rPr>
        <w:t>’</w:t>
      </w:r>
      <w:r w:rsidRPr="00BF1937">
        <w:rPr>
          <w:lang w:val="fr-CH"/>
        </w:rPr>
        <w:t>élire et d</w:t>
      </w:r>
      <w:r w:rsidR="008300FB">
        <w:rPr>
          <w:lang w:val="fr-CH"/>
        </w:rPr>
        <w:t>’</w:t>
      </w:r>
      <w:r w:rsidRPr="00BF1937">
        <w:rPr>
          <w:lang w:val="fr-CH"/>
        </w:rPr>
        <w:t>être élus à toutes les élections nationales (municipales, parlementaires et présidentielles). Pour ce qui est des élections parlementaires, il s</w:t>
      </w:r>
      <w:r w:rsidR="008300FB">
        <w:rPr>
          <w:lang w:val="fr-CH"/>
        </w:rPr>
        <w:t>’</w:t>
      </w:r>
      <w:r w:rsidRPr="00BF1937">
        <w:rPr>
          <w:lang w:val="fr-CH"/>
        </w:rPr>
        <w:t>agit de pourvoir aux 56 sièges attribués à la communauté grecque. En vertu de la loi relative à l</w:t>
      </w:r>
      <w:r w:rsidR="008300FB">
        <w:rPr>
          <w:lang w:val="fr-CH"/>
        </w:rPr>
        <w:t>’</w:t>
      </w:r>
      <w:r w:rsidRPr="00BF1937">
        <w:rPr>
          <w:lang w:val="fr-CH"/>
        </w:rPr>
        <w:t>élection des membres du Parlement européen de 2004 [L.10(I)/2004, telle que modifiée], les Chypriotes turcs ont le droit d</w:t>
      </w:r>
      <w:r w:rsidR="008300FB">
        <w:rPr>
          <w:lang w:val="fr-CH"/>
        </w:rPr>
        <w:t>’</w:t>
      </w:r>
      <w:r w:rsidRPr="00BF1937">
        <w:rPr>
          <w:lang w:val="fr-CH"/>
        </w:rPr>
        <w:t>élire et d</w:t>
      </w:r>
      <w:r w:rsidR="008300FB">
        <w:rPr>
          <w:lang w:val="fr-CH"/>
        </w:rPr>
        <w:t>’</w:t>
      </w:r>
      <w:r w:rsidRPr="00BF1937">
        <w:rPr>
          <w:lang w:val="fr-CH"/>
        </w:rPr>
        <w:t>être élus aux élections au Parlement européen, quel que soit leur lieu de résidence à Chypre.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En vue de sauvegarder les droits de certaines catégories de personnes qui, d</w:t>
      </w:r>
      <w:r w:rsidR="008300FB">
        <w:rPr>
          <w:lang w:val="fr-CH"/>
        </w:rPr>
        <w:t>’</w:t>
      </w:r>
      <w:r w:rsidRPr="00BF1937">
        <w:rPr>
          <w:lang w:val="fr-CH"/>
        </w:rPr>
        <w:t>une manière ou d</w:t>
      </w:r>
      <w:r w:rsidR="008300FB">
        <w:rPr>
          <w:lang w:val="fr-CH"/>
        </w:rPr>
        <w:t>’</w:t>
      </w:r>
      <w:r w:rsidRPr="00BF1937">
        <w:rPr>
          <w:lang w:val="fr-CH"/>
        </w:rPr>
        <w:t>une autre, pouvaient prétendre à la citoyenneté chypriote mais ne correspondaient pas à la définition donnée dans la Constitution de l</w:t>
      </w:r>
      <w:r w:rsidR="008300FB">
        <w:rPr>
          <w:lang w:val="fr-CH"/>
        </w:rPr>
        <w:t>’</w:t>
      </w:r>
      <w:r w:rsidRPr="00BF1937">
        <w:rPr>
          <w:lang w:val="fr-CH"/>
        </w:rPr>
        <w:t>une et l</w:t>
      </w:r>
      <w:r w:rsidR="008300FB">
        <w:rPr>
          <w:lang w:val="fr-CH"/>
        </w:rPr>
        <w:t>’</w:t>
      </w:r>
      <w:r w:rsidRPr="00BF1937">
        <w:rPr>
          <w:lang w:val="fr-CH"/>
        </w:rPr>
        <w:t>autre communautés (grecque/turque) de Chypre (voir art. 2), la Constitution a fait de ces catégories des groupes religieux, c</w:t>
      </w:r>
      <w:r w:rsidR="008300FB">
        <w:rPr>
          <w:lang w:val="fr-CH"/>
        </w:rPr>
        <w:t>’</w:t>
      </w:r>
      <w:r w:rsidRPr="00BF1937">
        <w:rPr>
          <w:lang w:val="fr-CH"/>
        </w:rPr>
        <w:t>est-à-dire des « groupes de personnes résidant habituellement à Chypre, professant la même religion, soit qu</w:t>
      </w:r>
      <w:r w:rsidR="008300FB">
        <w:rPr>
          <w:lang w:val="fr-CH"/>
        </w:rPr>
        <w:t>’</w:t>
      </w:r>
      <w:r w:rsidRPr="00BF1937">
        <w:rPr>
          <w:lang w:val="fr-CH"/>
        </w:rPr>
        <w:t>elles appartiennent au même rite, soit qu</w:t>
      </w:r>
      <w:r w:rsidR="008300FB">
        <w:rPr>
          <w:lang w:val="fr-CH"/>
        </w:rPr>
        <w:t>’</w:t>
      </w:r>
      <w:r w:rsidRPr="00BF1937">
        <w:rPr>
          <w:lang w:val="fr-CH"/>
        </w:rPr>
        <w:t>elles sont soumises à la même juridiction religieuse, et comptant, à la date de l</w:t>
      </w:r>
      <w:r w:rsidR="008300FB">
        <w:rPr>
          <w:lang w:val="fr-CH"/>
        </w:rPr>
        <w:t>’</w:t>
      </w:r>
      <w:r w:rsidRPr="00BF1937">
        <w:rPr>
          <w:lang w:val="fr-CH"/>
        </w:rPr>
        <w:t>entrée en vigueur de la Constitution, plus d</w:t>
      </w:r>
      <w:r w:rsidR="008300FB">
        <w:rPr>
          <w:lang w:val="fr-CH"/>
        </w:rPr>
        <w:t>’</w:t>
      </w:r>
      <w:r w:rsidRPr="00BF1937">
        <w:rPr>
          <w:lang w:val="fr-CH"/>
        </w:rPr>
        <w:t>un millie</w:t>
      </w:r>
      <w:r w:rsidR="008300FB">
        <w:rPr>
          <w:lang w:val="fr-CH"/>
        </w:rPr>
        <w:t xml:space="preserve">r de membres, dont au moins 500 </w:t>
      </w:r>
      <w:r w:rsidRPr="00BF1937">
        <w:rPr>
          <w:lang w:val="fr-CH"/>
        </w:rPr>
        <w:t>sont devenus à cette date citoyens de la République ». En 1960, les maronites, arméniens et latins chypriotes rentraient dans cette définition des groupes religieux et ont été reconnus citoyens chypriotes.</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Ces groupes ont eu alors à choisir entre l</w:t>
      </w:r>
      <w:r w:rsidR="008300FB">
        <w:rPr>
          <w:lang w:val="fr-CH"/>
        </w:rPr>
        <w:t>’</w:t>
      </w:r>
      <w:r w:rsidRPr="00BF1937">
        <w:rPr>
          <w:lang w:val="fr-CH"/>
        </w:rPr>
        <w:t>une ou l</w:t>
      </w:r>
      <w:r w:rsidR="008300FB">
        <w:rPr>
          <w:lang w:val="fr-CH"/>
        </w:rPr>
        <w:t>’</w:t>
      </w:r>
      <w:r w:rsidRPr="00BF1937">
        <w:rPr>
          <w:lang w:val="fr-CH"/>
        </w:rPr>
        <w:t>autre communauté pour pouvoir exercer leurs droits politiques conformément au principe du partage du pouvoir convenu entre les deux communautés. Tous ont choisi d</w:t>
      </w:r>
      <w:r w:rsidR="008300FB">
        <w:rPr>
          <w:lang w:val="fr-CH"/>
        </w:rPr>
        <w:t>’</w:t>
      </w:r>
      <w:r w:rsidRPr="00BF1937">
        <w:rPr>
          <w:lang w:val="fr-CH"/>
        </w:rPr>
        <w:t>appartenir à la communauté grecque.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lastRenderedPageBreak/>
        <w:t>Chaque groupe religieux a le droit d</w:t>
      </w:r>
      <w:r w:rsidR="008300FB">
        <w:rPr>
          <w:lang w:val="fr-CH"/>
        </w:rPr>
        <w:t>’</w:t>
      </w:r>
      <w:r w:rsidRPr="00BF1937">
        <w:rPr>
          <w:lang w:val="fr-CH"/>
        </w:rPr>
        <w:t>élire un représentant chargé de le représenter à la Chambre des représentants, qui exerce des fonctions consultatives en ce qui concerne la législation qui lui est applicable.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Nombre de morts violentes et de crimes mettant la vie d</w:t>
      </w:r>
      <w:r w:rsidR="008300FB">
        <w:rPr>
          <w:lang w:val="fr-CH"/>
        </w:rPr>
        <w:t>’autrui en danger signalés pour 100 </w:t>
      </w:r>
      <w:r w:rsidRPr="00BF1937">
        <w:rPr>
          <w:lang w:val="fr-CH"/>
        </w:rPr>
        <w:t>000 habitants</w:t>
      </w:r>
      <w:r w:rsidR="008300FB">
        <w:rPr>
          <w:lang w:val="fr-CH"/>
        </w:rPr>
        <w:t> </w:t>
      </w:r>
      <w:r w:rsidRPr="00BF1937">
        <w:rPr>
          <w:lang w:val="fr-CH"/>
        </w:rPr>
        <w:t>:</w:t>
      </w:r>
    </w:p>
    <w:p w:rsidR="00BF1937" w:rsidRPr="00BF1937" w:rsidRDefault="00BF1937" w:rsidP="008300FB">
      <w:pPr>
        <w:pStyle w:val="Bullet1"/>
        <w:ind w:left="1743" w:hanging="130"/>
        <w:rPr>
          <w:lang w:val="fr-CH"/>
        </w:rPr>
      </w:pPr>
      <w:r w:rsidRPr="00BF1937">
        <w:rPr>
          <w:lang w:val="fr-CH"/>
        </w:rPr>
        <w:t>Incidence de 0,85 pour 100 000 habitants en 2010;</w:t>
      </w:r>
    </w:p>
    <w:p w:rsidR="008300FB" w:rsidRDefault="00BF1937" w:rsidP="008300FB">
      <w:pPr>
        <w:pStyle w:val="Bullet1"/>
        <w:ind w:left="1743" w:hanging="130"/>
        <w:rPr>
          <w:lang w:val="fr-CH"/>
        </w:rPr>
      </w:pPr>
      <w:r w:rsidRPr="00BF1937">
        <w:rPr>
          <w:lang w:val="fr-CH"/>
        </w:rPr>
        <w:t>15,95.</w:t>
      </w:r>
    </w:p>
    <w:p w:rsidR="008300FB" w:rsidRPr="008300FB" w:rsidRDefault="008300FB" w:rsidP="008300FB">
      <w:pPr>
        <w:pStyle w:val="SingleTxt"/>
        <w:spacing w:after="0" w:line="120" w:lineRule="exact"/>
        <w:rPr>
          <w:b/>
          <w:sz w:val="10"/>
          <w:lang w:val="fr-CH"/>
        </w:rPr>
      </w:pPr>
    </w:p>
    <w:p w:rsidR="008300FB" w:rsidRPr="008300FB" w:rsidRDefault="008300FB" w:rsidP="008300FB">
      <w:pPr>
        <w:pStyle w:val="SingleTxt"/>
        <w:spacing w:after="0" w:line="120" w:lineRule="exact"/>
        <w:rPr>
          <w:b/>
          <w:sz w:val="10"/>
          <w:lang w:val="fr-CH"/>
        </w:rPr>
      </w:pPr>
    </w:p>
    <w:p w:rsidR="00BF1937" w:rsidRDefault="00BF1937" w:rsidP="00830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Nombre et proportion de personnes (pour 100 000 habitants) arrêtées, traduites </w:t>
      </w:r>
      <w:r w:rsidR="00C92CDB">
        <w:rPr>
          <w:lang w:val="fr-CH"/>
        </w:rPr>
        <w:br/>
      </w:r>
      <w:r w:rsidRPr="00BF1937">
        <w:rPr>
          <w:lang w:val="fr-CH"/>
        </w:rPr>
        <w:t xml:space="preserve">en justice, condamnées et incarcérées pour des crimes violents et autres </w:t>
      </w:r>
      <w:r w:rsidR="00C92CDB">
        <w:rPr>
          <w:lang w:val="fr-CH"/>
        </w:rPr>
        <w:br/>
      </w:r>
      <w:r w:rsidRPr="00BF1937">
        <w:rPr>
          <w:lang w:val="fr-CH"/>
        </w:rPr>
        <w:t>infractions graves (tels qu</w:t>
      </w:r>
      <w:r w:rsidR="008300FB">
        <w:rPr>
          <w:lang w:val="fr-CH"/>
        </w:rPr>
        <w:t>’</w:t>
      </w:r>
      <w:r w:rsidRPr="00BF1937">
        <w:rPr>
          <w:lang w:val="fr-CH"/>
        </w:rPr>
        <w:t>homicide, vol à main armée, voies de fait et trafic)</w:t>
      </w:r>
      <w:r w:rsidR="00C92CDB">
        <w:rPr>
          <w:lang w:val="fr-CH"/>
        </w:rPr>
        <w:t xml:space="preserve"> </w:t>
      </w:r>
      <w:r w:rsidRPr="00BF1937">
        <w:rPr>
          <w:lang w:val="fr-CH"/>
        </w:rPr>
        <w:br/>
        <w:t>Nombre de personnes condamnées à une peine d</w:t>
      </w:r>
      <w:r w:rsidR="008300FB">
        <w:rPr>
          <w:lang w:val="fr-CH"/>
        </w:rPr>
        <w:t>’</w:t>
      </w:r>
      <w:r w:rsidRPr="00BF1937">
        <w:rPr>
          <w:lang w:val="fr-CH"/>
        </w:rPr>
        <w:t xml:space="preserve">emprisonnement, ventilé </w:t>
      </w:r>
      <w:r w:rsidR="00C92CDB">
        <w:rPr>
          <w:lang w:val="fr-CH"/>
        </w:rPr>
        <w:br/>
      </w:r>
      <w:r w:rsidRPr="00BF1937">
        <w:rPr>
          <w:lang w:val="fr-CH"/>
        </w:rPr>
        <w:t>par catégorie d</w:t>
      </w:r>
      <w:r w:rsidR="008300FB">
        <w:rPr>
          <w:lang w:val="fr-CH"/>
        </w:rPr>
        <w:t>’</w:t>
      </w:r>
      <w:r w:rsidRPr="00BF1937">
        <w:rPr>
          <w:lang w:val="fr-CH"/>
        </w:rPr>
        <w:t>infraction pour la période 2005</w:t>
      </w:r>
      <w:r w:rsidR="00C92CDB">
        <w:rPr>
          <w:lang w:val="fr-CH"/>
        </w:rPr>
        <w:t>-</w:t>
      </w:r>
      <w:r w:rsidRPr="00BF1937">
        <w:rPr>
          <w:lang w:val="fr-CH"/>
        </w:rPr>
        <w:t>2010</w:t>
      </w:r>
    </w:p>
    <w:p w:rsidR="008300FB" w:rsidRPr="008300FB" w:rsidRDefault="008300FB" w:rsidP="008300FB">
      <w:pPr>
        <w:pStyle w:val="SingleTxt"/>
        <w:spacing w:after="0" w:line="120" w:lineRule="exact"/>
        <w:rPr>
          <w:b/>
          <w:sz w:val="10"/>
          <w:lang w:val="fr-CH"/>
        </w:rPr>
      </w:pPr>
    </w:p>
    <w:p w:rsidR="008300FB" w:rsidRPr="008300FB" w:rsidRDefault="008300FB" w:rsidP="008300F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3"/>
        <w:gridCol w:w="3420"/>
        <w:gridCol w:w="630"/>
        <w:gridCol w:w="621"/>
        <w:gridCol w:w="585"/>
        <w:gridCol w:w="585"/>
        <w:gridCol w:w="585"/>
        <w:gridCol w:w="619"/>
      </w:tblGrid>
      <w:tr w:rsidR="00F47D0B" w:rsidRPr="00BF1937" w:rsidTr="00110459">
        <w:trPr>
          <w:trHeight w:val="220"/>
          <w:tblHeader/>
        </w:trPr>
        <w:tc>
          <w:tcPr>
            <w:tcW w:w="3863" w:type="dxa"/>
            <w:gridSpan w:val="2"/>
            <w:vMerge w:val="restart"/>
            <w:tcBorders>
              <w:top w:val="single" w:sz="4" w:space="0" w:color="auto"/>
              <w:left w:val="nil"/>
              <w:bottom w:val="single" w:sz="12" w:space="0" w:color="auto"/>
              <w:right w:val="nil"/>
            </w:tcBorders>
            <w:vAlign w:val="bottom"/>
            <w:hideMark/>
          </w:tcPr>
          <w:p w:rsidR="00BF1937" w:rsidRPr="00BF1937" w:rsidRDefault="00BF1937" w:rsidP="00F47D0B">
            <w:pPr>
              <w:tabs>
                <w:tab w:val="left" w:pos="288"/>
                <w:tab w:val="left" w:pos="576"/>
                <w:tab w:val="left" w:pos="864"/>
                <w:tab w:val="left" w:pos="1152"/>
              </w:tabs>
              <w:suppressAutoHyphens/>
              <w:spacing w:before="80" w:after="80" w:line="160" w:lineRule="exact"/>
              <w:ind w:right="40"/>
              <w:rPr>
                <w:lang w:val="fr-CH"/>
              </w:rPr>
            </w:pPr>
            <w:r w:rsidRPr="00F47D0B">
              <w:rPr>
                <w:i/>
                <w:sz w:val="14"/>
                <w:lang w:val="fr-CH"/>
              </w:rPr>
              <w:t>Catégorie d</w:t>
            </w:r>
            <w:r w:rsidR="008300FB" w:rsidRPr="00F47D0B">
              <w:rPr>
                <w:i/>
                <w:sz w:val="14"/>
                <w:lang w:val="fr-CH"/>
              </w:rPr>
              <w:t>’</w:t>
            </w:r>
            <w:r w:rsidRPr="00F47D0B">
              <w:rPr>
                <w:i/>
                <w:sz w:val="14"/>
                <w:lang w:val="fr-CH"/>
              </w:rPr>
              <w:t>infraction</w:t>
            </w:r>
          </w:p>
        </w:tc>
        <w:tc>
          <w:tcPr>
            <w:tcW w:w="630"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0" w:after="80" w:line="160" w:lineRule="exact"/>
              <w:ind w:right="40"/>
              <w:jc w:val="right"/>
              <w:rPr>
                <w:i/>
                <w:sz w:val="14"/>
                <w:lang w:val="fr-CH"/>
              </w:rPr>
            </w:pPr>
            <w:r w:rsidRPr="00F47D0B">
              <w:rPr>
                <w:i/>
                <w:sz w:val="14"/>
                <w:lang w:val="fr-CH"/>
              </w:rPr>
              <w:t xml:space="preserve">2005 </w:t>
            </w:r>
          </w:p>
        </w:tc>
        <w:tc>
          <w:tcPr>
            <w:tcW w:w="621"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0" w:after="80" w:line="160" w:lineRule="exact"/>
              <w:ind w:right="40"/>
              <w:jc w:val="right"/>
              <w:rPr>
                <w:i/>
                <w:sz w:val="14"/>
                <w:lang w:val="fr-CH"/>
              </w:rPr>
            </w:pPr>
            <w:r w:rsidRPr="00F47D0B">
              <w:rPr>
                <w:i/>
                <w:sz w:val="14"/>
                <w:lang w:val="fr-CH"/>
              </w:rPr>
              <w:t xml:space="preserve">2006 </w:t>
            </w:r>
          </w:p>
        </w:tc>
        <w:tc>
          <w:tcPr>
            <w:tcW w:w="585"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0" w:after="80" w:line="160" w:lineRule="exact"/>
              <w:ind w:right="40"/>
              <w:jc w:val="right"/>
              <w:rPr>
                <w:i/>
                <w:sz w:val="14"/>
                <w:lang w:val="fr-CH"/>
              </w:rPr>
            </w:pPr>
            <w:r w:rsidRPr="00F47D0B">
              <w:rPr>
                <w:i/>
                <w:sz w:val="14"/>
                <w:lang w:val="fr-CH"/>
              </w:rPr>
              <w:t xml:space="preserve">2007 </w:t>
            </w:r>
          </w:p>
        </w:tc>
        <w:tc>
          <w:tcPr>
            <w:tcW w:w="585"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0" w:after="80" w:line="160" w:lineRule="exact"/>
              <w:ind w:right="40"/>
              <w:jc w:val="right"/>
              <w:rPr>
                <w:i/>
                <w:sz w:val="14"/>
                <w:lang w:val="fr-CH"/>
              </w:rPr>
            </w:pPr>
            <w:r w:rsidRPr="00F47D0B">
              <w:rPr>
                <w:i/>
                <w:sz w:val="14"/>
                <w:lang w:val="fr-CH"/>
              </w:rPr>
              <w:t xml:space="preserve">2008 </w:t>
            </w:r>
          </w:p>
        </w:tc>
        <w:tc>
          <w:tcPr>
            <w:tcW w:w="585"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0" w:after="80" w:line="160" w:lineRule="exact"/>
              <w:ind w:right="40"/>
              <w:jc w:val="right"/>
              <w:rPr>
                <w:i/>
                <w:sz w:val="14"/>
                <w:lang w:val="fr-CH"/>
              </w:rPr>
            </w:pPr>
            <w:r w:rsidRPr="00F47D0B">
              <w:rPr>
                <w:i/>
                <w:sz w:val="14"/>
                <w:lang w:val="fr-CH"/>
              </w:rPr>
              <w:t xml:space="preserve">2009 </w:t>
            </w:r>
          </w:p>
        </w:tc>
        <w:tc>
          <w:tcPr>
            <w:tcW w:w="619" w:type="dxa"/>
            <w:tcBorders>
              <w:top w:val="single" w:sz="4" w:space="0" w:color="auto"/>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0" w:after="80" w:line="160" w:lineRule="exact"/>
              <w:ind w:right="40"/>
              <w:jc w:val="right"/>
              <w:rPr>
                <w:i/>
                <w:sz w:val="14"/>
                <w:lang w:val="fr-CH"/>
              </w:rPr>
            </w:pPr>
            <w:r w:rsidRPr="00F47D0B">
              <w:rPr>
                <w:i/>
                <w:sz w:val="14"/>
                <w:lang w:val="fr-CH"/>
              </w:rPr>
              <w:t xml:space="preserve">2010 </w:t>
            </w:r>
          </w:p>
        </w:tc>
      </w:tr>
      <w:tr w:rsidR="00BF1937" w:rsidRPr="00BF1937" w:rsidTr="00110459">
        <w:trPr>
          <w:trHeight w:val="220"/>
          <w:tblHeader/>
        </w:trPr>
        <w:tc>
          <w:tcPr>
            <w:tcW w:w="3863" w:type="dxa"/>
            <w:gridSpan w:val="2"/>
            <w:vMerge/>
            <w:tcBorders>
              <w:top w:val="single" w:sz="4" w:space="0" w:color="auto"/>
              <w:left w:val="nil"/>
              <w:bottom w:val="single" w:sz="12" w:space="0" w:color="auto"/>
              <w:right w:val="nil"/>
            </w:tcBorders>
            <w:vAlign w:val="center"/>
            <w:hideMark/>
          </w:tcPr>
          <w:p w:rsidR="00BF1937" w:rsidRPr="00BF1937" w:rsidRDefault="00BF1937" w:rsidP="008300FB">
            <w:pPr>
              <w:rPr>
                <w:lang w:val="fr-CH"/>
              </w:rPr>
            </w:pPr>
          </w:p>
        </w:tc>
        <w:tc>
          <w:tcPr>
            <w:tcW w:w="3625" w:type="dxa"/>
            <w:gridSpan w:val="6"/>
            <w:tcBorders>
              <w:top w:val="single" w:sz="4" w:space="0" w:color="auto"/>
              <w:left w:val="nil"/>
              <w:bottom w:val="single" w:sz="12" w:space="0" w:color="auto"/>
              <w:right w:val="nil"/>
            </w:tcBorders>
            <w:vAlign w:val="bottom"/>
            <w:hideMark/>
          </w:tcPr>
          <w:p w:rsidR="00BF1937" w:rsidRPr="00BF1937" w:rsidRDefault="00BF1937" w:rsidP="00F47D0B">
            <w:pPr>
              <w:tabs>
                <w:tab w:val="left" w:pos="288"/>
                <w:tab w:val="left" w:pos="576"/>
                <w:tab w:val="left" w:pos="864"/>
                <w:tab w:val="left" w:pos="1152"/>
              </w:tabs>
              <w:suppressAutoHyphens/>
              <w:spacing w:before="80" w:after="80" w:line="160" w:lineRule="exact"/>
              <w:ind w:right="40"/>
              <w:jc w:val="center"/>
              <w:rPr>
                <w:bCs/>
                <w:lang w:val="fr-CH"/>
              </w:rPr>
            </w:pPr>
            <w:r w:rsidRPr="00F47D0B">
              <w:rPr>
                <w:i/>
                <w:sz w:val="14"/>
                <w:lang w:val="fr-CH"/>
              </w:rPr>
              <w:t>Valeurs absolues</w:t>
            </w:r>
          </w:p>
        </w:tc>
      </w:tr>
      <w:tr w:rsidR="00AA5673" w:rsidRPr="00BF1937" w:rsidTr="00110459">
        <w:trPr>
          <w:trHeight w:hRule="exact" w:val="115"/>
          <w:tblHeader/>
        </w:trPr>
        <w:tc>
          <w:tcPr>
            <w:tcW w:w="3863" w:type="dxa"/>
            <w:gridSpan w:val="2"/>
            <w:tcBorders>
              <w:top w:val="single" w:sz="12" w:space="0" w:color="auto"/>
              <w:left w:val="nil"/>
              <w:bottom w:val="nil"/>
              <w:right w:val="nil"/>
            </w:tcBorders>
            <w:vAlign w:val="center"/>
          </w:tcPr>
          <w:p w:rsidR="00AA5673" w:rsidRPr="00BF1937" w:rsidRDefault="00AA5673" w:rsidP="008300FB">
            <w:pPr>
              <w:rPr>
                <w:lang w:val="fr-CH"/>
              </w:rPr>
            </w:pPr>
          </w:p>
        </w:tc>
        <w:tc>
          <w:tcPr>
            <w:tcW w:w="3625" w:type="dxa"/>
            <w:gridSpan w:val="6"/>
            <w:tcBorders>
              <w:top w:val="single" w:sz="12" w:space="0" w:color="auto"/>
              <w:left w:val="nil"/>
              <w:bottom w:val="nil"/>
              <w:right w:val="nil"/>
            </w:tcBorders>
            <w:vAlign w:val="bottom"/>
          </w:tcPr>
          <w:p w:rsidR="00AA5673" w:rsidRPr="00F47D0B" w:rsidRDefault="00AA5673" w:rsidP="00F47D0B">
            <w:pPr>
              <w:tabs>
                <w:tab w:val="left" w:pos="288"/>
                <w:tab w:val="left" w:pos="576"/>
                <w:tab w:val="left" w:pos="864"/>
                <w:tab w:val="left" w:pos="1152"/>
              </w:tabs>
              <w:suppressAutoHyphens/>
              <w:spacing w:before="80" w:after="80" w:line="160" w:lineRule="exact"/>
              <w:ind w:right="40"/>
              <w:jc w:val="center"/>
              <w:rPr>
                <w:i/>
                <w:sz w:val="14"/>
                <w:lang w:val="fr-CH"/>
              </w:rPr>
            </w:pPr>
          </w:p>
        </w:tc>
      </w:tr>
      <w:tr w:rsidR="00F47D0B" w:rsidRPr="00BF1937" w:rsidTr="00AA5673">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I.</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Atteintes à l</w:t>
            </w:r>
            <w:r w:rsidR="008300FB" w:rsidRPr="00F47D0B">
              <w:rPr>
                <w:sz w:val="17"/>
                <w:lang w:val="fr-CH"/>
              </w:rPr>
              <w:t>’</w:t>
            </w:r>
            <w:r w:rsidRPr="00F47D0B">
              <w:rPr>
                <w:sz w:val="17"/>
                <w:lang w:val="fr-CH"/>
              </w:rPr>
              <w:t>ordre public</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0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0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0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0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0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II.</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Atteinte à une autorité légalement habilitée</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3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4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12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18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III.</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 xml:space="preserve">Atteinte aux biens publics </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102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105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84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92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79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60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IV.</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Infractions sexuelles</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30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26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33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23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24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17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V.</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Atteintes aux personnes</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100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84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74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69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71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47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VI.</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Atteintes aux biens</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229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314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329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259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211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280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VII.</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Vandalisme</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7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7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8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8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5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3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VIII.</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Faux (ex</w:t>
            </w:r>
            <w:r w:rsidR="00F47D0B">
              <w:rPr>
                <w:sz w:val="17"/>
                <w:lang w:val="fr-CH"/>
              </w:rPr>
              <w:t>emple</w:t>
            </w:r>
            <w:r w:rsidRPr="00F47D0B">
              <w:rPr>
                <w:sz w:val="17"/>
                <w:lang w:val="fr-CH"/>
              </w:rPr>
              <w:t xml:space="preserve"> falsification de monnaies)</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59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23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3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21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43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19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IX.</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Infractions au Code de la route</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19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16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5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6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13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10 </w:t>
            </w:r>
          </w:p>
        </w:tc>
      </w:tr>
      <w:tr w:rsidR="00F47D0B" w:rsidRPr="00BF1937" w:rsidTr="00F47D0B">
        <w:trPr>
          <w:trHeight w:val="220"/>
        </w:trPr>
        <w:tc>
          <w:tcPr>
            <w:tcW w:w="443"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X.</w:t>
            </w:r>
          </w:p>
        </w:tc>
        <w:tc>
          <w:tcPr>
            <w:tcW w:w="3420" w:type="dxa"/>
            <w:tcBorders>
              <w:top w:val="nil"/>
              <w:left w:val="nil"/>
              <w:bottom w:val="nil"/>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 xml:space="preserve">Infractions réglementaires </w:t>
            </w:r>
          </w:p>
        </w:tc>
        <w:tc>
          <w:tcPr>
            <w:tcW w:w="630"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17 </w:t>
            </w:r>
          </w:p>
        </w:tc>
        <w:tc>
          <w:tcPr>
            <w:tcW w:w="621"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9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0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98 </w:t>
            </w:r>
          </w:p>
        </w:tc>
        <w:tc>
          <w:tcPr>
            <w:tcW w:w="585"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17 </w:t>
            </w:r>
          </w:p>
        </w:tc>
        <w:tc>
          <w:tcPr>
            <w:tcW w:w="619" w:type="dxa"/>
            <w:tcBorders>
              <w:top w:val="nil"/>
              <w:left w:val="nil"/>
              <w:bottom w:val="nil"/>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0 </w:t>
            </w:r>
          </w:p>
        </w:tc>
      </w:tr>
      <w:tr w:rsidR="00F47D0B" w:rsidRPr="00BF1937" w:rsidTr="00F47D0B">
        <w:trPr>
          <w:trHeight w:val="220"/>
        </w:trPr>
        <w:tc>
          <w:tcPr>
            <w:tcW w:w="443" w:type="dxa"/>
            <w:tcBorders>
              <w:top w:val="nil"/>
              <w:left w:val="nil"/>
              <w:bottom w:val="single" w:sz="4" w:space="0" w:color="auto"/>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XI.</w:t>
            </w:r>
          </w:p>
        </w:tc>
        <w:tc>
          <w:tcPr>
            <w:tcW w:w="3420" w:type="dxa"/>
            <w:tcBorders>
              <w:top w:val="nil"/>
              <w:left w:val="nil"/>
              <w:bottom w:val="single" w:sz="4" w:space="0" w:color="auto"/>
              <w:right w:val="nil"/>
            </w:tcBorders>
            <w:noWrap/>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0"/>
              <w:rPr>
                <w:sz w:val="17"/>
                <w:lang w:val="fr-CH"/>
              </w:rPr>
            </w:pPr>
            <w:r w:rsidRPr="00F47D0B">
              <w:rPr>
                <w:sz w:val="17"/>
                <w:lang w:val="fr-CH"/>
              </w:rPr>
              <w:t>Divers</w:t>
            </w:r>
          </w:p>
        </w:tc>
        <w:tc>
          <w:tcPr>
            <w:tcW w:w="630"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622 </w:t>
            </w:r>
          </w:p>
        </w:tc>
        <w:tc>
          <w:tcPr>
            <w:tcW w:w="621"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750 </w:t>
            </w:r>
          </w:p>
        </w:tc>
        <w:tc>
          <w:tcPr>
            <w:tcW w:w="585"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744 </w:t>
            </w:r>
          </w:p>
        </w:tc>
        <w:tc>
          <w:tcPr>
            <w:tcW w:w="585"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675 </w:t>
            </w:r>
          </w:p>
        </w:tc>
        <w:tc>
          <w:tcPr>
            <w:tcW w:w="585"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957 </w:t>
            </w:r>
          </w:p>
        </w:tc>
        <w:tc>
          <w:tcPr>
            <w:tcW w:w="619" w:type="dxa"/>
            <w:tcBorders>
              <w:top w:val="nil"/>
              <w:left w:val="nil"/>
              <w:bottom w:val="single" w:sz="4"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40" w:after="40" w:line="210" w:lineRule="exact"/>
              <w:ind w:right="43"/>
              <w:jc w:val="right"/>
              <w:rPr>
                <w:sz w:val="17"/>
                <w:lang w:val="fr-CH"/>
              </w:rPr>
            </w:pPr>
            <w:r w:rsidRPr="00F47D0B">
              <w:rPr>
                <w:sz w:val="17"/>
                <w:lang w:val="fr-CH"/>
              </w:rPr>
              <w:t xml:space="preserve">845 </w:t>
            </w:r>
          </w:p>
        </w:tc>
      </w:tr>
      <w:tr w:rsidR="00F47D0B" w:rsidRPr="00BF1937" w:rsidTr="00F47D0B">
        <w:trPr>
          <w:trHeight w:val="220"/>
        </w:trPr>
        <w:tc>
          <w:tcPr>
            <w:tcW w:w="443" w:type="dxa"/>
            <w:tcBorders>
              <w:top w:val="single" w:sz="4" w:space="0" w:color="auto"/>
              <w:left w:val="nil"/>
              <w:bottom w:val="single" w:sz="12" w:space="0" w:color="auto"/>
              <w:right w:val="nil"/>
            </w:tcBorders>
            <w:noWrap/>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0"/>
              <w:rPr>
                <w:b/>
                <w:sz w:val="17"/>
                <w:lang w:val="fr-CH"/>
              </w:rPr>
            </w:pPr>
          </w:p>
        </w:tc>
        <w:tc>
          <w:tcPr>
            <w:tcW w:w="3420" w:type="dxa"/>
            <w:tcBorders>
              <w:top w:val="single" w:sz="4" w:space="0" w:color="auto"/>
              <w:left w:val="nil"/>
              <w:bottom w:val="single" w:sz="12" w:space="0" w:color="auto"/>
              <w:right w:val="nil"/>
            </w:tcBorders>
            <w:noWrap/>
            <w:hideMark/>
          </w:tcPr>
          <w:p w:rsidR="00BF1937" w:rsidRPr="00F47D0B" w:rsidRDefault="00F47D0B" w:rsidP="00F47D0B">
            <w:pPr>
              <w:tabs>
                <w:tab w:val="left" w:pos="288"/>
                <w:tab w:val="left" w:pos="576"/>
                <w:tab w:val="left" w:pos="864"/>
                <w:tab w:val="left" w:pos="1152"/>
              </w:tabs>
              <w:suppressAutoHyphens/>
              <w:spacing w:before="81" w:after="81" w:line="210" w:lineRule="exact"/>
              <w:ind w:right="40"/>
              <w:rPr>
                <w:b/>
                <w:sz w:val="17"/>
                <w:lang w:val="fr-CH"/>
              </w:rPr>
            </w:pPr>
            <w:r>
              <w:rPr>
                <w:b/>
                <w:sz w:val="17"/>
                <w:lang w:val="fr-CH"/>
              </w:rPr>
              <w:tab/>
            </w:r>
            <w:r w:rsidR="00BF1937" w:rsidRPr="00F47D0B">
              <w:rPr>
                <w:b/>
                <w:sz w:val="17"/>
                <w:lang w:val="fr-CH"/>
              </w:rPr>
              <w:t>Total</w:t>
            </w:r>
          </w:p>
        </w:tc>
        <w:tc>
          <w:tcPr>
            <w:tcW w:w="630" w:type="dxa"/>
            <w:tcBorders>
              <w:top w:val="single" w:sz="4" w:space="0" w:color="auto"/>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 xml:space="preserve">1 188 </w:t>
            </w:r>
          </w:p>
        </w:tc>
        <w:tc>
          <w:tcPr>
            <w:tcW w:w="621" w:type="dxa"/>
            <w:tcBorders>
              <w:top w:val="single" w:sz="4" w:space="0" w:color="auto"/>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 xml:space="preserve">1 336 </w:t>
            </w:r>
          </w:p>
        </w:tc>
        <w:tc>
          <w:tcPr>
            <w:tcW w:w="585" w:type="dxa"/>
            <w:tcBorders>
              <w:top w:val="single" w:sz="4" w:space="0" w:color="auto"/>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 xml:space="preserve">1 281 </w:t>
            </w:r>
          </w:p>
        </w:tc>
        <w:tc>
          <w:tcPr>
            <w:tcW w:w="585" w:type="dxa"/>
            <w:tcBorders>
              <w:top w:val="single" w:sz="4" w:space="0" w:color="auto"/>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 xml:space="preserve">1 255 </w:t>
            </w:r>
          </w:p>
        </w:tc>
        <w:tc>
          <w:tcPr>
            <w:tcW w:w="585" w:type="dxa"/>
            <w:tcBorders>
              <w:top w:val="single" w:sz="4" w:space="0" w:color="auto"/>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 xml:space="preserve">1 432 </w:t>
            </w:r>
          </w:p>
        </w:tc>
        <w:tc>
          <w:tcPr>
            <w:tcW w:w="619" w:type="dxa"/>
            <w:tcBorders>
              <w:top w:val="single" w:sz="4" w:space="0" w:color="auto"/>
              <w:left w:val="nil"/>
              <w:bottom w:val="single" w:sz="12" w:space="0" w:color="auto"/>
              <w:right w:val="nil"/>
            </w:tcBorders>
            <w:noWrap/>
            <w:vAlign w:val="bottom"/>
            <w:hideMark/>
          </w:tcPr>
          <w:p w:rsidR="00BF1937" w:rsidRPr="00F47D0B" w:rsidRDefault="00BF1937" w:rsidP="00F47D0B">
            <w:pPr>
              <w:tabs>
                <w:tab w:val="left" w:pos="288"/>
                <w:tab w:val="left" w:pos="576"/>
                <w:tab w:val="left" w:pos="864"/>
                <w:tab w:val="left" w:pos="1152"/>
              </w:tabs>
              <w:suppressAutoHyphens/>
              <w:spacing w:before="81" w:after="81" w:line="210" w:lineRule="exact"/>
              <w:ind w:right="43"/>
              <w:jc w:val="right"/>
              <w:rPr>
                <w:b/>
                <w:sz w:val="17"/>
                <w:lang w:val="fr-CH"/>
              </w:rPr>
            </w:pPr>
            <w:r w:rsidRPr="00F47D0B">
              <w:rPr>
                <w:b/>
                <w:sz w:val="17"/>
                <w:lang w:val="fr-CH"/>
              </w:rPr>
              <w:t xml:space="preserve">1 301 </w:t>
            </w:r>
          </w:p>
        </w:tc>
      </w:tr>
    </w:tbl>
    <w:p w:rsidR="00BF1937" w:rsidRPr="00C92CDB" w:rsidRDefault="00BF1937" w:rsidP="00C92CDB">
      <w:pPr>
        <w:pStyle w:val="SingleTxt"/>
        <w:spacing w:after="0" w:line="120" w:lineRule="exact"/>
        <w:rPr>
          <w:sz w:val="10"/>
          <w:lang w:val="fr-CH"/>
        </w:rPr>
      </w:pPr>
    </w:p>
    <w:p w:rsidR="00C92CDB" w:rsidRPr="00C92CDB" w:rsidRDefault="00C92CDB" w:rsidP="00C92CDB">
      <w:pPr>
        <w:pStyle w:val="SingleTxt"/>
        <w:spacing w:after="0" w:line="120" w:lineRule="exact"/>
        <w:rPr>
          <w:sz w:val="10"/>
          <w:lang w:val="fr-CH"/>
        </w:rPr>
      </w:pPr>
    </w:p>
    <w:p w:rsidR="00C92CDB" w:rsidRPr="00C92CDB" w:rsidRDefault="00C92CDB" w:rsidP="00C92CDB">
      <w:pPr>
        <w:pStyle w:val="SingleTxt"/>
        <w:spacing w:after="0" w:line="120" w:lineRule="exact"/>
        <w:rPr>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3"/>
        <w:gridCol w:w="3420"/>
        <w:gridCol w:w="630"/>
        <w:gridCol w:w="621"/>
        <w:gridCol w:w="594"/>
        <w:gridCol w:w="594"/>
        <w:gridCol w:w="567"/>
        <w:gridCol w:w="619"/>
      </w:tblGrid>
      <w:tr w:rsidR="00BF1937" w:rsidRPr="00BF1937" w:rsidTr="00AA5673">
        <w:trPr>
          <w:trHeight w:val="220"/>
        </w:trPr>
        <w:tc>
          <w:tcPr>
            <w:tcW w:w="3863" w:type="dxa"/>
            <w:gridSpan w:val="2"/>
            <w:vMerge w:val="restart"/>
            <w:tcBorders>
              <w:top w:val="single" w:sz="4" w:space="0" w:color="auto"/>
              <w:left w:val="nil"/>
              <w:bottom w:val="single" w:sz="12" w:space="0" w:color="auto"/>
              <w:right w:val="nil"/>
            </w:tcBorders>
            <w:noWrap/>
            <w:vAlign w:val="bottom"/>
            <w:hideMark/>
          </w:tcPr>
          <w:p w:rsidR="00BF1937" w:rsidRPr="00BF1937" w:rsidRDefault="00BF1937" w:rsidP="00AA5673">
            <w:pPr>
              <w:tabs>
                <w:tab w:val="left" w:pos="288"/>
                <w:tab w:val="left" w:pos="576"/>
                <w:tab w:val="left" w:pos="864"/>
                <w:tab w:val="left" w:pos="1152"/>
              </w:tabs>
              <w:suppressAutoHyphens/>
              <w:spacing w:before="80" w:after="80" w:line="160" w:lineRule="exact"/>
              <w:ind w:right="40"/>
              <w:rPr>
                <w:iCs/>
                <w:lang w:val="fr-CH"/>
              </w:rPr>
            </w:pPr>
            <w:r w:rsidRPr="00AA5673">
              <w:rPr>
                <w:i/>
                <w:sz w:val="14"/>
                <w:lang w:val="fr-CH"/>
              </w:rPr>
              <w:t>Catégorie d</w:t>
            </w:r>
            <w:r w:rsidR="008300FB" w:rsidRPr="00AA5673">
              <w:rPr>
                <w:i/>
                <w:sz w:val="14"/>
                <w:lang w:val="fr-CH"/>
              </w:rPr>
              <w:t>’</w:t>
            </w:r>
            <w:r w:rsidRPr="00AA5673">
              <w:rPr>
                <w:i/>
                <w:sz w:val="14"/>
                <w:lang w:val="fr-CH"/>
              </w:rPr>
              <w:t>infraction</w:t>
            </w:r>
          </w:p>
        </w:tc>
        <w:tc>
          <w:tcPr>
            <w:tcW w:w="630" w:type="dxa"/>
            <w:tcBorders>
              <w:top w:val="single" w:sz="4" w:space="0" w:color="auto"/>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 xml:space="preserve">2005 </w:t>
            </w:r>
          </w:p>
        </w:tc>
        <w:tc>
          <w:tcPr>
            <w:tcW w:w="621" w:type="dxa"/>
            <w:tcBorders>
              <w:top w:val="single" w:sz="4" w:space="0" w:color="auto"/>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 xml:space="preserve">2006 </w:t>
            </w:r>
          </w:p>
        </w:tc>
        <w:tc>
          <w:tcPr>
            <w:tcW w:w="594" w:type="dxa"/>
            <w:tcBorders>
              <w:top w:val="single" w:sz="4" w:space="0" w:color="auto"/>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 xml:space="preserve">2007 </w:t>
            </w:r>
          </w:p>
        </w:tc>
        <w:tc>
          <w:tcPr>
            <w:tcW w:w="594" w:type="dxa"/>
            <w:tcBorders>
              <w:top w:val="single" w:sz="4" w:space="0" w:color="auto"/>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 xml:space="preserve">2008 </w:t>
            </w:r>
          </w:p>
        </w:tc>
        <w:tc>
          <w:tcPr>
            <w:tcW w:w="567" w:type="dxa"/>
            <w:tcBorders>
              <w:top w:val="single" w:sz="4" w:space="0" w:color="auto"/>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 xml:space="preserve">2009 </w:t>
            </w:r>
          </w:p>
        </w:tc>
        <w:tc>
          <w:tcPr>
            <w:tcW w:w="619" w:type="dxa"/>
            <w:tcBorders>
              <w:top w:val="single" w:sz="4" w:space="0" w:color="auto"/>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 xml:space="preserve">2010 </w:t>
            </w:r>
          </w:p>
        </w:tc>
      </w:tr>
      <w:tr w:rsidR="00BF1937" w:rsidRPr="00BF1937" w:rsidTr="00AA5673">
        <w:trPr>
          <w:trHeight w:val="220"/>
        </w:trPr>
        <w:tc>
          <w:tcPr>
            <w:tcW w:w="3863" w:type="dxa"/>
            <w:gridSpan w:val="2"/>
            <w:vMerge/>
            <w:tcBorders>
              <w:top w:val="single" w:sz="4" w:space="0" w:color="auto"/>
              <w:left w:val="nil"/>
              <w:bottom w:val="single" w:sz="12" w:space="0" w:color="auto"/>
              <w:right w:val="nil"/>
            </w:tcBorders>
            <w:vAlign w:val="center"/>
            <w:hideMark/>
          </w:tcPr>
          <w:p w:rsidR="00BF1937" w:rsidRPr="00BF1937" w:rsidRDefault="00BF1937" w:rsidP="00C92CDB">
            <w:pPr>
              <w:rPr>
                <w:iCs/>
                <w:lang w:val="fr-CH"/>
              </w:rPr>
            </w:pPr>
          </w:p>
        </w:tc>
        <w:tc>
          <w:tcPr>
            <w:tcW w:w="3625" w:type="dxa"/>
            <w:gridSpan w:val="6"/>
            <w:tcBorders>
              <w:top w:val="single" w:sz="4" w:space="0" w:color="auto"/>
              <w:left w:val="nil"/>
              <w:bottom w:val="single" w:sz="12" w:space="0" w:color="auto"/>
              <w:right w:val="nil"/>
            </w:tcBorders>
            <w:noWrap/>
            <w:vAlign w:val="bottom"/>
            <w:hideMark/>
          </w:tcPr>
          <w:p w:rsidR="00BF1937" w:rsidRPr="00BF1937" w:rsidRDefault="00BF1937" w:rsidP="00AA5673">
            <w:pPr>
              <w:tabs>
                <w:tab w:val="left" w:pos="288"/>
                <w:tab w:val="left" w:pos="576"/>
                <w:tab w:val="left" w:pos="864"/>
                <w:tab w:val="left" w:pos="1152"/>
              </w:tabs>
              <w:suppressAutoHyphens/>
              <w:spacing w:before="80" w:after="80" w:line="160" w:lineRule="exact"/>
              <w:ind w:right="40"/>
              <w:jc w:val="center"/>
              <w:rPr>
                <w:iCs/>
                <w:lang w:val="fr-CH"/>
              </w:rPr>
            </w:pPr>
            <w:r w:rsidRPr="00AA5673">
              <w:rPr>
                <w:i/>
                <w:sz w:val="14"/>
                <w:lang w:val="fr-CH"/>
              </w:rPr>
              <w:t>Pourcentage</w:t>
            </w:r>
          </w:p>
        </w:tc>
      </w:tr>
      <w:tr w:rsidR="00AA5673" w:rsidRPr="00BF1937" w:rsidTr="00AA5673">
        <w:trPr>
          <w:trHeight w:hRule="exact" w:val="115"/>
        </w:trPr>
        <w:tc>
          <w:tcPr>
            <w:tcW w:w="3863" w:type="dxa"/>
            <w:gridSpan w:val="2"/>
            <w:tcBorders>
              <w:top w:val="single" w:sz="12" w:space="0" w:color="auto"/>
              <w:left w:val="nil"/>
              <w:bottom w:val="nil"/>
              <w:right w:val="nil"/>
            </w:tcBorders>
            <w:vAlign w:val="center"/>
          </w:tcPr>
          <w:p w:rsidR="00AA5673" w:rsidRPr="00BF1937" w:rsidRDefault="00AA5673" w:rsidP="00C92CDB">
            <w:pPr>
              <w:rPr>
                <w:iCs/>
                <w:lang w:val="fr-CH"/>
              </w:rPr>
            </w:pPr>
          </w:p>
        </w:tc>
        <w:tc>
          <w:tcPr>
            <w:tcW w:w="3625" w:type="dxa"/>
            <w:gridSpan w:val="6"/>
            <w:tcBorders>
              <w:top w:val="single" w:sz="12" w:space="0" w:color="auto"/>
              <w:left w:val="nil"/>
              <w:bottom w:val="nil"/>
              <w:right w:val="nil"/>
            </w:tcBorders>
            <w:noWrap/>
            <w:vAlign w:val="bottom"/>
          </w:tcPr>
          <w:p w:rsidR="00AA5673" w:rsidRPr="00AA5673" w:rsidRDefault="00AA5673" w:rsidP="00AA5673">
            <w:pPr>
              <w:tabs>
                <w:tab w:val="left" w:pos="288"/>
                <w:tab w:val="left" w:pos="576"/>
                <w:tab w:val="left" w:pos="864"/>
                <w:tab w:val="left" w:pos="1152"/>
              </w:tabs>
              <w:suppressAutoHyphens/>
              <w:spacing w:before="80" w:after="80" w:line="160" w:lineRule="exact"/>
              <w:ind w:right="40"/>
              <w:jc w:val="center"/>
              <w:rPr>
                <w:i/>
                <w:sz w:val="14"/>
                <w:lang w:val="fr-CH"/>
              </w:rPr>
            </w:pP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Atteinte à l</w:t>
            </w:r>
            <w:r w:rsidR="008300FB" w:rsidRPr="00AA5673">
              <w:rPr>
                <w:sz w:val="17"/>
                <w:lang w:val="fr-CH"/>
              </w:rPr>
              <w:t>’</w:t>
            </w:r>
            <w:r w:rsidRPr="00AA5673">
              <w:rPr>
                <w:sz w:val="17"/>
                <w:lang w:val="fr-CH"/>
              </w:rPr>
              <w:t>ordre public</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0,0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0.,0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0.,0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0,0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0,0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0,2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II.</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Atteinte à une autorité légalement habilitée</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0,2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0,1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0,1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0,3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0,8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1,4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III.</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 xml:space="preserve">Atteinte aux biens publics </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8,6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7,9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6,6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7,3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5,5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4,6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IV.</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Infractions sexuelles</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2,5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1,9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2,6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1,8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1,7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1,3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V.</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Atteintes aux personnes</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8,4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6,3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5,8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5,5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5,0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3,6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VI.</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Atteintes aux biens</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19,3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23,5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25,7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20,6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14,7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21,5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VII.</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Vandalisme</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0,6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0,5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0,6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0,6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0,3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0,2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VIII.</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Faux (</w:t>
            </w:r>
            <w:r w:rsidR="00AA5673" w:rsidRPr="00AA5673">
              <w:rPr>
                <w:sz w:val="17"/>
                <w:lang w:val="fr-CH"/>
              </w:rPr>
              <w:t>ex</w:t>
            </w:r>
            <w:r w:rsidR="00AA5673">
              <w:rPr>
                <w:sz w:val="17"/>
                <w:lang w:val="fr-CH"/>
              </w:rPr>
              <w:t>emple</w:t>
            </w:r>
            <w:r w:rsidRPr="00AA5673">
              <w:rPr>
                <w:sz w:val="17"/>
                <w:lang w:val="fr-CH"/>
              </w:rPr>
              <w:t xml:space="preserve"> falsification de monnaies)</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5,0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1,7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0,2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1,7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3,0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1,5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IX.</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Infractions au Code de la route</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1,6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1,2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0,4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0,5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0,9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0,8 </w:t>
            </w:r>
          </w:p>
        </w:tc>
      </w:tr>
      <w:tr w:rsidR="00BF1937" w:rsidRPr="00BF1937" w:rsidTr="00AA5673">
        <w:trPr>
          <w:trHeight w:val="220"/>
        </w:trPr>
        <w:tc>
          <w:tcPr>
            <w:tcW w:w="443"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X.</w:t>
            </w:r>
          </w:p>
        </w:tc>
        <w:tc>
          <w:tcPr>
            <w:tcW w:w="3420"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 xml:space="preserve">Infractions réglementaires </w:t>
            </w:r>
          </w:p>
        </w:tc>
        <w:tc>
          <w:tcPr>
            <w:tcW w:w="6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1,4 </w:t>
            </w:r>
          </w:p>
        </w:tc>
        <w:tc>
          <w:tcPr>
            <w:tcW w:w="621"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0,7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0,0 </w:t>
            </w:r>
          </w:p>
        </w:tc>
        <w:tc>
          <w:tcPr>
            <w:tcW w:w="59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7,8 </w:t>
            </w:r>
          </w:p>
        </w:tc>
        <w:tc>
          <w:tcPr>
            <w:tcW w:w="567"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1,2 </w:t>
            </w:r>
          </w:p>
        </w:tc>
        <w:tc>
          <w:tcPr>
            <w:tcW w:w="619"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0,0 </w:t>
            </w:r>
          </w:p>
        </w:tc>
      </w:tr>
      <w:tr w:rsidR="00BF1937" w:rsidRPr="00BF1937" w:rsidTr="00AA5673">
        <w:trPr>
          <w:trHeight w:val="220"/>
        </w:trPr>
        <w:tc>
          <w:tcPr>
            <w:tcW w:w="443" w:type="dxa"/>
            <w:tcBorders>
              <w:top w:val="nil"/>
              <w:left w:val="nil"/>
              <w:bottom w:val="single" w:sz="4" w:space="0" w:color="auto"/>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XI.</w:t>
            </w:r>
          </w:p>
        </w:tc>
        <w:tc>
          <w:tcPr>
            <w:tcW w:w="3420" w:type="dxa"/>
            <w:tcBorders>
              <w:top w:val="nil"/>
              <w:left w:val="nil"/>
              <w:bottom w:val="single" w:sz="4" w:space="0" w:color="auto"/>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Divers</w:t>
            </w:r>
          </w:p>
        </w:tc>
        <w:tc>
          <w:tcPr>
            <w:tcW w:w="630" w:type="dxa"/>
            <w:tcBorders>
              <w:top w:val="nil"/>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52,4 </w:t>
            </w:r>
          </w:p>
        </w:tc>
        <w:tc>
          <w:tcPr>
            <w:tcW w:w="621" w:type="dxa"/>
            <w:tcBorders>
              <w:top w:val="nil"/>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56,1 </w:t>
            </w:r>
          </w:p>
        </w:tc>
        <w:tc>
          <w:tcPr>
            <w:tcW w:w="594" w:type="dxa"/>
            <w:tcBorders>
              <w:top w:val="nil"/>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58,1 </w:t>
            </w:r>
          </w:p>
        </w:tc>
        <w:tc>
          <w:tcPr>
            <w:tcW w:w="594" w:type="dxa"/>
            <w:tcBorders>
              <w:top w:val="nil"/>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53,8 </w:t>
            </w:r>
          </w:p>
        </w:tc>
        <w:tc>
          <w:tcPr>
            <w:tcW w:w="567" w:type="dxa"/>
            <w:tcBorders>
              <w:top w:val="nil"/>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66,8 </w:t>
            </w:r>
          </w:p>
        </w:tc>
        <w:tc>
          <w:tcPr>
            <w:tcW w:w="619" w:type="dxa"/>
            <w:tcBorders>
              <w:top w:val="nil"/>
              <w:left w:val="nil"/>
              <w:bottom w:val="single" w:sz="4"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 xml:space="preserve">65,0 </w:t>
            </w:r>
          </w:p>
        </w:tc>
      </w:tr>
      <w:tr w:rsidR="00BF1937" w:rsidRPr="00BF1937" w:rsidTr="00AA5673">
        <w:trPr>
          <w:trHeight w:val="220"/>
        </w:trPr>
        <w:tc>
          <w:tcPr>
            <w:tcW w:w="443" w:type="dxa"/>
            <w:tcBorders>
              <w:top w:val="single" w:sz="4" w:space="0" w:color="auto"/>
              <w:left w:val="nil"/>
              <w:bottom w:val="single" w:sz="12" w:space="0" w:color="auto"/>
              <w:right w:val="nil"/>
            </w:tcBorders>
            <w:noWrap/>
            <w:hideMark/>
          </w:tcPr>
          <w:p w:rsidR="00BF1937" w:rsidRPr="00AA5673" w:rsidRDefault="00BF1937" w:rsidP="00AA5673">
            <w:pPr>
              <w:tabs>
                <w:tab w:val="left" w:pos="288"/>
                <w:tab w:val="left" w:pos="576"/>
                <w:tab w:val="left" w:pos="864"/>
                <w:tab w:val="left" w:pos="1152"/>
              </w:tabs>
              <w:suppressAutoHyphens/>
              <w:spacing w:before="81" w:after="81" w:line="210" w:lineRule="exact"/>
              <w:ind w:right="40"/>
              <w:rPr>
                <w:b/>
                <w:sz w:val="17"/>
                <w:lang w:val="fr-CH"/>
              </w:rPr>
            </w:pPr>
            <w:r w:rsidRPr="00AA5673">
              <w:rPr>
                <w:b/>
                <w:sz w:val="17"/>
                <w:lang w:val="fr-CH"/>
              </w:rPr>
              <w:t> </w:t>
            </w:r>
          </w:p>
        </w:tc>
        <w:tc>
          <w:tcPr>
            <w:tcW w:w="3420" w:type="dxa"/>
            <w:tcBorders>
              <w:top w:val="single" w:sz="4" w:space="0" w:color="auto"/>
              <w:left w:val="nil"/>
              <w:bottom w:val="single" w:sz="12" w:space="0" w:color="auto"/>
              <w:right w:val="nil"/>
            </w:tcBorders>
            <w:noWrap/>
            <w:hideMark/>
          </w:tcPr>
          <w:p w:rsidR="00BF1937" w:rsidRPr="00AA5673" w:rsidRDefault="00AA5673" w:rsidP="00AA5673">
            <w:pPr>
              <w:tabs>
                <w:tab w:val="left" w:pos="288"/>
                <w:tab w:val="left" w:pos="576"/>
                <w:tab w:val="left" w:pos="864"/>
                <w:tab w:val="left" w:pos="1152"/>
              </w:tabs>
              <w:suppressAutoHyphens/>
              <w:spacing w:before="81" w:after="81" w:line="210" w:lineRule="exact"/>
              <w:ind w:right="40"/>
              <w:rPr>
                <w:b/>
                <w:sz w:val="17"/>
                <w:lang w:val="fr-CH"/>
              </w:rPr>
            </w:pPr>
            <w:r>
              <w:rPr>
                <w:b/>
                <w:sz w:val="17"/>
                <w:lang w:val="fr-CH"/>
              </w:rPr>
              <w:tab/>
            </w:r>
            <w:r w:rsidR="00BF1937" w:rsidRPr="00AA5673">
              <w:rPr>
                <w:b/>
                <w:sz w:val="17"/>
                <w:lang w:val="fr-CH"/>
              </w:rPr>
              <w:t>Total</w:t>
            </w:r>
          </w:p>
        </w:tc>
        <w:tc>
          <w:tcPr>
            <w:tcW w:w="630"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1" w:after="81" w:line="210" w:lineRule="exact"/>
              <w:ind w:right="43"/>
              <w:jc w:val="right"/>
              <w:rPr>
                <w:b/>
                <w:sz w:val="17"/>
                <w:lang w:val="fr-CH"/>
              </w:rPr>
            </w:pPr>
            <w:r w:rsidRPr="00AA5673">
              <w:rPr>
                <w:b/>
                <w:sz w:val="17"/>
                <w:lang w:val="fr-CH"/>
              </w:rPr>
              <w:t xml:space="preserve">100,0 </w:t>
            </w:r>
          </w:p>
        </w:tc>
        <w:tc>
          <w:tcPr>
            <w:tcW w:w="621"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1" w:after="81" w:line="210" w:lineRule="exact"/>
              <w:ind w:right="43"/>
              <w:jc w:val="right"/>
              <w:rPr>
                <w:b/>
                <w:sz w:val="17"/>
                <w:lang w:val="fr-CH"/>
              </w:rPr>
            </w:pPr>
            <w:r w:rsidRPr="00AA5673">
              <w:rPr>
                <w:b/>
                <w:sz w:val="17"/>
                <w:lang w:val="fr-CH"/>
              </w:rPr>
              <w:t xml:space="preserve">100,0 </w:t>
            </w:r>
          </w:p>
        </w:tc>
        <w:tc>
          <w:tcPr>
            <w:tcW w:w="594"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1" w:after="81" w:line="210" w:lineRule="exact"/>
              <w:ind w:right="43"/>
              <w:jc w:val="right"/>
              <w:rPr>
                <w:b/>
                <w:sz w:val="17"/>
                <w:lang w:val="fr-CH"/>
              </w:rPr>
            </w:pPr>
            <w:r w:rsidRPr="00AA5673">
              <w:rPr>
                <w:b/>
                <w:sz w:val="17"/>
                <w:lang w:val="fr-CH"/>
              </w:rPr>
              <w:t xml:space="preserve">100,0 </w:t>
            </w:r>
          </w:p>
        </w:tc>
        <w:tc>
          <w:tcPr>
            <w:tcW w:w="594"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1" w:after="81" w:line="210" w:lineRule="exact"/>
              <w:ind w:right="43"/>
              <w:jc w:val="right"/>
              <w:rPr>
                <w:b/>
                <w:sz w:val="17"/>
                <w:lang w:val="fr-CH"/>
              </w:rPr>
            </w:pPr>
            <w:r w:rsidRPr="00AA5673">
              <w:rPr>
                <w:b/>
                <w:sz w:val="17"/>
                <w:lang w:val="fr-CH"/>
              </w:rPr>
              <w:t xml:space="preserve">100,0 </w:t>
            </w:r>
          </w:p>
        </w:tc>
        <w:tc>
          <w:tcPr>
            <w:tcW w:w="567"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1" w:after="81" w:line="210" w:lineRule="exact"/>
              <w:ind w:right="43"/>
              <w:jc w:val="right"/>
              <w:rPr>
                <w:b/>
                <w:sz w:val="17"/>
                <w:lang w:val="fr-CH"/>
              </w:rPr>
            </w:pPr>
            <w:r w:rsidRPr="00AA5673">
              <w:rPr>
                <w:b/>
                <w:sz w:val="17"/>
                <w:lang w:val="fr-CH"/>
              </w:rPr>
              <w:t xml:space="preserve">100,0 </w:t>
            </w:r>
          </w:p>
        </w:tc>
        <w:tc>
          <w:tcPr>
            <w:tcW w:w="619"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1" w:after="81" w:line="210" w:lineRule="exact"/>
              <w:ind w:right="43"/>
              <w:jc w:val="right"/>
              <w:rPr>
                <w:b/>
                <w:sz w:val="17"/>
                <w:lang w:val="fr-CH"/>
              </w:rPr>
            </w:pPr>
            <w:r w:rsidRPr="00AA5673">
              <w:rPr>
                <w:b/>
                <w:sz w:val="17"/>
                <w:lang w:val="fr-CH"/>
              </w:rPr>
              <w:t xml:space="preserve">100,0 </w:t>
            </w:r>
          </w:p>
        </w:tc>
      </w:tr>
    </w:tbl>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BF1937" w:rsidRDefault="00BF1937" w:rsidP="00C92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 xml:space="preserve">Nombre de cas signalés de violences sexuelles (viol, mutilations génitales </w:t>
      </w:r>
      <w:r w:rsidR="00C92CDB">
        <w:rPr>
          <w:lang w:val="fr-CH"/>
        </w:rPr>
        <w:br/>
      </w:r>
      <w:r w:rsidRPr="00BF1937">
        <w:rPr>
          <w:lang w:val="fr-CH"/>
        </w:rPr>
        <w:t>féminines, crimes d</w:t>
      </w:r>
      <w:r w:rsidR="008300FB">
        <w:rPr>
          <w:lang w:val="fr-CH"/>
        </w:rPr>
        <w:t>’</w:t>
      </w:r>
      <w:r w:rsidRPr="00BF1937">
        <w:rPr>
          <w:lang w:val="fr-CH"/>
        </w:rPr>
        <w:t>honneur et agressions à l</w:t>
      </w:r>
      <w:r w:rsidR="008300FB">
        <w:rPr>
          <w:lang w:val="fr-CH"/>
        </w:rPr>
        <w:t>’</w:t>
      </w:r>
      <w:r w:rsidRPr="00BF1937">
        <w:rPr>
          <w:lang w:val="fr-CH"/>
        </w:rPr>
        <w:t>acide)</w:t>
      </w: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04"/>
        <w:gridCol w:w="864"/>
        <w:gridCol w:w="864"/>
        <w:gridCol w:w="864"/>
        <w:gridCol w:w="830"/>
        <w:gridCol w:w="898"/>
        <w:gridCol w:w="864"/>
      </w:tblGrid>
      <w:tr w:rsidR="00BF1937" w:rsidRPr="00BF1937" w:rsidTr="00AA5673">
        <w:trPr>
          <w:trHeight w:val="299"/>
          <w:tblHeader/>
        </w:trPr>
        <w:tc>
          <w:tcPr>
            <w:tcW w:w="2304" w:type="dxa"/>
            <w:tcBorders>
              <w:top w:val="single" w:sz="4" w:space="0" w:color="auto"/>
              <w:left w:val="nil"/>
              <w:bottom w:val="single" w:sz="12" w:space="0" w:color="auto"/>
              <w:right w:val="nil"/>
            </w:tcBorders>
            <w:noWrap/>
            <w:vAlign w:val="bottom"/>
          </w:tcPr>
          <w:p w:rsidR="00BF1937" w:rsidRPr="00BF1937" w:rsidRDefault="00BF1937" w:rsidP="00AA5673">
            <w:pPr>
              <w:tabs>
                <w:tab w:val="left" w:pos="288"/>
                <w:tab w:val="left" w:pos="576"/>
                <w:tab w:val="left" w:pos="864"/>
                <w:tab w:val="left" w:pos="1152"/>
              </w:tabs>
              <w:suppressAutoHyphens/>
              <w:spacing w:before="80" w:after="80" w:line="160" w:lineRule="exact"/>
              <w:ind w:right="40"/>
              <w:rPr>
                <w:lang w:val="fr-CH"/>
              </w:rPr>
            </w:pPr>
          </w:p>
        </w:tc>
        <w:tc>
          <w:tcPr>
            <w:tcW w:w="864"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Cas avérés</w:t>
            </w:r>
          </w:p>
        </w:tc>
        <w:tc>
          <w:tcPr>
            <w:tcW w:w="864"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Cas signalés</w:t>
            </w:r>
          </w:p>
        </w:tc>
        <w:tc>
          <w:tcPr>
            <w:tcW w:w="864"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 xml:space="preserve">Cas non signalés </w:t>
            </w:r>
          </w:p>
        </w:tc>
        <w:tc>
          <w:tcPr>
            <w:tcW w:w="830"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Affaires pendantes</w:t>
            </w:r>
          </w:p>
        </w:tc>
        <w:tc>
          <w:tcPr>
            <w:tcW w:w="898"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Cas faisant l</w:t>
            </w:r>
            <w:r w:rsidR="008300FB" w:rsidRPr="00AA5673">
              <w:rPr>
                <w:i/>
                <w:sz w:val="14"/>
                <w:lang w:val="fr-CH"/>
              </w:rPr>
              <w:t>’</w:t>
            </w:r>
            <w:r w:rsidRPr="00AA5673">
              <w:rPr>
                <w:i/>
                <w:sz w:val="14"/>
                <w:lang w:val="fr-CH"/>
              </w:rPr>
              <w:t>objet d</w:t>
            </w:r>
            <w:r w:rsidR="008300FB" w:rsidRPr="00AA5673">
              <w:rPr>
                <w:i/>
                <w:sz w:val="14"/>
                <w:lang w:val="fr-CH"/>
              </w:rPr>
              <w:t>’</w:t>
            </w:r>
            <w:r w:rsidRPr="00AA5673">
              <w:rPr>
                <w:i/>
                <w:sz w:val="14"/>
                <w:lang w:val="fr-CH"/>
              </w:rPr>
              <w:t>une enquête</w:t>
            </w:r>
          </w:p>
        </w:tc>
        <w:tc>
          <w:tcPr>
            <w:tcW w:w="864" w:type="dxa"/>
            <w:tcBorders>
              <w:top w:val="single" w:sz="4" w:space="0" w:color="auto"/>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80" w:after="80" w:line="160" w:lineRule="exact"/>
              <w:ind w:right="40"/>
              <w:jc w:val="right"/>
              <w:rPr>
                <w:i/>
                <w:sz w:val="14"/>
                <w:lang w:val="fr-CH"/>
              </w:rPr>
            </w:pPr>
            <w:r w:rsidRPr="00AA5673">
              <w:rPr>
                <w:i/>
                <w:sz w:val="14"/>
                <w:lang w:val="fr-CH"/>
              </w:rPr>
              <w:t>Taux de détection</w:t>
            </w:r>
            <w:r w:rsidR="00AA5673">
              <w:rPr>
                <w:i/>
                <w:sz w:val="14"/>
                <w:lang w:val="fr-CH"/>
              </w:rPr>
              <w:br/>
              <w:t>(</w:t>
            </w:r>
            <w:r w:rsidRPr="00AA5673">
              <w:rPr>
                <w:i/>
                <w:sz w:val="14"/>
                <w:lang w:val="fr-CH"/>
              </w:rPr>
              <w:t>%</w:t>
            </w:r>
            <w:r w:rsidR="00AA5673">
              <w:rPr>
                <w:i/>
                <w:sz w:val="14"/>
                <w:lang w:val="fr-CH"/>
              </w:rPr>
              <w:t>)</w:t>
            </w:r>
          </w:p>
        </w:tc>
      </w:tr>
      <w:tr w:rsidR="00AA5673" w:rsidRPr="00BF1937" w:rsidTr="00AA5673">
        <w:trPr>
          <w:trHeight w:hRule="exact" w:val="115"/>
          <w:tblHeader/>
        </w:trPr>
        <w:tc>
          <w:tcPr>
            <w:tcW w:w="2304" w:type="dxa"/>
            <w:tcBorders>
              <w:top w:val="single" w:sz="12" w:space="0" w:color="auto"/>
              <w:left w:val="nil"/>
              <w:bottom w:val="nil"/>
              <w:right w:val="nil"/>
            </w:tcBorders>
            <w:noWrap/>
            <w:vAlign w:val="bottom"/>
          </w:tcPr>
          <w:p w:rsidR="00AA5673" w:rsidRPr="00BF1937" w:rsidRDefault="00AA5673" w:rsidP="00AA5673">
            <w:pPr>
              <w:tabs>
                <w:tab w:val="left" w:pos="288"/>
                <w:tab w:val="left" w:pos="576"/>
                <w:tab w:val="left" w:pos="864"/>
                <w:tab w:val="left" w:pos="1152"/>
              </w:tabs>
              <w:suppressAutoHyphens/>
              <w:spacing w:before="80" w:after="80" w:line="160" w:lineRule="exact"/>
              <w:ind w:right="40"/>
              <w:rPr>
                <w:lang w:val="fr-CH"/>
              </w:rPr>
            </w:pPr>
          </w:p>
        </w:tc>
        <w:tc>
          <w:tcPr>
            <w:tcW w:w="864" w:type="dxa"/>
            <w:tcBorders>
              <w:top w:val="single" w:sz="12" w:space="0" w:color="auto"/>
              <w:left w:val="nil"/>
              <w:bottom w:val="nil"/>
              <w:right w:val="nil"/>
            </w:tcBorders>
            <w:noWrap/>
            <w:vAlign w:val="bottom"/>
          </w:tcPr>
          <w:p w:rsidR="00AA5673" w:rsidRPr="00AA5673" w:rsidRDefault="00AA5673" w:rsidP="00AA5673">
            <w:pPr>
              <w:tabs>
                <w:tab w:val="left" w:pos="288"/>
                <w:tab w:val="left" w:pos="576"/>
                <w:tab w:val="left" w:pos="864"/>
                <w:tab w:val="left" w:pos="1152"/>
              </w:tabs>
              <w:suppressAutoHyphens/>
              <w:spacing w:before="80" w:after="80" w:line="160" w:lineRule="exact"/>
              <w:ind w:right="40"/>
              <w:jc w:val="right"/>
              <w:rPr>
                <w:i/>
                <w:sz w:val="14"/>
                <w:lang w:val="fr-CH"/>
              </w:rPr>
            </w:pPr>
          </w:p>
        </w:tc>
        <w:tc>
          <w:tcPr>
            <w:tcW w:w="864" w:type="dxa"/>
            <w:tcBorders>
              <w:top w:val="single" w:sz="12" w:space="0" w:color="auto"/>
              <w:left w:val="nil"/>
              <w:bottom w:val="nil"/>
              <w:right w:val="nil"/>
            </w:tcBorders>
            <w:noWrap/>
            <w:vAlign w:val="bottom"/>
          </w:tcPr>
          <w:p w:rsidR="00AA5673" w:rsidRPr="00AA5673" w:rsidRDefault="00AA5673" w:rsidP="00AA5673">
            <w:pPr>
              <w:tabs>
                <w:tab w:val="left" w:pos="288"/>
                <w:tab w:val="left" w:pos="576"/>
                <w:tab w:val="left" w:pos="864"/>
                <w:tab w:val="left" w:pos="1152"/>
              </w:tabs>
              <w:suppressAutoHyphens/>
              <w:spacing w:before="80" w:after="80" w:line="160" w:lineRule="exact"/>
              <w:ind w:right="40"/>
              <w:jc w:val="right"/>
              <w:rPr>
                <w:i/>
                <w:sz w:val="14"/>
                <w:lang w:val="fr-CH"/>
              </w:rPr>
            </w:pPr>
          </w:p>
        </w:tc>
        <w:tc>
          <w:tcPr>
            <w:tcW w:w="864" w:type="dxa"/>
            <w:tcBorders>
              <w:top w:val="single" w:sz="12" w:space="0" w:color="auto"/>
              <w:left w:val="nil"/>
              <w:bottom w:val="nil"/>
              <w:right w:val="nil"/>
            </w:tcBorders>
            <w:noWrap/>
            <w:vAlign w:val="bottom"/>
          </w:tcPr>
          <w:p w:rsidR="00AA5673" w:rsidRPr="00AA5673" w:rsidRDefault="00AA5673" w:rsidP="00AA5673">
            <w:pPr>
              <w:tabs>
                <w:tab w:val="left" w:pos="288"/>
                <w:tab w:val="left" w:pos="576"/>
                <w:tab w:val="left" w:pos="864"/>
                <w:tab w:val="left" w:pos="1152"/>
              </w:tabs>
              <w:suppressAutoHyphens/>
              <w:spacing w:before="80" w:after="80" w:line="160" w:lineRule="exact"/>
              <w:ind w:right="40"/>
              <w:jc w:val="right"/>
              <w:rPr>
                <w:i/>
                <w:sz w:val="14"/>
                <w:lang w:val="fr-CH"/>
              </w:rPr>
            </w:pPr>
          </w:p>
        </w:tc>
        <w:tc>
          <w:tcPr>
            <w:tcW w:w="830" w:type="dxa"/>
            <w:tcBorders>
              <w:top w:val="single" w:sz="12" w:space="0" w:color="auto"/>
              <w:left w:val="nil"/>
              <w:bottom w:val="nil"/>
              <w:right w:val="nil"/>
            </w:tcBorders>
            <w:noWrap/>
            <w:vAlign w:val="bottom"/>
          </w:tcPr>
          <w:p w:rsidR="00AA5673" w:rsidRPr="00AA5673" w:rsidRDefault="00AA5673" w:rsidP="00AA5673">
            <w:pPr>
              <w:tabs>
                <w:tab w:val="left" w:pos="288"/>
                <w:tab w:val="left" w:pos="576"/>
                <w:tab w:val="left" w:pos="864"/>
                <w:tab w:val="left" w:pos="1152"/>
              </w:tabs>
              <w:suppressAutoHyphens/>
              <w:spacing w:before="80" w:after="80" w:line="160" w:lineRule="exact"/>
              <w:ind w:right="40"/>
              <w:jc w:val="right"/>
              <w:rPr>
                <w:i/>
                <w:sz w:val="14"/>
                <w:lang w:val="fr-CH"/>
              </w:rPr>
            </w:pPr>
          </w:p>
        </w:tc>
        <w:tc>
          <w:tcPr>
            <w:tcW w:w="898" w:type="dxa"/>
            <w:tcBorders>
              <w:top w:val="single" w:sz="12" w:space="0" w:color="auto"/>
              <w:left w:val="nil"/>
              <w:bottom w:val="nil"/>
              <w:right w:val="nil"/>
            </w:tcBorders>
            <w:noWrap/>
            <w:vAlign w:val="bottom"/>
          </w:tcPr>
          <w:p w:rsidR="00AA5673" w:rsidRPr="00AA5673" w:rsidRDefault="00AA5673" w:rsidP="00AA5673">
            <w:pPr>
              <w:tabs>
                <w:tab w:val="left" w:pos="288"/>
                <w:tab w:val="left" w:pos="576"/>
                <w:tab w:val="left" w:pos="864"/>
                <w:tab w:val="left" w:pos="1152"/>
              </w:tabs>
              <w:suppressAutoHyphens/>
              <w:spacing w:before="80" w:after="80" w:line="160" w:lineRule="exact"/>
              <w:ind w:right="40"/>
              <w:jc w:val="right"/>
              <w:rPr>
                <w:i/>
                <w:sz w:val="14"/>
                <w:lang w:val="fr-CH"/>
              </w:rPr>
            </w:pPr>
          </w:p>
        </w:tc>
        <w:tc>
          <w:tcPr>
            <w:tcW w:w="864" w:type="dxa"/>
            <w:tcBorders>
              <w:top w:val="single" w:sz="12" w:space="0" w:color="auto"/>
              <w:left w:val="nil"/>
              <w:bottom w:val="nil"/>
              <w:right w:val="nil"/>
            </w:tcBorders>
            <w:noWrap/>
            <w:vAlign w:val="bottom"/>
          </w:tcPr>
          <w:p w:rsidR="00AA5673" w:rsidRPr="00AA5673" w:rsidRDefault="00AA5673" w:rsidP="00AA5673">
            <w:pPr>
              <w:tabs>
                <w:tab w:val="left" w:pos="288"/>
                <w:tab w:val="left" w:pos="576"/>
                <w:tab w:val="left" w:pos="864"/>
                <w:tab w:val="left" w:pos="1152"/>
              </w:tabs>
              <w:suppressAutoHyphens/>
              <w:spacing w:before="80" w:after="80" w:line="160" w:lineRule="exact"/>
              <w:ind w:right="40"/>
              <w:jc w:val="right"/>
              <w:rPr>
                <w:i/>
                <w:sz w:val="14"/>
                <w:lang w:val="fr-CH"/>
              </w:rPr>
            </w:pPr>
          </w:p>
        </w:tc>
      </w:tr>
      <w:tr w:rsidR="00BF1937" w:rsidRPr="00BF1937" w:rsidTr="00AA5673">
        <w:trPr>
          <w:trHeight w:val="299"/>
          <w:tblHeader/>
        </w:trPr>
        <w:tc>
          <w:tcPr>
            <w:tcW w:w="2304"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Agressions sexuelles</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59</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17</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3</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34</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5</w:t>
            </w:r>
          </w:p>
        </w:tc>
        <w:tc>
          <w:tcPr>
            <w:tcW w:w="864" w:type="dxa"/>
            <w:tcBorders>
              <w:top w:val="nil"/>
              <w:left w:val="nil"/>
              <w:bottom w:val="nil"/>
              <w:right w:val="nil"/>
            </w:tcBorders>
            <w:noWrap/>
            <w:vAlign w:val="bottom"/>
            <w:hideMark/>
          </w:tcPr>
          <w:p w:rsidR="00BF1937" w:rsidRPr="00AA5673" w:rsidRDefault="00BF1937" w:rsidP="00AB37C5">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86</w:t>
            </w:r>
            <w:r w:rsidR="00AB37C5">
              <w:rPr>
                <w:sz w:val="17"/>
                <w:lang w:val="fr-CH"/>
              </w:rPr>
              <w:t>,</w:t>
            </w:r>
            <w:r w:rsidRPr="00AA5673">
              <w:rPr>
                <w:sz w:val="17"/>
                <w:lang w:val="fr-CH"/>
              </w:rPr>
              <w:t>4</w:t>
            </w:r>
          </w:p>
        </w:tc>
      </w:tr>
      <w:tr w:rsidR="00BF1937" w:rsidRPr="00BF1937" w:rsidTr="00AA5673">
        <w:trPr>
          <w:trHeight w:val="299"/>
        </w:trPr>
        <w:tc>
          <w:tcPr>
            <w:tcW w:w="2304"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Viols</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31</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15</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4</w:t>
            </w:r>
          </w:p>
        </w:tc>
        <w:tc>
          <w:tcPr>
            <w:tcW w:w="864" w:type="dxa"/>
            <w:tcBorders>
              <w:top w:val="nil"/>
              <w:left w:val="nil"/>
              <w:bottom w:val="nil"/>
              <w:right w:val="nil"/>
            </w:tcBorders>
            <w:noWrap/>
            <w:vAlign w:val="bottom"/>
            <w:hideMark/>
          </w:tcPr>
          <w:p w:rsidR="00BF1937" w:rsidRPr="00AA5673" w:rsidRDefault="00AB37C5" w:rsidP="00AA5673">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80,</w:t>
            </w:r>
            <w:r w:rsidR="00BF1937" w:rsidRPr="00AA5673">
              <w:rPr>
                <w:sz w:val="17"/>
                <w:lang w:val="fr-CH"/>
              </w:rPr>
              <w:t>6</w:t>
            </w:r>
          </w:p>
        </w:tc>
      </w:tr>
      <w:tr w:rsidR="00BF1937" w:rsidRPr="00BF1937" w:rsidTr="00AA5673">
        <w:trPr>
          <w:trHeight w:val="299"/>
        </w:trPr>
        <w:tc>
          <w:tcPr>
            <w:tcW w:w="2304"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Tentatives de viol</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50</w:t>
            </w:r>
          </w:p>
        </w:tc>
      </w:tr>
      <w:tr w:rsidR="00BF1937" w:rsidRPr="00BF1937" w:rsidTr="00AA5673">
        <w:trPr>
          <w:trHeight w:val="299"/>
        </w:trPr>
        <w:tc>
          <w:tcPr>
            <w:tcW w:w="2304"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Enlèvement</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6</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5</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100</w:t>
            </w:r>
          </w:p>
        </w:tc>
      </w:tr>
      <w:tr w:rsidR="00BF1937" w:rsidRPr="00BF1937" w:rsidTr="00AA5673">
        <w:trPr>
          <w:trHeight w:val="299"/>
        </w:trPr>
        <w:tc>
          <w:tcPr>
            <w:tcW w:w="2304"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Incitation à la débauche de filles âgées de 13 à 17 ans</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3</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100</w:t>
            </w:r>
          </w:p>
        </w:tc>
      </w:tr>
      <w:tr w:rsidR="00BF1937" w:rsidRPr="00BF1937" w:rsidTr="00AA5673">
        <w:trPr>
          <w:trHeight w:val="299"/>
        </w:trPr>
        <w:tc>
          <w:tcPr>
            <w:tcW w:w="2304"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Incitation à la débauche de femmes présentant des déficiences mentales</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100</w:t>
            </w:r>
          </w:p>
        </w:tc>
      </w:tr>
      <w:tr w:rsidR="00BF1937" w:rsidRPr="00BF1937" w:rsidTr="00AA5673">
        <w:trPr>
          <w:trHeight w:val="299"/>
        </w:trPr>
        <w:tc>
          <w:tcPr>
            <w:tcW w:w="2304"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 xml:space="preserve">Actes contre-nature </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4</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75</w:t>
            </w:r>
          </w:p>
        </w:tc>
      </w:tr>
      <w:tr w:rsidR="00BF1937" w:rsidRPr="00BF1937" w:rsidTr="00AA5673">
        <w:trPr>
          <w:trHeight w:val="299"/>
        </w:trPr>
        <w:tc>
          <w:tcPr>
            <w:tcW w:w="2304" w:type="dxa"/>
            <w:tcBorders>
              <w:top w:val="nil"/>
              <w:left w:val="nil"/>
              <w:bottom w:val="nil"/>
              <w:right w:val="nil"/>
            </w:tcBorders>
            <w:noWrap/>
            <w:hideMark/>
          </w:tcPr>
          <w:p w:rsidR="00BF1937" w:rsidRPr="00AA5673" w:rsidRDefault="00BF1937" w:rsidP="00110459">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Viol (violence</w:t>
            </w:r>
            <w:r w:rsidR="00110459">
              <w:rPr>
                <w:sz w:val="17"/>
                <w:lang w:val="fr-CH"/>
              </w:rPr>
              <w:t xml:space="preserve"> </w:t>
            </w:r>
            <w:r w:rsidRPr="00AA5673">
              <w:rPr>
                <w:sz w:val="17"/>
                <w:lang w:val="fr-CH"/>
              </w:rPr>
              <w:t>intrafamiliale)</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100</w:t>
            </w:r>
          </w:p>
        </w:tc>
      </w:tr>
      <w:tr w:rsidR="00BF1937" w:rsidRPr="00BF1937" w:rsidTr="00AA5673">
        <w:trPr>
          <w:trHeight w:val="299"/>
        </w:trPr>
        <w:tc>
          <w:tcPr>
            <w:tcW w:w="2304" w:type="dxa"/>
            <w:tcBorders>
              <w:top w:val="nil"/>
              <w:left w:val="nil"/>
              <w:bottom w:val="nil"/>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pacing w:val="0"/>
                <w:w w:val="100"/>
                <w:sz w:val="17"/>
                <w:lang w:val="fr-CH"/>
              </w:rPr>
            </w:pPr>
            <w:r w:rsidRPr="00AA5673">
              <w:rPr>
                <w:spacing w:val="0"/>
                <w:w w:val="100"/>
                <w:sz w:val="17"/>
                <w:lang w:val="fr-CH"/>
              </w:rPr>
              <w:t>Exploitation sexuelle de mineurs</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8</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2</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30"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6</w:t>
            </w:r>
          </w:p>
        </w:tc>
        <w:tc>
          <w:tcPr>
            <w:tcW w:w="898"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nil"/>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100</w:t>
            </w:r>
          </w:p>
        </w:tc>
      </w:tr>
      <w:tr w:rsidR="00BF1937" w:rsidRPr="00BF1937" w:rsidTr="00AA5673">
        <w:trPr>
          <w:trHeight w:val="299"/>
        </w:trPr>
        <w:tc>
          <w:tcPr>
            <w:tcW w:w="2304" w:type="dxa"/>
            <w:tcBorders>
              <w:top w:val="nil"/>
              <w:left w:val="nil"/>
              <w:bottom w:val="single" w:sz="12" w:space="0" w:color="auto"/>
              <w:right w:val="nil"/>
            </w:tcBorders>
            <w:noWrap/>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0"/>
              <w:rPr>
                <w:sz w:val="17"/>
                <w:lang w:val="fr-CH"/>
              </w:rPr>
            </w:pPr>
            <w:r w:rsidRPr="00AA5673">
              <w:rPr>
                <w:sz w:val="17"/>
                <w:lang w:val="fr-CH"/>
              </w:rPr>
              <w:t>Actes contre-nature (violence intrafamiliale)</w:t>
            </w:r>
          </w:p>
        </w:tc>
        <w:tc>
          <w:tcPr>
            <w:tcW w:w="864" w:type="dxa"/>
            <w:tcBorders>
              <w:top w:val="nil"/>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w:t>
            </w:r>
          </w:p>
        </w:tc>
        <w:tc>
          <w:tcPr>
            <w:tcW w:w="864" w:type="dxa"/>
            <w:tcBorders>
              <w:top w:val="nil"/>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w:t>
            </w:r>
          </w:p>
        </w:tc>
        <w:tc>
          <w:tcPr>
            <w:tcW w:w="864" w:type="dxa"/>
            <w:tcBorders>
              <w:top w:val="nil"/>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30" w:type="dxa"/>
            <w:tcBorders>
              <w:top w:val="nil"/>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98" w:type="dxa"/>
            <w:tcBorders>
              <w:top w:val="nil"/>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0</w:t>
            </w:r>
          </w:p>
        </w:tc>
        <w:tc>
          <w:tcPr>
            <w:tcW w:w="864" w:type="dxa"/>
            <w:tcBorders>
              <w:top w:val="nil"/>
              <w:left w:val="nil"/>
              <w:bottom w:val="single" w:sz="12" w:space="0" w:color="auto"/>
              <w:right w:val="nil"/>
            </w:tcBorders>
            <w:noWrap/>
            <w:vAlign w:val="bottom"/>
            <w:hideMark/>
          </w:tcPr>
          <w:p w:rsidR="00BF1937" w:rsidRPr="00AA5673" w:rsidRDefault="00BF1937" w:rsidP="00AA5673">
            <w:pPr>
              <w:tabs>
                <w:tab w:val="left" w:pos="288"/>
                <w:tab w:val="left" w:pos="576"/>
                <w:tab w:val="left" w:pos="864"/>
                <w:tab w:val="left" w:pos="1152"/>
              </w:tabs>
              <w:suppressAutoHyphens/>
              <w:spacing w:before="40" w:after="40" w:line="210" w:lineRule="exact"/>
              <w:ind w:right="43"/>
              <w:jc w:val="right"/>
              <w:rPr>
                <w:sz w:val="17"/>
                <w:lang w:val="fr-CH"/>
              </w:rPr>
            </w:pPr>
            <w:r w:rsidRPr="00AA5673">
              <w:rPr>
                <w:sz w:val="17"/>
                <w:lang w:val="fr-CH"/>
              </w:rPr>
              <w:t>100</w:t>
            </w:r>
          </w:p>
        </w:tc>
      </w:tr>
    </w:tbl>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BF1937" w:rsidRDefault="00BF1937" w:rsidP="00C92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r>
      <w:r w:rsidRPr="00414925">
        <w:rPr>
          <w:rFonts w:ascii="Times New Roman Bold" w:hAnsi="Times New Roman Bold"/>
          <w:spacing w:val="0"/>
          <w:lang w:val="fr-CH"/>
        </w:rPr>
        <w:t>Nombre de personnes condamnées à une peine d</w:t>
      </w:r>
      <w:r w:rsidR="008300FB" w:rsidRPr="00414925">
        <w:rPr>
          <w:rFonts w:ascii="Times New Roman Bold" w:hAnsi="Times New Roman Bold"/>
          <w:spacing w:val="0"/>
          <w:lang w:val="fr-CH"/>
        </w:rPr>
        <w:t>’</w:t>
      </w:r>
      <w:r w:rsidRPr="00414925">
        <w:rPr>
          <w:rFonts w:ascii="Times New Roman Bold" w:hAnsi="Times New Roman Bold"/>
          <w:spacing w:val="0"/>
          <w:lang w:val="fr-CH"/>
        </w:rPr>
        <w:t>emprisonnement pour la période</w:t>
      </w:r>
      <w:r w:rsidRPr="00BF1937">
        <w:rPr>
          <w:lang w:val="fr-CH"/>
        </w:rPr>
        <w:t xml:space="preserve"> 2008</w:t>
      </w:r>
      <w:r w:rsidR="00C92CDB">
        <w:rPr>
          <w:lang w:val="fr-CH"/>
        </w:rPr>
        <w:t>-</w:t>
      </w:r>
      <w:r w:rsidRPr="00BF1937">
        <w:rPr>
          <w:lang w:val="fr-CH"/>
        </w:rPr>
        <w:t>2010 (les réclusions à perpétuité et les peines capitales sont exclues)</w:t>
      </w:r>
    </w:p>
    <w:p w:rsidR="00C92CDB" w:rsidRPr="00C92CDB" w:rsidRDefault="00C92CDB" w:rsidP="00C92CDB">
      <w:pPr>
        <w:pStyle w:val="SingleTxt"/>
        <w:spacing w:after="0" w:line="120" w:lineRule="exact"/>
        <w:rPr>
          <w:sz w:val="10"/>
          <w:lang w:val="fr-CH"/>
        </w:rPr>
      </w:pPr>
    </w:p>
    <w:p w:rsidR="00C92CDB" w:rsidRPr="00C92CDB" w:rsidRDefault="00C92CDB" w:rsidP="00C92CDB">
      <w:pPr>
        <w:pStyle w:val="SingleTxt"/>
        <w:spacing w:after="0" w:line="120" w:lineRule="exact"/>
        <w:rPr>
          <w:sz w:val="10"/>
          <w:lang w:val="fr-CH"/>
        </w:rPr>
      </w:pP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1"/>
        <w:gridCol w:w="9"/>
        <w:gridCol w:w="1377"/>
        <w:gridCol w:w="864"/>
        <w:gridCol w:w="981"/>
        <w:gridCol w:w="9"/>
        <w:gridCol w:w="9"/>
        <w:gridCol w:w="846"/>
        <w:gridCol w:w="981"/>
        <w:gridCol w:w="9"/>
        <w:gridCol w:w="891"/>
        <w:gridCol w:w="9"/>
        <w:gridCol w:w="948"/>
      </w:tblGrid>
      <w:tr w:rsidR="00BF1937" w:rsidRPr="00BF1937" w:rsidTr="000B4046">
        <w:trPr>
          <w:trHeight w:val="300"/>
          <w:tblHeader/>
        </w:trPr>
        <w:tc>
          <w:tcPr>
            <w:tcW w:w="1827" w:type="dxa"/>
            <w:gridSpan w:val="3"/>
            <w:vMerge w:val="restart"/>
            <w:tcBorders>
              <w:top w:val="single" w:sz="4" w:space="0" w:color="auto"/>
              <w:left w:val="nil"/>
              <w:bottom w:val="single" w:sz="12" w:space="0" w:color="auto"/>
              <w:right w:val="nil"/>
            </w:tcBorders>
            <w:noWrap/>
            <w:vAlign w:val="bottom"/>
            <w:hideMark/>
          </w:tcPr>
          <w:p w:rsidR="00BF1937" w:rsidRPr="00BF1937" w:rsidRDefault="00BF1937" w:rsidP="000B4046">
            <w:pPr>
              <w:tabs>
                <w:tab w:val="left" w:pos="288"/>
                <w:tab w:val="left" w:pos="576"/>
                <w:tab w:val="left" w:pos="864"/>
                <w:tab w:val="left" w:pos="1152"/>
              </w:tabs>
              <w:suppressAutoHyphens/>
              <w:spacing w:before="80" w:after="80" w:line="160" w:lineRule="exact"/>
              <w:ind w:right="40"/>
              <w:rPr>
                <w:lang w:val="fr-CH"/>
              </w:rPr>
            </w:pPr>
            <w:r w:rsidRPr="000B4046">
              <w:rPr>
                <w:i/>
                <w:sz w:val="14"/>
                <w:lang w:val="fr-CH"/>
              </w:rPr>
              <w:t>Peine prononcée</w:t>
            </w:r>
          </w:p>
        </w:tc>
        <w:tc>
          <w:tcPr>
            <w:tcW w:w="1863" w:type="dxa"/>
            <w:gridSpan w:val="4"/>
            <w:tcBorders>
              <w:top w:val="single" w:sz="4" w:space="0" w:color="auto"/>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center"/>
              <w:rPr>
                <w:i/>
                <w:sz w:val="14"/>
                <w:lang w:val="fr-CH"/>
              </w:rPr>
            </w:pPr>
            <w:r w:rsidRPr="000B4046">
              <w:rPr>
                <w:i/>
                <w:sz w:val="14"/>
                <w:lang w:val="fr-CH"/>
              </w:rPr>
              <w:t>2008</w:t>
            </w:r>
          </w:p>
        </w:tc>
        <w:tc>
          <w:tcPr>
            <w:tcW w:w="1836" w:type="dxa"/>
            <w:gridSpan w:val="3"/>
            <w:tcBorders>
              <w:top w:val="single" w:sz="4" w:space="0" w:color="auto"/>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center"/>
              <w:rPr>
                <w:i/>
                <w:sz w:val="14"/>
                <w:lang w:val="fr-CH"/>
              </w:rPr>
            </w:pPr>
            <w:r w:rsidRPr="000B4046">
              <w:rPr>
                <w:i/>
                <w:sz w:val="14"/>
                <w:lang w:val="fr-CH"/>
              </w:rPr>
              <w:t>2009</w:t>
            </w:r>
          </w:p>
        </w:tc>
        <w:tc>
          <w:tcPr>
            <w:tcW w:w="1848" w:type="dxa"/>
            <w:gridSpan w:val="3"/>
            <w:tcBorders>
              <w:top w:val="single" w:sz="4" w:space="0" w:color="auto"/>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center"/>
              <w:rPr>
                <w:i/>
                <w:sz w:val="14"/>
                <w:lang w:val="fr-CH"/>
              </w:rPr>
            </w:pPr>
            <w:r w:rsidRPr="000B4046">
              <w:rPr>
                <w:i/>
                <w:sz w:val="14"/>
                <w:lang w:val="fr-CH"/>
              </w:rPr>
              <w:t>2010</w:t>
            </w:r>
          </w:p>
        </w:tc>
      </w:tr>
      <w:tr w:rsidR="00BF1937" w:rsidRPr="00BF1937" w:rsidTr="000B4046">
        <w:trPr>
          <w:trHeight w:val="300"/>
          <w:tblHeader/>
        </w:trPr>
        <w:tc>
          <w:tcPr>
            <w:tcW w:w="1827" w:type="dxa"/>
            <w:gridSpan w:val="3"/>
            <w:vMerge/>
            <w:tcBorders>
              <w:top w:val="single" w:sz="4" w:space="0" w:color="auto"/>
              <w:left w:val="nil"/>
              <w:bottom w:val="single" w:sz="12" w:space="0" w:color="auto"/>
              <w:right w:val="nil"/>
            </w:tcBorders>
            <w:vAlign w:val="center"/>
            <w:hideMark/>
          </w:tcPr>
          <w:p w:rsidR="00BF1937" w:rsidRPr="00BF1937" w:rsidRDefault="00BF1937" w:rsidP="00C92CDB">
            <w:pPr>
              <w:rPr>
                <w:lang w:val="fr-CH"/>
              </w:rPr>
            </w:pPr>
          </w:p>
        </w:tc>
        <w:tc>
          <w:tcPr>
            <w:tcW w:w="864" w:type="dxa"/>
            <w:tcBorders>
              <w:top w:val="nil"/>
              <w:left w:val="nil"/>
              <w:bottom w:val="single" w:sz="12"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Total</w:t>
            </w:r>
          </w:p>
        </w:tc>
        <w:tc>
          <w:tcPr>
            <w:tcW w:w="999" w:type="dxa"/>
            <w:gridSpan w:val="3"/>
            <w:tcBorders>
              <w:top w:val="nil"/>
              <w:left w:val="nil"/>
              <w:bottom w:val="single" w:sz="12" w:space="0" w:color="auto"/>
              <w:right w:val="nil"/>
            </w:tcBorders>
            <w:vAlign w:val="bottom"/>
            <w:hideMark/>
          </w:tcPr>
          <w:p w:rsidR="00BF1937" w:rsidRPr="000B4046" w:rsidRDefault="00BF1937" w:rsidP="00110459">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Auteurs d</w:t>
            </w:r>
            <w:r w:rsidR="008300FB" w:rsidRPr="000B4046">
              <w:rPr>
                <w:i/>
                <w:sz w:val="14"/>
                <w:lang w:val="fr-CH"/>
              </w:rPr>
              <w:t>’</w:t>
            </w:r>
            <w:r w:rsidRPr="000B4046">
              <w:rPr>
                <w:i/>
                <w:sz w:val="14"/>
                <w:lang w:val="fr-CH"/>
              </w:rPr>
              <w:t>infractions</w:t>
            </w:r>
            <w:r w:rsidR="00110459">
              <w:rPr>
                <w:i/>
                <w:sz w:val="14"/>
                <w:lang w:val="fr-CH"/>
              </w:rPr>
              <w:t xml:space="preserve"> </w:t>
            </w:r>
          </w:p>
        </w:tc>
        <w:tc>
          <w:tcPr>
            <w:tcW w:w="846" w:type="dxa"/>
            <w:tcBorders>
              <w:top w:val="nil"/>
              <w:left w:val="nil"/>
              <w:bottom w:val="single" w:sz="12"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Total</w:t>
            </w:r>
          </w:p>
        </w:tc>
        <w:tc>
          <w:tcPr>
            <w:tcW w:w="990" w:type="dxa"/>
            <w:gridSpan w:val="2"/>
            <w:tcBorders>
              <w:top w:val="nil"/>
              <w:left w:val="nil"/>
              <w:bottom w:val="single" w:sz="12" w:space="0" w:color="auto"/>
              <w:right w:val="nil"/>
            </w:tcBorders>
            <w:vAlign w:val="bottom"/>
            <w:hideMark/>
          </w:tcPr>
          <w:p w:rsidR="00BF1937" w:rsidRPr="000B4046" w:rsidRDefault="00BF1937" w:rsidP="00110459">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Auteurs d</w:t>
            </w:r>
            <w:r w:rsidR="008300FB" w:rsidRPr="000B4046">
              <w:rPr>
                <w:i/>
                <w:sz w:val="14"/>
                <w:lang w:val="fr-CH"/>
              </w:rPr>
              <w:t>’</w:t>
            </w:r>
            <w:r w:rsidRPr="000B4046">
              <w:rPr>
                <w:i/>
                <w:sz w:val="14"/>
                <w:lang w:val="fr-CH"/>
              </w:rPr>
              <w:t>infractions</w:t>
            </w:r>
            <w:r w:rsidR="00110459">
              <w:rPr>
                <w:i/>
                <w:sz w:val="14"/>
                <w:lang w:val="fr-CH"/>
              </w:rPr>
              <w:t xml:space="preserve"> </w:t>
            </w:r>
          </w:p>
        </w:tc>
        <w:tc>
          <w:tcPr>
            <w:tcW w:w="900" w:type="dxa"/>
            <w:gridSpan w:val="2"/>
            <w:tcBorders>
              <w:top w:val="nil"/>
              <w:left w:val="nil"/>
              <w:bottom w:val="single" w:sz="12"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Total</w:t>
            </w:r>
          </w:p>
        </w:tc>
        <w:tc>
          <w:tcPr>
            <w:tcW w:w="948" w:type="dxa"/>
            <w:tcBorders>
              <w:top w:val="nil"/>
              <w:left w:val="nil"/>
              <w:bottom w:val="single" w:sz="12" w:space="0" w:color="auto"/>
              <w:right w:val="nil"/>
            </w:tcBorders>
            <w:vAlign w:val="bottom"/>
            <w:hideMark/>
          </w:tcPr>
          <w:p w:rsidR="00BF1937" w:rsidRPr="000B4046" w:rsidRDefault="00BF1937" w:rsidP="00110459">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Auteurs d</w:t>
            </w:r>
            <w:r w:rsidR="008300FB" w:rsidRPr="000B4046">
              <w:rPr>
                <w:i/>
                <w:sz w:val="14"/>
                <w:lang w:val="fr-CH"/>
              </w:rPr>
              <w:t>’</w:t>
            </w:r>
            <w:r w:rsidRPr="000B4046">
              <w:rPr>
                <w:i/>
                <w:sz w:val="14"/>
                <w:lang w:val="fr-CH"/>
              </w:rPr>
              <w:t>infractions</w:t>
            </w:r>
            <w:r w:rsidR="00110459">
              <w:rPr>
                <w:i/>
                <w:sz w:val="14"/>
                <w:lang w:val="fr-CH"/>
              </w:rPr>
              <w:t xml:space="preserve"> </w:t>
            </w:r>
          </w:p>
        </w:tc>
      </w:tr>
      <w:tr w:rsidR="00BF1937" w:rsidRPr="00BF1937" w:rsidTr="000B4046">
        <w:trPr>
          <w:trHeight w:val="300"/>
        </w:trPr>
        <w:tc>
          <w:tcPr>
            <w:tcW w:w="1827" w:type="dxa"/>
            <w:gridSpan w:val="3"/>
            <w:tcBorders>
              <w:top w:val="single" w:sz="12" w:space="0" w:color="auto"/>
              <w:left w:val="nil"/>
              <w:bottom w:val="single" w:sz="4" w:space="0" w:color="auto"/>
              <w:right w:val="nil"/>
            </w:tcBorders>
            <w:noWrap/>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p>
        </w:tc>
        <w:tc>
          <w:tcPr>
            <w:tcW w:w="5547" w:type="dxa"/>
            <w:gridSpan w:val="10"/>
            <w:tcBorders>
              <w:top w:val="single" w:sz="12"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center"/>
              <w:rPr>
                <w:i/>
                <w:sz w:val="14"/>
                <w:lang w:val="fr-CH"/>
              </w:rPr>
            </w:pPr>
            <w:r w:rsidRPr="000B4046">
              <w:rPr>
                <w:i/>
                <w:sz w:val="14"/>
                <w:lang w:val="fr-CH"/>
              </w:rPr>
              <w:t>Valeurs absolues</w:t>
            </w:r>
          </w:p>
        </w:tc>
      </w:tr>
      <w:tr w:rsidR="00BF1937" w:rsidRPr="00BF1937" w:rsidTr="000B4046">
        <w:trPr>
          <w:trHeight w:val="300"/>
        </w:trPr>
        <w:tc>
          <w:tcPr>
            <w:tcW w:w="1827" w:type="dxa"/>
            <w:gridSpan w:val="3"/>
            <w:tcBorders>
              <w:top w:val="single" w:sz="4" w:space="0" w:color="auto"/>
              <w:left w:val="nil"/>
              <w:bottom w:val="single" w:sz="4" w:space="0" w:color="auto"/>
              <w:right w:val="nil"/>
            </w:tcBorders>
            <w:noWrap/>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rPr>
                <w:i/>
                <w:sz w:val="14"/>
                <w:lang w:val="fr-CH"/>
              </w:rPr>
            </w:pPr>
            <w:r w:rsidRPr="000B4046">
              <w:rPr>
                <w:i/>
                <w:sz w:val="14"/>
                <w:lang w:val="fr-CH"/>
              </w:rPr>
              <w:t>Durée de la peine d</w:t>
            </w:r>
            <w:r w:rsidR="008300FB" w:rsidRPr="000B4046">
              <w:rPr>
                <w:i/>
                <w:sz w:val="14"/>
                <w:lang w:val="fr-CH"/>
              </w:rPr>
              <w:t>’</w:t>
            </w:r>
            <w:r w:rsidRPr="000B4046">
              <w:rPr>
                <w:i/>
                <w:sz w:val="14"/>
                <w:lang w:val="fr-CH"/>
              </w:rPr>
              <w:t>emprisonnement</w:t>
            </w:r>
          </w:p>
        </w:tc>
        <w:tc>
          <w:tcPr>
            <w:tcW w:w="864" w:type="dxa"/>
            <w:tcBorders>
              <w:top w:val="single" w:sz="4"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w:t>
            </w:r>
          </w:p>
        </w:tc>
        <w:tc>
          <w:tcPr>
            <w:tcW w:w="981" w:type="dxa"/>
            <w:tcBorders>
              <w:top w:val="single" w:sz="4"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w:t>
            </w:r>
          </w:p>
        </w:tc>
        <w:tc>
          <w:tcPr>
            <w:tcW w:w="864" w:type="dxa"/>
            <w:gridSpan w:val="3"/>
            <w:tcBorders>
              <w:top w:val="single" w:sz="4"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2</w:t>
            </w:r>
          </w:p>
        </w:tc>
        <w:tc>
          <w:tcPr>
            <w:tcW w:w="981" w:type="dxa"/>
            <w:tcBorders>
              <w:top w:val="single" w:sz="4"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2</w:t>
            </w:r>
          </w:p>
        </w:tc>
        <w:tc>
          <w:tcPr>
            <w:tcW w:w="900" w:type="dxa"/>
            <w:gridSpan w:val="2"/>
            <w:tcBorders>
              <w:top w:val="single" w:sz="4"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0</w:t>
            </w:r>
          </w:p>
        </w:tc>
        <w:tc>
          <w:tcPr>
            <w:tcW w:w="957" w:type="dxa"/>
            <w:gridSpan w:val="2"/>
            <w:tcBorders>
              <w:top w:val="single" w:sz="4"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0</w:t>
            </w:r>
          </w:p>
        </w:tc>
      </w:tr>
      <w:tr w:rsidR="00BF1937" w:rsidRPr="00BF1937" w:rsidTr="000B4046">
        <w:tc>
          <w:tcPr>
            <w:tcW w:w="441" w:type="dxa"/>
            <w:tcBorders>
              <w:top w:val="single" w:sz="4" w:space="0" w:color="auto"/>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 </w:t>
            </w:r>
          </w:p>
        </w:tc>
        <w:tc>
          <w:tcPr>
            <w:tcW w:w="1386" w:type="dxa"/>
            <w:gridSpan w:val="2"/>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 mois</w:t>
            </w:r>
          </w:p>
        </w:tc>
        <w:tc>
          <w:tcPr>
            <w:tcW w:w="864" w:type="dxa"/>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80</w:t>
            </w:r>
          </w:p>
        </w:tc>
        <w:tc>
          <w:tcPr>
            <w:tcW w:w="981" w:type="dxa"/>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78</w:t>
            </w:r>
          </w:p>
        </w:tc>
        <w:tc>
          <w:tcPr>
            <w:tcW w:w="864" w:type="dxa"/>
            <w:gridSpan w:val="3"/>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111</w:t>
            </w:r>
          </w:p>
        </w:tc>
        <w:tc>
          <w:tcPr>
            <w:tcW w:w="981" w:type="dxa"/>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107</w:t>
            </w:r>
          </w:p>
        </w:tc>
        <w:tc>
          <w:tcPr>
            <w:tcW w:w="900" w:type="dxa"/>
            <w:gridSpan w:val="2"/>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102</w:t>
            </w:r>
          </w:p>
        </w:tc>
        <w:tc>
          <w:tcPr>
            <w:tcW w:w="957" w:type="dxa"/>
            <w:gridSpan w:val="2"/>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99</w:t>
            </w:r>
          </w:p>
        </w:tc>
      </w:tr>
      <w:tr w:rsidR="00BF1937" w:rsidRPr="00BF1937" w:rsidTr="000B4046">
        <w:tc>
          <w:tcPr>
            <w:tcW w:w="441" w:type="dxa"/>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lastRenderedPageBreak/>
              <w:t>1</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 xml:space="preserve">&lt; 3 mois </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352</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346</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435</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431</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340</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339</w:t>
            </w:r>
          </w:p>
        </w:tc>
      </w:tr>
      <w:tr w:rsidR="00BF1937" w:rsidRPr="00BF1937" w:rsidTr="000B4046">
        <w:tc>
          <w:tcPr>
            <w:tcW w:w="441" w:type="dxa"/>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3</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6 mois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292</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287</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282</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277</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250</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247</w:t>
            </w:r>
          </w:p>
        </w:tc>
      </w:tr>
      <w:tr w:rsidR="00BF1937" w:rsidRPr="00BF1937" w:rsidTr="000B4046">
        <w:tc>
          <w:tcPr>
            <w:tcW w:w="441" w:type="dxa"/>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6</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12 mois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186</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166</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240</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191</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230</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194</w:t>
            </w:r>
          </w:p>
        </w:tc>
      </w:tr>
      <w:tr w:rsidR="00BF1937" w:rsidRPr="00BF1937" w:rsidTr="000B4046">
        <w:tc>
          <w:tcPr>
            <w:tcW w:w="441" w:type="dxa"/>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12</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18 mois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177</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48</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221</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54</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243</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64</w:t>
            </w:r>
          </w:p>
        </w:tc>
      </w:tr>
      <w:tr w:rsidR="00BF1937" w:rsidRPr="00BF1937" w:rsidTr="000B4046">
        <w:tc>
          <w:tcPr>
            <w:tcW w:w="441" w:type="dxa"/>
            <w:tcBorders>
              <w:top w:val="nil"/>
              <w:left w:val="nil"/>
              <w:bottom w:val="nil"/>
              <w:right w:val="nil"/>
            </w:tcBorders>
            <w:noWrap/>
            <w:hideMark/>
          </w:tcPr>
          <w:p w:rsidR="00BF1937" w:rsidRPr="000B4046" w:rsidRDefault="00AB37C5" w:rsidP="000B4046">
            <w:pPr>
              <w:tabs>
                <w:tab w:val="left" w:pos="288"/>
                <w:tab w:val="left" w:pos="576"/>
                <w:tab w:val="left" w:pos="864"/>
                <w:tab w:val="left" w:pos="1152"/>
              </w:tabs>
              <w:suppressAutoHyphens/>
              <w:spacing w:before="40" w:after="40" w:line="210" w:lineRule="exact"/>
              <w:ind w:right="40"/>
              <w:rPr>
                <w:sz w:val="17"/>
                <w:lang w:val="fr-CH"/>
              </w:rPr>
            </w:pPr>
            <w:r>
              <w:rPr>
                <w:sz w:val="17"/>
                <w:lang w:val="fr-CH"/>
              </w:rPr>
              <w:t>1,</w:t>
            </w:r>
            <w:r w:rsidR="00BF1937" w:rsidRPr="000B4046">
              <w:rPr>
                <w:sz w:val="17"/>
                <w:lang w:val="fr-CH"/>
              </w:rPr>
              <w:t>5</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2 ans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30</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30</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23</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23</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25</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25</w:t>
            </w:r>
          </w:p>
        </w:tc>
      </w:tr>
      <w:tr w:rsidR="00BF1937" w:rsidRPr="00BF1937" w:rsidTr="000B4046">
        <w:tc>
          <w:tcPr>
            <w:tcW w:w="441" w:type="dxa"/>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2</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5 ans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96</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96</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77</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77</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61</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61</w:t>
            </w:r>
          </w:p>
        </w:tc>
      </w:tr>
      <w:tr w:rsidR="00BF1937" w:rsidRPr="00BF1937" w:rsidTr="000B4046">
        <w:tc>
          <w:tcPr>
            <w:tcW w:w="441" w:type="dxa"/>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5</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10 ans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24</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24</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28</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28</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35</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35</w:t>
            </w:r>
          </w:p>
        </w:tc>
      </w:tr>
      <w:tr w:rsidR="00BF1937" w:rsidRPr="00BF1937" w:rsidTr="000B4046">
        <w:tc>
          <w:tcPr>
            <w:tcW w:w="441" w:type="dxa"/>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10</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15 ans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10</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10</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8</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8</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w:t>
            </w:r>
          </w:p>
        </w:tc>
      </w:tr>
      <w:tr w:rsidR="00BF1937" w:rsidRPr="00BF1937" w:rsidTr="000B4046">
        <w:tc>
          <w:tcPr>
            <w:tcW w:w="441" w:type="dxa"/>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15</w:t>
            </w:r>
          </w:p>
        </w:tc>
        <w:tc>
          <w:tcPr>
            <w:tcW w:w="1386"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 xml:space="preserve">ans et plus </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8</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8</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5</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5</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5</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5</w:t>
            </w:r>
          </w:p>
        </w:tc>
      </w:tr>
      <w:tr w:rsidR="00BF1937" w:rsidRPr="00BF1937" w:rsidTr="000B4046">
        <w:tc>
          <w:tcPr>
            <w:tcW w:w="1827" w:type="dxa"/>
            <w:gridSpan w:val="3"/>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Réclusion à perpétuité</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864" w:type="dxa"/>
            <w:gridSpan w:val="3"/>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w:t>
            </w:r>
          </w:p>
        </w:tc>
      </w:tr>
      <w:tr w:rsidR="00BF1937" w:rsidRPr="00BF1937" w:rsidTr="000B4046">
        <w:tc>
          <w:tcPr>
            <w:tcW w:w="1827" w:type="dxa"/>
            <w:gridSpan w:val="3"/>
            <w:tcBorders>
              <w:top w:val="nil"/>
              <w:left w:val="nil"/>
              <w:bottom w:val="single" w:sz="4" w:space="0" w:color="auto"/>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Peine capitale</w:t>
            </w:r>
          </w:p>
        </w:tc>
        <w:tc>
          <w:tcPr>
            <w:tcW w:w="864" w:type="dxa"/>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981" w:type="dxa"/>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864" w:type="dxa"/>
            <w:gridSpan w:val="3"/>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981" w:type="dxa"/>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900" w:type="dxa"/>
            <w:gridSpan w:val="2"/>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c>
          <w:tcPr>
            <w:tcW w:w="957" w:type="dxa"/>
            <w:gridSpan w:val="2"/>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w:t>
            </w:r>
          </w:p>
        </w:tc>
      </w:tr>
      <w:tr w:rsidR="000B4046" w:rsidRPr="00BF1937" w:rsidTr="000B4046">
        <w:trPr>
          <w:trHeight w:val="340"/>
        </w:trPr>
        <w:tc>
          <w:tcPr>
            <w:tcW w:w="1827" w:type="dxa"/>
            <w:gridSpan w:val="3"/>
            <w:tcBorders>
              <w:top w:val="single" w:sz="4" w:space="0" w:color="auto"/>
              <w:left w:val="nil"/>
              <w:bottom w:val="single" w:sz="6" w:space="0" w:color="auto"/>
              <w:right w:val="nil"/>
            </w:tcBorders>
            <w:noWrap/>
            <w:hideMark/>
          </w:tcPr>
          <w:p w:rsidR="000B4046" w:rsidRPr="00BF1937" w:rsidRDefault="000B4046" w:rsidP="000B4046">
            <w:pPr>
              <w:tabs>
                <w:tab w:val="left" w:pos="288"/>
                <w:tab w:val="left" w:pos="576"/>
                <w:tab w:val="left" w:pos="864"/>
                <w:tab w:val="left" w:pos="1152"/>
              </w:tabs>
              <w:suppressAutoHyphens/>
              <w:spacing w:before="81" w:after="81" w:line="210" w:lineRule="exact"/>
              <w:ind w:right="40"/>
              <w:rPr>
                <w:b/>
                <w:bCs/>
                <w:lang w:val="fr-CH"/>
              </w:rPr>
            </w:pPr>
            <w:r>
              <w:rPr>
                <w:b/>
                <w:sz w:val="17"/>
                <w:lang w:val="fr-CH"/>
              </w:rPr>
              <w:tab/>
            </w:r>
            <w:r w:rsidRPr="000B4046">
              <w:rPr>
                <w:b/>
                <w:sz w:val="17"/>
                <w:lang w:val="fr-CH"/>
              </w:rPr>
              <w:t>Total</w:t>
            </w:r>
          </w:p>
        </w:tc>
        <w:tc>
          <w:tcPr>
            <w:tcW w:w="864" w:type="dxa"/>
            <w:tcBorders>
              <w:top w:val="single" w:sz="4" w:space="0" w:color="auto"/>
              <w:left w:val="nil"/>
              <w:bottom w:val="single" w:sz="6" w:space="0" w:color="auto"/>
              <w:right w:val="nil"/>
            </w:tcBorders>
            <w:noWrap/>
            <w:vAlign w:val="bottom"/>
            <w:hideMark/>
          </w:tcPr>
          <w:p w:rsidR="000B4046" w:rsidRPr="000B4046" w:rsidRDefault="000B4046" w:rsidP="000B4046">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1 255</w:t>
            </w:r>
          </w:p>
        </w:tc>
        <w:tc>
          <w:tcPr>
            <w:tcW w:w="981" w:type="dxa"/>
            <w:tcBorders>
              <w:top w:val="single" w:sz="4" w:space="0" w:color="auto"/>
              <w:left w:val="nil"/>
              <w:bottom w:val="single" w:sz="6" w:space="0" w:color="auto"/>
              <w:right w:val="nil"/>
            </w:tcBorders>
            <w:noWrap/>
            <w:vAlign w:val="bottom"/>
            <w:hideMark/>
          </w:tcPr>
          <w:p w:rsidR="000B4046" w:rsidRPr="000B4046" w:rsidRDefault="000B4046" w:rsidP="000B4046">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1 093</w:t>
            </w:r>
          </w:p>
        </w:tc>
        <w:tc>
          <w:tcPr>
            <w:tcW w:w="864" w:type="dxa"/>
            <w:gridSpan w:val="3"/>
            <w:tcBorders>
              <w:top w:val="single" w:sz="4" w:space="0" w:color="auto"/>
              <w:left w:val="nil"/>
              <w:bottom w:val="single" w:sz="6" w:space="0" w:color="auto"/>
              <w:right w:val="nil"/>
            </w:tcBorders>
            <w:noWrap/>
            <w:vAlign w:val="bottom"/>
            <w:hideMark/>
          </w:tcPr>
          <w:p w:rsidR="000B4046" w:rsidRPr="000B4046" w:rsidRDefault="000B4046" w:rsidP="000B4046">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1 432</w:t>
            </w:r>
          </w:p>
        </w:tc>
        <w:tc>
          <w:tcPr>
            <w:tcW w:w="981" w:type="dxa"/>
            <w:tcBorders>
              <w:top w:val="single" w:sz="4" w:space="0" w:color="auto"/>
              <w:left w:val="nil"/>
              <w:bottom w:val="single" w:sz="6" w:space="0" w:color="auto"/>
              <w:right w:val="nil"/>
            </w:tcBorders>
            <w:noWrap/>
            <w:vAlign w:val="bottom"/>
            <w:hideMark/>
          </w:tcPr>
          <w:p w:rsidR="000B4046" w:rsidRPr="000B4046" w:rsidRDefault="000B4046" w:rsidP="000B4046">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1 203</w:t>
            </w:r>
          </w:p>
        </w:tc>
        <w:tc>
          <w:tcPr>
            <w:tcW w:w="900" w:type="dxa"/>
            <w:gridSpan w:val="2"/>
            <w:tcBorders>
              <w:top w:val="single" w:sz="4" w:space="0" w:color="auto"/>
              <w:left w:val="nil"/>
              <w:bottom w:val="single" w:sz="6" w:space="0" w:color="auto"/>
              <w:right w:val="nil"/>
            </w:tcBorders>
            <w:noWrap/>
            <w:vAlign w:val="bottom"/>
            <w:hideMark/>
          </w:tcPr>
          <w:p w:rsidR="000B4046" w:rsidRPr="000B4046" w:rsidRDefault="000B4046" w:rsidP="000B4046">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1 301</w:t>
            </w:r>
          </w:p>
        </w:tc>
        <w:tc>
          <w:tcPr>
            <w:tcW w:w="957" w:type="dxa"/>
            <w:gridSpan w:val="2"/>
            <w:tcBorders>
              <w:top w:val="single" w:sz="4" w:space="0" w:color="auto"/>
              <w:left w:val="nil"/>
              <w:bottom w:val="single" w:sz="6" w:space="0" w:color="auto"/>
              <w:right w:val="nil"/>
            </w:tcBorders>
            <w:noWrap/>
            <w:vAlign w:val="bottom"/>
            <w:hideMark/>
          </w:tcPr>
          <w:p w:rsidR="000B4046" w:rsidRPr="000B4046" w:rsidRDefault="000B4046" w:rsidP="000B4046">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1 079</w:t>
            </w:r>
          </w:p>
        </w:tc>
      </w:tr>
      <w:tr w:rsidR="00BF1937" w:rsidRPr="00BF1937" w:rsidTr="000B4046">
        <w:trPr>
          <w:trHeight w:val="300"/>
        </w:trPr>
        <w:tc>
          <w:tcPr>
            <w:tcW w:w="1827" w:type="dxa"/>
            <w:gridSpan w:val="3"/>
            <w:tcBorders>
              <w:top w:val="single" w:sz="6" w:space="0" w:color="auto"/>
              <w:left w:val="nil"/>
              <w:bottom w:val="single" w:sz="4" w:space="0" w:color="auto"/>
              <w:right w:val="nil"/>
            </w:tcBorders>
            <w:noWrap/>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center"/>
              <w:rPr>
                <w:i/>
                <w:sz w:val="14"/>
                <w:lang w:val="fr-CH"/>
              </w:rPr>
            </w:pPr>
          </w:p>
        </w:tc>
        <w:tc>
          <w:tcPr>
            <w:tcW w:w="5547" w:type="dxa"/>
            <w:gridSpan w:val="10"/>
            <w:tcBorders>
              <w:top w:val="single" w:sz="6"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center"/>
              <w:rPr>
                <w:i/>
                <w:sz w:val="14"/>
                <w:lang w:val="fr-CH"/>
              </w:rPr>
            </w:pPr>
            <w:r w:rsidRPr="000B4046">
              <w:rPr>
                <w:i/>
                <w:sz w:val="14"/>
                <w:lang w:val="fr-CH"/>
              </w:rPr>
              <w:t>Pourcentage</w:t>
            </w:r>
          </w:p>
        </w:tc>
      </w:tr>
      <w:tr w:rsidR="00BF1937" w:rsidRPr="00BF1937" w:rsidTr="000B4046">
        <w:trPr>
          <w:trHeight w:val="300"/>
        </w:trPr>
        <w:tc>
          <w:tcPr>
            <w:tcW w:w="1827" w:type="dxa"/>
            <w:gridSpan w:val="3"/>
            <w:tcBorders>
              <w:top w:val="single" w:sz="4" w:space="0" w:color="auto"/>
              <w:left w:val="nil"/>
              <w:bottom w:val="single" w:sz="4" w:space="0" w:color="auto"/>
              <w:right w:val="nil"/>
            </w:tcBorders>
            <w:noWrap/>
            <w:hideMark/>
          </w:tcPr>
          <w:p w:rsidR="00BF1937" w:rsidRPr="00BF1937" w:rsidRDefault="00BF1937" w:rsidP="000B4046">
            <w:pPr>
              <w:tabs>
                <w:tab w:val="left" w:pos="288"/>
                <w:tab w:val="left" w:pos="576"/>
                <w:tab w:val="left" w:pos="864"/>
                <w:tab w:val="left" w:pos="1152"/>
              </w:tabs>
              <w:suppressAutoHyphens/>
              <w:spacing w:before="80" w:after="80" w:line="160" w:lineRule="exact"/>
              <w:ind w:right="40"/>
              <w:rPr>
                <w:iCs/>
                <w:lang w:val="fr-CH"/>
              </w:rPr>
            </w:pPr>
            <w:r w:rsidRPr="000B4046">
              <w:rPr>
                <w:i/>
                <w:sz w:val="14"/>
                <w:lang w:val="fr-CH"/>
              </w:rPr>
              <w:t>Durée de la peine d</w:t>
            </w:r>
            <w:r w:rsidR="008300FB" w:rsidRPr="000B4046">
              <w:rPr>
                <w:i/>
                <w:sz w:val="14"/>
                <w:lang w:val="fr-CH"/>
              </w:rPr>
              <w:t>’</w:t>
            </w:r>
            <w:r w:rsidRPr="000B4046">
              <w:rPr>
                <w:i/>
                <w:sz w:val="14"/>
                <w:lang w:val="fr-CH"/>
              </w:rPr>
              <w:t>emprisonnement</w:t>
            </w:r>
          </w:p>
        </w:tc>
        <w:tc>
          <w:tcPr>
            <w:tcW w:w="864" w:type="dxa"/>
            <w:tcBorders>
              <w:top w:val="single" w:sz="4"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w:t>
            </w:r>
          </w:p>
        </w:tc>
        <w:tc>
          <w:tcPr>
            <w:tcW w:w="990" w:type="dxa"/>
            <w:gridSpan w:val="2"/>
            <w:tcBorders>
              <w:top w:val="single" w:sz="4" w:space="0" w:color="auto"/>
              <w:left w:val="nil"/>
              <w:bottom w:val="single" w:sz="4" w:space="0" w:color="auto"/>
              <w:right w:val="nil"/>
            </w:tcBorders>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w:t>
            </w:r>
          </w:p>
        </w:tc>
        <w:tc>
          <w:tcPr>
            <w:tcW w:w="855" w:type="dxa"/>
            <w:gridSpan w:val="2"/>
            <w:tcBorders>
              <w:top w:val="single" w:sz="4" w:space="0" w:color="auto"/>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0,1</w:t>
            </w:r>
          </w:p>
        </w:tc>
        <w:tc>
          <w:tcPr>
            <w:tcW w:w="981" w:type="dxa"/>
            <w:tcBorders>
              <w:top w:val="single" w:sz="4" w:space="0" w:color="auto"/>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0,2</w:t>
            </w:r>
          </w:p>
        </w:tc>
        <w:tc>
          <w:tcPr>
            <w:tcW w:w="900" w:type="dxa"/>
            <w:gridSpan w:val="2"/>
            <w:tcBorders>
              <w:top w:val="single" w:sz="4" w:space="0" w:color="auto"/>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0,0</w:t>
            </w:r>
          </w:p>
        </w:tc>
        <w:tc>
          <w:tcPr>
            <w:tcW w:w="957" w:type="dxa"/>
            <w:gridSpan w:val="2"/>
            <w:tcBorders>
              <w:top w:val="single" w:sz="4" w:space="0" w:color="auto"/>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80" w:after="80" w:line="160" w:lineRule="exact"/>
              <w:ind w:right="40"/>
              <w:jc w:val="right"/>
              <w:rPr>
                <w:i/>
                <w:sz w:val="14"/>
                <w:lang w:val="fr-CH"/>
              </w:rPr>
            </w:pPr>
            <w:r w:rsidRPr="000B4046">
              <w:rPr>
                <w:i/>
                <w:sz w:val="14"/>
                <w:lang w:val="fr-CH"/>
              </w:rPr>
              <w:t>0,0</w:t>
            </w:r>
          </w:p>
        </w:tc>
      </w:tr>
      <w:tr w:rsidR="00BF1937" w:rsidRPr="00BF1937" w:rsidTr="000B4046">
        <w:trPr>
          <w:trHeight w:val="300"/>
        </w:trPr>
        <w:tc>
          <w:tcPr>
            <w:tcW w:w="450" w:type="dxa"/>
            <w:gridSpan w:val="2"/>
            <w:tcBorders>
              <w:top w:val="single" w:sz="4" w:space="0" w:color="auto"/>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 </w:t>
            </w:r>
          </w:p>
        </w:tc>
        <w:tc>
          <w:tcPr>
            <w:tcW w:w="1377" w:type="dxa"/>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 mois</w:t>
            </w:r>
          </w:p>
        </w:tc>
        <w:tc>
          <w:tcPr>
            <w:tcW w:w="864" w:type="dxa"/>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6,4</w:t>
            </w:r>
          </w:p>
        </w:tc>
        <w:tc>
          <w:tcPr>
            <w:tcW w:w="990" w:type="dxa"/>
            <w:gridSpan w:val="2"/>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7,1</w:t>
            </w:r>
          </w:p>
        </w:tc>
        <w:tc>
          <w:tcPr>
            <w:tcW w:w="855" w:type="dxa"/>
            <w:gridSpan w:val="2"/>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7,8</w:t>
            </w:r>
          </w:p>
        </w:tc>
        <w:tc>
          <w:tcPr>
            <w:tcW w:w="981" w:type="dxa"/>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8,9</w:t>
            </w:r>
          </w:p>
        </w:tc>
        <w:tc>
          <w:tcPr>
            <w:tcW w:w="900" w:type="dxa"/>
            <w:gridSpan w:val="2"/>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7,8</w:t>
            </w:r>
          </w:p>
        </w:tc>
        <w:tc>
          <w:tcPr>
            <w:tcW w:w="957" w:type="dxa"/>
            <w:gridSpan w:val="2"/>
            <w:tcBorders>
              <w:top w:val="single" w:sz="4" w:space="0" w:color="auto"/>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9,2</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1</w:t>
            </w:r>
          </w:p>
        </w:tc>
        <w:tc>
          <w:tcPr>
            <w:tcW w:w="1377"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3 mois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28,0</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31,7</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30,4</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35,8</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26,1</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31,4</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3</w:t>
            </w:r>
          </w:p>
        </w:tc>
        <w:tc>
          <w:tcPr>
            <w:tcW w:w="1377"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6 mois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23,3</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26,3</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19,7</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23,0</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19,2</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22,9</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6</w:t>
            </w:r>
          </w:p>
        </w:tc>
        <w:tc>
          <w:tcPr>
            <w:tcW w:w="1377"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12 mois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14,8</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15,2</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16,8</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15,9</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17,7</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18,0</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12</w:t>
            </w:r>
          </w:p>
        </w:tc>
        <w:tc>
          <w:tcPr>
            <w:tcW w:w="1377"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18 mois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14,1</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4,4</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15,4</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4,5</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18,7</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5,9</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AB37C5">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1</w:t>
            </w:r>
            <w:r w:rsidR="00AB37C5">
              <w:rPr>
                <w:sz w:val="17"/>
                <w:lang w:val="fr-CH"/>
              </w:rPr>
              <w:t>,</w:t>
            </w:r>
            <w:r w:rsidRPr="000B4046">
              <w:rPr>
                <w:sz w:val="17"/>
                <w:lang w:val="fr-CH"/>
              </w:rPr>
              <w:t>5</w:t>
            </w:r>
          </w:p>
        </w:tc>
        <w:tc>
          <w:tcPr>
            <w:tcW w:w="1377"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2 ans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2,4</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2,7</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1,6</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1,9</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1,9</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2,3</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2</w:t>
            </w:r>
          </w:p>
        </w:tc>
        <w:tc>
          <w:tcPr>
            <w:tcW w:w="1377"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5</w:t>
            </w:r>
            <w:r w:rsidR="003769AB">
              <w:rPr>
                <w:sz w:val="17"/>
                <w:lang w:val="fr-CH"/>
              </w:rPr>
              <w:t xml:space="preserve"> </w:t>
            </w:r>
            <w:r w:rsidRPr="000B4046">
              <w:rPr>
                <w:sz w:val="17"/>
                <w:lang w:val="fr-CH"/>
              </w:rPr>
              <w:t>ans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7,6</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8,8</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5,4</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6,4</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4,7</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5,7</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5</w:t>
            </w:r>
          </w:p>
        </w:tc>
        <w:tc>
          <w:tcPr>
            <w:tcW w:w="1377"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10 ans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1,9</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2,2</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2,0</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2,3</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2,7</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3,2</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10</w:t>
            </w:r>
          </w:p>
        </w:tc>
        <w:tc>
          <w:tcPr>
            <w:tcW w:w="1377"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&lt; 15 ans</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0,8</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0,9</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0,6</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0,7</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0,5</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0,6</w:t>
            </w:r>
          </w:p>
        </w:tc>
      </w:tr>
      <w:tr w:rsidR="00BF1937" w:rsidRPr="00BF1937" w:rsidTr="000B4046">
        <w:trPr>
          <w:trHeight w:val="300"/>
        </w:trPr>
        <w:tc>
          <w:tcPr>
            <w:tcW w:w="450" w:type="dxa"/>
            <w:gridSpan w:val="2"/>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15</w:t>
            </w:r>
          </w:p>
        </w:tc>
        <w:tc>
          <w:tcPr>
            <w:tcW w:w="1377" w:type="dxa"/>
            <w:tcBorders>
              <w:top w:val="nil"/>
              <w:left w:val="nil"/>
              <w:bottom w:val="nil"/>
              <w:right w:val="nil"/>
            </w:tcBorders>
            <w:noWrap/>
            <w:vAlign w:val="bottom"/>
            <w:hideMark/>
          </w:tcPr>
          <w:p w:rsidR="00BF1937" w:rsidRPr="000B4046" w:rsidRDefault="00110459" w:rsidP="00110459">
            <w:pPr>
              <w:tabs>
                <w:tab w:val="left" w:pos="288"/>
                <w:tab w:val="left" w:pos="576"/>
                <w:tab w:val="left" w:pos="864"/>
                <w:tab w:val="left" w:pos="1152"/>
              </w:tabs>
              <w:suppressAutoHyphens/>
              <w:spacing w:before="40" w:after="40" w:line="210" w:lineRule="exact"/>
              <w:ind w:right="40"/>
              <w:rPr>
                <w:sz w:val="17"/>
                <w:lang w:val="fr-CH"/>
              </w:rPr>
            </w:pPr>
            <w:r>
              <w:rPr>
                <w:sz w:val="17"/>
                <w:lang w:val="fr-CH"/>
              </w:rPr>
              <w:t>a</w:t>
            </w:r>
            <w:r w:rsidR="00BF1937" w:rsidRPr="000B4046">
              <w:rPr>
                <w:sz w:val="17"/>
                <w:lang w:val="fr-CH"/>
              </w:rPr>
              <w:t>ns</w:t>
            </w:r>
            <w:r>
              <w:rPr>
                <w:sz w:val="17"/>
                <w:lang w:val="fr-CH"/>
              </w:rPr>
              <w:t xml:space="preserve"> </w:t>
            </w:r>
            <w:r w:rsidR="00BF1937" w:rsidRPr="000B4046">
              <w:rPr>
                <w:sz w:val="17"/>
                <w:lang w:val="fr-CH"/>
              </w:rPr>
              <w:t xml:space="preserve">et plus </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0,6</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0,7</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0,3</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0,4</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0,4</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0,5</w:t>
            </w:r>
          </w:p>
        </w:tc>
      </w:tr>
      <w:tr w:rsidR="00BF1937" w:rsidRPr="00BF1937" w:rsidTr="000B4046">
        <w:trPr>
          <w:trHeight w:val="300"/>
        </w:trPr>
        <w:tc>
          <w:tcPr>
            <w:tcW w:w="1827" w:type="dxa"/>
            <w:gridSpan w:val="3"/>
            <w:tcBorders>
              <w:top w:val="nil"/>
              <w:left w:val="nil"/>
              <w:bottom w:val="nil"/>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Réclusion à perpétuité</w:t>
            </w:r>
          </w:p>
        </w:tc>
        <w:tc>
          <w:tcPr>
            <w:tcW w:w="864"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99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855"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981" w:type="dxa"/>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900"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0,2</w:t>
            </w:r>
          </w:p>
        </w:tc>
        <w:tc>
          <w:tcPr>
            <w:tcW w:w="957" w:type="dxa"/>
            <w:gridSpan w:val="2"/>
            <w:tcBorders>
              <w:top w:val="nil"/>
              <w:left w:val="nil"/>
              <w:bottom w:val="nil"/>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0,3</w:t>
            </w:r>
          </w:p>
        </w:tc>
      </w:tr>
      <w:tr w:rsidR="00BF1937" w:rsidRPr="00BF1937" w:rsidTr="000B4046">
        <w:trPr>
          <w:trHeight w:val="300"/>
        </w:trPr>
        <w:tc>
          <w:tcPr>
            <w:tcW w:w="1827" w:type="dxa"/>
            <w:gridSpan w:val="3"/>
            <w:tcBorders>
              <w:top w:val="nil"/>
              <w:left w:val="nil"/>
              <w:bottom w:val="single" w:sz="4" w:space="0" w:color="auto"/>
              <w:right w:val="nil"/>
            </w:tcBorders>
            <w:noWrap/>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0"/>
              <w:rPr>
                <w:sz w:val="17"/>
                <w:lang w:val="fr-CH"/>
              </w:rPr>
            </w:pPr>
            <w:r w:rsidRPr="000B4046">
              <w:rPr>
                <w:sz w:val="17"/>
                <w:lang w:val="fr-CH"/>
              </w:rPr>
              <w:t>Peine capitale</w:t>
            </w:r>
          </w:p>
        </w:tc>
        <w:tc>
          <w:tcPr>
            <w:tcW w:w="864" w:type="dxa"/>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990" w:type="dxa"/>
            <w:gridSpan w:val="2"/>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855" w:type="dxa"/>
            <w:gridSpan w:val="2"/>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981" w:type="dxa"/>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900" w:type="dxa"/>
            <w:gridSpan w:val="2"/>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c>
          <w:tcPr>
            <w:tcW w:w="957" w:type="dxa"/>
            <w:gridSpan w:val="2"/>
            <w:tcBorders>
              <w:top w:val="nil"/>
              <w:left w:val="nil"/>
              <w:bottom w:val="single" w:sz="4" w:space="0" w:color="auto"/>
              <w:right w:val="nil"/>
            </w:tcBorders>
            <w:noWrap/>
            <w:vAlign w:val="bottom"/>
            <w:hideMark/>
          </w:tcPr>
          <w:p w:rsidR="00BF1937" w:rsidRPr="000B4046" w:rsidRDefault="00BF1937" w:rsidP="000B4046">
            <w:pPr>
              <w:tabs>
                <w:tab w:val="left" w:pos="288"/>
                <w:tab w:val="left" w:pos="576"/>
                <w:tab w:val="left" w:pos="864"/>
                <w:tab w:val="left" w:pos="1152"/>
              </w:tabs>
              <w:suppressAutoHyphens/>
              <w:spacing w:before="40" w:after="40" w:line="210" w:lineRule="exact"/>
              <w:ind w:right="43"/>
              <w:jc w:val="right"/>
              <w:rPr>
                <w:sz w:val="17"/>
                <w:lang w:val="fr-CH"/>
              </w:rPr>
            </w:pPr>
            <w:r w:rsidRPr="000B4046">
              <w:rPr>
                <w:sz w:val="17"/>
                <w:lang w:val="fr-CH"/>
              </w:rPr>
              <w:t>0,0</w:t>
            </w:r>
          </w:p>
        </w:tc>
      </w:tr>
      <w:tr w:rsidR="000B4046" w:rsidRPr="00BF1937" w:rsidTr="000B4046">
        <w:trPr>
          <w:trHeight w:val="300"/>
        </w:trPr>
        <w:tc>
          <w:tcPr>
            <w:tcW w:w="1827" w:type="dxa"/>
            <w:gridSpan w:val="3"/>
            <w:tcBorders>
              <w:top w:val="single" w:sz="4" w:space="0" w:color="auto"/>
              <w:left w:val="nil"/>
              <w:bottom w:val="single" w:sz="12" w:space="0" w:color="auto"/>
              <w:right w:val="nil"/>
            </w:tcBorders>
            <w:noWrap/>
            <w:hideMark/>
          </w:tcPr>
          <w:p w:rsidR="000B4046" w:rsidRPr="00BF1937" w:rsidRDefault="000B4046" w:rsidP="000B4046">
            <w:pPr>
              <w:tabs>
                <w:tab w:val="left" w:pos="288"/>
                <w:tab w:val="left" w:pos="576"/>
                <w:tab w:val="left" w:pos="864"/>
                <w:tab w:val="left" w:pos="1152"/>
              </w:tabs>
              <w:suppressAutoHyphens/>
              <w:spacing w:before="81" w:after="81" w:line="210" w:lineRule="exact"/>
              <w:ind w:right="40"/>
              <w:rPr>
                <w:b/>
                <w:bCs/>
                <w:lang w:val="fr-CH"/>
              </w:rPr>
            </w:pPr>
            <w:r>
              <w:rPr>
                <w:b/>
                <w:sz w:val="17"/>
                <w:lang w:val="fr-CH"/>
              </w:rPr>
              <w:tab/>
            </w:r>
            <w:r w:rsidRPr="000B4046">
              <w:rPr>
                <w:b/>
                <w:sz w:val="17"/>
                <w:lang w:val="fr-CH"/>
              </w:rPr>
              <w:t>Total</w:t>
            </w:r>
          </w:p>
        </w:tc>
        <w:tc>
          <w:tcPr>
            <w:tcW w:w="864" w:type="dxa"/>
            <w:tcBorders>
              <w:top w:val="single" w:sz="4" w:space="0" w:color="auto"/>
              <w:left w:val="nil"/>
              <w:bottom w:val="single" w:sz="12" w:space="0" w:color="auto"/>
              <w:right w:val="nil"/>
            </w:tcBorders>
            <w:noWrap/>
            <w:vAlign w:val="bottom"/>
            <w:hideMark/>
          </w:tcPr>
          <w:p w:rsidR="000B4046" w:rsidRPr="000B4046" w:rsidRDefault="000B4046" w:rsidP="00383D81">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100</w:t>
            </w:r>
            <w:r w:rsidR="00383D81">
              <w:rPr>
                <w:b/>
                <w:sz w:val="17"/>
                <w:lang w:val="fr-CH"/>
              </w:rPr>
              <w:t>,</w:t>
            </w:r>
            <w:r w:rsidRPr="000B4046">
              <w:rPr>
                <w:b/>
                <w:sz w:val="17"/>
                <w:lang w:val="fr-CH"/>
              </w:rPr>
              <w:t>0</w:t>
            </w:r>
          </w:p>
        </w:tc>
        <w:tc>
          <w:tcPr>
            <w:tcW w:w="990" w:type="dxa"/>
            <w:gridSpan w:val="2"/>
            <w:tcBorders>
              <w:top w:val="single" w:sz="4" w:space="0" w:color="auto"/>
              <w:left w:val="nil"/>
              <w:bottom w:val="single" w:sz="12" w:space="0" w:color="auto"/>
              <w:right w:val="nil"/>
            </w:tcBorders>
            <w:noWrap/>
            <w:vAlign w:val="bottom"/>
            <w:hideMark/>
          </w:tcPr>
          <w:p w:rsidR="000B4046" w:rsidRPr="000B4046" w:rsidRDefault="000B4046" w:rsidP="00383D81">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100</w:t>
            </w:r>
            <w:r w:rsidR="00383D81">
              <w:rPr>
                <w:b/>
                <w:sz w:val="17"/>
                <w:lang w:val="fr-CH"/>
              </w:rPr>
              <w:t>,</w:t>
            </w:r>
            <w:r w:rsidRPr="000B4046">
              <w:rPr>
                <w:b/>
                <w:sz w:val="17"/>
                <w:lang w:val="fr-CH"/>
              </w:rPr>
              <w:t>0</w:t>
            </w:r>
          </w:p>
        </w:tc>
        <w:tc>
          <w:tcPr>
            <w:tcW w:w="855" w:type="dxa"/>
            <w:gridSpan w:val="2"/>
            <w:tcBorders>
              <w:top w:val="single" w:sz="4" w:space="0" w:color="auto"/>
              <w:left w:val="nil"/>
              <w:bottom w:val="single" w:sz="12" w:space="0" w:color="auto"/>
              <w:right w:val="nil"/>
            </w:tcBorders>
            <w:noWrap/>
            <w:vAlign w:val="bottom"/>
            <w:hideMark/>
          </w:tcPr>
          <w:p w:rsidR="000B4046" w:rsidRPr="000B4046" w:rsidRDefault="000B4046" w:rsidP="00383D81">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100</w:t>
            </w:r>
            <w:r w:rsidR="00383D81">
              <w:rPr>
                <w:b/>
                <w:sz w:val="17"/>
                <w:lang w:val="fr-CH"/>
              </w:rPr>
              <w:t>,</w:t>
            </w:r>
            <w:r w:rsidRPr="000B4046">
              <w:rPr>
                <w:b/>
                <w:sz w:val="17"/>
                <w:lang w:val="fr-CH"/>
              </w:rPr>
              <w:t>0</w:t>
            </w:r>
          </w:p>
        </w:tc>
        <w:tc>
          <w:tcPr>
            <w:tcW w:w="981" w:type="dxa"/>
            <w:tcBorders>
              <w:top w:val="single" w:sz="4" w:space="0" w:color="auto"/>
              <w:left w:val="nil"/>
              <w:bottom w:val="single" w:sz="12" w:space="0" w:color="auto"/>
              <w:right w:val="nil"/>
            </w:tcBorders>
            <w:noWrap/>
            <w:vAlign w:val="bottom"/>
            <w:hideMark/>
          </w:tcPr>
          <w:p w:rsidR="000B4046" w:rsidRPr="000B4046" w:rsidRDefault="000B4046" w:rsidP="00383D81">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100</w:t>
            </w:r>
            <w:r w:rsidR="00383D81">
              <w:rPr>
                <w:b/>
                <w:sz w:val="17"/>
                <w:lang w:val="fr-CH"/>
              </w:rPr>
              <w:t>,</w:t>
            </w:r>
            <w:r w:rsidRPr="000B4046">
              <w:rPr>
                <w:b/>
                <w:sz w:val="17"/>
                <w:lang w:val="fr-CH"/>
              </w:rPr>
              <w:t>0</w:t>
            </w:r>
          </w:p>
        </w:tc>
        <w:tc>
          <w:tcPr>
            <w:tcW w:w="900" w:type="dxa"/>
            <w:gridSpan w:val="2"/>
            <w:tcBorders>
              <w:top w:val="single" w:sz="4" w:space="0" w:color="auto"/>
              <w:left w:val="nil"/>
              <w:bottom w:val="single" w:sz="12" w:space="0" w:color="auto"/>
              <w:right w:val="nil"/>
            </w:tcBorders>
            <w:noWrap/>
            <w:vAlign w:val="bottom"/>
            <w:hideMark/>
          </w:tcPr>
          <w:p w:rsidR="000B4046" w:rsidRPr="000B4046" w:rsidRDefault="000B4046" w:rsidP="00383D81">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100</w:t>
            </w:r>
            <w:r w:rsidR="00383D81">
              <w:rPr>
                <w:b/>
                <w:sz w:val="17"/>
                <w:lang w:val="fr-CH"/>
              </w:rPr>
              <w:t>,</w:t>
            </w:r>
            <w:r w:rsidRPr="000B4046">
              <w:rPr>
                <w:b/>
                <w:sz w:val="17"/>
                <w:lang w:val="fr-CH"/>
              </w:rPr>
              <w:t>0</w:t>
            </w:r>
          </w:p>
        </w:tc>
        <w:tc>
          <w:tcPr>
            <w:tcW w:w="957" w:type="dxa"/>
            <w:gridSpan w:val="2"/>
            <w:tcBorders>
              <w:top w:val="single" w:sz="4" w:space="0" w:color="auto"/>
              <w:left w:val="nil"/>
              <w:bottom w:val="single" w:sz="12" w:space="0" w:color="auto"/>
              <w:right w:val="nil"/>
            </w:tcBorders>
            <w:noWrap/>
            <w:vAlign w:val="bottom"/>
            <w:hideMark/>
          </w:tcPr>
          <w:p w:rsidR="000B4046" w:rsidRPr="000B4046" w:rsidRDefault="000B4046" w:rsidP="00383D81">
            <w:pPr>
              <w:tabs>
                <w:tab w:val="left" w:pos="288"/>
                <w:tab w:val="left" w:pos="576"/>
                <w:tab w:val="left" w:pos="864"/>
                <w:tab w:val="left" w:pos="1152"/>
              </w:tabs>
              <w:suppressAutoHyphens/>
              <w:spacing w:before="81" w:after="81" w:line="210" w:lineRule="exact"/>
              <w:ind w:right="43"/>
              <w:jc w:val="right"/>
              <w:rPr>
                <w:b/>
                <w:sz w:val="17"/>
                <w:lang w:val="fr-CH"/>
              </w:rPr>
            </w:pPr>
            <w:r w:rsidRPr="000B4046">
              <w:rPr>
                <w:b/>
                <w:sz w:val="17"/>
                <w:lang w:val="fr-CH"/>
              </w:rPr>
              <w:t>100</w:t>
            </w:r>
            <w:r w:rsidR="00383D81">
              <w:rPr>
                <w:b/>
                <w:sz w:val="17"/>
                <w:lang w:val="fr-CH"/>
              </w:rPr>
              <w:t>,</w:t>
            </w:r>
            <w:r w:rsidRPr="000B4046">
              <w:rPr>
                <w:b/>
                <w:sz w:val="17"/>
                <w:lang w:val="fr-CH"/>
              </w:rPr>
              <w:t>0</w:t>
            </w:r>
          </w:p>
        </w:tc>
      </w:tr>
    </w:tbl>
    <w:p w:rsidR="00C92CDB" w:rsidRPr="00C92CDB" w:rsidRDefault="00C92CDB" w:rsidP="00C92CDB">
      <w:pPr>
        <w:pStyle w:val="SingleTxt"/>
        <w:spacing w:after="0" w:line="120" w:lineRule="exact"/>
        <w:rPr>
          <w:sz w:val="10"/>
          <w:lang w:val="fr-CH"/>
        </w:rPr>
      </w:pPr>
    </w:p>
    <w:p w:rsidR="00C92CDB" w:rsidRPr="00C92CDB" w:rsidRDefault="00C92CDB" w:rsidP="00C92CDB">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Nombre de décès survenus en détention</w:t>
      </w:r>
      <w:r w:rsidR="00110459">
        <w:rPr>
          <w:lang w:val="fr-CH"/>
        </w:rPr>
        <w:t> :</w:t>
      </w:r>
      <w:r w:rsidRPr="00BF1937">
        <w:rPr>
          <w:lang w:val="fr-CH"/>
        </w:rPr>
        <w:t xml:space="preserve"> les statistiques de la police concernent uniquement les suicides enregistrés dans ses centres de détention et dans la Prison centrale. En 2012, un détenu s</w:t>
      </w:r>
      <w:r w:rsidR="008300FB">
        <w:rPr>
          <w:lang w:val="fr-CH"/>
        </w:rPr>
        <w:t>’</w:t>
      </w:r>
      <w:r w:rsidRPr="00BF1937">
        <w:rPr>
          <w:lang w:val="fr-CH"/>
        </w:rPr>
        <w:t xml:space="preserve">est suicidé dans un centre de détention de la police; en 2013, trois prisonniers se sont suicidés dans la Prison centrale.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Nombre de c</w:t>
      </w:r>
      <w:r w:rsidR="00110459">
        <w:rPr>
          <w:lang w:val="fr-CH"/>
        </w:rPr>
        <w:t>ondamnés à mort exécutés par an </w:t>
      </w:r>
      <w:r w:rsidRPr="00BF1937">
        <w:rPr>
          <w:lang w:val="fr-CH"/>
        </w:rPr>
        <w:t>:</w:t>
      </w:r>
      <w:r w:rsidRPr="00BF1937">
        <w:rPr>
          <w:vertAlign w:val="subscript"/>
          <w:lang w:val="fr-CH"/>
        </w:rPr>
        <w:t xml:space="preserve"> </w:t>
      </w:r>
      <w:r w:rsidRPr="00BF1937">
        <w:rPr>
          <w:lang w:val="fr-CH"/>
        </w:rPr>
        <w:t>la</w:t>
      </w:r>
      <w:r w:rsidRPr="00BF1937">
        <w:rPr>
          <w:vertAlign w:val="subscript"/>
          <w:lang w:val="fr-CH"/>
        </w:rPr>
        <w:t xml:space="preserve"> </w:t>
      </w:r>
      <w:r w:rsidRPr="00BF1937">
        <w:rPr>
          <w:lang w:val="fr-CH"/>
        </w:rPr>
        <w:t xml:space="preserve">peine capitale pour les meurtres a été abolie à Chypre par la loi (L 86/1983) portant modification du Code pénal. La peine de mort pour tous les autres crimes a été abolie par la loi 15(I)/99; elle a été remplacée par la réclusion à perpétuité. </w:t>
      </w:r>
      <w:r w:rsidRPr="00BF1937">
        <w:rPr>
          <w:lang w:val="fr-FR"/>
        </w:rPr>
        <w:t>Chypre est signataire du deuxième Protocole facultatif se rapportant au Pacte international relatif aux droits civils et politiques, visant à abolir la peine de mort</w:t>
      </w:r>
      <w:r w:rsidRPr="00BF1937">
        <w:rPr>
          <w:lang w:val="fr-CH"/>
        </w:rPr>
        <w:t>.</w:t>
      </w:r>
    </w:p>
    <w:p w:rsidR="00BF1937" w:rsidRPr="00BF1937" w:rsidRDefault="00365D26" w:rsidP="00AD54C4">
      <w:pPr>
        <w:pStyle w:val="SingleTxt"/>
        <w:numPr>
          <w:ilvl w:val="0"/>
          <w:numId w:val="18"/>
        </w:numPr>
        <w:tabs>
          <w:tab w:val="clear" w:pos="475"/>
          <w:tab w:val="num" w:pos="1742"/>
        </w:tabs>
        <w:ind w:left="1267"/>
        <w:rPr>
          <w:lang w:val="fr-CH"/>
        </w:rPr>
      </w:pPr>
      <w:hyperlink r:id="rId18" w:history="1">
        <w:r w:rsidR="00BF1937" w:rsidRPr="00BF1937">
          <w:rPr>
            <w:rStyle w:val="Hyperlink"/>
            <w:lang w:val="fr-CH"/>
          </w:rPr>
          <w:t>Arriéré moyen des affaires, par juge, aux différents niveaux du système judiciaire</w:t>
        </w:r>
        <w:r w:rsidR="00110459">
          <w:rPr>
            <w:rStyle w:val="Hyperlink"/>
            <w:lang w:val="fr-CH"/>
          </w:rPr>
          <w:t> :</w:t>
        </w:r>
      </w:hyperlink>
      <w:r w:rsidR="00BF1937" w:rsidRPr="00BF1937">
        <w:rPr>
          <w:lang w:val="fr-CH"/>
        </w:rPr>
        <w:t xml:space="preserve"> voir le tableau correspondant à l</w:t>
      </w:r>
      <w:r w:rsidR="008300FB">
        <w:rPr>
          <w:lang w:val="fr-CH"/>
        </w:rPr>
        <w:t>’</w:t>
      </w:r>
      <w:r w:rsidR="00BF1937" w:rsidRPr="00BF1937">
        <w:rPr>
          <w:lang w:val="fr-CH"/>
        </w:rPr>
        <w:t>annexe IV.</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lastRenderedPageBreak/>
        <w:t>Nombre de membres des forces de police et de sécurité pour 100 000 habitants</w:t>
      </w:r>
      <w:r w:rsidR="00110459">
        <w:rPr>
          <w:lang w:val="fr-CH"/>
        </w:rPr>
        <w:t> :</w:t>
      </w:r>
      <w:r w:rsidRPr="00BF1937">
        <w:rPr>
          <w:lang w:val="fr-CH"/>
        </w:rPr>
        <w:t xml:space="preserve"> </w:t>
      </w:r>
      <w:r w:rsidRPr="00BF1937">
        <w:rPr>
          <w:lang w:val="fr-FR"/>
        </w:rPr>
        <w:t>Selon les estimations établies en fonction du dernier recensement de la population mené par le Service de la statistique, 866 000 personnes résidaient à Chypre en 2012. Toujours en 2012, on recensait 5 263 policiers (services d</w:t>
      </w:r>
      <w:r w:rsidR="008300FB">
        <w:rPr>
          <w:lang w:val="fr-FR"/>
        </w:rPr>
        <w:t>’</w:t>
      </w:r>
      <w:r w:rsidRPr="00BF1937">
        <w:rPr>
          <w:lang w:val="fr-FR"/>
        </w:rPr>
        <w:t xml:space="preserve">incendie non pris en compte), soit 607 pour 100 000 habitants.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Il convient également de noter que le nombre de fonctionnaires de police baisse (5 002 en 2014), contrairement à la population qui s</w:t>
      </w:r>
      <w:r w:rsidR="008300FB">
        <w:rPr>
          <w:lang w:val="fr-FR"/>
        </w:rPr>
        <w:t>’</w:t>
      </w:r>
      <w:r w:rsidRPr="00BF1937">
        <w:rPr>
          <w:lang w:val="fr-FR"/>
        </w:rPr>
        <w:t>accroît</w:t>
      </w:r>
      <w:r w:rsidRPr="00BF1937">
        <w:rPr>
          <w:lang w:val="fr-CH"/>
        </w:rPr>
        <w:t xml:space="preserve">. </w:t>
      </w: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BF1937" w:rsidRDefault="00BF1937" w:rsidP="00434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Nombre de procureurs et de juges pour 100 000 habitants</w:t>
      </w: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tbl>
      <w:tblPr>
        <w:tblW w:w="7488" w:type="dxa"/>
        <w:tblInd w:w="1267" w:type="dxa"/>
        <w:tblBorders>
          <w:top w:val="single" w:sz="4" w:space="0" w:color="auto"/>
        </w:tblBorders>
        <w:tblCellMar>
          <w:left w:w="0" w:type="dxa"/>
          <w:right w:w="0" w:type="dxa"/>
        </w:tblCellMar>
        <w:tblLook w:val="04A0" w:firstRow="1" w:lastRow="0" w:firstColumn="1" w:lastColumn="0" w:noHBand="0" w:noVBand="1"/>
      </w:tblPr>
      <w:tblGrid>
        <w:gridCol w:w="3744"/>
        <w:gridCol w:w="3744"/>
      </w:tblGrid>
      <w:tr w:rsidR="00BF1937" w:rsidRPr="00BF1937" w:rsidTr="00383D81">
        <w:tc>
          <w:tcPr>
            <w:tcW w:w="3685" w:type="dxa"/>
            <w:tcBorders>
              <w:top w:val="single" w:sz="4" w:space="0" w:color="auto"/>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2008</w:t>
            </w:r>
          </w:p>
        </w:tc>
        <w:tc>
          <w:tcPr>
            <w:tcW w:w="3685" w:type="dxa"/>
            <w:tcBorders>
              <w:top w:val="single" w:sz="4" w:space="0" w:color="auto"/>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10,67</w:t>
            </w:r>
          </w:p>
        </w:tc>
      </w:tr>
      <w:tr w:rsidR="00BF1937" w:rsidRPr="00BF1937" w:rsidTr="00434F82">
        <w:tc>
          <w:tcPr>
            <w:tcW w:w="3685" w:type="dxa"/>
            <w:tcBorders>
              <w:top w:val="nil"/>
              <w:left w:val="nil"/>
              <w:bottom w:val="nil"/>
              <w:right w:val="nil"/>
            </w:tcBorders>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2009</w:t>
            </w:r>
          </w:p>
        </w:tc>
        <w:tc>
          <w:tcPr>
            <w:tcW w:w="3685" w:type="dxa"/>
            <w:tcBorders>
              <w:top w:val="nil"/>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10,26</w:t>
            </w:r>
          </w:p>
        </w:tc>
      </w:tr>
      <w:tr w:rsidR="00BF1937" w:rsidRPr="00BF1937" w:rsidTr="00434F82">
        <w:tc>
          <w:tcPr>
            <w:tcW w:w="3685" w:type="dxa"/>
            <w:tcBorders>
              <w:top w:val="nil"/>
              <w:left w:val="nil"/>
              <w:bottom w:val="nil"/>
              <w:right w:val="nil"/>
            </w:tcBorders>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2010</w:t>
            </w:r>
          </w:p>
        </w:tc>
        <w:tc>
          <w:tcPr>
            <w:tcW w:w="3685" w:type="dxa"/>
            <w:tcBorders>
              <w:top w:val="nil"/>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10,84</w:t>
            </w:r>
          </w:p>
        </w:tc>
      </w:tr>
      <w:tr w:rsidR="00BF1937" w:rsidRPr="00BF1937" w:rsidTr="00434F82">
        <w:tc>
          <w:tcPr>
            <w:tcW w:w="3685" w:type="dxa"/>
            <w:tcBorders>
              <w:top w:val="nil"/>
              <w:left w:val="nil"/>
              <w:bottom w:val="nil"/>
              <w:right w:val="nil"/>
            </w:tcBorders>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2011</w:t>
            </w:r>
          </w:p>
        </w:tc>
        <w:tc>
          <w:tcPr>
            <w:tcW w:w="3685" w:type="dxa"/>
            <w:tcBorders>
              <w:top w:val="nil"/>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10,56</w:t>
            </w:r>
          </w:p>
        </w:tc>
      </w:tr>
      <w:tr w:rsidR="00BF1937" w:rsidRPr="00BF1937" w:rsidTr="00434F82">
        <w:tc>
          <w:tcPr>
            <w:tcW w:w="3685" w:type="dxa"/>
            <w:tcBorders>
              <w:top w:val="nil"/>
              <w:left w:val="nil"/>
              <w:bottom w:val="single" w:sz="12" w:space="0" w:color="auto"/>
              <w:right w:val="nil"/>
            </w:tcBorders>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2012</w:t>
            </w:r>
          </w:p>
        </w:tc>
        <w:tc>
          <w:tcPr>
            <w:tcW w:w="3685" w:type="dxa"/>
            <w:tcBorders>
              <w:top w:val="nil"/>
              <w:left w:val="nil"/>
              <w:bottom w:val="single" w:sz="12" w:space="0" w:color="auto"/>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10,28</w:t>
            </w:r>
          </w:p>
        </w:tc>
      </w:tr>
    </w:tbl>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BF1937" w:rsidRDefault="00BF1937" w:rsidP="00C92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Part des dépenses publiques consacrées à la police/sécurité et au système judiciaire</w:t>
      </w:r>
      <w:r w:rsidR="00C92CDB">
        <w:rPr>
          <w:lang w:val="fr-CH"/>
        </w:rPr>
        <w:t xml:space="preserve"> </w:t>
      </w:r>
      <w:r w:rsidRPr="00BF1937">
        <w:rPr>
          <w:lang w:val="fr-CH"/>
        </w:rPr>
        <w:br/>
        <w:t>Récapitulatif des dépenses effectives pour la période 2008</w:t>
      </w:r>
      <w:r w:rsidR="00434F82">
        <w:rPr>
          <w:lang w:val="fr-CH"/>
        </w:rPr>
        <w:t>-</w:t>
      </w:r>
      <w:r w:rsidRPr="00BF1937">
        <w:rPr>
          <w:lang w:val="fr-CH"/>
        </w:rPr>
        <w:t>2012</w:t>
      </w:r>
    </w:p>
    <w:p w:rsidR="00C92CDB" w:rsidRPr="00434F82" w:rsidRDefault="00C92CDB" w:rsidP="00434F82">
      <w:pPr>
        <w:pStyle w:val="SingleTxt"/>
        <w:spacing w:after="0" w:line="120" w:lineRule="exact"/>
        <w:rPr>
          <w:b/>
          <w:sz w:val="10"/>
          <w:lang w:val="fr-CH"/>
        </w:rPr>
      </w:pPr>
    </w:p>
    <w:p w:rsidR="00434F82" w:rsidRPr="00C92CDB" w:rsidRDefault="00434F82" w:rsidP="00C92CDB">
      <w:pPr>
        <w:pStyle w:val="SingleTxt"/>
        <w:spacing w:after="0" w:line="120" w:lineRule="exact"/>
        <w:rPr>
          <w:b/>
          <w:sz w:val="10"/>
          <w:lang w:val="fr-CH"/>
        </w:rPr>
      </w:pPr>
    </w:p>
    <w:p w:rsidR="00BF1937" w:rsidRDefault="00BF1937" w:rsidP="00C92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Police</w:t>
      </w: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tbl>
      <w:tblPr>
        <w:tblW w:w="748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93"/>
        <w:gridCol w:w="1139"/>
        <w:gridCol w:w="1139"/>
        <w:gridCol w:w="1139"/>
        <w:gridCol w:w="1139"/>
        <w:gridCol w:w="1139"/>
      </w:tblGrid>
      <w:tr w:rsidR="00434F82" w:rsidRPr="00BF1937" w:rsidTr="00434F82">
        <w:trPr>
          <w:tblHeader/>
        </w:trPr>
        <w:tc>
          <w:tcPr>
            <w:tcW w:w="1793" w:type="dxa"/>
            <w:tcBorders>
              <w:top w:val="single" w:sz="4" w:space="0" w:color="auto"/>
              <w:left w:val="nil"/>
              <w:bottom w:val="single" w:sz="12" w:space="0" w:color="auto"/>
              <w:right w:val="nil"/>
            </w:tcBorders>
            <w:vAlign w:val="bottom"/>
            <w:hideMark/>
          </w:tcPr>
          <w:p w:rsidR="00434F82" w:rsidRPr="00BF1937" w:rsidRDefault="00434F82" w:rsidP="00434F82">
            <w:pPr>
              <w:tabs>
                <w:tab w:val="left" w:pos="288"/>
                <w:tab w:val="left" w:pos="576"/>
                <w:tab w:val="left" w:pos="864"/>
                <w:tab w:val="left" w:pos="1152"/>
              </w:tabs>
              <w:suppressAutoHyphens/>
              <w:spacing w:before="80" w:after="80" w:line="160" w:lineRule="exact"/>
              <w:ind w:right="40"/>
              <w:rPr>
                <w:lang w:val="fr-CH"/>
              </w:rPr>
            </w:pPr>
            <w:r w:rsidRPr="00434F82">
              <w:rPr>
                <w:i/>
                <w:sz w:val="14"/>
                <w:lang w:val="fr-CH"/>
              </w:rPr>
              <w:t>Total des dépenses</w:t>
            </w:r>
          </w:p>
        </w:tc>
        <w:tc>
          <w:tcPr>
            <w:tcW w:w="1139" w:type="dxa"/>
            <w:tcBorders>
              <w:top w:val="single" w:sz="4" w:space="0" w:color="auto"/>
              <w:left w:val="nil"/>
              <w:bottom w:val="single" w:sz="12" w:space="0" w:color="auto"/>
              <w:right w:val="nil"/>
            </w:tcBorders>
            <w:vAlign w:val="bottom"/>
            <w:hideMark/>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r w:rsidRPr="00434F82">
              <w:rPr>
                <w:i/>
                <w:sz w:val="14"/>
                <w:lang w:val="fr-CH"/>
              </w:rPr>
              <w:t>2008</w:t>
            </w:r>
            <w:r>
              <w:rPr>
                <w:i/>
                <w:sz w:val="14"/>
                <w:lang w:val="fr-CH"/>
              </w:rPr>
              <w:t xml:space="preserve"> </w:t>
            </w:r>
            <w:r>
              <w:rPr>
                <w:i/>
                <w:sz w:val="14"/>
                <w:lang w:val="fr-CH"/>
              </w:rPr>
              <w:br/>
            </w:r>
            <w:r w:rsidRPr="00434F82">
              <w:rPr>
                <w:i/>
                <w:sz w:val="14"/>
                <w:lang w:val="fr-CH"/>
              </w:rPr>
              <w:t>Dépenses effectives</w:t>
            </w:r>
            <w:r>
              <w:rPr>
                <w:i/>
                <w:sz w:val="14"/>
                <w:lang w:val="fr-CH"/>
              </w:rPr>
              <w:t xml:space="preserve"> </w:t>
            </w:r>
            <w:r>
              <w:rPr>
                <w:i/>
                <w:sz w:val="14"/>
                <w:lang w:val="fr-CH"/>
              </w:rPr>
              <w:br/>
              <w:t>(euros)</w:t>
            </w:r>
          </w:p>
        </w:tc>
        <w:tc>
          <w:tcPr>
            <w:tcW w:w="1139" w:type="dxa"/>
            <w:tcBorders>
              <w:top w:val="single" w:sz="4" w:space="0" w:color="auto"/>
              <w:left w:val="nil"/>
              <w:bottom w:val="single" w:sz="12" w:space="0" w:color="auto"/>
              <w:right w:val="nil"/>
            </w:tcBorders>
            <w:vAlign w:val="bottom"/>
            <w:hideMark/>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r w:rsidRPr="00434F82">
              <w:rPr>
                <w:i/>
                <w:sz w:val="14"/>
                <w:lang w:val="fr-CH"/>
              </w:rPr>
              <w:t>2009</w:t>
            </w:r>
            <w:r>
              <w:rPr>
                <w:i/>
                <w:sz w:val="14"/>
                <w:lang w:val="fr-CH"/>
              </w:rPr>
              <w:t xml:space="preserve"> </w:t>
            </w:r>
            <w:r>
              <w:rPr>
                <w:i/>
                <w:sz w:val="14"/>
                <w:lang w:val="fr-CH"/>
              </w:rPr>
              <w:br/>
            </w:r>
            <w:r w:rsidRPr="00434F82">
              <w:rPr>
                <w:i/>
                <w:sz w:val="14"/>
                <w:lang w:val="fr-CH"/>
              </w:rPr>
              <w:t>Dépenses effectives</w:t>
            </w:r>
            <w:r>
              <w:rPr>
                <w:i/>
                <w:sz w:val="14"/>
                <w:lang w:val="fr-CH"/>
              </w:rPr>
              <w:t xml:space="preserve"> </w:t>
            </w:r>
            <w:r>
              <w:rPr>
                <w:i/>
                <w:sz w:val="14"/>
                <w:lang w:val="fr-CH"/>
              </w:rPr>
              <w:br/>
              <w:t>(euros)</w:t>
            </w:r>
          </w:p>
        </w:tc>
        <w:tc>
          <w:tcPr>
            <w:tcW w:w="1139" w:type="dxa"/>
            <w:tcBorders>
              <w:top w:val="single" w:sz="4" w:space="0" w:color="auto"/>
              <w:left w:val="nil"/>
              <w:bottom w:val="single" w:sz="12" w:space="0" w:color="auto"/>
              <w:right w:val="nil"/>
            </w:tcBorders>
            <w:vAlign w:val="bottom"/>
            <w:hideMark/>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r w:rsidRPr="00434F82">
              <w:rPr>
                <w:i/>
                <w:sz w:val="14"/>
                <w:lang w:val="fr-CH"/>
              </w:rPr>
              <w:t>2010</w:t>
            </w:r>
            <w:r>
              <w:rPr>
                <w:i/>
                <w:sz w:val="14"/>
                <w:lang w:val="fr-CH"/>
              </w:rPr>
              <w:t xml:space="preserve"> </w:t>
            </w:r>
            <w:r>
              <w:rPr>
                <w:i/>
                <w:sz w:val="14"/>
                <w:lang w:val="fr-CH"/>
              </w:rPr>
              <w:br/>
            </w:r>
            <w:r w:rsidRPr="00434F82">
              <w:rPr>
                <w:i/>
                <w:sz w:val="14"/>
                <w:lang w:val="fr-CH"/>
              </w:rPr>
              <w:t>Dépenses effectives</w:t>
            </w:r>
            <w:r>
              <w:rPr>
                <w:i/>
                <w:sz w:val="14"/>
                <w:lang w:val="fr-CH"/>
              </w:rPr>
              <w:t xml:space="preserve"> </w:t>
            </w:r>
            <w:r>
              <w:rPr>
                <w:i/>
                <w:sz w:val="14"/>
                <w:lang w:val="fr-CH"/>
              </w:rPr>
              <w:br/>
              <w:t>(euros)</w:t>
            </w:r>
          </w:p>
        </w:tc>
        <w:tc>
          <w:tcPr>
            <w:tcW w:w="1139" w:type="dxa"/>
            <w:tcBorders>
              <w:top w:val="single" w:sz="4" w:space="0" w:color="auto"/>
              <w:left w:val="nil"/>
              <w:bottom w:val="single" w:sz="12" w:space="0" w:color="auto"/>
              <w:right w:val="nil"/>
            </w:tcBorders>
            <w:vAlign w:val="bottom"/>
            <w:hideMark/>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r w:rsidRPr="00434F82">
              <w:rPr>
                <w:i/>
                <w:sz w:val="14"/>
                <w:lang w:val="fr-CH"/>
              </w:rPr>
              <w:t>2011</w:t>
            </w:r>
            <w:r>
              <w:rPr>
                <w:i/>
                <w:sz w:val="14"/>
                <w:lang w:val="fr-CH"/>
              </w:rPr>
              <w:t xml:space="preserve"> </w:t>
            </w:r>
            <w:r>
              <w:rPr>
                <w:i/>
                <w:sz w:val="14"/>
                <w:lang w:val="fr-CH"/>
              </w:rPr>
              <w:br/>
            </w:r>
            <w:r w:rsidRPr="00434F82">
              <w:rPr>
                <w:i/>
                <w:sz w:val="14"/>
                <w:lang w:val="fr-CH"/>
              </w:rPr>
              <w:t>Dépenses effectives</w:t>
            </w:r>
            <w:r>
              <w:rPr>
                <w:i/>
                <w:sz w:val="14"/>
                <w:lang w:val="fr-CH"/>
              </w:rPr>
              <w:t xml:space="preserve"> </w:t>
            </w:r>
            <w:r>
              <w:rPr>
                <w:i/>
                <w:sz w:val="14"/>
                <w:lang w:val="fr-CH"/>
              </w:rPr>
              <w:br/>
              <w:t>(euros)</w:t>
            </w:r>
          </w:p>
        </w:tc>
        <w:tc>
          <w:tcPr>
            <w:tcW w:w="1139" w:type="dxa"/>
            <w:tcBorders>
              <w:top w:val="single" w:sz="4" w:space="0" w:color="auto"/>
              <w:left w:val="nil"/>
              <w:bottom w:val="single" w:sz="12" w:space="0" w:color="auto"/>
              <w:right w:val="nil"/>
            </w:tcBorders>
            <w:vAlign w:val="bottom"/>
            <w:hideMark/>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r w:rsidRPr="00434F82">
              <w:rPr>
                <w:i/>
                <w:sz w:val="14"/>
                <w:lang w:val="fr-CH"/>
              </w:rPr>
              <w:t>2012</w:t>
            </w:r>
            <w:r>
              <w:rPr>
                <w:i/>
                <w:sz w:val="14"/>
                <w:lang w:val="fr-CH"/>
              </w:rPr>
              <w:t xml:space="preserve"> </w:t>
            </w:r>
            <w:r>
              <w:rPr>
                <w:i/>
                <w:sz w:val="14"/>
                <w:lang w:val="fr-CH"/>
              </w:rPr>
              <w:br/>
            </w:r>
            <w:r w:rsidRPr="00434F82">
              <w:rPr>
                <w:i/>
                <w:sz w:val="14"/>
                <w:lang w:val="fr-CH"/>
              </w:rPr>
              <w:t>Dépenses effectives</w:t>
            </w:r>
            <w:r>
              <w:rPr>
                <w:i/>
                <w:sz w:val="14"/>
                <w:lang w:val="fr-CH"/>
              </w:rPr>
              <w:t xml:space="preserve"> </w:t>
            </w:r>
            <w:r>
              <w:rPr>
                <w:i/>
                <w:sz w:val="14"/>
                <w:lang w:val="fr-CH"/>
              </w:rPr>
              <w:br/>
              <w:t>(euros)</w:t>
            </w:r>
          </w:p>
        </w:tc>
      </w:tr>
      <w:tr w:rsidR="00434F82" w:rsidRPr="00BF1937" w:rsidTr="00434F82">
        <w:trPr>
          <w:trHeight w:hRule="exact" w:val="115"/>
          <w:tblHeader/>
        </w:trPr>
        <w:tc>
          <w:tcPr>
            <w:tcW w:w="1793" w:type="dxa"/>
            <w:tcBorders>
              <w:top w:val="single" w:sz="12" w:space="0" w:color="auto"/>
              <w:left w:val="nil"/>
              <w:bottom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rPr>
                <w:i/>
                <w:sz w:val="14"/>
                <w:lang w:val="fr-CH"/>
              </w:rPr>
            </w:pPr>
          </w:p>
        </w:tc>
        <w:tc>
          <w:tcPr>
            <w:tcW w:w="1139" w:type="dxa"/>
            <w:tcBorders>
              <w:top w:val="single" w:sz="12" w:space="0" w:color="auto"/>
              <w:left w:val="nil"/>
              <w:bottom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139" w:type="dxa"/>
            <w:tcBorders>
              <w:top w:val="single" w:sz="12" w:space="0" w:color="auto"/>
              <w:left w:val="nil"/>
              <w:bottom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139" w:type="dxa"/>
            <w:tcBorders>
              <w:top w:val="single" w:sz="12" w:space="0" w:color="auto"/>
              <w:left w:val="nil"/>
              <w:bottom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139" w:type="dxa"/>
            <w:tcBorders>
              <w:top w:val="single" w:sz="12" w:space="0" w:color="auto"/>
              <w:left w:val="nil"/>
              <w:bottom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139" w:type="dxa"/>
            <w:tcBorders>
              <w:top w:val="single" w:sz="12" w:space="0" w:color="auto"/>
              <w:left w:val="nil"/>
              <w:bottom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r>
      <w:tr w:rsidR="00BF1937" w:rsidRPr="00BF1937" w:rsidTr="00434F82">
        <w:tc>
          <w:tcPr>
            <w:tcW w:w="1793" w:type="dxa"/>
            <w:tcBorders>
              <w:top w:val="nil"/>
              <w:left w:val="nil"/>
              <w:bottom w:val="nil"/>
              <w:right w:val="nil"/>
            </w:tcBorders>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 xml:space="preserve">Total des dépenses de la police </w:t>
            </w:r>
          </w:p>
        </w:tc>
        <w:tc>
          <w:tcPr>
            <w:tcW w:w="1139" w:type="dxa"/>
            <w:tcBorders>
              <w:top w:val="nil"/>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223 980 017</w:t>
            </w:r>
          </w:p>
        </w:tc>
        <w:tc>
          <w:tcPr>
            <w:tcW w:w="1139" w:type="dxa"/>
            <w:tcBorders>
              <w:top w:val="nil"/>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238 010 973</w:t>
            </w:r>
          </w:p>
        </w:tc>
        <w:tc>
          <w:tcPr>
            <w:tcW w:w="1139" w:type="dxa"/>
            <w:tcBorders>
              <w:top w:val="nil"/>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255</w:t>
            </w:r>
            <w:r w:rsidR="003769AB">
              <w:rPr>
                <w:sz w:val="17"/>
                <w:lang w:val="fr-CH"/>
              </w:rPr>
              <w:t xml:space="preserve"> </w:t>
            </w:r>
            <w:r w:rsidRPr="00434F82">
              <w:rPr>
                <w:sz w:val="17"/>
                <w:lang w:val="fr-CH"/>
              </w:rPr>
              <w:t>374</w:t>
            </w:r>
            <w:r w:rsidR="003769AB">
              <w:rPr>
                <w:sz w:val="17"/>
                <w:lang w:val="fr-CH"/>
              </w:rPr>
              <w:t xml:space="preserve"> </w:t>
            </w:r>
            <w:r w:rsidRPr="00434F82">
              <w:rPr>
                <w:sz w:val="17"/>
                <w:lang w:val="fr-CH"/>
              </w:rPr>
              <w:t>542</w:t>
            </w:r>
          </w:p>
        </w:tc>
        <w:tc>
          <w:tcPr>
            <w:tcW w:w="1139" w:type="dxa"/>
            <w:tcBorders>
              <w:top w:val="nil"/>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241</w:t>
            </w:r>
            <w:r w:rsidR="003769AB">
              <w:rPr>
                <w:sz w:val="17"/>
                <w:lang w:val="fr-CH"/>
              </w:rPr>
              <w:t xml:space="preserve"> </w:t>
            </w:r>
            <w:r w:rsidRPr="00434F82">
              <w:rPr>
                <w:sz w:val="17"/>
                <w:lang w:val="fr-CH"/>
              </w:rPr>
              <w:t>247,552</w:t>
            </w:r>
          </w:p>
        </w:tc>
        <w:tc>
          <w:tcPr>
            <w:tcW w:w="1139" w:type="dxa"/>
            <w:tcBorders>
              <w:top w:val="nil"/>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228</w:t>
            </w:r>
            <w:r w:rsidR="003769AB">
              <w:rPr>
                <w:sz w:val="17"/>
                <w:lang w:val="fr-CH"/>
              </w:rPr>
              <w:t xml:space="preserve"> </w:t>
            </w:r>
            <w:r w:rsidRPr="00434F82">
              <w:rPr>
                <w:sz w:val="17"/>
                <w:lang w:val="fr-CH"/>
              </w:rPr>
              <w:t>264</w:t>
            </w:r>
            <w:r w:rsidR="003769AB">
              <w:rPr>
                <w:sz w:val="17"/>
                <w:lang w:val="fr-CH"/>
              </w:rPr>
              <w:t xml:space="preserve"> </w:t>
            </w:r>
            <w:r w:rsidRPr="00434F82">
              <w:rPr>
                <w:sz w:val="17"/>
                <w:lang w:val="fr-CH"/>
              </w:rPr>
              <w:t>048</w:t>
            </w:r>
          </w:p>
        </w:tc>
      </w:tr>
      <w:tr w:rsidR="00BF1937" w:rsidRPr="00BF1937" w:rsidTr="00434F82">
        <w:tc>
          <w:tcPr>
            <w:tcW w:w="1793" w:type="dxa"/>
            <w:tcBorders>
              <w:top w:val="nil"/>
              <w:left w:val="nil"/>
              <w:bottom w:val="nil"/>
              <w:right w:val="nil"/>
            </w:tcBorders>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Total des dépenses publiques(de l</w:t>
            </w:r>
            <w:r w:rsidR="008300FB" w:rsidRPr="00434F82">
              <w:rPr>
                <w:sz w:val="17"/>
                <w:lang w:val="fr-CH"/>
              </w:rPr>
              <w:t>’</w:t>
            </w:r>
            <w:r w:rsidRPr="00434F82">
              <w:rPr>
                <w:sz w:val="17"/>
                <w:lang w:val="fr-CH"/>
              </w:rPr>
              <w:t>État)</w:t>
            </w:r>
          </w:p>
        </w:tc>
        <w:tc>
          <w:tcPr>
            <w:tcW w:w="1139" w:type="dxa"/>
            <w:tcBorders>
              <w:top w:val="nil"/>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7 375 825</w:t>
            </w:r>
            <w:r w:rsidR="003769AB">
              <w:rPr>
                <w:sz w:val="17"/>
                <w:lang w:val="fr-CH"/>
              </w:rPr>
              <w:t xml:space="preserve"> </w:t>
            </w:r>
            <w:r w:rsidRPr="00434F82">
              <w:rPr>
                <w:sz w:val="17"/>
                <w:lang w:val="fr-CH"/>
              </w:rPr>
              <w:t>939</w:t>
            </w:r>
          </w:p>
        </w:tc>
        <w:tc>
          <w:tcPr>
            <w:tcW w:w="1139" w:type="dxa"/>
            <w:tcBorders>
              <w:top w:val="nil"/>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7</w:t>
            </w:r>
            <w:r w:rsidR="003769AB">
              <w:rPr>
                <w:sz w:val="17"/>
                <w:lang w:val="fr-CH"/>
              </w:rPr>
              <w:t xml:space="preserve"> </w:t>
            </w:r>
            <w:r w:rsidRPr="00434F82">
              <w:rPr>
                <w:sz w:val="17"/>
                <w:lang w:val="fr-CH"/>
              </w:rPr>
              <w:t>746</w:t>
            </w:r>
            <w:r w:rsidR="003769AB">
              <w:rPr>
                <w:sz w:val="17"/>
                <w:lang w:val="fr-CH"/>
              </w:rPr>
              <w:t xml:space="preserve"> </w:t>
            </w:r>
            <w:r w:rsidRPr="00434F82">
              <w:rPr>
                <w:sz w:val="17"/>
                <w:lang w:val="fr-CH"/>
              </w:rPr>
              <w:t>961</w:t>
            </w:r>
            <w:r w:rsidR="003769AB">
              <w:rPr>
                <w:sz w:val="17"/>
                <w:lang w:val="fr-CH"/>
              </w:rPr>
              <w:t xml:space="preserve"> </w:t>
            </w:r>
            <w:r w:rsidRPr="00434F82">
              <w:rPr>
                <w:sz w:val="17"/>
                <w:lang w:val="fr-CH"/>
              </w:rPr>
              <w:t>077</w:t>
            </w:r>
          </w:p>
        </w:tc>
        <w:tc>
          <w:tcPr>
            <w:tcW w:w="1139" w:type="dxa"/>
            <w:tcBorders>
              <w:top w:val="nil"/>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7</w:t>
            </w:r>
            <w:r w:rsidR="003769AB">
              <w:rPr>
                <w:sz w:val="17"/>
                <w:lang w:val="fr-CH"/>
              </w:rPr>
              <w:t xml:space="preserve"> </w:t>
            </w:r>
            <w:r w:rsidRPr="00434F82">
              <w:rPr>
                <w:sz w:val="17"/>
                <w:lang w:val="fr-CH"/>
              </w:rPr>
              <w:t>718</w:t>
            </w:r>
            <w:r w:rsidR="003769AB">
              <w:rPr>
                <w:sz w:val="17"/>
                <w:lang w:val="fr-CH"/>
              </w:rPr>
              <w:t xml:space="preserve"> </w:t>
            </w:r>
            <w:r w:rsidRPr="00434F82">
              <w:rPr>
                <w:sz w:val="17"/>
                <w:lang w:val="fr-CH"/>
              </w:rPr>
              <w:t>239</w:t>
            </w:r>
            <w:r w:rsidR="003769AB">
              <w:rPr>
                <w:sz w:val="17"/>
                <w:lang w:val="fr-CH"/>
              </w:rPr>
              <w:t xml:space="preserve"> </w:t>
            </w:r>
            <w:r w:rsidRPr="00434F82">
              <w:rPr>
                <w:sz w:val="17"/>
                <w:lang w:val="fr-CH"/>
              </w:rPr>
              <w:t>821</w:t>
            </w:r>
          </w:p>
        </w:tc>
        <w:tc>
          <w:tcPr>
            <w:tcW w:w="1139" w:type="dxa"/>
            <w:tcBorders>
              <w:top w:val="nil"/>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8</w:t>
            </w:r>
            <w:r w:rsidR="003769AB">
              <w:rPr>
                <w:sz w:val="17"/>
                <w:lang w:val="fr-CH"/>
              </w:rPr>
              <w:t xml:space="preserve"> </w:t>
            </w:r>
            <w:r w:rsidRPr="00434F82">
              <w:rPr>
                <w:sz w:val="17"/>
                <w:lang w:val="fr-CH"/>
              </w:rPr>
              <w:t>008</w:t>
            </w:r>
            <w:r w:rsidR="003769AB">
              <w:rPr>
                <w:sz w:val="17"/>
                <w:lang w:val="fr-CH"/>
              </w:rPr>
              <w:t xml:space="preserve"> </w:t>
            </w:r>
            <w:r w:rsidRPr="00434F82">
              <w:rPr>
                <w:sz w:val="17"/>
                <w:lang w:val="fr-CH"/>
              </w:rPr>
              <w:t>714</w:t>
            </w:r>
            <w:r w:rsidR="003769AB">
              <w:rPr>
                <w:sz w:val="17"/>
                <w:lang w:val="fr-CH"/>
              </w:rPr>
              <w:t xml:space="preserve"> </w:t>
            </w:r>
            <w:r w:rsidRPr="00434F82">
              <w:rPr>
                <w:sz w:val="17"/>
                <w:lang w:val="fr-CH"/>
              </w:rPr>
              <w:t>983</w:t>
            </w:r>
          </w:p>
        </w:tc>
        <w:tc>
          <w:tcPr>
            <w:tcW w:w="1139" w:type="dxa"/>
            <w:tcBorders>
              <w:top w:val="nil"/>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8</w:t>
            </w:r>
            <w:r w:rsidR="003769AB">
              <w:rPr>
                <w:sz w:val="17"/>
                <w:lang w:val="fr-CH"/>
              </w:rPr>
              <w:t xml:space="preserve"> </w:t>
            </w:r>
            <w:r w:rsidRPr="00434F82">
              <w:rPr>
                <w:sz w:val="17"/>
                <w:lang w:val="fr-CH"/>
              </w:rPr>
              <w:t>257</w:t>
            </w:r>
            <w:r w:rsidR="003769AB">
              <w:rPr>
                <w:sz w:val="17"/>
                <w:lang w:val="fr-CH"/>
              </w:rPr>
              <w:t xml:space="preserve"> </w:t>
            </w:r>
            <w:r w:rsidRPr="00434F82">
              <w:rPr>
                <w:sz w:val="17"/>
                <w:lang w:val="fr-CH"/>
              </w:rPr>
              <w:t>831</w:t>
            </w:r>
            <w:r w:rsidR="003769AB">
              <w:rPr>
                <w:sz w:val="17"/>
                <w:lang w:val="fr-CH"/>
              </w:rPr>
              <w:t xml:space="preserve"> </w:t>
            </w:r>
            <w:r w:rsidRPr="00434F82">
              <w:rPr>
                <w:sz w:val="17"/>
                <w:lang w:val="fr-CH"/>
              </w:rPr>
              <w:t>260</w:t>
            </w:r>
          </w:p>
        </w:tc>
      </w:tr>
      <w:tr w:rsidR="00BF1937" w:rsidRPr="00BF1937" w:rsidTr="00434F82">
        <w:tc>
          <w:tcPr>
            <w:tcW w:w="1793" w:type="dxa"/>
            <w:tcBorders>
              <w:top w:val="nil"/>
              <w:left w:val="nil"/>
              <w:bottom w:val="single" w:sz="12" w:space="0" w:color="auto"/>
              <w:right w:val="nil"/>
            </w:tcBorders>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 xml:space="preserve">Dépenses de la police (en </w:t>
            </w:r>
            <w:r w:rsidR="00434F82">
              <w:rPr>
                <w:sz w:val="17"/>
                <w:lang w:val="fr-CH"/>
              </w:rPr>
              <w:t>pourcentage</w:t>
            </w:r>
          </w:p>
        </w:tc>
        <w:tc>
          <w:tcPr>
            <w:tcW w:w="1139" w:type="dxa"/>
            <w:tcBorders>
              <w:top w:val="nil"/>
              <w:left w:val="nil"/>
              <w:bottom w:val="single" w:sz="12" w:space="0" w:color="auto"/>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3,04</w:t>
            </w:r>
            <w:r w:rsidR="003769AB">
              <w:rPr>
                <w:sz w:val="17"/>
                <w:lang w:val="fr-CH"/>
              </w:rPr>
              <w:t xml:space="preserve"> </w:t>
            </w:r>
            <w:r w:rsidRPr="00434F82">
              <w:rPr>
                <w:sz w:val="17"/>
                <w:lang w:val="fr-CH"/>
              </w:rPr>
              <w:t>%</w:t>
            </w:r>
          </w:p>
        </w:tc>
        <w:tc>
          <w:tcPr>
            <w:tcW w:w="1139" w:type="dxa"/>
            <w:tcBorders>
              <w:top w:val="nil"/>
              <w:left w:val="nil"/>
              <w:bottom w:val="single" w:sz="12" w:space="0" w:color="auto"/>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3,07</w:t>
            </w:r>
            <w:r w:rsidR="003769AB">
              <w:rPr>
                <w:sz w:val="17"/>
                <w:lang w:val="fr-CH"/>
              </w:rPr>
              <w:t xml:space="preserve"> </w:t>
            </w:r>
            <w:r w:rsidRPr="00434F82">
              <w:rPr>
                <w:sz w:val="17"/>
                <w:lang w:val="fr-CH"/>
              </w:rPr>
              <w:t>%</w:t>
            </w:r>
          </w:p>
        </w:tc>
        <w:tc>
          <w:tcPr>
            <w:tcW w:w="1139" w:type="dxa"/>
            <w:tcBorders>
              <w:top w:val="nil"/>
              <w:left w:val="nil"/>
              <w:bottom w:val="single" w:sz="12" w:space="0" w:color="auto"/>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3,31</w:t>
            </w:r>
            <w:r w:rsidR="003769AB">
              <w:rPr>
                <w:sz w:val="17"/>
                <w:lang w:val="fr-CH"/>
              </w:rPr>
              <w:t xml:space="preserve"> </w:t>
            </w:r>
            <w:r w:rsidRPr="00434F82">
              <w:rPr>
                <w:sz w:val="17"/>
                <w:lang w:val="fr-CH"/>
              </w:rPr>
              <w:t>%</w:t>
            </w:r>
          </w:p>
        </w:tc>
        <w:tc>
          <w:tcPr>
            <w:tcW w:w="1139" w:type="dxa"/>
            <w:tcBorders>
              <w:top w:val="nil"/>
              <w:left w:val="nil"/>
              <w:bottom w:val="single" w:sz="12" w:space="0" w:color="auto"/>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3,01</w:t>
            </w:r>
            <w:r w:rsidR="003769AB">
              <w:rPr>
                <w:sz w:val="17"/>
                <w:lang w:val="fr-CH"/>
              </w:rPr>
              <w:t xml:space="preserve"> </w:t>
            </w:r>
            <w:r w:rsidRPr="00434F82">
              <w:rPr>
                <w:sz w:val="17"/>
                <w:lang w:val="fr-CH"/>
              </w:rPr>
              <w:t>%</w:t>
            </w:r>
          </w:p>
        </w:tc>
        <w:tc>
          <w:tcPr>
            <w:tcW w:w="1139" w:type="dxa"/>
            <w:tcBorders>
              <w:top w:val="nil"/>
              <w:left w:val="nil"/>
              <w:bottom w:val="single" w:sz="12" w:space="0" w:color="auto"/>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2,76</w:t>
            </w:r>
            <w:r w:rsidR="003769AB">
              <w:rPr>
                <w:sz w:val="17"/>
                <w:lang w:val="fr-CH"/>
              </w:rPr>
              <w:t xml:space="preserve"> </w:t>
            </w:r>
            <w:r w:rsidRPr="00434F82">
              <w:rPr>
                <w:sz w:val="17"/>
                <w:lang w:val="fr-CH"/>
              </w:rPr>
              <w:t>%</w:t>
            </w:r>
          </w:p>
        </w:tc>
      </w:tr>
    </w:tbl>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BF1937" w:rsidRDefault="00BF1937" w:rsidP="00C92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CH"/>
        </w:rPr>
        <w:tab/>
        <w:t>Justice</w:t>
      </w: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2304"/>
        <w:gridCol w:w="1728"/>
        <w:gridCol w:w="1728"/>
        <w:gridCol w:w="1728"/>
      </w:tblGrid>
      <w:tr w:rsidR="00BF1937" w:rsidRPr="00BF1937" w:rsidTr="00434F82">
        <w:tc>
          <w:tcPr>
            <w:tcW w:w="2268" w:type="dxa"/>
            <w:tcBorders>
              <w:top w:val="single" w:sz="4" w:space="0" w:color="auto"/>
              <w:left w:val="nil"/>
              <w:bottom w:val="single" w:sz="12" w:space="0" w:color="auto"/>
              <w:right w:val="nil"/>
            </w:tcBorders>
            <w:vAlign w:val="bottom"/>
          </w:tcPr>
          <w:p w:rsidR="00BF1937" w:rsidRPr="00434F82" w:rsidRDefault="00BF1937"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701" w:type="dxa"/>
            <w:tcBorders>
              <w:top w:val="single" w:sz="4" w:space="0" w:color="auto"/>
              <w:left w:val="nil"/>
              <w:bottom w:val="single" w:sz="12" w:space="0" w:color="auto"/>
              <w:right w:val="nil"/>
            </w:tcBorders>
            <w:vAlign w:val="bottom"/>
            <w:hideMark/>
          </w:tcPr>
          <w:p w:rsidR="00BF1937" w:rsidRPr="00434F82" w:rsidRDefault="00BF1937" w:rsidP="00110459">
            <w:pPr>
              <w:tabs>
                <w:tab w:val="left" w:pos="288"/>
                <w:tab w:val="left" w:pos="576"/>
                <w:tab w:val="left" w:pos="864"/>
                <w:tab w:val="left" w:pos="1152"/>
              </w:tabs>
              <w:suppressAutoHyphens/>
              <w:spacing w:before="80" w:after="80" w:line="160" w:lineRule="exact"/>
              <w:ind w:right="40"/>
              <w:jc w:val="right"/>
              <w:rPr>
                <w:i/>
                <w:sz w:val="14"/>
                <w:lang w:val="fr-CH"/>
              </w:rPr>
            </w:pPr>
            <w:r w:rsidRPr="00434F82">
              <w:rPr>
                <w:i/>
                <w:sz w:val="14"/>
                <w:lang w:val="fr-CH"/>
              </w:rPr>
              <w:t>Budget total</w:t>
            </w:r>
            <w:r w:rsidR="00110459">
              <w:rPr>
                <w:i/>
                <w:sz w:val="14"/>
                <w:lang w:val="fr-CH"/>
              </w:rPr>
              <w:t xml:space="preserve"> </w:t>
            </w:r>
            <w:r w:rsidR="00110459">
              <w:rPr>
                <w:i/>
                <w:sz w:val="14"/>
                <w:lang w:val="fr-CH"/>
              </w:rPr>
              <w:br/>
            </w:r>
            <w:r w:rsidRPr="00434F82">
              <w:rPr>
                <w:i/>
                <w:sz w:val="14"/>
                <w:lang w:val="fr-CH"/>
              </w:rPr>
              <w:t xml:space="preserve">de la justice </w:t>
            </w:r>
            <w:r w:rsidR="00110459">
              <w:rPr>
                <w:i/>
                <w:sz w:val="14"/>
                <w:lang w:val="fr-CH"/>
              </w:rPr>
              <w:br/>
            </w:r>
            <w:r w:rsidRPr="00434F82">
              <w:rPr>
                <w:i/>
                <w:sz w:val="14"/>
                <w:lang w:val="fr-CH"/>
              </w:rPr>
              <w:t>(en euros)</w:t>
            </w:r>
          </w:p>
        </w:tc>
        <w:tc>
          <w:tcPr>
            <w:tcW w:w="1701" w:type="dxa"/>
            <w:tcBorders>
              <w:top w:val="single" w:sz="4" w:space="0" w:color="auto"/>
              <w:left w:val="nil"/>
              <w:bottom w:val="single" w:sz="12" w:space="0" w:color="auto"/>
              <w:right w:val="nil"/>
            </w:tcBorders>
            <w:vAlign w:val="bottom"/>
          </w:tcPr>
          <w:p w:rsidR="00BF1937" w:rsidRPr="00434F82" w:rsidRDefault="00BF1937"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701" w:type="dxa"/>
            <w:tcBorders>
              <w:top w:val="single" w:sz="4" w:space="0" w:color="auto"/>
              <w:left w:val="nil"/>
              <w:bottom w:val="single" w:sz="12" w:space="0" w:color="auto"/>
              <w:right w:val="nil"/>
            </w:tcBorders>
            <w:vAlign w:val="bottom"/>
            <w:hideMark/>
          </w:tcPr>
          <w:p w:rsidR="00BF1937"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r>
              <w:rPr>
                <w:i/>
                <w:sz w:val="14"/>
                <w:lang w:val="fr-CH"/>
              </w:rPr>
              <w:t>Pourcentage</w:t>
            </w:r>
          </w:p>
        </w:tc>
      </w:tr>
      <w:tr w:rsidR="00434F82" w:rsidRPr="00BF1937" w:rsidTr="00434F82">
        <w:trPr>
          <w:trHeight w:hRule="exact" w:val="115"/>
        </w:trPr>
        <w:tc>
          <w:tcPr>
            <w:tcW w:w="2268" w:type="dxa"/>
            <w:tcBorders>
              <w:top w:val="single" w:sz="12" w:space="0" w:color="auto"/>
              <w:left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701" w:type="dxa"/>
            <w:tcBorders>
              <w:top w:val="single" w:sz="12" w:space="0" w:color="auto"/>
              <w:left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701" w:type="dxa"/>
            <w:tcBorders>
              <w:top w:val="single" w:sz="12" w:space="0" w:color="auto"/>
              <w:left w:val="nil"/>
              <w:right w:val="nil"/>
            </w:tcBorders>
            <w:vAlign w:val="bottom"/>
          </w:tcPr>
          <w:p w:rsidR="00434F82" w:rsidRP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c>
          <w:tcPr>
            <w:tcW w:w="1701" w:type="dxa"/>
            <w:tcBorders>
              <w:top w:val="single" w:sz="12" w:space="0" w:color="auto"/>
              <w:left w:val="nil"/>
              <w:right w:val="nil"/>
            </w:tcBorders>
            <w:vAlign w:val="bottom"/>
          </w:tcPr>
          <w:p w:rsidR="00434F82" w:rsidRDefault="00434F82" w:rsidP="00434F82">
            <w:pPr>
              <w:tabs>
                <w:tab w:val="left" w:pos="288"/>
                <w:tab w:val="left" w:pos="576"/>
                <w:tab w:val="left" w:pos="864"/>
                <w:tab w:val="left" w:pos="1152"/>
              </w:tabs>
              <w:suppressAutoHyphens/>
              <w:spacing w:before="80" w:after="80" w:line="160" w:lineRule="exact"/>
              <w:ind w:right="40"/>
              <w:jc w:val="right"/>
              <w:rPr>
                <w:i/>
                <w:sz w:val="14"/>
                <w:lang w:val="fr-CH"/>
              </w:rPr>
            </w:pPr>
          </w:p>
        </w:tc>
      </w:tr>
      <w:tr w:rsidR="00BF1937" w:rsidRPr="00BF1937" w:rsidTr="00434F82">
        <w:tc>
          <w:tcPr>
            <w:tcW w:w="2268" w:type="dxa"/>
            <w:tcBorders>
              <w:left w:val="nil"/>
              <w:bottom w:val="nil"/>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2009</w:t>
            </w:r>
          </w:p>
        </w:tc>
        <w:tc>
          <w:tcPr>
            <w:tcW w:w="1701" w:type="dxa"/>
            <w:tcBorders>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7</w:t>
            </w:r>
            <w:r w:rsidR="003769AB">
              <w:rPr>
                <w:sz w:val="17"/>
                <w:lang w:val="fr-CH"/>
              </w:rPr>
              <w:t xml:space="preserve"> </w:t>
            </w:r>
            <w:r w:rsidRPr="00434F82">
              <w:rPr>
                <w:sz w:val="17"/>
                <w:lang w:val="fr-CH"/>
              </w:rPr>
              <w:t>746</w:t>
            </w:r>
            <w:r w:rsidR="003769AB">
              <w:rPr>
                <w:sz w:val="17"/>
                <w:lang w:val="fr-CH"/>
              </w:rPr>
              <w:t xml:space="preserve"> </w:t>
            </w:r>
            <w:r w:rsidRPr="00434F82">
              <w:rPr>
                <w:sz w:val="17"/>
                <w:lang w:val="fr-CH"/>
              </w:rPr>
              <w:t>961</w:t>
            </w:r>
            <w:r w:rsidR="003769AB">
              <w:rPr>
                <w:sz w:val="17"/>
                <w:lang w:val="fr-CH"/>
              </w:rPr>
              <w:t xml:space="preserve"> </w:t>
            </w:r>
            <w:r w:rsidRPr="00434F82">
              <w:rPr>
                <w:sz w:val="17"/>
                <w:lang w:val="fr-CH"/>
              </w:rPr>
              <w:t xml:space="preserve">077 </w:t>
            </w:r>
          </w:p>
        </w:tc>
        <w:tc>
          <w:tcPr>
            <w:tcW w:w="1701" w:type="dxa"/>
            <w:tcBorders>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25</w:t>
            </w:r>
            <w:r w:rsidR="003769AB">
              <w:rPr>
                <w:sz w:val="17"/>
                <w:lang w:val="fr-CH"/>
              </w:rPr>
              <w:t xml:space="preserve"> </w:t>
            </w:r>
            <w:r w:rsidRPr="00434F82">
              <w:rPr>
                <w:sz w:val="17"/>
                <w:lang w:val="fr-CH"/>
              </w:rPr>
              <w:t>756</w:t>
            </w:r>
            <w:r w:rsidR="003769AB">
              <w:rPr>
                <w:sz w:val="17"/>
                <w:lang w:val="fr-CH"/>
              </w:rPr>
              <w:t xml:space="preserve"> </w:t>
            </w:r>
            <w:r w:rsidRPr="00434F82">
              <w:rPr>
                <w:sz w:val="17"/>
                <w:lang w:val="fr-CH"/>
              </w:rPr>
              <w:t xml:space="preserve">787 </w:t>
            </w:r>
          </w:p>
        </w:tc>
        <w:tc>
          <w:tcPr>
            <w:tcW w:w="1701" w:type="dxa"/>
            <w:tcBorders>
              <w:left w:val="nil"/>
              <w:bottom w:val="nil"/>
              <w:right w:val="nil"/>
            </w:tcBorders>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0</w:t>
            </w:r>
            <w:r w:rsidR="003769AB">
              <w:rPr>
                <w:sz w:val="17"/>
                <w:lang w:val="fr-CH"/>
              </w:rPr>
              <w:t>,</w:t>
            </w:r>
            <w:r w:rsidRPr="00434F82">
              <w:rPr>
                <w:sz w:val="17"/>
                <w:lang w:val="fr-CH"/>
              </w:rPr>
              <w:t>33</w:t>
            </w:r>
          </w:p>
        </w:tc>
      </w:tr>
      <w:tr w:rsidR="00BF1937" w:rsidRPr="00BF1937" w:rsidTr="00434F82">
        <w:tc>
          <w:tcPr>
            <w:tcW w:w="2268" w:type="dxa"/>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2010</w:t>
            </w:r>
          </w:p>
        </w:tc>
        <w:tc>
          <w:tcPr>
            <w:tcW w:w="1701" w:type="dxa"/>
            <w:vAlign w:val="bottom"/>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7</w:t>
            </w:r>
            <w:r w:rsidR="003769AB">
              <w:rPr>
                <w:sz w:val="17"/>
                <w:lang w:val="fr-CH"/>
              </w:rPr>
              <w:t xml:space="preserve"> </w:t>
            </w:r>
            <w:r w:rsidRPr="00434F82">
              <w:rPr>
                <w:sz w:val="17"/>
                <w:lang w:val="fr-CH"/>
              </w:rPr>
              <w:t>718</w:t>
            </w:r>
            <w:r w:rsidR="003769AB">
              <w:rPr>
                <w:sz w:val="17"/>
                <w:lang w:val="fr-CH"/>
              </w:rPr>
              <w:t xml:space="preserve"> </w:t>
            </w:r>
            <w:r w:rsidRPr="00434F82">
              <w:rPr>
                <w:sz w:val="17"/>
                <w:lang w:val="fr-CH"/>
              </w:rPr>
              <w:t>239</w:t>
            </w:r>
            <w:r w:rsidR="003769AB">
              <w:rPr>
                <w:sz w:val="17"/>
                <w:lang w:val="fr-CH"/>
              </w:rPr>
              <w:t xml:space="preserve"> </w:t>
            </w:r>
            <w:r w:rsidRPr="00434F82">
              <w:rPr>
                <w:sz w:val="17"/>
                <w:lang w:val="fr-CH"/>
              </w:rPr>
              <w:t xml:space="preserve">821 </w:t>
            </w:r>
          </w:p>
        </w:tc>
        <w:tc>
          <w:tcPr>
            <w:tcW w:w="1701" w:type="dxa"/>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25</w:t>
            </w:r>
            <w:r w:rsidR="003769AB">
              <w:rPr>
                <w:sz w:val="17"/>
                <w:lang w:val="fr-CH"/>
              </w:rPr>
              <w:t xml:space="preserve"> </w:t>
            </w:r>
            <w:r w:rsidRPr="00434F82">
              <w:rPr>
                <w:sz w:val="17"/>
                <w:lang w:val="fr-CH"/>
              </w:rPr>
              <w:t>512</w:t>
            </w:r>
            <w:r w:rsidR="003769AB">
              <w:rPr>
                <w:sz w:val="17"/>
                <w:lang w:val="fr-CH"/>
              </w:rPr>
              <w:t xml:space="preserve"> </w:t>
            </w:r>
            <w:r w:rsidRPr="00434F82">
              <w:rPr>
                <w:sz w:val="17"/>
                <w:lang w:val="fr-CH"/>
              </w:rPr>
              <w:t xml:space="preserve">449 </w:t>
            </w:r>
          </w:p>
        </w:tc>
        <w:tc>
          <w:tcPr>
            <w:tcW w:w="1701" w:type="dxa"/>
            <w:hideMark/>
          </w:tcPr>
          <w:p w:rsidR="00BF1937" w:rsidRPr="00434F82" w:rsidRDefault="003769AB" w:rsidP="00434F82">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w:t>
            </w:r>
            <w:r w:rsidR="00BF1937" w:rsidRPr="00434F82">
              <w:rPr>
                <w:sz w:val="17"/>
                <w:lang w:val="fr-CH"/>
              </w:rPr>
              <w:t>33</w:t>
            </w:r>
          </w:p>
        </w:tc>
      </w:tr>
      <w:tr w:rsidR="00BF1937" w:rsidRPr="00BF1937" w:rsidTr="00434F82">
        <w:tc>
          <w:tcPr>
            <w:tcW w:w="2268" w:type="dxa"/>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2011</w:t>
            </w:r>
          </w:p>
        </w:tc>
        <w:tc>
          <w:tcPr>
            <w:tcW w:w="1701" w:type="dxa"/>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8</w:t>
            </w:r>
            <w:r w:rsidR="003769AB">
              <w:rPr>
                <w:sz w:val="17"/>
                <w:lang w:val="fr-CH"/>
              </w:rPr>
              <w:t xml:space="preserve"> </w:t>
            </w:r>
            <w:r w:rsidRPr="00434F82">
              <w:rPr>
                <w:sz w:val="17"/>
                <w:lang w:val="fr-CH"/>
              </w:rPr>
              <w:t>008</w:t>
            </w:r>
            <w:r w:rsidR="003769AB">
              <w:rPr>
                <w:sz w:val="17"/>
                <w:lang w:val="fr-CH"/>
              </w:rPr>
              <w:t xml:space="preserve"> </w:t>
            </w:r>
            <w:r w:rsidRPr="00434F82">
              <w:rPr>
                <w:sz w:val="17"/>
                <w:lang w:val="fr-CH"/>
              </w:rPr>
              <w:t>714</w:t>
            </w:r>
            <w:r w:rsidR="003769AB">
              <w:rPr>
                <w:sz w:val="17"/>
                <w:lang w:val="fr-CH"/>
              </w:rPr>
              <w:t xml:space="preserve"> </w:t>
            </w:r>
            <w:r w:rsidRPr="00434F82">
              <w:rPr>
                <w:sz w:val="17"/>
                <w:lang w:val="fr-CH"/>
              </w:rPr>
              <w:t xml:space="preserve">983 </w:t>
            </w:r>
          </w:p>
        </w:tc>
        <w:tc>
          <w:tcPr>
            <w:tcW w:w="1701" w:type="dxa"/>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26</w:t>
            </w:r>
            <w:r w:rsidR="003769AB">
              <w:rPr>
                <w:sz w:val="17"/>
                <w:lang w:val="fr-CH"/>
              </w:rPr>
              <w:t xml:space="preserve"> </w:t>
            </w:r>
            <w:r w:rsidRPr="00434F82">
              <w:rPr>
                <w:sz w:val="17"/>
                <w:lang w:val="fr-CH"/>
              </w:rPr>
              <w:t>599</w:t>
            </w:r>
            <w:r w:rsidR="003769AB">
              <w:rPr>
                <w:sz w:val="17"/>
                <w:lang w:val="fr-CH"/>
              </w:rPr>
              <w:t xml:space="preserve"> </w:t>
            </w:r>
            <w:r w:rsidRPr="00434F82">
              <w:rPr>
                <w:sz w:val="17"/>
                <w:lang w:val="fr-CH"/>
              </w:rPr>
              <w:t xml:space="preserve">869 </w:t>
            </w:r>
          </w:p>
        </w:tc>
        <w:tc>
          <w:tcPr>
            <w:tcW w:w="1701" w:type="dxa"/>
            <w:hideMark/>
          </w:tcPr>
          <w:p w:rsidR="00BF1937" w:rsidRPr="00434F82" w:rsidRDefault="003769AB" w:rsidP="00434F82">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w:t>
            </w:r>
            <w:r w:rsidR="00BF1937" w:rsidRPr="00434F82">
              <w:rPr>
                <w:sz w:val="17"/>
                <w:lang w:val="fr-CH"/>
              </w:rPr>
              <w:t>33</w:t>
            </w:r>
          </w:p>
        </w:tc>
      </w:tr>
      <w:tr w:rsidR="00BF1937" w:rsidRPr="00BF1937" w:rsidTr="00434F82">
        <w:tc>
          <w:tcPr>
            <w:tcW w:w="2268" w:type="dxa"/>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2012</w:t>
            </w:r>
          </w:p>
        </w:tc>
        <w:tc>
          <w:tcPr>
            <w:tcW w:w="1701" w:type="dxa"/>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8</w:t>
            </w:r>
            <w:r w:rsidR="003769AB">
              <w:rPr>
                <w:sz w:val="17"/>
                <w:lang w:val="fr-CH"/>
              </w:rPr>
              <w:t xml:space="preserve"> </w:t>
            </w:r>
            <w:r w:rsidRPr="00434F82">
              <w:rPr>
                <w:sz w:val="17"/>
                <w:lang w:val="fr-CH"/>
              </w:rPr>
              <w:t>257</w:t>
            </w:r>
            <w:r w:rsidR="003769AB">
              <w:rPr>
                <w:sz w:val="17"/>
                <w:lang w:val="fr-CH"/>
              </w:rPr>
              <w:t xml:space="preserve"> </w:t>
            </w:r>
            <w:r w:rsidRPr="00434F82">
              <w:rPr>
                <w:sz w:val="17"/>
                <w:lang w:val="fr-CH"/>
              </w:rPr>
              <w:t>831</w:t>
            </w:r>
            <w:r w:rsidR="003769AB">
              <w:rPr>
                <w:sz w:val="17"/>
                <w:lang w:val="fr-CH"/>
              </w:rPr>
              <w:t xml:space="preserve"> </w:t>
            </w:r>
            <w:r w:rsidRPr="00434F82">
              <w:rPr>
                <w:sz w:val="17"/>
                <w:lang w:val="fr-CH"/>
              </w:rPr>
              <w:t xml:space="preserve">260 </w:t>
            </w:r>
          </w:p>
        </w:tc>
        <w:tc>
          <w:tcPr>
            <w:tcW w:w="1701" w:type="dxa"/>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26</w:t>
            </w:r>
            <w:r w:rsidR="003769AB">
              <w:rPr>
                <w:sz w:val="17"/>
                <w:lang w:val="fr-CH"/>
              </w:rPr>
              <w:t xml:space="preserve"> </w:t>
            </w:r>
            <w:r w:rsidRPr="00434F82">
              <w:rPr>
                <w:sz w:val="17"/>
                <w:lang w:val="fr-CH"/>
              </w:rPr>
              <w:t>548</w:t>
            </w:r>
            <w:r w:rsidR="003769AB">
              <w:rPr>
                <w:sz w:val="17"/>
                <w:lang w:val="fr-CH"/>
              </w:rPr>
              <w:t xml:space="preserve"> </w:t>
            </w:r>
            <w:r w:rsidRPr="00434F82">
              <w:rPr>
                <w:sz w:val="17"/>
                <w:lang w:val="fr-CH"/>
              </w:rPr>
              <w:t xml:space="preserve">440 </w:t>
            </w:r>
          </w:p>
        </w:tc>
        <w:tc>
          <w:tcPr>
            <w:tcW w:w="1701" w:type="dxa"/>
            <w:hideMark/>
          </w:tcPr>
          <w:p w:rsidR="00BF1937" w:rsidRPr="00434F82" w:rsidRDefault="003769AB" w:rsidP="00434F82">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w:t>
            </w:r>
            <w:r w:rsidR="00BF1937" w:rsidRPr="00434F82">
              <w:rPr>
                <w:sz w:val="17"/>
                <w:lang w:val="fr-CH"/>
              </w:rPr>
              <w:t>32</w:t>
            </w:r>
          </w:p>
        </w:tc>
      </w:tr>
      <w:tr w:rsidR="00BF1937" w:rsidRPr="00BF1937" w:rsidTr="00434F82">
        <w:tc>
          <w:tcPr>
            <w:tcW w:w="2268" w:type="dxa"/>
            <w:tcBorders>
              <w:top w:val="nil"/>
              <w:left w:val="nil"/>
              <w:bottom w:val="single" w:sz="12" w:space="0" w:color="auto"/>
              <w:right w:val="nil"/>
            </w:tcBorders>
            <w:vAlign w:val="bottom"/>
            <w:hideMark/>
          </w:tcPr>
          <w:p w:rsidR="00BF1937" w:rsidRPr="00434F82" w:rsidRDefault="00BF1937" w:rsidP="00434F82">
            <w:pPr>
              <w:tabs>
                <w:tab w:val="left" w:pos="288"/>
                <w:tab w:val="left" w:pos="576"/>
                <w:tab w:val="left" w:pos="864"/>
                <w:tab w:val="left" w:pos="1152"/>
              </w:tabs>
              <w:suppressAutoHyphens/>
              <w:spacing w:before="40" w:after="40" w:line="210" w:lineRule="exact"/>
              <w:ind w:right="40"/>
              <w:rPr>
                <w:sz w:val="17"/>
                <w:lang w:val="fr-CH"/>
              </w:rPr>
            </w:pPr>
            <w:r w:rsidRPr="00434F82">
              <w:rPr>
                <w:sz w:val="17"/>
                <w:lang w:val="fr-CH"/>
              </w:rPr>
              <w:t>2013</w:t>
            </w:r>
          </w:p>
        </w:tc>
        <w:tc>
          <w:tcPr>
            <w:tcW w:w="1701" w:type="dxa"/>
            <w:tcBorders>
              <w:top w:val="nil"/>
              <w:left w:val="nil"/>
              <w:bottom w:val="single" w:sz="12" w:space="0" w:color="auto"/>
              <w:right w:val="nil"/>
            </w:tcBorders>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9</w:t>
            </w:r>
            <w:r w:rsidR="003769AB">
              <w:rPr>
                <w:sz w:val="17"/>
                <w:lang w:val="fr-CH"/>
              </w:rPr>
              <w:t xml:space="preserve"> </w:t>
            </w:r>
            <w:r w:rsidRPr="00434F82">
              <w:rPr>
                <w:sz w:val="17"/>
                <w:lang w:val="fr-CH"/>
              </w:rPr>
              <w:t>513</w:t>
            </w:r>
            <w:r w:rsidR="003769AB">
              <w:rPr>
                <w:sz w:val="17"/>
                <w:lang w:val="fr-CH"/>
              </w:rPr>
              <w:t xml:space="preserve"> </w:t>
            </w:r>
            <w:r w:rsidRPr="00434F82">
              <w:rPr>
                <w:sz w:val="17"/>
                <w:lang w:val="fr-CH"/>
              </w:rPr>
              <w:t>378</w:t>
            </w:r>
            <w:r w:rsidR="003769AB">
              <w:rPr>
                <w:sz w:val="17"/>
                <w:lang w:val="fr-CH"/>
              </w:rPr>
              <w:t xml:space="preserve"> </w:t>
            </w:r>
            <w:r w:rsidRPr="00434F82">
              <w:rPr>
                <w:sz w:val="17"/>
                <w:lang w:val="fr-CH"/>
              </w:rPr>
              <w:t xml:space="preserve">945 </w:t>
            </w:r>
          </w:p>
        </w:tc>
        <w:tc>
          <w:tcPr>
            <w:tcW w:w="1701" w:type="dxa"/>
            <w:tcBorders>
              <w:top w:val="nil"/>
              <w:left w:val="nil"/>
              <w:bottom w:val="single" w:sz="12" w:space="0" w:color="auto"/>
              <w:right w:val="nil"/>
            </w:tcBorders>
            <w:hideMark/>
          </w:tcPr>
          <w:p w:rsidR="00BF1937" w:rsidRPr="00434F82" w:rsidRDefault="00BF1937" w:rsidP="003769AB">
            <w:pPr>
              <w:tabs>
                <w:tab w:val="left" w:pos="288"/>
                <w:tab w:val="left" w:pos="576"/>
                <w:tab w:val="left" w:pos="864"/>
                <w:tab w:val="left" w:pos="1152"/>
              </w:tabs>
              <w:suppressAutoHyphens/>
              <w:spacing w:before="40" w:after="40" w:line="210" w:lineRule="exact"/>
              <w:ind w:right="43"/>
              <w:jc w:val="right"/>
              <w:rPr>
                <w:sz w:val="17"/>
                <w:lang w:val="fr-CH"/>
              </w:rPr>
            </w:pPr>
            <w:r w:rsidRPr="00434F82">
              <w:rPr>
                <w:sz w:val="17"/>
                <w:lang w:val="fr-CH"/>
              </w:rPr>
              <w:t>27</w:t>
            </w:r>
            <w:r w:rsidR="003769AB">
              <w:rPr>
                <w:sz w:val="17"/>
                <w:lang w:val="fr-CH"/>
              </w:rPr>
              <w:t xml:space="preserve"> </w:t>
            </w:r>
            <w:r w:rsidRPr="00434F82">
              <w:rPr>
                <w:sz w:val="17"/>
                <w:lang w:val="fr-CH"/>
              </w:rPr>
              <w:t>375</w:t>
            </w:r>
            <w:r w:rsidR="003769AB">
              <w:rPr>
                <w:sz w:val="17"/>
                <w:lang w:val="fr-CH"/>
              </w:rPr>
              <w:t xml:space="preserve"> </w:t>
            </w:r>
            <w:r w:rsidRPr="00434F82">
              <w:rPr>
                <w:sz w:val="17"/>
                <w:lang w:val="fr-CH"/>
              </w:rPr>
              <w:t xml:space="preserve">949 </w:t>
            </w:r>
          </w:p>
        </w:tc>
        <w:tc>
          <w:tcPr>
            <w:tcW w:w="1701" w:type="dxa"/>
            <w:tcBorders>
              <w:top w:val="nil"/>
              <w:left w:val="nil"/>
              <w:bottom w:val="single" w:sz="12" w:space="0" w:color="auto"/>
              <w:right w:val="nil"/>
            </w:tcBorders>
            <w:hideMark/>
          </w:tcPr>
          <w:p w:rsidR="00BF1937" w:rsidRPr="00434F82" w:rsidRDefault="003769AB" w:rsidP="00434F82">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w:t>
            </w:r>
            <w:r w:rsidR="00BF1937" w:rsidRPr="00434F82">
              <w:rPr>
                <w:sz w:val="17"/>
                <w:lang w:val="fr-CH"/>
              </w:rPr>
              <w:t>29</w:t>
            </w:r>
          </w:p>
        </w:tc>
      </w:tr>
    </w:tbl>
    <w:p w:rsidR="00C92CDB" w:rsidRPr="00C92CDB" w:rsidRDefault="00C92CDB" w:rsidP="00C92CDB">
      <w:pPr>
        <w:pStyle w:val="SingleTxt"/>
        <w:spacing w:after="0" w:line="120" w:lineRule="exact"/>
        <w:rPr>
          <w:sz w:val="10"/>
          <w:lang w:val="fr-CH"/>
        </w:rPr>
      </w:pPr>
    </w:p>
    <w:p w:rsidR="00C92CDB" w:rsidRPr="00C92CDB" w:rsidRDefault="00C92CDB" w:rsidP="00C92CDB">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Durée maximale et durée moyenne de la détention provisoire</w:t>
      </w:r>
      <w:r w:rsidR="00110459">
        <w:rPr>
          <w:lang w:val="fr-CH"/>
        </w:rPr>
        <w:t> :</w:t>
      </w:r>
      <w:r w:rsidRPr="00BF1937">
        <w:rPr>
          <w:lang w:val="fr-CH"/>
        </w:rPr>
        <w:t xml:space="preserve"> pas de durée maximale.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Indicateurs relatifs au système politique</w:t>
      </w:r>
      <w:r w:rsidR="00C92CDB">
        <w:rPr>
          <w:lang w:val="fr-CH"/>
        </w:rPr>
        <w:t> </w:t>
      </w:r>
      <w:r w:rsidRPr="00BF1937">
        <w:rPr>
          <w:lang w:val="fr-CH"/>
        </w:rPr>
        <w:t>:</w:t>
      </w:r>
    </w:p>
    <w:p w:rsidR="00BF1937" w:rsidRPr="00BF1937" w:rsidRDefault="00BF1937" w:rsidP="00C92CDB">
      <w:pPr>
        <w:pStyle w:val="Bullet1"/>
        <w:ind w:left="1743" w:hanging="130"/>
        <w:rPr>
          <w:lang w:val="fr-CH"/>
        </w:rPr>
      </w:pPr>
      <w:r w:rsidRPr="00BF1937">
        <w:rPr>
          <w:lang w:val="fr-CH"/>
        </w:rPr>
        <w:t>Nombre de partis politiques reconnus au niveau national</w:t>
      </w:r>
      <w:r w:rsidR="00110459">
        <w:rPr>
          <w:lang w:val="fr-CH"/>
        </w:rPr>
        <w:t> :</w:t>
      </w:r>
      <w:r w:rsidRPr="00BF1937">
        <w:rPr>
          <w:lang w:val="fr-CH"/>
        </w:rPr>
        <w:t xml:space="preserve"> 10 (dix);</w:t>
      </w:r>
    </w:p>
    <w:p w:rsidR="00BF1937" w:rsidRPr="00BF1937" w:rsidRDefault="00BF1937" w:rsidP="00C92CDB">
      <w:pPr>
        <w:pStyle w:val="Bullet1"/>
        <w:ind w:left="1743" w:hanging="130"/>
        <w:rPr>
          <w:lang w:val="fr-CH"/>
        </w:rPr>
      </w:pPr>
      <w:r w:rsidRPr="00BF1937">
        <w:rPr>
          <w:lang w:val="fr-CH"/>
        </w:rPr>
        <w:lastRenderedPageBreak/>
        <w:t>Proportion de la population ayant le droit de vote</w:t>
      </w:r>
      <w:r w:rsidR="00110459">
        <w:rPr>
          <w:lang w:val="fr-CH"/>
        </w:rPr>
        <w:t> :</w:t>
      </w:r>
      <w:r w:rsidRPr="00BF1937">
        <w:rPr>
          <w:lang w:val="fr-CH"/>
        </w:rPr>
        <w:t xml:space="preserve"> 62</w:t>
      </w:r>
      <w:r w:rsidR="003769AB">
        <w:rPr>
          <w:lang w:val="fr-CH"/>
        </w:rPr>
        <w:t> </w:t>
      </w:r>
      <w:r w:rsidRPr="00BF1937">
        <w:rPr>
          <w:lang w:val="fr-CH"/>
        </w:rPr>
        <w:t xml:space="preserve">% de la population totale du pays; </w:t>
      </w:r>
    </w:p>
    <w:p w:rsidR="00BF1937" w:rsidRPr="00BF1937" w:rsidRDefault="00BF1937" w:rsidP="00C92CDB">
      <w:pPr>
        <w:pStyle w:val="Bullet1"/>
        <w:ind w:left="1743" w:hanging="130"/>
        <w:rPr>
          <w:lang w:val="fr-CH"/>
        </w:rPr>
      </w:pPr>
      <w:r w:rsidRPr="00BF1937">
        <w:rPr>
          <w:lang w:val="fr-CH"/>
        </w:rPr>
        <w:t>Nombre de plaintes enregistrées concernant la conduite des élections, par type d</w:t>
      </w:r>
      <w:r w:rsidR="008300FB">
        <w:rPr>
          <w:lang w:val="fr-CH"/>
        </w:rPr>
        <w:t>’</w:t>
      </w:r>
      <w:r w:rsidRPr="00BF1937">
        <w:rPr>
          <w:lang w:val="fr-CH"/>
        </w:rPr>
        <w:t>irrégularités dénoncées</w:t>
      </w:r>
      <w:r w:rsidR="00110459">
        <w:rPr>
          <w:lang w:val="fr-CH"/>
        </w:rPr>
        <w:t> :</w:t>
      </w:r>
      <w:r w:rsidRPr="00BF1937">
        <w:rPr>
          <w:lang w:val="fr-CH"/>
        </w:rPr>
        <w:t xml:space="preserve"> aucune</w:t>
      </w:r>
      <w:r w:rsidR="00C92CDB">
        <w:rPr>
          <w:lang w:val="fr-CH"/>
        </w:rPr>
        <w:t>;</w:t>
      </w:r>
    </w:p>
    <w:p w:rsidR="00BF1937" w:rsidRPr="00BF1937" w:rsidRDefault="00BF1937" w:rsidP="00C92CDB">
      <w:pPr>
        <w:pStyle w:val="Bullet1"/>
        <w:ind w:left="1743" w:hanging="130"/>
        <w:rPr>
          <w:lang w:val="fr-CH"/>
        </w:rPr>
      </w:pPr>
      <w:r w:rsidRPr="00BF1937">
        <w:rPr>
          <w:lang w:val="fr-CH"/>
        </w:rPr>
        <w:t>Répartition des sièges à l</w:t>
      </w:r>
      <w:r w:rsidR="008300FB">
        <w:rPr>
          <w:lang w:val="fr-CH"/>
        </w:rPr>
        <w:t>’</w:t>
      </w:r>
      <w:r w:rsidRPr="00BF1937">
        <w:rPr>
          <w:lang w:val="fr-CH"/>
        </w:rPr>
        <w:t>assemblée législative, par parti</w:t>
      </w:r>
      <w:r w:rsidR="00C92CDB">
        <w:rPr>
          <w:lang w:val="fr-CH"/>
        </w:rPr>
        <w:t> </w:t>
      </w:r>
      <w:r w:rsidRPr="00BF1937">
        <w:rPr>
          <w:lang w:val="fr-CH"/>
        </w:rPr>
        <w:t>:</w:t>
      </w:r>
    </w:p>
    <w:p w:rsidR="00BF1937" w:rsidRPr="00BF1937" w:rsidRDefault="00BF1937" w:rsidP="00C92CDB">
      <w:pPr>
        <w:pStyle w:val="Bullet2"/>
        <w:ind w:left="2217" w:hanging="130"/>
        <w:rPr>
          <w:lang w:val="fr-CH"/>
        </w:rPr>
      </w:pPr>
      <w:r w:rsidRPr="00BF1937">
        <w:rPr>
          <w:lang w:val="fr-CH"/>
        </w:rPr>
        <w:t>Parti</w:t>
      </w:r>
      <w:r w:rsidR="00C92CDB">
        <w:rPr>
          <w:lang w:val="fr-CH"/>
        </w:rPr>
        <w:t xml:space="preserve"> du rassemblement démocratique </w:t>
      </w:r>
      <w:r w:rsidRPr="00BF1937">
        <w:rPr>
          <w:lang w:val="fr-CH"/>
        </w:rPr>
        <w:t>(</w:t>
      </w:r>
      <w:r w:rsidR="00C92CDB">
        <w:rPr>
          <w:lang w:val="fr-CH"/>
        </w:rPr>
        <w:t>Disy) : 20;</w:t>
      </w:r>
    </w:p>
    <w:p w:rsidR="00BF1937" w:rsidRPr="00BF1937" w:rsidRDefault="00BF1937" w:rsidP="00C92CDB">
      <w:pPr>
        <w:pStyle w:val="Bullet2"/>
        <w:ind w:left="2217" w:hanging="130"/>
        <w:rPr>
          <w:lang w:val="fr-CH"/>
        </w:rPr>
      </w:pPr>
      <w:r w:rsidRPr="00BF1937">
        <w:rPr>
          <w:bCs/>
          <w:lang w:val="fr-CH"/>
        </w:rPr>
        <w:t xml:space="preserve">Parti progressiste des travailleurs </w:t>
      </w:r>
      <w:r w:rsidRPr="00BF1937">
        <w:rPr>
          <w:lang w:val="fr-CH"/>
        </w:rPr>
        <w:t>(AKEL)</w:t>
      </w:r>
      <w:r w:rsidR="00C92CDB">
        <w:rPr>
          <w:lang w:val="fr-CH"/>
        </w:rPr>
        <w:t xml:space="preserve"> –</w:t>
      </w:r>
      <w:r w:rsidRPr="00BF1937">
        <w:rPr>
          <w:lang w:val="fr-CH"/>
        </w:rPr>
        <w:t xml:space="preserve"> Nouvelle gauche</w:t>
      </w:r>
      <w:r w:rsidR="00C92CDB">
        <w:rPr>
          <w:lang w:val="fr-CH"/>
        </w:rPr>
        <w:t> </w:t>
      </w:r>
      <w:r w:rsidRPr="00BF1937">
        <w:rPr>
          <w:lang w:val="fr-CH"/>
        </w:rPr>
        <w:t>: 19</w:t>
      </w:r>
      <w:r w:rsidR="00C92CDB">
        <w:rPr>
          <w:lang w:val="fr-CH"/>
        </w:rPr>
        <w:t>;</w:t>
      </w:r>
    </w:p>
    <w:p w:rsidR="00BF1937" w:rsidRPr="00BF1937" w:rsidRDefault="00C92CDB" w:rsidP="00C92CDB">
      <w:pPr>
        <w:pStyle w:val="Bullet2"/>
        <w:ind w:left="2217" w:hanging="130"/>
        <w:rPr>
          <w:lang w:val="fr-CH"/>
        </w:rPr>
      </w:pPr>
      <w:r>
        <w:rPr>
          <w:lang w:val="fr-CH"/>
        </w:rPr>
        <w:t>Parti démocrate (Diko) : 8;</w:t>
      </w:r>
    </w:p>
    <w:p w:rsidR="00BF1937" w:rsidRPr="00BF1937" w:rsidRDefault="004342BE" w:rsidP="00C92CDB">
      <w:pPr>
        <w:pStyle w:val="Bullet2"/>
        <w:ind w:left="2217" w:hanging="130"/>
        <w:rPr>
          <w:lang w:val="fr-CH"/>
        </w:rPr>
      </w:pPr>
      <w:r>
        <w:rPr>
          <w:lang w:val="fr-CH"/>
        </w:rPr>
        <w:t>Mouvement des socio</w:t>
      </w:r>
      <w:r w:rsidR="00BF1937" w:rsidRPr="00BF1937">
        <w:rPr>
          <w:lang w:val="fr-CH"/>
        </w:rPr>
        <w:t>démocrates (EDEK)</w:t>
      </w:r>
      <w:r w:rsidR="00C92CDB">
        <w:rPr>
          <w:lang w:val="fr-CH"/>
        </w:rPr>
        <w:t> </w:t>
      </w:r>
      <w:r w:rsidR="00BF1937" w:rsidRPr="00BF1937">
        <w:rPr>
          <w:lang w:val="fr-CH"/>
        </w:rPr>
        <w:t>: 5</w:t>
      </w:r>
      <w:r w:rsidR="00C92CDB">
        <w:rPr>
          <w:lang w:val="fr-CH"/>
        </w:rPr>
        <w:t>;</w:t>
      </w:r>
    </w:p>
    <w:p w:rsidR="00BF1937" w:rsidRPr="00BF1937" w:rsidRDefault="00BF1937" w:rsidP="00C92CDB">
      <w:pPr>
        <w:pStyle w:val="Bullet2"/>
        <w:ind w:left="2217" w:hanging="130"/>
        <w:rPr>
          <w:lang w:val="fr-CH"/>
        </w:rPr>
      </w:pPr>
      <w:r w:rsidRPr="00BF1937">
        <w:rPr>
          <w:lang w:val="fr-CH"/>
        </w:rPr>
        <w:t>Parti européen</w:t>
      </w:r>
      <w:r w:rsidR="00C92CDB">
        <w:rPr>
          <w:lang w:val="fr-CH"/>
        </w:rPr>
        <w:t> </w:t>
      </w:r>
      <w:r w:rsidRPr="00BF1937">
        <w:rPr>
          <w:lang w:val="fr-CH"/>
        </w:rPr>
        <w:t>: 1</w:t>
      </w:r>
      <w:r w:rsidR="00C92CDB">
        <w:rPr>
          <w:lang w:val="fr-CH"/>
        </w:rPr>
        <w:t>;</w:t>
      </w:r>
    </w:p>
    <w:p w:rsidR="00BF1937" w:rsidRPr="00BF1937" w:rsidRDefault="00BF1937" w:rsidP="00C92CDB">
      <w:pPr>
        <w:pStyle w:val="Bullet2"/>
        <w:ind w:left="2217" w:hanging="130"/>
        <w:rPr>
          <w:lang w:val="fr-CH"/>
        </w:rPr>
      </w:pPr>
      <w:r w:rsidRPr="00BF1937">
        <w:rPr>
          <w:lang w:val="fr-CH"/>
        </w:rPr>
        <w:t>Les verts</w:t>
      </w:r>
      <w:r w:rsidR="00C92CDB">
        <w:rPr>
          <w:lang w:val="fr-CH"/>
        </w:rPr>
        <w:t> </w:t>
      </w:r>
      <w:r w:rsidRPr="00BF1937">
        <w:rPr>
          <w:lang w:val="fr-CH"/>
        </w:rPr>
        <w:t>: 1</w:t>
      </w:r>
      <w:r w:rsidR="00C92CDB">
        <w:rPr>
          <w:lang w:val="fr-CH"/>
        </w:rPr>
        <w:t>;</w:t>
      </w:r>
    </w:p>
    <w:p w:rsidR="00BF1937" w:rsidRPr="00BF1937" w:rsidRDefault="00BF1937" w:rsidP="00C92CDB">
      <w:pPr>
        <w:pStyle w:val="Bullet2"/>
        <w:ind w:left="2217" w:hanging="130"/>
        <w:rPr>
          <w:lang w:val="fr-CH"/>
        </w:rPr>
      </w:pPr>
      <w:r w:rsidRPr="00BF1937">
        <w:rPr>
          <w:lang w:val="fr-CH"/>
        </w:rPr>
        <w:t>Indépendant</w:t>
      </w:r>
      <w:r w:rsidR="00C92CDB">
        <w:rPr>
          <w:lang w:val="fr-CH"/>
        </w:rPr>
        <w:t> </w:t>
      </w:r>
      <w:r w:rsidRPr="00BF1937">
        <w:rPr>
          <w:lang w:val="fr-CH"/>
        </w:rPr>
        <w:t>: 1</w:t>
      </w:r>
      <w:r w:rsidR="00C92CDB">
        <w:rPr>
          <w:lang w:val="fr-CH"/>
        </w:rPr>
        <w:t>;</w:t>
      </w:r>
      <w:r w:rsidRPr="00BF1937">
        <w:rPr>
          <w:lang w:val="fr-CH"/>
        </w:rPr>
        <w:t xml:space="preserve"> </w:t>
      </w:r>
    </w:p>
    <w:p w:rsidR="00BF1937" w:rsidRPr="00BF1937" w:rsidRDefault="00BF1937" w:rsidP="00C92CDB">
      <w:pPr>
        <w:pStyle w:val="Bullet2"/>
        <w:ind w:left="2217" w:hanging="130"/>
        <w:rPr>
          <w:lang w:val="fr-CH"/>
        </w:rPr>
      </w:pPr>
      <w:r w:rsidRPr="00BF1937">
        <w:rPr>
          <w:lang w:val="fr-CH"/>
        </w:rPr>
        <w:t>Alliance citoyenne</w:t>
      </w:r>
      <w:r w:rsidR="00C92CDB">
        <w:rPr>
          <w:lang w:val="fr-CH"/>
        </w:rPr>
        <w:t> </w:t>
      </w:r>
      <w:r w:rsidRPr="00BF1937">
        <w:rPr>
          <w:lang w:val="fr-CH"/>
        </w:rPr>
        <w:t>: 1</w:t>
      </w:r>
      <w:r w:rsidR="00C92CDB">
        <w:rPr>
          <w:lang w:val="fr-CH"/>
        </w:rPr>
        <w:t>;</w:t>
      </w:r>
    </w:p>
    <w:p w:rsidR="00BF1937" w:rsidRPr="00BF1937" w:rsidRDefault="00BF1937" w:rsidP="00C92CDB">
      <w:pPr>
        <w:pStyle w:val="Bullet2"/>
        <w:ind w:left="2217" w:hanging="130"/>
        <w:rPr>
          <w:lang w:val="fr-CH"/>
        </w:rPr>
      </w:pPr>
      <w:r w:rsidRPr="00BF1937">
        <w:rPr>
          <w:lang w:val="fr-CH"/>
        </w:rPr>
        <w:t>Nombre total des sièges</w:t>
      </w:r>
      <w:r w:rsidR="00C92CDB">
        <w:rPr>
          <w:lang w:val="fr-CH"/>
        </w:rPr>
        <w:t> </w:t>
      </w:r>
      <w:r w:rsidRPr="00BF1937">
        <w:rPr>
          <w:lang w:val="fr-CH"/>
        </w:rPr>
        <w:t>: 56</w:t>
      </w:r>
      <w:r w:rsidR="00C92CDB">
        <w:rPr>
          <w:lang w:val="fr-CH"/>
        </w:rPr>
        <w:t>;</w:t>
      </w:r>
    </w:p>
    <w:p w:rsidR="00BF1937" w:rsidRPr="00BF1937" w:rsidRDefault="00BF1937" w:rsidP="00C92CDB">
      <w:pPr>
        <w:pStyle w:val="Bullet1"/>
        <w:ind w:left="1743" w:hanging="130"/>
        <w:rPr>
          <w:lang w:val="fr-CH"/>
        </w:rPr>
      </w:pPr>
      <w:r w:rsidRPr="00BF1937">
        <w:rPr>
          <w:lang w:val="fr-CH"/>
        </w:rPr>
        <w:t>Proportion de femmes parlementaires</w:t>
      </w:r>
      <w:r w:rsidR="00C92CDB">
        <w:rPr>
          <w:lang w:val="fr-CH"/>
        </w:rPr>
        <w:t> </w:t>
      </w:r>
      <w:r w:rsidRPr="00BF1937">
        <w:rPr>
          <w:lang w:val="fr-CH"/>
        </w:rPr>
        <w:t>:</w:t>
      </w:r>
      <w:r w:rsidR="00C92CDB">
        <w:rPr>
          <w:lang w:val="fr-CH"/>
        </w:rPr>
        <w:t xml:space="preserve"> 12,5 </w:t>
      </w:r>
      <w:r w:rsidRPr="00BF1937">
        <w:rPr>
          <w:lang w:val="fr-CH"/>
        </w:rPr>
        <w:t>%</w:t>
      </w:r>
      <w:r w:rsidR="00C92CDB">
        <w:rPr>
          <w:lang w:val="fr-CH"/>
        </w:rPr>
        <w:t>;</w:t>
      </w:r>
    </w:p>
    <w:p w:rsidR="00BF1937" w:rsidRPr="00BF1937" w:rsidRDefault="00BF1937" w:rsidP="00C92CDB">
      <w:pPr>
        <w:pStyle w:val="Bullet1"/>
        <w:ind w:left="1743" w:hanging="130"/>
        <w:rPr>
          <w:lang w:val="fr-CH"/>
        </w:rPr>
      </w:pPr>
      <w:r w:rsidRPr="00BF1937">
        <w:rPr>
          <w:lang w:val="fr-CH"/>
        </w:rPr>
        <w:t>Taux de participation aux élections présidentielles tenues en 2013</w:t>
      </w:r>
      <w:r w:rsidR="00C92CDB">
        <w:rPr>
          <w:lang w:val="fr-CH"/>
        </w:rPr>
        <w:t> : 81,58 </w:t>
      </w:r>
      <w:r w:rsidRPr="00BF1937">
        <w:rPr>
          <w:lang w:val="fr-CH"/>
        </w:rPr>
        <w:t>%/Taux de participation aux é</w:t>
      </w:r>
      <w:r w:rsidR="00C92CDB">
        <w:rPr>
          <w:lang w:val="fr-CH"/>
        </w:rPr>
        <w:t xml:space="preserve">lections européennes tenues en </w:t>
      </w:r>
      <w:r w:rsidRPr="00BF1937">
        <w:rPr>
          <w:lang w:val="fr-CH"/>
        </w:rPr>
        <w:t>2014</w:t>
      </w:r>
      <w:r w:rsidR="00C92CDB">
        <w:rPr>
          <w:lang w:val="fr-CH"/>
        </w:rPr>
        <w:t> : 43,97 </w:t>
      </w:r>
      <w:r w:rsidRPr="00BF1937">
        <w:rPr>
          <w:lang w:val="fr-CH"/>
        </w:rPr>
        <w:t>%</w:t>
      </w:r>
      <w:r w:rsidR="00C92CDB">
        <w:rPr>
          <w:lang w:val="fr-CH"/>
        </w:rPr>
        <w:t>;</w:t>
      </w:r>
    </w:p>
    <w:p w:rsidR="00BF1937" w:rsidRPr="00BF1937" w:rsidRDefault="00BF1937" w:rsidP="00C92CDB">
      <w:pPr>
        <w:pStyle w:val="Bullet1"/>
        <w:ind w:left="1743" w:hanging="130"/>
        <w:rPr>
          <w:lang w:val="fr-CH"/>
        </w:rPr>
      </w:pPr>
      <w:r w:rsidRPr="00BF1937">
        <w:rPr>
          <w:lang w:val="fr-CH"/>
        </w:rPr>
        <w:t>Nombre d</w:t>
      </w:r>
      <w:r w:rsidR="008300FB">
        <w:rPr>
          <w:lang w:val="fr-CH"/>
        </w:rPr>
        <w:t>’</w:t>
      </w:r>
      <w:r w:rsidRPr="00BF1937">
        <w:rPr>
          <w:lang w:val="fr-CH"/>
        </w:rPr>
        <w:t>organisations non gouvernementales reconnues</w:t>
      </w:r>
      <w:r w:rsidR="00C92CDB">
        <w:rPr>
          <w:lang w:val="fr-CH"/>
        </w:rPr>
        <w:t> </w:t>
      </w:r>
      <w:r w:rsidRPr="00BF1937">
        <w:rPr>
          <w:lang w:val="fr-CH"/>
        </w:rPr>
        <w:t>: 378</w:t>
      </w:r>
      <w:r w:rsidR="00C92CDB">
        <w:rPr>
          <w:lang w:val="fr-CH"/>
        </w:rPr>
        <w:t>;</w:t>
      </w:r>
    </w:p>
    <w:p w:rsidR="00BF1937" w:rsidRPr="00BF1937" w:rsidRDefault="00BF1937" w:rsidP="00C92CDB">
      <w:pPr>
        <w:pStyle w:val="Bullet1"/>
        <w:ind w:left="1743" w:hanging="130"/>
        <w:rPr>
          <w:lang w:val="fr-CH"/>
        </w:rPr>
      </w:pPr>
      <w:r w:rsidRPr="00BF1937">
        <w:rPr>
          <w:lang w:val="fr-CH"/>
        </w:rPr>
        <w:t xml:space="preserve">Principaux </w:t>
      </w:r>
      <w:r w:rsidR="00C92CDB">
        <w:rPr>
          <w:lang w:val="fr-CH"/>
        </w:rPr>
        <w:t>medias :</w:t>
      </w:r>
    </w:p>
    <w:p w:rsidR="00BF1937" w:rsidRPr="00BF1937" w:rsidRDefault="00BF1937" w:rsidP="00C92CDB">
      <w:pPr>
        <w:pStyle w:val="Bullet2"/>
        <w:ind w:left="2217" w:hanging="130"/>
        <w:rPr>
          <w:lang w:val="fr-CH"/>
        </w:rPr>
      </w:pPr>
      <w:r w:rsidRPr="00BF1937">
        <w:rPr>
          <w:b/>
          <w:bCs/>
          <w:lang w:val="fr-CH"/>
        </w:rPr>
        <w:t>Chaînes de télévision</w:t>
      </w:r>
      <w:r w:rsidR="00110459">
        <w:rPr>
          <w:lang w:val="fr-CH"/>
        </w:rPr>
        <w:t> :</w:t>
      </w:r>
      <w:r w:rsidRPr="00BF1937">
        <w:rPr>
          <w:lang w:val="fr-CH"/>
        </w:rPr>
        <w:t xml:space="preserve"> Antenna (ANT1 TV), Astra FM, Capital TV, Cyprus Broadcasting Corporation 1 (RIK 1) et 2 (RIK2), Cytavision, Lumiere TV (LTV), Mega TV, Sigma TV et Plus TV</w:t>
      </w:r>
      <w:r w:rsidR="00C92CDB">
        <w:rPr>
          <w:lang w:val="fr-CH"/>
        </w:rPr>
        <w:t>;</w:t>
      </w:r>
    </w:p>
    <w:p w:rsidR="00BF1937" w:rsidRPr="00BF1937" w:rsidRDefault="00BF1937" w:rsidP="00C92CDB">
      <w:pPr>
        <w:pStyle w:val="Bullet2"/>
        <w:ind w:left="2217" w:hanging="130"/>
        <w:rPr>
          <w:lang w:val="en-US"/>
        </w:rPr>
      </w:pPr>
      <w:r w:rsidRPr="00BF1937">
        <w:rPr>
          <w:b/>
          <w:bCs/>
          <w:lang w:val="en-US"/>
        </w:rPr>
        <w:t>Chaînes de radio</w:t>
      </w:r>
      <w:r w:rsidR="00110459">
        <w:rPr>
          <w:lang w:val="en-US"/>
        </w:rPr>
        <w:t> :</w:t>
      </w:r>
      <w:r w:rsidRPr="00BF1937">
        <w:rPr>
          <w:lang w:val="en-US"/>
        </w:rPr>
        <w:t xml:space="preserve"> Antenna FM (ANT1 FM), Cyprus Broadcasting Corporation-Radio One, Radio Two, Radio Three, Radio Four, Logos, Radio Proto</w:t>
      </w:r>
      <w:r w:rsidR="00C92CDB" w:rsidRPr="00C92CDB">
        <w:rPr>
          <w:lang w:val="en-US"/>
        </w:rPr>
        <w:t>;</w:t>
      </w:r>
      <w:r w:rsidRPr="00BF1937">
        <w:rPr>
          <w:lang w:val="en-US"/>
        </w:rPr>
        <w:t xml:space="preserve"> </w:t>
      </w:r>
    </w:p>
    <w:p w:rsidR="00BF1937" w:rsidRPr="00BF1937" w:rsidRDefault="00BF1937" w:rsidP="00C92CDB">
      <w:pPr>
        <w:pStyle w:val="Bullet2"/>
        <w:ind w:left="2217" w:hanging="130"/>
        <w:rPr>
          <w:lang w:val="en-US"/>
        </w:rPr>
      </w:pPr>
      <w:r w:rsidRPr="00BF1937">
        <w:rPr>
          <w:b/>
          <w:bCs/>
          <w:lang w:val="en-US"/>
        </w:rPr>
        <w:t>Journaux</w:t>
      </w:r>
      <w:r w:rsidR="00110459">
        <w:rPr>
          <w:lang w:val="en-US"/>
        </w:rPr>
        <w:t> :</w:t>
      </w:r>
      <w:r w:rsidRPr="00BF1937">
        <w:rPr>
          <w:lang w:val="en-US"/>
        </w:rPr>
        <w:t xml:space="preserve"> </w:t>
      </w:r>
      <w:r w:rsidRPr="00BF1937">
        <w:rPr>
          <w:i/>
          <w:iCs/>
          <w:lang w:val="en-US"/>
        </w:rPr>
        <w:t>Alithia, Antilogos, Cyprus Mail, Gnomi, Haravgi, I Simerini, Kathimerini, Maxi, Phileleftheros, Politis, The Cyprus Daily, The Cyprus Weekly, To Kypriako Pontiki</w:t>
      </w:r>
      <w:r w:rsidRPr="00BF1937">
        <w:rPr>
          <w:lang w:val="en-US"/>
        </w:rPr>
        <w:t>.</w:t>
      </w:r>
    </w:p>
    <w:p w:rsidR="00C92CDB" w:rsidRPr="00C92CDB" w:rsidRDefault="00C92CDB" w:rsidP="00C92CDB">
      <w:pPr>
        <w:pStyle w:val="SingleTxt"/>
        <w:spacing w:after="0" w:line="120" w:lineRule="exact"/>
        <w:rPr>
          <w:b/>
          <w:sz w:val="10"/>
          <w:lang w:val="en-US"/>
        </w:rPr>
      </w:pPr>
    </w:p>
    <w:p w:rsidR="00C92CDB" w:rsidRPr="00C92CDB" w:rsidRDefault="00C92CDB" w:rsidP="00C92CDB">
      <w:pPr>
        <w:pStyle w:val="SingleTxt"/>
        <w:spacing w:after="0" w:line="120" w:lineRule="exact"/>
        <w:rPr>
          <w:b/>
          <w:sz w:val="10"/>
          <w:lang w:val="en-US"/>
        </w:rPr>
      </w:pPr>
    </w:p>
    <w:p w:rsidR="00BF1937" w:rsidRPr="00BF1937" w:rsidRDefault="00BF1937" w:rsidP="00C92C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en-US"/>
        </w:rPr>
        <w:tab/>
      </w:r>
      <w:r w:rsidRPr="00BF1937">
        <w:rPr>
          <w:lang w:val="el-GR"/>
        </w:rPr>
        <w:t>ΙΙ</w:t>
      </w:r>
      <w:r w:rsidRPr="00BF1937">
        <w:rPr>
          <w:lang w:val="fr-CH"/>
        </w:rPr>
        <w:t>I.</w:t>
      </w:r>
      <w:r w:rsidRPr="00BF1937">
        <w:rPr>
          <w:lang w:val="fr-CH"/>
        </w:rPr>
        <w:tab/>
        <w:t xml:space="preserve">Cadre général de la protection et de la promotion </w:t>
      </w:r>
      <w:r w:rsidR="00C92CDB">
        <w:rPr>
          <w:lang w:val="fr-CH"/>
        </w:rPr>
        <w:br/>
      </w:r>
      <w:r w:rsidRPr="00BF1937">
        <w:rPr>
          <w:lang w:val="fr-CH"/>
        </w:rPr>
        <w:t>des droits de l</w:t>
      </w:r>
      <w:r w:rsidR="008300FB">
        <w:rPr>
          <w:lang w:val="fr-CH"/>
        </w:rPr>
        <w:t>’</w:t>
      </w:r>
      <w:r w:rsidRPr="00BF1937">
        <w:rPr>
          <w:lang w:val="fr-CH"/>
        </w:rPr>
        <w:t>homme</w:t>
      </w: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BF1937" w:rsidRPr="00BF1937" w:rsidRDefault="00BF1937" w:rsidP="00C92C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t>A.</w:t>
      </w:r>
      <w:r w:rsidRPr="00BF1937">
        <w:rPr>
          <w:lang w:val="fr-CH"/>
        </w:rPr>
        <w:tab/>
        <w:t xml:space="preserve">Acceptation des normes internationales relatives aux droits </w:t>
      </w:r>
      <w:r w:rsidR="00C92CDB">
        <w:rPr>
          <w:lang w:val="fr-CH"/>
        </w:rPr>
        <w:br/>
      </w:r>
      <w:r w:rsidRPr="00BF1937">
        <w:rPr>
          <w:lang w:val="fr-CH"/>
        </w:rPr>
        <w:t>de l</w:t>
      </w:r>
      <w:r w:rsidR="008300FB">
        <w:rPr>
          <w:lang w:val="fr-CH"/>
        </w:rPr>
        <w:t>’</w:t>
      </w:r>
      <w:r w:rsidRPr="00BF1937">
        <w:rPr>
          <w:lang w:val="fr-CH"/>
        </w:rPr>
        <w:t xml:space="preserve">homme </w:t>
      </w:r>
    </w:p>
    <w:p w:rsidR="00C92CDB" w:rsidRPr="00C92CDB" w:rsidRDefault="00C92CDB" w:rsidP="00C92CDB">
      <w:pPr>
        <w:pStyle w:val="SingleTxt"/>
        <w:spacing w:after="0" w:line="120" w:lineRule="exact"/>
        <w:rPr>
          <w:sz w:val="10"/>
          <w:lang w:val="fr-CH"/>
        </w:rPr>
      </w:pPr>
    </w:p>
    <w:p w:rsidR="00C92CDB" w:rsidRPr="00C92CDB" w:rsidRDefault="00C92CDB" w:rsidP="00C92CDB">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République de Chypre accorde un rang de priorité élevé au respect et à la protection des droits de l</w:t>
      </w:r>
      <w:r w:rsidR="008300FB">
        <w:rPr>
          <w:lang w:val="fr-CH"/>
        </w:rPr>
        <w:t>’</w:t>
      </w:r>
      <w:r w:rsidRPr="00BF1937">
        <w:rPr>
          <w:lang w:val="fr-CH"/>
        </w:rPr>
        <w:t>homme qui sont protégés au plus haut niveau. La Constitution de la République énonce les libertés et droits fondamentaux qui sont également inscrits dans les instruments internationaux et européens relatifs aux droits de l</w:t>
      </w:r>
      <w:r w:rsidR="008300FB">
        <w:rPr>
          <w:lang w:val="fr-CH"/>
        </w:rPr>
        <w:t>’</w:t>
      </w:r>
      <w:r w:rsidRPr="00BF1937">
        <w:rPr>
          <w:lang w:val="fr-CH"/>
        </w:rPr>
        <w:t xml:space="preserve">homme.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Chypre a accordé une importance capitale au droit international, et plus particulièrement aux normes relatives aux droits de l</w:t>
      </w:r>
      <w:r w:rsidR="008300FB">
        <w:rPr>
          <w:lang w:val="fr-CH"/>
        </w:rPr>
        <w:t>’</w:t>
      </w:r>
      <w:r w:rsidRPr="00BF1937">
        <w:rPr>
          <w:lang w:val="fr-CH"/>
        </w:rPr>
        <w:t xml:space="preserve">homme, dès son indépendance du pouvoir colonial. Compte tenu de la primauté des instruments internationaux, le </w:t>
      </w:r>
      <w:r w:rsidRPr="00BF1937">
        <w:rPr>
          <w:lang w:val="fr-CH"/>
        </w:rPr>
        <w:lastRenderedPageBreak/>
        <w:t>droit international des droits de l</w:t>
      </w:r>
      <w:r w:rsidR="008300FB">
        <w:rPr>
          <w:lang w:val="fr-CH"/>
        </w:rPr>
        <w:t>’</w:t>
      </w:r>
      <w:r w:rsidRPr="00BF1937">
        <w:rPr>
          <w:lang w:val="fr-CH"/>
        </w:rPr>
        <w:t>homme est venu enrichir et renforcer la législation interne relative à la protection des droits de l</w:t>
      </w:r>
      <w:r w:rsidR="008300FB">
        <w:rPr>
          <w:lang w:val="fr-CH"/>
        </w:rPr>
        <w:t>’</w:t>
      </w:r>
      <w:r w:rsidRPr="00BF1937">
        <w:rPr>
          <w:lang w:val="fr-CH"/>
        </w:rPr>
        <w:t>homme et des libertés. L</w:t>
      </w:r>
      <w:r w:rsidR="008300FB">
        <w:rPr>
          <w:lang w:val="fr-CH"/>
        </w:rPr>
        <w:t>’</w:t>
      </w:r>
      <w:r w:rsidRPr="00BF1937">
        <w:rPr>
          <w:lang w:val="fr-CH"/>
        </w:rPr>
        <w:t>une des premières tâches de la République a donc consisté à examiner les traités étendus à son territoire par la Grande-Bretagne et à faire savoir, selon les cas, si elle entendait rester liée par ces traités; elle a également examiné les instruments régionaux et internationaux existants relatifs aux droits de l</w:t>
      </w:r>
      <w:r w:rsidR="008300FB">
        <w:rPr>
          <w:lang w:val="fr-CH"/>
        </w:rPr>
        <w:t>’</w:t>
      </w:r>
      <w:r w:rsidRPr="00BF1937">
        <w:rPr>
          <w:lang w:val="fr-CH"/>
        </w:rPr>
        <w:t xml:space="preserve">homme, et elle y a adhéré ou les a ratifiés dans la plupart des cas, politique qui demeure inchangée à ce jour.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reconnaissance de la prédominance du droit international, des objectifs et des principes de la Charte des Nations Unies, en particulier du règlement pacifique des différends sur la base du respect des droits de l</w:t>
      </w:r>
      <w:r w:rsidR="008300FB">
        <w:rPr>
          <w:lang w:val="fr-CH"/>
        </w:rPr>
        <w:t>’</w:t>
      </w:r>
      <w:r w:rsidRPr="00BF1937">
        <w:rPr>
          <w:lang w:val="fr-CH"/>
        </w:rPr>
        <w:t>homme et des libertés fondamentales, occupe une place centrale dans la conduite des relations internationales de Chypre.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République de Chypre est partie à l</w:t>
      </w:r>
      <w:r w:rsidR="008300FB">
        <w:rPr>
          <w:lang w:val="fr-CH"/>
        </w:rPr>
        <w:t>’</w:t>
      </w:r>
      <w:r w:rsidRPr="00BF1937">
        <w:rPr>
          <w:lang w:val="fr-CH"/>
        </w:rPr>
        <w:t>ensemble des principaux instruments internationaux et à la plupart des autres instruments internationaux et européens relatifs aux droits de l</w:t>
      </w:r>
      <w:r w:rsidR="008300FB">
        <w:rPr>
          <w:lang w:val="fr-CH"/>
        </w:rPr>
        <w:t>’</w:t>
      </w:r>
      <w:r w:rsidRPr="00BF1937">
        <w:rPr>
          <w:lang w:val="fr-CH"/>
        </w:rPr>
        <w:t>homme. Les normes et obligations découlant de ces instruments font partie intégrante de l</w:t>
      </w:r>
      <w:r w:rsidR="008300FB">
        <w:rPr>
          <w:lang w:val="fr-CH"/>
        </w:rPr>
        <w:t>’</w:t>
      </w:r>
      <w:r w:rsidRPr="00BF1937">
        <w:rPr>
          <w:lang w:val="fr-CH"/>
        </w:rPr>
        <w:t>ordre juridique de Chypre</w:t>
      </w:r>
      <w:r w:rsidRPr="00BF1937">
        <w:rPr>
          <w:iCs/>
          <w:lang w:val="fr-CH"/>
        </w:rPr>
        <w:t>.</w:t>
      </w:r>
      <w:r w:rsidRPr="00BF1937">
        <w:rPr>
          <w:lang w:val="fr-CH"/>
        </w:rPr>
        <w:t xml:space="preserv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 xml:space="preserve">On trouvera à </w:t>
      </w:r>
      <w:r w:rsidRPr="003769AB">
        <w:rPr>
          <w:b/>
          <w:lang w:val="fr-CH"/>
        </w:rPr>
        <w:t>l</w:t>
      </w:r>
      <w:r w:rsidR="008300FB" w:rsidRPr="003769AB">
        <w:rPr>
          <w:b/>
          <w:lang w:val="fr-CH"/>
        </w:rPr>
        <w:t>’</w:t>
      </w:r>
      <w:r w:rsidRPr="003769AB">
        <w:rPr>
          <w:b/>
          <w:lang w:val="fr-CH"/>
        </w:rPr>
        <w:t>annexe V</w:t>
      </w:r>
      <w:r w:rsidRPr="00BF1937">
        <w:rPr>
          <w:lang w:val="fr-CH"/>
        </w:rPr>
        <w:t xml:space="preserve"> du présent document de base des renseignements détaillés sur l</w:t>
      </w:r>
      <w:r w:rsidR="008300FB">
        <w:rPr>
          <w:lang w:val="fr-CH"/>
        </w:rPr>
        <w:t>’</w:t>
      </w:r>
      <w:r w:rsidRPr="00BF1937">
        <w:rPr>
          <w:lang w:val="fr-CH"/>
        </w:rPr>
        <w:t>état de ratification des principaux instruments internationaux et régionaux relatifs aux droits de l</w:t>
      </w:r>
      <w:r w:rsidR="008300FB">
        <w:rPr>
          <w:lang w:val="fr-CH"/>
        </w:rPr>
        <w:t>’</w:t>
      </w:r>
      <w:r w:rsidRPr="00BF1937">
        <w:rPr>
          <w:lang w:val="fr-CH"/>
        </w:rPr>
        <w:t>homme (amendements et procédures facultatives), ainsi que d</w:t>
      </w:r>
      <w:r w:rsidR="008300FB">
        <w:rPr>
          <w:lang w:val="fr-CH"/>
        </w:rPr>
        <w:t>’</w:t>
      </w:r>
      <w:r w:rsidRPr="00BF1937">
        <w:rPr>
          <w:lang w:val="fr-CH"/>
        </w:rPr>
        <w:t xml:space="preserve">autres informations relatives notamment aux déclarations, réserves et objections. </w:t>
      </w:r>
    </w:p>
    <w:p w:rsidR="00C92CDB" w:rsidRPr="00C92CDB" w:rsidRDefault="00C92CDB" w:rsidP="00C92CDB">
      <w:pPr>
        <w:pStyle w:val="SingleTxt"/>
        <w:spacing w:after="0" w:line="120" w:lineRule="exact"/>
        <w:rPr>
          <w:b/>
          <w:sz w:val="10"/>
          <w:lang w:val="fr-CH"/>
        </w:rPr>
      </w:pPr>
    </w:p>
    <w:p w:rsidR="00C92CDB" w:rsidRPr="00C92CDB" w:rsidRDefault="00C92CDB" w:rsidP="00C92CDB">
      <w:pPr>
        <w:pStyle w:val="SingleTxt"/>
        <w:spacing w:after="0" w:line="120" w:lineRule="exact"/>
        <w:rPr>
          <w:b/>
          <w:sz w:val="10"/>
          <w:lang w:val="fr-CH"/>
        </w:rPr>
      </w:pPr>
    </w:p>
    <w:p w:rsidR="00BF1937" w:rsidRPr="00BF1937" w:rsidRDefault="00BF1937" w:rsidP="00C92C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t>B.</w:t>
      </w:r>
      <w:r w:rsidRPr="00BF1937">
        <w:rPr>
          <w:lang w:val="fr-CH"/>
        </w:rPr>
        <w:tab/>
        <w:t>Cadre juridique de la protection des droits de l</w:t>
      </w:r>
      <w:r w:rsidR="008300FB">
        <w:rPr>
          <w:lang w:val="fr-CH"/>
        </w:rPr>
        <w:t>’</w:t>
      </w:r>
      <w:r w:rsidRPr="00BF1937">
        <w:rPr>
          <w:lang w:val="fr-CH"/>
        </w:rPr>
        <w:t xml:space="preserve">homme </w:t>
      </w:r>
      <w:r w:rsidR="00C92CDB">
        <w:rPr>
          <w:lang w:val="fr-CH"/>
        </w:rPr>
        <w:br/>
      </w:r>
      <w:r w:rsidRPr="00BF1937">
        <w:rPr>
          <w:lang w:val="fr-CH"/>
        </w:rPr>
        <w:t xml:space="preserve">au niveau national </w:t>
      </w:r>
    </w:p>
    <w:p w:rsidR="00C92CDB" w:rsidRPr="00C92CDB" w:rsidRDefault="00C92CDB" w:rsidP="00C92CDB">
      <w:pPr>
        <w:pStyle w:val="SingleTxt"/>
        <w:spacing w:after="0" w:line="120" w:lineRule="exact"/>
        <w:rPr>
          <w:sz w:val="10"/>
          <w:lang w:val="fr-CH"/>
        </w:rPr>
      </w:pPr>
    </w:p>
    <w:p w:rsidR="00C92CDB" w:rsidRPr="00C92CDB" w:rsidRDefault="00C92CDB" w:rsidP="00C92CDB">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 xml:space="preserve">Le système juridique chypriote repose sur la </w:t>
      </w:r>
      <w:r w:rsidRPr="00BF1937">
        <w:rPr>
          <w:i/>
          <w:lang w:val="fr-CH"/>
        </w:rPr>
        <w:t>common law</w:t>
      </w:r>
      <w:r w:rsidRPr="00BF1937">
        <w:rPr>
          <w:lang w:val="fr-CH"/>
        </w:rPr>
        <w:t xml:space="preserve"> et sur les principes d</w:t>
      </w:r>
      <w:r w:rsidR="008300FB">
        <w:rPr>
          <w:lang w:val="fr-CH"/>
        </w:rPr>
        <w:t>’</w:t>
      </w:r>
      <w:r w:rsidRPr="00BF1937">
        <w:rPr>
          <w:lang w:val="fr-CH"/>
        </w:rPr>
        <w:t>équité applicables à l</w:t>
      </w:r>
      <w:r w:rsidR="008300FB">
        <w:rPr>
          <w:lang w:val="fr-CH"/>
        </w:rPr>
        <w:t>’</w:t>
      </w:r>
      <w:r w:rsidRPr="00BF1937">
        <w:rPr>
          <w:lang w:val="fr-CH"/>
        </w:rPr>
        <w:t>époque de l</w:t>
      </w:r>
      <w:r w:rsidR="008300FB">
        <w:rPr>
          <w:lang w:val="fr-CH"/>
        </w:rPr>
        <w:t>’</w:t>
      </w:r>
      <w:r w:rsidRPr="00BF1937">
        <w:rPr>
          <w:lang w:val="fr-CH"/>
        </w:rPr>
        <w:t>accession à l</w:t>
      </w:r>
      <w:r w:rsidR="008300FB">
        <w:rPr>
          <w:lang w:val="fr-CH"/>
        </w:rPr>
        <w:t>’</w:t>
      </w:r>
      <w:r w:rsidRPr="00BF1937">
        <w:rPr>
          <w:lang w:val="fr-CH"/>
        </w:rPr>
        <w:t>indépendance, modifiés ou complétés depuis par la législation de la République et par la jurisprudence. Par ailleurs, l</w:t>
      </w:r>
      <w:r w:rsidR="008300FB">
        <w:rPr>
          <w:lang w:val="fr-CH"/>
        </w:rPr>
        <w:t>’</w:t>
      </w:r>
      <w:r w:rsidRPr="00BF1937">
        <w:rPr>
          <w:lang w:val="fr-CH"/>
        </w:rPr>
        <w:t>indépendance a permis la mise en place et le développement d</w:t>
      </w:r>
      <w:r w:rsidR="008300FB">
        <w:rPr>
          <w:lang w:val="fr-CH"/>
        </w:rPr>
        <w:t>’</w:t>
      </w:r>
      <w:r w:rsidRPr="00BF1937">
        <w:rPr>
          <w:lang w:val="fr-CH"/>
        </w:rPr>
        <w:t xml:space="preserve">un droit administratif et constitutionnel de type romaniste. </w:t>
      </w:r>
      <w:r w:rsidRPr="00BF1937">
        <w:rPr>
          <w:lang w:val="fr-FR"/>
        </w:rPr>
        <w:t>L</w:t>
      </w:r>
      <w:r w:rsidRPr="00BF1937">
        <w:rPr>
          <w:lang w:val="fr-CH"/>
        </w:rPr>
        <w:t xml:space="preserve">es institutions chypriotes </w:t>
      </w:r>
      <w:r w:rsidRPr="00BF1937">
        <w:rPr>
          <w:lang w:val="fr-FR"/>
        </w:rPr>
        <w:t>appliquent toutes les normes nécessaires à la promotion et à la protection des droits de l</w:t>
      </w:r>
      <w:r w:rsidR="008300FB">
        <w:rPr>
          <w:lang w:val="fr-FR"/>
        </w:rPr>
        <w:t>’</w:t>
      </w:r>
      <w:r w:rsidRPr="00BF1937">
        <w:rPr>
          <w:lang w:val="fr-FR"/>
        </w:rPr>
        <w:t>homme et assure la séparation des pouvoirs et l</w:t>
      </w:r>
      <w:r w:rsidR="008300FB">
        <w:rPr>
          <w:lang w:val="fr-FR"/>
        </w:rPr>
        <w:t>’</w:t>
      </w:r>
      <w:r w:rsidRPr="00BF1937">
        <w:rPr>
          <w:lang w:val="fr-FR"/>
        </w:rPr>
        <w:t>indépendance de la magistrature</w:t>
      </w:r>
      <w:r w:rsidRPr="00BF1937">
        <w:rPr>
          <w:lang w:val="fr-CH"/>
        </w:rPr>
        <w:t>.</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Constitution de 1960, loi suprême de la République, est l</w:t>
      </w:r>
      <w:r w:rsidR="008300FB">
        <w:rPr>
          <w:lang w:val="fr-CH"/>
        </w:rPr>
        <w:t>’</w:t>
      </w:r>
      <w:r w:rsidRPr="00BF1937">
        <w:rPr>
          <w:lang w:val="fr-CH"/>
        </w:rPr>
        <w:t>instrument principal de la reconnaissance et de la protection des droits de l</w:t>
      </w:r>
      <w:r w:rsidR="008300FB">
        <w:rPr>
          <w:lang w:val="fr-CH"/>
        </w:rPr>
        <w:t>’</w:t>
      </w:r>
      <w:r w:rsidRPr="00BF1937">
        <w:rPr>
          <w:lang w:val="fr-CH"/>
        </w:rPr>
        <w:t>homme. Le titre II de la Constitution, intitulé « Libertés et droits fondamentaux », reprend et développe la Déclaration universelle des droits de l</w:t>
      </w:r>
      <w:r w:rsidR="008300FB">
        <w:rPr>
          <w:lang w:val="fr-CH"/>
        </w:rPr>
        <w:t>’</w:t>
      </w:r>
      <w:r w:rsidRPr="00BF1937">
        <w:rPr>
          <w:lang w:val="fr-CH"/>
        </w:rPr>
        <w:t>homme et la Convention européenne des droits de l</w:t>
      </w:r>
      <w:r w:rsidR="008300FB">
        <w:rPr>
          <w:lang w:val="fr-CH"/>
        </w:rPr>
        <w:t>’</w:t>
      </w:r>
      <w:r w:rsidRPr="00BF1937">
        <w:rPr>
          <w:lang w:val="fr-CH"/>
        </w:rPr>
        <w:t xml:space="preserve">homme.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Si, en vertu de l</w:t>
      </w:r>
      <w:r w:rsidR="008300FB">
        <w:rPr>
          <w:lang w:val="fr-CH"/>
        </w:rPr>
        <w:t>’</w:t>
      </w:r>
      <w:r w:rsidRPr="00BF1937">
        <w:rPr>
          <w:lang w:val="fr-CH"/>
        </w:rPr>
        <w:t>article 35 de la Constitution, les autorités législatives, exécutives et judiciaires sont toutes tenues de veiller, dans les limites de leurs compétences respectives, à la mise en œuvre effective des droits de l</w:t>
      </w:r>
      <w:r w:rsidR="008300FB">
        <w:rPr>
          <w:lang w:val="fr-CH"/>
        </w:rPr>
        <w:t>’</w:t>
      </w:r>
      <w:r w:rsidRPr="00BF1937">
        <w:rPr>
          <w:lang w:val="fr-CH"/>
        </w:rPr>
        <w:t>homme, c</w:t>
      </w:r>
      <w:r w:rsidR="008300FB">
        <w:rPr>
          <w:lang w:val="fr-CH"/>
        </w:rPr>
        <w:t>’</w:t>
      </w:r>
      <w:r w:rsidRPr="00BF1937">
        <w:rPr>
          <w:lang w:val="fr-CH"/>
        </w:rPr>
        <w:t>est le pouvoir judiciaire qui, en toute indépendance et en dernier ressort, protège les droits de l</w:t>
      </w:r>
      <w:r w:rsidR="008300FB">
        <w:rPr>
          <w:lang w:val="fr-CH"/>
        </w:rPr>
        <w:t>’</w:t>
      </w:r>
      <w:r w:rsidRPr="00BF1937">
        <w:rPr>
          <w:lang w:val="fr-CH"/>
        </w:rPr>
        <w:t>homme et les libertés.</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La législation en général et la législation et la procédure pénales en particulier ont pour objet et effet de protéger les droits de l</w:t>
      </w:r>
      <w:r w:rsidR="008300FB">
        <w:rPr>
          <w:lang w:val="fr-CH"/>
        </w:rPr>
        <w:t>’</w:t>
      </w:r>
      <w:r w:rsidRPr="00BF1937">
        <w:rPr>
          <w:lang w:val="fr-CH"/>
        </w:rPr>
        <w:t>homme. La Cour suprême déclare inconstitutionnelle toute loi ou disposition qui est contraire aux droits de l</w:t>
      </w:r>
      <w:r w:rsidR="008300FB">
        <w:rPr>
          <w:lang w:val="fr-CH"/>
        </w:rPr>
        <w:t>’</w:t>
      </w:r>
      <w:r w:rsidRPr="00BF1937">
        <w:rPr>
          <w:lang w:val="fr-CH"/>
        </w:rPr>
        <w:t>homme de quelque manière que ce soit, ce qu</w:t>
      </w:r>
      <w:r w:rsidR="008300FB">
        <w:rPr>
          <w:lang w:val="fr-CH"/>
        </w:rPr>
        <w:t>’</w:t>
      </w:r>
      <w:r w:rsidRPr="00BF1937">
        <w:rPr>
          <w:lang w:val="fr-CH"/>
        </w:rPr>
        <w:t>elle a déjà fait à maintes reprises.</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Toute restriction ou limitation des droits de l</w:t>
      </w:r>
      <w:r w:rsidR="008300FB">
        <w:rPr>
          <w:lang w:val="fr-CH"/>
        </w:rPr>
        <w:t>’</w:t>
      </w:r>
      <w:r w:rsidRPr="00BF1937">
        <w:rPr>
          <w:lang w:val="fr-CH"/>
        </w:rPr>
        <w:t>homme garantis par la Constitution doit être prévue par la loi et être absolument nécessaire dans l</w:t>
      </w:r>
      <w:r w:rsidR="008300FB">
        <w:rPr>
          <w:lang w:val="fr-CH"/>
        </w:rPr>
        <w:t>’</w:t>
      </w:r>
      <w:r w:rsidRPr="00BF1937">
        <w:rPr>
          <w:lang w:val="fr-CH"/>
        </w:rPr>
        <w:t>intérêt de la sécurité de la République, de l</w:t>
      </w:r>
      <w:r w:rsidR="008300FB">
        <w:rPr>
          <w:lang w:val="fr-CH"/>
        </w:rPr>
        <w:t>’</w:t>
      </w:r>
      <w:r w:rsidRPr="00BF1937">
        <w:rPr>
          <w:lang w:val="fr-CH"/>
        </w:rPr>
        <w:t>ordre constitutionnel, de la sécurité, de l</w:t>
      </w:r>
      <w:r w:rsidR="008300FB">
        <w:rPr>
          <w:lang w:val="fr-CH"/>
        </w:rPr>
        <w:t>’</w:t>
      </w:r>
      <w:r w:rsidRPr="00BF1937">
        <w:rPr>
          <w:lang w:val="fr-CH"/>
        </w:rPr>
        <w:t>ordre public ou de la santé publique, ou de la protection des droits garantis par la Constitution à tout individu. Les dispositions relatives à de telles restrictions ou limitations doivent être interprétées de façon stricte. Dans l</w:t>
      </w:r>
      <w:r w:rsidR="008300FB">
        <w:rPr>
          <w:lang w:val="fr-CH"/>
        </w:rPr>
        <w:t>’</w:t>
      </w:r>
      <w:r w:rsidRPr="00BF1937">
        <w:rPr>
          <w:lang w:val="fr-CH"/>
        </w:rPr>
        <w:t xml:space="preserve">affaire </w:t>
      </w:r>
      <w:r w:rsidRPr="00BF1937">
        <w:rPr>
          <w:i/>
          <w:lang w:val="fr-CH"/>
        </w:rPr>
        <w:t xml:space="preserve">Fina Cyprus Ltd. </w:t>
      </w:r>
      <w:r w:rsidRPr="003769AB">
        <w:rPr>
          <w:lang w:val="fr-CH"/>
        </w:rPr>
        <w:t>v.</w:t>
      </w:r>
      <w:r w:rsidRPr="00BF1937">
        <w:rPr>
          <w:i/>
          <w:lang w:val="fr-CH"/>
        </w:rPr>
        <w:t xml:space="preserve"> The Republic</w:t>
      </w:r>
      <w:r w:rsidRPr="00BF1937">
        <w:rPr>
          <w:lang w:val="fr-CH"/>
        </w:rPr>
        <w:t xml:space="preserve"> (RSCC, </w:t>
      </w:r>
      <w:r w:rsidR="00C92CDB">
        <w:rPr>
          <w:lang w:val="fr-CH"/>
        </w:rPr>
        <w:t>vol. 4, p. </w:t>
      </w:r>
      <w:r w:rsidRPr="00BF1937">
        <w:rPr>
          <w:lang w:val="fr-CH"/>
        </w:rPr>
        <w:t>33), la Cour suprême constitutionnelle a estimé que la législation ayant trait aux libertés et droits fondamentaux garantis par la Constitution ainsi que son interprétation étaient régies par le principe établi selon lequel de telles dispositions doivent, en cas d</w:t>
      </w:r>
      <w:r w:rsidR="008300FB">
        <w:rPr>
          <w:lang w:val="fr-CH"/>
        </w:rPr>
        <w:t>’</w:t>
      </w:r>
      <w:r w:rsidRPr="00BF1937">
        <w:rPr>
          <w:lang w:val="fr-CH"/>
        </w:rPr>
        <w:t>incertitude, être interprétées en faveur desdits droits et libertés.</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Toute mesure positive relative à certains droits, notamment les droits économiques, sociaux ou culturels, envisagée dans le cadre de la Constitution ou d</w:t>
      </w:r>
      <w:r w:rsidR="008300FB">
        <w:rPr>
          <w:lang w:val="fr-CH"/>
        </w:rPr>
        <w:t>’</w:t>
      </w:r>
      <w:r w:rsidRPr="00BF1937">
        <w:rPr>
          <w:lang w:val="fr-CH"/>
        </w:rPr>
        <w:t xml:space="preserve">autres instruments, doit être prise dans un délai raisonnable.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Les recours dont dispose toute personne qui estime que ses</w:t>
      </w:r>
      <w:r w:rsidR="00C92CDB">
        <w:rPr>
          <w:lang w:val="fr-CH"/>
        </w:rPr>
        <w:t xml:space="preserve"> droits ont été violés sont les </w:t>
      </w:r>
      <w:r w:rsidRPr="00BF1937">
        <w:rPr>
          <w:lang w:val="fr-CH"/>
        </w:rPr>
        <w:t>suivants</w:t>
      </w:r>
      <w:r w:rsidR="00C92CDB">
        <w:rPr>
          <w:lang w:val="fr-CH"/>
        </w:rPr>
        <w:t> </w:t>
      </w:r>
      <w:r w:rsidRPr="00BF1937">
        <w:rPr>
          <w:lang w:val="fr-CH"/>
        </w:rPr>
        <w:t>:</w:t>
      </w:r>
    </w:p>
    <w:p w:rsidR="00BF1937" w:rsidRPr="00BF1937" w:rsidRDefault="00BF1937" w:rsidP="00C92CDB">
      <w:pPr>
        <w:pStyle w:val="Bullet1"/>
        <w:ind w:left="1743" w:hanging="130"/>
        <w:rPr>
          <w:lang w:val="fr-CH"/>
        </w:rPr>
      </w:pPr>
      <w:r w:rsidRPr="00BF1937">
        <w:rPr>
          <w:lang w:val="fr-CH"/>
        </w:rPr>
        <w:t>Droit de recours et recours hiérarchique;</w:t>
      </w:r>
    </w:p>
    <w:p w:rsidR="00BF1937" w:rsidRPr="00BF1937" w:rsidRDefault="00BF1937" w:rsidP="00C92CDB">
      <w:pPr>
        <w:pStyle w:val="Bullet1"/>
        <w:ind w:left="1743" w:hanging="130"/>
        <w:rPr>
          <w:lang w:val="fr-CH"/>
        </w:rPr>
      </w:pPr>
      <w:r w:rsidRPr="00BF1937">
        <w:rPr>
          <w:lang w:val="fr-CH"/>
        </w:rPr>
        <w:t>Pourvoi devant la Cour suprême en vue de l</w:t>
      </w:r>
      <w:r w:rsidR="008300FB">
        <w:rPr>
          <w:lang w:val="fr-CH"/>
        </w:rPr>
        <w:t>’</w:t>
      </w:r>
      <w:r w:rsidRPr="00BF1937">
        <w:rPr>
          <w:lang w:val="fr-CH"/>
        </w:rPr>
        <w:t>annulation de tout acte, omission ou décision émanant d</w:t>
      </w:r>
      <w:r w:rsidR="008300FB">
        <w:rPr>
          <w:lang w:val="fr-CH"/>
        </w:rPr>
        <w:t>’</w:t>
      </w:r>
      <w:r w:rsidRPr="00BF1937">
        <w:rPr>
          <w:lang w:val="fr-CH"/>
        </w:rPr>
        <w:t>un organe ou d</w:t>
      </w:r>
      <w:r w:rsidR="008300FB">
        <w:rPr>
          <w:lang w:val="fr-CH"/>
        </w:rPr>
        <w:t>’</w:t>
      </w:r>
      <w:r w:rsidRPr="00BF1937">
        <w:rPr>
          <w:lang w:val="fr-CH"/>
        </w:rPr>
        <w:t>une autorité (tant en première instance qu</w:t>
      </w:r>
      <w:r w:rsidR="008300FB">
        <w:rPr>
          <w:lang w:val="fr-CH"/>
        </w:rPr>
        <w:t>’</w:t>
      </w:r>
      <w:r w:rsidRPr="00BF1937">
        <w:rPr>
          <w:lang w:val="fr-CH"/>
        </w:rPr>
        <w:t xml:space="preserve">en révision); </w:t>
      </w:r>
    </w:p>
    <w:p w:rsidR="00BF1937" w:rsidRPr="00BF1937" w:rsidRDefault="00BF1937" w:rsidP="00C92CDB">
      <w:pPr>
        <w:pStyle w:val="Bullet1"/>
        <w:ind w:left="1743" w:hanging="130"/>
        <w:rPr>
          <w:lang w:val="fr-CH"/>
        </w:rPr>
      </w:pPr>
      <w:r w:rsidRPr="00BF1937">
        <w:rPr>
          <w:lang w:val="fr-CH"/>
        </w:rPr>
        <w:t>Contestation, par l</w:t>
      </w:r>
      <w:r w:rsidR="008300FB">
        <w:rPr>
          <w:lang w:val="fr-CH"/>
        </w:rPr>
        <w:t>’</w:t>
      </w:r>
      <w:r w:rsidRPr="00BF1937">
        <w:rPr>
          <w:lang w:val="fr-CH"/>
        </w:rPr>
        <w:t>une des parties à un procès, de la constitutionnalité d</w:t>
      </w:r>
      <w:r w:rsidR="008300FB">
        <w:rPr>
          <w:lang w:val="fr-CH"/>
        </w:rPr>
        <w:t>’</w:t>
      </w:r>
      <w:r w:rsidRPr="00BF1937">
        <w:rPr>
          <w:lang w:val="fr-CH"/>
        </w:rPr>
        <w:t>une loi ou d</w:t>
      </w:r>
      <w:r w:rsidR="008300FB">
        <w:rPr>
          <w:lang w:val="fr-CH"/>
        </w:rPr>
        <w:t>’</w:t>
      </w:r>
      <w:r w:rsidRPr="00BF1937">
        <w:rPr>
          <w:lang w:val="fr-CH"/>
        </w:rPr>
        <w:t xml:space="preserve">une décision; le tribunal est alors tenu de renvoyer la question devant la Cour suprême et de surseoir à statuer; </w:t>
      </w:r>
    </w:p>
    <w:p w:rsidR="00BF1937" w:rsidRPr="00BF1937" w:rsidRDefault="00BF1937" w:rsidP="00C92CDB">
      <w:pPr>
        <w:pStyle w:val="Bullet1"/>
        <w:ind w:left="1743" w:hanging="130"/>
        <w:rPr>
          <w:lang w:val="fr-CH"/>
        </w:rPr>
      </w:pPr>
      <w:r w:rsidRPr="00BF1937">
        <w:rPr>
          <w:lang w:val="fr-CH"/>
        </w:rPr>
        <w:t>Procédure civile en vue d</w:t>
      </w:r>
      <w:r w:rsidR="008300FB">
        <w:rPr>
          <w:lang w:val="fr-CH"/>
        </w:rPr>
        <w:t>’</w:t>
      </w:r>
      <w:r w:rsidRPr="00BF1937">
        <w:rPr>
          <w:lang w:val="fr-CH"/>
        </w:rPr>
        <w:t>une indemnisation, d</w:t>
      </w:r>
      <w:r w:rsidR="008300FB">
        <w:rPr>
          <w:lang w:val="fr-CH"/>
        </w:rPr>
        <w:t>’</w:t>
      </w:r>
      <w:r w:rsidRPr="00BF1937">
        <w:rPr>
          <w:lang w:val="fr-CH"/>
        </w:rPr>
        <w:t>une restitution ou d</w:t>
      </w:r>
      <w:r w:rsidR="008300FB">
        <w:rPr>
          <w:lang w:val="fr-CH"/>
        </w:rPr>
        <w:t>’</w:t>
      </w:r>
      <w:r w:rsidRPr="00BF1937">
        <w:rPr>
          <w:lang w:val="fr-CH"/>
        </w:rPr>
        <w:t xml:space="preserve">un jugement déclaratoire. En cas de préjudice irréparable, une injonction peut être accordée; </w:t>
      </w:r>
    </w:p>
    <w:p w:rsidR="00BF1937" w:rsidRPr="00BF1937" w:rsidRDefault="00BF1937" w:rsidP="00C92CDB">
      <w:pPr>
        <w:pStyle w:val="Bullet1"/>
        <w:ind w:left="1743" w:hanging="130"/>
        <w:rPr>
          <w:lang w:val="fr-CH"/>
        </w:rPr>
      </w:pPr>
      <w:r w:rsidRPr="00BF1937">
        <w:rPr>
          <w:lang w:val="fr-CH"/>
        </w:rPr>
        <w:t>Poursuites pénales engagées par des particuliers;</w:t>
      </w:r>
    </w:p>
    <w:p w:rsidR="00BF1937" w:rsidRPr="00BF1937" w:rsidRDefault="00BF1937" w:rsidP="00C92CDB">
      <w:pPr>
        <w:pStyle w:val="Bullet1"/>
        <w:ind w:left="1743" w:hanging="130"/>
        <w:rPr>
          <w:lang w:val="fr-CH"/>
        </w:rPr>
      </w:pPr>
      <w:r w:rsidRPr="00BF1937">
        <w:rPr>
          <w:lang w:val="fr-CH"/>
        </w:rPr>
        <w:t>Droit de faire appel, dans les affaires civiles comme pénales;</w:t>
      </w:r>
    </w:p>
    <w:p w:rsidR="00BF1937" w:rsidRPr="00BF1937" w:rsidRDefault="00BF1937" w:rsidP="00C92CDB">
      <w:pPr>
        <w:pStyle w:val="Bullet1"/>
        <w:ind w:left="1743" w:hanging="130"/>
        <w:rPr>
          <w:lang w:val="fr-CH"/>
        </w:rPr>
      </w:pPr>
      <w:r w:rsidRPr="00BF1937">
        <w:rPr>
          <w:lang w:val="fr-CH"/>
        </w:rPr>
        <w:t>Ordonnances d</w:t>
      </w:r>
      <w:r w:rsidR="008300FB">
        <w:rPr>
          <w:lang w:val="fr-CH"/>
        </w:rPr>
        <w:t>’</w:t>
      </w:r>
      <w:r w:rsidRPr="00BF1937">
        <w:rPr>
          <w:i/>
          <w:lang w:val="fr-CH"/>
        </w:rPr>
        <w:t>habeas corpus</w:t>
      </w:r>
      <w:r w:rsidRPr="00BF1937">
        <w:rPr>
          <w:lang w:val="fr-CH"/>
        </w:rPr>
        <w:t xml:space="preserve">, de </w:t>
      </w:r>
      <w:r w:rsidRPr="00BF1937">
        <w:rPr>
          <w:i/>
          <w:lang w:val="fr-CH"/>
        </w:rPr>
        <w:t>certiorari</w:t>
      </w:r>
      <w:r w:rsidRPr="00BF1937">
        <w:rPr>
          <w:lang w:val="fr-CH"/>
        </w:rPr>
        <w:t>, d</w:t>
      </w:r>
      <w:r w:rsidR="008300FB">
        <w:rPr>
          <w:lang w:val="fr-CH"/>
        </w:rPr>
        <w:t>’</w:t>
      </w:r>
      <w:r w:rsidRPr="00BF1937">
        <w:rPr>
          <w:lang w:val="fr-CH"/>
        </w:rPr>
        <w:t xml:space="preserve">interdiction, de </w:t>
      </w:r>
      <w:r w:rsidRPr="00BF1937">
        <w:rPr>
          <w:i/>
          <w:lang w:val="fr-CH"/>
        </w:rPr>
        <w:t>mandamus</w:t>
      </w:r>
      <w:r w:rsidRPr="00BF1937">
        <w:rPr>
          <w:lang w:val="fr-CH"/>
        </w:rPr>
        <w:t xml:space="preserve"> et de </w:t>
      </w:r>
      <w:r w:rsidRPr="00BF1937">
        <w:rPr>
          <w:i/>
          <w:lang w:val="fr-CH"/>
        </w:rPr>
        <w:t>quo warranto</w:t>
      </w:r>
      <w:r w:rsidRPr="00BF1937">
        <w:rPr>
          <w:lang w:val="fr-CH"/>
        </w:rPr>
        <w:t>;</w:t>
      </w:r>
    </w:p>
    <w:p w:rsidR="00BF1937" w:rsidRPr="00BF1937" w:rsidRDefault="00BF1937" w:rsidP="00C92CDB">
      <w:pPr>
        <w:pStyle w:val="Bullet1"/>
        <w:ind w:left="1743" w:hanging="130"/>
        <w:rPr>
          <w:lang w:val="fr-CH"/>
        </w:rPr>
      </w:pPr>
      <w:r w:rsidRPr="00BF1937">
        <w:rPr>
          <w:lang w:val="fr-CH"/>
        </w:rPr>
        <w:t>Les juridictions pénales peuvent accorder réparation aux victimes d</w:t>
      </w:r>
      <w:r w:rsidR="008300FB">
        <w:rPr>
          <w:lang w:val="fr-CH"/>
        </w:rPr>
        <w:t>’</w:t>
      </w:r>
      <w:r w:rsidRPr="00BF1937">
        <w:rPr>
          <w:lang w:val="fr-CH"/>
        </w:rPr>
        <w:t>infractions, à concurrence de 10 000 euros pour ce qui est des cours d</w:t>
      </w:r>
      <w:r w:rsidR="008300FB">
        <w:rPr>
          <w:lang w:val="fr-CH"/>
        </w:rPr>
        <w:t>’</w:t>
      </w:r>
      <w:r w:rsidRPr="00BF1937">
        <w:rPr>
          <w:lang w:val="fr-CH"/>
        </w:rPr>
        <w:t xml:space="preserve">assises; </w:t>
      </w:r>
    </w:p>
    <w:p w:rsidR="00BF1937" w:rsidRPr="00BF1937" w:rsidRDefault="00BF1937" w:rsidP="00C92CDB">
      <w:pPr>
        <w:pStyle w:val="Bullet1"/>
        <w:ind w:left="1743" w:hanging="130"/>
        <w:rPr>
          <w:lang w:val="fr-CH"/>
        </w:rPr>
      </w:pPr>
      <w:r w:rsidRPr="00BF1937">
        <w:rPr>
          <w:lang w:val="fr-CH"/>
        </w:rPr>
        <w:t>La responsabilité de la République est engagée pour tout autre acte ou omission illicite ayant causé un préjudice à autrui, que cela soit le fait d</w:t>
      </w:r>
      <w:r w:rsidR="008300FB">
        <w:rPr>
          <w:lang w:val="fr-CH"/>
        </w:rPr>
        <w:t>’</w:t>
      </w:r>
      <w:r w:rsidRPr="00BF1937">
        <w:rPr>
          <w:lang w:val="fr-CH"/>
        </w:rPr>
        <w:t>un de ses fonctionnaires dans l</w:t>
      </w:r>
      <w:r w:rsidR="008300FB">
        <w:rPr>
          <w:lang w:val="fr-CH"/>
        </w:rPr>
        <w:t>’</w:t>
      </w:r>
      <w:r w:rsidRPr="00BF1937">
        <w:rPr>
          <w:lang w:val="fr-CH"/>
        </w:rPr>
        <w:t>exercice effectif ou présumé de ses fonctions ou de l</w:t>
      </w:r>
      <w:r w:rsidR="008300FB">
        <w:rPr>
          <w:lang w:val="fr-CH"/>
        </w:rPr>
        <w:t>’</w:t>
      </w:r>
      <w:r w:rsidRPr="00BF1937">
        <w:rPr>
          <w:lang w:val="fr-CH"/>
        </w:rPr>
        <w:t>une de ses autorités;</w:t>
      </w:r>
    </w:p>
    <w:p w:rsidR="00BF1937" w:rsidRDefault="00BF1937" w:rsidP="00C92CDB">
      <w:pPr>
        <w:pStyle w:val="Bullet1"/>
        <w:ind w:left="1743" w:hanging="130"/>
        <w:rPr>
          <w:lang w:val="fr-CH"/>
        </w:rPr>
      </w:pPr>
      <w:r w:rsidRPr="00BF1937">
        <w:rPr>
          <w:lang w:val="fr-CH"/>
        </w:rPr>
        <w:t>Le Conseil des ministres peut ordonner la création d</w:t>
      </w:r>
      <w:r w:rsidR="008300FB">
        <w:rPr>
          <w:lang w:val="fr-CH"/>
        </w:rPr>
        <w:t>’</w:t>
      </w:r>
      <w:r w:rsidRPr="00BF1937">
        <w:rPr>
          <w:lang w:val="fr-CH"/>
        </w:rPr>
        <w:t>une commission d</w:t>
      </w:r>
      <w:r w:rsidR="008300FB">
        <w:rPr>
          <w:lang w:val="fr-CH"/>
        </w:rPr>
        <w:t>’</w:t>
      </w:r>
      <w:r w:rsidRPr="00BF1937">
        <w:rPr>
          <w:lang w:val="fr-CH"/>
        </w:rPr>
        <w:t>enquête pour enquêter et faire un rapport sur les allégations faisant état de fautes graves, en particulier de violations des droits de l</w:t>
      </w:r>
      <w:r w:rsidR="008300FB">
        <w:rPr>
          <w:lang w:val="fr-CH"/>
        </w:rPr>
        <w:t>’</w:t>
      </w:r>
      <w:r w:rsidRPr="00BF1937">
        <w:rPr>
          <w:lang w:val="fr-CH"/>
        </w:rPr>
        <w:t>homme;</w:t>
      </w:r>
    </w:p>
    <w:p w:rsidR="003769AB" w:rsidRPr="00BF1937" w:rsidRDefault="00127DE2" w:rsidP="00C92CDB">
      <w:pPr>
        <w:pStyle w:val="Bullet1"/>
        <w:ind w:left="1743" w:hanging="130"/>
        <w:rPr>
          <w:lang w:val="fr-CH"/>
        </w:rPr>
      </w:pPr>
      <w:r>
        <w:rPr>
          <w:lang w:val="fr-CH"/>
        </w:rPr>
        <w:t>La Chambre des représentants et ses commissions, dans l’exercice de leurs fonctions, notamment le contrôle parlementaire, examinent, dans de nombreux cas, les allégations ou situations ayant trait à des violations des droits de l’homme;</w:t>
      </w:r>
    </w:p>
    <w:p w:rsidR="00BF1937" w:rsidRPr="00BF1937" w:rsidRDefault="00BF1937" w:rsidP="00C92CDB">
      <w:pPr>
        <w:pStyle w:val="Bullet1"/>
        <w:ind w:left="1743" w:hanging="130"/>
        <w:rPr>
          <w:lang w:val="fr-CH"/>
        </w:rPr>
      </w:pPr>
      <w:r w:rsidRPr="00BF1937">
        <w:rPr>
          <w:lang w:val="fr-CH"/>
        </w:rPr>
        <w:t>Le Procureur général de la République a une responsabilité spéciale pour ce qui est de veiller au respect de la légalité et de la primauté du droit; il peut, d</w:t>
      </w:r>
      <w:r w:rsidR="008300FB">
        <w:rPr>
          <w:lang w:val="fr-CH"/>
        </w:rPr>
        <w:t>’</w:t>
      </w:r>
      <w:r w:rsidRPr="00BF1937">
        <w:rPr>
          <w:lang w:val="fr-CH"/>
        </w:rPr>
        <w:t>office ou à la demande d</w:t>
      </w:r>
      <w:r w:rsidR="008300FB">
        <w:rPr>
          <w:lang w:val="fr-CH"/>
        </w:rPr>
        <w:t>’</w:t>
      </w:r>
      <w:r w:rsidRPr="00BF1937">
        <w:rPr>
          <w:lang w:val="fr-CH"/>
        </w:rPr>
        <w:t>un plaignant, ordonner des enquêtes ou donner des avis sur les moyens d</w:t>
      </w:r>
      <w:r w:rsidR="008300FB">
        <w:rPr>
          <w:lang w:val="fr-CH"/>
        </w:rPr>
        <w:t>’</w:t>
      </w:r>
      <w:r w:rsidRPr="00BF1937">
        <w:rPr>
          <w:lang w:val="fr-CH"/>
        </w:rPr>
        <w:t>action;</w:t>
      </w:r>
    </w:p>
    <w:p w:rsidR="00BF1937" w:rsidRPr="00BF1937" w:rsidRDefault="00BF1937" w:rsidP="00C92CDB">
      <w:pPr>
        <w:pStyle w:val="Bullet1"/>
        <w:ind w:left="1743" w:hanging="130"/>
        <w:rPr>
          <w:lang w:val="fr-CH"/>
        </w:rPr>
      </w:pPr>
      <w:r w:rsidRPr="00BF1937">
        <w:rPr>
          <w:lang w:val="fr-CH"/>
        </w:rPr>
        <w:t>Le Commissaire à l</w:t>
      </w:r>
      <w:r w:rsidR="008300FB">
        <w:rPr>
          <w:lang w:val="fr-CH"/>
        </w:rPr>
        <w:t>’</w:t>
      </w:r>
      <w:r w:rsidRPr="00BF1937">
        <w:rPr>
          <w:lang w:val="fr-CH"/>
        </w:rPr>
        <w:t>administration (Ombudsman) est notamment habilité à enquêter sur les plaintes émanant de particuliers dont les droits ont été violés par l</w:t>
      </w:r>
      <w:r w:rsidR="008300FB">
        <w:rPr>
          <w:lang w:val="fr-CH"/>
        </w:rPr>
        <w:t>’</w:t>
      </w:r>
      <w:r w:rsidRPr="00BF1937">
        <w:rPr>
          <w:lang w:val="fr-CH"/>
        </w:rPr>
        <w:t xml:space="preserve">administration ou lorsque celle-ci a agi de façon contraire à la loi ou par négligence; ses compétences ayant été élargies, il est également habilité à enquêter sur </w:t>
      </w:r>
      <w:r w:rsidRPr="00AD54C4">
        <w:rPr>
          <w:lang w:val="fr-CH"/>
        </w:rPr>
        <w:t>les plaintes pour discrimination fondée sur la race, l</w:t>
      </w:r>
      <w:r w:rsidR="008300FB" w:rsidRPr="00AD54C4">
        <w:rPr>
          <w:lang w:val="fr-CH"/>
        </w:rPr>
        <w:t>’</w:t>
      </w:r>
      <w:r w:rsidRPr="00AD54C4">
        <w:rPr>
          <w:lang w:val="fr-CH"/>
        </w:rPr>
        <w:t>appartenance à une communauté</w:t>
      </w:r>
      <w:r w:rsidRPr="00AD54C4">
        <w:rPr>
          <w:bCs/>
          <w:lang w:val="fr-CH"/>
        </w:rPr>
        <w:t>, la langue, la couleur, la religion, les convictions politiques ou autres, ou l</w:t>
      </w:r>
      <w:r w:rsidR="008300FB" w:rsidRPr="00AD54C4">
        <w:rPr>
          <w:bCs/>
          <w:lang w:val="fr-CH"/>
        </w:rPr>
        <w:t>’</w:t>
      </w:r>
      <w:r w:rsidRPr="00AD54C4">
        <w:rPr>
          <w:bCs/>
          <w:lang w:val="fr-CH"/>
        </w:rPr>
        <w:t>origine ethnique ou nationale. D</w:t>
      </w:r>
      <w:r w:rsidR="008300FB" w:rsidRPr="00AD54C4">
        <w:rPr>
          <w:bCs/>
          <w:lang w:val="fr-CH"/>
        </w:rPr>
        <w:t>’</w:t>
      </w:r>
      <w:r w:rsidRPr="00AD54C4">
        <w:rPr>
          <w:bCs/>
          <w:lang w:val="fr-CH"/>
        </w:rPr>
        <w:t>une manière générale, l</w:t>
      </w:r>
      <w:r w:rsidR="008300FB" w:rsidRPr="00AD54C4">
        <w:rPr>
          <w:bCs/>
          <w:lang w:val="fr-CH"/>
        </w:rPr>
        <w:t>’</w:t>
      </w:r>
      <w:r w:rsidRPr="00AD54C4">
        <w:rPr>
          <w:bCs/>
          <w:lang w:val="fr-CH"/>
        </w:rPr>
        <w:t xml:space="preserve">Ombudsman est chargé de promouvoir </w:t>
      </w:r>
      <w:r w:rsidRPr="00AD54C4">
        <w:rPr>
          <w:lang w:val="fr-CH"/>
        </w:rPr>
        <w:t>l</w:t>
      </w:r>
      <w:r w:rsidR="008300FB" w:rsidRPr="00AD54C4">
        <w:rPr>
          <w:lang w:val="fr-CH"/>
        </w:rPr>
        <w:t>’</w:t>
      </w:r>
      <w:r w:rsidRPr="00AD54C4">
        <w:rPr>
          <w:lang w:val="fr-CH"/>
        </w:rPr>
        <w:t>égalité de traitement en matière d</w:t>
      </w:r>
      <w:r w:rsidR="008300FB" w:rsidRPr="00AD54C4">
        <w:rPr>
          <w:lang w:val="fr-CH"/>
        </w:rPr>
        <w:t>’</w:t>
      </w:r>
      <w:r w:rsidRPr="00AD54C4">
        <w:rPr>
          <w:lang w:val="fr-CH"/>
        </w:rPr>
        <w:t>emploi, de protection sociale et médicale, d</w:t>
      </w:r>
      <w:r w:rsidR="008300FB" w:rsidRPr="00AD54C4">
        <w:rPr>
          <w:lang w:val="fr-CH"/>
        </w:rPr>
        <w:t>’</w:t>
      </w:r>
      <w:r w:rsidRPr="00AD54C4">
        <w:rPr>
          <w:lang w:val="fr-CH"/>
        </w:rPr>
        <w:t>assurances et de</w:t>
      </w:r>
      <w:r w:rsidRPr="00BF1937">
        <w:rPr>
          <w:lang w:val="fr-CH"/>
        </w:rPr>
        <w:t xml:space="preserve"> prestations sociales, d</w:t>
      </w:r>
      <w:r w:rsidR="008300FB">
        <w:rPr>
          <w:lang w:val="fr-CH"/>
        </w:rPr>
        <w:t>’</w:t>
      </w:r>
      <w:r w:rsidRPr="00BF1937">
        <w:rPr>
          <w:lang w:val="fr-CH"/>
        </w:rPr>
        <w:t>éducation, d</w:t>
      </w:r>
      <w:r w:rsidR="008300FB">
        <w:rPr>
          <w:lang w:val="fr-CH"/>
        </w:rPr>
        <w:t>’</w:t>
      </w:r>
      <w:r w:rsidRPr="00BF1937">
        <w:rPr>
          <w:lang w:val="fr-CH"/>
        </w:rPr>
        <w:t>affiliation à des syndicats et organisations professionnelles, et d</w:t>
      </w:r>
      <w:r w:rsidR="008300FB">
        <w:rPr>
          <w:lang w:val="fr-CH"/>
        </w:rPr>
        <w:t>’</w:t>
      </w:r>
      <w:r w:rsidRPr="00BF1937">
        <w:rPr>
          <w:lang w:val="fr-CH"/>
        </w:rPr>
        <w:t xml:space="preserve">accès aux biens et services, y compris le logement; </w:t>
      </w:r>
    </w:p>
    <w:p w:rsidR="00BF1937" w:rsidRPr="00BF1937" w:rsidRDefault="00BF1937" w:rsidP="00C92CDB">
      <w:pPr>
        <w:pStyle w:val="Bullet1"/>
        <w:ind w:left="1743" w:hanging="130"/>
        <w:rPr>
          <w:lang w:val="fr-CH"/>
        </w:rPr>
      </w:pPr>
      <w:r w:rsidRPr="00BF1937">
        <w:rPr>
          <w:lang w:val="fr-CH"/>
        </w:rPr>
        <w:t>L</w:t>
      </w:r>
      <w:r w:rsidR="008300FB">
        <w:rPr>
          <w:lang w:val="fr-CH"/>
        </w:rPr>
        <w:t>’</w:t>
      </w:r>
      <w:r w:rsidRPr="00BF1937">
        <w:rPr>
          <w:lang w:val="fr-CH"/>
        </w:rPr>
        <w:t>Autorité indépendante chargée d</w:t>
      </w:r>
      <w:r w:rsidR="008300FB">
        <w:rPr>
          <w:lang w:val="fr-CH"/>
        </w:rPr>
        <w:t>’</w:t>
      </w:r>
      <w:r w:rsidRPr="00BF1937">
        <w:rPr>
          <w:lang w:val="fr-CH"/>
        </w:rPr>
        <w:t>enquêter sur les allégations et les plaintes mettant en cause la police est habilitée à examiner les plaintes déposées contre des policiers et à enquêter à leur sujet. Elle est indépendante et se compose de membres possédant les qualifications requises et les plus hautes valeurs morales</w:t>
      </w:r>
      <w:r w:rsidR="00AD54C4">
        <w:rPr>
          <w:lang w:val="fr-CH"/>
        </w:rPr>
        <w:t xml:space="preserve">, nommés par le Président de la </w:t>
      </w:r>
      <w:r w:rsidRPr="00BF1937">
        <w:rPr>
          <w:lang w:val="fr-CH"/>
        </w:rPr>
        <w:t>République;</w:t>
      </w:r>
    </w:p>
    <w:p w:rsidR="00BF1937" w:rsidRPr="00BF1937" w:rsidRDefault="00BF1937" w:rsidP="00C92CDB">
      <w:pPr>
        <w:pStyle w:val="Bullet1"/>
        <w:ind w:left="1743" w:hanging="130"/>
        <w:rPr>
          <w:lang w:val="fr-CH"/>
        </w:rPr>
      </w:pPr>
      <w:r w:rsidRPr="00BF1937">
        <w:rPr>
          <w:lang w:val="fr-CH"/>
        </w:rPr>
        <w:t>Tout particulier ayant épuisé tous les recours internes peut former un recours ou présenter des communications dans le cadre des procédures facultatives mises en place en application de divers instruments internationaux relatifs aux droits de l</w:t>
      </w:r>
      <w:r w:rsidR="008300FB">
        <w:rPr>
          <w:lang w:val="fr-CH"/>
        </w:rPr>
        <w:t>’</w:t>
      </w:r>
      <w:r w:rsidRPr="00BF1937">
        <w:rPr>
          <w:lang w:val="fr-CH"/>
        </w:rPr>
        <w:t>homme, dont la Convention internationale sur l</w:t>
      </w:r>
      <w:r w:rsidR="008300FB">
        <w:rPr>
          <w:lang w:val="fr-CH"/>
        </w:rPr>
        <w:t>’</w:t>
      </w:r>
      <w:r w:rsidRPr="00BF1937">
        <w:rPr>
          <w:lang w:val="fr-CH"/>
        </w:rPr>
        <w:t>élimination de toutes les formes de discrimination raciale, le Protocole facultatif se rapportant à la Convention sur l</w:t>
      </w:r>
      <w:r w:rsidR="008300FB">
        <w:rPr>
          <w:lang w:val="fr-CH"/>
        </w:rPr>
        <w:t>’</w:t>
      </w:r>
      <w:r w:rsidRPr="00BF1937">
        <w:rPr>
          <w:lang w:val="fr-CH"/>
        </w:rPr>
        <w:t>élimination de toutes les formes de discrimination à l</w:t>
      </w:r>
      <w:r w:rsidR="008300FB">
        <w:rPr>
          <w:lang w:val="fr-CH"/>
        </w:rPr>
        <w:t>’</w:t>
      </w:r>
      <w:r w:rsidRPr="00BF1937">
        <w:rPr>
          <w:lang w:val="fr-CH"/>
        </w:rPr>
        <w:t>égard des femmes, la Convention de sauvegarde des droits de l</w:t>
      </w:r>
      <w:r w:rsidR="008300FB">
        <w:rPr>
          <w:lang w:val="fr-CH"/>
        </w:rPr>
        <w:t>’</w:t>
      </w:r>
      <w:r w:rsidRPr="00BF1937">
        <w:rPr>
          <w:lang w:val="fr-CH"/>
        </w:rPr>
        <w:t>homme et des libertés fondamentales (Convention européenne des droits de l</w:t>
      </w:r>
      <w:r w:rsidR="008300FB">
        <w:rPr>
          <w:lang w:val="fr-CH"/>
        </w:rPr>
        <w:t>’</w:t>
      </w:r>
      <w:r w:rsidRPr="00BF1937">
        <w:rPr>
          <w:lang w:val="fr-CH"/>
        </w:rPr>
        <w:t>homme), le Protocole facultatif se rapportant au Pacte international relatif aux droits civils et politiques et la Convention contre la torture et autres peines ou traitements cruels, inhumains ou dégradants;</w:t>
      </w:r>
    </w:p>
    <w:p w:rsidR="00BF1937" w:rsidRPr="00BF1937" w:rsidRDefault="00BF1937" w:rsidP="00C92CDB">
      <w:pPr>
        <w:pStyle w:val="Bullet1"/>
        <w:ind w:left="1743" w:hanging="130"/>
        <w:rPr>
          <w:lang w:val="fr-CH"/>
        </w:rPr>
      </w:pPr>
      <w:r w:rsidRPr="00BF1937">
        <w:rPr>
          <w:lang w:val="fr-CH"/>
        </w:rPr>
        <w:t>Chypre a également accepté la juridiction obligatoire de la Cour européenne des droits de l</w:t>
      </w:r>
      <w:r w:rsidR="008300FB">
        <w:rPr>
          <w:lang w:val="fr-CH"/>
        </w:rPr>
        <w:t>’</w:t>
      </w:r>
      <w:r w:rsidRPr="00BF1937">
        <w:rPr>
          <w:lang w:val="fr-CH"/>
        </w:rPr>
        <w:t>homme et reconnu la juridiction obligatoire de la Cour internationale de Justice en vertu de la clause facultative figurant au paragraphe 2 de l</w:t>
      </w:r>
      <w:r w:rsidR="008300FB">
        <w:rPr>
          <w:lang w:val="fr-CH"/>
        </w:rPr>
        <w:t>’</w:t>
      </w:r>
      <w:r w:rsidR="00AD54C4">
        <w:rPr>
          <w:lang w:val="fr-CH"/>
        </w:rPr>
        <w:t>article </w:t>
      </w:r>
      <w:r w:rsidRPr="00BF1937">
        <w:rPr>
          <w:lang w:val="fr-CH"/>
        </w:rPr>
        <w:t>36 du Statut de la Cour.</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En cas de guerre ou de danger public menaçant l</w:t>
      </w:r>
      <w:r w:rsidR="008300FB">
        <w:rPr>
          <w:lang w:val="fr-CH"/>
        </w:rPr>
        <w:t>’</w:t>
      </w:r>
      <w:r w:rsidRPr="00BF1937">
        <w:rPr>
          <w:lang w:val="fr-CH"/>
        </w:rPr>
        <w:t>existence de tout ou partie de la République, certains droits fondamentaux garantis par la Constitution peuvent être suspendus durant l</w:t>
      </w:r>
      <w:r w:rsidR="008300FB">
        <w:rPr>
          <w:lang w:val="fr-CH"/>
        </w:rPr>
        <w:t>’</w:t>
      </w:r>
      <w:r w:rsidRPr="00BF1937">
        <w:rPr>
          <w:lang w:val="fr-CH"/>
        </w:rPr>
        <w:t>état d</w:t>
      </w:r>
      <w:r w:rsidR="008300FB">
        <w:rPr>
          <w:lang w:val="fr-CH"/>
        </w:rPr>
        <w:t>’</w:t>
      </w:r>
      <w:r w:rsidRPr="00BF1937">
        <w:rPr>
          <w:lang w:val="fr-CH"/>
        </w:rPr>
        <w:t>urgence par une proclamation de l</w:t>
      </w:r>
      <w:r w:rsidR="008300FB">
        <w:rPr>
          <w:lang w:val="fr-CH"/>
        </w:rPr>
        <w:t>’</w:t>
      </w:r>
      <w:r w:rsidRPr="00BF1937">
        <w:rPr>
          <w:lang w:val="fr-CH"/>
        </w:rPr>
        <w:t>état d</w:t>
      </w:r>
      <w:r w:rsidR="008300FB">
        <w:rPr>
          <w:lang w:val="fr-CH"/>
        </w:rPr>
        <w:t>’</w:t>
      </w:r>
      <w:r w:rsidRPr="00BF1937">
        <w:rPr>
          <w:lang w:val="fr-CH"/>
        </w:rPr>
        <w:t>exception émanant du Conseil des ministres. Cette proclamation doit être faite devant la Chambre des représentants, qui a la possibilité de la rejeter. Peuvent être suspendus les droits suivants</w:t>
      </w:r>
      <w:r w:rsidR="00AD54C4">
        <w:rPr>
          <w:lang w:val="fr-CH"/>
        </w:rPr>
        <w:t> </w:t>
      </w:r>
      <w:r w:rsidRPr="00BF1937">
        <w:rPr>
          <w:lang w:val="fr-CH"/>
        </w:rPr>
        <w:t>:</w:t>
      </w:r>
    </w:p>
    <w:p w:rsidR="00BF1937" w:rsidRPr="00BF1937" w:rsidRDefault="00BF1937" w:rsidP="00C92CDB">
      <w:pPr>
        <w:pStyle w:val="Bullet1"/>
        <w:ind w:left="1743" w:hanging="130"/>
        <w:rPr>
          <w:lang w:val="fr-CH"/>
        </w:rPr>
      </w:pPr>
      <w:r w:rsidRPr="00BF1937">
        <w:rPr>
          <w:lang w:val="fr-CH"/>
        </w:rPr>
        <w:t>L</w:t>
      </w:r>
      <w:r w:rsidR="008300FB">
        <w:rPr>
          <w:lang w:val="fr-CH"/>
        </w:rPr>
        <w:t>’</w:t>
      </w:r>
      <w:r w:rsidRPr="00BF1937">
        <w:rPr>
          <w:lang w:val="fr-CH"/>
        </w:rPr>
        <w:t>interdiction du travail forcé et obligatoire;</w:t>
      </w:r>
    </w:p>
    <w:p w:rsidR="00BF1937" w:rsidRPr="00BF1937" w:rsidRDefault="00BF1937" w:rsidP="00C92CDB">
      <w:pPr>
        <w:pStyle w:val="Bullet1"/>
        <w:ind w:left="1743" w:hanging="130"/>
        <w:rPr>
          <w:lang w:val="fr-CH"/>
        </w:rPr>
      </w:pPr>
      <w:r w:rsidRPr="00BF1937">
        <w:rPr>
          <w:lang w:val="fr-CH"/>
        </w:rPr>
        <w:t>Le droit à la liberté et à la sécurité des personnes;</w:t>
      </w:r>
    </w:p>
    <w:p w:rsidR="00BF1937" w:rsidRPr="00BF1937" w:rsidRDefault="00BF1937" w:rsidP="00C92CDB">
      <w:pPr>
        <w:pStyle w:val="Bullet1"/>
        <w:ind w:left="1743" w:hanging="130"/>
        <w:rPr>
          <w:lang w:val="fr-CH"/>
        </w:rPr>
      </w:pPr>
      <w:r w:rsidRPr="00BF1937">
        <w:rPr>
          <w:lang w:val="fr-CH"/>
        </w:rPr>
        <w:t>La liberté de circulation;</w:t>
      </w:r>
    </w:p>
    <w:p w:rsidR="00BF1937" w:rsidRPr="00BF1937" w:rsidRDefault="00BF1937" w:rsidP="00C92CDB">
      <w:pPr>
        <w:pStyle w:val="Bullet1"/>
        <w:ind w:left="1743" w:hanging="130"/>
        <w:rPr>
          <w:lang w:val="fr-CH"/>
        </w:rPr>
      </w:pPr>
      <w:r w:rsidRPr="00BF1937">
        <w:rPr>
          <w:lang w:val="fr-CH"/>
        </w:rPr>
        <w:t>L</w:t>
      </w:r>
      <w:r w:rsidR="008300FB">
        <w:rPr>
          <w:lang w:val="fr-CH"/>
        </w:rPr>
        <w:t>’</w:t>
      </w:r>
      <w:r w:rsidRPr="00BF1937">
        <w:rPr>
          <w:lang w:val="fr-CH"/>
        </w:rPr>
        <w:t>inviolabilité du domicile;</w:t>
      </w:r>
    </w:p>
    <w:p w:rsidR="00BF1937" w:rsidRPr="00BF1937" w:rsidRDefault="00BF1937" w:rsidP="00C92CDB">
      <w:pPr>
        <w:pStyle w:val="Bullet1"/>
        <w:ind w:left="1743" w:hanging="130"/>
        <w:rPr>
          <w:lang w:val="fr-CH"/>
        </w:rPr>
      </w:pPr>
      <w:r w:rsidRPr="00BF1937">
        <w:rPr>
          <w:lang w:val="fr-CH"/>
        </w:rPr>
        <w:t>Le secret de la correspondance;</w:t>
      </w:r>
    </w:p>
    <w:p w:rsidR="00BF1937" w:rsidRPr="00BF1937" w:rsidRDefault="00BF1937" w:rsidP="00C92CDB">
      <w:pPr>
        <w:pStyle w:val="Bullet1"/>
        <w:ind w:left="1743" w:hanging="130"/>
        <w:rPr>
          <w:lang w:val="fr-CH"/>
        </w:rPr>
      </w:pPr>
      <w:r w:rsidRPr="00BF1937">
        <w:rPr>
          <w:lang w:val="fr-CH"/>
        </w:rPr>
        <w:t>La liberté de parole et d</w:t>
      </w:r>
      <w:r w:rsidR="008300FB">
        <w:rPr>
          <w:lang w:val="fr-CH"/>
        </w:rPr>
        <w:t>’</w:t>
      </w:r>
      <w:r w:rsidRPr="00BF1937">
        <w:rPr>
          <w:lang w:val="fr-CH"/>
        </w:rPr>
        <w:t>expression;</w:t>
      </w:r>
    </w:p>
    <w:p w:rsidR="00BF1937" w:rsidRPr="00BF1937" w:rsidRDefault="00BF1937" w:rsidP="00C92CDB">
      <w:pPr>
        <w:pStyle w:val="Bullet1"/>
        <w:ind w:left="1743" w:hanging="130"/>
        <w:rPr>
          <w:lang w:val="fr-CH"/>
        </w:rPr>
      </w:pPr>
      <w:r w:rsidRPr="00BF1937">
        <w:rPr>
          <w:lang w:val="fr-CH"/>
        </w:rPr>
        <w:t>Les droits de réunion et la liberté d</w:t>
      </w:r>
      <w:r w:rsidR="008300FB">
        <w:rPr>
          <w:lang w:val="fr-CH"/>
        </w:rPr>
        <w:t>’</w:t>
      </w:r>
      <w:r w:rsidRPr="00BF1937">
        <w:rPr>
          <w:lang w:val="fr-CH"/>
        </w:rPr>
        <w:t>association;</w:t>
      </w:r>
    </w:p>
    <w:p w:rsidR="003769AB" w:rsidRPr="00127DE2" w:rsidRDefault="00BF1937" w:rsidP="00127DE2">
      <w:pPr>
        <w:pStyle w:val="Bullet1"/>
        <w:ind w:left="1743" w:hanging="130"/>
        <w:rPr>
          <w:lang w:val="fr-CH"/>
        </w:rPr>
      </w:pPr>
      <w:r w:rsidRPr="00BF1937">
        <w:rPr>
          <w:lang w:val="fr-CH"/>
        </w:rPr>
        <w:t>Le droit à la propriété, à condition que les réquisitions de biens s</w:t>
      </w:r>
      <w:r w:rsidR="008300FB">
        <w:rPr>
          <w:lang w:val="fr-CH"/>
        </w:rPr>
        <w:t>’</w:t>
      </w:r>
      <w:r w:rsidRPr="00BF1937">
        <w:rPr>
          <w:lang w:val="fr-CH"/>
        </w:rPr>
        <w:t>accompagnent de mesures rapides d</w:t>
      </w:r>
      <w:r w:rsidR="008300FB">
        <w:rPr>
          <w:lang w:val="fr-CH"/>
        </w:rPr>
        <w:t>’</w:t>
      </w:r>
      <w:r w:rsidRPr="00BF1937">
        <w:rPr>
          <w:lang w:val="fr-CH"/>
        </w:rPr>
        <w:t>indemnisation;</w:t>
      </w:r>
    </w:p>
    <w:p w:rsidR="00BF1937" w:rsidRPr="00BF1937" w:rsidRDefault="00BF1937" w:rsidP="00C92CDB">
      <w:pPr>
        <w:pStyle w:val="Bullet1"/>
        <w:ind w:left="1743" w:hanging="130"/>
        <w:rPr>
          <w:lang w:val="fr-CH"/>
        </w:rPr>
      </w:pPr>
      <w:r w:rsidRPr="00BF1937">
        <w:rPr>
          <w:lang w:val="fr-CH"/>
        </w:rPr>
        <w:t>Le droit d</w:t>
      </w:r>
      <w:r w:rsidR="008300FB">
        <w:rPr>
          <w:lang w:val="fr-CH"/>
        </w:rPr>
        <w:t>’</w:t>
      </w:r>
      <w:r w:rsidRPr="00BF1937">
        <w:rPr>
          <w:lang w:val="fr-CH"/>
        </w:rPr>
        <w:t>exercer la profession ou toute activité de son choix; et</w:t>
      </w:r>
    </w:p>
    <w:p w:rsidR="00BF1937" w:rsidRPr="00BF1937" w:rsidRDefault="00BF1937" w:rsidP="00C92CDB">
      <w:pPr>
        <w:pStyle w:val="Bullet1"/>
        <w:ind w:left="1743" w:hanging="130"/>
        <w:rPr>
          <w:lang w:val="fr-CH"/>
        </w:rPr>
      </w:pPr>
      <w:r w:rsidRPr="00BF1937">
        <w:rPr>
          <w:lang w:val="fr-CH"/>
        </w:rPr>
        <w:t xml:space="preserve">Le droit de grève.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Il convient de noter que, depuis son accession à l</w:t>
      </w:r>
      <w:r w:rsidR="008300FB">
        <w:rPr>
          <w:lang w:val="fr-CH"/>
        </w:rPr>
        <w:t>’</w:t>
      </w:r>
      <w:r w:rsidRPr="00BF1937">
        <w:rPr>
          <w:lang w:val="fr-CH"/>
        </w:rPr>
        <w:t>indépendance, Chypre n</w:t>
      </w:r>
      <w:r w:rsidR="008300FB">
        <w:rPr>
          <w:lang w:val="fr-CH"/>
        </w:rPr>
        <w:t>’</w:t>
      </w:r>
      <w:r w:rsidRPr="00BF1937">
        <w:rPr>
          <w:lang w:val="fr-CH"/>
        </w:rPr>
        <w:t>a jamais décrété l</w:t>
      </w:r>
      <w:r w:rsidR="008300FB">
        <w:rPr>
          <w:lang w:val="fr-CH"/>
        </w:rPr>
        <w:t>’</w:t>
      </w:r>
      <w:r w:rsidRPr="00BF1937">
        <w:rPr>
          <w:lang w:val="fr-CH"/>
        </w:rPr>
        <w:t>état d</w:t>
      </w:r>
      <w:r w:rsidR="008300FB">
        <w:rPr>
          <w:lang w:val="fr-CH"/>
        </w:rPr>
        <w:t>’</w:t>
      </w:r>
      <w:r w:rsidRPr="00BF1937">
        <w:rPr>
          <w:lang w:val="fr-CH"/>
        </w:rPr>
        <w:t>urgence, pas même lorsque le pays a été envahi et en partie occupé par la Turquie, situation qui perdure à ce jour.</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CH"/>
        </w:rPr>
        <w:t>Les conventions internationales que la République de Chypre a ratifiées ou auxquelles elle a adhéré sont incorporées dans le droit interne et acquièrent la primauté sur toutes les autres lois dès leur publication au Journal officiel. Elles sont directement applicables dans le pays et peuvent être (et sont effectivement) invoquées devant les tribunaux et les autorités administratives, qui peuvent en assurer directement la mise en œu</w:t>
      </w:r>
      <w:r w:rsidR="00AD54C4">
        <w:rPr>
          <w:lang w:val="fr-CH"/>
        </w:rPr>
        <w:t>vre (voir décision rendue le 20 </w:t>
      </w:r>
      <w:r w:rsidRPr="00BF1937">
        <w:rPr>
          <w:lang w:val="fr-CH"/>
        </w:rPr>
        <w:t>janvier 1986 par la Cour suprême en appel dans l</w:t>
      </w:r>
      <w:r w:rsidR="008300FB">
        <w:rPr>
          <w:lang w:val="fr-CH"/>
        </w:rPr>
        <w:t>’</w:t>
      </w:r>
      <w:r w:rsidRPr="00BF1937">
        <w:rPr>
          <w:lang w:val="fr-CH"/>
        </w:rPr>
        <w:t>affaire civile n</w:t>
      </w:r>
      <w:r w:rsidRPr="00BF1937">
        <w:rPr>
          <w:vertAlign w:val="superscript"/>
          <w:lang w:val="fr-CH"/>
        </w:rPr>
        <w:t>o </w:t>
      </w:r>
      <w:r w:rsidRPr="00BF1937">
        <w:rPr>
          <w:lang w:val="fr-CH"/>
        </w:rPr>
        <w:t xml:space="preserve">6616, </w:t>
      </w:r>
      <w:r w:rsidRPr="00BF1937">
        <w:rPr>
          <w:i/>
          <w:lang w:val="fr-CH"/>
        </w:rPr>
        <w:t xml:space="preserve">Malachtou </w:t>
      </w:r>
      <w:r w:rsidRPr="003769AB">
        <w:rPr>
          <w:lang w:val="fr-CH"/>
        </w:rPr>
        <w:t>v</w:t>
      </w:r>
      <w:r w:rsidRPr="00BF1937">
        <w:rPr>
          <w:i/>
          <w:lang w:val="fr-CH"/>
        </w:rPr>
        <w:t>. Aloneftis</w:t>
      </w:r>
      <w:r w:rsidRPr="00BF1937">
        <w:rPr>
          <w:lang w:val="fr-CH"/>
        </w:rPr>
        <w:t>). Si une convention internationale contient des dispositions ne pouvant s</w:t>
      </w:r>
      <w:r w:rsidR="008300FB">
        <w:rPr>
          <w:lang w:val="fr-CH"/>
        </w:rPr>
        <w:t>’</w:t>
      </w:r>
      <w:r w:rsidRPr="00BF1937">
        <w:rPr>
          <w:lang w:val="fr-CH"/>
        </w:rPr>
        <w:t>appliquer automatiquement, le pouvoir législatif est juridiquement tenu d</w:t>
      </w:r>
      <w:r w:rsidR="008300FB">
        <w:rPr>
          <w:lang w:val="fr-CH"/>
        </w:rPr>
        <w:t>’</w:t>
      </w:r>
      <w:r w:rsidRPr="00BF1937">
        <w:rPr>
          <w:lang w:val="fr-CH"/>
        </w:rPr>
        <w:t>adopter les lois permettant d</w:t>
      </w:r>
      <w:r w:rsidR="008300FB">
        <w:rPr>
          <w:lang w:val="fr-CH"/>
        </w:rPr>
        <w:t>’</w:t>
      </w:r>
      <w:r w:rsidRPr="00BF1937">
        <w:rPr>
          <w:lang w:val="fr-CH"/>
        </w:rPr>
        <w:t>aligner le droit interne sur ladite convention afin de rendre celle-ci totalement applicable.</w:t>
      </w:r>
    </w:p>
    <w:p w:rsidR="00BF1937" w:rsidRPr="00AD54C4" w:rsidRDefault="00BF1937" w:rsidP="00AD54C4">
      <w:pPr>
        <w:pStyle w:val="SingleTxt"/>
        <w:spacing w:after="0" w:line="120" w:lineRule="exact"/>
        <w:rPr>
          <w:sz w:val="10"/>
          <w:lang w:val="fr-CH"/>
        </w:rPr>
      </w:pPr>
    </w:p>
    <w:p w:rsidR="00AD54C4" w:rsidRPr="00AD54C4" w:rsidRDefault="00AD54C4" w:rsidP="00AD54C4">
      <w:pPr>
        <w:pStyle w:val="SingleTxt"/>
        <w:spacing w:after="0" w:line="120" w:lineRule="exact"/>
        <w:rPr>
          <w:sz w:val="10"/>
          <w:lang w:val="fr-CH"/>
        </w:rPr>
      </w:pPr>
    </w:p>
    <w:p w:rsidR="00BF1937" w:rsidRPr="00BF1937" w:rsidRDefault="00BF1937" w:rsidP="00AD54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1937">
        <w:rPr>
          <w:lang w:val="fr-CH"/>
        </w:rPr>
        <w:tab/>
      </w:r>
      <w:r w:rsidRPr="00BF1937">
        <w:rPr>
          <w:lang w:val="fr-FR"/>
        </w:rPr>
        <w:t>C.</w:t>
      </w:r>
      <w:r w:rsidRPr="00BF1937">
        <w:rPr>
          <w:lang w:val="fr-FR"/>
        </w:rPr>
        <w:tab/>
        <w:t xml:space="preserve">Cadre de </w:t>
      </w:r>
      <w:r w:rsidR="006E086E">
        <w:rPr>
          <w:lang w:val="fr-FR"/>
        </w:rPr>
        <w:t xml:space="preserve">la </w:t>
      </w:r>
      <w:r w:rsidRPr="00BF1937">
        <w:rPr>
          <w:lang w:val="fr-FR"/>
        </w:rPr>
        <w:t>promotion des droits de l</w:t>
      </w:r>
      <w:r w:rsidR="008300FB">
        <w:rPr>
          <w:lang w:val="fr-FR"/>
        </w:rPr>
        <w:t>’</w:t>
      </w:r>
      <w:r w:rsidRPr="00BF1937">
        <w:rPr>
          <w:lang w:val="fr-FR"/>
        </w:rPr>
        <w:t>homme</w:t>
      </w:r>
      <w:r w:rsidR="006E086E">
        <w:rPr>
          <w:lang w:val="fr-FR"/>
        </w:rPr>
        <w:t xml:space="preserve"> </w:t>
      </w:r>
      <w:r w:rsidR="006E086E">
        <w:rPr>
          <w:lang w:val="fr-FR"/>
        </w:rPr>
        <w:br/>
        <w:t>au niveau national</w:t>
      </w:r>
    </w:p>
    <w:p w:rsidR="00AD54C4" w:rsidRPr="00AD54C4" w:rsidRDefault="00AD54C4" w:rsidP="00AD54C4">
      <w:pPr>
        <w:pStyle w:val="SingleTxt"/>
        <w:spacing w:after="0" w:line="120" w:lineRule="exact"/>
        <w:rPr>
          <w:sz w:val="10"/>
          <w:lang w:val="fr-CH"/>
        </w:rPr>
      </w:pPr>
    </w:p>
    <w:p w:rsidR="00AD54C4" w:rsidRPr="00AD54C4" w:rsidRDefault="00AD54C4" w:rsidP="00AD54C4">
      <w:pPr>
        <w:pStyle w:val="SingleTxt"/>
        <w:spacing w:after="0" w:line="120" w:lineRule="exact"/>
        <w:rPr>
          <w:sz w:val="10"/>
          <w:lang w:val="fr-CH"/>
        </w:rPr>
      </w:pP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Chypre est un</w:t>
      </w:r>
      <w:r w:rsidR="006E086E">
        <w:rPr>
          <w:lang w:val="fr-FR"/>
        </w:rPr>
        <w:t>e</w:t>
      </w:r>
      <w:r w:rsidRPr="00BF1937">
        <w:rPr>
          <w:lang w:val="fr-FR"/>
        </w:rPr>
        <w:t xml:space="preserve"> démocratie pluraliste </w:t>
      </w:r>
      <w:r w:rsidR="006E086E">
        <w:rPr>
          <w:lang w:val="fr-FR"/>
        </w:rPr>
        <w:t>qui veille au</w:t>
      </w:r>
      <w:r w:rsidRPr="00BF1937">
        <w:rPr>
          <w:lang w:val="fr-FR"/>
        </w:rPr>
        <w:t xml:space="preserve"> respect absolu des droits et libertés de l</w:t>
      </w:r>
      <w:r w:rsidR="008300FB">
        <w:rPr>
          <w:lang w:val="fr-FR"/>
        </w:rPr>
        <w:t>’</w:t>
      </w:r>
      <w:r w:rsidRPr="00BF1937">
        <w:rPr>
          <w:lang w:val="fr-FR"/>
        </w:rPr>
        <w:t>individu. Elle s</w:t>
      </w:r>
      <w:r w:rsidR="008300FB">
        <w:rPr>
          <w:lang w:val="fr-FR"/>
        </w:rPr>
        <w:t>’</w:t>
      </w:r>
      <w:r w:rsidRPr="00BF1937">
        <w:rPr>
          <w:lang w:val="fr-FR"/>
        </w:rPr>
        <w:t>efforce continuellement de faire progresser les droits de l</w:t>
      </w:r>
      <w:r w:rsidR="008300FB">
        <w:rPr>
          <w:lang w:val="fr-FR"/>
        </w:rPr>
        <w:t>’</w:t>
      </w:r>
      <w:r w:rsidRPr="00BF1937">
        <w:rPr>
          <w:lang w:val="fr-FR"/>
        </w:rPr>
        <w:t>homme dans les régions sous son contrôle effectif, en établissant les institutions appropriées pour couvrir tous les aspects des droits de l</w:t>
      </w:r>
      <w:r w:rsidR="008300FB">
        <w:rPr>
          <w:lang w:val="fr-FR"/>
        </w:rPr>
        <w:t>’</w:t>
      </w:r>
      <w:r w:rsidRPr="00BF1937">
        <w:rPr>
          <w:lang w:val="fr-FR"/>
        </w:rPr>
        <w:t>homme.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La Commission parlementaire pour les droits de l</w:t>
      </w:r>
      <w:r w:rsidR="008300FB">
        <w:rPr>
          <w:lang w:val="fr-FR"/>
        </w:rPr>
        <w:t>’</w:t>
      </w:r>
      <w:r w:rsidRPr="00BF1937">
        <w:rPr>
          <w:lang w:val="fr-FR"/>
        </w:rPr>
        <w:t>homme et l</w:t>
      </w:r>
      <w:r w:rsidR="008300FB">
        <w:rPr>
          <w:lang w:val="fr-FR"/>
        </w:rPr>
        <w:t>’</w:t>
      </w:r>
      <w:r w:rsidRPr="00BF1937">
        <w:rPr>
          <w:lang w:val="fr-FR"/>
        </w:rPr>
        <w:t xml:space="preserve">égalité des chances entre hommes et femmes est un mécanisme parlementaire </w:t>
      </w:r>
      <w:r w:rsidR="006E086E">
        <w:rPr>
          <w:lang w:val="fr-FR"/>
        </w:rPr>
        <w:t xml:space="preserve">chargé de veiller au </w:t>
      </w:r>
      <w:r w:rsidRPr="00BF1937">
        <w:rPr>
          <w:lang w:val="fr-FR"/>
        </w:rPr>
        <w:t>respect des droits de l</w:t>
      </w:r>
      <w:r w:rsidR="008300FB">
        <w:rPr>
          <w:lang w:val="fr-FR"/>
        </w:rPr>
        <w:t>’</w:t>
      </w:r>
      <w:r w:rsidRPr="00BF1937">
        <w:rPr>
          <w:lang w:val="fr-FR"/>
        </w:rPr>
        <w:t xml:space="preserve">homme. Elle </w:t>
      </w:r>
      <w:r w:rsidR="0029689C">
        <w:rPr>
          <w:lang w:val="fr-FR"/>
        </w:rPr>
        <w:t xml:space="preserve">contrôle l’application des </w:t>
      </w:r>
      <w:r w:rsidRPr="00BF1937">
        <w:rPr>
          <w:lang w:val="fr-FR"/>
        </w:rPr>
        <w:t>dispositions de sauvegarde des droits de l</w:t>
      </w:r>
      <w:r w:rsidR="008300FB">
        <w:rPr>
          <w:lang w:val="fr-FR"/>
        </w:rPr>
        <w:t>’</w:t>
      </w:r>
      <w:r w:rsidRPr="00BF1937">
        <w:rPr>
          <w:lang w:val="fr-FR"/>
        </w:rPr>
        <w:t>homme inscrites dans la Constitution, les traités internationaux et la législation nationale. Elle examine les violations des droits de l</w:t>
      </w:r>
      <w:r w:rsidR="008300FB">
        <w:rPr>
          <w:lang w:val="fr-FR"/>
        </w:rPr>
        <w:t>’</w:t>
      </w:r>
      <w:r w:rsidRPr="00BF1937">
        <w:rPr>
          <w:lang w:val="fr-FR"/>
        </w:rPr>
        <w:t xml:space="preserve">homme de toutes personnes se trouvant à Chypre et soumet des rapports </w:t>
      </w:r>
      <w:r w:rsidR="0029689C">
        <w:rPr>
          <w:lang w:val="fr-FR"/>
        </w:rPr>
        <w:t>sur le sujet</w:t>
      </w:r>
      <w:r w:rsidRPr="00BF1937">
        <w:rPr>
          <w:lang w:val="fr-FR"/>
        </w:rPr>
        <w:t xml:space="preserve"> aux sessions plénières de la Chambre. </w:t>
      </w:r>
      <w:r w:rsidR="0029689C">
        <w:rPr>
          <w:lang w:val="fr-FR"/>
        </w:rPr>
        <w:t xml:space="preserve">Elle est </w:t>
      </w:r>
      <w:r w:rsidRPr="00BF1937">
        <w:rPr>
          <w:lang w:val="fr-FR"/>
        </w:rPr>
        <w:t xml:space="preserve">fréquemment </w:t>
      </w:r>
      <w:r w:rsidR="0029689C">
        <w:rPr>
          <w:lang w:val="fr-FR"/>
        </w:rPr>
        <w:t xml:space="preserve">appelée à examiner </w:t>
      </w:r>
      <w:r w:rsidRPr="00BF1937">
        <w:rPr>
          <w:lang w:val="fr-FR"/>
        </w:rPr>
        <w:t>des questions concernant l</w:t>
      </w:r>
      <w:r w:rsidR="0029689C">
        <w:rPr>
          <w:lang w:val="fr-FR"/>
        </w:rPr>
        <w:t>a</w:t>
      </w:r>
      <w:r w:rsidRPr="00BF1937">
        <w:rPr>
          <w:lang w:val="fr-FR"/>
        </w:rPr>
        <w:t xml:space="preserve"> violenc</w:t>
      </w:r>
      <w:r w:rsidR="0029689C">
        <w:rPr>
          <w:lang w:val="fr-FR"/>
        </w:rPr>
        <w:t>e domestique</w:t>
      </w:r>
      <w:r w:rsidRPr="00BF1937">
        <w:rPr>
          <w:lang w:val="fr-FR"/>
        </w:rPr>
        <w:t>, la traite, le chômage, les migrations, la jeunesse, les droits de l</w:t>
      </w:r>
      <w:r w:rsidR="008300FB">
        <w:rPr>
          <w:lang w:val="fr-FR"/>
        </w:rPr>
        <w:t>’</w:t>
      </w:r>
      <w:r w:rsidRPr="00BF1937">
        <w:rPr>
          <w:lang w:val="fr-FR"/>
        </w:rPr>
        <w:t>enfant, les droits des femmes et les droits des personnes handicapées.</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Le Commissariat à l</w:t>
      </w:r>
      <w:r w:rsidR="008300FB">
        <w:rPr>
          <w:lang w:val="fr-FR"/>
        </w:rPr>
        <w:t>’</w:t>
      </w:r>
      <w:r w:rsidRPr="00BF1937">
        <w:rPr>
          <w:lang w:val="fr-FR"/>
        </w:rPr>
        <w:t>administration et aux droits de l</w:t>
      </w:r>
      <w:r w:rsidR="008300FB">
        <w:rPr>
          <w:lang w:val="fr-FR"/>
        </w:rPr>
        <w:t>’</w:t>
      </w:r>
      <w:r w:rsidRPr="00BF1937">
        <w:rPr>
          <w:lang w:val="fr-FR"/>
        </w:rPr>
        <w:t>homme (</w:t>
      </w:r>
      <w:r w:rsidR="0029689C">
        <w:rPr>
          <w:lang w:val="fr-FR"/>
        </w:rPr>
        <w:t>Bureau de l’</w:t>
      </w:r>
      <w:r w:rsidRPr="00BF1937">
        <w:rPr>
          <w:lang w:val="fr-FR"/>
        </w:rPr>
        <w:t>Ombudsman) a été créé en 1991 en application de la loi 3(I)/1991. Il s</w:t>
      </w:r>
      <w:r w:rsidR="008300FB">
        <w:rPr>
          <w:lang w:val="fr-FR"/>
        </w:rPr>
        <w:t>’</w:t>
      </w:r>
      <w:r w:rsidRPr="00BF1937">
        <w:rPr>
          <w:lang w:val="fr-FR"/>
        </w:rPr>
        <w:t>agit d</w:t>
      </w:r>
      <w:r w:rsidR="008300FB">
        <w:rPr>
          <w:lang w:val="fr-FR"/>
        </w:rPr>
        <w:t>’</w:t>
      </w:r>
      <w:r w:rsidRPr="00BF1937">
        <w:rPr>
          <w:lang w:val="fr-FR"/>
        </w:rPr>
        <w:t xml:space="preserve">une autorité indépendante </w:t>
      </w:r>
      <w:r w:rsidR="0029689C">
        <w:rPr>
          <w:lang w:val="fr-FR"/>
        </w:rPr>
        <w:t xml:space="preserve">chargée d’examiner les </w:t>
      </w:r>
      <w:r w:rsidRPr="00BF1937">
        <w:rPr>
          <w:lang w:val="fr-FR"/>
        </w:rPr>
        <w:t xml:space="preserve">plaintes individuelles </w:t>
      </w:r>
      <w:r w:rsidR="0029689C">
        <w:rPr>
          <w:lang w:val="fr-FR"/>
        </w:rPr>
        <w:t>concernant</w:t>
      </w:r>
      <w:r w:rsidRPr="00BF1937">
        <w:rPr>
          <w:lang w:val="fr-FR"/>
        </w:rPr>
        <w:t xml:space="preserve"> des dysfonctionnements de l</w:t>
      </w:r>
      <w:r w:rsidR="008300FB">
        <w:rPr>
          <w:lang w:val="fr-FR"/>
        </w:rPr>
        <w:t>’</w:t>
      </w:r>
      <w:r w:rsidRPr="00BF1937">
        <w:rPr>
          <w:lang w:val="fr-FR"/>
        </w:rPr>
        <w:t xml:space="preserve">administration, des comportements </w:t>
      </w:r>
      <w:r w:rsidR="0029689C">
        <w:rPr>
          <w:lang w:val="fr-FR"/>
        </w:rPr>
        <w:t xml:space="preserve">répréhensibles </w:t>
      </w:r>
      <w:r w:rsidRPr="00BF1937">
        <w:rPr>
          <w:lang w:val="fr-FR"/>
        </w:rPr>
        <w:t>et des violations des droits de l</w:t>
      </w:r>
      <w:r w:rsidR="008300FB">
        <w:rPr>
          <w:lang w:val="fr-FR"/>
        </w:rPr>
        <w:t>’</w:t>
      </w:r>
      <w:r w:rsidRPr="00BF1937">
        <w:rPr>
          <w:lang w:val="fr-FR"/>
        </w:rPr>
        <w:t>homme de la part des autorités ou des agents de l</w:t>
      </w:r>
      <w:r w:rsidR="008300FB">
        <w:rPr>
          <w:lang w:val="fr-FR"/>
        </w:rPr>
        <w:t>’</w:t>
      </w:r>
      <w:r w:rsidR="0029689C">
        <w:rPr>
          <w:lang w:val="fr-FR"/>
        </w:rPr>
        <w:t>É</w:t>
      </w:r>
      <w:r w:rsidRPr="00BF1937">
        <w:rPr>
          <w:lang w:val="fr-FR"/>
        </w:rPr>
        <w:t>tat. Les missions de l</w:t>
      </w:r>
      <w:r w:rsidR="008300FB">
        <w:rPr>
          <w:lang w:val="fr-FR"/>
        </w:rPr>
        <w:t>’</w:t>
      </w:r>
      <w:r w:rsidRPr="00BF1937">
        <w:rPr>
          <w:lang w:val="fr-FR"/>
        </w:rPr>
        <w:t>Ombudsman ont par la suite été étendues par la loi 1(I)/2000, laquelle a doté l</w:t>
      </w:r>
      <w:r w:rsidR="008300FB">
        <w:rPr>
          <w:lang w:val="fr-FR"/>
        </w:rPr>
        <w:t>’</w:t>
      </w:r>
      <w:r w:rsidRPr="00BF1937">
        <w:rPr>
          <w:lang w:val="fr-FR"/>
        </w:rPr>
        <w:t>Ombudsman de la capacité d</w:t>
      </w:r>
      <w:r w:rsidR="008300FB">
        <w:rPr>
          <w:lang w:val="fr-FR"/>
        </w:rPr>
        <w:t>’</w:t>
      </w:r>
      <w:r w:rsidRPr="00BF1937">
        <w:rPr>
          <w:lang w:val="fr-FR"/>
        </w:rPr>
        <w:t>enquêter de son propre chef sur des questions d</w:t>
      </w:r>
      <w:r w:rsidR="008300FB">
        <w:rPr>
          <w:lang w:val="fr-FR"/>
        </w:rPr>
        <w:t>’</w:t>
      </w:r>
      <w:r w:rsidRPr="00BF1937">
        <w:rPr>
          <w:lang w:val="fr-FR"/>
        </w:rPr>
        <w:t>intérêt général. L</w:t>
      </w:r>
      <w:r w:rsidR="008300FB">
        <w:rPr>
          <w:lang w:val="fr-FR"/>
        </w:rPr>
        <w:t>’</w:t>
      </w:r>
      <w:r w:rsidRPr="00BF1937">
        <w:rPr>
          <w:lang w:val="fr-FR"/>
        </w:rPr>
        <w:t>institution de l</w:t>
      </w:r>
      <w:r w:rsidR="008300FB">
        <w:rPr>
          <w:lang w:val="fr-FR"/>
        </w:rPr>
        <w:t>’</w:t>
      </w:r>
      <w:r w:rsidRPr="00BF1937">
        <w:rPr>
          <w:lang w:val="fr-FR"/>
        </w:rPr>
        <w:t>Ombudsman est la forme la plus répandue de contrôle non judiciaire sur l</w:t>
      </w:r>
      <w:r w:rsidR="008300FB">
        <w:rPr>
          <w:lang w:val="fr-FR"/>
        </w:rPr>
        <w:t>’</w:t>
      </w:r>
      <w:r w:rsidRPr="00BF1937">
        <w:rPr>
          <w:lang w:val="fr-FR"/>
        </w:rPr>
        <w:t>administration et la protection des droits de l</w:t>
      </w:r>
      <w:r w:rsidR="008300FB">
        <w:rPr>
          <w:lang w:val="fr-FR"/>
        </w:rPr>
        <w:t>’</w:t>
      </w:r>
      <w:r w:rsidRPr="00BF1937">
        <w:rPr>
          <w:lang w:val="fr-FR"/>
        </w:rPr>
        <w:t>homme.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 xml:space="preserve">Le </w:t>
      </w:r>
      <w:r w:rsidRPr="0029689C">
        <w:rPr>
          <w:b/>
          <w:lang w:val="fr-FR"/>
        </w:rPr>
        <w:t>mécanisme national de prévention de la torture et autres peines ou traitements cruels, inhumains ou dégradants</w:t>
      </w:r>
      <w:r w:rsidRPr="00BF1937">
        <w:rPr>
          <w:lang w:val="fr-FR"/>
        </w:rPr>
        <w:t xml:space="preserve"> a été créé par la loi L.2(III)/2009 portant ratification du Protocole facultatif </w:t>
      </w:r>
      <w:r w:rsidR="0029689C">
        <w:rPr>
          <w:lang w:val="fr-FR"/>
        </w:rPr>
        <w:t xml:space="preserve">se rapportant </w:t>
      </w:r>
      <w:r w:rsidRPr="00BF1937">
        <w:rPr>
          <w:lang w:val="fr-FR"/>
        </w:rPr>
        <w:t>à la Convention contre la torture et autres peines ou traitements cruels, inhumains ou dégradants. La fonction de mécanisme national de prévention de la torture est dévolue à l</w:t>
      </w:r>
      <w:r w:rsidR="008300FB">
        <w:rPr>
          <w:lang w:val="fr-FR"/>
        </w:rPr>
        <w:t>’</w:t>
      </w:r>
      <w:r w:rsidRPr="00BF1937">
        <w:rPr>
          <w:lang w:val="fr-FR"/>
        </w:rPr>
        <w:t xml:space="preserve">Ombudsman qui </w:t>
      </w:r>
      <w:r w:rsidR="0029689C">
        <w:rPr>
          <w:lang w:val="fr-FR"/>
        </w:rPr>
        <w:t>est habilité à</w:t>
      </w:r>
      <w:r w:rsidRPr="00BF1937">
        <w:rPr>
          <w:lang w:val="fr-FR"/>
        </w:rPr>
        <w:t xml:space="preserve"> effectuer des visites inopinées dans les établissements pénitentiaires pour s</w:t>
      </w:r>
      <w:r w:rsidR="008300FB">
        <w:rPr>
          <w:lang w:val="fr-FR"/>
        </w:rPr>
        <w:t>’</w:t>
      </w:r>
      <w:r w:rsidRPr="00BF1937">
        <w:rPr>
          <w:lang w:val="fr-FR"/>
        </w:rPr>
        <w:t>assurer de la bonne application de la Convention et avoir des entretiens confidentiels avec les personnes de son choix. L</w:t>
      </w:r>
      <w:r w:rsidR="008300FB">
        <w:rPr>
          <w:lang w:val="fr-FR"/>
        </w:rPr>
        <w:t>’</w:t>
      </w:r>
      <w:r w:rsidRPr="00BF1937">
        <w:rPr>
          <w:lang w:val="fr-FR"/>
        </w:rPr>
        <w:t xml:space="preserve">Ombudsman observe et note les conditions de détention, et fait des recommandations tendant à améliorer les conditions de vie et à réviser la législation </w:t>
      </w:r>
      <w:r w:rsidR="0029689C">
        <w:rPr>
          <w:lang w:val="fr-FR"/>
        </w:rPr>
        <w:t>applicable</w:t>
      </w:r>
      <w:r w:rsidRPr="00BF1937">
        <w:rPr>
          <w:lang w:val="fr-FR"/>
        </w:rPr>
        <w:t>.</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Les principales dispositions de la loi relative au mécanisme national de prévention de la torture et autre peines ou traitements cruels, inhumains ou dégradants</w:t>
      </w:r>
      <w:r w:rsidR="0029689C">
        <w:rPr>
          <w:lang w:val="fr-FR"/>
        </w:rPr>
        <w:t xml:space="preserve"> sont les suivantes </w:t>
      </w:r>
      <w:r w:rsidRPr="00BF1937">
        <w:rPr>
          <w:lang w:val="fr-FR"/>
        </w:rPr>
        <w:t>:</w:t>
      </w:r>
    </w:p>
    <w:p w:rsidR="00BF1937" w:rsidRPr="00BF1937" w:rsidRDefault="00BF1937" w:rsidP="00BF1937">
      <w:pPr>
        <w:pStyle w:val="SingleTxt"/>
        <w:rPr>
          <w:lang w:val="fr-CH"/>
        </w:rPr>
      </w:pPr>
      <w:r w:rsidRPr="00BF1937">
        <w:rPr>
          <w:lang w:val="fr-FR"/>
        </w:rPr>
        <w:tab/>
        <w:t>a)</w:t>
      </w:r>
      <w:r w:rsidRPr="00BF1937">
        <w:rPr>
          <w:lang w:val="fr-FR"/>
        </w:rPr>
        <w:tab/>
        <w:t>Le Commissaire à l</w:t>
      </w:r>
      <w:r w:rsidR="008300FB">
        <w:rPr>
          <w:lang w:val="fr-FR"/>
        </w:rPr>
        <w:t>’</w:t>
      </w:r>
      <w:r w:rsidRPr="00BF1937">
        <w:rPr>
          <w:lang w:val="fr-FR"/>
        </w:rPr>
        <w:t>administration est défini comme l</w:t>
      </w:r>
      <w:r w:rsidR="008300FB">
        <w:rPr>
          <w:lang w:val="fr-FR"/>
        </w:rPr>
        <w:t>’</w:t>
      </w:r>
      <w:r w:rsidRPr="00BF1937">
        <w:rPr>
          <w:lang w:val="fr-FR"/>
        </w:rPr>
        <w:t>organe national de visite au sens du Protocole facultatif, et il agit conformément à l</w:t>
      </w:r>
      <w:r w:rsidR="008300FB">
        <w:rPr>
          <w:lang w:val="fr-FR"/>
        </w:rPr>
        <w:t>’</w:t>
      </w:r>
      <w:r w:rsidRPr="00BF1937">
        <w:rPr>
          <w:lang w:val="fr-FR"/>
        </w:rPr>
        <w:t>article 3 du Protocole facultatif</w:t>
      </w:r>
      <w:r w:rsidR="00AD54C4">
        <w:rPr>
          <w:lang w:val="fr-FR"/>
        </w:rPr>
        <w:t>;</w:t>
      </w:r>
    </w:p>
    <w:p w:rsidR="00BF1937" w:rsidRPr="00BF1937" w:rsidRDefault="00BF1937" w:rsidP="00BF1937">
      <w:pPr>
        <w:pStyle w:val="SingleTxt"/>
        <w:rPr>
          <w:lang w:val="fr-CH"/>
        </w:rPr>
      </w:pPr>
      <w:r w:rsidRPr="00BF1937">
        <w:rPr>
          <w:lang w:val="fr-CH"/>
        </w:rPr>
        <w:tab/>
      </w:r>
      <w:r w:rsidRPr="00BF1937">
        <w:rPr>
          <w:lang w:val="fr-FR"/>
        </w:rPr>
        <w:t>b)</w:t>
      </w:r>
      <w:r w:rsidRPr="00BF1937">
        <w:rPr>
          <w:lang w:val="fr-FR"/>
        </w:rPr>
        <w:tab/>
        <w:t>Pour exercer cette fonction, le Commissaire à l</w:t>
      </w:r>
      <w:r w:rsidR="008300FB">
        <w:rPr>
          <w:lang w:val="fr-FR"/>
        </w:rPr>
        <w:t>’</w:t>
      </w:r>
      <w:r w:rsidRPr="00BF1937">
        <w:rPr>
          <w:lang w:val="fr-FR"/>
        </w:rPr>
        <w:t xml:space="preserve">administration est </w:t>
      </w:r>
      <w:r w:rsidR="00D62FC6">
        <w:rPr>
          <w:lang w:val="fr-FR"/>
        </w:rPr>
        <w:t>habilité</w:t>
      </w:r>
      <w:r w:rsidRPr="00BF1937">
        <w:rPr>
          <w:lang w:val="fr-FR"/>
        </w:rPr>
        <w:t xml:space="preserve"> à visiter librement et à intervalles réguliers les établissements pénitentiaires sur simple notification écrite, afin de s</w:t>
      </w:r>
      <w:r w:rsidR="008300FB">
        <w:rPr>
          <w:lang w:val="fr-FR"/>
        </w:rPr>
        <w:t>’</w:t>
      </w:r>
      <w:r w:rsidRPr="00BF1937">
        <w:rPr>
          <w:lang w:val="fr-FR"/>
        </w:rPr>
        <w:t>assurer de la bonne application des dispositions de la Convention. Au cours de ces visites, l</w:t>
      </w:r>
      <w:r w:rsidR="008300FB">
        <w:rPr>
          <w:lang w:val="fr-FR"/>
        </w:rPr>
        <w:t>’</w:t>
      </w:r>
      <w:r w:rsidRPr="00BF1937">
        <w:rPr>
          <w:lang w:val="fr-FR"/>
        </w:rPr>
        <w:t>Ombudsman jouit du libre accès à l</w:t>
      </w:r>
      <w:r w:rsidR="008300FB">
        <w:rPr>
          <w:lang w:val="fr-FR"/>
        </w:rPr>
        <w:t>’</w:t>
      </w:r>
      <w:r w:rsidRPr="00BF1937">
        <w:rPr>
          <w:lang w:val="fr-FR"/>
        </w:rPr>
        <w:t>ensemble des locaux et à tous les lieux de détention, et il peut avoir des entretiens individuels confidentiels avec toute personne de son choix</w:t>
      </w:r>
      <w:r w:rsidR="00AD54C4">
        <w:rPr>
          <w:lang w:val="fr-FR"/>
        </w:rPr>
        <w:t>;</w:t>
      </w:r>
    </w:p>
    <w:p w:rsidR="00BF1937" w:rsidRPr="00BF1937" w:rsidRDefault="00AD54C4" w:rsidP="00BF1937">
      <w:pPr>
        <w:pStyle w:val="SingleTxt"/>
        <w:rPr>
          <w:lang w:val="fr-CH"/>
        </w:rPr>
      </w:pPr>
      <w:r>
        <w:rPr>
          <w:lang w:val="fr-FR"/>
        </w:rPr>
        <w:tab/>
      </w:r>
      <w:r w:rsidR="00BF1937" w:rsidRPr="00BF1937">
        <w:rPr>
          <w:lang w:val="fr-FR"/>
        </w:rPr>
        <w:t>c)</w:t>
      </w:r>
      <w:r w:rsidR="00BF1937" w:rsidRPr="00BF1937">
        <w:rPr>
          <w:lang w:val="fr-FR"/>
        </w:rPr>
        <w:tab/>
        <w:t>Les autorités publiques compétentes sont tenues de communiquer à l</w:t>
      </w:r>
      <w:r w:rsidR="008300FB">
        <w:rPr>
          <w:lang w:val="fr-FR"/>
        </w:rPr>
        <w:t>’</w:t>
      </w:r>
      <w:r w:rsidR="00BF1937" w:rsidRPr="00BF1937">
        <w:rPr>
          <w:lang w:val="fr-FR"/>
        </w:rPr>
        <w:t>Ombudsman les renseignements spécifiés dans le Protocole facultatif</w:t>
      </w:r>
      <w:r>
        <w:rPr>
          <w:lang w:val="fr-FR"/>
        </w:rPr>
        <w:t>;</w:t>
      </w:r>
    </w:p>
    <w:p w:rsidR="00BF1937" w:rsidRPr="00BF1937" w:rsidRDefault="00BF1937" w:rsidP="00BF1937">
      <w:pPr>
        <w:pStyle w:val="SingleTxt"/>
        <w:rPr>
          <w:lang w:val="fr-CH"/>
        </w:rPr>
      </w:pPr>
      <w:r w:rsidRPr="00BF1937">
        <w:rPr>
          <w:lang w:val="fr-CH"/>
        </w:rPr>
        <w:tab/>
      </w:r>
      <w:r w:rsidRPr="00BF1937">
        <w:rPr>
          <w:lang w:val="fr-FR"/>
        </w:rPr>
        <w:t>d)</w:t>
      </w:r>
      <w:r w:rsidRPr="00BF1937">
        <w:rPr>
          <w:lang w:val="fr-FR"/>
        </w:rPr>
        <w:tab/>
        <w:t>L</w:t>
      </w:r>
      <w:r w:rsidR="008300FB">
        <w:rPr>
          <w:lang w:val="fr-FR"/>
        </w:rPr>
        <w:t>’</w:t>
      </w:r>
      <w:r w:rsidRPr="00BF1937">
        <w:rPr>
          <w:lang w:val="fr-FR"/>
        </w:rPr>
        <w:t>Ombudsman</w:t>
      </w:r>
      <w:r w:rsidR="00110459">
        <w:rPr>
          <w:lang w:val="fr-FR"/>
        </w:rPr>
        <w:t xml:space="preserve"> </w:t>
      </w:r>
      <w:r w:rsidRPr="00BF1937">
        <w:rPr>
          <w:lang w:val="fr-FR"/>
        </w:rPr>
        <w:t>peut faire des recommandations et établir des rapports, et l</w:t>
      </w:r>
      <w:r w:rsidR="008300FB">
        <w:rPr>
          <w:lang w:val="fr-FR"/>
        </w:rPr>
        <w:t>’</w:t>
      </w:r>
      <w:r w:rsidRPr="00BF1937">
        <w:rPr>
          <w:lang w:val="fr-FR"/>
        </w:rPr>
        <w:t>administration pénitentiaire en charge d</w:t>
      </w:r>
      <w:r w:rsidR="008300FB">
        <w:rPr>
          <w:lang w:val="fr-FR"/>
        </w:rPr>
        <w:t>’</w:t>
      </w:r>
      <w:r w:rsidRPr="00BF1937">
        <w:rPr>
          <w:lang w:val="fr-FR"/>
        </w:rPr>
        <w:t xml:space="preserve">un établissement est </w:t>
      </w:r>
      <w:r w:rsidR="0029689C">
        <w:rPr>
          <w:lang w:val="fr-FR"/>
        </w:rPr>
        <w:t>tenue</w:t>
      </w:r>
      <w:r w:rsidRPr="00BF1937">
        <w:rPr>
          <w:lang w:val="fr-FR"/>
        </w:rPr>
        <w:t xml:space="preserve"> de rendre compte des éventuelles mesures prises pour donner suite aux rapports ou aux recommandations de l</w:t>
      </w:r>
      <w:r w:rsidR="008300FB">
        <w:rPr>
          <w:lang w:val="fr-FR"/>
        </w:rPr>
        <w:t>’</w:t>
      </w:r>
      <w:r w:rsidRPr="00BF1937">
        <w:rPr>
          <w:lang w:val="fr-FR"/>
        </w:rPr>
        <w:t>Ombudsman</w:t>
      </w:r>
      <w:r w:rsidR="00AD54C4">
        <w:rPr>
          <w:lang w:val="fr-FR"/>
        </w:rPr>
        <w:t>;</w:t>
      </w:r>
    </w:p>
    <w:p w:rsidR="00BF1937" w:rsidRPr="00BF1937" w:rsidRDefault="00AD54C4" w:rsidP="00BF1937">
      <w:pPr>
        <w:pStyle w:val="SingleTxt"/>
        <w:rPr>
          <w:lang w:val="fr-CH"/>
        </w:rPr>
      </w:pPr>
      <w:r>
        <w:rPr>
          <w:lang w:val="fr-FR"/>
        </w:rPr>
        <w:tab/>
        <w:t>e</w:t>
      </w:r>
      <w:r w:rsidR="00BF1937" w:rsidRPr="00BF1937">
        <w:rPr>
          <w:lang w:val="fr-FR"/>
        </w:rPr>
        <w:t>)</w:t>
      </w:r>
      <w:r w:rsidR="00BF1937" w:rsidRPr="00BF1937">
        <w:rPr>
          <w:lang w:val="fr-FR"/>
        </w:rPr>
        <w:tab/>
        <w:t>L</w:t>
      </w:r>
      <w:r w:rsidR="008300FB">
        <w:rPr>
          <w:lang w:val="fr-FR"/>
        </w:rPr>
        <w:t>’</w:t>
      </w:r>
      <w:r w:rsidR="00BF1937" w:rsidRPr="00BF1937">
        <w:rPr>
          <w:lang w:val="fr-FR"/>
        </w:rPr>
        <w:t>Ombudsman peut soumettre des propositions tendant à améliorer la législation et exprimer des avis devant la Chambre des Représentants lors</w:t>
      </w:r>
      <w:r w:rsidR="0029689C">
        <w:rPr>
          <w:lang w:val="fr-FR"/>
        </w:rPr>
        <w:t xml:space="preserve"> de l’examen de </w:t>
      </w:r>
      <w:r w:rsidR="00BF1937" w:rsidRPr="00BF1937">
        <w:rPr>
          <w:lang w:val="fr-FR"/>
        </w:rPr>
        <w:t>projet</w:t>
      </w:r>
      <w:r w:rsidR="0029689C">
        <w:rPr>
          <w:lang w:val="fr-FR"/>
        </w:rPr>
        <w:t>s</w:t>
      </w:r>
      <w:r w:rsidR="00BF1937" w:rsidRPr="00BF1937">
        <w:rPr>
          <w:lang w:val="fr-FR"/>
        </w:rPr>
        <w:t xml:space="preserve"> de loi </w:t>
      </w:r>
      <w:r w:rsidR="0029689C">
        <w:rPr>
          <w:lang w:val="fr-FR"/>
        </w:rPr>
        <w:t>relevant de son domaine de compétence</w:t>
      </w:r>
      <w:r>
        <w:rPr>
          <w:lang w:val="fr-FR"/>
        </w:rPr>
        <w:t>;</w:t>
      </w:r>
    </w:p>
    <w:p w:rsidR="00BF1937" w:rsidRPr="00BF1937" w:rsidRDefault="00BF1937" w:rsidP="00BF1937">
      <w:pPr>
        <w:pStyle w:val="SingleTxt"/>
        <w:rPr>
          <w:lang w:val="fr-CH"/>
        </w:rPr>
      </w:pPr>
      <w:r w:rsidRPr="00BF1937">
        <w:rPr>
          <w:lang w:val="fr-CH"/>
        </w:rPr>
        <w:tab/>
      </w:r>
      <w:r w:rsidR="00AD54C4">
        <w:rPr>
          <w:lang w:val="fr-FR"/>
        </w:rPr>
        <w:t>f)</w:t>
      </w:r>
      <w:r w:rsidR="00AD54C4">
        <w:rPr>
          <w:lang w:val="fr-FR"/>
        </w:rPr>
        <w:tab/>
      </w:r>
      <w:r w:rsidRPr="00BF1937">
        <w:rPr>
          <w:lang w:val="fr-FR"/>
        </w:rPr>
        <w:t>Le Commissaire à l</w:t>
      </w:r>
      <w:r w:rsidR="008300FB">
        <w:rPr>
          <w:lang w:val="fr-FR"/>
        </w:rPr>
        <w:t>’</w:t>
      </w:r>
      <w:r w:rsidRPr="00BF1937">
        <w:rPr>
          <w:lang w:val="fr-FR"/>
        </w:rPr>
        <w:t>administration peut porter les allégations de détenus faisant état de violations des droits de l</w:t>
      </w:r>
      <w:r w:rsidR="008300FB">
        <w:rPr>
          <w:lang w:val="fr-FR"/>
        </w:rPr>
        <w:t>’</w:t>
      </w:r>
      <w:r w:rsidRPr="00BF1937">
        <w:rPr>
          <w:lang w:val="fr-FR"/>
        </w:rPr>
        <w:t>homme à l</w:t>
      </w:r>
      <w:r w:rsidR="008300FB">
        <w:rPr>
          <w:lang w:val="fr-FR"/>
        </w:rPr>
        <w:t>’</w:t>
      </w:r>
      <w:r w:rsidRPr="00BF1937">
        <w:rPr>
          <w:lang w:val="fr-FR"/>
        </w:rPr>
        <w:t>attention du Procureur général et de l</w:t>
      </w:r>
      <w:r w:rsidR="008300FB">
        <w:rPr>
          <w:lang w:val="fr-FR"/>
        </w:rPr>
        <w:t>’</w:t>
      </w:r>
      <w:r w:rsidR="0029689C" w:rsidRPr="00BF1937">
        <w:rPr>
          <w:lang w:val="fr-FR"/>
        </w:rPr>
        <w:t>A</w:t>
      </w:r>
      <w:r w:rsidRPr="00BF1937">
        <w:rPr>
          <w:lang w:val="fr-FR"/>
        </w:rPr>
        <w:t>utorité indépendante chargée d</w:t>
      </w:r>
      <w:r w:rsidR="008300FB">
        <w:rPr>
          <w:lang w:val="fr-FR"/>
        </w:rPr>
        <w:t>’</w:t>
      </w:r>
      <w:r w:rsidRPr="00BF1937">
        <w:rPr>
          <w:lang w:val="fr-FR"/>
        </w:rPr>
        <w:t>enquêter sur les allégations et les plaintes mettant en cause la police</w:t>
      </w:r>
      <w:r w:rsidR="00AD54C4">
        <w:rPr>
          <w:lang w:val="fr-FR"/>
        </w:rPr>
        <w:t>;</w:t>
      </w:r>
    </w:p>
    <w:p w:rsidR="00BF1937" w:rsidRPr="00BF1937" w:rsidRDefault="00BF1937" w:rsidP="00BF1937">
      <w:pPr>
        <w:pStyle w:val="SingleTxt"/>
        <w:rPr>
          <w:lang w:val="fr-CH"/>
        </w:rPr>
      </w:pPr>
      <w:r w:rsidRPr="00BF1937">
        <w:rPr>
          <w:lang w:val="fr-CH"/>
        </w:rPr>
        <w:tab/>
      </w:r>
      <w:r w:rsidRPr="00BF1937">
        <w:rPr>
          <w:lang w:val="fr-FR"/>
        </w:rPr>
        <w:t>g)</w:t>
      </w:r>
      <w:r w:rsidRPr="00BF1937">
        <w:rPr>
          <w:lang w:val="fr-FR"/>
        </w:rPr>
        <w:tab/>
        <w:t>Le Commissaire à l</w:t>
      </w:r>
      <w:r w:rsidR="008300FB">
        <w:rPr>
          <w:lang w:val="fr-FR"/>
        </w:rPr>
        <w:t>’</w:t>
      </w:r>
      <w:r w:rsidRPr="00BF1937">
        <w:rPr>
          <w:lang w:val="fr-FR"/>
        </w:rPr>
        <w:t xml:space="preserve">administration soumet chaque année, avant de le publier, un rapport au Président de la </w:t>
      </w:r>
      <w:r w:rsidR="0029689C" w:rsidRPr="00BF1937">
        <w:rPr>
          <w:lang w:val="fr-FR"/>
        </w:rPr>
        <w:t>R</w:t>
      </w:r>
      <w:r w:rsidRPr="00BF1937">
        <w:rPr>
          <w:lang w:val="fr-FR"/>
        </w:rPr>
        <w:t>épublique, avec copie au Conseil des ministres, à la Chambre des Représentants et au Procureur général</w:t>
      </w:r>
      <w:r w:rsidR="00AD54C4">
        <w:rPr>
          <w:lang w:val="fr-FR"/>
        </w:rPr>
        <w:t>;</w:t>
      </w:r>
    </w:p>
    <w:p w:rsidR="00BF1937" w:rsidRPr="00BF1937" w:rsidRDefault="00BF1937" w:rsidP="00BF1937">
      <w:pPr>
        <w:pStyle w:val="SingleTxt"/>
        <w:rPr>
          <w:lang w:val="fr-CH"/>
        </w:rPr>
      </w:pPr>
      <w:r w:rsidRPr="00BF1937">
        <w:rPr>
          <w:lang w:val="fr-CH"/>
        </w:rPr>
        <w:tab/>
      </w:r>
      <w:r w:rsidRPr="00BF1937">
        <w:rPr>
          <w:lang w:val="fr-FR"/>
        </w:rPr>
        <w:t>h)</w:t>
      </w:r>
      <w:r w:rsidRPr="00BF1937">
        <w:rPr>
          <w:lang w:val="fr-FR"/>
        </w:rPr>
        <w:tab/>
        <w:t>L</w:t>
      </w:r>
      <w:r w:rsidR="008300FB">
        <w:rPr>
          <w:lang w:val="fr-FR"/>
        </w:rPr>
        <w:t>’</w:t>
      </w:r>
      <w:r w:rsidRPr="00BF1937">
        <w:rPr>
          <w:lang w:val="fr-FR"/>
        </w:rPr>
        <w:t>Ombudsman doit, conformément à la loi sur l</w:t>
      </w:r>
      <w:r w:rsidR="008300FB">
        <w:rPr>
          <w:lang w:val="fr-FR"/>
        </w:rPr>
        <w:t>’</w:t>
      </w:r>
      <w:r w:rsidRPr="00BF1937">
        <w:rPr>
          <w:lang w:val="fr-FR"/>
        </w:rPr>
        <w:t>Ombudsman, disposer de tous les moyens humains nécessaires, ainsi que d</w:t>
      </w:r>
      <w:r w:rsidR="0029689C">
        <w:rPr>
          <w:lang w:val="fr-FR"/>
        </w:rPr>
        <w:t>’</w:t>
      </w:r>
      <w:r w:rsidRPr="00BF1937">
        <w:rPr>
          <w:lang w:val="fr-FR"/>
        </w:rPr>
        <w:t xml:space="preserve">éventuels agents supplémentaires </w:t>
      </w:r>
      <w:r w:rsidR="0029689C">
        <w:rPr>
          <w:lang w:val="fr-FR"/>
        </w:rPr>
        <w:t>dont</w:t>
      </w:r>
      <w:r w:rsidRPr="00BF1937">
        <w:rPr>
          <w:lang w:val="fr-FR"/>
        </w:rPr>
        <w:t xml:space="preserve"> les qualifications et le mandat sont spécifiés dans la réglementation adoptée par le Conseil des ministres et par la Chambre des Représentants.</w:t>
      </w:r>
    </w:p>
    <w:p w:rsidR="00BF1937" w:rsidRPr="00BF1937" w:rsidRDefault="0029689C" w:rsidP="00AD54C4">
      <w:pPr>
        <w:pStyle w:val="SingleTxt"/>
        <w:numPr>
          <w:ilvl w:val="0"/>
          <w:numId w:val="18"/>
        </w:numPr>
        <w:tabs>
          <w:tab w:val="clear" w:pos="475"/>
          <w:tab w:val="num" w:pos="1742"/>
        </w:tabs>
        <w:ind w:left="1267"/>
        <w:rPr>
          <w:lang w:val="fr-CH"/>
        </w:rPr>
      </w:pPr>
      <w:r>
        <w:rPr>
          <w:lang w:val="fr-FR"/>
        </w:rPr>
        <w:t>L</w:t>
      </w:r>
      <w:r w:rsidR="00BF1937" w:rsidRPr="00BF1937">
        <w:rPr>
          <w:lang w:val="fr-FR"/>
        </w:rPr>
        <w:t>a loi L.177(I)/2002 sur l</w:t>
      </w:r>
      <w:r w:rsidR="008300FB">
        <w:rPr>
          <w:lang w:val="fr-FR"/>
        </w:rPr>
        <w:t>’</w:t>
      </w:r>
      <w:r w:rsidR="00BF1937" w:rsidRPr="00BF1937">
        <w:rPr>
          <w:lang w:val="fr-FR"/>
        </w:rPr>
        <w:t xml:space="preserve">égalité de traitement </w:t>
      </w:r>
      <w:r>
        <w:rPr>
          <w:lang w:val="fr-FR"/>
        </w:rPr>
        <w:t>des</w:t>
      </w:r>
      <w:r w:rsidR="00BF1937" w:rsidRPr="00BF1937">
        <w:rPr>
          <w:lang w:val="fr-FR"/>
        </w:rPr>
        <w:t xml:space="preserve"> hommes et </w:t>
      </w:r>
      <w:r>
        <w:rPr>
          <w:lang w:val="fr-FR"/>
        </w:rPr>
        <w:t>d</w:t>
      </w:r>
      <w:r w:rsidR="00BF1937" w:rsidRPr="00BF1937">
        <w:rPr>
          <w:lang w:val="fr-FR"/>
        </w:rPr>
        <w:t xml:space="preserve">es femmes pour un même travail ou un travail de valeur </w:t>
      </w:r>
      <w:r>
        <w:rPr>
          <w:lang w:val="fr-FR"/>
        </w:rPr>
        <w:t xml:space="preserve">égale </w:t>
      </w:r>
      <w:r w:rsidR="00BF1937" w:rsidRPr="00BF1937">
        <w:rPr>
          <w:lang w:val="fr-FR"/>
        </w:rPr>
        <w:t>a été modifiée par la loi L.38(I)/2009, qui confère à l</w:t>
      </w:r>
      <w:r w:rsidR="008300FB">
        <w:rPr>
          <w:lang w:val="fr-FR"/>
        </w:rPr>
        <w:t>’</w:t>
      </w:r>
      <w:r w:rsidR="00BF1937" w:rsidRPr="00BF1937">
        <w:rPr>
          <w:lang w:val="fr-FR"/>
        </w:rPr>
        <w:t>Ombudsman l</w:t>
      </w:r>
      <w:r w:rsidR="008300FB">
        <w:rPr>
          <w:lang w:val="fr-FR"/>
        </w:rPr>
        <w:t>’</w:t>
      </w:r>
      <w:r w:rsidR="00BF1937" w:rsidRPr="00BF1937">
        <w:rPr>
          <w:lang w:val="fr-FR"/>
        </w:rPr>
        <w:t xml:space="preserve">autorité </w:t>
      </w:r>
      <w:r>
        <w:rPr>
          <w:lang w:val="fr-FR"/>
        </w:rPr>
        <w:t>d’examiner</w:t>
      </w:r>
      <w:r w:rsidR="00BF1937" w:rsidRPr="00BF1937">
        <w:rPr>
          <w:lang w:val="fr-FR"/>
        </w:rPr>
        <w:t xml:space="preserve"> en toute indépendance </w:t>
      </w:r>
      <w:r>
        <w:rPr>
          <w:lang w:val="fr-FR"/>
        </w:rPr>
        <w:t>l</w:t>
      </w:r>
      <w:r w:rsidR="00BF1937" w:rsidRPr="00BF1937">
        <w:rPr>
          <w:lang w:val="fr-FR"/>
        </w:rPr>
        <w:t>es plaintes concernant l</w:t>
      </w:r>
      <w:r w:rsidR="008300FB">
        <w:rPr>
          <w:lang w:val="fr-FR"/>
        </w:rPr>
        <w:t>’</w:t>
      </w:r>
      <w:r w:rsidR="00BF1937" w:rsidRPr="00BF1937">
        <w:rPr>
          <w:lang w:val="fr-FR"/>
        </w:rPr>
        <w:t xml:space="preserve">égalité de </w:t>
      </w:r>
      <w:r>
        <w:rPr>
          <w:lang w:val="fr-FR"/>
        </w:rPr>
        <w:t xml:space="preserve">rémunération des </w:t>
      </w:r>
      <w:r w:rsidR="00BF1937" w:rsidRPr="00BF1937">
        <w:rPr>
          <w:lang w:val="fr-FR"/>
        </w:rPr>
        <w:t xml:space="preserve">hommes et </w:t>
      </w:r>
      <w:r>
        <w:rPr>
          <w:lang w:val="fr-FR"/>
        </w:rPr>
        <w:t>d</w:t>
      </w:r>
      <w:r w:rsidR="00BF1937" w:rsidRPr="00BF1937">
        <w:rPr>
          <w:lang w:val="fr-FR"/>
        </w:rPr>
        <w:t xml:space="preserve">es femmes et de </w:t>
      </w:r>
      <w:r>
        <w:rPr>
          <w:lang w:val="fr-FR"/>
        </w:rPr>
        <w:t xml:space="preserve">faire respecter </w:t>
      </w:r>
      <w:r w:rsidR="00BF1937" w:rsidRPr="00BF1937">
        <w:rPr>
          <w:lang w:val="fr-FR"/>
        </w:rPr>
        <w:t>le principe de l</w:t>
      </w:r>
      <w:r w:rsidR="008300FB">
        <w:rPr>
          <w:lang w:val="fr-FR"/>
        </w:rPr>
        <w:t>’</w:t>
      </w:r>
      <w:r w:rsidR="00BF1937" w:rsidRPr="00BF1937">
        <w:rPr>
          <w:lang w:val="fr-FR"/>
        </w:rPr>
        <w:t>égalité des chances et de l</w:t>
      </w:r>
      <w:r w:rsidR="008300FB">
        <w:rPr>
          <w:lang w:val="fr-FR"/>
        </w:rPr>
        <w:t>’</w:t>
      </w:r>
      <w:r w:rsidR="00BF1937" w:rsidRPr="00BF1937">
        <w:rPr>
          <w:lang w:val="fr-FR"/>
        </w:rPr>
        <w:t xml:space="preserve">égalité de traitement </w:t>
      </w:r>
      <w:r>
        <w:rPr>
          <w:lang w:val="fr-FR"/>
        </w:rPr>
        <w:t>des</w:t>
      </w:r>
      <w:r w:rsidR="00BF1937" w:rsidRPr="00BF1937">
        <w:rPr>
          <w:lang w:val="fr-FR"/>
        </w:rPr>
        <w:t xml:space="preserve"> hommes et </w:t>
      </w:r>
      <w:r>
        <w:rPr>
          <w:lang w:val="fr-FR"/>
        </w:rPr>
        <w:t>d</w:t>
      </w:r>
      <w:r w:rsidR="00BF1937" w:rsidRPr="00BF1937">
        <w:rPr>
          <w:lang w:val="fr-FR"/>
        </w:rPr>
        <w:t>es femmes en matière d</w:t>
      </w:r>
      <w:r w:rsidR="008300FB">
        <w:rPr>
          <w:lang w:val="fr-FR"/>
        </w:rPr>
        <w:t>’</w:t>
      </w:r>
      <w:r w:rsidR="00BF1937" w:rsidRPr="00BF1937">
        <w:rPr>
          <w:lang w:val="fr-FR"/>
        </w:rPr>
        <w:t>emploi et d</w:t>
      </w:r>
      <w:r w:rsidR="008300FB">
        <w:rPr>
          <w:lang w:val="fr-FR"/>
        </w:rPr>
        <w:t>’</w:t>
      </w:r>
      <w:r w:rsidR="00BF1937" w:rsidRPr="00BF1937">
        <w:rPr>
          <w:lang w:val="fr-FR"/>
        </w:rPr>
        <w:t>activité professionnelle.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Ainsi, l</w:t>
      </w:r>
      <w:r w:rsidR="008300FB">
        <w:rPr>
          <w:lang w:val="fr-FR"/>
        </w:rPr>
        <w:t>’</w:t>
      </w:r>
      <w:r w:rsidRPr="00BF1937">
        <w:rPr>
          <w:lang w:val="fr-FR"/>
        </w:rPr>
        <w:t>Ombudsman est tenu de mettre en place un cadre de contrôle et de communication transparente avec les autorités compétentes et d</w:t>
      </w:r>
      <w:r w:rsidR="008300FB">
        <w:rPr>
          <w:lang w:val="fr-FR"/>
        </w:rPr>
        <w:t>’</w:t>
      </w:r>
      <w:r w:rsidRPr="00BF1937">
        <w:rPr>
          <w:lang w:val="fr-FR"/>
        </w:rPr>
        <w:t xml:space="preserve">agir </w:t>
      </w:r>
      <w:r w:rsidR="0029689C">
        <w:rPr>
          <w:lang w:val="fr-FR"/>
        </w:rPr>
        <w:t>en amont</w:t>
      </w:r>
      <w:r w:rsidRPr="00BF1937">
        <w:rPr>
          <w:lang w:val="fr-FR"/>
        </w:rPr>
        <w:t xml:space="preserve">, en particulier sur la question de la torture et autre peines ou traitements cruels, inhumains ou dégradants </w:t>
      </w:r>
      <w:r w:rsidR="0029689C">
        <w:rPr>
          <w:lang w:val="fr-FR"/>
        </w:rPr>
        <w:t xml:space="preserve">en soumettant des </w:t>
      </w:r>
      <w:r w:rsidRPr="00BF1937">
        <w:rPr>
          <w:lang w:val="fr-FR"/>
        </w:rPr>
        <w:t xml:space="preserve">propositions et </w:t>
      </w:r>
      <w:r w:rsidR="0029689C">
        <w:rPr>
          <w:lang w:val="fr-FR"/>
        </w:rPr>
        <w:t>d</w:t>
      </w:r>
      <w:r w:rsidRPr="00BF1937">
        <w:rPr>
          <w:lang w:val="fr-FR"/>
        </w:rPr>
        <w:t xml:space="preserve">es recommandations </w:t>
      </w:r>
      <w:r w:rsidR="0029689C">
        <w:rPr>
          <w:lang w:val="fr-FR"/>
        </w:rPr>
        <w:t>pertinentes</w:t>
      </w:r>
      <w:r w:rsidRPr="00BF1937">
        <w:rPr>
          <w:lang w:val="fr-FR"/>
        </w:rPr>
        <w:t>.</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 xml:space="preserve">À la fin de 2011, en vertu de la loi L.158(I)/2011 </w:t>
      </w:r>
      <w:r w:rsidR="0029689C">
        <w:rPr>
          <w:lang w:val="fr-FR"/>
        </w:rPr>
        <w:t xml:space="preserve">portant </w:t>
      </w:r>
      <w:r w:rsidRPr="00BF1937">
        <w:rPr>
          <w:lang w:val="fr-FR"/>
        </w:rPr>
        <w:t>modifi</w:t>
      </w:r>
      <w:r w:rsidR="0029689C">
        <w:rPr>
          <w:lang w:val="fr-FR"/>
        </w:rPr>
        <w:t>cation</w:t>
      </w:r>
      <w:r w:rsidRPr="00BF1937">
        <w:rPr>
          <w:lang w:val="fr-FR"/>
        </w:rPr>
        <w:t xml:space="preserve"> </w:t>
      </w:r>
      <w:r w:rsidR="0029689C">
        <w:rPr>
          <w:lang w:val="fr-FR"/>
        </w:rPr>
        <w:t xml:space="preserve">de </w:t>
      </w:r>
      <w:r w:rsidRPr="00BF1937">
        <w:rPr>
          <w:lang w:val="fr-FR"/>
        </w:rPr>
        <w:t>la loi L.3/1991 sur le Commissaire à l</w:t>
      </w:r>
      <w:r w:rsidR="008300FB">
        <w:rPr>
          <w:lang w:val="fr-FR"/>
        </w:rPr>
        <w:t>’</w:t>
      </w:r>
      <w:r w:rsidRPr="00BF1937">
        <w:rPr>
          <w:lang w:val="fr-FR"/>
        </w:rPr>
        <w:t>administration, les compétences de l</w:t>
      </w:r>
      <w:r w:rsidR="008300FB">
        <w:rPr>
          <w:lang w:val="fr-FR"/>
        </w:rPr>
        <w:t>’</w:t>
      </w:r>
      <w:r w:rsidRPr="00BF1937">
        <w:rPr>
          <w:lang w:val="fr-FR"/>
        </w:rPr>
        <w:t>Institution chypriote des droits de l</w:t>
      </w:r>
      <w:r w:rsidR="008300FB">
        <w:rPr>
          <w:lang w:val="fr-FR"/>
        </w:rPr>
        <w:t>’</w:t>
      </w:r>
      <w:r w:rsidRPr="00BF1937">
        <w:rPr>
          <w:lang w:val="fr-FR"/>
        </w:rPr>
        <w:t>homme, créée en 1998, ont été transférées à l</w:t>
      </w:r>
      <w:r w:rsidR="008300FB">
        <w:rPr>
          <w:lang w:val="fr-FR"/>
        </w:rPr>
        <w:t>’</w:t>
      </w:r>
      <w:r w:rsidRPr="00BF1937">
        <w:rPr>
          <w:lang w:val="fr-FR"/>
        </w:rPr>
        <w:t>Ombudsman. En conséquence, c</w:t>
      </w:r>
      <w:r w:rsidR="008300FB">
        <w:rPr>
          <w:lang w:val="fr-FR"/>
        </w:rPr>
        <w:t>’</w:t>
      </w:r>
      <w:r w:rsidRPr="00BF1937">
        <w:rPr>
          <w:lang w:val="fr-FR"/>
        </w:rPr>
        <w:t>est désormais l</w:t>
      </w:r>
      <w:r w:rsidR="008300FB">
        <w:rPr>
          <w:lang w:val="fr-FR"/>
        </w:rPr>
        <w:t>’</w:t>
      </w:r>
      <w:r w:rsidRPr="00BF1937">
        <w:rPr>
          <w:lang w:val="fr-FR"/>
        </w:rPr>
        <w:t>Ombudsman</w:t>
      </w:r>
      <w:r w:rsidR="00110459">
        <w:rPr>
          <w:lang w:val="fr-FR"/>
        </w:rPr>
        <w:t xml:space="preserve"> </w:t>
      </w:r>
      <w:r w:rsidRPr="00BF1937">
        <w:rPr>
          <w:lang w:val="fr-FR"/>
        </w:rPr>
        <w:t>qui joue le rôle d</w:t>
      </w:r>
      <w:r w:rsidR="008300FB">
        <w:rPr>
          <w:lang w:val="fr-FR"/>
        </w:rPr>
        <w:t>’</w:t>
      </w:r>
      <w:r w:rsidRPr="00BF1937">
        <w:rPr>
          <w:lang w:val="fr-FR"/>
        </w:rPr>
        <w:t>institution nationale des droits de l</w:t>
      </w:r>
      <w:r w:rsidR="008300FB">
        <w:rPr>
          <w:lang w:val="fr-FR"/>
        </w:rPr>
        <w:t>’</w:t>
      </w:r>
      <w:r w:rsidRPr="00BF1937">
        <w:rPr>
          <w:lang w:val="fr-FR"/>
        </w:rPr>
        <w:t>homme dotée de compétences élargies en matière de promotion et de protection des droits de l</w:t>
      </w:r>
      <w:r w:rsidR="008300FB">
        <w:rPr>
          <w:lang w:val="fr-FR"/>
        </w:rPr>
        <w:t>’</w:t>
      </w:r>
      <w:r w:rsidRPr="00BF1937">
        <w:rPr>
          <w:lang w:val="fr-FR"/>
        </w:rPr>
        <w:t xml:space="preserve">homme, </w:t>
      </w:r>
      <w:r w:rsidR="0029689C">
        <w:rPr>
          <w:lang w:val="fr-FR"/>
        </w:rPr>
        <w:t xml:space="preserve">de préservation de ces droits et d’extension de leur protection dans la République, et pour veiller à ce </w:t>
      </w:r>
      <w:r w:rsidRPr="00BF1937">
        <w:rPr>
          <w:lang w:val="fr-FR"/>
        </w:rPr>
        <w:t xml:space="preserve">que </w:t>
      </w:r>
      <w:r w:rsidR="0029689C">
        <w:rPr>
          <w:lang w:val="fr-FR"/>
        </w:rPr>
        <w:t xml:space="preserve">les pouvoirs </w:t>
      </w:r>
      <w:r w:rsidRPr="00BF1937">
        <w:rPr>
          <w:lang w:val="fr-FR"/>
        </w:rPr>
        <w:t>publi</w:t>
      </w:r>
      <w:r w:rsidR="0029689C">
        <w:rPr>
          <w:lang w:val="fr-FR"/>
        </w:rPr>
        <w:t>cs</w:t>
      </w:r>
      <w:r w:rsidRPr="00BF1937">
        <w:rPr>
          <w:lang w:val="fr-FR"/>
        </w:rPr>
        <w:t xml:space="preserve"> se conforment à leurs principes. L</w:t>
      </w:r>
      <w:r w:rsidR="008300FB">
        <w:rPr>
          <w:lang w:val="fr-FR"/>
        </w:rPr>
        <w:t>’</w:t>
      </w:r>
      <w:r w:rsidRPr="00BF1937">
        <w:rPr>
          <w:lang w:val="fr-FR"/>
        </w:rPr>
        <w:t>Institution s</w:t>
      </w:r>
      <w:r w:rsidR="008300FB">
        <w:rPr>
          <w:lang w:val="fr-FR"/>
        </w:rPr>
        <w:t>’</w:t>
      </w:r>
      <w:r w:rsidRPr="00BF1937">
        <w:rPr>
          <w:lang w:val="fr-FR"/>
        </w:rPr>
        <w:t xml:space="preserve">apprête, en 2014, </w:t>
      </w:r>
      <w:r w:rsidR="0029689C">
        <w:rPr>
          <w:lang w:val="fr-FR"/>
        </w:rPr>
        <w:t>à solliciter</w:t>
      </w:r>
      <w:r w:rsidRPr="00BF1937">
        <w:rPr>
          <w:lang w:val="fr-FR"/>
        </w:rPr>
        <w:t xml:space="preserve"> son accréditation auprès du Haut-Commissariat aux droits de l</w:t>
      </w:r>
      <w:r w:rsidR="008300FB">
        <w:rPr>
          <w:lang w:val="fr-FR"/>
        </w:rPr>
        <w:t>’</w:t>
      </w:r>
      <w:r w:rsidRPr="00BF1937">
        <w:rPr>
          <w:lang w:val="fr-FR"/>
        </w:rPr>
        <w:t>homme.</w:t>
      </w:r>
    </w:p>
    <w:p w:rsidR="00BF1937" w:rsidRPr="00BF1937" w:rsidRDefault="0029689C" w:rsidP="00AD54C4">
      <w:pPr>
        <w:pStyle w:val="SingleTxt"/>
        <w:numPr>
          <w:ilvl w:val="0"/>
          <w:numId w:val="18"/>
        </w:numPr>
        <w:tabs>
          <w:tab w:val="clear" w:pos="475"/>
          <w:tab w:val="num" w:pos="1742"/>
        </w:tabs>
        <w:ind w:left="1267"/>
        <w:rPr>
          <w:lang w:val="fr-CH"/>
        </w:rPr>
      </w:pPr>
      <w:r>
        <w:rPr>
          <w:lang w:val="fr-FR"/>
        </w:rPr>
        <w:t>Plus</w:t>
      </w:r>
      <w:r w:rsidR="00BF1937" w:rsidRPr="00BF1937">
        <w:rPr>
          <w:lang w:val="fr-FR"/>
        </w:rPr>
        <w:t xml:space="preserve"> particuli</w:t>
      </w:r>
      <w:r>
        <w:rPr>
          <w:lang w:val="fr-FR"/>
        </w:rPr>
        <w:t>èrement</w:t>
      </w:r>
      <w:r w:rsidR="00BF1937" w:rsidRPr="00BF1937">
        <w:rPr>
          <w:lang w:val="fr-FR"/>
        </w:rPr>
        <w:t>,</w:t>
      </w:r>
      <w:r>
        <w:rPr>
          <w:lang w:val="fr-FR"/>
        </w:rPr>
        <w:t xml:space="preserve"> </w:t>
      </w:r>
      <w:r w:rsidR="00BF1937" w:rsidRPr="00BF1937">
        <w:rPr>
          <w:lang w:val="fr-FR"/>
        </w:rPr>
        <w:t>l</w:t>
      </w:r>
      <w:r w:rsidR="008300FB">
        <w:rPr>
          <w:lang w:val="fr-FR"/>
        </w:rPr>
        <w:t>’</w:t>
      </w:r>
      <w:r w:rsidR="00BF1937" w:rsidRPr="00BF1937">
        <w:rPr>
          <w:lang w:val="fr-FR"/>
        </w:rPr>
        <w:t>Ombudsman soumet, de son propre chef, des avis, des recommandations, des propositions et des rapports qui ont trait aux domaines suivants</w:t>
      </w:r>
      <w:r w:rsidR="00110459">
        <w:rPr>
          <w:lang w:val="fr-FR"/>
        </w:rPr>
        <w:t> :</w:t>
      </w:r>
    </w:p>
    <w:p w:rsidR="00BF1937" w:rsidRPr="00BF1937" w:rsidRDefault="00BF1937" w:rsidP="00AD54C4">
      <w:pPr>
        <w:pStyle w:val="Bullet1"/>
        <w:ind w:left="1743" w:hanging="130"/>
        <w:rPr>
          <w:lang w:val="fr-CH"/>
        </w:rPr>
      </w:pPr>
      <w:r w:rsidRPr="00BF1937">
        <w:rPr>
          <w:lang w:val="fr-FR"/>
        </w:rPr>
        <w:t>Tous les cas de violation des droits de l</w:t>
      </w:r>
      <w:r w:rsidR="008300FB">
        <w:rPr>
          <w:lang w:val="fr-FR"/>
        </w:rPr>
        <w:t>’</w:t>
      </w:r>
      <w:r w:rsidRPr="00BF1937">
        <w:rPr>
          <w:lang w:val="fr-FR"/>
        </w:rPr>
        <w:t>homme dont il décide de se saisir;</w:t>
      </w:r>
    </w:p>
    <w:p w:rsidR="00BF1937" w:rsidRPr="00BF1937" w:rsidRDefault="00BF1937" w:rsidP="00AD54C4">
      <w:pPr>
        <w:pStyle w:val="Bullet1"/>
        <w:ind w:left="1743" w:hanging="130"/>
        <w:rPr>
          <w:lang w:val="fr-CH"/>
        </w:rPr>
      </w:pPr>
      <w:r w:rsidRPr="00BF1937">
        <w:rPr>
          <w:lang w:val="fr-FR"/>
        </w:rPr>
        <w:t>La situation nationale relative aux droits de l</w:t>
      </w:r>
      <w:r w:rsidR="008300FB">
        <w:rPr>
          <w:lang w:val="fr-FR"/>
        </w:rPr>
        <w:t>’</w:t>
      </w:r>
      <w:r w:rsidRPr="00BF1937">
        <w:rPr>
          <w:lang w:val="fr-FR"/>
        </w:rPr>
        <w:t>homme en général, et des questions plus spécifiques;</w:t>
      </w:r>
    </w:p>
    <w:p w:rsidR="00BF1937" w:rsidRPr="00BF1937" w:rsidRDefault="0029689C" w:rsidP="00AD54C4">
      <w:pPr>
        <w:pStyle w:val="Bullet1"/>
        <w:ind w:left="1743" w:hanging="130"/>
        <w:rPr>
          <w:lang w:val="fr-CH"/>
        </w:rPr>
      </w:pPr>
      <w:r>
        <w:rPr>
          <w:lang w:val="fr-FR"/>
        </w:rPr>
        <w:t xml:space="preserve">Signalement au </w:t>
      </w:r>
      <w:r w:rsidR="00BF1937" w:rsidRPr="00BF1937">
        <w:rPr>
          <w:lang w:val="fr-FR"/>
        </w:rPr>
        <w:t xml:space="preserve">Gouvernement </w:t>
      </w:r>
      <w:r>
        <w:rPr>
          <w:lang w:val="fr-FR"/>
        </w:rPr>
        <w:t>de tout</w:t>
      </w:r>
      <w:r w:rsidR="00BF1937" w:rsidRPr="00BF1937">
        <w:rPr>
          <w:lang w:val="fr-FR"/>
        </w:rPr>
        <w:t xml:space="preserve"> cas de violation des droits de l</w:t>
      </w:r>
      <w:r w:rsidR="008300FB">
        <w:rPr>
          <w:lang w:val="fr-FR"/>
        </w:rPr>
        <w:t>’</w:t>
      </w:r>
      <w:r w:rsidR="00BF1937" w:rsidRPr="00BF1937">
        <w:rPr>
          <w:lang w:val="fr-FR"/>
        </w:rPr>
        <w:t xml:space="preserve">homme en tous points du pays et </w:t>
      </w:r>
      <w:r>
        <w:rPr>
          <w:lang w:val="fr-FR"/>
        </w:rPr>
        <w:t>proposition</w:t>
      </w:r>
      <w:r w:rsidR="00BF1937" w:rsidRPr="00BF1937">
        <w:rPr>
          <w:lang w:val="fr-FR"/>
        </w:rPr>
        <w:t xml:space="preserve"> d</w:t>
      </w:r>
      <w:r w:rsidR="008300FB">
        <w:rPr>
          <w:lang w:val="fr-FR"/>
        </w:rPr>
        <w:t>’</w:t>
      </w:r>
      <w:r w:rsidR="00BF1937" w:rsidRPr="00BF1937">
        <w:rPr>
          <w:lang w:val="fr-FR"/>
        </w:rPr>
        <w:t>initiative</w:t>
      </w:r>
      <w:r>
        <w:rPr>
          <w:lang w:val="fr-FR"/>
        </w:rPr>
        <w:t>s</w:t>
      </w:r>
      <w:r w:rsidR="00BF1937" w:rsidRPr="00BF1937">
        <w:rPr>
          <w:lang w:val="fr-FR"/>
        </w:rPr>
        <w:t xml:space="preserve"> visant à mettre fin à ces situations.</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Dans le cadre de sa fonction d</w:t>
      </w:r>
      <w:r w:rsidR="008300FB">
        <w:rPr>
          <w:lang w:val="fr-FR"/>
        </w:rPr>
        <w:t>’</w:t>
      </w:r>
      <w:r w:rsidRPr="00BF1937">
        <w:rPr>
          <w:lang w:val="fr-FR"/>
        </w:rPr>
        <w:t>institution nationale des droits de l</w:t>
      </w:r>
      <w:r w:rsidR="008300FB">
        <w:rPr>
          <w:lang w:val="fr-FR"/>
        </w:rPr>
        <w:t>’</w:t>
      </w:r>
      <w:r w:rsidRPr="00BF1937">
        <w:rPr>
          <w:lang w:val="fr-FR"/>
        </w:rPr>
        <w:t>homme, l</w:t>
      </w:r>
      <w:r w:rsidR="008300FB">
        <w:rPr>
          <w:lang w:val="fr-FR"/>
        </w:rPr>
        <w:t>’</w:t>
      </w:r>
      <w:r w:rsidRPr="00BF1937">
        <w:rPr>
          <w:lang w:val="fr-FR"/>
        </w:rPr>
        <w:t>Ombudsman coopère avec l</w:t>
      </w:r>
      <w:r w:rsidR="0029689C">
        <w:rPr>
          <w:lang w:val="fr-FR"/>
        </w:rPr>
        <w:t xml:space="preserve">’Organisation des </w:t>
      </w:r>
      <w:r w:rsidRPr="00BF1937">
        <w:rPr>
          <w:lang w:val="fr-FR"/>
        </w:rPr>
        <w:t xml:space="preserve">Nations Unies et avec les autres </w:t>
      </w:r>
      <w:r w:rsidR="0029689C">
        <w:rPr>
          <w:lang w:val="fr-FR"/>
        </w:rPr>
        <w:t>organismes</w:t>
      </w:r>
      <w:r w:rsidRPr="00BF1937">
        <w:rPr>
          <w:lang w:val="fr-FR"/>
        </w:rPr>
        <w:t xml:space="preserve"> du système des Nations Unies, les institutions régionales et les institutions nationales des autres pays compétentes dans </w:t>
      </w:r>
      <w:r w:rsidR="0045536C">
        <w:rPr>
          <w:lang w:val="fr-FR"/>
        </w:rPr>
        <w:t xml:space="preserve">le domaine de </w:t>
      </w:r>
      <w:r w:rsidRPr="00BF1937">
        <w:rPr>
          <w:lang w:val="fr-FR"/>
        </w:rPr>
        <w:t xml:space="preserve">la promotion et </w:t>
      </w:r>
      <w:r w:rsidR="0045536C">
        <w:rPr>
          <w:lang w:val="fr-FR"/>
        </w:rPr>
        <w:t xml:space="preserve">de </w:t>
      </w:r>
      <w:r w:rsidRPr="00BF1937">
        <w:rPr>
          <w:lang w:val="fr-FR"/>
        </w:rPr>
        <w:t>la protection des droits de l</w:t>
      </w:r>
      <w:r w:rsidR="008300FB">
        <w:rPr>
          <w:lang w:val="fr-FR"/>
        </w:rPr>
        <w:t>’</w:t>
      </w:r>
      <w:r w:rsidRPr="00BF1937">
        <w:rPr>
          <w:lang w:val="fr-FR"/>
        </w:rPr>
        <w:t>homme. Il consulte en outre de façon constante les organisations non gouvernementales et les autres organisations engagées dans la promotion et la protection des droits de l</w:t>
      </w:r>
      <w:r w:rsidR="008300FB">
        <w:rPr>
          <w:lang w:val="fr-FR"/>
        </w:rPr>
        <w:t>’</w:t>
      </w:r>
      <w:r w:rsidRPr="00BF1937">
        <w:rPr>
          <w:lang w:val="fr-FR"/>
        </w:rPr>
        <w:t>homme.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Pourtant, même si, pour l</w:t>
      </w:r>
      <w:r w:rsidR="008300FB">
        <w:rPr>
          <w:lang w:val="fr-FR"/>
        </w:rPr>
        <w:t>’</w:t>
      </w:r>
      <w:r w:rsidRPr="00BF1937">
        <w:rPr>
          <w:lang w:val="fr-FR"/>
        </w:rPr>
        <w:t>essentiel, l</w:t>
      </w:r>
      <w:r w:rsidR="008300FB">
        <w:rPr>
          <w:lang w:val="fr-FR"/>
        </w:rPr>
        <w:t>’</w:t>
      </w:r>
      <w:r w:rsidRPr="00BF1937">
        <w:rPr>
          <w:lang w:val="fr-FR"/>
        </w:rPr>
        <w:t>Institution nationale des droits de l</w:t>
      </w:r>
      <w:r w:rsidR="008300FB">
        <w:rPr>
          <w:lang w:val="fr-FR"/>
        </w:rPr>
        <w:t>’</w:t>
      </w:r>
      <w:r w:rsidRPr="00BF1937">
        <w:rPr>
          <w:lang w:val="fr-FR"/>
        </w:rPr>
        <w:t xml:space="preserve">homme est conforme aux Principes des Nations Unies </w:t>
      </w:r>
      <w:r w:rsidR="0045536C">
        <w:rPr>
          <w:lang w:val="fr-FR"/>
        </w:rPr>
        <w:t xml:space="preserve">concernant le </w:t>
      </w:r>
      <w:r w:rsidRPr="00BF1937">
        <w:rPr>
          <w:lang w:val="fr-FR"/>
        </w:rPr>
        <w:t xml:space="preserve">statut des institutions nationales </w:t>
      </w:r>
      <w:r w:rsidR="0045536C">
        <w:rPr>
          <w:lang w:val="fr-FR"/>
        </w:rPr>
        <w:t xml:space="preserve">pour la promotion et la protection des droits de l’homme </w:t>
      </w:r>
      <w:r w:rsidRPr="00BF1937">
        <w:rPr>
          <w:lang w:val="fr-FR"/>
        </w:rPr>
        <w:t>(Principes de Paris), elle n</w:t>
      </w:r>
      <w:r w:rsidR="008300FB">
        <w:rPr>
          <w:lang w:val="fr-FR"/>
        </w:rPr>
        <w:t>’</w:t>
      </w:r>
      <w:r w:rsidRPr="00BF1937">
        <w:rPr>
          <w:lang w:val="fr-FR"/>
        </w:rPr>
        <w:t>a pas encore reçu l</w:t>
      </w:r>
      <w:r w:rsidR="008300FB">
        <w:rPr>
          <w:lang w:val="fr-FR"/>
        </w:rPr>
        <w:t>’</w:t>
      </w:r>
      <w:r w:rsidRPr="00BF1937">
        <w:rPr>
          <w:lang w:val="fr-FR"/>
        </w:rPr>
        <w:t xml:space="preserve">accréditation du Comité international de coordination des institutions nationales </w:t>
      </w:r>
      <w:r w:rsidR="0045536C">
        <w:rPr>
          <w:lang w:val="fr-FR"/>
        </w:rPr>
        <w:t xml:space="preserve">pour la </w:t>
      </w:r>
      <w:r w:rsidRPr="00BF1937">
        <w:rPr>
          <w:lang w:val="fr-FR"/>
        </w:rPr>
        <w:t xml:space="preserve">promotion et </w:t>
      </w:r>
      <w:r w:rsidR="0045536C">
        <w:rPr>
          <w:lang w:val="fr-FR"/>
        </w:rPr>
        <w:t>la</w:t>
      </w:r>
      <w:r w:rsidRPr="00BF1937">
        <w:rPr>
          <w:lang w:val="fr-FR"/>
        </w:rPr>
        <w:t xml:space="preserve"> protection des droits de l</w:t>
      </w:r>
      <w:r w:rsidR="008300FB">
        <w:rPr>
          <w:lang w:val="fr-FR"/>
        </w:rPr>
        <w:t>’</w:t>
      </w:r>
      <w:r w:rsidRPr="00BF1937">
        <w:rPr>
          <w:lang w:val="fr-FR"/>
        </w:rPr>
        <w:t>homme. En 2014, elle devrait soumettre une demande officielle d</w:t>
      </w:r>
      <w:r w:rsidR="008300FB">
        <w:rPr>
          <w:lang w:val="fr-FR"/>
        </w:rPr>
        <w:t>’</w:t>
      </w:r>
      <w:r w:rsidRPr="00BF1937">
        <w:rPr>
          <w:lang w:val="fr-FR"/>
        </w:rPr>
        <w:t>accréditation.</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Il convient de noter que le Procureur général de la République demeure, en dernier ressort, l</w:t>
      </w:r>
      <w:r w:rsidR="008300FB">
        <w:rPr>
          <w:lang w:val="fr-FR"/>
        </w:rPr>
        <w:t>’</w:t>
      </w:r>
      <w:r w:rsidRPr="00BF1937">
        <w:rPr>
          <w:lang w:val="fr-FR"/>
        </w:rPr>
        <w:t>autorité chargée d</w:t>
      </w:r>
      <w:r w:rsidR="008300FB">
        <w:rPr>
          <w:lang w:val="fr-FR"/>
        </w:rPr>
        <w:t>’</w:t>
      </w:r>
      <w:r w:rsidRPr="00BF1937">
        <w:rPr>
          <w:lang w:val="fr-FR"/>
        </w:rPr>
        <w:t>examiner la législation et les dispositions administratives en vigueur et les projets et propositions de lois, et de f</w:t>
      </w:r>
      <w:r w:rsidR="0045536C">
        <w:rPr>
          <w:lang w:val="fr-FR"/>
        </w:rPr>
        <w:t>ormuler</w:t>
      </w:r>
      <w:r w:rsidRPr="00BF1937">
        <w:rPr>
          <w:lang w:val="fr-FR"/>
        </w:rPr>
        <w:t xml:space="preserve"> des recommandations pour faire en sorte que ces dispositions répondent aux obligations internationales souscrites par le pays dans le domaine des droits de l</w:t>
      </w:r>
      <w:r w:rsidR="008300FB">
        <w:rPr>
          <w:lang w:val="fr-FR"/>
        </w:rPr>
        <w:t>’</w:t>
      </w:r>
      <w:r w:rsidRPr="00BF1937">
        <w:rPr>
          <w:lang w:val="fr-FR"/>
        </w:rPr>
        <w:t>homme.</w:t>
      </w:r>
    </w:p>
    <w:p w:rsidR="00BF1937" w:rsidRPr="00BF1937" w:rsidRDefault="00AD54C4" w:rsidP="00AD54C4">
      <w:pPr>
        <w:pStyle w:val="SingleTxt"/>
        <w:numPr>
          <w:ilvl w:val="0"/>
          <w:numId w:val="18"/>
        </w:numPr>
        <w:tabs>
          <w:tab w:val="clear" w:pos="475"/>
          <w:tab w:val="num" w:pos="1742"/>
        </w:tabs>
        <w:ind w:left="1267"/>
        <w:rPr>
          <w:lang w:val="fr-CH"/>
        </w:rPr>
      </w:pPr>
      <w:r>
        <w:rPr>
          <w:lang w:val="fr-FR"/>
        </w:rPr>
        <w:t>Le 9 </w:t>
      </w:r>
      <w:r w:rsidR="00BF1937" w:rsidRPr="00BF1937">
        <w:rPr>
          <w:lang w:val="fr-FR"/>
        </w:rPr>
        <w:t>mai 2012, sur décision du Conseil des ministres, le rôle du mécanisme indépendant pour la promotion, la protection et le suivi de l</w:t>
      </w:r>
      <w:r w:rsidR="008300FB">
        <w:rPr>
          <w:lang w:val="fr-FR"/>
        </w:rPr>
        <w:t>’</w:t>
      </w:r>
      <w:r w:rsidR="00BF1937" w:rsidRPr="00BF1937">
        <w:rPr>
          <w:lang w:val="fr-FR"/>
        </w:rPr>
        <w:t xml:space="preserve">application de la Convention relative aux droits des personnes handicapées, établi conformément </w:t>
      </w:r>
      <w:r w:rsidR="0045536C">
        <w:rPr>
          <w:lang w:val="fr-FR"/>
        </w:rPr>
        <w:t xml:space="preserve">au paragraphe 2 de </w:t>
      </w:r>
      <w:r w:rsidR="00BF1937" w:rsidRPr="00BF1937">
        <w:rPr>
          <w:lang w:val="fr-FR"/>
        </w:rPr>
        <w:t>l</w:t>
      </w:r>
      <w:r w:rsidR="008300FB">
        <w:rPr>
          <w:lang w:val="fr-FR"/>
        </w:rPr>
        <w:t>’</w:t>
      </w:r>
      <w:r w:rsidR="00BF1937" w:rsidRPr="00BF1937">
        <w:rPr>
          <w:lang w:val="fr-FR"/>
        </w:rPr>
        <w:t>article 33</w:t>
      </w:r>
      <w:r w:rsidR="0045536C">
        <w:rPr>
          <w:lang w:val="fr-FR"/>
        </w:rPr>
        <w:t xml:space="preserve"> </w:t>
      </w:r>
      <w:r w:rsidR="00BF1937" w:rsidRPr="00BF1937">
        <w:rPr>
          <w:lang w:val="fr-FR"/>
        </w:rPr>
        <w:t>de la Convention, a également été confié à l</w:t>
      </w:r>
      <w:r w:rsidR="008300FB">
        <w:rPr>
          <w:lang w:val="fr-FR"/>
        </w:rPr>
        <w:t>’</w:t>
      </w:r>
      <w:r w:rsidR="00BF1937" w:rsidRPr="00BF1937">
        <w:rPr>
          <w:lang w:val="fr-FR"/>
        </w:rPr>
        <w:t>Ombudsman. Depuis, l</w:t>
      </w:r>
      <w:r w:rsidR="008300FB">
        <w:rPr>
          <w:lang w:val="fr-FR"/>
        </w:rPr>
        <w:t>’</w:t>
      </w:r>
      <w:r w:rsidR="00BF1937" w:rsidRPr="00BF1937">
        <w:rPr>
          <w:lang w:val="fr-FR"/>
        </w:rPr>
        <w:t xml:space="preserve">Autorité indépendante pour la promotion des droits des personnes handicapées a été créée. Elle </w:t>
      </w:r>
      <w:r w:rsidR="0045536C">
        <w:rPr>
          <w:lang w:val="fr-FR"/>
        </w:rPr>
        <w:t xml:space="preserve">joue un rôle moteur dans l’action menée </w:t>
      </w:r>
      <w:r w:rsidR="00BF1937" w:rsidRPr="00BF1937">
        <w:rPr>
          <w:lang w:val="fr-FR"/>
        </w:rPr>
        <w:t xml:space="preserve">dans ce domaine et au-delà, </w:t>
      </w:r>
      <w:r w:rsidR="0045536C">
        <w:rPr>
          <w:lang w:val="fr-FR"/>
        </w:rPr>
        <w:t>grâce aux nouvelles</w:t>
      </w:r>
      <w:r w:rsidR="00BF1937" w:rsidRPr="00BF1937">
        <w:rPr>
          <w:lang w:val="fr-FR"/>
        </w:rPr>
        <w:t xml:space="preserve"> compétences</w:t>
      </w:r>
      <w:r w:rsidR="0045536C">
        <w:rPr>
          <w:lang w:val="fr-FR"/>
        </w:rPr>
        <w:t xml:space="preserve">, étendues et ambitieuses, </w:t>
      </w:r>
      <w:r w:rsidR="00BF1937" w:rsidRPr="00BF1937">
        <w:rPr>
          <w:lang w:val="fr-FR"/>
        </w:rPr>
        <w:t xml:space="preserve">qui </w:t>
      </w:r>
      <w:r w:rsidR="0045536C">
        <w:rPr>
          <w:lang w:val="fr-FR"/>
        </w:rPr>
        <w:t xml:space="preserve">lui </w:t>
      </w:r>
      <w:r w:rsidR="00BF1937" w:rsidRPr="00BF1937">
        <w:rPr>
          <w:lang w:val="fr-FR"/>
        </w:rPr>
        <w:t xml:space="preserve">sont </w:t>
      </w:r>
      <w:r w:rsidR="0045536C">
        <w:rPr>
          <w:lang w:val="fr-FR"/>
        </w:rPr>
        <w:t>confiées</w:t>
      </w:r>
      <w:r w:rsidR="00BF1937" w:rsidRPr="00BF1937">
        <w:rPr>
          <w:lang w:val="fr-FR"/>
        </w:rPr>
        <w:t>.</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 xml:space="preserve">Plus </w:t>
      </w:r>
      <w:r w:rsidR="0045536C">
        <w:rPr>
          <w:lang w:val="fr-FR"/>
        </w:rPr>
        <w:t>précisément</w:t>
      </w:r>
      <w:r w:rsidRPr="00BF1937">
        <w:rPr>
          <w:lang w:val="fr-FR"/>
        </w:rPr>
        <w:t xml:space="preserve">, les compétences dévolues au mécanisme national de surveillance consistent, </w:t>
      </w:r>
      <w:r w:rsidR="0045536C">
        <w:rPr>
          <w:lang w:val="fr-FR"/>
        </w:rPr>
        <w:t>notamment</w:t>
      </w:r>
      <w:r w:rsidRPr="00BF1937">
        <w:rPr>
          <w:lang w:val="fr-FR"/>
        </w:rPr>
        <w:t>, à</w:t>
      </w:r>
      <w:r w:rsidR="00110459">
        <w:rPr>
          <w:lang w:val="fr-FR"/>
        </w:rPr>
        <w:t> :</w:t>
      </w:r>
    </w:p>
    <w:p w:rsidR="00BF1937" w:rsidRPr="00BF1937" w:rsidRDefault="00BF1937" w:rsidP="00AD54C4">
      <w:pPr>
        <w:pStyle w:val="Bullet1"/>
        <w:ind w:left="1743" w:hanging="130"/>
        <w:rPr>
          <w:lang w:val="fr-CH"/>
        </w:rPr>
      </w:pPr>
      <w:r w:rsidRPr="00BF1937">
        <w:rPr>
          <w:lang w:val="fr-FR"/>
        </w:rPr>
        <w:t xml:space="preserve">Enquêter et recueillir des données et des informations dans le cadre du suivi de la mise en œuvre de la Convention et de la promotion de </w:t>
      </w:r>
      <w:r w:rsidR="0045536C">
        <w:rPr>
          <w:lang w:val="fr-FR"/>
        </w:rPr>
        <w:t>la pleine puissance</w:t>
      </w:r>
      <w:r w:rsidRPr="00BF1937">
        <w:rPr>
          <w:lang w:val="fr-FR"/>
        </w:rPr>
        <w:t xml:space="preserve"> des droits de l</w:t>
      </w:r>
      <w:r w:rsidR="008300FB">
        <w:rPr>
          <w:lang w:val="fr-FR"/>
        </w:rPr>
        <w:t>’</w:t>
      </w:r>
      <w:r w:rsidRPr="00BF1937">
        <w:rPr>
          <w:lang w:val="fr-FR"/>
        </w:rPr>
        <w:t xml:space="preserve">homme </w:t>
      </w:r>
      <w:r w:rsidR="0045536C">
        <w:rPr>
          <w:lang w:val="fr-FR"/>
        </w:rPr>
        <w:t xml:space="preserve">par les </w:t>
      </w:r>
      <w:r w:rsidRPr="00BF1937">
        <w:rPr>
          <w:lang w:val="fr-FR"/>
        </w:rPr>
        <w:t>personnes handicapées</w:t>
      </w:r>
      <w:r w:rsidR="0045536C">
        <w:rPr>
          <w:lang w:val="fr-FR"/>
        </w:rPr>
        <w:t xml:space="preserve"> sur la base de l’égalité avec les autres</w:t>
      </w:r>
      <w:r w:rsidRPr="00BF1937">
        <w:rPr>
          <w:lang w:val="fr-FR"/>
        </w:rPr>
        <w:t>;</w:t>
      </w:r>
    </w:p>
    <w:p w:rsidR="00BF1937" w:rsidRPr="00BF1937" w:rsidRDefault="00BF1937" w:rsidP="00AD54C4">
      <w:pPr>
        <w:pStyle w:val="Bullet1"/>
        <w:ind w:left="1743" w:hanging="130"/>
        <w:rPr>
          <w:lang w:val="fr-CH"/>
        </w:rPr>
      </w:pPr>
      <w:r w:rsidRPr="00BF1937">
        <w:rPr>
          <w:lang w:val="fr-FR"/>
        </w:rPr>
        <w:t>Examiner, d</w:t>
      </w:r>
      <w:r w:rsidR="0045536C">
        <w:rPr>
          <w:lang w:val="fr-FR"/>
        </w:rPr>
        <w:t>’office</w:t>
      </w:r>
      <w:r w:rsidRPr="00BF1937">
        <w:rPr>
          <w:lang w:val="fr-FR"/>
        </w:rPr>
        <w:t xml:space="preserve"> ou sur plainte individuelle, les </w:t>
      </w:r>
      <w:r w:rsidR="0045536C">
        <w:rPr>
          <w:lang w:val="fr-FR"/>
        </w:rPr>
        <w:t>affaires</w:t>
      </w:r>
      <w:r w:rsidRPr="00BF1937">
        <w:rPr>
          <w:lang w:val="fr-FR"/>
        </w:rPr>
        <w:t xml:space="preserve"> touchant à la discrimination et les cas </w:t>
      </w:r>
      <w:r w:rsidR="0045536C">
        <w:rPr>
          <w:lang w:val="fr-FR"/>
        </w:rPr>
        <w:t>présumés violation</w:t>
      </w:r>
      <w:r w:rsidRPr="00BF1937">
        <w:rPr>
          <w:lang w:val="fr-FR"/>
        </w:rPr>
        <w:t xml:space="preserve"> des droits de l</w:t>
      </w:r>
      <w:r w:rsidR="008300FB">
        <w:rPr>
          <w:lang w:val="fr-FR"/>
        </w:rPr>
        <w:t>’</w:t>
      </w:r>
      <w:r w:rsidRPr="00BF1937">
        <w:rPr>
          <w:lang w:val="fr-FR"/>
        </w:rPr>
        <w:t>homme</w:t>
      </w:r>
      <w:r w:rsidR="0045536C">
        <w:rPr>
          <w:lang w:val="fr-FR"/>
        </w:rPr>
        <w:t>;</w:t>
      </w:r>
      <w:r w:rsidRPr="00BF1937">
        <w:rPr>
          <w:lang w:val="fr-FR"/>
        </w:rPr>
        <w:t xml:space="preserve"> consult</w:t>
      </w:r>
      <w:r w:rsidR="0045536C">
        <w:rPr>
          <w:lang w:val="fr-FR"/>
        </w:rPr>
        <w:t>er</w:t>
      </w:r>
      <w:r w:rsidRPr="00BF1937">
        <w:rPr>
          <w:lang w:val="fr-FR"/>
        </w:rPr>
        <w:t xml:space="preserve"> </w:t>
      </w:r>
      <w:r w:rsidR="0045536C">
        <w:rPr>
          <w:lang w:val="fr-FR"/>
        </w:rPr>
        <w:t xml:space="preserve">éventuellement </w:t>
      </w:r>
      <w:r w:rsidRPr="00BF1937">
        <w:rPr>
          <w:lang w:val="fr-FR"/>
        </w:rPr>
        <w:t>les autres parties concernées et, si nécessaire, prononcer des sanctions s</w:t>
      </w:r>
      <w:r w:rsidR="008300FB">
        <w:rPr>
          <w:lang w:val="fr-FR"/>
        </w:rPr>
        <w:t>’</w:t>
      </w:r>
      <w:r w:rsidRPr="00BF1937">
        <w:rPr>
          <w:lang w:val="fr-FR"/>
        </w:rPr>
        <w:t>il est avéré qu</w:t>
      </w:r>
      <w:r w:rsidR="008300FB">
        <w:rPr>
          <w:lang w:val="fr-FR"/>
        </w:rPr>
        <w:t>’</w:t>
      </w:r>
      <w:r w:rsidRPr="00BF1937">
        <w:rPr>
          <w:lang w:val="fr-FR"/>
        </w:rPr>
        <w:t>une personne handicapée a bien été victime d</w:t>
      </w:r>
      <w:r w:rsidR="008300FB">
        <w:rPr>
          <w:lang w:val="fr-FR"/>
        </w:rPr>
        <w:t>’</w:t>
      </w:r>
      <w:r w:rsidRPr="00BF1937">
        <w:rPr>
          <w:lang w:val="fr-FR"/>
        </w:rPr>
        <w:t xml:space="preserve">une discrimination </w:t>
      </w:r>
      <w:r w:rsidR="0045536C">
        <w:rPr>
          <w:lang w:val="fr-FR"/>
        </w:rPr>
        <w:t xml:space="preserve">illégale </w:t>
      </w:r>
      <w:r w:rsidRPr="00BF1937">
        <w:rPr>
          <w:lang w:val="fr-FR"/>
        </w:rPr>
        <w:t>ou d</w:t>
      </w:r>
      <w:r w:rsidR="008300FB">
        <w:rPr>
          <w:lang w:val="fr-FR"/>
        </w:rPr>
        <w:t>’</w:t>
      </w:r>
      <w:r w:rsidRPr="00BF1937">
        <w:rPr>
          <w:lang w:val="fr-FR"/>
        </w:rPr>
        <w:t xml:space="preserve">une violation de </w:t>
      </w:r>
      <w:r w:rsidR="0045536C">
        <w:rPr>
          <w:lang w:val="fr-FR"/>
        </w:rPr>
        <w:t>s</w:t>
      </w:r>
      <w:r w:rsidRPr="00BF1937">
        <w:rPr>
          <w:lang w:val="fr-FR"/>
        </w:rPr>
        <w:t xml:space="preserve">es droits au sens de la législation </w:t>
      </w:r>
      <w:r w:rsidR="0045536C">
        <w:rPr>
          <w:lang w:val="fr-FR"/>
        </w:rPr>
        <w:t>applicable</w:t>
      </w:r>
      <w:r w:rsidRPr="00BF1937">
        <w:rPr>
          <w:lang w:val="fr-FR"/>
        </w:rPr>
        <w:t>;</w:t>
      </w:r>
    </w:p>
    <w:p w:rsidR="00BF1937" w:rsidRPr="00BF1937" w:rsidRDefault="00BF1937" w:rsidP="00AD54C4">
      <w:pPr>
        <w:pStyle w:val="Bullet1"/>
        <w:ind w:left="1743" w:hanging="130"/>
        <w:rPr>
          <w:lang w:val="fr-CH"/>
        </w:rPr>
      </w:pPr>
      <w:r w:rsidRPr="00BF1937">
        <w:rPr>
          <w:lang w:val="fr-FR"/>
        </w:rPr>
        <w:t xml:space="preserve">Soumettre aux </w:t>
      </w:r>
      <w:r w:rsidR="0045536C">
        <w:rPr>
          <w:lang w:val="fr-FR"/>
        </w:rPr>
        <w:t>pouvoirs</w:t>
      </w:r>
      <w:r w:rsidRPr="00BF1937">
        <w:rPr>
          <w:lang w:val="fr-FR"/>
        </w:rPr>
        <w:t xml:space="preserve"> publi</w:t>
      </w:r>
      <w:r w:rsidR="0045536C">
        <w:rPr>
          <w:lang w:val="fr-FR"/>
        </w:rPr>
        <w:t>cs</w:t>
      </w:r>
      <w:r w:rsidRPr="00BF1937">
        <w:rPr>
          <w:lang w:val="fr-FR"/>
        </w:rPr>
        <w:t xml:space="preserve"> ou aux organismes privés des rapports </w:t>
      </w:r>
      <w:r w:rsidR="0045536C">
        <w:rPr>
          <w:lang w:val="fr-FR"/>
        </w:rPr>
        <w:t>soumettant</w:t>
      </w:r>
      <w:r w:rsidRPr="00BF1937">
        <w:rPr>
          <w:lang w:val="fr-FR"/>
        </w:rPr>
        <w:t xml:space="preserve"> des recommandations et des propositions de politiques et de pratiques conformes à la Convention;</w:t>
      </w:r>
    </w:p>
    <w:p w:rsidR="00BF1937" w:rsidRPr="00BF1937" w:rsidRDefault="00BF1937" w:rsidP="00AD54C4">
      <w:pPr>
        <w:pStyle w:val="Bullet1"/>
        <w:ind w:left="1743" w:hanging="130"/>
        <w:rPr>
          <w:lang w:val="fr-CH"/>
        </w:rPr>
      </w:pPr>
      <w:r w:rsidRPr="00BF1937">
        <w:rPr>
          <w:lang w:val="fr-FR"/>
        </w:rPr>
        <w:t xml:space="preserve">Coopérer avec le Comité consultatif pour le suivi de la mise en œuvre de la Convention, qui est constitué de </w:t>
      </w:r>
      <w:r w:rsidR="0045536C">
        <w:rPr>
          <w:lang w:val="fr-FR"/>
        </w:rPr>
        <w:t>membres</w:t>
      </w:r>
      <w:r w:rsidRPr="00BF1937">
        <w:rPr>
          <w:lang w:val="fr-FR"/>
        </w:rPr>
        <w:t xml:space="preserve"> du mécanisme indépendant</w:t>
      </w:r>
      <w:r w:rsidR="0045536C">
        <w:rPr>
          <w:lang w:val="fr-FR"/>
        </w:rPr>
        <w:t>,</w:t>
      </w:r>
      <w:r w:rsidRPr="00BF1937">
        <w:rPr>
          <w:lang w:val="fr-FR"/>
        </w:rPr>
        <w:t xml:space="preserve"> et la Confédération </w:t>
      </w:r>
      <w:r w:rsidR="0045536C">
        <w:rPr>
          <w:lang w:val="fr-FR"/>
        </w:rPr>
        <w:t xml:space="preserve">chypriote </w:t>
      </w:r>
      <w:r w:rsidRPr="00BF1937">
        <w:rPr>
          <w:lang w:val="fr-FR"/>
        </w:rPr>
        <w:t>des organisations de personnes handicapées;</w:t>
      </w:r>
    </w:p>
    <w:p w:rsidR="00BF1937" w:rsidRPr="00BF1937" w:rsidRDefault="00BF1937" w:rsidP="00AD54C4">
      <w:pPr>
        <w:pStyle w:val="Bullet1"/>
        <w:ind w:left="1743" w:hanging="130"/>
        <w:rPr>
          <w:lang w:val="fr-CH"/>
        </w:rPr>
      </w:pPr>
      <w:r w:rsidRPr="00BF1937">
        <w:rPr>
          <w:lang w:val="fr-FR"/>
        </w:rPr>
        <w:t>Coopérer avec le Mécanisme de coordination pour le suivi et la mise en œuvre du Plan d</w:t>
      </w:r>
      <w:r w:rsidR="008300FB">
        <w:rPr>
          <w:lang w:val="fr-FR"/>
        </w:rPr>
        <w:t>’</w:t>
      </w:r>
      <w:r w:rsidRPr="00BF1937">
        <w:rPr>
          <w:lang w:val="fr-FR"/>
        </w:rPr>
        <w:t xml:space="preserve">action </w:t>
      </w:r>
      <w:r w:rsidR="0045536C" w:rsidRPr="00BF1937">
        <w:rPr>
          <w:lang w:val="fr-FR"/>
        </w:rPr>
        <w:t xml:space="preserve">national </w:t>
      </w:r>
      <w:r w:rsidRPr="00BF1937">
        <w:rPr>
          <w:lang w:val="fr-FR"/>
        </w:rPr>
        <w:t>pour la mise en œuvre de la Convention;</w:t>
      </w:r>
    </w:p>
    <w:p w:rsidR="00BF1937" w:rsidRPr="00BF1937" w:rsidRDefault="00BF1937" w:rsidP="00AD54C4">
      <w:pPr>
        <w:pStyle w:val="Bullet1"/>
        <w:ind w:left="1743" w:hanging="130"/>
        <w:rPr>
          <w:lang w:val="fr-CH"/>
        </w:rPr>
      </w:pPr>
      <w:r w:rsidRPr="00BF1937">
        <w:rPr>
          <w:lang w:val="fr-FR"/>
        </w:rPr>
        <w:t>Informer les acteurs publics et privés</w:t>
      </w:r>
      <w:r w:rsidR="0045536C">
        <w:rPr>
          <w:lang w:val="fr-FR"/>
        </w:rPr>
        <w:t>,</w:t>
      </w:r>
      <w:r w:rsidRPr="00BF1937">
        <w:rPr>
          <w:lang w:val="fr-FR"/>
        </w:rPr>
        <w:t xml:space="preserve"> et promouvoir</w:t>
      </w:r>
      <w:r w:rsidR="0045536C">
        <w:rPr>
          <w:lang w:val="fr-FR"/>
        </w:rPr>
        <w:t xml:space="preserve"> la protection et la réalisation</w:t>
      </w:r>
      <w:r w:rsidRPr="00BF1937">
        <w:rPr>
          <w:lang w:val="fr-FR"/>
        </w:rPr>
        <w:t xml:space="preserve"> </w:t>
      </w:r>
      <w:r w:rsidR="0045536C">
        <w:rPr>
          <w:lang w:val="fr-FR"/>
        </w:rPr>
        <w:t>d</w:t>
      </w:r>
      <w:r w:rsidRPr="00BF1937">
        <w:rPr>
          <w:lang w:val="fr-FR"/>
        </w:rPr>
        <w:t xml:space="preserve">es droits et </w:t>
      </w:r>
      <w:r w:rsidR="0045536C">
        <w:rPr>
          <w:lang w:val="fr-FR"/>
        </w:rPr>
        <w:t>d</w:t>
      </w:r>
      <w:r w:rsidRPr="00BF1937">
        <w:rPr>
          <w:lang w:val="fr-FR"/>
        </w:rPr>
        <w:t>es valeurs inscrits dans la Convention</w:t>
      </w:r>
      <w:r w:rsidR="0045536C">
        <w:rPr>
          <w:lang w:val="fr-FR"/>
        </w:rPr>
        <w:t>,</w:t>
      </w:r>
      <w:r w:rsidRPr="00BF1937">
        <w:rPr>
          <w:lang w:val="fr-FR"/>
        </w:rPr>
        <w:t xml:space="preserve"> en coopération avec l</w:t>
      </w:r>
      <w:r w:rsidR="0045536C">
        <w:rPr>
          <w:lang w:val="fr-FR"/>
        </w:rPr>
        <w:t>’organe de liaison</w:t>
      </w:r>
      <w:r w:rsidRPr="00BF1937">
        <w:rPr>
          <w:lang w:val="fr-FR"/>
        </w:rPr>
        <w:t>.</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L</w:t>
      </w:r>
      <w:r w:rsidR="0045536C">
        <w:rPr>
          <w:lang w:val="fr-FR"/>
        </w:rPr>
        <w:t>e</w:t>
      </w:r>
      <w:r w:rsidRPr="00BF1937">
        <w:rPr>
          <w:lang w:val="fr-FR"/>
        </w:rPr>
        <w:t xml:space="preserve"> nouve</w:t>
      </w:r>
      <w:r w:rsidR="0045536C">
        <w:rPr>
          <w:lang w:val="fr-FR"/>
        </w:rPr>
        <w:t>au</w:t>
      </w:r>
      <w:r w:rsidRPr="00BF1937">
        <w:rPr>
          <w:lang w:val="fr-FR"/>
        </w:rPr>
        <w:t xml:space="preserve"> </w:t>
      </w:r>
      <w:r w:rsidR="0045536C">
        <w:rPr>
          <w:lang w:val="fr-FR"/>
        </w:rPr>
        <w:t xml:space="preserve">cadre </w:t>
      </w:r>
      <w:r w:rsidRPr="00BF1937">
        <w:rPr>
          <w:lang w:val="fr-FR"/>
        </w:rPr>
        <w:t>législati</w:t>
      </w:r>
      <w:r w:rsidR="0045536C">
        <w:rPr>
          <w:lang w:val="fr-FR"/>
        </w:rPr>
        <w:t>f</w:t>
      </w:r>
      <w:r w:rsidRPr="00BF1937">
        <w:rPr>
          <w:lang w:val="fr-FR"/>
        </w:rPr>
        <w:t xml:space="preserve"> confère à l</w:t>
      </w:r>
      <w:r w:rsidR="008300FB">
        <w:rPr>
          <w:lang w:val="fr-FR"/>
        </w:rPr>
        <w:t>’</w:t>
      </w:r>
      <w:r w:rsidRPr="00BF1937">
        <w:rPr>
          <w:lang w:val="fr-FR"/>
        </w:rPr>
        <w:t>Ombudsman des compétences étendues en matière de protection des droits de l</w:t>
      </w:r>
      <w:r w:rsidR="008300FB">
        <w:rPr>
          <w:lang w:val="fr-FR"/>
        </w:rPr>
        <w:t>’</w:t>
      </w:r>
      <w:r w:rsidRPr="00BF1937">
        <w:rPr>
          <w:lang w:val="fr-FR"/>
        </w:rPr>
        <w:t>homme et de lutte contre la discrimination. Outre l</w:t>
      </w:r>
      <w:r w:rsidR="0045536C">
        <w:rPr>
          <w:lang w:val="fr-FR"/>
        </w:rPr>
        <w:t>’examen</w:t>
      </w:r>
      <w:r w:rsidRPr="00BF1937">
        <w:rPr>
          <w:lang w:val="fr-FR"/>
        </w:rPr>
        <w:t xml:space="preserve"> des plaintes spécifiques, l</w:t>
      </w:r>
      <w:r w:rsidR="008300FB">
        <w:rPr>
          <w:lang w:val="fr-FR"/>
        </w:rPr>
        <w:t>’</w:t>
      </w:r>
      <w:r w:rsidRPr="00BF1937">
        <w:rPr>
          <w:lang w:val="fr-FR"/>
        </w:rPr>
        <w:t xml:space="preserve">Ombudsman </w:t>
      </w:r>
      <w:r w:rsidR="0045536C">
        <w:rPr>
          <w:lang w:val="fr-FR"/>
        </w:rPr>
        <w:t>mène</w:t>
      </w:r>
      <w:r w:rsidRPr="00BF1937">
        <w:rPr>
          <w:lang w:val="fr-FR"/>
        </w:rPr>
        <w:t xml:space="preserve"> également </w:t>
      </w:r>
      <w:r w:rsidR="0045536C">
        <w:rPr>
          <w:lang w:val="fr-FR"/>
        </w:rPr>
        <w:t xml:space="preserve">en amont </w:t>
      </w:r>
      <w:r w:rsidRPr="00BF1937">
        <w:rPr>
          <w:lang w:val="fr-FR"/>
        </w:rPr>
        <w:t xml:space="preserve">des activités </w:t>
      </w:r>
      <w:r w:rsidR="0045536C">
        <w:rPr>
          <w:lang w:val="fr-FR"/>
        </w:rPr>
        <w:t xml:space="preserve">plus larges dans les domaines </w:t>
      </w:r>
      <w:r w:rsidRPr="00BF1937">
        <w:rPr>
          <w:lang w:val="fr-FR"/>
        </w:rPr>
        <w:t xml:space="preserve">de </w:t>
      </w:r>
      <w:r w:rsidR="0045536C">
        <w:rPr>
          <w:lang w:val="fr-FR"/>
        </w:rPr>
        <w:t xml:space="preserve">la </w:t>
      </w:r>
      <w:r w:rsidRPr="00BF1937">
        <w:rPr>
          <w:lang w:val="fr-FR"/>
        </w:rPr>
        <w:t>prévention, d</w:t>
      </w:r>
      <w:r w:rsidR="0045536C">
        <w:rPr>
          <w:lang w:val="fr-FR"/>
        </w:rPr>
        <w:t>e l</w:t>
      </w:r>
      <w:r w:rsidR="008300FB">
        <w:rPr>
          <w:lang w:val="fr-FR"/>
        </w:rPr>
        <w:t>’</w:t>
      </w:r>
      <w:r w:rsidRPr="00BF1937">
        <w:rPr>
          <w:lang w:val="fr-FR"/>
        </w:rPr>
        <w:t>éducation et d</w:t>
      </w:r>
      <w:r w:rsidR="0045536C">
        <w:rPr>
          <w:lang w:val="fr-FR"/>
        </w:rPr>
        <w:t>e l</w:t>
      </w:r>
      <w:r w:rsidR="008300FB">
        <w:rPr>
          <w:lang w:val="fr-FR"/>
        </w:rPr>
        <w:t>’</w:t>
      </w:r>
      <w:r w:rsidRPr="00BF1937">
        <w:rPr>
          <w:lang w:val="fr-FR"/>
        </w:rPr>
        <w:t>information, notamment</w:t>
      </w:r>
      <w:r w:rsidR="0045536C">
        <w:rPr>
          <w:lang w:val="fr-FR"/>
        </w:rPr>
        <w:t xml:space="preserve"> les suivantes </w:t>
      </w:r>
      <w:r w:rsidRPr="00BF1937">
        <w:rPr>
          <w:lang w:val="fr-FR"/>
        </w:rPr>
        <w:t>:</w:t>
      </w:r>
    </w:p>
    <w:p w:rsidR="00BF1937" w:rsidRPr="00BF1937" w:rsidRDefault="00BF1937" w:rsidP="00AD54C4">
      <w:pPr>
        <w:pStyle w:val="Bullet1"/>
        <w:ind w:left="1743" w:hanging="130"/>
        <w:rPr>
          <w:lang w:val="fr-CH"/>
        </w:rPr>
      </w:pPr>
      <w:r w:rsidRPr="00BF1937">
        <w:rPr>
          <w:lang w:val="fr-FR"/>
        </w:rPr>
        <w:t>Élaboration et diffusion de codes de bonnes pratiques;</w:t>
      </w:r>
    </w:p>
    <w:p w:rsidR="00BF1937" w:rsidRPr="00BF1937" w:rsidRDefault="0045536C" w:rsidP="00AD54C4">
      <w:pPr>
        <w:pStyle w:val="Bullet1"/>
        <w:ind w:left="1743" w:hanging="130"/>
        <w:rPr>
          <w:lang w:val="fr-CH"/>
        </w:rPr>
      </w:pPr>
      <w:r>
        <w:rPr>
          <w:lang w:val="fr-FR"/>
        </w:rPr>
        <w:t>Lancement de c</w:t>
      </w:r>
      <w:r w:rsidR="00BF1937" w:rsidRPr="00BF1937">
        <w:rPr>
          <w:lang w:val="fr-FR"/>
        </w:rPr>
        <w:t>ampagnes de sensibilisation dans les médias;</w:t>
      </w:r>
    </w:p>
    <w:p w:rsidR="00BF1937" w:rsidRPr="00BF1937" w:rsidRDefault="0045536C" w:rsidP="00AD54C4">
      <w:pPr>
        <w:pStyle w:val="Bullet1"/>
        <w:ind w:left="1743" w:hanging="130"/>
        <w:rPr>
          <w:lang w:val="fr-CH"/>
        </w:rPr>
      </w:pPr>
      <w:r>
        <w:rPr>
          <w:lang w:val="fr-FR"/>
        </w:rPr>
        <w:t>Organisation de s</w:t>
      </w:r>
      <w:r w:rsidR="00BF1937" w:rsidRPr="00BF1937">
        <w:rPr>
          <w:lang w:val="fr-FR"/>
        </w:rPr>
        <w:t>éminaires de formation à l</w:t>
      </w:r>
      <w:r w:rsidR="008300FB">
        <w:rPr>
          <w:lang w:val="fr-FR"/>
        </w:rPr>
        <w:t>’</w:t>
      </w:r>
      <w:r>
        <w:rPr>
          <w:lang w:val="fr-FR"/>
        </w:rPr>
        <w:t>in</w:t>
      </w:r>
      <w:r w:rsidR="00BF1937" w:rsidRPr="00BF1937">
        <w:rPr>
          <w:lang w:val="fr-FR"/>
        </w:rPr>
        <w:t xml:space="preserve">tention des fonctionnaires, des policiers </w:t>
      </w:r>
      <w:r>
        <w:rPr>
          <w:lang w:val="fr-FR"/>
        </w:rPr>
        <w:t>ou d’</w:t>
      </w:r>
      <w:r w:rsidR="00BF1937" w:rsidRPr="00BF1937">
        <w:rPr>
          <w:lang w:val="fr-FR"/>
        </w:rPr>
        <w:t xml:space="preserve">autres professionnels, </w:t>
      </w:r>
      <w:r>
        <w:rPr>
          <w:lang w:val="fr-FR"/>
        </w:rPr>
        <w:t xml:space="preserve">ainsi que du </w:t>
      </w:r>
      <w:r w:rsidR="00BF1937" w:rsidRPr="00BF1937">
        <w:rPr>
          <w:lang w:val="fr-FR"/>
        </w:rPr>
        <w:t>milieu scolaire;</w:t>
      </w:r>
    </w:p>
    <w:p w:rsidR="00BF1937" w:rsidRPr="00BF1937" w:rsidRDefault="00BF1937" w:rsidP="00AD54C4">
      <w:pPr>
        <w:pStyle w:val="Bullet1"/>
        <w:ind w:left="1743" w:hanging="130"/>
        <w:rPr>
          <w:lang w:val="fr-CH"/>
        </w:rPr>
      </w:pPr>
      <w:r w:rsidRPr="00BF1937">
        <w:rPr>
          <w:lang w:val="fr-FR"/>
        </w:rPr>
        <w:t xml:space="preserve">Participation à des réseaux internationaux et régionaux </w:t>
      </w:r>
      <w:r w:rsidR="0045536C">
        <w:rPr>
          <w:lang w:val="fr-FR"/>
        </w:rPr>
        <w:t xml:space="preserve">dotés du </w:t>
      </w:r>
      <w:r w:rsidRPr="00BF1937">
        <w:rPr>
          <w:lang w:val="fr-FR"/>
        </w:rPr>
        <w:t xml:space="preserve">même </w:t>
      </w:r>
      <w:r w:rsidR="0045536C">
        <w:rPr>
          <w:lang w:val="fr-FR"/>
        </w:rPr>
        <w:t>mandat</w:t>
      </w:r>
      <w:r w:rsidRPr="00BF1937">
        <w:rPr>
          <w:lang w:val="fr-FR"/>
        </w:rPr>
        <w:t>;</w:t>
      </w:r>
    </w:p>
    <w:p w:rsidR="00BF1937" w:rsidRPr="00BF1937" w:rsidRDefault="00BF1937" w:rsidP="00AD54C4">
      <w:pPr>
        <w:pStyle w:val="Bullet1"/>
        <w:ind w:left="1743" w:hanging="130"/>
        <w:rPr>
          <w:lang w:val="fr-CH"/>
        </w:rPr>
      </w:pPr>
      <w:r w:rsidRPr="00BF1937">
        <w:rPr>
          <w:lang w:val="fr-FR"/>
        </w:rPr>
        <w:t>Réalisation d</w:t>
      </w:r>
      <w:r w:rsidR="008300FB">
        <w:rPr>
          <w:lang w:val="fr-FR"/>
        </w:rPr>
        <w:t>’</w:t>
      </w:r>
      <w:r w:rsidRPr="00BF1937">
        <w:rPr>
          <w:lang w:val="fr-FR"/>
        </w:rPr>
        <w:t>enquêtes et d</w:t>
      </w:r>
      <w:r w:rsidR="008300FB">
        <w:rPr>
          <w:lang w:val="fr-FR"/>
        </w:rPr>
        <w:t>’</w:t>
      </w:r>
      <w:r w:rsidRPr="00BF1937">
        <w:rPr>
          <w:lang w:val="fr-FR"/>
        </w:rPr>
        <w:t>études statistiques.</w:t>
      </w:r>
    </w:p>
    <w:p w:rsidR="00BF1937" w:rsidRPr="00AD54C4" w:rsidRDefault="00BF1937" w:rsidP="00AD54C4">
      <w:pPr>
        <w:pStyle w:val="SingleTxt"/>
        <w:numPr>
          <w:ilvl w:val="0"/>
          <w:numId w:val="18"/>
        </w:numPr>
        <w:tabs>
          <w:tab w:val="clear" w:pos="475"/>
          <w:tab w:val="num" w:pos="1742"/>
        </w:tabs>
        <w:ind w:left="1267"/>
        <w:rPr>
          <w:lang w:val="fr-CH"/>
        </w:rPr>
      </w:pPr>
      <w:r w:rsidRPr="00AD54C4">
        <w:rPr>
          <w:b/>
          <w:bCs/>
          <w:lang w:val="fr-FR"/>
        </w:rPr>
        <w:t>Comité de su</w:t>
      </w:r>
      <w:r w:rsidR="0045536C">
        <w:rPr>
          <w:b/>
          <w:bCs/>
          <w:lang w:val="fr-FR"/>
        </w:rPr>
        <w:t>pervision</w:t>
      </w:r>
      <w:r w:rsidRPr="00AD54C4">
        <w:rPr>
          <w:b/>
          <w:bCs/>
          <w:lang w:val="fr-FR"/>
        </w:rPr>
        <w:t xml:space="preserve"> des centres de </w:t>
      </w:r>
      <w:r w:rsidR="0045536C">
        <w:rPr>
          <w:b/>
          <w:bCs/>
          <w:lang w:val="fr-FR"/>
        </w:rPr>
        <w:t>d</w:t>
      </w:r>
      <w:r w:rsidRPr="00AD54C4">
        <w:rPr>
          <w:b/>
          <w:bCs/>
          <w:lang w:val="fr-FR"/>
        </w:rPr>
        <w:t xml:space="preserve">étention pour </w:t>
      </w:r>
      <w:r w:rsidR="0045536C">
        <w:rPr>
          <w:b/>
          <w:bCs/>
          <w:lang w:val="fr-FR"/>
        </w:rPr>
        <w:t>im</w:t>
      </w:r>
      <w:r w:rsidRPr="00AD54C4">
        <w:rPr>
          <w:b/>
          <w:bCs/>
          <w:lang w:val="fr-FR"/>
        </w:rPr>
        <w:t>migrants en situation irrégulière</w:t>
      </w:r>
      <w:r w:rsidR="00AD54C4">
        <w:rPr>
          <w:b/>
          <w:bCs/>
          <w:lang w:val="fr-FR"/>
        </w:rPr>
        <w:t> </w:t>
      </w:r>
      <w:r w:rsidRPr="00AD54C4">
        <w:rPr>
          <w:b/>
          <w:lang w:val="fr-FR"/>
        </w:rPr>
        <w:t>:</w:t>
      </w:r>
      <w:r w:rsidR="00AD54C4" w:rsidRPr="00AD54C4">
        <w:rPr>
          <w:lang w:val="fr-FR"/>
        </w:rPr>
        <w:t xml:space="preserve"> </w:t>
      </w:r>
      <w:r w:rsidR="0045536C" w:rsidRPr="00AD54C4">
        <w:rPr>
          <w:lang w:val="fr-FR"/>
        </w:rPr>
        <w:t>l</w:t>
      </w:r>
      <w:r w:rsidR="008300FB" w:rsidRPr="00AD54C4">
        <w:rPr>
          <w:lang w:val="fr-FR"/>
        </w:rPr>
        <w:t>’</w:t>
      </w:r>
      <w:r w:rsidRPr="00AD54C4">
        <w:rPr>
          <w:lang w:val="fr-FR"/>
        </w:rPr>
        <w:t xml:space="preserve">article 5 de la loi L.83(1)/2011 </w:t>
      </w:r>
      <w:r w:rsidR="0045536C">
        <w:rPr>
          <w:lang w:val="fr-FR"/>
        </w:rPr>
        <w:t xml:space="preserve">portant création et réglementation des </w:t>
      </w:r>
      <w:r w:rsidRPr="00AD54C4">
        <w:rPr>
          <w:lang w:val="fr-FR"/>
        </w:rPr>
        <w:t xml:space="preserve">locaux </w:t>
      </w:r>
      <w:r w:rsidR="0045536C">
        <w:rPr>
          <w:lang w:val="fr-FR"/>
        </w:rPr>
        <w:t xml:space="preserve">accueillant </w:t>
      </w:r>
      <w:r w:rsidR="00522141">
        <w:rPr>
          <w:lang w:val="fr-FR"/>
        </w:rPr>
        <w:t>le</w:t>
      </w:r>
      <w:r w:rsidR="0045536C">
        <w:rPr>
          <w:lang w:val="fr-FR"/>
        </w:rPr>
        <w:t xml:space="preserve">s </w:t>
      </w:r>
      <w:r w:rsidR="00522141">
        <w:rPr>
          <w:lang w:val="fr-FR"/>
        </w:rPr>
        <w:t>im</w:t>
      </w:r>
      <w:r w:rsidRPr="00AD54C4">
        <w:rPr>
          <w:lang w:val="fr-FR"/>
        </w:rPr>
        <w:t xml:space="preserve">migrants en situation irrégulière prévoit </w:t>
      </w:r>
      <w:r w:rsidR="00522141">
        <w:rPr>
          <w:lang w:val="fr-FR"/>
        </w:rPr>
        <w:t>la création d’un</w:t>
      </w:r>
      <w:r w:rsidRPr="00AD54C4">
        <w:rPr>
          <w:lang w:val="fr-FR"/>
        </w:rPr>
        <w:t xml:space="preserve"> </w:t>
      </w:r>
      <w:r w:rsidR="00522141" w:rsidRPr="00AD54C4">
        <w:rPr>
          <w:lang w:val="fr-FR"/>
        </w:rPr>
        <w:t>c</w:t>
      </w:r>
      <w:r w:rsidRPr="00AD54C4">
        <w:rPr>
          <w:lang w:val="fr-FR"/>
        </w:rPr>
        <w:t xml:space="preserve">omité </w:t>
      </w:r>
      <w:r w:rsidR="00522141">
        <w:rPr>
          <w:lang w:val="fr-FR"/>
        </w:rPr>
        <w:t xml:space="preserve">chargé de superviser les </w:t>
      </w:r>
      <w:r w:rsidRPr="00AD54C4">
        <w:rPr>
          <w:lang w:val="fr-FR"/>
        </w:rPr>
        <w:t xml:space="preserve">centres de </w:t>
      </w:r>
      <w:r w:rsidR="00522141">
        <w:rPr>
          <w:lang w:val="fr-FR"/>
        </w:rPr>
        <w:t>d</w:t>
      </w:r>
      <w:r w:rsidRPr="00AD54C4">
        <w:rPr>
          <w:lang w:val="fr-FR"/>
        </w:rPr>
        <w:t xml:space="preserve">étention </w:t>
      </w:r>
      <w:r w:rsidR="00522141">
        <w:rPr>
          <w:lang w:val="fr-FR"/>
        </w:rPr>
        <w:t>accueillant des im</w:t>
      </w:r>
      <w:r w:rsidRPr="00AD54C4">
        <w:rPr>
          <w:lang w:val="fr-FR"/>
        </w:rPr>
        <w:t xml:space="preserve">migrants en situation irrégulière (Comité de </w:t>
      </w:r>
      <w:r w:rsidR="00522141">
        <w:rPr>
          <w:lang w:val="fr-FR"/>
        </w:rPr>
        <w:t>supervision</w:t>
      </w:r>
      <w:r w:rsidRPr="00AD54C4">
        <w:rPr>
          <w:lang w:val="fr-FR"/>
        </w:rPr>
        <w:t xml:space="preserve">) </w:t>
      </w:r>
      <w:r w:rsidR="00522141">
        <w:rPr>
          <w:lang w:val="fr-FR"/>
        </w:rPr>
        <w:t xml:space="preserve">par </w:t>
      </w:r>
      <w:r w:rsidRPr="00AD54C4">
        <w:rPr>
          <w:lang w:val="fr-FR"/>
        </w:rPr>
        <w:t xml:space="preserve">décision du Conseil des ministres (décision </w:t>
      </w:r>
      <w:r w:rsidR="00AD54C4">
        <w:rPr>
          <w:lang w:val="fr-FR"/>
        </w:rPr>
        <w:t>n</w:t>
      </w:r>
      <w:r w:rsidR="00AD54C4" w:rsidRPr="00AD54C4">
        <w:rPr>
          <w:vertAlign w:val="superscript"/>
          <w:lang w:val="fr-FR"/>
        </w:rPr>
        <w:t>o</w:t>
      </w:r>
      <w:r w:rsidR="00AD54C4">
        <w:rPr>
          <w:lang w:val="fr-FR"/>
        </w:rPr>
        <w:t> 74.638 du 5 </w:t>
      </w:r>
      <w:r w:rsidRPr="00AD54C4">
        <w:rPr>
          <w:lang w:val="fr-FR"/>
        </w:rPr>
        <w:t xml:space="preserve">février 2013). </w:t>
      </w:r>
      <w:r w:rsidR="00522141">
        <w:rPr>
          <w:lang w:val="fr-FR"/>
        </w:rPr>
        <w:t xml:space="preserve">En application de </w:t>
      </w:r>
      <w:r w:rsidRPr="00AD54C4">
        <w:rPr>
          <w:lang w:val="fr-FR"/>
        </w:rPr>
        <w:t xml:space="preserve">cette loi, le Comité </w:t>
      </w:r>
      <w:r w:rsidR="00522141">
        <w:rPr>
          <w:lang w:val="fr-FR"/>
        </w:rPr>
        <w:t xml:space="preserve">se rend dans </w:t>
      </w:r>
      <w:r w:rsidRPr="00AD54C4">
        <w:rPr>
          <w:lang w:val="fr-FR"/>
        </w:rPr>
        <w:t xml:space="preserve">les centres de </w:t>
      </w:r>
      <w:r w:rsidR="00522141">
        <w:rPr>
          <w:lang w:val="fr-FR"/>
        </w:rPr>
        <w:t>d</w:t>
      </w:r>
      <w:r w:rsidRPr="00AD54C4">
        <w:rPr>
          <w:lang w:val="fr-FR"/>
        </w:rPr>
        <w:t xml:space="preserve">étention </w:t>
      </w:r>
      <w:r w:rsidR="00522141">
        <w:rPr>
          <w:lang w:val="fr-FR"/>
        </w:rPr>
        <w:t>accueillant des im</w:t>
      </w:r>
      <w:r w:rsidRPr="00AD54C4">
        <w:rPr>
          <w:lang w:val="fr-FR"/>
        </w:rPr>
        <w:t xml:space="preserve">migrants en situation irrégulière au moins huit fois </w:t>
      </w:r>
      <w:r w:rsidR="00522141">
        <w:rPr>
          <w:lang w:val="fr-FR"/>
        </w:rPr>
        <w:t>par an</w:t>
      </w:r>
      <w:r w:rsidRPr="00AD54C4">
        <w:rPr>
          <w:lang w:val="fr-FR"/>
        </w:rPr>
        <w:t xml:space="preserve"> et à chaque fois qu</w:t>
      </w:r>
      <w:r w:rsidR="008300FB" w:rsidRPr="00AD54C4">
        <w:rPr>
          <w:lang w:val="fr-FR"/>
        </w:rPr>
        <w:t>’</w:t>
      </w:r>
      <w:r w:rsidRPr="00AD54C4">
        <w:rPr>
          <w:lang w:val="fr-FR"/>
        </w:rPr>
        <w:t>il le juge nécessaire</w:t>
      </w:r>
      <w:r w:rsidR="00522141">
        <w:rPr>
          <w:lang w:val="fr-FR"/>
        </w:rPr>
        <w:t xml:space="preserve"> pour exercer ses fonctions de supervision</w:t>
      </w:r>
      <w:r w:rsidRPr="00AD54C4">
        <w:rPr>
          <w:lang w:val="fr-FR"/>
        </w:rPr>
        <w:t>.</w:t>
      </w:r>
    </w:p>
    <w:p w:rsidR="00BF1937" w:rsidRPr="00BF1937" w:rsidRDefault="00BA4A12" w:rsidP="00AD54C4">
      <w:pPr>
        <w:pStyle w:val="SingleTxt"/>
        <w:numPr>
          <w:ilvl w:val="0"/>
          <w:numId w:val="18"/>
        </w:numPr>
        <w:tabs>
          <w:tab w:val="clear" w:pos="475"/>
          <w:tab w:val="num" w:pos="1742"/>
        </w:tabs>
        <w:ind w:left="1267"/>
        <w:rPr>
          <w:lang w:val="fr-CH"/>
        </w:rPr>
      </w:pPr>
      <w:r>
        <w:rPr>
          <w:lang w:val="fr-FR"/>
        </w:rPr>
        <w:t>Le</w:t>
      </w:r>
      <w:r w:rsidR="00BF1937" w:rsidRPr="00BF1937">
        <w:rPr>
          <w:lang w:val="fr-FR"/>
        </w:rPr>
        <w:t xml:space="preserve"> Comité du </w:t>
      </w:r>
      <w:r w:rsidRPr="00BF1937">
        <w:rPr>
          <w:lang w:val="fr-FR"/>
        </w:rPr>
        <w:t>C</w:t>
      </w:r>
      <w:r w:rsidR="00BF1937" w:rsidRPr="00BF1937">
        <w:rPr>
          <w:lang w:val="fr-FR"/>
        </w:rPr>
        <w:t xml:space="preserve">entre de </w:t>
      </w:r>
      <w:r>
        <w:rPr>
          <w:lang w:val="fr-FR"/>
        </w:rPr>
        <w:t>d</w:t>
      </w:r>
      <w:r w:rsidR="00BF1937" w:rsidRPr="00BF1937">
        <w:rPr>
          <w:lang w:val="fr-FR"/>
        </w:rPr>
        <w:t xml:space="preserve">étention </w:t>
      </w:r>
      <w:r w:rsidRPr="00BF1937">
        <w:rPr>
          <w:lang w:val="fr-FR"/>
        </w:rPr>
        <w:t xml:space="preserve">des </w:t>
      </w:r>
      <w:r>
        <w:rPr>
          <w:lang w:val="fr-FR"/>
        </w:rPr>
        <w:t>im</w:t>
      </w:r>
      <w:r w:rsidRPr="00BF1937">
        <w:rPr>
          <w:lang w:val="fr-FR"/>
        </w:rPr>
        <w:t xml:space="preserve">migrants en situation irrégulière </w:t>
      </w:r>
      <w:r w:rsidR="00BF1937" w:rsidRPr="00BF1937">
        <w:rPr>
          <w:lang w:val="fr-FR"/>
        </w:rPr>
        <w:t xml:space="preserve">de Menoyia </w:t>
      </w:r>
      <w:r>
        <w:rPr>
          <w:lang w:val="fr-FR"/>
        </w:rPr>
        <w:t xml:space="preserve">chargé d’examiner les plaintes </w:t>
      </w:r>
      <w:r w:rsidR="00BF1937" w:rsidRPr="00BF1937">
        <w:rPr>
          <w:lang w:val="fr-FR"/>
        </w:rPr>
        <w:t xml:space="preserve">a été créé </w:t>
      </w:r>
      <w:r>
        <w:rPr>
          <w:lang w:val="fr-FR"/>
        </w:rPr>
        <w:t xml:space="preserve">par une </w:t>
      </w:r>
      <w:r w:rsidR="00AD54C4">
        <w:rPr>
          <w:lang w:val="fr-FR"/>
        </w:rPr>
        <w:t xml:space="preserve">décision ministérielle </w:t>
      </w:r>
      <w:r>
        <w:rPr>
          <w:lang w:val="fr-FR"/>
        </w:rPr>
        <w:t xml:space="preserve">datée </w:t>
      </w:r>
      <w:r w:rsidR="00AD54C4">
        <w:rPr>
          <w:lang w:val="fr-FR"/>
        </w:rPr>
        <w:t>du 5 </w:t>
      </w:r>
      <w:r w:rsidR="00BF1937" w:rsidRPr="00BF1937">
        <w:rPr>
          <w:lang w:val="fr-FR"/>
        </w:rPr>
        <w:t>mai 2013, en application de l</w:t>
      </w:r>
      <w:r w:rsidR="008300FB">
        <w:rPr>
          <w:lang w:val="fr-FR"/>
        </w:rPr>
        <w:t>’</w:t>
      </w:r>
      <w:r w:rsidR="00BF1937" w:rsidRPr="00BF1937">
        <w:rPr>
          <w:lang w:val="fr-FR"/>
        </w:rPr>
        <w:t xml:space="preserve">article 28 du règlement </w:t>
      </w:r>
      <w:r w:rsidR="00AD54C4">
        <w:rPr>
          <w:lang w:val="fr-FR"/>
        </w:rPr>
        <w:t>n</w:t>
      </w:r>
      <w:r w:rsidR="00AD54C4" w:rsidRPr="00AD54C4">
        <w:rPr>
          <w:vertAlign w:val="superscript"/>
          <w:lang w:val="fr-FR"/>
        </w:rPr>
        <w:t>o</w:t>
      </w:r>
      <w:r w:rsidR="00AD54C4">
        <w:rPr>
          <w:lang w:val="fr-FR"/>
        </w:rPr>
        <w:t> </w:t>
      </w:r>
      <w:r w:rsidR="00BF1937" w:rsidRPr="00BF1937">
        <w:rPr>
          <w:lang w:val="fr-FR"/>
        </w:rPr>
        <w:t xml:space="preserve">16/2011 </w:t>
      </w:r>
      <w:r>
        <w:rPr>
          <w:lang w:val="fr-FR"/>
        </w:rPr>
        <w:t>portant</w:t>
      </w:r>
      <w:r w:rsidR="00BF1937" w:rsidRPr="00BF1937">
        <w:rPr>
          <w:lang w:val="fr-FR"/>
        </w:rPr>
        <w:t xml:space="preserve"> création et </w:t>
      </w:r>
      <w:r>
        <w:rPr>
          <w:lang w:val="fr-FR"/>
        </w:rPr>
        <w:t>réglementation des locaux accueillant des im</w:t>
      </w:r>
      <w:r w:rsidR="00BF1937" w:rsidRPr="00BF1937">
        <w:rPr>
          <w:lang w:val="fr-FR"/>
        </w:rPr>
        <w:t xml:space="preserve">migrants en situation irrégulière. Ce comité peut, </w:t>
      </w:r>
      <w:r>
        <w:rPr>
          <w:lang w:val="fr-FR"/>
        </w:rPr>
        <w:t>d’office</w:t>
      </w:r>
      <w:r w:rsidR="00BF1937" w:rsidRPr="00BF1937">
        <w:rPr>
          <w:lang w:val="fr-FR"/>
        </w:rPr>
        <w:t xml:space="preserve"> ou </w:t>
      </w:r>
      <w:r>
        <w:rPr>
          <w:lang w:val="fr-FR"/>
        </w:rPr>
        <w:t xml:space="preserve">pour donner suite à la </w:t>
      </w:r>
      <w:r w:rsidR="00BF1937" w:rsidRPr="00BF1937">
        <w:rPr>
          <w:lang w:val="fr-FR"/>
        </w:rPr>
        <w:t>plainte d</w:t>
      </w:r>
      <w:r w:rsidR="008300FB">
        <w:rPr>
          <w:lang w:val="fr-FR"/>
        </w:rPr>
        <w:t>’</w:t>
      </w:r>
      <w:r w:rsidR="00BF1937" w:rsidRPr="00BF1937">
        <w:rPr>
          <w:lang w:val="fr-FR"/>
        </w:rPr>
        <w:t xml:space="preserve">un détenu, a) réexaminer une décision du </w:t>
      </w:r>
      <w:r w:rsidRPr="00BF1937">
        <w:rPr>
          <w:lang w:val="fr-FR"/>
        </w:rPr>
        <w:t>D</w:t>
      </w:r>
      <w:r w:rsidR="00BF1937" w:rsidRPr="00BF1937">
        <w:rPr>
          <w:lang w:val="fr-FR"/>
        </w:rPr>
        <w:t xml:space="preserve">irecteur du </w:t>
      </w:r>
      <w:r w:rsidRPr="00BF1937">
        <w:rPr>
          <w:lang w:val="fr-FR"/>
        </w:rPr>
        <w:t>C</w:t>
      </w:r>
      <w:r w:rsidR="00BF1937" w:rsidRPr="00BF1937">
        <w:rPr>
          <w:lang w:val="fr-FR"/>
        </w:rPr>
        <w:t xml:space="preserve">entre de </w:t>
      </w:r>
      <w:r>
        <w:rPr>
          <w:lang w:val="fr-FR"/>
        </w:rPr>
        <w:t>d</w:t>
      </w:r>
      <w:r w:rsidR="00BF1937" w:rsidRPr="00BF1937">
        <w:rPr>
          <w:lang w:val="fr-FR"/>
        </w:rPr>
        <w:t>étention et b) examiner l</w:t>
      </w:r>
      <w:r>
        <w:rPr>
          <w:lang w:val="fr-FR"/>
        </w:rPr>
        <w:t>es</w:t>
      </w:r>
      <w:r w:rsidR="00BF1937" w:rsidRPr="00BF1937">
        <w:rPr>
          <w:lang w:val="fr-FR"/>
        </w:rPr>
        <w:t xml:space="preserve"> plainte</w:t>
      </w:r>
      <w:r>
        <w:rPr>
          <w:lang w:val="fr-FR"/>
        </w:rPr>
        <w:t>s</w:t>
      </w:r>
      <w:r w:rsidR="00BF1937" w:rsidRPr="00BF1937">
        <w:rPr>
          <w:lang w:val="fr-FR"/>
        </w:rPr>
        <w:t xml:space="preserve"> d</w:t>
      </w:r>
      <w:r>
        <w:rPr>
          <w:lang w:val="fr-FR"/>
        </w:rPr>
        <w:t>es</w:t>
      </w:r>
      <w:r w:rsidR="00BF1937" w:rsidRPr="00BF1937">
        <w:rPr>
          <w:lang w:val="fr-FR"/>
        </w:rPr>
        <w:t xml:space="preserve"> détenu</w:t>
      </w:r>
      <w:r>
        <w:rPr>
          <w:lang w:val="fr-FR"/>
        </w:rPr>
        <w:t>s</w:t>
      </w:r>
      <w:r w:rsidR="00BF1937" w:rsidRPr="00BF1937">
        <w:rPr>
          <w:lang w:val="fr-FR"/>
        </w:rPr>
        <w:t xml:space="preserve"> concernant l</w:t>
      </w:r>
      <w:r>
        <w:rPr>
          <w:lang w:val="fr-FR"/>
        </w:rPr>
        <w:t xml:space="preserve">es </w:t>
      </w:r>
      <w:r w:rsidR="00BF1937" w:rsidRPr="00BF1937">
        <w:rPr>
          <w:lang w:val="fr-FR"/>
        </w:rPr>
        <w:t>conditions de détention</w:t>
      </w:r>
      <w:r>
        <w:rPr>
          <w:lang w:val="fr-FR"/>
        </w:rPr>
        <w:t xml:space="preserve"> et le traitement des détenus</w:t>
      </w:r>
      <w:r w:rsidR="00BF1937" w:rsidRPr="00BF1937">
        <w:rPr>
          <w:lang w:val="fr-FR"/>
        </w:rPr>
        <w:t>.</w:t>
      </w:r>
    </w:p>
    <w:p w:rsidR="00BF1937" w:rsidRPr="00BF1937" w:rsidRDefault="00BF1937" w:rsidP="00AD54C4">
      <w:pPr>
        <w:pStyle w:val="SingleTxt"/>
        <w:numPr>
          <w:ilvl w:val="0"/>
          <w:numId w:val="18"/>
        </w:numPr>
        <w:tabs>
          <w:tab w:val="clear" w:pos="475"/>
          <w:tab w:val="num" w:pos="1742"/>
        </w:tabs>
        <w:ind w:left="1267"/>
        <w:rPr>
          <w:lang w:val="fr-CH"/>
        </w:rPr>
      </w:pPr>
      <w:r w:rsidRPr="00365D26">
        <w:rPr>
          <w:b/>
          <w:lang w:val="fr-FR"/>
        </w:rPr>
        <w:t xml:space="preserve">Les ministères compétents </w:t>
      </w:r>
      <w:r w:rsidR="00365D26">
        <w:rPr>
          <w:b/>
          <w:lang w:val="fr-FR"/>
        </w:rPr>
        <w:t xml:space="preserve">ont </w:t>
      </w:r>
      <w:r w:rsidRPr="00365D26">
        <w:rPr>
          <w:b/>
          <w:lang w:val="fr-FR"/>
        </w:rPr>
        <w:t>des contacts réguliers avec les organisations non gouvernementales (ONG)</w:t>
      </w:r>
      <w:r w:rsidRPr="00BF1937">
        <w:rPr>
          <w:lang w:val="fr-FR"/>
        </w:rPr>
        <w:t xml:space="preserve">, notamment pour préparer les lois entrant dans leur domaine de compétence. Reconnaissant </w:t>
      </w:r>
      <w:r w:rsidR="00365D26">
        <w:rPr>
          <w:lang w:val="fr-FR"/>
        </w:rPr>
        <w:t>l’importance de la collaboration</w:t>
      </w:r>
      <w:r w:rsidRPr="00BF1937">
        <w:rPr>
          <w:lang w:val="fr-FR"/>
        </w:rPr>
        <w:t xml:space="preserve"> avec la société civile, les organismes </w:t>
      </w:r>
      <w:r w:rsidR="00365D26">
        <w:rPr>
          <w:lang w:val="fr-FR"/>
        </w:rPr>
        <w:t xml:space="preserve">publics coopèrent </w:t>
      </w:r>
      <w:r w:rsidRPr="00BF1937">
        <w:rPr>
          <w:lang w:val="fr-FR"/>
        </w:rPr>
        <w:t xml:space="preserve">avec </w:t>
      </w:r>
      <w:r w:rsidR="00365D26">
        <w:rPr>
          <w:lang w:val="fr-FR"/>
        </w:rPr>
        <w:t>d</w:t>
      </w:r>
      <w:r w:rsidRPr="00BF1937">
        <w:rPr>
          <w:lang w:val="fr-FR"/>
        </w:rPr>
        <w:t xml:space="preserve">es ONG </w:t>
      </w:r>
      <w:r w:rsidR="00365D26">
        <w:rPr>
          <w:lang w:val="fr-FR"/>
        </w:rPr>
        <w:t xml:space="preserve">comme Cyprus </w:t>
      </w:r>
      <w:r w:rsidR="00365D26" w:rsidRPr="00BF1937">
        <w:rPr>
          <w:lang w:val="fr-FR"/>
        </w:rPr>
        <w:t xml:space="preserve">STOP </w:t>
      </w:r>
      <w:r w:rsidR="00365D26" w:rsidRPr="00365D26">
        <w:rPr>
          <w:lang w:val="fr-CH"/>
        </w:rPr>
        <w:t>Trafficking</w:t>
      </w:r>
      <w:r w:rsidRPr="00BF1937">
        <w:rPr>
          <w:lang w:val="fr-FR"/>
        </w:rPr>
        <w:t>, KISA et l</w:t>
      </w:r>
      <w:r w:rsidR="008300FB">
        <w:rPr>
          <w:lang w:val="fr-FR"/>
        </w:rPr>
        <w:t>’</w:t>
      </w:r>
      <w:r w:rsidRPr="00BF1937">
        <w:rPr>
          <w:lang w:val="fr-FR"/>
        </w:rPr>
        <w:t>Institut méditerranéen sur le genre.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Le Département de l</w:t>
      </w:r>
      <w:r w:rsidR="008300FB">
        <w:rPr>
          <w:lang w:val="fr-FR"/>
        </w:rPr>
        <w:t>’</w:t>
      </w:r>
      <w:r w:rsidRPr="00BF1937">
        <w:rPr>
          <w:lang w:val="fr-FR"/>
        </w:rPr>
        <w:t xml:space="preserve">égalité du Ministère de la justice </w:t>
      </w:r>
      <w:r w:rsidR="00365D26">
        <w:rPr>
          <w:lang w:val="fr-FR"/>
        </w:rPr>
        <w:t>et de l’ordre public et le mécanisme national</w:t>
      </w:r>
      <w:r w:rsidRPr="00BF1937">
        <w:rPr>
          <w:lang w:val="fr-FR"/>
        </w:rPr>
        <w:t xml:space="preserve"> pour les droits de la femme </w:t>
      </w:r>
      <w:r w:rsidR="00365D26">
        <w:rPr>
          <w:lang w:val="fr-FR"/>
        </w:rPr>
        <w:t xml:space="preserve">continuent de </w:t>
      </w:r>
      <w:r w:rsidRPr="00BF1937">
        <w:rPr>
          <w:lang w:val="fr-FR"/>
        </w:rPr>
        <w:t>joue</w:t>
      </w:r>
      <w:r w:rsidR="00365D26">
        <w:rPr>
          <w:lang w:val="fr-FR"/>
        </w:rPr>
        <w:t>r</w:t>
      </w:r>
      <w:r w:rsidRPr="00BF1937">
        <w:rPr>
          <w:lang w:val="fr-FR"/>
        </w:rPr>
        <w:t xml:space="preserve"> un rôle </w:t>
      </w:r>
      <w:r w:rsidR="00365D26">
        <w:rPr>
          <w:lang w:val="fr-FR"/>
        </w:rPr>
        <w:t xml:space="preserve">de premier plan </w:t>
      </w:r>
      <w:r w:rsidRPr="00BF1937">
        <w:rPr>
          <w:lang w:val="fr-FR"/>
        </w:rPr>
        <w:t>dans la promotion globale de l</w:t>
      </w:r>
      <w:r w:rsidR="008300FB">
        <w:rPr>
          <w:lang w:val="fr-FR"/>
        </w:rPr>
        <w:t>’</w:t>
      </w:r>
      <w:r w:rsidRPr="00BF1937">
        <w:rPr>
          <w:lang w:val="fr-FR"/>
        </w:rPr>
        <w:t xml:space="preserve">égalité </w:t>
      </w:r>
      <w:r w:rsidR="00365D26">
        <w:rPr>
          <w:lang w:val="fr-FR"/>
        </w:rPr>
        <w:t>des</w:t>
      </w:r>
      <w:r w:rsidRPr="00BF1937">
        <w:rPr>
          <w:lang w:val="fr-FR"/>
        </w:rPr>
        <w:t xml:space="preserve"> sexes et la protection des droits de la femme. En outre, la création d</w:t>
      </w:r>
      <w:r w:rsidR="008300FB">
        <w:rPr>
          <w:lang w:val="fr-FR"/>
        </w:rPr>
        <w:t>’</w:t>
      </w:r>
      <w:r w:rsidRPr="00BF1937">
        <w:rPr>
          <w:lang w:val="fr-FR"/>
        </w:rPr>
        <w:t>organes, d</w:t>
      </w:r>
      <w:r w:rsidR="008300FB">
        <w:rPr>
          <w:lang w:val="fr-FR"/>
        </w:rPr>
        <w:t>’</w:t>
      </w:r>
      <w:r w:rsidRPr="00BF1937">
        <w:rPr>
          <w:lang w:val="fr-FR"/>
        </w:rPr>
        <w:t>autorités et de comités pour la promotion de l</w:t>
      </w:r>
      <w:r w:rsidR="008300FB">
        <w:rPr>
          <w:lang w:val="fr-FR"/>
        </w:rPr>
        <w:t>’</w:t>
      </w:r>
      <w:r w:rsidRPr="00BF1937">
        <w:rPr>
          <w:lang w:val="fr-FR"/>
        </w:rPr>
        <w:t xml:space="preserve">égalité </w:t>
      </w:r>
      <w:r w:rsidR="00365D26">
        <w:rPr>
          <w:lang w:val="fr-FR"/>
        </w:rPr>
        <w:t>des</w:t>
      </w:r>
      <w:r w:rsidRPr="00BF1937">
        <w:rPr>
          <w:lang w:val="fr-FR"/>
        </w:rPr>
        <w:t xml:space="preserve"> hommes et </w:t>
      </w:r>
      <w:r w:rsidR="00365D26">
        <w:rPr>
          <w:lang w:val="fr-FR"/>
        </w:rPr>
        <w:t>d</w:t>
      </w:r>
      <w:r w:rsidRPr="00BF1937">
        <w:rPr>
          <w:lang w:val="fr-FR"/>
        </w:rPr>
        <w:t>es femmes a insufflé un nouvel élan à la mise en œuvre des lois et des politiques relatives à l</w:t>
      </w:r>
      <w:r w:rsidR="008300FB">
        <w:rPr>
          <w:lang w:val="fr-FR"/>
        </w:rPr>
        <w:t>’</w:t>
      </w:r>
      <w:r w:rsidRPr="00BF1937">
        <w:rPr>
          <w:lang w:val="fr-FR"/>
        </w:rPr>
        <w:t xml:space="preserve">égalité </w:t>
      </w:r>
      <w:r w:rsidR="00296FDC">
        <w:rPr>
          <w:lang w:val="fr-FR"/>
        </w:rPr>
        <w:t>des</w:t>
      </w:r>
      <w:r w:rsidRPr="00BF1937">
        <w:rPr>
          <w:lang w:val="fr-FR"/>
        </w:rPr>
        <w:t xml:space="preserve"> sexes. La participation des organisations de femmes et des ONG à l</w:t>
      </w:r>
      <w:r w:rsidR="008300FB">
        <w:rPr>
          <w:lang w:val="fr-FR"/>
        </w:rPr>
        <w:t>’</w:t>
      </w:r>
      <w:r w:rsidRPr="00BF1937">
        <w:rPr>
          <w:lang w:val="fr-FR"/>
        </w:rPr>
        <w:t>élaboration et à la mise en œuvre des politiques en faveur de l</w:t>
      </w:r>
      <w:r w:rsidR="008300FB">
        <w:rPr>
          <w:lang w:val="fr-FR"/>
        </w:rPr>
        <w:t>’</w:t>
      </w:r>
      <w:r w:rsidRPr="00BF1937">
        <w:rPr>
          <w:lang w:val="fr-FR"/>
        </w:rPr>
        <w:t xml:space="preserve">égalité </w:t>
      </w:r>
      <w:r w:rsidR="00365D26">
        <w:rPr>
          <w:lang w:val="fr-FR"/>
        </w:rPr>
        <w:t>des</w:t>
      </w:r>
      <w:r w:rsidRPr="00BF1937">
        <w:rPr>
          <w:lang w:val="fr-FR"/>
        </w:rPr>
        <w:t xml:space="preserve"> sexes s</w:t>
      </w:r>
      <w:r w:rsidR="008300FB">
        <w:rPr>
          <w:lang w:val="fr-FR"/>
        </w:rPr>
        <w:t>’</w:t>
      </w:r>
      <w:r w:rsidRPr="00BF1937">
        <w:rPr>
          <w:lang w:val="fr-FR"/>
        </w:rPr>
        <w:t xml:space="preserve">est sensiblement accrue, et la contribution des femmes est primordiale pour que les besoins de toutes les femmes, y compris </w:t>
      </w:r>
      <w:r w:rsidR="00296FDC">
        <w:rPr>
          <w:lang w:val="fr-FR"/>
        </w:rPr>
        <w:t xml:space="preserve">celles appartenant à des groupes </w:t>
      </w:r>
      <w:r w:rsidRPr="00BF1937">
        <w:rPr>
          <w:lang w:val="fr-FR"/>
        </w:rPr>
        <w:t>vulnérables, soient pris en compte.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Le rôle des médias dans la promotion et la protection des droits de l</w:t>
      </w:r>
      <w:r w:rsidR="008300FB">
        <w:rPr>
          <w:lang w:val="fr-FR"/>
        </w:rPr>
        <w:t>’</w:t>
      </w:r>
      <w:r w:rsidRPr="00BF1937">
        <w:rPr>
          <w:lang w:val="fr-FR"/>
        </w:rPr>
        <w:t>homme est considérable. La presse est entièrement libre</w:t>
      </w:r>
      <w:r w:rsidR="00296FDC">
        <w:rPr>
          <w:lang w:val="fr-FR"/>
        </w:rPr>
        <w:t xml:space="preserve"> </w:t>
      </w:r>
      <w:r w:rsidRPr="00BF1937">
        <w:rPr>
          <w:lang w:val="fr-FR"/>
        </w:rPr>
        <w:t>et les quotidiens, hebdomadaires</w:t>
      </w:r>
      <w:r w:rsidR="00296FDC">
        <w:rPr>
          <w:lang w:val="fr-FR"/>
        </w:rPr>
        <w:t xml:space="preserve"> et autres </w:t>
      </w:r>
      <w:r w:rsidRPr="00BF1937">
        <w:rPr>
          <w:lang w:val="fr-FR"/>
        </w:rPr>
        <w:t xml:space="preserve">revues et journaux </w:t>
      </w:r>
      <w:r w:rsidR="00296FDC">
        <w:rPr>
          <w:lang w:val="fr-FR"/>
        </w:rPr>
        <w:t>appartiennent à des a</w:t>
      </w:r>
      <w:r w:rsidR="005A05AA">
        <w:rPr>
          <w:lang w:val="fr-FR"/>
        </w:rPr>
        <w:t>c</w:t>
      </w:r>
      <w:r w:rsidR="00296FDC">
        <w:rPr>
          <w:lang w:val="fr-FR"/>
        </w:rPr>
        <w:t xml:space="preserve">teurs </w:t>
      </w:r>
      <w:r w:rsidRPr="00BF1937">
        <w:rPr>
          <w:lang w:val="fr-FR"/>
        </w:rPr>
        <w:t xml:space="preserve">privés. Il en va de même </w:t>
      </w:r>
      <w:r w:rsidR="00296FDC">
        <w:rPr>
          <w:lang w:val="fr-FR"/>
        </w:rPr>
        <w:t>pour l’audiovisuel</w:t>
      </w:r>
      <w:r w:rsidRPr="00BF1937">
        <w:rPr>
          <w:lang w:val="fr-FR"/>
        </w:rPr>
        <w:t>, à l</w:t>
      </w:r>
      <w:r w:rsidR="008300FB">
        <w:rPr>
          <w:lang w:val="fr-FR"/>
        </w:rPr>
        <w:t>’</w:t>
      </w:r>
      <w:r w:rsidRPr="00BF1937">
        <w:rPr>
          <w:lang w:val="fr-FR"/>
        </w:rPr>
        <w:t>exception d</w:t>
      </w:r>
      <w:r w:rsidR="008300FB">
        <w:rPr>
          <w:lang w:val="fr-FR"/>
        </w:rPr>
        <w:t>’</w:t>
      </w:r>
      <w:r w:rsidRPr="00BF1937">
        <w:rPr>
          <w:lang w:val="fr-FR"/>
        </w:rPr>
        <w:t>une station de radio et d</w:t>
      </w:r>
      <w:r w:rsidR="008300FB">
        <w:rPr>
          <w:lang w:val="fr-FR"/>
        </w:rPr>
        <w:t>’</w:t>
      </w:r>
      <w:r w:rsidRPr="00BF1937">
        <w:rPr>
          <w:lang w:val="fr-FR"/>
        </w:rPr>
        <w:t>une chaîne de télévision, qui sont publiques, mais administrées par une société indépendante.</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De plus, l</w:t>
      </w:r>
      <w:r w:rsidR="008300FB">
        <w:rPr>
          <w:lang w:val="fr-FR"/>
        </w:rPr>
        <w:t>’</w:t>
      </w:r>
      <w:r w:rsidRPr="00BF1937">
        <w:rPr>
          <w:lang w:val="fr-FR"/>
        </w:rPr>
        <w:t xml:space="preserve">article 17 du projet </w:t>
      </w:r>
      <w:r w:rsidR="00296FDC">
        <w:rPr>
          <w:lang w:val="fr-FR"/>
        </w:rPr>
        <w:t>d’amendement à la</w:t>
      </w:r>
      <w:r w:rsidRPr="00BF1937">
        <w:rPr>
          <w:lang w:val="fr-FR"/>
        </w:rPr>
        <w:t xml:space="preserve"> loi sur la presse, de 2011, dispose que le responsable légal d</w:t>
      </w:r>
      <w:r w:rsidR="008300FB">
        <w:rPr>
          <w:lang w:val="fr-FR"/>
        </w:rPr>
        <w:t>’</w:t>
      </w:r>
      <w:r w:rsidRPr="00BF1937">
        <w:rPr>
          <w:lang w:val="fr-FR"/>
        </w:rPr>
        <w:t>une publication (terme désignant tout document écrit ou électronique) est tenu d</w:t>
      </w:r>
      <w:r w:rsidR="008300FB">
        <w:rPr>
          <w:lang w:val="fr-FR"/>
        </w:rPr>
        <w:t>’</w:t>
      </w:r>
      <w:r w:rsidRPr="00BF1937">
        <w:rPr>
          <w:lang w:val="fr-FR"/>
        </w:rPr>
        <w:t xml:space="preserve">offrir un droit de réponse à quiconque </w:t>
      </w:r>
      <w:r w:rsidR="00296FDC">
        <w:rPr>
          <w:lang w:val="fr-FR"/>
        </w:rPr>
        <w:t>est</w:t>
      </w:r>
      <w:r w:rsidRPr="00BF1937">
        <w:rPr>
          <w:lang w:val="fr-FR"/>
        </w:rPr>
        <w:t xml:space="preserve"> offensé par un article. De plus, la Commission chypriote des plaintes </w:t>
      </w:r>
      <w:r w:rsidR="00296FDC">
        <w:rPr>
          <w:lang w:val="fr-FR"/>
        </w:rPr>
        <w:t xml:space="preserve">relatives aux </w:t>
      </w:r>
      <w:r w:rsidRPr="00BF1937">
        <w:rPr>
          <w:lang w:val="fr-FR"/>
        </w:rPr>
        <w:t xml:space="preserve">médias est régie par une directive </w:t>
      </w:r>
      <w:r w:rsidR="00296FDC">
        <w:rPr>
          <w:lang w:val="fr-FR"/>
        </w:rPr>
        <w:t>concernant</w:t>
      </w:r>
      <w:r w:rsidRPr="00BF1937">
        <w:rPr>
          <w:lang w:val="fr-FR"/>
        </w:rPr>
        <w:t xml:space="preserve"> l</w:t>
      </w:r>
      <w:r w:rsidR="008300FB">
        <w:rPr>
          <w:lang w:val="fr-FR"/>
        </w:rPr>
        <w:t>’</w:t>
      </w:r>
      <w:r w:rsidRPr="00BF1937">
        <w:rPr>
          <w:lang w:val="fr-FR"/>
        </w:rPr>
        <w:t xml:space="preserve">omission de </w:t>
      </w:r>
      <w:r w:rsidR="00296FDC">
        <w:rPr>
          <w:lang w:val="fr-FR"/>
        </w:rPr>
        <w:t xml:space="preserve">la </w:t>
      </w:r>
      <w:r w:rsidRPr="00BF1937">
        <w:rPr>
          <w:lang w:val="fr-FR"/>
        </w:rPr>
        <w:t>discrimination négative. L</w:t>
      </w:r>
      <w:r w:rsidR="008300FB">
        <w:rPr>
          <w:lang w:val="fr-FR"/>
        </w:rPr>
        <w:t>’</w:t>
      </w:r>
      <w:r w:rsidR="00296FDC">
        <w:rPr>
          <w:lang w:val="fr-FR"/>
        </w:rPr>
        <w:t>article II 3 </w:t>
      </w:r>
      <w:r w:rsidRPr="00BF1937">
        <w:rPr>
          <w:lang w:val="fr-FR"/>
        </w:rPr>
        <w:t>1) du projet d</w:t>
      </w:r>
      <w:r w:rsidR="00296FDC">
        <w:rPr>
          <w:lang w:val="fr-FR"/>
        </w:rPr>
        <w:t>’amendement</w:t>
      </w:r>
      <w:r w:rsidRPr="00BF1937">
        <w:rPr>
          <w:lang w:val="fr-FR"/>
        </w:rPr>
        <w:t xml:space="preserve"> </w:t>
      </w:r>
      <w:r w:rsidR="00296FDC">
        <w:rPr>
          <w:lang w:val="fr-FR"/>
        </w:rPr>
        <w:t>à</w:t>
      </w:r>
      <w:r w:rsidRPr="00BF1937">
        <w:rPr>
          <w:lang w:val="fr-FR"/>
        </w:rPr>
        <w:t xml:space="preserve"> la loi sur la presse </w:t>
      </w:r>
      <w:r w:rsidR="00296FDC">
        <w:rPr>
          <w:lang w:val="fr-FR"/>
        </w:rPr>
        <w:t xml:space="preserve">de 2011 </w:t>
      </w:r>
      <w:r w:rsidRPr="00BF1937">
        <w:rPr>
          <w:lang w:val="fr-FR"/>
        </w:rPr>
        <w:t xml:space="preserve">renferme une disposition expresse concernant la liberté de la presse. « Un journaliste a le droit de solliciter et obtenir librement </w:t>
      </w:r>
      <w:r w:rsidR="00296FDC">
        <w:rPr>
          <w:lang w:val="fr-FR"/>
        </w:rPr>
        <w:t>des éléments d’</w:t>
      </w:r>
      <w:r w:rsidRPr="00BF1937">
        <w:rPr>
          <w:lang w:val="fr-FR"/>
        </w:rPr>
        <w:t>information auprès de sources privées, sans subir d</w:t>
      </w:r>
      <w:r w:rsidR="008300FB">
        <w:rPr>
          <w:lang w:val="fr-FR"/>
        </w:rPr>
        <w:t>’</w:t>
      </w:r>
      <w:r w:rsidRPr="00BF1937">
        <w:rPr>
          <w:lang w:val="fr-FR"/>
        </w:rPr>
        <w:t>entraves de la part des organes de l</w:t>
      </w:r>
      <w:r w:rsidR="008300FB">
        <w:rPr>
          <w:lang w:val="fr-FR"/>
        </w:rPr>
        <w:t>’</w:t>
      </w:r>
      <w:r w:rsidR="00296FDC">
        <w:rPr>
          <w:lang w:val="fr-FR"/>
        </w:rPr>
        <w:t>É</w:t>
      </w:r>
      <w:r w:rsidRPr="00BF1937">
        <w:rPr>
          <w:lang w:val="fr-FR"/>
        </w:rPr>
        <w:t>tat</w:t>
      </w:r>
      <w:r w:rsidR="00296FDC">
        <w:rPr>
          <w:lang w:val="fr-FR"/>
        </w:rPr>
        <w:t>,</w:t>
      </w:r>
      <w:r w:rsidRPr="00BF1937">
        <w:rPr>
          <w:lang w:val="fr-FR"/>
        </w:rPr>
        <w:t xml:space="preserve"> à l</w:t>
      </w:r>
      <w:r w:rsidR="008300FB">
        <w:rPr>
          <w:lang w:val="fr-FR"/>
        </w:rPr>
        <w:t>’</w:t>
      </w:r>
      <w:r w:rsidRPr="00BF1937">
        <w:rPr>
          <w:lang w:val="fr-FR"/>
        </w:rPr>
        <w:t>intérieur comme à l</w:t>
      </w:r>
      <w:r w:rsidR="008300FB">
        <w:rPr>
          <w:lang w:val="fr-FR"/>
        </w:rPr>
        <w:t>’</w:t>
      </w:r>
      <w:r w:rsidRPr="00BF1937">
        <w:rPr>
          <w:lang w:val="fr-FR"/>
        </w:rPr>
        <w:t>extérieur des frontières, et de transmettre cette information par le moyen d</w:t>
      </w:r>
      <w:r w:rsidR="008300FB">
        <w:rPr>
          <w:lang w:val="fr-FR"/>
        </w:rPr>
        <w:t>’</w:t>
      </w:r>
      <w:r w:rsidRPr="00BF1937">
        <w:rPr>
          <w:lang w:val="fr-FR"/>
        </w:rPr>
        <w:t xml:space="preserve">expression de son choix, sauf </w:t>
      </w:r>
      <w:r w:rsidR="00296FDC">
        <w:rPr>
          <w:lang w:val="fr-FR"/>
        </w:rPr>
        <w:t>pour</w:t>
      </w:r>
      <w:r w:rsidRPr="00BF1937">
        <w:rPr>
          <w:lang w:val="fr-FR"/>
        </w:rPr>
        <w:t xml:space="preserve"> des raisons liées à la sécurité de la République</w:t>
      </w:r>
      <w:r w:rsidR="00296FDC">
        <w:rPr>
          <w:lang w:val="fr-FR"/>
        </w:rPr>
        <w:t xml:space="preserve"> [</w:t>
      </w:r>
      <w:r w:rsidRPr="00BF1937">
        <w:rPr>
          <w:lang w:val="fr-FR"/>
        </w:rPr>
        <w:t>…</w:t>
      </w:r>
      <w:r w:rsidR="00296FDC">
        <w:rPr>
          <w:lang w:val="fr-FR"/>
        </w:rPr>
        <w:t>]</w:t>
      </w:r>
      <w:r w:rsidRPr="00BF1937">
        <w:rPr>
          <w:lang w:val="fr-FR"/>
        </w:rPr>
        <w:t> ».</w:t>
      </w:r>
    </w:p>
    <w:p w:rsidR="00BF1937" w:rsidRPr="00BF1937" w:rsidRDefault="00BF1937" w:rsidP="00AD54C4">
      <w:pPr>
        <w:pStyle w:val="SingleTxt"/>
        <w:numPr>
          <w:ilvl w:val="0"/>
          <w:numId w:val="18"/>
        </w:numPr>
        <w:tabs>
          <w:tab w:val="clear" w:pos="475"/>
          <w:tab w:val="num" w:pos="1742"/>
        </w:tabs>
        <w:ind w:left="1267"/>
        <w:rPr>
          <w:lang w:val="fr-CH"/>
        </w:rPr>
      </w:pPr>
      <w:r w:rsidRPr="00BF1937">
        <w:rPr>
          <w:lang w:val="fr-FR"/>
        </w:rPr>
        <w:t xml:space="preserve">La Commission </w:t>
      </w:r>
      <w:r w:rsidR="00296FDC" w:rsidRPr="00BF1937">
        <w:rPr>
          <w:lang w:val="fr-FR"/>
        </w:rPr>
        <w:t>c</w:t>
      </w:r>
      <w:r w:rsidRPr="00BF1937">
        <w:rPr>
          <w:lang w:val="fr-FR"/>
        </w:rPr>
        <w:t xml:space="preserve">hypriote </w:t>
      </w:r>
      <w:r w:rsidR="00296FDC">
        <w:rPr>
          <w:lang w:val="fr-FR"/>
        </w:rPr>
        <w:t>d</w:t>
      </w:r>
      <w:r w:rsidRPr="00BF1937">
        <w:rPr>
          <w:lang w:val="fr-FR"/>
        </w:rPr>
        <w:t xml:space="preserve">es plaintes relatives aux médias a </w:t>
      </w:r>
      <w:r w:rsidR="00296FDC">
        <w:rPr>
          <w:lang w:val="fr-FR"/>
        </w:rPr>
        <w:t>pour vocation</w:t>
      </w:r>
      <w:r w:rsidRPr="00BF1937">
        <w:rPr>
          <w:lang w:val="fr-FR"/>
        </w:rPr>
        <w:t xml:space="preserve"> de prévenir l</w:t>
      </w:r>
      <w:r w:rsidR="00296FDC">
        <w:rPr>
          <w:lang w:val="fr-FR"/>
        </w:rPr>
        <w:t>a discrimination</w:t>
      </w:r>
      <w:r w:rsidRPr="00BF1937">
        <w:rPr>
          <w:lang w:val="fr-FR"/>
        </w:rPr>
        <w:t xml:space="preserve">. </w:t>
      </w:r>
      <w:r w:rsidR="00296FDC">
        <w:rPr>
          <w:lang w:val="fr-FR"/>
        </w:rPr>
        <w:t>Le</w:t>
      </w:r>
      <w:r w:rsidRPr="00BF1937">
        <w:rPr>
          <w:lang w:val="fr-FR"/>
        </w:rPr>
        <w:t xml:space="preserve"> projet </w:t>
      </w:r>
      <w:r w:rsidR="00296FDC">
        <w:rPr>
          <w:lang w:val="fr-FR"/>
        </w:rPr>
        <w:t>d’amendement à</w:t>
      </w:r>
      <w:r w:rsidRPr="00BF1937">
        <w:rPr>
          <w:lang w:val="fr-FR"/>
        </w:rPr>
        <w:t xml:space="preserve"> la loi sur la presse</w:t>
      </w:r>
      <w:r w:rsidR="00296FDC">
        <w:rPr>
          <w:lang w:val="fr-FR"/>
        </w:rPr>
        <w:t xml:space="preserve"> vise également </w:t>
      </w:r>
      <w:r w:rsidRPr="00BF1937">
        <w:rPr>
          <w:lang w:val="fr-FR"/>
        </w:rPr>
        <w:t xml:space="preserve">les documents électroniques, de sorte que </w:t>
      </w:r>
      <w:r w:rsidR="00296FDC">
        <w:rPr>
          <w:lang w:val="fr-FR"/>
        </w:rPr>
        <w:t>toute</w:t>
      </w:r>
      <w:r w:rsidRPr="00BF1937">
        <w:rPr>
          <w:lang w:val="fr-FR"/>
        </w:rPr>
        <w:t xml:space="preserve"> personne offensée par un article</w:t>
      </w:r>
      <w:r w:rsidR="00296FDC">
        <w:rPr>
          <w:lang w:val="fr-FR"/>
        </w:rPr>
        <w:t xml:space="preserve"> peut</w:t>
      </w:r>
      <w:r w:rsidRPr="00BF1937">
        <w:rPr>
          <w:lang w:val="fr-FR"/>
        </w:rPr>
        <w:t xml:space="preserve"> faire valoir son droit de réponse et obtenir du responsable la publication d</w:t>
      </w:r>
      <w:r w:rsidR="008300FB">
        <w:rPr>
          <w:lang w:val="fr-FR"/>
        </w:rPr>
        <w:t>’</w:t>
      </w:r>
      <w:r w:rsidRPr="00BF1937">
        <w:rPr>
          <w:lang w:val="fr-FR"/>
        </w:rPr>
        <w:t>un article rectificatif.</w:t>
      </w:r>
    </w:p>
    <w:p w:rsidR="00BF1937" w:rsidRPr="00BF1937" w:rsidRDefault="00296FDC" w:rsidP="00AD54C4">
      <w:pPr>
        <w:pStyle w:val="SingleTxt"/>
        <w:numPr>
          <w:ilvl w:val="0"/>
          <w:numId w:val="18"/>
        </w:numPr>
        <w:tabs>
          <w:tab w:val="clear" w:pos="475"/>
          <w:tab w:val="num" w:pos="1742"/>
        </w:tabs>
        <w:ind w:left="1267"/>
        <w:rPr>
          <w:lang w:val="fr-FR"/>
        </w:rPr>
      </w:pPr>
      <w:r>
        <w:rPr>
          <w:lang w:val="fr-FR"/>
        </w:rPr>
        <w:t>Tou</w:t>
      </w:r>
      <w:r w:rsidR="00BF1937" w:rsidRPr="00BF1937">
        <w:rPr>
          <w:lang w:val="fr-FR"/>
        </w:rPr>
        <w:t xml:space="preserve">s les </w:t>
      </w:r>
      <w:r>
        <w:rPr>
          <w:lang w:val="fr-FR"/>
        </w:rPr>
        <w:t>instruments</w:t>
      </w:r>
      <w:r w:rsidR="00BF1937" w:rsidRPr="00BF1937">
        <w:rPr>
          <w:lang w:val="fr-FR"/>
        </w:rPr>
        <w:t xml:space="preserve"> et traités internationaux auxquels Chypre devient partie sont publiés au Journal officiel. La publicité voulue leur est donnée dans les médias et la presse écrite et électronique, notamment s</w:t>
      </w:r>
      <w:r w:rsidR="008300FB">
        <w:rPr>
          <w:lang w:val="fr-FR"/>
        </w:rPr>
        <w:t>’</w:t>
      </w:r>
      <w:r w:rsidR="00BF1937" w:rsidRPr="00BF1937">
        <w:rPr>
          <w:lang w:val="fr-FR"/>
        </w:rPr>
        <w:t>agissant de l</w:t>
      </w:r>
      <w:r w:rsidR="008300FB">
        <w:rPr>
          <w:lang w:val="fr-FR"/>
        </w:rPr>
        <w:t>’</w:t>
      </w:r>
      <w:r w:rsidR="00BF1937" w:rsidRPr="00BF1937">
        <w:rPr>
          <w:lang w:val="fr-FR"/>
        </w:rPr>
        <w:t>acceptation du droit de formuler des recours ou de présenter des communications aux organes de protection des droits de l</w:t>
      </w:r>
      <w:r w:rsidR="008300FB">
        <w:rPr>
          <w:lang w:val="fr-FR"/>
        </w:rPr>
        <w:t>’</w:t>
      </w:r>
      <w:r w:rsidR="00BF1937" w:rsidRPr="00BF1937">
        <w:rPr>
          <w:lang w:val="fr-FR"/>
        </w:rPr>
        <w:t>homme dans le cadre de procédures facultatives.</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Les droits de l</w:t>
      </w:r>
      <w:r w:rsidR="008300FB">
        <w:rPr>
          <w:lang w:val="fr-FR"/>
        </w:rPr>
        <w:t>’</w:t>
      </w:r>
      <w:r w:rsidRPr="00BF1937">
        <w:rPr>
          <w:lang w:val="fr-FR"/>
        </w:rPr>
        <w:t xml:space="preserve">homme sont considérés comme une question particulièrement importante et des mesures </w:t>
      </w:r>
      <w:r w:rsidR="00296FDC">
        <w:rPr>
          <w:lang w:val="fr-FR"/>
        </w:rPr>
        <w:t>spéciales</w:t>
      </w:r>
      <w:r w:rsidRPr="00BF1937">
        <w:rPr>
          <w:lang w:val="fr-FR"/>
        </w:rPr>
        <w:t xml:space="preserve"> sont constamment prises pour sensibiliser l</w:t>
      </w:r>
      <w:r w:rsidR="008300FB">
        <w:rPr>
          <w:lang w:val="fr-FR"/>
        </w:rPr>
        <w:t>’</w:t>
      </w:r>
      <w:r w:rsidRPr="00BF1937">
        <w:rPr>
          <w:lang w:val="fr-FR"/>
        </w:rPr>
        <w:t xml:space="preserve">opinion publique et les autorités compétentes </w:t>
      </w:r>
      <w:r w:rsidR="00296FDC">
        <w:rPr>
          <w:lang w:val="fr-FR"/>
        </w:rPr>
        <w:t>aux</w:t>
      </w:r>
      <w:r w:rsidRPr="00BF1937">
        <w:rPr>
          <w:lang w:val="fr-FR"/>
        </w:rPr>
        <w:t xml:space="preserve"> droits énoncés dans les divers instruments relatifs aux droits de l</w:t>
      </w:r>
      <w:r w:rsidR="008300FB">
        <w:rPr>
          <w:lang w:val="fr-FR"/>
        </w:rPr>
        <w:t>’</w:t>
      </w:r>
      <w:r w:rsidRPr="00BF1937">
        <w:rPr>
          <w:lang w:val="fr-FR"/>
        </w:rPr>
        <w:t xml:space="preserve">homme. La sensibilisation, nécessaire, </w:t>
      </w:r>
      <w:r w:rsidR="00296FDC">
        <w:rPr>
          <w:lang w:val="fr-FR"/>
        </w:rPr>
        <w:t>notamment</w:t>
      </w:r>
      <w:r w:rsidRPr="00BF1937">
        <w:rPr>
          <w:lang w:val="fr-FR"/>
        </w:rPr>
        <w:t xml:space="preserve"> pour faire valoir des droits ou pour prévenir les abus, s</w:t>
      </w:r>
      <w:r w:rsidR="008300FB">
        <w:rPr>
          <w:lang w:val="fr-FR"/>
        </w:rPr>
        <w:t>’</w:t>
      </w:r>
      <w:r w:rsidRPr="00BF1937">
        <w:rPr>
          <w:lang w:val="fr-FR"/>
        </w:rPr>
        <w:t>opère principalement par le moyen de l</w:t>
      </w:r>
      <w:r w:rsidR="008300FB">
        <w:rPr>
          <w:lang w:val="fr-FR"/>
        </w:rPr>
        <w:t>’</w:t>
      </w:r>
      <w:r w:rsidRPr="00BF1937">
        <w:rPr>
          <w:lang w:val="fr-FR"/>
        </w:rPr>
        <w:t>éducation</w:t>
      </w:r>
      <w:r w:rsidR="00110459">
        <w:rPr>
          <w:lang w:val="fr-FR"/>
        </w:rPr>
        <w:t> :</w:t>
      </w:r>
      <w:r w:rsidRPr="00BF1937">
        <w:rPr>
          <w:lang w:val="fr-FR"/>
        </w:rPr>
        <w:t xml:space="preserve"> les droits de l</w:t>
      </w:r>
      <w:r w:rsidR="008300FB">
        <w:rPr>
          <w:lang w:val="fr-FR"/>
        </w:rPr>
        <w:t>’</w:t>
      </w:r>
      <w:r w:rsidRPr="00BF1937">
        <w:rPr>
          <w:lang w:val="fr-FR"/>
        </w:rPr>
        <w:t>homme figurent dans les programmes d</w:t>
      </w:r>
      <w:r w:rsidR="008300FB">
        <w:rPr>
          <w:lang w:val="fr-FR"/>
        </w:rPr>
        <w:t>’</w:t>
      </w:r>
      <w:r w:rsidRPr="00BF1937">
        <w:rPr>
          <w:lang w:val="fr-FR"/>
        </w:rPr>
        <w:t>enseignement à tous les niveaux, dans la formation des enseignants et des policiers, et dans les centres d</w:t>
      </w:r>
      <w:r w:rsidR="008300FB">
        <w:rPr>
          <w:lang w:val="fr-FR"/>
        </w:rPr>
        <w:t>’</w:t>
      </w:r>
      <w:r w:rsidRPr="00BF1937">
        <w:rPr>
          <w:lang w:val="fr-FR"/>
        </w:rPr>
        <w:t>orientation parentale et institutions de même nature.</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 xml:space="preserve">Chypre est </w:t>
      </w:r>
      <w:r w:rsidR="00296FDC">
        <w:rPr>
          <w:lang w:val="fr-FR"/>
        </w:rPr>
        <w:t>résolue</w:t>
      </w:r>
      <w:r w:rsidRPr="00BF1937">
        <w:rPr>
          <w:lang w:val="fr-FR"/>
        </w:rPr>
        <w:t xml:space="preserve"> à continuer de promouvoir la sensibilisation et l</w:t>
      </w:r>
      <w:r w:rsidR="008300FB">
        <w:rPr>
          <w:lang w:val="fr-FR"/>
        </w:rPr>
        <w:t>’</w:t>
      </w:r>
      <w:r w:rsidRPr="00BF1937">
        <w:rPr>
          <w:lang w:val="fr-FR"/>
        </w:rPr>
        <w:t>éducation aux droits de l</w:t>
      </w:r>
      <w:r w:rsidR="008300FB">
        <w:rPr>
          <w:lang w:val="fr-FR"/>
        </w:rPr>
        <w:t>’</w:t>
      </w:r>
      <w:r w:rsidRPr="00BF1937">
        <w:rPr>
          <w:lang w:val="fr-FR"/>
        </w:rPr>
        <w:t>homme. Tous les aspects des droits de l</w:t>
      </w:r>
      <w:r w:rsidR="008300FB">
        <w:rPr>
          <w:lang w:val="fr-FR"/>
        </w:rPr>
        <w:t>’</w:t>
      </w:r>
      <w:r w:rsidRPr="00BF1937">
        <w:rPr>
          <w:lang w:val="fr-FR"/>
        </w:rPr>
        <w:t>homme ont été incorporés dans les programmes scolaires en vue de promouvoir la tolérance dans un environnement multiculturel. Des mesures concrètes, notamment la modernisation des politiques éducatives, la mise en place de mécanismes de coordination, une meilleure répartition des ressources et l</w:t>
      </w:r>
      <w:r w:rsidR="008300FB">
        <w:rPr>
          <w:lang w:val="fr-FR"/>
        </w:rPr>
        <w:t>’</w:t>
      </w:r>
      <w:r w:rsidRPr="00BF1937">
        <w:rPr>
          <w:lang w:val="fr-FR"/>
        </w:rPr>
        <w:t>élaboration d</w:t>
      </w:r>
      <w:r w:rsidR="008300FB">
        <w:rPr>
          <w:lang w:val="fr-FR"/>
        </w:rPr>
        <w:t>’</w:t>
      </w:r>
      <w:r w:rsidRPr="00BF1937">
        <w:rPr>
          <w:lang w:val="fr-FR"/>
        </w:rPr>
        <w:t>outils pédagogiques spéciaux, sont prises pour prévenir et éliminer toutes les pratiques discriminatoires.</w:t>
      </w: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L</w:t>
      </w:r>
      <w:r w:rsidR="008300FB">
        <w:rPr>
          <w:lang w:val="fr-FR"/>
        </w:rPr>
        <w:t>’</w:t>
      </w:r>
      <w:r w:rsidRPr="00BF1937">
        <w:rPr>
          <w:lang w:val="fr-FR"/>
        </w:rPr>
        <w:t>État, les médias et le secteur privé publient des ouvrages et des brochures consacrés à la protection des droits de l</w:t>
      </w:r>
      <w:r w:rsidR="008300FB">
        <w:rPr>
          <w:lang w:val="fr-FR"/>
        </w:rPr>
        <w:t>’</w:t>
      </w:r>
      <w:r w:rsidRPr="00BF1937">
        <w:rPr>
          <w:lang w:val="fr-FR"/>
        </w:rPr>
        <w:t>homme ainsi qu</w:t>
      </w:r>
      <w:r w:rsidR="008300FB">
        <w:rPr>
          <w:lang w:val="fr-FR"/>
        </w:rPr>
        <w:t>’</w:t>
      </w:r>
      <w:r w:rsidRPr="00BF1937">
        <w:rPr>
          <w:lang w:val="fr-FR"/>
        </w:rPr>
        <w:t>à leur violation. Des affiches et des brochures sont distribuées dans les établissements publics, les écoles et les centres et organismes pour les jeunes. Des communiqués de presse relatifs aux droits de l</w:t>
      </w:r>
      <w:r w:rsidR="008300FB">
        <w:rPr>
          <w:lang w:val="fr-FR"/>
        </w:rPr>
        <w:t>’</w:t>
      </w:r>
      <w:r w:rsidRPr="00BF1937">
        <w:rPr>
          <w:lang w:val="fr-FR"/>
        </w:rPr>
        <w:t>homme sont publiés le cas échéant pour informer le public des événements locaux et internationaux, y compris les conférences, séminaires, tables rondes, colloques et manifestations du même ordre. Des articles consacrés aux droits de l</w:t>
      </w:r>
      <w:r w:rsidR="008300FB">
        <w:rPr>
          <w:lang w:val="fr-FR"/>
        </w:rPr>
        <w:t>’</w:t>
      </w:r>
      <w:r w:rsidRPr="00BF1937">
        <w:rPr>
          <w:lang w:val="fr-FR"/>
        </w:rPr>
        <w:t>homme paraissent régulièrement dans les journaux et dans la presse spécialisée, notamment dans les publications du barreau et des organisations s</w:t>
      </w:r>
      <w:r w:rsidR="008300FB">
        <w:rPr>
          <w:lang w:val="fr-FR"/>
        </w:rPr>
        <w:t>’</w:t>
      </w:r>
      <w:r w:rsidRPr="00BF1937">
        <w:rPr>
          <w:lang w:val="fr-FR"/>
        </w:rPr>
        <w:t>occupant des droits de l</w:t>
      </w:r>
      <w:r w:rsidR="008300FB">
        <w:rPr>
          <w:lang w:val="fr-FR"/>
        </w:rPr>
        <w:t>’</w:t>
      </w:r>
      <w:r w:rsidRPr="00BF1937">
        <w:rPr>
          <w:lang w:val="fr-FR"/>
        </w:rPr>
        <w:t>homme.</w:t>
      </w:r>
    </w:p>
    <w:p w:rsidR="00AD54C4" w:rsidRPr="00AD54C4" w:rsidRDefault="00AD54C4" w:rsidP="00AD54C4">
      <w:pPr>
        <w:pStyle w:val="SingleTxt"/>
        <w:spacing w:after="0" w:line="120" w:lineRule="exact"/>
        <w:rPr>
          <w:sz w:val="10"/>
          <w:lang w:val="fr-FR"/>
        </w:rPr>
      </w:pPr>
    </w:p>
    <w:p w:rsidR="00AD54C4" w:rsidRPr="00AD54C4" w:rsidRDefault="00AD54C4" w:rsidP="00AD54C4">
      <w:pPr>
        <w:pStyle w:val="SingleTxt"/>
        <w:spacing w:after="0" w:line="120" w:lineRule="exact"/>
        <w:rPr>
          <w:sz w:val="10"/>
          <w:lang w:val="fr-FR"/>
        </w:rPr>
      </w:pPr>
    </w:p>
    <w:p w:rsidR="00BF1937" w:rsidRPr="00BF1937" w:rsidRDefault="00BF1937" w:rsidP="00AD54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1937">
        <w:rPr>
          <w:lang w:val="fr-FR"/>
        </w:rPr>
        <w:tab/>
        <w:t>D.</w:t>
      </w:r>
      <w:r w:rsidRPr="00BF1937">
        <w:rPr>
          <w:lang w:val="fr-FR"/>
        </w:rPr>
        <w:tab/>
        <w:t>Processus d</w:t>
      </w:r>
      <w:r w:rsidR="008300FB">
        <w:rPr>
          <w:lang w:val="fr-FR"/>
        </w:rPr>
        <w:t>’</w:t>
      </w:r>
      <w:r w:rsidRPr="00BF1937">
        <w:rPr>
          <w:lang w:val="fr-FR"/>
        </w:rPr>
        <w:t xml:space="preserve">établissement des </w:t>
      </w:r>
      <w:r w:rsidR="00296FDC">
        <w:rPr>
          <w:lang w:val="fr-FR"/>
        </w:rPr>
        <w:t>rapports</w:t>
      </w:r>
    </w:p>
    <w:p w:rsidR="00AD54C4" w:rsidRPr="00AD54C4" w:rsidRDefault="00AD54C4" w:rsidP="00AD54C4">
      <w:pPr>
        <w:pStyle w:val="SingleTxt"/>
        <w:spacing w:after="0" w:line="120" w:lineRule="exact"/>
        <w:rPr>
          <w:sz w:val="10"/>
          <w:lang w:val="fr-FR"/>
        </w:rPr>
      </w:pPr>
    </w:p>
    <w:p w:rsidR="00AD54C4" w:rsidRPr="00AD54C4" w:rsidRDefault="00AD54C4" w:rsidP="00AD54C4">
      <w:pPr>
        <w:pStyle w:val="SingleTxt"/>
        <w:spacing w:after="0" w:line="120" w:lineRule="exact"/>
        <w:rPr>
          <w:sz w:val="10"/>
          <w:lang w:val="fr-FR"/>
        </w:rPr>
      </w:pPr>
    </w:p>
    <w:p w:rsidR="00BF1937" w:rsidRPr="00BF1937" w:rsidRDefault="00BF1937" w:rsidP="00AD54C4">
      <w:pPr>
        <w:pStyle w:val="SingleTxt"/>
        <w:numPr>
          <w:ilvl w:val="0"/>
          <w:numId w:val="18"/>
        </w:numPr>
        <w:tabs>
          <w:tab w:val="clear" w:pos="475"/>
          <w:tab w:val="num" w:pos="1742"/>
        </w:tabs>
        <w:ind w:left="1267"/>
        <w:rPr>
          <w:lang w:val="fr-FR"/>
        </w:rPr>
      </w:pPr>
      <w:r w:rsidRPr="00BF1937">
        <w:rPr>
          <w:lang w:val="fr-FR"/>
        </w:rPr>
        <w:t xml:space="preserve">Par sa décision </w:t>
      </w:r>
      <w:r w:rsidR="00AD54C4">
        <w:rPr>
          <w:lang w:val="fr-FR"/>
        </w:rPr>
        <w:t>n</w:t>
      </w:r>
      <w:r w:rsidR="00AD54C4" w:rsidRPr="00AD54C4">
        <w:rPr>
          <w:vertAlign w:val="superscript"/>
          <w:lang w:val="fr-FR"/>
        </w:rPr>
        <w:t>o</w:t>
      </w:r>
      <w:r w:rsidR="00AD54C4">
        <w:rPr>
          <w:lang w:val="fr-FR"/>
        </w:rPr>
        <w:t> 38.958 du 25 </w:t>
      </w:r>
      <w:r w:rsidRPr="00BF1937">
        <w:rPr>
          <w:lang w:val="fr-FR"/>
        </w:rPr>
        <w:t>février 1993, le Conseil des ministres a chargé le Commissaire aux lois de veiller, en coopération avec le Ministère des affaires étrangères et avec les ministères compétents, à ce que Chypre se conforme à ses obligations en matière de présentation de rapports au titre des instruments internationaux relatifs aux droits de l</w:t>
      </w:r>
      <w:r w:rsidR="008300FB">
        <w:rPr>
          <w:lang w:val="fr-FR"/>
        </w:rPr>
        <w:t>’</w:t>
      </w:r>
      <w:r w:rsidRPr="00BF1937">
        <w:rPr>
          <w:lang w:val="fr-FR"/>
        </w:rPr>
        <w:t>homme. Chypre est à jour de toutes ses obligations en la matière.</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En règle générale, chaque fois qu</w:t>
      </w:r>
      <w:r w:rsidR="008300FB">
        <w:rPr>
          <w:lang w:val="fr-FR"/>
        </w:rPr>
        <w:t>’</w:t>
      </w:r>
      <w:r w:rsidRPr="00BF1937">
        <w:rPr>
          <w:lang w:val="fr-FR"/>
        </w:rPr>
        <w:t>un rapport national doit être préparé et présenté à un organe conventionnel particulier, un groupe de travail interministériel spécial est créé et chargé d</w:t>
      </w:r>
      <w:r w:rsidR="008300FB">
        <w:rPr>
          <w:lang w:val="fr-FR"/>
        </w:rPr>
        <w:t>’</w:t>
      </w:r>
      <w:r w:rsidRPr="00BF1937">
        <w:rPr>
          <w:lang w:val="fr-FR"/>
        </w:rPr>
        <w:t>examiner la situation des droits de l</w:t>
      </w:r>
      <w:r w:rsidR="008300FB">
        <w:rPr>
          <w:lang w:val="fr-FR"/>
        </w:rPr>
        <w:t>’</w:t>
      </w:r>
      <w:r w:rsidRPr="00BF1937">
        <w:rPr>
          <w:lang w:val="fr-FR"/>
        </w:rPr>
        <w:t>homme à Chypre dans le domaine concerné.</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 xml:space="preserve">Des représentants des ministères et des autres départements, des institutions indépendantes </w:t>
      </w:r>
      <w:r w:rsidR="00296FDC">
        <w:rPr>
          <w:lang w:val="fr-FR"/>
        </w:rPr>
        <w:t>(</w:t>
      </w:r>
      <w:r w:rsidRPr="00BF1937">
        <w:rPr>
          <w:lang w:val="fr-FR"/>
        </w:rPr>
        <w:t>telles que l</w:t>
      </w:r>
      <w:r w:rsidR="008300FB">
        <w:rPr>
          <w:lang w:val="fr-FR"/>
        </w:rPr>
        <w:t>’</w:t>
      </w:r>
      <w:r w:rsidRPr="00BF1937">
        <w:rPr>
          <w:lang w:val="fr-FR"/>
        </w:rPr>
        <w:t>Ombudsman et le Commissaire aux lois</w:t>
      </w:r>
      <w:r w:rsidR="00296FDC">
        <w:rPr>
          <w:lang w:val="fr-FR"/>
        </w:rPr>
        <w:t>)</w:t>
      </w:r>
      <w:r w:rsidRPr="00BF1937">
        <w:rPr>
          <w:lang w:val="fr-FR"/>
        </w:rPr>
        <w:t xml:space="preserve">, des autorités </w:t>
      </w:r>
      <w:r w:rsidR="00296FDC">
        <w:rPr>
          <w:lang w:val="fr-FR"/>
        </w:rPr>
        <w:t>(</w:t>
      </w:r>
      <w:r w:rsidRPr="00BF1937">
        <w:rPr>
          <w:lang w:val="fr-FR"/>
        </w:rPr>
        <w:t>telles que l</w:t>
      </w:r>
      <w:r w:rsidR="008300FB">
        <w:rPr>
          <w:lang w:val="fr-FR"/>
        </w:rPr>
        <w:t>’</w:t>
      </w:r>
      <w:r w:rsidRPr="00BF1937">
        <w:rPr>
          <w:lang w:val="fr-FR"/>
        </w:rPr>
        <w:t>Autorité indépendante chargée d</w:t>
      </w:r>
      <w:r w:rsidR="008300FB">
        <w:rPr>
          <w:lang w:val="fr-FR"/>
        </w:rPr>
        <w:t>’</w:t>
      </w:r>
      <w:r w:rsidRPr="00BF1937">
        <w:rPr>
          <w:lang w:val="fr-FR"/>
        </w:rPr>
        <w:t>enquêter sur les allégations et les plaintes mettant en cause la police</w:t>
      </w:r>
      <w:r w:rsidR="00296FDC">
        <w:rPr>
          <w:lang w:val="fr-FR"/>
        </w:rPr>
        <w:t>)</w:t>
      </w:r>
      <w:r w:rsidRPr="00BF1937">
        <w:rPr>
          <w:lang w:val="fr-FR"/>
        </w:rPr>
        <w:t>, et des organisations non gouvernementales actives dans la promotion et la protection des droits de l</w:t>
      </w:r>
      <w:r w:rsidR="008300FB">
        <w:rPr>
          <w:lang w:val="fr-FR"/>
        </w:rPr>
        <w:t>’</w:t>
      </w:r>
      <w:r w:rsidRPr="00BF1937">
        <w:rPr>
          <w:lang w:val="fr-FR"/>
        </w:rPr>
        <w:t>homme, contribuent à la collecte de l</w:t>
      </w:r>
      <w:r w:rsidR="008300FB">
        <w:rPr>
          <w:lang w:val="fr-FR"/>
        </w:rPr>
        <w:t>’</w:t>
      </w:r>
      <w:r w:rsidRPr="00BF1937">
        <w:rPr>
          <w:lang w:val="fr-FR"/>
        </w:rPr>
        <w:t>information et facilitent le travail du groupe de travail interministériel.</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 xml:space="preserve">Dans le cas spécifique des </w:t>
      </w:r>
      <w:r w:rsidR="00296FDC">
        <w:rPr>
          <w:lang w:val="fr-FR"/>
        </w:rPr>
        <w:t>rapports</w:t>
      </w:r>
      <w:r w:rsidRPr="00BF1937">
        <w:rPr>
          <w:lang w:val="fr-FR"/>
        </w:rPr>
        <w:t xml:space="preserve"> nationaux qui sont présentés au Comité des droits des personnes handicapées, le Conseil des ministres de la Républi</w:t>
      </w:r>
      <w:r w:rsidR="0097512A">
        <w:rPr>
          <w:lang w:val="fr-FR"/>
        </w:rPr>
        <w:t xml:space="preserve">que de Chypre a décidé le 9 mai </w:t>
      </w:r>
      <w:r w:rsidRPr="00BF1937">
        <w:rPr>
          <w:lang w:val="fr-FR"/>
        </w:rPr>
        <w:t xml:space="preserve">2012, </w:t>
      </w:r>
      <w:r w:rsidR="00296FDC">
        <w:rPr>
          <w:lang w:val="fr-FR"/>
        </w:rPr>
        <w:t xml:space="preserve">aux fins de </w:t>
      </w:r>
      <w:r w:rsidRPr="00BF1937">
        <w:rPr>
          <w:lang w:val="fr-FR"/>
        </w:rPr>
        <w:t>l</w:t>
      </w:r>
      <w:r w:rsidR="008300FB">
        <w:rPr>
          <w:lang w:val="fr-FR"/>
        </w:rPr>
        <w:t>’</w:t>
      </w:r>
      <w:r w:rsidRPr="00BF1937">
        <w:rPr>
          <w:lang w:val="fr-FR"/>
        </w:rPr>
        <w:t>application de l</w:t>
      </w:r>
      <w:r w:rsidR="008300FB">
        <w:rPr>
          <w:lang w:val="fr-FR"/>
        </w:rPr>
        <w:t>’</w:t>
      </w:r>
      <w:r w:rsidR="0097512A">
        <w:rPr>
          <w:lang w:val="fr-FR"/>
        </w:rPr>
        <w:t xml:space="preserve">article </w:t>
      </w:r>
      <w:r w:rsidRPr="00BF1937">
        <w:rPr>
          <w:lang w:val="fr-FR"/>
        </w:rPr>
        <w:t>33 de la Convention relative aux droits des personnes handicapées, de désigner les mécanismes suivants pour assurer et superviser efficacement l</w:t>
      </w:r>
      <w:r w:rsidR="008300FB">
        <w:rPr>
          <w:lang w:val="fr-FR"/>
        </w:rPr>
        <w:t>’</w:t>
      </w:r>
      <w:r w:rsidRPr="00BF1937">
        <w:rPr>
          <w:lang w:val="fr-FR"/>
        </w:rPr>
        <w:t>application de la Convention</w:t>
      </w:r>
      <w:r w:rsidR="00110459">
        <w:rPr>
          <w:lang w:val="fr-FR"/>
        </w:rPr>
        <w:t> :</w:t>
      </w:r>
      <w:r w:rsidRPr="00BF1937">
        <w:rPr>
          <w:lang w:val="fr-FR"/>
        </w:rPr>
        <w:t xml:space="preserve"> le Département de l</w:t>
      </w:r>
      <w:r w:rsidR="008300FB">
        <w:rPr>
          <w:lang w:val="fr-FR"/>
        </w:rPr>
        <w:t>’</w:t>
      </w:r>
      <w:r w:rsidRPr="00BF1937">
        <w:rPr>
          <w:lang w:val="fr-FR"/>
        </w:rPr>
        <w:t>inclusion sociale des handicapés, qui relève du Ministère du travail et de l</w:t>
      </w:r>
      <w:r w:rsidR="008300FB">
        <w:rPr>
          <w:lang w:val="fr-FR"/>
        </w:rPr>
        <w:t>’</w:t>
      </w:r>
      <w:r w:rsidRPr="00BF1937">
        <w:rPr>
          <w:lang w:val="fr-FR"/>
        </w:rPr>
        <w:t xml:space="preserve">assurance sociale, et le Conseil panchypriote des </w:t>
      </w:r>
      <w:r w:rsidR="00280091">
        <w:rPr>
          <w:lang w:val="fr-FR"/>
        </w:rPr>
        <w:t xml:space="preserve">personnes </w:t>
      </w:r>
      <w:r w:rsidRPr="00BF1937">
        <w:rPr>
          <w:lang w:val="fr-FR"/>
        </w:rPr>
        <w:t>handicapé</w:t>
      </w:r>
      <w:r w:rsidR="00296FDC">
        <w:rPr>
          <w:lang w:val="fr-FR"/>
        </w:rPr>
        <w:t>e</w:t>
      </w:r>
      <w:r w:rsidRPr="00BF1937">
        <w:rPr>
          <w:lang w:val="fr-FR"/>
        </w:rPr>
        <w:t>s</w:t>
      </w:r>
      <w:r w:rsidR="00296FDC">
        <w:rPr>
          <w:lang w:val="fr-FR"/>
        </w:rPr>
        <w:t xml:space="preserve"> et l</w:t>
      </w:r>
      <w:r w:rsidR="008300FB">
        <w:rPr>
          <w:lang w:val="fr-FR"/>
        </w:rPr>
        <w:t>’</w:t>
      </w:r>
      <w:r w:rsidRPr="00BF1937">
        <w:rPr>
          <w:lang w:val="fr-FR"/>
        </w:rPr>
        <w:t>Ombudsman et Commissaire aux droits de l</w:t>
      </w:r>
      <w:r w:rsidR="008300FB">
        <w:rPr>
          <w:lang w:val="fr-FR"/>
        </w:rPr>
        <w:t>’</w:t>
      </w:r>
      <w:r w:rsidRPr="00BF1937">
        <w:rPr>
          <w:lang w:val="fr-FR"/>
        </w:rPr>
        <w:t xml:space="preserve">homme </w:t>
      </w:r>
      <w:r w:rsidR="00296FDC">
        <w:rPr>
          <w:lang w:val="fr-FR"/>
        </w:rPr>
        <w:t>–</w:t>
      </w:r>
      <w:r w:rsidRPr="00BF1937">
        <w:rPr>
          <w:lang w:val="fr-FR"/>
        </w:rPr>
        <w:t> </w:t>
      </w:r>
      <w:r w:rsidR="00296FDC">
        <w:rPr>
          <w:lang w:val="fr-FR"/>
        </w:rPr>
        <w:t xml:space="preserve">Bureau de </w:t>
      </w:r>
      <w:r w:rsidRPr="00BF1937">
        <w:rPr>
          <w:lang w:val="fr-FR"/>
        </w:rPr>
        <w:t>l</w:t>
      </w:r>
      <w:r w:rsidR="008300FB">
        <w:rPr>
          <w:lang w:val="fr-FR"/>
        </w:rPr>
        <w:t>’</w:t>
      </w:r>
      <w:r w:rsidRPr="00BF1937">
        <w:rPr>
          <w:lang w:val="fr-FR"/>
        </w:rPr>
        <w:t>égalité.</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Le Département de l</w:t>
      </w:r>
      <w:r w:rsidR="008300FB">
        <w:rPr>
          <w:lang w:val="fr-FR"/>
        </w:rPr>
        <w:t>’</w:t>
      </w:r>
      <w:r w:rsidRPr="00BF1937">
        <w:rPr>
          <w:lang w:val="fr-FR"/>
        </w:rPr>
        <w:t xml:space="preserve">inclusion sociale des handicapés, </w:t>
      </w:r>
      <w:r w:rsidR="00280091">
        <w:rPr>
          <w:lang w:val="fr-FR"/>
        </w:rPr>
        <w:t>organe</w:t>
      </w:r>
      <w:r w:rsidRPr="00BF1937">
        <w:rPr>
          <w:lang w:val="fr-FR"/>
        </w:rPr>
        <w:t xml:space="preserve"> de </w:t>
      </w:r>
      <w:r w:rsidR="00280091">
        <w:rPr>
          <w:lang w:val="fr-FR"/>
        </w:rPr>
        <w:t>liaison</w:t>
      </w:r>
      <w:r w:rsidRPr="00BF1937">
        <w:rPr>
          <w:lang w:val="fr-FR"/>
        </w:rPr>
        <w:t xml:space="preserve">, est </w:t>
      </w:r>
      <w:r w:rsidR="00280091">
        <w:rPr>
          <w:lang w:val="fr-FR"/>
        </w:rPr>
        <w:t xml:space="preserve">notamment </w:t>
      </w:r>
      <w:r w:rsidRPr="00BF1937">
        <w:rPr>
          <w:lang w:val="fr-FR"/>
        </w:rPr>
        <w:t>chargé de préparer et présenter les rapports au Comité des droits des personnes handicapées en coopération avec les autres organismes compétents.</w:t>
      </w:r>
    </w:p>
    <w:p w:rsidR="0097512A" w:rsidRPr="0097512A" w:rsidRDefault="0097512A" w:rsidP="0097512A">
      <w:pPr>
        <w:pStyle w:val="SingleTxt"/>
        <w:spacing w:after="0" w:line="120" w:lineRule="exact"/>
        <w:rPr>
          <w:sz w:val="10"/>
          <w:lang w:val="fr-FR"/>
        </w:rPr>
      </w:pPr>
    </w:p>
    <w:p w:rsidR="0097512A" w:rsidRPr="0097512A" w:rsidRDefault="0097512A" w:rsidP="0097512A">
      <w:pPr>
        <w:pStyle w:val="SingleTxt"/>
        <w:spacing w:after="0" w:line="120" w:lineRule="exact"/>
        <w:rPr>
          <w:sz w:val="10"/>
          <w:lang w:val="fr-FR"/>
        </w:rPr>
      </w:pPr>
    </w:p>
    <w:p w:rsidR="00BF1937" w:rsidRDefault="00BF1937" w:rsidP="009751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1937">
        <w:rPr>
          <w:lang w:val="fr-FR"/>
        </w:rPr>
        <w:tab/>
        <w:t>E.</w:t>
      </w:r>
      <w:r w:rsidRPr="00BF1937">
        <w:rPr>
          <w:lang w:val="fr-FR"/>
        </w:rPr>
        <w:tab/>
        <w:t xml:space="preserve">Autres </w:t>
      </w:r>
      <w:r w:rsidR="00280091">
        <w:rPr>
          <w:lang w:val="fr-FR"/>
        </w:rPr>
        <w:t>informations relative</w:t>
      </w:r>
      <w:r w:rsidRPr="00BF1937">
        <w:rPr>
          <w:lang w:val="fr-FR"/>
        </w:rPr>
        <w:t>s aux droits de l</w:t>
      </w:r>
      <w:r w:rsidR="008300FB">
        <w:rPr>
          <w:lang w:val="fr-FR"/>
        </w:rPr>
        <w:t>’</w:t>
      </w:r>
      <w:r w:rsidRPr="00BF1937">
        <w:rPr>
          <w:lang w:val="fr-FR"/>
        </w:rPr>
        <w:t>homme</w:t>
      </w:r>
    </w:p>
    <w:p w:rsidR="0097512A" w:rsidRPr="0097512A" w:rsidRDefault="0097512A" w:rsidP="0097512A">
      <w:pPr>
        <w:pStyle w:val="SingleTxt"/>
        <w:spacing w:after="0" w:line="120" w:lineRule="exact"/>
        <w:rPr>
          <w:b/>
          <w:bCs/>
          <w:sz w:val="10"/>
          <w:lang w:val="fr-FR"/>
        </w:rPr>
      </w:pPr>
    </w:p>
    <w:p w:rsidR="0097512A" w:rsidRPr="0097512A" w:rsidRDefault="0097512A" w:rsidP="0097512A">
      <w:pPr>
        <w:pStyle w:val="SingleTxt"/>
        <w:spacing w:after="0" w:line="120" w:lineRule="exact"/>
        <w:rPr>
          <w:sz w:val="10"/>
          <w:lang w:val="fr-FR"/>
        </w:rPr>
      </w:pP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 xml:space="preserve">En </w:t>
      </w:r>
      <w:r w:rsidR="005713F4">
        <w:rPr>
          <w:lang w:val="fr-FR"/>
        </w:rPr>
        <w:t xml:space="preserve">sa </w:t>
      </w:r>
      <w:r w:rsidR="00280091">
        <w:rPr>
          <w:lang w:val="fr-FR"/>
        </w:rPr>
        <w:t>qualité d’É</w:t>
      </w:r>
      <w:r w:rsidRPr="00BF1937">
        <w:rPr>
          <w:lang w:val="fr-FR"/>
        </w:rPr>
        <w:t>tat partie à la majorité des principaux instruments internationaux relatifs aux droits de l</w:t>
      </w:r>
      <w:r w:rsidR="008300FB">
        <w:rPr>
          <w:lang w:val="fr-FR"/>
        </w:rPr>
        <w:t>’</w:t>
      </w:r>
      <w:r w:rsidRPr="00BF1937">
        <w:rPr>
          <w:lang w:val="fr-FR"/>
        </w:rPr>
        <w:t>homme adoptés à l</w:t>
      </w:r>
      <w:r w:rsidR="008300FB">
        <w:rPr>
          <w:lang w:val="fr-FR"/>
        </w:rPr>
        <w:t>’</w:t>
      </w:r>
      <w:r w:rsidRPr="00BF1937">
        <w:rPr>
          <w:lang w:val="fr-FR"/>
        </w:rPr>
        <w:t xml:space="preserve">échelle universelle et européenne, Chypre soumet régulièrement les rapports </w:t>
      </w:r>
      <w:r w:rsidR="00280091">
        <w:rPr>
          <w:lang w:val="fr-FR"/>
        </w:rPr>
        <w:t>attendus</w:t>
      </w:r>
      <w:r w:rsidRPr="00BF1937">
        <w:rPr>
          <w:lang w:val="fr-FR"/>
        </w:rPr>
        <w:t xml:space="preserve"> aux organes conventionnels et prend dûment en considération les recommandations et les observations</w:t>
      </w:r>
      <w:r w:rsidR="00280091">
        <w:rPr>
          <w:lang w:val="fr-FR"/>
        </w:rPr>
        <w:t xml:space="preserve"> de ces derniers</w:t>
      </w:r>
      <w:r w:rsidRPr="00BF1937">
        <w:rPr>
          <w:lang w:val="fr-FR"/>
        </w:rPr>
        <w:t>, afin d</w:t>
      </w:r>
      <w:r w:rsidR="008300FB">
        <w:rPr>
          <w:lang w:val="fr-FR"/>
        </w:rPr>
        <w:t>’</w:t>
      </w:r>
      <w:r w:rsidRPr="00BF1937">
        <w:rPr>
          <w:lang w:val="fr-FR"/>
        </w:rPr>
        <w:t>améliorer la situation concernant le respect des droits de l</w:t>
      </w:r>
      <w:r w:rsidR="008300FB">
        <w:rPr>
          <w:lang w:val="fr-FR"/>
        </w:rPr>
        <w:t>’</w:t>
      </w:r>
      <w:r w:rsidRPr="00BF1937">
        <w:rPr>
          <w:lang w:val="fr-FR"/>
        </w:rPr>
        <w:t>homme.</w:t>
      </w:r>
    </w:p>
    <w:p w:rsidR="0097512A" w:rsidRPr="0097512A" w:rsidRDefault="0097512A" w:rsidP="0097512A">
      <w:pPr>
        <w:pStyle w:val="SingleTxt"/>
        <w:spacing w:after="0" w:line="120" w:lineRule="exact"/>
        <w:rPr>
          <w:sz w:val="10"/>
          <w:lang w:val="fr-FR"/>
        </w:rPr>
      </w:pPr>
    </w:p>
    <w:p w:rsidR="0097512A" w:rsidRPr="0097512A" w:rsidRDefault="0097512A" w:rsidP="0097512A">
      <w:pPr>
        <w:pStyle w:val="SingleTxt"/>
        <w:spacing w:after="0" w:line="120" w:lineRule="exact"/>
        <w:rPr>
          <w:sz w:val="10"/>
          <w:lang w:val="fr-FR"/>
        </w:rPr>
      </w:pPr>
    </w:p>
    <w:p w:rsidR="00BF1937" w:rsidRPr="00BF1937" w:rsidRDefault="00BF1937" w:rsidP="009751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1937">
        <w:rPr>
          <w:lang w:val="fr-FR"/>
        </w:rPr>
        <w:tab/>
        <w:t>IV.</w:t>
      </w:r>
      <w:r w:rsidRPr="00BF1937">
        <w:rPr>
          <w:lang w:val="fr-FR"/>
        </w:rPr>
        <w:tab/>
      </w:r>
      <w:r w:rsidR="00280091">
        <w:rPr>
          <w:lang w:val="fr-FR"/>
        </w:rPr>
        <w:t>Informations</w:t>
      </w:r>
      <w:r w:rsidRPr="00BF1937">
        <w:rPr>
          <w:lang w:val="fr-FR"/>
        </w:rPr>
        <w:t xml:space="preserve"> concernant la non-discrimination </w:t>
      </w:r>
      <w:r w:rsidR="0097512A">
        <w:rPr>
          <w:lang w:val="fr-FR"/>
        </w:rPr>
        <w:br/>
      </w:r>
      <w:r w:rsidRPr="00BF1937">
        <w:rPr>
          <w:lang w:val="fr-FR"/>
        </w:rPr>
        <w:t>et l</w:t>
      </w:r>
      <w:r w:rsidR="008300FB">
        <w:rPr>
          <w:lang w:val="fr-FR"/>
        </w:rPr>
        <w:t>’</w:t>
      </w:r>
      <w:r w:rsidRPr="00BF1937">
        <w:rPr>
          <w:lang w:val="fr-FR"/>
        </w:rPr>
        <w:t xml:space="preserve">égalité et les recours </w:t>
      </w:r>
      <w:r w:rsidR="00280091">
        <w:rPr>
          <w:lang w:val="fr-FR"/>
        </w:rPr>
        <w:t>utiles</w:t>
      </w:r>
    </w:p>
    <w:p w:rsidR="0097512A" w:rsidRPr="0097512A" w:rsidRDefault="0097512A" w:rsidP="0097512A">
      <w:pPr>
        <w:pStyle w:val="SingleTxt"/>
        <w:spacing w:after="0" w:line="120" w:lineRule="exact"/>
        <w:rPr>
          <w:sz w:val="10"/>
          <w:lang w:val="fr-FR"/>
        </w:rPr>
      </w:pPr>
    </w:p>
    <w:p w:rsidR="0097512A" w:rsidRPr="0097512A" w:rsidRDefault="0097512A" w:rsidP="0097512A">
      <w:pPr>
        <w:pStyle w:val="SingleTxt"/>
        <w:spacing w:after="0" w:line="120" w:lineRule="exact"/>
        <w:rPr>
          <w:sz w:val="10"/>
          <w:lang w:val="fr-FR"/>
        </w:rPr>
      </w:pP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En 2004, l</w:t>
      </w:r>
      <w:r w:rsidR="008300FB">
        <w:rPr>
          <w:lang w:val="fr-FR"/>
        </w:rPr>
        <w:t>’</w:t>
      </w:r>
      <w:r w:rsidRPr="00BF1937">
        <w:rPr>
          <w:lang w:val="fr-FR"/>
        </w:rPr>
        <w:t>adhésion de Chypre à l</w:t>
      </w:r>
      <w:r w:rsidR="008300FB">
        <w:rPr>
          <w:lang w:val="fr-FR"/>
        </w:rPr>
        <w:t>’</w:t>
      </w:r>
      <w:r w:rsidRPr="00BF1937">
        <w:rPr>
          <w:lang w:val="fr-FR"/>
        </w:rPr>
        <w:t xml:space="preserve">Union européenne a conduit le pays à mettre en </w:t>
      </w:r>
      <w:r w:rsidR="00280091">
        <w:rPr>
          <w:lang w:val="fr-FR"/>
        </w:rPr>
        <w:t>place</w:t>
      </w:r>
      <w:r w:rsidRPr="00BF1937">
        <w:rPr>
          <w:lang w:val="fr-FR"/>
        </w:rPr>
        <w:t xml:space="preserve"> un nouveau </w:t>
      </w:r>
      <w:r w:rsidR="00280091">
        <w:rPr>
          <w:lang w:val="fr-FR"/>
        </w:rPr>
        <w:t>cadre</w:t>
      </w:r>
      <w:r w:rsidRPr="00BF1937">
        <w:rPr>
          <w:lang w:val="fr-FR"/>
        </w:rPr>
        <w:t xml:space="preserve"> législatif pour lutter contre le racisme et promouvoir le principe de l</w:t>
      </w:r>
      <w:r w:rsidR="008300FB">
        <w:rPr>
          <w:lang w:val="fr-FR"/>
        </w:rPr>
        <w:t>’</w:t>
      </w:r>
      <w:r w:rsidRPr="00BF1937">
        <w:rPr>
          <w:lang w:val="fr-FR"/>
        </w:rPr>
        <w:t>égalité de traitement de toutes les personnes, sans distinction d</w:t>
      </w:r>
      <w:r w:rsidR="008300FB">
        <w:rPr>
          <w:lang w:val="fr-FR"/>
        </w:rPr>
        <w:t>’</w:t>
      </w:r>
      <w:r w:rsidRPr="00BF1937">
        <w:rPr>
          <w:lang w:val="fr-FR"/>
        </w:rPr>
        <w:t>appartenance raciale ou d</w:t>
      </w:r>
      <w:r w:rsidR="008300FB">
        <w:rPr>
          <w:lang w:val="fr-FR"/>
        </w:rPr>
        <w:t>’</w:t>
      </w:r>
      <w:r w:rsidRPr="00BF1937">
        <w:rPr>
          <w:lang w:val="fr-FR"/>
        </w:rPr>
        <w:t>origine ethnique. Il a été décidé que la création de deux autorités au sein d</w:t>
      </w:r>
      <w:r w:rsidR="00280091">
        <w:rPr>
          <w:lang w:val="fr-FR"/>
        </w:rPr>
        <w:t>u Bureau</w:t>
      </w:r>
      <w:r w:rsidRPr="00BF1937">
        <w:rPr>
          <w:lang w:val="fr-FR"/>
        </w:rPr>
        <w:t xml:space="preserve"> de l</w:t>
      </w:r>
      <w:r w:rsidR="008300FB">
        <w:rPr>
          <w:lang w:val="fr-FR"/>
        </w:rPr>
        <w:t>’</w:t>
      </w:r>
      <w:r w:rsidRPr="00BF1937">
        <w:rPr>
          <w:lang w:val="fr-FR"/>
        </w:rPr>
        <w:t xml:space="preserve">Ombudsman répondrait pleinement à la nécessité de mettre en œuvre </w:t>
      </w:r>
      <w:r w:rsidR="00280091">
        <w:rPr>
          <w:lang w:val="fr-FR"/>
        </w:rPr>
        <w:t xml:space="preserve">efficacement </w:t>
      </w:r>
      <w:r w:rsidRPr="00BF1937">
        <w:rPr>
          <w:lang w:val="fr-FR"/>
        </w:rPr>
        <w:t>la nouvelle législation antidiscrimination.</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En conséquence, Chypre s</w:t>
      </w:r>
      <w:r w:rsidR="008300FB">
        <w:rPr>
          <w:lang w:val="fr-FR"/>
        </w:rPr>
        <w:t>’</w:t>
      </w:r>
      <w:r w:rsidRPr="00BF1937">
        <w:rPr>
          <w:lang w:val="fr-FR"/>
        </w:rPr>
        <w:t>est dotée de l</w:t>
      </w:r>
      <w:r w:rsidR="008300FB">
        <w:rPr>
          <w:lang w:val="fr-FR"/>
        </w:rPr>
        <w:t>’</w:t>
      </w:r>
      <w:r w:rsidRPr="00BF1937">
        <w:rPr>
          <w:lang w:val="fr-FR"/>
        </w:rPr>
        <w:t>Organe antidiscrimination et d</w:t>
      </w:r>
      <w:r w:rsidR="00280091">
        <w:rPr>
          <w:lang w:val="fr-FR"/>
        </w:rPr>
        <w:t xml:space="preserve">u Bureau de </w:t>
      </w:r>
      <w:r w:rsidRPr="00BF1937">
        <w:rPr>
          <w:lang w:val="fr-FR"/>
        </w:rPr>
        <w:t>l</w:t>
      </w:r>
      <w:r w:rsidR="008300FB">
        <w:rPr>
          <w:lang w:val="fr-FR"/>
        </w:rPr>
        <w:t>’</w:t>
      </w:r>
      <w:r w:rsidRPr="00BF1937">
        <w:rPr>
          <w:lang w:val="fr-FR"/>
        </w:rPr>
        <w:t xml:space="preserve">égalité, dont les mandats couvrent à la fois le secteur public et le secteur privé. </w:t>
      </w:r>
      <w:r w:rsidR="00280091">
        <w:rPr>
          <w:lang w:val="fr-FR"/>
        </w:rPr>
        <w:t xml:space="preserve">Ces deux entités </w:t>
      </w:r>
      <w:r w:rsidRPr="00BF1937">
        <w:rPr>
          <w:lang w:val="fr-FR"/>
        </w:rPr>
        <w:t>enquêtent sur les plaintes individuelles et fournissent une assistance indépendante aux victimes de discrimination</w:t>
      </w:r>
      <w:r w:rsidR="00280091">
        <w:rPr>
          <w:lang w:val="fr-FR"/>
        </w:rPr>
        <w:t xml:space="preserve">; elles </w:t>
      </w:r>
      <w:r w:rsidRPr="00BF1937">
        <w:rPr>
          <w:lang w:val="fr-FR"/>
        </w:rPr>
        <w:t xml:space="preserve">sont </w:t>
      </w:r>
      <w:r w:rsidR="00280091">
        <w:rPr>
          <w:lang w:val="fr-FR"/>
        </w:rPr>
        <w:t xml:space="preserve">également </w:t>
      </w:r>
      <w:r w:rsidRPr="00BF1937">
        <w:rPr>
          <w:lang w:val="fr-FR"/>
        </w:rPr>
        <w:t>habilitées à mener un large éventail d</w:t>
      </w:r>
      <w:r w:rsidR="008300FB">
        <w:rPr>
          <w:lang w:val="fr-FR"/>
        </w:rPr>
        <w:t>’</w:t>
      </w:r>
      <w:r w:rsidRPr="00BF1937">
        <w:rPr>
          <w:lang w:val="fr-FR"/>
        </w:rPr>
        <w:t>activités de prévention, de médiation, de répression et d</w:t>
      </w:r>
      <w:r w:rsidR="008300FB">
        <w:rPr>
          <w:lang w:val="fr-FR"/>
        </w:rPr>
        <w:t>’</w:t>
      </w:r>
      <w:r w:rsidRPr="00BF1937">
        <w:rPr>
          <w:lang w:val="fr-FR"/>
        </w:rPr>
        <w:t>éducation.</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S</w:t>
      </w:r>
      <w:r w:rsidR="008300FB">
        <w:rPr>
          <w:lang w:val="fr-FR"/>
        </w:rPr>
        <w:t>’</w:t>
      </w:r>
      <w:r w:rsidRPr="00BF1937">
        <w:rPr>
          <w:lang w:val="fr-FR"/>
        </w:rPr>
        <w:t>agissant de l</w:t>
      </w:r>
      <w:r w:rsidR="008300FB">
        <w:rPr>
          <w:lang w:val="fr-FR"/>
        </w:rPr>
        <w:t>’</w:t>
      </w:r>
      <w:r w:rsidRPr="00BF1937">
        <w:rPr>
          <w:lang w:val="fr-FR"/>
        </w:rPr>
        <w:t>Organe antidiscrimination, son principal domaine d</w:t>
      </w:r>
      <w:r w:rsidR="008300FB">
        <w:rPr>
          <w:lang w:val="fr-FR"/>
        </w:rPr>
        <w:t>’</w:t>
      </w:r>
      <w:r w:rsidRPr="00BF1937">
        <w:rPr>
          <w:lang w:val="fr-FR"/>
        </w:rPr>
        <w:t>action est la lutte contre la discrimination fondée sur la race, l</w:t>
      </w:r>
      <w:r w:rsidR="008300FB">
        <w:rPr>
          <w:lang w:val="fr-FR"/>
        </w:rPr>
        <w:t>’</w:t>
      </w:r>
      <w:r w:rsidRPr="00BF1937">
        <w:rPr>
          <w:lang w:val="fr-FR"/>
        </w:rPr>
        <w:t>appartenance communautaire, la langue, la couleur, la religion, les convictions politiques ou autres, l</w:t>
      </w:r>
      <w:r w:rsidR="008300FB">
        <w:rPr>
          <w:lang w:val="fr-FR"/>
        </w:rPr>
        <w:t>’</w:t>
      </w:r>
      <w:r w:rsidRPr="00BF1937">
        <w:rPr>
          <w:lang w:val="fr-FR"/>
        </w:rPr>
        <w:t xml:space="preserve">origine ethnique </w:t>
      </w:r>
      <w:r w:rsidR="00280091">
        <w:rPr>
          <w:lang w:val="fr-FR"/>
        </w:rPr>
        <w:t>ou</w:t>
      </w:r>
      <w:r w:rsidRPr="00BF1937">
        <w:rPr>
          <w:lang w:val="fr-FR"/>
        </w:rPr>
        <w:t xml:space="preserve"> l</w:t>
      </w:r>
      <w:r w:rsidR="008300FB">
        <w:rPr>
          <w:lang w:val="fr-FR"/>
        </w:rPr>
        <w:t>’</w:t>
      </w:r>
      <w:r w:rsidRPr="00BF1937">
        <w:rPr>
          <w:lang w:val="fr-FR"/>
        </w:rPr>
        <w:t>appartenance nationale, et, plus généralement, la promotion de l</w:t>
      </w:r>
      <w:r w:rsidR="008300FB">
        <w:rPr>
          <w:lang w:val="fr-FR"/>
        </w:rPr>
        <w:t>’</w:t>
      </w:r>
      <w:r w:rsidRPr="00BF1937">
        <w:rPr>
          <w:lang w:val="fr-FR"/>
        </w:rPr>
        <w:t>égalité de traitement dans les domaines de la protection sociale, de l</w:t>
      </w:r>
      <w:r w:rsidR="008300FB">
        <w:rPr>
          <w:lang w:val="fr-FR"/>
        </w:rPr>
        <w:t>’</w:t>
      </w:r>
      <w:r w:rsidRPr="00BF1937">
        <w:rPr>
          <w:lang w:val="fr-FR"/>
        </w:rPr>
        <w:t>assurance sociale, des prestations sociales,</w:t>
      </w:r>
      <w:r w:rsidR="00280091">
        <w:rPr>
          <w:lang w:val="fr-FR"/>
        </w:rPr>
        <w:t xml:space="preserve"> </w:t>
      </w:r>
      <w:r w:rsidRPr="00BF1937">
        <w:rPr>
          <w:lang w:val="fr-FR"/>
        </w:rPr>
        <w:t>de la santé, de l</w:t>
      </w:r>
      <w:r w:rsidR="008300FB">
        <w:rPr>
          <w:lang w:val="fr-FR"/>
        </w:rPr>
        <w:t>’</w:t>
      </w:r>
      <w:r w:rsidRPr="00BF1937">
        <w:rPr>
          <w:lang w:val="fr-FR"/>
        </w:rPr>
        <w:t>éducation, de l</w:t>
      </w:r>
      <w:r w:rsidR="008300FB">
        <w:rPr>
          <w:lang w:val="fr-FR"/>
        </w:rPr>
        <w:t>’</w:t>
      </w:r>
      <w:r w:rsidRPr="00BF1937">
        <w:rPr>
          <w:lang w:val="fr-FR"/>
        </w:rPr>
        <w:t>appartenance aux syndicats ou organisations professionnelles</w:t>
      </w:r>
      <w:r w:rsidR="00280091">
        <w:rPr>
          <w:lang w:val="fr-FR"/>
        </w:rPr>
        <w:t>,</w:t>
      </w:r>
      <w:r w:rsidRPr="00BF1937">
        <w:rPr>
          <w:lang w:val="fr-FR"/>
        </w:rPr>
        <w:t xml:space="preserve"> et de l</w:t>
      </w:r>
      <w:r w:rsidR="008300FB">
        <w:rPr>
          <w:lang w:val="fr-FR"/>
        </w:rPr>
        <w:t>’</w:t>
      </w:r>
      <w:r w:rsidRPr="00BF1937">
        <w:rPr>
          <w:lang w:val="fr-FR"/>
        </w:rPr>
        <w:t>accès aux biens et services, particulièrement au logement.</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L</w:t>
      </w:r>
      <w:r w:rsidR="00280091">
        <w:rPr>
          <w:lang w:val="fr-FR"/>
        </w:rPr>
        <w:t xml:space="preserve">e Bureau de </w:t>
      </w:r>
      <w:r w:rsidRPr="00BF1937">
        <w:rPr>
          <w:lang w:val="fr-FR"/>
        </w:rPr>
        <w:t>l</w:t>
      </w:r>
      <w:r w:rsidR="008300FB">
        <w:rPr>
          <w:lang w:val="fr-FR"/>
        </w:rPr>
        <w:t>’</w:t>
      </w:r>
      <w:r w:rsidR="00280091">
        <w:rPr>
          <w:lang w:val="fr-FR"/>
        </w:rPr>
        <w:t>égalité</w:t>
      </w:r>
      <w:r w:rsidRPr="00BF1937">
        <w:rPr>
          <w:lang w:val="fr-FR"/>
        </w:rPr>
        <w:t xml:space="preserve"> a pour principal domaine de compétence d</w:t>
      </w:r>
      <w:r w:rsidR="008300FB">
        <w:rPr>
          <w:lang w:val="fr-FR"/>
        </w:rPr>
        <w:t>’</w:t>
      </w:r>
      <w:r w:rsidRPr="00BF1937">
        <w:rPr>
          <w:lang w:val="fr-FR"/>
        </w:rPr>
        <w:t xml:space="preserve">enquêter </w:t>
      </w:r>
      <w:r w:rsidR="00280091">
        <w:rPr>
          <w:lang w:val="fr-FR"/>
        </w:rPr>
        <w:t>en qualité d’</w:t>
      </w:r>
      <w:r w:rsidR="00280091" w:rsidRPr="00BF1937">
        <w:rPr>
          <w:lang w:val="fr-FR"/>
        </w:rPr>
        <w:t xml:space="preserve">autorité non judiciaire indépendante </w:t>
      </w:r>
      <w:r w:rsidRPr="00BF1937">
        <w:rPr>
          <w:lang w:val="fr-FR"/>
        </w:rPr>
        <w:t>sur les plaintes émanant d</w:t>
      </w:r>
      <w:r w:rsidR="008300FB">
        <w:rPr>
          <w:lang w:val="fr-FR"/>
        </w:rPr>
        <w:t>’</w:t>
      </w:r>
      <w:r w:rsidRPr="00BF1937">
        <w:rPr>
          <w:lang w:val="fr-FR"/>
        </w:rPr>
        <w:t>individus qui s</w:t>
      </w:r>
      <w:r w:rsidR="008300FB">
        <w:rPr>
          <w:lang w:val="fr-FR"/>
        </w:rPr>
        <w:t>’</w:t>
      </w:r>
      <w:r w:rsidRPr="00BF1937">
        <w:rPr>
          <w:lang w:val="fr-FR"/>
        </w:rPr>
        <w:t>estiment victimes de discrimination en matière d</w:t>
      </w:r>
      <w:r w:rsidR="008300FB">
        <w:rPr>
          <w:lang w:val="fr-FR"/>
        </w:rPr>
        <w:t>’</w:t>
      </w:r>
      <w:r w:rsidRPr="00BF1937">
        <w:rPr>
          <w:lang w:val="fr-FR"/>
        </w:rPr>
        <w:t>emploi et d</w:t>
      </w:r>
      <w:r w:rsidR="008300FB">
        <w:rPr>
          <w:lang w:val="fr-FR"/>
        </w:rPr>
        <w:t>’</w:t>
      </w:r>
      <w:r w:rsidRPr="00BF1937">
        <w:rPr>
          <w:lang w:val="fr-FR"/>
        </w:rPr>
        <w:t>activité professionnelle, dans le secteur public comm</w:t>
      </w:r>
      <w:r w:rsidR="00280091">
        <w:rPr>
          <w:lang w:val="fr-FR"/>
        </w:rPr>
        <w:t>e</w:t>
      </w:r>
      <w:r w:rsidRPr="00BF1937">
        <w:rPr>
          <w:lang w:val="fr-FR"/>
        </w:rPr>
        <w:t xml:space="preserve"> dans le secteur privé, pour des motifs liés à leur origine raciale ou ethnique, à leur religion ou à leur croyance, à </w:t>
      </w:r>
      <w:r w:rsidR="00280091">
        <w:rPr>
          <w:lang w:val="fr-FR"/>
        </w:rPr>
        <w:t>leurs</w:t>
      </w:r>
      <w:r w:rsidRPr="00BF1937">
        <w:rPr>
          <w:lang w:val="fr-FR"/>
        </w:rPr>
        <w:t xml:space="preserve"> besoins spéci</w:t>
      </w:r>
      <w:r w:rsidR="00280091">
        <w:rPr>
          <w:lang w:val="fr-FR"/>
        </w:rPr>
        <w:t>aux</w:t>
      </w:r>
      <w:r w:rsidRPr="00BF1937">
        <w:rPr>
          <w:lang w:val="fr-FR"/>
        </w:rPr>
        <w:t>, à leur orientation sexuelle ou à leur sexe. L</w:t>
      </w:r>
      <w:r w:rsidR="008300FB">
        <w:rPr>
          <w:lang w:val="fr-FR"/>
        </w:rPr>
        <w:t>’</w:t>
      </w:r>
      <w:r w:rsidRPr="00BF1937">
        <w:rPr>
          <w:lang w:val="fr-FR"/>
        </w:rPr>
        <w:t>interdiction légale de la discrimination en matière d</w:t>
      </w:r>
      <w:r w:rsidR="008300FB">
        <w:rPr>
          <w:lang w:val="fr-FR"/>
        </w:rPr>
        <w:t>’</w:t>
      </w:r>
      <w:r w:rsidRPr="00BF1937">
        <w:rPr>
          <w:lang w:val="fr-FR"/>
        </w:rPr>
        <w:t>emploi et d</w:t>
      </w:r>
      <w:r w:rsidR="008300FB">
        <w:rPr>
          <w:lang w:val="fr-FR"/>
        </w:rPr>
        <w:t>’</w:t>
      </w:r>
      <w:r w:rsidRPr="00BF1937">
        <w:rPr>
          <w:lang w:val="fr-FR"/>
        </w:rPr>
        <w:t>activité professionnelle couvre tous les aspects des relations de travail. En outre, depuis 2008, l</w:t>
      </w:r>
      <w:r w:rsidR="00280091">
        <w:rPr>
          <w:lang w:val="fr-FR"/>
        </w:rPr>
        <w:t xml:space="preserve">e Bureau de </w:t>
      </w:r>
      <w:r w:rsidRPr="00BF1937">
        <w:rPr>
          <w:lang w:val="fr-FR"/>
        </w:rPr>
        <w:t>l</w:t>
      </w:r>
      <w:r w:rsidR="008300FB">
        <w:rPr>
          <w:lang w:val="fr-FR"/>
        </w:rPr>
        <w:t>’</w:t>
      </w:r>
      <w:r w:rsidR="00280091">
        <w:rPr>
          <w:lang w:val="fr-FR"/>
        </w:rPr>
        <w:t>égalité est également compétent</w:t>
      </w:r>
      <w:r w:rsidRPr="00BF1937">
        <w:rPr>
          <w:lang w:val="fr-FR"/>
        </w:rPr>
        <w:t xml:space="preserve"> pour enquêter sur les plaintes pour discrimination sexiste s</w:t>
      </w:r>
      <w:r w:rsidR="008300FB">
        <w:rPr>
          <w:lang w:val="fr-FR"/>
        </w:rPr>
        <w:t>’</w:t>
      </w:r>
      <w:r w:rsidRPr="00BF1937">
        <w:rPr>
          <w:lang w:val="fr-FR"/>
        </w:rPr>
        <w:t>agissant de l</w:t>
      </w:r>
      <w:r w:rsidR="008300FB">
        <w:rPr>
          <w:lang w:val="fr-FR"/>
        </w:rPr>
        <w:t>’</w:t>
      </w:r>
      <w:r w:rsidRPr="00BF1937">
        <w:rPr>
          <w:lang w:val="fr-FR"/>
        </w:rPr>
        <w:t>accès aux biens et services et de la fourniture de ces biens et services, y compris l</w:t>
      </w:r>
      <w:r w:rsidR="008300FB">
        <w:rPr>
          <w:lang w:val="fr-FR"/>
        </w:rPr>
        <w:t>’</w:t>
      </w:r>
      <w:r w:rsidRPr="00BF1937">
        <w:rPr>
          <w:lang w:val="fr-FR"/>
        </w:rPr>
        <w:t>assurance et les services financiers du secteur public et du secteur privé.</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 xml:space="preserve">Avec la ratification du Protocole facultatif </w:t>
      </w:r>
      <w:r w:rsidR="00280091">
        <w:rPr>
          <w:lang w:val="fr-FR"/>
        </w:rPr>
        <w:t xml:space="preserve">se rapportant </w:t>
      </w:r>
      <w:r w:rsidRPr="00BF1937">
        <w:rPr>
          <w:lang w:val="fr-FR"/>
        </w:rPr>
        <w:t>à la Convention contre la torture, les compétences de l</w:t>
      </w:r>
      <w:r w:rsidR="008300FB">
        <w:rPr>
          <w:lang w:val="fr-FR"/>
        </w:rPr>
        <w:t>’</w:t>
      </w:r>
      <w:r w:rsidRPr="00BF1937">
        <w:rPr>
          <w:lang w:val="fr-FR"/>
        </w:rPr>
        <w:t xml:space="preserve">Ombudsman ont été considérablement élargies. </w:t>
      </w:r>
      <w:r w:rsidR="00280091">
        <w:rPr>
          <w:lang w:val="fr-FR"/>
        </w:rPr>
        <w:t>À ce jour, l</w:t>
      </w:r>
      <w:r w:rsidR="008300FB">
        <w:rPr>
          <w:lang w:val="fr-FR"/>
        </w:rPr>
        <w:t>’</w:t>
      </w:r>
      <w:r w:rsidRPr="00BF1937">
        <w:rPr>
          <w:lang w:val="fr-FR"/>
        </w:rPr>
        <w:t>Ombudsman</w:t>
      </w:r>
      <w:r w:rsidR="00280091">
        <w:rPr>
          <w:lang w:val="fr-FR"/>
        </w:rPr>
        <w:t xml:space="preserve"> s’est rendu </w:t>
      </w:r>
      <w:r w:rsidRPr="00BF1937">
        <w:rPr>
          <w:lang w:val="fr-FR"/>
        </w:rPr>
        <w:t xml:space="preserve">dans </w:t>
      </w:r>
      <w:r w:rsidR="00280091">
        <w:rPr>
          <w:lang w:val="fr-FR"/>
        </w:rPr>
        <w:t>d</w:t>
      </w:r>
      <w:r w:rsidRPr="00BF1937">
        <w:rPr>
          <w:lang w:val="fr-FR"/>
        </w:rPr>
        <w:t>es établissements pénitentiaires, a</w:t>
      </w:r>
      <w:r w:rsidR="00280091">
        <w:rPr>
          <w:lang w:val="fr-FR"/>
        </w:rPr>
        <w:t xml:space="preserve"> eu accès</w:t>
      </w:r>
      <w:r w:rsidRPr="00BF1937">
        <w:rPr>
          <w:lang w:val="fr-FR"/>
        </w:rPr>
        <w:t xml:space="preserve"> à des informations et </w:t>
      </w:r>
      <w:r w:rsidR="00280091">
        <w:rPr>
          <w:lang w:val="fr-FR"/>
        </w:rPr>
        <w:t xml:space="preserve">a </w:t>
      </w:r>
      <w:r w:rsidRPr="00BF1937">
        <w:rPr>
          <w:lang w:val="fr-FR"/>
        </w:rPr>
        <w:t>soum</w:t>
      </w:r>
      <w:r w:rsidR="00280091">
        <w:rPr>
          <w:lang w:val="fr-FR"/>
        </w:rPr>
        <w:t>is</w:t>
      </w:r>
      <w:r w:rsidRPr="00BF1937">
        <w:rPr>
          <w:lang w:val="fr-FR"/>
        </w:rPr>
        <w:t xml:space="preserve"> des rapports</w:t>
      </w:r>
      <w:r w:rsidR="00280091">
        <w:rPr>
          <w:lang w:val="fr-FR"/>
        </w:rPr>
        <w:t xml:space="preserve"> découlant des </w:t>
      </w:r>
      <w:r w:rsidR="00280091" w:rsidRPr="00BF1937">
        <w:rPr>
          <w:lang w:val="fr-FR"/>
        </w:rPr>
        <w:t xml:space="preserve">investigations </w:t>
      </w:r>
      <w:r w:rsidR="00280091">
        <w:rPr>
          <w:lang w:val="fr-FR"/>
        </w:rPr>
        <w:t xml:space="preserve">menées </w:t>
      </w:r>
      <w:r w:rsidR="00280091" w:rsidRPr="00BF1937">
        <w:rPr>
          <w:lang w:val="fr-FR"/>
        </w:rPr>
        <w:t>sur une plainte individuelle</w:t>
      </w:r>
      <w:r w:rsidRPr="00BF1937">
        <w:rPr>
          <w:lang w:val="fr-FR"/>
        </w:rPr>
        <w:t>. Par ailleurs, dans le cadre de ses nouvelles attributions, il est autorisé à se rendre librement dans les lieux de privation de liberté afin d</w:t>
      </w:r>
      <w:r w:rsidR="008300FB">
        <w:rPr>
          <w:lang w:val="fr-FR"/>
        </w:rPr>
        <w:t>’</w:t>
      </w:r>
      <w:r w:rsidRPr="00BF1937">
        <w:rPr>
          <w:lang w:val="fr-FR"/>
        </w:rPr>
        <w:t xml:space="preserve">y observer les conditions </w:t>
      </w:r>
      <w:r w:rsidR="00280091">
        <w:rPr>
          <w:lang w:val="fr-FR"/>
        </w:rPr>
        <w:t xml:space="preserve">générales </w:t>
      </w:r>
      <w:r w:rsidRPr="00BF1937">
        <w:rPr>
          <w:lang w:val="fr-FR"/>
        </w:rPr>
        <w:t xml:space="preserve">de détention dans le contexte de la torture et de faire des recommandations </w:t>
      </w:r>
      <w:r w:rsidR="00280091">
        <w:rPr>
          <w:lang w:val="fr-FR"/>
        </w:rPr>
        <w:t xml:space="preserve">tendant </w:t>
      </w:r>
      <w:r w:rsidRPr="00BF1937">
        <w:rPr>
          <w:lang w:val="fr-FR"/>
        </w:rPr>
        <w:t xml:space="preserve">à </w:t>
      </w:r>
      <w:r w:rsidR="00280091">
        <w:rPr>
          <w:lang w:val="fr-FR"/>
        </w:rPr>
        <w:t>améliorer à la fois ces conditions de détention</w:t>
      </w:r>
      <w:r w:rsidRPr="00BF1937">
        <w:rPr>
          <w:lang w:val="fr-FR"/>
        </w:rPr>
        <w:t xml:space="preserve"> </w:t>
      </w:r>
      <w:r w:rsidR="00280091">
        <w:rPr>
          <w:lang w:val="fr-FR"/>
        </w:rPr>
        <w:t xml:space="preserve">et </w:t>
      </w:r>
      <w:r w:rsidRPr="00BF1937">
        <w:rPr>
          <w:lang w:val="fr-FR"/>
        </w:rPr>
        <w:t xml:space="preserve">la législation </w:t>
      </w:r>
      <w:r w:rsidR="00280091">
        <w:rPr>
          <w:lang w:val="fr-FR"/>
        </w:rPr>
        <w:t>applicable</w:t>
      </w:r>
      <w:r w:rsidRPr="00BF1937">
        <w:rPr>
          <w:lang w:val="fr-FR"/>
        </w:rPr>
        <w:t>.</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Si l</w:t>
      </w:r>
      <w:r w:rsidR="008300FB">
        <w:rPr>
          <w:lang w:val="fr-FR"/>
        </w:rPr>
        <w:t>’</w:t>
      </w:r>
      <w:r w:rsidRPr="00BF1937">
        <w:rPr>
          <w:lang w:val="fr-FR"/>
        </w:rPr>
        <w:t>enquête conclut à l</w:t>
      </w:r>
      <w:r w:rsidR="008300FB">
        <w:rPr>
          <w:lang w:val="fr-FR"/>
        </w:rPr>
        <w:t>’</w:t>
      </w:r>
      <w:r w:rsidRPr="00BF1937">
        <w:rPr>
          <w:lang w:val="fr-FR"/>
        </w:rPr>
        <w:t>existence d</w:t>
      </w:r>
      <w:r w:rsidR="008300FB">
        <w:rPr>
          <w:lang w:val="fr-FR"/>
        </w:rPr>
        <w:t>’</w:t>
      </w:r>
      <w:r w:rsidRPr="00BF1937">
        <w:rPr>
          <w:lang w:val="fr-FR"/>
        </w:rPr>
        <w:t>éléments suffisants pour établir le fait de discrimination, l</w:t>
      </w:r>
      <w:r w:rsidR="008300FB">
        <w:rPr>
          <w:lang w:val="fr-FR"/>
        </w:rPr>
        <w:t>’</w:t>
      </w:r>
      <w:r w:rsidRPr="00BF1937">
        <w:rPr>
          <w:lang w:val="fr-FR"/>
        </w:rPr>
        <w:t xml:space="preserve">Ombudsman peut </w:t>
      </w:r>
      <w:r w:rsidR="00280091">
        <w:rPr>
          <w:lang w:val="fr-FR"/>
        </w:rPr>
        <w:t>imposer</w:t>
      </w:r>
      <w:r w:rsidRPr="00BF1937">
        <w:rPr>
          <w:lang w:val="fr-FR"/>
        </w:rPr>
        <w:t xml:space="preserve"> une amende au responsable de cette violation, qu</w:t>
      </w:r>
      <w:r w:rsidR="008300FB">
        <w:rPr>
          <w:lang w:val="fr-FR"/>
        </w:rPr>
        <w:t>’</w:t>
      </w:r>
      <w:r w:rsidRPr="00BF1937">
        <w:rPr>
          <w:lang w:val="fr-FR"/>
        </w:rPr>
        <w:t>il relève du secteur public ou du secteur privé. Il peut, en sus de l</w:t>
      </w:r>
      <w:r w:rsidR="008300FB">
        <w:rPr>
          <w:lang w:val="fr-FR"/>
        </w:rPr>
        <w:t>’</w:t>
      </w:r>
      <w:r w:rsidRPr="00BF1937">
        <w:rPr>
          <w:lang w:val="fr-FR"/>
        </w:rPr>
        <w:t xml:space="preserve">amende ou </w:t>
      </w:r>
      <w:r w:rsidR="00DF4BF5">
        <w:rPr>
          <w:lang w:val="fr-FR"/>
        </w:rPr>
        <w:t>en lieu et place de celle-ci</w:t>
      </w:r>
      <w:r w:rsidRPr="00BF1937">
        <w:rPr>
          <w:lang w:val="fr-FR"/>
        </w:rPr>
        <w:t>, adresser une recommandation au responsable de la violation, après avoir consulté toutes les parties concernées. Cette recommandation a force obligatoire</w:t>
      </w:r>
      <w:r w:rsidR="00DF4BF5">
        <w:rPr>
          <w:lang w:val="fr-FR"/>
        </w:rPr>
        <w:t xml:space="preserve"> et </w:t>
      </w:r>
      <w:r w:rsidRPr="00BF1937">
        <w:rPr>
          <w:lang w:val="fr-FR"/>
        </w:rPr>
        <w:t xml:space="preserve">peut, selon le cas, </w:t>
      </w:r>
      <w:r w:rsidR="00DF4BF5">
        <w:rPr>
          <w:lang w:val="fr-FR"/>
        </w:rPr>
        <w:t>exiger l’adoption</w:t>
      </w:r>
      <w:r w:rsidRPr="00BF1937">
        <w:rPr>
          <w:lang w:val="fr-FR"/>
        </w:rPr>
        <w:t xml:space="preserve">, dans un délai précis, </w:t>
      </w:r>
      <w:r w:rsidR="00DF4BF5">
        <w:rPr>
          <w:lang w:val="fr-FR"/>
        </w:rPr>
        <w:t>d</w:t>
      </w:r>
      <w:r w:rsidRPr="00BF1937">
        <w:rPr>
          <w:lang w:val="fr-FR"/>
        </w:rPr>
        <w:t>es mesures pratiques nécessaire</w:t>
      </w:r>
      <w:r w:rsidR="005713F4">
        <w:rPr>
          <w:lang w:val="fr-FR"/>
        </w:rPr>
        <w:t>s</w:t>
      </w:r>
      <w:r w:rsidRPr="00BF1937">
        <w:rPr>
          <w:lang w:val="fr-FR"/>
        </w:rPr>
        <w:t xml:space="preserve"> pour éliminer la discrimination, y mettre fin ou empêcher sa répétition. Si la recommandation n</w:t>
      </w:r>
      <w:r w:rsidR="008300FB">
        <w:rPr>
          <w:lang w:val="fr-FR"/>
        </w:rPr>
        <w:t>’</w:t>
      </w:r>
      <w:r w:rsidRPr="00BF1937">
        <w:rPr>
          <w:lang w:val="fr-FR"/>
        </w:rPr>
        <w:t>est pas respectée, l</w:t>
      </w:r>
      <w:r w:rsidR="008300FB">
        <w:rPr>
          <w:lang w:val="fr-FR"/>
        </w:rPr>
        <w:t>’</w:t>
      </w:r>
      <w:r w:rsidRPr="00BF1937">
        <w:rPr>
          <w:lang w:val="fr-FR"/>
        </w:rPr>
        <w:t>Ombudsman peut ordonner sa publication au Journal officiel de la République et fixer un nouveau délai de mise en œuvre. Si la recommandation n</w:t>
      </w:r>
      <w:r w:rsidR="008300FB">
        <w:rPr>
          <w:lang w:val="fr-FR"/>
        </w:rPr>
        <w:t>’</w:t>
      </w:r>
      <w:r w:rsidRPr="00BF1937">
        <w:rPr>
          <w:lang w:val="fr-FR"/>
        </w:rPr>
        <w:t>est toujours pas respectée dans le nouveau délai</w:t>
      </w:r>
      <w:r w:rsidR="00110459">
        <w:rPr>
          <w:lang w:val="fr-FR"/>
        </w:rPr>
        <w:t xml:space="preserve"> </w:t>
      </w:r>
      <w:r w:rsidRPr="00BF1937">
        <w:rPr>
          <w:lang w:val="fr-FR"/>
        </w:rPr>
        <w:t>imparti, l</w:t>
      </w:r>
      <w:r w:rsidR="008300FB">
        <w:rPr>
          <w:lang w:val="fr-FR"/>
        </w:rPr>
        <w:t>’</w:t>
      </w:r>
      <w:r w:rsidRPr="00BF1937">
        <w:rPr>
          <w:lang w:val="fr-FR"/>
        </w:rPr>
        <w:t xml:space="preserve">Ombudsman peut </w:t>
      </w:r>
      <w:r w:rsidR="00DF4BF5">
        <w:rPr>
          <w:lang w:val="fr-FR"/>
        </w:rPr>
        <w:t>imposer</w:t>
      </w:r>
      <w:r w:rsidRPr="00BF1937">
        <w:rPr>
          <w:lang w:val="fr-FR"/>
        </w:rPr>
        <w:t xml:space="preserve"> une amende pour non-respect d</w:t>
      </w:r>
      <w:r w:rsidR="008300FB">
        <w:rPr>
          <w:lang w:val="fr-FR"/>
        </w:rPr>
        <w:t>’</w:t>
      </w:r>
      <w:r w:rsidRPr="00BF1937">
        <w:rPr>
          <w:lang w:val="fr-FR"/>
        </w:rPr>
        <w:t>une recommandation, ainsi qu</w:t>
      </w:r>
      <w:r w:rsidR="008300FB">
        <w:rPr>
          <w:lang w:val="fr-FR"/>
        </w:rPr>
        <w:t>’</w:t>
      </w:r>
      <w:r w:rsidRPr="00BF1937">
        <w:rPr>
          <w:lang w:val="fr-FR"/>
        </w:rPr>
        <w:t>une pénalité pour chaque jour de retard dans son exécution.</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Si l</w:t>
      </w:r>
      <w:r w:rsidR="008300FB">
        <w:rPr>
          <w:lang w:val="fr-FR"/>
        </w:rPr>
        <w:t>’</w:t>
      </w:r>
      <w:r w:rsidRPr="00BF1937">
        <w:rPr>
          <w:lang w:val="fr-FR"/>
        </w:rPr>
        <w:t>acte de discrimination ill</w:t>
      </w:r>
      <w:r w:rsidR="00DF4BF5">
        <w:rPr>
          <w:lang w:val="fr-FR"/>
        </w:rPr>
        <w:t>égale</w:t>
      </w:r>
      <w:r w:rsidRPr="00BF1937">
        <w:rPr>
          <w:lang w:val="fr-FR"/>
        </w:rPr>
        <w:t xml:space="preserve"> dont l</w:t>
      </w:r>
      <w:r w:rsidR="008300FB">
        <w:rPr>
          <w:lang w:val="fr-FR"/>
        </w:rPr>
        <w:t>’</w:t>
      </w:r>
      <w:r w:rsidRPr="00BF1937">
        <w:rPr>
          <w:lang w:val="fr-FR"/>
        </w:rPr>
        <w:t xml:space="preserve">existence a été </w:t>
      </w:r>
      <w:r w:rsidR="00DF4BF5">
        <w:rPr>
          <w:lang w:val="fr-FR"/>
        </w:rPr>
        <w:t>établie</w:t>
      </w:r>
      <w:r w:rsidRPr="00BF1937">
        <w:rPr>
          <w:lang w:val="fr-FR"/>
        </w:rPr>
        <w:t xml:space="preserve"> est </w:t>
      </w:r>
      <w:r w:rsidR="00DF4BF5">
        <w:rPr>
          <w:lang w:val="fr-FR"/>
        </w:rPr>
        <w:t>prévu</w:t>
      </w:r>
      <w:r w:rsidRPr="00BF1937">
        <w:rPr>
          <w:lang w:val="fr-FR"/>
        </w:rPr>
        <w:t xml:space="preserve"> dans la législation, l</w:t>
      </w:r>
      <w:r w:rsidR="008300FB">
        <w:rPr>
          <w:lang w:val="fr-FR"/>
        </w:rPr>
        <w:t>’</w:t>
      </w:r>
      <w:r w:rsidRPr="00BF1937">
        <w:rPr>
          <w:lang w:val="fr-FR"/>
        </w:rPr>
        <w:t xml:space="preserve">Ombudsman remet ses conclusions au Procureur de la République, qui pourra engager la procédure </w:t>
      </w:r>
      <w:r w:rsidR="00DF4BF5">
        <w:rPr>
          <w:lang w:val="fr-FR"/>
        </w:rPr>
        <w:t>de modification des dispositions concernées</w:t>
      </w:r>
      <w:r w:rsidRPr="00BF1937">
        <w:rPr>
          <w:lang w:val="fr-FR"/>
        </w:rPr>
        <w:t>.</w:t>
      </w:r>
    </w:p>
    <w:p w:rsidR="00BF1937" w:rsidRPr="00BF1937" w:rsidRDefault="00BF1937" w:rsidP="0097512A">
      <w:pPr>
        <w:pStyle w:val="SingleTxt"/>
        <w:numPr>
          <w:ilvl w:val="0"/>
          <w:numId w:val="18"/>
        </w:numPr>
        <w:tabs>
          <w:tab w:val="clear" w:pos="475"/>
          <w:tab w:val="num" w:pos="1742"/>
        </w:tabs>
        <w:ind w:left="1267"/>
        <w:rPr>
          <w:lang w:val="fr-FR"/>
        </w:rPr>
      </w:pPr>
      <w:r w:rsidRPr="00BF1937">
        <w:rPr>
          <w:lang w:val="fr-FR"/>
        </w:rPr>
        <w:t>Qu</w:t>
      </w:r>
      <w:r w:rsidR="008300FB">
        <w:rPr>
          <w:lang w:val="fr-FR"/>
        </w:rPr>
        <w:t>’</w:t>
      </w:r>
      <w:r w:rsidRPr="00BF1937">
        <w:rPr>
          <w:lang w:val="fr-FR"/>
        </w:rPr>
        <w:t>il agisse en qualité d</w:t>
      </w:r>
      <w:r w:rsidR="008300FB">
        <w:rPr>
          <w:lang w:val="fr-FR"/>
        </w:rPr>
        <w:t>’</w:t>
      </w:r>
      <w:r w:rsidRPr="00BF1937">
        <w:rPr>
          <w:lang w:val="fr-FR"/>
        </w:rPr>
        <w:t>Organe antidiscrimination ou d</w:t>
      </w:r>
      <w:r w:rsidR="00DF4BF5">
        <w:rPr>
          <w:lang w:val="fr-FR"/>
        </w:rPr>
        <w:t xml:space="preserve">u Bureau de </w:t>
      </w:r>
      <w:r w:rsidRPr="00BF1937">
        <w:rPr>
          <w:lang w:val="fr-FR"/>
        </w:rPr>
        <w:t>l</w:t>
      </w:r>
      <w:r w:rsidR="008300FB">
        <w:rPr>
          <w:lang w:val="fr-FR"/>
        </w:rPr>
        <w:t>’</w:t>
      </w:r>
      <w:r w:rsidRPr="00BF1937">
        <w:rPr>
          <w:lang w:val="fr-FR"/>
        </w:rPr>
        <w:t>égalité, l</w:t>
      </w:r>
      <w:r w:rsidR="008300FB">
        <w:rPr>
          <w:lang w:val="fr-FR"/>
        </w:rPr>
        <w:t>’</w:t>
      </w:r>
      <w:r w:rsidRPr="00BF1937">
        <w:rPr>
          <w:lang w:val="fr-FR"/>
        </w:rPr>
        <w:t>Ombudsman n</w:t>
      </w:r>
      <w:r w:rsidR="008300FB">
        <w:rPr>
          <w:lang w:val="fr-FR"/>
        </w:rPr>
        <w:t>’</w:t>
      </w:r>
      <w:r w:rsidRPr="00BF1937">
        <w:rPr>
          <w:lang w:val="fr-FR"/>
        </w:rPr>
        <w:t xml:space="preserve">est pas compétent pour accorder réparation à </w:t>
      </w:r>
      <w:r w:rsidR="00DF4BF5">
        <w:rPr>
          <w:lang w:val="fr-FR"/>
        </w:rPr>
        <w:t>une</w:t>
      </w:r>
      <w:r w:rsidRPr="00BF1937">
        <w:rPr>
          <w:lang w:val="fr-FR"/>
        </w:rPr>
        <w:t xml:space="preserve"> victime de discrimination. Toutefois, la loi autorise la victime de discrimination, de même que toute personne estimant avoir été victime de discrimination en matière d</w:t>
      </w:r>
      <w:r w:rsidR="008300FB">
        <w:rPr>
          <w:lang w:val="fr-FR"/>
        </w:rPr>
        <w:t>’</w:t>
      </w:r>
      <w:r w:rsidRPr="00BF1937">
        <w:rPr>
          <w:lang w:val="fr-FR"/>
        </w:rPr>
        <w:t>emploi et d</w:t>
      </w:r>
      <w:r w:rsidR="008300FB">
        <w:rPr>
          <w:lang w:val="fr-FR"/>
        </w:rPr>
        <w:t>’</w:t>
      </w:r>
      <w:r w:rsidRPr="00BF1937">
        <w:rPr>
          <w:lang w:val="fr-FR"/>
        </w:rPr>
        <w:t>activité professionnelle, à saisir les tribunaux compétents pour obtenir réparation. Le tribunal accorde, au cas par cas, une indemnisation juste et raisonnable en réparation de l</w:t>
      </w:r>
      <w:r w:rsidR="008300FB">
        <w:rPr>
          <w:lang w:val="fr-FR"/>
        </w:rPr>
        <w:t>’</w:t>
      </w:r>
      <w:r w:rsidRPr="00BF1937">
        <w:rPr>
          <w:lang w:val="fr-FR"/>
        </w:rPr>
        <w:t>ensemble du préjudice subi du fait de la discrimination, assortie des intérêts légaux pour la période comprise entre la date de la violation et la date à laquelle l</w:t>
      </w:r>
      <w:r w:rsidR="008300FB">
        <w:rPr>
          <w:lang w:val="fr-FR"/>
        </w:rPr>
        <w:t>’</w:t>
      </w:r>
      <w:r w:rsidRPr="00BF1937">
        <w:rPr>
          <w:lang w:val="fr-FR"/>
        </w:rPr>
        <w:t>indemnisation est accordée.</w:t>
      </w:r>
    </w:p>
    <w:p w:rsidR="00BF1937" w:rsidRPr="00BF1937" w:rsidRDefault="00BF1937" w:rsidP="008855D4">
      <w:pPr>
        <w:pStyle w:val="SingleTxt"/>
        <w:numPr>
          <w:ilvl w:val="0"/>
          <w:numId w:val="18"/>
        </w:numPr>
        <w:tabs>
          <w:tab w:val="clear" w:pos="475"/>
          <w:tab w:val="num" w:pos="1742"/>
        </w:tabs>
        <w:ind w:left="1267"/>
        <w:rPr>
          <w:lang w:val="fr-FR"/>
        </w:rPr>
      </w:pPr>
      <w:r w:rsidRPr="00BF1937">
        <w:rPr>
          <w:lang w:val="fr-FR"/>
        </w:rPr>
        <w:t xml:space="preserve">Le nouveau cadre institutionnel de la lutte contre la discrimination est complexe, car il couvre toutes les </w:t>
      </w:r>
      <w:r w:rsidR="00DF4BF5">
        <w:rPr>
          <w:lang w:val="fr-FR"/>
        </w:rPr>
        <w:t xml:space="preserve">formes de </w:t>
      </w:r>
      <w:r w:rsidRPr="00BF1937">
        <w:rPr>
          <w:lang w:val="fr-FR"/>
        </w:rPr>
        <w:t>discriminat</w:t>
      </w:r>
      <w:r w:rsidR="00DF4BF5">
        <w:rPr>
          <w:lang w:val="fr-FR"/>
        </w:rPr>
        <w:t>ion</w:t>
      </w:r>
      <w:r w:rsidRPr="00BF1937">
        <w:rPr>
          <w:lang w:val="fr-FR"/>
        </w:rPr>
        <w:t xml:space="preserve"> interdites</w:t>
      </w:r>
      <w:r w:rsidR="00DF4BF5">
        <w:rPr>
          <w:lang w:val="fr-FR"/>
        </w:rPr>
        <w:t xml:space="preserve"> par la loi</w:t>
      </w:r>
      <w:r w:rsidRPr="00BF1937">
        <w:rPr>
          <w:lang w:val="fr-FR"/>
        </w:rPr>
        <w:t xml:space="preserve">, dans le secteur public comme dans le secteur privé. Il </w:t>
      </w:r>
      <w:r w:rsidR="00DF4BF5">
        <w:rPr>
          <w:lang w:val="fr-FR"/>
        </w:rPr>
        <w:t>offre</w:t>
      </w:r>
      <w:r w:rsidRPr="00BF1937">
        <w:rPr>
          <w:lang w:val="fr-FR"/>
        </w:rPr>
        <w:t xml:space="preserve"> de nombreux outils méthodologiques et juridiques pour lutter contre l</w:t>
      </w:r>
      <w:r w:rsidR="00DF4BF5">
        <w:rPr>
          <w:lang w:val="fr-FR"/>
        </w:rPr>
        <w:t>a discrimination</w:t>
      </w:r>
      <w:r w:rsidRPr="00BF1937">
        <w:rPr>
          <w:lang w:val="fr-FR"/>
        </w:rPr>
        <w:t xml:space="preserve">, </w:t>
      </w:r>
      <w:r w:rsidR="00DF4BF5">
        <w:rPr>
          <w:lang w:val="fr-FR"/>
        </w:rPr>
        <w:t>en donnant</w:t>
      </w:r>
      <w:r w:rsidRPr="00BF1937">
        <w:rPr>
          <w:lang w:val="fr-FR"/>
        </w:rPr>
        <w:t xml:space="preserve"> une définition précise et détaillée de la discrimination directe et de la discrimination indirecte (ou masquée) interdites par la loi. Il institue en outre un dispositif de protection spécial distinct contre le harcèlement </w:t>
      </w:r>
      <w:r w:rsidR="00DF4BF5">
        <w:rPr>
          <w:lang w:val="fr-FR"/>
        </w:rPr>
        <w:t>et</w:t>
      </w:r>
      <w:r w:rsidRPr="00BF1937">
        <w:rPr>
          <w:lang w:val="fr-FR"/>
        </w:rPr>
        <w:t xml:space="preserve"> contre le fait de réserver un traitement discriminatoire à une personne en raison de son origine raciale ou ethnique.</w:t>
      </w:r>
    </w:p>
    <w:p w:rsidR="00BF1937" w:rsidRPr="00BF1937" w:rsidRDefault="00DF4BF5" w:rsidP="008855D4">
      <w:pPr>
        <w:pStyle w:val="SingleTxt"/>
        <w:numPr>
          <w:ilvl w:val="0"/>
          <w:numId w:val="18"/>
        </w:numPr>
        <w:tabs>
          <w:tab w:val="clear" w:pos="475"/>
          <w:tab w:val="num" w:pos="1742"/>
        </w:tabs>
        <w:ind w:left="1267"/>
        <w:rPr>
          <w:lang w:val="fr-FR"/>
        </w:rPr>
      </w:pPr>
      <w:r>
        <w:rPr>
          <w:lang w:val="fr-FR"/>
        </w:rPr>
        <w:t>Dans leur</w:t>
      </w:r>
      <w:r w:rsidR="00BF1937" w:rsidRPr="00BF1937">
        <w:rPr>
          <w:lang w:val="fr-FR"/>
        </w:rPr>
        <w:t xml:space="preserve"> ensemble, les dispositions qui constituent le cadre institutionnel forment un système homogène de protection des victimes de discrimination, qui tend non seulement à </w:t>
      </w:r>
      <w:r>
        <w:rPr>
          <w:lang w:val="fr-FR"/>
        </w:rPr>
        <w:t>imposer</w:t>
      </w:r>
      <w:r w:rsidR="00BF1937" w:rsidRPr="00BF1937">
        <w:rPr>
          <w:lang w:val="fr-FR"/>
        </w:rPr>
        <w:t xml:space="preserve"> des sanctions individuelles, mais aussi à </w:t>
      </w:r>
      <w:r>
        <w:rPr>
          <w:lang w:val="fr-FR"/>
        </w:rPr>
        <w:t>encourager</w:t>
      </w:r>
      <w:r w:rsidR="00BF1937" w:rsidRPr="00BF1937">
        <w:rPr>
          <w:lang w:val="fr-FR"/>
        </w:rPr>
        <w:t xml:space="preserve"> les </w:t>
      </w:r>
      <w:r>
        <w:rPr>
          <w:lang w:val="fr-FR"/>
        </w:rPr>
        <w:t>initiatives</w:t>
      </w:r>
      <w:r w:rsidR="00BF1937" w:rsidRPr="00BF1937">
        <w:rPr>
          <w:lang w:val="fr-FR"/>
        </w:rPr>
        <w:t xml:space="preserve"> intermédiaires visant à </w:t>
      </w:r>
      <w:r>
        <w:rPr>
          <w:lang w:val="fr-FR"/>
        </w:rPr>
        <w:t>promouvoir</w:t>
      </w:r>
      <w:r w:rsidR="00BF1937" w:rsidRPr="00BF1937">
        <w:rPr>
          <w:lang w:val="fr-FR"/>
        </w:rPr>
        <w:t xml:space="preserve"> le principe d</w:t>
      </w:r>
      <w:r w:rsidR="008300FB">
        <w:rPr>
          <w:lang w:val="fr-FR"/>
        </w:rPr>
        <w:t>’</w:t>
      </w:r>
      <w:r w:rsidR="00BF1937" w:rsidRPr="00BF1937">
        <w:rPr>
          <w:lang w:val="fr-FR"/>
        </w:rPr>
        <w:t>égalité.</w:t>
      </w:r>
    </w:p>
    <w:p w:rsidR="00BF1937" w:rsidRPr="00BF1937" w:rsidRDefault="00BF1937" w:rsidP="008855D4">
      <w:pPr>
        <w:pStyle w:val="SingleTxt"/>
        <w:numPr>
          <w:ilvl w:val="0"/>
          <w:numId w:val="18"/>
        </w:numPr>
        <w:tabs>
          <w:tab w:val="clear" w:pos="475"/>
          <w:tab w:val="num" w:pos="1742"/>
        </w:tabs>
        <w:ind w:left="1267"/>
        <w:rPr>
          <w:lang w:val="fr-FR"/>
        </w:rPr>
      </w:pPr>
      <w:r w:rsidRPr="00BF1937">
        <w:rPr>
          <w:lang w:val="fr-FR"/>
        </w:rPr>
        <w:t>Ce dispositif sert de base pour entreprendre des activités de prévention et d</w:t>
      </w:r>
      <w:r w:rsidR="008300FB">
        <w:rPr>
          <w:lang w:val="fr-FR"/>
        </w:rPr>
        <w:t>’</w:t>
      </w:r>
      <w:r w:rsidRPr="00BF1937">
        <w:rPr>
          <w:lang w:val="fr-FR"/>
        </w:rPr>
        <w:t xml:space="preserve">éducation en matière de discrimination et </w:t>
      </w:r>
      <w:r w:rsidR="00DF4BF5">
        <w:rPr>
          <w:lang w:val="fr-FR"/>
        </w:rPr>
        <w:t>faire participer</w:t>
      </w:r>
      <w:r w:rsidRPr="00BF1937">
        <w:rPr>
          <w:lang w:val="fr-FR"/>
        </w:rPr>
        <w:t xml:space="preserve"> la société civile </w:t>
      </w:r>
      <w:r w:rsidR="00DF4BF5">
        <w:rPr>
          <w:lang w:val="fr-FR"/>
        </w:rPr>
        <w:t xml:space="preserve">aux activités </w:t>
      </w:r>
      <w:r w:rsidRPr="00BF1937">
        <w:rPr>
          <w:lang w:val="fr-FR"/>
        </w:rPr>
        <w:t xml:space="preserve">de sensibilisation et de représentation des victimes. Pour venir en aide aux victimes de </w:t>
      </w:r>
      <w:r w:rsidR="00DF4BF5">
        <w:rPr>
          <w:lang w:val="fr-FR"/>
        </w:rPr>
        <w:t xml:space="preserve">la </w:t>
      </w:r>
      <w:r w:rsidRPr="00BF1937">
        <w:rPr>
          <w:lang w:val="fr-FR"/>
        </w:rPr>
        <w:t xml:space="preserve">discrimination, le cadre institutionnel instaure également la possibilité de prendre des mesures positives destinées à prévenir ou réparer les préjudices subis pour des motifs </w:t>
      </w:r>
      <w:r w:rsidR="00DF4BF5">
        <w:rPr>
          <w:lang w:val="fr-FR"/>
        </w:rPr>
        <w:t xml:space="preserve">fondés sur l’origine </w:t>
      </w:r>
      <w:r w:rsidRPr="00BF1937">
        <w:rPr>
          <w:lang w:val="fr-FR"/>
        </w:rPr>
        <w:t>raciale ou ethnique.</w:t>
      </w:r>
    </w:p>
    <w:p w:rsidR="008855D4" w:rsidRPr="008855D4" w:rsidRDefault="008855D4" w:rsidP="008855D4">
      <w:pPr>
        <w:pStyle w:val="SingleTxt"/>
        <w:spacing w:after="0" w:line="120" w:lineRule="exact"/>
        <w:rPr>
          <w:sz w:val="10"/>
          <w:lang w:val="fr-FR"/>
        </w:rPr>
      </w:pPr>
    </w:p>
    <w:p w:rsidR="008855D4" w:rsidRPr="008855D4" w:rsidRDefault="008855D4" w:rsidP="008855D4">
      <w:pPr>
        <w:pStyle w:val="SingleTxt"/>
        <w:spacing w:after="0" w:line="120" w:lineRule="exact"/>
        <w:rPr>
          <w:sz w:val="10"/>
          <w:lang w:val="fr-FR"/>
        </w:rPr>
      </w:pPr>
    </w:p>
    <w:p w:rsidR="00BF1937" w:rsidRPr="00BF1937" w:rsidRDefault="00BF1937" w:rsidP="008855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1937">
        <w:rPr>
          <w:lang w:val="fr-FR"/>
        </w:rPr>
        <w:tab/>
        <w:t>V.</w:t>
      </w:r>
      <w:r w:rsidRPr="00BF1937">
        <w:rPr>
          <w:lang w:val="fr-FR"/>
        </w:rPr>
        <w:tab/>
        <w:t>Faits nouveaux concernant la question chypriote</w:t>
      </w:r>
    </w:p>
    <w:p w:rsidR="008855D4" w:rsidRPr="008855D4" w:rsidRDefault="008855D4" w:rsidP="008855D4">
      <w:pPr>
        <w:pStyle w:val="SingleTxt"/>
        <w:spacing w:after="0" w:line="120" w:lineRule="exact"/>
        <w:rPr>
          <w:sz w:val="10"/>
          <w:lang w:val="fr-FR"/>
        </w:rPr>
      </w:pPr>
    </w:p>
    <w:p w:rsidR="008855D4" w:rsidRPr="008855D4" w:rsidRDefault="008855D4" w:rsidP="008855D4">
      <w:pPr>
        <w:pStyle w:val="SingleTxt"/>
        <w:spacing w:after="0" w:line="120" w:lineRule="exact"/>
        <w:rPr>
          <w:sz w:val="10"/>
          <w:lang w:val="fr-FR"/>
        </w:rPr>
      </w:pPr>
    </w:p>
    <w:p w:rsidR="00BF1937" w:rsidRPr="00BF1937" w:rsidRDefault="00BF1937" w:rsidP="008855D4">
      <w:pPr>
        <w:pStyle w:val="SingleTxt"/>
        <w:numPr>
          <w:ilvl w:val="0"/>
          <w:numId w:val="18"/>
        </w:numPr>
        <w:tabs>
          <w:tab w:val="clear" w:pos="475"/>
          <w:tab w:val="num" w:pos="1742"/>
        </w:tabs>
        <w:ind w:left="1267"/>
        <w:rPr>
          <w:lang w:val="fr-FR"/>
        </w:rPr>
      </w:pPr>
      <w:r w:rsidRPr="00BF1937">
        <w:rPr>
          <w:lang w:val="fr-FR"/>
        </w:rPr>
        <w:t xml:space="preserve">Depuis 1974, la nature du problème chypriote </w:t>
      </w:r>
      <w:r w:rsidR="00DF4BF5">
        <w:rPr>
          <w:lang w:val="fr-FR"/>
        </w:rPr>
        <w:t>demeure inchangé</w:t>
      </w:r>
      <w:r w:rsidR="00C73C35">
        <w:rPr>
          <w:lang w:val="fr-FR"/>
        </w:rPr>
        <w:t>e</w:t>
      </w:r>
      <w:r w:rsidRPr="00BF1937">
        <w:rPr>
          <w:lang w:val="fr-FR"/>
        </w:rPr>
        <w:t>. Il s</w:t>
      </w:r>
      <w:r w:rsidR="008300FB">
        <w:rPr>
          <w:lang w:val="fr-FR"/>
        </w:rPr>
        <w:t>’</w:t>
      </w:r>
      <w:r w:rsidRPr="00BF1937">
        <w:rPr>
          <w:lang w:val="fr-FR"/>
        </w:rPr>
        <w:t>agit d</w:t>
      </w:r>
      <w:r w:rsidR="008300FB">
        <w:rPr>
          <w:lang w:val="fr-FR"/>
        </w:rPr>
        <w:t>’</w:t>
      </w:r>
      <w:r w:rsidRPr="00BF1937">
        <w:rPr>
          <w:lang w:val="fr-FR"/>
        </w:rPr>
        <w:t>une invasion et d</w:t>
      </w:r>
      <w:r w:rsidR="008300FB">
        <w:rPr>
          <w:lang w:val="fr-FR"/>
        </w:rPr>
        <w:t>’</w:t>
      </w:r>
      <w:r w:rsidRPr="00BF1937">
        <w:rPr>
          <w:lang w:val="fr-FR"/>
        </w:rPr>
        <w:t>une occupation étrangères, qui sont à l</w:t>
      </w:r>
      <w:r w:rsidR="008300FB">
        <w:rPr>
          <w:lang w:val="fr-FR"/>
        </w:rPr>
        <w:t>’</w:t>
      </w:r>
      <w:r w:rsidRPr="00BF1937">
        <w:rPr>
          <w:lang w:val="fr-FR"/>
        </w:rPr>
        <w:t>origine de violations massives des droits de l</w:t>
      </w:r>
      <w:r w:rsidR="008300FB">
        <w:rPr>
          <w:lang w:val="fr-FR"/>
        </w:rPr>
        <w:t>’</w:t>
      </w:r>
      <w:r w:rsidRPr="00BF1937">
        <w:rPr>
          <w:lang w:val="fr-FR"/>
        </w:rPr>
        <w:t>homme du peuple chypriote.</w:t>
      </w:r>
    </w:p>
    <w:p w:rsidR="00BF1937" w:rsidRPr="00BF1937" w:rsidRDefault="00BF1937" w:rsidP="008855D4">
      <w:pPr>
        <w:pStyle w:val="SingleTxt"/>
        <w:numPr>
          <w:ilvl w:val="0"/>
          <w:numId w:val="18"/>
        </w:numPr>
        <w:tabs>
          <w:tab w:val="clear" w:pos="475"/>
          <w:tab w:val="num" w:pos="1742"/>
        </w:tabs>
        <w:ind w:left="1267"/>
        <w:rPr>
          <w:lang w:val="fr-FR"/>
        </w:rPr>
      </w:pPr>
      <w:r w:rsidRPr="00BF1937">
        <w:rPr>
          <w:lang w:val="fr-FR"/>
        </w:rPr>
        <w:t>En février 201</w:t>
      </w:r>
      <w:r w:rsidR="00DF4BF5">
        <w:rPr>
          <w:lang w:val="fr-FR"/>
        </w:rPr>
        <w:t>3, M. </w:t>
      </w:r>
      <w:r w:rsidRPr="00BF1937">
        <w:rPr>
          <w:lang w:val="fr-FR"/>
        </w:rPr>
        <w:t xml:space="preserve">Nikos Anastasiades a été élu Président de la République de Chypre. Un des premiers objectifs </w:t>
      </w:r>
      <w:r w:rsidR="00DF4BF5">
        <w:rPr>
          <w:lang w:val="fr-FR"/>
        </w:rPr>
        <w:t>de</w:t>
      </w:r>
      <w:r w:rsidRPr="00BF1937">
        <w:rPr>
          <w:lang w:val="fr-FR"/>
        </w:rPr>
        <w:t xml:space="preserve"> son Gouvernement </w:t>
      </w:r>
      <w:r w:rsidR="00DF4BF5">
        <w:rPr>
          <w:lang w:val="fr-FR"/>
        </w:rPr>
        <w:t xml:space="preserve">était de reprendre des </w:t>
      </w:r>
      <w:r w:rsidRPr="00BF1937">
        <w:rPr>
          <w:lang w:val="fr-FR"/>
        </w:rPr>
        <w:t xml:space="preserve">négociations globales et </w:t>
      </w:r>
      <w:r w:rsidR="00DF4BF5">
        <w:rPr>
          <w:lang w:val="fr-FR"/>
        </w:rPr>
        <w:t xml:space="preserve">axées sur les </w:t>
      </w:r>
      <w:r w:rsidRPr="00BF1937">
        <w:rPr>
          <w:lang w:val="fr-FR"/>
        </w:rPr>
        <w:t>résultats en vue de parvenir à un règlement du problème chypriote. Le 16 juillet 2013, le Conseil national a unanimement confirmé sa volonté politique de désigner un négociateur chypriote grec. Dans le même temps, l</w:t>
      </w:r>
      <w:r w:rsidR="008300FB">
        <w:rPr>
          <w:lang w:val="fr-FR"/>
        </w:rPr>
        <w:t>’</w:t>
      </w:r>
      <w:r w:rsidRPr="00BF1937">
        <w:rPr>
          <w:lang w:val="fr-FR"/>
        </w:rPr>
        <w:t>Ambassadeur Andreas Mavroyiannis a été nommé à ce poste.</w:t>
      </w:r>
    </w:p>
    <w:p w:rsidR="00BF1937" w:rsidRPr="00BF1937" w:rsidRDefault="00BF1937" w:rsidP="008855D4">
      <w:pPr>
        <w:pStyle w:val="SingleTxt"/>
        <w:numPr>
          <w:ilvl w:val="0"/>
          <w:numId w:val="18"/>
        </w:numPr>
        <w:tabs>
          <w:tab w:val="clear" w:pos="475"/>
          <w:tab w:val="num" w:pos="1742"/>
        </w:tabs>
        <w:ind w:left="1267"/>
        <w:rPr>
          <w:lang w:val="fr-FR"/>
        </w:rPr>
      </w:pPr>
      <w:r w:rsidRPr="00BF1937">
        <w:rPr>
          <w:lang w:val="fr-FR"/>
        </w:rPr>
        <w:t xml:space="preserve">Le </w:t>
      </w:r>
      <w:r w:rsidR="008855D4">
        <w:rPr>
          <w:lang w:val="fr-FR"/>
        </w:rPr>
        <w:t>11 </w:t>
      </w:r>
      <w:r w:rsidRPr="00BF1937">
        <w:rPr>
          <w:lang w:val="fr-FR"/>
        </w:rPr>
        <w:t xml:space="preserve">février 2014, les chefs des deux communautés, </w:t>
      </w:r>
      <w:r w:rsidR="008855D4">
        <w:rPr>
          <w:lang w:val="fr-FR"/>
        </w:rPr>
        <w:t>le Président Anastasiades et M. </w:t>
      </w:r>
      <w:r w:rsidRPr="00BF1937">
        <w:rPr>
          <w:lang w:val="fr-FR"/>
        </w:rPr>
        <w:t>Eroglu, ont adopté une déclaration conjointe sur la reprise des pourparlers sur le problème chypriote, dans laquelle ils ont défini le cadre des principes de base d</w:t>
      </w:r>
      <w:r w:rsidR="008300FB">
        <w:rPr>
          <w:lang w:val="fr-FR"/>
        </w:rPr>
        <w:t>’</w:t>
      </w:r>
      <w:r w:rsidRPr="00BF1937">
        <w:rPr>
          <w:lang w:val="fr-FR"/>
        </w:rPr>
        <w:t xml:space="preserve">une solution et précisé la méthode à suivre pendant le processus de négociation. Dans la déclaration conjointe, il est réaffirmé que le règlement du problème </w:t>
      </w:r>
      <w:r w:rsidR="00DF4BF5">
        <w:rPr>
          <w:lang w:val="fr-FR"/>
        </w:rPr>
        <w:t>passera par la création d’</w:t>
      </w:r>
      <w:r w:rsidRPr="00BF1937">
        <w:rPr>
          <w:lang w:val="fr-FR"/>
        </w:rPr>
        <w:t>une fédération bicommunautaire et bi</w:t>
      </w:r>
      <w:r w:rsidR="00DF4BF5">
        <w:rPr>
          <w:lang w:val="fr-FR"/>
        </w:rPr>
        <w:t>zonale</w:t>
      </w:r>
      <w:r w:rsidRPr="00BF1937">
        <w:rPr>
          <w:lang w:val="fr-FR"/>
        </w:rPr>
        <w:t xml:space="preserve"> fondée sur l</w:t>
      </w:r>
      <w:r w:rsidR="008300FB">
        <w:rPr>
          <w:lang w:val="fr-FR"/>
        </w:rPr>
        <w:t>’</w:t>
      </w:r>
      <w:r w:rsidRPr="00BF1937">
        <w:rPr>
          <w:lang w:val="fr-FR"/>
        </w:rPr>
        <w:t xml:space="preserve">égalité politique, conformément aux résolutions pertinentes du Conseil de sécurité et aux </w:t>
      </w:r>
      <w:r w:rsidR="00DF4BF5" w:rsidRPr="00BF1937">
        <w:rPr>
          <w:lang w:val="fr-FR"/>
        </w:rPr>
        <w:t>A</w:t>
      </w:r>
      <w:r w:rsidRPr="00BF1937">
        <w:rPr>
          <w:lang w:val="fr-FR"/>
        </w:rPr>
        <w:t xml:space="preserve">ccords de haut niveau. </w:t>
      </w:r>
      <w:r w:rsidR="00DF4BF5">
        <w:rPr>
          <w:lang w:val="fr-FR"/>
        </w:rPr>
        <w:t>Il y est également</w:t>
      </w:r>
      <w:r w:rsidRPr="00BF1937">
        <w:rPr>
          <w:lang w:val="fr-FR"/>
        </w:rPr>
        <w:t xml:space="preserve"> réaffirm</w:t>
      </w:r>
      <w:r w:rsidR="00C73C35">
        <w:rPr>
          <w:lang w:val="fr-FR"/>
        </w:rPr>
        <w:t>é</w:t>
      </w:r>
      <w:r w:rsidRPr="00BF1937">
        <w:rPr>
          <w:lang w:val="fr-FR"/>
        </w:rPr>
        <w:t xml:space="preserve"> qu</w:t>
      </w:r>
      <w:r w:rsidR="008300FB">
        <w:rPr>
          <w:lang w:val="fr-FR"/>
        </w:rPr>
        <w:t>’</w:t>
      </w:r>
      <w:r w:rsidRPr="00BF1937">
        <w:rPr>
          <w:lang w:val="fr-FR"/>
        </w:rPr>
        <w:t xml:space="preserve">en sa qualité de </w:t>
      </w:r>
      <w:r w:rsidR="00C73C35">
        <w:rPr>
          <w:lang w:val="fr-FR"/>
        </w:rPr>
        <w:t>M</w:t>
      </w:r>
      <w:r w:rsidRPr="00BF1937">
        <w:rPr>
          <w:lang w:val="fr-FR"/>
        </w:rPr>
        <w:t xml:space="preserve">embre </w:t>
      </w:r>
      <w:r w:rsidR="00DF4BF5">
        <w:rPr>
          <w:lang w:val="fr-FR"/>
        </w:rPr>
        <w:t xml:space="preserve">de l’Organisation </w:t>
      </w:r>
      <w:r w:rsidRPr="00BF1937">
        <w:rPr>
          <w:lang w:val="fr-FR"/>
        </w:rPr>
        <w:t>des Nations Unies et de l</w:t>
      </w:r>
      <w:r w:rsidR="008300FB">
        <w:rPr>
          <w:lang w:val="fr-FR"/>
        </w:rPr>
        <w:t>’</w:t>
      </w:r>
      <w:r w:rsidRPr="00BF1937">
        <w:rPr>
          <w:lang w:val="fr-FR"/>
        </w:rPr>
        <w:t>Union européenne, la Chypre unifiée jouira d</w:t>
      </w:r>
      <w:r w:rsidR="008300FB">
        <w:rPr>
          <w:lang w:val="fr-FR"/>
        </w:rPr>
        <w:t>’</w:t>
      </w:r>
      <w:r w:rsidRPr="00BF1937">
        <w:rPr>
          <w:lang w:val="fr-FR"/>
        </w:rPr>
        <w:t>une personnalité juridique internationale unique</w:t>
      </w:r>
      <w:r w:rsidR="00DF4BF5">
        <w:rPr>
          <w:lang w:val="fr-FR"/>
        </w:rPr>
        <w:t>,</w:t>
      </w:r>
      <w:r w:rsidRPr="00BF1937">
        <w:rPr>
          <w:lang w:val="fr-FR"/>
        </w:rPr>
        <w:t xml:space="preserve"> d</w:t>
      </w:r>
      <w:r w:rsidR="008300FB">
        <w:rPr>
          <w:lang w:val="fr-FR"/>
        </w:rPr>
        <w:t>’</w:t>
      </w:r>
      <w:r w:rsidRPr="00BF1937">
        <w:rPr>
          <w:lang w:val="fr-FR"/>
        </w:rPr>
        <w:t xml:space="preserve">une souveraineté unique, laquelle se définit comme la souveraineté attachée à tous les États </w:t>
      </w:r>
      <w:r w:rsidR="00DF4BF5" w:rsidRPr="00BF1937">
        <w:rPr>
          <w:lang w:val="fr-FR"/>
        </w:rPr>
        <w:t>M</w:t>
      </w:r>
      <w:r w:rsidRPr="00BF1937">
        <w:rPr>
          <w:lang w:val="fr-FR"/>
        </w:rPr>
        <w:t xml:space="preserve">embres </w:t>
      </w:r>
      <w:r w:rsidR="00DF4BF5">
        <w:rPr>
          <w:lang w:val="fr-FR"/>
        </w:rPr>
        <w:t xml:space="preserve">de l’Organisation </w:t>
      </w:r>
      <w:r w:rsidRPr="00BF1937">
        <w:rPr>
          <w:lang w:val="fr-FR"/>
        </w:rPr>
        <w:t>des Nations Unies en vertu de la Charte des Nations Unies, ainsi que d</w:t>
      </w:r>
      <w:r w:rsidR="008300FB">
        <w:rPr>
          <w:lang w:val="fr-FR"/>
        </w:rPr>
        <w:t>’</w:t>
      </w:r>
      <w:r w:rsidRPr="00BF1937">
        <w:rPr>
          <w:lang w:val="fr-FR"/>
        </w:rPr>
        <w:t>une citoyenneté unique.</w:t>
      </w:r>
    </w:p>
    <w:p w:rsidR="00BF1937" w:rsidRPr="00BF1937" w:rsidRDefault="00BF1937" w:rsidP="006E086E">
      <w:pPr>
        <w:pStyle w:val="SingleTxt"/>
        <w:numPr>
          <w:ilvl w:val="0"/>
          <w:numId w:val="18"/>
        </w:numPr>
        <w:tabs>
          <w:tab w:val="clear" w:pos="475"/>
          <w:tab w:val="num" w:pos="1742"/>
        </w:tabs>
        <w:ind w:left="1267"/>
        <w:rPr>
          <w:lang w:val="fr-FR"/>
        </w:rPr>
      </w:pPr>
      <w:r w:rsidRPr="00BF1937">
        <w:rPr>
          <w:lang w:val="fr-FR"/>
        </w:rPr>
        <w:t>Le Gouvernement chypriote considère qu</w:t>
      </w:r>
      <w:r w:rsidR="008300FB">
        <w:rPr>
          <w:lang w:val="fr-FR"/>
        </w:rPr>
        <w:t>’</w:t>
      </w:r>
      <w:r w:rsidRPr="00BF1937">
        <w:rPr>
          <w:lang w:val="fr-FR"/>
        </w:rPr>
        <w:t>il convient d</w:t>
      </w:r>
      <w:r w:rsidR="008300FB">
        <w:rPr>
          <w:lang w:val="fr-FR"/>
        </w:rPr>
        <w:t>’</w:t>
      </w:r>
      <w:r w:rsidR="00DF4BF5">
        <w:rPr>
          <w:lang w:val="fr-FR"/>
        </w:rPr>
        <w:t>imprimer</w:t>
      </w:r>
      <w:r w:rsidRPr="00BF1937">
        <w:rPr>
          <w:lang w:val="fr-FR"/>
        </w:rPr>
        <w:t xml:space="preserve"> un </w:t>
      </w:r>
      <w:r w:rsidR="00DF4BF5">
        <w:rPr>
          <w:lang w:val="fr-FR"/>
        </w:rPr>
        <w:t xml:space="preserve">nouvel </w:t>
      </w:r>
      <w:r w:rsidRPr="00BF1937">
        <w:rPr>
          <w:lang w:val="fr-FR"/>
        </w:rPr>
        <w:t>élan en parallèle au processus de négociation, afin de restaurer la confiance du peuple chypriote dans l</w:t>
      </w:r>
      <w:r w:rsidR="00DF4BF5">
        <w:rPr>
          <w:lang w:val="fr-FR"/>
        </w:rPr>
        <w:t>es chances de trouver une solution</w:t>
      </w:r>
      <w:r w:rsidRPr="00BF1937">
        <w:rPr>
          <w:lang w:val="fr-FR"/>
        </w:rPr>
        <w:t>. Dans ce contexte, il a présenté une proposition globale qui,</w:t>
      </w:r>
      <w:r w:rsidR="00DF4BF5">
        <w:rPr>
          <w:lang w:val="fr-FR"/>
        </w:rPr>
        <w:t xml:space="preserve"> </w:t>
      </w:r>
      <w:r w:rsidRPr="00BF1937">
        <w:rPr>
          <w:lang w:val="fr-FR"/>
        </w:rPr>
        <w:t xml:space="preserve">si elle est acceptée par la Turquie, pourrait bien </w:t>
      </w:r>
      <w:r w:rsidR="00DF4BF5">
        <w:rPr>
          <w:lang w:val="fr-FR"/>
        </w:rPr>
        <w:t>« changer la donne »</w:t>
      </w:r>
      <w:r w:rsidRPr="00BF1937">
        <w:rPr>
          <w:lang w:val="fr-FR"/>
        </w:rPr>
        <w:t xml:space="preserve"> et </w:t>
      </w:r>
      <w:r w:rsidR="00DF4BF5">
        <w:rPr>
          <w:lang w:val="fr-FR"/>
        </w:rPr>
        <w:t>instaurer</w:t>
      </w:r>
      <w:r w:rsidRPr="00BF1937">
        <w:rPr>
          <w:lang w:val="fr-FR"/>
        </w:rPr>
        <w:t xml:space="preserve"> un état d</w:t>
      </w:r>
      <w:r w:rsidR="008300FB">
        <w:rPr>
          <w:lang w:val="fr-FR"/>
        </w:rPr>
        <w:t>’</w:t>
      </w:r>
      <w:r w:rsidRPr="00BF1937">
        <w:rPr>
          <w:lang w:val="fr-FR"/>
        </w:rPr>
        <w:t>esprit fondé sur la confiance et la coopération entre les deux communautés. Cette proposition prévoit la restitution de la ville de Varosha à ses habitants légitimes, en application de la résolution 550 (1984) du Conseil de sécurité, en échange de l</w:t>
      </w:r>
      <w:r w:rsidR="008300FB">
        <w:rPr>
          <w:lang w:val="fr-FR"/>
        </w:rPr>
        <w:t>’</w:t>
      </w:r>
      <w:r w:rsidRPr="00BF1937">
        <w:rPr>
          <w:lang w:val="fr-FR"/>
        </w:rPr>
        <w:t>ouverture du port de Famagusta, en application du Protocole 10, et de l</w:t>
      </w:r>
      <w:r w:rsidR="008300FB">
        <w:rPr>
          <w:lang w:val="fr-FR"/>
        </w:rPr>
        <w:t>’</w:t>
      </w:r>
      <w:r w:rsidRPr="00BF1937">
        <w:rPr>
          <w:lang w:val="fr-FR"/>
        </w:rPr>
        <w:t>ouverture d</w:t>
      </w:r>
      <w:r w:rsidR="008300FB">
        <w:rPr>
          <w:lang w:val="fr-FR"/>
        </w:rPr>
        <w:t>’</w:t>
      </w:r>
      <w:r w:rsidRPr="00BF1937">
        <w:rPr>
          <w:lang w:val="fr-FR"/>
        </w:rPr>
        <w:t xml:space="preserve">un certain nombre de chapitres des négociations </w:t>
      </w:r>
      <w:r w:rsidR="00DF4BF5">
        <w:rPr>
          <w:lang w:val="fr-FR"/>
        </w:rPr>
        <w:t>concernant</w:t>
      </w:r>
      <w:r w:rsidRPr="00BF1937">
        <w:rPr>
          <w:lang w:val="fr-FR"/>
        </w:rPr>
        <w:t xml:space="preserve"> l</w:t>
      </w:r>
      <w:r w:rsidR="008300FB">
        <w:rPr>
          <w:lang w:val="fr-FR"/>
        </w:rPr>
        <w:t>’</w:t>
      </w:r>
      <w:r w:rsidRPr="00BF1937">
        <w:rPr>
          <w:lang w:val="fr-FR"/>
        </w:rPr>
        <w:t>adhésion de la Turquie, à condition que la Turquie applique pleinement et sans discrimination le Protocole additionnel à l</w:t>
      </w:r>
      <w:r w:rsidR="008300FB">
        <w:rPr>
          <w:lang w:val="fr-FR"/>
        </w:rPr>
        <w:t>’</w:t>
      </w:r>
      <w:r w:rsidRPr="00BF1937">
        <w:rPr>
          <w:lang w:val="fr-FR"/>
        </w:rPr>
        <w:t xml:space="preserve">Accord </w:t>
      </w:r>
      <w:r w:rsidR="00DE3BD5">
        <w:rPr>
          <w:lang w:val="fr-FR"/>
        </w:rPr>
        <w:t>créant</w:t>
      </w:r>
      <w:r w:rsidRPr="00BF1937">
        <w:rPr>
          <w:lang w:val="fr-FR"/>
        </w:rPr>
        <w:t xml:space="preserve"> une association entre la Communauté économique européenne et la Turquie (Protocole additionnel à l</w:t>
      </w:r>
      <w:r w:rsidR="008300FB">
        <w:rPr>
          <w:lang w:val="fr-FR"/>
        </w:rPr>
        <w:t>’</w:t>
      </w:r>
      <w:r w:rsidRPr="00BF1937">
        <w:rPr>
          <w:lang w:val="fr-FR"/>
        </w:rPr>
        <w:t>Accord d</w:t>
      </w:r>
      <w:r w:rsidR="008300FB">
        <w:rPr>
          <w:lang w:val="fr-FR"/>
        </w:rPr>
        <w:t>’</w:t>
      </w:r>
      <w:r w:rsidRPr="00BF1937">
        <w:rPr>
          <w:lang w:val="fr-FR"/>
        </w:rPr>
        <w:t>association avec l</w:t>
      </w:r>
      <w:r w:rsidR="008300FB">
        <w:rPr>
          <w:lang w:val="fr-FR"/>
        </w:rPr>
        <w:t>’</w:t>
      </w:r>
      <w:r w:rsidRPr="00BF1937">
        <w:rPr>
          <w:lang w:val="fr-FR"/>
        </w:rPr>
        <w:t>Union européenne).</w:t>
      </w:r>
    </w:p>
    <w:p w:rsidR="00C001FB" w:rsidRPr="006E086E" w:rsidRDefault="006E086E" w:rsidP="006E086E">
      <w:pPr>
        <w:pStyle w:val="SingleTxt"/>
        <w:spacing w:after="0" w:line="240" w:lineRule="auto"/>
      </w:pPr>
      <w:r>
        <w:rPr>
          <w:noProof/>
          <w:w w:val="100"/>
          <w:lang w:val="fr-CH" w:eastAsia="fr-CH"/>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001FB" w:rsidRPr="006E086E" w:rsidSect="00C001F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0T14:06:00Z" w:initials="Start">
    <w:p w:rsidR="003D7FE2" w:rsidRPr="00BF1937" w:rsidRDefault="003D7FE2">
      <w:pPr>
        <w:pStyle w:val="CommentText"/>
        <w:rPr>
          <w:lang w:val="en-US"/>
        </w:rPr>
      </w:pPr>
      <w:r>
        <w:fldChar w:fldCharType="begin"/>
      </w:r>
      <w:r w:rsidRPr="00BF1937">
        <w:rPr>
          <w:rStyle w:val="CommentReference"/>
          <w:lang w:val="en-US"/>
        </w:rPr>
        <w:instrText xml:space="preserve"> </w:instrText>
      </w:r>
      <w:r w:rsidRPr="00BF1937">
        <w:rPr>
          <w:lang w:val="en-US"/>
        </w:rPr>
        <w:instrText>PAGE \# "'Page: '#'</w:instrText>
      </w:r>
      <w:r w:rsidRPr="00BF1937">
        <w:rPr>
          <w:lang w:val="en-US"/>
        </w:rPr>
        <w:br/>
        <w:instrText>'"</w:instrText>
      </w:r>
      <w:r w:rsidRPr="00BF1937">
        <w:rPr>
          <w:rStyle w:val="CommentReference"/>
          <w:lang w:val="en-US"/>
        </w:rPr>
        <w:instrText xml:space="preserve"> </w:instrText>
      </w:r>
      <w:r>
        <w:fldChar w:fldCharType="end"/>
      </w:r>
      <w:r>
        <w:rPr>
          <w:rStyle w:val="CommentReference"/>
        </w:rPr>
        <w:annotationRef/>
      </w:r>
      <w:r w:rsidRPr="00BF1937">
        <w:rPr>
          <w:lang w:val="en-US"/>
        </w:rPr>
        <w:t>&lt;&lt;ODS JOB NO&gt;&gt;N1501675F&lt;&lt;ODS JOB NO&gt;&gt;</w:t>
      </w:r>
    </w:p>
    <w:p w:rsidR="003D7FE2" w:rsidRDefault="003D7FE2">
      <w:pPr>
        <w:pStyle w:val="CommentText"/>
      </w:pPr>
      <w:r>
        <w:t>&lt;&lt;ODS DOC SYMBOL1&gt;&gt;HRI/CORE/CYP/2014&lt;&lt;ODS DOC SYMBOL1&gt;&gt;</w:t>
      </w:r>
    </w:p>
    <w:p w:rsidR="003D7FE2" w:rsidRDefault="003D7F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E2" w:rsidRDefault="003D7FE2" w:rsidP="00F3330B">
      <w:pPr>
        <w:spacing w:line="240" w:lineRule="auto"/>
      </w:pPr>
      <w:r>
        <w:separator/>
      </w:r>
    </w:p>
  </w:endnote>
  <w:endnote w:type="continuationSeparator" w:id="0">
    <w:p w:rsidR="003D7FE2" w:rsidRDefault="003D7FE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D7FE2" w:rsidTr="00C001FB">
      <w:trPr>
        <w:jc w:val="center"/>
      </w:trPr>
      <w:tc>
        <w:tcPr>
          <w:tcW w:w="5088" w:type="dxa"/>
          <w:shd w:val="clear" w:color="auto" w:fill="auto"/>
        </w:tcPr>
        <w:p w:rsidR="003D7FE2" w:rsidRPr="00C001FB" w:rsidRDefault="003D7FE2" w:rsidP="00C001F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448">
            <w:rPr>
              <w:b w:val="0"/>
              <w:w w:val="103"/>
              <w:sz w:val="14"/>
            </w:rPr>
            <w:t>GE.15-01348</w:t>
          </w:r>
          <w:r>
            <w:rPr>
              <w:b w:val="0"/>
              <w:w w:val="103"/>
              <w:sz w:val="14"/>
            </w:rPr>
            <w:fldChar w:fldCharType="end"/>
          </w:r>
        </w:p>
      </w:tc>
      <w:tc>
        <w:tcPr>
          <w:tcW w:w="5089" w:type="dxa"/>
          <w:shd w:val="clear" w:color="auto" w:fill="auto"/>
        </w:tcPr>
        <w:p w:rsidR="003D7FE2" w:rsidRPr="00C001FB" w:rsidRDefault="003D7FE2" w:rsidP="00C001FB">
          <w:pPr>
            <w:pStyle w:val="Footer"/>
            <w:rPr>
              <w:w w:val="103"/>
            </w:rPr>
          </w:pPr>
          <w:r>
            <w:rPr>
              <w:w w:val="103"/>
            </w:rPr>
            <w:fldChar w:fldCharType="begin"/>
          </w:r>
          <w:r>
            <w:rPr>
              <w:w w:val="103"/>
            </w:rPr>
            <w:instrText xml:space="preserve"> PAGE  \* Arabic  \* MERGEFORMAT </w:instrText>
          </w:r>
          <w:r>
            <w:rPr>
              <w:w w:val="103"/>
            </w:rPr>
            <w:fldChar w:fldCharType="separate"/>
          </w:r>
          <w:r w:rsidR="00373448">
            <w:rPr>
              <w:noProof/>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73448">
            <w:rPr>
              <w:noProof/>
              <w:w w:val="103"/>
            </w:rPr>
            <w:t>35</w:t>
          </w:r>
          <w:r>
            <w:rPr>
              <w:w w:val="103"/>
            </w:rPr>
            <w:fldChar w:fldCharType="end"/>
          </w:r>
        </w:p>
      </w:tc>
    </w:tr>
  </w:tbl>
  <w:p w:rsidR="003D7FE2" w:rsidRPr="00C001FB" w:rsidRDefault="003D7FE2" w:rsidP="00C00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D7FE2" w:rsidTr="00C001FB">
      <w:trPr>
        <w:jc w:val="center"/>
      </w:trPr>
      <w:tc>
        <w:tcPr>
          <w:tcW w:w="5088" w:type="dxa"/>
          <w:shd w:val="clear" w:color="auto" w:fill="auto"/>
        </w:tcPr>
        <w:p w:rsidR="003D7FE2" w:rsidRPr="00C001FB" w:rsidRDefault="003D7FE2" w:rsidP="00C001F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73448">
            <w:rPr>
              <w:noProof/>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73448">
            <w:rPr>
              <w:noProof/>
              <w:w w:val="103"/>
            </w:rPr>
            <w:t>35</w:t>
          </w:r>
          <w:r>
            <w:rPr>
              <w:w w:val="103"/>
            </w:rPr>
            <w:fldChar w:fldCharType="end"/>
          </w:r>
        </w:p>
      </w:tc>
      <w:tc>
        <w:tcPr>
          <w:tcW w:w="5089" w:type="dxa"/>
          <w:shd w:val="clear" w:color="auto" w:fill="auto"/>
        </w:tcPr>
        <w:p w:rsidR="003D7FE2" w:rsidRPr="00C001FB" w:rsidRDefault="003D7FE2" w:rsidP="00C001F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448">
            <w:rPr>
              <w:b w:val="0"/>
              <w:w w:val="103"/>
              <w:sz w:val="14"/>
            </w:rPr>
            <w:t>GE.15-01348</w:t>
          </w:r>
          <w:r>
            <w:rPr>
              <w:b w:val="0"/>
              <w:w w:val="103"/>
              <w:sz w:val="14"/>
            </w:rPr>
            <w:fldChar w:fldCharType="end"/>
          </w:r>
        </w:p>
      </w:tc>
    </w:tr>
  </w:tbl>
  <w:p w:rsidR="003D7FE2" w:rsidRPr="00C001FB" w:rsidRDefault="003D7FE2" w:rsidP="00C00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E2" w:rsidRDefault="003D7FE2">
    <w:pPr>
      <w:pStyle w:val="Footer"/>
    </w:pPr>
    <w:r>
      <w:rPr>
        <w:noProof/>
        <w:lang w:val="fr-CH" w:eastAsia="fr-CH"/>
      </w:rPr>
      <w:drawing>
        <wp:anchor distT="0" distB="0" distL="114300" distR="114300" simplePos="0" relativeHeight="251658240" behindDoc="0" locked="0" layoutInCell="1" allowOverlap="1" wp14:anchorId="3F55B8F4" wp14:editId="56A54D3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HRI/CORE/CYP/20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CYP/20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3D7FE2" w:rsidTr="00C001FB">
      <w:tc>
        <w:tcPr>
          <w:tcW w:w="3859" w:type="dxa"/>
        </w:tcPr>
        <w:p w:rsidR="003D7FE2" w:rsidRDefault="003D7FE2" w:rsidP="00C001F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73448">
            <w:rPr>
              <w:b w:val="0"/>
              <w:sz w:val="20"/>
            </w:rPr>
            <w:t>GE.15-01348 (F)</w:t>
          </w:r>
          <w:r>
            <w:rPr>
              <w:b w:val="0"/>
              <w:sz w:val="20"/>
            </w:rPr>
            <w:fldChar w:fldCharType="end"/>
          </w:r>
          <w:r>
            <w:rPr>
              <w:b w:val="0"/>
              <w:sz w:val="20"/>
            </w:rPr>
            <w:t xml:space="preserve">    201115    </w:t>
          </w:r>
          <w:r w:rsidR="00110459">
            <w:rPr>
              <w:b w:val="0"/>
              <w:sz w:val="20"/>
            </w:rPr>
            <w:t>23</w:t>
          </w:r>
          <w:r>
            <w:rPr>
              <w:b w:val="0"/>
              <w:sz w:val="20"/>
            </w:rPr>
            <w:t>1115</w:t>
          </w:r>
        </w:p>
        <w:p w:rsidR="003D7FE2" w:rsidRPr="00C001FB" w:rsidRDefault="003D7FE2" w:rsidP="00C001F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73448">
            <w:rPr>
              <w:rFonts w:ascii="Barcode 3 of 9 by request" w:hAnsi="Barcode 3 of 9 by request"/>
              <w:b w:val="0"/>
              <w:spacing w:val="0"/>
              <w:w w:val="100"/>
              <w:sz w:val="24"/>
            </w:rPr>
            <w:t>*1501348*</w:t>
          </w:r>
          <w:r>
            <w:rPr>
              <w:rFonts w:ascii="Barcode 3 of 9 by request" w:hAnsi="Barcode 3 of 9 by request"/>
              <w:b w:val="0"/>
              <w:spacing w:val="0"/>
              <w:w w:val="100"/>
              <w:sz w:val="24"/>
            </w:rPr>
            <w:fldChar w:fldCharType="end"/>
          </w:r>
        </w:p>
      </w:tc>
      <w:tc>
        <w:tcPr>
          <w:tcW w:w="5089" w:type="dxa"/>
        </w:tcPr>
        <w:p w:rsidR="003D7FE2" w:rsidRDefault="003D7FE2" w:rsidP="00C001FB">
          <w:pPr>
            <w:pStyle w:val="Footer"/>
            <w:spacing w:line="240" w:lineRule="atLeast"/>
            <w:jc w:val="right"/>
            <w:rPr>
              <w:b w:val="0"/>
              <w:sz w:val="20"/>
            </w:rPr>
          </w:pPr>
          <w:r>
            <w:rPr>
              <w:b w:val="0"/>
              <w:noProof/>
              <w:sz w:val="20"/>
              <w:lang w:val="fr-CH" w:eastAsia="fr-CH"/>
            </w:rPr>
            <w:drawing>
              <wp:inline distT="0" distB="0" distL="0" distR="0" wp14:anchorId="1E8F47DD" wp14:editId="79C4B4C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D7FE2" w:rsidRPr="00C001FB" w:rsidRDefault="003D7FE2" w:rsidP="00C001F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E2" w:rsidRPr="00BF1937" w:rsidRDefault="003D7FE2" w:rsidP="00BF1937">
      <w:pPr>
        <w:pStyle w:val="Footer"/>
        <w:spacing w:after="80"/>
        <w:ind w:left="792"/>
        <w:rPr>
          <w:sz w:val="16"/>
        </w:rPr>
      </w:pPr>
      <w:r w:rsidRPr="00BF1937">
        <w:rPr>
          <w:sz w:val="16"/>
        </w:rPr>
        <w:t>__________________</w:t>
      </w:r>
    </w:p>
  </w:footnote>
  <w:footnote w:type="continuationSeparator" w:id="0">
    <w:p w:rsidR="003D7FE2" w:rsidRPr="00BF1937" w:rsidRDefault="003D7FE2" w:rsidP="00BF1937">
      <w:pPr>
        <w:pStyle w:val="Footer"/>
        <w:spacing w:after="80"/>
        <w:ind w:left="792"/>
        <w:rPr>
          <w:sz w:val="16"/>
        </w:rPr>
      </w:pPr>
      <w:r w:rsidRPr="00BF1937">
        <w:rPr>
          <w:sz w:val="16"/>
        </w:rPr>
        <w:t>__________________</w:t>
      </w:r>
    </w:p>
  </w:footnote>
  <w:footnote w:id="1">
    <w:p w:rsidR="003D7FE2" w:rsidRPr="00BF1937" w:rsidRDefault="003D7FE2" w:rsidP="00BF1937">
      <w:pPr>
        <w:pStyle w:val="FootnoteText"/>
        <w:tabs>
          <w:tab w:val="right" w:pos="1195"/>
          <w:tab w:val="left" w:pos="1267"/>
          <w:tab w:val="left" w:pos="1742"/>
          <w:tab w:val="left" w:pos="2218"/>
          <w:tab w:val="left" w:pos="2693"/>
        </w:tabs>
        <w:ind w:left="1267" w:right="1260" w:hanging="432"/>
        <w:rPr>
          <w:lang w:val="fr-CH"/>
        </w:rPr>
      </w:pPr>
      <w:r w:rsidRPr="00BF1937">
        <w:tab/>
      </w:r>
      <w:r w:rsidRPr="00BF1937">
        <w:rPr>
          <w:rStyle w:val="FootnoteReference"/>
          <w:spacing w:val="4"/>
          <w:vertAlign w:val="baseline"/>
        </w:rPr>
        <w:t>*</w:t>
      </w:r>
      <w:r w:rsidRPr="00BF1937">
        <w:tab/>
        <w:t>L</w:t>
      </w:r>
      <w:r w:rsidRPr="00BF1937">
        <w:rPr>
          <w:lang w:val="fr-FR"/>
        </w:rPr>
        <w:t>e présent document n</w:t>
      </w:r>
      <w:r>
        <w:rPr>
          <w:lang w:val="fr-FR"/>
        </w:rPr>
        <w:t>’</w:t>
      </w:r>
      <w:r w:rsidRPr="00BF1937">
        <w:rPr>
          <w:lang w:val="fr-FR"/>
        </w:rPr>
        <w:t>a pas fait l</w:t>
      </w:r>
      <w:r>
        <w:rPr>
          <w:lang w:val="fr-FR"/>
        </w:rPr>
        <w:t>’</w:t>
      </w:r>
      <w:r w:rsidRPr="00BF1937">
        <w:rPr>
          <w:lang w:val="fr-FR"/>
        </w:rPr>
        <w:t>objet d</w:t>
      </w:r>
      <w:r>
        <w:rPr>
          <w:lang w:val="fr-FR"/>
        </w:rPr>
        <w:t>’</w:t>
      </w:r>
      <w:r w:rsidRPr="00BF1937">
        <w:rPr>
          <w:lang w:val="fr-FR"/>
        </w:rPr>
        <w:t>une relecture sur le fond par les services d</w:t>
      </w:r>
      <w:r>
        <w:rPr>
          <w:lang w:val="fr-FR"/>
        </w:rPr>
        <w:t>’</w:t>
      </w:r>
      <w:r w:rsidRPr="00BF1937">
        <w:rPr>
          <w:lang w:val="fr-FR"/>
        </w:rPr>
        <w:t>édition.</w:t>
      </w:r>
    </w:p>
  </w:footnote>
  <w:footnote w:id="2">
    <w:p w:rsidR="003D7FE2" w:rsidRPr="00BF1937" w:rsidRDefault="003D7FE2" w:rsidP="00BF1937">
      <w:pPr>
        <w:pStyle w:val="FootnoteText"/>
        <w:tabs>
          <w:tab w:val="right" w:pos="1195"/>
          <w:tab w:val="left" w:pos="1267"/>
          <w:tab w:val="left" w:pos="1742"/>
          <w:tab w:val="left" w:pos="2218"/>
          <w:tab w:val="left" w:pos="2693"/>
        </w:tabs>
        <w:ind w:left="1267" w:right="1260" w:hanging="432"/>
        <w:rPr>
          <w:lang w:val="fr-CH"/>
        </w:rPr>
      </w:pPr>
      <w:r>
        <w:tab/>
      </w:r>
      <w:r w:rsidRPr="00BF1937">
        <w:rPr>
          <w:rStyle w:val="FootnoteReference"/>
          <w:vertAlign w:val="baseline"/>
        </w:rPr>
        <w:t>**</w:t>
      </w:r>
      <w:r>
        <w:tab/>
      </w:r>
      <w:r w:rsidRPr="00BF1937">
        <w:t>Les annexes peuvent être consultées à l</w:t>
      </w:r>
      <w:r>
        <w:t>’</w:t>
      </w:r>
      <w:r w:rsidRPr="00BF1937">
        <w:t>adresse suivante (en anglais) :</w:t>
      </w:r>
      <w:r>
        <w:t xml:space="preserve"> </w:t>
      </w:r>
      <w:hyperlink r:id="rId1" w:history="1">
        <w:r w:rsidRPr="00BF1937">
          <w:rPr>
            <w:rStyle w:val="Hyperlink"/>
          </w:rPr>
          <w:t>http://tbinternet.ohchr.org/_layouts/treatybodyexternal/Download.aspx?symbolno=INT%2fAll-Treaties%2fACR%2fCYP%2f7567&amp;Lang=en</w:t>
        </w:r>
      </w:hyperlink>
      <w:r w:rsidRPr="00BF1937">
        <w:t>.</w:t>
      </w:r>
    </w:p>
  </w:footnote>
  <w:footnote w:id="3">
    <w:p w:rsidR="003D7FE2" w:rsidRPr="003D7FE2" w:rsidRDefault="003D7FE2" w:rsidP="00EA238B">
      <w:pPr>
        <w:pStyle w:val="FootnoteText"/>
        <w:tabs>
          <w:tab w:val="right" w:pos="1195"/>
          <w:tab w:val="left" w:pos="1267"/>
          <w:tab w:val="left" w:pos="1742"/>
          <w:tab w:val="left" w:pos="2218"/>
          <w:tab w:val="left" w:pos="2693"/>
        </w:tabs>
        <w:ind w:left="1267" w:right="1260" w:hanging="432"/>
        <w:rPr>
          <w:spacing w:val="2"/>
          <w:szCs w:val="17"/>
          <w:lang w:val="fr-FR"/>
        </w:rPr>
      </w:pPr>
      <w:r w:rsidRPr="003D7FE2">
        <w:rPr>
          <w:color w:val="000000"/>
          <w:spacing w:val="2"/>
          <w:szCs w:val="17"/>
          <w:lang w:val="fr-FR"/>
        </w:rPr>
        <w:tab/>
      </w:r>
      <w:r w:rsidRPr="003D7FE2">
        <w:rPr>
          <w:rStyle w:val="FootnoteReference"/>
          <w:color w:val="000000"/>
          <w:spacing w:val="2"/>
          <w:szCs w:val="17"/>
          <w:lang w:val="fr-FR"/>
        </w:rPr>
        <w:footnoteRef/>
      </w:r>
      <w:r w:rsidRPr="003D7FE2">
        <w:rPr>
          <w:color w:val="000000"/>
          <w:spacing w:val="2"/>
          <w:szCs w:val="17"/>
          <w:lang w:val="fr-FR"/>
        </w:rPr>
        <w:tab/>
      </w:r>
      <w:r w:rsidRPr="003D7FE2">
        <w:rPr>
          <w:spacing w:val="2"/>
          <w:szCs w:val="17"/>
          <w:lang w:val="fr-FR"/>
        </w:rPr>
        <w:t>Voir, entre autres</w:t>
      </w:r>
      <w:r w:rsidR="00110459">
        <w:rPr>
          <w:spacing w:val="2"/>
          <w:szCs w:val="17"/>
          <w:lang w:val="fr-FR"/>
        </w:rPr>
        <w:t> :</w:t>
      </w:r>
      <w:r w:rsidRPr="003D7FE2">
        <w:rPr>
          <w:spacing w:val="2"/>
          <w:szCs w:val="17"/>
          <w:lang w:val="fr-FR"/>
        </w:rPr>
        <w:t xml:space="preserve"> les résolutions de l’Assemblée générale 3212 (XXIX) du 1</w:t>
      </w:r>
      <w:r w:rsidRPr="003D7FE2">
        <w:rPr>
          <w:spacing w:val="2"/>
          <w:szCs w:val="17"/>
          <w:vertAlign w:val="superscript"/>
          <w:lang w:val="fr-FR"/>
        </w:rPr>
        <w:t>er</w:t>
      </w:r>
      <w:r w:rsidRPr="003D7FE2">
        <w:rPr>
          <w:spacing w:val="2"/>
          <w:szCs w:val="17"/>
          <w:lang w:val="fr-FR"/>
        </w:rPr>
        <w:t xml:space="preserve"> novembre 1974, 3395 (XXX) du 20 novembre 1975, 31/12 du 12 novembre 1976, 32/15 du 9 novembre 1977, 33/15 du 9 novembre 1978, 34/30 du 20 novembre 1979, 37/253 du 13 mai 1983; et les résolutions du Conseil de sécurité </w:t>
      </w:r>
      <w:r w:rsidR="00AB37C5" w:rsidRPr="00AB37C5">
        <w:rPr>
          <w:spacing w:val="2"/>
          <w:szCs w:val="17"/>
        </w:rPr>
        <w:t>353 (1974) d</w:t>
      </w:r>
      <w:r w:rsidR="00AB37C5">
        <w:rPr>
          <w:spacing w:val="2"/>
          <w:szCs w:val="17"/>
        </w:rPr>
        <w:t>u</w:t>
      </w:r>
      <w:r w:rsidR="00AB37C5" w:rsidRPr="00AB37C5">
        <w:rPr>
          <w:spacing w:val="2"/>
          <w:szCs w:val="17"/>
        </w:rPr>
        <w:t xml:space="preserve"> 20 ju</w:t>
      </w:r>
      <w:r w:rsidR="00AB37C5">
        <w:rPr>
          <w:spacing w:val="2"/>
          <w:szCs w:val="17"/>
        </w:rPr>
        <w:t>il</w:t>
      </w:r>
      <w:r w:rsidR="00AB37C5" w:rsidRPr="00AB37C5">
        <w:rPr>
          <w:spacing w:val="2"/>
          <w:szCs w:val="17"/>
        </w:rPr>
        <w:t>l</w:t>
      </w:r>
      <w:r w:rsidR="00AB37C5">
        <w:rPr>
          <w:spacing w:val="2"/>
          <w:szCs w:val="17"/>
        </w:rPr>
        <w:t>et</w:t>
      </w:r>
      <w:r w:rsidR="00AB37C5" w:rsidRPr="00AB37C5">
        <w:rPr>
          <w:spacing w:val="2"/>
          <w:szCs w:val="17"/>
        </w:rPr>
        <w:t xml:space="preserve"> 1974</w:t>
      </w:r>
      <w:r w:rsidR="00AB37C5">
        <w:rPr>
          <w:spacing w:val="2"/>
          <w:szCs w:val="17"/>
        </w:rPr>
        <w:t>,</w:t>
      </w:r>
      <w:r w:rsidR="00AB37C5" w:rsidRPr="00AB37C5">
        <w:rPr>
          <w:spacing w:val="2"/>
          <w:szCs w:val="17"/>
          <w:lang w:val="fr-FR"/>
        </w:rPr>
        <w:t xml:space="preserve"> </w:t>
      </w:r>
      <w:r w:rsidRPr="003D7FE2">
        <w:rPr>
          <w:spacing w:val="2"/>
          <w:szCs w:val="17"/>
          <w:lang w:val="fr-FR"/>
        </w:rPr>
        <w:t>354 (1974) du 23 juillet 1974, 355 (1974) du 1</w:t>
      </w:r>
      <w:r w:rsidRPr="003D7FE2">
        <w:rPr>
          <w:spacing w:val="2"/>
          <w:szCs w:val="17"/>
          <w:vertAlign w:val="superscript"/>
          <w:lang w:val="fr-FR"/>
        </w:rPr>
        <w:t>er</w:t>
      </w:r>
      <w:r w:rsidRPr="003D7FE2">
        <w:rPr>
          <w:spacing w:val="2"/>
          <w:szCs w:val="17"/>
          <w:lang w:val="fr-FR"/>
        </w:rPr>
        <w:t> août 1974, 357 (1974) du 14 août 1974, 358 (1974) du 15 août 1974, 359 (1974) du 15 août 1974, 360 (1974) du 16 août 1974, 361 (1974) du 30 août 1974, 364 (1974) du 13 décembre 1974, 365 (1974) du 13 décembre 1974, 367 (1975) du 12 mars 1975, 370 (1975) du 13 juin 1975, 414 (1977) du 15 septembre 1977, 440 (1978) du 27 novembre 1978, 541 (1983) du 18 novembre 1983, 550 (1984) du 11 mai 1984, 649 (1990) du 12 mars 1990, 716 (1991) du 11 octobre 1991, 750 (1992) du 10 avril 1992, 774 (1992) du 26 août 1992, 789 (1992) du 25 novembre 1992, 939 (1994) du 29 juillet 1994, 969 (1994) du 21 décembre 1994, 1000 (1995) du 23 juin 1995, 1032 (1995) du 19 décembre 1995, 1062 (1996) du 28 juin 1996, 1092 (1996) du 23 décembre 1996, 1117 (1997) du 27 juin 1997, 1146 (1997) du 22 décembre 1997, 1178 (1998) du 29 juin 1998, 1179 (1998) du 29 juin 1998, 1217 (1998) du 22 décembre 1998, 1218 (1998) du 22 décembre 1998, 1250 (1999) du 26 juin 1999, 1251 (1999) du 29 juin 1999, 1283 (1999) du 15 décembre 1999, 1303 (2000) du 14 juin 2000</w:t>
      </w:r>
      <w:r w:rsidR="00127DE2">
        <w:rPr>
          <w:spacing w:val="2"/>
          <w:szCs w:val="17"/>
          <w:lang w:val="fr-FR"/>
        </w:rPr>
        <w:t>, 133</w:t>
      </w:r>
      <w:r w:rsidRPr="003D7FE2">
        <w:rPr>
          <w:spacing w:val="2"/>
          <w:szCs w:val="17"/>
          <w:lang w:val="fr-FR"/>
        </w:rPr>
        <w:t xml:space="preserve"> (2000) du 13 décembre 2000, 1354 (2001) du 12 juin 2001, 1384 (2001) du 13 décembre 2001, 1416 (2002) de juin 2002, 1442 (2002) de décembre 2002, 1475 (2003) du 14 avril 2003, 1486 (2003) de juin 2003, 1517 (2003) de décembre 2003, 1548 (2004) du 11 juin 2004, 1568 (2004) de décembre 2004, 1604 (2005) de juin 2005, 1642 (2005) de décembre 2005, 1687 (2006) de juin 2006, 1728 (2006) de décembre 2006, 1758 (2007) de juin 2007, 1789 (2007) de décembre 2007, 1818 (2008) de</w:t>
      </w:r>
      <w:r w:rsidR="00110459">
        <w:rPr>
          <w:spacing w:val="2"/>
          <w:szCs w:val="17"/>
          <w:lang w:val="fr-FR"/>
        </w:rPr>
        <w:t xml:space="preserve"> </w:t>
      </w:r>
      <w:r w:rsidRPr="003D7FE2">
        <w:rPr>
          <w:spacing w:val="2"/>
          <w:szCs w:val="17"/>
          <w:lang w:val="fr-FR"/>
        </w:rPr>
        <w:t>juin 2008, 1847 (2008) de décembre 2008, 1873 (2009) de juin 2009, 1898 (200</w:t>
      </w:r>
      <w:r w:rsidR="00AB37C5">
        <w:rPr>
          <w:spacing w:val="2"/>
          <w:szCs w:val="17"/>
          <w:lang w:val="fr-FR"/>
        </w:rPr>
        <w:t>9</w:t>
      </w:r>
      <w:r w:rsidRPr="003D7FE2">
        <w:rPr>
          <w:spacing w:val="2"/>
          <w:szCs w:val="17"/>
          <w:lang w:val="fr-FR"/>
        </w:rPr>
        <w:t>) de décembre 2009, 1930 (2010) de juin 2010, 1953 (2010) de décembre 2010, 1986 (2011) de juillet 2011, 2026 (2011) de décembre 2011, 2058 (2012) de juillet 2012, 2089 (2013) de janvier 2013, 2114 (2013) de juillet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D7FE2" w:rsidTr="00C001FB">
      <w:trPr>
        <w:trHeight w:hRule="exact" w:val="864"/>
        <w:jc w:val="center"/>
      </w:trPr>
      <w:tc>
        <w:tcPr>
          <w:tcW w:w="4882" w:type="dxa"/>
          <w:shd w:val="clear" w:color="auto" w:fill="auto"/>
          <w:vAlign w:val="bottom"/>
        </w:tcPr>
        <w:p w:rsidR="003D7FE2" w:rsidRPr="00C001FB" w:rsidRDefault="003D7FE2" w:rsidP="00C001F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3448">
            <w:rPr>
              <w:b/>
              <w:color w:val="000000"/>
            </w:rPr>
            <w:t>HRI/CORE/CYP/2014</w:t>
          </w:r>
          <w:r>
            <w:rPr>
              <w:b/>
              <w:color w:val="000000"/>
            </w:rPr>
            <w:fldChar w:fldCharType="end"/>
          </w:r>
        </w:p>
      </w:tc>
      <w:tc>
        <w:tcPr>
          <w:tcW w:w="5089" w:type="dxa"/>
          <w:shd w:val="clear" w:color="auto" w:fill="auto"/>
          <w:vAlign w:val="bottom"/>
        </w:tcPr>
        <w:p w:rsidR="003D7FE2" w:rsidRDefault="003D7FE2" w:rsidP="00C001FB">
          <w:pPr>
            <w:pStyle w:val="Header"/>
          </w:pPr>
        </w:p>
      </w:tc>
    </w:tr>
  </w:tbl>
  <w:p w:rsidR="003D7FE2" w:rsidRPr="00C001FB" w:rsidRDefault="003D7FE2" w:rsidP="00C001F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D7FE2" w:rsidTr="00C001FB">
      <w:trPr>
        <w:trHeight w:hRule="exact" w:val="864"/>
        <w:jc w:val="center"/>
      </w:trPr>
      <w:tc>
        <w:tcPr>
          <w:tcW w:w="4882" w:type="dxa"/>
          <w:shd w:val="clear" w:color="auto" w:fill="auto"/>
          <w:vAlign w:val="bottom"/>
        </w:tcPr>
        <w:p w:rsidR="003D7FE2" w:rsidRDefault="003D7FE2" w:rsidP="00C001FB">
          <w:pPr>
            <w:pStyle w:val="Header"/>
          </w:pPr>
        </w:p>
      </w:tc>
      <w:tc>
        <w:tcPr>
          <w:tcW w:w="5089" w:type="dxa"/>
          <w:shd w:val="clear" w:color="auto" w:fill="auto"/>
          <w:vAlign w:val="bottom"/>
        </w:tcPr>
        <w:p w:rsidR="003D7FE2" w:rsidRPr="00C001FB" w:rsidRDefault="003D7FE2" w:rsidP="00C001F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3448">
            <w:rPr>
              <w:b/>
              <w:color w:val="000000"/>
            </w:rPr>
            <w:t>HRI/CORE/CYP/2014</w:t>
          </w:r>
          <w:r>
            <w:rPr>
              <w:b/>
              <w:color w:val="000000"/>
            </w:rPr>
            <w:fldChar w:fldCharType="end"/>
          </w:r>
        </w:p>
      </w:tc>
    </w:tr>
  </w:tbl>
  <w:p w:rsidR="003D7FE2" w:rsidRPr="00C001FB" w:rsidRDefault="003D7FE2" w:rsidP="00C001F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D7FE2" w:rsidTr="00C001FB">
      <w:trPr>
        <w:trHeight w:hRule="exact" w:val="864"/>
      </w:trPr>
      <w:tc>
        <w:tcPr>
          <w:tcW w:w="1267" w:type="dxa"/>
          <w:tcBorders>
            <w:bottom w:val="single" w:sz="4" w:space="0" w:color="auto"/>
          </w:tcBorders>
          <w:shd w:val="clear" w:color="auto" w:fill="auto"/>
          <w:vAlign w:val="bottom"/>
        </w:tcPr>
        <w:p w:rsidR="003D7FE2" w:rsidRDefault="003D7FE2" w:rsidP="00C001FB">
          <w:pPr>
            <w:pStyle w:val="Header"/>
            <w:spacing w:after="120"/>
          </w:pPr>
        </w:p>
      </w:tc>
      <w:tc>
        <w:tcPr>
          <w:tcW w:w="2059" w:type="dxa"/>
          <w:tcBorders>
            <w:bottom w:val="single" w:sz="4" w:space="0" w:color="auto"/>
          </w:tcBorders>
          <w:shd w:val="clear" w:color="auto" w:fill="auto"/>
          <w:vAlign w:val="bottom"/>
        </w:tcPr>
        <w:p w:rsidR="003D7FE2" w:rsidRPr="00C001FB" w:rsidRDefault="003D7FE2" w:rsidP="00C001F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D7FE2" w:rsidRDefault="003D7FE2" w:rsidP="00C001FB">
          <w:pPr>
            <w:pStyle w:val="Header"/>
            <w:spacing w:after="120"/>
          </w:pPr>
        </w:p>
      </w:tc>
      <w:tc>
        <w:tcPr>
          <w:tcW w:w="6653" w:type="dxa"/>
          <w:gridSpan w:val="4"/>
          <w:tcBorders>
            <w:bottom w:val="single" w:sz="4" w:space="0" w:color="auto"/>
          </w:tcBorders>
          <w:shd w:val="clear" w:color="auto" w:fill="auto"/>
          <w:vAlign w:val="bottom"/>
        </w:tcPr>
        <w:p w:rsidR="003D7FE2" w:rsidRPr="00C001FB" w:rsidRDefault="003D7FE2" w:rsidP="00C001FB">
          <w:pPr>
            <w:spacing w:after="80" w:line="240" w:lineRule="auto"/>
            <w:jc w:val="right"/>
            <w:rPr>
              <w:position w:val="-4"/>
            </w:rPr>
          </w:pPr>
          <w:r>
            <w:rPr>
              <w:position w:val="-4"/>
              <w:sz w:val="40"/>
            </w:rPr>
            <w:t>HRI</w:t>
          </w:r>
          <w:r>
            <w:rPr>
              <w:position w:val="-4"/>
            </w:rPr>
            <w:t>/CORE/CYP/2014</w:t>
          </w:r>
        </w:p>
      </w:tc>
    </w:tr>
    <w:tr w:rsidR="003D7FE2" w:rsidRPr="00C001FB" w:rsidTr="00C001FB">
      <w:trPr>
        <w:gridAfter w:val="1"/>
        <w:wAfter w:w="18" w:type="dxa"/>
        <w:trHeight w:hRule="exact" w:val="2880"/>
      </w:trPr>
      <w:tc>
        <w:tcPr>
          <w:tcW w:w="1267" w:type="dxa"/>
          <w:tcBorders>
            <w:top w:val="single" w:sz="4" w:space="0" w:color="auto"/>
            <w:bottom w:val="single" w:sz="12" w:space="0" w:color="auto"/>
          </w:tcBorders>
          <w:shd w:val="clear" w:color="auto" w:fill="auto"/>
        </w:tcPr>
        <w:p w:rsidR="003D7FE2" w:rsidRPr="00C001FB" w:rsidRDefault="003D7FE2" w:rsidP="00C001FB">
          <w:pPr>
            <w:pStyle w:val="Header"/>
            <w:spacing w:before="120" w:line="240" w:lineRule="auto"/>
            <w:ind w:left="-72"/>
            <w:jc w:val="center"/>
          </w:pPr>
          <w:r>
            <w:t xml:space="preserve">  </w:t>
          </w:r>
          <w:r>
            <w:rPr>
              <w:noProof/>
              <w:lang w:val="fr-CH" w:eastAsia="fr-CH"/>
            </w:rPr>
            <w:drawing>
              <wp:inline distT="0" distB="0" distL="0" distR="0" wp14:anchorId="5C9AF116" wp14:editId="3F1FBB0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D7FE2" w:rsidRPr="00575140" w:rsidRDefault="003D7FE2" w:rsidP="00575140">
          <w:pPr>
            <w:pStyle w:val="XLarge"/>
            <w:spacing w:before="120" w:line="380" w:lineRule="exact"/>
            <w:rPr>
              <w:sz w:val="34"/>
              <w:szCs w:val="34"/>
            </w:rPr>
          </w:pPr>
          <w:r w:rsidRPr="00575140">
            <w:rPr>
              <w:sz w:val="34"/>
              <w:szCs w:val="34"/>
            </w:rPr>
            <w:t xml:space="preserve">Instruments internationaux relatifs aux droits de l’homme </w:t>
          </w:r>
        </w:p>
      </w:tc>
      <w:tc>
        <w:tcPr>
          <w:tcW w:w="245" w:type="dxa"/>
          <w:tcBorders>
            <w:top w:val="single" w:sz="4" w:space="0" w:color="auto"/>
            <w:bottom w:val="single" w:sz="12" w:space="0" w:color="auto"/>
          </w:tcBorders>
          <w:shd w:val="clear" w:color="auto" w:fill="auto"/>
        </w:tcPr>
        <w:p w:rsidR="003D7FE2" w:rsidRPr="00BF1937" w:rsidRDefault="003D7FE2" w:rsidP="00C001FB">
          <w:pPr>
            <w:pStyle w:val="Header"/>
            <w:spacing w:before="109"/>
            <w:rPr>
              <w:lang w:val="fr-CH"/>
            </w:rPr>
          </w:pPr>
        </w:p>
      </w:tc>
      <w:tc>
        <w:tcPr>
          <w:tcW w:w="3280" w:type="dxa"/>
          <w:tcBorders>
            <w:top w:val="single" w:sz="4" w:space="0" w:color="auto"/>
            <w:bottom w:val="single" w:sz="12" w:space="0" w:color="auto"/>
          </w:tcBorders>
          <w:shd w:val="clear" w:color="auto" w:fill="auto"/>
        </w:tcPr>
        <w:p w:rsidR="003D7FE2" w:rsidRPr="00BF1937" w:rsidRDefault="003D7FE2" w:rsidP="00C001FB">
          <w:pPr>
            <w:pStyle w:val="Distribution"/>
            <w:rPr>
              <w:color w:val="000000"/>
              <w:lang w:val="fr-CH"/>
            </w:rPr>
          </w:pPr>
          <w:r w:rsidRPr="00BF1937">
            <w:rPr>
              <w:color w:val="000000"/>
              <w:lang w:val="fr-CH"/>
            </w:rPr>
            <w:t>Distr. générale</w:t>
          </w:r>
        </w:p>
        <w:p w:rsidR="003D7FE2" w:rsidRPr="00BF1937" w:rsidRDefault="003D7FE2" w:rsidP="00C001FB">
          <w:pPr>
            <w:pStyle w:val="Publication"/>
            <w:rPr>
              <w:color w:val="000000"/>
              <w:lang w:val="fr-CH"/>
            </w:rPr>
          </w:pPr>
          <w:r w:rsidRPr="00BF1937">
            <w:rPr>
              <w:color w:val="000000"/>
              <w:lang w:val="fr-CH"/>
            </w:rPr>
            <w:t>3 février 2015</w:t>
          </w:r>
        </w:p>
        <w:p w:rsidR="003D7FE2" w:rsidRPr="00BF1937" w:rsidRDefault="003D7FE2" w:rsidP="00C001FB">
          <w:pPr>
            <w:rPr>
              <w:lang w:val="fr-CH"/>
            </w:rPr>
          </w:pPr>
          <w:r w:rsidRPr="00BF1937">
            <w:rPr>
              <w:lang w:val="fr-CH"/>
            </w:rPr>
            <w:t>Français</w:t>
          </w:r>
        </w:p>
        <w:p w:rsidR="003D7FE2" w:rsidRPr="00BF1937" w:rsidRDefault="003D7FE2" w:rsidP="00C001FB">
          <w:pPr>
            <w:pStyle w:val="Original"/>
            <w:rPr>
              <w:color w:val="000000"/>
              <w:lang w:val="fr-CH"/>
            </w:rPr>
          </w:pPr>
          <w:r w:rsidRPr="00BF1937">
            <w:rPr>
              <w:color w:val="000000"/>
              <w:lang w:val="fr-CH"/>
            </w:rPr>
            <w:t>Original : anglais</w:t>
          </w:r>
        </w:p>
      </w:tc>
    </w:tr>
  </w:tbl>
  <w:p w:rsidR="003D7FE2" w:rsidRPr="00BF1937" w:rsidRDefault="003D7FE2" w:rsidP="00C001FB">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166C7"/>
    <w:multiLevelType w:val="singleLevel"/>
    <w:tmpl w:val="9D44A450"/>
    <w:lvl w:ilvl="0">
      <w:start w:val="1"/>
      <w:numFmt w:val="decimal"/>
      <w:lvlRestart w:val="0"/>
      <w:lvlText w:val="%1."/>
      <w:lvlJc w:val="left"/>
      <w:pPr>
        <w:tabs>
          <w:tab w:val="num" w:pos="475"/>
        </w:tabs>
        <w:ind w:left="0" w:firstLine="0"/>
      </w:pPr>
      <w:rPr>
        <w:w w:val="100"/>
        <w:lang w:val="fr-FR"/>
      </w:rPr>
    </w:lvl>
  </w:abstractNum>
  <w:abstractNum w:abstractNumId="15">
    <w:nsid w:val="24AE607A"/>
    <w:multiLevelType w:val="multilevel"/>
    <w:tmpl w:val="1E6EAD4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3"/>
  </w:num>
  <w:num w:numId="3">
    <w:abstractNumId w:val="16"/>
  </w:num>
  <w:num w:numId="4">
    <w:abstractNumId w:val="9"/>
  </w:num>
  <w:num w:numId="5">
    <w:abstractNumId w:val="8"/>
  </w:num>
  <w:num w:numId="6">
    <w:abstractNumId w:val="7"/>
    <w:lvlOverride w:ilvl="0">
      <w:startOverride w:val="1"/>
    </w:lvlOverride>
  </w:num>
  <w:num w:numId="7">
    <w:abstractNumId w:val="6"/>
  </w:num>
  <w:num w:numId="8">
    <w:abstractNumId w:val="5"/>
  </w:num>
  <w:num w:numId="9">
    <w:abstractNumId w:val="4"/>
  </w:num>
  <w:num w:numId="10">
    <w:abstractNumId w:val="3"/>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0"/>
  </w:num>
  <w:num w:numId="15">
    <w:abstractNumId w:val="12"/>
  </w:num>
  <w:num w:numId="16">
    <w:abstractNumId w:val="17"/>
  </w:num>
  <w:num w:numId="17">
    <w:abstractNumId w:val="15"/>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SortMethod w:val="0003"/>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1348*"/>
    <w:docVar w:name="CreationDt" w:val="11/20/2015 2:06: PM"/>
    <w:docVar w:name="DocCategory" w:val="Doc"/>
    <w:docVar w:name="DocType" w:val="Final"/>
    <w:docVar w:name="DutyStation" w:val="Geneva"/>
    <w:docVar w:name="FooterJN" w:val="GE.15-01348"/>
    <w:docVar w:name="jobn" w:val="GE.15-01348 (F)"/>
    <w:docVar w:name="jobnDT" w:val="GE.15-01348 (F)   201115"/>
    <w:docVar w:name="jobnDTDT" w:val="GE.15-01348 (F)   201115   201115"/>
    <w:docVar w:name="JobNo" w:val="GE.1501348F"/>
    <w:docVar w:name="JobNo2" w:val="GE.1501675F"/>
    <w:docVar w:name="LocalDrive" w:val="0"/>
    <w:docVar w:name="OandT" w:val="CLERE"/>
    <w:docVar w:name="PaperSize" w:val="A4"/>
    <w:docVar w:name="sss1" w:val="HRI/CORE/CYP/2014"/>
    <w:docVar w:name="sss2" w:val="-"/>
    <w:docVar w:name="Symbol1" w:val="HRI/CORE/CYP/2014"/>
    <w:docVar w:name="Symbol2" w:val="-"/>
  </w:docVars>
  <w:rsids>
    <w:rsidRoot w:val="009A04F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439"/>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4046"/>
    <w:rsid w:val="000B5AF0"/>
    <w:rsid w:val="000B6B84"/>
    <w:rsid w:val="000B7004"/>
    <w:rsid w:val="000C085A"/>
    <w:rsid w:val="000C349B"/>
    <w:rsid w:val="000C683C"/>
    <w:rsid w:val="000D2AB2"/>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0459"/>
    <w:rsid w:val="0011255C"/>
    <w:rsid w:val="001126A7"/>
    <w:rsid w:val="00112FE9"/>
    <w:rsid w:val="0011497A"/>
    <w:rsid w:val="00114B31"/>
    <w:rsid w:val="001156F7"/>
    <w:rsid w:val="00116149"/>
    <w:rsid w:val="00123812"/>
    <w:rsid w:val="001256F6"/>
    <w:rsid w:val="001262BA"/>
    <w:rsid w:val="00126FB2"/>
    <w:rsid w:val="00127266"/>
    <w:rsid w:val="00127DE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46F34"/>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091"/>
    <w:rsid w:val="00280143"/>
    <w:rsid w:val="00280E2F"/>
    <w:rsid w:val="002810F0"/>
    <w:rsid w:val="00281BC7"/>
    <w:rsid w:val="00285DC4"/>
    <w:rsid w:val="00286531"/>
    <w:rsid w:val="002867C7"/>
    <w:rsid w:val="0029018C"/>
    <w:rsid w:val="0029689C"/>
    <w:rsid w:val="00296FD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49E9"/>
    <w:rsid w:val="00365932"/>
    <w:rsid w:val="00365D26"/>
    <w:rsid w:val="00373448"/>
    <w:rsid w:val="003738C0"/>
    <w:rsid w:val="003769AB"/>
    <w:rsid w:val="003810FF"/>
    <w:rsid w:val="003824F9"/>
    <w:rsid w:val="00383D81"/>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D7FE2"/>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925"/>
    <w:rsid w:val="00414C9D"/>
    <w:rsid w:val="00415A2B"/>
    <w:rsid w:val="00416293"/>
    <w:rsid w:val="004204AE"/>
    <w:rsid w:val="004216F7"/>
    <w:rsid w:val="0042753D"/>
    <w:rsid w:val="004309B5"/>
    <w:rsid w:val="0043103D"/>
    <w:rsid w:val="00432662"/>
    <w:rsid w:val="00433AB0"/>
    <w:rsid w:val="004342B2"/>
    <w:rsid w:val="004342BE"/>
    <w:rsid w:val="00434F82"/>
    <w:rsid w:val="00441593"/>
    <w:rsid w:val="00443A00"/>
    <w:rsid w:val="00444609"/>
    <w:rsid w:val="004448E6"/>
    <w:rsid w:val="00450D24"/>
    <w:rsid w:val="00452DA5"/>
    <w:rsid w:val="00453DAB"/>
    <w:rsid w:val="0045423E"/>
    <w:rsid w:val="004548AC"/>
    <w:rsid w:val="00455176"/>
    <w:rsid w:val="0045536C"/>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141"/>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13F4"/>
    <w:rsid w:val="00575140"/>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307"/>
    <w:rsid w:val="00596647"/>
    <w:rsid w:val="00597A85"/>
    <w:rsid w:val="005A037D"/>
    <w:rsid w:val="005A05AA"/>
    <w:rsid w:val="005A0DEC"/>
    <w:rsid w:val="005A1E12"/>
    <w:rsid w:val="005A305D"/>
    <w:rsid w:val="005A6A6E"/>
    <w:rsid w:val="005A6D92"/>
    <w:rsid w:val="005A6DD6"/>
    <w:rsid w:val="005A7976"/>
    <w:rsid w:val="005B33A4"/>
    <w:rsid w:val="005B3C4C"/>
    <w:rsid w:val="005B5D99"/>
    <w:rsid w:val="005B74B8"/>
    <w:rsid w:val="005C0C39"/>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086E"/>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39B5"/>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AE0"/>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00FB"/>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3DEA"/>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55D4"/>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0C1D"/>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105"/>
    <w:rsid w:val="008F6630"/>
    <w:rsid w:val="008F7622"/>
    <w:rsid w:val="0090311E"/>
    <w:rsid w:val="0090438E"/>
    <w:rsid w:val="00906110"/>
    <w:rsid w:val="0090704E"/>
    <w:rsid w:val="0091108F"/>
    <w:rsid w:val="009133F5"/>
    <w:rsid w:val="009140C4"/>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512A"/>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4FD"/>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673"/>
    <w:rsid w:val="00AA5F19"/>
    <w:rsid w:val="00AA750A"/>
    <w:rsid w:val="00AB001C"/>
    <w:rsid w:val="00AB37C5"/>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54C4"/>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996"/>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4A12"/>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1937"/>
    <w:rsid w:val="00BF4E69"/>
    <w:rsid w:val="00BF651C"/>
    <w:rsid w:val="00BF734B"/>
    <w:rsid w:val="00BF7BD3"/>
    <w:rsid w:val="00C001FB"/>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3C35"/>
    <w:rsid w:val="00C75F9C"/>
    <w:rsid w:val="00C76A5E"/>
    <w:rsid w:val="00C770FD"/>
    <w:rsid w:val="00C865D9"/>
    <w:rsid w:val="00C87110"/>
    <w:rsid w:val="00C90813"/>
    <w:rsid w:val="00C90C2B"/>
    <w:rsid w:val="00C92CD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2FC6"/>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3BD5"/>
    <w:rsid w:val="00DE4677"/>
    <w:rsid w:val="00DE64ED"/>
    <w:rsid w:val="00DF064D"/>
    <w:rsid w:val="00DF0CBF"/>
    <w:rsid w:val="00DF4BF5"/>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1A3F"/>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238B"/>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1BDE"/>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7D0B"/>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nhideWhenUsed="0"/>
    <w:lsdException w:name="Title" w:uiPriority="10" w:unhideWhenUsed="0" w:qFormat="1"/>
    <w:lsdException w:name="Default Paragraph Font" w:uiPriority="1"/>
    <w:lsdException w:name="Subtitle" w:unhideWhenUsed="0" w:qFormat="1"/>
    <w:lsdException w:name="Hyperlink" w:uiPriority="0"/>
    <w:lsdException w:name="FollowedHyperlink" w:uiPriority="0"/>
    <w:lsdException w:name="Strong" w:semiHidden="0" w:uiPriority="22" w:unhideWhenUsed="0"/>
    <w:lsdException w:name="Emphasis" w:uiPriority="20" w:unhideWhenUsed="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uiPriority w:val="9"/>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uiPriority w:val="9"/>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uiPriority w:val="9"/>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uiPriority w:val="9"/>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SingleTxt"/>
    <w:uiPriority w:val="99"/>
    <w:qFormat/>
    <w:rsid w:val="00745376"/>
    <w:pPr>
      <w:keepNext/>
      <w:keepLines/>
      <w:suppressAutoHyphens/>
      <w:spacing w:line="270" w:lineRule="exact"/>
      <w:outlineLvl w:val="0"/>
    </w:pPr>
    <w:rPr>
      <w:b/>
      <w:sz w:val="24"/>
    </w:rPr>
  </w:style>
  <w:style w:type="paragraph" w:styleId="NoSpacing">
    <w:name w:val="No Spacing"/>
    <w:link w:val="NoSpacingChar"/>
    <w:uiPriority w:val="1"/>
    <w:qFormat/>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uiPriority w:val="99"/>
    <w:qFormat/>
    <w:rsid w:val="00745376"/>
    <w:pPr>
      <w:spacing w:line="300" w:lineRule="exact"/>
    </w:pPr>
    <w:rPr>
      <w:spacing w:val="-2"/>
      <w:sz w:val="28"/>
    </w:rPr>
  </w:style>
  <w:style w:type="paragraph" w:customStyle="1" w:styleId="HM">
    <w:name w:val="_ H __M"/>
    <w:basedOn w:val="HCH"/>
    <w:next w:val="SingleTxt"/>
    <w:uiPriority w:val="99"/>
    <w:qFormat/>
    <w:rsid w:val="00745376"/>
    <w:pPr>
      <w:spacing w:line="360" w:lineRule="exact"/>
    </w:pPr>
    <w:rPr>
      <w:spacing w:val="-3"/>
      <w:w w:val="99"/>
      <w:sz w:val="34"/>
    </w:rPr>
  </w:style>
  <w:style w:type="paragraph" w:customStyle="1" w:styleId="H23">
    <w:name w:val="_ H_2/3"/>
    <w:basedOn w:val="H1"/>
    <w:next w:val="SingleTxt"/>
    <w:uiPriority w:val="99"/>
    <w:qFormat/>
    <w:rsid w:val="00745376"/>
    <w:pPr>
      <w:spacing w:line="240" w:lineRule="exact"/>
      <w:outlineLvl w:val="1"/>
    </w:pPr>
    <w:rPr>
      <w:spacing w:val="2"/>
      <w:sz w:val="20"/>
    </w:rPr>
  </w:style>
  <w:style w:type="paragraph" w:customStyle="1" w:styleId="H4">
    <w:name w:val="_ H_4"/>
    <w:basedOn w:val="Normal"/>
    <w:next w:val="Normal"/>
    <w:uiPriority w:val="99"/>
    <w:qFormat/>
    <w:rsid w:val="00745376"/>
    <w:pPr>
      <w:keepNext/>
      <w:keepLines/>
      <w:tabs>
        <w:tab w:val="right" w:pos="360"/>
      </w:tabs>
      <w:suppressAutoHyphens/>
      <w:outlineLvl w:val="3"/>
    </w:pPr>
    <w:rPr>
      <w:i/>
      <w:spacing w:val="3"/>
    </w:rPr>
  </w:style>
  <w:style w:type="paragraph" w:customStyle="1" w:styleId="H56">
    <w:name w:val="_ H_5/6"/>
    <w:basedOn w:val="Normal"/>
    <w:next w:val="Normal"/>
    <w:uiPriority w:val="99"/>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uiPriority w:val="99"/>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uiPriority w:val="99"/>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uiPriority w:val="99"/>
    <w:qFormat/>
    <w:rsid w:val="00745376"/>
    <w:pPr>
      <w:spacing w:line="540" w:lineRule="exact"/>
    </w:pPr>
    <w:rPr>
      <w:spacing w:val="-8"/>
      <w:w w:val="96"/>
      <w:sz w:val="57"/>
    </w:rPr>
  </w:style>
  <w:style w:type="paragraph" w:customStyle="1" w:styleId="SS">
    <w:name w:val="__S_S"/>
    <w:basedOn w:val="HCH"/>
    <w:next w:val="Normal"/>
    <w:uiPriority w:val="99"/>
    <w:qFormat/>
    <w:rsid w:val="00745376"/>
    <w:pPr>
      <w:ind w:left="1267" w:right="1267"/>
    </w:pPr>
  </w:style>
  <w:style w:type="paragraph" w:customStyle="1" w:styleId="SingleTxt">
    <w:name w:val="__Single Txt"/>
    <w:basedOn w:val="Normal"/>
    <w:uiPriority w:val="99"/>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uiPriority w:val="99"/>
    <w:qFormat/>
    <w:rsid w:val="00745376"/>
    <w:pPr>
      <w:tabs>
        <w:tab w:val="right" w:pos="9965"/>
      </w:tabs>
      <w:spacing w:line="210" w:lineRule="exact"/>
    </w:pPr>
    <w:rPr>
      <w:spacing w:val="5"/>
      <w:w w:val="104"/>
      <w:sz w:val="17"/>
    </w:rPr>
  </w:style>
  <w:style w:type="paragraph" w:customStyle="1" w:styleId="SmallX">
    <w:name w:val="SmallX"/>
    <w:basedOn w:val="Small"/>
    <w:next w:val="Normal"/>
    <w:uiPriority w:val="99"/>
    <w:qFormat/>
    <w:rsid w:val="00745376"/>
    <w:pPr>
      <w:spacing w:line="180" w:lineRule="exact"/>
      <w:jc w:val="right"/>
    </w:pPr>
    <w:rPr>
      <w:spacing w:val="6"/>
      <w:w w:val="106"/>
      <w:sz w:val="14"/>
    </w:rPr>
  </w:style>
  <w:style w:type="paragraph" w:customStyle="1" w:styleId="XLarge">
    <w:name w:val="XLarge"/>
    <w:basedOn w:val="HM"/>
    <w:uiPriority w:val="99"/>
    <w:qFormat/>
    <w:rsid w:val="00745376"/>
    <w:pPr>
      <w:tabs>
        <w:tab w:val="right" w:pos="360"/>
      </w:tabs>
      <w:spacing w:line="390" w:lineRule="exact"/>
    </w:pPr>
    <w:rPr>
      <w:spacing w:val="-4"/>
      <w:w w:val="98"/>
      <w:sz w:val="40"/>
    </w:rPr>
  </w:style>
  <w:style w:type="paragraph" w:customStyle="1" w:styleId="Style1">
    <w:name w:val="Style1"/>
    <w:basedOn w:val="Normal"/>
    <w:uiPriority w:val="99"/>
    <w:qFormat/>
    <w:rsid w:val="00A72C1F"/>
  </w:style>
  <w:style w:type="paragraph" w:customStyle="1" w:styleId="Style2">
    <w:name w:val="Style2"/>
    <w:basedOn w:val="Normal"/>
    <w:autoRedefine/>
    <w:uiPriority w:val="99"/>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uiPriority w:val="9"/>
    <w:semiHidden/>
    <w:rsid w:val="005B74B8"/>
    <w:rPr>
      <w:rFonts w:ascii="Cambria" w:eastAsia="Times New Roman" w:hAnsi="Cambria"/>
      <w:color w:val="404040"/>
      <w:spacing w:val="4"/>
      <w:w w:val="103"/>
      <w:kern w:val="14"/>
      <w:lang w:val="fr-CA"/>
    </w:rPr>
  </w:style>
  <w:style w:type="character" w:customStyle="1" w:styleId="Heading9Char">
    <w:name w:val="Heading 9 Char"/>
    <w:link w:val="Heading9"/>
    <w:uiPriority w:val="9"/>
    <w:semiHidden/>
    <w:rsid w:val="005B74B8"/>
    <w:rPr>
      <w:rFonts w:ascii="Cambria" w:eastAsia="Times New Roman" w:hAnsi="Cambria"/>
      <w:i/>
      <w:iCs/>
      <w:color w:val="404040"/>
      <w:spacing w:val="4"/>
      <w:w w:val="103"/>
      <w:kern w:val="14"/>
      <w:lang w:val="fr-CA"/>
    </w:rPr>
  </w:style>
  <w:style w:type="paragraph" w:styleId="ListParagraph">
    <w:name w:val="List Paragraph"/>
    <w:basedOn w:val="Normal"/>
    <w:link w:val="ListParagraphChar"/>
    <w:uiPriority w:val="34"/>
    <w:qFormat/>
    <w:rsid w:val="005B74B8"/>
    <w:pPr>
      <w:ind w:left="720"/>
      <w:contextualSpacing/>
    </w:pPr>
  </w:style>
  <w:style w:type="paragraph" w:customStyle="1" w:styleId="Distribution">
    <w:name w:val="Distribution"/>
    <w:next w:val="Normal"/>
    <w:autoRedefine/>
    <w:uiPriority w:val="99"/>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uiPriority w:val="99"/>
    <w:qFormat/>
    <w:rsid w:val="0060792E"/>
    <w:rPr>
      <w:rFonts w:ascii="Times New Roman" w:hAnsi="Times New Roman"/>
      <w:spacing w:val="4"/>
      <w:w w:val="103"/>
      <w:kern w:val="14"/>
      <w:szCs w:val="22"/>
    </w:rPr>
  </w:style>
  <w:style w:type="paragraph" w:customStyle="1" w:styleId="Original">
    <w:name w:val="Original"/>
    <w:next w:val="Normal"/>
    <w:autoRedefine/>
    <w:uiPriority w:val="99"/>
    <w:qFormat/>
    <w:rsid w:val="00E13E2B"/>
    <w:rPr>
      <w:rFonts w:ascii="Times New Roman" w:hAnsi="Times New Roman"/>
      <w:spacing w:val="4"/>
      <w:w w:val="103"/>
      <w:kern w:val="14"/>
      <w:szCs w:val="22"/>
    </w:rPr>
  </w:style>
  <w:style w:type="paragraph" w:customStyle="1" w:styleId="ReleaseDate">
    <w:name w:val="Release Date"/>
    <w:next w:val="Normal"/>
    <w:autoRedefine/>
    <w:uiPriority w:val="99"/>
    <w:qFormat/>
    <w:rsid w:val="0060792E"/>
    <w:rPr>
      <w:rFonts w:ascii="Times New Roman" w:hAnsi="Times New Roman"/>
      <w:spacing w:val="-3"/>
      <w:w w:val="99"/>
      <w:kern w:val="14"/>
      <w:szCs w:val="22"/>
    </w:rPr>
  </w:style>
  <w:style w:type="paragraph" w:customStyle="1" w:styleId="Session">
    <w:name w:val="Session"/>
    <w:basedOn w:val="H23"/>
    <w:autoRedefine/>
    <w:uiPriority w:val="99"/>
    <w:qFormat/>
    <w:rsid w:val="00D73117"/>
    <w:pPr>
      <w:ind w:right="1267"/>
    </w:pPr>
    <w:rPr>
      <w:spacing w:val="4"/>
    </w:rPr>
  </w:style>
  <w:style w:type="paragraph" w:customStyle="1" w:styleId="Committee">
    <w:name w:val="Committee"/>
    <w:basedOn w:val="H1"/>
    <w:autoRedefine/>
    <w:uiPriority w:val="99"/>
    <w:qFormat/>
    <w:rsid w:val="0060792E"/>
    <w:pPr>
      <w:ind w:right="1267"/>
    </w:pPr>
  </w:style>
  <w:style w:type="paragraph" w:customStyle="1" w:styleId="Sponsors">
    <w:name w:val="Sponsors"/>
    <w:basedOn w:val="H23"/>
    <w:autoRedefine/>
    <w:uiPriority w:val="99"/>
    <w:qFormat/>
    <w:rsid w:val="0060792E"/>
    <w:pPr>
      <w:tabs>
        <w:tab w:val="right" w:pos="1022"/>
        <w:tab w:val="left" w:pos="1267"/>
      </w:tabs>
      <w:ind w:left="1267" w:right="1267" w:hanging="1267"/>
    </w:pPr>
  </w:style>
  <w:style w:type="paragraph" w:customStyle="1" w:styleId="Type">
    <w:name w:val="Type"/>
    <w:basedOn w:val="H23"/>
    <w:autoRedefine/>
    <w:uiPriority w:val="99"/>
    <w:qFormat/>
    <w:rsid w:val="0060792E"/>
    <w:pPr>
      <w:tabs>
        <w:tab w:val="right" w:pos="1022"/>
        <w:tab w:val="left" w:pos="1267"/>
      </w:tabs>
      <w:ind w:left="1267" w:right="1267" w:hanging="1267"/>
    </w:pPr>
  </w:style>
  <w:style w:type="paragraph" w:customStyle="1" w:styleId="AgendaTitle">
    <w:name w:val="AgendaTitle"/>
    <w:basedOn w:val="H23"/>
    <w:autoRedefine/>
    <w:uiPriority w:val="99"/>
    <w:qFormat/>
    <w:rsid w:val="0060792E"/>
  </w:style>
  <w:style w:type="paragraph" w:customStyle="1" w:styleId="Title1">
    <w:name w:val="Title 1"/>
    <w:basedOn w:val="HCH"/>
    <w:autoRedefine/>
    <w:uiPriority w:val="99"/>
    <w:qFormat/>
    <w:rsid w:val="00506B44"/>
    <w:pPr>
      <w:tabs>
        <w:tab w:val="right" w:pos="1022"/>
        <w:tab w:val="left" w:pos="1267"/>
      </w:tabs>
      <w:ind w:left="1267" w:right="1267" w:hanging="1267"/>
    </w:pPr>
  </w:style>
  <w:style w:type="paragraph" w:customStyle="1" w:styleId="Title2">
    <w:name w:val="Title 2"/>
    <w:basedOn w:val="H1"/>
    <w:uiPriority w:val="99"/>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uiPriority w:val="99"/>
    <w:qFormat/>
    <w:rsid w:val="00023E37"/>
    <w:pPr>
      <w:numPr>
        <w:numId w:val="2"/>
      </w:numPr>
      <w:spacing w:after="120"/>
      <w:ind w:right="1267"/>
      <w:jc w:val="both"/>
    </w:pPr>
  </w:style>
  <w:style w:type="paragraph" w:customStyle="1" w:styleId="Bullet2">
    <w:name w:val="Bullet 2"/>
    <w:basedOn w:val="Normal"/>
    <w:uiPriority w:val="99"/>
    <w:qFormat/>
    <w:rsid w:val="00E00C20"/>
    <w:pPr>
      <w:numPr>
        <w:numId w:val="3"/>
      </w:numPr>
      <w:spacing w:after="120"/>
      <w:ind w:right="1264"/>
      <w:jc w:val="both"/>
    </w:pPr>
  </w:style>
  <w:style w:type="character" w:styleId="EndnoteReference">
    <w:name w:val="endnote reference"/>
    <w:aliases w:val="1_G"/>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uiPriority w:val="99"/>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C001FB"/>
    <w:rPr>
      <w:sz w:val="16"/>
      <w:szCs w:val="16"/>
    </w:rPr>
  </w:style>
  <w:style w:type="paragraph" w:styleId="CommentText">
    <w:name w:val="annotation text"/>
    <w:basedOn w:val="Normal"/>
    <w:link w:val="CommentTextChar"/>
    <w:uiPriority w:val="99"/>
    <w:semiHidden/>
    <w:unhideWhenUsed/>
    <w:rsid w:val="00C001FB"/>
    <w:pPr>
      <w:spacing w:line="240" w:lineRule="auto"/>
    </w:pPr>
    <w:rPr>
      <w:szCs w:val="20"/>
    </w:rPr>
  </w:style>
  <w:style w:type="character" w:customStyle="1" w:styleId="CommentTextChar">
    <w:name w:val="Comment Text Char"/>
    <w:basedOn w:val="DefaultParagraphFont"/>
    <w:link w:val="CommentText"/>
    <w:uiPriority w:val="99"/>
    <w:semiHidden/>
    <w:rsid w:val="00C001F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001FB"/>
    <w:rPr>
      <w:b/>
      <w:bCs/>
    </w:rPr>
  </w:style>
  <w:style w:type="character" w:customStyle="1" w:styleId="CommentSubjectChar">
    <w:name w:val="Comment Subject Char"/>
    <w:basedOn w:val="CommentTextChar"/>
    <w:link w:val="CommentSubject"/>
    <w:uiPriority w:val="99"/>
    <w:semiHidden/>
    <w:rsid w:val="00C001FB"/>
    <w:rPr>
      <w:rFonts w:ascii="Times New Roman" w:hAnsi="Times New Roman"/>
      <w:b/>
      <w:bCs/>
      <w:spacing w:val="4"/>
      <w:w w:val="103"/>
      <w:kern w:val="14"/>
      <w:lang w:val="fr-CA"/>
    </w:rPr>
  </w:style>
  <w:style w:type="character" w:styleId="Hyperlink">
    <w:name w:val="Hyperlink"/>
    <w:unhideWhenUsed/>
    <w:rsid w:val="00BF1937"/>
    <w:rPr>
      <w:strike w:val="0"/>
      <w:dstrike w:val="0"/>
      <w:color w:val="auto"/>
      <w:u w:val="none"/>
      <w:effect w:val="none"/>
    </w:rPr>
  </w:style>
  <w:style w:type="character" w:styleId="FollowedHyperlink">
    <w:name w:val="FollowedHyperlink"/>
    <w:semiHidden/>
    <w:unhideWhenUsed/>
    <w:rsid w:val="00BF1937"/>
    <w:rPr>
      <w:strike w:val="0"/>
      <w:dstrike w:val="0"/>
      <w:color w:val="auto"/>
      <w:u w:val="none"/>
      <w:effect w:val="none"/>
    </w:rPr>
  </w:style>
  <w:style w:type="paragraph" w:styleId="HTMLAddress">
    <w:name w:val="HTML Address"/>
    <w:basedOn w:val="Normal"/>
    <w:link w:val="HTMLAddressChar"/>
    <w:semiHidden/>
    <w:unhideWhenUsed/>
    <w:rsid w:val="00BF1937"/>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BF1937"/>
    <w:rPr>
      <w:rFonts w:ascii="Times New Roman" w:eastAsia="Times New Roman" w:hAnsi="Times New Roman"/>
      <w:i/>
      <w:iCs/>
      <w:lang w:val="en-GB"/>
    </w:rPr>
  </w:style>
  <w:style w:type="character" w:styleId="HTMLCode">
    <w:name w:val="HTML Code"/>
    <w:semiHidden/>
    <w:unhideWhenUsed/>
    <w:rsid w:val="00BF1937"/>
    <w:rPr>
      <w:rFonts w:ascii="Courier New" w:eastAsia="Times New Roman" w:hAnsi="Courier New" w:cs="Courier New" w:hint="default"/>
      <w:sz w:val="20"/>
      <w:szCs w:val="20"/>
    </w:rPr>
  </w:style>
  <w:style w:type="character" w:customStyle="1" w:styleId="Heading1Char1">
    <w:name w:val="Heading 1 Char1"/>
    <w:aliases w:val="Table_G Char1"/>
    <w:basedOn w:val="DefaultParagraphFont"/>
    <w:uiPriority w:val="9"/>
    <w:rsid w:val="00BF1937"/>
    <w:rPr>
      <w:rFonts w:asciiTheme="majorHAnsi" w:eastAsiaTheme="majorEastAsia" w:hAnsiTheme="majorHAnsi" w:cstheme="majorBidi"/>
      <w:b/>
      <w:bCs/>
      <w:color w:val="365F91" w:themeColor="accent1" w:themeShade="BF"/>
      <w:spacing w:val="4"/>
      <w:w w:val="103"/>
      <w:kern w:val="14"/>
      <w:sz w:val="28"/>
      <w:szCs w:val="28"/>
      <w:lang w:val="fr-CA"/>
    </w:rPr>
  </w:style>
  <w:style w:type="character" w:styleId="HTMLKeyboard">
    <w:name w:val="HTML Keyboard"/>
    <w:semiHidden/>
    <w:unhideWhenUsed/>
    <w:rsid w:val="00BF193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BF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BF1937"/>
    <w:rPr>
      <w:rFonts w:ascii="Courier New" w:eastAsia="Times New Roman" w:hAnsi="Courier New" w:cs="Courier New"/>
      <w:lang w:val="en-GB"/>
    </w:rPr>
  </w:style>
  <w:style w:type="character" w:styleId="HTMLSample">
    <w:name w:val="HTML Sample"/>
    <w:semiHidden/>
    <w:unhideWhenUsed/>
    <w:rsid w:val="00BF1937"/>
    <w:rPr>
      <w:rFonts w:ascii="Courier New" w:eastAsia="Times New Roman" w:hAnsi="Courier New" w:cs="Courier New" w:hint="default"/>
    </w:rPr>
  </w:style>
  <w:style w:type="character" w:styleId="HTMLTypewriter">
    <w:name w:val="HTML Typewriter"/>
    <w:semiHidden/>
    <w:unhideWhenUsed/>
    <w:rsid w:val="00BF1937"/>
    <w:rPr>
      <w:rFonts w:ascii="Courier New" w:eastAsia="Times New Roman" w:hAnsi="Courier New" w:cs="Courier New" w:hint="default"/>
      <w:sz w:val="20"/>
      <w:szCs w:val="20"/>
    </w:rPr>
  </w:style>
  <w:style w:type="paragraph" w:styleId="NormalWeb">
    <w:name w:val="Normal (Web)"/>
    <w:basedOn w:val="Normal"/>
    <w:uiPriority w:val="99"/>
    <w:semiHidden/>
    <w:unhideWhenUsed/>
    <w:rsid w:val="00BF1937"/>
    <w:pPr>
      <w:suppressAutoHyphens/>
      <w:spacing w:line="240" w:lineRule="atLeast"/>
    </w:pPr>
    <w:rPr>
      <w:rFonts w:eastAsia="Times New Roman"/>
      <w:spacing w:val="0"/>
      <w:w w:val="100"/>
      <w:kern w:val="0"/>
      <w:sz w:val="24"/>
      <w:szCs w:val="24"/>
      <w:lang w:val="en-GB"/>
    </w:rPr>
  </w:style>
  <w:style w:type="paragraph" w:styleId="TOC1">
    <w:name w:val="toc 1"/>
    <w:basedOn w:val="Normal"/>
    <w:next w:val="Normal"/>
    <w:autoRedefine/>
    <w:uiPriority w:val="99"/>
    <w:semiHidden/>
    <w:unhideWhenUsed/>
    <w:rsid w:val="00BF1937"/>
    <w:pPr>
      <w:suppressAutoHyphens/>
      <w:spacing w:line="240" w:lineRule="atLeast"/>
    </w:pPr>
    <w:rPr>
      <w:rFonts w:eastAsia="Times New Roman"/>
      <w:spacing w:val="0"/>
      <w:w w:val="100"/>
      <w:kern w:val="0"/>
      <w:szCs w:val="20"/>
      <w:lang w:val="en-GB"/>
    </w:rPr>
  </w:style>
  <w:style w:type="paragraph" w:styleId="TOC2">
    <w:name w:val="toc 2"/>
    <w:basedOn w:val="Normal"/>
    <w:next w:val="Normal"/>
    <w:autoRedefine/>
    <w:uiPriority w:val="99"/>
    <w:semiHidden/>
    <w:unhideWhenUsed/>
    <w:rsid w:val="00BF1937"/>
    <w:pPr>
      <w:suppressAutoHyphens/>
      <w:spacing w:line="240" w:lineRule="atLeast"/>
      <w:ind w:left="200"/>
    </w:pPr>
    <w:rPr>
      <w:rFonts w:eastAsia="Times New Roman"/>
      <w:spacing w:val="0"/>
      <w:w w:val="100"/>
      <w:kern w:val="0"/>
      <w:szCs w:val="20"/>
      <w:lang w:val="en-GB"/>
    </w:rPr>
  </w:style>
  <w:style w:type="paragraph" w:styleId="NormalIndent">
    <w:name w:val="Normal Indent"/>
    <w:basedOn w:val="Normal"/>
    <w:uiPriority w:val="99"/>
    <w:semiHidden/>
    <w:unhideWhenUsed/>
    <w:rsid w:val="00BF1937"/>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aliases w:val="5_G Char1"/>
    <w:basedOn w:val="DefaultParagraphFont"/>
    <w:uiPriority w:val="99"/>
    <w:semiHidden/>
    <w:rsid w:val="00BF1937"/>
    <w:rPr>
      <w:rFonts w:ascii="Times New Roman" w:hAnsi="Times New Roman"/>
      <w:spacing w:val="4"/>
      <w:w w:val="103"/>
      <w:kern w:val="14"/>
      <w:lang w:val="fr-CA"/>
    </w:rPr>
  </w:style>
  <w:style w:type="character" w:customStyle="1" w:styleId="HeaderChar1">
    <w:name w:val="Header Char1"/>
    <w:aliases w:val="6_G Char1"/>
    <w:basedOn w:val="DefaultParagraphFont"/>
    <w:uiPriority w:val="99"/>
    <w:semiHidden/>
    <w:rsid w:val="00BF1937"/>
    <w:rPr>
      <w:rFonts w:ascii="Times New Roman" w:hAnsi="Times New Roman"/>
      <w:spacing w:val="4"/>
      <w:w w:val="103"/>
      <w:kern w:val="14"/>
      <w:szCs w:val="22"/>
      <w:lang w:val="fr-CA"/>
    </w:rPr>
  </w:style>
  <w:style w:type="character" w:customStyle="1" w:styleId="FooterChar1">
    <w:name w:val="Footer Char1"/>
    <w:aliases w:val="3_G Char1"/>
    <w:basedOn w:val="DefaultParagraphFont"/>
    <w:uiPriority w:val="99"/>
    <w:semiHidden/>
    <w:rsid w:val="00BF1937"/>
    <w:rPr>
      <w:rFonts w:ascii="Times New Roman" w:hAnsi="Times New Roman"/>
      <w:spacing w:val="4"/>
      <w:w w:val="103"/>
      <w:kern w:val="14"/>
      <w:szCs w:val="22"/>
      <w:lang w:val="fr-CA"/>
    </w:rPr>
  </w:style>
  <w:style w:type="paragraph" w:styleId="EnvelopeAddress">
    <w:name w:val="envelope address"/>
    <w:basedOn w:val="Normal"/>
    <w:uiPriority w:val="99"/>
    <w:semiHidden/>
    <w:unhideWhenUsed/>
    <w:rsid w:val="00BF1937"/>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uiPriority w:val="99"/>
    <w:semiHidden/>
    <w:unhideWhenUsed/>
    <w:rsid w:val="00BF1937"/>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1"/>
    <w:basedOn w:val="DefaultParagraphFont"/>
    <w:uiPriority w:val="99"/>
    <w:semiHidden/>
    <w:rsid w:val="00BF1937"/>
    <w:rPr>
      <w:rFonts w:ascii="Times New Roman" w:hAnsi="Times New Roman"/>
      <w:spacing w:val="4"/>
      <w:w w:val="103"/>
      <w:kern w:val="14"/>
      <w:lang w:val="fr-CA"/>
    </w:rPr>
  </w:style>
  <w:style w:type="paragraph" w:styleId="List">
    <w:name w:val="List"/>
    <w:basedOn w:val="Normal"/>
    <w:uiPriority w:val="99"/>
    <w:semiHidden/>
    <w:unhideWhenUsed/>
    <w:rsid w:val="00BF1937"/>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uiPriority w:val="99"/>
    <w:semiHidden/>
    <w:unhideWhenUsed/>
    <w:rsid w:val="00BF1937"/>
    <w:pPr>
      <w:numPr>
        <w:numId w:val="5"/>
      </w:numPr>
      <w:suppressAutoHyphens/>
      <w:spacing w:line="240" w:lineRule="atLeast"/>
    </w:pPr>
    <w:rPr>
      <w:rFonts w:eastAsia="Times New Roman"/>
      <w:spacing w:val="0"/>
      <w:w w:val="100"/>
      <w:kern w:val="0"/>
      <w:szCs w:val="20"/>
      <w:lang w:val="en-GB"/>
    </w:rPr>
  </w:style>
  <w:style w:type="paragraph" w:styleId="ListNumber">
    <w:name w:val="List Number"/>
    <w:basedOn w:val="Normal"/>
    <w:uiPriority w:val="99"/>
    <w:semiHidden/>
    <w:unhideWhenUsed/>
    <w:rsid w:val="00BF1937"/>
    <w:pPr>
      <w:numPr>
        <w:numId w:val="6"/>
      </w:numPr>
      <w:suppressAutoHyphens/>
      <w:spacing w:line="240" w:lineRule="atLeast"/>
    </w:pPr>
    <w:rPr>
      <w:rFonts w:eastAsia="Times New Roman"/>
      <w:spacing w:val="0"/>
      <w:w w:val="100"/>
      <w:kern w:val="0"/>
      <w:szCs w:val="20"/>
      <w:lang w:val="en-GB"/>
    </w:rPr>
  </w:style>
  <w:style w:type="paragraph" w:styleId="List2">
    <w:name w:val="List 2"/>
    <w:basedOn w:val="Normal"/>
    <w:uiPriority w:val="99"/>
    <w:semiHidden/>
    <w:unhideWhenUsed/>
    <w:rsid w:val="00BF1937"/>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uiPriority w:val="99"/>
    <w:semiHidden/>
    <w:unhideWhenUsed/>
    <w:rsid w:val="00BF1937"/>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uiPriority w:val="99"/>
    <w:semiHidden/>
    <w:unhideWhenUsed/>
    <w:rsid w:val="00BF1937"/>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uiPriority w:val="99"/>
    <w:semiHidden/>
    <w:unhideWhenUsed/>
    <w:rsid w:val="00BF1937"/>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uiPriority w:val="99"/>
    <w:semiHidden/>
    <w:unhideWhenUsed/>
    <w:rsid w:val="00BF1937"/>
    <w:pPr>
      <w:numPr>
        <w:numId w:val="7"/>
      </w:numPr>
      <w:suppressAutoHyphens/>
      <w:spacing w:line="240" w:lineRule="atLeast"/>
    </w:pPr>
    <w:rPr>
      <w:rFonts w:eastAsia="Times New Roman"/>
      <w:spacing w:val="0"/>
      <w:w w:val="100"/>
      <w:kern w:val="0"/>
      <w:szCs w:val="20"/>
      <w:lang w:val="en-GB"/>
    </w:rPr>
  </w:style>
  <w:style w:type="paragraph" w:styleId="ListBullet3">
    <w:name w:val="List Bullet 3"/>
    <w:basedOn w:val="Normal"/>
    <w:uiPriority w:val="99"/>
    <w:semiHidden/>
    <w:unhideWhenUsed/>
    <w:rsid w:val="00BF1937"/>
    <w:pPr>
      <w:numPr>
        <w:numId w:val="8"/>
      </w:numPr>
      <w:suppressAutoHyphens/>
      <w:spacing w:line="240" w:lineRule="atLeast"/>
    </w:pPr>
    <w:rPr>
      <w:rFonts w:eastAsia="Times New Roman"/>
      <w:spacing w:val="0"/>
      <w:w w:val="100"/>
      <w:kern w:val="0"/>
      <w:szCs w:val="20"/>
      <w:lang w:val="en-GB"/>
    </w:rPr>
  </w:style>
  <w:style w:type="paragraph" w:styleId="ListBullet4">
    <w:name w:val="List Bullet 4"/>
    <w:basedOn w:val="Normal"/>
    <w:uiPriority w:val="99"/>
    <w:semiHidden/>
    <w:unhideWhenUsed/>
    <w:rsid w:val="00BF1937"/>
    <w:pPr>
      <w:numPr>
        <w:numId w:val="9"/>
      </w:numPr>
      <w:suppressAutoHyphens/>
      <w:spacing w:line="240" w:lineRule="atLeast"/>
    </w:pPr>
    <w:rPr>
      <w:rFonts w:eastAsia="Times New Roman"/>
      <w:spacing w:val="0"/>
      <w:w w:val="100"/>
      <w:kern w:val="0"/>
      <w:szCs w:val="20"/>
      <w:lang w:val="en-GB"/>
    </w:rPr>
  </w:style>
  <w:style w:type="paragraph" w:styleId="ListBullet5">
    <w:name w:val="List Bullet 5"/>
    <w:basedOn w:val="Normal"/>
    <w:uiPriority w:val="99"/>
    <w:semiHidden/>
    <w:unhideWhenUsed/>
    <w:rsid w:val="00BF1937"/>
    <w:pPr>
      <w:numPr>
        <w:numId w:val="10"/>
      </w:numPr>
      <w:suppressAutoHyphens/>
      <w:spacing w:line="240" w:lineRule="atLeast"/>
    </w:pPr>
    <w:rPr>
      <w:rFonts w:eastAsia="Times New Roman"/>
      <w:spacing w:val="0"/>
      <w:w w:val="100"/>
      <w:kern w:val="0"/>
      <w:szCs w:val="20"/>
      <w:lang w:val="en-GB"/>
    </w:rPr>
  </w:style>
  <w:style w:type="paragraph" w:styleId="ListNumber2">
    <w:name w:val="List Number 2"/>
    <w:basedOn w:val="Normal"/>
    <w:uiPriority w:val="99"/>
    <w:semiHidden/>
    <w:unhideWhenUsed/>
    <w:rsid w:val="00BF1937"/>
    <w:pPr>
      <w:numPr>
        <w:numId w:val="11"/>
      </w:numPr>
      <w:suppressAutoHyphens/>
      <w:spacing w:line="240" w:lineRule="atLeast"/>
    </w:pPr>
    <w:rPr>
      <w:rFonts w:eastAsia="Times New Roman"/>
      <w:spacing w:val="0"/>
      <w:w w:val="100"/>
      <w:kern w:val="0"/>
      <w:szCs w:val="20"/>
      <w:lang w:val="en-GB"/>
    </w:rPr>
  </w:style>
  <w:style w:type="paragraph" w:styleId="ListNumber3">
    <w:name w:val="List Number 3"/>
    <w:basedOn w:val="Normal"/>
    <w:uiPriority w:val="99"/>
    <w:semiHidden/>
    <w:unhideWhenUsed/>
    <w:rsid w:val="00BF1937"/>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uiPriority w:val="99"/>
    <w:semiHidden/>
    <w:unhideWhenUsed/>
    <w:rsid w:val="00BF1937"/>
    <w:pPr>
      <w:numPr>
        <w:numId w:val="12"/>
      </w:numPr>
      <w:suppressAutoHyphens/>
      <w:spacing w:line="240" w:lineRule="atLeast"/>
    </w:pPr>
    <w:rPr>
      <w:rFonts w:eastAsia="Times New Roman"/>
      <w:spacing w:val="0"/>
      <w:w w:val="100"/>
      <w:kern w:val="0"/>
      <w:szCs w:val="20"/>
      <w:lang w:val="en-GB"/>
    </w:rPr>
  </w:style>
  <w:style w:type="paragraph" w:styleId="ListNumber5">
    <w:name w:val="List Number 5"/>
    <w:basedOn w:val="Normal"/>
    <w:uiPriority w:val="99"/>
    <w:semiHidden/>
    <w:unhideWhenUsed/>
    <w:rsid w:val="00BF1937"/>
    <w:pPr>
      <w:numPr>
        <w:numId w:val="13"/>
      </w:numPr>
      <w:suppressAutoHyphens/>
      <w:spacing w:line="240" w:lineRule="atLeast"/>
    </w:pPr>
    <w:rPr>
      <w:rFonts w:eastAsia="Times New Roman"/>
      <w:spacing w:val="0"/>
      <w:w w:val="100"/>
      <w:kern w:val="0"/>
      <w:szCs w:val="20"/>
      <w:lang w:val="en-GB"/>
    </w:rPr>
  </w:style>
  <w:style w:type="paragraph" w:styleId="Title">
    <w:name w:val="Title"/>
    <w:basedOn w:val="Normal"/>
    <w:link w:val="TitleChar"/>
    <w:uiPriority w:val="10"/>
    <w:qFormat/>
    <w:rsid w:val="00BF1937"/>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uiPriority w:val="10"/>
    <w:rsid w:val="00BF1937"/>
    <w:rPr>
      <w:rFonts w:ascii="Arial" w:eastAsia="Times New Roman" w:hAnsi="Arial" w:cs="Arial"/>
      <w:b/>
      <w:bCs/>
      <w:kern w:val="28"/>
      <w:sz w:val="32"/>
      <w:szCs w:val="32"/>
      <w:lang w:val="en-GB"/>
    </w:rPr>
  </w:style>
  <w:style w:type="paragraph" w:styleId="Closing">
    <w:name w:val="Closing"/>
    <w:basedOn w:val="Normal"/>
    <w:link w:val="ClosingChar"/>
    <w:uiPriority w:val="99"/>
    <w:semiHidden/>
    <w:unhideWhenUsed/>
    <w:rsid w:val="00BF1937"/>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uiPriority w:val="99"/>
    <w:semiHidden/>
    <w:rsid w:val="00BF1937"/>
    <w:rPr>
      <w:rFonts w:ascii="Times New Roman" w:eastAsia="Times New Roman" w:hAnsi="Times New Roman"/>
      <w:lang w:val="en-GB"/>
    </w:rPr>
  </w:style>
  <w:style w:type="paragraph" w:styleId="Signature">
    <w:name w:val="Signature"/>
    <w:basedOn w:val="Normal"/>
    <w:link w:val="SignatureChar"/>
    <w:uiPriority w:val="99"/>
    <w:semiHidden/>
    <w:unhideWhenUsed/>
    <w:rsid w:val="00BF1937"/>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uiPriority w:val="99"/>
    <w:semiHidden/>
    <w:rsid w:val="00BF1937"/>
    <w:rPr>
      <w:rFonts w:ascii="Times New Roman" w:eastAsia="Times New Roman" w:hAnsi="Times New Roman"/>
      <w:lang w:val="en-GB"/>
    </w:rPr>
  </w:style>
  <w:style w:type="paragraph" w:styleId="BodyText">
    <w:name w:val="Body Text"/>
    <w:basedOn w:val="Normal"/>
    <w:next w:val="Normal"/>
    <w:link w:val="BodyText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uiPriority w:val="99"/>
    <w:semiHidden/>
    <w:rsid w:val="00BF1937"/>
    <w:rPr>
      <w:rFonts w:ascii="Times New Roman" w:eastAsia="Times New Roman" w:hAnsi="Times New Roman"/>
      <w:lang w:val="en-GB"/>
    </w:rPr>
  </w:style>
  <w:style w:type="paragraph" w:styleId="BodyTextIndent">
    <w:name w:val="Body Text Indent"/>
    <w:basedOn w:val="Normal"/>
    <w:link w:val="BodyTextIndentChar"/>
    <w:uiPriority w:val="99"/>
    <w:semiHidden/>
    <w:unhideWhenUsed/>
    <w:rsid w:val="00BF1937"/>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uiPriority w:val="99"/>
    <w:semiHidden/>
    <w:rsid w:val="00BF1937"/>
    <w:rPr>
      <w:rFonts w:ascii="Times New Roman" w:eastAsia="Times New Roman" w:hAnsi="Times New Roman"/>
      <w:lang w:val="en-GB"/>
    </w:rPr>
  </w:style>
  <w:style w:type="paragraph" w:styleId="ListContinue">
    <w:name w:val="List Continue"/>
    <w:basedOn w:val="Normal"/>
    <w:uiPriority w:val="99"/>
    <w:semiHidden/>
    <w:unhideWhenUsed/>
    <w:rsid w:val="00BF1937"/>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uiPriority w:val="99"/>
    <w:semiHidden/>
    <w:unhideWhenUsed/>
    <w:rsid w:val="00BF1937"/>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uiPriority w:val="99"/>
    <w:semiHidden/>
    <w:unhideWhenUsed/>
    <w:rsid w:val="00BF1937"/>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uiPriority w:val="99"/>
    <w:semiHidden/>
    <w:unhideWhenUsed/>
    <w:rsid w:val="00BF1937"/>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uiPriority w:val="99"/>
    <w:semiHidden/>
    <w:unhideWhenUsed/>
    <w:rsid w:val="00BF1937"/>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uiPriority w:val="99"/>
    <w:semiHidden/>
    <w:unhideWhenUsed/>
    <w:rsid w:val="00BF193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uiPriority w:val="99"/>
    <w:semiHidden/>
    <w:rsid w:val="00BF1937"/>
    <w:rPr>
      <w:rFonts w:ascii="Arial" w:eastAsia="Times New Roman" w:hAnsi="Arial" w:cs="Arial"/>
      <w:sz w:val="24"/>
      <w:szCs w:val="24"/>
      <w:shd w:val="pct20" w:color="auto" w:fill="auto"/>
      <w:lang w:val="en-GB"/>
    </w:rPr>
  </w:style>
  <w:style w:type="paragraph" w:styleId="Subtitle">
    <w:name w:val="Subtitle"/>
    <w:basedOn w:val="Normal"/>
    <w:link w:val="SubtitleChar"/>
    <w:uiPriority w:val="99"/>
    <w:qFormat/>
    <w:rsid w:val="00BF1937"/>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uiPriority w:val="99"/>
    <w:rsid w:val="00BF1937"/>
    <w:rPr>
      <w:rFonts w:ascii="Arial" w:eastAsia="Times New Roman" w:hAnsi="Arial" w:cs="Arial"/>
      <w:sz w:val="24"/>
      <w:szCs w:val="24"/>
      <w:lang w:val="en-GB"/>
    </w:rPr>
  </w:style>
  <w:style w:type="paragraph" w:styleId="Salutation">
    <w:name w:val="Salutation"/>
    <w:basedOn w:val="Normal"/>
    <w:next w:val="Normal"/>
    <w:link w:val="Salutation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uiPriority w:val="99"/>
    <w:semiHidden/>
    <w:rsid w:val="00BF1937"/>
    <w:rPr>
      <w:rFonts w:ascii="Times New Roman" w:eastAsia="Times New Roman" w:hAnsi="Times New Roman"/>
      <w:lang w:val="en-GB"/>
    </w:rPr>
  </w:style>
  <w:style w:type="paragraph" w:styleId="Date">
    <w:name w:val="Date"/>
    <w:basedOn w:val="Normal"/>
    <w:next w:val="Normal"/>
    <w:link w:val="Date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uiPriority w:val="99"/>
    <w:semiHidden/>
    <w:rsid w:val="00BF1937"/>
    <w:rPr>
      <w:rFonts w:ascii="Times New Roman" w:eastAsia="Times New Roman" w:hAnsi="Times New Roman"/>
      <w:lang w:val="en-GB"/>
    </w:rPr>
  </w:style>
  <w:style w:type="paragraph" w:styleId="BodyTextFirstIndent">
    <w:name w:val="Body Text First Indent"/>
    <w:basedOn w:val="BodyText"/>
    <w:link w:val="BodyTextFirstIndentChar"/>
    <w:uiPriority w:val="99"/>
    <w:semiHidden/>
    <w:unhideWhenUsed/>
    <w:rsid w:val="00BF1937"/>
    <w:pPr>
      <w:spacing w:after="120"/>
      <w:ind w:firstLine="210"/>
    </w:pPr>
  </w:style>
  <w:style w:type="character" w:customStyle="1" w:styleId="BodyTextFirstIndentChar">
    <w:name w:val="Body Text First Indent Char"/>
    <w:basedOn w:val="BodyTextChar"/>
    <w:link w:val="BodyTextFirstIndent"/>
    <w:uiPriority w:val="99"/>
    <w:semiHidden/>
    <w:rsid w:val="00BF1937"/>
    <w:rPr>
      <w:rFonts w:ascii="Times New Roman" w:eastAsia="Times New Roman" w:hAnsi="Times New Roman"/>
      <w:lang w:val="en-GB"/>
    </w:rPr>
  </w:style>
  <w:style w:type="paragraph" w:styleId="BodyTextFirstIndent2">
    <w:name w:val="Body Text First Indent 2"/>
    <w:basedOn w:val="BodyTextIndent"/>
    <w:link w:val="BodyTextFirstIndent2Char"/>
    <w:uiPriority w:val="99"/>
    <w:semiHidden/>
    <w:unhideWhenUsed/>
    <w:rsid w:val="00BF1937"/>
    <w:pPr>
      <w:ind w:firstLine="210"/>
    </w:pPr>
  </w:style>
  <w:style w:type="character" w:customStyle="1" w:styleId="BodyTextFirstIndent2Char">
    <w:name w:val="Body Text First Indent 2 Char"/>
    <w:basedOn w:val="BodyTextIndentChar"/>
    <w:link w:val="BodyTextFirstIndent2"/>
    <w:uiPriority w:val="99"/>
    <w:semiHidden/>
    <w:rsid w:val="00BF1937"/>
    <w:rPr>
      <w:rFonts w:ascii="Times New Roman" w:eastAsia="Times New Roman" w:hAnsi="Times New Roman"/>
      <w:lang w:val="en-GB"/>
    </w:rPr>
  </w:style>
  <w:style w:type="paragraph" w:styleId="NoteHeading">
    <w:name w:val="Note Heading"/>
    <w:basedOn w:val="Normal"/>
    <w:next w:val="Normal"/>
    <w:link w:val="NoteHeading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uiPriority w:val="99"/>
    <w:semiHidden/>
    <w:rsid w:val="00BF1937"/>
    <w:rPr>
      <w:rFonts w:ascii="Times New Roman" w:eastAsia="Times New Roman" w:hAnsi="Times New Roman"/>
      <w:lang w:val="en-GB"/>
    </w:rPr>
  </w:style>
  <w:style w:type="paragraph" w:styleId="BodyText2">
    <w:name w:val="Body Text 2"/>
    <w:basedOn w:val="Normal"/>
    <w:link w:val="BodyText2Char"/>
    <w:uiPriority w:val="99"/>
    <w:semiHidden/>
    <w:unhideWhenUsed/>
    <w:rsid w:val="00BF1937"/>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uiPriority w:val="99"/>
    <w:semiHidden/>
    <w:rsid w:val="00BF1937"/>
    <w:rPr>
      <w:rFonts w:ascii="Times New Roman" w:eastAsia="Times New Roman" w:hAnsi="Times New Roman"/>
      <w:lang w:val="en-GB"/>
    </w:rPr>
  </w:style>
  <w:style w:type="paragraph" w:styleId="BodyText3">
    <w:name w:val="Body Text 3"/>
    <w:basedOn w:val="Normal"/>
    <w:link w:val="BodyText3Char"/>
    <w:uiPriority w:val="99"/>
    <w:semiHidden/>
    <w:unhideWhenUsed/>
    <w:rsid w:val="00BF1937"/>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uiPriority w:val="99"/>
    <w:semiHidden/>
    <w:rsid w:val="00BF1937"/>
    <w:rPr>
      <w:rFonts w:ascii="Times New Roman" w:eastAsia="Times New Roman" w:hAnsi="Times New Roman"/>
      <w:sz w:val="16"/>
      <w:szCs w:val="16"/>
      <w:lang w:val="en-GB"/>
    </w:rPr>
  </w:style>
  <w:style w:type="paragraph" w:styleId="BodyTextIndent2">
    <w:name w:val="Body Text Indent 2"/>
    <w:basedOn w:val="Normal"/>
    <w:link w:val="BodyTextIndent2Char"/>
    <w:uiPriority w:val="99"/>
    <w:semiHidden/>
    <w:unhideWhenUsed/>
    <w:rsid w:val="00BF1937"/>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uiPriority w:val="99"/>
    <w:semiHidden/>
    <w:rsid w:val="00BF1937"/>
    <w:rPr>
      <w:rFonts w:ascii="Times New Roman" w:eastAsia="Times New Roman" w:hAnsi="Times New Roman"/>
      <w:lang w:val="en-GB"/>
    </w:rPr>
  </w:style>
  <w:style w:type="paragraph" w:styleId="BodyTextIndent3">
    <w:name w:val="Body Text Indent 3"/>
    <w:basedOn w:val="Normal"/>
    <w:link w:val="BodyTextIndent3Char"/>
    <w:uiPriority w:val="99"/>
    <w:semiHidden/>
    <w:unhideWhenUsed/>
    <w:rsid w:val="00BF1937"/>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uiPriority w:val="99"/>
    <w:semiHidden/>
    <w:rsid w:val="00BF1937"/>
    <w:rPr>
      <w:rFonts w:ascii="Times New Roman" w:eastAsia="Times New Roman" w:hAnsi="Times New Roman"/>
      <w:sz w:val="16"/>
      <w:szCs w:val="16"/>
      <w:lang w:val="en-GB"/>
    </w:rPr>
  </w:style>
  <w:style w:type="paragraph" w:styleId="BlockText">
    <w:name w:val="Block Text"/>
    <w:basedOn w:val="Normal"/>
    <w:uiPriority w:val="99"/>
    <w:semiHidden/>
    <w:unhideWhenUsed/>
    <w:rsid w:val="00BF1937"/>
    <w:pPr>
      <w:suppressAutoHyphens/>
      <w:spacing w:line="240" w:lineRule="atLeast"/>
      <w:ind w:left="1440" w:right="1440"/>
    </w:pPr>
    <w:rPr>
      <w:rFonts w:eastAsia="Times New Roman"/>
      <w:spacing w:val="0"/>
      <w:w w:val="100"/>
      <w:kern w:val="0"/>
      <w:szCs w:val="20"/>
      <w:lang w:val="en-GB"/>
    </w:rPr>
  </w:style>
  <w:style w:type="paragraph" w:styleId="PlainText">
    <w:name w:val="Plain Text"/>
    <w:basedOn w:val="Normal"/>
    <w:link w:val="PlainTextChar"/>
    <w:uiPriority w:val="99"/>
    <w:semiHidden/>
    <w:unhideWhenUsed/>
    <w:rsid w:val="00BF1937"/>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uiPriority w:val="99"/>
    <w:semiHidden/>
    <w:rsid w:val="00BF1937"/>
    <w:rPr>
      <w:rFonts w:ascii="Times New Roman" w:eastAsia="Times New Roman" w:hAnsi="Times New Roman" w:cs="Courier New"/>
      <w:lang w:val="en-GB"/>
    </w:rPr>
  </w:style>
  <w:style w:type="paragraph" w:styleId="E-mailSignature">
    <w:name w:val="E-mail Signature"/>
    <w:basedOn w:val="Normal"/>
    <w:link w:val="E-mailSignature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uiPriority w:val="99"/>
    <w:semiHidden/>
    <w:rsid w:val="00BF1937"/>
    <w:rPr>
      <w:rFonts w:ascii="Times New Roman" w:eastAsia="Times New Roman" w:hAnsi="Times New Roman"/>
      <w:lang w:val="en-GB"/>
    </w:rPr>
  </w:style>
  <w:style w:type="character" w:customStyle="1" w:styleId="NoSpacingChar">
    <w:name w:val="No Spacing Char"/>
    <w:link w:val="NoSpacing"/>
    <w:uiPriority w:val="1"/>
    <w:locked/>
    <w:rsid w:val="00BF1937"/>
    <w:rPr>
      <w:sz w:val="22"/>
      <w:szCs w:val="22"/>
    </w:rPr>
  </w:style>
  <w:style w:type="paragraph" w:styleId="Revision">
    <w:name w:val="Revision"/>
    <w:uiPriority w:val="99"/>
    <w:semiHidden/>
    <w:rsid w:val="00BF1937"/>
    <w:rPr>
      <w:rFonts w:ascii="Times New Roman" w:eastAsia="Times New Roman" w:hAnsi="Times New Roman"/>
      <w:lang w:val="en-GB"/>
    </w:rPr>
  </w:style>
  <w:style w:type="character" w:customStyle="1" w:styleId="ListParagraphChar">
    <w:name w:val="List Paragraph Char"/>
    <w:link w:val="ListParagraph"/>
    <w:uiPriority w:val="34"/>
    <w:locked/>
    <w:rsid w:val="00BF1937"/>
    <w:rPr>
      <w:rFonts w:ascii="Times New Roman" w:hAnsi="Times New Roman"/>
      <w:spacing w:val="4"/>
      <w:w w:val="103"/>
      <w:kern w:val="14"/>
      <w:szCs w:val="22"/>
      <w:lang w:val="fr-CA"/>
    </w:rPr>
  </w:style>
  <w:style w:type="character" w:styleId="PageNumber">
    <w:name w:val="page number"/>
    <w:aliases w:val="7_G"/>
    <w:semiHidden/>
    <w:unhideWhenUsed/>
    <w:rsid w:val="00BF1937"/>
    <w:rPr>
      <w:rFonts w:ascii="Times New Roman" w:hAnsi="Times New Roman" w:cs="Times New Roman" w:hint="default"/>
      <w:b/>
      <w:bCs w:val="0"/>
      <w:sz w:val="18"/>
      <w:lang w:val="fr-CH"/>
    </w:rPr>
  </w:style>
  <w:style w:type="table" w:styleId="TableSimple1">
    <w:name w:val="Table Simple 1"/>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F1937"/>
    <w:pPr>
      <w:suppressAutoHyphens/>
      <w:spacing w:line="240" w:lineRule="atLeast"/>
    </w:pPr>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F1937"/>
    <w:pPr>
      <w:suppressAutoHyphens/>
      <w:spacing w:line="240" w:lineRule="atLeast"/>
    </w:pPr>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F1937"/>
    <w:pPr>
      <w:suppressAutoHyphens/>
      <w:spacing w:line="240" w:lineRule="atLeast"/>
    </w:pPr>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F1937"/>
    <w:pPr>
      <w:suppressAutoHyphens/>
      <w:spacing w:line="240" w:lineRule="atLeast"/>
    </w:pPr>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F1937"/>
    <w:pPr>
      <w:suppressAutoHyphens/>
      <w:spacing w:line="240" w:lineRule="atLeast"/>
    </w:pPr>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F1937"/>
    <w:pPr>
      <w:suppressAutoHyphens/>
      <w:spacing w:line="240" w:lineRule="atLeast"/>
    </w:pPr>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F1937"/>
    <w:pPr>
      <w:suppressAutoHyphens/>
      <w:spacing w:line="240" w:lineRule="atLeast"/>
    </w:pPr>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F1937"/>
    <w:pPr>
      <w:suppressAutoHyphens/>
      <w:spacing w:line="240" w:lineRule="atLeast"/>
    </w:pPr>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F1937"/>
    <w:pPr>
      <w:suppressAutoHyphens/>
      <w:spacing w:line="240" w:lineRule="atLeast"/>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F1937"/>
    <w:pPr>
      <w:suppressAutoHyphens/>
      <w:spacing w:line="240" w:lineRule="atLeast"/>
    </w:pPr>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F1937"/>
    <w:pPr>
      <w:suppressAutoHyphens/>
      <w:spacing w:line="240" w:lineRule="atLeast"/>
    </w:pPr>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F1937"/>
    <w:pPr>
      <w:suppressAutoHyphens/>
      <w:spacing w:line="240" w:lineRule="atLeast"/>
    </w:pPr>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F1937"/>
    <w:pPr>
      <w:suppressAutoHyphens/>
      <w:spacing w:line="240" w:lineRule="atLeast"/>
    </w:pPr>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BF1937"/>
    <w:pPr>
      <w:suppressAutoHyphens/>
      <w:spacing w:line="240" w:lineRule="atLeast"/>
    </w:pPr>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F1937"/>
    <w:pPr>
      <w:suppressAutoHyphens/>
      <w:spacing w:line="240" w:lineRule="atLeast"/>
    </w:pPr>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F1937"/>
    <w:pPr>
      <w:suppressAutoHyphens/>
      <w:spacing w:line="240" w:lineRule="atLeast"/>
    </w:pPr>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F1937"/>
    <w:pPr>
      <w:suppressAutoHyphens/>
      <w:spacing w:line="240" w:lineRule="atLeast"/>
    </w:pPr>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BF1937"/>
    <w:pPr>
      <w:suppressAutoHyphens/>
      <w:spacing w:line="240" w:lineRule="atLeast"/>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F1937"/>
    <w:pPr>
      <w:suppressAutoHyphens/>
      <w:spacing w:line="240" w:lineRule="atLeast"/>
    </w:pPr>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F1937"/>
    <w:pPr>
      <w:suppressAutoHyphens/>
      <w:spacing w:line="240" w:lineRule="atLeast"/>
    </w:pPr>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F1937"/>
    <w:pPr>
      <w:suppressAutoHyphens/>
      <w:spacing w:line="240" w:lineRule="atLeast"/>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Theme">
    <w:name w:val="Table Theme"/>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BF1937"/>
    <w:pPr>
      <w:numPr>
        <w:numId w:val="14"/>
      </w:numPr>
    </w:pPr>
  </w:style>
  <w:style w:type="numbering" w:styleId="1ai">
    <w:name w:val="Outline List 1"/>
    <w:basedOn w:val="NoList"/>
    <w:semiHidden/>
    <w:unhideWhenUsed/>
    <w:rsid w:val="00BF1937"/>
    <w:pPr>
      <w:numPr>
        <w:numId w:val="15"/>
      </w:numPr>
    </w:pPr>
  </w:style>
  <w:style w:type="numbering" w:styleId="111111">
    <w:name w:val="Outline List 2"/>
    <w:basedOn w:val="NoList"/>
    <w:semiHidden/>
    <w:unhideWhenUsed/>
    <w:rsid w:val="00BF1937"/>
    <w:pPr>
      <w:numPr>
        <w:numId w:val="16"/>
      </w:numPr>
    </w:pPr>
  </w:style>
  <w:style w:type="paragraph" w:customStyle="1" w:styleId="Nomal">
    <w:name w:val="Nomal"/>
    <w:basedOn w:val="SingleTxt"/>
    <w:rsid w:val="00BF1937"/>
    <w:rPr>
      <w:i/>
      <w:lang w:val="fr-CH"/>
    </w:rPr>
  </w:style>
  <w:style w:type="character" w:customStyle="1" w:styleId="SingleTxtGChar">
    <w:name w:val="_ Single Txt_G Char"/>
    <w:link w:val="SingleTxtG"/>
    <w:locked/>
    <w:rsid w:val="00DE3BD5"/>
    <w:rPr>
      <w:lang w:val="es-ES" w:eastAsia="es-ES"/>
    </w:rPr>
  </w:style>
  <w:style w:type="paragraph" w:customStyle="1" w:styleId="SingleTxtG">
    <w:name w:val="_ Single Txt_G"/>
    <w:basedOn w:val="Normal"/>
    <w:link w:val="SingleTxtGChar"/>
    <w:qFormat/>
    <w:rsid w:val="00DE3BD5"/>
    <w:pPr>
      <w:spacing w:after="120" w:line="240" w:lineRule="atLeast"/>
      <w:ind w:left="1134" w:right="1134"/>
      <w:jc w:val="both"/>
    </w:pPr>
    <w:rPr>
      <w:rFonts w:ascii="Calibri" w:hAnsi="Calibri"/>
      <w:spacing w:val="0"/>
      <w:w w:val="100"/>
      <w:kern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nhideWhenUsed="0"/>
    <w:lsdException w:name="Title" w:uiPriority="10" w:unhideWhenUsed="0" w:qFormat="1"/>
    <w:lsdException w:name="Default Paragraph Font" w:uiPriority="1"/>
    <w:lsdException w:name="Subtitle" w:unhideWhenUsed="0" w:qFormat="1"/>
    <w:lsdException w:name="Hyperlink" w:uiPriority="0"/>
    <w:lsdException w:name="FollowedHyperlink" w:uiPriority="0"/>
    <w:lsdException w:name="Strong" w:semiHidden="0" w:uiPriority="22" w:unhideWhenUsed="0"/>
    <w:lsdException w:name="Emphasis" w:uiPriority="20" w:unhideWhenUsed="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uiPriority w:val="9"/>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uiPriority w:val="9"/>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uiPriority w:val="9"/>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uiPriority w:val="9"/>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SingleTxt"/>
    <w:uiPriority w:val="99"/>
    <w:qFormat/>
    <w:rsid w:val="00745376"/>
    <w:pPr>
      <w:keepNext/>
      <w:keepLines/>
      <w:suppressAutoHyphens/>
      <w:spacing w:line="270" w:lineRule="exact"/>
      <w:outlineLvl w:val="0"/>
    </w:pPr>
    <w:rPr>
      <w:b/>
      <w:sz w:val="24"/>
    </w:rPr>
  </w:style>
  <w:style w:type="paragraph" w:styleId="NoSpacing">
    <w:name w:val="No Spacing"/>
    <w:link w:val="NoSpacingChar"/>
    <w:uiPriority w:val="1"/>
    <w:qFormat/>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uiPriority w:val="99"/>
    <w:qFormat/>
    <w:rsid w:val="00745376"/>
    <w:pPr>
      <w:spacing w:line="300" w:lineRule="exact"/>
    </w:pPr>
    <w:rPr>
      <w:spacing w:val="-2"/>
      <w:sz w:val="28"/>
    </w:rPr>
  </w:style>
  <w:style w:type="paragraph" w:customStyle="1" w:styleId="HM">
    <w:name w:val="_ H __M"/>
    <w:basedOn w:val="HCH"/>
    <w:next w:val="SingleTxt"/>
    <w:uiPriority w:val="99"/>
    <w:qFormat/>
    <w:rsid w:val="00745376"/>
    <w:pPr>
      <w:spacing w:line="360" w:lineRule="exact"/>
    </w:pPr>
    <w:rPr>
      <w:spacing w:val="-3"/>
      <w:w w:val="99"/>
      <w:sz w:val="34"/>
    </w:rPr>
  </w:style>
  <w:style w:type="paragraph" w:customStyle="1" w:styleId="H23">
    <w:name w:val="_ H_2/3"/>
    <w:basedOn w:val="H1"/>
    <w:next w:val="SingleTxt"/>
    <w:uiPriority w:val="99"/>
    <w:qFormat/>
    <w:rsid w:val="00745376"/>
    <w:pPr>
      <w:spacing w:line="240" w:lineRule="exact"/>
      <w:outlineLvl w:val="1"/>
    </w:pPr>
    <w:rPr>
      <w:spacing w:val="2"/>
      <w:sz w:val="20"/>
    </w:rPr>
  </w:style>
  <w:style w:type="paragraph" w:customStyle="1" w:styleId="H4">
    <w:name w:val="_ H_4"/>
    <w:basedOn w:val="Normal"/>
    <w:next w:val="Normal"/>
    <w:uiPriority w:val="99"/>
    <w:qFormat/>
    <w:rsid w:val="00745376"/>
    <w:pPr>
      <w:keepNext/>
      <w:keepLines/>
      <w:tabs>
        <w:tab w:val="right" w:pos="360"/>
      </w:tabs>
      <w:suppressAutoHyphens/>
      <w:outlineLvl w:val="3"/>
    </w:pPr>
    <w:rPr>
      <w:i/>
      <w:spacing w:val="3"/>
    </w:rPr>
  </w:style>
  <w:style w:type="paragraph" w:customStyle="1" w:styleId="H56">
    <w:name w:val="_ H_5/6"/>
    <w:basedOn w:val="Normal"/>
    <w:next w:val="Normal"/>
    <w:uiPriority w:val="99"/>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uiPriority w:val="99"/>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uiPriority w:val="99"/>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uiPriority w:val="99"/>
    <w:qFormat/>
    <w:rsid w:val="00745376"/>
    <w:pPr>
      <w:spacing w:line="540" w:lineRule="exact"/>
    </w:pPr>
    <w:rPr>
      <w:spacing w:val="-8"/>
      <w:w w:val="96"/>
      <w:sz w:val="57"/>
    </w:rPr>
  </w:style>
  <w:style w:type="paragraph" w:customStyle="1" w:styleId="SS">
    <w:name w:val="__S_S"/>
    <w:basedOn w:val="HCH"/>
    <w:next w:val="Normal"/>
    <w:uiPriority w:val="99"/>
    <w:qFormat/>
    <w:rsid w:val="00745376"/>
    <w:pPr>
      <w:ind w:left="1267" w:right="1267"/>
    </w:pPr>
  </w:style>
  <w:style w:type="paragraph" w:customStyle="1" w:styleId="SingleTxt">
    <w:name w:val="__Single Txt"/>
    <w:basedOn w:val="Normal"/>
    <w:uiPriority w:val="99"/>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uiPriority w:val="99"/>
    <w:qFormat/>
    <w:rsid w:val="00745376"/>
    <w:pPr>
      <w:tabs>
        <w:tab w:val="right" w:pos="9965"/>
      </w:tabs>
      <w:spacing w:line="210" w:lineRule="exact"/>
    </w:pPr>
    <w:rPr>
      <w:spacing w:val="5"/>
      <w:w w:val="104"/>
      <w:sz w:val="17"/>
    </w:rPr>
  </w:style>
  <w:style w:type="paragraph" w:customStyle="1" w:styleId="SmallX">
    <w:name w:val="SmallX"/>
    <w:basedOn w:val="Small"/>
    <w:next w:val="Normal"/>
    <w:uiPriority w:val="99"/>
    <w:qFormat/>
    <w:rsid w:val="00745376"/>
    <w:pPr>
      <w:spacing w:line="180" w:lineRule="exact"/>
      <w:jc w:val="right"/>
    </w:pPr>
    <w:rPr>
      <w:spacing w:val="6"/>
      <w:w w:val="106"/>
      <w:sz w:val="14"/>
    </w:rPr>
  </w:style>
  <w:style w:type="paragraph" w:customStyle="1" w:styleId="XLarge">
    <w:name w:val="XLarge"/>
    <w:basedOn w:val="HM"/>
    <w:uiPriority w:val="99"/>
    <w:qFormat/>
    <w:rsid w:val="00745376"/>
    <w:pPr>
      <w:tabs>
        <w:tab w:val="right" w:pos="360"/>
      </w:tabs>
      <w:spacing w:line="390" w:lineRule="exact"/>
    </w:pPr>
    <w:rPr>
      <w:spacing w:val="-4"/>
      <w:w w:val="98"/>
      <w:sz w:val="40"/>
    </w:rPr>
  </w:style>
  <w:style w:type="paragraph" w:customStyle="1" w:styleId="Style1">
    <w:name w:val="Style1"/>
    <w:basedOn w:val="Normal"/>
    <w:uiPriority w:val="99"/>
    <w:qFormat/>
    <w:rsid w:val="00A72C1F"/>
  </w:style>
  <w:style w:type="paragraph" w:customStyle="1" w:styleId="Style2">
    <w:name w:val="Style2"/>
    <w:basedOn w:val="Normal"/>
    <w:autoRedefine/>
    <w:uiPriority w:val="99"/>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uiPriority w:val="9"/>
    <w:semiHidden/>
    <w:rsid w:val="005B74B8"/>
    <w:rPr>
      <w:rFonts w:ascii="Cambria" w:eastAsia="Times New Roman" w:hAnsi="Cambria"/>
      <w:color w:val="404040"/>
      <w:spacing w:val="4"/>
      <w:w w:val="103"/>
      <w:kern w:val="14"/>
      <w:lang w:val="fr-CA"/>
    </w:rPr>
  </w:style>
  <w:style w:type="character" w:customStyle="1" w:styleId="Heading9Char">
    <w:name w:val="Heading 9 Char"/>
    <w:link w:val="Heading9"/>
    <w:uiPriority w:val="9"/>
    <w:semiHidden/>
    <w:rsid w:val="005B74B8"/>
    <w:rPr>
      <w:rFonts w:ascii="Cambria" w:eastAsia="Times New Roman" w:hAnsi="Cambria"/>
      <w:i/>
      <w:iCs/>
      <w:color w:val="404040"/>
      <w:spacing w:val="4"/>
      <w:w w:val="103"/>
      <w:kern w:val="14"/>
      <w:lang w:val="fr-CA"/>
    </w:rPr>
  </w:style>
  <w:style w:type="paragraph" w:styleId="ListParagraph">
    <w:name w:val="List Paragraph"/>
    <w:basedOn w:val="Normal"/>
    <w:link w:val="ListParagraphChar"/>
    <w:uiPriority w:val="34"/>
    <w:qFormat/>
    <w:rsid w:val="005B74B8"/>
    <w:pPr>
      <w:ind w:left="720"/>
      <w:contextualSpacing/>
    </w:pPr>
  </w:style>
  <w:style w:type="paragraph" w:customStyle="1" w:styleId="Distribution">
    <w:name w:val="Distribution"/>
    <w:next w:val="Normal"/>
    <w:autoRedefine/>
    <w:uiPriority w:val="99"/>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uiPriority w:val="99"/>
    <w:qFormat/>
    <w:rsid w:val="0060792E"/>
    <w:rPr>
      <w:rFonts w:ascii="Times New Roman" w:hAnsi="Times New Roman"/>
      <w:spacing w:val="4"/>
      <w:w w:val="103"/>
      <w:kern w:val="14"/>
      <w:szCs w:val="22"/>
    </w:rPr>
  </w:style>
  <w:style w:type="paragraph" w:customStyle="1" w:styleId="Original">
    <w:name w:val="Original"/>
    <w:next w:val="Normal"/>
    <w:autoRedefine/>
    <w:uiPriority w:val="99"/>
    <w:qFormat/>
    <w:rsid w:val="00E13E2B"/>
    <w:rPr>
      <w:rFonts w:ascii="Times New Roman" w:hAnsi="Times New Roman"/>
      <w:spacing w:val="4"/>
      <w:w w:val="103"/>
      <w:kern w:val="14"/>
      <w:szCs w:val="22"/>
    </w:rPr>
  </w:style>
  <w:style w:type="paragraph" w:customStyle="1" w:styleId="ReleaseDate">
    <w:name w:val="Release Date"/>
    <w:next w:val="Normal"/>
    <w:autoRedefine/>
    <w:uiPriority w:val="99"/>
    <w:qFormat/>
    <w:rsid w:val="0060792E"/>
    <w:rPr>
      <w:rFonts w:ascii="Times New Roman" w:hAnsi="Times New Roman"/>
      <w:spacing w:val="-3"/>
      <w:w w:val="99"/>
      <w:kern w:val="14"/>
      <w:szCs w:val="22"/>
    </w:rPr>
  </w:style>
  <w:style w:type="paragraph" w:customStyle="1" w:styleId="Session">
    <w:name w:val="Session"/>
    <w:basedOn w:val="H23"/>
    <w:autoRedefine/>
    <w:uiPriority w:val="99"/>
    <w:qFormat/>
    <w:rsid w:val="00D73117"/>
    <w:pPr>
      <w:ind w:right="1267"/>
    </w:pPr>
    <w:rPr>
      <w:spacing w:val="4"/>
    </w:rPr>
  </w:style>
  <w:style w:type="paragraph" w:customStyle="1" w:styleId="Committee">
    <w:name w:val="Committee"/>
    <w:basedOn w:val="H1"/>
    <w:autoRedefine/>
    <w:uiPriority w:val="99"/>
    <w:qFormat/>
    <w:rsid w:val="0060792E"/>
    <w:pPr>
      <w:ind w:right="1267"/>
    </w:pPr>
  </w:style>
  <w:style w:type="paragraph" w:customStyle="1" w:styleId="Sponsors">
    <w:name w:val="Sponsors"/>
    <w:basedOn w:val="H23"/>
    <w:autoRedefine/>
    <w:uiPriority w:val="99"/>
    <w:qFormat/>
    <w:rsid w:val="0060792E"/>
    <w:pPr>
      <w:tabs>
        <w:tab w:val="right" w:pos="1022"/>
        <w:tab w:val="left" w:pos="1267"/>
      </w:tabs>
      <w:ind w:left="1267" w:right="1267" w:hanging="1267"/>
    </w:pPr>
  </w:style>
  <w:style w:type="paragraph" w:customStyle="1" w:styleId="Type">
    <w:name w:val="Type"/>
    <w:basedOn w:val="H23"/>
    <w:autoRedefine/>
    <w:uiPriority w:val="99"/>
    <w:qFormat/>
    <w:rsid w:val="0060792E"/>
    <w:pPr>
      <w:tabs>
        <w:tab w:val="right" w:pos="1022"/>
        <w:tab w:val="left" w:pos="1267"/>
      </w:tabs>
      <w:ind w:left="1267" w:right="1267" w:hanging="1267"/>
    </w:pPr>
  </w:style>
  <w:style w:type="paragraph" w:customStyle="1" w:styleId="AgendaTitle">
    <w:name w:val="AgendaTitle"/>
    <w:basedOn w:val="H23"/>
    <w:autoRedefine/>
    <w:uiPriority w:val="99"/>
    <w:qFormat/>
    <w:rsid w:val="0060792E"/>
  </w:style>
  <w:style w:type="paragraph" w:customStyle="1" w:styleId="Title1">
    <w:name w:val="Title 1"/>
    <w:basedOn w:val="HCH"/>
    <w:autoRedefine/>
    <w:uiPriority w:val="99"/>
    <w:qFormat/>
    <w:rsid w:val="00506B44"/>
    <w:pPr>
      <w:tabs>
        <w:tab w:val="right" w:pos="1022"/>
        <w:tab w:val="left" w:pos="1267"/>
      </w:tabs>
      <w:ind w:left="1267" w:right="1267" w:hanging="1267"/>
    </w:pPr>
  </w:style>
  <w:style w:type="paragraph" w:customStyle="1" w:styleId="Title2">
    <w:name w:val="Title 2"/>
    <w:basedOn w:val="H1"/>
    <w:uiPriority w:val="99"/>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uiPriority w:val="99"/>
    <w:qFormat/>
    <w:rsid w:val="00023E37"/>
    <w:pPr>
      <w:numPr>
        <w:numId w:val="2"/>
      </w:numPr>
      <w:spacing w:after="120"/>
      <w:ind w:right="1267"/>
      <w:jc w:val="both"/>
    </w:pPr>
  </w:style>
  <w:style w:type="paragraph" w:customStyle="1" w:styleId="Bullet2">
    <w:name w:val="Bullet 2"/>
    <w:basedOn w:val="Normal"/>
    <w:uiPriority w:val="99"/>
    <w:qFormat/>
    <w:rsid w:val="00E00C20"/>
    <w:pPr>
      <w:numPr>
        <w:numId w:val="3"/>
      </w:numPr>
      <w:spacing w:after="120"/>
      <w:ind w:right="1264"/>
      <w:jc w:val="both"/>
    </w:pPr>
  </w:style>
  <w:style w:type="character" w:styleId="EndnoteReference">
    <w:name w:val="endnote reference"/>
    <w:aliases w:val="1_G"/>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uiPriority w:val="99"/>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C001FB"/>
    <w:rPr>
      <w:sz w:val="16"/>
      <w:szCs w:val="16"/>
    </w:rPr>
  </w:style>
  <w:style w:type="paragraph" w:styleId="CommentText">
    <w:name w:val="annotation text"/>
    <w:basedOn w:val="Normal"/>
    <w:link w:val="CommentTextChar"/>
    <w:uiPriority w:val="99"/>
    <w:semiHidden/>
    <w:unhideWhenUsed/>
    <w:rsid w:val="00C001FB"/>
    <w:pPr>
      <w:spacing w:line="240" w:lineRule="auto"/>
    </w:pPr>
    <w:rPr>
      <w:szCs w:val="20"/>
    </w:rPr>
  </w:style>
  <w:style w:type="character" w:customStyle="1" w:styleId="CommentTextChar">
    <w:name w:val="Comment Text Char"/>
    <w:basedOn w:val="DefaultParagraphFont"/>
    <w:link w:val="CommentText"/>
    <w:uiPriority w:val="99"/>
    <w:semiHidden/>
    <w:rsid w:val="00C001F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001FB"/>
    <w:rPr>
      <w:b/>
      <w:bCs/>
    </w:rPr>
  </w:style>
  <w:style w:type="character" w:customStyle="1" w:styleId="CommentSubjectChar">
    <w:name w:val="Comment Subject Char"/>
    <w:basedOn w:val="CommentTextChar"/>
    <w:link w:val="CommentSubject"/>
    <w:uiPriority w:val="99"/>
    <w:semiHidden/>
    <w:rsid w:val="00C001FB"/>
    <w:rPr>
      <w:rFonts w:ascii="Times New Roman" w:hAnsi="Times New Roman"/>
      <w:b/>
      <w:bCs/>
      <w:spacing w:val="4"/>
      <w:w w:val="103"/>
      <w:kern w:val="14"/>
      <w:lang w:val="fr-CA"/>
    </w:rPr>
  </w:style>
  <w:style w:type="character" w:styleId="Hyperlink">
    <w:name w:val="Hyperlink"/>
    <w:unhideWhenUsed/>
    <w:rsid w:val="00BF1937"/>
    <w:rPr>
      <w:strike w:val="0"/>
      <w:dstrike w:val="0"/>
      <w:color w:val="auto"/>
      <w:u w:val="none"/>
      <w:effect w:val="none"/>
    </w:rPr>
  </w:style>
  <w:style w:type="character" w:styleId="FollowedHyperlink">
    <w:name w:val="FollowedHyperlink"/>
    <w:semiHidden/>
    <w:unhideWhenUsed/>
    <w:rsid w:val="00BF1937"/>
    <w:rPr>
      <w:strike w:val="0"/>
      <w:dstrike w:val="0"/>
      <w:color w:val="auto"/>
      <w:u w:val="none"/>
      <w:effect w:val="none"/>
    </w:rPr>
  </w:style>
  <w:style w:type="paragraph" w:styleId="HTMLAddress">
    <w:name w:val="HTML Address"/>
    <w:basedOn w:val="Normal"/>
    <w:link w:val="HTMLAddressChar"/>
    <w:semiHidden/>
    <w:unhideWhenUsed/>
    <w:rsid w:val="00BF1937"/>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BF1937"/>
    <w:rPr>
      <w:rFonts w:ascii="Times New Roman" w:eastAsia="Times New Roman" w:hAnsi="Times New Roman"/>
      <w:i/>
      <w:iCs/>
      <w:lang w:val="en-GB"/>
    </w:rPr>
  </w:style>
  <w:style w:type="character" w:styleId="HTMLCode">
    <w:name w:val="HTML Code"/>
    <w:semiHidden/>
    <w:unhideWhenUsed/>
    <w:rsid w:val="00BF1937"/>
    <w:rPr>
      <w:rFonts w:ascii="Courier New" w:eastAsia="Times New Roman" w:hAnsi="Courier New" w:cs="Courier New" w:hint="default"/>
      <w:sz w:val="20"/>
      <w:szCs w:val="20"/>
    </w:rPr>
  </w:style>
  <w:style w:type="character" w:customStyle="1" w:styleId="Heading1Char1">
    <w:name w:val="Heading 1 Char1"/>
    <w:aliases w:val="Table_G Char1"/>
    <w:basedOn w:val="DefaultParagraphFont"/>
    <w:uiPriority w:val="9"/>
    <w:rsid w:val="00BF1937"/>
    <w:rPr>
      <w:rFonts w:asciiTheme="majorHAnsi" w:eastAsiaTheme="majorEastAsia" w:hAnsiTheme="majorHAnsi" w:cstheme="majorBidi"/>
      <w:b/>
      <w:bCs/>
      <w:color w:val="365F91" w:themeColor="accent1" w:themeShade="BF"/>
      <w:spacing w:val="4"/>
      <w:w w:val="103"/>
      <w:kern w:val="14"/>
      <w:sz w:val="28"/>
      <w:szCs w:val="28"/>
      <w:lang w:val="fr-CA"/>
    </w:rPr>
  </w:style>
  <w:style w:type="character" w:styleId="HTMLKeyboard">
    <w:name w:val="HTML Keyboard"/>
    <w:semiHidden/>
    <w:unhideWhenUsed/>
    <w:rsid w:val="00BF193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BF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BF1937"/>
    <w:rPr>
      <w:rFonts w:ascii="Courier New" w:eastAsia="Times New Roman" w:hAnsi="Courier New" w:cs="Courier New"/>
      <w:lang w:val="en-GB"/>
    </w:rPr>
  </w:style>
  <w:style w:type="character" w:styleId="HTMLSample">
    <w:name w:val="HTML Sample"/>
    <w:semiHidden/>
    <w:unhideWhenUsed/>
    <w:rsid w:val="00BF1937"/>
    <w:rPr>
      <w:rFonts w:ascii="Courier New" w:eastAsia="Times New Roman" w:hAnsi="Courier New" w:cs="Courier New" w:hint="default"/>
    </w:rPr>
  </w:style>
  <w:style w:type="character" w:styleId="HTMLTypewriter">
    <w:name w:val="HTML Typewriter"/>
    <w:semiHidden/>
    <w:unhideWhenUsed/>
    <w:rsid w:val="00BF1937"/>
    <w:rPr>
      <w:rFonts w:ascii="Courier New" w:eastAsia="Times New Roman" w:hAnsi="Courier New" w:cs="Courier New" w:hint="default"/>
      <w:sz w:val="20"/>
      <w:szCs w:val="20"/>
    </w:rPr>
  </w:style>
  <w:style w:type="paragraph" w:styleId="NormalWeb">
    <w:name w:val="Normal (Web)"/>
    <w:basedOn w:val="Normal"/>
    <w:uiPriority w:val="99"/>
    <w:semiHidden/>
    <w:unhideWhenUsed/>
    <w:rsid w:val="00BF1937"/>
    <w:pPr>
      <w:suppressAutoHyphens/>
      <w:spacing w:line="240" w:lineRule="atLeast"/>
    </w:pPr>
    <w:rPr>
      <w:rFonts w:eastAsia="Times New Roman"/>
      <w:spacing w:val="0"/>
      <w:w w:val="100"/>
      <w:kern w:val="0"/>
      <w:sz w:val="24"/>
      <w:szCs w:val="24"/>
      <w:lang w:val="en-GB"/>
    </w:rPr>
  </w:style>
  <w:style w:type="paragraph" w:styleId="TOC1">
    <w:name w:val="toc 1"/>
    <w:basedOn w:val="Normal"/>
    <w:next w:val="Normal"/>
    <w:autoRedefine/>
    <w:uiPriority w:val="99"/>
    <w:semiHidden/>
    <w:unhideWhenUsed/>
    <w:rsid w:val="00BF1937"/>
    <w:pPr>
      <w:suppressAutoHyphens/>
      <w:spacing w:line="240" w:lineRule="atLeast"/>
    </w:pPr>
    <w:rPr>
      <w:rFonts w:eastAsia="Times New Roman"/>
      <w:spacing w:val="0"/>
      <w:w w:val="100"/>
      <w:kern w:val="0"/>
      <w:szCs w:val="20"/>
      <w:lang w:val="en-GB"/>
    </w:rPr>
  </w:style>
  <w:style w:type="paragraph" w:styleId="TOC2">
    <w:name w:val="toc 2"/>
    <w:basedOn w:val="Normal"/>
    <w:next w:val="Normal"/>
    <w:autoRedefine/>
    <w:uiPriority w:val="99"/>
    <w:semiHidden/>
    <w:unhideWhenUsed/>
    <w:rsid w:val="00BF1937"/>
    <w:pPr>
      <w:suppressAutoHyphens/>
      <w:spacing w:line="240" w:lineRule="atLeast"/>
      <w:ind w:left="200"/>
    </w:pPr>
    <w:rPr>
      <w:rFonts w:eastAsia="Times New Roman"/>
      <w:spacing w:val="0"/>
      <w:w w:val="100"/>
      <w:kern w:val="0"/>
      <w:szCs w:val="20"/>
      <w:lang w:val="en-GB"/>
    </w:rPr>
  </w:style>
  <w:style w:type="paragraph" w:styleId="NormalIndent">
    <w:name w:val="Normal Indent"/>
    <w:basedOn w:val="Normal"/>
    <w:uiPriority w:val="99"/>
    <w:semiHidden/>
    <w:unhideWhenUsed/>
    <w:rsid w:val="00BF1937"/>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aliases w:val="5_G Char1"/>
    <w:basedOn w:val="DefaultParagraphFont"/>
    <w:uiPriority w:val="99"/>
    <w:semiHidden/>
    <w:rsid w:val="00BF1937"/>
    <w:rPr>
      <w:rFonts w:ascii="Times New Roman" w:hAnsi="Times New Roman"/>
      <w:spacing w:val="4"/>
      <w:w w:val="103"/>
      <w:kern w:val="14"/>
      <w:lang w:val="fr-CA"/>
    </w:rPr>
  </w:style>
  <w:style w:type="character" w:customStyle="1" w:styleId="HeaderChar1">
    <w:name w:val="Header Char1"/>
    <w:aliases w:val="6_G Char1"/>
    <w:basedOn w:val="DefaultParagraphFont"/>
    <w:uiPriority w:val="99"/>
    <w:semiHidden/>
    <w:rsid w:val="00BF1937"/>
    <w:rPr>
      <w:rFonts w:ascii="Times New Roman" w:hAnsi="Times New Roman"/>
      <w:spacing w:val="4"/>
      <w:w w:val="103"/>
      <w:kern w:val="14"/>
      <w:szCs w:val="22"/>
      <w:lang w:val="fr-CA"/>
    </w:rPr>
  </w:style>
  <w:style w:type="character" w:customStyle="1" w:styleId="FooterChar1">
    <w:name w:val="Footer Char1"/>
    <w:aliases w:val="3_G Char1"/>
    <w:basedOn w:val="DefaultParagraphFont"/>
    <w:uiPriority w:val="99"/>
    <w:semiHidden/>
    <w:rsid w:val="00BF1937"/>
    <w:rPr>
      <w:rFonts w:ascii="Times New Roman" w:hAnsi="Times New Roman"/>
      <w:spacing w:val="4"/>
      <w:w w:val="103"/>
      <w:kern w:val="14"/>
      <w:szCs w:val="22"/>
      <w:lang w:val="fr-CA"/>
    </w:rPr>
  </w:style>
  <w:style w:type="paragraph" w:styleId="EnvelopeAddress">
    <w:name w:val="envelope address"/>
    <w:basedOn w:val="Normal"/>
    <w:uiPriority w:val="99"/>
    <w:semiHidden/>
    <w:unhideWhenUsed/>
    <w:rsid w:val="00BF1937"/>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uiPriority w:val="99"/>
    <w:semiHidden/>
    <w:unhideWhenUsed/>
    <w:rsid w:val="00BF1937"/>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1"/>
    <w:basedOn w:val="DefaultParagraphFont"/>
    <w:uiPriority w:val="99"/>
    <w:semiHidden/>
    <w:rsid w:val="00BF1937"/>
    <w:rPr>
      <w:rFonts w:ascii="Times New Roman" w:hAnsi="Times New Roman"/>
      <w:spacing w:val="4"/>
      <w:w w:val="103"/>
      <w:kern w:val="14"/>
      <w:lang w:val="fr-CA"/>
    </w:rPr>
  </w:style>
  <w:style w:type="paragraph" w:styleId="List">
    <w:name w:val="List"/>
    <w:basedOn w:val="Normal"/>
    <w:uiPriority w:val="99"/>
    <w:semiHidden/>
    <w:unhideWhenUsed/>
    <w:rsid w:val="00BF1937"/>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uiPriority w:val="99"/>
    <w:semiHidden/>
    <w:unhideWhenUsed/>
    <w:rsid w:val="00BF1937"/>
    <w:pPr>
      <w:numPr>
        <w:numId w:val="5"/>
      </w:numPr>
      <w:suppressAutoHyphens/>
      <w:spacing w:line="240" w:lineRule="atLeast"/>
    </w:pPr>
    <w:rPr>
      <w:rFonts w:eastAsia="Times New Roman"/>
      <w:spacing w:val="0"/>
      <w:w w:val="100"/>
      <w:kern w:val="0"/>
      <w:szCs w:val="20"/>
      <w:lang w:val="en-GB"/>
    </w:rPr>
  </w:style>
  <w:style w:type="paragraph" w:styleId="ListNumber">
    <w:name w:val="List Number"/>
    <w:basedOn w:val="Normal"/>
    <w:uiPriority w:val="99"/>
    <w:semiHidden/>
    <w:unhideWhenUsed/>
    <w:rsid w:val="00BF1937"/>
    <w:pPr>
      <w:numPr>
        <w:numId w:val="6"/>
      </w:numPr>
      <w:suppressAutoHyphens/>
      <w:spacing w:line="240" w:lineRule="atLeast"/>
    </w:pPr>
    <w:rPr>
      <w:rFonts w:eastAsia="Times New Roman"/>
      <w:spacing w:val="0"/>
      <w:w w:val="100"/>
      <w:kern w:val="0"/>
      <w:szCs w:val="20"/>
      <w:lang w:val="en-GB"/>
    </w:rPr>
  </w:style>
  <w:style w:type="paragraph" w:styleId="List2">
    <w:name w:val="List 2"/>
    <w:basedOn w:val="Normal"/>
    <w:uiPriority w:val="99"/>
    <w:semiHidden/>
    <w:unhideWhenUsed/>
    <w:rsid w:val="00BF1937"/>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uiPriority w:val="99"/>
    <w:semiHidden/>
    <w:unhideWhenUsed/>
    <w:rsid w:val="00BF1937"/>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uiPriority w:val="99"/>
    <w:semiHidden/>
    <w:unhideWhenUsed/>
    <w:rsid w:val="00BF1937"/>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uiPriority w:val="99"/>
    <w:semiHidden/>
    <w:unhideWhenUsed/>
    <w:rsid w:val="00BF1937"/>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uiPriority w:val="99"/>
    <w:semiHidden/>
    <w:unhideWhenUsed/>
    <w:rsid w:val="00BF1937"/>
    <w:pPr>
      <w:numPr>
        <w:numId w:val="7"/>
      </w:numPr>
      <w:suppressAutoHyphens/>
      <w:spacing w:line="240" w:lineRule="atLeast"/>
    </w:pPr>
    <w:rPr>
      <w:rFonts w:eastAsia="Times New Roman"/>
      <w:spacing w:val="0"/>
      <w:w w:val="100"/>
      <w:kern w:val="0"/>
      <w:szCs w:val="20"/>
      <w:lang w:val="en-GB"/>
    </w:rPr>
  </w:style>
  <w:style w:type="paragraph" w:styleId="ListBullet3">
    <w:name w:val="List Bullet 3"/>
    <w:basedOn w:val="Normal"/>
    <w:uiPriority w:val="99"/>
    <w:semiHidden/>
    <w:unhideWhenUsed/>
    <w:rsid w:val="00BF1937"/>
    <w:pPr>
      <w:numPr>
        <w:numId w:val="8"/>
      </w:numPr>
      <w:suppressAutoHyphens/>
      <w:spacing w:line="240" w:lineRule="atLeast"/>
    </w:pPr>
    <w:rPr>
      <w:rFonts w:eastAsia="Times New Roman"/>
      <w:spacing w:val="0"/>
      <w:w w:val="100"/>
      <w:kern w:val="0"/>
      <w:szCs w:val="20"/>
      <w:lang w:val="en-GB"/>
    </w:rPr>
  </w:style>
  <w:style w:type="paragraph" w:styleId="ListBullet4">
    <w:name w:val="List Bullet 4"/>
    <w:basedOn w:val="Normal"/>
    <w:uiPriority w:val="99"/>
    <w:semiHidden/>
    <w:unhideWhenUsed/>
    <w:rsid w:val="00BF1937"/>
    <w:pPr>
      <w:numPr>
        <w:numId w:val="9"/>
      </w:numPr>
      <w:suppressAutoHyphens/>
      <w:spacing w:line="240" w:lineRule="atLeast"/>
    </w:pPr>
    <w:rPr>
      <w:rFonts w:eastAsia="Times New Roman"/>
      <w:spacing w:val="0"/>
      <w:w w:val="100"/>
      <w:kern w:val="0"/>
      <w:szCs w:val="20"/>
      <w:lang w:val="en-GB"/>
    </w:rPr>
  </w:style>
  <w:style w:type="paragraph" w:styleId="ListBullet5">
    <w:name w:val="List Bullet 5"/>
    <w:basedOn w:val="Normal"/>
    <w:uiPriority w:val="99"/>
    <w:semiHidden/>
    <w:unhideWhenUsed/>
    <w:rsid w:val="00BF1937"/>
    <w:pPr>
      <w:numPr>
        <w:numId w:val="10"/>
      </w:numPr>
      <w:suppressAutoHyphens/>
      <w:spacing w:line="240" w:lineRule="atLeast"/>
    </w:pPr>
    <w:rPr>
      <w:rFonts w:eastAsia="Times New Roman"/>
      <w:spacing w:val="0"/>
      <w:w w:val="100"/>
      <w:kern w:val="0"/>
      <w:szCs w:val="20"/>
      <w:lang w:val="en-GB"/>
    </w:rPr>
  </w:style>
  <w:style w:type="paragraph" w:styleId="ListNumber2">
    <w:name w:val="List Number 2"/>
    <w:basedOn w:val="Normal"/>
    <w:uiPriority w:val="99"/>
    <w:semiHidden/>
    <w:unhideWhenUsed/>
    <w:rsid w:val="00BF1937"/>
    <w:pPr>
      <w:numPr>
        <w:numId w:val="11"/>
      </w:numPr>
      <w:suppressAutoHyphens/>
      <w:spacing w:line="240" w:lineRule="atLeast"/>
    </w:pPr>
    <w:rPr>
      <w:rFonts w:eastAsia="Times New Roman"/>
      <w:spacing w:val="0"/>
      <w:w w:val="100"/>
      <w:kern w:val="0"/>
      <w:szCs w:val="20"/>
      <w:lang w:val="en-GB"/>
    </w:rPr>
  </w:style>
  <w:style w:type="paragraph" w:styleId="ListNumber3">
    <w:name w:val="List Number 3"/>
    <w:basedOn w:val="Normal"/>
    <w:uiPriority w:val="99"/>
    <w:semiHidden/>
    <w:unhideWhenUsed/>
    <w:rsid w:val="00BF1937"/>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uiPriority w:val="99"/>
    <w:semiHidden/>
    <w:unhideWhenUsed/>
    <w:rsid w:val="00BF1937"/>
    <w:pPr>
      <w:numPr>
        <w:numId w:val="12"/>
      </w:numPr>
      <w:suppressAutoHyphens/>
      <w:spacing w:line="240" w:lineRule="atLeast"/>
    </w:pPr>
    <w:rPr>
      <w:rFonts w:eastAsia="Times New Roman"/>
      <w:spacing w:val="0"/>
      <w:w w:val="100"/>
      <w:kern w:val="0"/>
      <w:szCs w:val="20"/>
      <w:lang w:val="en-GB"/>
    </w:rPr>
  </w:style>
  <w:style w:type="paragraph" w:styleId="ListNumber5">
    <w:name w:val="List Number 5"/>
    <w:basedOn w:val="Normal"/>
    <w:uiPriority w:val="99"/>
    <w:semiHidden/>
    <w:unhideWhenUsed/>
    <w:rsid w:val="00BF1937"/>
    <w:pPr>
      <w:numPr>
        <w:numId w:val="13"/>
      </w:numPr>
      <w:suppressAutoHyphens/>
      <w:spacing w:line="240" w:lineRule="atLeast"/>
    </w:pPr>
    <w:rPr>
      <w:rFonts w:eastAsia="Times New Roman"/>
      <w:spacing w:val="0"/>
      <w:w w:val="100"/>
      <w:kern w:val="0"/>
      <w:szCs w:val="20"/>
      <w:lang w:val="en-GB"/>
    </w:rPr>
  </w:style>
  <w:style w:type="paragraph" w:styleId="Title">
    <w:name w:val="Title"/>
    <w:basedOn w:val="Normal"/>
    <w:link w:val="TitleChar"/>
    <w:uiPriority w:val="10"/>
    <w:qFormat/>
    <w:rsid w:val="00BF1937"/>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uiPriority w:val="10"/>
    <w:rsid w:val="00BF1937"/>
    <w:rPr>
      <w:rFonts w:ascii="Arial" w:eastAsia="Times New Roman" w:hAnsi="Arial" w:cs="Arial"/>
      <w:b/>
      <w:bCs/>
      <w:kern w:val="28"/>
      <w:sz w:val="32"/>
      <w:szCs w:val="32"/>
      <w:lang w:val="en-GB"/>
    </w:rPr>
  </w:style>
  <w:style w:type="paragraph" w:styleId="Closing">
    <w:name w:val="Closing"/>
    <w:basedOn w:val="Normal"/>
    <w:link w:val="ClosingChar"/>
    <w:uiPriority w:val="99"/>
    <w:semiHidden/>
    <w:unhideWhenUsed/>
    <w:rsid w:val="00BF1937"/>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uiPriority w:val="99"/>
    <w:semiHidden/>
    <w:rsid w:val="00BF1937"/>
    <w:rPr>
      <w:rFonts w:ascii="Times New Roman" w:eastAsia="Times New Roman" w:hAnsi="Times New Roman"/>
      <w:lang w:val="en-GB"/>
    </w:rPr>
  </w:style>
  <w:style w:type="paragraph" w:styleId="Signature">
    <w:name w:val="Signature"/>
    <w:basedOn w:val="Normal"/>
    <w:link w:val="SignatureChar"/>
    <w:uiPriority w:val="99"/>
    <w:semiHidden/>
    <w:unhideWhenUsed/>
    <w:rsid w:val="00BF1937"/>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uiPriority w:val="99"/>
    <w:semiHidden/>
    <w:rsid w:val="00BF1937"/>
    <w:rPr>
      <w:rFonts w:ascii="Times New Roman" w:eastAsia="Times New Roman" w:hAnsi="Times New Roman"/>
      <w:lang w:val="en-GB"/>
    </w:rPr>
  </w:style>
  <w:style w:type="paragraph" w:styleId="BodyText">
    <w:name w:val="Body Text"/>
    <w:basedOn w:val="Normal"/>
    <w:next w:val="Normal"/>
    <w:link w:val="BodyText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uiPriority w:val="99"/>
    <w:semiHidden/>
    <w:rsid w:val="00BF1937"/>
    <w:rPr>
      <w:rFonts w:ascii="Times New Roman" w:eastAsia="Times New Roman" w:hAnsi="Times New Roman"/>
      <w:lang w:val="en-GB"/>
    </w:rPr>
  </w:style>
  <w:style w:type="paragraph" w:styleId="BodyTextIndent">
    <w:name w:val="Body Text Indent"/>
    <w:basedOn w:val="Normal"/>
    <w:link w:val="BodyTextIndentChar"/>
    <w:uiPriority w:val="99"/>
    <w:semiHidden/>
    <w:unhideWhenUsed/>
    <w:rsid w:val="00BF1937"/>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uiPriority w:val="99"/>
    <w:semiHidden/>
    <w:rsid w:val="00BF1937"/>
    <w:rPr>
      <w:rFonts w:ascii="Times New Roman" w:eastAsia="Times New Roman" w:hAnsi="Times New Roman"/>
      <w:lang w:val="en-GB"/>
    </w:rPr>
  </w:style>
  <w:style w:type="paragraph" w:styleId="ListContinue">
    <w:name w:val="List Continue"/>
    <w:basedOn w:val="Normal"/>
    <w:uiPriority w:val="99"/>
    <w:semiHidden/>
    <w:unhideWhenUsed/>
    <w:rsid w:val="00BF1937"/>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uiPriority w:val="99"/>
    <w:semiHidden/>
    <w:unhideWhenUsed/>
    <w:rsid w:val="00BF1937"/>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uiPriority w:val="99"/>
    <w:semiHidden/>
    <w:unhideWhenUsed/>
    <w:rsid w:val="00BF1937"/>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uiPriority w:val="99"/>
    <w:semiHidden/>
    <w:unhideWhenUsed/>
    <w:rsid w:val="00BF1937"/>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uiPriority w:val="99"/>
    <w:semiHidden/>
    <w:unhideWhenUsed/>
    <w:rsid w:val="00BF1937"/>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uiPriority w:val="99"/>
    <w:semiHidden/>
    <w:unhideWhenUsed/>
    <w:rsid w:val="00BF193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uiPriority w:val="99"/>
    <w:semiHidden/>
    <w:rsid w:val="00BF1937"/>
    <w:rPr>
      <w:rFonts w:ascii="Arial" w:eastAsia="Times New Roman" w:hAnsi="Arial" w:cs="Arial"/>
      <w:sz w:val="24"/>
      <w:szCs w:val="24"/>
      <w:shd w:val="pct20" w:color="auto" w:fill="auto"/>
      <w:lang w:val="en-GB"/>
    </w:rPr>
  </w:style>
  <w:style w:type="paragraph" w:styleId="Subtitle">
    <w:name w:val="Subtitle"/>
    <w:basedOn w:val="Normal"/>
    <w:link w:val="SubtitleChar"/>
    <w:uiPriority w:val="99"/>
    <w:qFormat/>
    <w:rsid w:val="00BF1937"/>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uiPriority w:val="99"/>
    <w:rsid w:val="00BF1937"/>
    <w:rPr>
      <w:rFonts w:ascii="Arial" w:eastAsia="Times New Roman" w:hAnsi="Arial" w:cs="Arial"/>
      <w:sz w:val="24"/>
      <w:szCs w:val="24"/>
      <w:lang w:val="en-GB"/>
    </w:rPr>
  </w:style>
  <w:style w:type="paragraph" w:styleId="Salutation">
    <w:name w:val="Salutation"/>
    <w:basedOn w:val="Normal"/>
    <w:next w:val="Normal"/>
    <w:link w:val="Salutation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uiPriority w:val="99"/>
    <w:semiHidden/>
    <w:rsid w:val="00BF1937"/>
    <w:rPr>
      <w:rFonts w:ascii="Times New Roman" w:eastAsia="Times New Roman" w:hAnsi="Times New Roman"/>
      <w:lang w:val="en-GB"/>
    </w:rPr>
  </w:style>
  <w:style w:type="paragraph" w:styleId="Date">
    <w:name w:val="Date"/>
    <w:basedOn w:val="Normal"/>
    <w:next w:val="Normal"/>
    <w:link w:val="Date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uiPriority w:val="99"/>
    <w:semiHidden/>
    <w:rsid w:val="00BF1937"/>
    <w:rPr>
      <w:rFonts w:ascii="Times New Roman" w:eastAsia="Times New Roman" w:hAnsi="Times New Roman"/>
      <w:lang w:val="en-GB"/>
    </w:rPr>
  </w:style>
  <w:style w:type="paragraph" w:styleId="BodyTextFirstIndent">
    <w:name w:val="Body Text First Indent"/>
    <w:basedOn w:val="BodyText"/>
    <w:link w:val="BodyTextFirstIndentChar"/>
    <w:uiPriority w:val="99"/>
    <w:semiHidden/>
    <w:unhideWhenUsed/>
    <w:rsid w:val="00BF1937"/>
    <w:pPr>
      <w:spacing w:after="120"/>
      <w:ind w:firstLine="210"/>
    </w:pPr>
  </w:style>
  <w:style w:type="character" w:customStyle="1" w:styleId="BodyTextFirstIndentChar">
    <w:name w:val="Body Text First Indent Char"/>
    <w:basedOn w:val="BodyTextChar"/>
    <w:link w:val="BodyTextFirstIndent"/>
    <w:uiPriority w:val="99"/>
    <w:semiHidden/>
    <w:rsid w:val="00BF1937"/>
    <w:rPr>
      <w:rFonts w:ascii="Times New Roman" w:eastAsia="Times New Roman" w:hAnsi="Times New Roman"/>
      <w:lang w:val="en-GB"/>
    </w:rPr>
  </w:style>
  <w:style w:type="paragraph" w:styleId="BodyTextFirstIndent2">
    <w:name w:val="Body Text First Indent 2"/>
    <w:basedOn w:val="BodyTextIndent"/>
    <w:link w:val="BodyTextFirstIndent2Char"/>
    <w:uiPriority w:val="99"/>
    <w:semiHidden/>
    <w:unhideWhenUsed/>
    <w:rsid w:val="00BF1937"/>
    <w:pPr>
      <w:ind w:firstLine="210"/>
    </w:pPr>
  </w:style>
  <w:style w:type="character" w:customStyle="1" w:styleId="BodyTextFirstIndent2Char">
    <w:name w:val="Body Text First Indent 2 Char"/>
    <w:basedOn w:val="BodyTextIndentChar"/>
    <w:link w:val="BodyTextFirstIndent2"/>
    <w:uiPriority w:val="99"/>
    <w:semiHidden/>
    <w:rsid w:val="00BF1937"/>
    <w:rPr>
      <w:rFonts w:ascii="Times New Roman" w:eastAsia="Times New Roman" w:hAnsi="Times New Roman"/>
      <w:lang w:val="en-GB"/>
    </w:rPr>
  </w:style>
  <w:style w:type="paragraph" w:styleId="NoteHeading">
    <w:name w:val="Note Heading"/>
    <w:basedOn w:val="Normal"/>
    <w:next w:val="Normal"/>
    <w:link w:val="NoteHeading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uiPriority w:val="99"/>
    <w:semiHidden/>
    <w:rsid w:val="00BF1937"/>
    <w:rPr>
      <w:rFonts w:ascii="Times New Roman" w:eastAsia="Times New Roman" w:hAnsi="Times New Roman"/>
      <w:lang w:val="en-GB"/>
    </w:rPr>
  </w:style>
  <w:style w:type="paragraph" w:styleId="BodyText2">
    <w:name w:val="Body Text 2"/>
    <w:basedOn w:val="Normal"/>
    <w:link w:val="BodyText2Char"/>
    <w:uiPriority w:val="99"/>
    <w:semiHidden/>
    <w:unhideWhenUsed/>
    <w:rsid w:val="00BF1937"/>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uiPriority w:val="99"/>
    <w:semiHidden/>
    <w:rsid w:val="00BF1937"/>
    <w:rPr>
      <w:rFonts w:ascii="Times New Roman" w:eastAsia="Times New Roman" w:hAnsi="Times New Roman"/>
      <w:lang w:val="en-GB"/>
    </w:rPr>
  </w:style>
  <w:style w:type="paragraph" w:styleId="BodyText3">
    <w:name w:val="Body Text 3"/>
    <w:basedOn w:val="Normal"/>
    <w:link w:val="BodyText3Char"/>
    <w:uiPriority w:val="99"/>
    <w:semiHidden/>
    <w:unhideWhenUsed/>
    <w:rsid w:val="00BF1937"/>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uiPriority w:val="99"/>
    <w:semiHidden/>
    <w:rsid w:val="00BF1937"/>
    <w:rPr>
      <w:rFonts w:ascii="Times New Roman" w:eastAsia="Times New Roman" w:hAnsi="Times New Roman"/>
      <w:sz w:val="16"/>
      <w:szCs w:val="16"/>
      <w:lang w:val="en-GB"/>
    </w:rPr>
  </w:style>
  <w:style w:type="paragraph" w:styleId="BodyTextIndent2">
    <w:name w:val="Body Text Indent 2"/>
    <w:basedOn w:val="Normal"/>
    <w:link w:val="BodyTextIndent2Char"/>
    <w:uiPriority w:val="99"/>
    <w:semiHidden/>
    <w:unhideWhenUsed/>
    <w:rsid w:val="00BF1937"/>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uiPriority w:val="99"/>
    <w:semiHidden/>
    <w:rsid w:val="00BF1937"/>
    <w:rPr>
      <w:rFonts w:ascii="Times New Roman" w:eastAsia="Times New Roman" w:hAnsi="Times New Roman"/>
      <w:lang w:val="en-GB"/>
    </w:rPr>
  </w:style>
  <w:style w:type="paragraph" w:styleId="BodyTextIndent3">
    <w:name w:val="Body Text Indent 3"/>
    <w:basedOn w:val="Normal"/>
    <w:link w:val="BodyTextIndent3Char"/>
    <w:uiPriority w:val="99"/>
    <w:semiHidden/>
    <w:unhideWhenUsed/>
    <w:rsid w:val="00BF1937"/>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uiPriority w:val="99"/>
    <w:semiHidden/>
    <w:rsid w:val="00BF1937"/>
    <w:rPr>
      <w:rFonts w:ascii="Times New Roman" w:eastAsia="Times New Roman" w:hAnsi="Times New Roman"/>
      <w:sz w:val="16"/>
      <w:szCs w:val="16"/>
      <w:lang w:val="en-GB"/>
    </w:rPr>
  </w:style>
  <w:style w:type="paragraph" w:styleId="BlockText">
    <w:name w:val="Block Text"/>
    <w:basedOn w:val="Normal"/>
    <w:uiPriority w:val="99"/>
    <w:semiHidden/>
    <w:unhideWhenUsed/>
    <w:rsid w:val="00BF1937"/>
    <w:pPr>
      <w:suppressAutoHyphens/>
      <w:spacing w:line="240" w:lineRule="atLeast"/>
      <w:ind w:left="1440" w:right="1440"/>
    </w:pPr>
    <w:rPr>
      <w:rFonts w:eastAsia="Times New Roman"/>
      <w:spacing w:val="0"/>
      <w:w w:val="100"/>
      <w:kern w:val="0"/>
      <w:szCs w:val="20"/>
      <w:lang w:val="en-GB"/>
    </w:rPr>
  </w:style>
  <w:style w:type="paragraph" w:styleId="PlainText">
    <w:name w:val="Plain Text"/>
    <w:basedOn w:val="Normal"/>
    <w:link w:val="PlainTextChar"/>
    <w:uiPriority w:val="99"/>
    <w:semiHidden/>
    <w:unhideWhenUsed/>
    <w:rsid w:val="00BF1937"/>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uiPriority w:val="99"/>
    <w:semiHidden/>
    <w:rsid w:val="00BF1937"/>
    <w:rPr>
      <w:rFonts w:ascii="Times New Roman" w:eastAsia="Times New Roman" w:hAnsi="Times New Roman" w:cs="Courier New"/>
      <w:lang w:val="en-GB"/>
    </w:rPr>
  </w:style>
  <w:style w:type="paragraph" w:styleId="E-mailSignature">
    <w:name w:val="E-mail Signature"/>
    <w:basedOn w:val="Normal"/>
    <w:link w:val="E-mailSignatureChar"/>
    <w:uiPriority w:val="99"/>
    <w:semiHidden/>
    <w:unhideWhenUsed/>
    <w:rsid w:val="00BF1937"/>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uiPriority w:val="99"/>
    <w:semiHidden/>
    <w:rsid w:val="00BF1937"/>
    <w:rPr>
      <w:rFonts w:ascii="Times New Roman" w:eastAsia="Times New Roman" w:hAnsi="Times New Roman"/>
      <w:lang w:val="en-GB"/>
    </w:rPr>
  </w:style>
  <w:style w:type="character" w:customStyle="1" w:styleId="NoSpacingChar">
    <w:name w:val="No Spacing Char"/>
    <w:link w:val="NoSpacing"/>
    <w:uiPriority w:val="1"/>
    <w:locked/>
    <w:rsid w:val="00BF1937"/>
    <w:rPr>
      <w:sz w:val="22"/>
      <w:szCs w:val="22"/>
    </w:rPr>
  </w:style>
  <w:style w:type="paragraph" w:styleId="Revision">
    <w:name w:val="Revision"/>
    <w:uiPriority w:val="99"/>
    <w:semiHidden/>
    <w:rsid w:val="00BF1937"/>
    <w:rPr>
      <w:rFonts w:ascii="Times New Roman" w:eastAsia="Times New Roman" w:hAnsi="Times New Roman"/>
      <w:lang w:val="en-GB"/>
    </w:rPr>
  </w:style>
  <w:style w:type="character" w:customStyle="1" w:styleId="ListParagraphChar">
    <w:name w:val="List Paragraph Char"/>
    <w:link w:val="ListParagraph"/>
    <w:uiPriority w:val="34"/>
    <w:locked/>
    <w:rsid w:val="00BF1937"/>
    <w:rPr>
      <w:rFonts w:ascii="Times New Roman" w:hAnsi="Times New Roman"/>
      <w:spacing w:val="4"/>
      <w:w w:val="103"/>
      <w:kern w:val="14"/>
      <w:szCs w:val="22"/>
      <w:lang w:val="fr-CA"/>
    </w:rPr>
  </w:style>
  <w:style w:type="character" w:styleId="PageNumber">
    <w:name w:val="page number"/>
    <w:aliases w:val="7_G"/>
    <w:semiHidden/>
    <w:unhideWhenUsed/>
    <w:rsid w:val="00BF1937"/>
    <w:rPr>
      <w:rFonts w:ascii="Times New Roman" w:hAnsi="Times New Roman" w:cs="Times New Roman" w:hint="default"/>
      <w:b/>
      <w:bCs w:val="0"/>
      <w:sz w:val="18"/>
      <w:lang w:val="fr-CH"/>
    </w:rPr>
  </w:style>
  <w:style w:type="table" w:styleId="TableSimple1">
    <w:name w:val="Table Simple 1"/>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F1937"/>
    <w:pPr>
      <w:suppressAutoHyphens/>
      <w:spacing w:line="240" w:lineRule="atLeast"/>
    </w:pPr>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F1937"/>
    <w:pPr>
      <w:suppressAutoHyphens/>
      <w:spacing w:line="240" w:lineRule="atLeast"/>
    </w:pPr>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F1937"/>
    <w:pPr>
      <w:suppressAutoHyphens/>
      <w:spacing w:line="240" w:lineRule="atLeast"/>
    </w:pPr>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F1937"/>
    <w:pPr>
      <w:suppressAutoHyphens/>
      <w:spacing w:line="240" w:lineRule="atLeast"/>
    </w:pPr>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F1937"/>
    <w:pPr>
      <w:suppressAutoHyphens/>
      <w:spacing w:line="240" w:lineRule="atLeast"/>
    </w:pPr>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F1937"/>
    <w:pPr>
      <w:suppressAutoHyphens/>
      <w:spacing w:line="240" w:lineRule="atLeast"/>
    </w:pPr>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F1937"/>
    <w:pPr>
      <w:suppressAutoHyphens/>
      <w:spacing w:line="240" w:lineRule="atLeast"/>
    </w:pPr>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F1937"/>
    <w:pPr>
      <w:suppressAutoHyphens/>
      <w:spacing w:line="240" w:lineRule="atLeast"/>
    </w:pPr>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F1937"/>
    <w:pPr>
      <w:suppressAutoHyphens/>
      <w:spacing w:line="240" w:lineRule="atLeast"/>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F1937"/>
    <w:pPr>
      <w:suppressAutoHyphens/>
      <w:spacing w:line="240" w:lineRule="atLeast"/>
    </w:pPr>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F1937"/>
    <w:pPr>
      <w:suppressAutoHyphens/>
      <w:spacing w:line="240" w:lineRule="atLeast"/>
    </w:pPr>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F1937"/>
    <w:pPr>
      <w:suppressAutoHyphens/>
      <w:spacing w:line="240" w:lineRule="atLeast"/>
    </w:pPr>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F1937"/>
    <w:pPr>
      <w:suppressAutoHyphens/>
      <w:spacing w:line="240" w:lineRule="atLeast"/>
    </w:pPr>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BF1937"/>
    <w:pPr>
      <w:suppressAutoHyphens/>
      <w:spacing w:line="240" w:lineRule="atLeast"/>
    </w:pPr>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F1937"/>
    <w:pPr>
      <w:suppressAutoHyphens/>
      <w:spacing w:line="240" w:lineRule="atLeast"/>
    </w:pPr>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F1937"/>
    <w:pPr>
      <w:suppressAutoHyphens/>
      <w:spacing w:line="240" w:lineRule="atLeast"/>
    </w:pPr>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F1937"/>
    <w:pPr>
      <w:suppressAutoHyphens/>
      <w:spacing w:line="240" w:lineRule="atLeast"/>
    </w:pPr>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F1937"/>
    <w:pPr>
      <w:suppressAutoHyphens/>
      <w:spacing w:line="240" w:lineRule="atLeast"/>
    </w:pPr>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BF1937"/>
    <w:pPr>
      <w:suppressAutoHyphens/>
      <w:spacing w:line="240" w:lineRule="atLeast"/>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F1937"/>
    <w:pPr>
      <w:suppressAutoHyphens/>
      <w:spacing w:line="240" w:lineRule="atLeast"/>
    </w:pPr>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F1937"/>
    <w:pPr>
      <w:suppressAutoHyphens/>
      <w:spacing w:line="240" w:lineRule="atLeast"/>
    </w:pPr>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F1937"/>
    <w:pPr>
      <w:suppressAutoHyphens/>
      <w:spacing w:line="240" w:lineRule="atLeast"/>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Theme">
    <w:name w:val="Table Theme"/>
    <w:basedOn w:val="TableNormal"/>
    <w:semiHidden/>
    <w:unhideWhenUsed/>
    <w:rsid w:val="00BF1937"/>
    <w:pPr>
      <w:suppressAutoHyphens/>
      <w:spacing w:line="240" w:lineRule="atLeas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BF1937"/>
    <w:pPr>
      <w:numPr>
        <w:numId w:val="14"/>
      </w:numPr>
    </w:pPr>
  </w:style>
  <w:style w:type="numbering" w:styleId="1ai">
    <w:name w:val="Outline List 1"/>
    <w:basedOn w:val="NoList"/>
    <w:semiHidden/>
    <w:unhideWhenUsed/>
    <w:rsid w:val="00BF1937"/>
    <w:pPr>
      <w:numPr>
        <w:numId w:val="15"/>
      </w:numPr>
    </w:pPr>
  </w:style>
  <w:style w:type="numbering" w:styleId="111111">
    <w:name w:val="Outline List 2"/>
    <w:basedOn w:val="NoList"/>
    <w:semiHidden/>
    <w:unhideWhenUsed/>
    <w:rsid w:val="00BF1937"/>
    <w:pPr>
      <w:numPr>
        <w:numId w:val="16"/>
      </w:numPr>
    </w:pPr>
  </w:style>
  <w:style w:type="paragraph" w:customStyle="1" w:styleId="Nomal">
    <w:name w:val="Nomal"/>
    <w:basedOn w:val="SingleTxt"/>
    <w:rsid w:val="00BF1937"/>
    <w:rPr>
      <w:i/>
      <w:lang w:val="fr-CH"/>
    </w:rPr>
  </w:style>
  <w:style w:type="character" w:customStyle="1" w:styleId="SingleTxtGChar">
    <w:name w:val="_ Single Txt_G Char"/>
    <w:link w:val="SingleTxtG"/>
    <w:locked/>
    <w:rsid w:val="00DE3BD5"/>
    <w:rPr>
      <w:lang w:val="es-ES" w:eastAsia="es-ES"/>
    </w:rPr>
  </w:style>
  <w:style w:type="paragraph" w:customStyle="1" w:styleId="SingleTxtG">
    <w:name w:val="_ Single Txt_G"/>
    <w:basedOn w:val="Normal"/>
    <w:link w:val="SingleTxtGChar"/>
    <w:qFormat/>
    <w:rsid w:val="00DE3BD5"/>
    <w:pPr>
      <w:spacing w:after="120" w:line="240" w:lineRule="atLeast"/>
      <w:ind w:left="1134" w:right="1134"/>
      <w:jc w:val="both"/>
    </w:pPr>
    <w:rPr>
      <w:rFonts w:ascii="Calibri" w:hAnsi="Calibri"/>
      <w:spacing w:val="0"/>
      <w:w w:val="100"/>
      <w:kern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6143">
      <w:bodyDiv w:val="1"/>
      <w:marLeft w:val="0"/>
      <w:marRight w:val="0"/>
      <w:marTop w:val="0"/>
      <w:marBottom w:val="0"/>
      <w:divBdr>
        <w:top w:val="none" w:sz="0" w:space="0" w:color="auto"/>
        <w:left w:val="none" w:sz="0" w:space="0" w:color="auto"/>
        <w:bottom w:val="none" w:sz="0" w:space="0" w:color="auto"/>
        <w:right w:val="none" w:sz="0" w:space="0" w:color="auto"/>
      </w:divBdr>
    </w:div>
    <w:div w:id="1220900711">
      <w:bodyDiv w:val="1"/>
      <w:marLeft w:val="0"/>
      <w:marRight w:val="0"/>
      <w:marTop w:val="0"/>
      <w:marBottom w:val="0"/>
      <w:divBdr>
        <w:top w:val="none" w:sz="0" w:space="0" w:color="auto"/>
        <w:left w:val="none" w:sz="0" w:space="0" w:color="auto"/>
        <w:bottom w:val="none" w:sz="0" w:space="0" w:color="auto"/>
        <w:right w:val="none" w:sz="0" w:space="0" w:color="auto"/>
      </w:divBdr>
    </w:div>
    <w:div w:id="20108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C:\..\..\AppData\Users\Orru\AppData\Local\AppData\Local\Microsoft\Windows\Temporary%20Internet%20Files\Content.Outlook\Documents%20and%20Settings\npnicolaou\Local%20Settings\Temporary%20Internet%20Files\Documents%20and%20Settings\eselipa\Local%20Settings\Temporary%20Internet%20Files\Content.Outlook\YLWOFXE2\Appendix%20IV_Average%20backlog%20of%20cases%20per%20judge%20at%20different%20levels%20of%20the%20judicial%20system.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AppData\Users\Orru\AppData\Local\AppData\Local\Microsoft\Windows\Temporary%20Internet%20Files\Content.Outlook\Documents%20and%20Settings\npnicolaou\Local%20Settings\Temporary%20Internet%20Files\Documents%20and%20Settings\eselipa\Local%20Settings\Temporary%20Internet%20Files\Content.Outlook\YLWOFXE2\Appendix%20II_Prevalence%20of%20major%20communicable%20and%20non-communicable%20diseases.xlsx" TargetMode="External"/><Relationship Id="rId2" Type="http://schemas.openxmlformats.org/officeDocument/2006/relationships/numbering" Target="numbering.xml"/><Relationship Id="rId16" Type="http://schemas.openxmlformats.org/officeDocument/2006/relationships/hyperlink" Target="file:///C:\..\AppData\Users\Orru\AppData\Local\AppData\Local\Microsoft\Windows\Temporary%20Internet%20Files\Content.Outlook\Documents%20and%20Settings\npnicolaou\Local%20Settings\Temporary%20Internet%20Files\Documents%20and%20Settings\eselipa\Local%20Settings\Temporary%20Internet%20Files\Content.Outlook\YLWOFXE2\Appendix%20I_Age%20Composition.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INT%2fAll-Treaties%2fACR%2fCYP%2f7567&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D20B-0E6F-4E4A-BCD7-265A8384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14726</Words>
  <Characters>78201</Characters>
  <Application>Microsoft Office Word</Application>
  <DocSecurity>0</DocSecurity>
  <Lines>3007</Lines>
  <Paragraphs>1977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Clere</dc:creator>
  <cp:keywords/>
  <dc:description/>
  <cp:lastModifiedBy>Clere</cp:lastModifiedBy>
  <cp:revision>3</cp:revision>
  <cp:lastPrinted>2015-11-23T15:48:00Z</cp:lastPrinted>
  <dcterms:created xsi:type="dcterms:W3CDTF">2015-11-23T15:48:00Z</dcterms:created>
  <dcterms:modified xsi:type="dcterms:W3CDTF">2015-11-23T15:48:00Z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1501348F</vt:lpwstr>
  </property>
  <property fmtid="{D5CDD505-2E9C-101B-9397-08002B2CF9AE}" pid="3" name="ODSRefJobNo">
    <vt:lpwstr>1501675F</vt:lpwstr>
  </property>
  <property fmtid="{D5CDD505-2E9C-101B-9397-08002B2CF9AE}" pid="4" name="Symbol1">
    <vt:lpwstr>HRI/CORE/CYP/2014</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février 2015</vt:lpwstr>
  </property>
  <property fmtid="{D5CDD505-2E9C-101B-9397-08002B2CF9AE}" pid="12" name="Original">
    <vt:lpwstr>anglais</vt:lpwstr>
  </property>
  <property fmtid="{D5CDD505-2E9C-101B-9397-08002B2CF9AE}" pid="13" name="Release Date">
    <vt:lpwstr>201115</vt:lpwstr>
  </property>
</Properties>
</file>